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7C6D10" w:rsidRDefault="00C60631" w:rsidP="009D510C">
      <w:pPr>
        <w:pStyle w:val="ListParagraph"/>
        <w:numPr>
          <w:ilvl w:val="0"/>
          <w:numId w:val="12"/>
        </w:numPr>
        <w:ind w:left="426"/>
        <w:jc w:val="both"/>
        <w:rPr>
          <w:rFonts w:ascii="Arial" w:hAnsi="Arial" w:cs="Arial"/>
          <w:sz w:val="22"/>
          <w:szCs w:val="22"/>
          <w:highlight w:val="yellow"/>
          <w:lang w:val="en-GB"/>
        </w:rPr>
      </w:pPr>
      <w:r w:rsidRPr="007C6D10">
        <w:rPr>
          <w:rFonts w:ascii="Arial" w:hAnsi="Arial" w:cs="Arial"/>
          <w:sz w:val="22"/>
          <w:szCs w:val="22"/>
          <w:highlight w:val="yellow"/>
          <w:lang w:val="en-GB"/>
        </w:rPr>
        <w:t xml:space="preserve">This statement is incorrect since </w:t>
      </w:r>
      <w:r w:rsidR="00E7793C" w:rsidRPr="007C6D10">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7C6D10" w:rsidRDefault="00AE027F" w:rsidP="009D510C">
      <w:pPr>
        <w:pStyle w:val="ListParagraph"/>
        <w:numPr>
          <w:ilvl w:val="0"/>
          <w:numId w:val="13"/>
        </w:numPr>
        <w:jc w:val="both"/>
        <w:rPr>
          <w:rFonts w:ascii="Arial" w:hAnsi="Arial" w:cs="Arial"/>
          <w:sz w:val="22"/>
          <w:szCs w:val="22"/>
          <w:highlight w:val="yellow"/>
          <w:lang w:val="en-GB"/>
        </w:rPr>
      </w:pPr>
      <w:r w:rsidRPr="007C6D10">
        <w:rPr>
          <w:rFonts w:ascii="Arial" w:hAnsi="Arial" w:cs="Arial"/>
          <w:sz w:val="22"/>
          <w:szCs w:val="22"/>
          <w:highlight w:val="yellow"/>
          <w:lang w:val="en-GB"/>
        </w:rPr>
        <w:t>The statement i</w:t>
      </w:r>
      <w:r w:rsidR="006E77B0" w:rsidRPr="007C6D10">
        <w:rPr>
          <w:rFonts w:ascii="Arial" w:hAnsi="Arial" w:cs="Arial"/>
          <w:sz w:val="22"/>
          <w:szCs w:val="22"/>
          <w:highlight w:val="yellow"/>
          <w:lang w:val="en-GB"/>
        </w:rPr>
        <w:t>s incorrect since the UK did re</w:t>
      </w:r>
      <w:r w:rsidRPr="007C6D10">
        <w:rPr>
          <w:rFonts w:ascii="Arial" w:hAnsi="Arial" w:cs="Arial"/>
          <w:sz w:val="22"/>
          <w:szCs w:val="22"/>
          <w:highlight w:val="yellow"/>
          <w:lang w:val="en-GB"/>
        </w:rPr>
        <w:t>v</w:t>
      </w:r>
      <w:r w:rsidR="006E77B0" w:rsidRPr="007C6D10">
        <w:rPr>
          <w:rFonts w:ascii="Arial" w:hAnsi="Arial" w:cs="Arial"/>
          <w:sz w:val="22"/>
          <w:szCs w:val="22"/>
          <w:highlight w:val="yellow"/>
          <w:lang w:val="en-GB"/>
        </w:rPr>
        <w:t>i</w:t>
      </w:r>
      <w:r w:rsidRPr="007C6D10">
        <w:rPr>
          <w:rFonts w:ascii="Arial" w:hAnsi="Arial" w:cs="Arial"/>
          <w:sz w:val="22"/>
          <w:szCs w:val="22"/>
          <w:highlight w:val="yellow"/>
          <w:lang w:val="en-GB"/>
        </w:rPr>
        <w:t>ew parts of its insolvency rules and amended some, among</w:t>
      </w:r>
      <w:r w:rsidR="006E77B0" w:rsidRPr="007C6D10">
        <w:rPr>
          <w:rFonts w:ascii="Arial" w:hAnsi="Arial" w:cs="Arial"/>
          <w:sz w:val="22"/>
          <w:szCs w:val="22"/>
          <w:highlight w:val="yellow"/>
          <w:lang w:val="en-GB"/>
        </w:rPr>
        <w:t>s</w:t>
      </w:r>
      <w:r w:rsidRPr="007C6D10">
        <w:rPr>
          <w:rFonts w:ascii="Arial" w:hAnsi="Arial" w:cs="Arial"/>
          <w:sz w:val="22"/>
          <w:szCs w:val="22"/>
          <w:highlight w:val="yellow"/>
          <w:lang w:val="en-GB"/>
        </w:rPr>
        <w:t>t other</w:t>
      </w:r>
      <w:r w:rsidR="00F96AF1" w:rsidRPr="007C6D10">
        <w:rPr>
          <w:rFonts w:ascii="Arial" w:hAnsi="Arial" w:cs="Arial"/>
          <w:sz w:val="22"/>
          <w:szCs w:val="22"/>
          <w:highlight w:val="yellow"/>
          <w:lang w:val="en-GB"/>
        </w:rPr>
        <w:t xml:space="preserve"> things</w:t>
      </w:r>
      <w:r w:rsidRPr="007C6D10">
        <w:rPr>
          <w:rFonts w:ascii="Arial" w:hAnsi="Arial" w:cs="Arial"/>
          <w:sz w:val="22"/>
          <w:szCs w:val="22"/>
          <w:highlight w:val="yellow"/>
          <w:lang w:val="en-GB"/>
        </w:rPr>
        <w:t>, to deal with the negative economic fall out of the pandemic.</w:t>
      </w:r>
      <w:r w:rsidR="00100A77" w:rsidRPr="007C6D10">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7C6D10" w:rsidRDefault="00B54F90" w:rsidP="009D510C">
      <w:pPr>
        <w:pStyle w:val="ListParagraph"/>
        <w:numPr>
          <w:ilvl w:val="0"/>
          <w:numId w:val="14"/>
        </w:numPr>
        <w:ind w:left="426"/>
        <w:jc w:val="both"/>
        <w:rPr>
          <w:rFonts w:ascii="Arial" w:hAnsi="Arial" w:cs="Arial"/>
          <w:sz w:val="22"/>
          <w:szCs w:val="22"/>
          <w:highlight w:val="yellow"/>
          <w:lang w:val="en-GB"/>
        </w:rPr>
      </w:pPr>
      <w:r w:rsidRPr="007C6D10">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7C6D10">
        <w:rPr>
          <w:rFonts w:ascii="Arial" w:hAnsi="Arial" w:cs="Arial"/>
          <w:sz w:val="22"/>
          <w:szCs w:val="22"/>
          <w:highlight w:val="yellow"/>
          <w:lang w:val="en-GB"/>
        </w:rPr>
        <w:t xml:space="preserve">on </w:t>
      </w:r>
      <w:r w:rsidRPr="007C6D10">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7C6D10"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7C6D10">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7C6D10" w:rsidRDefault="00926D10" w:rsidP="009D510C">
      <w:pPr>
        <w:pStyle w:val="ListParagraph"/>
        <w:numPr>
          <w:ilvl w:val="0"/>
          <w:numId w:val="5"/>
        </w:numPr>
        <w:ind w:left="426"/>
        <w:jc w:val="both"/>
        <w:rPr>
          <w:rFonts w:ascii="Arial" w:hAnsi="Arial" w:cs="Arial"/>
          <w:sz w:val="22"/>
          <w:szCs w:val="22"/>
          <w:highlight w:val="yellow"/>
          <w:lang w:val="en-GB"/>
        </w:rPr>
      </w:pPr>
      <w:r w:rsidRPr="007C6D10">
        <w:rPr>
          <w:rFonts w:ascii="Arial" w:hAnsi="Arial" w:cs="Arial"/>
          <w:sz w:val="22"/>
          <w:szCs w:val="22"/>
          <w:highlight w:val="yellow"/>
          <w:lang w:val="en-GB"/>
        </w:rPr>
        <w:t xml:space="preserve">The statement is </w:t>
      </w:r>
      <w:r w:rsidR="006E1CB0" w:rsidRPr="007C6D10">
        <w:rPr>
          <w:rFonts w:ascii="Arial" w:hAnsi="Arial" w:cs="Arial"/>
          <w:sz w:val="22"/>
          <w:szCs w:val="22"/>
          <w:highlight w:val="yellow"/>
          <w:lang w:val="en-GB"/>
        </w:rPr>
        <w:t xml:space="preserve">not </w:t>
      </w:r>
      <w:r w:rsidRPr="007C6D10">
        <w:rPr>
          <w:rFonts w:ascii="Arial" w:hAnsi="Arial" w:cs="Arial"/>
          <w:sz w:val="22"/>
          <w:szCs w:val="22"/>
          <w:highlight w:val="yellow"/>
          <w:lang w:val="en-GB"/>
        </w:rPr>
        <w:t xml:space="preserve">correct </w:t>
      </w:r>
      <w:r w:rsidR="007958F0" w:rsidRPr="007C6D10">
        <w:rPr>
          <w:rFonts w:ascii="Arial" w:hAnsi="Arial" w:cs="Arial"/>
          <w:sz w:val="22"/>
          <w:szCs w:val="22"/>
          <w:highlight w:val="yellow"/>
          <w:lang w:val="en-GB"/>
        </w:rPr>
        <w:t>because</w:t>
      </w:r>
      <w:r w:rsidRPr="007C6D10">
        <w:rPr>
          <w:rFonts w:ascii="Arial" w:hAnsi="Arial" w:cs="Arial"/>
          <w:sz w:val="22"/>
          <w:szCs w:val="22"/>
          <w:highlight w:val="yellow"/>
          <w:lang w:val="en-GB"/>
        </w:rPr>
        <w:t xml:space="preserve"> very few </w:t>
      </w:r>
      <w:r w:rsidR="007958F0" w:rsidRPr="007C6D10">
        <w:rPr>
          <w:rFonts w:ascii="Arial" w:hAnsi="Arial" w:cs="Arial"/>
          <w:sz w:val="22"/>
          <w:szCs w:val="22"/>
          <w:highlight w:val="yellow"/>
          <w:lang w:val="en-GB"/>
        </w:rPr>
        <w:t>States</w:t>
      </w:r>
      <w:r w:rsidRPr="007C6D10">
        <w:rPr>
          <w:rFonts w:ascii="Arial" w:hAnsi="Arial" w:cs="Arial"/>
          <w:sz w:val="22"/>
          <w:szCs w:val="22"/>
          <w:highlight w:val="yellow"/>
          <w:lang w:val="en-GB"/>
        </w:rPr>
        <w:t xml:space="preserve"> allow insolvent estate representatives to deal with assets of a foreign debtor situated in </w:t>
      </w:r>
      <w:r w:rsidR="005936B3" w:rsidRPr="007C6D10">
        <w:rPr>
          <w:rFonts w:ascii="Arial" w:hAnsi="Arial" w:cs="Arial"/>
          <w:sz w:val="22"/>
          <w:szCs w:val="22"/>
          <w:highlight w:val="yellow"/>
          <w:lang w:val="en-GB"/>
        </w:rPr>
        <w:t>their own</w:t>
      </w:r>
      <w:r w:rsidRPr="007C6D10">
        <w:rPr>
          <w:rFonts w:ascii="Arial" w:hAnsi="Arial" w:cs="Arial"/>
          <w:sz w:val="22"/>
          <w:szCs w:val="22"/>
          <w:highlight w:val="yellow"/>
          <w:lang w:val="en-GB"/>
        </w:rPr>
        <w:t xml:space="preserve"> jurisdiction without </w:t>
      </w:r>
      <w:r w:rsidR="006E1CB0" w:rsidRPr="007C6D10">
        <w:rPr>
          <w:rFonts w:ascii="Arial" w:hAnsi="Arial" w:cs="Arial"/>
          <w:sz w:val="22"/>
          <w:szCs w:val="22"/>
          <w:highlight w:val="yellow"/>
          <w:lang w:val="en-GB"/>
        </w:rPr>
        <w:t xml:space="preserve">some form of </w:t>
      </w:r>
      <w:r w:rsidR="0090037B" w:rsidRPr="007C6D10">
        <w:rPr>
          <w:rFonts w:ascii="Arial" w:hAnsi="Arial" w:cs="Arial"/>
          <w:sz w:val="22"/>
          <w:szCs w:val="22"/>
          <w:highlight w:val="yellow"/>
          <w:lang w:val="en-GB"/>
        </w:rPr>
        <w:t xml:space="preserve">a </w:t>
      </w:r>
      <w:r w:rsidR="006E1CB0" w:rsidRPr="007C6D10">
        <w:rPr>
          <w:rFonts w:ascii="Arial" w:hAnsi="Arial" w:cs="Arial"/>
          <w:sz w:val="22"/>
          <w:szCs w:val="22"/>
          <w:highlight w:val="yellow"/>
          <w:lang w:val="en-GB"/>
        </w:rPr>
        <w:t>(</w:t>
      </w:r>
      <w:r w:rsidR="0090037B" w:rsidRPr="007C6D10">
        <w:rPr>
          <w:rFonts w:ascii="Arial" w:hAnsi="Arial" w:cs="Arial"/>
          <w:sz w:val="22"/>
          <w:szCs w:val="22"/>
          <w:highlight w:val="yellow"/>
          <w:lang w:val="en-GB"/>
        </w:rPr>
        <w:t>prior</w:t>
      </w:r>
      <w:r w:rsidR="006E1CB0" w:rsidRPr="007C6D10">
        <w:rPr>
          <w:rFonts w:ascii="Arial" w:hAnsi="Arial" w:cs="Arial"/>
          <w:sz w:val="22"/>
          <w:szCs w:val="22"/>
          <w:highlight w:val="yellow"/>
          <w:lang w:val="en-GB"/>
        </w:rPr>
        <w:t>)</w:t>
      </w:r>
      <w:r w:rsidRPr="007C6D10">
        <w:rPr>
          <w:rFonts w:ascii="Arial" w:hAnsi="Arial" w:cs="Arial"/>
          <w:sz w:val="22"/>
          <w:szCs w:val="22"/>
          <w:highlight w:val="yellow"/>
          <w:lang w:val="en-GB"/>
        </w:rPr>
        <w:t xml:space="preserve"> local procedure </w:t>
      </w:r>
      <w:r w:rsidR="005936B3" w:rsidRPr="007C6D10">
        <w:rPr>
          <w:rFonts w:ascii="Arial" w:hAnsi="Arial" w:cs="Arial"/>
          <w:sz w:val="22"/>
          <w:szCs w:val="22"/>
          <w:highlight w:val="yellow"/>
          <w:lang w:val="en-GB"/>
        </w:rPr>
        <w:t xml:space="preserve">to </w:t>
      </w:r>
      <w:r w:rsidRPr="007C6D10">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05B31" w:rsidRDefault="000329A6" w:rsidP="00C570AC">
      <w:pPr>
        <w:pStyle w:val="ListParagraph"/>
        <w:numPr>
          <w:ilvl w:val="0"/>
          <w:numId w:val="6"/>
        </w:numPr>
        <w:ind w:left="426"/>
        <w:jc w:val="both"/>
        <w:rPr>
          <w:rFonts w:ascii="Arial" w:hAnsi="Arial" w:cs="Arial"/>
          <w:sz w:val="22"/>
          <w:szCs w:val="22"/>
          <w:lang w:val="en-GB"/>
        </w:rPr>
      </w:pPr>
      <w:r w:rsidRPr="007C6D10">
        <w:rPr>
          <w:rFonts w:ascii="Arial" w:eastAsiaTheme="minorHAnsi" w:hAnsi="Arial" w:cs="Arial"/>
          <w:sz w:val="22"/>
          <w:szCs w:val="22"/>
          <w:highlight w:val="yellow"/>
          <w:lang w:val="en-GB"/>
        </w:rPr>
        <w:t xml:space="preserve">They were recently revised in 2021 and, together with the </w:t>
      </w:r>
      <w:r w:rsidRPr="007C6D10">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4444A8">
        <w:rPr>
          <w:rFonts w:ascii="Arial" w:eastAsiaTheme="minorHAnsi" w:hAnsi="Arial" w:cs="Arial"/>
          <w:sz w:val="22"/>
          <w:szCs w:val="22"/>
          <w:highlight w:val="yellow"/>
          <w:lang w:val="en-GB"/>
        </w:rPr>
        <w:t xml:space="preserve">The Nordic Convention </w:t>
      </w:r>
      <w:r w:rsidR="00076483" w:rsidRPr="004444A8">
        <w:rPr>
          <w:rFonts w:ascii="Arial" w:eastAsiaTheme="minorHAnsi" w:hAnsi="Arial" w:cs="Arial"/>
          <w:sz w:val="22"/>
          <w:szCs w:val="22"/>
          <w:highlight w:val="yellow"/>
          <w:lang w:val="en-GB"/>
        </w:rPr>
        <w:t>1933</w:t>
      </w:r>
      <w:r w:rsidR="00966E44" w:rsidRPr="00205B31">
        <w:rPr>
          <w:rFonts w:ascii="Arial" w:eastAsiaTheme="minorHAnsi" w:hAnsi="Arial" w:cs="Arial"/>
          <w:sz w:val="22"/>
          <w:szCs w:val="22"/>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4444A8" w:rsidRDefault="00124B70" w:rsidP="00275182">
      <w:pPr>
        <w:pStyle w:val="ListParagraph"/>
        <w:numPr>
          <w:ilvl w:val="0"/>
          <w:numId w:val="8"/>
        </w:numPr>
        <w:ind w:left="426"/>
        <w:jc w:val="both"/>
        <w:rPr>
          <w:rFonts w:ascii="Arial" w:hAnsi="Arial" w:cs="Arial"/>
          <w:sz w:val="22"/>
          <w:szCs w:val="22"/>
          <w:highlight w:val="yellow"/>
          <w:lang w:val="en-GB"/>
        </w:rPr>
      </w:pPr>
      <w:r w:rsidRPr="004444A8">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4444A8">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05B31" w:rsidRDefault="00911C23" w:rsidP="00275182">
      <w:pPr>
        <w:pStyle w:val="ListParagraph"/>
        <w:numPr>
          <w:ilvl w:val="0"/>
          <w:numId w:val="10"/>
        </w:numPr>
        <w:ind w:left="426"/>
        <w:jc w:val="both"/>
        <w:rPr>
          <w:rFonts w:ascii="Arial" w:hAnsi="Arial" w:cs="Arial"/>
          <w:sz w:val="22"/>
          <w:szCs w:val="22"/>
          <w:lang w:val="en-GB"/>
        </w:rPr>
      </w:pPr>
      <w:r w:rsidRPr="004444A8">
        <w:rPr>
          <w:rFonts w:ascii="Arial" w:hAnsi="Arial" w:cs="Arial"/>
          <w:sz w:val="22"/>
          <w:szCs w:val="22"/>
          <w:highlight w:val="yellow"/>
          <w:lang w:val="en-GB"/>
        </w:rPr>
        <w:t>To enhance co-ordination and harmonisation of insolvency proceedings that involve more than one State through communications among the States involved</w:t>
      </w:r>
      <w:r w:rsidRPr="00205B31">
        <w:rPr>
          <w:rFonts w:ascii="Arial" w:hAnsi="Arial" w:cs="Arial"/>
          <w:sz w:val="22"/>
          <w:szCs w:val="22"/>
          <w:lang w:val="en-GB"/>
        </w:rPr>
        <w:t>.</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107941AE" w:rsidR="009B07AD" w:rsidRPr="00C628A4" w:rsidRDefault="00193B2F" w:rsidP="00664609">
      <w:pPr>
        <w:pStyle w:val="ListParagraph"/>
        <w:numPr>
          <w:ilvl w:val="0"/>
          <w:numId w:val="20"/>
        </w:numPr>
        <w:jc w:val="both"/>
        <w:rPr>
          <w:rFonts w:ascii="Arial" w:hAnsi="Arial" w:cs="Arial"/>
          <w:sz w:val="22"/>
          <w:szCs w:val="22"/>
          <w:lang w:val="en-GB"/>
        </w:rPr>
      </w:pPr>
      <w:r>
        <w:rPr>
          <w:rFonts w:ascii="Arial" w:hAnsi="Arial" w:cs="Arial"/>
          <w:color w:val="7B7B7B" w:themeColor="accent3" w:themeShade="BF"/>
          <w:sz w:val="22"/>
          <w:szCs w:val="22"/>
          <w:lang w:val="en-GB"/>
        </w:rPr>
        <w:t>As the case in continental Europe, the English bankruptcy and insolvency laws started off with individual debt collection mechanism</w:t>
      </w:r>
      <w:r w:rsidR="00C628A4">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that was pro-creditor</w:t>
      </w:r>
      <w:r w:rsidR="00C628A4">
        <w:rPr>
          <w:rFonts w:ascii="Arial" w:hAnsi="Arial" w:cs="Arial"/>
          <w:color w:val="7B7B7B" w:themeColor="accent3" w:themeShade="BF"/>
          <w:sz w:val="22"/>
          <w:szCs w:val="22"/>
          <w:lang w:val="en-GB"/>
        </w:rPr>
        <w:t xml:space="preserve"> in nature,</w:t>
      </w:r>
      <w:r>
        <w:rPr>
          <w:rFonts w:ascii="Arial" w:hAnsi="Arial" w:cs="Arial"/>
          <w:color w:val="7B7B7B" w:themeColor="accent3" w:themeShade="BF"/>
          <w:sz w:val="22"/>
          <w:szCs w:val="22"/>
          <w:lang w:val="en-GB"/>
        </w:rPr>
        <w:t xml:space="preserve"> and viewed delinquent debtors as quasi-criminals. The Statue of Malbridge (1267) introduced the imprisonment for debt, and the first English Bankruptcy Act (1542) provided a form</w:t>
      </w:r>
      <w:r w:rsidR="00C628A4">
        <w:rPr>
          <w:rFonts w:ascii="Arial" w:hAnsi="Arial" w:cs="Arial"/>
          <w:color w:val="7B7B7B" w:themeColor="accent3" w:themeShade="BF"/>
          <w:sz w:val="22"/>
          <w:szCs w:val="22"/>
          <w:lang w:val="en-GB"/>
        </w:rPr>
        <w:t xml:space="preserve"> of compulsory sequestration for delinquent debtors.</w:t>
      </w:r>
    </w:p>
    <w:p w14:paraId="1D2A1DAF" w14:textId="4290D795" w:rsidR="00193B2F" w:rsidRPr="00A03A7C" w:rsidRDefault="00C628A4" w:rsidP="00A03A7C">
      <w:pPr>
        <w:pStyle w:val="ListParagraph"/>
        <w:numPr>
          <w:ilvl w:val="0"/>
          <w:numId w:val="20"/>
        </w:numPr>
        <w:jc w:val="both"/>
        <w:rPr>
          <w:rFonts w:ascii="Arial" w:hAnsi="Arial" w:cs="Arial"/>
          <w:sz w:val="22"/>
          <w:szCs w:val="22"/>
          <w:lang w:val="en-GB"/>
        </w:rPr>
      </w:pPr>
      <w:r>
        <w:rPr>
          <w:rFonts w:ascii="Arial" w:hAnsi="Arial" w:cs="Arial"/>
          <w:color w:val="7B7B7B" w:themeColor="accent3" w:themeShade="BF"/>
          <w:sz w:val="22"/>
          <w:szCs w:val="22"/>
          <w:lang w:val="en-GB"/>
        </w:rPr>
        <w:t>The Act of Elizabeth (1570), which was considered as the first law designed as a true bankruptcy statue rather than fraud-prevention legislation</w:t>
      </w:r>
      <w:r w:rsidR="00A03A7C">
        <w:rPr>
          <w:rFonts w:ascii="Arial" w:hAnsi="Arial" w:cs="Arial"/>
          <w:color w:val="7B7B7B" w:themeColor="accent3" w:themeShade="BF"/>
          <w:sz w:val="22"/>
          <w:szCs w:val="22"/>
          <w:lang w:val="en-GB"/>
        </w:rPr>
        <w:t>, further develop the collective debt-collection measures by vesting the authority to supervise the bankruptcy estate to a single executive body, the Lord Chancellor.</w:t>
      </w:r>
    </w:p>
    <w:p w14:paraId="49AB4E5D" w14:textId="5856E177" w:rsidR="00A03A7C" w:rsidRPr="00A03A7C" w:rsidRDefault="00A03A7C" w:rsidP="00A03A7C">
      <w:pPr>
        <w:pStyle w:val="ListParagraph"/>
        <w:numPr>
          <w:ilvl w:val="0"/>
          <w:numId w:val="20"/>
        </w:numPr>
        <w:jc w:val="both"/>
        <w:rPr>
          <w:rFonts w:ascii="Arial" w:hAnsi="Arial" w:cs="Arial"/>
          <w:sz w:val="22"/>
          <w:szCs w:val="22"/>
          <w:lang w:val="en-GB"/>
        </w:rPr>
      </w:pPr>
      <w:r>
        <w:rPr>
          <w:rFonts w:ascii="Arial" w:hAnsi="Arial" w:cs="Arial"/>
          <w:color w:val="7B7B7B" w:themeColor="accent3" w:themeShade="BF"/>
          <w:sz w:val="22"/>
          <w:szCs w:val="22"/>
          <w:lang w:val="en-GB"/>
        </w:rPr>
        <w:t>The Statue of Ann (1705)</w:t>
      </w:r>
      <w:r w:rsidR="004C0902">
        <w:rPr>
          <w:rFonts w:ascii="Arial" w:hAnsi="Arial" w:cs="Arial"/>
          <w:color w:val="7B7B7B" w:themeColor="accent3" w:themeShade="BF"/>
          <w:sz w:val="22"/>
          <w:szCs w:val="22"/>
          <w:lang w:val="en-GB"/>
        </w:rPr>
        <w:t xml:space="preserve"> introduced the notion of statutory discharge, marking the shift in the </w:t>
      </w:r>
      <w:r w:rsidR="004641BC">
        <w:rPr>
          <w:rFonts w:ascii="Arial" w:hAnsi="Arial" w:cs="Arial"/>
          <w:color w:val="7B7B7B" w:themeColor="accent3" w:themeShade="BF"/>
          <w:sz w:val="22"/>
          <w:szCs w:val="22"/>
          <w:lang w:val="en-GB"/>
        </w:rPr>
        <w:t>stance of the English insolvency legislation towards a less pro-creditor posture.</w:t>
      </w:r>
      <w:r w:rsidR="00D17946">
        <w:rPr>
          <w:rFonts w:ascii="Arial" w:hAnsi="Arial" w:cs="Arial"/>
          <w:color w:val="7B7B7B" w:themeColor="accent3" w:themeShade="BF"/>
          <w:sz w:val="22"/>
          <w:szCs w:val="22"/>
          <w:lang w:val="en-GB"/>
        </w:rPr>
        <w:t xml:space="preserve"> Statutory discharge allows a debtor to have a clean-slate fresh-start following insolvency.</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368270D0" w14:textId="77777777" w:rsidR="009F606D" w:rsidRDefault="009F606D" w:rsidP="009F606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9F606D">
        <w:rPr>
          <w:rFonts w:ascii="Arial" w:hAnsi="Arial" w:cs="Arial"/>
          <w:color w:val="7B7B7B" w:themeColor="accent3" w:themeShade="BF"/>
          <w:sz w:val="22"/>
          <w:szCs w:val="22"/>
          <w:lang w:val="en-GB"/>
        </w:rPr>
        <w:t>Corporate Insolvency and Governance Act (</w:t>
      </w:r>
      <w:r>
        <w:rPr>
          <w:rFonts w:ascii="Arial" w:hAnsi="Arial" w:cs="Arial"/>
          <w:color w:val="7B7B7B" w:themeColor="accent3" w:themeShade="BF"/>
          <w:sz w:val="22"/>
          <w:szCs w:val="22"/>
          <w:lang w:val="en-GB"/>
        </w:rPr>
        <w:t>“</w:t>
      </w:r>
      <w:r w:rsidRPr="009F606D">
        <w:rPr>
          <w:rFonts w:ascii="Arial" w:hAnsi="Arial" w:cs="Arial"/>
          <w:color w:val="7B7B7B" w:themeColor="accent3" w:themeShade="BF"/>
          <w:sz w:val="22"/>
          <w:szCs w:val="22"/>
          <w:lang w:val="en-GB"/>
        </w:rPr>
        <w:t>Act</w:t>
      </w:r>
      <w:r>
        <w:rPr>
          <w:rFonts w:ascii="Arial" w:hAnsi="Arial" w:cs="Arial"/>
          <w:color w:val="7B7B7B" w:themeColor="accent3" w:themeShade="BF"/>
          <w:sz w:val="22"/>
          <w:szCs w:val="22"/>
          <w:lang w:val="en-GB"/>
        </w:rPr>
        <w:t>”</w:t>
      </w:r>
      <w:r w:rsidRPr="009F606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was passed into law on 26 June 2020, which introduces certain measures to counter the financial distresses triggered or worsened by the Covid-19 pandemic. The measures introduced by the Act, include;</w:t>
      </w:r>
    </w:p>
    <w:p w14:paraId="2A1070DD" w14:textId="0FC096EB" w:rsidR="009F606D" w:rsidRDefault="009F606D" w:rsidP="009F606D">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Prohibiting the termination of the supply of goods and services to companies that are becoming insolvent, to improve the chances of such companies to </w:t>
      </w:r>
      <w:r w:rsidR="008D707E">
        <w:rPr>
          <w:rFonts w:ascii="Arial" w:hAnsi="Arial" w:cs="Arial"/>
          <w:color w:val="7B7B7B" w:themeColor="accent3" w:themeShade="BF"/>
          <w:sz w:val="22"/>
          <w:szCs w:val="22"/>
          <w:lang w:val="en-GB"/>
        </w:rPr>
        <w:t>survive the financial distress;</w:t>
      </w:r>
    </w:p>
    <w:p w14:paraId="6A6A7116" w14:textId="02F57438" w:rsidR="008D707E" w:rsidRDefault="008D707E" w:rsidP="009F606D">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Certain moratorium period during which companies are protected from legal and enforcement actions from their non-finance pre-moratorium creditors;</w:t>
      </w:r>
    </w:p>
    <w:p w14:paraId="1D78456A" w14:textId="4084832C" w:rsidR="008D707E" w:rsidRDefault="008D707E" w:rsidP="009F606D">
      <w:pPr>
        <w:pStyle w:val="ListParagraph"/>
        <w:numPr>
          <w:ilvl w:val="1"/>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Temporary ban on winding-up petitions in cases where Covid-19 has had financial effect on the debtors.</w:t>
      </w:r>
    </w:p>
    <w:p w14:paraId="58794FF3" w14:textId="48F93E5A" w:rsidR="004E193C" w:rsidRDefault="004E193C" w:rsidP="009F606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Coronavirus Act 2020 also introduced a certain moratorium period during which landlord in England and Wales could not terminate leases and take possession of the properties because of rent arrears.</w:t>
      </w:r>
    </w:p>
    <w:p w14:paraId="2F57801B" w14:textId="51878EAC" w:rsidR="009B07AD" w:rsidRDefault="008D707E" w:rsidP="009F606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Measures were also introduced to provide Insolvency Practitioners with more flexibility in performing their duties and meeting deadlines, which takes into account the Covid-19 practical consequences on</w:t>
      </w:r>
      <w:r w:rsidR="00B92B49">
        <w:rPr>
          <w:rFonts w:ascii="Arial" w:hAnsi="Arial" w:cs="Arial"/>
          <w:color w:val="7B7B7B" w:themeColor="accent3" w:themeShade="BF"/>
          <w:sz w:val="22"/>
          <w:szCs w:val="22"/>
          <w:lang w:val="en-GB"/>
        </w:rPr>
        <w:t xml:space="preserve"> the </w:t>
      </w:r>
      <w:r w:rsidR="004E193C">
        <w:rPr>
          <w:rFonts w:ascii="Arial" w:hAnsi="Arial" w:cs="Arial"/>
          <w:color w:val="7B7B7B" w:themeColor="accent3" w:themeShade="BF"/>
          <w:sz w:val="22"/>
          <w:szCs w:val="22"/>
          <w:lang w:val="en-GB"/>
        </w:rPr>
        <w:t>duty of these practitioners.</w:t>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6F21904A" w:rsidR="00C72848" w:rsidRDefault="004E5DE1" w:rsidP="004E5DE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Treaties are agreements</w:t>
      </w:r>
      <w:r w:rsidR="00551A72">
        <w:rPr>
          <w:rFonts w:ascii="Arial" w:hAnsi="Arial" w:cs="Arial"/>
          <w:color w:val="7B7B7B" w:themeColor="accent3" w:themeShade="BF"/>
          <w:sz w:val="22"/>
          <w:szCs w:val="22"/>
          <w:lang w:val="en-GB"/>
        </w:rPr>
        <w:t xml:space="preserve">, covenants, conventions, or pacts, </w:t>
      </w:r>
      <w:r>
        <w:rPr>
          <w:rFonts w:ascii="Arial" w:hAnsi="Arial" w:cs="Arial"/>
          <w:color w:val="7B7B7B" w:themeColor="accent3" w:themeShade="BF"/>
          <w:sz w:val="22"/>
          <w:szCs w:val="22"/>
          <w:lang w:val="en-GB"/>
        </w:rPr>
        <w:t xml:space="preserve">that states entered or acceded into, and </w:t>
      </w:r>
      <w:r w:rsidR="00551A72">
        <w:rPr>
          <w:rFonts w:ascii="Arial" w:hAnsi="Arial" w:cs="Arial"/>
          <w:color w:val="7B7B7B" w:themeColor="accent3" w:themeShade="BF"/>
          <w:sz w:val="22"/>
          <w:szCs w:val="22"/>
          <w:lang w:val="en-GB"/>
        </w:rPr>
        <w:t xml:space="preserve">as </w:t>
      </w:r>
      <w:r>
        <w:rPr>
          <w:rFonts w:ascii="Arial" w:hAnsi="Arial" w:cs="Arial"/>
          <w:color w:val="7B7B7B" w:themeColor="accent3" w:themeShade="BF"/>
          <w:sz w:val="22"/>
          <w:szCs w:val="22"/>
          <w:lang w:val="en-GB"/>
        </w:rPr>
        <w:t>such are binding to those states that are signatories</w:t>
      </w:r>
      <w:r w:rsidR="00551A7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become</w:t>
      </w:r>
      <w:r w:rsidR="00551A72">
        <w:rPr>
          <w:rFonts w:ascii="Arial" w:hAnsi="Arial" w:cs="Arial"/>
          <w:color w:val="7B7B7B" w:themeColor="accent3" w:themeShade="BF"/>
          <w:sz w:val="22"/>
          <w:szCs w:val="22"/>
          <w:lang w:val="en-GB"/>
        </w:rPr>
        <w:t xml:space="preserve"> part of the prevailing “hard law” applicable in those states. Treaties are considered public international law instruments given that they govern the states that are parties to them. There are treaties setting forth how cross-border insolvency matters should be resolved in the respective </w:t>
      </w:r>
      <w:r w:rsidR="00551A72">
        <w:rPr>
          <w:rFonts w:ascii="Arial" w:hAnsi="Arial" w:cs="Arial"/>
          <w:color w:val="7B7B7B" w:themeColor="accent3" w:themeShade="BF"/>
          <w:sz w:val="22"/>
          <w:szCs w:val="22"/>
          <w:lang w:val="en-GB"/>
        </w:rPr>
        <w:lastRenderedPageBreak/>
        <w:t xml:space="preserve">jurisdictions of the signatories or parties, and these treaties become part of the </w:t>
      </w:r>
      <w:r w:rsidR="00436E89">
        <w:rPr>
          <w:rFonts w:ascii="Arial" w:hAnsi="Arial" w:cs="Arial"/>
          <w:color w:val="7B7B7B" w:themeColor="accent3" w:themeShade="BF"/>
          <w:sz w:val="22"/>
          <w:szCs w:val="22"/>
          <w:lang w:val="en-GB"/>
        </w:rPr>
        <w:t xml:space="preserve">applicable </w:t>
      </w:r>
      <w:r w:rsidR="00551A72">
        <w:rPr>
          <w:rFonts w:ascii="Arial" w:hAnsi="Arial" w:cs="Arial"/>
          <w:color w:val="7B7B7B" w:themeColor="accent3" w:themeShade="BF"/>
          <w:sz w:val="22"/>
          <w:szCs w:val="22"/>
          <w:lang w:val="en-GB"/>
        </w:rPr>
        <w:t xml:space="preserve">insolvency laws </w:t>
      </w:r>
      <w:r w:rsidR="00436E89">
        <w:rPr>
          <w:rFonts w:ascii="Arial" w:hAnsi="Arial" w:cs="Arial"/>
          <w:color w:val="7B7B7B" w:themeColor="accent3" w:themeShade="BF"/>
          <w:sz w:val="22"/>
          <w:szCs w:val="22"/>
          <w:lang w:val="en-GB"/>
        </w:rPr>
        <w:t>in the respective jurisdictions of the signatories.</w:t>
      </w:r>
    </w:p>
    <w:p w14:paraId="1F6BA573" w14:textId="7FB6E0C6" w:rsidR="00551A72" w:rsidRDefault="00551A72" w:rsidP="004E5DE1">
      <w:pPr>
        <w:jc w:val="both"/>
        <w:rPr>
          <w:rFonts w:ascii="Arial" w:hAnsi="Arial" w:cs="Arial"/>
          <w:color w:val="7B7B7B" w:themeColor="accent3" w:themeShade="BF"/>
          <w:sz w:val="22"/>
          <w:szCs w:val="22"/>
          <w:lang w:val="en-GB"/>
        </w:rPr>
      </w:pPr>
    </w:p>
    <w:p w14:paraId="25DA0E62" w14:textId="41267543" w:rsidR="00551A72" w:rsidRPr="00205B31" w:rsidRDefault="00551A72" w:rsidP="004E5DE1">
      <w:pPr>
        <w:jc w:val="both"/>
        <w:rPr>
          <w:rFonts w:ascii="Arial" w:hAnsi="Arial" w:cs="Arial"/>
          <w:sz w:val="22"/>
          <w:szCs w:val="22"/>
          <w:lang w:val="en-GB"/>
        </w:rPr>
      </w:pPr>
      <w:r>
        <w:rPr>
          <w:rFonts w:ascii="Arial" w:hAnsi="Arial" w:cs="Arial"/>
          <w:color w:val="7B7B7B" w:themeColor="accent3" w:themeShade="BF"/>
          <w:sz w:val="22"/>
          <w:szCs w:val="22"/>
          <w:lang w:val="en-GB"/>
        </w:rPr>
        <w:t>On the other hand</w:t>
      </w:r>
      <w:r w:rsidR="00436E89">
        <w:rPr>
          <w:rFonts w:ascii="Arial" w:hAnsi="Arial" w:cs="Arial"/>
          <w:color w:val="7B7B7B" w:themeColor="accent3" w:themeShade="BF"/>
          <w:sz w:val="22"/>
          <w:szCs w:val="22"/>
          <w:lang w:val="en-GB"/>
        </w:rPr>
        <w:t xml:space="preserve">, </w:t>
      </w:r>
      <w:r w:rsidR="00277441">
        <w:rPr>
          <w:rFonts w:ascii="Arial" w:hAnsi="Arial" w:cs="Arial"/>
          <w:color w:val="7B7B7B" w:themeColor="accent3" w:themeShade="BF"/>
          <w:sz w:val="22"/>
          <w:szCs w:val="22"/>
          <w:lang w:val="en-GB"/>
        </w:rPr>
        <w:t xml:space="preserve">a </w:t>
      </w:r>
      <w:r w:rsidR="00436E89">
        <w:rPr>
          <w:rFonts w:ascii="Arial" w:hAnsi="Arial" w:cs="Arial"/>
          <w:color w:val="7B7B7B" w:themeColor="accent3" w:themeShade="BF"/>
          <w:sz w:val="22"/>
          <w:szCs w:val="22"/>
          <w:lang w:val="en-GB"/>
        </w:rPr>
        <w:t xml:space="preserve">“soft law” is not a binding law of the land. </w:t>
      </w:r>
      <w:r w:rsidR="00277441">
        <w:rPr>
          <w:rFonts w:ascii="Arial" w:hAnsi="Arial" w:cs="Arial"/>
          <w:color w:val="7B7B7B" w:themeColor="accent3" w:themeShade="BF"/>
          <w:sz w:val="22"/>
          <w:szCs w:val="22"/>
          <w:lang w:val="en-GB"/>
        </w:rPr>
        <w:t>Soft laws are guidelines promoted by multilateral organizations</w:t>
      </w:r>
      <w:r w:rsidR="002B4B1C">
        <w:rPr>
          <w:rFonts w:ascii="Arial" w:hAnsi="Arial" w:cs="Arial"/>
          <w:color w:val="7B7B7B" w:themeColor="accent3" w:themeShade="BF"/>
          <w:sz w:val="22"/>
          <w:szCs w:val="22"/>
          <w:lang w:val="en-GB"/>
        </w:rPr>
        <w:t xml:space="preserve"> which may influence the legislation of a state</w:t>
      </w:r>
      <w:r w:rsidR="00277441">
        <w:rPr>
          <w:rFonts w:ascii="Arial" w:hAnsi="Arial" w:cs="Arial"/>
          <w:color w:val="7B7B7B" w:themeColor="accent3" w:themeShade="BF"/>
          <w:sz w:val="22"/>
          <w:szCs w:val="22"/>
          <w:lang w:val="en-GB"/>
        </w:rPr>
        <w:t xml:space="preserve">, </w:t>
      </w:r>
      <w:r w:rsidR="002B4B1C">
        <w:rPr>
          <w:rFonts w:ascii="Arial" w:hAnsi="Arial" w:cs="Arial"/>
          <w:color w:val="7B7B7B" w:themeColor="accent3" w:themeShade="BF"/>
          <w:sz w:val="22"/>
          <w:szCs w:val="22"/>
          <w:lang w:val="en-GB"/>
        </w:rPr>
        <w:t xml:space="preserve">and </w:t>
      </w:r>
      <w:r w:rsidR="00277441">
        <w:rPr>
          <w:rFonts w:ascii="Arial" w:hAnsi="Arial" w:cs="Arial"/>
          <w:color w:val="7B7B7B" w:themeColor="accent3" w:themeShade="BF"/>
          <w:sz w:val="22"/>
          <w:szCs w:val="22"/>
          <w:lang w:val="en-GB"/>
        </w:rPr>
        <w:t>which when adopted by a state and passed as a legislation, would then become a prevailing “hard law” in the respective state. As guidelines, there could be varying modifications applied by different states adopting it. UNCITRAL Model Law on Cross-border Insolvency is considered the most successful soft law in cross-border insolvency, given its wide-spread influence and adoption.</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4E0ADBBC" w:rsidR="00CC7728" w:rsidRDefault="00CC7728" w:rsidP="00643ABE">
      <w:pPr>
        <w:jc w:val="both"/>
        <w:rPr>
          <w:rFonts w:ascii="Arial" w:hAnsi="Arial" w:cs="Arial"/>
          <w:sz w:val="22"/>
          <w:szCs w:val="22"/>
          <w:lang w:val="en-GB"/>
        </w:rPr>
      </w:pPr>
    </w:p>
    <w:p w14:paraId="119CA4A6" w14:textId="3A3D6C64" w:rsidR="00734B20" w:rsidRPr="00734B20" w:rsidRDefault="00734B20" w:rsidP="00734B20">
      <w:pPr>
        <w:jc w:val="both"/>
        <w:rPr>
          <w:rFonts w:ascii="Arial" w:hAnsi="Arial" w:cs="Arial"/>
          <w:color w:val="7B7B7B" w:themeColor="accent3" w:themeShade="BF"/>
          <w:sz w:val="22"/>
          <w:szCs w:val="22"/>
          <w:lang w:val="en-GB"/>
        </w:rPr>
      </w:pPr>
      <w:r w:rsidRPr="00734B20">
        <w:rPr>
          <w:rFonts w:ascii="Arial" w:hAnsi="Arial" w:cs="Arial"/>
          <w:color w:val="7B7B7B" w:themeColor="accent3" w:themeShade="BF"/>
          <w:sz w:val="22"/>
          <w:szCs w:val="22"/>
          <w:lang w:val="en-GB"/>
        </w:rPr>
        <w:t xml:space="preserve">The possible sources of insolvency laws </w:t>
      </w:r>
      <w:r w:rsidR="00306BE3">
        <w:rPr>
          <w:rFonts w:ascii="Arial" w:hAnsi="Arial" w:cs="Arial"/>
          <w:color w:val="7B7B7B" w:themeColor="accent3" w:themeShade="BF"/>
          <w:sz w:val="22"/>
          <w:szCs w:val="22"/>
          <w:lang w:val="en-GB"/>
        </w:rPr>
        <w:t xml:space="preserve">to any state </w:t>
      </w:r>
      <w:r w:rsidRPr="00734B20">
        <w:rPr>
          <w:rFonts w:ascii="Arial" w:hAnsi="Arial" w:cs="Arial"/>
          <w:color w:val="7B7B7B" w:themeColor="accent3" w:themeShade="BF"/>
          <w:sz w:val="22"/>
          <w:szCs w:val="22"/>
          <w:lang w:val="en-GB"/>
        </w:rPr>
        <w:t>comprise of</w:t>
      </w:r>
      <w:r>
        <w:rPr>
          <w:rFonts w:ascii="Arial" w:hAnsi="Arial" w:cs="Arial"/>
          <w:color w:val="7B7B7B" w:themeColor="accent3" w:themeShade="BF"/>
          <w:sz w:val="22"/>
          <w:szCs w:val="22"/>
          <w:lang w:val="en-GB"/>
        </w:rPr>
        <w:t>:</w:t>
      </w:r>
    </w:p>
    <w:p w14:paraId="4024A332" w14:textId="08669C37" w:rsidR="00544127" w:rsidRPr="00734B20" w:rsidRDefault="00734B20" w:rsidP="00734B20">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 xml:space="preserve">Domestic insolvency laws are laws that are passed or enacted by a state’s legislative body to deal with insolvency matters in </w:t>
      </w:r>
      <w:r w:rsidR="00306BE3">
        <w:rPr>
          <w:rFonts w:ascii="Arial" w:hAnsi="Arial" w:cs="Arial"/>
          <w:color w:val="7B7B7B" w:themeColor="accent3" w:themeShade="BF"/>
          <w:sz w:val="22"/>
          <w:szCs w:val="22"/>
          <w:lang w:val="en-GB"/>
        </w:rPr>
        <w:t xml:space="preserve">the state’s </w:t>
      </w:r>
      <w:r>
        <w:rPr>
          <w:rFonts w:ascii="Arial" w:hAnsi="Arial" w:cs="Arial"/>
          <w:color w:val="7B7B7B" w:themeColor="accent3" w:themeShade="BF"/>
          <w:sz w:val="22"/>
          <w:szCs w:val="22"/>
          <w:lang w:val="en-GB"/>
        </w:rPr>
        <w:t>jurisdiction;</w:t>
      </w:r>
    </w:p>
    <w:p w14:paraId="4D0A6520" w14:textId="12497708" w:rsidR="00734B20" w:rsidRPr="00734B20" w:rsidRDefault="00306BE3" w:rsidP="00734B20">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T</w:t>
      </w:r>
      <w:r w:rsidR="00734B20">
        <w:rPr>
          <w:rFonts w:ascii="Arial" w:hAnsi="Arial" w:cs="Arial"/>
          <w:color w:val="7B7B7B" w:themeColor="accent3" w:themeShade="BF"/>
          <w:sz w:val="22"/>
          <w:szCs w:val="22"/>
          <w:lang w:val="en-GB"/>
        </w:rPr>
        <w:t xml:space="preserve">reaties or conventions to which a state becomes </w:t>
      </w:r>
      <w:r>
        <w:rPr>
          <w:rFonts w:ascii="Arial" w:hAnsi="Arial" w:cs="Arial"/>
          <w:color w:val="7B7B7B" w:themeColor="accent3" w:themeShade="BF"/>
          <w:sz w:val="22"/>
          <w:szCs w:val="22"/>
          <w:lang w:val="en-GB"/>
        </w:rPr>
        <w:t xml:space="preserve">a </w:t>
      </w:r>
      <w:r w:rsidR="00734B20">
        <w:rPr>
          <w:rFonts w:ascii="Arial" w:hAnsi="Arial" w:cs="Arial"/>
          <w:color w:val="7B7B7B" w:themeColor="accent3" w:themeShade="BF"/>
          <w:sz w:val="22"/>
          <w:szCs w:val="22"/>
          <w:lang w:val="en-GB"/>
        </w:rPr>
        <w:t xml:space="preserve">signatory, </w:t>
      </w:r>
      <w:r w:rsidR="00D17946">
        <w:rPr>
          <w:rFonts w:ascii="Arial" w:hAnsi="Arial" w:cs="Arial"/>
          <w:color w:val="7B7B7B" w:themeColor="accent3" w:themeShade="BF"/>
          <w:sz w:val="22"/>
          <w:szCs w:val="22"/>
          <w:lang w:val="en-GB"/>
        </w:rPr>
        <w:t xml:space="preserve">will become hard-laws </w:t>
      </w:r>
      <w:r w:rsidR="00734B20">
        <w:rPr>
          <w:rFonts w:ascii="Arial" w:hAnsi="Arial" w:cs="Arial"/>
          <w:color w:val="7B7B7B" w:themeColor="accent3" w:themeShade="BF"/>
          <w:sz w:val="22"/>
          <w:szCs w:val="22"/>
          <w:lang w:val="en-GB"/>
        </w:rPr>
        <w:t xml:space="preserve">once </w:t>
      </w:r>
      <w:r w:rsidR="00D17946">
        <w:rPr>
          <w:rFonts w:ascii="Arial" w:hAnsi="Arial" w:cs="Arial"/>
          <w:color w:val="7B7B7B" w:themeColor="accent3" w:themeShade="BF"/>
          <w:sz w:val="22"/>
          <w:szCs w:val="22"/>
          <w:lang w:val="en-GB"/>
        </w:rPr>
        <w:t xml:space="preserve">these treaties are </w:t>
      </w:r>
      <w:r w:rsidR="00734B20">
        <w:rPr>
          <w:rFonts w:ascii="Arial" w:hAnsi="Arial" w:cs="Arial"/>
          <w:color w:val="7B7B7B" w:themeColor="accent3" w:themeShade="BF"/>
          <w:sz w:val="22"/>
          <w:szCs w:val="22"/>
          <w:lang w:val="en-GB"/>
        </w:rPr>
        <w:t>ratified</w:t>
      </w:r>
      <w:r w:rsidR="00D17946">
        <w:rPr>
          <w:rFonts w:ascii="Arial" w:hAnsi="Arial" w:cs="Arial"/>
          <w:color w:val="7B7B7B" w:themeColor="accent3" w:themeShade="BF"/>
          <w:sz w:val="22"/>
          <w:szCs w:val="22"/>
          <w:lang w:val="en-GB"/>
        </w:rPr>
        <w:t>,</w:t>
      </w:r>
      <w:r w:rsidR="00734B2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and</w:t>
      </w:r>
      <w:r w:rsidR="00734B20">
        <w:rPr>
          <w:rFonts w:ascii="Arial" w:hAnsi="Arial" w:cs="Arial"/>
          <w:color w:val="7B7B7B" w:themeColor="accent3" w:themeShade="BF"/>
          <w:sz w:val="22"/>
          <w:szCs w:val="22"/>
          <w:lang w:val="en-GB"/>
        </w:rPr>
        <w:t xml:space="preserve"> are </w:t>
      </w:r>
      <w:r w:rsidR="00D17946">
        <w:rPr>
          <w:rFonts w:ascii="Arial" w:hAnsi="Arial" w:cs="Arial"/>
          <w:color w:val="7B7B7B" w:themeColor="accent3" w:themeShade="BF"/>
          <w:sz w:val="22"/>
          <w:szCs w:val="22"/>
          <w:lang w:val="en-GB"/>
        </w:rPr>
        <w:t xml:space="preserve">therefore </w:t>
      </w:r>
      <w:r w:rsidR="00734B20">
        <w:rPr>
          <w:rFonts w:ascii="Arial" w:hAnsi="Arial" w:cs="Arial"/>
          <w:color w:val="7B7B7B" w:themeColor="accent3" w:themeShade="BF"/>
          <w:sz w:val="22"/>
          <w:szCs w:val="22"/>
          <w:lang w:val="en-GB"/>
        </w:rPr>
        <w:t>enforceable domestically;</w:t>
      </w:r>
    </w:p>
    <w:p w14:paraId="6634F49A" w14:textId="3CCCCBA2" w:rsidR="00734B20" w:rsidRPr="002B4B1C" w:rsidRDefault="00734B20" w:rsidP="00734B20">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The state’s</w:t>
      </w:r>
      <w:r w:rsidR="00306BE3">
        <w:rPr>
          <w:rFonts w:ascii="Arial" w:hAnsi="Arial" w:cs="Arial"/>
          <w:color w:val="7B7B7B" w:themeColor="accent3" w:themeShade="BF"/>
          <w:sz w:val="22"/>
          <w:szCs w:val="22"/>
          <w:lang w:val="en-GB"/>
        </w:rPr>
        <w:t xml:space="preserve"> own</w:t>
      </w:r>
      <w:r>
        <w:rPr>
          <w:rFonts w:ascii="Arial" w:hAnsi="Arial" w:cs="Arial"/>
          <w:color w:val="7B7B7B" w:themeColor="accent3" w:themeShade="BF"/>
          <w:sz w:val="22"/>
          <w:szCs w:val="22"/>
          <w:lang w:val="en-GB"/>
        </w:rPr>
        <w:t xml:space="preserve"> private international law principles which are principles </w:t>
      </w:r>
      <w:r w:rsidR="00306BE3">
        <w:rPr>
          <w:rFonts w:ascii="Arial" w:hAnsi="Arial" w:cs="Arial"/>
          <w:color w:val="7B7B7B" w:themeColor="accent3" w:themeShade="BF"/>
          <w:sz w:val="22"/>
          <w:szCs w:val="22"/>
          <w:lang w:val="en-GB"/>
        </w:rPr>
        <w:t>that are applicable for matters involving interaction with another state or jurisdiction</w:t>
      </w:r>
      <w:r w:rsidR="002B4B1C">
        <w:rPr>
          <w:rFonts w:ascii="Arial" w:hAnsi="Arial" w:cs="Arial"/>
          <w:color w:val="7B7B7B" w:themeColor="accent3" w:themeShade="BF"/>
          <w:sz w:val="22"/>
          <w:szCs w:val="22"/>
          <w:lang w:val="en-GB"/>
        </w:rPr>
        <w:t>;</w:t>
      </w:r>
    </w:p>
    <w:p w14:paraId="17ACD295" w14:textId="1498D588" w:rsidR="002B4B1C" w:rsidRPr="00734B20" w:rsidRDefault="002B4B1C" w:rsidP="00734B20">
      <w:pPr>
        <w:pStyle w:val="ListParagraph"/>
        <w:numPr>
          <w:ilvl w:val="0"/>
          <w:numId w:val="21"/>
        </w:numPr>
        <w:jc w:val="both"/>
        <w:rPr>
          <w:rFonts w:ascii="Arial" w:hAnsi="Arial" w:cs="Arial"/>
          <w:sz w:val="22"/>
          <w:szCs w:val="22"/>
          <w:lang w:val="en-GB"/>
        </w:rPr>
      </w:pPr>
      <w:r>
        <w:rPr>
          <w:rFonts w:ascii="Arial" w:hAnsi="Arial" w:cs="Arial"/>
          <w:color w:val="7B7B7B" w:themeColor="accent3" w:themeShade="BF"/>
          <w:sz w:val="22"/>
          <w:szCs w:val="22"/>
          <w:lang w:val="en-GB"/>
        </w:rPr>
        <w:t>Soft laws which are guidelines promoted by multilateral organizations, which may influence the legislation and regulation developed by the state.</w:t>
      </w:r>
    </w:p>
    <w:p w14:paraId="4A637290" w14:textId="276837DD" w:rsidR="00544127" w:rsidRDefault="00544127" w:rsidP="00B7193E">
      <w:pPr>
        <w:ind w:left="720" w:hanging="720"/>
        <w:jc w:val="both"/>
        <w:rPr>
          <w:rFonts w:ascii="Arial" w:hAnsi="Arial" w:cs="Arial"/>
          <w:sz w:val="22"/>
          <w:szCs w:val="22"/>
          <w:lang w:val="en-GB"/>
        </w:rPr>
      </w:pPr>
    </w:p>
    <w:p w14:paraId="6433D779" w14:textId="3ED076CD" w:rsidR="00D17946" w:rsidRPr="00D17946" w:rsidRDefault="00D17946" w:rsidP="00D179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presiding forum will defer to the domestic insolvency laws and the ratified treaties or conventions in its jurisdiction, in deciding an insolvency matter, and where there is any issue not covered by these laws, the jurisdiction’s private international law principles may fill in. The soft-laws</w:t>
      </w:r>
      <w:r w:rsidR="008C7E6B">
        <w:rPr>
          <w:rFonts w:ascii="Arial" w:hAnsi="Arial" w:cs="Arial"/>
          <w:color w:val="7B7B7B" w:themeColor="accent3" w:themeShade="BF"/>
          <w:sz w:val="22"/>
          <w:szCs w:val="22"/>
          <w:lang w:val="en-GB"/>
        </w:rPr>
        <w:t xml:space="preserve"> promoted by the multilateral organizations may serve as guidelines or model for the respective state in developing its domestic insolvency laws.</w:t>
      </w:r>
    </w:p>
    <w:p w14:paraId="6E7E6F57" w14:textId="77777777" w:rsidR="00D17946" w:rsidRPr="00205B31" w:rsidRDefault="00D17946"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25A44ABF" w:rsidR="00DF75F8" w:rsidRDefault="00E876E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three pertinent issues in any cross-border insolvency case, according to Fletcher, comprise of:</w:t>
      </w:r>
    </w:p>
    <w:p w14:paraId="2AD451F0" w14:textId="6CFD609E" w:rsidR="00E876E4" w:rsidRDefault="00E876E4" w:rsidP="00E876E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Which court </w:t>
      </w:r>
      <w:r w:rsidR="00327843">
        <w:rPr>
          <w:rFonts w:ascii="Arial" w:hAnsi="Arial" w:cs="Arial"/>
          <w:color w:val="7B7B7B" w:themeColor="accent3" w:themeShade="BF"/>
          <w:sz w:val="22"/>
          <w:szCs w:val="22"/>
          <w:lang w:val="en-GB"/>
        </w:rPr>
        <w:t xml:space="preserve">or forum </w:t>
      </w:r>
      <w:r>
        <w:rPr>
          <w:rFonts w:ascii="Arial" w:hAnsi="Arial" w:cs="Arial"/>
          <w:color w:val="7B7B7B" w:themeColor="accent3" w:themeShade="BF"/>
          <w:sz w:val="22"/>
          <w:szCs w:val="22"/>
          <w:lang w:val="en-GB"/>
        </w:rPr>
        <w:t>(</w:t>
      </w:r>
      <w:r w:rsidR="00327843">
        <w:rPr>
          <w:rFonts w:ascii="Arial" w:hAnsi="Arial" w:cs="Arial"/>
          <w:color w:val="7B7B7B" w:themeColor="accent3" w:themeShade="BF"/>
          <w:sz w:val="22"/>
          <w:szCs w:val="22"/>
          <w:lang w:val="en-GB"/>
        </w:rPr>
        <w:t xml:space="preserve">or </w:t>
      </w:r>
      <w:r>
        <w:rPr>
          <w:rFonts w:ascii="Arial" w:hAnsi="Arial" w:cs="Arial"/>
          <w:color w:val="7B7B7B" w:themeColor="accent3" w:themeShade="BF"/>
          <w:sz w:val="22"/>
          <w:szCs w:val="22"/>
          <w:lang w:val="en-GB"/>
        </w:rPr>
        <w:t xml:space="preserve">which </w:t>
      </w:r>
      <w:r w:rsidR="00327843">
        <w:rPr>
          <w:rFonts w:ascii="Arial" w:hAnsi="Arial" w:cs="Arial"/>
          <w:color w:val="7B7B7B" w:themeColor="accent3" w:themeShade="BF"/>
          <w:sz w:val="22"/>
          <w:szCs w:val="22"/>
          <w:lang w:val="en-GB"/>
        </w:rPr>
        <w:t>state</w:t>
      </w:r>
      <w:r>
        <w:rPr>
          <w:rFonts w:ascii="Arial" w:hAnsi="Arial" w:cs="Arial"/>
          <w:color w:val="7B7B7B" w:themeColor="accent3" w:themeShade="BF"/>
          <w:sz w:val="22"/>
          <w:szCs w:val="22"/>
          <w:lang w:val="en-GB"/>
        </w:rPr>
        <w:t>) has jurisdiction over the case</w:t>
      </w:r>
      <w:r w:rsidR="0032784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w:t>
      </w:r>
      <w:r w:rsidR="00327843">
        <w:rPr>
          <w:rFonts w:ascii="Arial" w:hAnsi="Arial" w:cs="Arial"/>
          <w:color w:val="7B7B7B" w:themeColor="accent3" w:themeShade="BF"/>
          <w:sz w:val="22"/>
          <w:szCs w:val="22"/>
          <w:lang w:val="en-GB"/>
        </w:rPr>
        <w:t xml:space="preserve">as such which court </w:t>
      </w:r>
      <w:r>
        <w:rPr>
          <w:rFonts w:ascii="Arial" w:hAnsi="Arial" w:cs="Arial"/>
          <w:color w:val="7B7B7B" w:themeColor="accent3" w:themeShade="BF"/>
          <w:sz w:val="22"/>
          <w:szCs w:val="22"/>
          <w:lang w:val="en-GB"/>
        </w:rPr>
        <w:t xml:space="preserve">can </w:t>
      </w:r>
      <w:r w:rsidR="00327843">
        <w:rPr>
          <w:rFonts w:ascii="Arial" w:hAnsi="Arial" w:cs="Arial"/>
          <w:color w:val="7B7B7B" w:themeColor="accent3" w:themeShade="BF"/>
          <w:sz w:val="22"/>
          <w:szCs w:val="22"/>
          <w:lang w:val="en-GB"/>
        </w:rPr>
        <w:t xml:space="preserve">preside over </w:t>
      </w:r>
      <w:r>
        <w:rPr>
          <w:rFonts w:ascii="Arial" w:hAnsi="Arial" w:cs="Arial"/>
          <w:color w:val="7B7B7B" w:themeColor="accent3" w:themeShade="BF"/>
          <w:sz w:val="22"/>
          <w:szCs w:val="22"/>
          <w:lang w:val="en-GB"/>
        </w:rPr>
        <w:t>insolvency proceeding</w:t>
      </w:r>
      <w:r w:rsidR="00327843">
        <w:rPr>
          <w:rFonts w:ascii="Arial" w:hAnsi="Arial" w:cs="Arial"/>
          <w:color w:val="7B7B7B" w:themeColor="accent3" w:themeShade="BF"/>
          <w:sz w:val="22"/>
          <w:szCs w:val="22"/>
          <w:lang w:val="en-GB"/>
        </w:rPr>
        <w:t xml:space="preserve"> to adjudicate </w:t>
      </w:r>
      <w:r w:rsidR="004705B6">
        <w:rPr>
          <w:rFonts w:ascii="Arial" w:hAnsi="Arial" w:cs="Arial"/>
          <w:color w:val="7B7B7B" w:themeColor="accent3" w:themeShade="BF"/>
          <w:sz w:val="22"/>
          <w:szCs w:val="22"/>
          <w:lang w:val="en-GB"/>
        </w:rPr>
        <w:t xml:space="preserve">and hear </w:t>
      </w:r>
      <w:r w:rsidR="00327843">
        <w:rPr>
          <w:rFonts w:ascii="Arial" w:hAnsi="Arial" w:cs="Arial"/>
          <w:color w:val="7B7B7B" w:themeColor="accent3" w:themeShade="BF"/>
          <w:sz w:val="22"/>
          <w:szCs w:val="22"/>
          <w:lang w:val="en-GB"/>
        </w:rPr>
        <w:t>the matter</w:t>
      </w:r>
      <w:r>
        <w:rPr>
          <w:rFonts w:ascii="Arial" w:hAnsi="Arial" w:cs="Arial"/>
          <w:color w:val="7B7B7B" w:themeColor="accent3" w:themeShade="BF"/>
          <w:sz w:val="22"/>
          <w:szCs w:val="22"/>
          <w:lang w:val="en-GB"/>
        </w:rPr>
        <w:t>.</w:t>
      </w:r>
      <w:r w:rsidR="00327843">
        <w:rPr>
          <w:rFonts w:ascii="Arial" w:hAnsi="Arial" w:cs="Arial"/>
          <w:color w:val="7B7B7B" w:themeColor="accent3" w:themeShade="BF"/>
          <w:sz w:val="22"/>
          <w:szCs w:val="22"/>
          <w:lang w:val="en-GB"/>
        </w:rPr>
        <w:t xml:space="preserve"> Insolvency proceeding may be commenced concurrently in more than one court</w:t>
      </w:r>
      <w:r w:rsidR="000D5F4C">
        <w:rPr>
          <w:rFonts w:ascii="Arial" w:hAnsi="Arial" w:cs="Arial"/>
          <w:color w:val="7B7B7B" w:themeColor="accent3" w:themeShade="BF"/>
          <w:sz w:val="22"/>
          <w:szCs w:val="22"/>
          <w:lang w:val="en-GB"/>
        </w:rPr>
        <w:t>, forum,</w:t>
      </w:r>
      <w:r w:rsidR="00327843">
        <w:rPr>
          <w:rFonts w:ascii="Arial" w:hAnsi="Arial" w:cs="Arial"/>
          <w:color w:val="7B7B7B" w:themeColor="accent3" w:themeShade="BF"/>
          <w:sz w:val="22"/>
          <w:szCs w:val="22"/>
          <w:lang w:val="en-GB"/>
        </w:rPr>
        <w:t xml:space="preserve"> or state, and the jurisdictional competence of the court in which the petition has been brought to hear and adjudicate the case, would be the first and foremost pertinent issue to be analysed and addressed. The</w:t>
      </w:r>
      <w:r w:rsidR="000D5F4C">
        <w:rPr>
          <w:rFonts w:ascii="Arial" w:hAnsi="Arial" w:cs="Arial"/>
          <w:color w:val="7B7B7B" w:themeColor="accent3" w:themeShade="BF"/>
          <w:sz w:val="22"/>
          <w:szCs w:val="22"/>
          <w:lang w:val="en-GB"/>
        </w:rPr>
        <w:t xml:space="preserve"> establish the suitability or competence of the court or forum, usually there need to be a connection between the forum or state, with the parties concerned, or with the disputed assets or objects.</w:t>
      </w:r>
    </w:p>
    <w:p w14:paraId="06357582" w14:textId="211DE257" w:rsidR="000D5F4C" w:rsidRDefault="000A0312" w:rsidP="00E876E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Which law should be applied over different aspects of the case</w:t>
      </w:r>
      <w:r w:rsidR="004705B6">
        <w:rPr>
          <w:rFonts w:ascii="Arial" w:hAnsi="Arial" w:cs="Arial"/>
          <w:color w:val="7B7B7B" w:themeColor="accent3" w:themeShade="BF"/>
          <w:sz w:val="22"/>
          <w:szCs w:val="22"/>
          <w:lang w:val="en-GB"/>
        </w:rPr>
        <w:t xml:space="preserve"> </w:t>
      </w:r>
      <w:proofErr w:type="gramStart"/>
      <w:r w:rsidR="004705B6">
        <w:rPr>
          <w:rFonts w:ascii="Arial" w:hAnsi="Arial" w:cs="Arial"/>
          <w:color w:val="7B7B7B" w:themeColor="accent3" w:themeShade="BF"/>
          <w:sz w:val="22"/>
          <w:szCs w:val="22"/>
          <w:lang w:val="en-GB"/>
        </w:rPr>
        <w:t>concerned.</w:t>
      </w:r>
      <w:proofErr w:type="gramEnd"/>
      <w:r w:rsidR="004705B6">
        <w:rPr>
          <w:rFonts w:ascii="Arial" w:hAnsi="Arial" w:cs="Arial"/>
          <w:color w:val="7B7B7B" w:themeColor="accent3" w:themeShade="BF"/>
          <w:sz w:val="22"/>
          <w:szCs w:val="22"/>
          <w:lang w:val="en-GB"/>
        </w:rPr>
        <w:t xml:space="preserve"> Once a forum or court has determined that it has the jurisdictional competence to hear the case, it must decide which set of laws it need to apply for the case. In common law system, normally the default would be to apply the laws of the forum, unless a choice of laws issue has been brought up by parties concerned. On the other hand, in civil law system, the issue concerning the applicable law is a question of law, which is an issue that the court would usually address even if it has not been pleaded or brought up by the parties.</w:t>
      </w:r>
    </w:p>
    <w:p w14:paraId="00CF9A95" w14:textId="1355C1F6" w:rsidR="000A0312" w:rsidRPr="00E876E4" w:rsidRDefault="000A0312" w:rsidP="00E876E4">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What international</w:t>
      </w:r>
      <w:r w:rsidR="002D7F97">
        <w:rPr>
          <w:rFonts w:ascii="Arial" w:hAnsi="Arial" w:cs="Arial"/>
          <w:color w:val="7B7B7B" w:themeColor="accent3" w:themeShade="BF"/>
          <w:sz w:val="22"/>
          <w:szCs w:val="22"/>
          <w:lang w:val="en-GB"/>
        </w:rPr>
        <w:t xml:space="preserve"> or cross-border</w:t>
      </w:r>
      <w:r>
        <w:rPr>
          <w:rFonts w:ascii="Arial" w:hAnsi="Arial" w:cs="Arial"/>
          <w:color w:val="7B7B7B" w:themeColor="accent3" w:themeShade="BF"/>
          <w:sz w:val="22"/>
          <w:szCs w:val="22"/>
          <w:lang w:val="en-GB"/>
        </w:rPr>
        <w:t xml:space="preserve"> </w:t>
      </w:r>
      <w:r w:rsidR="002D7F97">
        <w:rPr>
          <w:rFonts w:ascii="Arial" w:hAnsi="Arial" w:cs="Arial"/>
          <w:color w:val="7B7B7B" w:themeColor="accent3" w:themeShade="BF"/>
          <w:sz w:val="22"/>
          <w:szCs w:val="22"/>
          <w:lang w:val="en-GB"/>
        </w:rPr>
        <w:t>reach and enforcement,</w:t>
      </w:r>
      <w:r>
        <w:rPr>
          <w:rFonts w:ascii="Arial" w:hAnsi="Arial" w:cs="Arial"/>
          <w:color w:val="7B7B7B" w:themeColor="accent3" w:themeShade="BF"/>
          <w:sz w:val="22"/>
          <w:szCs w:val="22"/>
          <w:lang w:val="en-GB"/>
        </w:rPr>
        <w:t xml:space="preserve"> should be </w:t>
      </w:r>
      <w:r w:rsidR="002D7F97">
        <w:rPr>
          <w:rFonts w:ascii="Arial" w:hAnsi="Arial" w:cs="Arial"/>
          <w:color w:val="7B7B7B" w:themeColor="accent3" w:themeShade="BF"/>
          <w:sz w:val="22"/>
          <w:szCs w:val="22"/>
          <w:lang w:val="en-GB"/>
        </w:rPr>
        <w:t>allowed and afforded to the proceedings in a particular forum, or to its rulings</w:t>
      </w:r>
      <w:r w:rsidR="00CC57FC">
        <w:rPr>
          <w:rFonts w:ascii="Arial" w:hAnsi="Arial" w:cs="Arial"/>
          <w:color w:val="7B7B7B" w:themeColor="accent3" w:themeShade="BF"/>
          <w:sz w:val="22"/>
          <w:szCs w:val="22"/>
          <w:lang w:val="en-GB"/>
        </w:rPr>
        <w:t>, judgements,</w:t>
      </w:r>
      <w:r w:rsidR="002D7F97">
        <w:rPr>
          <w:rFonts w:ascii="Arial" w:hAnsi="Arial" w:cs="Arial"/>
          <w:color w:val="7B7B7B" w:themeColor="accent3" w:themeShade="BF"/>
          <w:sz w:val="22"/>
          <w:szCs w:val="22"/>
          <w:lang w:val="en-GB"/>
        </w:rPr>
        <w:t xml:space="preserve"> or decisions.</w:t>
      </w:r>
      <w:r w:rsidR="004705B6">
        <w:rPr>
          <w:rFonts w:ascii="Arial" w:hAnsi="Arial" w:cs="Arial"/>
          <w:color w:val="7B7B7B" w:themeColor="accent3" w:themeShade="BF"/>
          <w:sz w:val="22"/>
          <w:szCs w:val="22"/>
          <w:lang w:val="en-GB"/>
        </w:rPr>
        <w:t xml:space="preserve"> The issue is on whether a state would provide recognition</w:t>
      </w:r>
      <w:r w:rsidR="000F16AA">
        <w:rPr>
          <w:rFonts w:ascii="Arial" w:hAnsi="Arial" w:cs="Arial"/>
          <w:color w:val="7B7B7B" w:themeColor="accent3" w:themeShade="BF"/>
          <w:sz w:val="22"/>
          <w:szCs w:val="22"/>
          <w:lang w:val="en-GB"/>
        </w:rPr>
        <w:t>,</w:t>
      </w:r>
      <w:r w:rsidR="004705B6">
        <w:rPr>
          <w:rFonts w:ascii="Arial" w:hAnsi="Arial" w:cs="Arial"/>
          <w:color w:val="7B7B7B" w:themeColor="accent3" w:themeShade="BF"/>
          <w:sz w:val="22"/>
          <w:szCs w:val="22"/>
          <w:lang w:val="en-GB"/>
        </w:rPr>
        <w:t xml:space="preserve"> allow enforcement</w:t>
      </w:r>
      <w:r w:rsidR="000F16AA">
        <w:rPr>
          <w:rFonts w:ascii="Arial" w:hAnsi="Arial" w:cs="Arial"/>
          <w:color w:val="7B7B7B" w:themeColor="accent3" w:themeShade="BF"/>
          <w:sz w:val="22"/>
          <w:szCs w:val="22"/>
          <w:lang w:val="en-GB"/>
        </w:rPr>
        <w:t xml:space="preserve">, give effect to, the ruling, judgement, or decision made by a foreign court. On this pertinent issue, absent any specific principle set </w:t>
      </w:r>
      <w:r w:rsidR="00CC57FC">
        <w:rPr>
          <w:rFonts w:ascii="Arial" w:hAnsi="Arial" w:cs="Arial"/>
          <w:color w:val="7B7B7B" w:themeColor="accent3" w:themeShade="BF"/>
          <w:sz w:val="22"/>
          <w:szCs w:val="22"/>
          <w:lang w:val="en-GB"/>
        </w:rPr>
        <w:t xml:space="preserve">forth </w:t>
      </w:r>
      <w:r w:rsidR="000F16AA">
        <w:rPr>
          <w:rFonts w:ascii="Arial" w:hAnsi="Arial" w:cs="Arial"/>
          <w:color w:val="7B7B7B" w:themeColor="accent3" w:themeShade="BF"/>
          <w:sz w:val="22"/>
          <w:szCs w:val="22"/>
          <w:lang w:val="en-GB"/>
        </w:rPr>
        <w:t>in its domestic laws, or in any treaty or convention adopted by it, a state would usually resort to its own private international laws principles to address the issue.</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5591D3E1" w14:textId="55723892" w:rsidR="007868D4" w:rsidRDefault="0073551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prominent case law example is the Maxwell Communications Corporation plc cross-border insolvency case in 1991 which took place before UNCITRAL’s MLCBI was introduced. </w:t>
      </w:r>
      <w:r w:rsidR="007868D4">
        <w:rPr>
          <w:rFonts w:ascii="Arial" w:hAnsi="Arial" w:cs="Arial"/>
          <w:color w:val="7B7B7B" w:themeColor="accent3" w:themeShade="BF"/>
          <w:sz w:val="22"/>
          <w:szCs w:val="22"/>
          <w:lang w:val="en-GB"/>
        </w:rPr>
        <w:t>Maxwell group had a UK-based holding company, with hundreds of subsidiaries outside the UK, and the group has its significant assets located in the US</w:t>
      </w:r>
      <w:r w:rsidR="009A743B">
        <w:rPr>
          <w:rStyle w:val="FootnoteReference"/>
          <w:rFonts w:ascii="Arial" w:hAnsi="Arial" w:cs="Arial"/>
          <w:color w:val="7B7B7B" w:themeColor="accent3" w:themeShade="BF"/>
          <w:sz w:val="22"/>
          <w:szCs w:val="22"/>
          <w:lang w:val="en-GB"/>
        </w:rPr>
        <w:footnoteReference w:id="1"/>
      </w:r>
      <w:r w:rsidR="007868D4">
        <w:rPr>
          <w:rFonts w:ascii="Arial" w:hAnsi="Arial" w:cs="Arial"/>
          <w:color w:val="7B7B7B" w:themeColor="accent3" w:themeShade="BF"/>
          <w:sz w:val="22"/>
          <w:szCs w:val="22"/>
          <w:lang w:val="en-GB"/>
        </w:rPr>
        <w:t xml:space="preserve">. Facing imminent default on its debt, the group filed a pre-emptive Chapter 11 petition in the US, and subsequently filed an insolvency petition in the UK. </w:t>
      </w:r>
    </w:p>
    <w:p w14:paraId="2C51BAFD" w14:textId="77777777" w:rsidR="007868D4" w:rsidRDefault="007868D4" w:rsidP="00B7193E">
      <w:pPr>
        <w:jc w:val="both"/>
        <w:rPr>
          <w:rFonts w:ascii="Arial" w:hAnsi="Arial" w:cs="Arial"/>
          <w:color w:val="7B7B7B" w:themeColor="accent3" w:themeShade="BF"/>
          <w:sz w:val="22"/>
          <w:szCs w:val="22"/>
          <w:lang w:val="en-GB"/>
        </w:rPr>
      </w:pPr>
    </w:p>
    <w:p w14:paraId="4E83D7AF" w14:textId="73E73EA0" w:rsidR="00DF75F8" w:rsidRDefault="007868D4" w:rsidP="00B065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that there are two concurrent proceedings over Maxwell, with two different court-appointed insolvency representatives with similar and overlapping roles (the US court appointed an examiner, and the UK court appointed a joint administrators), the courts </w:t>
      </w:r>
      <w:r w:rsidR="00B06576">
        <w:rPr>
          <w:rFonts w:ascii="Arial" w:hAnsi="Arial" w:cs="Arial"/>
          <w:color w:val="7B7B7B" w:themeColor="accent3" w:themeShade="BF"/>
          <w:sz w:val="22"/>
          <w:szCs w:val="22"/>
          <w:lang w:val="en-GB"/>
        </w:rPr>
        <w:t xml:space="preserve">and the insolvency representatives </w:t>
      </w:r>
      <w:r w:rsidR="00B06576" w:rsidRPr="00B06576">
        <w:rPr>
          <w:rFonts w:ascii="Arial" w:hAnsi="Arial" w:cs="Arial"/>
          <w:color w:val="7B7B7B" w:themeColor="accent3" w:themeShade="BF"/>
          <w:sz w:val="22"/>
          <w:szCs w:val="22"/>
          <w:lang w:val="en-GB"/>
        </w:rPr>
        <w:t xml:space="preserve">faced the challenge of </w:t>
      </w:r>
      <w:r w:rsidR="00B06576">
        <w:rPr>
          <w:rFonts w:ascii="Arial" w:hAnsi="Arial" w:cs="Arial"/>
          <w:color w:val="7B7B7B" w:themeColor="accent3" w:themeShade="BF"/>
          <w:sz w:val="22"/>
          <w:szCs w:val="22"/>
          <w:lang w:val="en-GB"/>
        </w:rPr>
        <w:t xml:space="preserve">meeting the main objective of the </w:t>
      </w:r>
      <w:r w:rsidR="00B06576" w:rsidRPr="00B06576">
        <w:rPr>
          <w:rFonts w:ascii="Arial" w:hAnsi="Arial" w:cs="Arial"/>
          <w:color w:val="7B7B7B" w:themeColor="accent3" w:themeShade="BF"/>
          <w:sz w:val="22"/>
          <w:szCs w:val="22"/>
          <w:lang w:val="en-GB"/>
        </w:rPr>
        <w:t xml:space="preserve">proceedings </w:t>
      </w:r>
      <w:r w:rsidR="00B06576">
        <w:rPr>
          <w:rFonts w:ascii="Arial" w:hAnsi="Arial" w:cs="Arial"/>
          <w:color w:val="7B7B7B" w:themeColor="accent3" w:themeShade="BF"/>
          <w:sz w:val="22"/>
          <w:szCs w:val="22"/>
          <w:lang w:val="en-GB"/>
        </w:rPr>
        <w:t xml:space="preserve">(which is to preserve the value of the estate) </w:t>
      </w:r>
      <w:r w:rsidR="00B06576" w:rsidRPr="00B06576">
        <w:rPr>
          <w:rFonts w:ascii="Arial" w:hAnsi="Arial" w:cs="Arial"/>
          <w:color w:val="7B7B7B" w:themeColor="accent3" w:themeShade="BF"/>
          <w:sz w:val="22"/>
          <w:szCs w:val="22"/>
          <w:lang w:val="en-GB"/>
        </w:rPr>
        <w:t xml:space="preserve">without undermining </w:t>
      </w:r>
      <w:r w:rsidR="00B06576">
        <w:rPr>
          <w:rFonts w:ascii="Arial" w:hAnsi="Arial" w:cs="Arial"/>
          <w:color w:val="7B7B7B" w:themeColor="accent3" w:themeShade="BF"/>
          <w:sz w:val="22"/>
          <w:szCs w:val="22"/>
          <w:lang w:val="en-GB"/>
        </w:rPr>
        <w:t xml:space="preserve">the </w:t>
      </w:r>
      <w:r w:rsidR="00B06576" w:rsidRPr="00B06576">
        <w:rPr>
          <w:rFonts w:ascii="Arial" w:hAnsi="Arial" w:cs="Arial"/>
          <w:color w:val="7B7B7B" w:themeColor="accent3" w:themeShade="BF"/>
          <w:sz w:val="22"/>
          <w:szCs w:val="22"/>
          <w:lang w:val="en-GB"/>
        </w:rPr>
        <w:t>respective sovereign authority</w:t>
      </w:r>
      <w:r>
        <w:rPr>
          <w:rFonts w:ascii="Arial" w:hAnsi="Arial" w:cs="Arial"/>
          <w:color w:val="7B7B7B" w:themeColor="accent3" w:themeShade="BF"/>
          <w:sz w:val="22"/>
          <w:szCs w:val="22"/>
          <w:lang w:val="en-GB"/>
        </w:rPr>
        <w:t xml:space="preserve"> </w:t>
      </w:r>
      <w:r w:rsidR="00B06576">
        <w:rPr>
          <w:rFonts w:ascii="Arial" w:hAnsi="Arial" w:cs="Arial"/>
          <w:color w:val="7B7B7B" w:themeColor="accent3" w:themeShade="BF"/>
          <w:sz w:val="22"/>
          <w:szCs w:val="22"/>
          <w:lang w:val="en-GB"/>
        </w:rPr>
        <w:t xml:space="preserve">of </w:t>
      </w:r>
      <w:r>
        <w:rPr>
          <w:rFonts w:ascii="Arial" w:hAnsi="Arial" w:cs="Arial"/>
          <w:color w:val="7B7B7B" w:themeColor="accent3" w:themeShade="BF"/>
          <w:sz w:val="22"/>
          <w:szCs w:val="22"/>
          <w:lang w:val="en-GB"/>
        </w:rPr>
        <w:t>the two jurisdictions</w:t>
      </w:r>
      <w:r w:rsidR="00B06576">
        <w:rPr>
          <w:rFonts w:ascii="Arial" w:hAnsi="Arial" w:cs="Arial"/>
          <w:color w:val="7B7B7B" w:themeColor="accent3" w:themeShade="BF"/>
          <w:sz w:val="22"/>
          <w:szCs w:val="22"/>
          <w:lang w:val="en-GB"/>
        </w:rPr>
        <w:t>.</w:t>
      </w:r>
    </w:p>
    <w:p w14:paraId="095A7C6F" w14:textId="6F646EFC" w:rsidR="00B06576" w:rsidRDefault="00B06576" w:rsidP="00B06576">
      <w:pPr>
        <w:jc w:val="both"/>
        <w:rPr>
          <w:rFonts w:ascii="Arial" w:hAnsi="Arial" w:cs="Arial"/>
          <w:color w:val="7B7B7B" w:themeColor="accent3" w:themeShade="BF"/>
          <w:sz w:val="22"/>
          <w:szCs w:val="22"/>
          <w:lang w:val="en-GB"/>
        </w:rPr>
      </w:pPr>
    </w:p>
    <w:p w14:paraId="7B02B061" w14:textId="1AEC0112" w:rsidR="00B06576" w:rsidRDefault="00B06576" w:rsidP="00B065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judges in these two courts independently raised and proposed the idea of an agreement or protocol to be negotiated and agreed, to coordinate and harmonize the two separate proceedings, facilitate exchange of information, with the objective of maximizing the estate value and minimizing expenses and conflicts between the two proceedings. Pursuant to the protocol, the US examiner and the UK joint-administrators had similar authority and each was made subject to the jurisdiction of the other court. Specificities were</w:t>
      </w:r>
      <w:r w:rsidR="00F80B35">
        <w:rPr>
          <w:rFonts w:ascii="Arial" w:hAnsi="Arial" w:cs="Arial"/>
          <w:color w:val="7B7B7B" w:themeColor="accent3" w:themeShade="BF"/>
          <w:sz w:val="22"/>
          <w:szCs w:val="22"/>
          <w:lang w:val="en-GB"/>
        </w:rPr>
        <w:t xml:space="preserve"> set forth in the protocol to stipulate certain actions by one insolvency representative that requires the consent of the other.</w:t>
      </w:r>
    </w:p>
    <w:p w14:paraId="6E64653B" w14:textId="1C8C718F" w:rsidR="00F80B35" w:rsidRDefault="00F80B35" w:rsidP="00B06576">
      <w:pPr>
        <w:jc w:val="both"/>
        <w:rPr>
          <w:rFonts w:ascii="Arial" w:hAnsi="Arial" w:cs="Arial"/>
          <w:color w:val="7B7B7B" w:themeColor="accent3" w:themeShade="BF"/>
          <w:sz w:val="22"/>
          <w:szCs w:val="22"/>
          <w:lang w:val="en-GB"/>
        </w:rPr>
      </w:pPr>
    </w:p>
    <w:p w14:paraId="52ED4ECB" w14:textId="10E45107" w:rsidR="00F80B35" w:rsidRPr="00F80B35" w:rsidRDefault="00F80B35" w:rsidP="00F80B3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case </w:t>
      </w:r>
      <w:r w:rsidR="00271199">
        <w:rPr>
          <w:rFonts w:ascii="Arial" w:hAnsi="Arial" w:cs="Arial"/>
          <w:color w:val="7B7B7B" w:themeColor="accent3" w:themeShade="BF"/>
          <w:sz w:val="22"/>
          <w:szCs w:val="22"/>
          <w:lang w:val="en-GB"/>
        </w:rPr>
        <w:t>culminated</w:t>
      </w:r>
      <w:r>
        <w:rPr>
          <w:rFonts w:ascii="Arial" w:hAnsi="Arial" w:cs="Arial"/>
          <w:color w:val="7B7B7B" w:themeColor="accent3" w:themeShade="BF"/>
          <w:sz w:val="22"/>
          <w:szCs w:val="22"/>
          <w:lang w:val="en-GB"/>
        </w:rPr>
        <w:t xml:space="preserve"> with the approval of a reorganisation plan in the US and a scheme of arrangement in the UK, which </w:t>
      </w:r>
      <w:r w:rsidRPr="00F80B35">
        <w:rPr>
          <w:rFonts w:ascii="Arial" w:hAnsi="Arial" w:cs="Arial"/>
          <w:color w:val="7B7B7B" w:themeColor="accent3" w:themeShade="BF"/>
          <w:sz w:val="22"/>
          <w:szCs w:val="22"/>
          <w:lang w:val="en-GB"/>
        </w:rPr>
        <w:t xml:space="preserve">were </w:t>
      </w:r>
      <w:r>
        <w:rPr>
          <w:rFonts w:ascii="Arial" w:hAnsi="Arial" w:cs="Arial"/>
          <w:color w:val="7B7B7B" w:themeColor="accent3" w:themeShade="BF"/>
          <w:sz w:val="22"/>
          <w:szCs w:val="22"/>
          <w:lang w:val="en-GB"/>
        </w:rPr>
        <w:t>separate documents filed in different forum</w:t>
      </w:r>
      <w:r w:rsidRPr="00F80B3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but were mutually dependent, </w:t>
      </w:r>
      <w:r w:rsidRPr="00F80B35">
        <w:rPr>
          <w:rFonts w:ascii="Arial" w:hAnsi="Arial" w:cs="Arial"/>
          <w:color w:val="7B7B7B" w:themeColor="accent3" w:themeShade="BF"/>
          <w:sz w:val="22"/>
          <w:szCs w:val="22"/>
          <w:lang w:val="en-GB"/>
        </w:rPr>
        <w:t>reflecting a collaborative arrangement</w:t>
      </w:r>
      <w:r>
        <w:rPr>
          <w:rFonts w:ascii="Arial" w:hAnsi="Arial" w:cs="Arial"/>
          <w:color w:val="7B7B7B" w:themeColor="accent3" w:themeShade="BF"/>
          <w:sz w:val="22"/>
          <w:szCs w:val="22"/>
          <w:lang w:val="en-GB"/>
        </w:rPr>
        <w:t xml:space="preserve"> as a result of the protocol agreed, and yet both documents were</w:t>
      </w:r>
      <w:r w:rsidRPr="00F80B3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made </w:t>
      </w:r>
      <w:r w:rsidRPr="00F80B35">
        <w:rPr>
          <w:rFonts w:ascii="Arial" w:hAnsi="Arial" w:cs="Arial"/>
          <w:color w:val="7B7B7B" w:themeColor="accent3" w:themeShade="BF"/>
          <w:sz w:val="22"/>
          <w:szCs w:val="22"/>
          <w:lang w:val="en-GB"/>
        </w:rPr>
        <w:t>consistent with the insolvency regimes of both countries</w:t>
      </w:r>
      <w:r w:rsidR="00271199">
        <w:rPr>
          <w:rStyle w:val="FootnoteReference"/>
          <w:rFonts w:ascii="Arial" w:hAnsi="Arial" w:cs="Arial"/>
          <w:color w:val="7B7B7B" w:themeColor="accent3" w:themeShade="BF"/>
          <w:sz w:val="22"/>
          <w:szCs w:val="22"/>
          <w:lang w:val="en-GB"/>
        </w:rPr>
        <w:footnoteReference w:id="2"/>
      </w:r>
      <w:r w:rsidRPr="00F80B35">
        <w:rPr>
          <w:rFonts w:ascii="Arial" w:hAnsi="Arial" w:cs="Arial"/>
          <w:color w:val="7B7B7B" w:themeColor="accent3" w:themeShade="BF"/>
          <w:sz w:val="22"/>
          <w:szCs w:val="22"/>
          <w:lang w:val="en-GB"/>
        </w:rPr>
        <w:t>.</w:t>
      </w:r>
    </w:p>
    <w:p w14:paraId="62816FF1" w14:textId="17DD4672" w:rsidR="00275182" w:rsidRDefault="00275182" w:rsidP="00B7193E">
      <w:pPr>
        <w:jc w:val="both"/>
        <w:rPr>
          <w:rFonts w:ascii="Arial" w:hAnsi="Arial" w:cs="Arial"/>
          <w:bCs/>
          <w:sz w:val="22"/>
          <w:szCs w:val="22"/>
          <w:lang w:val="en-GB"/>
        </w:rPr>
      </w:pPr>
    </w:p>
    <w:p w14:paraId="1EE43E29" w14:textId="77777777" w:rsidR="00271199" w:rsidRPr="00205B31" w:rsidRDefault="00271199"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71FCE601" w14:textId="77777777" w:rsidR="004C713E" w:rsidRDefault="008C7E6B"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European Insolvency Regulation </w:t>
      </w:r>
      <w:r w:rsidR="0098468B">
        <w:rPr>
          <w:rFonts w:ascii="Arial" w:hAnsi="Arial" w:cs="Arial"/>
          <w:color w:val="7B7B7B" w:themeColor="accent3" w:themeShade="BF"/>
          <w:sz w:val="22"/>
          <w:szCs w:val="22"/>
          <w:lang w:val="en-GB"/>
        </w:rPr>
        <w:t xml:space="preserve">Recast </w:t>
      </w:r>
      <w:r>
        <w:rPr>
          <w:rFonts w:ascii="Arial" w:hAnsi="Arial" w:cs="Arial"/>
          <w:color w:val="7B7B7B" w:themeColor="accent3" w:themeShade="BF"/>
          <w:sz w:val="22"/>
          <w:szCs w:val="22"/>
          <w:lang w:val="en-GB"/>
        </w:rPr>
        <w:t xml:space="preserve">of 2015 </w:t>
      </w:r>
      <w:r w:rsidR="0098468B">
        <w:rPr>
          <w:rFonts w:ascii="Arial" w:hAnsi="Arial" w:cs="Arial"/>
          <w:color w:val="7B7B7B" w:themeColor="accent3" w:themeShade="BF"/>
          <w:sz w:val="22"/>
          <w:szCs w:val="22"/>
          <w:lang w:val="en-GB"/>
        </w:rPr>
        <w:t xml:space="preserve">(EIR Recast) </w:t>
      </w:r>
      <w:r>
        <w:rPr>
          <w:rFonts w:ascii="Arial" w:hAnsi="Arial" w:cs="Arial"/>
          <w:color w:val="7B7B7B" w:themeColor="accent3" w:themeShade="BF"/>
          <w:sz w:val="22"/>
          <w:szCs w:val="22"/>
          <w:lang w:val="en-GB"/>
        </w:rPr>
        <w:t xml:space="preserve">that became applicable </w:t>
      </w:r>
      <w:r w:rsidR="006254F3">
        <w:rPr>
          <w:rFonts w:ascii="Arial" w:hAnsi="Arial" w:cs="Arial"/>
          <w:color w:val="7B7B7B" w:themeColor="accent3" w:themeShade="BF"/>
          <w:sz w:val="22"/>
          <w:szCs w:val="22"/>
          <w:lang w:val="en-GB"/>
        </w:rPr>
        <w:t>for</w:t>
      </w:r>
      <w:r>
        <w:rPr>
          <w:rFonts w:ascii="Arial" w:hAnsi="Arial" w:cs="Arial"/>
          <w:color w:val="7B7B7B" w:themeColor="accent3" w:themeShade="BF"/>
          <w:sz w:val="22"/>
          <w:szCs w:val="22"/>
          <w:lang w:val="en-GB"/>
        </w:rPr>
        <w:t xml:space="preserve"> the EU member states starting from mid-2017 would be applicable for insolvency proceedings brought up </w:t>
      </w:r>
      <w:r w:rsidR="0098468B">
        <w:rPr>
          <w:rFonts w:ascii="Arial" w:hAnsi="Arial" w:cs="Arial"/>
          <w:color w:val="7B7B7B" w:themeColor="accent3" w:themeShade="BF"/>
          <w:sz w:val="22"/>
          <w:szCs w:val="22"/>
          <w:lang w:val="en-GB"/>
        </w:rPr>
        <w:t>against Rydell in the UK given that the UK was a member state of the EU</w:t>
      </w:r>
      <w:r>
        <w:rPr>
          <w:rFonts w:ascii="Arial" w:hAnsi="Arial" w:cs="Arial"/>
          <w:color w:val="7B7B7B" w:themeColor="accent3" w:themeShade="BF"/>
          <w:sz w:val="22"/>
          <w:szCs w:val="22"/>
          <w:lang w:val="en-GB"/>
        </w:rPr>
        <w:t>.</w:t>
      </w:r>
      <w:r w:rsidR="0098468B">
        <w:rPr>
          <w:rFonts w:ascii="Arial" w:hAnsi="Arial" w:cs="Arial"/>
          <w:color w:val="7B7B7B" w:themeColor="accent3" w:themeShade="BF"/>
          <w:sz w:val="22"/>
          <w:szCs w:val="22"/>
          <w:lang w:val="en-GB"/>
        </w:rPr>
        <w:t xml:space="preserve"> As Rydell has its centre of main interest (COMI) in the UK, the rules of the EIR Recast would allocate to the UK forum, the primary jurisdictional competence over insolvency proceedings against Rydell</w:t>
      </w:r>
      <w:r w:rsidR="002F1D13">
        <w:rPr>
          <w:rFonts w:ascii="Arial" w:hAnsi="Arial" w:cs="Arial"/>
          <w:color w:val="7B7B7B" w:themeColor="accent3" w:themeShade="BF"/>
          <w:sz w:val="22"/>
          <w:szCs w:val="22"/>
          <w:lang w:val="en-GB"/>
        </w:rPr>
        <w:t xml:space="preserve">, and this proceeding in the UK will be governed by the UK insolvency laws is all respects (save for some exceptions). </w:t>
      </w:r>
    </w:p>
    <w:p w14:paraId="313C9863" w14:textId="77777777" w:rsidR="004C713E" w:rsidRDefault="004C713E" w:rsidP="00B7193E">
      <w:pPr>
        <w:jc w:val="both"/>
        <w:rPr>
          <w:rFonts w:ascii="Arial" w:hAnsi="Arial" w:cs="Arial"/>
          <w:color w:val="7B7B7B" w:themeColor="accent3" w:themeShade="BF"/>
          <w:sz w:val="22"/>
          <w:szCs w:val="22"/>
          <w:lang w:val="en-GB"/>
        </w:rPr>
      </w:pPr>
    </w:p>
    <w:p w14:paraId="0D37BBBB" w14:textId="08015F95" w:rsidR="002F75A3" w:rsidRPr="00205B31" w:rsidRDefault="0098468B"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However, the EIR Recast allows concurrent proceedings </w:t>
      </w:r>
      <w:r w:rsidR="006254F3">
        <w:rPr>
          <w:rFonts w:ascii="Arial" w:hAnsi="Arial" w:cs="Arial"/>
          <w:color w:val="7B7B7B" w:themeColor="accent3" w:themeShade="BF"/>
          <w:sz w:val="22"/>
          <w:szCs w:val="22"/>
          <w:lang w:val="en-GB"/>
        </w:rPr>
        <w:t xml:space="preserve">as </w:t>
      </w:r>
      <w:r w:rsidR="004C713E">
        <w:rPr>
          <w:rFonts w:ascii="Arial" w:hAnsi="Arial" w:cs="Arial"/>
          <w:color w:val="7B7B7B" w:themeColor="accent3" w:themeShade="BF"/>
          <w:sz w:val="22"/>
          <w:szCs w:val="22"/>
          <w:lang w:val="en-GB"/>
        </w:rPr>
        <w:t xml:space="preserve">secondary or </w:t>
      </w:r>
      <w:r w:rsidR="006254F3">
        <w:rPr>
          <w:rFonts w:ascii="Arial" w:hAnsi="Arial" w:cs="Arial"/>
          <w:color w:val="7B7B7B" w:themeColor="accent3" w:themeShade="BF"/>
          <w:sz w:val="22"/>
          <w:szCs w:val="22"/>
          <w:lang w:val="en-GB"/>
        </w:rPr>
        <w:t xml:space="preserve">subsidiary territorial proceedings </w:t>
      </w:r>
      <w:r>
        <w:rPr>
          <w:rFonts w:ascii="Arial" w:hAnsi="Arial" w:cs="Arial"/>
          <w:color w:val="7B7B7B" w:themeColor="accent3" w:themeShade="BF"/>
          <w:sz w:val="22"/>
          <w:szCs w:val="22"/>
          <w:lang w:val="en-GB"/>
        </w:rPr>
        <w:t xml:space="preserve">in </w:t>
      </w:r>
      <w:r w:rsidR="00DA5340">
        <w:rPr>
          <w:rFonts w:ascii="Arial" w:hAnsi="Arial" w:cs="Arial"/>
          <w:color w:val="7B7B7B" w:themeColor="accent3" w:themeShade="BF"/>
          <w:sz w:val="22"/>
          <w:szCs w:val="22"/>
          <w:lang w:val="en-GB"/>
        </w:rPr>
        <w:t>other</w:t>
      </w:r>
      <w:r>
        <w:rPr>
          <w:rFonts w:ascii="Arial" w:hAnsi="Arial" w:cs="Arial"/>
          <w:color w:val="7B7B7B" w:themeColor="accent3" w:themeShade="BF"/>
          <w:sz w:val="22"/>
          <w:szCs w:val="22"/>
          <w:lang w:val="en-GB"/>
        </w:rPr>
        <w:t xml:space="preserve"> forum</w:t>
      </w:r>
      <w:r w:rsidR="00DA5340">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in which the debtor has had an “establishment”. The establishment is defined as </w:t>
      </w:r>
      <w:r w:rsidR="000E297A">
        <w:rPr>
          <w:rFonts w:ascii="Arial" w:hAnsi="Arial" w:cs="Arial"/>
          <w:color w:val="7B7B7B" w:themeColor="accent3" w:themeShade="BF"/>
          <w:sz w:val="22"/>
          <w:szCs w:val="22"/>
          <w:lang w:val="en-GB"/>
        </w:rPr>
        <w:t xml:space="preserve">the debtor having a </w:t>
      </w:r>
      <w:r>
        <w:rPr>
          <w:rFonts w:ascii="Arial" w:hAnsi="Arial" w:cs="Arial"/>
          <w:color w:val="7B7B7B" w:themeColor="accent3" w:themeShade="BF"/>
          <w:sz w:val="22"/>
          <w:szCs w:val="22"/>
          <w:lang w:val="en-GB"/>
        </w:rPr>
        <w:t>non-transitory operation</w:t>
      </w:r>
      <w:r w:rsidR="000E297A">
        <w:rPr>
          <w:rFonts w:ascii="Arial" w:hAnsi="Arial" w:cs="Arial"/>
          <w:color w:val="7B7B7B" w:themeColor="accent3" w:themeShade="BF"/>
          <w:sz w:val="22"/>
          <w:szCs w:val="22"/>
          <w:lang w:val="en-GB"/>
        </w:rPr>
        <w:t xml:space="preserve"> within the jurisdiction</w:t>
      </w:r>
      <w:r>
        <w:rPr>
          <w:rFonts w:ascii="Arial" w:hAnsi="Arial" w:cs="Arial"/>
          <w:color w:val="7B7B7B" w:themeColor="accent3" w:themeShade="BF"/>
          <w:sz w:val="22"/>
          <w:szCs w:val="22"/>
          <w:lang w:val="en-GB"/>
        </w:rPr>
        <w:t xml:space="preserve">. Therefore, Fernz </w:t>
      </w:r>
      <w:r w:rsidR="006254F3">
        <w:rPr>
          <w:rFonts w:ascii="Arial" w:hAnsi="Arial" w:cs="Arial"/>
          <w:color w:val="7B7B7B" w:themeColor="accent3" w:themeShade="BF"/>
          <w:sz w:val="22"/>
          <w:szCs w:val="22"/>
          <w:lang w:val="en-GB"/>
        </w:rPr>
        <w:t xml:space="preserve">will be able to launch a </w:t>
      </w:r>
      <w:r w:rsidR="004C713E">
        <w:rPr>
          <w:rFonts w:ascii="Arial" w:hAnsi="Arial" w:cs="Arial"/>
          <w:color w:val="7B7B7B" w:themeColor="accent3" w:themeShade="BF"/>
          <w:sz w:val="22"/>
          <w:szCs w:val="22"/>
          <w:lang w:val="en-GB"/>
        </w:rPr>
        <w:t>secondary</w:t>
      </w:r>
      <w:r w:rsidR="006254F3">
        <w:rPr>
          <w:rFonts w:ascii="Arial" w:hAnsi="Arial" w:cs="Arial"/>
          <w:color w:val="7B7B7B" w:themeColor="accent3" w:themeShade="BF"/>
          <w:sz w:val="22"/>
          <w:szCs w:val="22"/>
          <w:lang w:val="en-GB"/>
        </w:rPr>
        <w:t xml:space="preserve"> proceeding in another EU member state outside the UK, if Rydel</w:t>
      </w:r>
      <w:r w:rsidR="004C713E">
        <w:rPr>
          <w:rFonts w:ascii="Arial" w:hAnsi="Arial" w:cs="Arial"/>
          <w:color w:val="7B7B7B" w:themeColor="accent3" w:themeShade="BF"/>
          <w:sz w:val="22"/>
          <w:szCs w:val="22"/>
          <w:lang w:val="en-GB"/>
        </w:rPr>
        <w:t>l</w:t>
      </w:r>
      <w:r w:rsidR="006254F3">
        <w:rPr>
          <w:rFonts w:ascii="Arial" w:hAnsi="Arial" w:cs="Arial"/>
          <w:color w:val="7B7B7B" w:themeColor="accent3" w:themeShade="BF"/>
          <w:sz w:val="22"/>
          <w:szCs w:val="22"/>
          <w:lang w:val="en-GB"/>
        </w:rPr>
        <w:t xml:space="preserve"> has had an establishment in that state. </w:t>
      </w:r>
      <w:r w:rsidR="00DA5340">
        <w:rPr>
          <w:rFonts w:ascii="Arial" w:hAnsi="Arial" w:cs="Arial"/>
          <w:color w:val="7B7B7B" w:themeColor="accent3" w:themeShade="BF"/>
          <w:sz w:val="22"/>
          <w:szCs w:val="22"/>
          <w:lang w:val="en-GB"/>
        </w:rPr>
        <w:t xml:space="preserve">The </w:t>
      </w:r>
      <w:r w:rsidR="004C713E">
        <w:rPr>
          <w:rFonts w:ascii="Arial" w:hAnsi="Arial" w:cs="Arial"/>
          <w:color w:val="7B7B7B" w:themeColor="accent3" w:themeShade="BF"/>
          <w:sz w:val="22"/>
          <w:szCs w:val="22"/>
          <w:lang w:val="en-GB"/>
        </w:rPr>
        <w:t xml:space="preserve">secondary </w:t>
      </w:r>
      <w:r w:rsidR="00DA5340">
        <w:rPr>
          <w:rFonts w:ascii="Arial" w:hAnsi="Arial" w:cs="Arial"/>
          <w:color w:val="7B7B7B" w:themeColor="accent3" w:themeShade="BF"/>
          <w:sz w:val="22"/>
          <w:szCs w:val="22"/>
          <w:lang w:val="en-GB"/>
        </w:rPr>
        <w:t xml:space="preserve">proceeding to be pursued by Fernz would then become a </w:t>
      </w:r>
      <w:r w:rsidR="004C713E">
        <w:rPr>
          <w:rFonts w:ascii="Arial" w:hAnsi="Arial" w:cs="Arial"/>
          <w:color w:val="7B7B7B" w:themeColor="accent3" w:themeShade="BF"/>
          <w:sz w:val="22"/>
          <w:szCs w:val="22"/>
          <w:lang w:val="en-GB"/>
        </w:rPr>
        <w:t>subsidiary</w:t>
      </w:r>
      <w:r w:rsidR="000E297A">
        <w:rPr>
          <w:rFonts w:ascii="Arial" w:hAnsi="Arial" w:cs="Arial"/>
          <w:color w:val="7B7B7B" w:themeColor="accent3" w:themeShade="BF"/>
          <w:sz w:val="22"/>
          <w:szCs w:val="22"/>
          <w:lang w:val="en-GB"/>
        </w:rPr>
        <w:t xml:space="preserve"> or secondary</w:t>
      </w:r>
      <w:r w:rsidR="004C713E">
        <w:rPr>
          <w:rFonts w:ascii="Arial" w:hAnsi="Arial" w:cs="Arial"/>
          <w:color w:val="7B7B7B" w:themeColor="accent3" w:themeShade="BF"/>
          <w:sz w:val="22"/>
          <w:szCs w:val="22"/>
          <w:lang w:val="en-GB"/>
        </w:rPr>
        <w:t xml:space="preserve"> territorial </w:t>
      </w:r>
      <w:r w:rsidR="00DA5340">
        <w:rPr>
          <w:rFonts w:ascii="Arial" w:hAnsi="Arial" w:cs="Arial"/>
          <w:color w:val="7B7B7B" w:themeColor="accent3" w:themeShade="BF"/>
          <w:sz w:val="22"/>
          <w:szCs w:val="22"/>
          <w:lang w:val="en-GB"/>
        </w:rPr>
        <w:t xml:space="preserve">proceeding against Rydell, </w:t>
      </w:r>
      <w:r w:rsidR="004C713E">
        <w:rPr>
          <w:rFonts w:ascii="Arial" w:hAnsi="Arial" w:cs="Arial"/>
          <w:color w:val="7B7B7B" w:themeColor="accent3" w:themeShade="BF"/>
          <w:sz w:val="22"/>
          <w:szCs w:val="22"/>
          <w:lang w:val="en-GB"/>
        </w:rPr>
        <w:t>to be governed by insolvency laws of the respective state, and the jurisdictional reach and effect of this subsidiary proceeding would be restricted to Rydell’s assets that are situated in that state</w:t>
      </w:r>
      <w:r w:rsidR="00DA5340">
        <w:rPr>
          <w:rFonts w:ascii="Arial" w:hAnsi="Arial" w:cs="Arial"/>
          <w:color w:val="7B7B7B" w:themeColor="accent3" w:themeShade="BF"/>
          <w:sz w:val="22"/>
          <w:szCs w:val="22"/>
          <w:lang w:val="en-GB"/>
        </w:rPr>
        <w:t xml:space="preserve">. </w:t>
      </w:r>
      <w:r w:rsidR="006254F3">
        <w:rPr>
          <w:rFonts w:ascii="Arial" w:hAnsi="Arial" w:cs="Arial"/>
          <w:color w:val="7B7B7B" w:themeColor="accent3" w:themeShade="BF"/>
          <w:sz w:val="22"/>
          <w:szCs w:val="22"/>
          <w:lang w:val="en-GB"/>
        </w:rPr>
        <w:t xml:space="preserve">Further information required </w:t>
      </w:r>
      <w:r w:rsidR="00DA5340">
        <w:rPr>
          <w:rFonts w:ascii="Arial" w:hAnsi="Arial" w:cs="Arial"/>
          <w:color w:val="7B7B7B" w:themeColor="accent3" w:themeShade="BF"/>
          <w:sz w:val="22"/>
          <w:szCs w:val="22"/>
          <w:lang w:val="en-GB"/>
        </w:rPr>
        <w:t xml:space="preserve">for this question </w:t>
      </w:r>
      <w:r w:rsidR="006254F3">
        <w:rPr>
          <w:rFonts w:ascii="Arial" w:hAnsi="Arial" w:cs="Arial"/>
          <w:color w:val="7B7B7B" w:themeColor="accent3" w:themeShade="BF"/>
          <w:sz w:val="22"/>
          <w:szCs w:val="22"/>
          <w:lang w:val="en-GB"/>
        </w:rPr>
        <w:t xml:space="preserve">is whether </w:t>
      </w:r>
      <w:r w:rsidR="005A3E79">
        <w:rPr>
          <w:rFonts w:ascii="Arial" w:hAnsi="Arial" w:cs="Arial"/>
          <w:color w:val="7B7B7B" w:themeColor="accent3" w:themeShade="BF"/>
          <w:sz w:val="22"/>
          <w:szCs w:val="22"/>
          <w:lang w:val="en-GB"/>
        </w:rPr>
        <w:t>Rydell has had a non</w:t>
      </w:r>
      <w:r w:rsidR="000E297A">
        <w:rPr>
          <w:rFonts w:ascii="Arial" w:hAnsi="Arial" w:cs="Arial"/>
          <w:color w:val="7B7B7B" w:themeColor="accent3" w:themeShade="BF"/>
          <w:sz w:val="22"/>
          <w:szCs w:val="22"/>
          <w:lang w:val="en-GB"/>
        </w:rPr>
        <w:t>-</w:t>
      </w:r>
      <w:r w:rsidR="005A3E79">
        <w:rPr>
          <w:rFonts w:ascii="Arial" w:hAnsi="Arial" w:cs="Arial"/>
          <w:color w:val="7B7B7B" w:themeColor="accent3" w:themeShade="BF"/>
          <w:sz w:val="22"/>
          <w:szCs w:val="22"/>
          <w:lang w:val="en-GB"/>
        </w:rPr>
        <w:t xml:space="preserve">transitory establishment in the jurisdiction within which </w:t>
      </w:r>
      <w:r w:rsidR="006254F3">
        <w:rPr>
          <w:rFonts w:ascii="Arial" w:hAnsi="Arial" w:cs="Arial"/>
          <w:color w:val="7B7B7B" w:themeColor="accent3" w:themeShade="BF"/>
          <w:sz w:val="22"/>
          <w:szCs w:val="22"/>
          <w:lang w:val="en-GB"/>
        </w:rPr>
        <w:t>Fernz is considering an insolvency proceeding</w:t>
      </w:r>
      <w:r w:rsidR="00DA5340">
        <w:rPr>
          <w:rFonts w:ascii="Arial" w:hAnsi="Arial" w:cs="Arial"/>
          <w:color w:val="7B7B7B" w:themeColor="accent3" w:themeShade="BF"/>
          <w:sz w:val="22"/>
          <w:szCs w:val="22"/>
          <w:lang w:val="en-GB"/>
        </w:rPr>
        <w:t>.</w:t>
      </w:r>
    </w:p>
    <w:p w14:paraId="317DD6E7" w14:textId="7BF8D856" w:rsidR="00126A4D" w:rsidRDefault="00126A4D" w:rsidP="00B7193E">
      <w:pPr>
        <w:jc w:val="both"/>
        <w:rPr>
          <w:rFonts w:ascii="Arial" w:hAnsi="Arial" w:cs="Arial"/>
          <w:sz w:val="22"/>
          <w:szCs w:val="22"/>
          <w:lang w:val="en-GB"/>
        </w:rPr>
      </w:pPr>
    </w:p>
    <w:p w14:paraId="14905378" w14:textId="7FDEEAE5" w:rsidR="00E14811" w:rsidRDefault="00E14811"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7E39B07F" w:rsidR="00015EE6" w:rsidRPr="00205B31" w:rsidRDefault="007B76A9" w:rsidP="00C45A03">
      <w:pPr>
        <w:jc w:val="both"/>
        <w:rPr>
          <w:rFonts w:ascii="Arial" w:hAnsi="Arial" w:cs="Arial"/>
          <w:sz w:val="22"/>
          <w:szCs w:val="22"/>
          <w:lang w:val="en-GB"/>
        </w:rPr>
      </w:pPr>
      <w:r>
        <w:rPr>
          <w:rFonts w:ascii="Arial" w:hAnsi="Arial" w:cs="Arial"/>
          <w:color w:val="7B7B7B" w:themeColor="accent3" w:themeShade="BF"/>
          <w:sz w:val="22"/>
          <w:szCs w:val="22"/>
          <w:lang w:val="en-GB"/>
        </w:rPr>
        <w:t>Given the UK’s exit from the EU</w:t>
      </w:r>
      <w:r w:rsidR="008C7E6B">
        <w:rPr>
          <w:rFonts w:ascii="Arial" w:hAnsi="Arial" w:cs="Arial"/>
          <w:color w:val="7B7B7B" w:themeColor="accent3" w:themeShade="BF"/>
          <w:sz w:val="22"/>
          <w:szCs w:val="22"/>
          <w:lang w:val="en-GB"/>
        </w:rPr>
        <w:t xml:space="preserve"> in 2020</w:t>
      </w:r>
      <w:r>
        <w:rPr>
          <w:rFonts w:ascii="Arial" w:hAnsi="Arial" w:cs="Arial"/>
          <w:color w:val="7B7B7B" w:themeColor="accent3" w:themeShade="BF"/>
          <w:sz w:val="22"/>
          <w:szCs w:val="22"/>
          <w:lang w:val="en-GB"/>
        </w:rPr>
        <w:t xml:space="preserve">, the EIR Recast </w:t>
      </w:r>
      <w:r w:rsidR="007B3D56">
        <w:rPr>
          <w:rFonts w:ascii="Arial" w:hAnsi="Arial" w:cs="Arial"/>
          <w:color w:val="7B7B7B" w:themeColor="accent3" w:themeShade="BF"/>
          <w:sz w:val="22"/>
          <w:szCs w:val="22"/>
          <w:lang w:val="en-GB"/>
        </w:rPr>
        <w:t>would</w:t>
      </w:r>
      <w:r w:rsidR="008C7E6B">
        <w:rPr>
          <w:rFonts w:ascii="Arial" w:hAnsi="Arial" w:cs="Arial"/>
          <w:color w:val="7B7B7B" w:themeColor="accent3" w:themeShade="BF"/>
          <w:sz w:val="22"/>
          <w:szCs w:val="22"/>
          <w:lang w:val="en-GB"/>
        </w:rPr>
        <w:t xml:space="preserve"> no longer </w:t>
      </w:r>
      <w:r w:rsidR="007B3D56">
        <w:rPr>
          <w:rFonts w:ascii="Arial" w:hAnsi="Arial" w:cs="Arial"/>
          <w:color w:val="7B7B7B" w:themeColor="accent3" w:themeShade="BF"/>
          <w:sz w:val="22"/>
          <w:szCs w:val="22"/>
          <w:lang w:val="en-GB"/>
        </w:rPr>
        <w:t xml:space="preserve">be </w:t>
      </w:r>
      <w:r w:rsidR="008C7E6B">
        <w:rPr>
          <w:rFonts w:ascii="Arial" w:hAnsi="Arial" w:cs="Arial"/>
          <w:color w:val="7B7B7B" w:themeColor="accent3" w:themeShade="BF"/>
          <w:sz w:val="22"/>
          <w:szCs w:val="22"/>
          <w:lang w:val="en-GB"/>
        </w:rPr>
        <w:t xml:space="preserve">applicable </w:t>
      </w:r>
      <w:r>
        <w:rPr>
          <w:rFonts w:ascii="Arial" w:hAnsi="Arial" w:cs="Arial"/>
          <w:color w:val="7B7B7B" w:themeColor="accent3" w:themeShade="BF"/>
          <w:sz w:val="22"/>
          <w:szCs w:val="22"/>
          <w:lang w:val="en-GB"/>
        </w:rPr>
        <w:t xml:space="preserve">for the proceeding </w:t>
      </w:r>
      <w:r w:rsidR="008C7E6B">
        <w:rPr>
          <w:rFonts w:ascii="Arial" w:hAnsi="Arial" w:cs="Arial"/>
          <w:color w:val="7B7B7B" w:themeColor="accent3" w:themeShade="BF"/>
          <w:sz w:val="22"/>
          <w:szCs w:val="22"/>
          <w:lang w:val="en-GB"/>
        </w:rPr>
        <w:t xml:space="preserve">against Rydell that was </w:t>
      </w:r>
      <w:r>
        <w:rPr>
          <w:rFonts w:ascii="Arial" w:hAnsi="Arial" w:cs="Arial"/>
          <w:color w:val="7B7B7B" w:themeColor="accent3" w:themeShade="BF"/>
          <w:sz w:val="22"/>
          <w:szCs w:val="22"/>
          <w:lang w:val="en-GB"/>
        </w:rPr>
        <w:t>opened in the UK on 18 June 2021 (</w:t>
      </w:r>
      <w:r w:rsidR="00C52AF5">
        <w:rPr>
          <w:rFonts w:ascii="Arial" w:hAnsi="Arial" w:cs="Arial"/>
          <w:color w:val="7B7B7B" w:themeColor="accent3" w:themeShade="BF"/>
          <w:sz w:val="22"/>
          <w:szCs w:val="22"/>
          <w:lang w:val="en-GB"/>
        </w:rPr>
        <w:t xml:space="preserve">given that the proceeding was opened </w:t>
      </w:r>
      <w:r>
        <w:rPr>
          <w:rFonts w:ascii="Arial" w:hAnsi="Arial" w:cs="Arial"/>
          <w:color w:val="7B7B7B" w:themeColor="accent3" w:themeShade="BF"/>
          <w:sz w:val="22"/>
          <w:szCs w:val="22"/>
          <w:lang w:val="en-GB"/>
        </w:rPr>
        <w:t>post the deadline of the transitional period, being 31 December 2020).</w:t>
      </w:r>
      <w:r w:rsidR="002F1D13">
        <w:rPr>
          <w:rFonts w:ascii="Arial" w:hAnsi="Arial" w:cs="Arial"/>
          <w:color w:val="7B7B7B" w:themeColor="accent3" w:themeShade="BF"/>
          <w:sz w:val="22"/>
          <w:szCs w:val="22"/>
          <w:lang w:val="en-GB"/>
        </w:rPr>
        <w:t xml:space="preserve"> Therefore, </w:t>
      </w:r>
      <w:r w:rsidR="00635CF9">
        <w:rPr>
          <w:rFonts w:ascii="Arial" w:hAnsi="Arial" w:cs="Arial"/>
          <w:color w:val="7B7B7B" w:themeColor="accent3" w:themeShade="BF"/>
          <w:sz w:val="22"/>
          <w:szCs w:val="22"/>
          <w:lang w:val="en-GB"/>
        </w:rPr>
        <w:t xml:space="preserve">notwithstanding Rydell has had its COMI in the UK, </w:t>
      </w:r>
      <w:r w:rsidR="002F1D13">
        <w:rPr>
          <w:rFonts w:ascii="Arial" w:hAnsi="Arial" w:cs="Arial"/>
          <w:color w:val="7B7B7B" w:themeColor="accent3" w:themeShade="BF"/>
          <w:sz w:val="22"/>
          <w:szCs w:val="22"/>
          <w:lang w:val="en-GB"/>
        </w:rPr>
        <w:t xml:space="preserve">the UK proceeding against Rydell </w:t>
      </w:r>
      <w:r w:rsidR="00635CF9">
        <w:rPr>
          <w:rFonts w:ascii="Arial" w:hAnsi="Arial" w:cs="Arial"/>
          <w:color w:val="7B7B7B" w:themeColor="accent3" w:themeShade="BF"/>
          <w:sz w:val="22"/>
          <w:szCs w:val="22"/>
          <w:lang w:val="en-GB"/>
        </w:rPr>
        <w:t xml:space="preserve">(and any Insolvency Representative appointed by the UK forum) </w:t>
      </w:r>
      <w:r w:rsidR="002F1D13">
        <w:rPr>
          <w:rFonts w:ascii="Arial" w:hAnsi="Arial" w:cs="Arial"/>
          <w:color w:val="7B7B7B" w:themeColor="accent3" w:themeShade="BF"/>
          <w:sz w:val="22"/>
          <w:szCs w:val="22"/>
          <w:lang w:val="en-GB"/>
        </w:rPr>
        <w:t>would no longer enjoy the automatic recognition across the EU</w:t>
      </w:r>
      <w:r w:rsidR="007B3D56">
        <w:rPr>
          <w:rFonts w:ascii="Arial" w:hAnsi="Arial" w:cs="Arial"/>
          <w:color w:val="7B7B7B" w:themeColor="accent3" w:themeShade="BF"/>
          <w:sz w:val="22"/>
          <w:szCs w:val="22"/>
          <w:lang w:val="en-GB"/>
        </w:rPr>
        <w:t xml:space="preserve"> member states</w:t>
      </w:r>
      <w:r w:rsidR="002F1D13">
        <w:rPr>
          <w:rFonts w:ascii="Arial" w:hAnsi="Arial" w:cs="Arial"/>
          <w:color w:val="7B7B7B" w:themeColor="accent3" w:themeShade="BF"/>
          <w:sz w:val="22"/>
          <w:szCs w:val="22"/>
          <w:lang w:val="en-GB"/>
        </w:rPr>
        <w:t xml:space="preserve">, </w:t>
      </w:r>
      <w:r w:rsidR="007B3D56">
        <w:rPr>
          <w:rFonts w:ascii="Arial" w:hAnsi="Arial" w:cs="Arial"/>
          <w:color w:val="7B7B7B" w:themeColor="accent3" w:themeShade="BF"/>
          <w:sz w:val="22"/>
          <w:szCs w:val="22"/>
          <w:lang w:val="en-GB"/>
        </w:rPr>
        <w:t xml:space="preserve">which recognition </w:t>
      </w:r>
      <w:r w:rsidR="002F1D13">
        <w:rPr>
          <w:rFonts w:ascii="Arial" w:hAnsi="Arial" w:cs="Arial"/>
          <w:color w:val="7B7B7B" w:themeColor="accent3" w:themeShade="BF"/>
          <w:sz w:val="22"/>
          <w:szCs w:val="22"/>
          <w:lang w:val="en-GB"/>
        </w:rPr>
        <w:t xml:space="preserve">was previously </w:t>
      </w:r>
      <w:r w:rsidR="007B3D56">
        <w:rPr>
          <w:rFonts w:ascii="Arial" w:hAnsi="Arial" w:cs="Arial"/>
          <w:color w:val="7B7B7B" w:themeColor="accent3" w:themeShade="BF"/>
          <w:sz w:val="22"/>
          <w:szCs w:val="22"/>
          <w:lang w:val="en-GB"/>
        </w:rPr>
        <w:t xml:space="preserve">automatically </w:t>
      </w:r>
      <w:r w:rsidR="002F1D13">
        <w:rPr>
          <w:rFonts w:ascii="Arial" w:hAnsi="Arial" w:cs="Arial"/>
          <w:color w:val="7B7B7B" w:themeColor="accent3" w:themeShade="BF"/>
          <w:sz w:val="22"/>
          <w:szCs w:val="22"/>
          <w:lang w:val="en-GB"/>
        </w:rPr>
        <w:t xml:space="preserve">accorded by the rules of the EIR Recast. </w:t>
      </w:r>
      <w:r w:rsidR="00E14811">
        <w:rPr>
          <w:rFonts w:ascii="Arial" w:hAnsi="Arial" w:cs="Arial"/>
          <w:color w:val="7B7B7B" w:themeColor="accent3" w:themeShade="BF"/>
          <w:sz w:val="22"/>
          <w:szCs w:val="22"/>
          <w:lang w:val="en-GB"/>
        </w:rPr>
        <w:t>Conversely, other proceedings opened in other</w:t>
      </w:r>
      <w:r w:rsidR="005A3E79">
        <w:rPr>
          <w:rFonts w:ascii="Arial" w:hAnsi="Arial" w:cs="Arial"/>
          <w:color w:val="7B7B7B" w:themeColor="accent3" w:themeShade="BF"/>
          <w:sz w:val="22"/>
          <w:szCs w:val="22"/>
          <w:lang w:val="en-GB"/>
        </w:rPr>
        <w:t xml:space="preserve"> EU member states</w:t>
      </w:r>
      <w:r w:rsidR="00E14811">
        <w:rPr>
          <w:rFonts w:ascii="Arial" w:hAnsi="Arial" w:cs="Arial"/>
          <w:color w:val="7B7B7B" w:themeColor="accent3" w:themeShade="BF"/>
          <w:sz w:val="22"/>
          <w:szCs w:val="22"/>
          <w:lang w:val="en-GB"/>
        </w:rPr>
        <w:t xml:space="preserve"> outside the UK by Fernz, would not benefit from the automatic recognition in the UK as </w:t>
      </w:r>
      <w:r w:rsidR="003919F7">
        <w:rPr>
          <w:rFonts w:ascii="Arial" w:hAnsi="Arial" w:cs="Arial"/>
          <w:color w:val="7B7B7B" w:themeColor="accent3" w:themeShade="BF"/>
          <w:sz w:val="22"/>
          <w:szCs w:val="22"/>
          <w:lang w:val="en-GB"/>
        </w:rPr>
        <w:t>secondary (subsidiary)</w:t>
      </w:r>
      <w:r w:rsidR="00E14811">
        <w:rPr>
          <w:rFonts w:ascii="Arial" w:hAnsi="Arial" w:cs="Arial"/>
          <w:color w:val="7B7B7B" w:themeColor="accent3" w:themeShade="BF"/>
          <w:sz w:val="22"/>
          <w:szCs w:val="22"/>
          <w:lang w:val="en-GB"/>
        </w:rPr>
        <w:t xml:space="preserve"> territorial proceedings under the rules of the EIR Recast. </w:t>
      </w:r>
      <w:r w:rsidR="007B3D56">
        <w:rPr>
          <w:rFonts w:ascii="Arial" w:hAnsi="Arial" w:cs="Arial"/>
          <w:color w:val="7B7B7B" w:themeColor="accent3" w:themeShade="BF"/>
          <w:sz w:val="22"/>
          <w:szCs w:val="22"/>
          <w:lang w:val="en-GB"/>
        </w:rPr>
        <w:t xml:space="preserve">Following ‘Brexit’, the UK forum’s appointed Insolvency Representative intending to carry out the UK judgement to </w:t>
      </w:r>
      <w:r w:rsidR="000E297A">
        <w:rPr>
          <w:rFonts w:ascii="Arial" w:hAnsi="Arial" w:cs="Arial"/>
          <w:color w:val="7B7B7B" w:themeColor="accent3" w:themeShade="BF"/>
          <w:sz w:val="22"/>
          <w:szCs w:val="22"/>
          <w:lang w:val="en-GB"/>
        </w:rPr>
        <w:t xml:space="preserve">any </w:t>
      </w:r>
      <w:r w:rsidR="007B3D56">
        <w:rPr>
          <w:rFonts w:ascii="Arial" w:hAnsi="Arial" w:cs="Arial"/>
          <w:color w:val="7B7B7B" w:themeColor="accent3" w:themeShade="BF"/>
          <w:sz w:val="22"/>
          <w:szCs w:val="22"/>
          <w:lang w:val="en-GB"/>
        </w:rPr>
        <w:t>EU member state, will have to follow the local procedures for enforcement of foreign judgement that are prevailing in the respective EU member state, and conversely any Insolvency Representative appointed by an EU forum outside the UK, intending to enforce the judgement in the UK, will have to follow the prevailing local UK procedures for enforcement of foreign judgment.</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75BF068D" w:rsidR="00015EE6" w:rsidRDefault="000E297A"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Despite Rydell being unregistered</w:t>
      </w:r>
      <w:r w:rsidR="00F336E6">
        <w:rPr>
          <w:rFonts w:ascii="Arial" w:hAnsi="Arial" w:cs="Arial"/>
          <w:color w:val="7B7B7B" w:themeColor="accent3" w:themeShade="BF"/>
          <w:sz w:val="22"/>
          <w:szCs w:val="22"/>
          <w:lang w:val="en-GB"/>
        </w:rPr>
        <w:t xml:space="preserve"> in the UK,</w:t>
      </w:r>
      <w:r>
        <w:rPr>
          <w:rFonts w:ascii="Arial" w:hAnsi="Arial" w:cs="Arial"/>
          <w:color w:val="7B7B7B" w:themeColor="accent3" w:themeShade="BF"/>
          <w:sz w:val="22"/>
          <w:szCs w:val="22"/>
          <w:lang w:val="en-GB"/>
        </w:rPr>
        <w:t xml:space="preserve"> and have had its COMI outside the UK, a</w:t>
      </w:r>
      <w:r w:rsidR="00F336E6">
        <w:rPr>
          <w:rFonts w:ascii="Arial" w:hAnsi="Arial" w:cs="Arial"/>
          <w:color w:val="7B7B7B" w:themeColor="accent3" w:themeShade="BF"/>
          <w:sz w:val="22"/>
          <w:szCs w:val="22"/>
          <w:lang w:val="en-GB"/>
        </w:rPr>
        <w:t xml:space="preserve"> formal</w:t>
      </w:r>
      <w:r>
        <w:rPr>
          <w:rFonts w:ascii="Arial" w:hAnsi="Arial" w:cs="Arial"/>
          <w:color w:val="7B7B7B" w:themeColor="accent3" w:themeShade="BF"/>
          <w:sz w:val="22"/>
          <w:szCs w:val="22"/>
          <w:lang w:val="en-GB"/>
        </w:rPr>
        <w:t xml:space="preserve"> insolvency proceeding</w:t>
      </w:r>
      <w:r w:rsidR="00F336E6">
        <w:rPr>
          <w:rFonts w:ascii="Arial" w:hAnsi="Arial" w:cs="Arial"/>
          <w:color w:val="7B7B7B" w:themeColor="accent3" w:themeShade="BF"/>
          <w:sz w:val="22"/>
          <w:szCs w:val="22"/>
          <w:lang w:val="en-GB"/>
        </w:rPr>
        <w:t xml:space="preserve"> can still be opened against Rydell in the UK. The Insolvency Act 1986 (the “Act”) and its related Insolvency Rules 2016 SI 2016/1024 are the relevant domestic laws in the UK.</w:t>
      </w:r>
      <w:r w:rsidR="00DF7AA1">
        <w:rPr>
          <w:rFonts w:ascii="Arial" w:hAnsi="Arial" w:cs="Arial"/>
          <w:color w:val="7B7B7B" w:themeColor="accent3" w:themeShade="BF"/>
          <w:sz w:val="22"/>
          <w:szCs w:val="22"/>
          <w:lang w:val="en-GB"/>
        </w:rPr>
        <w:t xml:space="preserve"> </w:t>
      </w:r>
      <w:r w:rsidR="00F451AD">
        <w:rPr>
          <w:rFonts w:ascii="Arial" w:hAnsi="Arial" w:cs="Arial"/>
          <w:color w:val="7B7B7B" w:themeColor="accent3" w:themeShade="BF"/>
          <w:sz w:val="22"/>
          <w:szCs w:val="22"/>
          <w:lang w:val="en-GB"/>
        </w:rPr>
        <w:t xml:space="preserve">The EIR Recast would no longer be applicable given that it was opened past the deadline of the transitional period following ‘Brexit’. </w:t>
      </w:r>
      <w:r w:rsidR="00DF7AA1">
        <w:rPr>
          <w:rFonts w:ascii="Arial" w:hAnsi="Arial" w:cs="Arial"/>
          <w:color w:val="7B7B7B" w:themeColor="accent3" w:themeShade="BF"/>
          <w:sz w:val="22"/>
          <w:szCs w:val="22"/>
          <w:lang w:val="en-GB"/>
        </w:rPr>
        <w:t>The Act provides the possibility of a winding-up order against foreign unregistered companies in the following situations;</w:t>
      </w:r>
    </w:p>
    <w:p w14:paraId="60D896D0" w14:textId="7F0FBFA7" w:rsidR="00DF7AA1" w:rsidRPr="00DF7AA1" w:rsidRDefault="00DF7AA1" w:rsidP="00DF7AA1">
      <w:pPr>
        <w:pStyle w:val="ListParagraph"/>
        <w:numPr>
          <w:ilvl w:val="0"/>
          <w:numId w:val="23"/>
        </w:numPr>
        <w:autoSpaceDE w:val="0"/>
        <w:autoSpaceDN w:val="0"/>
        <w:adjustRightInd w:val="0"/>
        <w:spacing w:line="276"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w:t>
      </w:r>
      <w:r w:rsidRPr="00DF7AA1">
        <w:rPr>
          <w:rFonts w:ascii="Arial" w:hAnsi="Arial" w:cs="Arial"/>
          <w:color w:val="808080" w:themeColor="background1" w:themeShade="80"/>
          <w:sz w:val="22"/>
          <w:szCs w:val="22"/>
          <w:lang w:val="en-GB"/>
        </w:rPr>
        <w:t xml:space="preserve">here the </w:t>
      </w:r>
      <w:r>
        <w:rPr>
          <w:rFonts w:ascii="Arial" w:hAnsi="Arial" w:cs="Arial"/>
          <w:color w:val="808080" w:themeColor="background1" w:themeShade="80"/>
          <w:sz w:val="22"/>
          <w:szCs w:val="22"/>
          <w:lang w:val="en-GB"/>
        </w:rPr>
        <w:t xml:space="preserve">company </w:t>
      </w:r>
      <w:r w:rsidRPr="00DF7AA1">
        <w:rPr>
          <w:rFonts w:ascii="Arial" w:hAnsi="Arial" w:cs="Arial"/>
          <w:color w:val="808080" w:themeColor="background1" w:themeShade="80"/>
          <w:sz w:val="22"/>
          <w:szCs w:val="22"/>
          <w:lang w:val="en-GB"/>
        </w:rPr>
        <w:t>has been dissolved or has ceased its business or is carrying on business only to wind up its affairs;</w:t>
      </w:r>
    </w:p>
    <w:p w14:paraId="1606424D" w14:textId="7F203A54" w:rsidR="00DF7AA1" w:rsidRDefault="00DF7AA1" w:rsidP="00DF7AA1">
      <w:pPr>
        <w:pStyle w:val="ListParagraph"/>
        <w:numPr>
          <w:ilvl w:val="0"/>
          <w:numId w:val="23"/>
        </w:numPr>
        <w:autoSpaceDE w:val="0"/>
        <w:autoSpaceDN w:val="0"/>
        <w:adjustRightInd w:val="0"/>
        <w:spacing w:line="276"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w:t>
      </w:r>
      <w:r w:rsidRPr="00DF7AA1">
        <w:rPr>
          <w:rFonts w:ascii="Arial" w:hAnsi="Arial" w:cs="Arial"/>
          <w:color w:val="808080" w:themeColor="background1" w:themeShade="80"/>
          <w:sz w:val="22"/>
          <w:szCs w:val="22"/>
          <w:lang w:val="en-GB"/>
        </w:rPr>
        <w:t xml:space="preserve">here the </w:t>
      </w:r>
      <w:r>
        <w:rPr>
          <w:rFonts w:ascii="Arial" w:hAnsi="Arial" w:cs="Arial"/>
          <w:color w:val="808080" w:themeColor="background1" w:themeShade="80"/>
          <w:sz w:val="22"/>
          <w:szCs w:val="22"/>
          <w:lang w:val="en-GB"/>
        </w:rPr>
        <w:t>company is unable to repay its debt;</w:t>
      </w:r>
    </w:p>
    <w:p w14:paraId="19FA9B9A" w14:textId="33B9C567" w:rsidR="00DF7AA1" w:rsidRDefault="00DF7AA1" w:rsidP="00DF7AA1">
      <w:pPr>
        <w:pStyle w:val="ListParagraph"/>
        <w:numPr>
          <w:ilvl w:val="0"/>
          <w:numId w:val="23"/>
        </w:numPr>
        <w:autoSpaceDE w:val="0"/>
        <w:autoSpaceDN w:val="0"/>
        <w:adjustRightInd w:val="0"/>
        <w:spacing w:line="276"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where it is in the court’s opinion the wind-up judgement would be just and equitable.</w:t>
      </w:r>
    </w:p>
    <w:p w14:paraId="78D6CC3E" w14:textId="24E6732E" w:rsidR="00DF7AA1" w:rsidRDefault="00DF7AA1" w:rsidP="00DF7AA1">
      <w:pPr>
        <w:autoSpaceDE w:val="0"/>
        <w:autoSpaceDN w:val="0"/>
        <w:adjustRightInd w:val="0"/>
        <w:spacing w:line="276" w:lineRule="auto"/>
        <w:jc w:val="both"/>
        <w:rPr>
          <w:rFonts w:ascii="Arial" w:hAnsi="Arial" w:cs="Arial"/>
          <w:color w:val="808080" w:themeColor="background1" w:themeShade="80"/>
          <w:sz w:val="22"/>
          <w:szCs w:val="22"/>
          <w:lang w:val="en-GB"/>
        </w:rPr>
      </w:pPr>
    </w:p>
    <w:p w14:paraId="37DD651B" w14:textId="70477937" w:rsidR="00DF7AA1" w:rsidRDefault="00DF7AA1" w:rsidP="00DF7AA1">
      <w:pPr>
        <w:autoSpaceDE w:val="0"/>
        <w:autoSpaceDN w:val="0"/>
        <w:adjustRightInd w:val="0"/>
        <w:spacing w:line="276" w:lineRule="auto"/>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Furthermore, the courts would require to satisfy ‘sufficient connection’ with England and Wales test in hearing or approving the insolvency proceeding against foreign companies. This ‘sufficient connection’ test consists of satisfying three core requirements;</w:t>
      </w:r>
    </w:p>
    <w:p w14:paraId="06210520" w14:textId="77777777" w:rsidR="00DF7AA1" w:rsidRDefault="00DF7AA1" w:rsidP="00DF7AA1">
      <w:pPr>
        <w:pStyle w:val="ListParagraph"/>
        <w:numPr>
          <w:ilvl w:val="0"/>
          <w:numId w:val="24"/>
        </w:numPr>
        <w:autoSpaceDE w:val="0"/>
        <w:autoSpaceDN w:val="0"/>
        <w:adjustRightInd w:val="0"/>
        <w:spacing w:line="276" w:lineRule="auto"/>
        <w:ind w:left="360" w:hanging="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having a connection with England and Wales, which may, but does not have to, entail having an asset located in England and Wales;</w:t>
      </w:r>
    </w:p>
    <w:p w14:paraId="27BDA669" w14:textId="77777777" w:rsidR="00DF7AA1" w:rsidRDefault="00DF7AA1" w:rsidP="00DF7AA1">
      <w:pPr>
        <w:pStyle w:val="ListParagraph"/>
        <w:numPr>
          <w:ilvl w:val="0"/>
          <w:numId w:val="24"/>
        </w:numPr>
        <w:autoSpaceDE w:val="0"/>
        <w:autoSpaceDN w:val="0"/>
        <w:adjustRightInd w:val="0"/>
        <w:spacing w:line="276" w:lineRule="auto"/>
        <w:ind w:left="360" w:hanging="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having a reasonable possibility that the winding-up order would benefit the petitioner or applicant of the winding-up order;</w:t>
      </w:r>
    </w:p>
    <w:p w14:paraId="5BB221F9" w14:textId="3C6B4A55" w:rsidR="00DF7AA1" w:rsidRPr="00DF7AA1" w:rsidRDefault="00DF7AA1" w:rsidP="00DF7AA1">
      <w:pPr>
        <w:pStyle w:val="ListParagraph"/>
        <w:numPr>
          <w:ilvl w:val="0"/>
          <w:numId w:val="24"/>
        </w:numPr>
        <w:autoSpaceDE w:val="0"/>
        <w:autoSpaceDN w:val="0"/>
        <w:adjustRightInd w:val="0"/>
        <w:spacing w:line="276" w:lineRule="auto"/>
        <w:ind w:left="360" w:hanging="36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having one or more person interested in the distribution of debtor’s assets to be person(s) over whom the court has jurisdiction. </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722C1D98" w14:textId="35316DF5" w:rsidR="009B0723" w:rsidRPr="00205B31" w:rsidRDefault="00C606C3" w:rsidP="00271199">
      <w:pPr>
        <w:jc w:val="center"/>
        <w:rPr>
          <w:rFonts w:ascii="Arial" w:hAnsi="Arial" w:cs="Arial"/>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r w:rsidR="009B0723"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9F61" w14:textId="77777777" w:rsidR="00217FF7" w:rsidRDefault="00217FF7" w:rsidP="00241B44">
      <w:r>
        <w:separator/>
      </w:r>
    </w:p>
  </w:endnote>
  <w:endnote w:type="continuationSeparator" w:id="0">
    <w:p w14:paraId="5E8FEDCB" w14:textId="77777777" w:rsidR="00217FF7" w:rsidRDefault="00217FF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A5E1" w14:textId="6DFABFEB" w:rsidR="006E1CB0" w:rsidRPr="0052732A" w:rsidRDefault="00D17946" w:rsidP="0052732A">
    <w:pPr>
      <w:pStyle w:val="Footer"/>
      <w:ind w:right="36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Pr>
        <w:rFonts w:ascii="Arial" w:hAnsi="Arial" w:cs="Arial"/>
        <w:noProof/>
        <w:sz w:val="18"/>
        <w:szCs w:val="18"/>
      </w:rPr>
      <w:t>202122-504.assessment1summative</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F0FC" w14:textId="0C796A05" w:rsidR="00D17946" w:rsidRDefault="00217FF7">
    <w:pPr>
      <w:pStyle w:val="Footer"/>
    </w:pPr>
    <w:r>
      <w:fldChar w:fldCharType="begin"/>
    </w:r>
    <w:r>
      <w:instrText xml:space="preserve"> FILENAME \* MERGEFORMAT </w:instrText>
    </w:r>
    <w:r>
      <w:fldChar w:fldCharType="separate"/>
    </w:r>
    <w:r w:rsidR="00D17946">
      <w:rPr>
        <w:noProof/>
      </w:rPr>
      <w:t>202122-504.assessment1summative</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A867" w14:textId="77777777" w:rsidR="00217FF7" w:rsidRDefault="00217FF7" w:rsidP="00241B44">
      <w:r>
        <w:separator/>
      </w:r>
    </w:p>
  </w:footnote>
  <w:footnote w:type="continuationSeparator" w:id="0">
    <w:p w14:paraId="18114D12" w14:textId="77777777" w:rsidR="00217FF7" w:rsidRDefault="00217FF7" w:rsidP="00241B44">
      <w:r>
        <w:continuationSeparator/>
      </w:r>
    </w:p>
  </w:footnote>
  <w:footnote w:id="1">
    <w:p w14:paraId="19F12982" w14:textId="709FF513" w:rsidR="009A743B" w:rsidRPr="009A743B" w:rsidRDefault="009A743B" w:rsidP="009A743B">
      <w:pPr>
        <w:pStyle w:val="FootnoteText"/>
      </w:pPr>
      <w:r>
        <w:rPr>
          <w:rStyle w:val="FootnoteReference"/>
        </w:rPr>
        <w:footnoteRef/>
      </w:r>
      <w:r>
        <w:t xml:space="preserve"> Paul H Zumbro, “Cross-border Insolvencies and International Protocols – an Imperfect but Effective Tool” (2010), 11 </w:t>
      </w:r>
      <w:r w:rsidRPr="009A743B">
        <w:rPr>
          <w:i/>
          <w:iCs/>
        </w:rPr>
        <w:t>Business Law International</w:t>
      </w:r>
      <w:r>
        <w:t>, p 163.</w:t>
      </w:r>
    </w:p>
  </w:footnote>
  <w:footnote w:id="2">
    <w:p w14:paraId="22052E85" w14:textId="5920B31F" w:rsidR="00271199" w:rsidRDefault="00271199">
      <w:pPr>
        <w:pStyle w:val="FootnoteText"/>
      </w:pPr>
      <w:r>
        <w:rPr>
          <w:rStyle w:val="FootnoteReference"/>
        </w:rPr>
        <w:footnoteRef/>
      </w:r>
      <w:r>
        <w:t xml:space="preserve"> </w:t>
      </w:r>
      <w:r w:rsidRPr="00271199">
        <w:rPr>
          <w:i/>
          <w:iCs/>
        </w:rPr>
        <w:t>Ibid</w:t>
      </w:r>
      <w:r>
        <w:t xml:space="preserve">, at </w:t>
      </w:r>
      <w:r w:rsidR="00C52AF5">
        <w:t xml:space="preserve">p </w:t>
      </w:r>
      <w:r>
        <w:t>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A2972B8"/>
    <w:multiLevelType w:val="hybridMultilevel"/>
    <w:tmpl w:val="480EBE94"/>
    <w:lvl w:ilvl="0" w:tplc="C81099F0">
      <w:start w:val="1"/>
      <w:numFmt w:val="bullet"/>
      <w:lvlText w:val=""/>
      <w:lvlJc w:val="left"/>
      <w:pPr>
        <w:ind w:left="360" w:hanging="360"/>
      </w:pPr>
      <w:rPr>
        <w:rFonts w:ascii="Symbol" w:hAnsi="Symbol" w:hint="default"/>
        <w:color w:val="BFBFBF" w:themeColor="background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 w15:restartNumberingAfterBreak="0">
    <w:nsid w:val="0D831EFB"/>
    <w:multiLevelType w:val="hybridMultilevel"/>
    <w:tmpl w:val="863E6A48"/>
    <w:lvl w:ilvl="0" w:tplc="3E7229AE">
      <w:start w:val="1"/>
      <w:numFmt w:val="lowerRoman"/>
      <w:lvlText w:val="(%1)"/>
      <w:lvlJc w:val="left"/>
      <w:pPr>
        <w:ind w:left="720" w:hanging="72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E570614"/>
    <w:multiLevelType w:val="hybridMultilevel"/>
    <w:tmpl w:val="C6DC8D7C"/>
    <w:lvl w:ilvl="0" w:tplc="C81099F0">
      <w:start w:val="1"/>
      <w:numFmt w:val="bullet"/>
      <w:lvlText w:val=""/>
      <w:lvlJc w:val="left"/>
      <w:pPr>
        <w:ind w:left="360" w:hanging="360"/>
      </w:pPr>
      <w:rPr>
        <w:rFonts w:ascii="Symbol" w:hAnsi="Symbol" w:hint="default"/>
        <w:color w:val="BFBFBF" w:themeColor="background1" w:themeShade="BF"/>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9"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9FC42B7"/>
    <w:multiLevelType w:val="hybridMultilevel"/>
    <w:tmpl w:val="C41CE956"/>
    <w:lvl w:ilvl="0" w:tplc="1DC8CA20">
      <w:start w:val="1"/>
      <w:numFmt w:val="lowerLetter"/>
      <w:lvlText w:val="(%1)"/>
      <w:lvlJc w:val="left"/>
      <w:pPr>
        <w:ind w:left="360" w:hanging="360"/>
      </w:pPr>
      <w:rPr>
        <w:rFonts w:hint="default"/>
        <w:color w:val="7B7B7B" w:themeColor="accent3" w:themeShade="BF"/>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42197562"/>
    <w:multiLevelType w:val="hybridMultilevel"/>
    <w:tmpl w:val="EEBA1986"/>
    <w:lvl w:ilvl="0" w:tplc="38090005">
      <w:start w:val="1"/>
      <w:numFmt w:val="bullet"/>
      <w:lvlText w:val=""/>
      <w:lvlJc w:val="left"/>
      <w:pPr>
        <w:ind w:left="360" w:hanging="360"/>
      </w:pPr>
      <w:rPr>
        <w:rFonts w:ascii="Wingdings" w:hAnsi="Wingdings"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2"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7"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2913A0"/>
    <w:multiLevelType w:val="hybridMultilevel"/>
    <w:tmpl w:val="069AAA5A"/>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9"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74D017A8"/>
    <w:multiLevelType w:val="hybridMultilevel"/>
    <w:tmpl w:val="915287D2"/>
    <w:lvl w:ilvl="0" w:tplc="782E0388">
      <w:start w:val="1"/>
      <w:numFmt w:val="bullet"/>
      <w:lvlText w:val=""/>
      <w:lvlJc w:val="left"/>
      <w:pPr>
        <w:ind w:left="360" w:hanging="360"/>
      </w:pPr>
      <w:rPr>
        <w:rFonts w:ascii="Wingdings" w:hAnsi="Wingdings" w:hint="default"/>
        <w:color w:val="BFBFBF" w:themeColor="background1"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B373830"/>
    <w:multiLevelType w:val="hybridMultilevel"/>
    <w:tmpl w:val="B5286410"/>
    <w:lvl w:ilvl="0" w:tplc="C81099F0">
      <w:start w:val="1"/>
      <w:numFmt w:val="bullet"/>
      <w:lvlText w:val=""/>
      <w:lvlJc w:val="left"/>
      <w:pPr>
        <w:ind w:left="360" w:hanging="360"/>
      </w:pPr>
      <w:rPr>
        <w:rFonts w:ascii="Symbol" w:hAnsi="Symbol" w:hint="default"/>
        <w:color w:val="BFBFBF" w:themeColor="background1" w:themeShade="BF"/>
      </w:rPr>
    </w:lvl>
    <w:lvl w:ilvl="1" w:tplc="38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2"/>
  </w:num>
  <w:num w:numId="2">
    <w:abstractNumId w:val="13"/>
  </w:num>
  <w:num w:numId="3">
    <w:abstractNumId w:val="23"/>
  </w:num>
  <w:num w:numId="4">
    <w:abstractNumId w:val="6"/>
  </w:num>
  <w:num w:numId="5">
    <w:abstractNumId w:val="4"/>
  </w:num>
  <w:num w:numId="6">
    <w:abstractNumId w:val="19"/>
  </w:num>
  <w:num w:numId="7">
    <w:abstractNumId w:val="5"/>
  </w:num>
  <w:num w:numId="8">
    <w:abstractNumId w:val="3"/>
  </w:num>
  <w:num w:numId="9">
    <w:abstractNumId w:val="0"/>
  </w:num>
  <w:num w:numId="10">
    <w:abstractNumId w:val="7"/>
  </w:num>
  <w:num w:numId="11">
    <w:abstractNumId w:val="15"/>
  </w:num>
  <w:num w:numId="12">
    <w:abstractNumId w:val="21"/>
  </w:num>
  <w:num w:numId="13">
    <w:abstractNumId w:val="16"/>
  </w:num>
  <w:num w:numId="14">
    <w:abstractNumId w:val="9"/>
  </w:num>
  <w:num w:numId="15">
    <w:abstractNumId w:val="14"/>
  </w:num>
  <w:num w:numId="16">
    <w:abstractNumId w:val="17"/>
  </w:num>
  <w:num w:numId="17">
    <w:abstractNumId w:val="18"/>
  </w:num>
  <w:num w:numId="18">
    <w:abstractNumId w:val="22"/>
  </w:num>
  <w:num w:numId="19">
    <w:abstractNumId w:val="11"/>
  </w:num>
  <w:num w:numId="20">
    <w:abstractNumId w:val="20"/>
  </w:num>
  <w:num w:numId="21">
    <w:abstractNumId w:val="1"/>
  </w:num>
  <w:num w:numId="22">
    <w:abstractNumId w:val="8"/>
  </w:num>
  <w:num w:numId="23">
    <w:abstractNumId w:val="10"/>
  </w:num>
  <w:num w:numId="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GB" w:vendorID="64" w:dllVersion="4096" w:nlCheck="1" w:checkStyle="0"/>
  <w:activeWritingStyle w:appName="MSWord" w:lang="en-US" w:vendorID="64" w:dllVersion="4096" w:nlCheck="1" w:checkStyle="0"/>
  <w:proofState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37A"/>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689"/>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312"/>
    <w:rsid w:val="000A0C1B"/>
    <w:rsid w:val="000A68ED"/>
    <w:rsid w:val="000A74CA"/>
    <w:rsid w:val="000B5B93"/>
    <w:rsid w:val="000B5FF1"/>
    <w:rsid w:val="000B609F"/>
    <w:rsid w:val="000D55A8"/>
    <w:rsid w:val="000D57BE"/>
    <w:rsid w:val="000D5F4C"/>
    <w:rsid w:val="000D6876"/>
    <w:rsid w:val="000E0165"/>
    <w:rsid w:val="000E297A"/>
    <w:rsid w:val="000E3A82"/>
    <w:rsid w:val="000E3C5A"/>
    <w:rsid w:val="000E4841"/>
    <w:rsid w:val="000E5CB4"/>
    <w:rsid w:val="000F0DC0"/>
    <w:rsid w:val="000F0FFF"/>
    <w:rsid w:val="000F1677"/>
    <w:rsid w:val="000F16AA"/>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56473"/>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3B2F"/>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17FF7"/>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1199"/>
    <w:rsid w:val="0027242B"/>
    <w:rsid w:val="0027299F"/>
    <w:rsid w:val="00275182"/>
    <w:rsid w:val="00275946"/>
    <w:rsid w:val="00277441"/>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B4B1C"/>
    <w:rsid w:val="002C1227"/>
    <w:rsid w:val="002C13C8"/>
    <w:rsid w:val="002C259C"/>
    <w:rsid w:val="002C3547"/>
    <w:rsid w:val="002D0021"/>
    <w:rsid w:val="002D10A3"/>
    <w:rsid w:val="002D295D"/>
    <w:rsid w:val="002D3473"/>
    <w:rsid w:val="002D7F97"/>
    <w:rsid w:val="002E37B7"/>
    <w:rsid w:val="002E4A02"/>
    <w:rsid w:val="002E4A1F"/>
    <w:rsid w:val="002E66F4"/>
    <w:rsid w:val="002E6CD3"/>
    <w:rsid w:val="002F1956"/>
    <w:rsid w:val="002F1D13"/>
    <w:rsid w:val="002F2B8D"/>
    <w:rsid w:val="002F3440"/>
    <w:rsid w:val="002F3B17"/>
    <w:rsid w:val="002F5DD8"/>
    <w:rsid w:val="002F75A3"/>
    <w:rsid w:val="002F75CD"/>
    <w:rsid w:val="002F7EB5"/>
    <w:rsid w:val="0030201F"/>
    <w:rsid w:val="00303C2F"/>
    <w:rsid w:val="0030558B"/>
    <w:rsid w:val="00306BE3"/>
    <w:rsid w:val="00306E87"/>
    <w:rsid w:val="00310FC2"/>
    <w:rsid w:val="003144EF"/>
    <w:rsid w:val="00326292"/>
    <w:rsid w:val="00326415"/>
    <w:rsid w:val="00327843"/>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19F7"/>
    <w:rsid w:val="003937B9"/>
    <w:rsid w:val="003948D5"/>
    <w:rsid w:val="003957FD"/>
    <w:rsid w:val="00396821"/>
    <w:rsid w:val="00396CE5"/>
    <w:rsid w:val="003979A3"/>
    <w:rsid w:val="00397D3A"/>
    <w:rsid w:val="003A051E"/>
    <w:rsid w:val="003A0BBE"/>
    <w:rsid w:val="003A2448"/>
    <w:rsid w:val="003A3128"/>
    <w:rsid w:val="003A60FF"/>
    <w:rsid w:val="003A696A"/>
    <w:rsid w:val="003B1310"/>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6E89"/>
    <w:rsid w:val="00437297"/>
    <w:rsid w:val="00437ABE"/>
    <w:rsid w:val="00440AC5"/>
    <w:rsid w:val="00444284"/>
    <w:rsid w:val="004442F1"/>
    <w:rsid w:val="004444A8"/>
    <w:rsid w:val="00445CE6"/>
    <w:rsid w:val="004534C2"/>
    <w:rsid w:val="00453967"/>
    <w:rsid w:val="0045446F"/>
    <w:rsid w:val="00454C9D"/>
    <w:rsid w:val="0045683E"/>
    <w:rsid w:val="0046142D"/>
    <w:rsid w:val="0046274F"/>
    <w:rsid w:val="0046298C"/>
    <w:rsid w:val="00463259"/>
    <w:rsid w:val="004641BC"/>
    <w:rsid w:val="004659E0"/>
    <w:rsid w:val="004705B6"/>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0902"/>
    <w:rsid w:val="004C1DA6"/>
    <w:rsid w:val="004C5E4F"/>
    <w:rsid w:val="004C7030"/>
    <w:rsid w:val="004C713E"/>
    <w:rsid w:val="004D1A5A"/>
    <w:rsid w:val="004D2FFF"/>
    <w:rsid w:val="004D3721"/>
    <w:rsid w:val="004D64F9"/>
    <w:rsid w:val="004D687E"/>
    <w:rsid w:val="004E193C"/>
    <w:rsid w:val="004E4224"/>
    <w:rsid w:val="004E5A14"/>
    <w:rsid w:val="004E5DE1"/>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1A72"/>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3E79"/>
    <w:rsid w:val="005A5ACB"/>
    <w:rsid w:val="005A726D"/>
    <w:rsid w:val="005B2AA0"/>
    <w:rsid w:val="005B32F2"/>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1582"/>
    <w:rsid w:val="005F244F"/>
    <w:rsid w:val="005F2D0B"/>
    <w:rsid w:val="005F453F"/>
    <w:rsid w:val="005F4B31"/>
    <w:rsid w:val="005F5449"/>
    <w:rsid w:val="005F6059"/>
    <w:rsid w:val="0060397D"/>
    <w:rsid w:val="00610388"/>
    <w:rsid w:val="00612092"/>
    <w:rsid w:val="00612CA5"/>
    <w:rsid w:val="006153EC"/>
    <w:rsid w:val="00621A17"/>
    <w:rsid w:val="006254F3"/>
    <w:rsid w:val="00627CC9"/>
    <w:rsid w:val="00627E7B"/>
    <w:rsid w:val="00630542"/>
    <w:rsid w:val="00630727"/>
    <w:rsid w:val="00631E7B"/>
    <w:rsid w:val="00632E44"/>
    <w:rsid w:val="0063316D"/>
    <w:rsid w:val="00633DC9"/>
    <w:rsid w:val="00634622"/>
    <w:rsid w:val="00635CF9"/>
    <w:rsid w:val="00636808"/>
    <w:rsid w:val="0064043F"/>
    <w:rsid w:val="00641515"/>
    <w:rsid w:val="00643ABE"/>
    <w:rsid w:val="006521CD"/>
    <w:rsid w:val="00652A22"/>
    <w:rsid w:val="00653584"/>
    <w:rsid w:val="00654C2F"/>
    <w:rsid w:val="00655438"/>
    <w:rsid w:val="00657087"/>
    <w:rsid w:val="0065715A"/>
    <w:rsid w:val="00664609"/>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1BA7"/>
    <w:rsid w:val="00713DA4"/>
    <w:rsid w:val="007142FA"/>
    <w:rsid w:val="00714BF1"/>
    <w:rsid w:val="00721383"/>
    <w:rsid w:val="007216AD"/>
    <w:rsid w:val="00726E9A"/>
    <w:rsid w:val="00727864"/>
    <w:rsid w:val="007333CC"/>
    <w:rsid w:val="007335D8"/>
    <w:rsid w:val="0073399A"/>
    <w:rsid w:val="00734B20"/>
    <w:rsid w:val="00735516"/>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868D4"/>
    <w:rsid w:val="00790B4C"/>
    <w:rsid w:val="0079206E"/>
    <w:rsid w:val="00793173"/>
    <w:rsid w:val="007958F0"/>
    <w:rsid w:val="00797E1B"/>
    <w:rsid w:val="007A12A4"/>
    <w:rsid w:val="007B1E13"/>
    <w:rsid w:val="007B3D56"/>
    <w:rsid w:val="007B76A9"/>
    <w:rsid w:val="007C0111"/>
    <w:rsid w:val="007C0663"/>
    <w:rsid w:val="007C1FCC"/>
    <w:rsid w:val="007C2831"/>
    <w:rsid w:val="007C2AA1"/>
    <w:rsid w:val="007C6201"/>
    <w:rsid w:val="007C6D10"/>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5818"/>
    <w:rsid w:val="008C66E0"/>
    <w:rsid w:val="008C7E6B"/>
    <w:rsid w:val="008D0122"/>
    <w:rsid w:val="008D3E17"/>
    <w:rsid w:val="008D5D34"/>
    <w:rsid w:val="008D707E"/>
    <w:rsid w:val="008D7718"/>
    <w:rsid w:val="008E220E"/>
    <w:rsid w:val="008E3339"/>
    <w:rsid w:val="008E64D3"/>
    <w:rsid w:val="008E6F11"/>
    <w:rsid w:val="008F20FC"/>
    <w:rsid w:val="008F50C4"/>
    <w:rsid w:val="008F5FFE"/>
    <w:rsid w:val="0090037B"/>
    <w:rsid w:val="00905A43"/>
    <w:rsid w:val="00907848"/>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1AA"/>
    <w:rsid w:val="00975640"/>
    <w:rsid w:val="00976DA5"/>
    <w:rsid w:val="009773BA"/>
    <w:rsid w:val="00981608"/>
    <w:rsid w:val="0098468B"/>
    <w:rsid w:val="00991272"/>
    <w:rsid w:val="00991428"/>
    <w:rsid w:val="00992676"/>
    <w:rsid w:val="009A5354"/>
    <w:rsid w:val="009A6A10"/>
    <w:rsid w:val="009A7172"/>
    <w:rsid w:val="009A743B"/>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9F606D"/>
    <w:rsid w:val="00A03A7C"/>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06576"/>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B49"/>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2AF5"/>
    <w:rsid w:val="00C53E2C"/>
    <w:rsid w:val="00C550C8"/>
    <w:rsid w:val="00C56B61"/>
    <w:rsid w:val="00C570AC"/>
    <w:rsid w:val="00C5730D"/>
    <w:rsid w:val="00C60631"/>
    <w:rsid w:val="00C606C3"/>
    <w:rsid w:val="00C620F4"/>
    <w:rsid w:val="00C628A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7F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946"/>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A5340"/>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A1"/>
    <w:rsid w:val="00DF7AD4"/>
    <w:rsid w:val="00E009E1"/>
    <w:rsid w:val="00E00C00"/>
    <w:rsid w:val="00E00E54"/>
    <w:rsid w:val="00E041F9"/>
    <w:rsid w:val="00E05837"/>
    <w:rsid w:val="00E07C5A"/>
    <w:rsid w:val="00E10A73"/>
    <w:rsid w:val="00E12C13"/>
    <w:rsid w:val="00E14811"/>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876E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2003"/>
    <w:rsid w:val="00F13FB1"/>
    <w:rsid w:val="00F15181"/>
    <w:rsid w:val="00F1640B"/>
    <w:rsid w:val="00F2025D"/>
    <w:rsid w:val="00F27CD8"/>
    <w:rsid w:val="00F30351"/>
    <w:rsid w:val="00F3323E"/>
    <w:rsid w:val="00F336E6"/>
    <w:rsid w:val="00F341F4"/>
    <w:rsid w:val="00F34F9D"/>
    <w:rsid w:val="00F34FAD"/>
    <w:rsid w:val="00F3554C"/>
    <w:rsid w:val="00F35CCE"/>
    <w:rsid w:val="00F35D73"/>
    <w:rsid w:val="00F366E1"/>
    <w:rsid w:val="00F42B4B"/>
    <w:rsid w:val="00F4376C"/>
    <w:rsid w:val="00F451AD"/>
    <w:rsid w:val="00F45599"/>
    <w:rsid w:val="00F50D48"/>
    <w:rsid w:val="00F52E31"/>
    <w:rsid w:val="00F54776"/>
    <w:rsid w:val="00F5524B"/>
    <w:rsid w:val="00F5710B"/>
    <w:rsid w:val="00F61DD2"/>
    <w:rsid w:val="00F63720"/>
    <w:rsid w:val="00F65FB6"/>
    <w:rsid w:val="00F66AFF"/>
    <w:rsid w:val="00F67B4D"/>
    <w:rsid w:val="00F71433"/>
    <w:rsid w:val="00F71CE8"/>
    <w:rsid w:val="00F738B0"/>
    <w:rsid w:val="00F80B35"/>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64EF"/>
    <w:rsid w:val="00FD67BA"/>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12</Pages>
  <Words>4317</Words>
  <Characters>24611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OAKSHIRE</cp:lastModifiedBy>
  <cp:revision>30</cp:revision>
  <cp:lastPrinted>2020-06-12T02:43:00Z</cp:lastPrinted>
  <dcterms:created xsi:type="dcterms:W3CDTF">2021-08-03T16:38:00Z</dcterms:created>
  <dcterms:modified xsi:type="dcterms:W3CDTF">2021-11-10T04:19:00Z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