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2B0067">
        <w:rPr>
          <w:rFonts w:ascii="Arial" w:hAnsi="Arial" w:cs="Arial"/>
          <w:sz w:val="22"/>
          <w:szCs w:val="22"/>
          <w:highlight w:val="yellow"/>
          <w:lang w:val="en-GB"/>
        </w:rPr>
        <w:t xml:space="preserve">This statement is incorrect since </w:t>
      </w:r>
      <w:r w:rsidR="00E7793C" w:rsidRPr="002B0067">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2B0067">
        <w:rPr>
          <w:rFonts w:ascii="Arial" w:hAnsi="Arial" w:cs="Arial"/>
          <w:sz w:val="22"/>
          <w:szCs w:val="22"/>
          <w:highlight w:val="yellow"/>
          <w:lang w:val="en-GB"/>
        </w:rPr>
        <w:t>The statement i</w:t>
      </w:r>
      <w:r w:rsidR="006E77B0" w:rsidRPr="002B0067">
        <w:rPr>
          <w:rFonts w:ascii="Arial" w:hAnsi="Arial" w:cs="Arial"/>
          <w:sz w:val="22"/>
          <w:szCs w:val="22"/>
          <w:highlight w:val="yellow"/>
          <w:lang w:val="en-GB"/>
        </w:rPr>
        <w:t>s incorrect since the UK did re</w:t>
      </w:r>
      <w:r w:rsidRPr="002B0067">
        <w:rPr>
          <w:rFonts w:ascii="Arial" w:hAnsi="Arial" w:cs="Arial"/>
          <w:sz w:val="22"/>
          <w:szCs w:val="22"/>
          <w:highlight w:val="yellow"/>
          <w:lang w:val="en-GB"/>
        </w:rPr>
        <w:t>v</w:t>
      </w:r>
      <w:r w:rsidR="006E77B0" w:rsidRPr="002B0067">
        <w:rPr>
          <w:rFonts w:ascii="Arial" w:hAnsi="Arial" w:cs="Arial"/>
          <w:sz w:val="22"/>
          <w:szCs w:val="22"/>
          <w:highlight w:val="yellow"/>
          <w:lang w:val="en-GB"/>
        </w:rPr>
        <w:t>i</w:t>
      </w:r>
      <w:r w:rsidRPr="002B0067">
        <w:rPr>
          <w:rFonts w:ascii="Arial" w:hAnsi="Arial" w:cs="Arial"/>
          <w:sz w:val="22"/>
          <w:szCs w:val="22"/>
          <w:highlight w:val="yellow"/>
          <w:lang w:val="en-GB"/>
        </w:rPr>
        <w:t>ew parts of its insolvency rules and amended some, among</w:t>
      </w:r>
      <w:r w:rsidR="006E77B0" w:rsidRPr="002B0067">
        <w:rPr>
          <w:rFonts w:ascii="Arial" w:hAnsi="Arial" w:cs="Arial"/>
          <w:sz w:val="22"/>
          <w:szCs w:val="22"/>
          <w:highlight w:val="yellow"/>
          <w:lang w:val="en-GB"/>
        </w:rPr>
        <w:t>s</w:t>
      </w:r>
      <w:r w:rsidRPr="002B0067">
        <w:rPr>
          <w:rFonts w:ascii="Arial" w:hAnsi="Arial" w:cs="Arial"/>
          <w:sz w:val="22"/>
          <w:szCs w:val="22"/>
          <w:highlight w:val="yellow"/>
          <w:lang w:val="en-GB"/>
        </w:rPr>
        <w:t>t other</w:t>
      </w:r>
      <w:r w:rsidR="00F96AF1" w:rsidRPr="002B0067">
        <w:rPr>
          <w:rFonts w:ascii="Arial" w:hAnsi="Arial" w:cs="Arial"/>
          <w:sz w:val="22"/>
          <w:szCs w:val="22"/>
          <w:highlight w:val="yellow"/>
          <w:lang w:val="en-GB"/>
        </w:rPr>
        <w:t xml:space="preserve"> things</w:t>
      </w:r>
      <w:r w:rsidRPr="002B0067">
        <w:rPr>
          <w:rFonts w:ascii="Arial" w:hAnsi="Arial" w:cs="Arial"/>
          <w:sz w:val="22"/>
          <w:szCs w:val="22"/>
          <w:highlight w:val="yellow"/>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2B0067">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B0067">
        <w:rPr>
          <w:rFonts w:ascii="Arial" w:hAnsi="Arial" w:cs="Arial"/>
          <w:sz w:val="22"/>
          <w:szCs w:val="22"/>
          <w:highlight w:val="yellow"/>
          <w:lang w:val="en-GB"/>
        </w:rPr>
        <w:t xml:space="preserve">on </w:t>
      </w:r>
      <w:r w:rsidRPr="002B0067">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B0067">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B0067">
        <w:rPr>
          <w:rFonts w:ascii="Arial" w:hAnsi="Arial" w:cs="Arial"/>
          <w:sz w:val="22"/>
          <w:szCs w:val="22"/>
          <w:highlight w:val="yellow"/>
          <w:lang w:val="en-GB"/>
        </w:rPr>
        <w:t xml:space="preserve">The statement is </w:t>
      </w:r>
      <w:r w:rsidR="006E1CB0" w:rsidRPr="002B0067">
        <w:rPr>
          <w:rFonts w:ascii="Arial" w:hAnsi="Arial" w:cs="Arial"/>
          <w:sz w:val="22"/>
          <w:szCs w:val="22"/>
          <w:highlight w:val="yellow"/>
          <w:lang w:val="en-GB"/>
        </w:rPr>
        <w:t xml:space="preserve">not </w:t>
      </w:r>
      <w:r w:rsidRPr="002B0067">
        <w:rPr>
          <w:rFonts w:ascii="Arial" w:hAnsi="Arial" w:cs="Arial"/>
          <w:sz w:val="22"/>
          <w:szCs w:val="22"/>
          <w:highlight w:val="yellow"/>
          <w:lang w:val="en-GB"/>
        </w:rPr>
        <w:t xml:space="preserve">correct </w:t>
      </w:r>
      <w:r w:rsidR="007958F0" w:rsidRPr="002B0067">
        <w:rPr>
          <w:rFonts w:ascii="Arial" w:hAnsi="Arial" w:cs="Arial"/>
          <w:sz w:val="22"/>
          <w:szCs w:val="22"/>
          <w:highlight w:val="yellow"/>
          <w:lang w:val="en-GB"/>
        </w:rPr>
        <w:t>because</w:t>
      </w:r>
      <w:r w:rsidRPr="002B0067">
        <w:rPr>
          <w:rFonts w:ascii="Arial" w:hAnsi="Arial" w:cs="Arial"/>
          <w:sz w:val="22"/>
          <w:szCs w:val="22"/>
          <w:highlight w:val="yellow"/>
          <w:lang w:val="en-GB"/>
        </w:rPr>
        <w:t xml:space="preserve"> very few </w:t>
      </w:r>
      <w:r w:rsidR="007958F0" w:rsidRPr="002B0067">
        <w:rPr>
          <w:rFonts w:ascii="Arial" w:hAnsi="Arial" w:cs="Arial"/>
          <w:sz w:val="22"/>
          <w:szCs w:val="22"/>
          <w:highlight w:val="yellow"/>
          <w:lang w:val="en-GB"/>
        </w:rPr>
        <w:t>States</w:t>
      </w:r>
      <w:r w:rsidRPr="002B0067">
        <w:rPr>
          <w:rFonts w:ascii="Arial" w:hAnsi="Arial" w:cs="Arial"/>
          <w:sz w:val="22"/>
          <w:szCs w:val="22"/>
          <w:highlight w:val="yellow"/>
          <w:lang w:val="en-GB"/>
        </w:rPr>
        <w:t xml:space="preserve"> allow insolvent estate representatives to deal with assets of a foreign debtor situated in </w:t>
      </w:r>
      <w:r w:rsidR="005936B3" w:rsidRPr="002B0067">
        <w:rPr>
          <w:rFonts w:ascii="Arial" w:hAnsi="Arial" w:cs="Arial"/>
          <w:sz w:val="22"/>
          <w:szCs w:val="22"/>
          <w:highlight w:val="yellow"/>
          <w:lang w:val="en-GB"/>
        </w:rPr>
        <w:t>their own</w:t>
      </w:r>
      <w:r w:rsidRPr="002B0067">
        <w:rPr>
          <w:rFonts w:ascii="Arial" w:hAnsi="Arial" w:cs="Arial"/>
          <w:sz w:val="22"/>
          <w:szCs w:val="22"/>
          <w:highlight w:val="yellow"/>
          <w:lang w:val="en-GB"/>
        </w:rPr>
        <w:t xml:space="preserve"> jurisdiction without </w:t>
      </w:r>
      <w:r w:rsidR="006E1CB0" w:rsidRPr="002B0067">
        <w:rPr>
          <w:rFonts w:ascii="Arial" w:hAnsi="Arial" w:cs="Arial"/>
          <w:sz w:val="22"/>
          <w:szCs w:val="22"/>
          <w:highlight w:val="yellow"/>
          <w:lang w:val="en-GB"/>
        </w:rPr>
        <w:t xml:space="preserve">some form of </w:t>
      </w:r>
      <w:r w:rsidR="0090037B" w:rsidRPr="002B0067">
        <w:rPr>
          <w:rFonts w:ascii="Arial" w:hAnsi="Arial" w:cs="Arial"/>
          <w:sz w:val="22"/>
          <w:szCs w:val="22"/>
          <w:highlight w:val="yellow"/>
          <w:lang w:val="en-GB"/>
        </w:rPr>
        <w:t xml:space="preserve">a </w:t>
      </w:r>
      <w:r w:rsidR="006E1CB0" w:rsidRPr="002B0067">
        <w:rPr>
          <w:rFonts w:ascii="Arial" w:hAnsi="Arial" w:cs="Arial"/>
          <w:sz w:val="22"/>
          <w:szCs w:val="22"/>
          <w:highlight w:val="yellow"/>
          <w:lang w:val="en-GB"/>
        </w:rPr>
        <w:t>(</w:t>
      </w:r>
      <w:r w:rsidR="0090037B" w:rsidRPr="002B0067">
        <w:rPr>
          <w:rFonts w:ascii="Arial" w:hAnsi="Arial" w:cs="Arial"/>
          <w:sz w:val="22"/>
          <w:szCs w:val="22"/>
          <w:highlight w:val="yellow"/>
          <w:lang w:val="en-GB"/>
        </w:rPr>
        <w:t>prior</w:t>
      </w:r>
      <w:r w:rsidR="006E1CB0" w:rsidRPr="002B0067">
        <w:rPr>
          <w:rFonts w:ascii="Arial" w:hAnsi="Arial" w:cs="Arial"/>
          <w:sz w:val="22"/>
          <w:szCs w:val="22"/>
          <w:highlight w:val="yellow"/>
          <w:lang w:val="en-GB"/>
        </w:rPr>
        <w:t>)</w:t>
      </w:r>
      <w:r w:rsidRPr="002B0067">
        <w:rPr>
          <w:rFonts w:ascii="Arial" w:hAnsi="Arial" w:cs="Arial"/>
          <w:sz w:val="22"/>
          <w:szCs w:val="22"/>
          <w:highlight w:val="yellow"/>
          <w:lang w:val="en-GB"/>
        </w:rPr>
        <w:t xml:space="preserve"> local procedure </w:t>
      </w:r>
      <w:r w:rsidR="005936B3" w:rsidRPr="002B0067">
        <w:rPr>
          <w:rFonts w:ascii="Arial" w:hAnsi="Arial" w:cs="Arial"/>
          <w:sz w:val="22"/>
          <w:szCs w:val="22"/>
          <w:highlight w:val="yellow"/>
          <w:lang w:val="en-GB"/>
        </w:rPr>
        <w:t xml:space="preserve">to </w:t>
      </w:r>
      <w:r w:rsidRPr="002B0067">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2B0067">
        <w:rPr>
          <w:rFonts w:ascii="Arial" w:eastAsiaTheme="minorHAnsi" w:hAnsi="Arial" w:cs="Arial"/>
          <w:sz w:val="22"/>
          <w:szCs w:val="22"/>
          <w:highlight w:val="yellow"/>
          <w:lang w:val="en-GB"/>
        </w:rPr>
        <w:t xml:space="preserve">They were recently revised in 2021 and, together with the </w:t>
      </w:r>
      <w:r w:rsidRPr="002B0067">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B0067">
        <w:rPr>
          <w:rFonts w:ascii="Arial" w:eastAsiaTheme="minorHAnsi" w:hAnsi="Arial" w:cs="Arial"/>
          <w:sz w:val="22"/>
          <w:szCs w:val="22"/>
          <w:highlight w:val="yellow"/>
          <w:lang w:val="en-GB"/>
        </w:rPr>
        <w:t xml:space="preserve">The Nordic Convention </w:t>
      </w:r>
      <w:r w:rsidR="00076483" w:rsidRPr="002B0067">
        <w:rPr>
          <w:rFonts w:ascii="Arial" w:eastAsiaTheme="minorHAnsi" w:hAnsi="Arial" w:cs="Arial"/>
          <w:sz w:val="22"/>
          <w:szCs w:val="22"/>
          <w:highlight w:val="yellow"/>
          <w:lang w:val="en-GB"/>
        </w:rPr>
        <w:t>1933</w:t>
      </w:r>
      <w:r w:rsidR="00966E44" w:rsidRPr="002B0067">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2B0067">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B0067">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B0067">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2B006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743577BC" w14:textId="23D7C88B" w:rsidR="001B181F" w:rsidRDefault="002B006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1570 Act </w:t>
      </w:r>
      <w:r w:rsidR="001B181F">
        <w:rPr>
          <w:rFonts w:ascii="Arial" w:hAnsi="Arial" w:cs="Arial"/>
          <w:color w:val="7B7B7B" w:themeColor="accent3" w:themeShade="BF"/>
          <w:sz w:val="22"/>
          <w:szCs w:val="22"/>
          <w:lang w:val="en-GB"/>
        </w:rPr>
        <w:t xml:space="preserve">which was also known as Act of Elizabeth, which was introduced during the reign of Queen Elizabeth I is said to be the first designed law to be considered as a true bankruptcy statute rather than fraud prevention law.  </w:t>
      </w:r>
      <w:proofErr w:type="gramStart"/>
      <w:r w:rsidR="001B181F">
        <w:rPr>
          <w:rFonts w:ascii="Arial" w:hAnsi="Arial" w:cs="Arial"/>
          <w:color w:val="7B7B7B" w:themeColor="accent3" w:themeShade="BF"/>
          <w:sz w:val="22"/>
          <w:szCs w:val="22"/>
          <w:lang w:val="en-GB"/>
        </w:rPr>
        <w:t>This laws</w:t>
      </w:r>
      <w:proofErr w:type="gramEnd"/>
      <w:r w:rsidR="001B181F">
        <w:rPr>
          <w:rFonts w:ascii="Arial" w:hAnsi="Arial" w:cs="Arial"/>
          <w:color w:val="7B7B7B" w:themeColor="accent3" w:themeShade="BF"/>
          <w:sz w:val="22"/>
          <w:szCs w:val="22"/>
          <w:lang w:val="en-GB"/>
        </w:rPr>
        <w:t xml:space="preserve"> allows creditors to open bankruptcy proceedings against debtor and petition a Lord Chancellor to convene bankruptcy meetings and appoint commissioners to supervise the bankruptcy process and having the powers to prosecute.  The Act however lacks discharge provisions.</w:t>
      </w:r>
    </w:p>
    <w:p w14:paraId="1216F1D8" w14:textId="77777777" w:rsidR="001B181F" w:rsidRDefault="001B181F" w:rsidP="00B7193E">
      <w:pPr>
        <w:ind w:left="720" w:hanging="720"/>
        <w:jc w:val="both"/>
        <w:rPr>
          <w:rFonts w:ascii="Arial" w:hAnsi="Arial" w:cs="Arial"/>
          <w:color w:val="7B7B7B" w:themeColor="accent3" w:themeShade="BF"/>
          <w:sz w:val="22"/>
          <w:szCs w:val="22"/>
          <w:lang w:val="en-GB"/>
        </w:rPr>
      </w:pPr>
    </w:p>
    <w:p w14:paraId="0DC6D418" w14:textId="77777777" w:rsidR="00267E5B" w:rsidRDefault="001B181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 Statute of Ann of 1705 </w:t>
      </w:r>
      <w:r w:rsidR="00267E5B">
        <w:rPr>
          <w:rFonts w:ascii="Arial" w:hAnsi="Arial" w:cs="Arial"/>
          <w:color w:val="7B7B7B" w:themeColor="accent3" w:themeShade="BF"/>
          <w:sz w:val="22"/>
          <w:szCs w:val="22"/>
          <w:lang w:val="en-GB"/>
        </w:rPr>
        <w:t xml:space="preserve">introduced the notion of statutory discharge in the proceedings whereby the bankrupted debtors </w:t>
      </w:r>
      <w:proofErr w:type="gramStart"/>
      <w:r w:rsidR="00267E5B">
        <w:rPr>
          <w:rFonts w:ascii="Arial" w:hAnsi="Arial" w:cs="Arial"/>
          <w:color w:val="7B7B7B" w:themeColor="accent3" w:themeShade="BF"/>
          <w:sz w:val="22"/>
          <w:szCs w:val="22"/>
          <w:lang w:val="en-GB"/>
        </w:rPr>
        <w:t>was</w:t>
      </w:r>
      <w:proofErr w:type="gramEnd"/>
      <w:r w:rsidR="00267E5B">
        <w:rPr>
          <w:rFonts w:ascii="Arial" w:hAnsi="Arial" w:cs="Arial"/>
          <w:color w:val="7B7B7B" w:themeColor="accent3" w:themeShade="BF"/>
          <w:sz w:val="22"/>
          <w:szCs w:val="22"/>
          <w:lang w:val="en-GB"/>
        </w:rPr>
        <w:t xml:space="preserve"> discharged from their bankruptcy upon confirmation by the commissioners that the debtors have “confirmed” and co-operated during the bankruptcy proceedings.</w:t>
      </w:r>
    </w:p>
    <w:p w14:paraId="263859B0" w14:textId="77777777" w:rsidR="00267E5B" w:rsidRDefault="00267E5B" w:rsidP="00B7193E">
      <w:pPr>
        <w:ind w:left="720" w:hanging="720"/>
        <w:jc w:val="both"/>
        <w:rPr>
          <w:rFonts w:ascii="Arial" w:hAnsi="Arial" w:cs="Arial"/>
          <w:color w:val="7B7B7B" w:themeColor="accent3" w:themeShade="BF"/>
          <w:sz w:val="22"/>
          <w:szCs w:val="22"/>
          <w:lang w:val="en-GB"/>
        </w:rPr>
      </w:pPr>
    </w:p>
    <w:p w14:paraId="57BCFC30" w14:textId="25B83C27" w:rsidR="009B07AD" w:rsidRPr="00205B31" w:rsidRDefault="002329F0"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law of 1883 which is viewed </w:t>
      </w:r>
      <w:r w:rsidR="00300643">
        <w:rPr>
          <w:rFonts w:ascii="Arial" w:hAnsi="Arial" w:cs="Arial"/>
          <w:color w:val="7B7B7B" w:themeColor="accent3" w:themeShade="BF"/>
          <w:sz w:val="22"/>
          <w:szCs w:val="22"/>
          <w:lang w:val="en-GB"/>
        </w:rPr>
        <w:t xml:space="preserve">as the foundation of the present system of English Bankruptcy Law introduces the three essential principles of a good bankruptcy law which namely the assets of an insolvent debtor belongs to the creditors and therefore creditors should have full control over the assets with the least possible interference;  the trustee of the assets should be subject to official supervision; and independent examination of the debtors’ conduct and circumstances leading to his insolvency.  This act aims to provide fair procedure with adequate supervision and means to discourage dishonesty.    </w:t>
      </w:r>
      <w:r w:rsidR="00267E5B">
        <w:rPr>
          <w:rFonts w:ascii="Arial" w:hAnsi="Arial" w:cs="Arial"/>
          <w:color w:val="7B7B7B" w:themeColor="accent3" w:themeShade="BF"/>
          <w:sz w:val="22"/>
          <w:szCs w:val="22"/>
          <w:lang w:val="en-GB"/>
        </w:rPr>
        <w:t xml:space="preserve">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A7EFB0C" w14:textId="2C52E163" w:rsidR="00E71352" w:rsidRDefault="00E7135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passing of the Corporate Insolvency and Governance Act 2020, </w:t>
      </w:r>
      <w:r w:rsidR="00294358">
        <w:rPr>
          <w:rFonts w:ascii="Arial" w:hAnsi="Arial" w:cs="Arial"/>
          <w:color w:val="7B7B7B" w:themeColor="accent3" w:themeShade="BF"/>
          <w:sz w:val="22"/>
          <w:szCs w:val="22"/>
          <w:lang w:val="en-GB"/>
        </w:rPr>
        <w:t xml:space="preserve">a new </w:t>
      </w:r>
      <w:r>
        <w:rPr>
          <w:rFonts w:ascii="Arial" w:hAnsi="Arial" w:cs="Arial"/>
          <w:color w:val="7B7B7B" w:themeColor="accent3" w:themeShade="BF"/>
          <w:sz w:val="22"/>
          <w:szCs w:val="22"/>
          <w:lang w:val="en-GB"/>
        </w:rPr>
        <w:t>moratorium rules were introduced whereby a company will be able to apply for moratorium for a period of 20 business days (with a possibility to extend for a further 20 business days) to provide the company breathing space within which they can explore to options to restructure.</w:t>
      </w:r>
    </w:p>
    <w:p w14:paraId="3A8E9451" w14:textId="0ADCC697" w:rsidR="00E71352" w:rsidRDefault="00E71352" w:rsidP="00B7193E">
      <w:pPr>
        <w:ind w:left="720" w:hanging="720"/>
        <w:jc w:val="both"/>
        <w:rPr>
          <w:rFonts w:ascii="Arial" w:hAnsi="Arial" w:cs="Arial"/>
          <w:color w:val="7B7B7B" w:themeColor="accent3" w:themeShade="BF"/>
          <w:sz w:val="22"/>
          <w:szCs w:val="22"/>
          <w:lang w:val="en-GB"/>
        </w:rPr>
      </w:pPr>
    </w:p>
    <w:p w14:paraId="66638EAE" w14:textId="77777777" w:rsidR="005A0021" w:rsidRDefault="00E71352"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also introduced </w:t>
      </w:r>
      <w:r w:rsidR="008277D4">
        <w:rPr>
          <w:rFonts w:ascii="Arial" w:hAnsi="Arial" w:cs="Arial"/>
          <w:color w:val="7B7B7B" w:themeColor="accent3" w:themeShade="BF"/>
          <w:sz w:val="22"/>
          <w:szCs w:val="22"/>
          <w:lang w:val="en-GB"/>
        </w:rPr>
        <w:t xml:space="preserve">the relaxation of wrongful trading liability </w:t>
      </w:r>
      <w:r w:rsidR="00045616">
        <w:rPr>
          <w:rFonts w:ascii="Arial" w:hAnsi="Arial" w:cs="Arial"/>
          <w:color w:val="7B7B7B" w:themeColor="accent3" w:themeShade="BF"/>
          <w:sz w:val="22"/>
          <w:szCs w:val="22"/>
          <w:lang w:val="en-GB"/>
        </w:rPr>
        <w:t xml:space="preserve">whereby the Court when assessing the directors under the provisions of Wrongful Trading Act is to assume the directors are not responsible </w:t>
      </w:r>
      <w:r w:rsidR="0037463D">
        <w:rPr>
          <w:rFonts w:ascii="Arial" w:hAnsi="Arial" w:cs="Arial"/>
          <w:color w:val="7B7B7B" w:themeColor="accent3" w:themeShade="BF"/>
          <w:sz w:val="22"/>
          <w:szCs w:val="22"/>
          <w:lang w:val="en-GB"/>
        </w:rPr>
        <w:t xml:space="preserve">for the worsening financial position of the company for the period from 1 March 2020 to 30 September 2020 and between </w:t>
      </w:r>
      <w:r w:rsidR="005A0021">
        <w:rPr>
          <w:rFonts w:ascii="Arial" w:hAnsi="Arial" w:cs="Arial"/>
          <w:color w:val="7B7B7B" w:themeColor="accent3" w:themeShade="BF"/>
          <w:sz w:val="22"/>
          <w:szCs w:val="22"/>
          <w:lang w:val="en-GB"/>
        </w:rPr>
        <w:t>26 November 2020 and 30 June 2021.</w:t>
      </w:r>
    </w:p>
    <w:p w14:paraId="184CB9C6" w14:textId="77777777" w:rsidR="005A0021" w:rsidRDefault="005A0021" w:rsidP="00B7193E">
      <w:pPr>
        <w:ind w:left="720" w:hanging="720"/>
        <w:jc w:val="both"/>
        <w:rPr>
          <w:rFonts w:ascii="Arial" w:hAnsi="Arial" w:cs="Arial"/>
          <w:color w:val="7B7B7B" w:themeColor="accent3" w:themeShade="BF"/>
          <w:sz w:val="22"/>
          <w:szCs w:val="22"/>
          <w:lang w:val="en-GB"/>
        </w:rPr>
      </w:pPr>
    </w:p>
    <w:p w14:paraId="52BB3631" w14:textId="024CF61E" w:rsidR="00E71352" w:rsidRDefault="005A0021"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also includes suspension of winding-up petitions and statutory demands </w:t>
      </w:r>
      <w:r w:rsidR="00C91877">
        <w:rPr>
          <w:rFonts w:ascii="Arial" w:hAnsi="Arial" w:cs="Arial"/>
          <w:color w:val="7B7B7B" w:themeColor="accent3" w:themeShade="BF"/>
          <w:sz w:val="22"/>
          <w:szCs w:val="22"/>
          <w:lang w:val="en-GB"/>
        </w:rPr>
        <w:t xml:space="preserve">whereby </w:t>
      </w:r>
      <w:r w:rsidR="006F13DF">
        <w:rPr>
          <w:rFonts w:ascii="Arial" w:hAnsi="Arial" w:cs="Arial"/>
          <w:color w:val="7B7B7B" w:themeColor="accent3" w:themeShade="BF"/>
          <w:sz w:val="22"/>
          <w:szCs w:val="22"/>
          <w:lang w:val="en-GB"/>
        </w:rPr>
        <w:t xml:space="preserve">threat of </w:t>
      </w:r>
      <w:r w:rsidR="00C91877">
        <w:rPr>
          <w:rFonts w:ascii="Arial" w:hAnsi="Arial" w:cs="Arial"/>
          <w:color w:val="7B7B7B" w:themeColor="accent3" w:themeShade="BF"/>
          <w:sz w:val="22"/>
          <w:szCs w:val="22"/>
          <w:lang w:val="en-GB"/>
        </w:rPr>
        <w:t>statutory demands and winding-up petition</w:t>
      </w:r>
      <w:r w:rsidR="00E71352">
        <w:rPr>
          <w:rFonts w:ascii="Arial" w:hAnsi="Arial" w:cs="Arial"/>
          <w:color w:val="7B7B7B" w:themeColor="accent3" w:themeShade="BF"/>
          <w:sz w:val="22"/>
          <w:szCs w:val="22"/>
          <w:lang w:val="en-GB"/>
        </w:rPr>
        <w:t xml:space="preserve"> </w:t>
      </w:r>
      <w:r w:rsidR="006F13DF">
        <w:rPr>
          <w:rFonts w:ascii="Arial" w:hAnsi="Arial" w:cs="Arial"/>
          <w:color w:val="7B7B7B" w:themeColor="accent3" w:themeShade="BF"/>
          <w:sz w:val="22"/>
          <w:szCs w:val="22"/>
          <w:lang w:val="en-GB"/>
        </w:rPr>
        <w:t>over unpaid debts due to Covid 19 are temporarily removed.</w:t>
      </w:r>
      <w:r w:rsidR="00E71352">
        <w:rPr>
          <w:rFonts w:ascii="Arial" w:hAnsi="Arial" w:cs="Arial"/>
          <w:color w:val="7B7B7B" w:themeColor="accent3" w:themeShade="BF"/>
          <w:sz w:val="22"/>
          <w:szCs w:val="22"/>
          <w:lang w:val="en-GB"/>
        </w:rPr>
        <w:t xml:space="preserve"> </w:t>
      </w:r>
    </w:p>
    <w:p w14:paraId="7980AB93" w14:textId="77777777" w:rsidR="00E71352" w:rsidRDefault="00E71352" w:rsidP="00B7193E">
      <w:pPr>
        <w:ind w:left="720" w:hanging="720"/>
        <w:jc w:val="both"/>
        <w:rPr>
          <w:rFonts w:ascii="Arial" w:hAnsi="Arial" w:cs="Arial"/>
          <w:color w:val="7B7B7B" w:themeColor="accent3" w:themeShade="BF"/>
          <w:sz w:val="22"/>
          <w:szCs w:val="22"/>
          <w:lang w:val="en-GB"/>
        </w:rPr>
      </w:pPr>
    </w:p>
    <w:p w14:paraId="2F57801B" w14:textId="6471B6DA" w:rsidR="009B07AD" w:rsidRPr="00205B31" w:rsidRDefault="00E71352"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294358">
        <w:rPr>
          <w:rFonts w:ascii="Arial" w:hAnsi="Arial" w:cs="Arial"/>
          <w:color w:val="7B7B7B" w:themeColor="accent3" w:themeShade="BF"/>
          <w:sz w:val="22"/>
          <w:szCs w:val="22"/>
          <w:lang w:val="en-GB"/>
        </w:rPr>
        <w:t xml:space="preserve"> </w:t>
      </w:r>
    </w:p>
    <w:p w14:paraId="039E27B5" w14:textId="05EF4675" w:rsidR="00C82D87" w:rsidRDefault="00C82D87" w:rsidP="00B7193E">
      <w:pPr>
        <w:ind w:left="720" w:hanging="720"/>
        <w:jc w:val="both"/>
        <w:rPr>
          <w:rFonts w:ascii="Arial" w:hAnsi="Arial" w:cs="Arial"/>
          <w:sz w:val="22"/>
          <w:szCs w:val="22"/>
          <w:lang w:val="en-GB"/>
        </w:rPr>
      </w:pPr>
    </w:p>
    <w:p w14:paraId="476EA6D5" w14:textId="77777777" w:rsidR="00AF536B" w:rsidRPr="00205B31" w:rsidRDefault="00AF536B"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9817D46" w14:textId="77777777" w:rsidR="00747159" w:rsidRDefault="00F57DD9"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instruments to which States become signatories and as such bind themselves and affect their domestic law accordingly.  Meanwhile, “Soft Law” are model laws </w:t>
      </w:r>
      <w:r w:rsidR="00747159">
        <w:rPr>
          <w:rFonts w:ascii="Arial" w:hAnsi="Arial" w:cs="Arial"/>
          <w:color w:val="7B7B7B" w:themeColor="accent3" w:themeShade="BF"/>
          <w:sz w:val="22"/>
          <w:szCs w:val="22"/>
          <w:lang w:val="en-GB"/>
        </w:rPr>
        <w:t>developed by multilateral organisations for member States for their adoption with or without modifications.</w:t>
      </w:r>
    </w:p>
    <w:p w14:paraId="337757DB" w14:textId="77777777" w:rsidR="00747159" w:rsidRDefault="00747159" w:rsidP="00B7193E">
      <w:pPr>
        <w:ind w:left="720" w:hanging="720"/>
        <w:jc w:val="both"/>
        <w:rPr>
          <w:rFonts w:ascii="Arial" w:hAnsi="Arial" w:cs="Arial"/>
          <w:color w:val="7B7B7B" w:themeColor="accent3" w:themeShade="BF"/>
          <w:sz w:val="22"/>
          <w:szCs w:val="22"/>
          <w:lang w:val="en-GB"/>
        </w:rPr>
      </w:pPr>
    </w:p>
    <w:p w14:paraId="23DBD307" w14:textId="07F01444" w:rsidR="00E62BC7" w:rsidRDefault="00E62BC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such, for member States who are signatories to a particular convention, the cross-border insolvency rules established under the convention shall be binding on the member States in dealing with cross-border insolvency issues amongst its member States.  Meanwhile, under the “Soft Law” approach, member states can opt to adopt the cross-border insolvency law as recommended under the model law developed by multilateral organisation such as UNCITRAL into their jurisdictions with or without modifications.  As such, member states would have a guidance in establishing their own cross-border insolvency </w:t>
      </w:r>
      <w:r w:rsidR="008043DD">
        <w:rPr>
          <w:rFonts w:ascii="Arial" w:hAnsi="Arial" w:cs="Arial"/>
          <w:color w:val="7B7B7B" w:themeColor="accent3" w:themeShade="BF"/>
          <w:sz w:val="22"/>
          <w:szCs w:val="22"/>
          <w:lang w:val="en-GB"/>
        </w:rPr>
        <w:t>rules for dealing with cross border insolvency issues.</w:t>
      </w:r>
      <w:r>
        <w:rPr>
          <w:rFonts w:ascii="Arial" w:hAnsi="Arial" w:cs="Arial"/>
          <w:color w:val="7B7B7B" w:themeColor="accent3" w:themeShade="BF"/>
          <w:sz w:val="22"/>
          <w:szCs w:val="22"/>
          <w:lang w:val="en-GB"/>
        </w:rPr>
        <w:t xml:space="preserve"> </w:t>
      </w:r>
      <w:r w:rsidR="00F57DD9">
        <w:rPr>
          <w:rFonts w:ascii="Arial" w:hAnsi="Arial" w:cs="Arial"/>
          <w:color w:val="7B7B7B" w:themeColor="accent3" w:themeShade="BF"/>
          <w:sz w:val="22"/>
          <w:szCs w:val="22"/>
          <w:lang w:val="en-GB"/>
        </w:rPr>
        <w:t xml:space="preserve">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1BFBC5E9" w14:textId="7F275121" w:rsidR="00F704E5" w:rsidRDefault="00033535"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Various States have various possible sources of insolvency law.</w:t>
      </w:r>
      <w:r w:rsidR="00F704E5">
        <w:rPr>
          <w:rFonts w:ascii="Arial" w:hAnsi="Arial" w:cs="Arial"/>
          <w:color w:val="7B7B7B" w:themeColor="accent3" w:themeShade="BF"/>
          <w:sz w:val="22"/>
          <w:szCs w:val="22"/>
          <w:lang w:val="en-GB"/>
        </w:rPr>
        <w:t xml:space="preserve">  In Malaysia, the insolvency laws </w:t>
      </w:r>
      <w:r w:rsidR="001B1446">
        <w:rPr>
          <w:rFonts w:ascii="Arial" w:hAnsi="Arial" w:cs="Arial"/>
          <w:color w:val="7B7B7B" w:themeColor="accent3" w:themeShade="BF"/>
          <w:sz w:val="22"/>
          <w:szCs w:val="22"/>
          <w:lang w:val="en-GB"/>
        </w:rPr>
        <w:t>are</w:t>
      </w:r>
      <w:r w:rsidR="00F704E5">
        <w:rPr>
          <w:rFonts w:ascii="Arial" w:hAnsi="Arial" w:cs="Arial"/>
          <w:color w:val="7B7B7B" w:themeColor="accent3" w:themeShade="BF"/>
          <w:sz w:val="22"/>
          <w:szCs w:val="22"/>
          <w:lang w:val="en-GB"/>
        </w:rPr>
        <w:t xml:space="preserve"> primarily derived from its written law being the </w:t>
      </w:r>
      <w:r w:rsidR="00025EC4">
        <w:rPr>
          <w:rFonts w:ascii="Arial" w:hAnsi="Arial" w:cs="Arial"/>
          <w:color w:val="7B7B7B" w:themeColor="accent3" w:themeShade="BF"/>
          <w:sz w:val="22"/>
          <w:szCs w:val="22"/>
          <w:lang w:val="en-GB"/>
        </w:rPr>
        <w:t xml:space="preserve">Companies Act 2016 (for insolvency involving companies), Bankruptcy Act 2020 (for insolvencies involving individuals) and Winding-Up Rules 1972 (being the secondary legislature to the Cessation of Companies Section in the Companies Act 2016).  Besides written law, Malaysian insolvency law is also derived from unwritten law such as the English common law and common law judicial decisions.  Often when they are gaps in the existing legislation, Courts are guided by the precedent set by the common law principles or judicial decisions </w:t>
      </w:r>
      <w:r w:rsidR="004D3766">
        <w:rPr>
          <w:rFonts w:ascii="Arial" w:hAnsi="Arial" w:cs="Arial"/>
          <w:color w:val="7B7B7B" w:themeColor="accent3" w:themeShade="BF"/>
          <w:sz w:val="22"/>
          <w:szCs w:val="22"/>
          <w:lang w:val="en-GB"/>
        </w:rPr>
        <w:t>set by other jurisdictions following the common law principles</w:t>
      </w:r>
      <w:r w:rsidR="001B1446">
        <w:rPr>
          <w:rFonts w:ascii="Arial" w:hAnsi="Arial" w:cs="Arial"/>
          <w:color w:val="7B7B7B" w:themeColor="accent3" w:themeShade="BF"/>
          <w:sz w:val="22"/>
          <w:szCs w:val="22"/>
          <w:lang w:val="en-GB"/>
        </w:rPr>
        <w:t xml:space="preserve"> in coming up with their decisions</w:t>
      </w:r>
      <w:r w:rsidR="004D3766">
        <w:rPr>
          <w:rFonts w:ascii="Arial" w:hAnsi="Arial" w:cs="Arial"/>
          <w:color w:val="7B7B7B" w:themeColor="accent3" w:themeShade="BF"/>
          <w:sz w:val="22"/>
          <w:szCs w:val="22"/>
          <w:lang w:val="en-GB"/>
        </w:rPr>
        <w:t>.</w:t>
      </w:r>
      <w:r w:rsidR="00F704E5">
        <w:rPr>
          <w:rFonts w:ascii="Arial" w:hAnsi="Arial" w:cs="Arial"/>
          <w:color w:val="7B7B7B" w:themeColor="accent3" w:themeShade="BF"/>
          <w:sz w:val="22"/>
          <w:szCs w:val="22"/>
          <w:lang w:val="en-GB"/>
        </w:rPr>
        <w:t xml:space="preserve">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F4D2106" w14:textId="77777777" w:rsidR="002D586D" w:rsidRDefault="00E959D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06190">
        <w:rPr>
          <w:rFonts w:ascii="Arial" w:hAnsi="Arial" w:cs="Arial"/>
          <w:color w:val="7B7B7B" w:themeColor="accent3" w:themeShade="BF"/>
          <w:sz w:val="22"/>
          <w:szCs w:val="22"/>
          <w:lang w:val="en-GB"/>
        </w:rPr>
        <w:t>first issue raised is the choice of forum</w:t>
      </w:r>
      <w:r w:rsidR="002D586D">
        <w:rPr>
          <w:rFonts w:ascii="Arial" w:hAnsi="Arial" w:cs="Arial"/>
          <w:color w:val="7B7B7B" w:themeColor="accent3" w:themeShade="BF"/>
          <w:sz w:val="22"/>
          <w:szCs w:val="22"/>
          <w:lang w:val="en-GB"/>
        </w:rPr>
        <w:t>, whether a court can and will hear and determine the matter. Where a foreign insolvency proceeding is in progress, local court may have to determine the effect of its decision on the foreign proceeding or whether the local court can and will hear the matter.</w:t>
      </w:r>
    </w:p>
    <w:p w14:paraId="6001DD42" w14:textId="77777777" w:rsidR="002D586D" w:rsidRDefault="002D586D" w:rsidP="00B7193E">
      <w:pPr>
        <w:jc w:val="both"/>
        <w:rPr>
          <w:rFonts w:ascii="Arial" w:hAnsi="Arial" w:cs="Arial"/>
          <w:color w:val="7B7B7B" w:themeColor="accent3" w:themeShade="BF"/>
          <w:sz w:val="22"/>
          <w:szCs w:val="22"/>
          <w:lang w:val="en-GB"/>
        </w:rPr>
      </w:pPr>
    </w:p>
    <w:p w14:paraId="7940D274" w14:textId="0B2DD7CC" w:rsidR="00DF75F8" w:rsidRDefault="002D586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issue raised is on recognition of foreign judgment on the same matter.  </w:t>
      </w:r>
      <w:r w:rsidR="00DC5267">
        <w:rPr>
          <w:rFonts w:ascii="Arial" w:hAnsi="Arial" w:cs="Arial"/>
          <w:color w:val="7B7B7B" w:themeColor="accent3" w:themeShade="BF"/>
          <w:sz w:val="22"/>
          <w:szCs w:val="22"/>
          <w:lang w:val="en-GB"/>
        </w:rPr>
        <w:t xml:space="preserve">Questions may be raised concerning the Court which issued the foreign judgment, the type of judgment and the effect of the judgment.  </w:t>
      </w:r>
      <w:r>
        <w:rPr>
          <w:rFonts w:ascii="Arial" w:hAnsi="Arial" w:cs="Arial"/>
          <w:color w:val="7B7B7B" w:themeColor="accent3" w:themeShade="BF"/>
          <w:sz w:val="22"/>
          <w:szCs w:val="22"/>
          <w:lang w:val="en-GB"/>
        </w:rPr>
        <w:t>In insolven</w:t>
      </w:r>
      <w:r w:rsidR="00DC5267">
        <w:rPr>
          <w:rFonts w:ascii="Arial" w:hAnsi="Arial" w:cs="Arial"/>
          <w:color w:val="7B7B7B" w:themeColor="accent3" w:themeShade="BF"/>
          <w:sz w:val="22"/>
          <w:szCs w:val="22"/>
          <w:lang w:val="en-GB"/>
        </w:rPr>
        <w:t xml:space="preserve">cy proceedings, judgment may involve winding-up </w:t>
      </w:r>
      <w:r w:rsidR="00DC5267">
        <w:rPr>
          <w:rFonts w:ascii="Arial" w:hAnsi="Arial" w:cs="Arial"/>
          <w:color w:val="7B7B7B" w:themeColor="accent3" w:themeShade="BF"/>
          <w:sz w:val="22"/>
          <w:szCs w:val="22"/>
          <w:lang w:val="en-GB"/>
        </w:rPr>
        <w:lastRenderedPageBreak/>
        <w:t>order against a company or order for a third party to pay monies to the foreign liquidator which may pose</w:t>
      </w:r>
      <w:r w:rsidR="00F06190">
        <w:rPr>
          <w:rFonts w:ascii="Arial" w:hAnsi="Arial" w:cs="Arial"/>
          <w:color w:val="7B7B7B" w:themeColor="accent3" w:themeShade="BF"/>
          <w:sz w:val="22"/>
          <w:szCs w:val="22"/>
          <w:lang w:val="en-GB"/>
        </w:rPr>
        <w:t xml:space="preserve"> </w:t>
      </w:r>
      <w:r w:rsidR="00DC5267">
        <w:rPr>
          <w:rFonts w:ascii="Arial" w:hAnsi="Arial" w:cs="Arial"/>
          <w:color w:val="7B7B7B" w:themeColor="accent3" w:themeShade="BF"/>
          <w:sz w:val="22"/>
          <w:szCs w:val="22"/>
          <w:lang w:val="en-GB"/>
        </w:rPr>
        <w:t>significant impact.</w:t>
      </w:r>
    </w:p>
    <w:p w14:paraId="78BC5CB0" w14:textId="6D3CB2E3" w:rsidR="00DC5267" w:rsidRDefault="00DC5267" w:rsidP="00B7193E">
      <w:pPr>
        <w:jc w:val="both"/>
        <w:rPr>
          <w:rFonts w:ascii="Arial" w:hAnsi="Arial" w:cs="Arial"/>
          <w:color w:val="7B7B7B" w:themeColor="accent3" w:themeShade="BF"/>
          <w:sz w:val="22"/>
          <w:szCs w:val="22"/>
          <w:lang w:val="en-GB"/>
        </w:rPr>
      </w:pPr>
    </w:p>
    <w:p w14:paraId="4CA79E7B" w14:textId="18175E5F" w:rsidR="00DC5267" w:rsidRPr="00205B31" w:rsidRDefault="00DC5267"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Thirdly the laws to be applied.  </w:t>
      </w:r>
      <w:r w:rsidR="009A20BB">
        <w:rPr>
          <w:rFonts w:ascii="Arial" w:hAnsi="Arial" w:cs="Arial"/>
          <w:color w:val="7B7B7B" w:themeColor="accent3" w:themeShade="BF"/>
          <w:sz w:val="22"/>
          <w:szCs w:val="22"/>
          <w:lang w:val="en-GB"/>
        </w:rPr>
        <w:t xml:space="preserve">Where the local court has determined that it will hear a matter, it may have to decide upon the law to apply.  For example, England which applies a common law system dictates that a choice of law issues only </w:t>
      </w:r>
      <w:proofErr w:type="gramStart"/>
      <w:r w:rsidR="009A20BB">
        <w:rPr>
          <w:rFonts w:ascii="Arial" w:hAnsi="Arial" w:cs="Arial"/>
          <w:color w:val="7B7B7B" w:themeColor="accent3" w:themeShade="BF"/>
          <w:sz w:val="22"/>
          <w:szCs w:val="22"/>
          <w:lang w:val="en-GB"/>
        </w:rPr>
        <w:t>arise</w:t>
      </w:r>
      <w:proofErr w:type="gramEnd"/>
      <w:r w:rsidR="009A20BB">
        <w:rPr>
          <w:rFonts w:ascii="Arial" w:hAnsi="Arial" w:cs="Arial"/>
          <w:color w:val="7B7B7B" w:themeColor="accent3" w:themeShade="BF"/>
          <w:sz w:val="22"/>
          <w:szCs w:val="22"/>
          <w:lang w:val="en-GB"/>
        </w:rPr>
        <w:t xml:space="preserve"> if the parties invoke them.  Otherwise, the law of the forum shall apply.  </w:t>
      </w:r>
      <w:r w:rsidR="00733FD6">
        <w:rPr>
          <w:rFonts w:ascii="Arial" w:hAnsi="Arial" w:cs="Arial"/>
          <w:color w:val="7B7B7B" w:themeColor="accent3" w:themeShade="BF"/>
          <w:sz w:val="22"/>
          <w:szCs w:val="22"/>
          <w:lang w:val="en-GB"/>
        </w:rPr>
        <w:t xml:space="preserve">Whereas in a </w:t>
      </w:r>
      <w:proofErr w:type="gramStart"/>
      <w:r w:rsidR="00733FD6">
        <w:rPr>
          <w:rFonts w:ascii="Arial" w:hAnsi="Arial" w:cs="Arial"/>
          <w:color w:val="7B7B7B" w:themeColor="accent3" w:themeShade="BF"/>
          <w:sz w:val="22"/>
          <w:szCs w:val="22"/>
          <w:lang w:val="en-GB"/>
        </w:rPr>
        <w:t>civil law systems</w:t>
      </w:r>
      <w:proofErr w:type="gramEnd"/>
      <w:r w:rsidR="00733FD6">
        <w:rPr>
          <w:rFonts w:ascii="Arial" w:hAnsi="Arial" w:cs="Arial"/>
          <w:color w:val="7B7B7B" w:themeColor="accent3" w:themeShade="BF"/>
          <w:sz w:val="22"/>
          <w:szCs w:val="22"/>
          <w:lang w:val="en-GB"/>
        </w:rPr>
        <w:t>, foreign law is presumed to be a question of law to be applied regardless of whether it is pleaded by the parties or not.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0B5120C" w14:textId="77777777" w:rsidR="00733FD6" w:rsidRPr="00733FD6" w:rsidRDefault="00733FD6" w:rsidP="00733FD6">
      <w:pPr>
        <w:jc w:val="both"/>
        <w:rPr>
          <w:rFonts w:ascii="Arial" w:hAnsi="Arial" w:cs="Arial"/>
          <w:color w:val="7B7B7B" w:themeColor="accent3" w:themeShade="BF"/>
          <w:sz w:val="22"/>
          <w:szCs w:val="22"/>
          <w:lang w:val="en-GB"/>
        </w:rPr>
      </w:pPr>
      <w:r w:rsidRPr="00733FD6">
        <w:rPr>
          <w:rFonts w:ascii="Arial" w:hAnsi="Arial" w:cs="Arial"/>
          <w:color w:val="7B7B7B" w:themeColor="accent3" w:themeShade="BF"/>
          <w:sz w:val="22"/>
          <w:szCs w:val="22"/>
          <w:lang w:val="en-GB"/>
        </w:rPr>
        <w:t xml:space="preserve">The case of Maxwell Communication Corporation plc. involved two primary insolvency proceedings initiated by a single debtor, one in the United States and the other in the United Kingdom, and the appointment of two different and separate insolvency representatives in the two States, each charged with a similar responsibility. The United States and English judges independently raised with their respective counsel the idea that an insolvency agreement between the two administrations could resolve conflicts and facilitate the exchange of information. </w:t>
      </w:r>
    </w:p>
    <w:p w14:paraId="7D8230CB" w14:textId="77777777" w:rsidR="00733FD6" w:rsidRPr="00733FD6" w:rsidRDefault="00733FD6" w:rsidP="00733FD6">
      <w:pPr>
        <w:jc w:val="both"/>
        <w:rPr>
          <w:rFonts w:ascii="Arial" w:hAnsi="Arial" w:cs="Arial"/>
          <w:color w:val="7B7B7B" w:themeColor="accent3" w:themeShade="BF"/>
          <w:sz w:val="22"/>
          <w:szCs w:val="22"/>
          <w:lang w:val="en-GB"/>
        </w:rPr>
      </w:pPr>
    </w:p>
    <w:p w14:paraId="0696E52B" w14:textId="77777777" w:rsidR="00733FD6" w:rsidRPr="00733FD6" w:rsidRDefault="00733FD6" w:rsidP="00733FD6">
      <w:pPr>
        <w:jc w:val="both"/>
        <w:rPr>
          <w:rFonts w:ascii="Arial" w:hAnsi="Arial" w:cs="Arial"/>
          <w:color w:val="7B7B7B" w:themeColor="accent3" w:themeShade="BF"/>
          <w:sz w:val="22"/>
          <w:szCs w:val="22"/>
          <w:lang w:val="en-GB"/>
        </w:rPr>
      </w:pPr>
      <w:r w:rsidRPr="00733FD6">
        <w:rPr>
          <w:rFonts w:ascii="Arial" w:hAnsi="Arial" w:cs="Arial"/>
          <w:color w:val="7B7B7B" w:themeColor="accent3" w:themeShade="BF"/>
          <w:sz w:val="22"/>
          <w:szCs w:val="22"/>
          <w:lang w:val="en-GB"/>
        </w:rPr>
        <w:t xml:space="preserve">Under the agreement, two goals were set to guide the insolvency representatives: maximizing the value of the estate and harmonizing the proceedings to minimize expense, waste and jurisdictional conflict. The parties agreed essentially that the United States court would defer to the English proceedings, once it was determined that certain criteria were present. </w:t>
      </w:r>
    </w:p>
    <w:p w14:paraId="65E25B31" w14:textId="77777777" w:rsidR="00733FD6" w:rsidRPr="00733FD6" w:rsidRDefault="00733FD6" w:rsidP="00733FD6">
      <w:pPr>
        <w:jc w:val="both"/>
        <w:rPr>
          <w:rFonts w:ascii="Arial" w:hAnsi="Arial" w:cs="Arial"/>
          <w:color w:val="7B7B7B" w:themeColor="accent3" w:themeShade="BF"/>
          <w:sz w:val="22"/>
          <w:szCs w:val="22"/>
          <w:lang w:val="en-GB"/>
        </w:rPr>
      </w:pPr>
    </w:p>
    <w:p w14:paraId="4E83D7AF" w14:textId="37D145F6" w:rsidR="00DF75F8" w:rsidRPr="00733FD6" w:rsidRDefault="00733FD6" w:rsidP="00733FD6">
      <w:pPr>
        <w:jc w:val="both"/>
        <w:rPr>
          <w:rFonts w:ascii="Arial" w:hAnsi="Arial" w:cs="Arial"/>
          <w:color w:val="7B7B7B" w:themeColor="accent3" w:themeShade="BF"/>
          <w:sz w:val="22"/>
          <w:szCs w:val="22"/>
          <w:lang w:val="en-GB"/>
        </w:rPr>
      </w:pPr>
      <w:r w:rsidRPr="00733FD6">
        <w:rPr>
          <w:rFonts w:ascii="Arial" w:hAnsi="Arial" w:cs="Arial"/>
          <w:color w:val="7B7B7B" w:themeColor="accent3" w:themeShade="BF"/>
          <w:sz w:val="22"/>
          <w:szCs w:val="22"/>
          <w:lang w:val="en-GB"/>
        </w:rPr>
        <w:t>Specificities included that some existing management would be retained in the interests of maintaining the debtor’s going concern value, but the English insolvency representatives would be allowed, with the consent of their United States counterpart, to select new and independent directors; the English insolvency representatives should only incur debt or file a reorganization plan with the consent of the United States insolvency representative or the United States court; and the English insolvency representatives should give prior notice to the United States insolvency representative before undertaking any major transaction on behalf of the debtor, but were pre-authorized to undertake “lesser” transactions. Many issues were purposely left out of the agreement to be resolved during the course of proceedings. Some of those issues, such as distribution matters, were later included in an extension of the agreement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 xml:space="preserve">Rydell supplies engine parts for large </w:t>
      </w:r>
      <w:r w:rsidR="00486776" w:rsidRPr="00205B31">
        <w:rPr>
          <w:rFonts w:ascii="Arial" w:hAnsi="Arial" w:cs="Arial"/>
          <w:color w:val="212529"/>
          <w:sz w:val="22"/>
          <w:szCs w:val="22"/>
          <w:shd w:val="clear" w:color="auto" w:fill="FFFFFF"/>
          <w:lang w:val="en-GB"/>
        </w:rPr>
        <w:lastRenderedPageBreak/>
        <w:t>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2F21FAE6" w:rsidR="002F75A3" w:rsidRPr="00205B31" w:rsidRDefault="000A0F37"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Under the circumstances where the insolvency proceedings </w:t>
      </w:r>
      <w:r w:rsidR="002C54F1">
        <w:rPr>
          <w:rFonts w:ascii="Arial" w:hAnsi="Arial" w:cs="Arial"/>
          <w:color w:val="7B7B7B" w:themeColor="accent3" w:themeShade="BF"/>
          <w:sz w:val="22"/>
          <w:szCs w:val="22"/>
          <w:lang w:val="en-GB"/>
        </w:rPr>
        <w:t>were</w:t>
      </w:r>
      <w:r>
        <w:rPr>
          <w:rFonts w:ascii="Arial" w:hAnsi="Arial" w:cs="Arial"/>
          <w:color w:val="7B7B7B" w:themeColor="accent3" w:themeShade="BF"/>
          <w:sz w:val="22"/>
          <w:szCs w:val="22"/>
          <w:lang w:val="en-GB"/>
        </w:rPr>
        <w:t xml:space="preserve"> opened on 18 June 2020, the provisions under the European Insolvency Regulation Recast (“EIR”) would apply</w:t>
      </w:r>
      <w:r w:rsidR="008D1BB9">
        <w:rPr>
          <w:rFonts w:ascii="Arial" w:hAnsi="Arial" w:cs="Arial"/>
          <w:color w:val="7B7B7B" w:themeColor="accent3" w:themeShade="BF"/>
          <w:sz w:val="22"/>
          <w:szCs w:val="22"/>
          <w:lang w:val="en-GB"/>
        </w:rPr>
        <w:t xml:space="preserve"> as </w:t>
      </w:r>
      <w:r w:rsidR="002C54F1">
        <w:rPr>
          <w:rFonts w:ascii="Arial" w:hAnsi="Arial" w:cs="Arial"/>
          <w:color w:val="7B7B7B" w:themeColor="accent3" w:themeShade="BF"/>
          <w:sz w:val="22"/>
          <w:szCs w:val="22"/>
          <w:lang w:val="en-GB"/>
        </w:rPr>
        <w:t>the transition period for Brexit would still apply to Rydell</w:t>
      </w:r>
      <w:r>
        <w:rPr>
          <w:rFonts w:ascii="Arial" w:hAnsi="Arial" w:cs="Arial"/>
          <w:color w:val="7B7B7B" w:themeColor="accent3" w:themeShade="BF"/>
          <w:sz w:val="22"/>
          <w:szCs w:val="22"/>
          <w:lang w:val="en-GB"/>
        </w:rPr>
        <w:t xml:space="preserve">.  </w:t>
      </w:r>
      <w:r w:rsidR="008D1BB9">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lthough the EIR allocates primary jurisdiction based on the centre of the debtor’s main interest (“COMI”) (main proceedings)</w:t>
      </w:r>
      <w:r w:rsidR="008D1BB9">
        <w:rPr>
          <w:rFonts w:ascii="Arial" w:hAnsi="Arial" w:cs="Arial"/>
          <w:color w:val="7B7B7B" w:themeColor="accent3" w:themeShade="BF"/>
          <w:sz w:val="22"/>
          <w:szCs w:val="22"/>
          <w:lang w:val="en-GB"/>
        </w:rPr>
        <w:t xml:space="preserve">, it also allows for the possibility of subsidiary territorial proceedings in other member States.  The subsidiary proceedings are permitted where the debtor has an “establishment” in the other member States.  Establishment in this context is defined as meaning “any place of operations……where debtor carries out a non-transitory economic activity with human means and assets”.  In this case, Rydell has offices throughout Europe.  Subsidiary proceedings which may be opened can be either “independent proceedings” opened prior to the main proceedings, or “secondary proceedings” opened subsequent to the bankruptcy adjudication in the State with the centre of main interest.  </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50BB9C8D" w:rsidR="00015EE6" w:rsidRPr="00205B31" w:rsidRDefault="002C54F1" w:rsidP="00C45A03">
      <w:pPr>
        <w:jc w:val="both"/>
        <w:rPr>
          <w:rFonts w:ascii="Arial" w:hAnsi="Arial" w:cs="Arial"/>
          <w:sz w:val="22"/>
          <w:szCs w:val="22"/>
          <w:lang w:val="en-GB"/>
        </w:rPr>
      </w:pPr>
      <w:r>
        <w:rPr>
          <w:rFonts w:ascii="Arial" w:hAnsi="Arial" w:cs="Arial"/>
          <w:color w:val="7B7B7B" w:themeColor="accent3" w:themeShade="BF"/>
          <w:sz w:val="22"/>
          <w:szCs w:val="22"/>
          <w:lang w:val="en-GB"/>
        </w:rPr>
        <w:t>Under the circumstances where the insolvency proceedings were opened on 18 June 2021, the EIR would not apply as the transition period for Brexit ended on 31</w:t>
      </w:r>
      <w:r w:rsidRPr="002C54F1">
        <w:rPr>
          <w:rFonts w:ascii="Arial" w:hAnsi="Arial" w:cs="Arial"/>
          <w:color w:val="7B7B7B" w:themeColor="accent3" w:themeShade="BF"/>
          <w:sz w:val="22"/>
          <w:szCs w:val="22"/>
          <w:vertAlign w:val="superscript"/>
          <w:lang w:val="en-GB"/>
        </w:rPr>
        <w:t>st</w:t>
      </w:r>
      <w:r>
        <w:rPr>
          <w:rFonts w:ascii="Arial" w:hAnsi="Arial" w:cs="Arial"/>
          <w:color w:val="7B7B7B" w:themeColor="accent3" w:themeShade="BF"/>
          <w:sz w:val="22"/>
          <w:szCs w:val="22"/>
          <w:lang w:val="en-GB"/>
        </w:rPr>
        <w:t xml:space="preserve"> December 2020.  As such, the UNCITRAL Model Law on Cross Border Insolvency would apply for UK and the respective member States on concurrent proceedings.</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3E59BA21" w:rsidR="00015EE6" w:rsidRDefault="00FA7BF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UK </w:t>
      </w:r>
      <w:r w:rsidR="004C2FF5">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omestic law which would apply would be under Section 221(5) of Insolvency Act 1986, which </w:t>
      </w:r>
      <w:r w:rsidR="004C2FF5">
        <w:rPr>
          <w:rFonts w:ascii="Arial" w:hAnsi="Arial" w:cs="Arial"/>
          <w:color w:val="7B7B7B" w:themeColor="accent3" w:themeShade="BF"/>
          <w:sz w:val="22"/>
          <w:szCs w:val="22"/>
          <w:lang w:val="en-GB"/>
        </w:rPr>
        <w:t>provides</w:t>
      </w:r>
      <w:r>
        <w:rPr>
          <w:rFonts w:ascii="Arial" w:hAnsi="Arial" w:cs="Arial"/>
          <w:color w:val="7B7B7B" w:themeColor="accent3" w:themeShade="BF"/>
          <w:sz w:val="22"/>
          <w:szCs w:val="22"/>
          <w:lang w:val="en-GB"/>
        </w:rPr>
        <w:t xml:space="preserve"> for a Court ordered winding-up of unregistered companies in the following circumstances:</w:t>
      </w:r>
    </w:p>
    <w:p w14:paraId="5658EC35" w14:textId="712470D9" w:rsidR="00FA7BF5" w:rsidRPr="00FA7BF5" w:rsidRDefault="00FA7BF5" w:rsidP="00FA7BF5">
      <w:pPr>
        <w:pStyle w:val="ListParagraph"/>
        <w:numPr>
          <w:ilvl w:val="0"/>
          <w:numId w:val="17"/>
        </w:numPr>
        <w:autoSpaceDE w:val="0"/>
        <w:autoSpaceDN w:val="0"/>
        <w:adjustRightInd w:val="0"/>
        <w:spacing w:line="276" w:lineRule="auto"/>
        <w:jc w:val="both"/>
        <w:rPr>
          <w:rFonts w:ascii="Arial" w:hAnsi="Arial" w:cs="Arial"/>
          <w:color w:val="7B7B7B" w:themeColor="accent3" w:themeShade="BF"/>
          <w:sz w:val="22"/>
          <w:szCs w:val="22"/>
          <w:lang w:val="en-GB"/>
        </w:rPr>
      </w:pPr>
      <w:r w:rsidRPr="00FA7BF5">
        <w:rPr>
          <w:rFonts w:ascii="Arial" w:hAnsi="Arial" w:cs="Arial"/>
          <w:color w:val="7B7B7B" w:themeColor="accent3" w:themeShade="BF"/>
          <w:sz w:val="22"/>
          <w:szCs w:val="22"/>
          <w:lang w:val="en-GB"/>
        </w:rPr>
        <w:t>If the company is dissolved, or has ceased to carry on business, or is carrying on business only for the purpose of winding-up its affairs;</w:t>
      </w:r>
    </w:p>
    <w:p w14:paraId="1E0A1C16" w14:textId="5068BA20" w:rsidR="00FA7BF5" w:rsidRPr="00FA7BF5" w:rsidRDefault="00FA7BF5" w:rsidP="00FA7BF5">
      <w:pPr>
        <w:pStyle w:val="ListParagraph"/>
        <w:numPr>
          <w:ilvl w:val="0"/>
          <w:numId w:val="17"/>
        </w:numPr>
        <w:autoSpaceDE w:val="0"/>
        <w:autoSpaceDN w:val="0"/>
        <w:adjustRightInd w:val="0"/>
        <w:spacing w:line="276" w:lineRule="auto"/>
        <w:jc w:val="both"/>
        <w:rPr>
          <w:rFonts w:ascii="Arial" w:hAnsi="Arial" w:cs="Arial"/>
          <w:color w:val="7B7B7B" w:themeColor="accent3" w:themeShade="BF"/>
          <w:sz w:val="22"/>
          <w:szCs w:val="22"/>
          <w:lang w:val="en-GB"/>
        </w:rPr>
      </w:pPr>
      <w:r w:rsidRPr="00FA7BF5">
        <w:rPr>
          <w:rFonts w:ascii="Arial" w:hAnsi="Arial" w:cs="Arial"/>
          <w:color w:val="7B7B7B" w:themeColor="accent3" w:themeShade="BF"/>
          <w:sz w:val="22"/>
          <w:szCs w:val="22"/>
          <w:lang w:val="en-GB"/>
        </w:rPr>
        <w:t>If the company is unable to pay its debts;</w:t>
      </w:r>
    </w:p>
    <w:p w14:paraId="5CB94D44" w14:textId="714690C3" w:rsidR="00FA7BF5" w:rsidRPr="00FA7BF5" w:rsidRDefault="00FA7BF5" w:rsidP="00FA7BF5">
      <w:pPr>
        <w:pStyle w:val="ListParagraph"/>
        <w:numPr>
          <w:ilvl w:val="0"/>
          <w:numId w:val="17"/>
        </w:numPr>
        <w:autoSpaceDE w:val="0"/>
        <w:autoSpaceDN w:val="0"/>
        <w:adjustRightInd w:val="0"/>
        <w:spacing w:line="276" w:lineRule="auto"/>
        <w:jc w:val="both"/>
        <w:rPr>
          <w:rFonts w:ascii="Arial" w:hAnsi="Arial" w:cs="Arial"/>
          <w:sz w:val="22"/>
          <w:szCs w:val="22"/>
          <w:lang w:val="en-GB"/>
        </w:rPr>
      </w:pPr>
      <w:r w:rsidRPr="00FA7BF5">
        <w:rPr>
          <w:rFonts w:ascii="Arial" w:hAnsi="Arial" w:cs="Arial"/>
          <w:color w:val="7B7B7B" w:themeColor="accent3" w:themeShade="BF"/>
          <w:sz w:val="22"/>
          <w:szCs w:val="22"/>
          <w:lang w:val="en-GB"/>
        </w:rPr>
        <w:t>If the court is of the opinion that it is just and equitable that the company should be wound up.</w:t>
      </w:r>
    </w:p>
    <w:p w14:paraId="573B15F7" w14:textId="77777777" w:rsidR="00FA7BF5" w:rsidRDefault="00FA7BF5" w:rsidP="00015EE6">
      <w:pPr>
        <w:autoSpaceDE w:val="0"/>
        <w:autoSpaceDN w:val="0"/>
        <w:adjustRightInd w:val="0"/>
        <w:spacing w:line="276" w:lineRule="auto"/>
        <w:jc w:val="both"/>
        <w:rPr>
          <w:rFonts w:ascii="Arial" w:hAnsi="Arial" w:cs="Arial"/>
          <w:sz w:val="22"/>
          <w:szCs w:val="22"/>
          <w:lang w:val="en-GB"/>
        </w:rPr>
      </w:pPr>
    </w:p>
    <w:p w14:paraId="04434D04" w14:textId="21AA5FCC" w:rsidR="00015EE6" w:rsidRPr="00FA7BF5" w:rsidRDefault="00FA7BF5"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FA7BF5">
        <w:rPr>
          <w:rFonts w:ascii="Arial" w:hAnsi="Arial" w:cs="Arial"/>
          <w:color w:val="7B7B7B" w:themeColor="accent3" w:themeShade="BF"/>
          <w:sz w:val="22"/>
          <w:szCs w:val="22"/>
          <w:lang w:val="en-GB"/>
        </w:rPr>
        <w:t xml:space="preserve">This jurisdiction may also be established to wind up an “unregistered company” which includes a company formed under foreign law.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171C" w14:textId="77777777" w:rsidR="00B23145" w:rsidRDefault="00B23145" w:rsidP="00241B44">
      <w:r>
        <w:separator/>
      </w:r>
    </w:p>
  </w:endnote>
  <w:endnote w:type="continuationSeparator" w:id="0">
    <w:p w14:paraId="04DA95D8" w14:textId="77777777" w:rsidR="00B23145" w:rsidRDefault="00B231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6D768A6E" w:rsidR="006E1CB0" w:rsidRPr="0052732A" w:rsidRDefault="002B0067" w:rsidP="0052732A">
    <w:pPr>
      <w:pStyle w:val="Footer"/>
      <w:ind w:right="360"/>
      <w:rPr>
        <w:rFonts w:ascii="Arial" w:hAnsi="Arial" w:cs="Arial"/>
        <w:sz w:val="18"/>
        <w:szCs w:val="18"/>
      </w:rPr>
    </w:pPr>
    <w:r>
      <w:rPr>
        <w:rFonts w:ascii="Arial" w:hAnsi="Arial" w:cs="Arial"/>
        <w:sz w:val="18"/>
        <w:szCs w:val="18"/>
      </w:rPr>
      <w:t>202122-619</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79FA" w14:textId="77777777" w:rsidR="00B23145" w:rsidRDefault="00B23145" w:rsidP="00241B44">
      <w:r>
        <w:separator/>
      </w:r>
    </w:p>
  </w:footnote>
  <w:footnote w:type="continuationSeparator" w:id="0">
    <w:p w14:paraId="2A09543E" w14:textId="77777777" w:rsidR="00B23145" w:rsidRDefault="00B2314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A01295C"/>
    <w:multiLevelType w:val="hybridMultilevel"/>
    <w:tmpl w:val="C1F0D0E4"/>
    <w:lvl w:ilvl="0" w:tplc="B96C0338">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6"/>
  </w:num>
  <w:num w:numId="4">
    <w:abstractNumId w:val="4"/>
  </w:num>
  <w:num w:numId="5">
    <w:abstractNumId w:val="2"/>
  </w:num>
  <w:num w:numId="6">
    <w:abstractNumId w:val="14"/>
  </w:num>
  <w:num w:numId="7">
    <w:abstractNumId w:val="3"/>
  </w:num>
  <w:num w:numId="8">
    <w:abstractNumId w:val="1"/>
  </w:num>
  <w:num w:numId="9">
    <w:abstractNumId w:val="0"/>
  </w:num>
  <w:num w:numId="10">
    <w:abstractNumId w:val="6"/>
  </w:num>
  <w:num w:numId="11">
    <w:abstractNumId w:val="11"/>
  </w:num>
  <w:num w:numId="12">
    <w:abstractNumId w:val="15"/>
  </w:num>
  <w:num w:numId="13">
    <w:abstractNumId w:val="12"/>
  </w:num>
  <w:num w:numId="14">
    <w:abstractNumId w:val="7"/>
  </w:num>
  <w:num w:numId="15">
    <w:abstractNumId w:val="10"/>
  </w:num>
  <w:num w:numId="16">
    <w:abstractNumId w:val="13"/>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EC4"/>
    <w:rsid w:val="00031918"/>
    <w:rsid w:val="000329A6"/>
    <w:rsid w:val="00033535"/>
    <w:rsid w:val="00034C0C"/>
    <w:rsid w:val="00037621"/>
    <w:rsid w:val="000419D4"/>
    <w:rsid w:val="00043365"/>
    <w:rsid w:val="000436F0"/>
    <w:rsid w:val="00043960"/>
    <w:rsid w:val="00044D46"/>
    <w:rsid w:val="00045088"/>
    <w:rsid w:val="00045616"/>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0F37"/>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1446"/>
    <w:rsid w:val="001B181F"/>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29F0"/>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67E5B"/>
    <w:rsid w:val="0027242B"/>
    <w:rsid w:val="0027299F"/>
    <w:rsid w:val="00275182"/>
    <w:rsid w:val="00275946"/>
    <w:rsid w:val="00284EBE"/>
    <w:rsid w:val="00286720"/>
    <w:rsid w:val="002872E1"/>
    <w:rsid w:val="00287B2E"/>
    <w:rsid w:val="00287D4D"/>
    <w:rsid w:val="00290116"/>
    <w:rsid w:val="0029433F"/>
    <w:rsid w:val="00294358"/>
    <w:rsid w:val="00294829"/>
    <w:rsid w:val="00295742"/>
    <w:rsid w:val="0029690F"/>
    <w:rsid w:val="002A2A60"/>
    <w:rsid w:val="002A3815"/>
    <w:rsid w:val="002A6646"/>
    <w:rsid w:val="002B0067"/>
    <w:rsid w:val="002B1C45"/>
    <w:rsid w:val="002B2970"/>
    <w:rsid w:val="002C1227"/>
    <w:rsid w:val="002C13C8"/>
    <w:rsid w:val="002C259C"/>
    <w:rsid w:val="002C3547"/>
    <w:rsid w:val="002C54F1"/>
    <w:rsid w:val="002D0021"/>
    <w:rsid w:val="002D10A3"/>
    <w:rsid w:val="002D295D"/>
    <w:rsid w:val="002D3473"/>
    <w:rsid w:val="002D586D"/>
    <w:rsid w:val="002E37B7"/>
    <w:rsid w:val="002E4A02"/>
    <w:rsid w:val="002E4A1F"/>
    <w:rsid w:val="002E66F4"/>
    <w:rsid w:val="002F1956"/>
    <w:rsid w:val="002F2B8D"/>
    <w:rsid w:val="002F3440"/>
    <w:rsid w:val="002F3B17"/>
    <w:rsid w:val="002F5DD8"/>
    <w:rsid w:val="002F75A3"/>
    <w:rsid w:val="002F75CD"/>
    <w:rsid w:val="002F7EB5"/>
    <w:rsid w:val="00300643"/>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3D"/>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3C4F"/>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2FF5"/>
    <w:rsid w:val="004C5E4F"/>
    <w:rsid w:val="004C7030"/>
    <w:rsid w:val="004D1A5A"/>
    <w:rsid w:val="004D2FFF"/>
    <w:rsid w:val="004D3721"/>
    <w:rsid w:val="004D3766"/>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021"/>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13DF"/>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3FD6"/>
    <w:rsid w:val="007369C7"/>
    <w:rsid w:val="00743531"/>
    <w:rsid w:val="007462D9"/>
    <w:rsid w:val="0074715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3DD"/>
    <w:rsid w:val="0080454E"/>
    <w:rsid w:val="00804C32"/>
    <w:rsid w:val="00806302"/>
    <w:rsid w:val="00807119"/>
    <w:rsid w:val="00811865"/>
    <w:rsid w:val="00814A55"/>
    <w:rsid w:val="0082483F"/>
    <w:rsid w:val="008277D4"/>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1BB9"/>
    <w:rsid w:val="008D3E17"/>
    <w:rsid w:val="008D5D34"/>
    <w:rsid w:val="008D7718"/>
    <w:rsid w:val="008E220E"/>
    <w:rsid w:val="008E3339"/>
    <w:rsid w:val="008E64D3"/>
    <w:rsid w:val="008E6F11"/>
    <w:rsid w:val="008F20FC"/>
    <w:rsid w:val="008F50C4"/>
    <w:rsid w:val="008F5FFE"/>
    <w:rsid w:val="008F6704"/>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20BB"/>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AF536B"/>
    <w:rsid w:val="00B0123F"/>
    <w:rsid w:val="00B04004"/>
    <w:rsid w:val="00B14819"/>
    <w:rsid w:val="00B17AA9"/>
    <w:rsid w:val="00B221FF"/>
    <w:rsid w:val="00B23145"/>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1877"/>
    <w:rsid w:val="00C92A0D"/>
    <w:rsid w:val="00C963D3"/>
    <w:rsid w:val="00CA1802"/>
    <w:rsid w:val="00CB262C"/>
    <w:rsid w:val="00CB2CBB"/>
    <w:rsid w:val="00CB7283"/>
    <w:rsid w:val="00CB7CAC"/>
    <w:rsid w:val="00CC2155"/>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5267"/>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2BC7"/>
    <w:rsid w:val="00E6302B"/>
    <w:rsid w:val="00E6452F"/>
    <w:rsid w:val="00E64F45"/>
    <w:rsid w:val="00E6742D"/>
    <w:rsid w:val="00E71352"/>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959DF"/>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6190"/>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57DD9"/>
    <w:rsid w:val="00F61DD2"/>
    <w:rsid w:val="00F63720"/>
    <w:rsid w:val="00F65FB6"/>
    <w:rsid w:val="00F66AFF"/>
    <w:rsid w:val="00F704E5"/>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A7BF5"/>
    <w:rsid w:val="00FB6703"/>
    <w:rsid w:val="00FB7C8F"/>
    <w:rsid w:val="00FB7D52"/>
    <w:rsid w:val="00FC0299"/>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11</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Primus Varghese Abdullah</cp:lastModifiedBy>
  <cp:revision>19</cp:revision>
  <cp:lastPrinted>2020-06-12T02:43:00Z</cp:lastPrinted>
  <dcterms:created xsi:type="dcterms:W3CDTF">2021-11-11T03:38:00Z</dcterms:created>
  <dcterms:modified xsi:type="dcterms:W3CDTF">2021-11-11T09:24:00Z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