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4D4ADB6C" w:rsidR="003D100A" w:rsidRPr="00205B31" w:rsidRDefault="003D100A" w:rsidP="004E46B9">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741824" w:rsidRDefault="00C60631" w:rsidP="009D510C">
      <w:pPr>
        <w:pStyle w:val="ListParagraph"/>
        <w:numPr>
          <w:ilvl w:val="0"/>
          <w:numId w:val="12"/>
        </w:numPr>
        <w:ind w:left="426"/>
        <w:jc w:val="both"/>
        <w:rPr>
          <w:rFonts w:ascii="Arial" w:hAnsi="Arial" w:cs="Arial"/>
          <w:sz w:val="22"/>
          <w:szCs w:val="22"/>
          <w:highlight w:val="yellow"/>
          <w:lang w:val="en-GB"/>
        </w:rPr>
      </w:pPr>
      <w:r w:rsidRPr="00741824">
        <w:rPr>
          <w:rFonts w:ascii="Arial" w:hAnsi="Arial" w:cs="Arial"/>
          <w:sz w:val="22"/>
          <w:szCs w:val="22"/>
          <w:highlight w:val="yellow"/>
          <w:lang w:val="en-GB"/>
        </w:rPr>
        <w:t xml:space="preserve">This statement is incorrect since </w:t>
      </w:r>
      <w:r w:rsidR="00E7793C" w:rsidRPr="00741824">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C234E3" w:rsidRDefault="00AE027F" w:rsidP="009D510C">
      <w:pPr>
        <w:pStyle w:val="ListParagraph"/>
        <w:numPr>
          <w:ilvl w:val="0"/>
          <w:numId w:val="13"/>
        </w:numPr>
        <w:jc w:val="both"/>
        <w:rPr>
          <w:rFonts w:ascii="Arial" w:hAnsi="Arial" w:cs="Arial"/>
          <w:sz w:val="22"/>
          <w:szCs w:val="22"/>
          <w:highlight w:val="yellow"/>
          <w:lang w:val="en-GB"/>
        </w:rPr>
      </w:pPr>
      <w:r w:rsidRPr="00C234E3">
        <w:rPr>
          <w:rFonts w:ascii="Arial" w:hAnsi="Arial" w:cs="Arial"/>
          <w:sz w:val="22"/>
          <w:szCs w:val="22"/>
          <w:highlight w:val="yellow"/>
          <w:lang w:val="en-GB"/>
        </w:rPr>
        <w:t>The statement i</w:t>
      </w:r>
      <w:r w:rsidR="006E77B0" w:rsidRPr="00C234E3">
        <w:rPr>
          <w:rFonts w:ascii="Arial" w:hAnsi="Arial" w:cs="Arial"/>
          <w:sz w:val="22"/>
          <w:szCs w:val="22"/>
          <w:highlight w:val="yellow"/>
          <w:lang w:val="en-GB"/>
        </w:rPr>
        <w:t>s incorrect since the UK did re</w:t>
      </w:r>
      <w:r w:rsidRPr="00C234E3">
        <w:rPr>
          <w:rFonts w:ascii="Arial" w:hAnsi="Arial" w:cs="Arial"/>
          <w:sz w:val="22"/>
          <w:szCs w:val="22"/>
          <w:highlight w:val="yellow"/>
          <w:lang w:val="en-GB"/>
        </w:rPr>
        <w:t>v</w:t>
      </w:r>
      <w:r w:rsidR="006E77B0" w:rsidRPr="00C234E3">
        <w:rPr>
          <w:rFonts w:ascii="Arial" w:hAnsi="Arial" w:cs="Arial"/>
          <w:sz w:val="22"/>
          <w:szCs w:val="22"/>
          <w:highlight w:val="yellow"/>
          <w:lang w:val="en-GB"/>
        </w:rPr>
        <w:t>i</w:t>
      </w:r>
      <w:r w:rsidRPr="00C234E3">
        <w:rPr>
          <w:rFonts w:ascii="Arial" w:hAnsi="Arial" w:cs="Arial"/>
          <w:sz w:val="22"/>
          <w:szCs w:val="22"/>
          <w:highlight w:val="yellow"/>
          <w:lang w:val="en-GB"/>
        </w:rPr>
        <w:t>ew parts of its insolvency rules and amended some, among</w:t>
      </w:r>
      <w:r w:rsidR="006E77B0" w:rsidRPr="00C234E3">
        <w:rPr>
          <w:rFonts w:ascii="Arial" w:hAnsi="Arial" w:cs="Arial"/>
          <w:sz w:val="22"/>
          <w:szCs w:val="22"/>
          <w:highlight w:val="yellow"/>
          <w:lang w:val="en-GB"/>
        </w:rPr>
        <w:t>s</w:t>
      </w:r>
      <w:r w:rsidRPr="00C234E3">
        <w:rPr>
          <w:rFonts w:ascii="Arial" w:hAnsi="Arial" w:cs="Arial"/>
          <w:sz w:val="22"/>
          <w:szCs w:val="22"/>
          <w:highlight w:val="yellow"/>
          <w:lang w:val="en-GB"/>
        </w:rPr>
        <w:t>t other</w:t>
      </w:r>
      <w:r w:rsidR="00F96AF1" w:rsidRPr="00C234E3">
        <w:rPr>
          <w:rFonts w:ascii="Arial" w:hAnsi="Arial" w:cs="Arial"/>
          <w:sz w:val="22"/>
          <w:szCs w:val="22"/>
          <w:highlight w:val="yellow"/>
          <w:lang w:val="en-GB"/>
        </w:rPr>
        <w:t xml:space="preserve"> things</w:t>
      </w:r>
      <w:r w:rsidRPr="00C234E3">
        <w:rPr>
          <w:rFonts w:ascii="Arial" w:hAnsi="Arial" w:cs="Arial"/>
          <w:sz w:val="22"/>
          <w:szCs w:val="22"/>
          <w:highlight w:val="yellow"/>
          <w:lang w:val="en-GB"/>
        </w:rPr>
        <w:t>, to deal with the negative economic fall out of the pandemic.</w:t>
      </w:r>
      <w:r w:rsidR="00100A77" w:rsidRPr="00C234E3">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C234E3" w:rsidRDefault="00B54F90" w:rsidP="009D510C">
      <w:pPr>
        <w:pStyle w:val="ListParagraph"/>
        <w:numPr>
          <w:ilvl w:val="0"/>
          <w:numId w:val="14"/>
        </w:numPr>
        <w:ind w:left="426"/>
        <w:jc w:val="both"/>
        <w:rPr>
          <w:rFonts w:ascii="Arial" w:hAnsi="Arial" w:cs="Arial"/>
          <w:sz w:val="22"/>
          <w:szCs w:val="22"/>
          <w:highlight w:val="yellow"/>
          <w:lang w:val="en-GB"/>
        </w:rPr>
      </w:pPr>
      <w:r w:rsidRPr="00C234E3">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C234E3">
        <w:rPr>
          <w:rFonts w:ascii="Arial" w:hAnsi="Arial" w:cs="Arial"/>
          <w:sz w:val="22"/>
          <w:szCs w:val="22"/>
          <w:highlight w:val="yellow"/>
          <w:lang w:val="en-GB"/>
        </w:rPr>
        <w:t xml:space="preserve">on </w:t>
      </w:r>
      <w:r w:rsidRPr="00C234E3">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3951E4"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3951E4">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6772F5" w:rsidRDefault="00926D10" w:rsidP="009D510C">
      <w:pPr>
        <w:pStyle w:val="ListParagraph"/>
        <w:numPr>
          <w:ilvl w:val="0"/>
          <w:numId w:val="5"/>
        </w:numPr>
        <w:ind w:left="426"/>
        <w:jc w:val="both"/>
        <w:rPr>
          <w:rFonts w:ascii="Arial" w:hAnsi="Arial" w:cs="Arial"/>
          <w:sz w:val="22"/>
          <w:szCs w:val="22"/>
          <w:highlight w:val="yellow"/>
          <w:lang w:val="en-GB"/>
        </w:rPr>
      </w:pPr>
      <w:r w:rsidRPr="006772F5">
        <w:rPr>
          <w:rFonts w:ascii="Arial" w:hAnsi="Arial" w:cs="Arial"/>
          <w:sz w:val="22"/>
          <w:szCs w:val="22"/>
          <w:highlight w:val="yellow"/>
          <w:lang w:val="en-GB"/>
        </w:rPr>
        <w:t xml:space="preserve">The statement is </w:t>
      </w:r>
      <w:r w:rsidR="006E1CB0" w:rsidRPr="006772F5">
        <w:rPr>
          <w:rFonts w:ascii="Arial" w:hAnsi="Arial" w:cs="Arial"/>
          <w:sz w:val="22"/>
          <w:szCs w:val="22"/>
          <w:highlight w:val="yellow"/>
          <w:lang w:val="en-GB"/>
        </w:rPr>
        <w:t xml:space="preserve">not </w:t>
      </w:r>
      <w:r w:rsidRPr="006772F5">
        <w:rPr>
          <w:rFonts w:ascii="Arial" w:hAnsi="Arial" w:cs="Arial"/>
          <w:sz w:val="22"/>
          <w:szCs w:val="22"/>
          <w:highlight w:val="yellow"/>
          <w:lang w:val="en-GB"/>
        </w:rPr>
        <w:t xml:space="preserve">correct </w:t>
      </w:r>
      <w:r w:rsidR="007958F0" w:rsidRPr="006772F5">
        <w:rPr>
          <w:rFonts w:ascii="Arial" w:hAnsi="Arial" w:cs="Arial"/>
          <w:sz w:val="22"/>
          <w:szCs w:val="22"/>
          <w:highlight w:val="yellow"/>
          <w:lang w:val="en-GB"/>
        </w:rPr>
        <w:t>because</w:t>
      </w:r>
      <w:r w:rsidRPr="006772F5">
        <w:rPr>
          <w:rFonts w:ascii="Arial" w:hAnsi="Arial" w:cs="Arial"/>
          <w:sz w:val="22"/>
          <w:szCs w:val="22"/>
          <w:highlight w:val="yellow"/>
          <w:lang w:val="en-GB"/>
        </w:rPr>
        <w:t xml:space="preserve"> very few </w:t>
      </w:r>
      <w:r w:rsidR="007958F0" w:rsidRPr="006772F5">
        <w:rPr>
          <w:rFonts w:ascii="Arial" w:hAnsi="Arial" w:cs="Arial"/>
          <w:sz w:val="22"/>
          <w:szCs w:val="22"/>
          <w:highlight w:val="yellow"/>
          <w:lang w:val="en-GB"/>
        </w:rPr>
        <w:t>States</w:t>
      </w:r>
      <w:r w:rsidRPr="006772F5">
        <w:rPr>
          <w:rFonts w:ascii="Arial" w:hAnsi="Arial" w:cs="Arial"/>
          <w:sz w:val="22"/>
          <w:szCs w:val="22"/>
          <w:highlight w:val="yellow"/>
          <w:lang w:val="en-GB"/>
        </w:rPr>
        <w:t xml:space="preserve"> allow insolvent estate representatives to deal with assets of a foreign debtor situated in </w:t>
      </w:r>
      <w:r w:rsidR="005936B3" w:rsidRPr="006772F5">
        <w:rPr>
          <w:rFonts w:ascii="Arial" w:hAnsi="Arial" w:cs="Arial"/>
          <w:sz w:val="22"/>
          <w:szCs w:val="22"/>
          <w:highlight w:val="yellow"/>
          <w:lang w:val="en-GB"/>
        </w:rPr>
        <w:t>their own</w:t>
      </w:r>
      <w:r w:rsidRPr="006772F5">
        <w:rPr>
          <w:rFonts w:ascii="Arial" w:hAnsi="Arial" w:cs="Arial"/>
          <w:sz w:val="22"/>
          <w:szCs w:val="22"/>
          <w:highlight w:val="yellow"/>
          <w:lang w:val="en-GB"/>
        </w:rPr>
        <w:t xml:space="preserve"> jurisdiction without </w:t>
      </w:r>
      <w:r w:rsidR="006E1CB0" w:rsidRPr="006772F5">
        <w:rPr>
          <w:rFonts w:ascii="Arial" w:hAnsi="Arial" w:cs="Arial"/>
          <w:sz w:val="22"/>
          <w:szCs w:val="22"/>
          <w:highlight w:val="yellow"/>
          <w:lang w:val="en-GB"/>
        </w:rPr>
        <w:t xml:space="preserve">some form of </w:t>
      </w:r>
      <w:r w:rsidR="0090037B" w:rsidRPr="006772F5">
        <w:rPr>
          <w:rFonts w:ascii="Arial" w:hAnsi="Arial" w:cs="Arial"/>
          <w:sz w:val="22"/>
          <w:szCs w:val="22"/>
          <w:highlight w:val="yellow"/>
          <w:lang w:val="en-GB"/>
        </w:rPr>
        <w:t xml:space="preserve">a </w:t>
      </w:r>
      <w:r w:rsidR="006E1CB0" w:rsidRPr="006772F5">
        <w:rPr>
          <w:rFonts w:ascii="Arial" w:hAnsi="Arial" w:cs="Arial"/>
          <w:sz w:val="22"/>
          <w:szCs w:val="22"/>
          <w:highlight w:val="yellow"/>
          <w:lang w:val="en-GB"/>
        </w:rPr>
        <w:t>(</w:t>
      </w:r>
      <w:r w:rsidR="0090037B" w:rsidRPr="006772F5">
        <w:rPr>
          <w:rFonts w:ascii="Arial" w:hAnsi="Arial" w:cs="Arial"/>
          <w:sz w:val="22"/>
          <w:szCs w:val="22"/>
          <w:highlight w:val="yellow"/>
          <w:lang w:val="en-GB"/>
        </w:rPr>
        <w:t>prior</w:t>
      </w:r>
      <w:r w:rsidR="006E1CB0" w:rsidRPr="006772F5">
        <w:rPr>
          <w:rFonts w:ascii="Arial" w:hAnsi="Arial" w:cs="Arial"/>
          <w:sz w:val="22"/>
          <w:szCs w:val="22"/>
          <w:highlight w:val="yellow"/>
          <w:lang w:val="en-GB"/>
        </w:rPr>
        <w:t>)</w:t>
      </w:r>
      <w:r w:rsidRPr="006772F5">
        <w:rPr>
          <w:rFonts w:ascii="Arial" w:hAnsi="Arial" w:cs="Arial"/>
          <w:sz w:val="22"/>
          <w:szCs w:val="22"/>
          <w:highlight w:val="yellow"/>
          <w:lang w:val="en-GB"/>
        </w:rPr>
        <w:t xml:space="preserve"> local procedure </w:t>
      </w:r>
      <w:r w:rsidR="005936B3" w:rsidRPr="006772F5">
        <w:rPr>
          <w:rFonts w:ascii="Arial" w:hAnsi="Arial" w:cs="Arial"/>
          <w:sz w:val="22"/>
          <w:szCs w:val="22"/>
          <w:highlight w:val="yellow"/>
          <w:lang w:val="en-GB"/>
        </w:rPr>
        <w:t xml:space="preserve">to </w:t>
      </w:r>
      <w:r w:rsidRPr="006772F5">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0C5E74" w:rsidRDefault="000329A6" w:rsidP="00C570AC">
      <w:pPr>
        <w:pStyle w:val="ListParagraph"/>
        <w:numPr>
          <w:ilvl w:val="0"/>
          <w:numId w:val="6"/>
        </w:numPr>
        <w:ind w:left="426"/>
        <w:jc w:val="both"/>
        <w:rPr>
          <w:rFonts w:ascii="Arial" w:hAnsi="Arial" w:cs="Arial"/>
          <w:sz w:val="22"/>
          <w:szCs w:val="22"/>
          <w:highlight w:val="yellow"/>
          <w:lang w:val="en-GB"/>
        </w:rPr>
      </w:pPr>
      <w:r w:rsidRPr="000C5E74">
        <w:rPr>
          <w:rFonts w:ascii="Arial" w:eastAsiaTheme="minorHAnsi" w:hAnsi="Arial" w:cs="Arial"/>
          <w:sz w:val="22"/>
          <w:szCs w:val="22"/>
          <w:highlight w:val="yellow"/>
          <w:lang w:val="en-GB"/>
        </w:rPr>
        <w:t xml:space="preserve">They were recently revised in 2021 and, together with the </w:t>
      </w:r>
      <w:r w:rsidRPr="000C5E74">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3D25CD"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3D25CD">
        <w:rPr>
          <w:rFonts w:ascii="Arial" w:eastAsiaTheme="minorHAnsi" w:hAnsi="Arial" w:cs="Arial"/>
          <w:sz w:val="22"/>
          <w:szCs w:val="22"/>
          <w:highlight w:val="yellow"/>
          <w:lang w:val="en-GB"/>
        </w:rPr>
        <w:t xml:space="preserve">The Nordic Convention </w:t>
      </w:r>
      <w:r w:rsidR="00076483" w:rsidRPr="003D25CD">
        <w:rPr>
          <w:rFonts w:ascii="Arial" w:eastAsiaTheme="minorHAnsi" w:hAnsi="Arial" w:cs="Arial"/>
          <w:sz w:val="22"/>
          <w:szCs w:val="22"/>
          <w:highlight w:val="yellow"/>
          <w:lang w:val="en-GB"/>
        </w:rPr>
        <w:t>1933</w:t>
      </w:r>
      <w:r w:rsidR="00966E44" w:rsidRPr="003D25CD">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3D25CD" w:rsidRDefault="00124B70" w:rsidP="00275182">
      <w:pPr>
        <w:pStyle w:val="ListParagraph"/>
        <w:numPr>
          <w:ilvl w:val="0"/>
          <w:numId w:val="8"/>
        </w:numPr>
        <w:ind w:left="426"/>
        <w:jc w:val="both"/>
        <w:rPr>
          <w:rFonts w:ascii="Arial" w:hAnsi="Arial" w:cs="Arial"/>
          <w:sz w:val="22"/>
          <w:szCs w:val="22"/>
          <w:highlight w:val="yellow"/>
          <w:lang w:val="en-GB"/>
        </w:rPr>
      </w:pPr>
      <w:r w:rsidRPr="003D25CD">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59183D" w:rsidRDefault="00E86549" w:rsidP="00275182">
      <w:pPr>
        <w:pStyle w:val="ListParagraph"/>
        <w:numPr>
          <w:ilvl w:val="0"/>
          <w:numId w:val="9"/>
        </w:numPr>
        <w:ind w:left="426"/>
        <w:jc w:val="both"/>
        <w:rPr>
          <w:rFonts w:ascii="Arial" w:hAnsi="Arial" w:cs="Arial"/>
          <w:bCs/>
          <w:sz w:val="22"/>
          <w:szCs w:val="22"/>
          <w:highlight w:val="yellow"/>
          <w:lang w:val="en-GB"/>
        </w:rPr>
      </w:pPr>
      <w:r w:rsidRPr="0059183D">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59183D">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E435F5" w:rsidRDefault="00911C23" w:rsidP="00275182">
      <w:pPr>
        <w:pStyle w:val="ListParagraph"/>
        <w:numPr>
          <w:ilvl w:val="0"/>
          <w:numId w:val="10"/>
        </w:numPr>
        <w:ind w:left="426"/>
        <w:jc w:val="both"/>
        <w:rPr>
          <w:rFonts w:ascii="Arial" w:hAnsi="Arial" w:cs="Arial"/>
          <w:sz w:val="22"/>
          <w:szCs w:val="22"/>
          <w:highlight w:val="yellow"/>
          <w:lang w:val="en-GB"/>
        </w:rPr>
      </w:pPr>
      <w:r w:rsidRPr="00E435F5">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73CA65BA" w14:textId="4C01B375" w:rsidR="00A0697F" w:rsidRDefault="00A0697F"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significant historical developments regarding debt collection procedures in English law that shaped the way of thinking concerning modern insolvency law are –</w:t>
      </w:r>
    </w:p>
    <w:p w14:paraId="42441C66" w14:textId="27E413DB" w:rsidR="00A0697F" w:rsidRDefault="00A0697F" w:rsidP="00E8021D">
      <w:pPr>
        <w:jc w:val="both"/>
        <w:rPr>
          <w:rFonts w:ascii="Arial" w:hAnsi="Arial" w:cs="Arial"/>
          <w:color w:val="7B7B7B" w:themeColor="accent3" w:themeShade="BF"/>
          <w:sz w:val="22"/>
          <w:szCs w:val="22"/>
          <w:lang w:val="en-GB"/>
        </w:rPr>
      </w:pPr>
    </w:p>
    <w:p w14:paraId="7378DE3A" w14:textId="78203CF2" w:rsidR="00A0697F" w:rsidRDefault="00B63795" w:rsidP="00E8021D">
      <w:pPr>
        <w:pStyle w:val="ListParagraph"/>
        <w:numPr>
          <w:ilvl w:val="0"/>
          <w:numId w:val="17"/>
        </w:numPr>
        <w:ind w:hanging="720"/>
        <w:jc w:val="both"/>
        <w:rPr>
          <w:rFonts w:ascii="Arial" w:hAnsi="Arial" w:cs="Arial"/>
          <w:color w:val="7B7B7B" w:themeColor="accent3" w:themeShade="BF"/>
          <w:sz w:val="22"/>
          <w:szCs w:val="22"/>
          <w:lang w:val="en-GB"/>
        </w:rPr>
      </w:pPr>
      <w:r w:rsidRPr="00A0697F">
        <w:rPr>
          <w:rFonts w:ascii="Arial" w:hAnsi="Arial" w:cs="Arial"/>
          <w:color w:val="7B7B7B" w:themeColor="accent3" w:themeShade="BF"/>
          <w:sz w:val="22"/>
          <w:szCs w:val="22"/>
          <w:lang w:val="en-GB"/>
        </w:rPr>
        <w:t xml:space="preserve">the English Bankruptcy Act of 1542 </w:t>
      </w:r>
      <w:r w:rsidR="00A0697F" w:rsidRPr="00A0697F">
        <w:rPr>
          <w:rFonts w:ascii="Arial" w:hAnsi="Arial" w:cs="Arial"/>
          <w:color w:val="7B7B7B" w:themeColor="accent3" w:themeShade="BF"/>
          <w:sz w:val="22"/>
          <w:szCs w:val="22"/>
          <w:lang w:val="en-GB"/>
        </w:rPr>
        <w:t>intended to deal with fraudulent debtors</w:t>
      </w:r>
      <w:r w:rsidR="00953D67">
        <w:rPr>
          <w:rFonts w:ascii="Arial" w:hAnsi="Arial" w:cs="Arial"/>
          <w:color w:val="7B7B7B" w:themeColor="accent3" w:themeShade="BF"/>
          <w:sz w:val="22"/>
          <w:szCs w:val="22"/>
          <w:lang w:val="en-GB"/>
        </w:rPr>
        <w:t>. The Bankruptcy Act of 1542</w:t>
      </w:r>
      <w:r w:rsidR="00A0697F">
        <w:rPr>
          <w:rFonts w:ascii="Arial" w:hAnsi="Arial" w:cs="Arial"/>
          <w:color w:val="7B7B7B" w:themeColor="accent3" w:themeShade="BF"/>
          <w:sz w:val="22"/>
          <w:szCs w:val="22"/>
          <w:lang w:val="en-GB"/>
        </w:rPr>
        <w:t xml:space="preserve"> </w:t>
      </w:r>
      <w:r w:rsidR="007843F8">
        <w:rPr>
          <w:rFonts w:ascii="Arial" w:hAnsi="Arial" w:cs="Arial"/>
          <w:color w:val="7B7B7B" w:themeColor="accent3" w:themeShade="BF"/>
          <w:sz w:val="22"/>
          <w:szCs w:val="22"/>
          <w:lang w:val="en-GB"/>
        </w:rPr>
        <w:t>introduced</w:t>
      </w:r>
      <w:r w:rsidRPr="00A0697F">
        <w:rPr>
          <w:rFonts w:ascii="Arial" w:hAnsi="Arial" w:cs="Arial"/>
          <w:color w:val="7B7B7B" w:themeColor="accent3" w:themeShade="BF"/>
          <w:sz w:val="22"/>
          <w:szCs w:val="22"/>
          <w:lang w:val="en-GB"/>
        </w:rPr>
        <w:t xml:space="preserve"> the principles of collective participation by creditors and </w:t>
      </w:r>
      <w:r w:rsidRPr="00A0697F">
        <w:rPr>
          <w:rFonts w:ascii="Arial" w:hAnsi="Arial" w:cs="Arial"/>
          <w:i/>
          <w:color w:val="7B7B7B" w:themeColor="accent3" w:themeShade="BF"/>
          <w:sz w:val="22"/>
          <w:szCs w:val="22"/>
          <w:lang w:val="en-GB"/>
        </w:rPr>
        <w:t xml:space="preserve">pari passu </w:t>
      </w:r>
      <w:r w:rsidRPr="00A0697F">
        <w:rPr>
          <w:rFonts w:ascii="Arial" w:hAnsi="Arial" w:cs="Arial"/>
          <w:color w:val="7B7B7B" w:themeColor="accent3" w:themeShade="BF"/>
          <w:sz w:val="22"/>
          <w:szCs w:val="22"/>
          <w:lang w:val="en-GB"/>
        </w:rPr>
        <w:t>distribution of the debtor’</w:t>
      </w:r>
      <w:r w:rsidR="00A0697F">
        <w:rPr>
          <w:rFonts w:ascii="Arial" w:hAnsi="Arial" w:cs="Arial"/>
          <w:color w:val="7B7B7B" w:themeColor="accent3" w:themeShade="BF"/>
          <w:sz w:val="22"/>
          <w:szCs w:val="22"/>
          <w:lang w:val="en-GB"/>
        </w:rPr>
        <w:t xml:space="preserve">s assets amongst </w:t>
      </w:r>
      <w:r w:rsidR="00321057">
        <w:rPr>
          <w:rFonts w:ascii="Arial" w:hAnsi="Arial" w:cs="Arial"/>
          <w:color w:val="7B7B7B" w:themeColor="accent3" w:themeShade="BF"/>
          <w:sz w:val="22"/>
          <w:szCs w:val="22"/>
          <w:lang w:val="en-GB"/>
        </w:rPr>
        <w:t>its</w:t>
      </w:r>
      <w:r w:rsidR="00A0697F">
        <w:rPr>
          <w:rFonts w:ascii="Arial" w:hAnsi="Arial" w:cs="Arial"/>
          <w:color w:val="7B7B7B" w:themeColor="accent3" w:themeShade="BF"/>
          <w:sz w:val="22"/>
          <w:szCs w:val="22"/>
          <w:lang w:val="en-GB"/>
        </w:rPr>
        <w:t xml:space="preserve"> creditors;</w:t>
      </w:r>
      <w:r w:rsidR="00953D67">
        <w:rPr>
          <w:rStyle w:val="FootnoteReference"/>
          <w:rFonts w:ascii="Arial" w:hAnsi="Arial" w:cs="Arial"/>
          <w:color w:val="7B7B7B" w:themeColor="accent3" w:themeShade="BF"/>
          <w:sz w:val="22"/>
          <w:szCs w:val="22"/>
          <w:lang w:val="en-GB"/>
        </w:rPr>
        <w:footnoteReference w:id="1"/>
      </w:r>
    </w:p>
    <w:p w14:paraId="76DC28A0" w14:textId="77777777" w:rsidR="00A0697F" w:rsidRDefault="00A0697F" w:rsidP="00E8021D">
      <w:pPr>
        <w:pStyle w:val="ListParagraph"/>
        <w:jc w:val="both"/>
        <w:rPr>
          <w:rFonts w:ascii="Arial" w:hAnsi="Arial" w:cs="Arial"/>
          <w:color w:val="7B7B7B" w:themeColor="accent3" w:themeShade="BF"/>
          <w:sz w:val="22"/>
          <w:szCs w:val="22"/>
          <w:lang w:val="en-GB"/>
        </w:rPr>
      </w:pPr>
    </w:p>
    <w:p w14:paraId="11874AEC" w14:textId="5F73556A" w:rsidR="001A54A7" w:rsidRDefault="00A0697F" w:rsidP="00E8021D">
      <w:pPr>
        <w:pStyle w:val="ListParagraph"/>
        <w:numPr>
          <w:ilvl w:val="0"/>
          <w:numId w:val="17"/>
        </w:numPr>
        <w:ind w:hanging="720"/>
        <w:jc w:val="both"/>
        <w:rPr>
          <w:rFonts w:ascii="Arial" w:hAnsi="Arial" w:cs="Arial"/>
          <w:color w:val="7B7B7B" w:themeColor="accent3" w:themeShade="BF"/>
          <w:sz w:val="22"/>
          <w:szCs w:val="22"/>
          <w:lang w:val="en-GB"/>
        </w:rPr>
      </w:pPr>
      <w:r w:rsidRPr="00A0697F">
        <w:rPr>
          <w:rFonts w:ascii="Arial" w:hAnsi="Arial" w:cs="Arial"/>
          <w:color w:val="7B7B7B" w:themeColor="accent3" w:themeShade="BF"/>
          <w:sz w:val="22"/>
          <w:szCs w:val="22"/>
          <w:lang w:val="en-GB"/>
        </w:rPr>
        <w:t xml:space="preserve">the Act of Elizabeth introduced in 1570 which </w:t>
      </w:r>
      <w:r w:rsidR="00953D67">
        <w:rPr>
          <w:rFonts w:ascii="Arial" w:hAnsi="Arial" w:cs="Arial"/>
          <w:color w:val="7B7B7B" w:themeColor="accent3" w:themeShade="BF"/>
          <w:sz w:val="22"/>
          <w:szCs w:val="22"/>
          <w:lang w:val="en-GB"/>
        </w:rPr>
        <w:t>is considered as the first true bankruptcy statute.</w:t>
      </w:r>
      <w:r w:rsidR="00936AEF">
        <w:rPr>
          <w:rStyle w:val="FootnoteReference"/>
          <w:rFonts w:ascii="Arial" w:hAnsi="Arial" w:cs="Arial"/>
          <w:color w:val="7B7B7B" w:themeColor="accent3" w:themeShade="BF"/>
          <w:sz w:val="22"/>
          <w:szCs w:val="22"/>
          <w:lang w:val="en-GB"/>
        </w:rPr>
        <w:footnoteReference w:id="2"/>
      </w:r>
      <w:r w:rsidR="00953D67">
        <w:rPr>
          <w:rFonts w:ascii="Arial" w:hAnsi="Arial" w:cs="Arial"/>
          <w:color w:val="7B7B7B" w:themeColor="accent3" w:themeShade="BF"/>
          <w:sz w:val="22"/>
          <w:szCs w:val="22"/>
          <w:lang w:val="en-GB"/>
        </w:rPr>
        <w:t xml:space="preserve"> The Act of Elizabeth provided for additional acts of bankruptcy, </w:t>
      </w:r>
      <w:r w:rsidR="001A54A7">
        <w:rPr>
          <w:rFonts w:ascii="Arial" w:hAnsi="Arial" w:cs="Arial"/>
          <w:color w:val="7B7B7B" w:themeColor="accent3" w:themeShade="BF"/>
          <w:sz w:val="22"/>
          <w:szCs w:val="22"/>
          <w:lang w:val="en-GB"/>
        </w:rPr>
        <w:t xml:space="preserve">transferred the jurisdiction for supervision of the debtor’s estate from the commissioners (under the Bankruptcy Act of 1542) to the Lord Chancellor. The Act of Elizabeth </w:t>
      </w:r>
      <w:r w:rsidR="00953D67">
        <w:rPr>
          <w:rFonts w:ascii="Arial" w:hAnsi="Arial" w:cs="Arial"/>
          <w:color w:val="7B7B7B" w:themeColor="accent3" w:themeShade="BF"/>
          <w:sz w:val="22"/>
          <w:szCs w:val="22"/>
          <w:lang w:val="en-GB"/>
        </w:rPr>
        <w:t xml:space="preserve">also </w:t>
      </w:r>
      <w:r w:rsidR="001A54A7">
        <w:rPr>
          <w:rFonts w:ascii="Arial" w:hAnsi="Arial" w:cs="Arial"/>
          <w:color w:val="7B7B7B" w:themeColor="accent3" w:themeShade="BF"/>
          <w:sz w:val="22"/>
          <w:szCs w:val="22"/>
          <w:lang w:val="en-GB"/>
        </w:rPr>
        <w:t>provided that following an act of bankruptcy, a creditor could initiate bankruptcy proceedings and petition the Lord Chancellor to convene a bankruptcy meeting</w:t>
      </w:r>
      <w:r w:rsidR="007843F8">
        <w:rPr>
          <w:rFonts w:ascii="Arial" w:hAnsi="Arial" w:cs="Arial"/>
          <w:color w:val="7B7B7B" w:themeColor="accent3" w:themeShade="BF"/>
          <w:sz w:val="22"/>
          <w:szCs w:val="22"/>
          <w:lang w:val="en-GB"/>
        </w:rPr>
        <w:t xml:space="preserve"> for the examination of the debtor’s transactions and assets and the debtor was then required to transfer its assets to the bankruptcy commissioners appointed by the Lord Chancellor;</w:t>
      </w:r>
    </w:p>
    <w:p w14:paraId="2E1B139D" w14:textId="77777777" w:rsidR="001A54A7" w:rsidRPr="001A54A7" w:rsidRDefault="001A54A7" w:rsidP="00E8021D">
      <w:pPr>
        <w:pStyle w:val="ListParagraph"/>
        <w:jc w:val="both"/>
        <w:rPr>
          <w:rFonts w:ascii="Arial" w:hAnsi="Arial" w:cs="Arial"/>
          <w:color w:val="7B7B7B" w:themeColor="accent3" w:themeShade="BF"/>
          <w:sz w:val="22"/>
          <w:szCs w:val="22"/>
          <w:lang w:val="en-GB"/>
        </w:rPr>
      </w:pPr>
    </w:p>
    <w:p w14:paraId="28FC2310" w14:textId="221DD51D" w:rsidR="007843F8" w:rsidRDefault="00321057" w:rsidP="00E8021D">
      <w:pPr>
        <w:pStyle w:val="ListParagraph"/>
        <w:numPr>
          <w:ilvl w:val="0"/>
          <w:numId w:val="17"/>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Ann of 1705 which introduced the notion of a statutory discharge</w:t>
      </w:r>
      <w:r w:rsidR="00CD5A81">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3"/>
      </w:r>
      <w:r w:rsidR="00CD5A81">
        <w:rPr>
          <w:rFonts w:ascii="Arial" w:hAnsi="Arial" w:cs="Arial"/>
          <w:color w:val="7B7B7B" w:themeColor="accent3" w:themeShade="BF"/>
          <w:sz w:val="22"/>
          <w:szCs w:val="22"/>
          <w:lang w:val="en-GB"/>
        </w:rPr>
        <w:t xml:space="preserve"> The discharge was not automatic and was subject to the bankruptcy commissioners confirming that the debtor had conformed to and co-operated in the bankruptcy proceedings;</w:t>
      </w:r>
    </w:p>
    <w:p w14:paraId="002B6B0C" w14:textId="77777777" w:rsidR="007843F8" w:rsidRPr="007843F8" w:rsidRDefault="007843F8" w:rsidP="00E8021D">
      <w:pPr>
        <w:pStyle w:val="ListParagraph"/>
        <w:jc w:val="both"/>
        <w:rPr>
          <w:rFonts w:ascii="Arial" w:hAnsi="Arial" w:cs="Arial"/>
          <w:color w:val="7B7B7B" w:themeColor="accent3" w:themeShade="BF"/>
          <w:sz w:val="22"/>
          <w:szCs w:val="22"/>
          <w:lang w:val="en-GB"/>
        </w:rPr>
      </w:pPr>
    </w:p>
    <w:p w14:paraId="086D945A" w14:textId="34B08CCF" w:rsidR="00A0697F" w:rsidRPr="00A0697F" w:rsidRDefault="007843F8" w:rsidP="00E8021D">
      <w:pPr>
        <w:pStyle w:val="ListParagraph"/>
        <w:numPr>
          <w:ilvl w:val="0"/>
          <w:numId w:val="17"/>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Bankruptcy Act of 1883 which introduced the office of the Official Receiver</w:t>
      </w:r>
      <w:r w:rsidR="0019768A">
        <w:rPr>
          <w:rFonts w:ascii="Arial" w:hAnsi="Arial" w:cs="Arial"/>
          <w:color w:val="7B7B7B" w:themeColor="accent3" w:themeShade="BF"/>
          <w:sz w:val="22"/>
          <w:szCs w:val="22"/>
          <w:lang w:val="en-GB"/>
        </w:rPr>
        <w:t>.</w:t>
      </w:r>
      <w:r w:rsidR="00CD5A81">
        <w:rPr>
          <w:rFonts w:ascii="Arial" w:hAnsi="Arial" w:cs="Arial"/>
          <w:color w:val="7B7B7B" w:themeColor="accent3" w:themeShade="BF"/>
          <w:sz w:val="22"/>
          <w:szCs w:val="22"/>
          <w:lang w:val="en-GB"/>
        </w:rPr>
        <w:t xml:space="preserve"> The Official Receiver was responsible for administrating the debtor’s assets before commencement of the bankruptcy procedure.</w:t>
      </w:r>
      <w:r>
        <w:rPr>
          <w:rStyle w:val="FootnoteReference"/>
          <w:rFonts w:ascii="Arial" w:hAnsi="Arial" w:cs="Arial"/>
          <w:color w:val="7B7B7B" w:themeColor="accent3" w:themeShade="BF"/>
          <w:sz w:val="22"/>
          <w:szCs w:val="22"/>
          <w:lang w:val="en-GB"/>
        </w:rPr>
        <w:footnoteReference w:id="4"/>
      </w:r>
      <w:r w:rsidR="00321057">
        <w:rPr>
          <w:rFonts w:ascii="Arial" w:hAnsi="Arial" w:cs="Arial"/>
          <w:color w:val="7B7B7B" w:themeColor="accent3" w:themeShade="BF"/>
          <w:sz w:val="22"/>
          <w:szCs w:val="22"/>
          <w:lang w:val="en-GB"/>
        </w:rPr>
        <w:t xml:space="preserve"> </w:t>
      </w:r>
      <w:r w:rsidR="00A0697F">
        <w:rPr>
          <w:rFonts w:ascii="Arial" w:hAnsi="Arial" w:cs="Arial"/>
          <w:color w:val="7B7B7B" w:themeColor="accent3" w:themeShade="BF"/>
          <w:sz w:val="22"/>
          <w:szCs w:val="22"/>
          <w:lang w:val="en-GB"/>
        </w:rPr>
        <w:t xml:space="preserve">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897CB9A" w14:textId="2484CD83" w:rsidR="00446ECF" w:rsidRDefault="0066764F"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United Kingdom (“UK”) was already in the process of reforming its insolvency framework when the Covid-19 pandemic hit. </w:t>
      </w:r>
      <w:r w:rsidR="007D7C63">
        <w:rPr>
          <w:rFonts w:ascii="Arial" w:hAnsi="Arial" w:cs="Arial"/>
          <w:color w:val="7B7B7B" w:themeColor="accent3" w:themeShade="BF"/>
          <w:sz w:val="22"/>
          <w:szCs w:val="22"/>
          <w:lang w:val="en-GB"/>
        </w:rPr>
        <w:t>Following the hit of the pandemic, t</w:t>
      </w:r>
      <w:r w:rsidR="0019768A">
        <w:rPr>
          <w:rFonts w:ascii="Arial" w:hAnsi="Arial" w:cs="Arial"/>
          <w:color w:val="7B7B7B" w:themeColor="accent3" w:themeShade="BF"/>
          <w:sz w:val="22"/>
          <w:szCs w:val="22"/>
          <w:lang w:val="en-GB"/>
        </w:rPr>
        <w:t xml:space="preserve">he </w:t>
      </w:r>
      <w:r w:rsidR="00DF5ED8">
        <w:rPr>
          <w:rFonts w:ascii="Arial" w:hAnsi="Arial" w:cs="Arial"/>
          <w:color w:val="7B7B7B" w:themeColor="accent3" w:themeShade="BF"/>
          <w:sz w:val="22"/>
          <w:szCs w:val="22"/>
          <w:lang w:val="en-GB"/>
        </w:rPr>
        <w:t>reforms</w:t>
      </w:r>
      <w:r w:rsidR="0019768A">
        <w:rPr>
          <w:rFonts w:ascii="Arial" w:hAnsi="Arial" w:cs="Arial"/>
          <w:color w:val="7B7B7B" w:themeColor="accent3" w:themeShade="BF"/>
          <w:sz w:val="22"/>
          <w:szCs w:val="22"/>
          <w:lang w:val="en-GB"/>
        </w:rPr>
        <w:t xml:space="preserve"> </w:t>
      </w:r>
      <w:r w:rsidR="007D7C63">
        <w:rPr>
          <w:rFonts w:ascii="Arial" w:hAnsi="Arial" w:cs="Arial"/>
          <w:color w:val="7B7B7B" w:themeColor="accent3" w:themeShade="BF"/>
          <w:sz w:val="22"/>
          <w:szCs w:val="22"/>
          <w:lang w:val="en-GB"/>
        </w:rPr>
        <w:t xml:space="preserve">were hurried along and </w:t>
      </w:r>
      <w:r w:rsidR="0019768A">
        <w:rPr>
          <w:rFonts w:ascii="Arial" w:hAnsi="Arial" w:cs="Arial"/>
          <w:color w:val="7B7B7B" w:themeColor="accent3" w:themeShade="BF"/>
          <w:sz w:val="22"/>
          <w:szCs w:val="22"/>
          <w:lang w:val="en-GB"/>
        </w:rPr>
        <w:t xml:space="preserve">brought about by the Corporate Insolvency and Governance Act 2020 (“CIGA 2020”). </w:t>
      </w:r>
      <w:r w:rsidR="00DF5ED8">
        <w:rPr>
          <w:rFonts w:ascii="Arial" w:hAnsi="Arial" w:cs="Arial"/>
          <w:color w:val="7B7B7B" w:themeColor="accent3" w:themeShade="BF"/>
          <w:sz w:val="22"/>
          <w:szCs w:val="22"/>
          <w:lang w:val="en-GB"/>
        </w:rPr>
        <w:t>Apart from</w:t>
      </w:r>
      <w:r w:rsidR="0019768A">
        <w:rPr>
          <w:rFonts w:ascii="Arial" w:hAnsi="Arial" w:cs="Arial"/>
          <w:color w:val="7B7B7B" w:themeColor="accent3" w:themeShade="BF"/>
          <w:sz w:val="22"/>
          <w:szCs w:val="22"/>
          <w:lang w:val="en-GB"/>
        </w:rPr>
        <w:t xml:space="preserve"> permanent </w:t>
      </w:r>
      <w:r>
        <w:rPr>
          <w:rFonts w:ascii="Arial" w:hAnsi="Arial" w:cs="Arial"/>
          <w:color w:val="7B7B7B" w:themeColor="accent3" w:themeShade="BF"/>
          <w:sz w:val="22"/>
          <w:szCs w:val="22"/>
          <w:lang w:val="en-GB"/>
        </w:rPr>
        <w:t>measures</w:t>
      </w:r>
      <w:r w:rsidR="0019768A">
        <w:rPr>
          <w:rFonts w:ascii="Arial" w:hAnsi="Arial" w:cs="Arial"/>
          <w:color w:val="7B7B7B" w:themeColor="accent3" w:themeShade="BF"/>
          <w:sz w:val="22"/>
          <w:szCs w:val="22"/>
          <w:lang w:val="en-GB"/>
        </w:rPr>
        <w:t xml:space="preserve"> to update the UK’s insolvency regime</w:t>
      </w:r>
      <w:r w:rsidR="00DF5ED8">
        <w:rPr>
          <w:rFonts w:ascii="Arial" w:hAnsi="Arial" w:cs="Arial"/>
          <w:color w:val="7B7B7B" w:themeColor="accent3" w:themeShade="BF"/>
          <w:sz w:val="22"/>
          <w:szCs w:val="22"/>
          <w:lang w:val="en-GB"/>
        </w:rPr>
        <w:t>, the CIGA 2020 also introduced</w:t>
      </w:r>
      <w:r w:rsidR="0019768A">
        <w:rPr>
          <w:rFonts w:ascii="Arial" w:hAnsi="Arial" w:cs="Arial"/>
          <w:color w:val="7B7B7B" w:themeColor="accent3" w:themeShade="BF"/>
          <w:sz w:val="22"/>
          <w:szCs w:val="22"/>
          <w:lang w:val="en-GB"/>
        </w:rPr>
        <w:t xml:space="preserve"> </w:t>
      </w:r>
      <w:r w:rsidR="00DF5ED8">
        <w:rPr>
          <w:rFonts w:ascii="Arial" w:hAnsi="Arial" w:cs="Arial"/>
          <w:color w:val="7B7B7B" w:themeColor="accent3" w:themeShade="BF"/>
          <w:sz w:val="22"/>
          <w:szCs w:val="22"/>
          <w:lang w:val="en-GB"/>
        </w:rPr>
        <w:t>the following</w:t>
      </w:r>
      <w:r w:rsidR="0019768A">
        <w:rPr>
          <w:rFonts w:ascii="Arial" w:hAnsi="Arial" w:cs="Arial"/>
          <w:color w:val="7B7B7B" w:themeColor="accent3" w:themeShade="BF"/>
          <w:sz w:val="22"/>
          <w:szCs w:val="22"/>
          <w:lang w:val="en-GB"/>
        </w:rPr>
        <w:t xml:space="preserve"> temporary </w:t>
      </w:r>
      <w:r w:rsidR="00DF5ED8">
        <w:rPr>
          <w:rFonts w:ascii="Arial" w:hAnsi="Arial" w:cs="Arial"/>
          <w:color w:val="7B7B7B" w:themeColor="accent3" w:themeShade="BF"/>
          <w:sz w:val="22"/>
          <w:szCs w:val="22"/>
          <w:lang w:val="en-GB"/>
        </w:rPr>
        <w:t xml:space="preserve">insolvency and insolvency-related </w:t>
      </w:r>
      <w:r w:rsidR="0019768A">
        <w:rPr>
          <w:rFonts w:ascii="Arial" w:hAnsi="Arial" w:cs="Arial"/>
          <w:color w:val="7B7B7B" w:themeColor="accent3" w:themeShade="BF"/>
          <w:sz w:val="22"/>
          <w:szCs w:val="22"/>
          <w:lang w:val="en-GB"/>
        </w:rPr>
        <w:t xml:space="preserve">measures </w:t>
      </w:r>
      <w:r w:rsidR="00DF5ED8">
        <w:rPr>
          <w:rFonts w:ascii="Arial" w:hAnsi="Arial" w:cs="Arial"/>
          <w:color w:val="7B7B7B" w:themeColor="accent3" w:themeShade="BF"/>
          <w:sz w:val="22"/>
          <w:szCs w:val="22"/>
          <w:lang w:val="en-GB"/>
        </w:rPr>
        <w:t xml:space="preserve">in the UK </w:t>
      </w:r>
      <w:r>
        <w:rPr>
          <w:rFonts w:ascii="Arial" w:hAnsi="Arial" w:cs="Arial"/>
          <w:color w:val="7B7B7B" w:themeColor="accent3" w:themeShade="BF"/>
          <w:sz w:val="22"/>
          <w:szCs w:val="22"/>
          <w:lang w:val="en-GB"/>
        </w:rPr>
        <w:t xml:space="preserve">to </w:t>
      </w:r>
      <w:r w:rsidR="009D05C6">
        <w:rPr>
          <w:rFonts w:ascii="Arial" w:hAnsi="Arial" w:cs="Arial"/>
          <w:color w:val="7B7B7B" w:themeColor="accent3" w:themeShade="BF"/>
          <w:sz w:val="22"/>
          <w:szCs w:val="22"/>
          <w:lang w:val="en-GB"/>
        </w:rPr>
        <w:t>deal with the negative economic fall-out of the pandemic</w:t>
      </w:r>
      <w:r w:rsidR="00DF5ED8">
        <w:rPr>
          <w:rFonts w:ascii="Arial" w:hAnsi="Arial" w:cs="Arial"/>
          <w:color w:val="7B7B7B" w:themeColor="accent3" w:themeShade="BF"/>
          <w:sz w:val="22"/>
          <w:szCs w:val="22"/>
          <w:lang w:val="en-GB"/>
        </w:rPr>
        <w:t xml:space="preserve"> </w:t>
      </w:r>
      <w:r w:rsidR="00446ECF">
        <w:rPr>
          <w:rFonts w:ascii="Arial" w:hAnsi="Arial" w:cs="Arial"/>
          <w:color w:val="7B7B7B" w:themeColor="accent3" w:themeShade="BF"/>
          <w:sz w:val="22"/>
          <w:szCs w:val="22"/>
          <w:lang w:val="en-GB"/>
        </w:rPr>
        <w:t>–</w:t>
      </w:r>
    </w:p>
    <w:p w14:paraId="271002B8" w14:textId="77777777" w:rsidR="00446ECF" w:rsidRDefault="00446ECF" w:rsidP="00E8021D">
      <w:pPr>
        <w:jc w:val="both"/>
        <w:rPr>
          <w:rFonts w:ascii="Arial" w:hAnsi="Arial" w:cs="Arial"/>
          <w:color w:val="7B7B7B" w:themeColor="accent3" w:themeShade="BF"/>
          <w:sz w:val="22"/>
          <w:szCs w:val="22"/>
          <w:lang w:val="en-GB"/>
        </w:rPr>
      </w:pPr>
    </w:p>
    <w:p w14:paraId="7B5D4A09" w14:textId="26208EA6" w:rsidR="007D7C63" w:rsidRPr="004625F1" w:rsidRDefault="004625F1" w:rsidP="00E8021D">
      <w:pPr>
        <w:pStyle w:val="ListParagraph"/>
        <w:numPr>
          <w:ilvl w:val="0"/>
          <w:numId w:val="18"/>
        </w:numPr>
        <w:ind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voiding of</w:t>
      </w:r>
      <w:r w:rsidR="007D7C63">
        <w:rPr>
          <w:rFonts w:ascii="Arial" w:hAnsi="Arial" w:cs="Arial"/>
          <w:color w:val="7B7B7B" w:themeColor="accent3" w:themeShade="BF"/>
          <w:sz w:val="22"/>
          <w:szCs w:val="22"/>
          <w:lang w:val="en-GB"/>
        </w:rPr>
        <w:t xml:space="preserve"> statutory demands</w:t>
      </w:r>
      <w:r w:rsidR="007E73ED">
        <w:rPr>
          <w:rFonts w:ascii="Arial" w:hAnsi="Arial" w:cs="Arial"/>
          <w:color w:val="7B7B7B" w:themeColor="accent3" w:themeShade="BF"/>
          <w:sz w:val="22"/>
          <w:szCs w:val="22"/>
          <w:lang w:val="en-GB"/>
        </w:rPr>
        <w:t xml:space="preserve">. The CIGA 2020 provided that any statutory demand for a payment of debt issued during the relevant period that the measure was in place was void and no petition for the winding-up of a company could be presented </w:t>
      </w:r>
      <w:r>
        <w:rPr>
          <w:rFonts w:ascii="Arial" w:hAnsi="Arial" w:cs="Arial"/>
          <w:color w:val="7B7B7B" w:themeColor="accent3" w:themeShade="BF"/>
          <w:sz w:val="22"/>
          <w:szCs w:val="22"/>
          <w:lang w:val="en-GB"/>
        </w:rPr>
        <w:t>in respect of such a statutory demand;</w:t>
      </w:r>
      <w:r>
        <w:rPr>
          <w:rStyle w:val="FootnoteReference"/>
          <w:rFonts w:ascii="Arial" w:hAnsi="Arial" w:cs="Arial"/>
          <w:color w:val="7B7B7B" w:themeColor="accent3" w:themeShade="BF"/>
          <w:sz w:val="22"/>
          <w:szCs w:val="22"/>
          <w:lang w:val="en-GB"/>
        </w:rPr>
        <w:footnoteReference w:id="5"/>
      </w:r>
    </w:p>
    <w:p w14:paraId="4A0D4547" w14:textId="77777777" w:rsidR="004625F1" w:rsidRPr="007D7C63" w:rsidRDefault="004625F1" w:rsidP="00E8021D">
      <w:pPr>
        <w:pStyle w:val="ListParagraph"/>
        <w:jc w:val="both"/>
        <w:rPr>
          <w:rFonts w:ascii="Arial" w:hAnsi="Arial" w:cs="Arial"/>
          <w:sz w:val="22"/>
          <w:szCs w:val="22"/>
          <w:lang w:val="en-GB"/>
        </w:rPr>
      </w:pPr>
    </w:p>
    <w:p w14:paraId="15CE74FD" w14:textId="2FE1A8A1" w:rsidR="004625F1" w:rsidRDefault="004625F1" w:rsidP="00E8021D">
      <w:pPr>
        <w:pStyle w:val="ListParagraph"/>
        <w:numPr>
          <w:ilvl w:val="0"/>
          <w:numId w:val="1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restrictions on winding-up petitions. The CIGA 2020 placed a restriction on the circumstances in which a winding-up petition can be presented by creditors during the relevant period that the measure was in place. Creditors could not present winding-up petitions in respect of any unpaid statutory demand or unsatisfied judgment debt unless the creditor has reasonable grounds for believing that Covid-19 has not had a financial effect on the company or the grounds for presenting the winding-up petition would have arisen even if Covid-19 had not had a financial effect on the company;</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xml:space="preserve"> and</w:t>
      </w:r>
    </w:p>
    <w:p w14:paraId="496060C0" w14:textId="77777777" w:rsidR="004625F1" w:rsidRPr="004625F1" w:rsidRDefault="004625F1" w:rsidP="00E8021D">
      <w:pPr>
        <w:pStyle w:val="ListParagraph"/>
        <w:jc w:val="both"/>
        <w:rPr>
          <w:rFonts w:ascii="Arial" w:hAnsi="Arial" w:cs="Arial"/>
          <w:color w:val="7B7B7B" w:themeColor="accent3" w:themeShade="BF"/>
          <w:sz w:val="22"/>
          <w:szCs w:val="22"/>
          <w:lang w:val="en-GB"/>
        </w:rPr>
      </w:pPr>
    </w:p>
    <w:p w14:paraId="1E183697" w14:textId="003A3B9B" w:rsidR="007E73ED" w:rsidRPr="004625F1" w:rsidRDefault="007D7C63" w:rsidP="00E8021D">
      <w:pPr>
        <w:pStyle w:val="ListParagraph"/>
        <w:numPr>
          <w:ilvl w:val="0"/>
          <w:numId w:val="18"/>
        </w:numPr>
        <w:ind w:hanging="720"/>
        <w:jc w:val="both"/>
        <w:rPr>
          <w:rFonts w:ascii="Arial" w:hAnsi="Arial" w:cs="Arial"/>
          <w:color w:val="7B7B7B" w:themeColor="accent3" w:themeShade="BF"/>
          <w:sz w:val="22"/>
          <w:szCs w:val="22"/>
          <w:lang w:val="en-GB"/>
        </w:rPr>
      </w:pPr>
      <w:r w:rsidRPr="007D7C63">
        <w:rPr>
          <w:rFonts w:ascii="Arial" w:hAnsi="Arial" w:cs="Arial"/>
          <w:color w:val="7B7B7B" w:themeColor="accent3" w:themeShade="BF"/>
          <w:sz w:val="22"/>
          <w:szCs w:val="22"/>
          <w:lang w:val="en-GB"/>
        </w:rPr>
        <w:t>sus</w:t>
      </w:r>
      <w:r>
        <w:rPr>
          <w:rFonts w:ascii="Arial" w:hAnsi="Arial" w:cs="Arial"/>
          <w:color w:val="7B7B7B" w:themeColor="accent3" w:themeShade="BF"/>
          <w:sz w:val="22"/>
          <w:szCs w:val="22"/>
          <w:lang w:val="en-GB"/>
        </w:rPr>
        <w:t xml:space="preserve">pension of the wrongful trading rules. </w:t>
      </w:r>
      <w:r w:rsidR="007E73ED">
        <w:rPr>
          <w:rFonts w:ascii="Arial" w:hAnsi="Arial" w:cs="Arial"/>
          <w:color w:val="7B7B7B" w:themeColor="accent3" w:themeShade="BF"/>
          <w:sz w:val="22"/>
          <w:szCs w:val="22"/>
          <w:lang w:val="en-GB"/>
        </w:rPr>
        <w:t>The CIGA 2020 temporarily amended the wrongful trading rules to the effect that when assessing if a director should be liable to make a contribution to the assets of the company under the wrongful trading provisions, the court is to assume that the director is not responsible for any worsening of the financial position of the company or its creditors during the relevant perio</w:t>
      </w:r>
      <w:r w:rsidR="004625F1">
        <w:rPr>
          <w:rFonts w:ascii="Arial" w:hAnsi="Arial" w:cs="Arial"/>
          <w:color w:val="7B7B7B" w:themeColor="accent3" w:themeShade="BF"/>
          <w:sz w:val="22"/>
          <w:szCs w:val="22"/>
          <w:lang w:val="en-GB"/>
        </w:rPr>
        <w:t>d that the measure was in place.</w:t>
      </w:r>
      <w:r w:rsidR="007E73ED">
        <w:rPr>
          <w:rStyle w:val="FootnoteReference"/>
          <w:rFonts w:ascii="Arial" w:hAnsi="Arial" w:cs="Arial"/>
          <w:color w:val="7B7B7B" w:themeColor="accent3" w:themeShade="BF"/>
          <w:sz w:val="22"/>
          <w:szCs w:val="22"/>
          <w:lang w:val="en-GB"/>
        </w:rPr>
        <w:footnoteReference w:id="7"/>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7FA961CF" w:rsidR="00C72848" w:rsidRDefault="00567EDA"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an example of an instrument under public international law. States which become signatories of a treaty bind themselves to the treaty. The treaty would then become a part of the State’s domestic laws that are enforceable by its courts and these domestic laws would form part of the State’s “hard law” or binding law. </w:t>
      </w:r>
      <w:r w:rsidR="00823691">
        <w:rPr>
          <w:rFonts w:ascii="Arial" w:hAnsi="Arial" w:cs="Arial"/>
          <w:color w:val="7B7B7B" w:themeColor="accent3" w:themeShade="BF"/>
          <w:sz w:val="22"/>
          <w:szCs w:val="22"/>
          <w:lang w:val="en-GB"/>
        </w:rPr>
        <w:t>Hence, where</w:t>
      </w:r>
      <w:r w:rsidR="00823691" w:rsidRPr="00823691">
        <w:rPr>
          <w:rFonts w:ascii="Arial" w:hAnsi="Arial" w:cs="Arial"/>
          <w:color w:val="7B7B7B" w:themeColor="accent3" w:themeShade="BF"/>
          <w:sz w:val="22"/>
          <w:szCs w:val="22"/>
          <w:lang w:val="en-GB"/>
        </w:rPr>
        <w:t xml:space="preserve"> States are signatories to treaties on </w:t>
      </w:r>
      <w:r w:rsidR="00823691">
        <w:rPr>
          <w:rFonts w:ascii="Arial" w:hAnsi="Arial" w:cs="Arial"/>
          <w:color w:val="7B7B7B" w:themeColor="accent3" w:themeShade="BF"/>
          <w:sz w:val="22"/>
          <w:szCs w:val="22"/>
          <w:lang w:val="en-GB"/>
        </w:rPr>
        <w:t xml:space="preserve">cross-border </w:t>
      </w:r>
      <w:r w:rsidR="00823691" w:rsidRPr="00823691">
        <w:rPr>
          <w:rFonts w:ascii="Arial" w:hAnsi="Arial" w:cs="Arial"/>
          <w:color w:val="7B7B7B" w:themeColor="accent3" w:themeShade="BF"/>
          <w:sz w:val="22"/>
          <w:szCs w:val="22"/>
          <w:lang w:val="en-GB"/>
        </w:rPr>
        <w:t xml:space="preserve">insolvency </w:t>
      </w:r>
      <w:r w:rsidR="00823691">
        <w:rPr>
          <w:rFonts w:ascii="Arial" w:hAnsi="Arial" w:cs="Arial"/>
          <w:color w:val="7B7B7B" w:themeColor="accent3" w:themeShade="BF"/>
          <w:sz w:val="22"/>
          <w:szCs w:val="22"/>
          <w:lang w:val="en-GB"/>
        </w:rPr>
        <w:t xml:space="preserve">covering areas such as jurisdiction, choice of law and recognition and enforcement of foreign proceedings, </w:t>
      </w:r>
      <w:r w:rsidR="002E02ED">
        <w:rPr>
          <w:rFonts w:ascii="Arial" w:hAnsi="Arial" w:cs="Arial"/>
          <w:color w:val="7B7B7B" w:themeColor="accent3" w:themeShade="BF"/>
          <w:sz w:val="22"/>
          <w:szCs w:val="22"/>
          <w:lang w:val="en-GB"/>
        </w:rPr>
        <w:t>the signatory States</w:t>
      </w:r>
      <w:r w:rsidR="00823691">
        <w:rPr>
          <w:rFonts w:ascii="Arial" w:hAnsi="Arial" w:cs="Arial"/>
          <w:color w:val="7B7B7B" w:themeColor="accent3" w:themeShade="BF"/>
          <w:sz w:val="22"/>
          <w:szCs w:val="22"/>
          <w:lang w:val="en-GB"/>
        </w:rPr>
        <w:t xml:space="preserve"> </w:t>
      </w:r>
      <w:r w:rsidR="00823691" w:rsidRPr="00823691">
        <w:rPr>
          <w:rFonts w:ascii="Arial" w:hAnsi="Arial" w:cs="Arial"/>
          <w:color w:val="7B7B7B" w:themeColor="accent3" w:themeShade="BF"/>
          <w:sz w:val="22"/>
          <w:szCs w:val="22"/>
          <w:lang w:val="en-GB"/>
        </w:rPr>
        <w:t xml:space="preserve">would have a uniform set of cross-border insolvency rules in respect of </w:t>
      </w:r>
      <w:r w:rsidR="00823691">
        <w:rPr>
          <w:rFonts w:ascii="Arial" w:hAnsi="Arial" w:cs="Arial"/>
          <w:color w:val="7B7B7B" w:themeColor="accent3" w:themeShade="BF"/>
          <w:sz w:val="22"/>
          <w:szCs w:val="22"/>
          <w:lang w:val="en-GB"/>
        </w:rPr>
        <w:t xml:space="preserve">the </w:t>
      </w:r>
      <w:r w:rsidR="00823691" w:rsidRPr="00823691">
        <w:rPr>
          <w:rFonts w:ascii="Arial" w:hAnsi="Arial" w:cs="Arial"/>
          <w:color w:val="7B7B7B" w:themeColor="accent3" w:themeShade="BF"/>
          <w:sz w:val="22"/>
          <w:szCs w:val="22"/>
          <w:lang w:val="en-GB"/>
        </w:rPr>
        <w:t xml:space="preserve">areas covered by the treaty. </w:t>
      </w:r>
      <w:r w:rsidR="00C257FC">
        <w:rPr>
          <w:rFonts w:ascii="Arial" w:hAnsi="Arial" w:cs="Arial"/>
          <w:color w:val="7B7B7B" w:themeColor="accent3" w:themeShade="BF"/>
          <w:sz w:val="22"/>
          <w:szCs w:val="22"/>
          <w:lang w:val="en-GB"/>
        </w:rPr>
        <w:t>From the 19</w:t>
      </w:r>
      <w:r w:rsidR="00C257FC" w:rsidRPr="00567EDA">
        <w:rPr>
          <w:rFonts w:ascii="Arial" w:hAnsi="Arial" w:cs="Arial"/>
          <w:color w:val="7B7B7B" w:themeColor="accent3" w:themeShade="BF"/>
          <w:sz w:val="22"/>
          <w:szCs w:val="22"/>
          <w:vertAlign w:val="superscript"/>
          <w:lang w:val="en-GB"/>
        </w:rPr>
        <w:t>th</w:t>
      </w:r>
      <w:r w:rsidR="00C257FC">
        <w:rPr>
          <w:rFonts w:ascii="Arial" w:hAnsi="Arial" w:cs="Arial"/>
          <w:color w:val="7B7B7B" w:themeColor="accent3" w:themeShade="BF"/>
          <w:sz w:val="22"/>
          <w:szCs w:val="22"/>
          <w:lang w:val="en-GB"/>
        </w:rPr>
        <w:t xml:space="preserve"> century, one could see bilateral and multilateral treaties related to insolvency in Europe covering areas such as jurisdiction, recognition and enforcement related to bankruptcy, winding-up, arrangements and compositions. One such treaty is the Nordic Convention on Bankruptcy between Norway, Denmark, Finland, Iceland and Sweden (1933). </w:t>
      </w:r>
    </w:p>
    <w:p w14:paraId="4859E403" w14:textId="345D4D1C" w:rsidR="000612BE" w:rsidRDefault="000612BE" w:rsidP="00E8021D">
      <w:pPr>
        <w:jc w:val="both"/>
        <w:rPr>
          <w:rFonts w:ascii="Arial" w:hAnsi="Arial" w:cs="Arial"/>
          <w:color w:val="7B7B7B" w:themeColor="accent3" w:themeShade="BF"/>
          <w:sz w:val="22"/>
          <w:szCs w:val="22"/>
          <w:lang w:val="en-GB"/>
        </w:rPr>
      </w:pPr>
    </w:p>
    <w:p w14:paraId="7A63F114" w14:textId="204DACDE" w:rsidR="000612BE" w:rsidRDefault="00823691"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contrast to treaties that are more binding in nature, </w:t>
      </w:r>
      <w:r w:rsidR="000612B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w:t>
      </w:r>
      <w:r w:rsidR="000612BE">
        <w:rPr>
          <w:rFonts w:ascii="Arial" w:hAnsi="Arial" w:cs="Arial"/>
          <w:color w:val="7B7B7B" w:themeColor="accent3" w:themeShade="BF"/>
          <w:sz w:val="22"/>
          <w:szCs w:val="22"/>
          <w:lang w:val="en-GB"/>
        </w:rPr>
        <w:t xml:space="preserve">oft law” </w:t>
      </w:r>
      <w:r>
        <w:rPr>
          <w:rFonts w:ascii="Arial" w:hAnsi="Arial" w:cs="Arial"/>
          <w:color w:val="7B7B7B" w:themeColor="accent3" w:themeShade="BF"/>
          <w:sz w:val="22"/>
          <w:szCs w:val="22"/>
          <w:lang w:val="en-GB"/>
        </w:rPr>
        <w:t xml:space="preserve">options attempt </w:t>
      </w:r>
      <w:r w:rsidR="000612BE">
        <w:rPr>
          <w:rFonts w:ascii="Arial" w:hAnsi="Arial" w:cs="Arial"/>
          <w:color w:val="7B7B7B" w:themeColor="accent3" w:themeShade="BF"/>
          <w:sz w:val="22"/>
          <w:szCs w:val="22"/>
          <w:lang w:val="en-GB"/>
        </w:rPr>
        <w:t xml:space="preserve">to influence a </w:t>
      </w:r>
      <w:r w:rsidR="00D735A3">
        <w:rPr>
          <w:rFonts w:ascii="Arial" w:hAnsi="Arial" w:cs="Arial"/>
          <w:color w:val="7B7B7B" w:themeColor="accent3" w:themeShade="BF"/>
          <w:sz w:val="22"/>
          <w:szCs w:val="22"/>
          <w:lang w:val="en-GB"/>
        </w:rPr>
        <w:t>State to change its domestic laws to be in line with these “soft law”. In this regard, m</w:t>
      </w:r>
      <w:r>
        <w:rPr>
          <w:rFonts w:ascii="Arial" w:hAnsi="Arial" w:cs="Arial"/>
          <w:color w:val="7B7B7B" w:themeColor="accent3" w:themeShade="BF"/>
          <w:sz w:val="22"/>
          <w:szCs w:val="22"/>
          <w:lang w:val="en-GB"/>
        </w:rPr>
        <w:t xml:space="preserve">ultilateral organisations have come up with initiatives providing “soft law” </w:t>
      </w:r>
      <w:r w:rsidR="00A4569D">
        <w:rPr>
          <w:rFonts w:ascii="Arial" w:hAnsi="Arial" w:cs="Arial"/>
          <w:color w:val="7B7B7B" w:themeColor="accent3" w:themeShade="BF"/>
          <w:sz w:val="22"/>
          <w:szCs w:val="22"/>
          <w:lang w:val="en-GB"/>
        </w:rPr>
        <w:t>instruments</w:t>
      </w:r>
      <w:r>
        <w:rPr>
          <w:rFonts w:ascii="Arial" w:hAnsi="Arial" w:cs="Arial"/>
          <w:color w:val="7B7B7B" w:themeColor="accent3" w:themeShade="BF"/>
          <w:sz w:val="22"/>
          <w:szCs w:val="22"/>
          <w:lang w:val="en-GB"/>
        </w:rPr>
        <w:t xml:space="preserve"> such as standards, principles and model laws that States may consider adopting into their domestic insolvency laws. Some examples of these “soft laws” are </w:t>
      </w:r>
      <w:r w:rsidR="00B551C6">
        <w:rPr>
          <w:rFonts w:ascii="Arial" w:hAnsi="Arial" w:cs="Arial"/>
          <w:color w:val="7B7B7B" w:themeColor="accent3" w:themeShade="BF"/>
          <w:sz w:val="22"/>
          <w:szCs w:val="22"/>
          <w:lang w:val="en-GB"/>
        </w:rPr>
        <w:t xml:space="preserve">the United Nations Commission on International Trade Law (“UNCITRAL”) Legislative Guide on Insolvency Law (2004) and the UNCITRAL Model Law on Cross-border Insolvency (1997). </w:t>
      </w:r>
      <w:r w:rsidR="00D735A3">
        <w:rPr>
          <w:rFonts w:ascii="Arial" w:hAnsi="Arial" w:cs="Arial"/>
          <w:color w:val="7B7B7B" w:themeColor="accent3" w:themeShade="BF"/>
          <w:sz w:val="22"/>
          <w:szCs w:val="22"/>
          <w:lang w:val="en-GB"/>
        </w:rPr>
        <w:t>The aim is that a</w:t>
      </w:r>
      <w:r>
        <w:rPr>
          <w:rFonts w:ascii="Arial" w:hAnsi="Arial" w:cs="Arial"/>
          <w:color w:val="7B7B7B" w:themeColor="accent3" w:themeShade="BF"/>
          <w:sz w:val="22"/>
          <w:szCs w:val="22"/>
          <w:lang w:val="en-GB"/>
        </w:rPr>
        <w:t>s more and more States adopt these “soft law</w:t>
      </w:r>
      <w:r w:rsidR="00D735A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into their domestic insolvency laws, this would </w:t>
      </w:r>
      <w:r w:rsidR="00B551C6">
        <w:rPr>
          <w:rFonts w:ascii="Arial" w:hAnsi="Arial" w:cs="Arial"/>
          <w:color w:val="7B7B7B" w:themeColor="accent3" w:themeShade="BF"/>
          <w:sz w:val="22"/>
          <w:szCs w:val="22"/>
          <w:lang w:val="en-GB"/>
        </w:rPr>
        <w:t>lead to harmonisation of</w:t>
      </w:r>
      <w:r>
        <w:rPr>
          <w:rFonts w:ascii="Arial" w:hAnsi="Arial" w:cs="Arial"/>
          <w:color w:val="7B7B7B" w:themeColor="accent3" w:themeShade="BF"/>
          <w:sz w:val="22"/>
          <w:szCs w:val="22"/>
          <w:lang w:val="en-GB"/>
        </w:rPr>
        <w:t xml:space="preserve"> the </w:t>
      </w:r>
      <w:r w:rsidR="00B551C6">
        <w:rPr>
          <w:rFonts w:ascii="Arial" w:hAnsi="Arial" w:cs="Arial"/>
          <w:color w:val="7B7B7B" w:themeColor="accent3" w:themeShade="BF"/>
          <w:sz w:val="22"/>
          <w:szCs w:val="22"/>
          <w:lang w:val="en-GB"/>
        </w:rPr>
        <w:t>cross-border insolvency rules amongst such States.</w:t>
      </w:r>
      <w:r w:rsidR="007E68CF">
        <w:rPr>
          <w:rFonts w:ascii="Arial" w:hAnsi="Arial" w:cs="Arial"/>
          <w:color w:val="7B7B7B" w:themeColor="accent3" w:themeShade="BF"/>
          <w:sz w:val="22"/>
          <w:szCs w:val="22"/>
          <w:lang w:val="en-GB"/>
        </w:rPr>
        <w:t xml:space="preserve"> </w:t>
      </w:r>
    </w:p>
    <w:p w14:paraId="66CFE5C4" w14:textId="007DB5CB" w:rsidR="00A4569D" w:rsidRDefault="00A4569D" w:rsidP="00E8021D">
      <w:pPr>
        <w:jc w:val="both"/>
        <w:rPr>
          <w:rFonts w:ascii="Arial" w:hAnsi="Arial" w:cs="Arial"/>
          <w:color w:val="7B7B7B" w:themeColor="accent3" w:themeShade="BF"/>
          <w:sz w:val="22"/>
          <w:szCs w:val="22"/>
          <w:lang w:val="en-GB"/>
        </w:rPr>
      </w:pPr>
    </w:p>
    <w:p w14:paraId="71B3E4A4" w14:textId="632BBB45" w:rsidR="00A4569D" w:rsidRPr="00A4569D" w:rsidRDefault="00A4569D"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the general categorisation of the binding and non-binding nature of treaties and soft law, I Mevorach</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draws upon behavioural and economic analyses to examine the merits or otherwise of hard or soft instruments, of treaties and model laws and abandons </w:t>
      </w:r>
      <w:r>
        <w:rPr>
          <w:rFonts w:ascii="Arial" w:hAnsi="Arial" w:cs="Arial"/>
          <w:i/>
          <w:color w:val="7B7B7B" w:themeColor="accent3" w:themeShade="BF"/>
          <w:sz w:val="22"/>
          <w:szCs w:val="22"/>
          <w:lang w:val="en-GB"/>
        </w:rPr>
        <w:t xml:space="preserve">“the notion that treaties are hard and binding and non-treaty instrument are soft and non-binding.” </w:t>
      </w:r>
      <w:r>
        <w:rPr>
          <w:rFonts w:ascii="Arial" w:hAnsi="Arial" w:cs="Arial"/>
          <w:color w:val="7B7B7B" w:themeColor="accent3" w:themeShade="BF"/>
          <w:sz w:val="22"/>
          <w:szCs w:val="22"/>
          <w:lang w:val="en-GB"/>
        </w:rPr>
        <w:t>The number, economic size and geographical spread of States that are adopting the UNCITRAL Model Law on Cross-border Insolvency,</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xml:space="preserve"> a soft law, </w:t>
      </w:r>
      <w:r w:rsidR="00936AEF">
        <w:rPr>
          <w:rFonts w:ascii="Arial" w:hAnsi="Arial" w:cs="Arial"/>
          <w:color w:val="7B7B7B" w:themeColor="accent3" w:themeShade="BF"/>
          <w:sz w:val="22"/>
          <w:szCs w:val="22"/>
          <w:lang w:val="en-GB"/>
        </w:rPr>
        <w:t>lends credence to</w:t>
      </w:r>
      <w:r>
        <w:rPr>
          <w:rFonts w:ascii="Arial" w:hAnsi="Arial" w:cs="Arial"/>
          <w:color w:val="7B7B7B" w:themeColor="accent3" w:themeShade="BF"/>
          <w:sz w:val="22"/>
          <w:szCs w:val="22"/>
          <w:lang w:val="en-GB"/>
        </w:rPr>
        <w:t xml:space="preserve"> this argument of I Mevorach.</w:t>
      </w:r>
    </w:p>
    <w:p w14:paraId="17CEFE23" w14:textId="63FF8569" w:rsidR="00C257FC" w:rsidRDefault="00C257FC" w:rsidP="00567EDA">
      <w:pPr>
        <w:jc w:val="both"/>
        <w:rPr>
          <w:rFonts w:ascii="Arial" w:hAnsi="Arial" w:cs="Arial"/>
          <w:color w:val="7B7B7B" w:themeColor="accent3" w:themeShade="BF"/>
          <w:sz w:val="22"/>
          <w:szCs w:val="22"/>
          <w:lang w:val="en-GB"/>
        </w:rPr>
      </w:pPr>
    </w:p>
    <w:p w14:paraId="5CADEC14" w14:textId="77777777" w:rsidR="00C257FC" w:rsidRDefault="00C257FC" w:rsidP="00567EDA">
      <w:pPr>
        <w:jc w:val="both"/>
        <w:rPr>
          <w:rFonts w:ascii="Arial" w:hAnsi="Arial" w:cs="Arial"/>
          <w:color w:val="7B7B7B" w:themeColor="accent3" w:themeShade="BF"/>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3478981F" w14:textId="77777777" w:rsidR="00952952" w:rsidRDefault="007A6736"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676BF">
        <w:rPr>
          <w:rFonts w:ascii="Arial" w:hAnsi="Arial" w:cs="Arial"/>
          <w:color w:val="7B7B7B" w:themeColor="accent3" w:themeShade="BF"/>
          <w:sz w:val="22"/>
          <w:szCs w:val="22"/>
          <w:lang w:val="en-GB"/>
        </w:rPr>
        <w:t xml:space="preserve">insolvency laws of a State </w:t>
      </w:r>
      <w:r w:rsidR="008B398E">
        <w:rPr>
          <w:rFonts w:ascii="Arial" w:hAnsi="Arial" w:cs="Arial"/>
          <w:color w:val="7B7B7B" w:themeColor="accent3" w:themeShade="BF"/>
          <w:sz w:val="22"/>
          <w:szCs w:val="22"/>
          <w:lang w:val="en-GB"/>
        </w:rPr>
        <w:t xml:space="preserve">in modern times </w:t>
      </w:r>
      <w:r w:rsidR="002676BF">
        <w:rPr>
          <w:rFonts w:ascii="Arial" w:hAnsi="Arial" w:cs="Arial"/>
          <w:color w:val="7B7B7B" w:themeColor="accent3" w:themeShade="BF"/>
          <w:sz w:val="22"/>
          <w:szCs w:val="22"/>
          <w:lang w:val="en-GB"/>
        </w:rPr>
        <w:t>are usually cont</w:t>
      </w:r>
      <w:r w:rsidR="00952952">
        <w:rPr>
          <w:rFonts w:ascii="Arial" w:hAnsi="Arial" w:cs="Arial"/>
          <w:color w:val="7B7B7B" w:themeColor="accent3" w:themeShade="BF"/>
          <w:sz w:val="22"/>
          <w:szCs w:val="22"/>
          <w:lang w:val="en-GB"/>
        </w:rPr>
        <w:t xml:space="preserve">ained in its statutes or codes. </w:t>
      </w:r>
    </w:p>
    <w:p w14:paraId="04E814EB" w14:textId="77777777" w:rsidR="00952952" w:rsidRDefault="00952952" w:rsidP="00E8021D">
      <w:pPr>
        <w:jc w:val="both"/>
        <w:rPr>
          <w:rFonts w:ascii="Arial" w:hAnsi="Arial" w:cs="Arial"/>
          <w:color w:val="7B7B7B" w:themeColor="accent3" w:themeShade="BF"/>
          <w:sz w:val="22"/>
          <w:szCs w:val="22"/>
          <w:lang w:val="en-GB"/>
        </w:rPr>
      </w:pPr>
    </w:p>
    <w:p w14:paraId="3340BB89" w14:textId="29D9002A" w:rsidR="001C721F" w:rsidRDefault="002676BF"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7A6736">
        <w:rPr>
          <w:rFonts w:ascii="Arial" w:hAnsi="Arial" w:cs="Arial"/>
          <w:color w:val="7B7B7B" w:themeColor="accent3" w:themeShade="BF"/>
          <w:sz w:val="22"/>
          <w:szCs w:val="22"/>
          <w:lang w:val="en-GB"/>
        </w:rPr>
        <w:t>domestic insolvency laws of a State may be set out in legislation specifically enacted to address insolvency matters such as the Insolvency Act 1986</w:t>
      </w:r>
      <w:r w:rsidR="001C721F">
        <w:rPr>
          <w:rFonts w:ascii="Arial" w:hAnsi="Arial" w:cs="Arial"/>
          <w:color w:val="7B7B7B" w:themeColor="accent3" w:themeShade="BF"/>
          <w:sz w:val="22"/>
          <w:szCs w:val="22"/>
          <w:lang w:val="en-GB"/>
        </w:rPr>
        <w:t xml:space="preserve"> of the United Kingdom (“UK”)</w:t>
      </w:r>
      <w:r w:rsidR="007A6736">
        <w:rPr>
          <w:rFonts w:ascii="Arial" w:hAnsi="Arial" w:cs="Arial"/>
          <w:color w:val="7B7B7B" w:themeColor="accent3" w:themeShade="BF"/>
          <w:sz w:val="22"/>
          <w:szCs w:val="22"/>
          <w:lang w:val="en-GB"/>
        </w:rPr>
        <w:t xml:space="preserve">. </w:t>
      </w:r>
      <w:r w:rsidR="001C721F">
        <w:rPr>
          <w:rFonts w:ascii="Arial" w:hAnsi="Arial" w:cs="Arial"/>
          <w:color w:val="7B7B7B" w:themeColor="accent3" w:themeShade="BF"/>
          <w:sz w:val="22"/>
          <w:szCs w:val="22"/>
          <w:lang w:val="en-GB"/>
        </w:rPr>
        <w:t xml:space="preserve">On the other hand, there are States where laws relating to insolvency are not set out in a separate piece of legislation </w:t>
      </w:r>
      <w:r>
        <w:rPr>
          <w:rFonts w:ascii="Arial" w:hAnsi="Arial" w:cs="Arial"/>
          <w:color w:val="7B7B7B" w:themeColor="accent3" w:themeShade="BF"/>
          <w:sz w:val="22"/>
          <w:szCs w:val="22"/>
          <w:lang w:val="en-GB"/>
        </w:rPr>
        <w:t>but</w:t>
      </w:r>
      <w:r w:rsidR="001C721F">
        <w:rPr>
          <w:rFonts w:ascii="Arial" w:hAnsi="Arial" w:cs="Arial"/>
          <w:color w:val="7B7B7B" w:themeColor="accent3" w:themeShade="BF"/>
          <w:sz w:val="22"/>
          <w:szCs w:val="22"/>
          <w:lang w:val="en-GB"/>
        </w:rPr>
        <w:t xml:space="preserve"> are instead </w:t>
      </w:r>
      <w:r w:rsidR="001C721F" w:rsidRPr="001C721F">
        <w:rPr>
          <w:rFonts w:ascii="Arial" w:hAnsi="Arial" w:cs="Arial"/>
          <w:color w:val="7B7B7B" w:themeColor="accent3" w:themeShade="BF"/>
          <w:sz w:val="22"/>
          <w:szCs w:val="22"/>
          <w:lang w:val="en-GB"/>
        </w:rPr>
        <w:t xml:space="preserve">contained in the legislation that governs the respective types of </w:t>
      </w:r>
      <w:r w:rsidR="001C721F">
        <w:rPr>
          <w:rFonts w:ascii="Arial" w:hAnsi="Arial" w:cs="Arial"/>
          <w:color w:val="7B7B7B" w:themeColor="accent3" w:themeShade="BF"/>
          <w:sz w:val="22"/>
          <w:szCs w:val="22"/>
          <w:lang w:val="en-GB"/>
        </w:rPr>
        <w:t xml:space="preserve">entity. For example, in Australia, provisions governing the insolvency of corporations </w:t>
      </w:r>
      <w:r w:rsidR="00BB460F">
        <w:rPr>
          <w:rFonts w:ascii="Arial" w:hAnsi="Arial" w:cs="Arial"/>
          <w:color w:val="7B7B7B" w:themeColor="accent3" w:themeShade="BF"/>
          <w:sz w:val="22"/>
          <w:szCs w:val="22"/>
          <w:lang w:val="en-GB"/>
        </w:rPr>
        <w:t>are</w:t>
      </w:r>
      <w:r w:rsidR="001C721F">
        <w:rPr>
          <w:rFonts w:ascii="Arial" w:hAnsi="Arial" w:cs="Arial"/>
          <w:color w:val="7B7B7B" w:themeColor="accent3" w:themeShade="BF"/>
          <w:sz w:val="22"/>
          <w:szCs w:val="22"/>
          <w:lang w:val="en-GB"/>
        </w:rPr>
        <w:t xml:space="preserve"> not contained in a separate insolvency legislation but are instead set out in the Corporations Act 2001</w:t>
      </w:r>
      <w:r w:rsidR="00BB460F">
        <w:rPr>
          <w:rFonts w:ascii="Arial" w:hAnsi="Arial" w:cs="Arial"/>
          <w:color w:val="7B7B7B" w:themeColor="accent3" w:themeShade="BF"/>
          <w:sz w:val="22"/>
          <w:szCs w:val="22"/>
          <w:lang w:val="en-GB"/>
        </w:rPr>
        <w:t>, the legislation which regulates business entities</w:t>
      </w:r>
      <w:r w:rsidR="001C721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70F4F986" w14:textId="25AB2F42" w:rsidR="001C721F" w:rsidRDefault="001C721F"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024A332" w14:textId="305A4E70" w:rsidR="00544127" w:rsidRDefault="0061797F"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w:t>
      </w:r>
      <w:r w:rsidR="001C721F">
        <w:rPr>
          <w:rFonts w:ascii="Arial" w:hAnsi="Arial" w:cs="Arial"/>
          <w:color w:val="7B7B7B" w:themeColor="accent3" w:themeShade="BF"/>
          <w:sz w:val="22"/>
          <w:szCs w:val="22"/>
          <w:lang w:val="en-GB"/>
        </w:rPr>
        <w:t>States may have a unified insolvency legislation</w:t>
      </w:r>
      <w:r>
        <w:rPr>
          <w:rFonts w:ascii="Arial" w:hAnsi="Arial" w:cs="Arial"/>
          <w:color w:val="7B7B7B" w:themeColor="accent3" w:themeShade="BF"/>
          <w:sz w:val="22"/>
          <w:szCs w:val="22"/>
          <w:lang w:val="en-GB"/>
        </w:rPr>
        <w:t xml:space="preserve"> that governs the insolvency of both individuals and corporations such as t</w:t>
      </w:r>
      <w:r w:rsidR="001C721F">
        <w:rPr>
          <w:rFonts w:ascii="Arial" w:hAnsi="Arial" w:cs="Arial"/>
          <w:color w:val="7B7B7B" w:themeColor="accent3" w:themeShade="BF"/>
          <w:sz w:val="22"/>
          <w:szCs w:val="22"/>
          <w:lang w:val="en-GB"/>
        </w:rPr>
        <w:t>he UK’s Insolvency Act 1986</w:t>
      </w:r>
      <w:r>
        <w:rPr>
          <w:rFonts w:ascii="Arial" w:hAnsi="Arial" w:cs="Arial"/>
          <w:color w:val="7B7B7B" w:themeColor="accent3" w:themeShade="BF"/>
          <w:sz w:val="22"/>
          <w:szCs w:val="22"/>
          <w:lang w:val="en-GB"/>
        </w:rPr>
        <w:t>. On the other hand, some State</w:t>
      </w:r>
      <w:r w:rsidR="002676BF">
        <w:rPr>
          <w:rFonts w:ascii="Arial" w:hAnsi="Arial" w:cs="Arial"/>
          <w:color w:val="7B7B7B" w:themeColor="accent3" w:themeShade="BF"/>
          <w:sz w:val="22"/>
          <w:szCs w:val="22"/>
          <w:lang w:val="en-GB"/>
        </w:rPr>
        <w:t xml:space="preserve">s may have separate legislation </w:t>
      </w:r>
      <w:r w:rsidR="00952952">
        <w:rPr>
          <w:rFonts w:ascii="Arial" w:hAnsi="Arial" w:cs="Arial"/>
          <w:color w:val="7B7B7B" w:themeColor="accent3" w:themeShade="BF"/>
          <w:sz w:val="22"/>
          <w:szCs w:val="22"/>
          <w:lang w:val="en-GB"/>
        </w:rPr>
        <w:t xml:space="preserve">each to </w:t>
      </w:r>
      <w:r w:rsidR="002676BF">
        <w:rPr>
          <w:rFonts w:ascii="Arial" w:hAnsi="Arial" w:cs="Arial"/>
          <w:color w:val="7B7B7B" w:themeColor="accent3" w:themeShade="BF"/>
          <w:sz w:val="22"/>
          <w:szCs w:val="22"/>
          <w:lang w:val="en-GB"/>
        </w:rPr>
        <w:t>deal</w:t>
      </w:r>
      <w:r>
        <w:rPr>
          <w:rFonts w:ascii="Arial" w:hAnsi="Arial" w:cs="Arial"/>
          <w:color w:val="7B7B7B" w:themeColor="accent3" w:themeShade="BF"/>
          <w:sz w:val="22"/>
          <w:szCs w:val="22"/>
          <w:lang w:val="en-GB"/>
        </w:rPr>
        <w:t xml:space="preserve"> with the insolvency of individuals and </w:t>
      </w:r>
      <w:r w:rsidR="002676BF">
        <w:rPr>
          <w:rFonts w:ascii="Arial" w:hAnsi="Arial" w:cs="Arial"/>
          <w:color w:val="7B7B7B" w:themeColor="accent3" w:themeShade="BF"/>
          <w:sz w:val="22"/>
          <w:szCs w:val="22"/>
          <w:lang w:val="en-GB"/>
        </w:rPr>
        <w:t xml:space="preserve">the insolvency of </w:t>
      </w:r>
      <w:r>
        <w:rPr>
          <w:rFonts w:ascii="Arial" w:hAnsi="Arial" w:cs="Arial"/>
          <w:color w:val="7B7B7B" w:themeColor="accent3" w:themeShade="BF"/>
          <w:sz w:val="22"/>
          <w:szCs w:val="22"/>
          <w:lang w:val="en-GB"/>
        </w:rPr>
        <w:t>corporations</w:t>
      </w:r>
      <w:r w:rsidR="00952952">
        <w:rPr>
          <w:rFonts w:ascii="Arial" w:hAnsi="Arial" w:cs="Arial"/>
          <w:color w:val="7B7B7B" w:themeColor="accent3" w:themeShade="BF"/>
          <w:sz w:val="22"/>
          <w:szCs w:val="22"/>
          <w:lang w:val="en-GB"/>
        </w:rPr>
        <w:t xml:space="preserve"> respectively</w:t>
      </w:r>
      <w:r>
        <w:rPr>
          <w:rFonts w:ascii="Arial" w:hAnsi="Arial" w:cs="Arial"/>
          <w:color w:val="7B7B7B" w:themeColor="accent3" w:themeShade="BF"/>
          <w:sz w:val="22"/>
          <w:szCs w:val="22"/>
          <w:lang w:val="en-GB"/>
        </w:rPr>
        <w:t xml:space="preserve">. </w:t>
      </w:r>
      <w:r w:rsidR="001C721F">
        <w:rPr>
          <w:rFonts w:ascii="Arial" w:hAnsi="Arial" w:cs="Arial"/>
          <w:color w:val="7B7B7B" w:themeColor="accent3" w:themeShade="BF"/>
          <w:sz w:val="22"/>
          <w:szCs w:val="22"/>
          <w:lang w:val="en-GB"/>
        </w:rPr>
        <w:t xml:space="preserve">An example is Australia whereby the Corporations Act 2001 governs </w:t>
      </w:r>
      <w:r>
        <w:rPr>
          <w:rFonts w:ascii="Arial" w:hAnsi="Arial" w:cs="Arial"/>
          <w:color w:val="7B7B7B" w:themeColor="accent3" w:themeShade="BF"/>
          <w:sz w:val="22"/>
          <w:szCs w:val="22"/>
          <w:lang w:val="en-GB"/>
        </w:rPr>
        <w:t xml:space="preserve">the </w:t>
      </w:r>
      <w:r w:rsidR="001C721F">
        <w:rPr>
          <w:rFonts w:ascii="Arial" w:hAnsi="Arial" w:cs="Arial"/>
          <w:color w:val="7B7B7B" w:themeColor="accent3" w:themeShade="BF"/>
          <w:sz w:val="22"/>
          <w:szCs w:val="22"/>
          <w:lang w:val="en-GB"/>
        </w:rPr>
        <w:t xml:space="preserve">insolvency of corporations and the Bankruptcy Act 1966 governs </w:t>
      </w:r>
      <w:r>
        <w:rPr>
          <w:rFonts w:ascii="Arial" w:hAnsi="Arial" w:cs="Arial"/>
          <w:color w:val="7B7B7B" w:themeColor="accent3" w:themeShade="BF"/>
          <w:sz w:val="22"/>
          <w:szCs w:val="22"/>
          <w:lang w:val="en-GB"/>
        </w:rPr>
        <w:t xml:space="preserve">the </w:t>
      </w:r>
      <w:r w:rsidR="001C721F">
        <w:rPr>
          <w:rFonts w:ascii="Arial" w:hAnsi="Arial" w:cs="Arial"/>
          <w:color w:val="7B7B7B" w:themeColor="accent3" w:themeShade="BF"/>
          <w:sz w:val="22"/>
          <w:szCs w:val="22"/>
          <w:lang w:val="en-GB"/>
        </w:rPr>
        <w:t xml:space="preserve">insolvency of </w:t>
      </w:r>
      <w:r w:rsidR="002676BF">
        <w:rPr>
          <w:rFonts w:ascii="Arial" w:hAnsi="Arial" w:cs="Arial"/>
          <w:color w:val="7B7B7B" w:themeColor="accent3" w:themeShade="BF"/>
          <w:sz w:val="22"/>
          <w:szCs w:val="22"/>
          <w:lang w:val="en-GB"/>
        </w:rPr>
        <w:t>individuals</w:t>
      </w:r>
      <w:r w:rsidR="001C721F">
        <w:rPr>
          <w:rFonts w:ascii="Arial" w:hAnsi="Arial" w:cs="Arial"/>
          <w:color w:val="7B7B7B" w:themeColor="accent3" w:themeShade="BF"/>
          <w:sz w:val="22"/>
          <w:szCs w:val="22"/>
          <w:lang w:val="en-GB"/>
        </w:rPr>
        <w:t xml:space="preserve">. </w:t>
      </w:r>
    </w:p>
    <w:p w14:paraId="7CEC7A56" w14:textId="13BDB95B" w:rsidR="00D12532" w:rsidRDefault="00D12532" w:rsidP="00E8021D">
      <w:pPr>
        <w:jc w:val="both"/>
        <w:rPr>
          <w:rFonts w:ascii="Arial" w:hAnsi="Arial" w:cs="Arial"/>
          <w:color w:val="7B7B7B" w:themeColor="accent3" w:themeShade="BF"/>
          <w:sz w:val="22"/>
          <w:szCs w:val="22"/>
          <w:lang w:val="en-GB"/>
        </w:rPr>
      </w:pPr>
    </w:p>
    <w:p w14:paraId="0953CAB3" w14:textId="16EB01CA" w:rsidR="00D12532" w:rsidRDefault="00D12532"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States may also have special rules to govern certain types of insolvency proceedings, for example, insolvency proceedings involving financial institutions such as banks and insurance companies. </w:t>
      </w:r>
      <w:r w:rsidR="00952952">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financial distress of institutions such as banks and insurance companies could pose a danger of systemic risk to the financial system of a State or globally depending on the presence of the financial institution around the world. In order to mitigate the danger of this systemic risk, States usually have strictly regulated special rules governing the insolvency of financial institutions.</w:t>
      </w:r>
    </w:p>
    <w:p w14:paraId="7B24352D" w14:textId="2979CB4F" w:rsidR="002676BF" w:rsidRDefault="002676BF" w:rsidP="00E8021D">
      <w:pPr>
        <w:jc w:val="both"/>
        <w:rPr>
          <w:rFonts w:ascii="Arial" w:hAnsi="Arial" w:cs="Arial"/>
          <w:color w:val="7B7B7B" w:themeColor="accent3" w:themeShade="BF"/>
          <w:sz w:val="22"/>
          <w:szCs w:val="22"/>
          <w:lang w:val="en-GB"/>
        </w:rPr>
      </w:pPr>
    </w:p>
    <w:p w14:paraId="73122575" w14:textId="77777777" w:rsidR="00952952" w:rsidRDefault="002676BF"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there are a multiplicity of legislation</w:t>
      </w:r>
      <w:r w:rsidR="00B616EC">
        <w:rPr>
          <w:rFonts w:ascii="Arial" w:hAnsi="Arial" w:cs="Arial"/>
          <w:color w:val="7B7B7B" w:themeColor="accent3" w:themeShade="BF"/>
          <w:sz w:val="22"/>
          <w:szCs w:val="22"/>
          <w:lang w:val="en-GB"/>
        </w:rPr>
        <w:t xml:space="preserve"> regulating the insolvency regime of a State, these legislation must be studied holistically to understand the insolvency system of the state in full.</w:t>
      </w:r>
      <w:r w:rsidR="00B616EC">
        <w:rPr>
          <w:rStyle w:val="FootnoteReference"/>
          <w:rFonts w:ascii="Arial" w:hAnsi="Arial" w:cs="Arial"/>
          <w:color w:val="7B7B7B" w:themeColor="accent3" w:themeShade="BF"/>
          <w:sz w:val="22"/>
          <w:szCs w:val="22"/>
          <w:lang w:val="en-GB"/>
        </w:rPr>
        <w:footnoteReference w:id="10"/>
      </w:r>
      <w:r w:rsidR="008B398E">
        <w:rPr>
          <w:rFonts w:ascii="Arial" w:hAnsi="Arial" w:cs="Arial"/>
          <w:color w:val="7B7B7B" w:themeColor="accent3" w:themeShade="BF"/>
          <w:sz w:val="22"/>
          <w:szCs w:val="22"/>
          <w:lang w:val="en-GB"/>
        </w:rPr>
        <w:t xml:space="preserve"> </w:t>
      </w:r>
      <w:r w:rsidR="00952952">
        <w:rPr>
          <w:rFonts w:ascii="Arial" w:hAnsi="Arial" w:cs="Arial"/>
          <w:color w:val="7B7B7B" w:themeColor="accent3" w:themeShade="BF"/>
          <w:sz w:val="22"/>
          <w:szCs w:val="22"/>
          <w:lang w:val="en-GB"/>
        </w:rPr>
        <w:t>Further, t</w:t>
      </w:r>
      <w:r w:rsidR="008B398E">
        <w:rPr>
          <w:rFonts w:ascii="Arial" w:hAnsi="Arial" w:cs="Arial"/>
          <w:color w:val="7B7B7B" w:themeColor="accent3" w:themeShade="BF"/>
          <w:sz w:val="22"/>
          <w:szCs w:val="22"/>
          <w:lang w:val="en-GB"/>
        </w:rPr>
        <w:t xml:space="preserve">hough insolvency laws of a State are usually comprehensively set out in its statutes and codes, there may be certain gaps in the statutes and codes. Hence, States whose laws are based on the common law may rely on common law to close the gaps. </w:t>
      </w:r>
    </w:p>
    <w:p w14:paraId="6D72D8DA" w14:textId="77777777" w:rsidR="00952952" w:rsidRDefault="00952952" w:rsidP="00E8021D">
      <w:pPr>
        <w:jc w:val="both"/>
        <w:rPr>
          <w:rFonts w:ascii="Arial" w:hAnsi="Arial" w:cs="Arial"/>
          <w:color w:val="7B7B7B" w:themeColor="accent3" w:themeShade="BF"/>
          <w:sz w:val="22"/>
          <w:szCs w:val="22"/>
          <w:lang w:val="en-GB"/>
        </w:rPr>
      </w:pPr>
    </w:p>
    <w:p w14:paraId="7BE4B5D3" w14:textId="28FF83DF" w:rsidR="00B616EC" w:rsidRDefault="00B616EC"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must also take note of the fact that </w:t>
      </w:r>
      <w:r w:rsidR="00121AA8">
        <w:rPr>
          <w:rFonts w:ascii="Arial" w:hAnsi="Arial" w:cs="Arial"/>
          <w:color w:val="7B7B7B" w:themeColor="accent3" w:themeShade="BF"/>
          <w:sz w:val="22"/>
          <w:szCs w:val="22"/>
          <w:lang w:val="en-GB"/>
        </w:rPr>
        <w:t xml:space="preserve">apart from insolvency laws, a State’s </w:t>
      </w:r>
      <w:r>
        <w:rPr>
          <w:rFonts w:ascii="Arial" w:hAnsi="Arial" w:cs="Arial"/>
          <w:color w:val="7B7B7B" w:themeColor="accent3" w:themeShade="BF"/>
          <w:sz w:val="22"/>
          <w:szCs w:val="22"/>
          <w:lang w:val="en-GB"/>
        </w:rPr>
        <w:t xml:space="preserve">general </w:t>
      </w:r>
      <w:r w:rsidR="00121AA8">
        <w:rPr>
          <w:rFonts w:ascii="Arial" w:hAnsi="Arial" w:cs="Arial"/>
          <w:color w:val="7B7B7B" w:themeColor="accent3" w:themeShade="BF"/>
          <w:sz w:val="22"/>
          <w:szCs w:val="22"/>
          <w:lang w:val="en-GB"/>
        </w:rPr>
        <w:t xml:space="preserve">laws and </w:t>
      </w:r>
      <w:r>
        <w:rPr>
          <w:rFonts w:ascii="Arial" w:hAnsi="Arial" w:cs="Arial"/>
          <w:color w:val="7B7B7B" w:themeColor="accent3" w:themeShade="BF"/>
          <w:sz w:val="22"/>
          <w:szCs w:val="22"/>
          <w:lang w:val="en-GB"/>
        </w:rPr>
        <w:t xml:space="preserve">legal principles </w:t>
      </w:r>
      <w:r w:rsidR="00121AA8">
        <w:rPr>
          <w:rFonts w:ascii="Arial" w:hAnsi="Arial" w:cs="Arial"/>
          <w:color w:val="7B7B7B" w:themeColor="accent3" w:themeShade="BF"/>
          <w:sz w:val="22"/>
          <w:szCs w:val="22"/>
          <w:lang w:val="en-GB"/>
        </w:rPr>
        <w:t>may also have an impact on insolvency proceedings. An example of a general law that may have an impact on insolvency proceedings is land law or the laws of real property. A person may have to refer to these laws to determine the rights over immovable assets.</w:t>
      </w:r>
      <w:r w:rsidR="00D12532">
        <w:rPr>
          <w:rFonts w:ascii="Arial" w:hAnsi="Arial" w:cs="Arial"/>
          <w:color w:val="7B7B7B" w:themeColor="accent3" w:themeShade="BF"/>
          <w:sz w:val="22"/>
          <w:szCs w:val="22"/>
          <w:lang w:val="en-GB"/>
        </w:rPr>
        <w:t xml:space="preserve"> </w:t>
      </w:r>
      <w:r w:rsidR="002E02ED">
        <w:rPr>
          <w:rFonts w:ascii="Arial" w:hAnsi="Arial" w:cs="Arial"/>
          <w:color w:val="7B7B7B" w:themeColor="accent3" w:themeShade="BF"/>
          <w:sz w:val="22"/>
          <w:szCs w:val="22"/>
          <w:lang w:val="en-GB"/>
        </w:rPr>
        <w:t xml:space="preserve">Where there are conflicting provisions between the insolvency laws and general laws, one may also have to determine, based on specific conflict provisions in the relevant legislation or general legal principles, whether the insolvency laws or general laws prevail. </w:t>
      </w:r>
    </w:p>
    <w:p w14:paraId="760E041B" w14:textId="27E7713D" w:rsidR="007B200D" w:rsidRDefault="007B200D" w:rsidP="00E8021D">
      <w:pPr>
        <w:jc w:val="both"/>
        <w:rPr>
          <w:rFonts w:ascii="Arial" w:hAnsi="Arial" w:cs="Arial"/>
          <w:color w:val="7B7B7B" w:themeColor="accent3" w:themeShade="BF"/>
          <w:sz w:val="22"/>
          <w:szCs w:val="22"/>
          <w:lang w:val="en-GB"/>
        </w:rPr>
      </w:pPr>
    </w:p>
    <w:p w14:paraId="499DB5E4" w14:textId="77777777" w:rsidR="004E12EF" w:rsidRDefault="00D955C7"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cross-border insolvency matters, a </w:t>
      </w:r>
      <w:r w:rsidR="002E02ED">
        <w:rPr>
          <w:rFonts w:ascii="Arial" w:hAnsi="Arial" w:cs="Arial"/>
          <w:color w:val="7B7B7B" w:themeColor="accent3" w:themeShade="BF"/>
          <w:sz w:val="22"/>
          <w:szCs w:val="22"/>
          <w:lang w:val="en-GB"/>
        </w:rPr>
        <w:t>State may also have</w:t>
      </w:r>
      <w:r w:rsidR="0061797F">
        <w:rPr>
          <w:rFonts w:ascii="Arial" w:hAnsi="Arial" w:cs="Arial"/>
          <w:color w:val="7B7B7B" w:themeColor="accent3" w:themeShade="BF"/>
          <w:sz w:val="22"/>
          <w:szCs w:val="22"/>
          <w:lang w:val="en-GB"/>
        </w:rPr>
        <w:t xml:space="preserve"> private international law </w:t>
      </w:r>
      <w:r w:rsidR="002E02ED">
        <w:rPr>
          <w:rFonts w:ascii="Arial" w:hAnsi="Arial" w:cs="Arial"/>
          <w:color w:val="7B7B7B" w:themeColor="accent3" w:themeShade="BF"/>
          <w:sz w:val="22"/>
          <w:szCs w:val="22"/>
          <w:lang w:val="en-GB"/>
        </w:rPr>
        <w:t xml:space="preserve">principles </w:t>
      </w:r>
      <w:r w:rsidR="0061797F">
        <w:rPr>
          <w:rFonts w:ascii="Arial" w:hAnsi="Arial" w:cs="Arial"/>
          <w:color w:val="7B7B7B" w:themeColor="accent3" w:themeShade="BF"/>
          <w:sz w:val="22"/>
          <w:szCs w:val="22"/>
          <w:lang w:val="en-GB"/>
        </w:rPr>
        <w:t xml:space="preserve">that apply when the State is dealing with a matter of cross-border insolvency. These private </w:t>
      </w:r>
      <w:r>
        <w:rPr>
          <w:rFonts w:ascii="Arial" w:hAnsi="Arial" w:cs="Arial"/>
          <w:color w:val="7B7B7B" w:themeColor="accent3" w:themeShade="BF"/>
          <w:sz w:val="22"/>
          <w:szCs w:val="22"/>
          <w:lang w:val="en-GB"/>
        </w:rPr>
        <w:t>international law principles will determine the choice of forum, choice of law and recognition and enforcement of foreign legal proceedings in such a cross-border insolvency matter.</w:t>
      </w:r>
      <w:r w:rsidR="004E12EF">
        <w:rPr>
          <w:rFonts w:ascii="Arial" w:hAnsi="Arial" w:cs="Arial"/>
          <w:color w:val="7B7B7B" w:themeColor="accent3" w:themeShade="BF"/>
          <w:sz w:val="22"/>
          <w:szCs w:val="22"/>
          <w:lang w:val="en-GB"/>
        </w:rPr>
        <w:t xml:space="preserve"> </w:t>
      </w:r>
    </w:p>
    <w:p w14:paraId="31D6AE9E" w14:textId="77777777" w:rsidR="004E12EF" w:rsidRDefault="004E12EF" w:rsidP="00E8021D">
      <w:pPr>
        <w:jc w:val="both"/>
        <w:rPr>
          <w:rFonts w:ascii="Arial" w:hAnsi="Arial" w:cs="Arial"/>
          <w:color w:val="7B7B7B" w:themeColor="accent3" w:themeShade="BF"/>
          <w:sz w:val="22"/>
          <w:szCs w:val="22"/>
          <w:lang w:val="en-GB"/>
        </w:rPr>
      </w:pPr>
    </w:p>
    <w:p w14:paraId="18E6B583" w14:textId="1CD9A499" w:rsidR="0061797F" w:rsidRDefault="004E12EF"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State is a signatory to a treaty</w:t>
      </w:r>
      <w:r w:rsidRPr="004E12E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governing matters of cross-border insolvency, the State will be bound by the treaty and t</w:t>
      </w:r>
      <w:r w:rsidRPr="004E12EF">
        <w:rPr>
          <w:rFonts w:ascii="Arial" w:hAnsi="Arial" w:cs="Arial"/>
          <w:color w:val="7B7B7B" w:themeColor="accent3" w:themeShade="BF"/>
          <w:sz w:val="22"/>
          <w:szCs w:val="22"/>
          <w:lang w:val="en-GB"/>
        </w:rPr>
        <w:t xml:space="preserve">he treaty would </w:t>
      </w:r>
      <w:r>
        <w:rPr>
          <w:rFonts w:ascii="Arial" w:hAnsi="Arial" w:cs="Arial"/>
          <w:color w:val="7B7B7B" w:themeColor="accent3" w:themeShade="BF"/>
          <w:sz w:val="22"/>
          <w:szCs w:val="22"/>
          <w:lang w:val="en-GB"/>
        </w:rPr>
        <w:t>be</w:t>
      </w:r>
      <w:r w:rsidRPr="004E12EF">
        <w:rPr>
          <w:rFonts w:ascii="Arial" w:hAnsi="Arial" w:cs="Arial"/>
          <w:color w:val="7B7B7B" w:themeColor="accent3" w:themeShade="BF"/>
          <w:sz w:val="22"/>
          <w:szCs w:val="22"/>
          <w:lang w:val="en-GB"/>
        </w:rPr>
        <w:t xml:space="preserve"> a pa</w:t>
      </w:r>
      <w:r>
        <w:rPr>
          <w:rFonts w:ascii="Arial" w:hAnsi="Arial" w:cs="Arial"/>
          <w:color w:val="7B7B7B" w:themeColor="accent3" w:themeShade="BF"/>
          <w:sz w:val="22"/>
          <w:szCs w:val="22"/>
          <w:lang w:val="en-GB"/>
        </w:rPr>
        <w:t xml:space="preserve">rt of the State’s domestic laws. </w:t>
      </w:r>
    </w:p>
    <w:p w14:paraId="5A94F6BD" w14:textId="56A7C626" w:rsidR="0061797F" w:rsidRDefault="0061797F" w:rsidP="00E8021D">
      <w:pPr>
        <w:jc w:val="both"/>
        <w:rPr>
          <w:rFonts w:ascii="Arial" w:hAnsi="Arial" w:cs="Arial"/>
          <w:color w:val="7B7B7B" w:themeColor="accent3" w:themeShade="BF"/>
          <w:sz w:val="22"/>
          <w:szCs w:val="22"/>
          <w:lang w:val="en-GB"/>
        </w:rPr>
      </w:pPr>
    </w:p>
    <w:p w14:paraId="7D698C39" w14:textId="397AC6F5" w:rsidR="0061797F" w:rsidRPr="007A6736" w:rsidRDefault="0061797F"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States may </w:t>
      </w:r>
      <w:r w:rsidR="00D955C7">
        <w:rPr>
          <w:rFonts w:ascii="Arial" w:hAnsi="Arial" w:cs="Arial"/>
          <w:color w:val="7B7B7B" w:themeColor="accent3" w:themeShade="BF"/>
          <w:sz w:val="22"/>
          <w:szCs w:val="22"/>
          <w:lang w:val="en-GB"/>
        </w:rPr>
        <w:t xml:space="preserve">have </w:t>
      </w:r>
      <w:r>
        <w:rPr>
          <w:rFonts w:ascii="Arial" w:hAnsi="Arial" w:cs="Arial"/>
          <w:color w:val="7B7B7B" w:themeColor="accent3" w:themeShade="BF"/>
          <w:sz w:val="22"/>
          <w:szCs w:val="22"/>
          <w:lang w:val="en-GB"/>
        </w:rPr>
        <w:t>also adopt</w:t>
      </w:r>
      <w:r w:rsidR="00D955C7">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international insolvency law instruments int</w:t>
      </w:r>
      <w:r w:rsidR="00BB460F">
        <w:rPr>
          <w:rFonts w:ascii="Arial" w:hAnsi="Arial" w:cs="Arial"/>
          <w:color w:val="7B7B7B" w:themeColor="accent3" w:themeShade="BF"/>
          <w:sz w:val="22"/>
          <w:szCs w:val="22"/>
          <w:lang w:val="en-GB"/>
        </w:rPr>
        <w:t>o its domestic insolvency laws, in particular, to address cross-border insolvency law matters. An example is the adoption of the UNCITRAL Model Law on Cross</w:t>
      </w:r>
      <w:r w:rsidR="00D955C7">
        <w:rPr>
          <w:rFonts w:ascii="Arial" w:hAnsi="Arial" w:cs="Arial"/>
          <w:color w:val="7B7B7B" w:themeColor="accent3" w:themeShade="BF"/>
          <w:sz w:val="22"/>
          <w:szCs w:val="22"/>
          <w:lang w:val="en-GB"/>
        </w:rPr>
        <w:t>-Border Insolvency (1997) into a</w:t>
      </w:r>
      <w:r w:rsidR="00BB460F">
        <w:rPr>
          <w:rFonts w:ascii="Arial" w:hAnsi="Arial" w:cs="Arial"/>
          <w:color w:val="7B7B7B" w:themeColor="accent3" w:themeShade="BF"/>
          <w:sz w:val="22"/>
          <w:szCs w:val="22"/>
          <w:lang w:val="en-GB"/>
        </w:rPr>
        <w:t xml:space="preserve"> State’s domestic insolvency laws as was done by the UK vide </w:t>
      </w:r>
      <w:r w:rsidR="00287A88">
        <w:rPr>
          <w:rFonts w:ascii="Arial" w:hAnsi="Arial" w:cs="Arial"/>
          <w:color w:val="7B7B7B" w:themeColor="accent3" w:themeShade="BF"/>
          <w:sz w:val="22"/>
          <w:szCs w:val="22"/>
          <w:lang w:val="en-GB"/>
        </w:rPr>
        <w:t>the Cross-Border Insolvency Regulations 2006</w:t>
      </w:r>
      <w:r w:rsidR="00BB460F">
        <w:rPr>
          <w:rFonts w:ascii="Arial" w:hAnsi="Arial" w:cs="Arial"/>
          <w:color w:val="7B7B7B" w:themeColor="accent3" w:themeShade="BF"/>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1D16042B" w:rsidR="00DF75F8" w:rsidRDefault="00D735A3"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are the three (3) pertinent questions that Fletcher</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asks in an attempt to bring the “cross-border” aspects and the “insolvency” aspects </w:t>
      </w:r>
      <w:r w:rsidR="0057296B">
        <w:rPr>
          <w:rFonts w:ascii="Arial" w:hAnsi="Arial" w:cs="Arial"/>
          <w:color w:val="7B7B7B" w:themeColor="accent3" w:themeShade="BF"/>
          <w:sz w:val="22"/>
          <w:szCs w:val="22"/>
          <w:lang w:val="en-GB"/>
        </w:rPr>
        <w:t xml:space="preserve">of cross-border insolvencies </w:t>
      </w:r>
      <w:r>
        <w:rPr>
          <w:rFonts w:ascii="Arial" w:hAnsi="Arial" w:cs="Arial"/>
          <w:color w:val="7B7B7B" w:themeColor="accent3" w:themeShade="BF"/>
          <w:sz w:val="22"/>
          <w:szCs w:val="22"/>
          <w:lang w:val="en-GB"/>
        </w:rPr>
        <w:t>together –</w:t>
      </w:r>
    </w:p>
    <w:p w14:paraId="759A8090" w14:textId="47A54732" w:rsidR="00D735A3" w:rsidRDefault="00D735A3" w:rsidP="00E8021D">
      <w:pPr>
        <w:jc w:val="both"/>
        <w:rPr>
          <w:rFonts w:ascii="Arial" w:hAnsi="Arial" w:cs="Arial"/>
          <w:sz w:val="22"/>
          <w:szCs w:val="22"/>
          <w:lang w:val="en-GB"/>
        </w:rPr>
      </w:pPr>
    </w:p>
    <w:p w14:paraId="2AA91AEA" w14:textId="78B31B2E" w:rsidR="00D735A3" w:rsidRPr="0057296B" w:rsidRDefault="0057296B" w:rsidP="00E8021D">
      <w:pPr>
        <w:pStyle w:val="ListParagraph"/>
        <w:numPr>
          <w:ilvl w:val="0"/>
          <w:numId w:val="19"/>
        </w:numPr>
        <w:ind w:hanging="720"/>
        <w:jc w:val="both"/>
        <w:rPr>
          <w:rFonts w:ascii="Arial" w:hAnsi="Arial" w:cs="Arial"/>
          <w:sz w:val="22"/>
          <w:szCs w:val="22"/>
          <w:lang w:val="en-GB"/>
        </w:rPr>
      </w:pPr>
      <w:r>
        <w:rPr>
          <w:rFonts w:ascii="Arial" w:hAnsi="Arial" w:cs="Arial"/>
          <w:color w:val="7B7B7B" w:themeColor="accent3" w:themeShade="BF"/>
          <w:sz w:val="22"/>
          <w:szCs w:val="22"/>
          <w:lang w:val="en-GB"/>
        </w:rPr>
        <w:t>in which jurisdictions may insolvency proceedings be opened?</w:t>
      </w:r>
    </w:p>
    <w:p w14:paraId="0A26A502" w14:textId="516684B2" w:rsidR="0057296B" w:rsidRPr="0057296B" w:rsidRDefault="00FC3D72" w:rsidP="00E8021D">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 xml:space="preserve">This is also known as the choice of forum question. </w:t>
      </w:r>
      <w:r w:rsidR="0057296B">
        <w:rPr>
          <w:rFonts w:ascii="Arial" w:hAnsi="Arial" w:cs="Arial"/>
          <w:color w:val="7B7B7B" w:themeColor="accent3" w:themeShade="BF"/>
          <w:sz w:val="22"/>
          <w:szCs w:val="22"/>
          <w:lang w:val="en-GB"/>
        </w:rPr>
        <w:t xml:space="preserve">This question pertains to whether </w:t>
      </w:r>
      <w:r>
        <w:rPr>
          <w:rFonts w:ascii="Arial" w:hAnsi="Arial" w:cs="Arial"/>
          <w:color w:val="7B7B7B" w:themeColor="accent3" w:themeShade="BF"/>
          <w:sz w:val="22"/>
          <w:szCs w:val="22"/>
          <w:lang w:val="en-GB"/>
        </w:rPr>
        <w:t>the</w:t>
      </w:r>
      <w:r w:rsidR="0057296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local </w:t>
      </w:r>
      <w:r w:rsidR="0057296B">
        <w:rPr>
          <w:rFonts w:ascii="Arial" w:hAnsi="Arial" w:cs="Arial"/>
          <w:color w:val="7B7B7B" w:themeColor="accent3" w:themeShade="BF"/>
          <w:sz w:val="22"/>
          <w:szCs w:val="22"/>
          <w:lang w:val="en-GB"/>
        </w:rPr>
        <w:t xml:space="preserve">court </w:t>
      </w:r>
      <w:r>
        <w:rPr>
          <w:rFonts w:ascii="Arial" w:hAnsi="Arial" w:cs="Arial"/>
          <w:color w:val="7B7B7B" w:themeColor="accent3" w:themeShade="BF"/>
          <w:sz w:val="22"/>
          <w:szCs w:val="22"/>
          <w:lang w:val="en-GB"/>
        </w:rPr>
        <w:t xml:space="preserve">in which the proceedings are filed </w:t>
      </w:r>
      <w:r w:rsidR="0057296B">
        <w:rPr>
          <w:rFonts w:ascii="Arial" w:hAnsi="Arial" w:cs="Arial"/>
          <w:color w:val="7B7B7B" w:themeColor="accent3" w:themeShade="BF"/>
          <w:sz w:val="22"/>
          <w:szCs w:val="22"/>
          <w:lang w:val="en-GB"/>
        </w:rPr>
        <w:t xml:space="preserve">can and will hear and determine the matter. In order to answer this question, </w:t>
      </w:r>
      <w:r>
        <w:rPr>
          <w:rFonts w:ascii="Arial" w:hAnsi="Arial" w:cs="Arial"/>
          <w:color w:val="7B7B7B" w:themeColor="accent3" w:themeShade="BF"/>
          <w:sz w:val="22"/>
          <w:szCs w:val="22"/>
          <w:lang w:val="en-GB"/>
        </w:rPr>
        <w:t>the court will</w:t>
      </w:r>
      <w:r w:rsidR="0057296B">
        <w:rPr>
          <w:rFonts w:ascii="Arial" w:hAnsi="Arial" w:cs="Arial"/>
          <w:color w:val="7B7B7B" w:themeColor="accent3" w:themeShade="BF"/>
          <w:sz w:val="22"/>
          <w:szCs w:val="22"/>
          <w:lang w:val="en-GB"/>
        </w:rPr>
        <w:t xml:space="preserve"> examine the connection of the parties or the dispute to the jurisdiction in question. Consideration must also be given </w:t>
      </w:r>
      <w:r w:rsidR="00285273">
        <w:rPr>
          <w:rFonts w:ascii="Arial" w:hAnsi="Arial" w:cs="Arial"/>
          <w:color w:val="7B7B7B" w:themeColor="accent3" w:themeShade="BF"/>
          <w:sz w:val="22"/>
          <w:szCs w:val="22"/>
          <w:lang w:val="en-GB"/>
        </w:rPr>
        <w:t>to any relevant foreign elements such as assets or officers of the corporation in another State and the effect of any foreign insolvency proceeding in proceedings before the local court.</w:t>
      </w:r>
      <w:r w:rsidR="00285273">
        <w:rPr>
          <w:rStyle w:val="FootnoteReference"/>
          <w:rFonts w:ascii="Arial" w:hAnsi="Arial" w:cs="Arial"/>
          <w:color w:val="7B7B7B" w:themeColor="accent3" w:themeShade="BF"/>
          <w:sz w:val="22"/>
          <w:szCs w:val="22"/>
          <w:lang w:val="en-GB"/>
        </w:rPr>
        <w:footnoteReference w:id="12"/>
      </w:r>
      <w:r w:rsidR="00285273">
        <w:rPr>
          <w:rFonts w:ascii="Arial" w:hAnsi="Arial" w:cs="Arial"/>
          <w:color w:val="7B7B7B" w:themeColor="accent3" w:themeShade="BF"/>
          <w:sz w:val="22"/>
          <w:szCs w:val="22"/>
          <w:lang w:val="en-GB"/>
        </w:rPr>
        <w:t xml:space="preserve">  </w:t>
      </w:r>
    </w:p>
    <w:p w14:paraId="69445AA1" w14:textId="77777777" w:rsidR="0057296B" w:rsidRPr="0057296B" w:rsidRDefault="0057296B" w:rsidP="00E8021D">
      <w:pPr>
        <w:pStyle w:val="ListParagraph"/>
        <w:jc w:val="both"/>
        <w:rPr>
          <w:rFonts w:ascii="Arial" w:hAnsi="Arial" w:cs="Arial"/>
          <w:sz w:val="22"/>
          <w:szCs w:val="22"/>
          <w:lang w:val="en-GB"/>
        </w:rPr>
      </w:pPr>
    </w:p>
    <w:p w14:paraId="5A22488B" w14:textId="20C32822" w:rsidR="0057296B" w:rsidRPr="00FC3D72" w:rsidRDefault="0057296B" w:rsidP="00E8021D">
      <w:pPr>
        <w:pStyle w:val="ListParagraph"/>
        <w:numPr>
          <w:ilvl w:val="0"/>
          <w:numId w:val="19"/>
        </w:numPr>
        <w:ind w:hanging="720"/>
        <w:jc w:val="both"/>
        <w:rPr>
          <w:rFonts w:ascii="Arial" w:hAnsi="Arial" w:cs="Arial"/>
          <w:sz w:val="22"/>
          <w:szCs w:val="22"/>
          <w:lang w:val="en-GB"/>
        </w:rPr>
      </w:pPr>
      <w:r>
        <w:rPr>
          <w:rFonts w:ascii="Arial" w:hAnsi="Arial" w:cs="Arial"/>
          <w:color w:val="7B7B7B" w:themeColor="accent3" w:themeShade="BF"/>
          <w:sz w:val="22"/>
          <w:szCs w:val="22"/>
          <w:lang w:val="en-GB"/>
        </w:rPr>
        <w:t>what country’s law should be applied in respect of different aspects of the case?</w:t>
      </w:r>
    </w:p>
    <w:p w14:paraId="79E75ED7" w14:textId="0A408DB3" w:rsidR="00FC3D72" w:rsidRPr="00FC3D72" w:rsidRDefault="00FC3D72" w:rsidP="00E8021D">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also known as the choice of law question. If it has been determined that the local court in which the insolvency proceedings are filed can and will hear and determine the matter, the next question is the law that </w:t>
      </w:r>
      <w:r w:rsidR="00F6002D">
        <w:rPr>
          <w:rFonts w:ascii="Arial" w:hAnsi="Arial" w:cs="Arial"/>
          <w:color w:val="7B7B7B" w:themeColor="accent3" w:themeShade="BF"/>
          <w:sz w:val="22"/>
          <w:szCs w:val="22"/>
          <w:lang w:val="en-GB"/>
        </w:rPr>
        <w:t xml:space="preserve">the local court </w:t>
      </w:r>
      <w:r>
        <w:rPr>
          <w:rFonts w:ascii="Arial" w:hAnsi="Arial" w:cs="Arial"/>
          <w:color w:val="7B7B7B" w:themeColor="accent3" w:themeShade="BF"/>
          <w:sz w:val="22"/>
          <w:szCs w:val="22"/>
          <w:lang w:val="en-GB"/>
        </w:rPr>
        <w:t xml:space="preserve">should </w:t>
      </w:r>
      <w:r w:rsidR="00F6002D">
        <w:rPr>
          <w:rFonts w:ascii="Arial" w:hAnsi="Arial" w:cs="Arial"/>
          <w:color w:val="7B7B7B" w:themeColor="accent3" w:themeShade="BF"/>
          <w:sz w:val="22"/>
          <w:szCs w:val="22"/>
          <w:lang w:val="en-GB"/>
        </w:rPr>
        <w:t>apply</w:t>
      </w:r>
      <w:r>
        <w:rPr>
          <w:rFonts w:ascii="Arial" w:hAnsi="Arial" w:cs="Arial"/>
          <w:color w:val="7B7B7B" w:themeColor="accent3" w:themeShade="BF"/>
          <w:sz w:val="22"/>
          <w:szCs w:val="22"/>
          <w:lang w:val="en-GB"/>
        </w:rPr>
        <w:t xml:space="preserve"> to </w:t>
      </w:r>
      <w:r>
        <w:rPr>
          <w:rFonts w:ascii="Arial" w:hAnsi="Arial" w:cs="Arial"/>
          <w:color w:val="7B7B7B" w:themeColor="accent3" w:themeShade="BF"/>
          <w:sz w:val="22"/>
          <w:szCs w:val="22"/>
          <w:lang w:val="en-GB"/>
        </w:rPr>
        <w:lastRenderedPageBreak/>
        <w:t xml:space="preserve">the proceedings. In general, there is a difference in how common law systems and civil law systems approach this question. Common law systems such as the English legal system will only address the choice of law question if it is raised by the parties. Otherwise, the law of the forum would apply. Further, proof of the foreign law is a question of fact. On the other hand, in civil law systems, </w:t>
      </w:r>
      <w:r w:rsidR="00F6002D">
        <w:rPr>
          <w:rFonts w:ascii="Arial" w:hAnsi="Arial" w:cs="Arial"/>
          <w:color w:val="7B7B7B" w:themeColor="accent3" w:themeShade="BF"/>
          <w:sz w:val="22"/>
          <w:szCs w:val="22"/>
          <w:lang w:val="en-GB"/>
        </w:rPr>
        <w:t>choice of law is a question of law to be applied whether or not it is raised by the parties.</w:t>
      </w:r>
      <w:r w:rsidR="00F6002D">
        <w:rPr>
          <w:rStyle w:val="FootnoteReference"/>
          <w:rFonts w:ascii="Arial" w:hAnsi="Arial" w:cs="Arial"/>
          <w:color w:val="7B7B7B" w:themeColor="accent3" w:themeShade="BF"/>
          <w:sz w:val="22"/>
          <w:szCs w:val="22"/>
          <w:lang w:val="en-GB"/>
        </w:rPr>
        <w:footnoteReference w:id="13"/>
      </w:r>
      <w:r>
        <w:rPr>
          <w:rFonts w:ascii="Arial" w:hAnsi="Arial" w:cs="Arial"/>
          <w:color w:val="7B7B7B" w:themeColor="accent3" w:themeShade="BF"/>
          <w:sz w:val="22"/>
          <w:szCs w:val="22"/>
          <w:lang w:val="en-GB"/>
        </w:rPr>
        <w:t xml:space="preserve">  </w:t>
      </w:r>
    </w:p>
    <w:p w14:paraId="05B791A6" w14:textId="77777777" w:rsidR="0057296B" w:rsidRPr="0057296B" w:rsidRDefault="0057296B" w:rsidP="00E8021D">
      <w:pPr>
        <w:pStyle w:val="ListParagraph"/>
        <w:jc w:val="both"/>
        <w:rPr>
          <w:rFonts w:ascii="Arial" w:hAnsi="Arial" w:cs="Arial"/>
          <w:sz w:val="22"/>
          <w:szCs w:val="22"/>
          <w:lang w:val="en-GB"/>
        </w:rPr>
      </w:pPr>
    </w:p>
    <w:p w14:paraId="62658870" w14:textId="6E2319A5" w:rsidR="0057296B" w:rsidRPr="00F6002D" w:rsidRDefault="0057296B" w:rsidP="00E8021D">
      <w:pPr>
        <w:pStyle w:val="ListParagraph"/>
        <w:numPr>
          <w:ilvl w:val="0"/>
          <w:numId w:val="19"/>
        </w:numPr>
        <w:ind w:hanging="720"/>
        <w:jc w:val="both"/>
        <w:rPr>
          <w:rFonts w:ascii="Arial" w:hAnsi="Arial" w:cs="Arial"/>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539BBEE2" w14:textId="757EE2BB" w:rsidR="00F6002D" w:rsidRPr="00D735A3" w:rsidRDefault="00F6002D" w:rsidP="00E8021D">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 xml:space="preserve">Where there is a foreign judgment on the same matter, this question pertains to whether the local court will give recognition to, and enforce the foreign judgment. </w:t>
      </w:r>
      <w:r w:rsidR="00071684">
        <w:rPr>
          <w:rFonts w:ascii="Arial" w:hAnsi="Arial" w:cs="Arial"/>
          <w:color w:val="7B7B7B" w:themeColor="accent3" w:themeShade="BF"/>
          <w:sz w:val="22"/>
          <w:szCs w:val="22"/>
          <w:lang w:val="en-GB"/>
        </w:rPr>
        <w:t>The foreign judgment may be a judgment commencing insolvency proceedings against a debtor such as a liquidation order or may be an order given in the course of ongoing insolvency proceedings such as an order for payment of monies into the estate of the company arising from an action for voidable disposition.</w:t>
      </w:r>
      <w:r w:rsidR="00071684">
        <w:rPr>
          <w:rStyle w:val="FootnoteReference"/>
          <w:rFonts w:ascii="Arial" w:hAnsi="Arial" w:cs="Arial"/>
          <w:color w:val="7B7B7B" w:themeColor="accent3" w:themeShade="BF"/>
          <w:sz w:val="22"/>
          <w:szCs w:val="22"/>
          <w:lang w:val="en-GB"/>
        </w:rPr>
        <w:footnoteReference w:id="14"/>
      </w:r>
      <w:r w:rsidR="00071684">
        <w:rPr>
          <w:rFonts w:ascii="Arial" w:hAnsi="Arial" w:cs="Arial"/>
          <w:color w:val="7B7B7B" w:themeColor="accent3" w:themeShade="BF"/>
          <w:sz w:val="22"/>
          <w:szCs w:val="22"/>
          <w:lang w:val="en-GB"/>
        </w:rPr>
        <w:t xml:space="preserve"> </w:t>
      </w:r>
      <w:r w:rsidR="004C1912">
        <w:rPr>
          <w:rFonts w:ascii="Arial" w:hAnsi="Arial" w:cs="Arial"/>
          <w:color w:val="7B7B7B" w:themeColor="accent3" w:themeShade="BF"/>
          <w:sz w:val="22"/>
          <w:szCs w:val="22"/>
          <w:lang w:val="en-GB"/>
        </w:rPr>
        <w:t xml:space="preserve">A State would apply its cross-border insolvency rules in determining whether recognition and effect should be given to foreign insolvency proceedings. For example, the UK would look to section 426 of the Insolvency Act 1986 and the </w:t>
      </w:r>
      <w:r w:rsidR="004C1912" w:rsidRPr="004C1912">
        <w:rPr>
          <w:rFonts w:ascii="Arial" w:hAnsi="Arial" w:cs="Arial"/>
          <w:color w:val="7B7B7B" w:themeColor="accent3" w:themeShade="BF"/>
          <w:sz w:val="22"/>
          <w:szCs w:val="22"/>
          <w:lang w:val="en-GB"/>
        </w:rPr>
        <w:t>Cross-Border Insolvency Regulations 2006 which enacts the UNCITRAL Model Law on Cross-Border Insolvency in the UK</w:t>
      </w:r>
      <w:r w:rsidR="004C1912">
        <w:rPr>
          <w:rFonts w:ascii="Arial" w:hAnsi="Arial" w:cs="Arial"/>
          <w:color w:val="7B7B7B" w:themeColor="accent3" w:themeShade="BF"/>
          <w:sz w:val="22"/>
          <w:szCs w:val="22"/>
          <w:lang w:val="en-GB"/>
        </w:rPr>
        <w:t>, in determining this issue.</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3ED16DDA" w14:textId="72687EAB" w:rsidR="00767234" w:rsidRDefault="00722771"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case law example for the above quotation is the cross-border insolvency case of </w:t>
      </w:r>
      <w:r>
        <w:rPr>
          <w:rFonts w:ascii="Arial" w:hAnsi="Arial" w:cs="Arial"/>
          <w:i/>
          <w:color w:val="7B7B7B" w:themeColor="accent3" w:themeShade="BF"/>
          <w:sz w:val="22"/>
          <w:szCs w:val="22"/>
          <w:lang w:val="en-GB"/>
        </w:rPr>
        <w:t>Maxwell Communications Corporation plc</w:t>
      </w:r>
      <w:r w:rsidR="00B0609C">
        <w:rPr>
          <w:rFonts w:ascii="Arial" w:hAnsi="Arial" w:cs="Arial"/>
          <w:i/>
          <w:color w:val="7B7B7B" w:themeColor="accent3" w:themeShade="BF"/>
          <w:sz w:val="22"/>
          <w:szCs w:val="22"/>
          <w:lang w:val="en-GB"/>
        </w:rPr>
        <w:t xml:space="preserve"> </w:t>
      </w:r>
      <w:r w:rsidR="00B0609C">
        <w:rPr>
          <w:rFonts w:ascii="Arial" w:hAnsi="Arial" w:cs="Arial"/>
          <w:color w:val="7B7B7B" w:themeColor="accent3" w:themeShade="BF"/>
          <w:sz w:val="22"/>
          <w:szCs w:val="22"/>
          <w:lang w:val="en-GB"/>
        </w:rPr>
        <w:t>(“MCC”)</w:t>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in 1991.</w:t>
      </w:r>
      <w:r w:rsidR="00B0609C">
        <w:rPr>
          <w:rStyle w:val="FootnoteReference"/>
          <w:rFonts w:ascii="Arial" w:hAnsi="Arial" w:cs="Arial"/>
          <w:color w:val="7B7B7B" w:themeColor="accent3" w:themeShade="BF"/>
          <w:sz w:val="22"/>
          <w:szCs w:val="22"/>
          <w:lang w:val="en-GB"/>
        </w:rPr>
        <w:footnoteReference w:id="15"/>
      </w:r>
      <w:r>
        <w:rPr>
          <w:rFonts w:ascii="Arial" w:hAnsi="Arial" w:cs="Arial"/>
          <w:color w:val="7B7B7B" w:themeColor="accent3" w:themeShade="BF"/>
          <w:sz w:val="22"/>
          <w:szCs w:val="22"/>
          <w:lang w:val="en-GB"/>
        </w:rPr>
        <w:t xml:space="preserve"> </w:t>
      </w:r>
      <w:r w:rsidR="00B0609C">
        <w:rPr>
          <w:rFonts w:ascii="Arial" w:hAnsi="Arial" w:cs="Arial"/>
          <w:color w:val="7B7B7B" w:themeColor="accent3" w:themeShade="BF"/>
          <w:sz w:val="22"/>
          <w:szCs w:val="22"/>
          <w:lang w:val="en-GB"/>
        </w:rPr>
        <w:t>MCC was a United Kingdom (“UK”) holding company with substantial assets in the United Stated (“US”). Although most of MCC’s assets were located in the US, substantially all of MCC’s debt had been incurred in the UK.</w:t>
      </w:r>
    </w:p>
    <w:p w14:paraId="76E65528" w14:textId="77777777" w:rsidR="004C1912" w:rsidRDefault="004C1912" w:rsidP="00E8021D">
      <w:pPr>
        <w:jc w:val="both"/>
        <w:rPr>
          <w:rFonts w:ascii="Arial" w:hAnsi="Arial" w:cs="Arial"/>
          <w:color w:val="7B7B7B" w:themeColor="accent3" w:themeShade="BF"/>
          <w:sz w:val="22"/>
          <w:szCs w:val="22"/>
          <w:lang w:val="en-GB"/>
        </w:rPr>
      </w:pPr>
    </w:p>
    <w:p w14:paraId="49E62A40" w14:textId="6474FBA2" w:rsidR="00767234" w:rsidRDefault="00B0609C" w:rsidP="00E8021D">
      <w:pPr>
        <w:widowControl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MCC initiated</w:t>
      </w:r>
      <w:r w:rsidR="00722771">
        <w:rPr>
          <w:rFonts w:ascii="Arial" w:hAnsi="Arial" w:cs="Arial"/>
          <w:color w:val="7B7B7B" w:themeColor="accent3" w:themeShade="BF"/>
          <w:sz w:val="22"/>
          <w:szCs w:val="22"/>
          <w:lang w:val="en-GB"/>
        </w:rPr>
        <w:t xml:space="preserve"> </w:t>
      </w:r>
      <w:r w:rsidR="00767234">
        <w:rPr>
          <w:rFonts w:ascii="Arial" w:hAnsi="Arial" w:cs="Arial"/>
          <w:color w:val="7B7B7B" w:themeColor="accent3" w:themeShade="BF"/>
          <w:sz w:val="22"/>
          <w:szCs w:val="22"/>
          <w:lang w:val="en-GB"/>
        </w:rPr>
        <w:t>two (2) primary</w:t>
      </w:r>
      <w:r w:rsidR="00722771">
        <w:rPr>
          <w:rFonts w:ascii="Arial" w:hAnsi="Arial" w:cs="Arial"/>
          <w:color w:val="7B7B7B" w:themeColor="accent3" w:themeShade="BF"/>
          <w:sz w:val="22"/>
          <w:szCs w:val="22"/>
          <w:lang w:val="en-GB"/>
        </w:rPr>
        <w:t xml:space="preserve"> insolvency proceedings</w:t>
      </w:r>
      <w:r w:rsidR="00767234">
        <w:rPr>
          <w:rFonts w:ascii="Arial" w:hAnsi="Arial" w:cs="Arial"/>
          <w:color w:val="7B7B7B" w:themeColor="accent3" w:themeShade="BF"/>
          <w:sz w:val="22"/>
          <w:szCs w:val="22"/>
          <w:lang w:val="en-GB"/>
        </w:rPr>
        <w:t xml:space="preserve">, </w:t>
      </w:r>
      <w:r w:rsidR="00C44D39">
        <w:rPr>
          <w:rFonts w:ascii="Arial" w:hAnsi="Arial" w:cs="Arial"/>
          <w:color w:val="7B7B7B" w:themeColor="accent3" w:themeShade="BF"/>
          <w:sz w:val="22"/>
          <w:szCs w:val="22"/>
          <w:lang w:val="en-GB"/>
        </w:rPr>
        <w:t>a Chapter 11 bankruptcy proceeding</w:t>
      </w:r>
      <w:r w:rsidR="00767234">
        <w:rPr>
          <w:rFonts w:ascii="Arial" w:hAnsi="Arial" w:cs="Arial"/>
          <w:color w:val="7B7B7B" w:themeColor="accent3" w:themeShade="BF"/>
          <w:sz w:val="22"/>
          <w:szCs w:val="22"/>
          <w:lang w:val="en-GB"/>
        </w:rPr>
        <w:t xml:space="preserve"> </w:t>
      </w:r>
      <w:r w:rsidR="00722771">
        <w:rPr>
          <w:rFonts w:ascii="Arial" w:hAnsi="Arial" w:cs="Arial"/>
          <w:color w:val="7B7B7B" w:themeColor="accent3" w:themeShade="BF"/>
          <w:sz w:val="22"/>
          <w:szCs w:val="22"/>
          <w:lang w:val="en-GB"/>
        </w:rPr>
        <w:t xml:space="preserve">in the </w:t>
      </w:r>
      <w:r w:rsidR="00C44D39">
        <w:rPr>
          <w:rFonts w:ascii="Arial" w:hAnsi="Arial" w:cs="Arial"/>
          <w:color w:val="7B7B7B" w:themeColor="accent3" w:themeShade="BF"/>
          <w:sz w:val="22"/>
          <w:szCs w:val="22"/>
          <w:lang w:val="en-GB"/>
        </w:rPr>
        <w:t>US and an administration in the UK</w:t>
      </w:r>
      <w:r w:rsidR="00722771">
        <w:rPr>
          <w:rFonts w:ascii="Arial" w:hAnsi="Arial" w:cs="Arial"/>
          <w:color w:val="7B7B7B" w:themeColor="accent3" w:themeShade="BF"/>
          <w:sz w:val="22"/>
          <w:szCs w:val="22"/>
          <w:lang w:val="en-GB"/>
        </w:rPr>
        <w:t>.</w:t>
      </w:r>
      <w:r w:rsidR="00767234">
        <w:rPr>
          <w:rFonts w:ascii="Arial" w:hAnsi="Arial" w:cs="Arial"/>
          <w:color w:val="7B7B7B" w:themeColor="accent3" w:themeShade="BF"/>
          <w:sz w:val="22"/>
          <w:szCs w:val="22"/>
          <w:lang w:val="en-GB"/>
        </w:rPr>
        <w:t xml:space="preserve"> There were also different insolvency </w:t>
      </w:r>
      <w:r w:rsidR="00767234">
        <w:rPr>
          <w:rFonts w:ascii="Arial" w:hAnsi="Arial" w:cs="Arial"/>
          <w:color w:val="7B7B7B" w:themeColor="accent3" w:themeShade="BF"/>
          <w:sz w:val="22"/>
          <w:szCs w:val="22"/>
          <w:lang w:val="en-GB"/>
        </w:rPr>
        <w:lastRenderedPageBreak/>
        <w:t>representatives appointed in each State and each was charged with a similar responsibility.</w:t>
      </w:r>
      <w:r w:rsidR="00722771">
        <w:rPr>
          <w:rFonts w:ascii="Arial" w:hAnsi="Arial" w:cs="Arial"/>
          <w:color w:val="7B7B7B" w:themeColor="accent3" w:themeShade="BF"/>
          <w:sz w:val="22"/>
          <w:szCs w:val="22"/>
          <w:lang w:val="en-GB"/>
        </w:rPr>
        <w:t xml:space="preserve"> </w:t>
      </w:r>
    </w:p>
    <w:p w14:paraId="3CF068CA" w14:textId="77777777" w:rsidR="00767234" w:rsidRDefault="00767234" w:rsidP="00E8021D">
      <w:pPr>
        <w:jc w:val="both"/>
        <w:rPr>
          <w:rFonts w:ascii="Arial" w:hAnsi="Arial" w:cs="Arial"/>
          <w:color w:val="7B7B7B" w:themeColor="accent3" w:themeShade="BF"/>
          <w:sz w:val="22"/>
          <w:szCs w:val="22"/>
          <w:lang w:val="en-GB"/>
        </w:rPr>
      </w:pPr>
    </w:p>
    <w:p w14:paraId="0F13248C" w14:textId="05AFE1BD" w:rsidR="00C44D39" w:rsidRDefault="002B1DBA"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judges in the UK and the US independently raised with their respective counsel the idea that an insolvency agreement between the two (2) administrations could resolve conflicts and facilitate the exchange of information. </w:t>
      </w:r>
      <w:r w:rsidR="00C44D39">
        <w:rPr>
          <w:rFonts w:ascii="Arial" w:hAnsi="Arial" w:cs="Arial"/>
          <w:color w:val="7B7B7B" w:themeColor="accent3" w:themeShade="BF"/>
          <w:sz w:val="22"/>
          <w:szCs w:val="22"/>
          <w:lang w:val="en-GB"/>
        </w:rPr>
        <w:t xml:space="preserve">The courts in the US and the UK co-operated with each other by way of court orders recognising an agreement called the “Protocol” between the insolvency representatives </w:t>
      </w:r>
      <w:r w:rsidR="00A842BA">
        <w:rPr>
          <w:rFonts w:ascii="Arial" w:hAnsi="Arial" w:cs="Arial"/>
          <w:color w:val="7B7B7B" w:themeColor="accent3" w:themeShade="BF"/>
          <w:sz w:val="22"/>
          <w:szCs w:val="22"/>
          <w:lang w:val="en-GB"/>
        </w:rPr>
        <w:t>of</w:t>
      </w:r>
      <w:r w:rsidR="00C44D39">
        <w:rPr>
          <w:rFonts w:ascii="Arial" w:hAnsi="Arial" w:cs="Arial"/>
          <w:color w:val="7B7B7B" w:themeColor="accent3" w:themeShade="BF"/>
          <w:sz w:val="22"/>
          <w:szCs w:val="22"/>
          <w:lang w:val="en-GB"/>
        </w:rPr>
        <w:t xml:space="preserve"> the two (2) States. </w:t>
      </w:r>
    </w:p>
    <w:p w14:paraId="1DA7B518" w14:textId="77777777" w:rsidR="00C44D39" w:rsidRDefault="00C44D39" w:rsidP="00E8021D">
      <w:pPr>
        <w:jc w:val="both"/>
        <w:rPr>
          <w:rFonts w:ascii="Arial" w:hAnsi="Arial" w:cs="Arial"/>
          <w:color w:val="7B7B7B" w:themeColor="accent3" w:themeShade="BF"/>
          <w:sz w:val="22"/>
          <w:szCs w:val="22"/>
          <w:lang w:val="en-GB"/>
        </w:rPr>
      </w:pPr>
    </w:p>
    <w:p w14:paraId="4AE7EA78" w14:textId="6024AC0A" w:rsidR="007D7C92" w:rsidRDefault="002B1DBA"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A842BA">
        <w:rPr>
          <w:rFonts w:ascii="Arial" w:hAnsi="Arial" w:cs="Arial"/>
          <w:color w:val="7B7B7B" w:themeColor="accent3" w:themeShade="BF"/>
          <w:sz w:val="22"/>
          <w:szCs w:val="22"/>
          <w:lang w:val="en-GB"/>
        </w:rPr>
        <w:t>Protocol</w:t>
      </w:r>
      <w:r>
        <w:rPr>
          <w:rFonts w:ascii="Arial" w:hAnsi="Arial" w:cs="Arial"/>
          <w:color w:val="7B7B7B" w:themeColor="accent3" w:themeShade="BF"/>
          <w:sz w:val="22"/>
          <w:szCs w:val="22"/>
          <w:lang w:val="en-GB"/>
        </w:rPr>
        <w:t xml:space="preserve"> set two (2) goals to guide the insolvency representatives. Firstly, to maximise the value of the debtor’s estate and secondly to harmonise the two (2) insolvency proceedings to minimise expense, waste and jurisdictional conflict. In essence, the parties agreed </w:t>
      </w:r>
      <w:r w:rsidR="00C44D39">
        <w:rPr>
          <w:rFonts w:ascii="Arial" w:hAnsi="Arial" w:cs="Arial"/>
          <w:color w:val="7B7B7B" w:themeColor="accent3" w:themeShade="BF"/>
          <w:sz w:val="22"/>
          <w:szCs w:val="22"/>
          <w:lang w:val="en-GB"/>
        </w:rPr>
        <w:t>that the US court would defer to the UK proceedings once it was determined that</w:t>
      </w:r>
      <w:r w:rsidR="006A0F22">
        <w:rPr>
          <w:rFonts w:ascii="Arial" w:hAnsi="Arial" w:cs="Arial"/>
          <w:color w:val="7B7B7B" w:themeColor="accent3" w:themeShade="BF"/>
          <w:sz w:val="22"/>
          <w:szCs w:val="22"/>
          <w:lang w:val="en-GB"/>
        </w:rPr>
        <w:t xml:space="preserve"> certain criteria were present. </w:t>
      </w:r>
      <w:r w:rsidR="00A842BA">
        <w:rPr>
          <w:rFonts w:ascii="Arial" w:hAnsi="Arial" w:cs="Arial"/>
          <w:color w:val="7B7B7B" w:themeColor="accent3" w:themeShade="BF"/>
          <w:sz w:val="22"/>
          <w:szCs w:val="22"/>
          <w:lang w:val="en-GB"/>
        </w:rPr>
        <w:t>The order of the US court approving the Protocol recognised the UK insolvency representatives as the corporate governance of MCC while the order of the UK court approving the Protocol granted standing to the US insolvency representative to be heard in the UK court.</w:t>
      </w:r>
    </w:p>
    <w:p w14:paraId="50EBB7BF" w14:textId="77777777" w:rsidR="006A0F22" w:rsidRDefault="006A0F22" w:rsidP="00E8021D">
      <w:pPr>
        <w:jc w:val="both"/>
        <w:rPr>
          <w:rFonts w:ascii="Arial" w:hAnsi="Arial" w:cs="Arial"/>
          <w:color w:val="7B7B7B" w:themeColor="accent3" w:themeShade="BF"/>
          <w:sz w:val="22"/>
          <w:szCs w:val="22"/>
          <w:lang w:val="en-GB"/>
        </w:rPr>
      </w:pPr>
    </w:p>
    <w:p w14:paraId="4F4E0BB5" w14:textId="795F1D15" w:rsidR="00A842BA" w:rsidRDefault="00823D61"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A842BA">
        <w:rPr>
          <w:rFonts w:ascii="Arial" w:hAnsi="Arial" w:cs="Arial"/>
          <w:color w:val="7B7B7B" w:themeColor="accent3" w:themeShade="BF"/>
          <w:sz w:val="22"/>
          <w:szCs w:val="22"/>
          <w:lang w:val="en-GB"/>
        </w:rPr>
        <w:t xml:space="preserve">ubsequently, the UK insolvency representatives simultaneously filed a plan of reorganisation in the US court and a scheme of arrangement in the UK court. Although filed as separate documents, the plan </w:t>
      </w:r>
      <w:r>
        <w:rPr>
          <w:rFonts w:ascii="Arial" w:hAnsi="Arial" w:cs="Arial"/>
          <w:color w:val="7B7B7B" w:themeColor="accent3" w:themeShade="BF"/>
          <w:sz w:val="22"/>
          <w:szCs w:val="22"/>
          <w:lang w:val="en-GB"/>
        </w:rPr>
        <w:t xml:space="preserve">of reorganisation </w:t>
      </w:r>
      <w:r w:rsidR="00A842BA">
        <w:rPr>
          <w:rFonts w:ascii="Arial" w:hAnsi="Arial" w:cs="Arial"/>
          <w:color w:val="7B7B7B" w:themeColor="accent3" w:themeShade="BF"/>
          <w:sz w:val="22"/>
          <w:szCs w:val="22"/>
          <w:lang w:val="en-GB"/>
        </w:rPr>
        <w:t xml:space="preserve">and scheme </w:t>
      </w:r>
      <w:r>
        <w:rPr>
          <w:rFonts w:ascii="Arial" w:hAnsi="Arial" w:cs="Arial"/>
          <w:color w:val="7B7B7B" w:themeColor="accent3" w:themeShade="BF"/>
          <w:sz w:val="22"/>
          <w:szCs w:val="22"/>
          <w:lang w:val="en-GB"/>
        </w:rPr>
        <w:t xml:space="preserve">of arrangement </w:t>
      </w:r>
      <w:r w:rsidR="00A842BA">
        <w:rPr>
          <w:rFonts w:ascii="Arial" w:hAnsi="Arial" w:cs="Arial"/>
          <w:color w:val="7B7B7B" w:themeColor="accent3" w:themeShade="BF"/>
          <w:sz w:val="22"/>
          <w:szCs w:val="22"/>
          <w:lang w:val="en-GB"/>
        </w:rPr>
        <w:t xml:space="preserve">were mutually dependent and in effect constituted a single mechanism that was consistent </w:t>
      </w:r>
      <w:r>
        <w:rPr>
          <w:rFonts w:ascii="Arial" w:hAnsi="Arial" w:cs="Arial"/>
          <w:color w:val="7B7B7B" w:themeColor="accent3" w:themeShade="BF"/>
          <w:sz w:val="22"/>
          <w:szCs w:val="22"/>
          <w:lang w:val="en-GB"/>
        </w:rPr>
        <w:t>with the laws of both the US and the UK for reorganising MCC through the sale of assets as going concerns and for distributing assets to creditors</w:t>
      </w:r>
      <w:r w:rsidR="00813714">
        <w:rPr>
          <w:rFonts w:ascii="Arial" w:hAnsi="Arial" w:cs="Arial"/>
          <w:color w:val="7B7B7B" w:themeColor="accent3" w:themeShade="BF"/>
          <w:sz w:val="22"/>
          <w:szCs w:val="22"/>
          <w:lang w:val="en-GB"/>
        </w:rPr>
        <w:t xml:space="preserve"> in both jurisdictions</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16"/>
      </w:r>
      <w:r w:rsidR="00F201F3">
        <w:rPr>
          <w:rFonts w:ascii="Arial" w:hAnsi="Arial" w:cs="Arial"/>
          <w:color w:val="7B7B7B" w:themeColor="accent3" w:themeShade="BF"/>
          <w:sz w:val="22"/>
          <w:szCs w:val="22"/>
          <w:lang w:val="en-GB"/>
        </w:rPr>
        <w:t xml:space="preserve"> </w:t>
      </w:r>
    </w:p>
    <w:p w14:paraId="1837D62B" w14:textId="2BD986FE" w:rsidR="00F201F3" w:rsidRDefault="00F201F3" w:rsidP="00E8021D">
      <w:pPr>
        <w:jc w:val="both"/>
        <w:rPr>
          <w:rFonts w:ascii="Arial" w:hAnsi="Arial" w:cs="Arial"/>
          <w:color w:val="7B7B7B" w:themeColor="accent3" w:themeShade="BF"/>
          <w:sz w:val="22"/>
          <w:szCs w:val="22"/>
          <w:lang w:val="en-GB"/>
        </w:rPr>
      </w:pPr>
    </w:p>
    <w:p w14:paraId="531C95B7" w14:textId="2F4467DC" w:rsidR="00F201F3" w:rsidRPr="00205B31" w:rsidRDefault="00813714" w:rsidP="00E8021D">
      <w:pPr>
        <w:jc w:val="both"/>
        <w:rPr>
          <w:rFonts w:ascii="Arial" w:hAnsi="Arial" w:cs="Arial"/>
          <w:sz w:val="22"/>
          <w:szCs w:val="22"/>
          <w:lang w:val="en-GB"/>
        </w:rPr>
      </w:pPr>
      <w:r>
        <w:rPr>
          <w:rFonts w:ascii="Arial" w:hAnsi="Arial" w:cs="Arial"/>
          <w:color w:val="7B7B7B" w:themeColor="accent3" w:themeShade="BF"/>
          <w:sz w:val="22"/>
          <w:szCs w:val="22"/>
          <w:lang w:val="en-GB"/>
        </w:rPr>
        <w:t>The</w:t>
      </w:r>
      <w:r w:rsidR="00F201F3">
        <w:rPr>
          <w:rFonts w:ascii="Arial" w:hAnsi="Arial" w:cs="Arial"/>
          <w:color w:val="7B7B7B" w:themeColor="accent3" w:themeShade="BF"/>
          <w:sz w:val="22"/>
          <w:szCs w:val="22"/>
          <w:lang w:val="en-GB"/>
        </w:rPr>
        <w:t xml:space="preserve"> Protocol allowed for a successful reorganisation of MCC. While the Protocol did not explicitly contemplate court-to-court communication, practitioners recall that the Judges of both the US and UK courts were often in communication </w:t>
      </w:r>
      <w:r>
        <w:rPr>
          <w:rFonts w:ascii="Arial" w:hAnsi="Arial" w:cs="Arial"/>
          <w:color w:val="7B7B7B" w:themeColor="accent3" w:themeShade="BF"/>
          <w:sz w:val="22"/>
          <w:szCs w:val="22"/>
          <w:lang w:val="en-GB"/>
        </w:rPr>
        <w:t>directly and sometimes with the parties involved. Hence, it could be said that the Protocol provided for truly integrated reorganisation proceedings which maximised efficiency and minimised disputes amongst the debtor, creditors and the courts in both jurisdictions.</w:t>
      </w:r>
      <w:r>
        <w:rPr>
          <w:rStyle w:val="FootnoteReference"/>
          <w:rFonts w:ascii="Arial" w:hAnsi="Arial" w:cs="Arial"/>
          <w:color w:val="7B7B7B" w:themeColor="accent3" w:themeShade="BF"/>
          <w:sz w:val="22"/>
          <w:szCs w:val="22"/>
          <w:lang w:val="en-GB"/>
        </w:rPr>
        <w:footnoteReference w:id="17"/>
      </w:r>
    </w:p>
    <w:p w14:paraId="62816FF1" w14:textId="18649DF5" w:rsidR="00275182" w:rsidRDefault="00275182" w:rsidP="00B7193E">
      <w:pPr>
        <w:jc w:val="both"/>
        <w:rPr>
          <w:rFonts w:ascii="Arial" w:hAnsi="Arial" w:cs="Arial"/>
          <w:bCs/>
          <w:sz w:val="22"/>
          <w:szCs w:val="22"/>
          <w:lang w:val="en-GB"/>
        </w:rPr>
      </w:pPr>
    </w:p>
    <w:p w14:paraId="670C6CBC" w14:textId="77777777" w:rsidR="006A0F22" w:rsidRPr="00205B31" w:rsidRDefault="006A0F2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56AB0AF6" w:rsidR="009B0723" w:rsidRDefault="009B0723" w:rsidP="006D564C">
      <w:pPr>
        <w:autoSpaceDE w:val="0"/>
        <w:autoSpaceDN w:val="0"/>
        <w:adjustRightInd w:val="0"/>
        <w:jc w:val="both"/>
        <w:rPr>
          <w:rFonts w:ascii="Arial" w:hAnsi="Arial" w:cs="Arial"/>
          <w:sz w:val="22"/>
          <w:szCs w:val="22"/>
          <w:lang w:val="en-GB"/>
        </w:rPr>
      </w:pPr>
    </w:p>
    <w:p w14:paraId="7AD05156" w14:textId="77777777" w:rsidR="006A0F22" w:rsidRPr="00205B31" w:rsidRDefault="006A0F22"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lastRenderedPageBreak/>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5CE46845" w14:textId="1494E6E5" w:rsidR="000B3697" w:rsidRDefault="000B3697"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purposes of </w:t>
      </w:r>
      <w:r w:rsidR="000444D1">
        <w:rPr>
          <w:rFonts w:ascii="Arial" w:hAnsi="Arial" w:cs="Arial"/>
          <w:color w:val="7B7B7B" w:themeColor="accent3" w:themeShade="BF"/>
          <w:sz w:val="22"/>
          <w:szCs w:val="22"/>
          <w:lang w:val="en-GB"/>
        </w:rPr>
        <w:t>the discussion in respect of the entire question 4</w:t>
      </w:r>
      <w:r>
        <w:rPr>
          <w:rFonts w:ascii="Arial" w:hAnsi="Arial" w:cs="Arial"/>
          <w:color w:val="7B7B7B" w:themeColor="accent3" w:themeShade="BF"/>
          <w:sz w:val="22"/>
          <w:szCs w:val="22"/>
          <w:lang w:val="en-GB"/>
        </w:rPr>
        <w:t xml:space="preserve">, it is assumed that the insolvency proceeding opened in the UK by a minor creditor is not barred by any of the temporary measures introduced by the </w:t>
      </w:r>
      <w:r w:rsidRPr="000B3697">
        <w:rPr>
          <w:rFonts w:ascii="Arial" w:hAnsi="Arial" w:cs="Arial"/>
          <w:color w:val="7B7B7B" w:themeColor="accent3" w:themeShade="BF"/>
          <w:sz w:val="22"/>
          <w:szCs w:val="22"/>
          <w:lang w:val="en-GB"/>
        </w:rPr>
        <w:t xml:space="preserve">Corporate Insolvency and Governance Act 2020 </w:t>
      </w:r>
      <w:r>
        <w:rPr>
          <w:rFonts w:ascii="Arial" w:hAnsi="Arial" w:cs="Arial"/>
          <w:color w:val="7B7B7B" w:themeColor="accent3" w:themeShade="BF"/>
          <w:sz w:val="22"/>
          <w:szCs w:val="22"/>
          <w:lang w:val="en-GB"/>
        </w:rPr>
        <w:t>for relief during the C</w:t>
      </w:r>
      <w:r>
        <w:rPr>
          <w:rFonts w:ascii="Arial" w:hAnsi="Arial" w:cs="Arial"/>
          <w:color w:val="7B7B7B" w:themeColor="accent3" w:themeShade="BF"/>
          <w:sz w:val="22"/>
          <w:szCs w:val="22"/>
          <w:lang w:val="en-GB"/>
        </w:rPr>
        <w:t>ovid-19 pandemic.</w:t>
      </w:r>
    </w:p>
    <w:p w14:paraId="24D8D856" w14:textId="77777777" w:rsidR="000B3697" w:rsidRDefault="000B3697" w:rsidP="00E8021D">
      <w:pPr>
        <w:jc w:val="both"/>
        <w:rPr>
          <w:rFonts w:ascii="Arial" w:hAnsi="Arial" w:cs="Arial"/>
          <w:color w:val="7B7B7B" w:themeColor="accent3" w:themeShade="BF"/>
          <w:sz w:val="22"/>
          <w:szCs w:val="22"/>
          <w:lang w:val="en-GB"/>
        </w:rPr>
      </w:pPr>
    </w:p>
    <w:p w14:paraId="3348543D" w14:textId="6ACBBB2F" w:rsidR="00811DCC" w:rsidRDefault="00811DCC"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D0B89" w:rsidRPr="009D0B89">
        <w:rPr>
          <w:rFonts w:ascii="Arial" w:hAnsi="Arial" w:cs="Arial"/>
          <w:color w:val="7B7B7B" w:themeColor="accent3" w:themeShade="BF"/>
          <w:sz w:val="22"/>
          <w:szCs w:val="22"/>
          <w:lang w:val="en-GB"/>
        </w:rPr>
        <w:t>Regulation (EU) 2015/848 of the European Parliament and of the Council of 20 May 2015 on Insolvency Proceedings (Recast) (“EIR Recast”)</w:t>
      </w:r>
      <w:r w:rsidR="009D0B89">
        <w:rPr>
          <w:rFonts w:ascii="Arial" w:hAnsi="Arial" w:cs="Arial"/>
          <w:color w:val="7B7B7B" w:themeColor="accent3" w:themeShade="BF"/>
          <w:sz w:val="22"/>
          <w:szCs w:val="22"/>
          <w:lang w:val="en-GB"/>
        </w:rPr>
        <w:t xml:space="preserve"> applies to all member states of the European Union (“EU”), except for Denmark which exercised its right to opt-out of the Regulation.</w:t>
      </w:r>
    </w:p>
    <w:p w14:paraId="2C5D2F0E" w14:textId="3F31AE0E" w:rsidR="009D0B89" w:rsidRDefault="009D0B89"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C65403">
        <w:rPr>
          <w:rFonts w:ascii="Arial" w:hAnsi="Arial" w:cs="Arial"/>
          <w:color w:val="7B7B7B" w:themeColor="accent3" w:themeShade="BF"/>
          <w:sz w:val="22"/>
          <w:szCs w:val="22"/>
          <w:lang w:val="en-GB"/>
        </w:rPr>
        <w:t>Additional information required to answer the question</w:t>
      </w:r>
      <w:r>
        <w:rPr>
          <w:rFonts w:ascii="Arial" w:hAnsi="Arial" w:cs="Arial"/>
          <w:color w:val="7B7B7B" w:themeColor="accent3" w:themeShade="BF"/>
          <w:sz w:val="22"/>
          <w:szCs w:val="22"/>
          <w:lang w:val="en-GB"/>
        </w:rPr>
        <w:t xml:space="preserve">: </w:t>
      </w:r>
      <w:r w:rsidR="00C65403">
        <w:rPr>
          <w:rFonts w:ascii="Arial" w:hAnsi="Arial" w:cs="Arial"/>
          <w:color w:val="7B7B7B" w:themeColor="accent3" w:themeShade="BF"/>
          <w:sz w:val="22"/>
          <w:szCs w:val="22"/>
          <w:lang w:val="en-GB"/>
        </w:rPr>
        <w:t>W</w:t>
      </w:r>
      <w:r>
        <w:rPr>
          <w:rFonts w:ascii="Arial" w:hAnsi="Arial" w:cs="Arial"/>
          <w:color w:val="7B7B7B" w:themeColor="accent3" w:themeShade="BF"/>
          <w:sz w:val="22"/>
          <w:szCs w:val="22"/>
          <w:lang w:val="en-GB"/>
        </w:rPr>
        <w:t xml:space="preserve">hether the other EU member state in which Fernz is considering opening insolvency proceedings is Denmark. This is because if the other EU member state is Denmark, </w:t>
      </w:r>
      <w:r w:rsidR="002B0FCE">
        <w:rPr>
          <w:rFonts w:ascii="Arial" w:hAnsi="Arial" w:cs="Arial"/>
          <w:color w:val="7B7B7B" w:themeColor="accent3" w:themeShade="BF"/>
          <w:sz w:val="22"/>
          <w:szCs w:val="22"/>
          <w:lang w:val="en-GB"/>
        </w:rPr>
        <w:t xml:space="preserve">the EIR Recast would not apply and one has to look at Denmark’s private international law rules for the recognition of the </w:t>
      </w:r>
      <w:r w:rsidR="00FF3D9D">
        <w:rPr>
          <w:rFonts w:ascii="Arial" w:hAnsi="Arial" w:cs="Arial"/>
          <w:color w:val="7B7B7B" w:themeColor="accent3" w:themeShade="BF"/>
          <w:sz w:val="22"/>
          <w:szCs w:val="22"/>
          <w:lang w:val="en-GB"/>
        </w:rPr>
        <w:t xml:space="preserve">UK insolvency proceedings. </w:t>
      </w:r>
      <w:r>
        <w:rPr>
          <w:rFonts w:ascii="Arial" w:hAnsi="Arial" w:cs="Arial"/>
          <w:color w:val="7B7B7B" w:themeColor="accent3" w:themeShade="BF"/>
          <w:sz w:val="22"/>
          <w:szCs w:val="22"/>
          <w:lang w:val="en-GB"/>
        </w:rPr>
        <w:t xml:space="preserve">For purposes of this discussion, it is assumed that the other EU member state </w:t>
      </w:r>
      <w:r w:rsidR="00FF3D9D">
        <w:rPr>
          <w:rFonts w:ascii="Arial" w:hAnsi="Arial" w:cs="Arial"/>
          <w:color w:val="7B7B7B" w:themeColor="accent3" w:themeShade="BF"/>
          <w:sz w:val="22"/>
          <w:szCs w:val="22"/>
          <w:lang w:val="en-GB"/>
        </w:rPr>
        <w:t>in which Fernz is considering opening insolvency proceedings is an EU member state other than</w:t>
      </w:r>
      <w:r>
        <w:rPr>
          <w:rFonts w:ascii="Arial" w:hAnsi="Arial" w:cs="Arial"/>
          <w:color w:val="7B7B7B" w:themeColor="accent3" w:themeShade="BF"/>
          <w:sz w:val="22"/>
          <w:szCs w:val="22"/>
          <w:lang w:val="en-GB"/>
        </w:rPr>
        <w:t xml:space="preserve"> Denmark.]</w:t>
      </w:r>
    </w:p>
    <w:p w14:paraId="3CDC0FA5" w14:textId="77777777" w:rsidR="009D0B89" w:rsidRDefault="009D0B89" w:rsidP="00E8021D">
      <w:pPr>
        <w:jc w:val="both"/>
        <w:rPr>
          <w:rFonts w:ascii="Arial" w:hAnsi="Arial" w:cs="Arial"/>
          <w:color w:val="7B7B7B" w:themeColor="accent3" w:themeShade="BF"/>
          <w:sz w:val="22"/>
          <w:szCs w:val="22"/>
          <w:lang w:val="en-GB"/>
        </w:rPr>
      </w:pPr>
    </w:p>
    <w:p w14:paraId="172C59EB" w14:textId="1C9A58F4" w:rsidR="00D90780" w:rsidRDefault="00811DCC"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D90780">
        <w:rPr>
          <w:rFonts w:ascii="Arial" w:hAnsi="Arial" w:cs="Arial"/>
          <w:color w:val="7B7B7B" w:themeColor="accent3" w:themeShade="BF"/>
          <w:sz w:val="22"/>
          <w:szCs w:val="22"/>
          <w:lang w:val="en-GB"/>
        </w:rPr>
        <w:t xml:space="preserve"> United Kingdom (“UK”) insolvency proceeding was opened on 18 June 2020</w:t>
      </w:r>
      <w:r>
        <w:rPr>
          <w:rFonts w:ascii="Arial" w:hAnsi="Arial" w:cs="Arial"/>
          <w:color w:val="7B7B7B" w:themeColor="accent3" w:themeShade="BF"/>
          <w:sz w:val="22"/>
          <w:szCs w:val="22"/>
          <w:lang w:val="en-GB"/>
        </w:rPr>
        <w:t>. This is</w:t>
      </w:r>
      <w:r w:rsidR="00D90780">
        <w:rPr>
          <w:rFonts w:ascii="Arial" w:hAnsi="Arial" w:cs="Arial"/>
          <w:color w:val="7B7B7B" w:themeColor="accent3" w:themeShade="BF"/>
          <w:sz w:val="22"/>
          <w:szCs w:val="22"/>
          <w:lang w:val="en-GB"/>
        </w:rPr>
        <w:t xml:space="preserve"> before the expiry of the transitional period in respect of the UK’s departure from the European Union (“EU”)</w:t>
      </w:r>
      <w:r>
        <w:rPr>
          <w:rFonts w:ascii="Arial" w:hAnsi="Arial" w:cs="Arial"/>
          <w:color w:val="7B7B7B" w:themeColor="accent3" w:themeShade="BF"/>
          <w:sz w:val="22"/>
          <w:szCs w:val="22"/>
          <w:lang w:val="en-GB"/>
        </w:rPr>
        <w:t xml:space="preserve">. Hence, </w:t>
      </w:r>
      <w:r w:rsidR="00D90780">
        <w:rPr>
          <w:rFonts w:ascii="Arial" w:hAnsi="Arial" w:cs="Arial"/>
          <w:color w:val="7B7B7B" w:themeColor="accent3" w:themeShade="BF"/>
          <w:sz w:val="22"/>
          <w:szCs w:val="22"/>
          <w:lang w:val="en-GB"/>
        </w:rPr>
        <w:t>the EIR Recast would apply to the insolvency proceedings in the scenario above.</w:t>
      </w:r>
    </w:p>
    <w:p w14:paraId="68534D93" w14:textId="6BB2BB71" w:rsidR="00D566C5" w:rsidRDefault="00D566C5" w:rsidP="00E8021D">
      <w:pPr>
        <w:jc w:val="both"/>
        <w:rPr>
          <w:rFonts w:ascii="Arial" w:hAnsi="Arial" w:cs="Arial"/>
          <w:color w:val="7B7B7B" w:themeColor="accent3" w:themeShade="BF"/>
          <w:sz w:val="22"/>
          <w:szCs w:val="22"/>
          <w:lang w:val="en-GB"/>
        </w:rPr>
      </w:pPr>
    </w:p>
    <w:p w14:paraId="42CDBC89" w14:textId="00549E72" w:rsidR="00D566C5" w:rsidRPr="00D566C5" w:rsidRDefault="00D566C5" w:rsidP="00E8021D">
      <w:pPr>
        <w:jc w:val="both"/>
        <w:rPr>
          <w:rFonts w:ascii="Arial" w:hAnsi="Arial" w:cs="Arial"/>
          <w:color w:val="7B7B7B" w:themeColor="accent3" w:themeShade="BF"/>
          <w:sz w:val="22"/>
          <w:szCs w:val="22"/>
          <w:u w:val="single"/>
          <w:lang w:val="en-GB"/>
        </w:rPr>
      </w:pPr>
      <w:r w:rsidRPr="00D566C5">
        <w:rPr>
          <w:rFonts w:ascii="Arial" w:hAnsi="Arial" w:cs="Arial"/>
          <w:color w:val="7B7B7B" w:themeColor="accent3" w:themeShade="BF"/>
          <w:sz w:val="22"/>
          <w:szCs w:val="22"/>
          <w:u w:val="single"/>
          <w:lang w:val="en-GB"/>
        </w:rPr>
        <w:t xml:space="preserve">Main </w:t>
      </w:r>
      <w:r>
        <w:rPr>
          <w:rFonts w:ascii="Arial" w:hAnsi="Arial" w:cs="Arial"/>
          <w:color w:val="7B7B7B" w:themeColor="accent3" w:themeShade="BF"/>
          <w:sz w:val="22"/>
          <w:szCs w:val="22"/>
          <w:u w:val="single"/>
          <w:lang w:val="en-GB"/>
        </w:rPr>
        <w:t>I</w:t>
      </w:r>
      <w:r w:rsidRPr="00D566C5">
        <w:rPr>
          <w:rFonts w:ascii="Arial" w:hAnsi="Arial" w:cs="Arial"/>
          <w:color w:val="7B7B7B" w:themeColor="accent3" w:themeShade="BF"/>
          <w:sz w:val="22"/>
          <w:szCs w:val="22"/>
          <w:u w:val="single"/>
          <w:lang w:val="en-GB"/>
        </w:rPr>
        <w:t xml:space="preserve">nsolvency </w:t>
      </w:r>
      <w:r>
        <w:rPr>
          <w:rFonts w:ascii="Arial" w:hAnsi="Arial" w:cs="Arial"/>
          <w:color w:val="7B7B7B" w:themeColor="accent3" w:themeShade="BF"/>
          <w:sz w:val="22"/>
          <w:szCs w:val="22"/>
          <w:u w:val="single"/>
          <w:lang w:val="en-GB"/>
        </w:rPr>
        <w:t>Proceeding</w:t>
      </w:r>
    </w:p>
    <w:p w14:paraId="75A8C4AA" w14:textId="352573C1" w:rsidR="00811DCC" w:rsidRDefault="00811DCC" w:rsidP="00E8021D">
      <w:pPr>
        <w:jc w:val="both"/>
        <w:rPr>
          <w:rFonts w:ascii="Arial" w:hAnsi="Arial" w:cs="Arial"/>
          <w:color w:val="7B7B7B" w:themeColor="accent3" w:themeShade="BF"/>
          <w:sz w:val="22"/>
          <w:szCs w:val="22"/>
          <w:lang w:val="en-GB"/>
        </w:rPr>
      </w:pPr>
    </w:p>
    <w:p w14:paraId="44AB8186" w14:textId="0263002C" w:rsidR="00D566C5" w:rsidRDefault="00811DCC"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debtor’s </w:t>
      </w:r>
      <w:r w:rsidR="00D566C5">
        <w:rPr>
          <w:rFonts w:ascii="Arial" w:hAnsi="Arial" w:cs="Arial"/>
          <w:color w:val="7B7B7B" w:themeColor="accent3" w:themeShade="BF"/>
          <w:sz w:val="22"/>
          <w:szCs w:val="22"/>
          <w:lang w:val="en-GB"/>
        </w:rPr>
        <w:t>centre of main interest (“</w:t>
      </w:r>
      <w:r>
        <w:rPr>
          <w:rFonts w:ascii="Arial" w:hAnsi="Arial" w:cs="Arial"/>
          <w:color w:val="7B7B7B" w:themeColor="accent3" w:themeShade="BF"/>
          <w:sz w:val="22"/>
          <w:szCs w:val="22"/>
          <w:lang w:val="en-GB"/>
        </w:rPr>
        <w:t>COMI</w:t>
      </w:r>
      <w:r w:rsidR="00D566C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is in a member state of the EU, </w:t>
      </w:r>
      <w:r w:rsidRPr="00811DCC">
        <w:rPr>
          <w:rFonts w:ascii="Arial" w:hAnsi="Arial" w:cs="Arial"/>
          <w:color w:val="7B7B7B" w:themeColor="accent3" w:themeShade="BF"/>
          <w:sz w:val="22"/>
          <w:szCs w:val="22"/>
          <w:lang w:val="en-GB"/>
        </w:rPr>
        <w:t>the EIR Recast</w:t>
      </w:r>
      <w:r>
        <w:rPr>
          <w:rFonts w:ascii="Arial" w:hAnsi="Arial" w:cs="Arial"/>
          <w:color w:val="7B7B7B" w:themeColor="accent3" w:themeShade="BF"/>
          <w:sz w:val="22"/>
          <w:szCs w:val="22"/>
          <w:lang w:val="en-GB"/>
        </w:rPr>
        <w:t xml:space="preserve"> </w:t>
      </w:r>
      <w:r w:rsidR="00D566C5">
        <w:rPr>
          <w:rFonts w:ascii="Arial" w:hAnsi="Arial" w:cs="Arial"/>
          <w:color w:val="7B7B7B" w:themeColor="accent3" w:themeShade="BF"/>
          <w:sz w:val="22"/>
          <w:szCs w:val="22"/>
          <w:lang w:val="en-GB"/>
        </w:rPr>
        <w:t>stipulates</w:t>
      </w:r>
      <w:r>
        <w:rPr>
          <w:rFonts w:ascii="Arial" w:hAnsi="Arial" w:cs="Arial"/>
          <w:color w:val="7B7B7B" w:themeColor="accent3" w:themeShade="BF"/>
          <w:sz w:val="22"/>
          <w:szCs w:val="22"/>
          <w:lang w:val="en-GB"/>
        </w:rPr>
        <w:t xml:space="preserve"> </w:t>
      </w:r>
      <w:r w:rsidR="00D566C5">
        <w:rPr>
          <w:rFonts w:ascii="Arial" w:hAnsi="Arial" w:cs="Arial"/>
          <w:color w:val="7B7B7B" w:themeColor="accent3" w:themeShade="BF"/>
          <w:sz w:val="22"/>
          <w:szCs w:val="22"/>
          <w:lang w:val="en-GB"/>
        </w:rPr>
        <w:t xml:space="preserve">that such </w:t>
      </w:r>
      <w:r>
        <w:rPr>
          <w:rFonts w:ascii="Arial" w:hAnsi="Arial" w:cs="Arial"/>
          <w:color w:val="7B7B7B" w:themeColor="accent3" w:themeShade="BF"/>
          <w:sz w:val="22"/>
          <w:szCs w:val="22"/>
          <w:lang w:val="en-GB"/>
        </w:rPr>
        <w:t xml:space="preserve">member state </w:t>
      </w:r>
      <w:r w:rsidR="00D566C5">
        <w:rPr>
          <w:rFonts w:ascii="Arial" w:hAnsi="Arial" w:cs="Arial"/>
          <w:color w:val="7B7B7B" w:themeColor="accent3" w:themeShade="BF"/>
          <w:sz w:val="22"/>
          <w:szCs w:val="22"/>
          <w:lang w:val="en-GB"/>
        </w:rPr>
        <w:t xml:space="preserve">shall have jurisdiction to open </w:t>
      </w:r>
      <w:r>
        <w:rPr>
          <w:rFonts w:ascii="Arial" w:hAnsi="Arial" w:cs="Arial"/>
          <w:color w:val="7B7B7B" w:themeColor="accent3" w:themeShade="BF"/>
          <w:sz w:val="22"/>
          <w:szCs w:val="22"/>
          <w:lang w:val="en-GB"/>
        </w:rPr>
        <w:t>main insolvency proceedings concerning the debtor.</w:t>
      </w:r>
      <w:r w:rsidR="00D566C5">
        <w:rPr>
          <w:rStyle w:val="FootnoteReference"/>
          <w:rFonts w:ascii="Arial" w:hAnsi="Arial" w:cs="Arial"/>
          <w:color w:val="7B7B7B" w:themeColor="accent3" w:themeShade="BF"/>
          <w:sz w:val="22"/>
          <w:szCs w:val="22"/>
          <w:lang w:val="en-GB"/>
        </w:rPr>
        <w:footnoteReference w:id="18"/>
      </w:r>
      <w:r>
        <w:rPr>
          <w:rFonts w:ascii="Arial" w:hAnsi="Arial" w:cs="Arial"/>
          <w:color w:val="7B7B7B" w:themeColor="accent3" w:themeShade="BF"/>
          <w:sz w:val="22"/>
          <w:szCs w:val="22"/>
          <w:lang w:val="en-GB"/>
        </w:rPr>
        <w:t xml:space="preserve"> </w:t>
      </w:r>
      <w:r w:rsidR="00D566C5">
        <w:rPr>
          <w:rFonts w:ascii="Arial" w:hAnsi="Arial" w:cs="Arial"/>
          <w:color w:val="7B7B7B" w:themeColor="accent3" w:themeShade="BF"/>
          <w:sz w:val="22"/>
          <w:szCs w:val="22"/>
          <w:lang w:val="en-GB"/>
        </w:rPr>
        <w:t>The facts of the case state that Rydell’s COMI is in the UK</w:t>
      </w:r>
      <w:r w:rsidR="000B3697">
        <w:rPr>
          <w:rFonts w:ascii="Arial" w:hAnsi="Arial" w:cs="Arial"/>
          <w:color w:val="7B7B7B" w:themeColor="accent3" w:themeShade="BF"/>
          <w:sz w:val="22"/>
          <w:szCs w:val="22"/>
          <w:lang w:val="en-GB"/>
        </w:rPr>
        <w:t xml:space="preserve"> (since the facts of the case already state that the COMI is in UK, the discussion will not delve into whether UK is the actual COMI</w:t>
      </w:r>
      <w:r w:rsidR="0050061B">
        <w:rPr>
          <w:rFonts w:ascii="Arial" w:hAnsi="Arial" w:cs="Arial"/>
          <w:color w:val="7B7B7B" w:themeColor="accent3" w:themeShade="BF"/>
          <w:sz w:val="22"/>
          <w:szCs w:val="22"/>
          <w:lang w:val="en-GB"/>
        </w:rPr>
        <w:t xml:space="preserve"> under the EIR Recast)</w:t>
      </w:r>
      <w:r w:rsidR="00D566C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Hence, in this scenario, the UK </w:t>
      </w:r>
      <w:r w:rsidR="00D566C5">
        <w:rPr>
          <w:rFonts w:ascii="Arial" w:hAnsi="Arial" w:cs="Arial"/>
          <w:color w:val="7B7B7B" w:themeColor="accent3" w:themeShade="BF"/>
          <w:sz w:val="22"/>
          <w:szCs w:val="22"/>
          <w:lang w:val="en-GB"/>
        </w:rPr>
        <w:t xml:space="preserve">court will have jurisdiction to open insolvency proceedings against Rydell and the UK </w:t>
      </w:r>
      <w:r>
        <w:rPr>
          <w:rFonts w:ascii="Arial" w:hAnsi="Arial" w:cs="Arial"/>
          <w:color w:val="7B7B7B" w:themeColor="accent3" w:themeShade="BF"/>
          <w:sz w:val="22"/>
          <w:szCs w:val="22"/>
          <w:lang w:val="en-GB"/>
        </w:rPr>
        <w:t xml:space="preserve">insolvency proceedings will be recognised as the main insolvency proceeding in respect of Rydell. </w:t>
      </w:r>
    </w:p>
    <w:p w14:paraId="680B90ED" w14:textId="77777777" w:rsidR="00D566C5" w:rsidRDefault="00D566C5" w:rsidP="00E8021D">
      <w:pPr>
        <w:jc w:val="both"/>
        <w:rPr>
          <w:rFonts w:ascii="Arial" w:hAnsi="Arial" w:cs="Arial"/>
          <w:color w:val="7B7B7B" w:themeColor="accent3" w:themeShade="BF"/>
          <w:sz w:val="22"/>
          <w:szCs w:val="22"/>
          <w:lang w:val="en-GB"/>
        </w:rPr>
      </w:pPr>
    </w:p>
    <w:p w14:paraId="12F954B1" w14:textId="66C94A63" w:rsidR="001B58DF" w:rsidRDefault="00D321C4"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Subject to specific provisions dealing with rights in </w:t>
      </w:r>
      <w:r>
        <w:rPr>
          <w:rFonts w:ascii="Arial" w:hAnsi="Arial" w:cs="Arial"/>
          <w:i/>
          <w:color w:val="7B7B7B" w:themeColor="accent3" w:themeShade="BF"/>
          <w:sz w:val="22"/>
          <w:szCs w:val="22"/>
          <w:lang w:val="en-GB"/>
        </w:rPr>
        <w:t xml:space="preserve">rem, </w:t>
      </w:r>
      <w:r>
        <w:rPr>
          <w:rFonts w:ascii="Arial" w:hAnsi="Arial" w:cs="Arial"/>
          <w:color w:val="7B7B7B" w:themeColor="accent3" w:themeShade="BF"/>
          <w:sz w:val="22"/>
          <w:szCs w:val="22"/>
          <w:lang w:val="en-GB"/>
        </w:rPr>
        <w:t xml:space="preserve">set-off, immovable property, employment </w:t>
      </w:r>
      <w:r w:rsidR="00287A88">
        <w:rPr>
          <w:rFonts w:ascii="Arial" w:hAnsi="Arial" w:cs="Arial"/>
          <w:color w:val="7B7B7B" w:themeColor="accent3" w:themeShade="BF"/>
          <w:sz w:val="22"/>
          <w:szCs w:val="22"/>
          <w:lang w:val="en-GB"/>
        </w:rPr>
        <w:t xml:space="preserve">contracts </w:t>
      </w:r>
      <w:r>
        <w:rPr>
          <w:rFonts w:ascii="Arial" w:hAnsi="Arial" w:cs="Arial"/>
          <w:color w:val="7B7B7B" w:themeColor="accent3" w:themeShade="BF"/>
          <w:sz w:val="22"/>
          <w:szCs w:val="22"/>
          <w:lang w:val="en-GB"/>
        </w:rPr>
        <w:t xml:space="preserve">and detrimental acts, </w:t>
      </w:r>
      <w:r w:rsidR="001B58DF">
        <w:rPr>
          <w:rFonts w:ascii="Arial" w:hAnsi="Arial" w:cs="Arial"/>
          <w:color w:val="7B7B7B" w:themeColor="accent3" w:themeShade="BF"/>
          <w:sz w:val="22"/>
          <w:szCs w:val="22"/>
          <w:lang w:val="en-GB"/>
        </w:rPr>
        <w:t>English law will be applicable to the UK insolvency proceedings</w:t>
      </w:r>
      <w:r w:rsidR="000278FF">
        <w:rPr>
          <w:rFonts w:ascii="Arial" w:hAnsi="Arial" w:cs="Arial"/>
          <w:color w:val="7B7B7B" w:themeColor="accent3" w:themeShade="BF"/>
          <w:sz w:val="22"/>
          <w:szCs w:val="22"/>
          <w:lang w:val="en-GB"/>
        </w:rPr>
        <w:t>.</w:t>
      </w:r>
      <w:r w:rsidR="004956C6">
        <w:rPr>
          <w:rStyle w:val="FootnoteReference"/>
          <w:rFonts w:ascii="Arial" w:hAnsi="Arial" w:cs="Arial"/>
          <w:color w:val="7B7B7B" w:themeColor="accent3" w:themeShade="BF"/>
          <w:sz w:val="22"/>
          <w:szCs w:val="22"/>
          <w:lang w:val="en-GB"/>
        </w:rPr>
        <w:footnoteReference w:id="19"/>
      </w:r>
      <w:r w:rsidR="001B58DF">
        <w:rPr>
          <w:rFonts w:ascii="Arial" w:hAnsi="Arial" w:cs="Arial"/>
          <w:color w:val="7B7B7B" w:themeColor="accent3" w:themeShade="BF"/>
          <w:sz w:val="22"/>
          <w:szCs w:val="22"/>
          <w:lang w:val="en-GB"/>
        </w:rPr>
        <w:t xml:space="preserve"> </w:t>
      </w:r>
      <w:r w:rsidR="000278FF">
        <w:rPr>
          <w:rFonts w:ascii="Arial" w:hAnsi="Arial" w:cs="Arial"/>
          <w:color w:val="7B7B7B" w:themeColor="accent3" w:themeShade="BF"/>
          <w:sz w:val="22"/>
          <w:szCs w:val="22"/>
          <w:lang w:val="en-GB"/>
        </w:rPr>
        <w:t>The judgment of the UK court for the opening of the UK insolvency proceeding</w:t>
      </w:r>
      <w:r w:rsidR="001B58DF">
        <w:rPr>
          <w:rFonts w:ascii="Arial" w:hAnsi="Arial" w:cs="Arial"/>
          <w:color w:val="7B7B7B" w:themeColor="accent3" w:themeShade="BF"/>
          <w:sz w:val="22"/>
          <w:szCs w:val="22"/>
          <w:lang w:val="en-GB"/>
        </w:rPr>
        <w:t xml:space="preserve"> will be automatically recognised in all other EU member states (except for Denmark).</w:t>
      </w:r>
      <w:r w:rsidR="000278FF">
        <w:rPr>
          <w:rStyle w:val="FootnoteReference"/>
          <w:rFonts w:ascii="Arial" w:hAnsi="Arial" w:cs="Arial"/>
          <w:color w:val="7B7B7B" w:themeColor="accent3" w:themeShade="BF"/>
          <w:sz w:val="22"/>
          <w:szCs w:val="22"/>
          <w:lang w:val="en-GB"/>
        </w:rPr>
        <w:footnoteReference w:id="20"/>
      </w:r>
      <w:r w:rsidR="001B58DF">
        <w:rPr>
          <w:rFonts w:ascii="Arial" w:hAnsi="Arial" w:cs="Arial"/>
          <w:color w:val="7B7B7B" w:themeColor="accent3" w:themeShade="BF"/>
          <w:sz w:val="22"/>
          <w:szCs w:val="22"/>
          <w:lang w:val="en-GB"/>
        </w:rPr>
        <w:t xml:space="preserve"> </w:t>
      </w:r>
      <w:r w:rsidR="0050061B">
        <w:rPr>
          <w:rFonts w:ascii="Arial" w:hAnsi="Arial" w:cs="Arial"/>
          <w:color w:val="7B7B7B" w:themeColor="accent3" w:themeShade="BF"/>
          <w:sz w:val="22"/>
          <w:szCs w:val="22"/>
          <w:lang w:val="en-GB"/>
        </w:rPr>
        <w:t xml:space="preserve">However, this automatic recognition of the </w:t>
      </w:r>
      <w:r w:rsidR="0050061B">
        <w:rPr>
          <w:rFonts w:ascii="Arial" w:hAnsi="Arial" w:cs="Arial"/>
          <w:color w:val="7B7B7B" w:themeColor="accent3" w:themeShade="BF"/>
          <w:sz w:val="22"/>
          <w:szCs w:val="22"/>
          <w:lang w:val="en-GB"/>
        </w:rPr>
        <w:t>UK</w:t>
      </w:r>
      <w:r w:rsidR="0050061B">
        <w:rPr>
          <w:rFonts w:ascii="Arial" w:hAnsi="Arial" w:cs="Arial"/>
          <w:color w:val="7B7B7B" w:themeColor="accent3" w:themeShade="BF"/>
          <w:sz w:val="22"/>
          <w:szCs w:val="22"/>
          <w:lang w:val="en-GB"/>
        </w:rPr>
        <w:t xml:space="preserve"> insolvency proceedings will not affect the rights in </w:t>
      </w:r>
      <w:r w:rsidR="0050061B">
        <w:rPr>
          <w:rFonts w:ascii="Arial" w:hAnsi="Arial" w:cs="Arial"/>
          <w:i/>
          <w:color w:val="7B7B7B" w:themeColor="accent3" w:themeShade="BF"/>
          <w:sz w:val="22"/>
          <w:szCs w:val="22"/>
          <w:lang w:val="en-GB"/>
        </w:rPr>
        <w:t xml:space="preserve">rem </w:t>
      </w:r>
      <w:r w:rsidR="0050061B">
        <w:rPr>
          <w:rFonts w:ascii="Arial" w:hAnsi="Arial" w:cs="Arial"/>
          <w:color w:val="7B7B7B" w:themeColor="accent3" w:themeShade="BF"/>
          <w:sz w:val="22"/>
          <w:szCs w:val="22"/>
          <w:lang w:val="en-GB"/>
        </w:rPr>
        <w:t xml:space="preserve">of creditors or third parties which will be determined according to the </w:t>
      </w:r>
      <w:r w:rsidR="0050061B">
        <w:rPr>
          <w:rFonts w:ascii="Arial" w:hAnsi="Arial" w:cs="Arial"/>
          <w:i/>
          <w:color w:val="7B7B7B" w:themeColor="accent3" w:themeShade="BF"/>
          <w:sz w:val="22"/>
          <w:szCs w:val="22"/>
          <w:lang w:val="en-GB"/>
        </w:rPr>
        <w:t>lex situs</w:t>
      </w:r>
      <w:r w:rsidR="0050061B">
        <w:rPr>
          <w:rFonts w:ascii="Arial" w:hAnsi="Arial" w:cs="Arial"/>
          <w:color w:val="7B7B7B" w:themeColor="accent3" w:themeShade="BF"/>
          <w:sz w:val="22"/>
          <w:szCs w:val="22"/>
          <w:lang w:val="en-GB"/>
        </w:rPr>
        <w:t>.</w:t>
      </w:r>
    </w:p>
    <w:p w14:paraId="71C6A9EF" w14:textId="1DEC93FC" w:rsidR="003E2109" w:rsidRDefault="003E2109" w:rsidP="00E8021D">
      <w:pPr>
        <w:jc w:val="both"/>
        <w:rPr>
          <w:rFonts w:ascii="Arial" w:hAnsi="Arial" w:cs="Arial"/>
          <w:color w:val="7B7B7B" w:themeColor="accent3" w:themeShade="BF"/>
          <w:sz w:val="22"/>
          <w:szCs w:val="22"/>
          <w:lang w:val="en-GB"/>
        </w:rPr>
      </w:pPr>
    </w:p>
    <w:p w14:paraId="17F5E60B" w14:textId="7923C35A" w:rsidR="003E2109" w:rsidRPr="00585055" w:rsidRDefault="003E2109"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opening the UK insolvency proceeding will have the same effect in any other EU member state (save for the EU member state in which secondary insolvency proceedings </w:t>
      </w:r>
      <w:r>
        <w:rPr>
          <w:rFonts w:ascii="Arial" w:hAnsi="Arial" w:cs="Arial"/>
          <w:color w:val="7B7B7B" w:themeColor="accent3" w:themeShade="BF"/>
          <w:sz w:val="22"/>
          <w:szCs w:val="22"/>
          <w:lang w:val="en-GB"/>
        </w:rPr>
        <w:lastRenderedPageBreak/>
        <w:t>are opened) as it has under the law of the UK.</w:t>
      </w:r>
      <w:r>
        <w:rPr>
          <w:rStyle w:val="FootnoteReference"/>
          <w:rFonts w:ascii="Arial" w:hAnsi="Arial" w:cs="Arial"/>
          <w:color w:val="7B7B7B" w:themeColor="accent3" w:themeShade="BF"/>
          <w:sz w:val="22"/>
          <w:szCs w:val="22"/>
          <w:lang w:val="en-GB"/>
        </w:rPr>
        <w:footnoteReference w:id="21"/>
      </w:r>
      <w:r>
        <w:rPr>
          <w:rFonts w:ascii="Arial" w:hAnsi="Arial" w:cs="Arial"/>
          <w:color w:val="7B7B7B" w:themeColor="accent3" w:themeShade="BF"/>
          <w:sz w:val="22"/>
          <w:szCs w:val="22"/>
          <w:lang w:val="en-GB"/>
        </w:rPr>
        <w:t xml:space="preserve"> The UK insolvency practitioner may exercise all powers conferred on it by English law, in another EU member state, provided there are no other insolvency proceedings in that EU member state and no preservation measure to the contrary has been taken there pursuant to a request to open insolvency proceedings in that EU member state.</w:t>
      </w:r>
      <w:r>
        <w:rPr>
          <w:rStyle w:val="FootnoteReference"/>
          <w:rFonts w:ascii="Arial" w:hAnsi="Arial" w:cs="Arial"/>
          <w:color w:val="7B7B7B" w:themeColor="accent3" w:themeShade="BF"/>
          <w:sz w:val="22"/>
          <w:szCs w:val="22"/>
          <w:lang w:val="en-GB"/>
        </w:rPr>
        <w:footnoteReference w:id="22"/>
      </w:r>
    </w:p>
    <w:p w14:paraId="31D00918" w14:textId="36BB4C0C" w:rsidR="00811DCC" w:rsidRDefault="00811DCC" w:rsidP="00E8021D">
      <w:pPr>
        <w:jc w:val="both"/>
        <w:rPr>
          <w:rFonts w:ascii="Arial" w:hAnsi="Arial" w:cs="Arial"/>
          <w:color w:val="7B7B7B" w:themeColor="accent3" w:themeShade="BF"/>
          <w:sz w:val="22"/>
          <w:szCs w:val="22"/>
          <w:lang w:val="en-GB"/>
        </w:rPr>
      </w:pPr>
    </w:p>
    <w:p w14:paraId="4A612666" w14:textId="03F45884" w:rsidR="00D566C5" w:rsidRPr="00D566C5" w:rsidRDefault="00D566C5" w:rsidP="00E8021D">
      <w:pPr>
        <w:jc w:val="both"/>
        <w:rPr>
          <w:rFonts w:ascii="Arial" w:hAnsi="Arial" w:cs="Arial"/>
          <w:color w:val="7B7B7B" w:themeColor="accent3" w:themeShade="BF"/>
          <w:sz w:val="22"/>
          <w:szCs w:val="22"/>
          <w:u w:val="single"/>
          <w:lang w:val="en-GB"/>
        </w:rPr>
      </w:pPr>
      <w:r w:rsidRPr="00D566C5">
        <w:rPr>
          <w:rFonts w:ascii="Arial" w:hAnsi="Arial" w:cs="Arial"/>
          <w:color w:val="7B7B7B" w:themeColor="accent3" w:themeShade="BF"/>
          <w:sz w:val="22"/>
          <w:szCs w:val="22"/>
          <w:u w:val="single"/>
          <w:lang w:val="en-GB"/>
        </w:rPr>
        <w:t>Secondary Insolvency Proceeding</w:t>
      </w:r>
    </w:p>
    <w:p w14:paraId="4FF463EB" w14:textId="77777777" w:rsidR="00D566C5" w:rsidRDefault="00D566C5" w:rsidP="00E8021D">
      <w:pPr>
        <w:jc w:val="both"/>
        <w:rPr>
          <w:rFonts w:ascii="Arial" w:hAnsi="Arial" w:cs="Arial"/>
          <w:color w:val="7B7B7B" w:themeColor="accent3" w:themeShade="BF"/>
          <w:sz w:val="22"/>
          <w:szCs w:val="22"/>
          <w:lang w:val="en-GB"/>
        </w:rPr>
      </w:pPr>
    </w:p>
    <w:p w14:paraId="7E85EC22" w14:textId="462CBB16" w:rsidR="00C65403" w:rsidRDefault="002A364D"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w:t>
      </w:r>
      <w:r w:rsidR="00147769">
        <w:rPr>
          <w:rFonts w:ascii="Arial" w:hAnsi="Arial" w:cs="Arial"/>
          <w:color w:val="7B7B7B" w:themeColor="accent3" w:themeShade="BF"/>
          <w:sz w:val="22"/>
          <w:szCs w:val="22"/>
          <w:lang w:val="en-GB"/>
        </w:rPr>
        <w:t xml:space="preserve">der the EIR Recast, Fernz will have jurisdiction </w:t>
      </w:r>
      <w:r>
        <w:rPr>
          <w:rFonts w:ascii="Arial" w:hAnsi="Arial" w:cs="Arial"/>
          <w:color w:val="7B7B7B" w:themeColor="accent3" w:themeShade="BF"/>
          <w:sz w:val="22"/>
          <w:szCs w:val="22"/>
          <w:lang w:val="en-GB"/>
        </w:rPr>
        <w:t xml:space="preserve">to open a secondary insolvency proceeding against Rydell in another EU member state, </w:t>
      </w:r>
      <w:r w:rsidR="00147769">
        <w:rPr>
          <w:rFonts w:ascii="Arial" w:hAnsi="Arial" w:cs="Arial"/>
          <w:color w:val="7B7B7B" w:themeColor="accent3" w:themeShade="BF"/>
          <w:sz w:val="22"/>
          <w:szCs w:val="22"/>
          <w:lang w:val="en-GB"/>
        </w:rPr>
        <w:t>only if</w:t>
      </w:r>
      <w:r>
        <w:rPr>
          <w:rFonts w:ascii="Arial" w:hAnsi="Arial" w:cs="Arial"/>
          <w:color w:val="7B7B7B" w:themeColor="accent3" w:themeShade="BF"/>
          <w:sz w:val="22"/>
          <w:szCs w:val="22"/>
          <w:lang w:val="en-GB"/>
        </w:rPr>
        <w:t xml:space="preserve"> Rydell has an establishment in that EU member state.</w:t>
      </w:r>
      <w:r w:rsidR="00147769">
        <w:rPr>
          <w:rStyle w:val="FootnoteReference"/>
          <w:rFonts w:ascii="Arial" w:hAnsi="Arial" w:cs="Arial"/>
          <w:color w:val="7B7B7B" w:themeColor="accent3" w:themeShade="BF"/>
          <w:sz w:val="22"/>
          <w:szCs w:val="22"/>
          <w:lang w:val="en-GB"/>
        </w:rPr>
        <w:footnoteReference w:id="23"/>
      </w:r>
      <w:r>
        <w:rPr>
          <w:rFonts w:ascii="Arial" w:hAnsi="Arial" w:cs="Arial"/>
          <w:color w:val="7B7B7B" w:themeColor="accent3" w:themeShade="BF"/>
          <w:sz w:val="22"/>
          <w:szCs w:val="22"/>
          <w:lang w:val="en-GB"/>
        </w:rPr>
        <w:t xml:space="preserve"> Rydell would be deemed to have an establishment</w:t>
      </w:r>
      <w:r w:rsidR="00C65403">
        <w:rPr>
          <w:rFonts w:ascii="Arial" w:hAnsi="Arial" w:cs="Arial"/>
          <w:color w:val="7B7B7B" w:themeColor="accent3" w:themeShade="BF"/>
          <w:sz w:val="22"/>
          <w:szCs w:val="22"/>
          <w:lang w:val="en-GB"/>
        </w:rPr>
        <w:t xml:space="preserve"> in the EU member state</w:t>
      </w:r>
      <w:r>
        <w:rPr>
          <w:rFonts w:ascii="Arial" w:hAnsi="Arial" w:cs="Arial"/>
          <w:color w:val="7B7B7B" w:themeColor="accent3" w:themeShade="BF"/>
          <w:sz w:val="22"/>
          <w:szCs w:val="22"/>
          <w:lang w:val="en-GB"/>
        </w:rPr>
        <w:t xml:space="preserve"> if </w:t>
      </w:r>
      <w:r w:rsidR="00C65403">
        <w:rPr>
          <w:rFonts w:ascii="Arial" w:hAnsi="Arial" w:cs="Arial"/>
          <w:color w:val="7B7B7B" w:themeColor="accent3" w:themeShade="BF"/>
          <w:sz w:val="22"/>
          <w:szCs w:val="22"/>
          <w:lang w:val="en-GB"/>
        </w:rPr>
        <w:t>Rydell carries out or has carried out in the 3-month period prior to the request to open the UK insolvency proceeding, a non-transitory economic activity with human means and assets</w:t>
      </w:r>
      <w:r w:rsidR="00147769">
        <w:rPr>
          <w:rFonts w:ascii="Arial" w:hAnsi="Arial" w:cs="Arial"/>
          <w:color w:val="7B7B7B" w:themeColor="accent3" w:themeShade="BF"/>
          <w:sz w:val="22"/>
          <w:szCs w:val="22"/>
          <w:lang w:val="en-GB"/>
        </w:rPr>
        <w:t xml:space="preserve"> in that EU member state</w:t>
      </w:r>
      <w:r w:rsidR="00C65403">
        <w:rPr>
          <w:rFonts w:ascii="Arial" w:hAnsi="Arial" w:cs="Arial"/>
          <w:color w:val="7B7B7B" w:themeColor="accent3" w:themeShade="BF"/>
          <w:sz w:val="22"/>
          <w:szCs w:val="22"/>
          <w:lang w:val="en-GB"/>
        </w:rPr>
        <w:t>.</w:t>
      </w:r>
      <w:r w:rsidR="00C65403">
        <w:rPr>
          <w:rStyle w:val="FootnoteReference"/>
          <w:rFonts w:ascii="Arial" w:hAnsi="Arial" w:cs="Arial"/>
          <w:color w:val="7B7B7B" w:themeColor="accent3" w:themeShade="BF"/>
          <w:sz w:val="22"/>
          <w:szCs w:val="22"/>
          <w:lang w:val="en-GB"/>
        </w:rPr>
        <w:footnoteReference w:id="24"/>
      </w:r>
      <w:r w:rsidR="00C65403">
        <w:rPr>
          <w:rFonts w:ascii="Arial" w:hAnsi="Arial" w:cs="Arial"/>
          <w:color w:val="7B7B7B" w:themeColor="accent3" w:themeShade="BF"/>
          <w:sz w:val="22"/>
          <w:szCs w:val="22"/>
          <w:lang w:val="en-GB"/>
        </w:rPr>
        <w:t xml:space="preserve"> This requirement of an “establishment” would high</w:t>
      </w:r>
      <w:r w:rsidR="00D566C5">
        <w:rPr>
          <w:rFonts w:ascii="Arial" w:hAnsi="Arial" w:cs="Arial"/>
          <w:color w:val="7B7B7B" w:themeColor="accent3" w:themeShade="BF"/>
          <w:sz w:val="22"/>
          <w:szCs w:val="22"/>
          <w:lang w:val="en-GB"/>
        </w:rPr>
        <w:t xml:space="preserve">ly </w:t>
      </w:r>
      <w:r w:rsidR="00147769">
        <w:rPr>
          <w:rFonts w:ascii="Arial" w:hAnsi="Arial" w:cs="Arial"/>
          <w:color w:val="7B7B7B" w:themeColor="accent3" w:themeShade="BF"/>
          <w:sz w:val="22"/>
          <w:szCs w:val="22"/>
          <w:lang w:val="en-GB"/>
        </w:rPr>
        <w:t xml:space="preserve">likely </w:t>
      </w:r>
      <w:r w:rsidR="00D566C5">
        <w:rPr>
          <w:rFonts w:ascii="Arial" w:hAnsi="Arial" w:cs="Arial"/>
          <w:color w:val="7B7B7B" w:themeColor="accent3" w:themeShade="BF"/>
          <w:sz w:val="22"/>
          <w:szCs w:val="22"/>
          <w:lang w:val="en-GB"/>
        </w:rPr>
        <w:t>be satisfied since Rydell has offices throughout Europe.</w:t>
      </w:r>
      <w:r w:rsidR="001D14E8">
        <w:rPr>
          <w:rFonts w:ascii="Arial" w:hAnsi="Arial" w:cs="Arial"/>
          <w:color w:val="7B7B7B" w:themeColor="accent3" w:themeShade="BF"/>
          <w:sz w:val="22"/>
          <w:szCs w:val="22"/>
          <w:lang w:val="en-GB"/>
        </w:rPr>
        <w:t xml:space="preserve"> </w:t>
      </w:r>
    </w:p>
    <w:p w14:paraId="3D12186E" w14:textId="37ABE4A4" w:rsidR="001D14E8" w:rsidRDefault="001D14E8" w:rsidP="00E8021D">
      <w:pPr>
        <w:jc w:val="both"/>
        <w:rPr>
          <w:rFonts w:ascii="Arial" w:hAnsi="Arial" w:cs="Arial"/>
          <w:color w:val="7B7B7B" w:themeColor="accent3" w:themeShade="BF"/>
          <w:sz w:val="22"/>
          <w:szCs w:val="22"/>
          <w:lang w:val="en-GB"/>
        </w:rPr>
      </w:pPr>
    </w:p>
    <w:p w14:paraId="586F429D" w14:textId="348EB34E" w:rsidR="001D14E8" w:rsidRDefault="001D14E8"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 member state court seised with jurisdiction for the request to open the secondary insolvency proceedings must immediately give notice to the UK insolvency practitioner and give it an opportunity to be heard. </w:t>
      </w:r>
    </w:p>
    <w:p w14:paraId="632D2033" w14:textId="77777777" w:rsidR="00C65403" w:rsidRDefault="00C65403" w:rsidP="00E8021D">
      <w:pPr>
        <w:jc w:val="both"/>
        <w:rPr>
          <w:rFonts w:ascii="Arial" w:hAnsi="Arial" w:cs="Arial"/>
          <w:color w:val="7B7B7B" w:themeColor="accent3" w:themeShade="BF"/>
          <w:sz w:val="22"/>
          <w:szCs w:val="22"/>
          <w:lang w:val="en-GB"/>
        </w:rPr>
      </w:pPr>
    </w:p>
    <w:p w14:paraId="4D6EA826" w14:textId="20F955DD" w:rsidR="002A364D" w:rsidRDefault="00C2385F"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642515">
        <w:rPr>
          <w:rFonts w:ascii="Arial" w:hAnsi="Arial" w:cs="Arial"/>
          <w:color w:val="7B7B7B" w:themeColor="accent3" w:themeShade="BF"/>
          <w:sz w:val="22"/>
          <w:szCs w:val="22"/>
          <w:lang w:val="en-GB"/>
        </w:rPr>
        <w:t xml:space="preserve">he EIR Recast also provides for two (2) specific situations in which the court seised with jurisdiction for the request to open the secondary insolvency proceedings may, at the request of the insolvency </w:t>
      </w:r>
      <w:r w:rsidR="001D14E8">
        <w:rPr>
          <w:rFonts w:ascii="Arial" w:hAnsi="Arial" w:cs="Arial"/>
          <w:color w:val="7B7B7B" w:themeColor="accent3" w:themeShade="BF"/>
          <w:sz w:val="22"/>
          <w:szCs w:val="22"/>
          <w:lang w:val="en-GB"/>
        </w:rPr>
        <w:t>practitioner</w:t>
      </w:r>
      <w:r w:rsidR="00642515">
        <w:rPr>
          <w:rFonts w:ascii="Arial" w:hAnsi="Arial" w:cs="Arial"/>
          <w:color w:val="7B7B7B" w:themeColor="accent3" w:themeShade="BF"/>
          <w:sz w:val="22"/>
          <w:szCs w:val="22"/>
          <w:lang w:val="en-GB"/>
        </w:rPr>
        <w:t xml:space="preserve"> in the UK insolvency proceedings, postpone or refuse the opening of the second</w:t>
      </w:r>
      <w:r w:rsidR="0050061B">
        <w:rPr>
          <w:rFonts w:ascii="Arial" w:hAnsi="Arial" w:cs="Arial"/>
          <w:color w:val="7B7B7B" w:themeColor="accent3" w:themeShade="BF"/>
          <w:sz w:val="22"/>
          <w:szCs w:val="22"/>
          <w:lang w:val="en-GB"/>
        </w:rPr>
        <w:t xml:space="preserve">ary insolvency proceedings. </w:t>
      </w:r>
      <w:r w:rsidR="000F16D5">
        <w:rPr>
          <w:rFonts w:ascii="Arial" w:hAnsi="Arial" w:cs="Arial"/>
          <w:color w:val="7B7B7B" w:themeColor="accent3" w:themeShade="BF"/>
          <w:sz w:val="22"/>
          <w:szCs w:val="22"/>
          <w:lang w:val="en-GB"/>
        </w:rPr>
        <w:t>The first is</w:t>
      </w:r>
      <w:r w:rsidR="00642515">
        <w:rPr>
          <w:rFonts w:ascii="Arial" w:hAnsi="Arial" w:cs="Arial"/>
          <w:color w:val="7B7B7B" w:themeColor="accent3" w:themeShade="BF"/>
          <w:sz w:val="22"/>
          <w:szCs w:val="22"/>
          <w:lang w:val="en-GB"/>
        </w:rPr>
        <w:t xml:space="preserve"> when the UK insolvency representative gives an undertaking to local creditors in that other EU member state that they will be treated as if secondary insolvency proceedings have been opened and such undertaking is approved by a qualified majority of local creditors.</w:t>
      </w:r>
      <w:r w:rsidR="001D14E8">
        <w:rPr>
          <w:rStyle w:val="FootnoteReference"/>
          <w:rFonts w:ascii="Arial" w:hAnsi="Arial" w:cs="Arial"/>
          <w:color w:val="7B7B7B" w:themeColor="accent3" w:themeShade="BF"/>
          <w:sz w:val="22"/>
          <w:szCs w:val="22"/>
          <w:lang w:val="en-GB"/>
        </w:rPr>
        <w:footnoteReference w:id="25"/>
      </w:r>
      <w:r w:rsidR="00642515">
        <w:rPr>
          <w:rFonts w:ascii="Arial" w:hAnsi="Arial" w:cs="Arial"/>
          <w:color w:val="7B7B7B" w:themeColor="accent3" w:themeShade="BF"/>
          <w:sz w:val="22"/>
          <w:szCs w:val="22"/>
          <w:lang w:val="en-GB"/>
        </w:rPr>
        <w:t xml:space="preserve"> </w:t>
      </w:r>
      <w:r w:rsidR="002B33FD">
        <w:rPr>
          <w:rFonts w:ascii="Arial" w:hAnsi="Arial" w:cs="Arial"/>
          <w:color w:val="7B7B7B" w:themeColor="accent3" w:themeShade="BF"/>
          <w:sz w:val="22"/>
          <w:szCs w:val="22"/>
          <w:lang w:val="en-GB"/>
        </w:rPr>
        <w:t>The second is that</w:t>
      </w:r>
      <w:r w:rsidR="00642515">
        <w:rPr>
          <w:rFonts w:ascii="Arial" w:hAnsi="Arial" w:cs="Arial"/>
          <w:color w:val="7B7B7B" w:themeColor="accent3" w:themeShade="BF"/>
          <w:sz w:val="22"/>
          <w:szCs w:val="22"/>
          <w:lang w:val="en-GB"/>
        </w:rPr>
        <w:t xml:space="preserve"> the court of the secondary insolvency proceeding may temporarily stay the opening of the secondary insolvency proceeding when a temporary stay of individual enforcement proceedings has been granted in the UK insolvency proceeding, in order to preserve the efficiency of the stay granted in the UK insolvency proceedings.</w:t>
      </w:r>
      <w:r w:rsidR="00BB05DF">
        <w:rPr>
          <w:rStyle w:val="FootnoteReference"/>
          <w:rFonts w:ascii="Arial" w:hAnsi="Arial" w:cs="Arial"/>
          <w:color w:val="7B7B7B" w:themeColor="accent3" w:themeShade="BF"/>
          <w:sz w:val="22"/>
          <w:szCs w:val="22"/>
          <w:lang w:val="en-GB"/>
        </w:rPr>
        <w:footnoteReference w:id="26"/>
      </w:r>
      <w:r w:rsidR="00642515">
        <w:rPr>
          <w:rFonts w:ascii="Arial" w:hAnsi="Arial" w:cs="Arial"/>
          <w:color w:val="7B7B7B" w:themeColor="accent3" w:themeShade="BF"/>
          <w:sz w:val="22"/>
          <w:szCs w:val="22"/>
          <w:lang w:val="en-GB"/>
        </w:rPr>
        <w:t xml:space="preserve"> </w:t>
      </w:r>
    </w:p>
    <w:p w14:paraId="0F66DF77" w14:textId="63271DF8" w:rsidR="003E2109" w:rsidRDefault="003E2109" w:rsidP="00E8021D">
      <w:pPr>
        <w:jc w:val="both"/>
        <w:rPr>
          <w:rFonts w:ascii="Arial" w:hAnsi="Arial" w:cs="Arial"/>
          <w:color w:val="7B7B7B" w:themeColor="accent3" w:themeShade="BF"/>
          <w:sz w:val="22"/>
          <w:szCs w:val="22"/>
          <w:lang w:val="en-GB"/>
        </w:rPr>
      </w:pPr>
    </w:p>
    <w:p w14:paraId="61ABD833" w14:textId="6CDC39A7" w:rsidR="003E2109" w:rsidRDefault="003E2109"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must be noted that the effects of these secondary insolvency proceedings commenced by Fernz will be restricted to the assets of Rydell that are situated in the EU member state in which the secondary insolvency proceedings are opened.</w:t>
      </w:r>
      <w:r>
        <w:rPr>
          <w:rStyle w:val="FootnoteReference"/>
          <w:rFonts w:ascii="Arial" w:hAnsi="Arial" w:cs="Arial"/>
          <w:color w:val="7B7B7B" w:themeColor="accent3" w:themeShade="BF"/>
          <w:sz w:val="22"/>
          <w:szCs w:val="22"/>
          <w:lang w:val="en-GB"/>
        </w:rPr>
        <w:footnoteReference w:id="27"/>
      </w:r>
      <w:r>
        <w:rPr>
          <w:rFonts w:ascii="Arial" w:hAnsi="Arial" w:cs="Arial"/>
          <w:color w:val="7B7B7B" w:themeColor="accent3" w:themeShade="BF"/>
          <w:sz w:val="22"/>
          <w:szCs w:val="22"/>
          <w:lang w:val="en-GB"/>
        </w:rPr>
        <w:t xml:space="preserve"> </w:t>
      </w:r>
      <w:r w:rsidR="00287A88" w:rsidRPr="00287A88">
        <w:rPr>
          <w:rFonts w:ascii="Arial" w:hAnsi="Arial" w:cs="Arial"/>
          <w:color w:val="7B7B7B" w:themeColor="accent3" w:themeShade="BF"/>
          <w:sz w:val="22"/>
          <w:szCs w:val="22"/>
          <w:lang w:val="en-GB"/>
        </w:rPr>
        <w:t xml:space="preserve">Subject to specific provisions dealing with rights in </w:t>
      </w:r>
      <w:r w:rsidR="00287A88" w:rsidRPr="00287A88">
        <w:rPr>
          <w:rFonts w:ascii="Arial" w:hAnsi="Arial" w:cs="Arial"/>
          <w:i/>
          <w:color w:val="7B7B7B" w:themeColor="accent3" w:themeShade="BF"/>
          <w:sz w:val="22"/>
          <w:szCs w:val="22"/>
          <w:lang w:val="en-GB"/>
        </w:rPr>
        <w:t xml:space="preserve">rem, </w:t>
      </w:r>
      <w:r w:rsidR="00287A88" w:rsidRPr="00287A88">
        <w:rPr>
          <w:rFonts w:ascii="Arial" w:hAnsi="Arial" w:cs="Arial"/>
          <w:color w:val="7B7B7B" w:themeColor="accent3" w:themeShade="BF"/>
          <w:sz w:val="22"/>
          <w:szCs w:val="22"/>
          <w:lang w:val="en-GB"/>
        </w:rPr>
        <w:t>set-off, immovable property, employment contracts and detrimental acts,</w:t>
      </w:r>
      <w:r w:rsidR="00287A88">
        <w:rPr>
          <w:rFonts w:ascii="Arial" w:hAnsi="Arial" w:cs="Arial"/>
          <w:color w:val="7B7B7B" w:themeColor="accent3" w:themeShade="BF"/>
          <w:sz w:val="22"/>
          <w:szCs w:val="22"/>
          <w:lang w:val="en-GB"/>
        </w:rPr>
        <w:t xml:space="preserve"> t</w:t>
      </w:r>
      <w:r>
        <w:rPr>
          <w:rFonts w:ascii="Arial" w:hAnsi="Arial" w:cs="Arial"/>
          <w:color w:val="7B7B7B" w:themeColor="accent3" w:themeShade="BF"/>
          <w:sz w:val="22"/>
          <w:szCs w:val="22"/>
          <w:lang w:val="en-GB"/>
        </w:rPr>
        <w:t>he law of the EU member state in which the secondary insolvency proceedings are commenced will be applicable to the secondary insolvency proceedings.</w:t>
      </w:r>
      <w:r>
        <w:rPr>
          <w:rStyle w:val="FootnoteReference"/>
          <w:rFonts w:ascii="Arial" w:hAnsi="Arial" w:cs="Arial"/>
          <w:color w:val="7B7B7B" w:themeColor="accent3" w:themeShade="BF"/>
          <w:sz w:val="22"/>
          <w:szCs w:val="22"/>
          <w:lang w:val="en-GB"/>
        </w:rPr>
        <w:footnoteReference w:id="28"/>
      </w:r>
      <w:r>
        <w:rPr>
          <w:rFonts w:ascii="Arial" w:hAnsi="Arial" w:cs="Arial"/>
          <w:color w:val="7B7B7B" w:themeColor="accent3" w:themeShade="BF"/>
          <w:sz w:val="22"/>
          <w:szCs w:val="22"/>
          <w:lang w:val="en-GB"/>
        </w:rPr>
        <w:t xml:space="preserve"> </w:t>
      </w:r>
      <w:r w:rsidRPr="000278FF">
        <w:rPr>
          <w:rFonts w:ascii="Arial" w:hAnsi="Arial" w:cs="Arial"/>
          <w:color w:val="7B7B7B" w:themeColor="accent3" w:themeShade="BF"/>
          <w:sz w:val="22"/>
          <w:szCs w:val="22"/>
          <w:lang w:val="en-GB"/>
        </w:rPr>
        <w:t xml:space="preserve">The judgment of the </w:t>
      </w:r>
      <w:r>
        <w:rPr>
          <w:rFonts w:ascii="Arial" w:hAnsi="Arial" w:cs="Arial"/>
          <w:color w:val="7B7B7B" w:themeColor="accent3" w:themeShade="BF"/>
          <w:sz w:val="22"/>
          <w:szCs w:val="22"/>
          <w:lang w:val="en-GB"/>
        </w:rPr>
        <w:t>EU member state</w:t>
      </w:r>
      <w:r w:rsidRPr="000278FF">
        <w:rPr>
          <w:rFonts w:ascii="Arial" w:hAnsi="Arial" w:cs="Arial"/>
          <w:color w:val="7B7B7B" w:themeColor="accent3" w:themeShade="BF"/>
          <w:sz w:val="22"/>
          <w:szCs w:val="22"/>
          <w:lang w:val="en-GB"/>
        </w:rPr>
        <w:t xml:space="preserve"> court for the opening of the </w:t>
      </w:r>
      <w:r>
        <w:rPr>
          <w:rFonts w:ascii="Arial" w:hAnsi="Arial" w:cs="Arial"/>
          <w:color w:val="7B7B7B" w:themeColor="accent3" w:themeShade="BF"/>
          <w:sz w:val="22"/>
          <w:szCs w:val="22"/>
          <w:lang w:val="en-GB"/>
        </w:rPr>
        <w:t>secondary</w:t>
      </w:r>
      <w:r w:rsidRPr="000278FF">
        <w:rPr>
          <w:rFonts w:ascii="Arial" w:hAnsi="Arial" w:cs="Arial"/>
          <w:color w:val="7B7B7B" w:themeColor="accent3" w:themeShade="BF"/>
          <w:sz w:val="22"/>
          <w:szCs w:val="22"/>
          <w:lang w:val="en-GB"/>
        </w:rPr>
        <w:t xml:space="preserve"> insolvency proceeding will be automatically recognised in all other EU member states (except for Denmark).</w:t>
      </w:r>
      <w:r w:rsidRPr="000278FF">
        <w:rPr>
          <w:rFonts w:ascii="Arial" w:hAnsi="Arial" w:cs="Arial"/>
          <w:color w:val="7B7B7B" w:themeColor="accent3" w:themeShade="BF"/>
          <w:sz w:val="22"/>
          <w:szCs w:val="22"/>
          <w:vertAlign w:val="superscript"/>
          <w:lang w:val="en-GB"/>
        </w:rPr>
        <w:footnoteReference w:id="29"/>
      </w:r>
      <w:r w:rsidR="0050061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However, this automatic recognition of the secondary insolvency proceedings will not affect the rights in </w:t>
      </w:r>
      <w:r>
        <w:rPr>
          <w:rFonts w:ascii="Arial" w:hAnsi="Arial" w:cs="Arial"/>
          <w:i/>
          <w:color w:val="7B7B7B" w:themeColor="accent3" w:themeShade="BF"/>
          <w:sz w:val="22"/>
          <w:szCs w:val="22"/>
          <w:lang w:val="en-GB"/>
        </w:rPr>
        <w:t xml:space="preserve">rem </w:t>
      </w:r>
      <w:r>
        <w:rPr>
          <w:rFonts w:ascii="Arial" w:hAnsi="Arial" w:cs="Arial"/>
          <w:color w:val="7B7B7B" w:themeColor="accent3" w:themeShade="BF"/>
          <w:sz w:val="22"/>
          <w:szCs w:val="22"/>
          <w:lang w:val="en-GB"/>
        </w:rPr>
        <w:t xml:space="preserve">of creditors or third parties which will be determined according to the </w:t>
      </w:r>
      <w:r>
        <w:rPr>
          <w:rFonts w:ascii="Arial" w:hAnsi="Arial" w:cs="Arial"/>
          <w:i/>
          <w:color w:val="7B7B7B" w:themeColor="accent3" w:themeShade="BF"/>
          <w:sz w:val="22"/>
          <w:szCs w:val="22"/>
          <w:lang w:val="en-GB"/>
        </w:rPr>
        <w:t>lex situs</w:t>
      </w:r>
      <w:r>
        <w:rPr>
          <w:rFonts w:ascii="Arial" w:hAnsi="Arial" w:cs="Arial"/>
          <w:color w:val="7B7B7B" w:themeColor="accent3" w:themeShade="BF"/>
          <w:sz w:val="22"/>
          <w:szCs w:val="22"/>
          <w:lang w:val="en-GB"/>
        </w:rPr>
        <w:t>.</w:t>
      </w:r>
    </w:p>
    <w:p w14:paraId="08F97651" w14:textId="3731BADE" w:rsidR="006D79F9" w:rsidRDefault="006D79F9" w:rsidP="00E8021D">
      <w:pPr>
        <w:jc w:val="both"/>
        <w:rPr>
          <w:rFonts w:ascii="Arial" w:hAnsi="Arial" w:cs="Arial"/>
          <w:color w:val="7B7B7B" w:themeColor="accent3" w:themeShade="BF"/>
          <w:sz w:val="22"/>
          <w:szCs w:val="22"/>
          <w:lang w:val="en-GB"/>
        </w:rPr>
      </w:pPr>
    </w:p>
    <w:p w14:paraId="09DAAA46" w14:textId="476E342B" w:rsidR="006D79F9" w:rsidRDefault="006D79F9" w:rsidP="00E8021D">
      <w:pPr>
        <w:widowControl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practitioner in the secondary insolvency proceeding must immediately transfer to the UK insolvency practitioner, any assets remaining after meeting the claims of all creditors </w:t>
      </w:r>
      <w:r>
        <w:rPr>
          <w:rFonts w:ascii="Arial" w:hAnsi="Arial" w:cs="Arial"/>
          <w:color w:val="7B7B7B" w:themeColor="accent3" w:themeShade="BF"/>
          <w:sz w:val="22"/>
          <w:szCs w:val="22"/>
          <w:lang w:val="en-GB"/>
        </w:rPr>
        <w:lastRenderedPageBreak/>
        <w:t>allowed under the secondary insolvency proceedings.</w:t>
      </w:r>
      <w:r>
        <w:rPr>
          <w:rStyle w:val="FootnoteReference"/>
          <w:rFonts w:ascii="Arial" w:hAnsi="Arial" w:cs="Arial"/>
          <w:color w:val="7B7B7B" w:themeColor="accent3" w:themeShade="BF"/>
          <w:sz w:val="22"/>
          <w:szCs w:val="22"/>
          <w:lang w:val="en-GB"/>
        </w:rPr>
        <w:footnoteReference w:id="30"/>
      </w:r>
      <w:r>
        <w:rPr>
          <w:rFonts w:ascii="Arial" w:hAnsi="Arial" w:cs="Arial"/>
          <w:color w:val="7B7B7B" w:themeColor="accent3" w:themeShade="BF"/>
          <w:sz w:val="22"/>
          <w:szCs w:val="22"/>
          <w:lang w:val="en-GB"/>
        </w:rPr>
        <w:t xml:space="preserve"> </w:t>
      </w:r>
    </w:p>
    <w:p w14:paraId="19405953" w14:textId="451C468D" w:rsidR="00642515" w:rsidRDefault="00642515" w:rsidP="00E8021D">
      <w:pPr>
        <w:jc w:val="both"/>
        <w:rPr>
          <w:rFonts w:ascii="Arial" w:hAnsi="Arial" w:cs="Arial"/>
          <w:color w:val="7B7B7B" w:themeColor="accent3" w:themeShade="BF"/>
          <w:sz w:val="22"/>
          <w:szCs w:val="22"/>
          <w:lang w:val="en-GB"/>
        </w:rPr>
      </w:pPr>
    </w:p>
    <w:p w14:paraId="68CB78DF" w14:textId="5D481023" w:rsidR="00BB05DF" w:rsidRDefault="00BB05DF"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also requires the insolvency practitioners and courts of the main insolvency proceedings and the secondary insolvency proceedings to cooperate with each other to the extent such cooperation is not incompatible with the rules applicable to the respective proceedings.</w:t>
      </w:r>
      <w:r>
        <w:rPr>
          <w:rStyle w:val="FootnoteReference"/>
          <w:rFonts w:ascii="Arial" w:hAnsi="Arial" w:cs="Arial"/>
          <w:color w:val="7B7B7B" w:themeColor="accent3" w:themeShade="BF"/>
          <w:sz w:val="22"/>
          <w:szCs w:val="22"/>
          <w:lang w:val="en-GB"/>
        </w:rPr>
        <w:footnoteReference w:id="31"/>
      </w:r>
      <w:r>
        <w:rPr>
          <w:rFonts w:ascii="Arial" w:hAnsi="Arial" w:cs="Arial"/>
          <w:color w:val="7B7B7B" w:themeColor="accent3" w:themeShade="BF"/>
          <w:sz w:val="22"/>
          <w:szCs w:val="22"/>
          <w:lang w:val="en-GB"/>
        </w:rPr>
        <w:t xml:space="preserve"> </w:t>
      </w:r>
    </w:p>
    <w:p w14:paraId="1BE21FA9" w14:textId="77777777" w:rsidR="00BB05DF" w:rsidRDefault="00BB05DF" w:rsidP="00E8021D">
      <w:pPr>
        <w:jc w:val="both"/>
        <w:rPr>
          <w:rFonts w:ascii="Arial" w:hAnsi="Arial" w:cs="Arial"/>
          <w:color w:val="7B7B7B" w:themeColor="accent3" w:themeShade="BF"/>
          <w:sz w:val="22"/>
          <w:szCs w:val="22"/>
          <w:lang w:val="en-GB"/>
        </w:rPr>
      </w:pPr>
    </w:p>
    <w:p w14:paraId="796C1BE9" w14:textId="4E928DD4" w:rsidR="00642515" w:rsidRDefault="0050061B"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alternative to</w:t>
      </w:r>
      <w:r w:rsidR="00642515">
        <w:rPr>
          <w:rFonts w:ascii="Arial" w:hAnsi="Arial" w:cs="Arial"/>
          <w:color w:val="7B7B7B" w:themeColor="accent3" w:themeShade="BF"/>
          <w:sz w:val="22"/>
          <w:szCs w:val="22"/>
          <w:lang w:val="en-GB"/>
        </w:rPr>
        <w:t xml:space="preserve"> opening se</w:t>
      </w:r>
      <w:r>
        <w:rPr>
          <w:rFonts w:ascii="Arial" w:hAnsi="Arial" w:cs="Arial"/>
          <w:color w:val="7B7B7B" w:themeColor="accent3" w:themeShade="BF"/>
          <w:sz w:val="22"/>
          <w:szCs w:val="22"/>
          <w:lang w:val="en-GB"/>
        </w:rPr>
        <w:t xml:space="preserve">condary insolvency proceedings is for Fernz </w:t>
      </w:r>
      <w:r w:rsidR="00642515">
        <w:rPr>
          <w:rFonts w:ascii="Arial" w:hAnsi="Arial" w:cs="Arial"/>
          <w:color w:val="7B7B7B" w:themeColor="accent3" w:themeShade="BF"/>
          <w:sz w:val="22"/>
          <w:szCs w:val="22"/>
          <w:lang w:val="en-GB"/>
        </w:rPr>
        <w:t xml:space="preserve">to lodge a claim </w:t>
      </w:r>
      <w:r w:rsidR="000137BC">
        <w:rPr>
          <w:rFonts w:ascii="Arial" w:hAnsi="Arial" w:cs="Arial"/>
          <w:color w:val="7B7B7B" w:themeColor="accent3" w:themeShade="BF"/>
          <w:sz w:val="22"/>
          <w:szCs w:val="22"/>
          <w:lang w:val="en-GB"/>
        </w:rPr>
        <w:t xml:space="preserve">in the UK insolvency proceedings </w:t>
      </w:r>
      <w:r w:rsidR="00642515">
        <w:rPr>
          <w:rFonts w:ascii="Arial" w:hAnsi="Arial" w:cs="Arial"/>
          <w:color w:val="7B7B7B" w:themeColor="accent3" w:themeShade="BF"/>
          <w:sz w:val="22"/>
          <w:szCs w:val="22"/>
          <w:lang w:val="en-GB"/>
        </w:rPr>
        <w:t xml:space="preserve">for the debts owing </w:t>
      </w:r>
      <w:r w:rsidR="000137BC">
        <w:rPr>
          <w:rFonts w:ascii="Arial" w:hAnsi="Arial" w:cs="Arial"/>
          <w:color w:val="7B7B7B" w:themeColor="accent3" w:themeShade="BF"/>
          <w:sz w:val="22"/>
          <w:szCs w:val="22"/>
          <w:lang w:val="en-GB"/>
        </w:rPr>
        <w:t>from Rydell to Fernz.</w:t>
      </w:r>
      <w:r w:rsidR="006D79F9">
        <w:rPr>
          <w:rStyle w:val="FootnoteReference"/>
          <w:rFonts w:ascii="Arial" w:hAnsi="Arial" w:cs="Arial"/>
          <w:color w:val="7B7B7B" w:themeColor="accent3" w:themeShade="BF"/>
          <w:sz w:val="22"/>
          <w:szCs w:val="22"/>
          <w:lang w:val="en-GB"/>
        </w:rPr>
        <w:footnoteReference w:id="32"/>
      </w:r>
    </w:p>
    <w:p w14:paraId="6B71761C" w14:textId="4F058340" w:rsidR="001B58DF" w:rsidRDefault="001B58DF" w:rsidP="00B7193E">
      <w:pPr>
        <w:jc w:val="both"/>
        <w:rPr>
          <w:rFonts w:ascii="Arial" w:hAnsi="Arial" w:cs="Arial"/>
          <w:color w:val="7B7B7B" w:themeColor="accent3" w:themeShade="BF"/>
          <w:sz w:val="22"/>
          <w:szCs w:val="22"/>
          <w:lang w:val="en-GB"/>
        </w:rPr>
      </w:pPr>
    </w:p>
    <w:p w14:paraId="6DFAF3C6" w14:textId="77777777" w:rsidR="002B33FD" w:rsidRDefault="002B33FD" w:rsidP="00B7193E">
      <w:pPr>
        <w:jc w:val="both"/>
        <w:rPr>
          <w:rFonts w:ascii="Arial" w:hAnsi="Arial" w:cs="Arial"/>
          <w:b/>
          <w:bCs/>
          <w:sz w:val="22"/>
          <w:szCs w:val="22"/>
          <w:lang w:val="en-GB"/>
        </w:rPr>
      </w:pPr>
    </w:p>
    <w:p w14:paraId="40921E31" w14:textId="7B89BBEA"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3FD837DB" w:rsidR="00015EE6" w:rsidRDefault="002B33FD"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UK</w:t>
      </w:r>
      <w:r w:rsidRPr="002B33FD">
        <w:rPr>
          <w:rFonts w:ascii="Arial" w:hAnsi="Arial" w:cs="Arial"/>
          <w:color w:val="7B7B7B" w:themeColor="accent3" w:themeShade="BF"/>
          <w:sz w:val="22"/>
          <w:szCs w:val="22"/>
          <w:lang w:val="en-GB"/>
        </w:rPr>
        <w:t xml:space="preserve"> insolvency proceeding was opened on 18 June 202</w:t>
      </w:r>
      <w:r>
        <w:rPr>
          <w:rFonts w:ascii="Arial" w:hAnsi="Arial" w:cs="Arial"/>
          <w:color w:val="7B7B7B" w:themeColor="accent3" w:themeShade="BF"/>
          <w:sz w:val="22"/>
          <w:szCs w:val="22"/>
          <w:lang w:val="en-GB"/>
        </w:rPr>
        <w:t>1, that is, after</w:t>
      </w:r>
      <w:r w:rsidRPr="002B33FD">
        <w:rPr>
          <w:rFonts w:ascii="Arial" w:hAnsi="Arial" w:cs="Arial"/>
          <w:color w:val="7B7B7B" w:themeColor="accent3" w:themeShade="BF"/>
          <w:sz w:val="22"/>
          <w:szCs w:val="22"/>
          <w:lang w:val="en-GB"/>
        </w:rPr>
        <w:t xml:space="preserve"> the expiry of the transitional period in respect of the UK’s departure from the </w:t>
      </w:r>
      <w:r>
        <w:rPr>
          <w:rFonts w:ascii="Arial" w:hAnsi="Arial" w:cs="Arial"/>
          <w:color w:val="7B7B7B" w:themeColor="accent3" w:themeShade="BF"/>
          <w:sz w:val="22"/>
          <w:szCs w:val="22"/>
          <w:lang w:val="en-GB"/>
        </w:rPr>
        <w:t>EU</w:t>
      </w:r>
      <w:r w:rsidRPr="002B33FD">
        <w:rPr>
          <w:rFonts w:ascii="Arial" w:hAnsi="Arial" w:cs="Arial"/>
          <w:color w:val="7B7B7B" w:themeColor="accent3" w:themeShade="BF"/>
          <w:sz w:val="22"/>
          <w:szCs w:val="22"/>
          <w:lang w:val="en-GB"/>
        </w:rPr>
        <w:t>, the EIR Recast would</w:t>
      </w:r>
      <w:r>
        <w:rPr>
          <w:rFonts w:ascii="Arial" w:hAnsi="Arial" w:cs="Arial"/>
          <w:color w:val="7B7B7B" w:themeColor="accent3" w:themeShade="BF"/>
          <w:sz w:val="22"/>
          <w:szCs w:val="22"/>
          <w:lang w:val="en-GB"/>
        </w:rPr>
        <w:t xml:space="preserve"> not</w:t>
      </w:r>
      <w:r w:rsidRPr="002B33FD">
        <w:rPr>
          <w:rFonts w:ascii="Arial" w:hAnsi="Arial" w:cs="Arial"/>
          <w:color w:val="7B7B7B" w:themeColor="accent3" w:themeShade="BF"/>
          <w:sz w:val="22"/>
          <w:szCs w:val="22"/>
          <w:lang w:val="en-GB"/>
        </w:rPr>
        <w:t xml:space="preserve"> apply to the insolvency proceedings in </w:t>
      </w:r>
      <w:r>
        <w:rPr>
          <w:rFonts w:ascii="Arial" w:hAnsi="Arial" w:cs="Arial"/>
          <w:color w:val="7B7B7B" w:themeColor="accent3" w:themeShade="BF"/>
          <w:sz w:val="22"/>
          <w:szCs w:val="22"/>
          <w:lang w:val="en-GB"/>
        </w:rPr>
        <w:t>such scenario.</w:t>
      </w:r>
    </w:p>
    <w:p w14:paraId="64E3ABCA" w14:textId="1937A325" w:rsidR="00857BC3" w:rsidRDefault="00857BC3" w:rsidP="00E8021D">
      <w:pPr>
        <w:jc w:val="both"/>
        <w:rPr>
          <w:rFonts w:ascii="Arial" w:hAnsi="Arial" w:cs="Arial"/>
          <w:color w:val="7B7B7B" w:themeColor="accent3" w:themeShade="BF"/>
          <w:sz w:val="22"/>
          <w:szCs w:val="22"/>
          <w:lang w:val="en-GB"/>
        </w:rPr>
      </w:pPr>
    </w:p>
    <w:p w14:paraId="73D33073" w14:textId="7DCC7110" w:rsidR="00B60C29" w:rsidRDefault="005E3E1C"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Rydell has its COMI </w:t>
      </w:r>
      <w:r w:rsidR="000444D1">
        <w:rPr>
          <w:rFonts w:ascii="Arial" w:hAnsi="Arial" w:cs="Arial"/>
          <w:color w:val="7B7B7B" w:themeColor="accent3" w:themeShade="BF"/>
          <w:sz w:val="22"/>
          <w:szCs w:val="22"/>
          <w:lang w:val="en-GB"/>
        </w:rPr>
        <w:t>in the UK, the minor</w:t>
      </w:r>
      <w:r>
        <w:rPr>
          <w:rFonts w:ascii="Arial" w:hAnsi="Arial" w:cs="Arial"/>
          <w:color w:val="7B7B7B" w:themeColor="accent3" w:themeShade="BF"/>
          <w:sz w:val="22"/>
          <w:szCs w:val="22"/>
          <w:lang w:val="en-GB"/>
        </w:rPr>
        <w:t xml:space="preserve"> creditor will be able to open insolvency proceedings in the UK. However, since the EIR Recast no longer applies, the UK insolvency proceedings will not be automatically reco</w:t>
      </w:r>
      <w:r w:rsidR="000444D1">
        <w:rPr>
          <w:rFonts w:ascii="Arial" w:hAnsi="Arial" w:cs="Arial"/>
          <w:color w:val="7B7B7B" w:themeColor="accent3" w:themeShade="BF"/>
          <w:sz w:val="22"/>
          <w:szCs w:val="22"/>
          <w:lang w:val="en-GB"/>
        </w:rPr>
        <w:t>gnised in the EU member states and</w:t>
      </w:r>
      <w:r w:rsidR="006E0901">
        <w:rPr>
          <w:rFonts w:ascii="Arial" w:hAnsi="Arial" w:cs="Arial"/>
          <w:color w:val="7B7B7B" w:themeColor="accent3" w:themeShade="BF"/>
          <w:sz w:val="22"/>
          <w:szCs w:val="22"/>
          <w:lang w:val="en-GB"/>
        </w:rPr>
        <w:t xml:space="preserve"> t</w:t>
      </w:r>
      <w:r>
        <w:rPr>
          <w:rFonts w:ascii="Arial" w:hAnsi="Arial" w:cs="Arial"/>
          <w:color w:val="7B7B7B" w:themeColor="accent3" w:themeShade="BF"/>
          <w:sz w:val="22"/>
          <w:szCs w:val="22"/>
          <w:lang w:val="en-GB"/>
        </w:rPr>
        <w:t>he UK insolvency practitioner will need to obtain a recognition of the UK insolvency proceeding</w:t>
      </w:r>
      <w:r w:rsidR="006E0901">
        <w:rPr>
          <w:rFonts w:ascii="Arial" w:hAnsi="Arial" w:cs="Arial"/>
          <w:color w:val="7B7B7B" w:themeColor="accent3" w:themeShade="BF"/>
          <w:sz w:val="22"/>
          <w:szCs w:val="22"/>
          <w:lang w:val="en-GB"/>
        </w:rPr>
        <w:t xml:space="preserve"> in the EU member states</w:t>
      </w:r>
      <w:r>
        <w:rPr>
          <w:rFonts w:ascii="Arial" w:hAnsi="Arial" w:cs="Arial"/>
          <w:color w:val="7B7B7B" w:themeColor="accent3" w:themeShade="BF"/>
          <w:sz w:val="22"/>
          <w:szCs w:val="22"/>
          <w:lang w:val="en-GB"/>
        </w:rPr>
        <w:t xml:space="preserve">. </w:t>
      </w:r>
      <w:r w:rsidR="00646731">
        <w:rPr>
          <w:rFonts w:ascii="Arial" w:hAnsi="Arial" w:cs="Arial"/>
          <w:color w:val="7B7B7B" w:themeColor="accent3" w:themeShade="BF"/>
          <w:sz w:val="22"/>
          <w:szCs w:val="22"/>
          <w:lang w:val="en-GB"/>
        </w:rPr>
        <w:t xml:space="preserve">The following options may be available to the </w:t>
      </w:r>
      <w:r w:rsidR="006E0901">
        <w:rPr>
          <w:rFonts w:ascii="Arial" w:hAnsi="Arial" w:cs="Arial"/>
          <w:color w:val="7B7B7B" w:themeColor="accent3" w:themeShade="BF"/>
          <w:sz w:val="22"/>
          <w:szCs w:val="22"/>
          <w:lang w:val="en-GB"/>
        </w:rPr>
        <w:t xml:space="preserve">UK </w:t>
      </w:r>
      <w:r w:rsidR="00646731">
        <w:rPr>
          <w:rFonts w:ascii="Arial" w:hAnsi="Arial" w:cs="Arial"/>
          <w:color w:val="7B7B7B" w:themeColor="accent3" w:themeShade="BF"/>
          <w:sz w:val="22"/>
          <w:szCs w:val="22"/>
          <w:lang w:val="en-GB"/>
        </w:rPr>
        <w:t xml:space="preserve">insolvency practitioner in obtaining </w:t>
      </w:r>
      <w:r w:rsidR="00B60C29">
        <w:rPr>
          <w:rFonts w:ascii="Arial" w:hAnsi="Arial" w:cs="Arial"/>
          <w:color w:val="7B7B7B" w:themeColor="accent3" w:themeShade="BF"/>
          <w:sz w:val="22"/>
          <w:szCs w:val="22"/>
          <w:lang w:val="en-GB"/>
        </w:rPr>
        <w:t xml:space="preserve">such </w:t>
      </w:r>
      <w:r w:rsidR="000444D1">
        <w:rPr>
          <w:rFonts w:ascii="Arial" w:hAnsi="Arial" w:cs="Arial"/>
          <w:color w:val="7B7B7B" w:themeColor="accent3" w:themeShade="BF"/>
          <w:sz w:val="22"/>
          <w:szCs w:val="22"/>
          <w:lang w:val="en-GB"/>
        </w:rPr>
        <w:t xml:space="preserve">a </w:t>
      </w:r>
      <w:r w:rsidR="00B60C29">
        <w:rPr>
          <w:rFonts w:ascii="Arial" w:hAnsi="Arial" w:cs="Arial"/>
          <w:color w:val="7B7B7B" w:themeColor="accent3" w:themeShade="BF"/>
          <w:sz w:val="22"/>
          <w:szCs w:val="22"/>
          <w:lang w:val="en-GB"/>
        </w:rPr>
        <w:t>recognition</w:t>
      </w:r>
      <w:r w:rsidR="00B60C29">
        <w:rPr>
          <w:rStyle w:val="FootnoteReference"/>
          <w:rFonts w:ascii="Arial" w:hAnsi="Arial" w:cs="Arial"/>
          <w:color w:val="7B7B7B" w:themeColor="accent3" w:themeShade="BF"/>
          <w:sz w:val="22"/>
          <w:szCs w:val="22"/>
          <w:lang w:val="en-GB"/>
        </w:rPr>
        <w:footnoteReference w:id="33"/>
      </w:r>
      <w:r w:rsidR="00B60C29">
        <w:rPr>
          <w:rFonts w:ascii="Arial" w:hAnsi="Arial" w:cs="Arial"/>
          <w:color w:val="7B7B7B" w:themeColor="accent3" w:themeShade="BF"/>
          <w:sz w:val="22"/>
          <w:szCs w:val="22"/>
          <w:lang w:val="en-GB"/>
        </w:rPr>
        <w:t xml:space="preserve"> –</w:t>
      </w:r>
    </w:p>
    <w:p w14:paraId="785BBFEB" w14:textId="77777777" w:rsidR="006E0901" w:rsidRDefault="006E0901" w:rsidP="00E8021D">
      <w:pPr>
        <w:jc w:val="both"/>
        <w:rPr>
          <w:rFonts w:ascii="Arial" w:hAnsi="Arial" w:cs="Arial"/>
          <w:color w:val="7B7B7B" w:themeColor="accent3" w:themeShade="BF"/>
          <w:sz w:val="22"/>
          <w:szCs w:val="22"/>
          <w:lang w:val="en-GB"/>
        </w:rPr>
      </w:pPr>
    </w:p>
    <w:p w14:paraId="18AD9CD9" w14:textId="7180A2EC" w:rsidR="005E3E1C" w:rsidRDefault="00B60C29" w:rsidP="00E8021D">
      <w:pPr>
        <w:pStyle w:val="ListParagraph"/>
        <w:numPr>
          <w:ilvl w:val="0"/>
          <w:numId w:val="2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5E3E1C" w:rsidRPr="00B60C29">
        <w:rPr>
          <w:rFonts w:ascii="Arial" w:hAnsi="Arial" w:cs="Arial"/>
          <w:color w:val="7B7B7B" w:themeColor="accent3" w:themeShade="BF"/>
          <w:sz w:val="22"/>
          <w:szCs w:val="22"/>
          <w:lang w:val="en-GB"/>
        </w:rPr>
        <w:t xml:space="preserve">here </w:t>
      </w:r>
      <w:r>
        <w:rPr>
          <w:rFonts w:ascii="Arial" w:hAnsi="Arial" w:cs="Arial"/>
          <w:color w:val="7B7B7B" w:themeColor="accent3" w:themeShade="BF"/>
          <w:sz w:val="22"/>
          <w:szCs w:val="22"/>
          <w:lang w:val="en-GB"/>
        </w:rPr>
        <w:t>an</w:t>
      </w:r>
      <w:r w:rsidR="005E3E1C" w:rsidRPr="00B60C29">
        <w:rPr>
          <w:rFonts w:ascii="Arial" w:hAnsi="Arial" w:cs="Arial"/>
          <w:color w:val="7B7B7B" w:themeColor="accent3" w:themeShade="BF"/>
          <w:sz w:val="22"/>
          <w:szCs w:val="22"/>
          <w:lang w:val="en-GB"/>
        </w:rPr>
        <w:t xml:space="preserve"> EU member state ha</w:t>
      </w:r>
      <w:r w:rsidR="00646731" w:rsidRPr="00B60C29">
        <w:rPr>
          <w:rFonts w:ascii="Arial" w:hAnsi="Arial" w:cs="Arial"/>
          <w:color w:val="7B7B7B" w:themeColor="accent3" w:themeShade="BF"/>
          <w:sz w:val="22"/>
          <w:szCs w:val="22"/>
          <w:lang w:val="en-GB"/>
        </w:rPr>
        <w:t>s</w:t>
      </w:r>
      <w:r w:rsidR="005E3E1C" w:rsidRPr="00B60C29">
        <w:rPr>
          <w:rFonts w:ascii="Arial" w:hAnsi="Arial" w:cs="Arial"/>
          <w:color w:val="7B7B7B" w:themeColor="accent3" w:themeShade="BF"/>
          <w:sz w:val="22"/>
          <w:szCs w:val="22"/>
          <w:lang w:val="en-GB"/>
        </w:rPr>
        <w:t xml:space="preserve"> adopted the UNCITRAL Model Law on Cross-Border Insolvency (1997), </w:t>
      </w:r>
      <w:r w:rsidR="00646731" w:rsidRPr="00B60C29">
        <w:rPr>
          <w:rFonts w:ascii="Arial" w:hAnsi="Arial" w:cs="Arial"/>
          <w:color w:val="7B7B7B" w:themeColor="accent3" w:themeShade="BF"/>
          <w:sz w:val="22"/>
          <w:szCs w:val="22"/>
          <w:lang w:val="en-GB"/>
        </w:rPr>
        <w:t>the UK insolvency practitioner may apply to the court of the EU member state for a recognition of the UK insolvency proceeding. In this regard, the EU member states that have adopted the UNCITRAL Model Law on Cross-Border Insolvency (1997) are Greec</w:t>
      </w:r>
      <w:r>
        <w:rPr>
          <w:rFonts w:ascii="Arial" w:hAnsi="Arial" w:cs="Arial"/>
          <w:color w:val="7B7B7B" w:themeColor="accent3" w:themeShade="BF"/>
          <w:sz w:val="22"/>
          <w:szCs w:val="22"/>
          <w:lang w:val="en-GB"/>
        </w:rPr>
        <w:t>e, Poland, Romania and Slovenia;</w:t>
      </w:r>
    </w:p>
    <w:p w14:paraId="6EF72580" w14:textId="77777777" w:rsidR="00B60C29" w:rsidRDefault="00B60C29" w:rsidP="00E8021D">
      <w:pPr>
        <w:pStyle w:val="ListParagraph"/>
        <w:jc w:val="both"/>
        <w:rPr>
          <w:rFonts w:ascii="Arial" w:hAnsi="Arial" w:cs="Arial"/>
          <w:color w:val="7B7B7B" w:themeColor="accent3" w:themeShade="BF"/>
          <w:sz w:val="22"/>
          <w:szCs w:val="22"/>
          <w:lang w:val="en-GB"/>
        </w:rPr>
      </w:pPr>
    </w:p>
    <w:p w14:paraId="502116F8" w14:textId="2992378E" w:rsidR="00B60C29" w:rsidRDefault="00B60C29" w:rsidP="00E8021D">
      <w:pPr>
        <w:pStyle w:val="ListParagraph"/>
        <w:numPr>
          <w:ilvl w:val="0"/>
          <w:numId w:val="2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EU member states whose legal systems are based on English common law, the UK insolvency practitioner may be able to rely on the common law principle of comity to gain recognition for the UK insolvency proceeding</w:t>
      </w:r>
      <w:r w:rsidR="006E0901">
        <w:rPr>
          <w:rFonts w:ascii="Arial" w:hAnsi="Arial" w:cs="Arial"/>
          <w:color w:val="7B7B7B" w:themeColor="accent3" w:themeShade="BF"/>
          <w:sz w:val="22"/>
          <w:szCs w:val="22"/>
          <w:lang w:val="en-GB"/>
        </w:rPr>
        <w:t>; and</w:t>
      </w:r>
    </w:p>
    <w:p w14:paraId="6167FB63" w14:textId="77777777" w:rsidR="006E0901" w:rsidRPr="006E0901" w:rsidRDefault="006E0901" w:rsidP="00E8021D">
      <w:pPr>
        <w:pStyle w:val="ListParagraph"/>
        <w:jc w:val="both"/>
        <w:rPr>
          <w:rFonts w:ascii="Arial" w:hAnsi="Arial" w:cs="Arial"/>
          <w:color w:val="7B7B7B" w:themeColor="accent3" w:themeShade="BF"/>
          <w:sz w:val="22"/>
          <w:szCs w:val="22"/>
          <w:lang w:val="en-GB"/>
        </w:rPr>
      </w:pPr>
    </w:p>
    <w:p w14:paraId="696A0858" w14:textId="62BA4B78" w:rsidR="006E0901" w:rsidRPr="00B60C29" w:rsidRDefault="006E0901" w:rsidP="00E8021D">
      <w:pPr>
        <w:pStyle w:val="ListParagraph"/>
        <w:numPr>
          <w:ilvl w:val="0"/>
          <w:numId w:val="2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BB12C6">
        <w:rPr>
          <w:rFonts w:ascii="Arial" w:hAnsi="Arial" w:cs="Arial"/>
          <w:color w:val="7B7B7B" w:themeColor="accent3" w:themeShade="BF"/>
          <w:sz w:val="22"/>
          <w:szCs w:val="22"/>
          <w:lang w:val="en-GB"/>
        </w:rPr>
        <w:t xml:space="preserve">UK insolvency practitioner would also have to look at the </w:t>
      </w:r>
      <w:r>
        <w:rPr>
          <w:rFonts w:ascii="Arial" w:hAnsi="Arial" w:cs="Arial"/>
          <w:color w:val="7B7B7B" w:themeColor="accent3" w:themeShade="BF"/>
          <w:sz w:val="22"/>
          <w:szCs w:val="22"/>
          <w:lang w:val="en-GB"/>
        </w:rPr>
        <w:t>private international law principles of each EU member state</w:t>
      </w:r>
      <w:r w:rsidR="00BB12C6">
        <w:rPr>
          <w:rFonts w:ascii="Arial" w:hAnsi="Arial" w:cs="Arial"/>
          <w:color w:val="7B7B7B" w:themeColor="accent3" w:themeShade="BF"/>
          <w:sz w:val="22"/>
          <w:szCs w:val="22"/>
          <w:lang w:val="en-GB"/>
        </w:rPr>
        <w:t xml:space="preserve"> in respect of the recognition of foreign proceedings</w:t>
      </w:r>
      <w:r>
        <w:rPr>
          <w:rFonts w:ascii="Arial" w:hAnsi="Arial" w:cs="Arial"/>
          <w:color w:val="7B7B7B" w:themeColor="accent3" w:themeShade="BF"/>
          <w:sz w:val="22"/>
          <w:szCs w:val="22"/>
          <w:lang w:val="en-GB"/>
        </w:rPr>
        <w:t>. These principles may differ from State to State.</w:t>
      </w:r>
    </w:p>
    <w:p w14:paraId="1DE3DFC0" w14:textId="77777777" w:rsidR="005E3E1C" w:rsidRDefault="005E3E1C" w:rsidP="00E8021D">
      <w:pPr>
        <w:jc w:val="both"/>
        <w:rPr>
          <w:rFonts w:ascii="Arial" w:hAnsi="Arial" w:cs="Arial"/>
          <w:color w:val="7B7B7B" w:themeColor="accent3" w:themeShade="BF"/>
          <w:sz w:val="22"/>
          <w:szCs w:val="22"/>
          <w:lang w:val="en-GB"/>
        </w:rPr>
      </w:pPr>
    </w:p>
    <w:p w14:paraId="7C5E5F3E" w14:textId="43844779" w:rsidR="00275182" w:rsidRDefault="000444D1" w:rsidP="00E80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the insolvency proceeding commenced by Fernz in the EU member state will not be automatically recognised in the UK.</w:t>
      </w:r>
      <w:r>
        <w:rPr>
          <w:rFonts w:ascii="Arial" w:hAnsi="Arial" w:cs="Arial"/>
          <w:color w:val="7B7B7B" w:themeColor="accent3" w:themeShade="BF"/>
          <w:sz w:val="22"/>
          <w:szCs w:val="22"/>
          <w:lang w:val="en-GB"/>
        </w:rPr>
        <w:t xml:space="preserve"> Hence, in </w:t>
      </w:r>
      <w:r w:rsidR="006E0901">
        <w:rPr>
          <w:rFonts w:ascii="Arial" w:hAnsi="Arial" w:cs="Arial"/>
          <w:color w:val="7B7B7B" w:themeColor="accent3" w:themeShade="BF"/>
          <w:sz w:val="22"/>
          <w:szCs w:val="22"/>
          <w:lang w:val="en-GB"/>
        </w:rPr>
        <w:t>respect of any insolvency proceedings opened by Fernz in an EU member state, the insolvency practitioner of such insolvency proceedings will need to obtain a recognition of the insolvency proceedings in the UK. The following options may be available to the insolvency practitioner in obtaining such recognition</w:t>
      </w:r>
      <w:r w:rsidR="006E0901">
        <w:rPr>
          <w:rStyle w:val="FootnoteReference"/>
          <w:rFonts w:ascii="Arial" w:hAnsi="Arial" w:cs="Arial"/>
          <w:color w:val="7B7B7B" w:themeColor="accent3" w:themeShade="BF"/>
          <w:sz w:val="22"/>
          <w:szCs w:val="22"/>
          <w:lang w:val="en-GB"/>
        </w:rPr>
        <w:footnoteReference w:id="34"/>
      </w:r>
      <w:r w:rsidR="006E0901">
        <w:rPr>
          <w:rFonts w:ascii="Arial" w:hAnsi="Arial" w:cs="Arial"/>
          <w:color w:val="7B7B7B" w:themeColor="accent3" w:themeShade="BF"/>
          <w:sz w:val="22"/>
          <w:szCs w:val="22"/>
          <w:lang w:val="en-GB"/>
        </w:rPr>
        <w:t xml:space="preserve"> –</w:t>
      </w:r>
    </w:p>
    <w:p w14:paraId="2DA7082C" w14:textId="5E004D21" w:rsidR="006E0901" w:rsidRDefault="006E0901" w:rsidP="00E8021D">
      <w:pPr>
        <w:jc w:val="both"/>
        <w:rPr>
          <w:rFonts w:ascii="Arial" w:hAnsi="Arial" w:cs="Arial"/>
          <w:color w:val="7B7B7B" w:themeColor="accent3" w:themeShade="BF"/>
          <w:sz w:val="22"/>
          <w:szCs w:val="22"/>
          <w:lang w:val="en-GB"/>
        </w:rPr>
      </w:pPr>
    </w:p>
    <w:p w14:paraId="4C9BD4B6" w14:textId="1485E8A4" w:rsidR="006E0901" w:rsidRDefault="00BB12C6" w:rsidP="00E8021D">
      <w:pPr>
        <w:pStyle w:val="ListParagraph"/>
        <w:numPr>
          <w:ilvl w:val="0"/>
          <w:numId w:val="23"/>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practitioner may apply to the UK court, under the Cross-Border Insolvency Regulations 2006 which enacts the UNCITRAL Model Law on Cross-Border Insolvency in the UK, for a recognition of the EU member state insolvency proceeding. Since the UNCITRAL Model Law on Cross-Border Insolvency is not a reciprocal provision, the Model Law need not be enacted in the </w:t>
      </w:r>
      <w:r w:rsidR="000444D1">
        <w:rPr>
          <w:rFonts w:ascii="Arial" w:hAnsi="Arial" w:cs="Arial"/>
          <w:color w:val="7B7B7B" w:themeColor="accent3" w:themeShade="BF"/>
          <w:sz w:val="22"/>
          <w:szCs w:val="22"/>
          <w:lang w:val="en-GB"/>
        </w:rPr>
        <w:t>State</w:t>
      </w:r>
      <w:r>
        <w:rPr>
          <w:rFonts w:ascii="Arial" w:hAnsi="Arial" w:cs="Arial"/>
          <w:color w:val="7B7B7B" w:themeColor="accent3" w:themeShade="BF"/>
          <w:sz w:val="22"/>
          <w:szCs w:val="22"/>
          <w:lang w:val="en-GB"/>
        </w:rPr>
        <w:t xml:space="preserve"> requesting recognition;</w:t>
      </w:r>
    </w:p>
    <w:p w14:paraId="60B8DD3A" w14:textId="77777777" w:rsidR="00BB12C6" w:rsidRDefault="00BB12C6" w:rsidP="00E8021D">
      <w:pPr>
        <w:pStyle w:val="ListParagraph"/>
        <w:jc w:val="both"/>
        <w:rPr>
          <w:rFonts w:ascii="Arial" w:hAnsi="Arial" w:cs="Arial"/>
          <w:color w:val="7B7B7B" w:themeColor="accent3" w:themeShade="BF"/>
          <w:sz w:val="22"/>
          <w:szCs w:val="22"/>
          <w:lang w:val="en-GB"/>
        </w:rPr>
      </w:pPr>
    </w:p>
    <w:p w14:paraId="5392CD11" w14:textId="152B4496" w:rsidR="00BB12C6" w:rsidRDefault="00BB12C6" w:rsidP="00E8021D">
      <w:pPr>
        <w:pStyle w:val="ListParagraph"/>
        <w:numPr>
          <w:ilvl w:val="0"/>
          <w:numId w:val="23"/>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EU member state is a “relevant country” under </w:t>
      </w:r>
      <w:r w:rsidRPr="00BB12C6">
        <w:rPr>
          <w:rFonts w:ascii="Arial" w:hAnsi="Arial" w:cs="Arial"/>
          <w:color w:val="7B7B7B" w:themeColor="accent3" w:themeShade="BF"/>
          <w:sz w:val="22"/>
          <w:szCs w:val="22"/>
          <w:lang w:val="en-GB"/>
        </w:rPr>
        <w:t>section 426 of the Insolvency A</w:t>
      </w:r>
      <w:r>
        <w:rPr>
          <w:rFonts w:ascii="Arial" w:hAnsi="Arial" w:cs="Arial"/>
          <w:color w:val="7B7B7B" w:themeColor="accent3" w:themeShade="BF"/>
          <w:sz w:val="22"/>
          <w:szCs w:val="22"/>
          <w:lang w:val="en-GB"/>
        </w:rPr>
        <w:t>ct 1986</w:t>
      </w:r>
      <w:r w:rsidR="004A75AD">
        <w:rPr>
          <w:rFonts w:ascii="Arial" w:hAnsi="Arial" w:cs="Arial"/>
          <w:color w:val="7B7B7B" w:themeColor="accent3" w:themeShade="BF"/>
          <w:sz w:val="22"/>
          <w:szCs w:val="22"/>
          <w:lang w:val="en-GB"/>
        </w:rPr>
        <w:t xml:space="preserve"> (“IA 1986”)</w:t>
      </w:r>
      <w:r>
        <w:rPr>
          <w:rFonts w:ascii="Arial" w:hAnsi="Arial" w:cs="Arial"/>
          <w:color w:val="7B7B7B" w:themeColor="accent3" w:themeShade="BF"/>
          <w:sz w:val="22"/>
          <w:szCs w:val="22"/>
          <w:lang w:val="en-GB"/>
        </w:rPr>
        <w:t xml:space="preserve">, the insolvency practitioner may also apply to the UK court for assistance under section 426 </w:t>
      </w:r>
      <w:r w:rsidR="004A75AD">
        <w:rPr>
          <w:rFonts w:ascii="Arial" w:hAnsi="Arial" w:cs="Arial"/>
          <w:color w:val="7B7B7B" w:themeColor="accent3" w:themeShade="BF"/>
          <w:sz w:val="22"/>
          <w:szCs w:val="22"/>
          <w:lang w:val="en-GB"/>
        </w:rPr>
        <w:t>IA 1986</w:t>
      </w:r>
      <w:r>
        <w:rPr>
          <w:rFonts w:ascii="Arial" w:hAnsi="Arial" w:cs="Arial"/>
          <w:color w:val="7B7B7B" w:themeColor="accent3" w:themeShade="BF"/>
          <w:sz w:val="22"/>
          <w:szCs w:val="22"/>
          <w:lang w:val="en-GB"/>
        </w:rPr>
        <w:t>. In this regard, Ireland is the only EU member state which is listed as a “relevant country”; and</w:t>
      </w:r>
    </w:p>
    <w:p w14:paraId="56D5FCF5" w14:textId="77777777" w:rsidR="00BB12C6" w:rsidRPr="00BB12C6" w:rsidRDefault="00BB12C6" w:rsidP="00E8021D">
      <w:pPr>
        <w:pStyle w:val="ListParagraph"/>
        <w:jc w:val="both"/>
        <w:rPr>
          <w:rFonts w:ascii="Arial" w:hAnsi="Arial" w:cs="Arial"/>
          <w:color w:val="7B7B7B" w:themeColor="accent3" w:themeShade="BF"/>
          <w:sz w:val="22"/>
          <w:szCs w:val="22"/>
          <w:lang w:val="en-GB"/>
        </w:rPr>
      </w:pPr>
    </w:p>
    <w:p w14:paraId="5D8E0A63" w14:textId="10ED2701" w:rsidR="00BB12C6" w:rsidRPr="006E0901" w:rsidRDefault="00BB12C6" w:rsidP="00E8021D">
      <w:pPr>
        <w:pStyle w:val="ListParagraph"/>
        <w:numPr>
          <w:ilvl w:val="0"/>
          <w:numId w:val="23"/>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practitioner may also be able to rely on the English common law principle </w:t>
      </w:r>
      <w:r w:rsidR="00DD5214">
        <w:rPr>
          <w:rFonts w:ascii="Arial" w:hAnsi="Arial" w:cs="Arial"/>
          <w:color w:val="7B7B7B" w:themeColor="accent3" w:themeShade="BF"/>
          <w:sz w:val="22"/>
          <w:szCs w:val="22"/>
          <w:lang w:val="en-GB"/>
        </w:rPr>
        <w:t>of comity to seek assistance of the UK court for the insolvency proceeding by the EU member state.</w:t>
      </w:r>
    </w:p>
    <w:p w14:paraId="494E2C68" w14:textId="2379277A" w:rsidR="006E0901" w:rsidRDefault="006E0901" w:rsidP="00B7193E">
      <w:pPr>
        <w:jc w:val="both"/>
        <w:rPr>
          <w:rFonts w:ascii="Arial" w:hAnsi="Arial" w:cs="Arial"/>
          <w:b/>
          <w:bCs/>
          <w:sz w:val="22"/>
          <w:szCs w:val="22"/>
          <w:lang w:val="en-GB"/>
        </w:rPr>
      </w:pPr>
    </w:p>
    <w:p w14:paraId="79EC2C0A" w14:textId="39523CEC" w:rsidR="006E0901" w:rsidRPr="00205B31" w:rsidRDefault="006E0901"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666F211E" w14:textId="0E04FB82" w:rsidR="00490F95" w:rsidRDefault="00490F95" w:rsidP="00E8021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dealing with a cross-border insolvency matter, the UK court must address the three (3) pertinent questions as raised by Fletcher,</w:t>
      </w:r>
      <w:r>
        <w:rPr>
          <w:rStyle w:val="FootnoteReference"/>
          <w:rFonts w:ascii="Arial" w:hAnsi="Arial" w:cs="Arial"/>
          <w:color w:val="7B7B7B" w:themeColor="accent3" w:themeShade="BF"/>
          <w:sz w:val="22"/>
          <w:szCs w:val="22"/>
          <w:lang w:val="en-GB"/>
        </w:rPr>
        <w:footnoteReference w:id="35"/>
      </w:r>
      <w:r>
        <w:rPr>
          <w:rFonts w:ascii="Arial" w:hAnsi="Arial" w:cs="Arial"/>
          <w:color w:val="7B7B7B" w:themeColor="accent3" w:themeShade="BF"/>
          <w:sz w:val="22"/>
          <w:szCs w:val="22"/>
          <w:lang w:val="en-GB"/>
        </w:rPr>
        <w:t xml:space="preserve"> that is –</w:t>
      </w:r>
    </w:p>
    <w:p w14:paraId="5219E947" w14:textId="364B92C6" w:rsidR="00490F95" w:rsidRDefault="00490F95" w:rsidP="00E8021D">
      <w:pPr>
        <w:pStyle w:val="ListParagraph"/>
        <w:numPr>
          <w:ilvl w:val="0"/>
          <w:numId w:val="25"/>
        </w:numPr>
        <w:autoSpaceDE w:val="0"/>
        <w:autoSpaceDN w:val="0"/>
        <w:adjustRightInd w:val="0"/>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choice of </w:t>
      </w:r>
      <w:r w:rsidR="00470380">
        <w:rPr>
          <w:rFonts w:ascii="Arial" w:hAnsi="Arial" w:cs="Arial"/>
          <w:color w:val="7B7B7B" w:themeColor="accent3" w:themeShade="BF"/>
          <w:sz w:val="22"/>
          <w:szCs w:val="22"/>
          <w:lang w:val="en-GB"/>
        </w:rPr>
        <w:t>forum to exercise jurisdiction in the matter;</w:t>
      </w:r>
    </w:p>
    <w:p w14:paraId="6BDD2892" w14:textId="0FC7367D" w:rsidR="00470380" w:rsidRDefault="00470380" w:rsidP="00E8021D">
      <w:pPr>
        <w:pStyle w:val="ListParagraph"/>
        <w:numPr>
          <w:ilvl w:val="0"/>
          <w:numId w:val="25"/>
        </w:numPr>
        <w:autoSpaceDE w:val="0"/>
        <w:autoSpaceDN w:val="0"/>
        <w:adjustRightInd w:val="0"/>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choice of law to apply to the matter; and</w:t>
      </w:r>
    </w:p>
    <w:p w14:paraId="4F28E625" w14:textId="11B955DF" w:rsidR="00470380" w:rsidRDefault="00470380" w:rsidP="00E8021D">
      <w:pPr>
        <w:pStyle w:val="ListParagraph"/>
        <w:numPr>
          <w:ilvl w:val="0"/>
          <w:numId w:val="25"/>
        </w:numPr>
        <w:autoSpaceDE w:val="0"/>
        <w:autoSpaceDN w:val="0"/>
        <w:adjustRightInd w:val="0"/>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and effect accorded foreign proceedings in the same matter.</w:t>
      </w:r>
    </w:p>
    <w:p w14:paraId="3C3E66A1" w14:textId="77777777" w:rsidR="00470380" w:rsidRPr="00470380" w:rsidRDefault="00470380" w:rsidP="00E8021D">
      <w:pPr>
        <w:autoSpaceDE w:val="0"/>
        <w:autoSpaceDN w:val="0"/>
        <w:adjustRightInd w:val="0"/>
        <w:jc w:val="both"/>
        <w:rPr>
          <w:rFonts w:ascii="Arial" w:hAnsi="Arial" w:cs="Arial"/>
          <w:color w:val="7B7B7B" w:themeColor="accent3" w:themeShade="BF"/>
          <w:sz w:val="22"/>
          <w:szCs w:val="22"/>
          <w:lang w:val="en-GB"/>
        </w:rPr>
      </w:pPr>
    </w:p>
    <w:p w14:paraId="1BAEA420" w14:textId="5115C28F" w:rsidR="007759D3" w:rsidRDefault="007759D3" w:rsidP="00E8021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the EIR Recast would not be applicable to the insolvency proceeding opened in the UK on 18 June 2021, one would have to look at the domestic </w:t>
      </w:r>
      <w:r w:rsidR="00E8021D">
        <w:rPr>
          <w:rFonts w:ascii="Arial" w:hAnsi="Arial" w:cs="Arial"/>
          <w:color w:val="7B7B7B" w:themeColor="accent3" w:themeShade="BF"/>
          <w:sz w:val="22"/>
          <w:szCs w:val="22"/>
          <w:lang w:val="en-GB"/>
        </w:rPr>
        <w:t xml:space="preserve">laws and private international </w:t>
      </w:r>
      <w:r>
        <w:rPr>
          <w:rFonts w:ascii="Arial" w:hAnsi="Arial" w:cs="Arial"/>
          <w:color w:val="7B7B7B" w:themeColor="accent3" w:themeShade="BF"/>
          <w:sz w:val="22"/>
          <w:szCs w:val="22"/>
          <w:lang w:val="en-GB"/>
        </w:rPr>
        <w:t xml:space="preserve">laws of the UK to </w:t>
      </w:r>
      <w:r w:rsidR="00470380">
        <w:rPr>
          <w:rFonts w:ascii="Arial" w:hAnsi="Arial" w:cs="Arial"/>
          <w:color w:val="7B7B7B" w:themeColor="accent3" w:themeShade="BF"/>
          <w:sz w:val="22"/>
          <w:szCs w:val="22"/>
          <w:lang w:val="en-GB"/>
        </w:rPr>
        <w:t xml:space="preserve">answer the above three (3) question and </w:t>
      </w:r>
      <w:r>
        <w:rPr>
          <w:rFonts w:ascii="Arial" w:hAnsi="Arial" w:cs="Arial"/>
          <w:color w:val="7B7B7B" w:themeColor="accent3" w:themeShade="BF"/>
          <w:sz w:val="22"/>
          <w:szCs w:val="22"/>
          <w:lang w:val="en-GB"/>
        </w:rPr>
        <w:t>determine if the minor creditor could commence the UK insolvency proceedings.</w:t>
      </w:r>
    </w:p>
    <w:p w14:paraId="22FD27D8" w14:textId="1E51E191" w:rsidR="00470380" w:rsidRDefault="00470380" w:rsidP="00E8021D">
      <w:pPr>
        <w:autoSpaceDE w:val="0"/>
        <w:autoSpaceDN w:val="0"/>
        <w:adjustRightInd w:val="0"/>
        <w:jc w:val="both"/>
        <w:rPr>
          <w:rFonts w:ascii="Arial" w:hAnsi="Arial" w:cs="Arial"/>
          <w:color w:val="7B7B7B" w:themeColor="accent3" w:themeShade="BF"/>
          <w:sz w:val="22"/>
          <w:szCs w:val="22"/>
          <w:lang w:val="en-GB"/>
        </w:rPr>
      </w:pPr>
    </w:p>
    <w:p w14:paraId="464735F1" w14:textId="37E5DE99" w:rsidR="00470380" w:rsidRPr="00470380" w:rsidRDefault="00470380" w:rsidP="00E8021D">
      <w:pPr>
        <w:autoSpaceDE w:val="0"/>
        <w:autoSpaceDN w:val="0"/>
        <w:adjustRightInd w:val="0"/>
        <w:jc w:val="both"/>
        <w:rPr>
          <w:rFonts w:ascii="Arial" w:hAnsi="Arial" w:cs="Arial"/>
          <w:color w:val="7B7B7B" w:themeColor="accent3" w:themeShade="BF"/>
          <w:sz w:val="22"/>
          <w:szCs w:val="22"/>
          <w:u w:val="single"/>
          <w:lang w:val="en-GB"/>
        </w:rPr>
      </w:pPr>
      <w:r w:rsidRPr="00470380">
        <w:rPr>
          <w:rFonts w:ascii="Arial" w:hAnsi="Arial" w:cs="Arial"/>
          <w:color w:val="7B7B7B" w:themeColor="accent3" w:themeShade="BF"/>
          <w:sz w:val="22"/>
          <w:szCs w:val="22"/>
          <w:u w:val="single"/>
          <w:lang w:val="en-GB"/>
        </w:rPr>
        <w:t>The choice of forum to exercise jurisdiction in the matter</w:t>
      </w:r>
    </w:p>
    <w:p w14:paraId="18FC5D41" w14:textId="60E005AA" w:rsidR="007759D3" w:rsidRDefault="007759D3" w:rsidP="00E8021D">
      <w:pPr>
        <w:autoSpaceDE w:val="0"/>
        <w:autoSpaceDN w:val="0"/>
        <w:adjustRightInd w:val="0"/>
        <w:jc w:val="both"/>
        <w:rPr>
          <w:rFonts w:ascii="Arial" w:hAnsi="Arial" w:cs="Arial"/>
          <w:color w:val="7B7B7B" w:themeColor="accent3" w:themeShade="BF"/>
          <w:sz w:val="22"/>
          <w:szCs w:val="22"/>
          <w:lang w:val="en-GB"/>
        </w:rPr>
      </w:pPr>
    </w:p>
    <w:p w14:paraId="2D3881B4" w14:textId="4674A520" w:rsidR="00A52553" w:rsidRDefault="005D6141" w:rsidP="00E8021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UK domestic law to determine </w:t>
      </w:r>
      <w:r w:rsidR="00470380">
        <w:rPr>
          <w:rFonts w:ascii="Arial" w:hAnsi="Arial" w:cs="Arial"/>
          <w:color w:val="7B7B7B" w:themeColor="accent3" w:themeShade="BF"/>
          <w:sz w:val="22"/>
          <w:szCs w:val="22"/>
          <w:lang w:val="en-GB"/>
        </w:rPr>
        <w:t>jurisdiction for the Rydell insolvency proceeding by the minor creditor</w:t>
      </w:r>
      <w:r w:rsidR="00DD521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is the</w:t>
      </w:r>
      <w:r w:rsidR="00DD5214">
        <w:rPr>
          <w:rFonts w:ascii="Arial" w:hAnsi="Arial" w:cs="Arial"/>
          <w:color w:val="7B7B7B" w:themeColor="accent3" w:themeShade="BF"/>
          <w:sz w:val="22"/>
          <w:szCs w:val="22"/>
          <w:lang w:val="en-GB"/>
        </w:rPr>
        <w:t xml:space="preserve"> Insolvency Act 1986 (“IA 1986”). Section 221</w:t>
      </w:r>
      <w:r w:rsidR="00A52553">
        <w:rPr>
          <w:rFonts w:ascii="Arial" w:hAnsi="Arial" w:cs="Arial"/>
          <w:color w:val="7B7B7B" w:themeColor="accent3" w:themeShade="BF"/>
          <w:sz w:val="22"/>
          <w:szCs w:val="22"/>
          <w:lang w:val="en-GB"/>
        </w:rPr>
        <w:t>(1)</w:t>
      </w:r>
      <w:r w:rsidR="00DD5214">
        <w:rPr>
          <w:rFonts w:ascii="Arial" w:hAnsi="Arial" w:cs="Arial"/>
          <w:color w:val="7B7B7B" w:themeColor="accent3" w:themeShade="BF"/>
          <w:sz w:val="22"/>
          <w:szCs w:val="22"/>
          <w:lang w:val="en-GB"/>
        </w:rPr>
        <w:t xml:space="preserve"> IA 1986 provides that an unregistered company may be wound-up in the UK under the IA 1986. An “unregistered company” includes any association and any company, with the exception of a company registered under the Companies Act 2006 in any part of the UK.</w:t>
      </w:r>
      <w:r w:rsidR="00DD5214">
        <w:rPr>
          <w:rStyle w:val="FootnoteReference"/>
          <w:rFonts w:ascii="Arial" w:hAnsi="Arial" w:cs="Arial"/>
          <w:color w:val="7B7B7B" w:themeColor="accent3" w:themeShade="BF"/>
          <w:sz w:val="22"/>
          <w:szCs w:val="22"/>
          <w:lang w:val="en-GB"/>
        </w:rPr>
        <w:footnoteReference w:id="36"/>
      </w:r>
      <w:r w:rsidR="00DD5214">
        <w:rPr>
          <w:rFonts w:ascii="Arial" w:hAnsi="Arial" w:cs="Arial"/>
          <w:color w:val="7B7B7B" w:themeColor="accent3" w:themeShade="BF"/>
          <w:sz w:val="22"/>
          <w:szCs w:val="22"/>
          <w:lang w:val="en-GB"/>
        </w:rPr>
        <w:t xml:space="preserve"> Hence, </w:t>
      </w:r>
      <w:r w:rsidR="00A52553">
        <w:rPr>
          <w:rFonts w:ascii="Arial" w:hAnsi="Arial" w:cs="Arial"/>
          <w:color w:val="7B7B7B" w:themeColor="accent3" w:themeShade="BF"/>
          <w:sz w:val="22"/>
          <w:szCs w:val="22"/>
          <w:lang w:val="en-GB"/>
        </w:rPr>
        <w:t xml:space="preserve">Rydell, </w:t>
      </w:r>
      <w:r w:rsidR="00DD5214">
        <w:rPr>
          <w:rFonts w:ascii="Arial" w:hAnsi="Arial" w:cs="Arial"/>
          <w:color w:val="7B7B7B" w:themeColor="accent3" w:themeShade="BF"/>
          <w:sz w:val="22"/>
          <w:szCs w:val="22"/>
          <w:lang w:val="en-GB"/>
        </w:rPr>
        <w:t>a foreign company that has an office in the UK could fall within the meaning of an “unregistered company”</w:t>
      </w:r>
      <w:r w:rsidR="00A52553">
        <w:rPr>
          <w:rFonts w:ascii="Arial" w:hAnsi="Arial" w:cs="Arial"/>
          <w:color w:val="7B7B7B" w:themeColor="accent3" w:themeShade="BF"/>
          <w:sz w:val="22"/>
          <w:szCs w:val="22"/>
          <w:lang w:val="en-GB"/>
        </w:rPr>
        <w:t xml:space="preserve"> under IA 1986.</w:t>
      </w:r>
      <w:r w:rsidR="00DD5214">
        <w:rPr>
          <w:rFonts w:ascii="Arial" w:hAnsi="Arial" w:cs="Arial"/>
          <w:color w:val="7B7B7B" w:themeColor="accent3" w:themeShade="BF"/>
          <w:sz w:val="22"/>
          <w:szCs w:val="22"/>
          <w:lang w:val="en-GB"/>
        </w:rPr>
        <w:t xml:space="preserve"> </w:t>
      </w:r>
    </w:p>
    <w:p w14:paraId="1F5CDE0B" w14:textId="77777777" w:rsidR="00A52553" w:rsidRDefault="00A52553" w:rsidP="00E8021D">
      <w:pPr>
        <w:autoSpaceDE w:val="0"/>
        <w:autoSpaceDN w:val="0"/>
        <w:adjustRightInd w:val="0"/>
        <w:jc w:val="both"/>
        <w:rPr>
          <w:rFonts w:ascii="Arial" w:hAnsi="Arial" w:cs="Arial"/>
          <w:color w:val="7B7B7B" w:themeColor="accent3" w:themeShade="BF"/>
          <w:sz w:val="22"/>
          <w:szCs w:val="22"/>
          <w:lang w:val="en-GB"/>
        </w:rPr>
      </w:pPr>
    </w:p>
    <w:p w14:paraId="45450730" w14:textId="6927571B" w:rsidR="00A52553" w:rsidRDefault="00A52553" w:rsidP="00E8021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circumstances in which an unregistered company may be wound up under the IA 1986 are as follows</w:t>
      </w:r>
      <w:r>
        <w:rPr>
          <w:rStyle w:val="FootnoteReference"/>
          <w:rFonts w:ascii="Arial" w:hAnsi="Arial" w:cs="Arial"/>
          <w:color w:val="7B7B7B" w:themeColor="accent3" w:themeShade="BF"/>
          <w:sz w:val="22"/>
          <w:szCs w:val="22"/>
          <w:lang w:val="en-GB"/>
        </w:rPr>
        <w:footnoteReference w:id="37"/>
      </w:r>
      <w:r>
        <w:rPr>
          <w:rFonts w:ascii="Arial" w:hAnsi="Arial" w:cs="Arial"/>
          <w:color w:val="7B7B7B" w:themeColor="accent3" w:themeShade="BF"/>
          <w:sz w:val="22"/>
          <w:szCs w:val="22"/>
          <w:lang w:val="en-GB"/>
        </w:rPr>
        <w:t xml:space="preserve"> –</w:t>
      </w:r>
    </w:p>
    <w:p w14:paraId="3CAE42BE" w14:textId="09189E36" w:rsidR="00015EE6" w:rsidRPr="00A52553" w:rsidRDefault="00A52553" w:rsidP="00E8021D">
      <w:pPr>
        <w:pStyle w:val="ListParagraph"/>
        <w:numPr>
          <w:ilvl w:val="0"/>
          <w:numId w:val="24"/>
        </w:numPr>
        <w:autoSpaceDE w:val="0"/>
        <w:autoSpaceDN w:val="0"/>
        <w:adjustRightInd w:val="0"/>
        <w:ind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if the company is dissolved, or has ceased to carry on business, or is carrying on business only for the purposes of winding up its affairs;</w:t>
      </w:r>
    </w:p>
    <w:p w14:paraId="107A3F55" w14:textId="7B190694" w:rsidR="00A52553" w:rsidRPr="00A52553" w:rsidRDefault="00A52553" w:rsidP="00E8021D">
      <w:pPr>
        <w:pStyle w:val="ListParagraph"/>
        <w:numPr>
          <w:ilvl w:val="0"/>
          <w:numId w:val="24"/>
        </w:numPr>
        <w:autoSpaceDE w:val="0"/>
        <w:autoSpaceDN w:val="0"/>
        <w:adjustRightInd w:val="0"/>
        <w:ind w:hanging="720"/>
        <w:jc w:val="both"/>
        <w:rPr>
          <w:rFonts w:ascii="Arial" w:hAnsi="Arial" w:cs="Arial"/>
          <w:sz w:val="22"/>
          <w:szCs w:val="22"/>
          <w:lang w:val="en-GB"/>
        </w:rPr>
      </w:pPr>
      <w:r>
        <w:rPr>
          <w:rFonts w:ascii="Arial" w:hAnsi="Arial" w:cs="Arial"/>
          <w:color w:val="7B7B7B" w:themeColor="accent3" w:themeShade="BF"/>
          <w:sz w:val="22"/>
          <w:szCs w:val="22"/>
          <w:lang w:val="en-GB"/>
        </w:rPr>
        <w:t>if the company is unable to pay its debts;</w:t>
      </w:r>
    </w:p>
    <w:p w14:paraId="0A1E4AAA" w14:textId="51C3492C" w:rsidR="00A52553" w:rsidRPr="00A52553" w:rsidRDefault="00A52553" w:rsidP="00E8021D">
      <w:pPr>
        <w:pStyle w:val="ListParagraph"/>
        <w:numPr>
          <w:ilvl w:val="0"/>
          <w:numId w:val="24"/>
        </w:numPr>
        <w:autoSpaceDE w:val="0"/>
        <w:autoSpaceDN w:val="0"/>
        <w:adjustRightInd w:val="0"/>
        <w:ind w:hanging="720"/>
        <w:jc w:val="both"/>
        <w:rPr>
          <w:rFonts w:ascii="Arial" w:hAnsi="Arial" w:cs="Arial"/>
          <w:sz w:val="22"/>
          <w:szCs w:val="22"/>
          <w:lang w:val="en-GB"/>
        </w:rPr>
      </w:pPr>
      <w:r>
        <w:rPr>
          <w:rFonts w:ascii="Arial" w:hAnsi="Arial" w:cs="Arial"/>
          <w:color w:val="7B7B7B" w:themeColor="accent3" w:themeShade="BF"/>
          <w:sz w:val="22"/>
          <w:szCs w:val="22"/>
          <w:lang w:val="en-GB"/>
        </w:rPr>
        <w:t>if the court is of the opinion that it is just and equitable that the company should be wound-up.</w:t>
      </w:r>
    </w:p>
    <w:p w14:paraId="4BDAFB78" w14:textId="174F4E0D" w:rsidR="00A52553" w:rsidRDefault="00A52553" w:rsidP="00E8021D">
      <w:pPr>
        <w:autoSpaceDE w:val="0"/>
        <w:autoSpaceDN w:val="0"/>
        <w:adjustRightInd w:val="0"/>
        <w:jc w:val="both"/>
        <w:rPr>
          <w:rFonts w:ascii="Arial" w:hAnsi="Arial" w:cs="Arial"/>
          <w:sz w:val="22"/>
          <w:szCs w:val="22"/>
          <w:lang w:val="en-GB"/>
        </w:rPr>
      </w:pPr>
    </w:p>
    <w:p w14:paraId="5872117A" w14:textId="3D2ED839" w:rsidR="00E57A83" w:rsidRDefault="00C21D76" w:rsidP="00E8021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Though the circumstances in section 221(5) IA 1986 are very widely drafted, English courts generally do not exercise jurisdiction to wind-up a foreign company unless there is a sufficient connection with </w:t>
      </w:r>
      <w:r w:rsidR="00E8021D">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UK.</w:t>
      </w:r>
      <w:r>
        <w:rPr>
          <w:rStyle w:val="FootnoteReference"/>
          <w:rFonts w:ascii="Arial" w:hAnsi="Arial" w:cs="Arial"/>
          <w:color w:val="7B7B7B" w:themeColor="accent3" w:themeShade="BF"/>
          <w:sz w:val="22"/>
          <w:szCs w:val="22"/>
          <w:lang w:val="en-GB"/>
        </w:rPr>
        <w:footnoteReference w:id="38"/>
      </w:r>
      <w:r>
        <w:rPr>
          <w:rFonts w:ascii="Arial" w:hAnsi="Arial" w:cs="Arial"/>
          <w:color w:val="7B7B7B" w:themeColor="accent3" w:themeShade="BF"/>
          <w:sz w:val="22"/>
          <w:szCs w:val="22"/>
          <w:lang w:val="en-GB"/>
        </w:rPr>
        <w:t xml:space="preserve"> The relevant principles that English courts have considered in the exercise of this jurisdiction have been summarised by Knox J in </w:t>
      </w:r>
      <w:r>
        <w:rPr>
          <w:rFonts w:ascii="Arial" w:hAnsi="Arial" w:cs="Arial"/>
          <w:i/>
          <w:color w:val="7B7B7B" w:themeColor="accent3" w:themeShade="BF"/>
          <w:sz w:val="22"/>
          <w:szCs w:val="22"/>
          <w:lang w:val="en-GB"/>
        </w:rPr>
        <w:t>Real Estate Development Co</w:t>
      </w:r>
      <w:r>
        <w:rPr>
          <w:rStyle w:val="FootnoteReference"/>
          <w:rFonts w:ascii="Arial" w:hAnsi="Arial" w:cs="Arial"/>
          <w:i/>
          <w:color w:val="7B7B7B" w:themeColor="accent3" w:themeShade="BF"/>
          <w:sz w:val="22"/>
          <w:szCs w:val="22"/>
          <w:lang w:val="en-GB"/>
        </w:rPr>
        <w:footnoteReference w:id="39"/>
      </w:r>
      <w:r w:rsidR="002C2195">
        <w:rPr>
          <w:rFonts w:ascii="Arial" w:hAnsi="Arial" w:cs="Arial"/>
          <w:color w:val="7B7B7B" w:themeColor="accent3" w:themeShade="BF"/>
          <w:sz w:val="22"/>
          <w:szCs w:val="22"/>
          <w:lang w:val="en-GB"/>
        </w:rPr>
        <w:t xml:space="preserve"> as follows –</w:t>
      </w:r>
    </w:p>
    <w:p w14:paraId="69A4C171" w14:textId="3EC4E363" w:rsidR="002C2195" w:rsidRDefault="003F5969" w:rsidP="00E8021D">
      <w:pPr>
        <w:autoSpaceDE w:val="0"/>
        <w:autoSpaceDN w:val="0"/>
        <w:adjustRightInd w:val="0"/>
        <w:ind w:left="720" w:hanging="720"/>
        <w:jc w:val="both"/>
        <w:rPr>
          <w:rFonts w:ascii="Arial" w:hAnsi="Arial" w:cs="Arial"/>
          <w:i/>
          <w:color w:val="7B7B7B" w:themeColor="accent3" w:themeShade="BF"/>
          <w:sz w:val="22"/>
          <w:szCs w:val="22"/>
          <w:lang w:val="en-GB"/>
        </w:rPr>
      </w:pPr>
      <w:r w:rsidRPr="003F5969">
        <w:rPr>
          <w:rFonts w:ascii="Arial" w:hAnsi="Arial" w:cs="Arial"/>
          <w:i/>
          <w:color w:val="7B7B7B" w:themeColor="accent3" w:themeShade="BF"/>
          <w:sz w:val="22"/>
          <w:szCs w:val="22"/>
          <w:lang w:val="en-GB"/>
        </w:rPr>
        <w:t>“(1)</w:t>
      </w:r>
      <w:r w:rsidRPr="003F5969">
        <w:rPr>
          <w:rFonts w:ascii="Arial" w:hAnsi="Arial" w:cs="Arial"/>
          <w:i/>
          <w:color w:val="7B7B7B" w:themeColor="accent3" w:themeShade="BF"/>
          <w:sz w:val="22"/>
          <w:szCs w:val="22"/>
          <w:lang w:val="en-GB"/>
        </w:rPr>
        <w:tab/>
        <w:t xml:space="preserve">There must be a sufficient connection with </w:t>
      </w:r>
      <w:r>
        <w:rPr>
          <w:rFonts w:ascii="Arial" w:hAnsi="Arial" w:cs="Arial"/>
          <w:i/>
          <w:color w:val="7B7B7B" w:themeColor="accent3" w:themeShade="BF"/>
          <w:sz w:val="22"/>
          <w:szCs w:val="22"/>
          <w:lang w:val="en-GB"/>
        </w:rPr>
        <w:t>England and Wales which may, but does not necessarily have to, consist of assets within the jurisdiction.</w:t>
      </w:r>
    </w:p>
    <w:p w14:paraId="5EB79DC4" w14:textId="780FF3FB" w:rsidR="003F5969" w:rsidRDefault="003F5969" w:rsidP="00E8021D">
      <w:pPr>
        <w:autoSpaceDE w:val="0"/>
        <w:autoSpaceDN w:val="0"/>
        <w:adjustRightInd w:val="0"/>
        <w:ind w:left="720" w:hanging="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(2)</w:t>
      </w:r>
      <w:r>
        <w:rPr>
          <w:rFonts w:ascii="Arial" w:hAnsi="Arial" w:cs="Arial"/>
          <w:i/>
          <w:color w:val="7B7B7B" w:themeColor="accent3" w:themeShade="BF"/>
          <w:sz w:val="22"/>
          <w:szCs w:val="22"/>
          <w:lang w:val="en-GB"/>
        </w:rPr>
        <w:tab/>
        <w:t>There must be a reasonable possibility, if a winding-up order is made, of benefit to those applying for the winding-up order.</w:t>
      </w:r>
    </w:p>
    <w:p w14:paraId="04C9862B" w14:textId="55876946" w:rsidR="003F5969" w:rsidRPr="003F5969" w:rsidRDefault="003F5969" w:rsidP="00E8021D">
      <w:pPr>
        <w:autoSpaceDE w:val="0"/>
        <w:autoSpaceDN w:val="0"/>
        <w:adjustRightInd w:val="0"/>
        <w:ind w:left="720" w:hanging="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(3)</w:t>
      </w:r>
      <w:r>
        <w:rPr>
          <w:rFonts w:ascii="Arial" w:hAnsi="Arial" w:cs="Arial"/>
          <w:i/>
          <w:color w:val="7B7B7B" w:themeColor="accent3" w:themeShade="BF"/>
          <w:sz w:val="22"/>
          <w:szCs w:val="22"/>
          <w:lang w:val="en-GB"/>
        </w:rPr>
        <w:tab/>
        <w:t>One or more persons interested in the distribution of assets of the company must be persons over whom the court can exercise a jurisdiction.”</w:t>
      </w:r>
    </w:p>
    <w:p w14:paraId="1C18DEF4" w14:textId="77777777" w:rsidR="003F5969" w:rsidRDefault="003F5969" w:rsidP="00E8021D">
      <w:pPr>
        <w:autoSpaceDE w:val="0"/>
        <w:autoSpaceDN w:val="0"/>
        <w:adjustRightInd w:val="0"/>
        <w:jc w:val="both"/>
        <w:rPr>
          <w:rFonts w:ascii="Arial" w:hAnsi="Arial" w:cs="Arial"/>
          <w:color w:val="7B7B7B" w:themeColor="accent3" w:themeShade="BF"/>
          <w:sz w:val="22"/>
          <w:szCs w:val="22"/>
          <w:lang w:val="en-GB"/>
        </w:rPr>
      </w:pPr>
    </w:p>
    <w:p w14:paraId="110EABA2" w14:textId="6D391EB7" w:rsidR="00A52553" w:rsidRDefault="00A52553" w:rsidP="00E8021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facts of the case, it is highly likely that Rydell would satisfy the requirement of being unable to pay its debts.</w:t>
      </w:r>
      <w:r>
        <w:rPr>
          <w:rStyle w:val="FootnoteReference"/>
          <w:rFonts w:ascii="Arial" w:hAnsi="Arial" w:cs="Arial"/>
          <w:color w:val="7B7B7B" w:themeColor="accent3" w:themeShade="BF"/>
          <w:sz w:val="22"/>
          <w:szCs w:val="22"/>
          <w:lang w:val="en-GB"/>
        </w:rPr>
        <w:footnoteReference w:id="40"/>
      </w:r>
      <w:r>
        <w:rPr>
          <w:rFonts w:ascii="Arial" w:hAnsi="Arial" w:cs="Arial"/>
          <w:color w:val="7B7B7B" w:themeColor="accent3" w:themeShade="BF"/>
          <w:sz w:val="22"/>
          <w:szCs w:val="22"/>
          <w:lang w:val="en-GB"/>
        </w:rPr>
        <w:t xml:space="preserve"> </w:t>
      </w:r>
      <w:r w:rsidR="003F5969">
        <w:rPr>
          <w:rFonts w:ascii="Arial" w:hAnsi="Arial" w:cs="Arial"/>
          <w:color w:val="7B7B7B" w:themeColor="accent3" w:themeShade="BF"/>
          <w:sz w:val="22"/>
          <w:szCs w:val="22"/>
          <w:lang w:val="en-GB"/>
        </w:rPr>
        <w:t xml:space="preserve">However, it must be noted that Rydell’s COMI is not in the UK, the creditor intending to file the UK insolvency proceedings is only a minor creditor and Frenz, the main creditor of Rydell intends to file insolvency proceedings outside the UK. Taking into consideration these factors and applying the principles stated by Knox J above, it is highly likely that the UK courts will </w:t>
      </w:r>
      <w:r w:rsidR="007604E0">
        <w:rPr>
          <w:rFonts w:ascii="Arial" w:hAnsi="Arial" w:cs="Arial"/>
          <w:color w:val="7B7B7B" w:themeColor="accent3" w:themeShade="BF"/>
          <w:sz w:val="22"/>
          <w:szCs w:val="22"/>
          <w:lang w:val="en-GB"/>
        </w:rPr>
        <w:t>come to the conclusion</w:t>
      </w:r>
      <w:r w:rsidR="003F5969">
        <w:rPr>
          <w:rFonts w:ascii="Arial" w:hAnsi="Arial" w:cs="Arial"/>
          <w:color w:val="7B7B7B" w:themeColor="accent3" w:themeShade="BF"/>
          <w:sz w:val="22"/>
          <w:szCs w:val="22"/>
          <w:lang w:val="en-GB"/>
        </w:rPr>
        <w:t xml:space="preserve"> that there isn’t a sufficient connection with the UK for the minor creditor to initiate insolvency proceedings against Rydell in the</w:t>
      </w:r>
      <w:r w:rsidR="00E8021D">
        <w:rPr>
          <w:rFonts w:ascii="Arial" w:hAnsi="Arial" w:cs="Arial"/>
          <w:color w:val="7B7B7B" w:themeColor="accent3" w:themeShade="BF"/>
          <w:sz w:val="22"/>
          <w:szCs w:val="22"/>
          <w:lang w:val="en-GB"/>
        </w:rPr>
        <w:t xml:space="preserve"> UK and hence</w:t>
      </w:r>
      <w:r w:rsidR="007604E0">
        <w:rPr>
          <w:rFonts w:ascii="Arial" w:hAnsi="Arial" w:cs="Arial"/>
          <w:color w:val="7B7B7B" w:themeColor="accent3" w:themeShade="BF"/>
          <w:sz w:val="22"/>
          <w:szCs w:val="22"/>
          <w:lang w:val="en-GB"/>
        </w:rPr>
        <w:t>, the UK court does not have jurisdiction in the matter.</w:t>
      </w:r>
    </w:p>
    <w:p w14:paraId="2C04FEE6" w14:textId="2B346C83" w:rsidR="00E57A83" w:rsidRDefault="00E57A83" w:rsidP="00E8021D">
      <w:pPr>
        <w:autoSpaceDE w:val="0"/>
        <w:autoSpaceDN w:val="0"/>
        <w:adjustRightInd w:val="0"/>
        <w:jc w:val="both"/>
        <w:rPr>
          <w:rFonts w:ascii="Arial" w:hAnsi="Arial" w:cs="Arial"/>
          <w:color w:val="7B7B7B" w:themeColor="accent3" w:themeShade="BF"/>
          <w:sz w:val="22"/>
          <w:szCs w:val="22"/>
          <w:lang w:val="en-GB"/>
        </w:rPr>
      </w:pPr>
    </w:p>
    <w:p w14:paraId="1923CCA8" w14:textId="64C8C460" w:rsidR="00470380" w:rsidRDefault="00470380" w:rsidP="00E8021D">
      <w:pPr>
        <w:autoSpaceDE w:val="0"/>
        <w:autoSpaceDN w:val="0"/>
        <w:adjustRightInd w:val="0"/>
        <w:jc w:val="both"/>
        <w:rPr>
          <w:rFonts w:ascii="Arial" w:hAnsi="Arial" w:cs="Arial"/>
          <w:color w:val="7B7B7B" w:themeColor="accent3" w:themeShade="BF"/>
          <w:sz w:val="22"/>
          <w:szCs w:val="22"/>
          <w:u w:val="single"/>
          <w:lang w:val="en-GB"/>
        </w:rPr>
      </w:pPr>
      <w:r w:rsidRPr="00470380">
        <w:rPr>
          <w:rFonts w:ascii="Arial" w:hAnsi="Arial" w:cs="Arial"/>
          <w:color w:val="7B7B7B" w:themeColor="accent3" w:themeShade="BF"/>
          <w:sz w:val="22"/>
          <w:szCs w:val="22"/>
          <w:u w:val="single"/>
          <w:lang w:val="en-GB"/>
        </w:rPr>
        <w:t>The choice of law to apply to the matter</w:t>
      </w:r>
    </w:p>
    <w:p w14:paraId="05227A62" w14:textId="71EE6354" w:rsidR="00470380" w:rsidRDefault="00470380" w:rsidP="00E8021D">
      <w:pPr>
        <w:autoSpaceDE w:val="0"/>
        <w:autoSpaceDN w:val="0"/>
        <w:adjustRightInd w:val="0"/>
        <w:jc w:val="both"/>
        <w:rPr>
          <w:rFonts w:ascii="Arial" w:hAnsi="Arial" w:cs="Arial"/>
          <w:color w:val="7B7B7B" w:themeColor="accent3" w:themeShade="BF"/>
          <w:sz w:val="22"/>
          <w:szCs w:val="22"/>
          <w:u w:val="single"/>
          <w:lang w:val="en-GB"/>
        </w:rPr>
      </w:pPr>
    </w:p>
    <w:p w14:paraId="07846145" w14:textId="65D962D7" w:rsidR="008625AB" w:rsidRDefault="003F5969" w:rsidP="00E8021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UK court decide</w:t>
      </w:r>
      <w:r w:rsidR="00E8021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that it does not have jurisdiction over insolvency proceedings in respect of Rydell, the choice of law question would </w:t>
      </w:r>
      <w:r w:rsidR="00E8021D">
        <w:rPr>
          <w:rFonts w:ascii="Arial" w:hAnsi="Arial" w:cs="Arial"/>
          <w:color w:val="7B7B7B" w:themeColor="accent3" w:themeShade="BF"/>
          <w:sz w:val="22"/>
          <w:szCs w:val="22"/>
          <w:lang w:val="en-GB"/>
        </w:rPr>
        <w:t>no longer be relevant</w:t>
      </w:r>
      <w:r>
        <w:rPr>
          <w:rFonts w:ascii="Arial" w:hAnsi="Arial" w:cs="Arial"/>
          <w:color w:val="7B7B7B" w:themeColor="accent3" w:themeShade="BF"/>
          <w:sz w:val="22"/>
          <w:szCs w:val="22"/>
          <w:lang w:val="en-GB"/>
        </w:rPr>
        <w:t xml:space="preserve">. </w:t>
      </w:r>
    </w:p>
    <w:p w14:paraId="4C55B914" w14:textId="77777777" w:rsidR="008625AB" w:rsidRDefault="008625AB" w:rsidP="00E8021D">
      <w:pPr>
        <w:autoSpaceDE w:val="0"/>
        <w:autoSpaceDN w:val="0"/>
        <w:adjustRightInd w:val="0"/>
        <w:jc w:val="both"/>
        <w:rPr>
          <w:rFonts w:ascii="Arial" w:hAnsi="Arial" w:cs="Arial"/>
          <w:color w:val="7B7B7B" w:themeColor="accent3" w:themeShade="BF"/>
          <w:sz w:val="22"/>
          <w:szCs w:val="22"/>
          <w:lang w:val="en-GB"/>
        </w:rPr>
      </w:pPr>
    </w:p>
    <w:p w14:paraId="61659090" w14:textId="0CC5F226" w:rsidR="00470380" w:rsidRDefault="008625AB" w:rsidP="00E8021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for the sake of completeness, i</w:t>
      </w:r>
      <w:r w:rsidR="002C73A2">
        <w:rPr>
          <w:rFonts w:ascii="Arial" w:hAnsi="Arial" w:cs="Arial"/>
          <w:color w:val="7B7B7B" w:themeColor="accent3" w:themeShade="BF"/>
          <w:sz w:val="22"/>
          <w:szCs w:val="22"/>
          <w:lang w:val="en-GB"/>
        </w:rPr>
        <w:t>n respect of applicable law, the domestic choice of law principles of the UK would be applicable to the winding-up of a company by an English court where international elements are involved. English law will apply to matters of procedure and substance in the winding-up of Rydell under the IA 1986.</w:t>
      </w:r>
      <w:r w:rsidR="002C73A2">
        <w:rPr>
          <w:rStyle w:val="FootnoteReference"/>
          <w:rFonts w:ascii="Arial" w:hAnsi="Arial" w:cs="Arial"/>
          <w:color w:val="7B7B7B" w:themeColor="accent3" w:themeShade="BF"/>
          <w:sz w:val="22"/>
          <w:szCs w:val="22"/>
          <w:lang w:val="en-GB"/>
        </w:rPr>
        <w:footnoteReference w:id="41"/>
      </w:r>
      <w:r w:rsidR="002C73A2">
        <w:rPr>
          <w:rFonts w:ascii="Arial" w:hAnsi="Arial" w:cs="Arial"/>
          <w:color w:val="7B7B7B" w:themeColor="accent3" w:themeShade="BF"/>
          <w:sz w:val="22"/>
          <w:szCs w:val="22"/>
          <w:lang w:val="en-GB"/>
        </w:rPr>
        <w:t xml:space="preserve"> </w:t>
      </w:r>
      <w:r w:rsidR="00E57A83">
        <w:rPr>
          <w:rFonts w:ascii="Arial" w:hAnsi="Arial" w:cs="Arial"/>
          <w:color w:val="7B7B7B" w:themeColor="accent3" w:themeShade="BF"/>
          <w:sz w:val="22"/>
          <w:szCs w:val="22"/>
          <w:lang w:val="en-GB"/>
        </w:rPr>
        <w:t>However, it is possible for reference to be made to foreign law to establish certain aspects of administration of the winding-up, for example, if the claim for a debt is governed by foreign law, reference may be made to the foreign law to establish the validity of the claim.</w:t>
      </w:r>
      <w:r w:rsidR="00E57A83">
        <w:rPr>
          <w:rStyle w:val="FootnoteReference"/>
          <w:rFonts w:ascii="Arial" w:hAnsi="Arial" w:cs="Arial"/>
          <w:color w:val="7B7B7B" w:themeColor="accent3" w:themeShade="BF"/>
          <w:sz w:val="22"/>
          <w:szCs w:val="22"/>
          <w:lang w:val="en-GB"/>
        </w:rPr>
        <w:footnoteReference w:id="42"/>
      </w:r>
      <w:r w:rsidR="00E57A83">
        <w:rPr>
          <w:rFonts w:ascii="Arial" w:hAnsi="Arial" w:cs="Arial"/>
          <w:color w:val="7B7B7B" w:themeColor="accent3" w:themeShade="BF"/>
          <w:sz w:val="22"/>
          <w:szCs w:val="22"/>
          <w:lang w:val="en-GB"/>
        </w:rPr>
        <w:t xml:space="preserve"> </w:t>
      </w:r>
    </w:p>
    <w:p w14:paraId="4F8D19FE" w14:textId="4E3B4F12" w:rsidR="002C73A2" w:rsidRDefault="002C73A2" w:rsidP="00E8021D">
      <w:pPr>
        <w:autoSpaceDE w:val="0"/>
        <w:autoSpaceDN w:val="0"/>
        <w:adjustRightInd w:val="0"/>
        <w:jc w:val="both"/>
        <w:rPr>
          <w:rFonts w:ascii="Arial" w:hAnsi="Arial" w:cs="Arial"/>
          <w:color w:val="7B7B7B" w:themeColor="accent3" w:themeShade="BF"/>
          <w:sz w:val="22"/>
          <w:szCs w:val="22"/>
          <w:lang w:val="en-GB"/>
        </w:rPr>
      </w:pPr>
    </w:p>
    <w:p w14:paraId="545542D3" w14:textId="6C8A3EB6" w:rsidR="002C73A2" w:rsidRPr="002C73A2" w:rsidRDefault="002C73A2" w:rsidP="00E8021D">
      <w:pPr>
        <w:autoSpaceDE w:val="0"/>
        <w:autoSpaceDN w:val="0"/>
        <w:adjustRightInd w:val="0"/>
        <w:jc w:val="both"/>
        <w:rPr>
          <w:rFonts w:ascii="Arial" w:hAnsi="Arial" w:cs="Arial"/>
          <w:color w:val="7B7B7B" w:themeColor="accent3" w:themeShade="BF"/>
          <w:sz w:val="22"/>
          <w:szCs w:val="22"/>
          <w:u w:val="single"/>
          <w:lang w:val="en-GB"/>
        </w:rPr>
      </w:pPr>
      <w:r w:rsidRPr="002C73A2">
        <w:rPr>
          <w:rFonts w:ascii="Arial" w:hAnsi="Arial" w:cs="Arial"/>
          <w:color w:val="7B7B7B" w:themeColor="accent3" w:themeShade="BF"/>
          <w:sz w:val="22"/>
          <w:szCs w:val="22"/>
          <w:u w:val="single"/>
          <w:lang w:val="en-GB"/>
        </w:rPr>
        <w:t>The recognition and effect accorded foreign proceedings in the same matter</w:t>
      </w:r>
    </w:p>
    <w:p w14:paraId="0E94AA9B" w14:textId="77777777" w:rsidR="002C73A2" w:rsidRPr="00470380" w:rsidRDefault="002C73A2" w:rsidP="00E8021D">
      <w:pPr>
        <w:autoSpaceDE w:val="0"/>
        <w:autoSpaceDN w:val="0"/>
        <w:adjustRightInd w:val="0"/>
        <w:jc w:val="both"/>
        <w:rPr>
          <w:rFonts w:ascii="Arial" w:hAnsi="Arial" w:cs="Arial"/>
          <w:color w:val="7B7B7B" w:themeColor="accent3" w:themeShade="BF"/>
          <w:sz w:val="22"/>
          <w:szCs w:val="22"/>
          <w:lang w:val="en-GB"/>
        </w:rPr>
      </w:pPr>
    </w:p>
    <w:p w14:paraId="04434D04" w14:textId="5651EC59" w:rsidR="00015EE6" w:rsidRPr="00C85FAE" w:rsidRDefault="007759D3" w:rsidP="00C85FA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insolvency proceedings </w:t>
      </w:r>
      <w:r w:rsidR="005D6141">
        <w:rPr>
          <w:rFonts w:ascii="Arial" w:hAnsi="Arial" w:cs="Arial"/>
          <w:color w:val="7B7B7B" w:themeColor="accent3" w:themeShade="BF"/>
          <w:sz w:val="22"/>
          <w:szCs w:val="22"/>
          <w:lang w:val="en-GB"/>
        </w:rPr>
        <w:t>are opened in the EU member state where Rydell has its COMI after the expiry of the transition period in respect of the UK’s exit from the EU, such insolvency proceedings will not be automatically recognised in the UK. However, t</w:t>
      </w:r>
      <w:r>
        <w:rPr>
          <w:rFonts w:ascii="Arial" w:hAnsi="Arial" w:cs="Arial"/>
          <w:color w:val="7B7B7B" w:themeColor="accent3" w:themeShade="BF"/>
          <w:sz w:val="22"/>
          <w:szCs w:val="22"/>
          <w:lang w:val="en-GB"/>
        </w:rPr>
        <w:t xml:space="preserve">he insolvency practitioner of </w:t>
      </w:r>
      <w:r w:rsidR="005D6141">
        <w:rPr>
          <w:rFonts w:ascii="Arial" w:hAnsi="Arial" w:cs="Arial"/>
          <w:color w:val="7B7B7B" w:themeColor="accent3" w:themeShade="BF"/>
          <w:sz w:val="22"/>
          <w:szCs w:val="22"/>
          <w:lang w:val="en-GB"/>
        </w:rPr>
        <w:t>the EU member state</w:t>
      </w:r>
      <w:r>
        <w:rPr>
          <w:rFonts w:ascii="Arial" w:hAnsi="Arial" w:cs="Arial"/>
          <w:color w:val="7B7B7B" w:themeColor="accent3" w:themeShade="BF"/>
          <w:sz w:val="22"/>
          <w:szCs w:val="22"/>
          <w:lang w:val="en-GB"/>
        </w:rPr>
        <w:t xml:space="preserve"> </w:t>
      </w:r>
      <w:r w:rsidR="005D6141">
        <w:rPr>
          <w:rFonts w:ascii="Arial" w:hAnsi="Arial" w:cs="Arial"/>
          <w:color w:val="7B7B7B" w:themeColor="accent3" w:themeShade="BF"/>
          <w:sz w:val="22"/>
          <w:szCs w:val="22"/>
          <w:lang w:val="en-GB"/>
        </w:rPr>
        <w:t xml:space="preserve">may apply to the UK court under the </w:t>
      </w:r>
      <w:r>
        <w:rPr>
          <w:rFonts w:ascii="Arial" w:hAnsi="Arial" w:cs="Arial"/>
          <w:color w:val="7B7B7B" w:themeColor="accent3" w:themeShade="BF"/>
          <w:sz w:val="22"/>
          <w:szCs w:val="22"/>
          <w:lang w:val="en-GB"/>
        </w:rPr>
        <w:t xml:space="preserve">UK’s </w:t>
      </w:r>
      <w:r w:rsidRPr="007759D3">
        <w:rPr>
          <w:rFonts w:ascii="Arial" w:hAnsi="Arial" w:cs="Arial"/>
          <w:color w:val="7B7B7B" w:themeColor="accent3" w:themeShade="BF"/>
          <w:sz w:val="22"/>
          <w:szCs w:val="22"/>
          <w:lang w:val="en-GB"/>
        </w:rPr>
        <w:lastRenderedPageBreak/>
        <w:t xml:space="preserve">Cross-Border Insolvency Regulations 2006 </w:t>
      </w:r>
      <w:r w:rsidR="005D6141">
        <w:rPr>
          <w:rFonts w:ascii="Arial" w:hAnsi="Arial" w:cs="Arial"/>
          <w:color w:val="7B7B7B" w:themeColor="accent3" w:themeShade="BF"/>
          <w:sz w:val="22"/>
          <w:szCs w:val="22"/>
          <w:lang w:val="en-GB"/>
        </w:rPr>
        <w:t xml:space="preserve">(“CBIR 2006”) </w:t>
      </w:r>
      <w:r w:rsidRPr="007759D3">
        <w:rPr>
          <w:rFonts w:ascii="Arial" w:hAnsi="Arial" w:cs="Arial"/>
          <w:color w:val="7B7B7B" w:themeColor="accent3" w:themeShade="BF"/>
          <w:sz w:val="22"/>
          <w:szCs w:val="22"/>
          <w:lang w:val="en-GB"/>
        </w:rPr>
        <w:t>which enacts the UNCITRAL Model Law on Cross-Border Insolvency in the UK</w:t>
      </w:r>
      <w:r>
        <w:rPr>
          <w:rFonts w:ascii="Arial" w:hAnsi="Arial" w:cs="Arial"/>
          <w:color w:val="7B7B7B" w:themeColor="accent3" w:themeShade="BF"/>
          <w:sz w:val="22"/>
          <w:szCs w:val="22"/>
          <w:lang w:val="en-GB"/>
        </w:rPr>
        <w:t xml:space="preserve">, </w:t>
      </w:r>
      <w:r w:rsidR="005D6141">
        <w:rPr>
          <w:rFonts w:ascii="Arial" w:hAnsi="Arial" w:cs="Arial"/>
          <w:color w:val="7B7B7B" w:themeColor="accent3" w:themeShade="BF"/>
          <w:sz w:val="22"/>
          <w:szCs w:val="22"/>
          <w:lang w:val="en-GB"/>
        </w:rPr>
        <w:t>for</w:t>
      </w:r>
      <w:r>
        <w:rPr>
          <w:rFonts w:ascii="Arial" w:hAnsi="Arial" w:cs="Arial"/>
          <w:color w:val="7B7B7B" w:themeColor="accent3" w:themeShade="BF"/>
          <w:sz w:val="22"/>
          <w:szCs w:val="22"/>
          <w:lang w:val="en-GB"/>
        </w:rPr>
        <w:t xml:space="preserve"> </w:t>
      </w:r>
      <w:r w:rsidR="00E57A83">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recognition of </w:t>
      </w:r>
      <w:r w:rsidR="00490F95">
        <w:rPr>
          <w:rFonts w:ascii="Arial" w:hAnsi="Arial" w:cs="Arial"/>
          <w:color w:val="7B7B7B" w:themeColor="accent3" w:themeShade="BF"/>
          <w:sz w:val="22"/>
          <w:szCs w:val="22"/>
          <w:lang w:val="en-GB"/>
        </w:rPr>
        <w:t>such</w:t>
      </w:r>
      <w:r>
        <w:rPr>
          <w:rFonts w:ascii="Arial" w:hAnsi="Arial" w:cs="Arial"/>
          <w:color w:val="7B7B7B" w:themeColor="accent3" w:themeShade="BF"/>
          <w:sz w:val="22"/>
          <w:szCs w:val="22"/>
          <w:lang w:val="en-GB"/>
        </w:rPr>
        <w:t xml:space="preserve"> insolvency proceedings in the UK.</w:t>
      </w:r>
      <w:r w:rsidR="005D6141">
        <w:rPr>
          <w:rFonts w:ascii="Arial" w:hAnsi="Arial" w:cs="Arial"/>
          <w:color w:val="7B7B7B" w:themeColor="accent3" w:themeShade="BF"/>
          <w:sz w:val="22"/>
          <w:szCs w:val="22"/>
          <w:lang w:val="en-GB"/>
        </w:rPr>
        <w:t xml:space="preserve"> Since the insolvency proceeding is taking place in the State where Rydell has its COMI, the insolvency proceeding in the EU member state will be </w:t>
      </w:r>
      <w:r w:rsidR="00490F95">
        <w:rPr>
          <w:rFonts w:ascii="Arial" w:hAnsi="Arial" w:cs="Arial"/>
          <w:color w:val="7B7B7B" w:themeColor="accent3" w:themeShade="BF"/>
          <w:sz w:val="22"/>
          <w:szCs w:val="22"/>
          <w:lang w:val="en-GB"/>
        </w:rPr>
        <w:t>recognised</w:t>
      </w:r>
      <w:r w:rsidR="005D6141">
        <w:rPr>
          <w:rFonts w:ascii="Arial" w:hAnsi="Arial" w:cs="Arial"/>
          <w:color w:val="7B7B7B" w:themeColor="accent3" w:themeShade="BF"/>
          <w:sz w:val="22"/>
          <w:szCs w:val="22"/>
          <w:lang w:val="en-GB"/>
        </w:rPr>
        <w:t xml:space="preserve"> as a foreign main p</w:t>
      </w:r>
      <w:r w:rsidR="008625AB">
        <w:rPr>
          <w:rFonts w:ascii="Arial" w:hAnsi="Arial" w:cs="Arial"/>
          <w:color w:val="7B7B7B" w:themeColor="accent3" w:themeShade="BF"/>
          <w:sz w:val="22"/>
          <w:szCs w:val="22"/>
          <w:lang w:val="en-GB"/>
        </w:rPr>
        <w:t>roceeding under the CBIR 2006</w:t>
      </w:r>
      <w:r w:rsidR="00490F95">
        <w:rPr>
          <w:rStyle w:val="FootnoteReference"/>
          <w:rFonts w:ascii="Arial" w:hAnsi="Arial" w:cs="Arial"/>
          <w:color w:val="7B7B7B" w:themeColor="accent3" w:themeShade="BF"/>
          <w:sz w:val="22"/>
          <w:szCs w:val="22"/>
          <w:lang w:val="en-GB"/>
        </w:rPr>
        <w:footnoteReference w:id="43"/>
      </w:r>
      <w:r w:rsidR="008625AB">
        <w:rPr>
          <w:rFonts w:ascii="Arial" w:hAnsi="Arial" w:cs="Arial"/>
          <w:color w:val="7B7B7B" w:themeColor="accent3" w:themeShade="BF"/>
          <w:sz w:val="22"/>
          <w:szCs w:val="22"/>
          <w:lang w:val="en-GB"/>
        </w:rPr>
        <w:t xml:space="preserve"> and will be given the necessary effect in the UK as provided for under the CBIR 2006.</w:t>
      </w:r>
      <w:r w:rsidR="00490F95">
        <w:rPr>
          <w:rFonts w:ascii="Arial" w:hAnsi="Arial" w:cs="Arial"/>
          <w:color w:val="7B7B7B" w:themeColor="accent3" w:themeShade="BF"/>
          <w:sz w:val="22"/>
          <w:szCs w:val="22"/>
          <w:lang w:val="en-GB"/>
        </w:rPr>
        <w:t xml:space="preserve"> </w:t>
      </w:r>
      <w:bookmarkStart w:id="6" w:name="_GoBack"/>
      <w:bookmarkEnd w:id="6"/>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FC56" w14:textId="77777777" w:rsidR="005D6141" w:rsidRDefault="005D6141" w:rsidP="00241B44">
      <w:r>
        <w:separator/>
      </w:r>
    </w:p>
  </w:endnote>
  <w:endnote w:type="continuationSeparator" w:id="0">
    <w:p w14:paraId="1569510E" w14:textId="77777777" w:rsidR="005D6141" w:rsidRDefault="005D614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5D6141" w:rsidRPr="00A31881" w:rsidRDefault="005D6141"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506E8017" w:rsidR="005D6141" w:rsidRDefault="005D6141"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53DB9CE1" w:rsidR="005D6141" w:rsidRPr="0052732A" w:rsidRDefault="005D6141"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C85FAE">
          <w:rPr>
            <w:rStyle w:val="PageNumber"/>
            <w:rFonts w:ascii="Arial" w:hAnsi="Arial" w:cs="Arial"/>
            <w:b/>
            <w:bCs/>
            <w:noProof/>
            <w:sz w:val="18"/>
            <w:szCs w:val="18"/>
          </w:rPr>
          <w:t>18</w:t>
        </w:r>
        <w:r w:rsidRPr="00C50F86">
          <w:rPr>
            <w:rStyle w:val="PageNumber"/>
            <w:rFonts w:ascii="Arial" w:hAnsi="Arial" w:cs="Arial"/>
            <w:b/>
            <w:bCs/>
            <w:sz w:val="18"/>
            <w:szCs w:val="18"/>
          </w:rPr>
          <w:fldChar w:fldCharType="end"/>
        </w:r>
      </w:p>
    </w:sdtContent>
  </w:sdt>
  <w:p w14:paraId="12ABA5E1" w14:textId="35A76460" w:rsidR="005D6141" w:rsidRDefault="005D6141" w:rsidP="0052732A">
    <w:pPr>
      <w:pStyle w:val="Footer"/>
      <w:ind w:right="360"/>
      <w:rPr>
        <w:rFonts w:ascii="Arial" w:hAnsi="Arial" w:cs="Arial"/>
        <w:sz w:val="18"/>
        <w:szCs w:val="18"/>
      </w:rPr>
    </w:pPr>
    <w:r w:rsidRPr="004E46B9">
      <w:rPr>
        <w:rFonts w:ascii="Arial" w:hAnsi="Arial" w:cs="Arial"/>
        <w:sz w:val="18"/>
        <w:szCs w:val="18"/>
      </w:rPr>
      <w:t>202122-443</w:t>
    </w:r>
    <w:r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1D0B" w14:textId="77777777" w:rsidR="00936AEF" w:rsidRDefault="0093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433" w14:textId="77777777" w:rsidR="005D6141" w:rsidRDefault="005D6141" w:rsidP="00241B44">
      <w:r>
        <w:separator/>
      </w:r>
    </w:p>
  </w:footnote>
  <w:footnote w:type="continuationSeparator" w:id="0">
    <w:p w14:paraId="1B0F45A1" w14:textId="77777777" w:rsidR="005D6141" w:rsidRDefault="005D6141" w:rsidP="00241B44">
      <w:r>
        <w:continuationSeparator/>
      </w:r>
    </w:p>
  </w:footnote>
  <w:footnote w:id="1">
    <w:p w14:paraId="61D6AF0B" w14:textId="56477216" w:rsidR="005D6141" w:rsidRPr="00953D67" w:rsidRDefault="005D6141" w:rsidP="00952952">
      <w:pPr>
        <w:pStyle w:val="FootnoteText"/>
        <w:jc w:val="both"/>
        <w:rPr>
          <w:lang w:val="en-MY"/>
        </w:rPr>
      </w:pPr>
      <w:r>
        <w:rPr>
          <w:rStyle w:val="FootnoteReference"/>
        </w:rPr>
        <w:footnoteRef/>
      </w:r>
      <w:r>
        <w:t xml:space="preserve"> </w:t>
      </w:r>
      <w:r>
        <w:rPr>
          <w:lang w:val="en-MY"/>
        </w:rPr>
        <w:t xml:space="preserve">JC Calitz, “Historical overview of state regulation of South African Insolvency Law” (2010) 16(2) </w:t>
      </w:r>
      <w:r>
        <w:rPr>
          <w:i/>
          <w:lang w:val="en-MY"/>
        </w:rPr>
        <w:t xml:space="preserve">Fundamina </w:t>
      </w:r>
      <w:r>
        <w:rPr>
          <w:lang w:val="en-MY"/>
        </w:rPr>
        <w:t>1, p 13.</w:t>
      </w:r>
    </w:p>
  </w:footnote>
  <w:footnote w:id="2">
    <w:p w14:paraId="66A0B10D" w14:textId="5519268E" w:rsidR="00936AEF" w:rsidRPr="00936AEF" w:rsidRDefault="00936AEF" w:rsidP="00952952">
      <w:pPr>
        <w:pStyle w:val="FootnoteText"/>
        <w:jc w:val="both"/>
        <w:rPr>
          <w:lang w:val="en-MY"/>
        </w:rPr>
      </w:pPr>
      <w:r>
        <w:rPr>
          <w:rStyle w:val="FootnoteReference"/>
        </w:rPr>
        <w:footnoteRef/>
      </w:r>
      <w:r>
        <w:t xml:space="preserve"> </w:t>
      </w:r>
      <w:r>
        <w:rPr>
          <w:lang w:val="en-MY"/>
        </w:rPr>
        <w:t xml:space="preserve">JC Calitz, “Historical overview of state regulation of South African Insolvency Law” (2010) 16(2) </w:t>
      </w:r>
      <w:r>
        <w:rPr>
          <w:i/>
          <w:lang w:val="en-MY"/>
        </w:rPr>
        <w:t xml:space="preserve">Fundamina </w:t>
      </w:r>
      <w:r>
        <w:rPr>
          <w:lang w:val="en-MY"/>
        </w:rPr>
        <w:t>1, p 13.</w:t>
      </w:r>
    </w:p>
  </w:footnote>
  <w:footnote w:id="3">
    <w:p w14:paraId="23C1E222" w14:textId="35EDA904" w:rsidR="005D6141" w:rsidRPr="00321057" w:rsidRDefault="005D6141" w:rsidP="00952952">
      <w:pPr>
        <w:pStyle w:val="FootnoteText"/>
        <w:jc w:val="both"/>
        <w:rPr>
          <w:lang w:val="en-MY"/>
        </w:rPr>
      </w:pPr>
      <w:r>
        <w:rPr>
          <w:rStyle w:val="FootnoteReference"/>
        </w:rPr>
        <w:footnoteRef/>
      </w:r>
      <w:r>
        <w:t xml:space="preserve"> </w:t>
      </w:r>
      <w:r>
        <w:rPr>
          <w:lang w:val="en-MY"/>
        </w:rPr>
        <w:t xml:space="preserve">JC Calitz, “Historical overview of state regulation of South African Insolvency Law” (2010) 16(2) </w:t>
      </w:r>
      <w:r>
        <w:rPr>
          <w:i/>
          <w:lang w:val="en-MY"/>
        </w:rPr>
        <w:t xml:space="preserve">Fundamina </w:t>
      </w:r>
      <w:r>
        <w:rPr>
          <w:lang w:val="en-MY"/>
        </w:rPr>
        <w:t>1, p 9.</w:t>
      </w:r>
    </w:p>
  </w:footnote>
  <w:footnote w:id="4">
    <w:p w14:paraId="2F9EBB6C" w14:textId="24608F4E" w:rsidR="005D6141" w:rsidRPr="007843F8" w:rsidRDefault="005D6141" w:rsidP="00952952">
      <w:pPr>
        <w:pStyle w:val="FootnoteText"/>
        <w:jc w:val="both"/>
        <w:rPr>
          <w:lang w:val="en-MY"/>
        </w:rPr>
      </w:pPr>
      <w:r>
        <w:rPr>
          <w:rStyle w:val="FootnoteReference"/>
        </w:rPr>
        <w:footnoteRef/>
      </w:r>
      <w:r>
        <w:t xml:space="preserve"> </w:t>
      </w:r>
      <w:r>
        <w:rPr>
          <w:lang w:val="en-MY"/>
        </w:rPr>
        <w:t xml:space="preserve">JC Calitz, “Historical overview of state regulation of South African Insolvency Law” (2010) 16(2) </w:t>
      </w:r>
      <w:r>
        <w:rPr>
          <w:i/>
          <w:lang w:val="en-MY"/>
        </w:rPr>
        <w:t xml:space="preserve">Fundamina </w:t>
      </w:r>
      <w:r>
        <w:rPr>
          <w:lang w:val="en-MY"/>
        </w:rPr>
        <w:t>1, p 12.</w:t>
      </w:r>
    </w:p>
  </w:footnote>
  <w:footnote w:id="5">
    <w:p w14:paraId="5A66BE4C" w14:textId="1EE7A970" w:rsidR="005D6141" w:rsidRPr="004625F1" w:rsidRDefault="005D6141" w:rsidP="00952952">
      <w:pPr>
        <w:pStyle w:val="FootnoteText"/>
        <w:jc w:val="both"/>
        <w:rPr>
          <w:lang w:val="en-MY"/>
        </w:rPr>
      </w:pPr>
      <w:r>
        <w:rPr>
          <w:rStyle w:val="FootnoteReference"/>
        </w:rPr>
        <w:footnoteRef/>
      </w:r>
      <w:r>
        <w:t xml:space="preserve"> </w:t>
      </w:r>
      <w:r>
        <w:rPr>
          <w:lang w:val="en-MY"/>
        </w:rPr>
        <w:t>Ali Shalchi, “Corporate Insolvency and Governance Act 2020”, 5 October 2021, House of Commons Library, page 34.</w:t>
      </w:r>
    </w:p>
  </w:footnote>
  <w:footnote w:id="6">
    <w:p w14:paraId="1E9C2B05" w14:textId="35FF1637" w:rsidR="005D6141" w:rsidRPr="004625F1" w:rsidRDefault="005D6141" w:rsidP="00952952">
      <w:pPr>
        <w:pStyle w:val="FootnoteText"/>
        <w:jc w:val="both"/>
        <w:rPr>
          <w:lang w:val="en-MY"/>
        </w:rPr>
      </w:pPr>
      <w:r>
        <w:rPr>
          <w:rStyle w:val="FootnoteReference"/>
        </w:rPr>
        <w:footnoteRef/>
      </w:r>
      <w:r>
        <w:t xml:space="preserve"> </w:t>
      </w:r>
      <w:r>
        <w:rPr>
          <w:lang w:val="en-MY"/>
        </w:rPr>
        <w:t>Ali Shalchi, “Corporate Insolvency and Governance Act 2020”, 5 October 2021, House of Commons Library, page 34.</w:t>
      </w:r>
    </w:p>
  </w:footnote>
  <w:footnote w:id="7">
    <w:p w14:paraId="29C3DA23" w14:textId="0ED7F14E" w:rsidR="005D6141" w:rsidRPr="007E73ED" w:rsidRDefault="005D6141" w:rsidP="00952952">
      <w:pPr>
        <w:pStyle w:val="FootnoteText"/>
        <w:jc w:val="both"/>
        <w:rPr>
          <w:lang w:val="en-MY"/>
        </w:rPr>
      </w:pPr>
      <w:r>
        <w:rPr>
          <w:rStyle w:val="FootnoteReference"/>
        </w:rPr>
        <w:footnoteRef/>
      </w:r>
      <w:r>
        <w:t xml:space="preserve"> </w:t>
      </w:r>
      <w:r>
        <w:rPr>
          <w:lang w:val="en-MY"/>
        </w:rPr>
        <w:t>Ali Shalchi, “Corporate Insolvency and Governance Act 2020”, 5 October 2021, House of Commons Library, page 32.</w:t>
      </w:r>
    </w:p>
  </w:footnote>
  <w:footnote w:id="8">
    <w:p w14:paraId="37B6D3F1" w14:textId="39EC785E" w:rsidR="005D6141" w:rsidRPr="00A4569D" w:rsidRDefault="005D6141" w:rsidP="00952952">
      <w:pPr>
        <w:pStyle w:val="FootnoteText"/>
        <w:jc w:val="both"/>
        <w:rPr>
          <w:lang w:val="en-MY"/>
        </w:rPr>
      </w:pPr>
      <w:r>
        <w:rPr>
          <w:rStyle w:val="FootnoteReference"/>
        </w:rPr>
        <w:footnoteRef/>
      </w:r>
      <w:r>
        <w:t xml:space="preserve"> </w:t>
      </w:r>
      <w:r>
        <w:rPr>
          <w:lang w:val="en-MY"/>
        </w:rPr>
        <w:t xml:space="preserve">I Mevorach, </w:t>
      </w:r>
      <w:r>
        <w:rPr>
          <w:i/>
          <w:lang w:val="en-MY"/>
        </w:rPr>
        <w:t xml:space="preserve">The Future of Cross-border Insolvency: Overcoming Biases and Closing Gaps </w:t>
      </w:r>
      <w:r>
        <w:rPr>
          <w:lang w:val="en-MY"/>
        </w:rPr>
        <w:t>(Oxford University Press, 2018), page 150</w:t>
      </w:r>
    </w:p>
  </w:footnote>
  <w:footnote w:id="9">
    <w:p w14:paraId="04023EAD" w14:textId="1081B64B" w:rsidR="005D6141" w:rsidRPr="00A4569D" w:rsidRDefault="005D6141" w:rsidP="00952952">
      <w:pPr>
        <w:pStyle w:val="FootnoteText"/>
        <w:jc w:val="both"/>
        <w:rPr>
          <w:lang w:val="en-MY"/>
        </w:rPr>
      </w:pPr>
      <w:r>
        <w:rPr>
          <w:rStyle w:val="FootnoteReference"/>
        </w:rPr>
        <w:footnoteRef/>
      </w:r>
      <w:r>
        <w:t xml:space="preserve"> </w:t>
      </w:r>
      <w:r>
        <w:rPr>
          <w:lang w:val="en-MY"/>
        </w:rPr>
        <w:t xml:space="preserve">I Mevorach, </w:t>
      </w:r>
      <w:r>
        <w:rPr>
          <w:i/>
          <w:lang w:val="en-MY"/>
        </w:rPr>
        <w:t xml:space="preserve">The Future of Cross-border Insolvency: Overcoming Biases and Closing Gaps </w:t>
      </w:r>
      <w:r>
        <w:rPr>
          <w:lang w:val="en-MY"/>
        </w:rPr>
        <w:t>(Oxford University Press, 2018)</w:t>
      </w:r>
    </w:p>
  </w:footnote>
  <w:footnote w:id="10">
    <w:p w14:paraId="424E8D35" w14:textId="021D7A1D" w:rsidR="005D6141" w:rsidRPr="00B616EC" w:rsidRDefault="005D6141" w:rsidP="00952952">
      <w:pPr>
        <w:pStyle w:val="FootnoteText"/>
        <w:jc w:val="both"/>
        <w:rPr>
          <w:lang w:val="en-MY"/>
        </w:rPr>
      </w:pPr>
      <w:r>
        <w:rPr>
          <w:rStyle w:val="FootnoteReference"/>
        </w:rPr>
        <w:footnoteRef/>
      </w:r>
      <w:r>
        <w:t xml:space="preserve"> Professor Andre Boraine, Professor Rosalind Mason and Dr Elizabeth Streten, </w:t>
      </w:r>
      <w:r>
        <w:rPr>
          <w:i/>
        </w:rPr>
        <w:t xml:space="preserve">Foundation Certificate in International Insolvency Law, Module 1 Guidance Text, Introduction to International Insolvency Law, 2021/2022 </w:t>
      </w:r>
      <w:r>
        <w:t>(INSOL International 2021), page 19</w:t>
      </w:r>
    </w:p>
  </w:footnote>
  <w:footnote w:id="11">
    <w:p w14:paraId="7C0BE091" w14:textId="17726B2D" w:rsidR="005D6141" w:rsidRPr="00D735A3" w:rsidRDefault="005D6141" w:rsidP="00952952">
      <w:pPr>
        <w:pStyle w:val="FootnoteText"/>
        <w:jc w:val="both"/>
        <w:rPr>
          <w:lang w:val="en-MY"/>
        </w:rPr>
      </w:pPr>
      <w:r>
        <w:rPr>
          <w:rStyle w:val="FootnoteReference"/>
        </w:rPr>
        <w:footnoteRef/>
      </w:r>
      <w:r>
        <w:t xml:space="preserve"> I F Fletcher, </w:t>
      </w:r>
      <w:r>
        <w:rPr>
          <w:i/>
        </w:rPr>
        <w:t xml:space="preserve">Insolvency in Private International Law – National and International Approaches </w:t>
      </w:r>
      <w:r>
        <w:t>(Oxford: Oxford University Press, 2</w:t>
      </w:r>
      <w:r w:rsidRPr="00D735A3">
        <w:rPr>
          <w:vertAlign w:val="superscript"/>
        </w:rPr>
        <w:t>nd</w:t>
      </w:r>
      <w:r>
        <w:t xml:space="preserve"> Ed 2005), p</w:t>
      </w:r>
      <w:r>
        <w:rPr>
          <w:lang w:val="en-MY"/>
        </w:rPr>
        <w:t>ages 3 to 5</w:t>
      </w:r>
    </w:p>
  </w:footnote>
  <w:footnote w:id="12">
    <w:p w14:paraId="172B1308" w14:textId="270D1AC2" w:rsidR="005D6141" w:rsidRPr="00285273" w:rsidRDefault="005D6141" w:rsidP="00952952">
      <w:pPr>
        <w:pStyle w:val="FootnoteText"/>
        <w:jc w:val="both"/>
        <w:rPr>
          <w:lang w:val="en-MY"/>
        </w:rPr>
      </w:pPr>
      <w:r>
        <w:rPr>
          <w:rStyle w:val="FootnoteReference"/>
        </w:rPr>
        <w:footnoteRef/>
      </w:r>
      <w:r>
        <w:t xml:space="preserve"> Professor Andre Boraine, Professor Rosalind Mason and Dr Elizabeth Streten, </w:t>
      </w:r>
      <w:r>
        <w:rPr>
          <w:i/>
        </w:rPr>
        <w:t xml:space="preserve">Foundation Certificate in International Insolvency Law, Module 1 Guidance Text, Introduction to International Insolvency Law, 2021/2022 </w:t>
      </w:r>
      <w:r>
        <w:t>(INSOL International 2021), page 44</w:t>
      </w:r>
    </w:p>
  </w:footnote>
  <w:footnote w:id="13">
    <w:p w14:paraId="30DE7224" w14:textId="342AD635" w:rsidR="005D6141" w:rsidRPr="00F6002D" w:rsidRDefault="005D6141" w:rsidP="006A0F22">
      <w:pPr>
        <w:pStyle w:val="FootnoteText"/>
        <w:jc w:val="both"/>
        <w:rPr>
          <w:lang w:val="en-MY"/>
        </w:rPr>
      </w:pPr>
      <w:r>
        <w:rPr>
          <w:rStyle w:val="FootnoteReference"/>
        </w:rPr>
        <w:footnoteRef/>
      </w:r>
      <w:r>
        <w:t xml:space="preserve"> Professor Andre Boraine, Professor Rosalind Mason and Dr Elizabeth Streten, </w:t>
      </w:r>
      <w:r>
        <w:rPr>
          <w:i/>
        </w:rPr>
        <w:t xml:space="preserve">Foundation Certificate in International Insolvency Law, Module 1 Guidance Text, Introduction to International Insolvency Law, 2021/2022 </w:t>
      </w:r>
      <w:r>
        <w:t>(INSOL International 2021), page 45</w:t>
      </w:r>
    </w:p>
  </w:footnote>
  <w:footnote w:id="14">
    <w:p w14:paraId="37E5CAED" w14:textId="222E2324" w:rsidR="005D6141" w:rsidRPr="00071684" w:rsidRDefault="005D6141" w:rsidP="006A0F22">
      <w:pPr>
        <w:pStyle w:val="FootnoteText"/>
        <w:jc w:val="both"/>
        <w:rPr>
          <w:lang w:val="en-MY"/>
        </w:rPr>
      </w:pPr>
      <w:r>
        <w:rPr>
          <w:rStyle w:val="FootnoteReference"/>
        </w:rPr>
        <w:footnoteRef/>
      </w:r>
      <w:r>
        <w:t xml:space="preserve"> Professor Andre Boraine, Professor Rosalind Mason and Dr Elizabeth Streten, </w:t>
      </w:r>
      <w:r>
        <w:rPr>
          <w:i/>
        </w:rPr>
        <w:t xml:space="preserve">Foundation Certificate in International Insolvency Law, Module 1 Guidance Text, Introduction to International Insolvency Law, 2021/2022 </w:t>
      </w:r>
      <w:r>
        <w:t>(INSOL International 2021), page 45.</w:t>
      </w:r>
    </w:p>
  </w:footnote>
  <w:footnote w:id="15">
    <w:p w14:paraId="2DD063ED" w14:textId="4B9E7D9B" w:rsidR="005D6141" w:rsidRPr="00B0609C" w:rsidRDefault="005D6141" w:rsidP="006A0F22">
      <w:pPr>
        <w:pStyle w:val="FootnoteText"/>
        <w:jc w:val="both"/>
        <w:rPr>
          <w:i/>
          <w:lang w:val="en-MY"/>
        </w:rPr>
      </w:pPr>
      <w:r>
        <w:rPr>
          <w:rStyle w:val="FootnoteReference"/>
        </w:rPr>
        <w:footnoteRef/>
      </w:r>
      <w:r>
        <w:t xml:space="preserve"> </w:t>
      </w:r>
      <w:r>
        <w:rPr>
          <w:lang w:val="en-MY"/>
        </w:rPr>
        <w:t xml:space="preserve">The discussion below is based on summaries of the case in (i) the </w:t>
      </w:r>
      <w:r>
        <w:rPr>
          <w:i/>
          <w:lang w:val="en-MY"/>
        </w:rPr>
        <w:t xml:space="preserve">UNCITRAL Practice Guide on Cross-Border Insolvency Cooperation 2009, pages 128 to 129; </w:t>
      </w:r>
      <w:r w:rsidRPr="00B0609C">
        <w:rPr>
          <w:lang w:val="en-MY"/>
        </w:rPr>
        <w:t>and</w:t>
      </w:r>
      <w:r>
        <w:rPr>
          <w:i/>
          <w:lang w:val="en-MY"/>
        </w:rPr>
        <w:t xml:space="preserve"> </w:t>
      </w:r>
      <w:r>
        <w:rPr>
          <w:lang w:val="en-MY"/>
        </w:rPr>
        <w:t>(ii) Stacy A. Lutkus, “Court-to-Court Communication in Cross-Border Insolvency Cases”, the International Insolvency Institute, Eighteenth Annual International Insolvency Conference New York, NY, III NextGen Leadership Program and Class VII Induction, pages 1 to 2.</w:t>
      </w:r>
    </w:p>
  </w:footnote>
  <w:footnote w:id="16">
    <w:p w14:paraId="28E64AE0" w14:textId="7A509A62" w:rsidR="005D6141" w:rsidRPr="00823D61" w:rsidRDefault="005D6141" w:rsidP="00823D61">
      <w:pPr>
        <w:pStyle w:val="FootnoteText"/>
        <w:jc w:val="both"/>
        <w:rPr>
          <w:lang w:val="en-MY"/>
        </w:rPr>
      </w:pPr>
      <w:r>
        <w:rPr>
          <w:rStyle w:val="FootnoteReference"/>
        </w:rPr>
        <w:footnoteRef/>
      </w:r>
      <w:r>
        <w:t xml:space="preserve"> </w:t>
      </w:r>
      <w:r>
        <w:rPr>
          <w:i/>
          <w:lang w:val="en-MY"/>
        </w:rPr>
        <w:t xml:space="preserve">In Re Maxwell Communication Corp., </w:t>
      </w:r>
      <w:r>
        <w:rPr>
          <w:lang w:val="en-MY"/>
        </w:rPr>
        <w:t xml:space="preserve">170 B.R. 800, 801-02 (Bankr. S.D.N.Y. 1994), </w:t>
      </w:r>
      <w:r>
        <w:rPr>
          <w:i/>
          <w:lang w:val="en-MY"/>
        </w:rPr>
        <w:t xml:space="preserve">aff’d, </w:t>
      </w:r>
      <w:r>
        <w:rPr>
          <w:lang w:val="en-MY"/>
        </w:rPr>
        <w:t xml:space="preserve">186 B.R. 807 (S.D.N.Y. 1995) </w:t>
      </w:r>
    </w:p>
  </w:footnote>
  <w:footnote w:id="17">
    <w:p w14:paraId="6E513B1C" w14:textId="252B35FB" w:rsidR="005D6141" w:rsidRPr="00813714" w:rsidRDefault="005D6141" w:rsidP="00813714">
      <w:pPr>
        <w:pStyle w:val="FootnoteText"/>
        <w:jc w:val="both"/>
        <w:rPr>
          <w:lang w:val="en-MY"/>
        </w:rPr>
      </w:pPr>
      <w:r>
        <w:rPr>
          <w:rStyle w:val="FootnoteReference"/>
        </w:rPr>
        <w:footnoteRef/>
      </w:r>
      <w:r>
        <w:t xml:space="preserve"> </w:t>
      </w:r>
      <w:r>
        <w:rPr>
          <w:lang w:val="en-MY"/>
        </w:rPr>
        <w:t>Stacy A. Lutkus, “Court-to-Court Communication in Cross-Border Insolvency Cases”, the International Insolvency Institute, Eighteenth Annual International Insolvency Conference New York, NY, III NextGen Leadership Program and Class VII Induction, pages 1 to 2</w:t>
      </w:r>
    </w:p>
  </w:footnote>
  <w:footnote w:id="18">
    <w:p w14:paraId="53FF5893" w14:textId="1669FF5A" w:rsidR="005D6141" w:rsidRPr="00D566C5" w:rsidRDefault="005D6141">
      <w:pPr>
        <w:pStyle w:val="FootnoteText"/>
        <w:rPr>
          <w:lang w:val="en-MY"/>
        </w:rPr>
      </w:pPr>
      <w:r>
        <w:rPr>
          <w:rStyle w:val="FootnoteReference"/>
        </w:rPr>
        <w:footnoteRef/>
      </w:r>
      <w:r>
        <w:t xml:space="preserve"> </w:t>
      </w:r>
      <w:r>
        <w:rPr>
          <w:lang w:val="en-MY"/>
        </w:rPr>
        <w:t>Article 3(1) EIR Recast.</w:t>
      </w:r>
    </w:p>
  </w:footnote>
  <w:footnote w:id="19">
    <w:p w14:paraId="6A3DBE73" w14:textId="441B713F" w:rsidR="005D6141" w:rsidRPr="004956C6" w:rsidRDefault="005D6141">
      <w:pPr>
        <w:pStyle w:val="FootnoteText"/>
        <w:rPr>
          <w:lang w:val="en-MY"/>
        </w:rPr>
      </w:pPr>
      <w:r>
        <w:rPr>
          <w:rStyle w:val="FootnoteReference"/>
        </w:rPr>
        <w:footnoteRef/>
      </w:r>
      <w:r>
        <w:t xml:space="preserve"> </w:t>
      </w:r>
      <w:r>
        <w:rPr>
          <w:lang w:val="en-MY"/>
        </w:rPr>
        <w:t>Articles 7 to 18 EIR Recast.</w:t>
      </w:r>
    </w:p>
  </w:footnote>
  <w:footnote w:id="20">
    <w:p w14:paraId="2FD1AA59" w14:textId="6268B48C" w:rsidR="005D6141" w:rsidRPr="000278FF" w:rsidRDefault="005D6141">
      <w:pPr>
        <w:pStyle w:val="FootnoteText"/>
        <w:rPr>
          <w:lang w:val="en-MY"/>
        </w:rPr>
      </w:pPr>
      <w:r>
        <w:rPr>
          <w:rStyle w:val="FootnoteReference"/>
        </w:rPr>
        <w:footnoteRef/>
      </w:r>
      <w:r>
        <w:t xml:space="preserve"> </w:t>
      </w:r>
      <w:r>
        <w:rPr>
          <w:lang w:val="en-MY"/>
        </w:rPr>
        <w:t>Article 19(1) EIR Recast.</w:t>
      </w:r>
    </w:p>
  </w:footnote>
  <w:footnote w:id="21">
    <w:p w14:paraId="502E5C8C" w14:textId="7311A5F7" w:rsidR="005D6141" w:rsidRPr="003E2109" w:rsidRDefault="005D6141">
      <w:pPr>
        <w:pStyle w:val="FootnoteText"/>
        <w:rPr>
          <w:lang w:val="en-MY"/>
        </w:rPr>
      </w:pPr>
      <w:r>
        <w:rPr>
          <w:rStyle w:val="FootnoteReference"/>
        </w:rPr>
        <w:footnoteRef/>
      </w:r>
      <w:r>
        <w:t xml:space="preserve"> </w:t>
      </w:r>
      <w:r>
        <w:rPr>
          <w:lang w:val="en-MY"/>
        </w:rPr>
        <w:t>Article 20(1) EIR Recast.</w:t>
      </w:r>
    </w:p>
  </w:footnote>
  <w:footnote w:id="22">
    <w:p w14:paraId="6C0A3E9E" w14:textId="6BC7EF68" w:rsidR="005D6141" w:rsidRPr="003E2109" w:rsidRDefault="005D6141">
      <w:pPr>
        <w:pStyle w:val="FootnoteText"/>
        <w:rPr>
          <w:lang w:val="en-MY"/>
        </w:rPr>
      </w:pPr>
      <w:r>
        <w:rPr>
          <w:rStyle w:val="FootnoteReference"/>
        </w:rPr>
        <w:footnoteRef/>
      </w:r>
      <w:r>
        <w:t xml:space="preserve"> </w:t>
      </w:r>
      <w:r>
        <w:rPr>
          <w:lang w:val="en-MY"/>
        </w:rPr>
        <w:t>Article 21(1) EIR Recast.</w:t>
      </w:r>
    </w:p>
  </w:footnote>
  <w:footnote w:id="23">
    <w:p w14:paraId="68A78574" w14:textId="0449DD5C" w:rsidR="005D6141" w:rsidRPr="00147769" w:rsidRDefault="005D6141">
      <w:pPr>
        <w:pStyle w:val="FootnoteText"/>
        <w:rPr>
          <w:lang w:val="en-MY"/>
        </w:rPr>
      </w:pPr>
      <w:r>
        <w:rPr>
          <w:rStyle w:val="FootnoteReference"/>
        </w:rPr>
        <w:footnoteRef/>
      </w:r>
      <w:r>
        <w:t xml:space="preserve"> </w:t>
      </w:r>
      <w:r>
        <w:rPr>
          <w:lang w:val="en-MY"/>
        </w:rPr>
        <w:t>Article 3(2) EIR Recast.</w:t>
      </w:r>
    </w:p>
  </w:footnote>
  <w:footnote w:id="24">
    <w:p w14:paraId="6F26CFD9" w14:textId="7BA2E3DE" w:rsidR="005D6141" w:rsidRPr="00C65403" w:rsidRDefault="005D6141">
      <w:pPr>
        <w:pStyle w:val="FootnoteText"/>
        <w:rPr>
          <w:lang w:val="en-MY"/>
        </w:rPr>
      </w:pPr>
      <w:r>
        <w:rPr>
          <w:rStyle w:val="FootnoteReference"/>
        </w:rPr>
        <w:footnoteRef/>
      </w:r>
      <w:r>
        <w:t xml:space="preserve"> </w:t>
      </w:r>
      <w:r>
        <w:rPr>
          <w:lang w:val="en-MY"/>
        </w:rPr>
        <w:t>Article 2(10) EIR Recast.</w:t>
      </w:r>
    </w:p>
  </w:footnote>
  <w:footnote w:id="25">
    <w:p w14:paraId="480141E8" w14:textId="40A5EEB2" w:rsidR="005D6141" w:rsidRPr="001D14E8" w:rsidRDefault="005D6141">
      <w:pPr>
        <w:pStyle w:val="FootnoteText"/>
        <w:rPr>
          <w:lang w:val="en-MY"/>
        </w:rPr>
      </w:pPr>
      <w:r>
        <w:rPr>
          <w:rStyle w:val="FootnoteReference"/>
        </w:rPr>
        <w:footnoteRef/>
      </w:r>
      <w:r>
        <w:t xml:space="preserve"> </w:t>
      </w:r>
      <w:r>
        <w:rPr>
          <w:lang w:val="en-MY"/>
        </w:rPr>
        <w:t>Article 36 EIR Recast.</w:t>
      </w:r>
    </w:p>
  </w:footnote>
  <w:footnote w:id="26">
    <w:p w14:paraId="065D4F80" w14:textId="3C547F4C" w:rsidR="005D6141" w:rsidRPr="00BB05DF" w:rsidRDefault="005D6141">
      <w:pPr>
        <w:pStyle w:val="FootnoteText"/>
        <w:rPr>
          <w:lang w:val="en-MY"/>
        </w:rPr>
      </w:pPr>
      <w:r>
        <w:rPr>
          <w:rStyle w:val="FootnoteReference"/>
        </w:rPr>
        <w:footnoteRef/>
      </w:r>
      <w:r>
        <w:t xml:space="preserve"> </w:t>
      </w:r>
      <w:r>
        <w:rPr>
          <w:lang w:val="en-MY"/>
        </w:rPr>
        <w:t>Article 38(3) EIR Recast.</w:t>
      </w:r>
    </w:p>
  </w:footnote>
  <w:footnote w:id="27">
    <w:p w14:paraId="189215B0" w14:textId="5A9266A3" w:rsidR="005D6141" w:rsidRPr="00147769" w:rsidRDefault="005D6141" w:rsidP="003E2109">
      <w:pPr>
        <w:pStyle w:val="FootnoteText"/>
        <w:rPr>
          <w:lang w:val="en-MY"/>
        </w:rPr>
      </w:pPr>
      <w:r>
        <w:rPr>
          <w:rStyle w:val="FootnoteReference"/>
        </w:rPr>
        <w:footnoteRef/>
      </w:r>
      <w:r>
        <w:t xml:space="preserve"> </w:t>
      </w:r>
      <w:r>
        <w:rPr>
          <w:lang w:val="en-MY"/>
        </w:rPr>
        <w:t>Articles 3(2) and 34 EIR Recast.</w:t>
      </w:r>
    </w:p>
  </w:footnote>
  <w:footnote w:id="28">
    <w:p w14:paraId="3756CFC3" w14:textId="72778A1A" w:rsidR="005D6141" w:rsidRPr="00644DD8" w:rsidRDefault="005D6141" w:rsidP="003E2109">
      <w:pPr>
        <w:pStyle w:val="FootnoteText"/>
        <w:rPr>
          <w:lang w:val="en-MY"/>
        </w:rPr>
      </w:pPr>
      <w:r>
        <w:rPr>
          <w:rStyle w:val="FootnoteReference"/>
        </w:rPr>
        <w:footnoteRef/>
      </w:r>
      <w:r>
        <w:t xml:space="preserve"> </w:t>
      </w:r>
      <w:r>
        <w:rPr>
          <w:lang w:val="en-MY"/>
        </w:rPr>
        <w:t>Articles 7 to 18 and Article 35 EIR Recast.</w:t>
      </w:r>
    </w:p>
  </w:footnote>
  <w:footnote w:id="29">
    <w:p w14:paraId="186D48FA" w14:textId="77777777" w:rsidR="005D6141" w:rsidRPr="000278FF" w:rsidRDefault="005D6141" w:rsidP="003E2109">
      <w:pPr>
        <w:pStyle w:val="FootnoteText"/>
        <w:rPr>
          <w:lang w:val="en-MY"/>
        </w:rPr>
      </w:pPr>
      <w:r>
        <w:rPr>
          <w:rStyle w:val="FootnoteReference"/>
        </w:rPr>
        <w:footnoteRef/>
      </w:r>
      <w:r>
        <w:t xml:space="preserve"> </w:t>
      </w:r>
      <w:r>
        <w:rPr>
          <w:lang w:val="en-MY"/>
        </w:rPr>
        <w:t>Article 19(1) EIR Recast.</w:t>
      </w:r>
    </w:p>
  </w:footnote>
  <w:footnote w:id="30">
    <w:p w14:paraId="69D424D1" w14:textId="0757806E" w:rsidR="005D6141" w:rsidRPr="006D79F9" w:rsidRDefault="005D6141">
      <w:pPr>
        <w:pStyle w:val="FootnoteText"/>
        <w:rPr>
          <w:lang w:val="en-MY"/>
        </w:rPr>
      </w:pPr>
      <w:r>
        <w:rPr>
          <w:rStyle w:val="FootnoteReference"/>
        </w:rPr>
        <w:footnoteRef/>
      </w:r>
      <w:r>
        <w:t xml:space="preserve"> </w:t>
      </w:r>
      <w:r>
        <w:rPr>
          <w:lang w:val="en-MY"/>
        </w:rPr>
        <w:t>Article 49 EIR Recast.</w:t>
      </w:r>
    </w:p>
  </w:footnote>
  <w:footnote w:id="31">
    <w:p w14:paraId="309FF43E" w14:textId="3A6017C7" w:rsidR="005D6141" w:rsidRPr="00BB05DF" w:rsidRDefault="005D6141">
      <w:pPr>
        <w:pStyle w:val="FootnoteText"/>
        <w:rPr>
          <w:lang w:val="en-MY"/>
        </w:rPr>
      </w:pPr>
      <w:r>
        <w:rPr>
          <w:rStyle w:val="FootnoteReference"/>
        </w:rPr>
        <w:footnoteRef/>
      </w:r>
      <w:r>
        <w:t xml:space="preserve"> </w:t>
      </w:r>
      <w:r>
        <w:rPr>
          <w:lang w:val="en-MY"/>
        </w:rPr>
        <w:t>Articles 41 and 42 EIR Recast.</w:t>
      </w:r>
    </w:p>
  </w:footnote>
  <w:footnote w:id="32">
    <w:p w14:paraId="018F1F4C" w14:textId="4064657B" w:rsidR="005D6141" w:rsidRPr="006D79F9" w:rsidRDefault="005D6141">
      <w:pPr>
        <w:pStyle w:val="FootnoteText"/>
        <w:rPr>
          <w:lang w:val="en-MY"/>
        </w:rPr>
      </w:pPr>
      <w:r>
        <w:rPr>
          <w:rStyle w:val="FootnoteReference"/>
        </w:rPr>
        <w:footnoteRef/>
      </w:r>
      <w:r>
        <w:t xml:space="preserve"> </w:t>
      </w:r>
      <w:r>
        <w:rPr>
          <w:lang w:val="en-MY"/>
        </w:rPr>
        <w:t>Article 45(1) EIR Recast.</w:t>
      </w:r>
    </w:p>
  </w:footnote>
  <w:footnote w:id="33">
    <w:p w14:paraId="454848DB" w14:textId="0733CCA6" w:rsidR="005D6141" w:rsidRPr="00B60C29" w:rsidRDefault="005D6141" w:rsidP="00B60C29">
      <w:pPr>
        <w:pStyle w:val="FootnoteText"/>
        <w:jc w:val="both"/>
        <w:rPr>
          <w:lang w:val="en-MY"/>
        </w:rPr>
      </w:pPr>
      <w:r>
        <w:rPr>
          <w:rStyle w:val="FootnoteReference"/>
        </w:rPr>
        <w:footnoteRef/>
      </w:r>
      <w:r>
        <w:t xml:space="preserve"> </w:t>
      </w:r>
      <w:r>
        <w:rPr>
          <w:lang w:val="en-MY"/>
        </w:rPr>
        <w:t xml:space="preserve">Alan Bennett and Karolina Lewandowska, “What is the impact of Brexit on cross-border insolvency?” at </w:t>
      </w:r>
      <w:hyperlink r:id="rId1" w:history="1">
        <w:r w:rsidRPr="00493CEE">
          <w:rPr>
            <w:rStyle w:val="Hyperlink"/>
            <w:lang w:val="en-MY"/>
          </w:rPr>
          <w:t>https://www.thegazette.co.uk/insolvency/content/103914</w:t>
        </w:r>
      </w:hyperlink>
      <w:r>
        <w:rPr>
          <w:lang w:val="en-MY"/>
        </w:rPr>
        <w:t xml:space="preserve"> accessed 10 November 2021.</w:t>
      </w:r>
    </w:p>
  </w:footnote>
  <w:footnote w:id="34">
    <w:p w14:paraId="2B5A9CDF" w14:textId="77777777" w:rsidR="005D6141" w:rsidRPr="00B60C29" w:rsidRDefault="005D6141" w:rsidP="006E0901">
      <w:pPr>
        <w:pStyle w:val="FootnoteText"/>
        <w:jc w:val="both"/>
        <w:rPr>
          <w:lang w:val="en-MY"/>
        </w:rPr>
      </w:pPr>
      <w:r>
        <w:rPr>
          <w:rStyle w:val="FootnoteReference"/>
        </w:rPr>
        <w:footnoteRef/>
      </w:r>
      <w:r>
        <w:t xml:space="preserve"> </w:t>
      </w:r>
      <w:r>
        <w:rPr>
          <w:lang w:val="en-MY"/>
        </w:rPr>
        <w:t xml:space="preserve">Alan Bennett and Karolina Lewandowska, “What is the impact of Brexit on cross-border insolvency?” at </w:t>
      </w:r>
      <w:hyperlink r:id="rId2" w:history="1">
        <w:r w:rsidRPr="00493CEE">
          <w:rPr>
            <w:rStyle w:val="Hyperlink"/>
            <w:lang w:val="en-MY"/>
          </w:rPr>
          <w:t>https://www.thegazette.co.uk/insolvency/content/103914</w:t>
        </w:r>
      </w:hyperlink>
      <w:r>
        <w:rPr>
          <w:lang w:val="en-MY"/>
        </w:rPr>
        <w:t xml:space="preserve"> accessed 10 November 2021.</w:t>
      </w:r>
    </w:p>
  </w:footnote>
  <w:footnote w:id="35">
    <w:p w14:paraId="45AA571D" w14:textId="07FAC551" w:rsidR="00490F95" w:rsidRPr="00490F95" w:rsidRDefault="00490F95">
      <w:pPr>
        <w:pStyle w:val="FootnoteText"/>
        <w:rPr>
          <w:lang w:val="en-MY"/>
        </w:rPr>
      </w:pPr>
      <w:r>
        <w:rPr>
          <w:rStyle w:val="FootnoteReference"/>
        </w:rPr>
        <w:footnoteRef/>
      </w:r>
      <w:r>
        <w:t xml:space="preserve"> </w:t>
      </w:r>
      <w:r w:rsidRPr="00490F95">
        <w:t xml:space="preserve">I F Fletcher, </w:t>
      </w:r>
      <w:r w:rsidRPr="00490F95">
        <w:rPr>
          <w:i/>
        </w:rPr>
        <w:t xml:space="preserve">Insolvency in Private International Law – National and International Approaches </w:t>
      </w:r>
      <w:r w:rsidRPr="00490F95">
        <w:t>(Oxford: Oxford University Press, 2</w:t>
      </w:r>
      <w:r w:rsidRPr="00490F95">
        <w:rPr>
          <w:vertAlign w:val="superscript"/>
        </w:rPr>
        <w:t>nd</w:t>
      </w:r>
      <w:r w:rsidRPr="00490F95">
        <w:t xml:space="preserve"> Ed 2005), p</w:t>
      </w:r>
      <w:r w:rsidRPr="00490F95">
        <w:rPr>
          <w:lang w:val="en-MY"/>
        </w:rPr>
        <w:t>ages 3 to 5</w:t>
      </w:r>
    </w:p>
  </w:footnote>
  <w:footnote w:id="36">
    <w:p w14:paraId="60119BB5" w14:textId="7901ED14" w:rsidR="005D6141" w:rsidRPr="00DD5214" w:rsidRDefault="005D6141">
      <w:pPr>
        <w:pStyle w:val="FootnoteText"/>
        <w:rPr>
          <w:lang w:val="en-MY"/>
        </w:rPr>
      </w:pPr>
      <w:r>
        <w:rPr>
          <w:rStyle w:val="FootnoteReference"/>
        </w:rPr>
        <w:footnoteRef/>
      </w:r>
      <w:r>
        <w:t xml:space="preserve"> </w:t>
      </w:r>
      <w:r>
        <w:rPr>
          <w:lang w:val="en-MY"/>
        </w:rPr>
        <w:t>Section 220 IA 1986.</w:t>
      </w:r>
    </w:p>
  </w:footnote>
  <w:footnote w:id="37">
    <w:p w14:paraId="25458D3D" w14:textId="22CB20C4" w:rsidR="005D6141" w:rsidRPr="00A52553" w:rsidRDefault="005D6141">
      <w:pPr>
        <w:pStyle w:val="FootnoteText"/>
        <w:rPr>
          <w:lang w:val="en-MY"/>
        </w:rPr>
      </w:pPr>
      <w:r>
        <w:rPr>
          <w:rStyle w:val="FootnoteReference"/>
        </w:rPr>
        <w:footnoteRef/>
      </w:r>
      <w:r>
        <w:t xml:space="preserve"> </w:t>
      </w:r>
      <w:r>
        <w:rPr>
          <w:lang w:val="en-MY"/>
        </w:rPr>
        <w:t>Section 221(5) IA 1986.</w:t>
      </w:r>
    </w:p>
  </w:footnote>
  <w:footnote w:id="38">
    <w:p w14:paraId="47AB2C78" w14:textId="512A3D09" w:rsidR="00C21D76" w:rsidRPr="00C21D76" w:rsidRDefault="00C21D76">
      <w:pPr>
        <w:pStyle w:val="FootnoteText"/>
        <w:rPr>
          <w:lang w:val="en-MY"/>
        </w:rPr>
      </w:pPr>
      <w:r>
        <w:rPr>
          <w:rStyle w:val="FootnoteReference"/>
        </w:rPr>
        <w:footnoteRef/>
      </w:r>
      <w:r>
        <w:t xml:space="preserve"> </w:t>
      </w:r>
      <w:r>
        <w:rPr>
          <w:i/>
          <w:lang w:val="en-MY"/>
        </w:rPr>
        <w:t xml:space="preserve">Re Latreefers Inc </w:t>
      </w:r>
      <w:r>
        <w:rPr>
          <w:lang w:val="en-MY"/>
        </w:rPr>
        <w:t>[2001] BCC 174 (CA)</w:t>
      </w:r>
    </w:p>
  </w:footnote>
  <w:footnote w:id="39">
    <w:p w14:paraId="234BF8B4" w14:textId="550A51CC" w:rsidR="00C21D76" w:rsidRPr="00C21D76" w:rsidRDefault="00C21D76">
      <w:pPr>
        <w:pStyle w:val="FootnoteText"/>
        <w:rPr>
          <w:lang w:val="en-MY"/>
        </w:rPr>
      </w:pPr>
      <w:r>
        <w:rPr>
          <w:rStyle w:val="FootnoteReference"/>
        </w:rPr>
        <w:footnoteRef/>
      </w:r>
      <w:r>
        <w:t xml:space="preserve"> </w:t>
      </w:r>
      <w:r>
        <w:rPr>
          <w:lang w:val="en-MY"/>
        </w:rPr>
        <w:t>[1991] BCLC 210</w:t>
      </w:r>
    </w:p>
  </w:footnote>
  <w:footnote w:id="40">
    <w:p w14:paraId="2EC32906" w14:textId="0CE1DF4D" w:rsidR="005D6141" w:rsidRPr="00A52553" w:rsidRDefault="005D6141" w:rsidP="00470380">
      <w:pPr>
        <w:pStyle w:val="FootnoteText"/>
        <w:jc w:val="both"/>
        <w:rPr>
          <w:lang w:val="en-MY"/>
        </w:rPr>
      </w:pPr>
      <w:r>
        <w:rPr>
          <w:rStyle w:val="FootnoteReference"/>
        </w:rPr>
        <w:footnoteRef/>
      </w:r>
      <w:r w:rsidR="00470380">
        <w:t xml:space="preserve"> Sections 222, 223 and 224 IA 1986 provide</w:t>
      </w:r>
      <w:r>
        <w:t xml:space="preserve"> scenarios under which a company is deemed unable to pay its debts. </w:t>
      </w:r>
    </w:p>
  </w:footnote>
  <w:footnote w:id="41">
    <w:p w14:paraId="3D6C5D53" w14:textId="0E174ACD" w:rsidR="002C73A2" w:rsidRPr="002C73A2" w:rsidRDefault="002C73A2">
      <w:pPr>
        <w:pStyle w:val="FootnoteText"/>
        <w:rPr>
          <w:lang w:val="en-MY"/>
        </w:rPr>
      </w:pPr>
      <w:r>
        <w:rPr>
          <w:rStyle w:val="FootnoteReference"/>
        </w:rPr>
        <w:footnoteRef/>
      </w:r>
      <w:r>
        <w:t xml:space="preserve"> </w:t>
      </w:r>
      <w:r w:rsidRPr="002C73A2">
        <w:t xml:space="preserve">I F Fletcher, </w:t>
      </w:r>
      <w:r w:rsidRPr="002C73A2">
        <w:rPr>
          <w:i/>
        </w:rPr>
        <w:t xml:space="preserve">Insolvency in Private International Law – National and International Approaches </w:t>
      </w:r>
      <w:r w:rsidRPr="002C73A2">
        <w:t>(Oxford: Oxford University Press, 2</w:t>
      </w:r>
      <w:r w:rsidRPr="002C73A2">
        <w:rPr>
          <w:vertAlign w:val="superscript"/>
        </w:rPr>
        <w:t>nd</w:t>
      </w:r>
      <w:r w:rsidRPr="002C73A2">
        <w:t xml:space="preserve"> Ed 2005), </w:t>
      </w:r>
      <w:r>
        <w:t xml:space="preserve">[30-017], referring to </w:t>
      </w:r>
      <w:r>
        <w:rPr>
          <w:i/>
        </w:rPr>
        <w:t xml:space="preserve">Re Real Estate Development Co </w:t>
      </w:r>
      <w:r>
        <w:t>[1991 BCLC 210 (Ch D), per Knox J.</w:t>
      </w:r>
    </w:p>
  </w:footnote>
  <w:footnote w:id="42">
    <w:p w14:paraId="6338906F" w14:textId="215EDB01" w:rsidR="00E57A83" w:rsidRPr="00E57A83" w:rsidRDefault="00E57A83">
      <w:pPr>
        <w:pStyle w:val="FootnoteText"/>
        <w:rPr>
          <w:lang w:val="en-MY"/>
        </w:rPr>
      </w:pPr>
      <w:r>
        <w:rPr>
          <w:rStyle w:val="FootnoteReference"/>
        </w:rPr>
        <w:footnoteRef/>
      </w:r>
      <w:r>
        <w:t xml:space="preserve"> </w:t>
      </w:r>
      <w:r>
        <w:rPr>
          <w:i/>
          <w:lang w:val="en-MY"/>
        </w:rPr>
        <w:t xml:space="preserve">Gibbs &amp; Sons v La Societe Industrielle et Commerciale des Metaux </w:t>
      </w:r>
      <w:r>
        <w:rPr>
          <w:lang w:val="en-MY"/>
        </w:rPr>
        <w:t>(1890) 25 QBD 399.</w:t>
      </w:r>
    </w:p>
  </w:footnote>
  <w:footnote w:id="43">
    <w:p w14:paraId="5373B005" w14:textId="7D9041D1" w:rsidR="00490F95" w:rsidRPr="00490F95" w:rsidRDefault="00490F95">
      <w:pPr>
        <w:pStyle w:val="FootnoteText"/>
        <w:rPr>
          <w:lang w:val="en-MY"/>
        </w:rPr>
      </w:pPr>
      <w:r>
        <w:rPr>
          <w:rStyle w:val="FootnoteReference"/>
        </w:rPr>
        <w:footnoteRef/>
      </w:r>
      <w:r>
        <w:t xml:space="preserve"> </w:t>
      </w:r>
      <w:r>
        <w:rPr>
          <w:lang w:val="en-MY"/>
        </w:rPr>
        <w:t>Article 2(g), Schedule 2 CBIR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4DBE" w14:textId="77777777" w:rsidR="00936AEF" w:rsidRDefault="00936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DDFA" w14:textId="77777777" w:rsidR="00936AEF" w:rsidRDefault="00936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0D2E5" w14:textId="77777777" w:rsidR="00936AEF" w:rsidRDefault="00936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471"/>
    <w:multiLevelType w:val="hybridMultilevel"/>
    <w:tmpl w:val="866202DE"/>
    <w:lvl w:ilvl="0" w:tplc="6170958E">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6C23E13"/>
    <w:multiLevelType w:val="hybridMultilevel"/>
    <w:tmpl w:val="107CA130"/>
    <w:lvl w:ilvl="0" w:tplc="DBF8798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064906"/>
    <w:multiLevelType w:val="hybridMultilevel"/>
    <w:tmpl w:val="2AB02E32"/>
    <w:lvl w:ilvl="0" w:tplc="3BD852C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15:restartNumberingAfterBreak="0">
    <w:nsid w:val="563B7078"/>
    <w:multiLevelType w:val="hybridMultilevel"/>
    <w:tmpl w:val="221E34D0"/>
    <w:lvl w:ilvl="0" w:tplc="230A8ABE">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9B24E00"/>
    <w:multiLevelType w:val="hybridMultilevel"/>
    <w:tmpl w:val="8EC0F072"/>
    <w:lvl w:ilvl="0" w:tplc="D46A726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3B5214"/>
    <w:multiLevelType w:val="hybridMultilevel"/>
    <w:tmpl w:val="35985656"/>
    <w:lvl w:ilvl="0" w:tplc="33C09AB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68665560"/>
    <w:multiLevelType w:val="hybridMultilevel"/>
    <w:tmpl w:val="B89266CC"/>
    <w:lvl w:ilvl="0" w:tplc="79F2A6F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CC0545E"/>
    <w:multiLevelType w:val="hybridMultilevel"/>
    <w:tmpl w:val="D1F674A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DC44987"/>
    <w:multiLevelType w:val="hybridMultilevel"/>
    <w:tmpl w:val="5BC89AAC"/>
    <w:lvl w:ilvl="0" w:tplc="04BA9A78">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E0928F7"/>
    <w:multiLevelType w:val="hybridMultilevel"/>
    <w:tmpl w:val="18F0203C"/>
    <w:lvl w:ilvl="0" w:tplc="FC96CDD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25"/>
  </w:num>
  <w:num w:numId="4">
    <w:abstractNumId w:val="6"/>
  </w:num>
  <w:num w:numId="5">
    <w:abstractNumId w:val="3"/>
  </w:num>
  <w:num w:numId="6">
    <w:abstractNumId w:val="19"/>
  </w:num>
  <w:num w:numId="7">
    <w:abstractNumId w:val="4"/>
  </w:num>
  <w:num w:numId="8">
    <w:abstractNumId w:val="2"/>
  </w:num>
  <w:num w:numId="9">
    <w:abstractNumId w:val="1"/>
  </w:num>
  <w:num w:numId="10">
    <w:abstractNumId w:val="7"/>
  </w:num>
  <w:num w:numId="11">
    <w:abstractNumId w:val="13"/>
  </w:num>
  <w:num w:numId="12">
    <w:abstractNumId w:val="24"/>
  </w:num>
  <w:num w:numId="13">
    <w:abstractNumId w:val="14"/>
  </w:num>
  <w:num w:numId="14">
    <w:abstractNumId w:val="8"/>
  </w:num>
  <w:num w:numId="15">
    <w:abstractNumId w:val="12"/>
  </w:num>
  <w:num w:numId="16">
    <w:abstractNumId w:val="17"/>
  </w:num>
  <w:num w:numId="17">
    <w:abstractNumId w:val="20"/>
  </w:num>
  <w:num w:numId="18">
    <w:abstractNumId w:val="15"/>
  </w:num>
  <w:num w:numId="19">
    <w:abstractNumId w:val="0"/>
  </w:num>
  <w:num w:numId="20">
    <w:abstractNumId w:val="21"/>
  </w:num>
  <w:num w:numId="21">
    <w:abstractNumId w:val="16"/>
  </w:num>
  <w:num w:numId="22">
    <w:abstractNumId w:val="5"/>
  </w:num>
  <w:num w:numId="23">
    <w:abstractNumId w:val="18"/>
  </w:num>
  <w:num w:numId="24">
    <w:abstractNumId w:val="22"/>
  </w:num>
  <w:num w:numId="25">
    <w:abstractNumId w:val="23"/>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MY" w:vendorID="64" w:dllVersion="131078" w:nlCheck="1" w:checkStyle="0"/>
  <w:defaultTabStop w:val="720"/>
  <w:drawingGridHorizontalSpacing w:val="100"/>
  <w:displayHorizontalDrawingGridEvery w:val="0"/>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1ED3"/>
    <w:rsid w:val="00003D8F"/>
    <w:rsid w:val="0000420A"/>
    <w:rsid w:val="00004AE7"/>
    <w:rsid w:val="00010BA0"/>
    <w:rsid w:val="000137BC"/>
    <w:rsid w:val="00015EE6"/>
    <w:rsid w:val="00020557"/>
    <w:rsid w:val="0002322B"/>
    <w:rsid w:val="000250C7"/>
    <w:rsid w:val="000278FF"/>
    <w:rsid w:val="00031918"/>
    <w:rsid w:val="000329A6"/>
    <w:rsid w:val="00034C0C"/>
    <w:rsid w:val="00037621"/>
    <w:rsid w:val="000419D4"/>
    <w:rsid w:val="00043365"/>
    <w:rsid w:val="000436F0"/>
    <w:rsid w:val="00043960"/>
    <w:rsid w:val="000444D1"/>
    <w:rsid w:val="00044D46"/>
    <w:rsid w:val="00045088"/>
    <w:rsid w:val="00045904"/>
    <w:rsid w:val="00045DC7"/>
    <w:rsid w:val="00046789"/>
    <w:rsid w:val="000521C4"/>
    <w:rsid w:val="00052A5E"/>
    <w:rsid w:val="00054EC2"/>
    <w:rsid w:val="00055EB9"/>
    <w:rsid w:val="000612BE"/>
    <w:rsid w:val="0006130F"/>
    <w:rsid w:val="00062D42"/>
    <w:rsid w:val="00062E85"/>
    <w:rsid w:val="000649D1"/>
    <w:rsid w:val="00064C44"/>
    <w:rsid w:val="00065166"/>
    <w:rsid w:val="0007091D"/>
    <w:rsid w:val="00071684"/>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3697"/>
    <w:rsid w:val="000B5B93"/>
    <w:rsid w:val="000B5FF1"/>
    <w:rsid w:val="000B609F"/>
    <w:rsid w:val="000C5E74"/>
    <w:rsid w:val="000D55A8"/>
    <w:rsid w:val="000D57BE"/>
    <w:rsid w:val="000D6876"/>
    <w:rsid w:val="000E0165"/>
    <w:rsid w:val="000E3A82"/>
    <w:rsid w:val="000E3C5A"/>
    <w:rsid w:val="000E4841"/>
    <w:rsid w:val="000E5CB4"/>
    <w:rsid w:val="000F0DC0"/>
    <w:rsid w:val="000F0FFF"/>
    <w:rsid w:val="000F1677"/>
    <w:rsid w:val="000F16D5"/>
    <w:rsid w:val="000F3D6C"/>
    <w:rsid w:val="000F58B0"/>
    <w:rsid w:val="00100A77"/>
    <w:rsid w:val="00101707"/>
    <w:rsid w:val="00105CBD"/>
    <w:rsid w:val="001107F2"/>
    <w:rsid w:val="00110E0C"/>
    <w:rsid w:val="001131C6"/>
    <w:rsid w:val="0011473D"/>
    <w:rsid w:val="00115C85"/>
    <w:rsid w:val="00121AA8"/>
    <w:rsid w:val="0012303D"/>
    <w:rsid w:val="00123855"/>
    <w:rsid w:val="00124B70"/>
    <w:rsid w:val="00125A7C"/>
    <w:rsid w:val="00126A4D"/>
    <w:rsid w:val="00131D42"/>
    <w:rsid w:val="0013278B"/>
    <w:rsid w:val="00135FFC"/>
    <w:rsid w:val="0014171F"/>
    <w:rsid w:val="0014622C"/>
    <w:rsid w:val="00147769"/>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68A"/>
    <w:rsid w:val="00197963"/>
    <w:rsid w:val="001A54A7"/>
    <w:rsid w:val="001A620B"/>
    <w:rsid w:val="001A7E9A"/>
    <w:rsid w:val="001B0F70"/>
    <w:rsid w:val="001B5016"/>
    <w:rsid w:val="001B58DF"/>
    <w:rsid w:val="001B6CEE"/>
    <w:rsid w:val="001C45FC"/>
    <w:rsid w:val="001C594A"/>
    <w:rsid w:val="001C721F"/>
    <w:rsid w:val="001D14E8"/>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54187"/>
    <w:rsid w:val="00255602"/>
    <w:rsid w:val="002638B0"/>
    <w:rsid w:val="0026510C"/>
    <w:rsid w:val="0026647A"/>
    <w:rsid w:val="002668D3"/>
    <w:rsid w:val="00266F17"/>
    <w:rsid w:val="002672D0"/>
    <w:rsid w:val="002676BF"/>
    <w:rsid w:val="0027242B"/>
    <w:rsid w:val="0027299F"/>
    <w:rsid w:val="00275182"/>
    <w:rsid w:val="00275946"/>
    <w:rsid w:val="00284EBE"/>
    <w:rsid w:val="00285273"/>
    <w:rsid w:val="00286720"/>
    <w:rsid w:val="002872E1"/>
    <w:rsid w:val="00287A88"/>
    <w:rsid w:val="00287B2E"/>
    <w:rsid w:val="00287D4D"/>
    <w:rsid w:val="00290116"/>
    <w:rsid w:val="0029433F"/>
    <w:rsid w:val="00294829"/>
    <w:rsid w:val="00295742"/>
    <w:rsid w:val="0029690F"/>
    <w:rsid w:val="002A2A60"/>
    <w:rsid w:val="002A364D"/>
    <w:rsid w:val="002A3815"/>
    <w:rsid w:val="002A6646"/>
    <w:rsid w:val="002B0FCE"/>
    <w:rsid w:val="002B1C45"/>
    <w:rsid w:val="002B1DBA"/>
    <w:rsid w:val="002B2970"/>
    <w:rsid w:val="002B33FD"/>
    <w:rsid w:val="002C1227"/>
    <w:rsid w:val="002C13C8"/>
    <w:rsid w:val="002C2195"/>
    <w:rsid w:val="002C259C"/>
    <w:rsid w:val="002C268F"/>
    <w:rsid w:val="002C3547"/>
    <w:rsid w:val="002C73A2"/>
    <w:rsid w:val="002D0021"/>
    <w:rsid w:val="002D10A3"/>
    <w:rsid w:val="002D295D"/>
    <w:rsid w:val="002D3473"/>
    <w:rsid w:val="002E02ED"/>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1057"/>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1A4"/>
    <w:rsid w:val="00372CD4"/>
    <w:rsid w:val="0037465A"/>
    <w:rsid w:val="0038255B"/>
    <w:rsid w:val="00382C98"/>
    <w:rsid w:val="0038325E"/>
    <w:rsid w:val="00384604"/>
    <w:rsid w:val="00384E3D"/>
    <w:rsid w:val="00385041"/>
    <w:rsid w:val="0038533C"/>
    <w:rsid w:val="003937B9"/>
    <w:rsid w:val="003948D5"/>
    <w:rsid w:val="003951E4"/>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25CD"/>
    <w:rsid w:val="003D3045"/>
    <w:rsid w:val="003D4300"/>
    <w:rsid w:val="003D6AC4"/>
    <w:rsid w:val="003E064D"/>
    <w:rsid w:val="003E0B16"/>
    <w:rsid w:val="003E2109"/>
    <w:rsid w:val="003E2D1B"/>
    <w:rsid w:val="003E67D1"/>
    <w:rsid w:val="003F5969"/>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46ECF"/>
    <w:rsid w:val="004534C2"/>
    <w:rsid w:val="00453967"/>
    <w:rsid w:val="0045446F"/>
    <w:rsid w:val="00454C9D"/>
    <w:rsid w:val="0045683E"/>
    <w:rsid w:val="0046142D"/>
    <w:rsid w:val="004625F1"/>
    <w:rsid w:val="0046274F"/>
    <w:rsid w:val="0046298C"/>
    <w:rsid w:val="00463259"/>
    <w:rsid w:val="004659E0"/>
    <w:rsid w:val="00470380"/>
    <w:rsid w:val="00470A63"/>
    <w:rsid w:val="00470C55"/>
    <w:rsid w:val="004715C1"/>
    <w:rsid w:val="004731F4"/>
    <w:rsid w:val="00481FC8"/>
    <w:rsid w:val="00482FE3"/>
    <w:rsid w:val="00486065"/>
    <w:rsid w:val="00486776"/>
    <w:rsid w:val="004868BB"/>
    <w:rsid w:val="00490F95"/>
    <w:rsid w:val="00491675"/>
    <w:rsid w:val="00493855"/>
    <w:rsid w:val="004956C6"/>
    <w:rsid w:val="00497558"/>
    <w:rsid w:val="00497CF9"/>
    <w:rsid w:val="004A57DD"/>
    <w:rsid w:val="004A75AD"/>
    <w:rsid w:val="004A7B51"/>
    <w:rsid w:val="004A7D71"/>
    <w:rsid w:val="004A7EF3"/>
    <w:rsid w:val="004B0EBE"/>
    <w:rsid w:val="004B10C5"/>
    <w:rsid w:val="004B11FD"/>
    <w:rsid w:val="004B23A2"/>
    <w:rsid w:val="004B25E4"/>
    <w:rsid w:val="004B428D"/>
    <w:rsid w:val="004B607C"/>
    <w:rsid w:val="004C1912"/>
    <w:rsid w:val="004C1DA6"/>
    <w:rsid w:val="004C5E4F"/>
    <w:rsid w:val="004C7030"/>
    <w:rsid w:val="004D1A5A"/>
    <w:rsid w:val="004D2FFF"/>
    <w:rsid w:val="004D3721"/>
    <w:rsid w:val="004D64F9"/>
    <w:rsid w:val="004D687E"/>
    <w:rsid w:val="004E12EF"/>
    <w:rsid w:val="004E4224"/>
    <w:rsid w:val="004E46B9"/>
    <w:rsid w:val="004E5A14"/>
    <w:rsid w:val="004E622C"/>
    <w:rsid w:val="004E64DB"/>
    <w:rsid w:val="004F1534"/>
    <w:rsid w:val="004F2DD1"/>
    <w:rsid w:val="004F3375"/>
    <w:rsid w:val="004F55F1"/>
    <w:rsid w:val="004F5FDF"/>
    <w:rsid w:val="0050061B"/>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67EDA"/>
    <w:rsid w:val="005716C3"/>
    <w:rsid w:val="0057296B"/>
    <w:rsid w:val="00573594"/>
    <w:rsid w:val="00575B2D"/>
    <w:rsid w:val="005800D0"/>
    <w:rsid w:val="005833D0"/>
    <w:rsid w:val="005846F3"/>
    <w:rsid w:val="00585055"/>
    <w:rsid w:val="0058622F"/>
    <w:rsid w:val="005865D6"/>
    <w:rsid w:val="00590880"/>
    <w:rsid w:val="00590FE6"/>
    <w:rsid w:val="00591631"/>
    <w:rsid w:val="0059183D"/>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D6141"/>
    <w:rsid w:val="005E1B79"/>
    <w:rsid w:val="005E1EA8"/>
    <w:rsid w:val="005E3E1C"/>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1797F"/>
    <w:rsid w:val="00621A17"/>
    <w:rsid w:val="00627CC9"/>
    <w:rsid w:val="00627E7B"/>
    <w:rsid w:val="00630542"/>
    <w:rsid w:val="00630727"/>
    <w:rsid w:val="00631E7B"/>
    <w:rsid w:val="00632E44"/>
    <w:rsid w:val="0063316D"/>
    <w:rsid w:val="00633DC9"/>
    <w:rsid w:val="00634622"/>
    <w:rsid w:val="00636808"/>
    <w:rsid w:val="0064043F"/>
    <w:rsid w:val="00641515"/>
    <w:rsid w:val="00642515"/>
    <w:rsid w:val="00643ABE"/>
    <w:rsid w:val="00644DD8"/>
    <w:rsid w:val="00646731"/>
    <w:rsid w:val="006521CD"/>
    <w:rsid w:val="00652A22"/>
    <w:rsid w:val="00653584"/>
    <w:rsid w:val="00654C2F"/>
    <w:rsid w:val="00655438"/>
    <w:rsid w:val="00657087"/>
    <w:rsid w:val="0065715A"/>
    <w:rsid w:val="006661EF"/>
    <w:rsid w:val="0066764F"/>
    <w:rsid w:val="006746CB"/>
    <w:rsid w:val="006772F5"/>
    <w:rsid w:val="00677AEB"/>
    <w:rsid w:val="00680EF2"/>
    <w:rsid w:val="00682A3E"/>
    <w:rsid w:val="006850AE"/>
    <w:rsid w:val="00686C53"/>
    <w:rsid w:val="00687A1D"/>
    <w:rsid w:val="00697EA1"/>
    <w:rsid w:val="006A0F22"/>
    <w:rsid w:val="006A2646"/>
    <w:rsid w:val="006A2C01"/>
    <w:rsid w:val="006A6530"/>
    <w:rsid w:val="006A695F"/>
    <w:rsid w:val="006A6D1D"/>
    <w:rsid w:val="006B2893"/>
    <w:rsid w:val="006B435A"/>
    <w:rsid w:val="006B4C64"/>
    <w:rsid w:val="006B5AE8"/>
    <w:rsid w:val="006D0529"/>
    <w:rsid w:val="006D564C"/>
    <w:rsid w:val="006D6BD5"/>
    <w:rsid w:val="006D79F9"/>
    <w:rsid w:val="006E0901"/>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2771"/>
    <w:rsid w:val="00726E9A"/>
    <w:rsid w:val="00727864"/>
    <w:rsid w:val="007333CC"/>
    <w:rsid w:val="007335D8"/>
    <w:rsid w:val="0073399A"/>
    <w:rsid w:val="007369C7"/>
    <w:rsid w:val="00741824"/>
    <w:rsid w:val="00743531"/>
    <w:rsid w:val="007462D9"/>
    <w:rsid w:val="00751986"/>
    <w:rsid w:val="0075428A"/>
    <w:rsid w:val="00756ABD"/>
    <w:rsid w:val="007576A3"/>
    <w:rsid w:val="007603F5"/>
    <w:rsid w:val="007604E0"/>
    <w:rsid w:val="00760A70"/>
    <w:rsid w:val="0076181C"/>
    <w:rsid w:val="00764DB0"/>
    <w:rsid w:val="007671EB"/>
    <w:rsid w:val="00767234"/>
    <w:rsid w:val="0076764D"/>
    <w:rsid w:val="0076766F"/>
    <w:rsid w:val="00767CB5"/>
    <w:rsid w:val="00770DF5"/>
    <w:rsid w:val="0077498C"/>
    <w:rsid w:val="007759D3"/>
    <w:rsid w:val="00777070"/>
    <w:rsid w:val="00782B3F"/>
    <w:rsid w:val="00784128"/>
    <w:rsid w:val="007843F8"/>
    <w:rsid w:val="0078662F"/>
    <w:rsid w:val="00790B4C"/>
    <w:rsid w:val="0079206E"/>
    <w:rsid w:val="00793173"/>
    <w:rsid w:val="007958F0"/>
    <w:rsid w:val="00797E1B"/>
    <w:rsid w:val="007A12A4"/>
    <w:rsid w:val="007A6736"/>
    <w:rsid w:val="007B1E13"/>
    <w:rsid w:val="007B200D"/>
    <w:rsid w:val="007C0111"/>
    <w:rsid w:val="007C0663"/>
    <w:rsid w:val="007C1FCC"/>
    <w:rsid w:val="007C2831"/>
    <w:rsid w:val="007C2AA1"/>
    <w:rsid w:val="007C6201"/>
    <w:rsid w:val="007D0348"/>
    <w:rsid w:val="007D1E28"/>
    <w:rsid w:val="007D7C63"/>
    <w:rsid w:val="007D7C92"/>
    <w:rsid w:val="007D7E30"/>
    <w:rsid w:val="007E1154"/>
    <w:rsid w:val="007E3AA5"/>
    <w:rsid w:val="007E3ADF"/>
    <w:rsid w:val="007E530F"/>
    <w:rsid w:val="007E68CF"/>
    <w:rsid w:val="007E6BA4"/>
    <w:rsid w:val="007E73ED"/>
    <w:rsid w:val="007F19A2"/>
    <w:rsid w:val="007F41F8"/>
    <w:rsid w:val="00804000"/>
    <w:rsid w:val="0080454E"/>
    <w:rsid w:val="00804C32"/>
    <w:rsid w:val="00806302"/>
    <w:rsid w:val="00807119"/>
    <w:rsid w:val="00811865"/>
    <w:rsid w:val="00811DCC"/>
    <w:rsid w:val="00813714"/>
    <w:rsid w:val="00814A55"/>
    <w:rsid w:val="00823691"/>
    <w:rsid w:val="00823D61"/>
    <w:rsid w:val="0082483F"/>
    <w:rsid w:val="008279C0"/>
    <w:rsid w:val="00841E70"/>
    <w:rsid w:val="008473AA"/>
    <w:rsid w:val="008505EC"/>
    <w:rsid w:val="00852883"/>
    <w:rsid w:val="00852F37"/>
    <w:rsid w:val="008571F6"/>
    <w:rsid w:val="00857BC3"/>
    <w:rsid w:val="00861E51"/>
    <w:rsid w:val="008625AB"/>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398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36AEF"/>
    <w:rsid w:val="00942123"/>
    <w:rsid w:val="0094263A"/>
    <w:rsid w:val="00942E80"/>
    <w:rsid w:val="00946EE0"/>
    <w:rsid w:val="0095029B"/>
    <w:rsid w:val="0095207B"/>
    <w:rsid w:val="00952952"/>
    <w:rsid w:val="009533CB"/>
    <w:rsid w:val="00953B5C"/>
    <w:rsid w:val="00953D67"/>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46A"/>
    <w:rsid w:val="009C1527"/>
    <w:rsid w:val="009C1BC8"/>
    <w:rsid w:val="009C2442"/>
    <w:rsid w:val="009C2628"/>
    <w:rsid w:val="009C27B1"/>
    <w:rsid w:val="009D05C6"/>
    <w:rsid w:val="009D0811"/>
    <w:rsid w:val="009D0B89"/>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0697F"/>
    <w:rsid w:val="00A149B7"/>
    <w:rsid w:val="00A177BC"/>
    <w:rsid w:val="00A17930"/>
    <w:rsid w:val="00A2274A"/>
    <w:rsid w:val="00A235B7"/>
    <w:rsid w:val="00A249AC"/>
    <w:rsid w:val="00A27A7A"/>
    <w:rsid w:val="00A301D1"/>
    <w:rsid w:val="00A31881"/>
    <w:rsid w:val="00A407EF"/>
    <w:rsid w:val="00A411B7"/>
    <w:rsid w:val="00A4569D"/>
    <w:rsid w:val="00A46B4C"/>
    <w:rsid w:val="00A5117B"/>
    <w:rsid w:val="00A52553"/>
    <w:rsid w:val="00A560B6"/>
    <w:rsid w:val="00A56CF7"/>
    <w:rsid w:val="00A56DBC"/>
    <w:rsid w:val="00A60074"/>
    <w:rsid w:val="00A646E2"/>
    <w:rsid w:val="00A651A9"/>
    <w:rsid w:val="00A6627C"/>
    <w:rsid w:val="00A71019"/>
    <w:rsid w:val="00A81029"/>
    <w:rsid w:val="00A82AFB"/>
    <w:rsid w:val="00A842BA"/>
    <w:rsid w:val="00A8485D"/>
    <w:rsid w:val="00A96062"/>
    <w:rsid w:val="00A96489"/>
    <w:rsid w:val="00A96BB0"/>
    <w:rsid w:val="00A974B9"/>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0609C"/>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1C6"/>
    <w:rsid w:val="00B55C9E"/>
    <w:rsid w:val="00B56B95"/>
    <w:rsid w:val="00B607DF"/>
    <w:rsid w:val="00B60C29"/>
    <w:rsid w:val="00B616EC"/>
    <w:rsid w:val="00B63795"/>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5DF"/>
    <w:rsid w:val="00BB09FD"/>
    <w:rsid w:val="00BB0F2B"/>
    <w:rsid w:val="00BB12C6"/>
    <w:rsid w:val="00BB460F"/>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1D76"/>
    <w:rsid w:val="00C22A25"/>
    <w:rsid w:val="00C234E3"/>
    <w:rsid w:val="00C2385F"/>
    <w:rsid w:val="00C257FC"/>
    <w:rsid w:val="00C26E4B"/>
    <w:rsid w:val="00C31102"/>
    <w:rsid w:val="00C33C84"/>
    <w:rsid w:val="00C3453F"/>
    <w:rsid w:val="00C34A50"/>
    <w:rsid w:val="00C35026"/>
    <w:rsid w:val="00C35671"/>
    <w:rsid w:val="00C35B77"/>
    <w:rsid w:val="00C376EB"/>
    <w:rsid w:val="00C4187E"/>
    <w:rsid w:val="00C444EC"/>
    <w:rsid w:val="00C44D39"/>
    <w:rsid w:val="00C45A03"/>
    <w:rsid w:val="00C46EC1"/>
    <w:rsid w:val="00C50F86"/>
    <w:rsid w:val="00C53E2C"/>
    <w:rsid w:val="00C550C8"/>
    <w:rsid w:val="00C56B61"/>
    <w:rsid w:val="00C570AC"/>
    <w:rsid w:val="00C5730D"/>
    <w:rsid w:val="00C60631"/>
    <w:rsid w:val="00C606C3"/>
    <w:rsid w:val="00C620F4"/>
    <w:rsid w:val="00C629CB"/>
    <w:rsid w:val="00C65403"/>
    <w:rsid w:val="00C71F4F"/>
    <w:rsid w:val="00C72848"/>
    <w:rsid w:val="00C750BA"/>
    <w:rsid w:val="00C7736C"/>
    <w:rsid w:val="00C80272"/>
    <w:rsid w:val="00C82D87"/>
    <w:rsid w:val="00C85FAE"/>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D5A81"/>
    <w:rsid w:val="00CE1035"/>
    <w:rsid w:val="00CE62CA"/>
    <w:rsid w:val="00CF2819"/>
    <w:rsid w:val="00CF4F9D"/>
    <w:rsid w:val="00CF5AD8"/>
    <w:rsid w:val="00CF70DC"/>
    <w:rsid w:val="00CF717B"/>
    <w:rsid w:val="00D068C5"/>
    <w:rsid w:val="00D07F87"/>
    <w:rsid w:val="00D12532"/>
    <w:rsid w:val="00D148DC"/>
    <w:rsid w:val="00D1688E"/>
    <w:rsid w:val="00D17FDC"/>
    <w:rsid w:val="00D223E4"/>
    <w:rsid w:val="00D256C6"/>
    <w:rsid w:val="00D25F51"/>
    <w:rsid w:val="00D321C4"/>
    <w:rsid w:val="00D35229"/>
    <w:rsid w:val="00D35ADE"/>
    <w:rsid w:val="00D35EAE"/>
    <w:rsid w:val="00D4685B"/>
    <w:rsid w:val="00D566C5"/>
    <w:rsid w:val="00D57C59"/>
    <w:rsid w:val="00D60215"/>
    <w:rsid w:val="00D60874"/>
    <w:rsid w:val="00D63EFD"/>
    <w:rsid w:val="00D6588F"/>
    <w:rsid w:val="00D676F1"/>
    <w:rsid w:val="00D714E4"/>
    <w:rsid w:val="00D735A3"/>
    <w:rsid w:val="00D84752"/>
    <w:rsid w:val="00D86A74"/>
    <w:rsid w:val="00D86B3B"/>
    <w:rsid w:val="00D8748A"/>
    <w:rsid w:val="00D905E4"/>
    <w:rsid w:val="00D90780"/>
    <w:rsid w:val="00D93196"/>
    <w:rsid w:val="00D931A2"/>
    <w:rsid w:val="00D955C7"/>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214"/>
    <w:rsid w:val="00DD59B5"/>
    <w:rsid w:val="00DD6923"/>
    <w:rsid w:val="00DD7AD7"/>
    <w:rsid w:val="00DE03AF"/>
    <w:rsid w:val="00DE097E"/>
    <w:rsid w:val="00DE121C"/>
    <w:rsid w:val="00DE475E"/>
    <w:rsid w:val="00DE6633"/>
    <w:rsid w:val="00DF056D"/>
    <w:rsid w:val="00DF4D51"/>
    <w:rsid w:val="00DF5ED8"/>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35F5"/>
    <w:rsid w:val="00E450A4"/>
    <w:rsid w:val="00E506BE"/>
    <w:rsid w:val="00E518B6"/>
    <w:rsid w:val="00E525B9"/>
    <w:rsid w:val="00E54ADD"/>
    <w:rsid w:val="00E55547"/>
    <w:rsid w:val="00E55E9B"/>
    <w:rsid w:val="00E57A83"/>
    <w:rsid w:val="00E6211B"/>
    <w:rsid w:val="00E6302B"/>
    <w:rsid w:val="00E6452F"/>
    <w:rsid w:val="00E64F45"/>
    <w:rsid w:val="00E6742D"/>
    <w:rsid w:val="00E71CB0"/>
    <w:rsid w:val="00E7793C"/>
    <w:rsid w:val="00E77C3D"/>
    <w:rsid w:val="00E8021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4F9"/>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1F3"/>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002D"/>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3D72"/>
    <w:rsid w:val="00FC4F43"/>
    <w:rsid w:val="00FC5D26"/>
    <w:rsid w:val="00FC7B47"/>
    <w:rsid w:val="00FD0169"/>
    <w:rsid w:val="00FD035C"/>
    <w:rsid w:val="00FD1240"/>
    <w:rsid w:val="00FD1A35"/>
    <w:rsid w:val="00FD36C5"/>
    <w:rsid w:val="00FD5B6F"/>
    <w:rsid w:val="00FD6126"/>
    <w:rsid w:val="00FD6310"/>
    <w:rsid w:val="00FD7C7B"/>
    <w:rsid w:val="00FE002B"/>
    <w:rsid w:val="00FE1D12"/>
    <w:rsid w:val="00FE2122"/>
    <w:rsid w:val="00FE2A86"/>
    <w:rsid w:val="00FE6330"/>
    <w:rsid w:val="00FF22DC"/>
    <w:rsid w:val="00FF296F"/>
    <w:rsid w:val="00FF3529"/>
    <w:rsid w:val="00FF3D9D"/>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thegazette.co.uk/insolvency/content/103914" TargetMode="External"/><Relationship Id="rId1" Type="http://schemas.openxmlformats.org/officeDocument/2006/relationships/hyperlink" Target="https://www.thegazette.co.uk/insolvency/content/103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purl.org/dc/terms/"/>
    <ds:schemaRef ds:uri="http://www.w3.org/XML/1998/namespace"/>
    <ds:schemaRef ds:uri="http://schemas.microsoft.com/office/2006/metadata/properties"/>
    <ds:schemaRef ds:uri="http://purl.org/dc/elements/1.1/"/>
    <ds:schemaRef ds:uri="d0ad2d52-4869-465d-a93a-001fa21a593d"/>
    <ds:schemaRef ds:uri="http://schemas.microsoft.com/office/infopath/2007/PartnerControls"/>
    <ds:schemaRef ds:uri="http://schemas.microsoft.com/office/2006/documentManagement/types"/>
    <ds:schemaRef ds:uri="http://schemas.openxmlformats.org/package/2006/metadata/core-properties"/>
    <ds:schemaRef ds:uri="a21de7b9-cad9-43f2-8459-9b1b4f9894e2"/>
    <ds:schemaRef ds:uri="http://purl.org/dc/dcmitype/"/>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787DA15-6BAB-4E05-BBEB-B1481A166BF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B81009C-4567-482D-B53A-CE195F79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18</Pages>
  <Words>6808</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Meerasree Ganasan</cp:lastModifiedBy>
  <cp:revision>57</cp:revision>
  <cp:lastPrinted>2020-06-12T02:43:00Z</cp:lastPrinted>
  <dcterms:created xsi:type="dcterms:W3CDTF">2021-08-03T16:38:00Z</dcterms:created>
  <dcterms:modified xsi:type="dcterms:W3CDTF">2021-11-11T03:11:00Z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docIndexRef">
    <vt:lpwstr>ef757008-ff16-455e-b67c-205e59077fcf</vt:lpwstr>
  </property>
  <property fmtid="{D5CDD505-2E9C-101B-9397-08002B2CF9AE}" pid="4" name="bjSaver">
    <vt:lpwstr>xvOTEhjoycUI5QxlX8vagBRkmH1tYmQ+</vt:lpwstr>
  </property>
  <property fmtid="{D5CDD505-2E9C-101B-9397-08002B2CF9AE}" pid="5"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6" name="bjDocumentLabelXML-0">
    <vt:lpwstr>ames.com/2008/01/sie/internal/label"&gt;&lt;element uid="0396dc7d-9d2f-459d-9e03-6e8dc85fa202" value="" /&gt;&lt;element uid="bc9373da-fcfa-4469-a78f-e552654443e3" value="" /&gt;&lt;/sisl&gt;</vt:lpwstr>
  </property>
  <property fmtid="{D5CDD505-2E9C-101B-9397-08002B2CF9AE}" pid="7" name="bjDocumentSecurityLabel">
    <vt:lpwstr>Personal</vt:lpwstr>
  </property>
  <property fmtid="{D5CDD505-2E9C-101B-9397-08002B2CF9AE}" pid="8" name="DLP">
    <vt:lpwstr>{[*Others Personal*]}</vt:lpwstr>
  </property>
  <property fmtid="{D5CDD505-2E9C-101B-9397-08002B2CF9AE}" pid="9" name="bjFooterBothDocProperty">
    <vt:lpwstr>This information/document has been classified: Personal</vt:lpwstr>
  </property>
  <property fmtid="{D5CDD505-2E9C-101B-9397-08002B2CF9AE}" pid="10" name="bjFooterFirstPageDocProperty">
    <vt:lpwstr>This information/document has been classified: Personal</vt:lpwstr>
  </property>
  <property fmtid="{D5CDD505-2E9C-101B-9397-08002B2CF9AE}" pid="11" name="bjFooterEvenPageDocProperty">
    <vt:lpwstr>This information/document has been classified: Personal</vt:lpwstr>
  </property>
  <property fmtid="{D5CDD505-2E9C-101B-9397-08002B2CF9AE}" pid="12" name="bjClsUserRVM">
    <vt:lpwstr>[{"VisualMarkingType":2,"ShapeName":"","ApplyMarking":false}]</vt:lpwstr>
  </property>
</Properties>
</file>