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35C1764E"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4B0DD1" w:rsidRDefault="00C60631" w:rsidP="009D510C">
      <w:pPr>
        <w:pStyle w:val="ListParagraph"/>
        <w:numPr>
          <w:ilvl w:val="0"/>
          <w:numId w:val="12"/>
        </w:numPr>
        <w:ind w:left="426"/>
        <w:jc w:val="both"/>
        <w:rPr>
          <w:rFonts w:ascii="Arial" w:hAnsi="Arial" w:cs="Arial"/>
          <w:sz w:val="22"/>
          <w:szCs w:val="22"/>
          <w:lang w:val="en-GB"/>
        </w:rPr>
      </w:pPr>
      <w:r w:rsidRPr="004B0DD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B0DD1" w:rsidRDefault="00C60631" w:rsidP="009D510C">
      <w:pPr>
        <w:pStyle w:val="ListParagraph"/>
        <w:numPr>
          <w:ilvl w:val="0"/>
          <w:numId w:val="12"/>
        </w:numPr>
        <w:ind w:left="426"/>
        <w:jc w:val="both"/>
        <w:rPr>
          <w:rFonts w:ascii="Arial" w:hAnsi="Arial" w:cs="Arial"/>
          <w:sz w:val="22"/>
          <w:szCs w:val="22"/>
          <w:highlight w:val="yellow"/>
          <w:lang w:val="en-GB"/>
        </w:rPr>
      </w:pPr>
      <w:r w:rsidRPr="004B0DD1">
        <w:rPr>
          <w:rFonts w:ascii="Arial" w:hAnsi="Arial" w:cs="Arial"/>
          <w:sz w:val="22"/>
          <w:szCs w:val="22"/>
          <w:highlight w:val="yellow"/>
          <w:lang w:val="en-GB"/>
        </w:rPr>
        <w:t xml:space="preserve">This statement is incorrect since </w:t>
      </w:r>
      <w:r w:rsidR="00E7793C" w:rsidRPr="004B0DD1">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B1776C">
        <w:rPr>
          <w:rFonts w:ascii="Arial" w:hAnsi="Arial" w:cs="Arial"/>
          <w:sz w:val="22"/>
          <w:szCs w:val="22"/>
          <w:highlight w:val="yellow"/>
          <w:lang w:val="en-GB"/>
        </w:rPr>
        <w:t>The statement i</w:t>
      </w:r>
      <w:r w:rsidR="006E77B0" w:rsidRPr="00B1776C">
        <w:rPr>
          <w:rFonts w:ascii="Arial" w:hAnsi="Arial" w:cs="Arial"/>
          <w:sz w:val="22"/>
          <w:szCs w:val="22"/>
          <w:highlight w:val="yellow"/>
          <w:lang w:val="en-GB"/>
        </w:rPr>
        <w:t>s incorrect since the UK did re</w:t>
      </w:r>
      <w:r w:rsidRPr="00B1776C">
        <w:rPr>
          <w:rFonts w:ascii="Arial" w:hAnsi="Arial" w:cs="Arial"/>
          <w:sz w:val="22"/>
          <w:szCs w:val="22"/>
          <w:highlight w:val="yellow"/>
          <w:lang w:val="en-GB"/>
        </w:rPr>
        <w:t>v</w:t>
      </w:r>
      <w:r w:rsidR="006E77B0" w:rsidRPr="00B1776C">
        <w:rPr>
          <w:rFonts w:ascii="Arial" w:hAnsi="Arial" w:cs="Arial"/>
          <w:sz w:val="22"/>
          <w:szCs w:val="22"/>
          <w:highlight w:val="yellow"/>
          <w:lang w:val="en-GB"/>
        </w:rPr>
        <w:t>i</w:t>
      </w:r>
      <w:r w:rsidRPr="00B1776C">
        <w:rPr>
          <w:rFonts w:ascii="Arial" w:hAnsi="Arial" w:cs="Arial"/>
          <w:sz w:val="22"/>
          <w:szCs w:val="22"/>
          <w:highlight w:val="yellow"/>
          <w:lang w:val="en-GB"/>
        </w:rPr>
        <w:t>ew parts of its insolvency rules and amended some, among</w:t>
      </w:r>
      <w:r w:rsidR="006E77B0" w:rsidRPr="00B1776C">
        <w:rPr>
          <w:rFonts w:ascii="Arial" w:hAnsi="Arial" w:cs="Arial"/>
          <w:sz w:val="22"/>
          <w:szCs w:val="22"/>
          <w:highlight w:val="yellow"/>
          <w:lang w:val="en-GB"/>
        </w:rPr>
        <w:t>s</w:t>
      </w:r>
      <w:r w:rsidRPr="00B1776C">
        <w:rPr>
          <w:rFonts w:ascii="Arial" w:hAnsi="Arial" w:cs="Arial"/>
          <w:sz w:val="22"/>
          <w:szCs w:val="22"/>
          <w:highlight w:val="yellow"/>
          <w:lang w:val="en-GB"/>
        </w:rPr>
        <w:t>t other</w:t>
      </w:r>
      <w:r w:rsidR="00F96AF1" w:rsidRPr="00B1776C">
        <w:rPr>
          <w:rFonts w:ascii="Arial" w:hAnsi="Arial" w:cs="Arial"/>
          <w:sz w:val="22"/>
          <w:szCs w:val="22"/>
          <w:highlight w:val="yellow"/>
          <w:lang w:val="en-GB"/>
        </w:rPr>
        <w:t xml:space="preserve"> things</w:t>
      </w:r>
      <w:r w:rsidRPr="00B1776C">
        <w:rPr>
          <w:rFonts w:ascii="Arial" w:hAnsi="Arial" w:cs="Arial"/>
          <w:sz w:val="22"/>
          <w:szCs w:val="22"/>
          <w:highlight w:val="yellow"/>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8412FF" w:rsidRDefault="00B54F90" w:rsidP="009D510C">
      <w:pPr>
        <w:pStyle w:val="ListParagraph"/>
        <w:numPr>
          <w:ilvl w:val="0"/>
          <w:numId w:val="14"/>
        </w:numPr>
        <w:ind w:left="426"/>
        <w:jc w:val="both"/>
        <w:rPr>
          <w:rFonts w:ascii="Arial" w:hAnsi="Arial" w:cs="Arial"/>
          <w:sz w:val="22"/>
          <w:szCs w:val="22"/>
          <w:highlight w:val="yellow"/>
          <w:lang w:val="en-GB"/>
        </w:rPr>
      </w:pPr>
      <w:r w:rsidRPr="008412FF">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8412FF">
        <w:rPr>
          <w:rFonts w:ascii="Arial" w:hAnsi="Arial" w:cs="Arial"/>
          <w:sz w:val="22"/>
          <w:szCs w:val="22"/>
          <w:highlight w:val="yellow"/>
          <w:lang w:val="en-GB"/>
        </w:rPr>
        <w:t xml:space="preserve">on </w:t>
      </w:r>
      <w:r w:rsidRPr="008412FF">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412F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412F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8412FF" w:rsidRDefault="00926D10" w:rsidP="009D510C">
      <w:pPr>
        <w:pStyle w:val="ListParagraph"/>
        <w:numPr>
          <w:ilvl w:val="0"/>
          <w:numId w:val="5"/>
        </w:numPr>
        <w:ind w:left="426"/>
        <w:jc w:val="both"/>
        <w:rPr>
          <w:rFonts w:ascii="Arial" w:hAnsi="Arial" w:cs="Arial"/>
          <w:sz w:val="22"/>
          <w:szCs w:val="22"/>
          <w:highlight w:val="yellow"/>
          <w:lang w:val="en-GB"/>
        </w:rPr>
      </w:pPr>
      <w:r w:rsidRPr="008412FF">
        <w:rPr>
          <w:rFonts w:ascii="Arial" w:hAnsi="Arial" w:cs="Arial"/>
          <w:sz w:val="22"/>
          <w:szCs w:val="22"/>
          <w:highlight w:val="yellow"/>
          <w:lang w:val="en-GB"/>
        </w:rPr>
        <w:lastRenderedPageBreak/>
        <w:t xml:space="preserve">The statement is correct </w:t>
      </w:r>
      <w:r w:rsidR="0090037B" w:rsidRPr="008412FF">
        <w:rPr>
          <w:rFonts w:ascii="Arial" w:hAnsi="Arial" w:cs="Arial"/>
          <w:sz w:val="22"/>
          <w:szCs w:val="22"/>
          <w:highlight w:val="yellow"/>
          <w:lang w:val="en-GB"/>
        </w:rPr>
        <w:t>because</w:t>
      </w:r>
      <w:r w:rsidRPr="008412FF">
        <w:rPr>
          <w:rFonts w:ascii="Arial" w:hAnsi="Arial" w:cs="Arial"/>
          <w:sz w:val="22"/>
          <w:szCs w:val="22"/>
          <w:highlight w:val="yellow"/>
          <w:lang w:val="en-GB"/>
        </w:rPr>
        <w:t xml:space="preserve"> universality </w:t>
      </w:r>
      <w:r w:rsidR="00CB7283" w:rsidRPr="008412FF">
        <w:rPr>
          <w:rFonts w:ascii="Arial" w:hAnsi="Arial" w:cs="Arial"/>
          <w:sz w:val="22"/>
          <w:szCs w:val="22"/>
          <w:highlight w:val="yellow"/>
          <w:lang w:val="en-GB"/>
        </w:rPr>
        <w:t>has become</w:t>
      </w:r>
      <w:r w:rsidRPr="008412FF">
        <w:rPr>
          <w:rFonts w:ascii="Arial" w:hAnsi="Arial" w:cs="Arial"/>
          <w:sz w:val="22"/>
          <w:szCs w:val="22"/>
          <w:highlight w:val="yellow"/>
          <w:lang w:val="en-GB"/>
        </w:rPr>
        <w:t xml:space="preserve"> the norm in the majority of </w:t>
      </w:r>
      <w:r w:rsidR="00426B64" w:rsidRPr="008412FF">
        <w:rPr>
          <w:rFonts w:ascii="Arial" w:hAnsi="Arial" w:cs="Arial"/>
          <w:sz w:val="22"/>
          <w:szCs w:val="22"/>
          <w:highlight w:val="yellow"/>
          <w:lang w:val="en-GB"/>
        </w:rPr>
        <w:t>States</w:t>
      </w:r>
      <w:r w:rsidRPr="008412FF">
        <w:rPr>
          <w:rFonts w:ascii="Arial" w:hAnsi="Arial" w:cs="Arial"/>
          <w:sz w:val="22"/>
          <w:szCs w:val="22"/>
          <w:highlight w:val="yellow"/>
          <w:lang w:val="en-GB"/>
        </w:rPr>
        <w:t xml:space="preserve"> in cross-border insolvency matters</w:t>
      </w:r>
      <w:r w:rsidR="00CB7283" w:rsidRPr="008412FF">
        <w:rPr>
          <w:rFonts w:ascii="Arial" w:hAnsi="Arial" w:cs="Arial"/>
          <w:sz w:val="22"/>
          <w:szCs w:val="22"/>
          <w:highlight w:val="yellow"/>
          <w:lang w:val="en-GB"/>
        </w:rPr>
        <w:t xml:space="preserve"> since the introduction of the UNCITRAL Model Law on Cross-Border Insolvency in 1997</w:t>
      </w:r>
      <w:r w:rsidRPr="008412FF">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8412FF" w:rsidRDefault="000329A6" w:rsidP="00C570AC">
      <w:pPr>
        <w:pStyle w:val="ListParagraph"/>
        <w:numPr>
          <w:ilvl w:val="0"/>
          <w:numId w:val="6"/>
        </w:numPr>
        <w:ind w:left="426"/>
        <w:jc w:val="both"/>
        <w:rPr>
          <w:rFonts w:ascii="Arial" w:hAnsi="Arial" w:cs="Arial"/>
          <w:sz w:val="22"/>
          <w:szCs w:val="22"/>
          <w:highlight w:val="yellow"/>
          <w:lang w:val="en-GB"/>
        </w:rPr>
      </w:pPr>
      <w:r w:rsidRPr="008412FF">
        <w:rPr>
          <w:rFonts w:ascii="Arial" w:eastAsiaTheme="minorHAnsi" w:hAnsi="Arial" w:cs="Arial"/>
          <w:sz w:val="22"/>
          <w:szCs w:val="22"/>
          <w:highlight w:val="yellow"/>
          <w:lang w:val="en-GB"/>
        </w:rPr>
        <w:t xml:space="preserve">They were recently revised in 2021 and, together with the </w:t>
      </w:r>
      <w:r w:rsidRPr="008412F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E4B2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2E4B25">
        <w:rPr>
          <w:rFonts w:ascii="Arial" w:eastAsiaTheme="minorHAnsi" w:hAnsi="Arial" w:cs="Arial"/>
          <w:sz w:val="22"/>
          <w:szCs w:val="22"/>
          <w:highlight w:val="yellow"/>
          <w:lang w:val="en-GB"/>
        </w:rPr>
        <w:t xml:space="preserve">The Nordic Convention </w:t>
      </w:r>
      <w:r w:rsidR="00076483" w:rsidRPr="002E4B25">
        <w:rPr>
          <w:rFonts w:ascii="Arial" w:eastAsiaTheme="minorHAnsi" w:hAnsi="Arial" w:cs="Arial"/>
          <w:sz w:val="22"/>
          <w:szCs w:val="22"/>
          <w:highlight w:val="yellow"/>
          <w:lang w:val="en-GB"/>
        </w:rPr>
        <w:t>1933</w:t>
      </w:r>
      <w:r w:rsidR="00966E44" w:rsidRPr="002E4B2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E4B25" w:rsidRDefault="00124B70" w:rsidP="00275182">
      <w:pPr>
        <w:pStyle w:val="ListParagraph"/>
        <w:numPr>
          <w:ilvl w:val="0"/>
          <w:numId w:val="8"/>
        </w:numPr>
        <w:ind w:left="426"/>
        <w:jc w:val="both"/>
        <w:rPr>
          <w:rFonts w:ascii="Arial" w:hAnsi="Arial" w:cs="Arial"/>
          <w:sz w:val="22"/>
          <w:szCs w:val="22"/>
          <w:highlight w:val="yellow"/>
          <w:lang w:val="en-GB"/>
        </w:rPr>
      </w:pPr>
      <w:r w:rsidRPr="002E4B2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E4B25" w:rsidRDefault="00E86549" w:rsidP="00275182">
      <w:pPr>
        <w:pStyle w:val="ListParagraph"/>
        <w:numPr>
          <w:ilvl w:val="0"/>
          <w:numId w:val="9"/>
        </w:numPr>
        <w:ind w:left="426"/>
        <w:jc w:val="both"/>
        <w:rPr>
          <w:rFonts w:ascii="Arial" w:hAnsi="Arial" w:cs="Arial"/>
          <w:bCs/>
          <w:sz w:val="22"/>
          <w:szCs w:val="22"/>
          <w:highlight w:val="yellow"/>
          <w:lang w:val="en-GB"/>
        </w:rPr>
      </w:pPr>
      <w:r w:rsidRPr="002E4B2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E4B25">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E4B25" w:rsidRDefault="00911C23" w:rsidP="00275182">
      <w:pPr>
        <w:pStyle w:val="ListParagraph"/>
        <w:numPr>
          <w:ilvl w:val="0"/>
          <w:numId w:val="10"/>
        </w:numPr>
        <w:ind w:left="426"/>
        <w:jc w:val="both"/>
        <w:rPr>
          <w:rFonts w:ascii="Arial" w:hAnsi="Arial" w:cs="Arial"/>
          <w:sz w:val="22"/>
          <w:szCs w:val="22"/>
          <w:highlight w:val="yellow"/>
          <w:lang w:val="en-GB"/>
        </w:rPr>
      </w:pPr>
      <w:r w:rsidRPr="002E4B2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0C5F63F2" w14:textId="4EC22B53" w:rsidR="0026113A"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6113A">
        <w:rPr>
          <w:rFonts w:ascii="Arial" w:hAnsi="Arial" w:cs="Arial"/>
          <w:color w:val="7B7B7B" w:themeColor="accent3" w:themeShade="BF"/>
          <w:sz w:val="22"/>
          <w:szCs w:val="22"/>
          <w:lang w:val="en-GB"/>
        </w:rPr>
        <w:t>The three significant (historical) developments regarding debt collection procedures in English law that shaped the way of thinking concerning modern insolvency law are</w:t>
      </w:r>
      <w:r w:rsidR="00CE3D16">
        <w:rPr>
          <w:rFonts w:ascii="Arial" w:hAnsi="Arial" w:cs="Arial"/>
          <w:color w:val="7B7B7B" w:themeColor="accent3" w:themeShade="BF"/>
          <w:sz w:val="22"/>
          <w:szCs w:val="22"/>
          <w:lang w:val="en-GB"/>
        </w:rPr>
        <w:t xml:space="preserve"> as follows</w:t>
      </w:r>
      <w:r w:rsidR="0026113A">
        <w:rPr>
          <w:rFonts w:ascii="Arial" w:hAnsi="Arial" w:cs="Arial"/>
          <w:color w:val="7B7B7B" w:themeColor="accent3" w:themeShade="BF"/>
          <w:sz w:val="22"/>
          <w:szCs w:val="22"/>
          <w:lang w:val="en-GB"/>
        </w:rPr>
        <w:t>;</w:t>
      </w:r>
    </w:p>
    <w:p w14:paraId="42E1291A" w14:textId="77777777" w:rsidR="0026113A" w:rsidRDefault="0026113A" w:rsidP="00B7193E">
      <w:pPr>
        <w:ind w:left="720" w:hanging="720"/>
        <w:jc w:val="both"/>
        <w:rPr>
          <w:rFonts w:ascii="Arial" w:hAnsi="Arial" w:cs="Arial"/>
          <w:color w:val="7B7B7B" w:themeColor="accent3" w:themeShade="BF"/>
          <w:sz w:val="22"/>
          <w:szCs w:val="22"/>
          <w:lang w:val="en-GB"/>
        </w:rPr>
      </w:pPr>
    </w:p>
    <w:p w14:paraId="2DCA67C7" w14:textId="5F151ED5" w:rsidR="002A7C2D" w:rsidRPr="004F09F3" w:rsidRDefault="004F09F3" w:rsidP="00CE3D16">
      <w:pPr>
        <w:jc w:val="both"/>
        <w:rPr>
          <w:rFonts w:ascii="Arial" w:hAnsi="Arial" w:cs="Arial"/>
          <w:color w:val="7B7B7B" w:themeColor="accent3" w:themeShade="BF"/>
          <w:szCs w:val="20"/>
          <w:lang w:val="en-GB"/>
        </w:rPr>
      </w:pPr>
      <w:r>
        <w:rPr>
          <w:rFonts w:ascii="Arial" w:hAnsi="Arial" w:cs="Arial"/>
          <w:color w:val="7B7B7B" w:themeColor="accent3" w:themeShade="BF"/>
          <w:sz w:val="22"/>
          <w:szCs w:val="22"/>
          <w:lang w:val="en-GB"/>
        </w:rPr>
        <w:t xml:space="preserve">The root of civil law has been said to be traced to Roman law. </w:t>
      </w:r>
      <w:r w:rsidR="00D70934" w:rsidRPr="00CE3D16">
        <w:rPr>
          <w:rFonts w:ascii="Arial" w:hAnsi="Arial" w:cs="Arial"/>
          <w:color w:val="7B7B7B" w:themeColor="accent3" w:themeShade="BF"/>
          <w:sz w:val="22"/>
          <w:szCs w:val="22"/>
          <w:lang w:val="en-GB"/>
        </w:rPr>
        <w:t>Fletcher</w:t>
      </w:r>
      <w:r>
        <w:rPr>
          <w:rFonts w:ascii="Arial" w:hAnsi="Arial" w:cs="Arial"/>
          <w:color w:val="7B7B7B" w:themeColor="accent3" w:themeShade="BF"/>
          <w:sz w:val="22"/>
          <w:szCs w:val="22"/>
          <w:lang w:val="en-GB"/>
        </w:rPr>
        <w:t xml:space="preserve"> identified this a</w:t>
      </w:r>
      <w:r w:rsidR="00853A96">
        <w:rPr>
          <w:rFonts w:ascii="Arial" w:hAnsi="Arial" w:cs="Arial"/>
          <w:color w:val="7B7B7B" w:themeColor="accent3" w:themeShade="BF"/>
          <w:sz w:val="22"/>
          <w:szCs w:val="22"/>
          <w:lang w:val="en-GB"/>
        </w:rPr>
        <w:t>nd argued</w:t>
      </w:r>
      <w:r w:rsidR="00CE3D16">
        <w:rPr>
          <w:rFonts w:ascii="Arial" w:hAnsi="Arial" w:cs="Arial"/>
          <w:color w:val="7B7B7B" w:themeColor="accent3" w:themeShade="BF"/>
          <w:sz w:val="22"/>
          <w:szCs w:val="22"/>
          <w:lang w:val="en-GB"/>
        </w:rPr>
        <w:t xml:space="preserve"> th</w:t>
      </w:r>
      <w:r w:rsidR="00D70934" w:rsidRPr="00CE3D16">
        <w:rPr>
          <w:rFonts w:ascii="Arial" w:hAnsi="Arial" w:cs="Arial"/>
          <w:color w:val="7B7B7B" w:themeColor="accent3" w:themeShade="BF"/>
          <w:sz w:val="22"/>
          <w:szCs w:val="22"/>
          <w:lang w:val="en-GB"/>
        </w:rPr>
        <w:t>at the roots of Bankruptcy law (as a collective debt collecting procedure) are found in the procedures of the Roman law namely;</w:t>
      </w:r>
      <w:r w:rsidR="00853A96">
        <w:rPr>
          <w:rFonts w:ascii="Arial" w:hAnsi="Arial" w:cs="Arial"/>
          <w:color w:val="7B7B7B" w:themeColor="accent3" w:themeShade="BF"/>
          <w:sz w:val="22"/>
          <w:szCs w:val="22"/>
          <w:lang w:val="en-GB"/>
        </w:rPr>
        <w:t xml:space="preserve"> </w:t>
      </w:r>
      <w:r w:rsidR="00853A96" w:rsidRPr="00853A96">
        <w:rPr>
          <w:rFonts w:ascii="Arial" w:hAnsi="Arial" w:cs="Arial"/>
          <w:i/>
          <w:iCs/>
          <w:color w:val="7B7B7B" w:themeColor="accent3" w:themeShade="BF"/>
          <w:sz w:val="22"/>
          <w:szCs w:val="22"/>
          <w:lang w:val="en-GB"/>
        </w:rPr>
        <w:t>cession bonorum</w:t>
      </w:r>
      <w:r w:rsidR="00853A96">
        <w:rPr>
          <w:rFonts w:ascii="Arial" w:hAnsi="Arial" w:cs="Arial"/>
          <w:color w:val="7B7B7B" w:themeColor="accent3" w:themeShade="BF"/>
          <w:sz w:val="22"/>
          <w:szCs w:val="22"/>
          <w:lang w:val="en-GB"/>
        </w:rPr>
        <w:t xml:space="preserve"> (assignment of property); </w:t>
      </w:r>
      <w:r w:rsidR="00853A96" w:rsidRPr="00853A96">
        <w:rPr>
          <w:rFonts w:ascii="Arial" w:hAnsi="Arial" w:cs="Arial"/>
          <w:i/>
          <w:iCs/>
          <w:color w:val="7B7B7B" w:themeColor="accent3" w:themeShade="BF"/>
          <w:sz w:val="22"/>
          <w:szCs w:val="22"/>
          <w:lang w:val="en-GB"/>
        </w:rPr>
        <w:t>distractio bonorum</w:t>
      </w:r>
      <w:r w:rsidR="00853A96">
        <w:rPr>
          <w:rFonts w:ascii="Arial" w:hAnsi="Arial" w:cs="Arial"/>
          <w:color w:val="7B7B7B" w:themeColor="accent3" w:themeShade="BF"/>
          <w:sz w:val="22"/>
          <w:szCs w:val="22"/>
          <w:lang w:val="en-GB"/>
        </w:rPr>
        <w:t xml:space="preserve"> (forced liquidation of assets);</w:t>
      </w:r>
      <w:r w:rsidR="00D70934" w:rsidRPr="00CE3D16">
        <w:rPr>
          <w:rFonts w:ascii="Arial" w:hAnsi="Arial" w:cs="Arial"/>
          <w:color w:val="7B7B7B" w:themeColor="accent3" w:themeShade="BF"/>
          <w:sz w:val="22"/>
          <w:szCs w:val="22"/>
          <w:lang w:val="en-GB"/>
        </w:rPr>
        <w:t xml:space="preserve"> </w:t>
      </w:r>
      <w:r w:rsidR="00D70934" w:rsidRPr="00CE3D16">
        <w:rPr>
          <w:rFonts w:ascii="Arial" w:hAnsi="Arial" w:cs="Arial"/>
          <w:i/>
          <w:iCs/>
          <w:color w:val="7B7B7B" w:themeColor="accent3" w:themeShade="BF"/>
          <w:sz w:val="22"/>
          <w:szCs w:val="22"/>
          <w:lang w:val="en-GB"/>
        </w:rPr>
        <w:t xml:space="preserve">remission and dilatio </w:t>
      </w:r>
      <w:r w:rsidR="00D70934" w:rsidRPr="00CE3D16">
        <w:rPr>
          <w:rFonts w:ascii="Arial" w:hAnsi="Arial" w:cs="Arial"/>
          <w:color w:val="7B7B7B" w:themeColor="accent3" w:themeShade="BF"/>
          <w:sz w:val="22"/>
          <w:szCs w:val="22"/>
          <w:lang w:val="en-GB"/>
        </w:rPr>
        <w:t xml:space="preserve">(composition with creditors). </w:t>
      </w:r>
      <w:r w:rsidR="002A7C2D" w:rsidRPr="00CE3D16">
        <w:rPr>
          <w:rFonts w:ascii="Arial" w:hAnsi="Arial" w:cs="Arial"/>
          <w:color w:val="7B7B7B" w:themeColor="accent3" w:themeShade="BF"/>
          <w:sz w:val="22"/>
          <w:szCs w:val="22"/>
          <w:lang w:val="en-GB"/>
        </w:rPr>
        <w:t xml:space="preserve">This </w:t>
      </w:r>
      <w:r w:rsidR="00853A96">
        <w:rPr>
          <w:rFonts w:ascii="Arial" w:hAnsi="Arial" w:cs="Arial"/>
          <w:color w:val="7B7B7B" w:themeColor="accent3" w:themeShade="BF"/>
          <w:sz w:val="22"/>
          <w:szCs w:val="22"/>
          <w:lang w:val="en-GB"/>
        </w:rPr>
        <w:t>significant (h</w:t>
      </w:r>
      <w:r w:rsidR="002A7C2D" w:rsidRPr="00CE3D16">
        <w:rPr>
          <w:rFonts w:ascii="Arial" w:hAnsi="Arial" w:cs="Arial"/>
          <w:color w:val="7B7B7B" w:themeColor="accent3" w:themeShade="BF"/>
          <w:sz w:val="22"/>
          <w:szCs w:val="22"/>
          <w:lang w:val="en-GB"/>
        </w:rPr>
        <w:t>is</w:t>
      </w:r>
      <w:r w:rsidR="00853A96">
        <w:rPr>
          <w:rFonts w:ascii="Arial" w:hAnsi="Arial" w:cs="Arial"/>
          <w:color w:val="7B7B7B" w:themeColor="accent3" w:themeShade="BF"/>
          <w:sz w:val="22"/>
          <w:szCs w:val="22"/>
          <w:lang w:val="en-GB"/>
        </w:rPr>
        <w:t xml:space="preserve">torical) development evolved from </w:t>
      </w:r>
      <w:r w:rsidR="002A7C2D" w:rsidRPr="00CE3D16">
        <w:rPr>
          <w:rFonts w:ascii="Arial" w:hAnsi="Arial" w:cs="Arial"/>
          <w:color w:val="7B7B7B" w:themeColor="accent3" w:themeShade="BF"/>
          <w:sz w:val="22"/>
          <w:szCs w:val="22"/>
          <w:lang w:val="en-GB"/>
        </w:rPr>
        <w:t>individual debt collecting procedures</w:t>
      </w:r>
      <w:r w:rsidR="00853A96">
        <w:rPr>
          <w:rFonts w:ascii="Arial" w:hAnsi="Arial" w:cs="Arial"/>
          <w:color w:val="7B7B7B" w:themeColor="accent3" w:themeShade="BF"/>
          <w:sz w:val="22"/>
          <w:szCs w:val="22"/>
          <w:lang w:val="en-GB"/>
        </w:rPr>
        <w:t xml:space="preserve"> to collective debt collecting mechanisms</w:t>
      </w:r>
      <w:r w:rsidR="002A7C2D" w:rsidRPr="00CE3D16">
        <w:rPr>
          <w:rFonts w:ascii="Arial" w:hAnsi="Arial" w:cs="Arial"/>
          <w:color w:val="7B7B7B" w:themeColor="accent3" w:themeShade="BF"/>
          <w:sz w:val="22"/>
          <w:szCs w:val="22"/>
          <w:lang w:val="en-GB"/>
        </w:rPr>
        <w:t xml:space="preserve"> (Insolvency Law) when the debtor was found to be insolvent.</w:t>
      </w:r>
    </w:p>
    <w:p w14:paraId="68CFBD73" w14:textId="04A3CCB5" w:rsidR="00CE3D16" w:rsidRDefault="00CE3D16" w:rsidP="00CE3D16">
      <w:pPr>
        <w:jc w:val="both"/>
        <w:rPr>
          <w:rFonts w:ascii="Arial" w:hAnsi="Arial" w:cs="Arial"/>
          <w:color w:val="7B7B7B" w:themeColor="accent3" w:themeShade="BF"/>
          <w:sz w:val="22"/>
          <w:szCs w:val="22"/>
          <w:lang w:val="en-GB"/>
        </w:rPr>
      </w:pPr>
    </w:p>
    <w:p w14:paraId="288A70AD" w14:textId="77777777" w:rsidR="0055783D" w:rsidRDefault="0038591B" w:rsidP="00F871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also a </w:t>
      </w:r>
      <w:r w:rsidR="005E229E">
        <w:rPr>
          <w:rFonts w:ascii="Arial" w:hAnsi="Arial" w:cs="Arial"/>
          <w:color w:val="7B7B7B" w:themeColor="accent3" w:themeShade="BF"/>
          <w:sz w:val="22"/>
          <w:szCs w:val="22"/>
          <w:lang w:val="en-GB"/>
        </w:rPr>
        <w:t xml:space="preserve">significant (historical) development </w:t>
      </w:r>
      <w:r>
        <w:rPr>
          <w:rFonts w:ascii="Arial" w:hAnsi="Arial" w:cs="Arial"/>
          <w:color w:val="7B7B7B" w:themeColor="accent3" w:themeShade="BF"/>
          <w:sz w:val="22"/>
          <w:szCs w:val="22"/>
          <w:lang w:val="en-GB"/>
        </w:rPr>
        <w:t xml:space="preserve">of </w:t>
      </w:r>
      <w:r w:rsidR="005E229E">
        <w:rPr>
          <w:rFonts w:ascii="Arial" w:hAnsi="Arial" w:cs="Arial"/>
          <w:color w:val="7B7B7B" w:themeColor="accent3" w:themeShade="BF"/>
          <w:sz w:val="22"/>
          <w:szCs w:val="22"/>
          <w:lang w:val="en-GB"/>
        </w:rPr>
        <w:t xml:space="preserve">the procedure of the </w:t>
      </w:r>
      <w:r w:rsidR="005E229E" w:rsidRPr="005E229E">
        <w:rPr>
          <w:rFonts w:ascii="Arial" w:hAnsi="Arial" w:cs="Arial"/>
          <w:i/>
          <w:iCs/>
          <w:color w:val="7B7B7B" w:themeColor="accent3" w:themeShade="BF"/>
          <w:sz w:val="22"/>
          <w:szCs w:val="22"/>
          <w:lang w:val="en-GB"/>
        </w:rPr>
        <w:t>lex mercatoria</w:t>
      </w:r>
      <w:r w:rsidR="005E229E">
        <w:rPr>
          <w:rFonts w:ascii="Arial" w:hAnsi="Arial" w:cs="Arial"/>
          <w:color w:val="7B7B7B" w:themeColor="accent3" w:themeShade="BF"/>
          <w:sz w:val="22"/>
          <w:szCs w:val="22"/>
          <w:lang w:val="en-GB"/>
        </w:rPr>
        <w:t xml:space="preserve"> </w:t>
      </w:r>
      <w:r w:rsidR="002A5013">
        <w:rPr>
          <w:rFonts w:ascii="Arial" w:hAnsi="Arial" w:cs="Arial"/>
          <w:color w:val="7B7B7B" w:themeColor="accent3" w:themeShade="BF"/>
          <w:sz w:val="22"/>
          <w:szCs w:val="22"/>
          <w:lang w:val="en-GB"/>
        </w:rPr>
        <w:t>which is</w:t>
      </w:r>
      <w:r w:rsidR="005E229E">
        <w:rPr>
          <w:rFonts w:ascii="Arial" w:hAnsi="Arial" w:cs="Arial"/>
          <w:color w:val="7B7B7B" w:themeColor="accent3" w:themeShade="BF"/>
          <w:sz w:val="22"/>
          <w:szCs w:val="22"/>
          <w:lang w:val="en-GB"/>
        </w:rPr>
        <w:t xml:space="preserve"> the customs and usages that developed between merchants on the continent</w:t>
      </w:r>
      <w:r w:rsidR="006026FE">
        <w:rPr>
          <w:rFonts w:ascii="Arial" w:hAnsi="Arial" w:cs="Arial"/>
          <w:color w:val="7B7B7B" w:themeColor="accent3" w:themeShade="BF"/>
          <w:sz w:val="22"/>
          <w:szCs w:val="22"/>
          <w:lang w:val="en-GB"/>
        </w:rPr>
        <w:t>s</w:t>
      </w:r>
      <w:r w:rsidR="005E229E">
        <w:rPr>
          <w:rFonts w:ascii="Arial" w:hAnsi="Arial" w:cs="Arial"/>
          <w:color w:val="7B7B7B" w:themeColor="accent3" w:themeShade="BF"/>
          <w:sz w:val="22"/>
          <w:szCs w:val="22"/>
          <w:lang w:val="en-GB"/>
        </w:rPr>
        <w:t xml:space="preserve"> which</w:t>
      </w:r>
      <w:r w:rsidR="006026FE">
        <w:rPr>
          <w:rFonts w:ascii="Arial" w:hAnsi="Arial" w:cs="Arial"/>
          <w:color w:val="7B7B7B" w:themeColor="accent3" w:themeShade="BF"/>
          <w:sz w:val="22"/>
          <w:szCs w:val="22"/>
          <w:lang w:val="en-GB"/>
        </w:rPr>
        <w:t xml:space="preserve"> later</w:t>
      </w:r>
      <w:r w:rsidR="005E229E">
        <w:rPr>
          <w:rFonts w:ascii="Arial" w:hAnsi="Arial" w:cs="Arial"/>
          <w:color w:val="7B7B7B" w:themeColor="accent3" w:themeShade="BF"/>
          <w:sz w:val="22"/>
          <w:szCs w:val="22"/>
          <w:lang w:val="en-GB"/>
        </w:rPr>
        <w:t xml:space="preserve"> influenced the laws of the countries that had a more Roman or Germanic law character (loosely termed “civil law”)</w:t>
      </w:r>
      <w:r w:rsidR="00F07514">
        <w:rPr>
          <w:rFonts w:ascii="Arial" w:hAnsi="Arial" w:cs="Arial"/>
          <w:color w:val="7B7B7B" w:themeColor="accent3" w:themeShade="BF"/>
          <w:sz w:val="22"/>
          <w:szCs w:val="22"/>
          <w:lang w:val="en-GB"/>
        </w:rPr>
        <w:t>.</w:t>
      </w:r>
      <w:r w:rsidR="006026FE">
        <w:rPr>
          <w:rFonts w:ascii="Arial" w:hAnsi="Arial" w:cs="Arial"/>
          <w:color w:val="7B7B7B" w:themeColor="accent3" w:themeShade="BF"/>
          <w:sz w:val="22"/>
          <w:szCs w:val="22"/>
          <w:lang w:val="en-GB"/>
        </w:rPr>
        <w:t xml:space="preserve"> The effect that between the 13</w:t>
      </w:r>
      <w:r w:rsidR="006026FE" w:rsidRPr="006026FE">
        <w:rPr>
          <w:rFonts w:ascii="Arial" w:hAnsi="Arial" w:cs="Arial"/>
          <w:color w:val="7B7B7B" w:themeColor="accent3" w:themeShade="BF"/>
          <w:sz w:val="22"/>
          <w:szCs w:val="22"/>
          <w:vertAlign w:val="superscript"/>
          <w:lang w:val="en-GB"/>
        </w:rPr>
        <w:t>th</w:t>
      </w:r>
      <w:r w:rsidR="006026FE">
        <w:rPr>
          <w:rFonts w:ascii="Arial" w:hAnsi="Arial" w:cs="Arial"/>
          <w:color w:val="7B7B7B" w:themeColor="accent3" w:themeShade="BF"/>
          <w:sz w:val="22"/>
          <w:szCs w:val="22"/>
          <w:lang w:val="en-GB"/>
        </w:rPr>
        <w:t xml:space="preserve"> and 17</w:t>
      </w:r>
      <w:r w:rsidR="006026FE" w:rsidRPr="006026FE">
        <w:rPr>
          <w:rFonts w:ascii="Arial" w:hAnsi="Arial" w:cs="Arial"/>
          <w:color w:val="7B7B7B" w:themeColor="accent3" w:themeShade="BF"/>
          <w:sz w:val="22"/>
          <w:szCs w:val="22"/>
          <w:vertAlign w:val="superscript"/>
          <w:lang w:val="en-GB"/>
        </w:rPr>
        <w:t>th</w:t>
      </w:r>
      <w:r w:rsidR="006026FE">
        <w:rPr>
          <w:rFonts w:ascii="Arial" w:hAnsi="Arial" w:cs="Arial"/>
          <w:color w:val="7B7B7B" w:themeColor="accent3" w:themeShade="BF"/>
          <w:sz w:val="22"/>
          <w:szCs w:val="22"/>
          <w:lang w:val="en-GB"/>
        </w:rPr>
        <w:t xml:space="preserve"> century some forms of Bankruptcy legislation has been developed among European countries.</w:t>
      </w:r>
      <w:r w:rsidR="00E35964">
        <w:rPr>
          <w:rFonts w:ascii="Arial" w:hAnsi="Arial" w:cs="Arial"/>
          <w:color w:val="7B7B7B" w:themeColor="accent3" w:themeShade="BF"/>
          <w:sz w:val="22"/>
          <w:szCs w:val="22"/>
          <w:lang w:val="en-GB"/>
        </w:rPr>
        <w:t xml:space="preserve"> For instance, the word </w:t>
      </w:r>
      <w:r w:rsidR="00E35964" w:rsidRPr="00E35964">
        <w:rPr>
          <w:rFonts w:ascii="Arial" w:hAnsi="Arial" w:cs="Arial"/>
          <w:i/>
          <w:iCs/>
          <w:color w:val="7B7B7B" w:themeColor="accent3" w:themeShade="BF"/>
          <w:sz w:val="22"/>
          <w:szCs w:val="22"/>
          <w:lang w:val="en-GB"/>
        </w:rPr>
        <w:t>bankruptcy</w:t>
      </w:r>
      <w:r w:rsidR="00E35964">
        <w:rPr>
          <w:rFonts w:ascii="Arial" w:hAnsi="Arial" w:cs="Arial"/>
          <w:color w:val="7B7B7B" w:themeColor="accent3" w:themeShade="BF"/>
          <w:sz w:val="22"/>
          <w:szCs w:val="22"/>
          <w:lang w:val="en-GB"/>
        </w:rPr>
        <w:t xml:space="preserve"> came from the Italian</w:t>
      </w:r>
      <w:r w:rsidR="00F07514" w:rsidRPr="00F07514">
        <w:rPr>
          <w:rFonts w:ascii="Arial" w:hAnsi="Arial" w:cs="Arial"/>
          <w:i/>
          <w:iCs/>
          <w:color w:val="7B7B7B" w:themeColor="accent3" w:themeShade="BF"/>
          <w:sz w:val="22"/>
          <w:szCs w:val="22"/>
          <w:lang w:val="en-GB"/>
        </w:rPr>
        <w:t xml:space="preserve"> banca rotta</w:t>
      </w:r>
      <w:r w:rsidR="00F07514">
        <w:rPr>
          <w:rFonts w:ascii="Arial" w:hAnsi="Arial" w:cs="Arial"/>
          <w:color w:val="7B7B7B" w:themeColor="accent3" w:themeShade="BF"/>
          <w:sz w:val="22"/>
          <w:szCs w:val="22"/>
          <w:lang w:val="en-GB"/>
        </w:rPr>
        <w:t xml:space="preserve"> procedure which means to “break the bench”</w:t>
      </w:r>
      <w:r w:rsidR="00F8711B">
        <w:rPr>
          <w:rFonts w:ascii="Arial" w:hAnsi="Arial" w:cs="Arial"/>
          <w:color w:val="7B7B7B" w:themeColor="accent3" w:themeShade="BF"/>
          <w:sz w:val="22"/>
          <w:szCs w:val="22"/>
          <w:lang w:val="en-GB"/>
        </w:rPr>
        <w:t>,</w:t>
      </w:r>
      <w:r w:rsidR="00F07514">
        <w:rPr>
          <w:rFonts w:ascii="Arial" w:hAnsi="Arial" w:cs="Arial"/>
          <w:color w:val="7B7B7B" w:themeColor="accent3" w:themeShade="BF"/>
          <w:sz w:val="22"/>
          <w:szCs w:val="22"/>
          <w:lang w:val="en-GB"/>
        </w:rPr>
        <w:t xml:space="preserve"> a</w:t>
      </w:r>
      <w:r w:rsidR="00E35964">
        <w:rPr>
          <w:rFonts w:ascii="Arial" w:hAnsi="Arial" w:cs="Arial"/>
          <w:color w:val="7B7B7B" w:themeColor="accent3" w:themeShade="BF"/>
          <w:sz w:val="22"/>
          <w:szCs w:val="22"/>
          <w:lang w:val="en-GB"/>
        </w:rPr>
        <w:t>nd which referred to circumstance</w:t>
      </w:r>
      <w:r w:rsidR="00F07514">
        <w:rPr>
          <w:rFonts w:ascii="Arial" w:hAnsi="Arial" w:cs="Arial"/>
          <w:color w:val="7B7B7B" w:themeColor="accent3" w:themeShade="BF"/>
          <w:sz w:val="22"/>
          <w:szCs w:val="22"/>
          <w:lang w:val="en-GB"/>
        </w:rPr>
        <w:t xml:space="preserve"> where a merchant who operated his business in the medieval market place could not pay his debt and his creditors closed his business by breaking his bench or counter.</w:t>
      </w:r>
      <w:r w:rsidR="00A05D59">
        <w:rPr>
          <w:rFonts w:ascii="Arial" w:hAnsi="Arial" w:cs="Arial"/>
          <w:color w:val="7B7B7B" w:themeColor="accent3" w:themeShade="BF"/>
          <w:sz w:val="22"/>
          <w:szCs w:val="22"/>
          <w:lang w:val="en-GB"/>
        </w:rPr>
        <w:t xml:space="preserve"> This </w:t>
      </w:r>
      <w:r w:rsidR="00113BE1">
        <w:rPr>
          <w:rFonts w:ascii="Arial" w:hAnsi="Arial" w:cs="Arial"/>
          <w:color w:val="7B7B7B" w:themeColor="accent3" w:themeShade="BF"/>
          <w:sz w:val="22"/>
          <w:szCs w:val="22"/>
          <w:lang w:val="en-GB"/>
        </w:rPr>
        <w:t>heralded</w:t>
      </w:r>
      <w:r w:rsidR="00A05D59">
        <w:rPr>
          <w:rFonts w:ascii="Arial" w:hAnsi="Arial" w:cs="Arial"/>
          <w:color w:val="7B7B7B" w:themeColor="accent3" w:themeShade="BF"/>
          <w:sz w:val="22"/>
          <w:szCs w:val="22"/>
          <w:lang w:val="en-GB"/>
        </w:rPr>
        <w:t xml:space="preserve"> the gradual movement of debt collection and insolvency law from execution against the person towards the dispensation of execution against the assets of the debtor.</w:t>
      </w:r>
    </w:p>
    <w:p w14:paraId="5281B56E" w14:textId="77777777" w:rsidR="0055783D" w:rsidRDefault="0055783D" w:rsidP="00F8711B">
      <w:pPr>
        <w:jc w:val="both"/>
        <w:rPr>
          <w:rFonts w:ascii="Arial" w:hAnsi="Arial" w:cs="Arial"/>
          <w:color w:val="7B7B7B" w:themeColor="accent3" w:themeShade="BF"/>
          <w:sz w:val="22"/>
          <w:szCs w:val="22"/>
          <w:lang w:val="en-GB"/>
        </w:rPr>
      </w:pPr>
    </w:p>
    <w:p w14:paraId="73301ADF" w14:textId="77777777" w:rsidR="00DE0115" w:rsidRDefault="0055783D" w:rsidP="00F871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also the development of the concept of a discharge of debts (sometimes referred to as </w:t>
      </w:r>
      <w:r w:rsidRPr="0055783D">
        <w:rPr>
          <w:rFonts w:ascii="Arial" w:hAnsi="Arial" w:cs="Arial"/>
          <w:i/>
          <w:iCs/>
          <w:color w:val="7B7B7B" w:themeColor="accent3" w:themeShade="BF"/>
          <w:sz w:val="22"/>
          <w:szCs w:val="22"/>
          <w:lang w:val="en-GB"/>
        </w:rPr>
        <w:t>fresh start</w:t>
      </w:r>
      <w:r>
        <w:rPr>
          <w:rFonts w:ascii="Arial" w:hAnsi="Arial" w:cs="Arial"/>
          <w:color w:val="7B7B7B" w:themeColor="accent3" w:themeShade="BF"/>
          <w:sz w:val="22"/>
          <w:szCs w:val="22"/>
          <w:lang w:val="en-GB"/>
        </w:rPr>
        <w:t xml:space="preserve"> or </w:t>
      </w:r>
      <w:r w:rsidRPr="0055783D">
        <w:rPr>
          <w:rFonts w:ascii="Arial" w:hAnsi="Arial" w:cs="Arial"/>
          <w:i/>
          <w:iCs/>
          <w:color w:val="7B7B7B" w:themeColor="accent3" w:themeShade="BF"/>
          <w:sz w:val="22"/>
          <w:szCs w:val="22"/>
          <w:lang w:val="en-GB"/>
        </w:rPr>
        <w:t>rehabilitation</w:t>
      </w:r>
      <w:r>
        <w:rPr>
          <w:rFonts w:ascii="Arial" w:hAnsi="Arial" w:cs="Arial"/>
          <w:color w:val="7B7B7B" w:themeColor="accent3" w:themeShade="BF"/>
          <w:sz w:val="22"/>
          <w:szCs w:val="22"/>
          <w:lang w:val="en-GB"/>
        </w:rPr>
        <w:t>) and the a</w:t>
      </w:r>
      <w:r w:rsidR="00610B84">
        <w:rPr>
          <w:rFonts w:ascii="Arial" w:hAnsi="Arial" w:cs="Arial"/>
          <w:color w:val="7B7B7B" w:themeColor="accent3" w:themeShade="BF"/>
          <w:sz w:val="22"/>
          <w:szCs w:val="22"/>
          <w:lang w:val="en-GB"/>
        </w:rPr>
        <w:t>bolishment of imprisonment for debt</w:t>
      </w:r>
      <w:r w:rsidR="00CE291F">
        <w:rPr>
          <w:rFonts w:ascii="Arial" w:hAnsi="Arial" w:cs="Arial"/>
          <w:color w:val="7B7B7B" w:themeColor="accent3" w:themeShade="BF"/>
          <w:sz w:val="22"/>
          <w:szCs w:val="22"/>
          <w:lang w:val="en-GB"/>
        </w:rPr>
        <w:t>, which development brought about providing insolvency law with a far more humane face</w:t>
      </w:r>
    </w:p>
    <w:p w14:paraId="36F2EDF0" w14:textId="77777777" w:rsidR="00DE0115" w:rsidRDefault="00DE0115" w:rsidP="00F8711B">
      <w:pPr>
        <w:jc w:val="both"/>
        <w:rPr>
          <w:rFonts w:ascii="Arial" w:hAnsi="Arial" w:cs="Arial"/>
          <w:color w:val="7B7B7B" w:themeColor="accent3" w:themeShade="BF"/>
          <w:sz w:val="22"/>
          <w:szCs w:val="22"/>
          <w:lang w:val="en-GB"/>
        </w:rPr>
      </w:pPr>
    </w:p>
    <w:p w14:paraId="69A0FB5C" w14:textId="35AD60DB" w:rsidR="00DE0115" w:rsidRDefault="00DE0115" w:rsidP="00F871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96519A">
        <w:rPr>
          <w:rFonts w:ascii="Arial" w:hAnsi="Arial" w:cs="Arial"/>
          <w:color w:val="7B7B7B" w:themeColor="accent3" w:themeShade="BF"/>
          <w:sz w:val="22"/>
          <w:szCs w:val="22"/>
          <w:lang w:val="en-GB"/>
        </w:rPr>
        <w:t xml:space="preserve"> following</w:t>
      </w:r>
      <w:r>
        <w:rPr>
          <w:rFonts w:ascii="Arial" w:hAnsi="Arial" w:cs="Arial"/>
          <w:color w:val="7B7B7B" w:themeColor="accent3" w:themeShade="BF"/>
          <w:sz w:val="22"/>
          <w:szCs w:val="22"/>
          <w:lang w:val="en-GB"/>
        </w:rPr>
        <w:t xml:space="preserve"> English laws</w:t>
      </w:r>
      <w:r w:rsidR="0096519A">
        <w:rPr>
          <w:rFonts w:ascii="Arial" w:hAnsi="Arial" w:cs="Arial"/>
          <w:color w:val="7B7B7B" w:themeColor="accent3" w:themeShade="BF"/>
          <w:sz w:val="22"/>
          <w:szCs w:val="22"/>
          <w:lang w:val="en-GB"/>
        </w:rPr>
        <w:t xml:space="preserve"> were</w:t>
      </w:r>
      <w:r>
        <w:rPr>
          <w:rFonts w:ascii="Arial" w:hAnsi="Arial" w:cs="Arial"/>
          <w:color w:val="7B7B7B" w:themeColor="accent3" w:themeShade="BF"/>
          <w:sz w:val="22"/>
          <w:szCs w:val="22"/>
          <w:lang w:val="en-GB"/>
        </w:rPr>
        <w:t xml:space="preserve"> applicable under the above historical periods</w:t>
      </w:r>
      <w:r w:rsidR="0096519A">
        <w:rPr>
          <w:rFonts w:ascii="Arial" w:hAnsi="Arial" w:cs="Arial"/>
          <w:color w:val="7B7B7B" w:themeColor="accent3" w:themeShade="BF"/>
          <w:sz w:val="22"/>
          <w:szCs w:val="22"/>
          <w:lang w:val="en-GB"/>
        </w:rPr>
        <w:t>.</w:t>
      </w:r>
    </w:p>
    <w:p w14:paraId="57BCFC30" w14:textId="031F43FE" w:rsidR="009B07AD" w:rsidRPr="00E35964" w:rsidRDefault="00DE0115" w:rsidP="00F871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Marlbridge of 1267 which introduced imprisonment for debt in the 13</w:t>
      </w:r>
      <w:r w:rsidRPr="00DE0115">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Century but abolished in 1</w:t>
      </w:r>
      <w:r w:rsidR="0096519A">
        <w:rPr>
          <w:rFonts w:ascii="Arial" w:hAnsi="Arial" w:cs="Arial"/>
          <w:color w:val="7B7B7B" w:themeColor="accent3" w:themeShade="BF"/>
          <w:sz w:val="22"/>
          <w:szCs w:val="22"/>
          <w:lang w:val="en-GB"/>
        </w:rPr>
        <w:t>869 by the Debtors’ Act.</w:t>
      </w:r>
      <w:r w:rsidR="00F90184">
        <w:rPr>
          <w:rFonts w:ascii="Arial" w:hAnsi="Arial" w:cs="Arial"/>
          <w:color w:val="7B7B7B" w:themeColor="accent3" w:themeShade="BF"/>
          <w:sz w:val="22"/>
          <w:szCs w:val="22"/>
          <w:lang w:val="en-GB"/>
        </w:rPr>
        <w:t xml:space="preserve"> The English Bankruptcy Act of 1542, which provided for a form of compulsory sequestration applicable to dishonest and absconding debtor viewed as quasi-criminals</w:t>
      </w:r>
      <w:r w:rsidR="007970BC">
        <w:rPr>
          <w:rFonts w:ascii="Arial" w:hAnsi="Arial" w:cs="Arial"/>
          <w:color w:val="7B7B7B" w:themeColor="accent3" w:themeShade="BF"/>
          <w:sz w:val="22"/>
          <w:szCs w:val="22"/>
          <w:lang w:val="en-GB"/>
        </w:rPr>
        <w:t>. The law also provided for a compulsory administration and distribution of the dishonest debtors’ estate on the basis of equality amon</w:t>
      </w:r>
      <w:r w:rsidR="005974B9">
        <w:rPr>
          <w:rFonts w:ascii="Arial" w:hAnsi="Arial" w:cs="Arial"/>
          <w:color w:val="7B7B7B" w:themeColor="accent3" w:themeShade="BF"/>
          <w:sz w:val="22"/>
          <w:szCs w:val="22"/>
          <w:lang w:val="en-GB"/>
        </w:rPr>
        <w:t>gst all the creditors</w:t>
      </w:r>
      <w:r w:rsidR="006E2377">
        <w:rPr>
          <w:rFonts w:ascii="Arial" w:hAnsi="Arial" w:cs="Arial"/>
          <w:color w:val="7B7B7B" w:themeColor="accent3" w:themeShade="BF"/>
          <w:sz w:val="22"/>
          <w:szCs w:val="22"/>
          <w:lang w:val="en-GB"/>
        </w:rPr>
        <w:t xml:space="preserve"> resulting to the modern insolvency law principle of collective participation by creditors and a parri passu distribution among them on the available assets</w:t>
      </w:r>
      <w:r w:rsidR="005974B9">
        <w:rPr>
          <w:rFonts w:ascii="Arial" w:hAnsi="Arial" w:cs="Arial"/>
          <w:color w:val="7B7B7B" w:themeColor="accent3" w:themeShade="BF"/>
          <w:sz w:val="22"/>
          <w:szCs w:val="22"/>
          <w:lang w:val="en-GB"/>
        </w:rPr>
        <w:t>.</w:t>
      </w:r>
      <w:r w:rsidR="00716F18">
        <w:rPr>
          <w:rFonts w:ascii="Arial" w:hAnsi="Arial" w:cs="Arial"/>
          <w:color w:val="7B7B7B" w:themeColor="accent3" w:themeShade="BF"/>
          <w:sz w:val="22"/>
          <w:szCs w:val="22"/>
          <w:lang w:val="en-GB"/>
        </w:rPr>
        <w:t xml:space="preserve"> There is also the Statute of Ann</w:t>
      </w:r>
      <w:r w:rsidR="007970BC">
        <w:rPr>
          <w:rFonts w:ascii="Arial" w:hAnsi="Arial" w:cs="Arial"/>
          <w:color w:val="7B7B7B" w:themeColor="accent3" w:themeShade="BF"/>
          <w:sz w:val="22"/>
          <w:szCs w:val="22"/>
          <w:lang w:val="en-GB"/>
        </w:rPr>
        <w:t xml:space="preserve"> </w:t>
      </w:r>
      <w:r w:rsidR="00716F18">
        <w:rPr>
          <w:rFonts w:ascii="Arial" w:hAnsi="Arial" w:cs="Arial"/>
          <w:color w:val="7B7B7B" w:themeColor="accent3" w:themeShade="BF"/>
          <w:sz w:val="22"/>
          <w:szCs w:val="22"/>
          <w:lang w:val="en-GB"/>
        </w:rPr>
        <w:t>of 1705 which introduced the notion of a statutory discharge during the period.</w:t>
      </w:r>
      <w:r w:rsidR="009152D1">
        <w:rPr>
          <w:rFonts w:ascii="Arial" w:hAnsi="Arial" w:cs="Arial"/>
          <w:color w:val="7B7B7B" w:themeColor="accent3" w:themeShade="BF"/>
          <w:sz w:val="22"/>
          <w:szCs w:val="22"/>
          <w:lang w:val="en-GB"/>
        </w:rPr>
        <w:t xml:space="preserve"> This statute stayed up to the passage of the 1883 Act </w:t>
      </w:r>
      <w:r w:rsidR="00267928">
        <w:rPr>
          <w:rFonts w:ascii="Arial" w:hAnsi="Arial" w:cs="Arial"/>
          <w:color w:val="7B7B7B" w:themeColor="accent3" w:themeShade="BF"/>
          <w:sz w:val="22"/>
          <w:szCs w:val="22"/>
          <w:lang w:val="en-GB"/>
        </w:rPr>
        <w:t>now viewed as the foundation of present system of English bankruptcy law aimed at fair procedure with adequate supervision and means to discourage dishonesty, the basis of present-day insolvency law.</w:t>
      </w:r>
      <w:r w:rsidR="009B07AD" w:rsidRPr="0026113A">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4A0377" w14:textId="21DDED59" w:rsidR="00D72458"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lastRenderedPageBreak/>
        <w:t>[</w:t>
      </w:r>
      <w:r w:rsidR="003634DA">
        <w:rPr>
          <w:rFonts w:ascii="Arial" w:hAnsi="Arial" w:cs="Arial"/>
          <w:color w:val="7B7B7B" w:themeColor="accent3" w:themeShade="BF"/>
          <w:sz w:val="22"/>
          <w:szCs w:val="22"/>
          <w:lang w:val="en-GB"/>
        </w:rPr>
        <w:t xml:space="preserve">  Th</w:t>
      </w:r>
      <w:r w:rsidR="00DF5AD2">
        <w:rPr>
          <w:rFonts w:ascii="Arial" w:hAnsi="Arial" w:cs="Arial"/>
          <w:color w:val="7B7B7B" w:themeColor="accent3" w:themeShade="BF"/>
          <w:sz w:val="22"/>
          <w:szCs w:val="22"/>
          <w:lang w:val="en-GB"/>
        </w:rPr>
        <w:t>e th</w:t>
      </w:r>
      <w:r w:rsidR="003634DA">
        <w:rPr>
          <w:rFonts w:ascii="Arial" w:hAnsi="Arial" w:cs="Arial"/>
          <w:color w:val="7B7B7B" w:themeColor="accent3" w:themeShade="BF"/>
          <w:sz w:val="22"/>
          <w:szCs w:val="22"/>
          <w:lang w:val="en-GB"/>
        </w:rPr>
        <w:t>ree insolvency and insolvency-related measures introduced in the UK to deal with the negative economic fallout of the Covid-19 pandemic as provided for in the new Corporate Insolvency and Governance Act, passed into law upon the receipt of the Royal Assent on 25</w:t>
      </w:r>
      <w:r w:rsidR="003634DA" w:rsidRPr="003634DA">
        <w:rPr>
          <w:rFonts w:ascii="Arial" w:hAnsi="Arial" w:cs="Arial"/>
          <w:color w:val="7B7B7B" w:themeColor="accent3" w:themeShade="BF"/>
          <w:sz w:val="22"/>
          <w:szCs w:val="22"/>
          <w:vertAlign w:val="superscript"/>
          <w:lang w:val="en-GB"/>
        </w:rPr>
        <w:t>th</w:t>
      </w:r>
      <w:r w:rsidR="003634DA">
        <w:rPr>
          <w:rFonts w:ascii="Arial" w:hAnsi="Arial" w:cs="Arial"/>
          <w:color w:val="7B7B7B" w:themeColor="accent3" w:themeShade="BF"/>
          <w:sz w:val="22"/>
          <w:szCs w:val="22"/>
          <w:lang w:val="en-GB"/>
        </w:rPr>
        <w:t xml:space="preserve"> June, 2020 include the following;</w:t>
      </w:r>
    </w:p>
    <w:p w14:paraId="060C6C02" w14:textId="77777777" w:rsidR="00D72458" w:rsidRDefault="00D72458" w:rsidP="00B7193E">
      <w:pPr>
        <w:ind w:left="720" w:hanging="720"/>
        <w:jc w:val="both"/>
        <w:rPr>
          <w:rFonts w:ascii="Arial" w:hAnsi="Arial" w:cs="Arial"/>
          <w:color w:val="7B7B7B" w:themeColor="accent3" w:themeShade="BF"/>
          <w:sz w:val="22"/>
          <w:szCs w:val="22"/>
          <w:lang w:val="en-GB"/>
        </w:rPr>
      </w:pPr>
    </w:p>
    <w:p w14:paraId="157B18E6" w14:textId="69D4C2A7" w:rsidR="00903DCC" w:rsidRPr="00903DCC" w:rsidRDefault="0022682A" w:rsidP="00D72458">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Introduction of a new restructuring plan to help viable companies struggling with debt obligations.</w:t>
      </w:r>
      <w:r w:rsidR="00AE0B33">
        <w:rPr>
          <w:rFonts w:ascii="Arial" w:hAnsi="Arial" w:cs="Arial"/>
          <w:color w:val="7B7B7B" w:themeColor="accent3" w:themeShade="BF"/>
          <w:sz w:val="22"/>
          <w:szCs w:val="22"/>
          <w:lang w:val="en-GB"/>
        </w:rPr>
        <w:t xml:space="preserve"> Under the plan, the UK Courts is given power to sanction a restructuring plan that will bind Creditors, if it is “fair and equitable”</w:t>
      </w:r>
      <w:r w:rsidR="00A95747">
        <w:rPr>
          <w:rFonts w:ascii="Arial" w:hAnsi="Arial" w:cs="Arial"/>
          <w:color w:val="7B7B7B" w:themeColor="accent3" w:themeShade="BF"/>
          <w:sz w:val="22"/>
          <w:szCs w:val="22"/>
          <w:lang w:val="en-GB"/>
        </w:rPr>
        <w:t>. By the plan, Creditors are given power to vote on the plan,</w:t>
      </w:r>
      <w:r w:rsidR="002A586A">
        <w:rPr>
          <w:rFonts w:ascii="Arial" w:hAnsi="Arial" w:cs="Arial"/>
          <w:color w:val="7B7B7B" w:themeColor="accent3" w:themeShade="BF"/>
          <w:sz w:val="22"/>
          <w:szCs w:val="22"/>
          <w:lang w:val="en-GB"/>
        </w:rPr>
        <w:t xml:space="preserve"> however, the court can also impose the plan on dissenting Creditors.</w:t>
      </w:r>
      <w:r w:rsidR="00BF0559">
        <w:rPr>
          <w:rFonts w:ascii="Arial" w:hAnsi="Arial" w:cs="Arial"/>
          <w:color w:val="7B7B7B" w:themeColor="accent3" w:themeShade="BF"/>
          <w:sz w:val="22"/>
          <w:szCs w:val="22"/>
          <w:lang w:val="en-GB"/>
        </w:rPr>
        <w:t xml:space="preserve"> The details of this plan </w:t>
      </w:r>
      <w:r w:rsidR="00903DCC">
        <w:rPr>
          <w:rFonts w:ascii="Arial" w:hAnsi="Arial" w:cs="Arial"/>
          <w:color w:val="7B7B7B" w:themeColor="accent3" w:themeShade="BF"/>
          <w:sz w:val="22"/>
          <w:szCs w:val="22"/>
          <w:lang w:val="en-GB"/>
        </w:rPr>
        <w:t>are</w:t>
      </w:r>
      <w:r w:rsidR="00BF0559">
        <w:rPr>
          <w:rFonts w:ascii="Arial" w:hAnsi="Arial" w:cs="Arial"/>
          <w:color w:val="7B7B7B" w:themeColor="accent3" w:themeShade="BF"/>
          <w:sz w:val="22"/>
          <w:szCs w:val="22"/>
          <w:lang w:val="en-GB"/>
        </w:rPr>
        <w:t xml:space="preserve"> contained in Schedule 9 of the</w:t>
      </w:r>
      <w:r w:rsidR="00137571">
        <w:rPr>
          <w:rFonts w:ascii="Arial" w:hAnsi="Arial" w:cs="Arial"/>
          <w:color w:val="7B7B7B" w:themeColor="accent3" w:themeShade="BF"/>
          <w:sz w:val="22"/>
          <w:szCs w:val="22"/>
          <w:lang w:val="en-GB"/>
        </w:rPr>
        <w:t xml:space="preserve"> UK</w:t>
      </w:r>
      <w:r w:rsidR="00BF0559">
        <w:rPr>
          <w:rFonts w:ascii="Arial" w:hAnsi="Arial" w:cs="Arial"/>
          <w:color w:val="7B7B7B" w:themeColor="accent3" w:themeShade="BF"/>
          <w:sz w:val="22"/>
          <w:szCs w:val="22"/>
          <w:lang w:val="en-GB"/>
        </w:rPr>
        <w:t xml:space="preserve"> Corporate Insolvency and Governance Act, 2020.</w:t>
      </w:r>
      <w:r w:rsidR="003634DA" w:rsidRPr="00D72458">
        <w:rPr>
          <w:rFonts w:ascii="Arial" w:hAnsi="Arial" w:cs="Arial"/>
          <w:color w:val="7B7B7B" w:themeColor="accent3" w:themeShade="BF"/>
          <w:sz w:val="22"/>
          <w:szCs w:val="22"/>
          <w:lang w:val="en-GB"/>
        </w:rPr>
        <w:t xml:space="preserve"> </w:t>
      </w:r>
    </w:p>
    <w:p w14:paraId="223C6034" w14:textId="77777777" w:rsidR="00903DCC" w:rsidRPr="00903DCC" w:rsidRDefault="00903DCC" w:rsidP="00903DCC">
      <w:pPr>
        <w:pStyle w:val="ListParagraph"/>
        <w:jc w:val="both"/>
        <w:rPr>
          <w:rFonts w:ascii="Arial" w:hAnsi="Arial" w:cs="Arial"/>
          <w:sz w:val="22"/>
          <w:szCs w:val="22"/>
          <w:lang w:val="en-GB"/>
        </w:rPr>
      </w:pPr>
    </w:p>
    <w:p w14:paraId="035C5725" w14:textId="03EF939F" w:rsidR="008227FE" w:rsidRPr="008227FE" w:rsidRDefault="00244189" w:rsidP="00D72458">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Introduction of a </w:t>
      </w:r>
      <w:r w:rsidR="00125D53">
        <w:rPr>
          <w:rFonts w:ascii="Arial" w:hAnsi="Arial" w:cs="Arial"/>
          <w:color w:val="7B7B7B" w:themeColor="accent3" w:themeShade="BF"/>
          <w:sz w:val="22"/>
          <w:szCs w:val="22"/>
          <w:lang w:val="en-GB"/>
        </w:rPr>
        <w:t>free-standing</w:t>
      </w:r>
      <w:r>
        <w:rPr>
          <w:rFonts w:ascii="Arial" w:hAnsi="Arial" w:cs="Arial"/>
          <w:color w:val="7B7B7B" w:themeColor="accent3" w:themeShade="BF"/>
          <w:sz w:val="22"/>
          <w:szCs w:val="22"/>
          <w:lang w:val="en-GB"/>
        </w:rPr>
        <w:t xml:space="preserve"> moratorium to give UK Companies a “breathing Space”</w:t>
      </w:r>
      <w:r w:rsidR="007F1D76">
        <w:rPr>
          <w:rFonts w:ascii="Arial" w:hAnsi="Arial" w:cs="Arial"/>
          <w:color w:val="7B7B7B" w:themeColor="accent3" w:themeShade="BF"/>
          <w:sz w:val="22"/>
          <w:szCs w:val="22"/>
          <w:lang w:val="en-GB"/>
        </w:rPr>
        <w:t xml:space="preserve"> to enable UK companies pursue a rescue or restructuring plan</w:t>
      </w:r>
      <w:r w:rsidR="00125D53">
        <w:rPr>
          <w:rFonts w:ascii="Arial" w:hAnsi="Arial" w:cs="Arial"/>
          <w:color w:val="7B7B7B" w:themeColor="accent3" w:themeShade="BF"/>
          <w:sz w:val="22"/>
          <w:szCs w:val="22"/>
          <w:lang w:val="en-GB"/>
        </w:rPr>
        <w:t>. According to the measure, during this moratorium, no creditor action can be taken against the Company without the Court’s permission.</w:t>
      </w:r>
      <w:r w:rsidR="004520B2">
        <w:rPr>
          <w:rFonts w:ascii="Arial" w:hAnsi="Arial" w:cs="Arial"/>
          <w:color w:val="7B7B7B" w:themeColor="accent3" w:themeShade="BF"/>
          <w:sz w:val="22"/>
          <w:szCs w:val="22"/>
          <w:lang w:val="en-GB"/>
        </w:rPr>
        <w:t xml:space="preserve"> Further, the moratorium will be overseen by a Monitor who is an Insolvency Practitioner. Meanwhile, the responsibility of the day-to-day running of the company shall remain with the directors</w:t>
      </w:r>
      <w:r w:rsidR="009B0C98">
        <w:rPr>
          <w:rFonts w:ascii="Arial" w:hAnsi="Arial" w:cs="Arial"/>
          <w:color w:val="7B7B7B" w:themeColor="accent3" w:themeShade="BF"/>
          <w:sz w:val="22"/>
          <w:szCs w:val="22"/>
          <w:lang w:val="en-GB"/>
        </w:rPr>
        <w:t xml:space="preserve"> which</w:t>
      </w:r>
      <w:r w:rsidR="004D4159">
        <w:rPr>
          <w:rFonts w:ascii="Arial" w:hAnsi="Arial" w:cs="Arial"/>
          <w:color w:val="7B7B7B" w:themeColor="accent3" w:themeShade="BF"/>
          <w:sz w:val="22"/>
          <w:szCs w:val="22"/>
          <w:lang w:val="en-GB"/>
        </w:rPr>
        <w:t xml:space="preserve"> can be regarded as</w:t>
      </w:r>
      <w:r w:rsidR="004520B2">
        <w:rPr>
          <w:rFonts w:ascii="Arial" w:hAnsi="Arial" w:cs="Arial"/>
          <w:color w:val="7B7B7B" w:themeColor="accent3" w:themeShade="BF"/>
          <w:sz w:val="22"/>
          <w:szCs w:val="22"/>
          <w:lang w:val="en-GB"/>
        </w:rPr>
        <w:t xml:space="preserve"> </w:t>
      </w:r>
      <w:r w:rsidR="00E945B2">
        <w:rPr>
          <w:rFonts w:ascii="Arial" w:hAnsi="Arial" w:cs="Arial"/>
          <w:color w:val="7B7B7B" w:themeColor="accent3" w:themeShade="BF"/>
          <w:sz w:val="22"/>
          <w:szCs w:val="22"/>
          <w:lang w:val="en-GB"/>
        </w:rPr>
        <w:t>(a “debtor-in-possession” procedure)</w:t>
      </w:r>
      <w:r w:rsidR="00815BE4">
        <w:rPr>
          <w:rFonts w:ascii="Arial" w:hAnsi="Arial" w:cs="Arial"/>
          <w:color w:val="7B7B7B" w:themeColor="accent3" w:themeShade="BF"/>
          <w:sz w:val="22"/>
          <w:szCs w:val="22"/>
          <w:lang w:val="en-GB"/>
        </w:rPr>
        <w:t>. The period of the moratorium shall be in multiple of 20 days with a maximum period of 12 months.</w:t>
      </w:r>
      <w:r w:rsidR="003634DA" w:rsidRPr="00D72458">
        <w:rPr>
          <w:rFonts w:ascii="Arial" w:hAnsi="Arial" w:cs="Arial"/>
          <w:color w:val="7B7B7B" w:themeColor="accent3" w:themeShade="BF"/>
          <w:sz w:val="22"/>
          <w:szCs w:val="22"/>
          <w:lang w:val="en-GB"/>
        </w:rPr>
        <w:t xml:space="preserve"> </w:t>
      </w:r>
      <w:r w:rsidR="004D4159">
        <w:rPr>
          <w:rFonts w:ascii="Arial" w:hAnsi="Arial" w:cs="Arial"/>
          <w:color w:val="7B7B7B" w:themeColor="accent3" w:themeShade="BF"/>
          <w:sz w:val="22"/>
          <w:szCs w:val="22"/>
          <w:lang w:val="en-GB"/>
        </w:rPr>
        <w:t>This can be found in Schedule</w:t>
      </w:r>
      <w:r w:rsidR="00E37A52">
        <w:rPr>
          <w:rFonts w:ascii="Arial" w:hAnsi="Arial" w:cs="Arial"/>
          <w:color w:val="7B7B7B" w:themeColor="accent3" w:themeShade="BF"/>
          <w:sz w:val="22"/>
          <w:szCs w:val="22"/>
          <w:lang w:val="en-GB"/>
        </w:rPr>
        <w:t xml:space="preserve"> 4 </w:t>
      </w:r>
      <w:r w:rsidR="004D4159">
        <w:rPr>
          <w:rFonts w:ascii="Arial" w:hAnsi="Arial" w:cs="Arial"/>
          <w:color w:val="7B7B7B" w:themeColor="accent3" w:themeShade="BF"/>
          <w:sz w:val="22"/>
          <w:szCs w:val="22"/>
          <w:lang w:val="en-GB"/>
        </w:rPr>
        <w:t>of the UK Corporate Insolvency and Governance Act, 2020</w:t>
      </w:r>
      <w:r w:rsidR="00E37A52">
        <w:rPr>
          <w:rFonts w:ascii="Arial" w:hAnsi="Arial" w:cs="Arial"/>
          <w:color w:val="7B7B7B" w:themeColor="accent3" w:themeShade="BF"/>
          <w:sz w:val="22"/>
          <w:szCs w:val="22"/>
          <w:lang w:val="en-GB"/>
        </w:rPr>
        <w:t xml:space="preserve"> containing new rules and creating by inserting PART 1A.</w:t>
      </w:r>
    </w:p>
    <w:p w14:paraId="0887DA38" w14:textId="77777777" w:rsidR="008227FE" w:rsidRPr="008227FE" w:rsidRDefault="008227FE" w:rsidP="008227FE">
      <w:pPr>
        <w:pStyle w:val="ListParagraph"/>
        <w:rPr>
          <w:rFonts w:ascii="Arial" w:hAnsi="Arial" w:cs="Arial"/>
          <w:color w:val="7B7B7B" w:themeColor="accent3" w:themeShade="BF"/>
          <w:sz w:val="22"/>
          <w:szCs w:val="22"/>
          <w:lang w:val="en-GB"/>
        </w:rPr>
      </w:pPr>
    </w:p>
    <w:p w14:paraId="2F57801B" w14:textId="1B558E49" w:rsidR="009B07AD" w:rsidRPr="001156B2" w:rsidRDefault="008227FE" w:rsidP="00E20F5C">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Introduction of prohibition on termination (or “ïpso facto”) Clauses that are</w:t>
      </w:r>
      <w:r w:rsidR="006635C9">
        <w:rPr>
          <w:rFonts w:ascii="Arial" w:hAnsi="Arial" w:cs="Arial"/>
          <w:color w:val="7B7B7B" w:themeColor="accent3" w:themeShade="BF"/>
          <w:sz w:val="22"/>
          <w:szCs w:val="22"/>
          <w:lang w:val="en-GB"/>
        </w:rPr>
        <w:t xml:space="preserve"> entered when a company enters an insolvency procedure, a moratorium or begins a restructuring plan.</w:t>
      </w:r>
      <w:r w:rsidR="003634DA" w:rsidRPr="00D72458">
        <w:rPr>
          <w:rFonts w:ascii="Arial" w:hAnsi="Arial" w:cs="Arial"/>
          <w:color w:val="7B7B7B" w:themeColor="accent3" w:themeShade="BF"/>
          <w:sz w:val="22"/>
          <w:szCs w:val="22"/>
          <w:lang w:val="en-GB"/>
        </w:rPr>
        <w:t xml:space="preserve"> </w:t>
      </w:r>
      <w:r w:rsidR="00703A77">
        <w:rPr>
          <w:rFonts w:ascii="Arial" w:hAnsi="Arial" w:cs="Arial"/>
          <w:color w:val="7B7B7B" w:themeColor="accent3" w:themeShade="BF"/>
          <w:sz w:val="22"/>
          <w:szCs w:val="22"/>
          <w:lang w:val="en-GB"/>
        </w:rPr>
        <w:t>By the Act, suppliers are prevented from stopping their supply while a Company is going through a rescue process</w:t>
      </w:r>
      <w:r w:rsidR="00876DBF">
        <w:rPr>
          <w:rFonts w:ascii="Arial" w:hAnsi="Arial" w:cs="Arial"/>
          <w:color w:val="7B7B7B" w:themeColor="accent3" w:themeShade="BF"/>
          <w:sz w:val="22"/>
          <w:szCs w:val="22"/>
          <w:lang w:val="en-GB"/>
        </w:rPr>
        <w:t xml:space="preserve"> and safeguards to ensure that continued supplies are paid for</w:t>
      </w:r>
      <w:r w:rsidR="000330BD">
        <w:rPr>
          <w:rFonts w:ascii="Arial" w:hAnsi="Arial" w:cs="Arial"/>
          <w:color w:val="7B7B7B" w:themeColor="accent3" w:themeShade="BF"/>
          <w:sz w:val="22"/>
          <w:szCs w:val="22"/>
          <w:lang w:val="en-GB"/>
        </w:rPr>
        <w:t>. Suppliers can also be relieved of the requirement to supply if it causes hardship to their business.</w:t>
      </w:r>
      <w:r w:rsidR="000B5B12">
        <w:rPr>
          <w:rFonts w:ascii="Arial" w:hAnsi="Arial" w:cs="Arial"/>
          <w:color w:val="7B7B7B" w:themeColor="accent3" w:themeShade="BF"/>
          <w:sz w:val="22"/>
          <w:szCs w:val="22"/>
          <w:lang w:val="en-GB"/>
        </w:rPr>
        <w:t xml:space="preserve"> However, small suppliers were exempted from the obligation to supply until 30</w:t>
      </w:r>
      <w:r w:rsidR="000B5B12" w:rsidRPr="000B5B12">
        <w:rPr>
          <w:rFonts w:ascii="Arial" w:hAnsi="Arial" w:cs="Arial"/>
          <w:color w:val="7B7B7B" w:themeColor="accent3" w:themeShade="BF"/>
          <w:sz w:val="22"/>
          <w:szCs w:val="22"/>
          <w:vertAlign w:val="superscript"/>
          <w:lang w:val="en-GB"/>
        </w:rPr>
        <w:t>th</w:t>
      </w:r>
      <w:r w:rsidR="000B5B12">
        <w:rPr>
          <w:rFonts w:ascii="Arial" w:hAnsi="Arial" w:cs="Arial"/>
          <w:color w:val="7B7B7B" w:themeColor="accent3" w:themeShade="BF"/>
          <w:sz w:val="22"/>
          <w:szCs w:val="22"/>
          <w:lang w:val="en-GB"/>
        </w:rPr>
        <w:t xml:space="preserve"> June, 2021 to protect their business where necessary.</w:t>
      </w:r>
      <w:r w:rsidR="004E6981">
        <w:rPr>
          <w:rFonts w:ascii="Arial" w:hAnsi="Arial" w:cs="Arial"/>
          <w:color w:val="7B7B7B" w:themeColor="accent3" w:themeShade="BF"/>
          <w:sz w:val="22"/>
          <w:szCs w:val="22"/>
          <w:lang w:val="en-GB"/>
        </w:rPr>
        <w:t xml:space="preserve"> This can be found </w:t>
      </w:r>
      <w:r w:rsidR="00790BF4">
        <w:rPr>
          <w:rFonts w:ascii="Arial" w:hAnsi="Arial" w:cs="Arial"/>
          <w:color w:val="7B7B7B" w:themeColor="accent3" w:themeShade="BF"/>
          <w:sz w:val="22"/>
          <w:szCs w:val="22"/>
          <w:lang w:val="en-GB"/>
        </w:rPr>
        <w:t>under IA 1986,</w:t>
      </w:r>
      <w:r w:rsidR="001156B2">
        <w:rPr>
          <w:rFonts w:ascii="Arial" w:hAnsi="Arial" w:cs="Arial"/>
          <w:color w:val="7B7B7B" w:themeColor="accent3" w:themeShade="BF"/>
          <w:sz w:val="22"/>
          <w:szCs w:val="22"/>
          <w:lang w:val="en-GB"/>
        </w:rPr>
        <w:t xml:space="preserve"> section 233B </w:t>
      </w:r>
      <w:r w:rsidR="004E6981">
        <w:rPr>
          <w:rFonts w:ascii="Arial" w:hAnsi="Arial" w:cs="Arial"/>
          <w:color w:val="7B7B7B" w:themeColor="accent3" w:themeShade="BF"/>
          <w:sz w:val="22"/>
          <w:szCs w:val="22"/>
          <w:lang w:val="en-GB"/>
        </w:rPr>
        <w:t>of the UK Corporate Insolvency and Governance Act, 2020.</w:t>
      </w:r>
      <w:r w:rsidR="009B07AD" w:rsidRPr="001156B2">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1DB045CD" w14:textId="079229AD" w:rsidR="00A577E6" w:rsidRDefault="00C72848"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E3F64">
        <w:rPr>
          <w:rFonts w:ascii="Arial" w:hAnsi="Arial" w:cs="Arial"/>
          <w:color w:val="7B7B7B" w:themeColor="accent3" w:themeShade="BF"/>
          <w:sz w:val="22"/>
          <w:szCs w:val="22"/>
          <w:lang w:val="en-GB"/>
        </w:rPr>
        <w:t>Treaties can be said to be adjudged highest quality form of public international instruments to which States become signatories or ratify or accede to and as such bind themselves and affect their domestic law accordingly.</w:t>
      </w:r>
      <w:r w:rsidR="00161748">
        <w:rPr>
          <w:rFonts w:ascii="Arial" w:hAnsi="Arial" w:cs="Arial"/>
          <w:color w:val="7B7B7B" w:themeColor="accent3" w:themeShade="BF"/>
          <w:sz w:val="22"/>
          <w:szCs w:val="22"/>
          <w:lang w:val="en-GB"/>
        </w:rPr>
        <w:t xml:space="preserve"> They form part of </w:t>
      </w:r>
      <w:r w:rsidR="00253233">
        <w:rPr>
          <w:rFonts w:ascii="Arial" w:hAnsi="Arial" w:cs="Arial"/>
          <w:color w:val="7B7B7B" w:themeColor="accent3" w:themeShade="BF"/>
          <w:sz w:val="22"/>
          <w:szCs w:val="22"/>
          <w:lang w:val="en-GB"/>
        </w:rPr>
        <w:t>the “hard law” of</w:t>
      </w:r>
      <w:r w:rsidR="00161748">
        <w:rPr>
          <w:rFonts w:ascii="Arial" w:hAnsi="Arial" w:cs="Arial"/>
          <w:color w:val="7B7B7B" w:themeColor="accent3" w:themeShade="BF"/>
          <w:sz w:val="22"/>
          <w:szCs w:val="22"/>
          <w:lang w:val="en-GB"/>
        </w:rPr>
        <w:t xml:space="preserve"> domestic laws enforceable in the Courts of such States</w:t>
      </w:r>
      <w:r w:rsidR="00253233">
        <w:rPr>
          <w:rFonts w:ascii="Arial" w:hAnsi="Arial" w:cs="Arial"/>
          <w:color w:val="7B7B7B" w:themeColor="accent3" w:themeShade="BF"/>
          <w:sz w:val="22"/>
          <w:szCs w:val="22"/>
          <w:lang w:val="en-GB"/>
        </w:rPr>
        <w:t xml:space="preserve"> which had become signatories to them or ratify them or accede to them.</w:t>
      </w:r>
      <w:r w:rsidR="009711C4">
        <w:rPr>
          <w:rFonts w:ascii="Arial" w:hAnsi="Arial" w:cs="Arial"/>
          <w:color w:val="7B7B7B" w:themeColor="accent3" w:themeShade="BF"/>
          <w:sz w:val="22"/>
          <w:szCs w:val="22"/>
          <w:lang w:val="en-GB"/>
        </w:rPr>
        <w:t xml:space="preserve"> For instance, from the 13</w:t>
      </w:r>
      <w:r w:rsidR="009711C4" w:rsidRPr="009711C4">
        <w:rPr>
          <w:rFonts w:ascii="Arial" w:hAnsi="Arial" w:cs="Arial"/>
          <w:color w:val="7B7B7B" w:themeColor="accent3" w:themeShade="BF"/>
          <w:sz w:val="22"/>
          <w:szCs w:val="22"/>
          <w:vertAlign w:val="superscript"/>
          <w:lang w:val="en-GB"/>
        </w:rPr>
        <w:t>th</w:t>
      </w:r>
      <w:r w:rsidR="009711C4">
        <w:rPr>
          <w:rFonts w:ascii="Arial" w:hAnsi="Arial" w:cs="Arial"/>
          <w:color w:val="7B7B7B" w:themeColor="accent3" w:themeShade="BF"/>
          <w:sz w:val="22"/>
          <w:szCs w:val="22"/>
          <w:lang w:val="en-GB"/>
        </w:rPr>
        <w:t xml:space="preserve"> and 14</w:t>
      </w:r>
      <w:r w:rsidR="009711C4" w:rsidRPr="009711C4">
        <w:rPr>
          <w:rFonts w:ascii="Arial" w:hAnsi="Arial" w:cs="Arial"/>
          <w:color w:val="7B7B7B" w:themeColor="accent3" w:themeShade="BF"/>
          <w:sz w:val="22"/>
          <w:szCs w:val="22"/>
          <w:vertAlign w:val="superscript"/>
          <w:lang w:val="en-GB"/>
        </w:rPr>
        <w:t>th</w:t>
      </w:r>
      <w:r w:rsidR="009711C4">
        <w:rPr>
          <w:rFonts w:ascii="Arial" w:hAnsi="Arial" w:cs="Arial"/>
          <w:color w:val="7B7B7B" w:themeColor="accent3" w:themeShade="BF"/>
          <w:sz w:val="22"/>
          <w:szCs w:val="22"/>
          <w:lang w:val="en-GB"/>
        </w:rPr>
        <w:t xml:space="preserve"> Centuries, in order to address absconding debtors</w:t>
      </w:r>
      <w:r w:rsidR="009D4030">
        <w:rPr>
          <w:rFonts w:ascii="Arial" w:hAnsi="Arial" w:cs="Arial"/>
          <w:color w:val="7B7B7B" w:themeColor="accent3" w:themeShade="BF"/>
          <w:sz w:val="22"/>
          <w:szCs w:val="22"/>
          <w:lang w:val="en-GB"/>
        </w:rPr>
        <w:t>’</w:t>
      </w:r>
      <w:r w:rsidR="009711C4">
        <w:rPr>
          <w:rFonts w:ascii="Arial" w:hAnsi="Arial" w:cs="Arial"/>
          <w:color w:val="7B7B7B" w:themeColor="accent3" w:themeShade="BF"/>
          <w:sz w:val="22"/>
          <w:szCs w:val="22"/>
          <w:lang w:val="en-GB"/>
        </w:rPr>
        <w:t xml:space="preserve"> issues and issues of gathering assets, bilateral International Insolvency Conventions began to appear in Europe.</w:t>
      </w:r>
      <w:r w:rsidR="009D4030">
        <w:rPr>
          <w:rFonts w:ascii="Arial" w:hAnsi="Arial" w:cs="Arial"/>
          <w:color w:val="7B7B7B" w:themeColor="accent3" w:themeShade="BF"/>
          <w:sz w:val="22"/>
          <w:szCs w:val="22"/>
          <w:lang w:val="en-GB"/>
        </w:rPr>
        <w:t xml:space="preserve"> These existed until the 19</w:t>
      </w:r>
      <w:r w:rsidR="009D4030" w:rsidRPr="009D4030">
        <w:rPr>
          <w:rFonts w:ascii="Arial" w:hAnsi="Arial" w:cs="Arial"/>
          <w:color w:val="7B7B7B" w:themeColor="accent3" w:themeShade="BF"/>
          <w:sz w:val="22"/>
          <w:szCs w:val="22"/>
          <w:vertAlign w:val="superscript"/>
          <w:lang w:val="en-GB"/>
        </w:rPr>
        <w:t>th</w:t>
      </w:r>
      <w:r w:rsidR="009D4030">
        <w:rPr>
          <w:rFonts w:ascii="Arial" w:hAnsi="Arial" w:cs="Arial"/>
          <w:color w:val="7B7B7B" w:themeColor="accent3" w:themeShade="BF"/>
          <w:sz w:val="22"/>
          <w:szCs w:val="22"/>
          <w:lang w:val="en-GB"/>
        </w:rPr>
        <w:t xml:space="preserve"> Century when</w:t>
      </w:r>
      <w:r w:rsidR="00561E97">
        <w:rPr>
          <w:rFonts w:ascii="Arial" w:hAnsi="Arial" w:cs="Arial"/>
          <w:color w:val="7B7B7B" w:themeColor="accent3" w:themeShade="BF"/>
          <w:sz w:val="22"/>
          <w:szCs w:val="22"/>
          <w:lang w:val="en-GB"/>
        </w:rPr>
        <w:t xml:space="preserve"> more modern forms of bilateral treaties or conventions on issues of jurisdiction, recognition and enforcements related to Bankruptcy, winding up, arrangements and compositions involving their State began to also appear.</w:t>
      </w:r>
      <w:r w:rsidR="0003375A">
        <w:rPr>
          <w:rFonts w:ascii="Arial" w:hAnsi="Arial" w:cs="Arial"/>
          <w:color w:val="7B7B7B" w:themeColor="accent3" w:themeShade="BF"/>
          <w:sz w:val="22"/>
          <w:szCs w:val="22"/>
          <w:lang w:val="en-GB"/>
        </w:rPr>
        <w:t xml:space="preserve"> One of such successful multilateral treaty is the Nordic Convention of 1933 from the Scandinavian</w:t>
      </w:r>
      <w:r w:rsidR="00CD47D3">
        <w:rPr>
          <w:rFonts w:ascii="Arial" w:hAnsi="Arial" w:cs="Arial"/>
          <w:color w:val="7B7B7B" w:themeColor="accent3" w:themeShade="BF"/>
          <w:sz w:val="22"/>
          <w:szCs w:val="22"/>
          <w:lang w:val="en-GB"/>
        </w:rPr>
        <w:t xml:space="preserve"> States which include Denmark, Finland, Iceland, Norway and Sweden.</w:t>
      </w:r>
      <w:r w:rsidR="00592CA2">
        <w:rPr>
          <w:rFonts w:ascii="Arial" w:hAnsi="Arial" w:cs="Arial"/>
          <w:color w:val="7B7B7B" w:themeColor="accent3" w:themeShade="BF"/>
          <w:sz w:val="22"/>
          <w:szCs w:val="22"/>
          <w:lang w:val="en-GB"/>
        </w:rPr>
        <w:t xml:space="preserve"> Other treaties that </w:t>
      </w:r>
      <w:r w:rsidR="00E51D62">
        <w:rPr>
          <w:rFonts w:ascii="Arial" w:hAnsi="Arial" w:cs="Arial"/>
          <w:color w:val="7B7B7B" w:themeColor="accent3" w:themeShade="BF"/>
          <w:sz w:val="22"/>
          <w:szCs w:val="22"/>
          <w:lang w:val="en-GB"/>
        </w:rPr>
        <w:t>have also been developed include the Montevideo Treaties on International Commercial Law 1889 and 1940 respectively ratified</w:t>
      </w:r>
      <w:r w:rsidR="00053CBF">
        <w:rPr>
          <w:rFonts w:ascii="Arial" w:hAnsi="Arial" w:cs="Arial"/>
          <w:color w:val="7B7B7B" w:themeColor="accent3" w:themeShade="BF"/>
          <w:sz w:val="22"/>
          <w:szCs w:val="22"/>
          <w:lang w:val="en-GB"/>
        </w:rPr>
        <w:t xml:space="preserve"> by</w:t>
      </w:r>
      <w:r w:rsidR="00E51D62">
        <w:rPr>
          <w:rFonts w:ascii="Arial" w:hAnsi="Arial" w:cs="Arial"/>
          <w:color w:val="7B7B7B" w:themeColor="accent3" w:themeShade="BF"/>
          <w:sz w:val="22"/>
          <w:szCs w:val="22"/>
          <w:lang w:val="en-GB"/>
        </w:rPr>
        <w:t xml:space="preserve"> Argentina, Bolivia, Columbia, Paraguay, Peru and Uruguay</w:t>
      </w:r>
      <w:r w:rsidR="007A5988">
        <w:rPr>
          <w:rFonts w:ascii="Arial" w:hAnsi="Arial" w:cs="Arial"/>
          <w:color w:val="7B7B7B" w:themeColor="accent3" w:themeShade="BF"/>
          <w:sz w:val="22"/>
          <w:szCs w:val="22"/>
          <w:lang w:val="en-GB"/>
        </w:rPr>
        <w:t>. Argentina, Paraguay and Uruguay ratified the 1940 Montevideo Treaty.</w:t>
      </w:r>
      <w:r w:rsidR="00EC32FD">
        <w:rPr>
          <w:rFonts w:ascii="Arial" w:hAnsi="Arial" w:cs="Arial"/>
          <w:color w:val="7B7B7B" w:themeColor="accent3" w:themeShade="BF"/>
          <w:sz w:val="22"/>
          <w:szCs w:val="22"/>
          <w:lang w:val="en-GB"/>
        </w:rPr>
        <w:t xml:space="preserve"> There is also the Havana Convention on Private </w:t>
      </w:r>
      <w:r w:rsidR="00EC32FD">
        <w:rPr>
          <w:rFonts w:ascii="Arial" w:hAnsi="Arial" w:cs="Arial"/>
          <w:color w:val="7B7B7B" w:themeColor="accent3" w:themeShade="BF"/>
          <w:sz w:val="22"/>
          <w:szCs w:val="22"/>
          <w:lang w:val="en-GB"/>
        </w:rPr>
        <w:lastRenderedPageBreak/>
        <w:t>International Law concluded in 1928 between some Latin and Middle American States</w:t>
      </w:r>
      <w:r w:rsidR="001D1865">
        <w:rPr>
          <w:rStyle w:val="FootnoteReference"/>
          <w:rFonts w:ascii="Arial" w:hAnsi="Arial" w:cs="Arial"/>
          <w:color w:val="7B7B7B" w:themeColor="accent3" w:themeShade="BF"/>
          <w:sz w:val="22"/>
          <w:szCs w:val="22"/>
          <w:lang w:val="en-GB"/>
        </w:rPr>
        <w:footnoteReference w:id="1"/>
      </w:r>
      <w:r w:rsidR="00EC32FD">
        <w:rPr>
          <w:rFonts w:ascii="Arial" w:hAnsi="Arial" w:cs="Arial"/>
          <w:color w:val="7B7B7B" w:themeColor="accent3" w:themeShade="BF"/>
          <w:sz w:val="22"/>
          <w:szCs w:val="22"/>
          <w:lang w:val="en-GB"/>
        </w:rPr>
        <w:t>.</w:t>
      </w:r>
      <w:r w:rsidR="00D06D67">
        <w:rPr>
          <w:rFonts w:ascii="Arial" w:hAnsi="Arial" w:cs="Arial"/>
          <w:color w:val="7B7B7B" w:themeColor="accent3" w:themeShade="BF"/>
          <w:sz w:val="22"/>
          <w:szCs w:val="22"/>
          <w:lang w:val="en-GB"/>
        </w:rPr>
        <w:t xml:space="preserve"> </w:t>
      </w:r>
      <w:r w:rsidR="00053CBF">
        <w:rPr>
          <w:rFonts w:ascii="Arial" w:hAnsi="Arial" w:cs="Arial"/>
          <w:color w:val="7B7B7B" w:themeColor="accent3" w:themeShade="BF"/>
          <w:sz w:val="22"/>
          <w:szCs w:val="22"/>
          <w:lang w:val="en-GB"/>
        </w:rPr>
        <w:t>Also</w:t>
      </w:r>
      <w:r w:rsidR="00A90A58">
        <w:rPr>
          <w:rFonts w:ascii="Arial" w:hAnsi="Arial" w:cs="Arial"/>
          <w:color w:val="7B7B7B" w:themeColor="accent3" w:themeShade="BF"/>
          <w:sz w:val="22"/>
          <w:szCs w:val="22"/>
          <w:lang w:val="en-GB"/>
        </w:rPr>
        <w:t>,</w:t>
      </w:r>
      <w:r w:rsidR="00053CBF">
        <w:rPr>
          <w:rFonts w:ascii="Arial" w:hAnsi="Arial" w:cs="Arial"/>
          <w:color w:val="7B7B7B" w:themeColor="accent3" w:themeShade="BF"/>
          <w:sz w:val="22"/>
          <w:szCs w:val="22"/>
          <w:lang w:val="en-GB"/>
        </w:rPr>
        <w:t xml:space="preserve"> t</w:t>
      </w:r>
      <w:r w:rsidR="00D06D67">
        <w:rPr>
          <w:rFonts w:ascii="Arial" w:hAnsi="Arial" w:cs="Arial"/>
          <w:color w:val="7B7B7B" w:themeColor="accent3" w:themeShade="BF"/>
          <w:sz w:val="22"/>
          <w:szCs w:val="22"/>
          <w:lang w:val="en-GB"/>
        </w:rPr>
        <w:t>he European Union Insolvency Regulation (EIR) (2000)</w:t>
      </w:r>
      <w:r w:rsidR="00FC584C">
        <w:rPr>
          <w:rStyle w:val="FootnoteReference"/>
          <w:rFonts w:ascii="Arial" w:hAnsi="Arial" w:cs="Arial"/>
          <w:color w:val="7B7B7B" w:themeColor="accent3" w:themeShade="BF"/>
          <w:sz w:val="22"/>
          <w:szCs w:val="22"/>
          <w:lang w:val="en-GB"/>
        </w:rPr>
        <w:footnoteReference w:id="2"/>
      </w:r>
      <w:r w:rsidR="00D06D67">
        <w:rPr>
          <w:rFonts w:ascii="Arial" w:hAnsi="Arial" w:cs="Arial"/>
          <w:color w:val="7B7B7B" w:themeColor="accent3" w:themeShade="BF"/>
          <w:sz w:val="22"/>
          <w:szCs w:val="22"/>
          <w:lang w:val="en-GB"/>
        </w:rPr>
        <w:t>.</w:t>
      </w:r>
    </w:p>
    <w:p w14:paraId="5DBC7392" w14:textId="77777777" w:rsidR="00A577E6" w:rsidRDefault="00A577E6" w:rsidP="00B7193E">
      <w:pPr>
        <w:ind w:left="720" w:hanging="720"/>
        <w:jc w:val="both"/>
        <w:rPr>
          <w:rFonts w:ascii="Arial" w:hAnsi="Arial" w:cs="Arial"/>
          <w:color w:val="7B7B7B" w:themeColor="accent3" w:themeShade="BF"/>
          <w:sz w:val="22"/>
          <w:szCs w:val="22"/>
          <w:lang w:val="en-GB"/>
        </w:rPr>
      </w:pPr>
    </w:p>
    <w:p w14:paraId="1F65A18D" w14:textId="486BE541" w:rsidR="00F166EC" w:rsidRDefault="00A577E6"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Soft law on the other hand</w:t>
      </w:r>
      <w:r w:rsidR="002F7134">
        <w:rPr>
          <w:rFonts w:ascii="Arial" w:hAnsi="Arial" w:cs="Arial"/>
          <w:color w:val="7B7B7B" w:themeColor="accent3" w:themeShade="BF"/>
          <w:sz w:val="22"/>
          <w:szCs w:val="22"/>
          <w:lang w:val="en-GB"/>
        </w:rPr>
        <w:t xml:space="preserve"> is a general term that may refer to a variety of quasi-legal, non-binding rules, instruments, and processes used in international relations by countries and international organizations</w:t>
      </w:r>
      <w:r w:rsidR="002F7134">
        <w:rPr>
          <w:rStyle w:val="FootnoteReference"/>
          <w:rFonts w:ascii="Arial" w:hAnsi="Arial" w:cs="Arial"/>
          <w:color w:val="7B7B7B" w:themeColor="accent3" w:themeShade="BF"/>
          <w:sz w:val="22"/>
          <w:szCs w:val="22"/>
          <w:lang w:val="en-GB"/>
        </w:rPr>
        <w:footnoteReference w:id="3"/>
      </w:r>
      <w:r w:rsidR="008F116A">
        <w:rPr>
          <w:rFonts w:ascii="Arial" w:hAnsi="Arial" w:cs="Arial"/>
          <w:color w:val="7B7B7B" w:themeColor="accent3" w:themeShade="BF"/>
          <w:sz w:val="22"/>
          <w:szCs w:val="22"/>
          <w:lang w:val="en-GB"/>
        </w:rPr>
        <w:t xml:space="preserve">. Conventionally, </w:t>
      </w:r>
      <w:r w:rsidR="00A264F7">
        <w:rPr>
          <w:rFonts w:ascii="Arial" w:hAnsi="Arial" w:cs="Arial"/>
          <w:color w:val="7B7B7B" w:themeColor="accent3" w:themeShade="BF"/>
          <w:sz w:val="22"/>
          <w:szCs w:val="22"/>
          <w:lang w:val="en-GB"/>
        </w:rPr>
        <w:t>soft law is considered a weakened version of hard law, with diminished levels of bindingness, obligation, and precision</w:t>
      </w:r>
      <w:r w:rsidR="00A264F7">
        <w:rPr>
          <w:rStyle w:val="FootnoteReference"/>
          <w:rFonts w:ascii="Arial" w:hAnsi="Arial" w:cs="Arial"/>
          <w:color w:val="7B7B7B" w:themeColor="accent3" w:themeShade="BF"/>
          <w:sz w:val="22"/>
          <w:szCs w:val="22"/>
          <w:lang w:val="en-GB"/>
        </w:rPr>
        <w:footnoteReference w:id="4"/>
      </w:r>
      <w:r w:rsidR="00A264F7">
        <w:rPr>
          <w:rFonts w:ascii="Arial" w:hAnsi="Arial" w:cs="Arial"/>
          <w:color w:val="7B7B7B" w:themeColor="accent3" w:themeShade="BF"/>
          <w:sz w:val="22"/>
          <w:szCs w:val="22"/>
          <w:lang w:val="en-GB"/>
        </w:rPr>
        <w:t>.</w:t>
      </w:r>
      <w:r w:rsidR="00FA3F91">
        <w:rPr>
          <w:rFonts w:ascii="Arial" w:hAnsi="Arial" w:cs="Arial"/>
          <w:color w:val="7B7B7B" w:themeColor="accent3" w:themeShade="BF"/>
          <w:sz w:val="22"/>
          <w:szCs w:val="22"/>
          <w:lang w:val="en-GB"/>
        </w:rPr>
        <w:t xml:space="preserve"> Soft law may be said to include</w:t>
      </w:r>
      <w:r w:rsidR="00AD6ACB">
        <w:rPr>
          <w:rFonts w:ascii="Arial" w:hAnsi="Arial" w:cs="Arial"/>
          <w:color w:val="7B7B7B" w:themeColor="accent3" w:themeShade="BF"/>
          <w:sz w:val="22"/>
          <w:szCs w:val="22"/>
          <w:lang w:val="en-GB"/>
        </w:rPr>
        <w:t xml:space="preserve"> instruments like guides, recommendations and model law</w:t>
      </w:r>
      <w:r w:rsidR="00DF2B38">
        <w:rPr>
          <w:rFonts w:ascii="Arial" w:hAnsi="Arial" w:cs="Arial"/>
          <w:color w:val="7B7B7B" w:themeColor="accent3" w:themeShade="BF"/>
          <w:sz w:val="22"/>
          <w:szCs w:val="22"/>
          <w:lang w:val="en-GB"/>
        </w:rPr>
        <w:t>.</w:t>
      </w:r>
      <w:r w:rsidR="005A781C">
        <w:rPr>
          <w:rFonts w:ascii="Arial" w:hAnsi="Arial" w:cs="Arial"/>
          <w:color w:val="7B7B7B" w:themeColor="accent3" w:themeShade="BF"/>
          <w:sz w:val="22"/>
          <w:szCs w:val="22"/>
          <w:lang w:val="en-GB"/>
        </w:rPr>
        <w:t xml:space="preserve"> They are usually operational guides that provide details for implementation of provision in treaties.</w:t>
      </w:r>
      <w:r w:rsidR="00080621">
        <w:rPr>
          <w:rFonts w:ascii="Arial" w:hAnsi="Arial" w:cs="Arial"/>
          <w:color w:val="7B7B7B" w:themeColor="accent3" w:themeShade="BF"/>
          <w:sz w:val="22"/>
          <w:szCs w:val="22"/>
          <w:lang w:val="en-GB"/>
        </w:rPr>
        <w:t xml:space="preserve"> They also enables the development of international norms through more relaxed processes</w:t>
      </w:r>
      <w:r w:rsidR="000E2AC0">
        <w:rPr>
          <w:rFonts w:ascii="Arial" w:hAnsi="Arial" w:cs="Arial"/>
          <w:color w:val="7B7B7B" w:themeColor="accent3" w:themeShade="BF"/>
          <w:sz w:val="22"/>
          <w:szCs w:val="22"/>
          <w:lang w:val="en-GB"/>
        </w:rPr>
        <w:t>, although assumed to be non-binding</w:t>
      </w:r>
      <w:r w:rsidR="00C31EA4">
        <w:rPr>
          <w:rFonts w:ascii="Arial" w:hAnsi="Arial" w:cs="Arial"/>
          <w:color w:val="7B7B7B" w:themeColor="accent3" w:themeShade="BF"/>
          <w:sz w:val="22"/>
          <w:szCs w:val="22"/>
          <w:lang w:val="en-GB"/>
        </w:rPr>
        <w:t>, such laws can be concluded with high degree of precision and can generate a strong compliance pull where they are negotiated by representatives of many countries and where various economic forces, including concerns about reputation, induce participants to comply</w:t>
      </w:r>
      <w:r w:rsidR="00780948">
        <w:rPr>
          <w:rStyle w:val="FootnoteReference"/>
          <w:rFonts w:ascii="Arial" w:hAnsi="Arial" w:cs="Arial"/>
          <w:color w:val="7B7B7B" w:themeColor="accent3" w:themeShade="BF"/>
          <w:sz w:val="22"/>
          <w:szCs w:val="22"/>
          <w:lang w:val="en-GB"/>
        </w:rPr>
        <w:footnoteReference w:id="5"/>
      </w:r>
      <w:r w:rsidR="00C31EA4">
        <w:rPr>
          <w:rFonts w:ascii="Arial" w:hAnsi="Arial" w:cs="Arial"/>
          <w:color w:val="7B7B7B" w:themeColor="accent3" w:themeShade="BF"/>
          <w:sz w:val="22"/>
          <w:szCs w:val="22"/>
          <w:lang w:val="en-GB"/>
        </w:rPr>
        <w:t>.</w:t>
      </w:r>
      <w:r w:rsidR="0011415F">
        <w:rPr>
          <w:rFonts w:ascii="Arial" w:hAnsi="Arial" w:cs="Arial"/>
          <w:color w:val="7B7B7B" w:themeColor="accent3" w:themeShade="BF"/>
          <w:sz w:val="22"/>
          <w:szCs w:val="22"/>
          <w:lang w:val="en-GB"/>
        </w:rPr>
        <w:t xml:space="preserve"> One major example of soft law development concept is the Hague Conference on Private International Law referred to as (the Hague Conference) which was established in the 19</w:t>
      </w:r>
      <w:r w:rsidR="0011415F" w:rsidRPr="0011415F">
        <w:rPr>
          <w:rFonts w:ascii="Arial" w:hAnsi="Arial" w:cs="Arial"/>
          <w:color w:val="7B7B7B" w:themeColor="accent3" w:themeShade="BF"/>
          <w:sz w:val="22"/>
          <w:szCs w:val="22"/>
          <w:vertAlign w:val="superscript"/>
          <w:lang w:val="en-GB"/>
        </w:rPr>
        <w:t>th</w:t>
      </w:r>
      <w:r w:rsidR="0011415F">
        <w:rPr>
          <w:rFonts w:ascii="Arial" w:hAnsi="Arial" w:cs="Arial"/>
          <w:color w:val="7B7B7B" w:themeColor="accent3" w:themeShade="BF"/>
          <w:sz w:val="22"/>
          <w:szCs w:val="22"/>
          <w:lang w:val="en-GB"/>
        </w:rPr>
        <w:t xml:space="preserve"> Century to work towards the progressive unification of private international law.</w:t>
      </w:r>
      <w:r w:rsidR="006F4C8F">
        <w:rPr>
          <w:rFonts w:ascii="Arial" w:hAnsi="Arial" w:cs="Arial"/>
          <w:color w:val="7B7B7B" w:themeColor="accent3" w:themeShade="BF"/>
          <w:sz w:val="22"/>
          <w:szCs w:val="22"/>
          <w:lang w:val="en-GB"/>
        </w:rPr>
        <w:t xml:space="preserve"> The adoption of a Model </w:t>
      </w:r>
      <w:r w:rsidR="009F7D6A">
        <w:rPr>
          <w:rFonts w:ascii="Arial" w:hAnsi="Arial" w:cs="Arial"/>
          <w:color w:val="7B7B7B" w:themeColor="accent3" w:themeShade="BF"/>
          <w:sz w:val="22"/>
          <w:szCs w:val="22"/>
          <w:lang w:val="en-GB"/>
        </w:rPr>
        <w:t>Treaty on Bankruptcy at the 1925 conference was</w:t>
      </w:r>
      <w:r w:rsidR="000E05DB">
        <w:rPr>
          <w:rFonts w:ascii="Arial" w:hAnsi="Arial" w:cs="Arial"/>
          <w:color w:val="7B7B7B" w:themeColor="accent3" w:themeShade="BF"/>
          <w:sz w:val="22"/>
          <w:szCs w:val="22"/>
          <w:lang w:val="en-GB"/>
        </w:rPr>
        <w:t xml:space="preserve"> regarded</w:t>
      </w:r>
      <w:r w:rsidR="009F7D6A">
        <w:rPr>
          <w:rFonts w:ascii="Arial" w:hAnsi="Arial" w:cs="Arial"/>
          <w:color w:val="7B7B7B" w:themeColor="accent3" w:themeShade="BF"/>
          <w:sz w:val="22"/>
          <w:szCs w:val="22"/>
          <w:lang w:val="en-GB"/>
        </w:rPr>
        <w:t xml:space="preserve"> an early initiative.</w:t>
      </w:r>
      <w:r w:rsidR="00AC261B">
        <w:rPr>
          <w:rFonts w:ascii="Arial" w:hAnsi="Arial" w:cs="Arial"/>
          <w:color w:val="7B7B7B" w:themeColor="accent3" w:themeShade="BF"/>
          <w:sz w:val="22"/>
          <w:szCs w:val="22"/>
          <w:lang w:val="en-GB"/>
        </w:rPr>
        <w:t xml:space="preserve"> Though never ratified, this Model Treaty likewise has contributed to the international deliberations on regulating international insolvency.</w:t>
      </w:r>
      <w:r w:rsidR="00382D40">
        <w:rPr>
          <w:rFonts w:ascii="Arial" w:hAnsi="Arial" w:cs="Arial"/>
          <w:color w:val="7B7B7B" w:themeColor="accent3" w:themeShade="BF"/>
          <w:sz w:val="22"/>
          <w:szCs w:val="22"/>
          <w:lang w:val="en-GB"/>
        </w:rPr>
        <w:t xml:space="preserve"> For example, it allocated jurisdiction in respect of a corporation to the court where the statutory registered seat was located “provided that it be neither fraudulent nor fictitious”. The Hague</w:t>
      </w:r>
      <w:r w:rsidR="00D24F8A">
        <w:rPr>
          <w:rFonts w:ascii="Arial" w:hAnsi="Arial" w:cs="Arial"/>
          <w:color w:val="7B7B7B" w:themeColor="accent3" w:themeShade="BF"/>
          <w:sz w:val="22"/>
          <w:szCs w:val="22"/>
          <w:lang w:val="en-GB"/>
        </w:rPr>
        <w:t xml:space="preserve"> Conference now describe itself as “The World Organization for Cross-Border Co-operation in Civil and Commercial Matters”</w:t>
      </w:r>
      <w:r w:rsidR="00D24F8A">
        <w:rPr>
          <w:rStyle w:val="FootnoteReference"/>
          <w:rFonts w:ascii="Arial" w:hAnsi="Arial" w:cs="Arial"/>
          <w:color w:val="7B7B7B" w:themeColor="accent3" w:themeShade="BF"/>
          <w:sz w:val="22"/>
          <w:szCs w:val="22"/>
          <w:lang w:val="en-GB"/>
        </w:rPr>
        <w:footnoteReference w:id="6"/>
      </w:r>
      <w:r w:rsidR="00D24F8A">
        <w:rPr>
          <w:rFonts w:ascii="Arial" w:hAnsi="Arial" w:cs="Arial"/>
          <w:color w:val="7B7B7B" w:themeColor="accent3" w:themeShade="BF"/>
          <w:sz w:val="22"/>
          <w:szCs w:val="22"/>
          <w:lang w:val="en-GB"/>
        </w:rPr>
        <w:t>.</w:t>
      </w:r>
      <w:r w:rsidR="00AC261B">
        <w:rPr>
          <w:rFonts w:ascii="Arial" w:hAnsi="Arial" w:cs="Arial"/>
          <w:color w:val="7B7B7B" w:themeColor="accent3" w:themeShade="BF"/>
          <w:sz w:val="22"/>
          <w:szCs w:val="22"/>
          <w:lang w:val="en-GB"/>
        </w:rPr>
        <w:t xml:space="preserve"> </w:t>
      </w:r>
      <w:r w:rsidR="00B41431">
        <w:rPr>
          <w:rFonts w:ascii="Arial" w:hAnsi="Arial" w:cs="Arial"/>
          <w:color w:val="7B7B7B" w:themeColor="accent3" w:themeShade="BF"/>
          <w:sz w:val="22"/>
          <w:szCs w:val="22"/>
          <w:lang w:val="en-GB"/>
        </w:rPr>
        <w:t xml:space="preserve"> </w:t>
      </w:r>
      <w:r w:rsidR="0011415F">
        <w:rPr>
          <w:rFonts w:ascii="Arial" w:hAnsi="Arial" w:cs="Arial"/>
          <w:color w:val="7B7B7B" w:themeColor="accent3" w:themeShade="BF"/>
          <w:sz w:val="22"/>
          <w:szCs w:val="22"/>
          <w:lang w:val="en-GB"/>
        </w:rPr>
        <w:t>Other</w:t>
      </w:r>
      <w:r w:rsidR="00B41431">
        <w:rPr>
          <w:rFonts w:ascii="Arial" w:hAnsi="Arial" w:cs="Arial"/>
          <w:color w:val="7B7B7B" w:themeColor="accent3" w:themeShade="BF"/>
          <w:sz w:val="22"/>
          <w:szCs w:val="22"/>
          <w:lang w:val="en-GB"/>
        </w:rPr>
        <w:t xml:space="preserve"> examples of soft law in Cross-Border Insolvency include, the UNCITRAL Legislative Guide on Insolvency Law (2004) the Model Law</w:t>
      </w:r>
      <w:r w:rsidR="00536ECD">
        <w:rPr>
          <w:rFonts w:ascii="Arial" w:hAnsi="Arial" w:cs="Arial"/>
          <w:color w:val="7B7B7B" w:themeColor="accent3" w:themeShade="BF"/>
          <w:sz w:val="22"/>
          <w:szCs w:val="22"/>
          <w:lang w:val="en-GB"/>
        </w:rPr>
        <w:t xml:space="preserve"> on Cross-Border Insolvency (MLCBI)</w:t>
      </w:r>
      <w:r w:rsidR="00CD4892">
        <w:rPr>
          <w:rFonts w:ascii="Arial" w:hAnsi="Arial" w:cs="Arial"/>
          <w:color w:val="7B7B7B" w:themeColor="accent3" w:themeShade="BF"/>
          <w:sz w:val="22"/>
          <w:szCs w:val="22"/>
          <w:lang w:val="en-GB"/>
        </w:rPr>
        <w:t xml:space="preserve"> etc</w:t>
      </w:r>
      <w:r w:rsidR="00C469D1">
        <w:rPr>
          <w:rFonts w:ascii="Arial" w:hAnsi="Arial" w:cs="Arial"/>
          <w:color w:val="7B7B7B" w:themeColor="accent3" w:themeShade="BF"/>
          <w:sz w:val="22"/>
          <w:szCs w:val="22"/>
          <w:lang w:val="en-GB"/>
        </w:rPr>
        <w:t>.</w:t>
      </w:r>
    </w:p>
    <w:p w14:paraId="6E46D45D" w14:textId="77777777" w:rsidR="0047162F" w:rsidRDefault="0047162F" w:rsidP="00B7193E">
      <w:pPr>
        <w:ind w:left="720" w:hanging="720"/>
        <w:jc w:val="both"/>
        <w:rPr>
          <w:rFonts w:ascii="Arial" w:hAnsi="Arial" w:cs="Arial"/>
          <w:color w:val="7B7B7B" w:themeColor="accent3" w:themeShade="BF"/>
          <w:sz w:val="22"/>
          <w:szCs w:val="22"/>
          <w:lang w:val="en-GB"/>
        </w:rPr>
      </w:pPr>
    </w:p>
    <w:p w14:paraId="18530F81" w14:textId="05312C3C" w:rsidR="0047162F" w:rsidRDefault="0047162F" w:rsidP="004716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has however been argued that treaties can at best supply only a partial solution to the problems of any insolvency in which the spread of contacts extends beyond their regional frontier</w:t>
      </w:r>
      <w:r w:rsidR="00F170A5">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Hence “soft laws” when properly coordinated and adopted </w:t>
      </w:r>
      <w:r w:rsidR="00B036BA">
        <w:rPr>
          <w:rFonts w:ascii="Arial" w:hAnsi="Arial" w:cs="Arial"/>
          <w:color w:val="7B7B7B" w:themeColor="accent3" w:themeShade="BF"/>
          <w:sz w:val="22"/>
          <w:szCs w:val="22"/>
          <w:lang w:val="en-GB"/>
        </w:rPr>
        <w:t xml:space="preserve">by Insolvency professionals and stakeholders in different jurisdiction or States </w:t>
      </w:r>
      <w:r>
        <w:rPr>
          <w:rFonts w:ascii="Arial" w:hAnsi="Arial" w:cs="Arial"/>
          <w:color w:val="7B7B7B" w:themeColor="accent3" w:themeShade="BF"/>
          <w:sz w:val="22"/>
          <w:szCs w:val="22"/>
          <w:lang w:val="en-GB"/>
        </w:rPr>
        <w:t>with</w:t>
      </w:r>
      <w:r w:rsidR="0007127F">
        <w:rPr>
          <w:rFonts w:ascii="Arial" w:hAnsi="Arial" w:cs="Arial"/>
          <w:color w:val="7B7B7B" w:themeColor="accent3" w:themeShade="BF"/>
          <w:sz w:val="22"/>
          <w:szCs w:val="22"/>
          <w:lang w:val="en-GB"/>
        </w:rPr>
        <w:t xml:space="preserve"> existing treaties</w:t>
      </w:r>
      <w:r w:rsidR="004948A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may assist in achieving better insolvency practice and procedure in</w:t>
      </w:r>
      <w:r w:rsidR="00051802">
        <w:rPr>
          <w:rFonts w:ascii="Arial" w:hAnsi="Arial" w:cs="Arial"/>
          <w:color w:val="7B7B7B" w:themeColor="accent3" w:themeShade="BF"/>
          <w:sz w:val="22"/>
          <w:szCs w:val="22"/>
          <w:lang w:val="en-GB"/>
        </w:rPr>
        <w:t xml:space="preserve"> cross border insolvencies</w:t>
      </w:r>
      <w:r w:rsidR="008F487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4F7A3660" w14:textId="77777777" w:rsidR="00E37AAA" w:rsidRDefault="00E37AAA" w:rsidP="0047162F">
      <w:pPr>
        <w:jc w:val="both"/>
        <w:rPr>
          <w:rFonts w:ascii="Arial" w:hAnsi="Arial" w:cs="Arial"/>
          <w:color w:val="7B7B7B" w:themeColor="accent3" w:themeShade="BF"/>
          <w:sz w:val="22"/>
          <w:szCs w:val="22"/>
          <w:lang w:val="en-GB"/>
        </w:rPr>
      </w:pPr>
    </w:p>
    <w:p w14:paraId="0315DFC4" w14:textId="7718EB14" w:rsidR="000572C1" w:rsidRDefault="001A0AD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and “soft laws” </w:t>
      </w:r>
      <w:r w:rsidR="00E37AAA">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may be used to establish cross-border insolvency rules in States</w:t>
      </w:r>
      <w:r w:rsidR="00773203">
        <w:rPr>
          <w:rFonts w:ascii="Arial" w:hAnsi="Arial" w:cs="Arial"/>
          <w:color w:val="7B7B7B" w:themeColor="accent3" w:themeShade="BF"/>
          <w:sz w:val="22"/>
          <w:szCs w:val="22"/>
          <w:lang w:val="en-GB"/>
        </w:rPr>
        <w:t xml:space="preserve"> </w:t>
      </w:r>
      <w:r w:rsidR="00DB3D6D">
        <w:rPr>
          <w:rFonts w:ascii="Arial" w:hAnsi="Arial" w:cs="Arial"/>
          <w:color w:val="7B7B7B" w:themeColor="accent3" w:themeShade="BF"/>
          <w:sz w:val="22"/>
          <w:szCs w:val="22"/>
          <w:lang w:val="en-GB"/>
        </w:rPr>
        <w:t>as they</w:t>
      </w:r>
      <w:r w:rsidR="00527365">
        <w:rPr>
          <w:rFonts w:ascii="Arial" w:hAnsi="Arial" w:cs="Arial"/>
          <w:color w:val="7B7B7B" w:themeColor="accent3" w:themeShade="BF"/>
          <w:sz w:val="22"/>
          <w:szCs w:val="22"/>
          <w:lang w:val="en-GB"/>
        </w:rPr>
        <w:t xml:space="preserve"> can</w:t>
      </w:r>
      <w:r w:rsidR="00DB3D6D">
        <w:rPr>
          <w:rFonts w:ascii="Arial" w:hAnsi="Arial" w:cs="Arial"/>
          <w:color w:val="7B7B7B" w:themeColor="accent3" w:themeShade="BF"/>
          <w:sz w:val="22"/>
          <w:szCs w:val="22"/>
          <w:lang w:val="en-GB"/>
        </w:rPr>
        <w:t xml:space="preserve"> help to provide guidelines and </w:t>
      </w:r>
      <w:r w:rsidR="00527365">
        <w:rPr>
          <w:rFonts w:ascii="Arial" w:hAnsi="Arial" w:cs="Arial"/>
          <w:color w:val="7B7B7B" w:themeColor="accent3" w:themeShade="BF"/>
          <w:sz w:val="22"/>
          <w:szCs w:val="22"/>
          <w:lang w:val="en-GB"/>
        </w:rPr>
        <w:t>details</w:t>
      </w:r>
      <w:r w:rsidR="00DB3D6D">
        <w:rPr>
          <w:rFonts w:ascii="Arial" w:hAnsi="Arial" w:cs="Arial"/>
          <w:color w:val="7B7B7B" w:themeColor="accent3" w:themeShade="BF"/>
          <w:sz w:val="22"/>
          <w:szCs w:val="22"/>
          <w:lang w:val="en-GB"/>
        </w:rPr>
        <w:t xml:space="preserve"> about applicable rules in various insolvency situations</w:t>
      </w:r>
      <w:r w:rsidR="00527365">
        <w:rPr>
          <w:rFonts w:ascii="Arial" w:hAnsi="Arial" w:cs="Arial"/>
          <w:color w:val="7B7B7B" w:themeColor="accent3" w:themeShade="BF"/>
          <w:sz w:val="22"/>
          <w:szCs w:val="22"/>
          <w:lang w:val="en-GB"/>
        </w:rPr>
        <w:t xml:space="preserve"> that States can adopt in cross-border insolvency proceeding</w:t>
      </w:r>
      <w:r w:rsidR="00A37912">
        <w:rPr>
          <w:rFonts w:ascii="Arial" w:hAnsi="Arial" w:cs="Arial"/>
          <w:color w:val="7B7B7B" w:themeColor="accent3" w:themeShade="BF"/>
          <w:sz w:val="22"/>
          <w:szCs w:val="22"/>
          <w:lang w:val="en-GB"/>
        </w:rPr>
        <w:t>s</w:t>
      </w:r>
      <w:r w:rsidR="00527365">
        <w:rPr>
          <w:rFonts w:ascii="Arial" w:hAnsi="Arial" w:cs="Arial"/>
          <w:color w:val="7B7B7B" w:themeColor="accent3" w:themeShade="BF"/>
          <w:sz w:val="22"/>
          <w:szCs w:val="22"/>
          <w:lang w:val="en-GB"/>
        </w:rPr>
        <w:t>.</w:t>
      </w:r>
      <w:r w:rsidR="000572C1">
        <w:rPr>
          <w:rFonts w:ascii="Arial" w:hAnsi="Arial" w:cs="Arial"/>
          <w:color w:val="7B7B7B" w:themeColor="accent3" w:themeShade="BF"/>
          <w:sz w:val="22"/>
          <w:szCs w:val="22"/>
          <w:lang w:val="en-GB"/>
        </w:rPr>
        <w:t xml:space="preserve"> For Instance, the Legislative Guide on Insolvency Law</w:t>
      </w:r>
      <w:r w:rsidR="00CE1DCB">
        <w:rPr>
          <w:rFonts w:ascii="Arial" w:hAnsi="Arial" w:cs="Arial"/>
          <w:color w:val="7B7B7B" w:themeColor="accent3" w:themeShade="BF"/>
          <w:sz w:val="22"/>
          <w:szCs w:val="22"/>
          <w:lang w:val="en-GB"/>
        </w:rPr>
        <w:t xml:space="preserve"> (2004) is a soft law</w:t>
      </w:r>
      <w:r w:rsidR="00EA36CD">
        <w:rPr>
          <w:rFonts w:ascii="Arial" w:hAnsi="Arial" w:cs="Arial"/>
          <w:color w:val="7B7B7B" w:themeColor="accent3" w:themeShade="BF"/>
          <w:sz w:val="22"/>
          <w:szCs w:val="22"/>
          <w:lang w:val="en-GB"/>
        </w:rPr>
        <w:t xml:space="preserve"> </w:t>
      </w:r>
      <w:r w:rsidR="00181BDA">
        <w:rPr>
          <w:rFonts w:ascii="Arial" w:hAnsi="Arial" w:cs="Arial"/>
          <w:color w:val="7B7B7B" w:themeColor="accent3" w:themeShade="BF"/>
          <w:sz w:val="22"/>
          <w:szCs w:val="22"/>
          <w:lang w:val="en-GB"/>
        </w:rPr>
        <w:t>which is intended to be</w:t>
      </w:r>
      <w:r w:rsidR="00A37912">
        <w:rPr>
          <w:rFonts w:ascii="Arial" w:hAnsi="Arial" w:cs="Arial"/>
          <w:color w:val="7B7B7B" w:themeColor="accent3" w:themeShade="BF"/>
          <w:sz w:val="22"/>
          <w:szCs w:val="22"/>
          <w:lang w:val="en-GB"/>
        </w:rPr>
        <w:t xml:space="preserve"> used as</w:t>
      </w:r>
      <w:r w:rsidR="00181BDA">
        <w:rPr>
          <w:rFonts w:ascii="Arial" w:hAnsi="Arial" w:cs="Arial"/>
          <w:color w:val="7B7B7B" w:themeColor="accent3" w:themeShade="BF"/>
          <w:sz w:val="22"/>
          <w:szCs w:val="22"/>
          <w:lang w:val="en-GB"/>
        </w:rPr>
        <w:t xml:space="preserve"> a reference by national authorities and legislative bodies when preparing new laws and regulations or reviewing the adequacy of existing laws and regulations</w:t>
      </w:r>
      <w:r w:rsidR="00BE1874">
        <w:rPr>
          <w:rStyle w:val="FootnoteReference"/>
          <w:rFonts w:ascii="Arial" w:hAnsi="Arial" w:cs="Arial"/>
          <w:color w:val="7B7B7B" w:themeColor="accent3" w:themeShade="BF"/>
          <w:sz w:val="22"/>
          <w:szCs w:val="22"/>
          <w:lang w:val="en-GB"/>
        </w:rPr>
        <w:footnoteReference w:id="8"/>
      </w:r>
      <w:r w:rsidR="00181BDA">
        <w:rPr>
          <w:rFonts w:ascii="Arial" w:hAnsi="Arial" w:cs="Arial"/>
          <w:color w:val="7B7B7B" w:themeColor="accent3" w:themeShade="BF"/>
          <w:sz w:val="22"/>
          <w:szCs w:val="22"/>
          <w:lang w:val="en-GB"/>
        </w:rPr>
        <w:t>.</w:t>
      </w:r>
    </w:p>
    <w:p w14:paraId="3489AF47" w14:textId="77777777" w:rsidR="00C469D1" w:rsidRDefault="00C469D1" w:rsidP="00B7193E">
      <w:pPr>
        <w:ind w:left="720" w:hanging="720"/>
        <w:jc w:val="both"/>
        <w:rPr>
          <w:rFonts w:ascii="Arial" w:hAnsi="Arial" w:cs="Arial"/>
          <w:color w:val="7B7B7B" w:themeColor="accent3" w:themeShade="BF"/>
          <w:sz w:val="22"/>
          <w:szCs w:val="22"/>
          <w:lang w:val="en-GB"/>
        </w:rPr>
      </w:pPr>
    </w:p>
    <w:p w14:paraId="162523D5" w14:textId="4358C699" w:rsidR="00070914" w:rsidRDefault="00070914"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Similarly, treaties and “soft laws” may be used to foster cooperation among States in cross-border insolvencies proceedings. For instance</w:t>
      </w:r>
      <w:r w:rsidR="00333BB3">
        <w:rPr>
          <w:rFonts w:ascii="Arial" w:hAnsi="Arial" w:cs="Arial"/>
          <w:color w:val="7B7B7B" w:themeColor="accent3" w:themeShade="BF"/>
          <w:sz w:val="22"/>
          <w:szCs w:val="22"/>
          <w:lang w:val="en-GB"/>
        </w:rPr>
        <w:t>, the Guidelines Applicable to Court-to-Court communication in Cross-Border Cases (2001) is intended to enhance coordination and harmonization of insolvency proceedings that involve more than one Country through communication among the jurisdictions involved</w:t>
      </w:r>
      <w:r w:rsidR="00333BB3">
        <w:rPr>
          <w:rStyle w:val="FootnoteReference"/>
          <w:rFonts w:ascii="Arial" w:hAnsi="Arial" w:cs="Arial"/>
          <w:color w:val="7B7B7B" w:themeColor="accent3" w:themeShade="BF"/>
          <w:sz w:val="22"/>
          <w:szCs w:val="22"/>
          <w:lang w:val="en-GB"/>
        </w:rPr>
        <w:footnoteReference w:id="9"/>
      </w:r>
      <w:r w:rsidR="00333BB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419AE425" w14:textId="77777777" w:rsidR="00070914" w:rsidRDefault="00070914"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8DB9FD8" w14:textId="48CCA63F" w:rsidR="00C72848" w:rsidRPr="00C469D1" w:rsidRDefault="0051696C" w:rsidP="00C469D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and “soft laws” may also be used to establish best practices in cross-border insolvenc</w:t>
      </w:r>
      <w:r w:rsidR="0026661D">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rules in States. For example</w:t>
      </w:r>
      <w:r w:rsidR="00BE25C7">
        <w:rPr>
          <w:rFonts w:ascii="Arial" w:hAnsi="Arial" w:cs="Arial"/>
          <w:color w:val="7B7B7B" w:themeColor="accent3" w:themeShade="BF"/>
          <w:sz w:val="22"/>
          <w:szCs w:val="22"/>
          <w:lang w:val="en-GB"/>
        </w:rPr>
        <w:t>, INSOL Lenders Group Statement of Principles for a Global approach to multi- Creditor workouts is aimed at achieving best practice in States for all multi-creditor workouts</w:t>
      </w:r>
      <w:r w:rsidR="0026661D">
        <w:rPr>
          <w:rStyle w:val="FootnoteReference"/>
          <w:rFonts w:ascii="Arial" w:hAnsi="Arial" w:cs="Arial"/>
          <w:color w:val="7B7B7B" w:themeColor="accent3" w:themeShade="BF"/>
          <w:sz w:val="22"/>
          <w:szCs w:val="22"/>
          <w:lang w:val="en-GB"/>
        </w:rPr>
        <w:footnoteReference w:id="10"/>
      </w:r>
      <w:r w:rsidR="00C469D1">
        <w:rPr>
          <w:rFonts w:ascii="Arial" w:hAnsi="Arial" w:cs="Arial"/>
          <w:color w:val="7B7B7B" w:themeColor="accent3" w:themeShade="BF"/>
          <w:sz w:val="22"/>
          <w:szCs w:val="22"/>
          <w:lang w:val="en-GB"/>
        </w:rPr>
        <w:t>.</w:t>
      </w:r>
      <w:r w:rsidR="00C72848" w:rsidRPr="00205B31">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5376E7B" w14:textId="77777777" w:rsidR="002E4B25"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E4B25">
        <w:rPr>
          <w:rFonts w:ascii="Arial" w:hAnsi="Arial" w:cs="Arial"/>
          <w:color w:val="7B7B7B" w:themeColor="accent3" w:themeShade="BF"/>
          <w:sz w:val="22"/>
          <w:szCs w:val="22"/>
          <w:lang w:val="en-GB"/>
        </w:rPr>
        <w:t>The various possible different sources of insolvency laws in the United Kingdom are as follows;</w:t>
      </w:r>
    </w:p>
    <w:p w14:paraId="296AAAAA" w14:textId="2608BA3B" w:rsidR="002E4B25" w:rsidRPr="002E4B25" w:rsidRDefault="002E4B25" w:rsidP="002E4B2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The Insolvency Act of 1986</w:t>
      </w:r>
      <w:r w:rsidR="00011C3B">
        <w:rPr>
          <w:rFonts w:ascii="Arial" w:hAnsi="Arial" w:cs="Arial"/>
          <w:color w:val="7B7B7B" w:themeColor="accent3" w:themeShade="BF"/>
          <w:sz w:val="22"/>
          <w:szCs w:val="22"/>
          <w:lang w:val="en-GB"/>
        </w:rPr>
        <w:t xml:space="preserve"> “the Act”.</w:t>
      </w:r>
    </w:p>
    <w:p w14:paraId="3996E59E" w14:textId="139F9D9B" w:rsidR="00071E6B" w:rsidRPr="00147E11" w:rsidRDefault="002E4B25" w:rsidP="002E4B2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The Insolvency Rules 2016</w:t>
      </w:r>
      <w:r w:rsidR="00071E6B">
        <w:rPr>
          <w:rFonts w:ascii="Arial" w:hAnsi="Arial" w:cs="Arial"/>
          <w:color w:val="7B7B7B" w:themeColor="accent3" w:themeShade="BF"/>
          <w:sz w:val="22"/>
          <w:szCs w:val="22"/>
          <w:lang w:val="en-GB"/>
        </w:rPr>
        <w:t xml:space="preserve"> SI 2016/1024</w:t>
      </w:r>
      <w:r w:rsidR="00011C3B">
        <w:rPr>
          <w:rFonts w:ascii="Arial" w:hAnsi="Arial" w:cs="Arial"/>
          <w:color w:val="7B7B7B" w:themeColor="accent3" w:themeShade="BF"/>
          <w:sz w:val="22"/>
          <w:szCs w:val="22"/>
          <w:lang w:val="en-GB"/>
        </w:rPr>
        <w:t xml:space="preserve"> “the Rules”.</w:t>
      </w:r>
    </w:p>
    <w:p w14:paraId="6D6E1175" w14:textId="4DD4C763" w:rsidR="00147E11" w:rsidRPr="00071E6B" w:rsidRDefault="00147E11" w:rsidP="002E4B2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Corporate Insolvency and Governance Act, 2020</w:t>
      </w:r>
    </w:p>
    <w:p w14:paraId="75FA973D" w14:textId="77777777" w:rsidR="00071E6B" w:rsidRPr="00071E6B" w:rsidRDefault="00071E6B" w:rsidP="002E4B2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The UNCITRAL Model Law on Cross-Border Insolvency</w:t>
      </w:r>
    </w:p>
    <w:p w14:paraId="3F517E6D" w14:textId="77777777" w:rsidR="00147E11" w:rsidRPr="00147E11" w:rsidRDefault="00071E6B" w:rsidP="002E4B2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Common Law Principles</w:t>
      </w:r>
    </w:p>
    <w:p w14:paraId="7BE85EFC" w14:textId="4481A435" w:rsidR="00071E6B" w:rsidRPr="00071E6B" w:rsidRDefault="00147E11" w:rsidP="002E4B25">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Decided Cases</w:t>
      </w:r>
      <w:r w:rsidR="00071E6B">
        <w:rPr>
          <w:rFonts w:ascii="Arial" w:hAnsi="Arial" w:cs="Arial"/>
          <w:color w:val="7B7B7B" w:themeColor="accent3" w:themeShade="BF"/>
          <w:sz w:val="22"/>
          <w:szCs w:val="22"/>
          <w:lang w:val="en-GB"/>
        </w:rPr>
        <w:t>.</w:t>
      </w:r>
    </w:p>
    <w:p w14:paraId="7EF6D5F9" w14:textId="77777777" w:rsidR="00071E6B" w:rsidRDefault="00071E6B" w:rsidP="00071E6B">
      <w:pPr>
        <w:pStyle w:val="ListParagraph"/>
        <w:jc w:val="both"/>
        <w:rPr>
          <w:rFonts w:ascii="Arial" w:hAnsi="Arial" w:cs="Arial"/>
          <w:color w:val="7B7B7B" w:themeColor="accent3" w:themeShade="BF"/>
          <w:sz w:val="22"/>
          <w:szCs w:val="22"/>
          <w:lang w:val="en-GB"/>
        </w:rPr>
      </w:pPr>
    </w:p>
    <w:p w14:paraId="3D2DEF80" w14:textId="77777777" w:rsidR="00FB2086" w:rsidRDefault="00336E79" w:rsidP="0033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laws in United Kingdom has its major deep root </w:t>
      </w:r>
      <w:r w:rsidR="00241CD0">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in</w:t>
      </w:r>
      <w:r w:rsidR="00241CD0">
        <w:rPr>
          <w:rFonts w:ascii="Arial" w:hAnsi="Arial" w:cs="Arial"/>
          <w:color w:val="7B7B7B" w:themeColor="accent3" w:themeShade="BF"/>
          <w:sz w:val="22"/>
          <w:szCs w:val="22"/>
          <w:lang w:val="en-GB"/>
        </w:rPr>
        <w:t>ked to</w:t>
      </w:r>
      <w:r>
        <w:rPr>
          <w:rFonts w:ascii="Arial" w:hAnsi="Arial" w:cs="Arial"/>
          <w:color w:val="7B7B7B" w:themeColor="accent3" w:themeShade="BF"/>
          <w:sz w:val="22"/>
          <w:szCs w:val="22"/>
          <w:lang w:val="en-GB"/>
        </w:rPr>
        <w:t xml:space="preserve"> the Insolvency Act of 1986</w:t>
      </w:r>
      <w:r w:rsidR="00241CD0">
        <w:rPr>
          <w:rFonts w:ascii="Arial" w:hAnsi="Arial" w:cs="Arial"/>
          <w:color w:val="7B7B7B" w:themeColor="accent3" w:themeShade="BF"/>
          <w:sz w:val="22"/>
          <w:szCs w:val="22"/>
          <w:lang w:val="en-GB"/>
        </w:rPr>
        <w:t xml:space="preserve"> (UK)</w:t>
      </w:r>
      <w:r w:rsidR="00C71C6E">
        <w:rPr>
          <w:rFonts w:ascii="Arial" w:hAnsi="Arial" w:cs="Arial"/>
          <w:color w:val="7B7B7B" w:themeColor="accent3" w:themeShade="BF"/>
          <w:sz w:val="22"/>
          <w:szCs w:val="22"/>
          <w:lang w:val="en-GB"/>
        </w:rPr>
        <w:t xml:space="preserve"> and the Insolvency Rules 2016.</w:t>
      </w:r>
      <w:r w:rsidR="009D43F8">
        <w:rPr>
          <w:rFonts w:ascii="Arial" w:hAnsi="Arial" w:cs="Arial"/>
          <w:color w:val="7B7B7B" w:themeColor="accent3" w:themeShade="BF"/>
          <w:sz w:val="22"/>
          <w:szCs w:val="22"/>
          <w:lang w:val="en-GB"/>
        </w:rPr>
        <w:t xml:space="preserve"> </w:t>
      </w:r>
      <w:r w:rsidR="001B4535">
        <w:rPr>
          <w:rFonts w:ascii="Arial" w:hAnsi="Arial" w:cs="Arial"/>
          <w:color w:val="7B7B7B" w:themeColor="accent3" w:themeShade="BF"/>
          <w:sz w:val="22"/>
          <w:szCs w:val="22"/>
          <w:lang w:val="en-GB"/>
        </w:rPr>
        <w:t>Suffice to say that, t</w:t>
      </w:r>
      <w:r w:rsidR="009D43F8">
        <w:rPr>
          <w:rFonts w:ascii="Arial" w:hAnsi="Arial" w:cs="Arial"/>
          <w:color w:val="7B7B7B" w:themeColor="accent3" w:themeShade="BF"/>
          <w:sz w:val="22"/>
          <w:szCs w:val="22"/>
          <w:lang w:val="en-GB"/>
        </w:rPr>
        <w:t>he Act has undergon</w:t>
      </w:r>
      <w:r w:rsidR="00A31685">
        <w:rPr>
          <w:rFonts w:ascii="Arial" w:hAnsi="Arial" w:cs="Arial"/>
          <w:color w:val="7B7B7B" w:themeColor="accent3" w:themeShade="BF"/>
          <w:sz w:val="22"/>
          <w:szCs w:val="22"/>
          <w:lang w:val="en-GB"/>
        </w:rPr>
        <w:t>e several amendments</w:t>
      </w:r>
      <w:r w:rsidR="00B661E2">
        <w:rPr>
          <w:rFonts w:ascii="Arial" w:hAnsi="Arial" w:cs="Arial"/>
          <w:color w:val="7B7B7B" w:themeColor="accent3" w:themeShade="BF"/>
          <w:sz w:val="22"/>
          <w:szCs w:val="22"/>
          <w:lang w:val="en-GB"/>
        </w:rPr>
        <w:t xml:space="preserve"> since its </w:t>
      </w:r>
      <w:r w:rsidR="00E55015">
        <w:rPr>
          <w:rFonts w:ascii="Arial" w:hAnsi="Arial" w:cs="Arial"/>
          <w:color w:val="7B7B7B" w:themeColor="accent3" w:themeShade="BF"/>
          <w:sz w:val="22"/>
          <w:szCs w:val="22"/>
          <w:lang w:val="en-GB"/>
        </w:rPr>
        <w:t>enactment</w:t>
      </w:r>
      <w:r w:rsidR="00956653">
        <w:rPr>
          <w:rFonts w:ascii="Arial" w:hAnsi="Arial" w:cs="Arial"/>
          <w:color w:val="7B7B7B" w:themeColor="accent3" w:themeShade="BF"/>
          <w:sz w:val="22"/>
          <w:szCs w:val="22"/>
          <w:lang w:val="en-GB"/>
        </w:rPr>
        <w:t>.</w:t>
      </w:r>
      <w:r w:rsidR="008831CF">
        <w:rPr>
          <w:rFonts w:ascii="Arial" w:hAnsi="Arial" w:cs="Arial"/>
          <w:color w:val="7B7B7B" w:themeColor="accent3" w:themeShade="BF"/>
          <w:sz w:val="22"/>
          <w:szCs w:val="22"/>
          <w:lang w:val="en-GB"/>
        </w:rPr>
        <w:t xml:space="preserve"> The Act</w:t>
      </w:r>
      <w:r w:rsidR="004A5EF2">
        <w:rPr>
          <w:rFonts w:ascii="Arial" w:hAnsi="Arial" w:cs="Arial"/>
          <w:color w:val="7B7B7B" w:themeColor="accent3" w:themeShade="BF"/>
          <w:sz w:val="22"/>
          <w:szCs w:val="22"/>
          <w:lang w:val="en-GB"/>
        </w:rPr>
        <w:t xml:space="preserve"> which</w:t>
      </w:r>
      <w:r w:rsidR="008831CF">
        <w:rPr>
          <w:rFonts w:ascii="Arial" w:hAnsi="Arial" w:cs="Arial"/>
          <w:color w:val="7B7B7B" w:themeColor="accent3" w:themeShade="BF"/>
          <w:sz w:val="22"/>
          <w:szCs w:val="22"/>
          <w:lang w:val="en-GB"/>
        </w:rPr>
        <w:t xml:space="preserve"> contains additional parts and schedules sometimes,</w:t>
      </w:r>
      <w:r w:rsidR="004A5EF2">
        <w:rPr>
          <w:rFonts w:ascii="Arial" w:hAnsi="Arial" w:cs="Arial"/>
          <w:color w:val="7B7B7B" w:themeColor="accent3" w:themeShade="BF"/>
          <w:sz w:val="22"/>
          <w:szCs w:val="22"/>
          <w:lang w:val="en-GB"/>
        </w:rPr>
        <w:t xml:space="preserve"> </w:t>
      </w:r>
      <w:r w:rsidR="008831CF">
        <w:rPr>
          <w:rFonts w:ascii="Arial" w:hAnsi="Arial" w:cs="Arial"/>
          <w:color w:val="7B7B7B" w:themeColor="accent3" w:themeShade="BF"/>
          <w:sz w:val="22"/>
          <w:szCs w:val="22"/>
          <w:lang w:val="en-GB"/>
        </w:rPr>
        <w:t>is said to be a statute with</w:t>
      </w:r>
      <w:r w:rsidR="00253507">
        <w:rPr>
          <w:rFonts w:ascii="Arial" w:hAnsi="Arial" w:cs="Arial"/>
          <w:color w:val="7B7B7B" w:themeColor="accent3" w:themeShade="BF"/>
          <w:sz w:val="22"/>
          <w:szCs w:val="22"/>
          <w:lang w:val="en-GB"/>
        </w:rPr>
        <w:t xml:space="preserve"> </w:t>
      </w:r>
      <w:r w:rsidR="008831CF">
        <w:rPr>
          <w:rFonts w:ascii="Arial" w:hAnsi="Arial" w:cs="Arial"/>
          <w:color w:val="7B7B7B" w:themeColor="accent3" w:themeShade="BF"/>
          <w:sz w:val="22"/>
          <w:szCs w:val="22"/>
          <w:lang w:val="en-GB"/>
        </w:rPr>
        <w:t>difficult</w:t>
      </w:r>
      <w:r w:rsidR="00253507">
        <w:rPr>
          <w:rFonts w:ascii="Arial" w:hAnsi="Arial" w:cs="Arial"/>
          <w:color w:val="7B7B7B" w:themeColor="accent3" w:themeShade="BF"/>
          <w:sz w:val="22"/>
          <w:szCs w:val="22"/>
          <w:lang w:val="en-GB"/>
        </w:rPr>
        <w:t>y</w:t>
      </w:r>
      <w:r w:rsidR="008831CF">
        <w:rPr>
          <w:rFonts w:ascii="Arial" w:hAnsi="Arial" w:cs="Arial"/>
          <w:color w:val="7B7B7B" w:themeColor="accent3" w:themeShade="BF"/>
          <w:sz w:val="22"/>
          <w:szCs w:val="22"/>
          <w:lang w:val="en-GB"/>
        </w:rPr>
        <w:t xml:space="preserve"> in sailing through</w:t>
      </w:r>
      <w:r w:rsidR="00F97309">
        <w:rPr>
          <w:rFonts w:ascii="Arial" w:hAnsi="Arial" w:cs="Arial"/>
          <w:color w:val="7B7B7B" w:themeColor="accent3" w:themeShade="BF"/>
          <w:sz w:val="22"/>
          <w:szCs w:val="22"/>
          <w:lang w:val="en-GB"/>
        </w:rPr>
        <w:t>.</w:t>
      </w:r>
      <w:r w:rsidR="00A419EC">
        <w:rPr>
          <w:rFonts w:ascii="Arial" w:hAnsi="Arial" w:cs="Arial"/>
          <w:color w:val="7B7B7B" w:themeColor="accent3" w:themeShade="BF"/>
          <w:sz w:val="22"/>
          <w:szCs w:val="22"/>
          <w:lang w:val="en-GB"/>
        </w:rPr>
        <w:t xml:space="preserve"> The UK Insolvency Act, 1986 has also been said to</w:t>
      </w:r>
      <w:r w:rsidR="0045650B">
        <w:rPr>
          <w:rFonts w:ascii="Arial" w:hAnsi="Arial" w:cs="Arial"/>
          <w:color w:val="7B7B7B" w:themeColor="accent3" w:themeShade="BF"/>
          <w:sz w:val="22"/>
          <w:szCs w:val="22"/>
          <w:lang w:val="en-GB"/>
        </w:rPr>
        <w:t xml:space="preserve"> be</w:t>
      </w:r>
      <w:r w:rsidR="00A419EC">
        <w:rPr>
          <w:rFonts w:ascii="Arial" w:hAnsi="Arial" w:cs="Arial"/>
          <w:color w:val="7B7B7B" w:themeColor="accent3" w:themeShade="BF"/>
          <w:sz w:val="22"/>
          <w:szCs w:val="22"/>
          <w:lang w:val="en-GB"/>
        </w:rPr>
        <w:t xml:space="preserve"> an example of a unified Insolvency legislation</w:t>
      </w:r>
      <w:r w:rsidR="0045650B">
        <w:rPr>
          <w:rFonts w:ascii="Arial" w:hAnsi="Arial" w:cs="Arial"/>
          <w:color w:val="7B7B7B" w:themeColor="accent3" w:themeShade="BF"/>
          <w:sz w:val="22"/>
          <w:szCs w:val="22"/>
          <w:lang w:val="en-GB"/>
        </w:rPr>
        <w:t xml:space="preserve"> in that it deals with consumer (personal) and corporate bankruptcy in one and the same Act</w:t>
      </w:r>
      <w:r w:rsidR="00B118C4">
        <w:rPr>
          <w:rStyle w:val="FootnoteReference"/>
          <w:rFonts w:ascii="Arial" w:hAnsi="Arial" w:cs="Arial"/>
          <w:color w:val="7B7B7B" w:themeColor="accent3" w:themeShade="BF"/>
          <w:sz w:val="22"/>
          <w:szCs w:val="22"/>
          <w:lang w:val="en-GB"/>
        </w:rPr>
        <w:footnoteReference w:id="11"/>
      </w:r>
      <w:r w:rsidR="00B118C4">
        <w:rPr>
          <w:rFonts w:ascii="Arial" w:hAnsi="Arial" w:cs="Arial"/>
          <w:color w:val="7B7B7B" w:themeColor="accent3" w:themeShade="BF"/>
          <w:sz w:val="22"/>
          <w:szCs w:val="22"/>
          <w:lang w:val="en-GB"/>
        </w:rPr>
        <w:t>.</w:t>
      </w:r>
      <w:r w:rsidR="00AE5AE5">
        <w:rPr>
          <w:rFonts w:ascii="Arial" w:hAnsi="Arial" w:cs="Arial"/>
          <w:color w:val="7B7B7B" w:themeColor="accent3" w:themeShade="BF"/>
          <w:sz w:val="22"/>
          <w:szCs w:val="22"/>
          <w:lang w:val="en-GB"/>
        </w:rPr>
        <w:t xml:space="preserve"> Recent amendment to the Act has brought about an Insolvency Act 2000 and the Enterprise Act, 2002. Also introduced in 2009 was the Debt Relief Order for individuals.</w:t>
      </w:r>
      <w:r w:rsidR="00122941">
        <w:rPr>
          <w:rFonts w:ascii="Arial" w:hAnsi="Arial" w:cs="Arial"/>
          <w:color w:val="7B7B7B" w:themeColor="accent3" w:themeShade="BF"/>
          <w:sz w:val="22"/>
          <w:szCs w:val="22"/>
          <w:lang w:val="en-GB"/>
        </w:rPr>
        <w:t xml:space="preserve"> There is also a further amendment now allowing online application for bankruptcy relief introduced in 2016.</w:t>
      </w:r>
    </w:p>
    <w:p w14:paraId="7BD4DA3D" w14:textId="77777777" w:rsidR="00FB2086" w:rsidRDefault="00FB2086" w:rsidP="00336E79">
      <w:pPr>
        <w:jc w:val="both"/>
        <w:rPr>
          <w:rFonts w:ascii="Arial" w:hAnsi="Arial" w:cs="Arial"/>
          <w:color w:val="7B7B7B" w:themeColor="accent3" w:themeShade="BF"/>
          <w:sz w:val="22"/>
          <w:szCs w:val="22"/>
          <w:lang w:val="en-GB"/>
        </w:rPr>
      </w:pPr>
    </w:p>
    <w:p w14:paraId="51AA991B" w14:textId="52F59F73" w:rsidR="00064119" w:rsidRDefault="00FB2086" w:rsidP="0033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Rules 2016</w:t>
      </w:r>
      <w:r w:rsidR="00D93661">
        <w:rPr>
          <w:rFonts w:ascii="Arial" w:hAnsi="Arial" w:cs="Arial"/>
          <w:color w:val="7B7B7B" w:themeColor="accent3" w:themeShade="BF"/>
          <w:sz w:val="22"/>
          <w:szCs w:val="22"/>
          <w:lang w:val="en-GB"/>
        </w:rPr>
        <w:t xml:space="preserve"> which</w:t>
      </w:r>
      <w:r>
        <w:rPr>
          <w:rFonts w:ascii="Arial" w:hAnsi="Arial" w:cs="Arial"/>
          <w:color w:val="7B7B7B" w:themeColor="accent3" w:themeShade="BF"/>
          <w:sz w:val="22"/>
          <w:szCs w:val="22"/>
          <w:lang w:val="en-GB"/>
        </w:rPr>
        <w:t xml:space="preserve"> revoked and replaced the 1986 Insolvency Rules was the original rules enacted with the Act. The Rules made provisions for the practice and procedure on the application and functionality of the Act.</w:t>
      </w:r>
      <w:r w:rsidR="005264E3">
        <w:rPr>
          <w:rFonts w:ascii="Arial" w:hAnsi="Arial" w:cs="Arial"/>
          <w:color w:val="7B7B7B" w:themeColor="accent3" w:themeShade="BF"/>
          <w:sz w:val="22"/>
          <w:szCs w:val="22"/>
          <w:lang w:val="en-GB"/>
        </w:rPr>
        <w:t xml:space="preserve"> For instance, the Rules contains details of what should constitute a proper notice to creditors, how decision by companies and creditors are to be made and how the proceeds of insolvent debtor’s assets are to be distributed to creditors</w:t>
      </w:r>
      <w:r w:rsidR="004E48E9">
        <w:rPr>
          <w:rStyle w:val="FootnoteReference"/>
          <w:rFonts w:ascii="Arial" w:hAnsi="Arial" w:cs="Arial"/>
          <w:color w:val="7B7B7B" w:themeColor="accent3" w:themeShade="BF"/>
          <w:sz w:val="22"/>
          <w:szCs w:val="22"/>
          <w:lang w:val="en-GB"/>
        </w:rPr>
        <w:footnoteReference w:id="12"/>
      </w:r>
      <w:r w:rsidR="005264E3">
        <w:rPr>
          <w:rFonts w:ascii="Arial" w:hAnsi="Arial" w:cs="Arial"/>
          <w:color w:val="7B7B7B" w:themeColor="accent3" w:themeShade="BF"/>
          <w:sz w:val="22"/>
          <w:szCs w:val="22"/>
          <w:lang w:val="en-GB"/>
        </w:rPr>
        <w:t>.</w:t>
      </w:r>
      <w:r w:rsidR="00DD19D0">
        <w:rPr>
          <w:rFonts w:ascii="Arial" w:hAnsi="Arial" w:cs="Arial"/>
          <w:color w:val="7B7B7B" w:themeColor="accent3" w:themeShade="BF"/>
          <w:sz w:val="22"/>
          <w:szCs w:val="22"/>
          <w:lang w:val="en-GB"/>
        </w:rPr>
        <w:t xml:space="preserve"> </w:t>
      </w:r>
      <w:r w:rsidR="009347C4">
        <w:rPr>
          <w:rFonts w:ascii="Arial" w:hAnsi="Arial" w:cs="Arial"/>
          <w:color w:val="7B7B7B" w:themeColor="accent3" w:themeShade="BF"/>
          <w:sz w:val="22"/>
          <w:szCs w:val="22"/>
          <w:lang w:val="en-GB"/>
        </w:rPr>
        <w:t>Procedure to obtain deemed consent of creditors under the Act and other decisions procedures are also provided in the Rules</w:t>
      </w:r>
      <w:r w:rsidR="007E3FB2">
        <w:rPr>
          <w:rStyle w:val="FootnoteReference"/>
          <w:rFonts w:ascii="Arial" w:hAnsi="Arial" w:cs="Arial"/>
          <w:color w:val="7B7B7B" w:themeColor="accent3" w:themeShade="BF"/>
          <w:sz w:val="22"/>
          <w:szCs w:val="22"/>
          <w:lang w:val="en-GB"/>
        </w:rPr>
        <w:footnoteReference w:id="13"/>
      </w:r>
      <w:r w:rsidR="009347C4">
        <w:rPr>
          <w:rFonts w:ascii="Arial" w:hAnsi="Arial" w:cs="Arial"/>
          <w:color w:val="7B7B7B" w:themeColor="accent3" w:themeShade="BF"/>
          <w:sz w:val="22"/>
          <w:szCs w:val="22"/>
          <w:lang w:val="en-GB"/>
        </w:rPr>
        <w:t>.</w:t>
      </w:r>
    </w:p>
    <w:p w14:paraId="2B985F31" w14:textId="77777777" w:rsidR="00064119" w:rsidRDefault="00064119" w:rsidP="00336E79">
      <w:pPr>
        <w:jc w:val="both"/>
        <w:rPr>
          <w:rFonts w:ascii="Arial" w:hAnsi="Arial" w:cs="Arial"/>
          <w:color w:val="7B7B7B" w:themeColor="accent3" w:themeShade="BF"/>
          <w:sz w:val="22"/>
          <w:szCs w:val="22"/>
          <w:lang w:val="en-GB"/>
        </w:rPr>
      </w:pPr>
    </w:p>
    <w:p w14:paraId="417BCE6B" w14:textId="3F2FFF8F" w:rsidR="000A7E09" w:rsidRDefault="00064119" w:rsidP="0033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source of Insolvency Law in the United Kingdom is the recently introduced Corporate Insolvency and Governance Act, 2020 to mitigate the effect of the COVID 19 pandemic on </w:t>
      </w:r>
      <w:r>
        <w:rPr>
          <w:rFonts w:ascii="Arial" w:hAnsi="Arial" w:cs="Arial"/>
          <w:color w:val="7B7B7B" w:themeColor="accent3" w:themeShade="BF"/>
          <w:sz w:val="22"/>
          <w:szCs w:val="22"/>
          <w:lang w:val="en-GB"/>
        </w:rPr>
        <w:lastRenderedPageBreak/>
        <w:t>businesses in the UK.</w:t>
      </w:r>
      <w:r w:rsidR="0053373B">
        <w:rPr>
          <w:rFonts w:ascii="Arial" w:hAnsi="Arial" w:cs="Arial"/>
          <w:color w:val="7B7B7B" w:themeColor="accent3" w:themeShade="BF"/>
          <w:sz w:val="22"/>
          <w:szCs w:val="22"/>
          <w:lang w:val="en-GB"/>
        </w:rPr>
        <w:t xml:space="preserve"> The new Act</w:t>
      </w:r>
      <w:r w:rsidR="00D93661">
        <w:rPr>
          <w:rFonts w:ascii="Arial" w:hAnsi="Arial" w:cs="Arial"/>
          <w:color w:val="7B7B7B" w:themeColor="accent3" w:themeShade="BF"/>
          <w:sz w:val="22"/>
          <w:szCs w:val="22"/>
          <w:lang w:val="en-GB"/>
        </w:rPr>
        <w:t xml:space="preserve"> assented to on 25 June 2020</w:t>
      </w:r>
      <w:r w:rsidR="0053373B">
        <w:rPr>
          <w:rFonts w:ascii="Arial" w:hAnsi="Arial" w:cs="Arial"/>
          <w:color w:val="7B7B7B" w:themeColor="accent3" w:themeShade="BF"/>
          <w:sz w:val="22"/>
          <w:szCs w:val="22"/>
          <w:lang w:val="en-GB"/>
        </w:rPr>
        <w:t xml:space="preserve"> introduced a number of</w:t>
      </w:r>
      <w:r w:rsidR="00D93661">
        <w:rPr>
          <w:rFonts w:ascii="Arial" w:hAnsi="Arial" w:cs="Arial"/>
          <w:color w:val="7B7B7B" w:themeColor="accent3" w:themeShade="BF"/>
          <w:sz w:val="22"/>
          <w:szCs w:val="22"/>
          <w:lang w:val="en-GB"/>
        </w:rPr>
        <w:t xml:space="preserve"> permanent and temporary measures as</w:t>
      </w:r>
      <w:r w:rsidR="0053373B">
        <w:rPr>
          <w:rFonts w:ascii="Arial" w:hAnsi="Arial" w:cs="Arial"/>
          <w:color w:val="7B7B7B" w:themeColor="accent3" w:themeShade="BF"/>
          <w:sz w:val="22"/>
          <w:szCs w:val="22"/>
          <w:lang w:val="en-GB"/>
        </w:rPr>
        <w:t xml:space="preserve"> reforms which include a new restructuring plan, new moratorium rules, the relaxation of wrongful trading liability and the suspension of winding up petitions and statutory demands</w:t>
      </w:r>
      <w:r w:rsidR="00D93661">
        <w:rPr>
          <w:rFonts w:ascii="Arial" w:hAnsi="Arial" w:cs="Arial"/>
          <w:color w:val="7B7B7B" w:themeColor="accent3" w:themeShade="BF"/>
          <w:sz w:val="22"/>
          <w:szCs w:val="22"/>
          <w:lang w:val="en-GB"/>
        </w:rPr>
        <w:t>, etc.</w:t>
      </w:r>
    </w:p>
    <w:p w14:paraId="43D2D4E4" w14:textId="77777777" w:rsidR="000A7E09" w:rsidRDefault="000A7E09" w:rsidP="00336E79">
      <w:pPr>
        <w:jc w:val="both"/>
        <w:rPr>
          <w:rFonts w:ascii="Arial" w:hAnsi="Arial" w:cs="Arial"/>
          <w:color w:val="7B7B7B" w:themeColor="accent3" w:themeShade="BF"/>
          <w:sz w:val="22"/>
          <w:szCs w:val="22"/>
          <w:lang w:val="en-GB"/>
        </w:rPr>
      </w:pPr>
    </w:p>
    <w:p w14:paraId="03E7A42A" w14:textId="174EF8A7" w:rsidR="0061422D" w:rsidRDefault="000A7E09" w:rsidP="0033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United Kingdom has also adopted</w:t>
      </w:r>
      <w:r w:rsidR="00C859AA">
        <w:rPr>
          <w:rFonts w:ascii="Arial" w:hAnsi="Arial" w:cs="Arial"/>
          <w:color w:val="7B7B7B" w:themeColor="accent3" w:themeShade="BF"/>
          <w:sz w:val="22"/>
          <w:szCs w:val="22"/>
          <w:lang w:val="en-GB"/>
        </w:rPr>
        <w:t xml:space="preserve"> as part of its Cross-Border Insolvency Rules, the UNCITRAL Model Law on Cross-Border Insolvency in 2006</w:t>
      </w:r>
      <w:r w:rsidR="00855D0A">
        <w:rPr>
          <w:rFonts w:ascii="Arial" w:hAnsi="Arial" w:cs="Arial"/>
          <w:color w:val="7B7B7B" w:themeColor="accent3" w:themeShade="BF"/>
          <w:sz w:val="22"/>
          <w:szCs w:val="22"/>
          <w:lang w:val="en-GB"/>
        </w:rPr>
        <w:t>. Section 426 of the Insolvency Act is still applicable to “relevant” listed Countries.</w:t>
      </w:r>
      <w:r w:rsidR="009D5E6D">
        <w:rPr>
          <w:rFonts w:ascii="Arial" w:hAnsi="Arial" w:cs="Arial"/>
          <w:color w:val="7B7B7B" w:themeColor="accent3" w:themeShade="BF"/>
          <w:sz w:val="22"/>
          <w:szCs w:val="22"/>
          <w:lang w:val="en-GB"/>
        </w:rPr>
        <w:t xml:space="preserve"> </w:t>
      </w:r>
    </w:p>
    <w:p w14:paraId="4BA5EF5E" w14:textId="37DCB4AD" w:rsidR="00433B8F" w:rsidRDefault="00433B8F" w:rsidP="00336E79">
      <w:pPr>
        <w:jc w:val="both"/>
        <w:rPr>
          <w:rFonts w:ascii="Arial" w:hAnsi="Arial" w:cs="Arial"/>
          <w:color w:val="7B7B7B" w:themeColor="accent3" w:themeShade="BF"/>
          <w:sz w:val="22"/>
          <w:szCs w:val="22"/>
          <w:lang w:val="en-GB"/>
        </w:rPr>
      </w:pPr>
    </w:p>
    <w:p w14:paraId="0C52352A" w14:textId="77777777" w:rsidR="00874CC5" w:rsidRDefault="00433B8F" w:rsidP="0033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Brexit, the European Union Insolvency Regulation 2016 was also a relevant source of Insolvency law in the United Kingdom. The EU Insolvency Regulation was applicable to European Union member states which the United Kingdom was a member.</w:t>
      </w:r>
      <w:r w:rsidR="002A6489">
        <w:rPr>
          <w:rFonts w:ascii="Arial" w:hAnsi="Arial" w:cs="Arial"/>
          <w:color w:val="7B7B7B" w:themeColor="accent3" w:themeShade="BF"/>
          <w:sz w:val="22"/>
          <w:szCs w:val="22"/>
          <w:lang w:val="en-GB"/>
        </w:rPr>
        <w:t xml:space="preserve"> But as at </w:t>
      </w:r>
      <w:r w:rsidR="00B06559">
        <w:rPr>
          <w:rFonts w:ascii="Arial" w:hAnsi="Arial" w:cs="Arial"/>
          <w:color w:val="7B7B7B" w:themeColor="accent3" w:themeShade="BF"/>
          <w:sz w:val="22"/>
          <w:szCs w:val="22"/>
          <w:lang w:val="en-GB"/>
        </w:rPr>
        <w:t>11 pm on 31 January 2020</w:t>
      </w:r>
      <w:r w:rsidR="00FC2B02">
        <w:rPr>
          <w:rFonts w:ascii="Arial" w:hAnsi="Arial" w:cs="Arial"/>
          <w:color w:val="7B7B7B" w:themeColor="accent3" w:themeShade="BF"/>
          <w:sz w:val="22"/>
          <w:szCs w:val="22"/>
          <w:lang w:val="en-GB"/>
        </w:rPr>
        <w:t>, the UK ceased to be a member of the European Union</w:t>
      </w:r>
      <w:r w:rsidR="008C4717">
        <w:rPr>
          <w:rStyle w:val="FootnoteReference"/>
          <w:rFonts w:ascii="Arial" w:hAnsi="Arial" w:cs="Arial"/>
          <w:color w:val="7B7B7B" w:themeColor="accent3" w:themeShade="BF"/>
          <w:sz w:val="22"/>
          <w:szCs w:val="22"/>
          <w:lang w:val="en-GB"/>
        </w:rPr>
        <w:footnoteReference w:id="14"/>
      </w:r>
      <w:r w:rsidR="00FC2B02">
        <w:rPr>
          <w:rFonts w:ascii="Arial" w:hAnsi="Arial" w:cs="Arial"/>
          <w:color w:val="7B7B7B" w:themeColor="accent3" w:themeShade="BF"/>
          <w:sz w:val="22"/>
          <w:szCs w:val="22"/>
          <w:lang w:val="en-GB"/>
        </w:rPr>
        <w:t>.</w:t>
      </w:r>
    </w:p>
    <w:p w14:paraId="2D194DD4" w14:textId="77777777" w:rsidR="00874CC5" w:rsidRDefault="00874CC5" w:rsidP="00336E79">
      <w:pPr>
        <w:jc w:val="both"/>
        <w:rPr>
          <w:rFonts w:ascii="Arial" w:hAnsi="Arial" w:cs="Arial"/>
          <w:color w:val="7B7B7B" w:themeColor="accent3" w:themeShade="BF"/>
          <w:sz w:val="22"/>
          <w:szCs w:val="22"/>
          <w:lang w:val="en-GB"/>
        </w:rPr>
      </w:pPr>
    </w:p>
    <w:p w14:paraId="63CEBBF1" w14:textId="2B7DD126" w:rsidR="00DE2DDC" w:rsidRDefault="00874CC5" w:rsidP="0033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United Kingdom also have the common law principles as a relevant source of insolvency law</w:t>
      </w:r>
      <w:r w:rsidR="00DD7350">
        <w:rPr>
          <w:rFonts w:ascii="Arial" w:hAnsi="Arial" w:cs="Arial"/>
          <w:color w:val="7B7B7B" w:themeColor="accent3" w:themeShade="BF"/>
          <w:sz w:val="22"/>
          <w:szCs w:val="22"/>
          <w:lang w:val="en-GB"/>
        </w:rPr>
        <w:t xml:space="preserve"> where there are no specific legislations</w:t>
      </w:r>
      <w:r>
        <w:rPr>
          <w:rFonts w:ascii="Arial" w:hAnsi="Arial" w:cs="Arial"/>
          <w:color w:val="7B7B7B" w:themeColor="accent3" w:themeShade="BF"/>
          <w:sz w:val="22"/>
          <w:szCs w:val="22"/>
          <w:lang w:val="en-GB"/>
        </w:rPr>
        <w:t>.</w:t>
      </w:r>
      <w:r w:rsidR="00766CA8">
        <w:rPr>
          <w:rFonts w:ascii="Arial" w:hAnsi="Arial" w:cs="Arial"/>
          <w:color w:val="7B7B7B" w:themeColor="accent3" w:themeShade="BF"/>
          <w:sz w:val="22"/>
          <w:szCs w:val="22"/>
          <w:lang w:val="en-GB"/>
        </w:rPr>
        <w:t xml:space="preserve"> For instance, under the common law system, such as England, choice of law issues can arise where parties decide to invoke them.</w:t>
      </w:r>
    </w:p>
    <w:p w14:paraId="4522C2A7" w14:textId="77777777" w:rsidR="00DE2DDC" w:rsidRDefault="00DE2DDC" w:rsidP="00336E79">
      <w:pPr>
        <w:jc w:val="both"/>
        <w:rPr>
          <w:rFonts w:ascii="Arial" w:hAnsi="Arial" w:cs="Arial"/>
          <w:color w:val="7B7B7B" w:themeColor="accent3" w:themeShade="BF"/>
          <w:sz w:val="22"/>
          <w:szCs w:val="22"/>
          <w:lang w:val="en-GB"/>
        </w:rPr>
      </w:pPr>
    </w:p>
    <w:p w14:paraId="4024A332" w14:textId="59D13E70" w:rsidR="00544127" w:rsidRPr="00FD3CE9" w:rsidRDefault="00DE2DDC" w:rsidP="00336E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decided cases can also be said to be relevant source of insolvency law in the United Kingdom</w:t>
      </w:r>
      <w:r w:rsidR="004466A8">
        <w:rPr>
          <w:rFonts w:ascii="Arial" w:hAnsi="Arial" w:cs="Arial"/>
          <w:color w:val="7B7B7B" w:themeColor="accent3" w:themeShade="BF"/>
          <w:sz w:val="22"/>
          <w:szCs w:val="22"/>
          <w:lang w:val="en-GB"/>
        </w:rPr>
        <w:t xml:space="preserve"> applicable where the laws are vague and do not make adequate provisions for the particular circumstance</w:t>
      </w:r>
      <w:r>
        <w:rPr>
          <w:rFonts w:ascii="Arial" w:hAnsi="Arial" w:cs="Arial"/>
          <w:color w:val="7B7B7B" w:themeColor="accent3" w:themeShade="BF"/>
          <w:sz w:val="22"/>
          <w:szCs w:val="22"/>
          <w:lang w:val="en-GB"/>
        </w:rPr>
        <w:t>.</w:t>
      </w:r>
      <w:r w:rsidR="00377B55">
        <w:rPr>
          <w:rFonts w:ascii="Arial" w:hAnsi="Arial" w:cs="Arial"/>
          <w:color w:val="7B7B7B" w:themeColor="accent3" w:themeShade="BF"/>
          <w:sz w:val="22"/>
          <w:szCs w:val="22"/>
          <w:lang w:val="en-GB"/>
        </w:rPr>
        <w:t xml:space="preserve"> This can be found in the </w:t>
      </w:r>
      <w:r w:rsidR="00842C5F">
        <w:rPr>
          <w:rFonts w:ascii="Arial" w:hAnsi="Arial" w:cs="Arial"/>
          <w:color w:val="7B7B7B" w:themeColor="accent3" w:themeShade="BF"/>
          <w:sz w:val="22"/>
          <w:szCs w:val="22"/>
          <w:lang w:val="en-GB"/>
        </w:rPr>
        <w:t xml:space="preserve">effect of the decision of the Supreme Court in 2012 in the case of </w:t>
      </w:r>
      <w:r w:rsidR="00842C5F" w:rsidRPr="00842C5F">
        <w:rPr>
          <w:rFonts w:ascii="Arial" w:hAnsi="Arial" w:cs="Arial"/>
          <w:i/>
          <w:iCs/>
          <w:color w:val="7B7B7B" w:themeColor="accent3" w:themeShade="BF"/>
          <w:sz w:val="22"/>
          <w:szCs w:val="22"/>
          <w:lang w:val="en-GB"/>
        </w:rPr>
        <w:t>Rubin v. Eurofinance SA; New Cap Reinsurance Corp. (in liq) v Grant</w:t>
      </w:r>
      <w:r w:rsidR="00433B8F">
        <w:rPr>
          <w:rFonts w:ascii="Arial" w:hAnsi="Arial" w:cs="Arial"/>
          <w:color w:val="7B7B7B" w:themeColor="accent3" w:themeShade="BF"/>
          <w:sz w:val="22"/>
          <w:szCs w:val="22"/>
          <w:lang w:val="en-GB"/>
        </w:rPr>
        <w:t xml:space="preserve"> </w:t>
      </w:r>
      <w:r w:rsidR="00842C5F">
        <w:rPr>
          <w:rStyle w:val="FootnoteReference"/>
          <w:rFonts w:ascii="Arial" w:hAnsi="Arial" w:cs="Arial"/>
          <w:color w:val="7B7B7B" w:themeColor="accent3" w:themeShade="BF"/>
          <w:sz w:val="22"/>
          <w:szCs w:val="22"/>
          <w:lang w:val="en-GB"/>
        </w:rPr>
        <w:footnoteReference w:id="15"/>
      </w:r>
      <w:r w:rsidR="00433B8F">
        <w:rPr>
          <w:rFonts w:ascii="Arial" w:hAnsi="Arial" w:cs="Arial"/>
          <w:color w:val="7B7B7B" w:themeColor="accent3" w:themeShade="BF"/>
          <w:sz w:val="22"/>
          <w:szCs w:val="22"/>
          <w:lang w:val="en-GB"/>
        </w:rPr>
        <w:t xml:space="preserve"> </w:t>
      </w:r>
      <w:r w:rsidR="00842C5F">
        <w:rPr>
          <w:rFonts w:ascii="Arial" w:hAnsi="Arial" w:cs="Arial"/>
          <w:color w:val="7B7B7B" w:themeColor="accent3" w:themeShade="BF"/>
          <w:sz w:val="22"/>
          <w:szCs w:val="22"/>
          <w:lang w:val="en-GB"/>
        </w:rPr>
        <w:t>where the Court considered the question of recognition and enforcement</w:t>
      </w:r>
      <w:r w:rsidR="006543F2">
        <w:rPr>
          <w:rFonts w:ascii="Arial" w:hAnsi="Arial" w:cs="Arial"/>
          <w:color w:val="7B7B7B" w:themeColor="accent3" w:themeShade="BF"/>
          <w:sz w:val="22"/>
          <w:szCs w:val="22"/>
          <w:lang w:val="en-GB"/>
        </w:rPr>
        <w:t xml:space="preserve"> of</w:t>
      </w:r>
      <w:r w:rsidR="00842C5F">
        <w:rPr>
          <w:rFonts w:ascii="Arial" w:hAnsi="Arial" w:cs="Arial"/>
          <w:color w:val="7B7B7B" w:themeColor="accent3" w:themeShade="BF"/>
          <w:sz w:val="22"/>
          <w:szCs w:val="22"/>
          <w:lang w:val="en-GB"/>
        </w:rPr>
        <w:t xml:space="preserve"> judgments concerning avoidance provisions and declined to accept that there was a </w:t>
      </w:r>
      <w:r w:rsidR="00842C5F" w:rsidRPr="00A42DD3">
        <w:rPr>
          <w:rFonts w:ascii="Arial" w:hAnsi="Arial" w:cs="Arial"/>
          <w:i/>
          <w:iCs/>
          <w:color w:val="7B7B7B" w:themeColor="accent3" w:themeShade="BF"/>
          <w:sz w:val="22"/>
          <w:szCs w:val="22"/>
          <w:lang w:val="en-GB"/>
        </w:rPr>
        <w:t>sui generis</w:t>
      </w:r>
      <w:r w:rsidR="00842C5F">
        <w:rPr>
          <w:rFonts w:ascii="Arial" w:hAnsi="Arial" w:cs="Arial"/>
          <w:color w:val="7B7B7B" w:themeColor="accent3" w:themeShade="BF"/>
          <w:sz w:val="22"/>
          <w:szCs w:val="22"/>
          <w:lang w:val="en-GB"/>
        </w:rPr>
        <w:t xml:space="preserve"> (unique) category of insolvency orders and judgments subject to special rules</w:t>
      </w:r>
      <w:r w:rsidR="00A17789">
        <w:rPr>
          <w:rStyle w:val="FootnoteReference"/>
          <w:rFonts w:ascii="Arial" w:hAnsi="Arial" w:cs="Arial"/>
          <w:color w:val="7B7B7B" w:themeColor="accent3" w:themeShade="BF"/>
          <w:sz w:val="22"/>
          <w:szCs w:val="22"/>
          <w:lang w:val="en-GB"/>
        </w:rPr>
        <w:footnoteReference w:id="16"/>
      </w:r>
      <w:r w:rsidR="001E2C87">
        <w:rPr>
          <w:rFonts w:ascii="Arial" w:hAnsi="Arial" w:cs="Arial"/>
          <w:color w:val="7B7B7B" w:themeColor="accent3" w:themeShade="BF"/>
          <w:sz w:val="22"/>
          <w:szCs w:val="22"/>
          <w:lang w:val="en-GB"/>
        </w:rPr>
        <w:t>.</w:t>
      </w:r>
      <w:r w:rsidR="00DF75F8" w:rsidRPr="00336E79">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5B982428" w14:textId="77777777" w:rsidR="009121A9"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9121A9">
        <w:rPr>
          <w:rFonts w:ascii="Arial" w:hAnsi="Arial" w:cs="Arial"/>
          <w:color w:val="7B7B7B" w:themeColor="accent3" w:themeShade="BF"/>
          <w:sz w:val="22"/>
          <w:szCs w:val="22"/>
          <w:lang w:val="en-GB"/>
        </w:rPr>
        <w:t xml:space="preserve"> In an attempt to bring the “cross-Border” aspect and the “insolvency” aspects together in the difficulties that arises in a cross-border insolvency, Fletcher asked three very pertinent questions. These questions are;</w:t>
      </w:r>
    </w:p>
    <w:p w14:paraId="0AC97740" w14:textId="77777777" w:rsidR="009121A9" w:rsidRPr="009121A9" w:rsidRDefault="009121A9" w:rsidP="009121A9">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In which jurisdiction may insolvency proceedings be opened;</w:t>
      </w:r>
    </w:p>
    <w:p w14:paraId="31D22C24" w14:textId="77777777" w:rsidR="009121A9" w:rsidRPr="009121A9" w:rsidRDefault="009121A9" w:rsidP="009121A9">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5F47255C" w14:textId="77777777" w:rsidR="00720DD3" w:rsidRPr="00720DD3" w:rsidRDefault="009121A9" w:rsidP="009121A9">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r w:rsidR="00720DD3">
        <w:rPr>
          <w:rFonts w:ascii="Arial" w:hAnsi="Arial" w:cs="Arial"/>
          <w:color w:val="7B7B7B" w:themeColor="accent3" w:themeShade="BF"/>
          <w:sz w:val="22"/>
          <w:szCs w:val="22"/>
          <w:lang w:val="en-GB"/>
        </w:rPr>
        <w:t>)?</w:t>
      </w:r>
    </w:p>
    <w:p w14:paraId="5C0038BD" w14:textId="77777777" w:rsidR="00720DD3" w:rsidRDefault="00720DD3" w:rsidP="00720DD3">
      <w:pPr>
        <w:jc w:val="both"/>
        <w:rPr>
          <w:rFonts w:ascii="Arial" w:hAnsi="Arial" w:cs="Arial"/>
          <w:color w:val="7B7B7B" w:themeColor="accent3" w:themeShade="BF"/>
          <w:sz w:val="22"/>
          <w:szCs w:val="22"/>
          <w:lang w:val="en-GB"/>
        </w:rPr>
      </w:pPr>
    </w:p>
    <w:p w14:paraId="70C9819C" w14:textId="2BBA907A" w:rsidR="00AD326C" w:rsidRDefault="00720DD3" w:rsidP="00720D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question Fletcher asked, is the question seeking to determine the choice of forum in insolvency proceedings that involves more than one State.</w:t>
      </w:r>
      <w:r w:rsidR="00404148">
        <w:rPr>
          <w:rFonts w:ascii="Arial" w:hAnsi="Arial" w:cs="Arial"/>
          <w:color w:val="7B7B7B" w:themeColor="accent3" w:themeShade="BF"/>
          <w:sz w:val="22"/>
          <w:szCs w:val="22"/>
          <w:lang w:val="en-GB"/>
        </w:rPr>
        <w:t xml:space="preserve"> </w:t>
      </w:r>
      <w:r w:rsidR="00CA0B66">
        <w:rPr>
          <w:rFonts w:ascii="Arial" w:hAnsi="Arial" w:cs="Arial"/>
          <w:color w:val="7B7B7B" w:themeColor="accent3" w:themeShade="BF"/>
          <w:sz w:val="22"/>
          <w:szCs w:val="22"/>
          <w:lang w:val="en-GB"/>
        </w:rPr>
        <w:t>The issue here is w</w:t>
      </w:r>
      <w:r w:rsidR="00404148">
        <w:rPr>
          <w:rFonts w:ascii="Arial" w:hAnsi="Arial" w:cs="Arial"/>
          <w:color w:val="7B7B7B" w:themeColor="accent3" w:themeShade="BF"/>
          <w:sz w:val="22"/>
          <w:szCs w:val="22"/>
          <w:lang w:val="en-GB"/>
        </w:rPr>
        <w:t>hich State’s Court has jurisdiction to determine a cross-border insolvency case; which court can exercise jurisdiction over the parties or the dispute relating to the debtor’s estate? In which State’s Court will the commencement Order be determined in the case of corporate liquidation.</w:t>
      </w:r>
      <w:r w:rsidR="00C00446">
        <w:rPr>
          <w:rFonts w:ascii="Arial" w:hAnsi="Arial" w:cs="Arial"/>
          <w:color w:val="7B7B7B" w:themeColor="accent3" w:themeShade="BF"/>
          <w:sz w:val="22"/>
          <w:szCs w:val="22"/>
          <w:lang w:val="en-GB"/>
        </w:rPr>
        <w:t xml:space="preserve"> Which State’s Court will determine the issues of foreign elements- assets or examinable corporate</w:t>
      </w:r>
      <w:r w:rsidR="001E70ED">
        <w:rPr>
          <w:rFonts w:ascii="Arial" w:hAnsi="Arial" w:cs="Arial"/>
          <w:color w:val="7B7B7B" w:themeColor="accent3" w:themeShade="BF"/>
          <w:sz w:val="22"/>
          <w:szCs w:val="22"/>
          <w:lang w:val="en-GB"/>
        </w:rPr>
        <w:t xml:space="preserve"> officers in another state when they </w:t>
      </w:r>
      <w:r w:rsidR="00CA0B66">
        <w:rPr>
          <w:rFonts w:ascii="Arial" w:hAnsi="Arial" w:cs="Arial"/>
          <w:color w:val="7B7B7B" w:themeColor="accent3" w:themeShade="BF"/>
          <w:sz w:val="22"/>
          <w:szCs w:val="22"/>
          <w:lang w:val="en-GB"/>
        </w:rPr>
        <w:t>arise?</w:t>
      </w:r>
    </w:p>
    <w:p w14:paraId="5FE90EC8" w14:textId="0AE90100" w:rsidR="00AD326C" w:rsidRDefault="00AD326C" w:rsidP="00720DD3">
      <w:pPr>
        <w:jc w:val="both"/>
        <w:rPr>
          <w:rFonts w:ascii="Arial" w:hAnsi="Arial" w:cs="Arial"/>
          <w:color w:val="7B7B7B" w:themeColor="accent3" w:themeShade="BF"/>
          <w:sz w:val="22"/>
          <w:szCs w:val="22"/>
          <w:lang w:val="en-GB"/>
        </w:rPr>
      </w:pPr>
    </w:p>
    <w:p w14:paraId="6A434045" w14:textId="4997018F" w:rsidR="00B87C57" w:rsidRDefault="00AD326C" w:rsidP="00720D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Bilateral and multilateral agreements aimed at governing cross-border insolvencies between countries have been developed to answer this question though, limited in application.</w:t>
      </w:r>
      <w:r w:rsidR="0081649A">
        <w:rPr>
          <w:rFonts w:ascii="Arial" w:hAnsi="Arial" w:cs="Arial"/>
          <w:color w:val="7B7B7B" w:themeColor="accent3" w:themeShade="BF"/>
          <w:sz w:val="22"/>
          <w:szCs w:val="22"/>
          <w:lang w:val="en-GB"/>
        </w:rPr>
        <w:t xml:space="preserve"> </w:t>
      </w:r>
      <w:r w:rsidR="00A50F1A">
        <w:rPr>
          <w:rFonts w:ascii="Arial" w:hAnsi="Arial" w:cs="Arial"/>
          <w:color w:val="7B7B7B" w:themeColor="accent3" w:themeShade="BF"/>
          <w:sz w:val="22"/>
          <w:szCs w:val="22"/>
          <w:lang w:val="en-GB"/>
        </w:rPr>
        <w:t>Under the Model Law</w:t>
      </w:r>
      <w:r w:rsidR="004C6A09">
        <w:rPr>
          <w:rFonts w:ascii="Arial" w:hAnsi="Arial" w:cs="Arial"/>
          <w:color w:val="7B7B7B" w:themeColor="accent3" w:themeShade="BF"/>
          <w:sz w:val="22"/>
          <w:szCs w:val="22"/>
          <w:lang w:val="en-GB"/>
        </w:rPr>
        <w:t>,</w:t>
      </w:r>
      <w:r w:rsidR="00A50F1A">
        <w:rPr>
          <w:rFonts w:ascii="Arial" w:hAnsi="Arial" w:cs="Arial"/>
          <w:color w:val="7B7B7B" w:themeColor="accent3" w:themeShade="BF"/>
          <w:sz w:val="22"/>
          <w:szCs w:val="22"/>
          <w:lang w:val="en-GB"/>
        </w:rPr>
        <w:t xml:space="preserve"> which is</w:t>
      </w:r>
      <w:r w:rsidR="004C6A09">
        <w:rPr>
          <w:rFonts w:ascii="Arial" w:hAnsi="Arial" w:cs="Arial"/>
          <w:color w:val="7B7B7B" w:themeColor="accent3" w:themeShade="BF"/>
          <w:sz w:val="22"/>
          <w:szCs w:val="22"/>
          <w:lang w:val="en-GB"/>
        </w:rPr>
        <w:t xml:space="preserve"> said to be</w:t>
      </w:r>
      <w:r w:rsidR="00A50F1A">
        <w:rPr>
          <w:rFonts w:ascii="Arial" w:hAnsi="Arial" w:cs="Arial"/>
          <w:color w:val="7B7B7B" w:themeColor="accent3" w:themeShade="BF"/>
          <w:sz w:val="22"/>
          <w:szCs w:val="22"/>
          <w:lang w:val="en-GB"/>
        </w:rPr>
        <w:t xml:space="preserve"> a subscription of the Universalist approach to cross-border insolvencies, cooperation and coordination between States’ Court and Insolvency Representatives is</w:t>
      </w:r>
      <w:r w:rsidR="004C6A09">
        <w:rPr>
          <w:rFonts w:ascii="Arial" w:hAnsi="Arial" w:cs="Arial"/>
          <w:color w:val="7B7B7B" w:themeColor="accent3" w:themeShade="BF"/>
          <w:sz w:val="22"/>
          <w:szCs w:val="22"/>
          <w:lang w:val="en-GB"/>
        </w:rPr>
        <w:t xml:space="preserve"> advocated,</w:t>
      </w:r>
      <w:r w:rsidR="00A50F1A">
        <w:rPr>
          <w:rFonts w:ascii="Arial" w:hAnsi="Arial" w:cs="Arial"/>
          <w:color w:val="7B7B7B" w:themeColor="accent3" w:themeShade="BF"/>
          <w:sz w:val="22"/>
          <w:szCs w:val="22"/>
          <w:lang w:val="en-GB"/>
        </w:rPr>
        <w:t xml:space="preserve"> recommended</w:t>
      </w:r>
      <w:r w:rsidR="00002A22">
        <w:rPr>
          <w:rFonts w:ascii="Arial" w:hAnsi="Arial" w:cs="Arial"/>
          <w:color w:val="7B7B7B" w:themeColor="accent3" w:themeShade="BF"/>
          <w:sz w:val="22"/>
          <w:szCs w:val="22"/>
          <w:lang w:val="en-GB"/>
        </w:rPr>
        <w:t xml:space="preserve"> and made mandator</w:t>
      </w:r>
      <w:r w:rsidR="00831DA1">
        <w:rPr>
          <w:rFonts w:ascii="Arial" w:hAnsi="Arial" w:cs="Arial"/>
          <w:color w:val="7B7B7B" w:themeColor="accent3" w:themeShade="BF"/>
          <w:sz w:val="22"/>
          <w:szCs w:val="22"/>
          <w:lang w:val="en-GB"/>
        </w:rPr>
        <w:t>y</w:t>
      </w:r>
      <w:r w:rsidR="00EF62A9">
        <w:rPr>
          <w:rFonts w:ascii="Arial" w:hAnsi="Arial" w:cs="Arial"/>
          <w:color w:val="7B7B7B" w:themeColor="accent3" w:themeShade="BF"/>
          <w:sz w:val="22"/>
          <w:szCs w:val="22"/>
          <w:lang w:val="en-GB"/>
        </w:rPr>
        <w:t xml:space="preserve"> to reduce the conflict and uncertainty associated with the difficulties involved in agreeing on the question of jurisdiction. Hence t</w:t>
      </w:r>
      <w:r w:rsidR="004F3CC8">
        <w:rPr>
          <w:rFonts w:ascii="Arial" w:hAnsi="Arial" w:cs="Arial"/>
          <w:color w:val="7B7B7B" w:themeColor="accent3" w:themeShade="BF"/>
          <w:sz w:val="22"/>
          <w:szCs w:val="22"/>
          <w:lang w:val="en-GB"/>
        </w:rPr>
        <w:t>he o</w:t>
      </w:r>
      <w:r w:rsidR="00002A22">
        <w:rPr>
          <w:rFonts w:ascii="Arial" w:hAnsi="Arial" w:cs="Arial"/>
          <w:color w:val="7B7B7B" w:themeColor="accent3" w:themeShade="BF"/>
          <w:sz w:val="22"/>
          <w:szCs w:val="22"/>
          <w:lang w:val="en-GB"/>
        </w:rPr>
        <w:t xml:space="preserve">pening of concurrent proceedings in more than one State, and each State applying </w:t>
      </w:r>
      <w:r w:rsidR="004F3CC8">
        <w:rPr>
          <w:rFonts w:ascii="Arial" w:hAnsi="Arial" w:cs="Arial"/>
          <w:color w:val="7B7B7B" w:themeColor="accent3" w:themeShade="BF"/>
          <w:sz w:val="22"/>
          <w:szCs w:val="22"/>
          <w:lang w:val="en-GB"/>
        </w:rPr>
        <w:t>its</w:t>
      </w:r>
      <w:r w:rsidR="00002A22">
        <w:rPr>
          <w:rFonts w:ascii="Arial" w:hAnsi="Arial" w:cs="Arial"/>
          <w:color w:val="7B7B7B" w:themeColor="accent3" w:themeShade="BF"/>
          <w:sz w:val="22"/>
          <w:szCs w:val="22"/>
          <w:lang w:val="en-GB"/>
        </w:rPr>
        <w:t xml:space="preserve"> own laws with no or very limited extra territorial effects granted to foreign proceedings </w:t>
      </w:r>
      <w:r w:rsidR="00EF62A9">
        <w:rPr>
          <w:rFonts w:ascii="Arial" w:hAnsi="Arial" w:cs="Arial"/>
          <w:color w:val="7B7B7B" w:themeColor="accent3" w:themeShade="BF"/>
          <w:sz w:val="22"/>
          <w:szCs w:val="22"/>
          <w:lang w:val="en-GB"/>
        </w:rPr>
        <w:t>i</w:t>
      </w:r>
      <w:r w:rsidR="00002A22">
        <w:rPr>
          <w:rFonts w:ascii="Arial" w:hAnsi="Arial" w:cs="Arial"/>
          <w:color w:val="7B7B7B" w:themeColor="accent3" w:themeShade="BF"/>
          <w:sz w:val="22"/>
          <w:szCs w:val="22"/>
          <w:lang w:val="en-GB"/>
        </w:rPr>
        <w:t>s</w:t>
      </w:r>
      <w:r w:rsidR="00EF62A9">
        <w:rPr>
          <w:rFonts w:ascii="Arial" w:hAnsi="Arial" w:cs="Arial"/>
          <w:color w:val="7B7B7B" w:themeColor="accent3" w:themeShade="BF"/>
          <w:sz w:val="22"/>
          <w:szCs w:val="22"/>
          <w:lang w:val="en-GB"/>
        </w:rPr>
        <w:t xml:space="preserve"> </w:t>
      </w:r>
      <w:r w:rsidR="00002A22">
        <w:rPr>
          <w:rFonts w:ascii="Arial" w:hAnsi="Arial" w:cs="Arial"/>
          <w:color w:val="7B7B7B" w:themeColor="accent3" w:themeShade="BF"/>
          <w:sz w:val="22"/>
          <w:szCs w:val="22"/>
          <w:lang w:val="en-GB"/>
        </w:rPr>
        <w:t>recommended.</w:t>
      </w:r>
      <w:r w:rsidR="00ED7EB8">
        <w:rPr>
          <w:rFonts w:ascii="Arial" w:hAnsi="Arial" w:cs="Arial"/>
          <w:color w:val="7B7B7B" w:themeColor="accent3" w:themeShade="BF"/>
          <w:sz w:val="22"/>
          <w:szCs w:val="22"/>
          <w:lang w:val="en-GB"/>
        </w:rPr>
        <w:t xml:space="preserve"> </w:t>
      </w:r>
      <w:r w:rsidR="000F7640">
        <w:rPr>
          <w:rFonts w:ascii="Arial" w:hAnsi="Arial" w:cs="Arial"/>
          <w:color w:val="7B7B7B" w:themeColor="accent3" w:themeShade="BF"/>
          <w:sz w:val="22"/>
          <w:szCs w:val="22"/>
          <w:lang w:val="en-GB"/>
        </w:rPr>
        <w:t>Also</w:t>
      </w:r>
      <w:r w:rsidR="006C4533">
        <w:rPr>
          <w:rFonts w:ascii="Arial" w:hAnsi="Arial" w:cs="Arial"/>
          <w:color w:val="7B7B7B" w:themeColor="accent3" w:themeShade="BF"/>
          <w:sz w:val="22"/>
          <w:szCs w:val="22"/>
          <w:lang w:val="en-GB"/>
        </w:rPr>
        <w:t>,</w:t>
      </w:r>
      <w:r w:rsidR="000F7640">
        <w:rPr>
          <w:rFonts w:ascii="Arial" w:hAnsi="Arial" w:cs="Arial"/>
          <w:color w:val="7B7B7B" w:themeColor="accent3" w:themeShade="BF"/>
          <w:sz w:val="22"/>
          <w:szCs w:val="22"/>
          <w:lang w:val="en-GB"/>
        </w:rPr>
        <w:t xml:space="preserve"> u</w:t>
      </w:r>
      <w:r w:rsidR="00ED7EB8">
        <w:rPr>
          <w:rFonts w:ascii="Arial" w:hAnsi="Arial" w:cs="Arial"/>
          <w:color w:val="7B7B7B" w:themeColor="accent3" w:themeShade="BF"/>
          <w:sz w:val="22"/>
          <w:szCs w:val="22"/>
          <w:lang w:val="en-GB"/>
        </w:rPr>
        <w:t xml:space="preserve">nder the </w:t>
      </w:r>
      <w:r w:rsidR="000F7640">
        <w:rPr>
          <w:rFonts w:ascii="Arial" w:hAnsi="Arial" w:cs="Arial"/>
          <w:color w:val="7B7B7B" w:themeColor="accent3" w:themeShade="BF"/>
          <w:sz w:val="22"/>
          <w:szCs w:val="22"/>
          <w:lang w:val="en-GB"/>
        </w:rPr>
        <w:t>European</w:t>
      </w:r>
      <w:r w:rsidR="00ED7EB8">
        <w:rPr>
          <w:rFonts w:ascii="Arial" w:hAnsi="Arial" w:cs="Arial"/>
          <w:color w:val="7B7B7B" w:themeColor="accent3" w:themeShade="BF"/>
          <w:sz w:val="22"/>
          <w:szCs w:val="22"/>
          <w:lang w:val="en-GB"/>
        </w:rPr>
        <w:t xml:space="preserve"> Insolvency Regulation (EIR), location of the debtor’s Centre of Main Interest is</w:t>
      </w:r>
      <w:r w:rsidR="00A015D7">
        <w:rPr>
          <w:rFonts w:ascii="Arial" w:hAnsi="Arial" w:cs="Arial"/>
          <w:color w:val="7B7B7B" w:themeColor="accent3" w:themeShade="BF"/>
          <w:sz w:val="22"/>
          <w:szCs w:val="22"/>
          <w:lang w:val="en-GB"/>
        </w:rPr>
        <w:t xml:space="preserve"> provided as</w:t>
      </w:r>
      <w:r w:rsidR="00ED7EB8">
        <w:rPr>
          <w:rFonts w:ascii="Arial" w:hAnsi="Arial" w:cs="Arial"/>
          <w:color w:val="7B7B7B" w:themeColor="accent3" w:themeShade="BF"/>
          <w:sz w:val="22"/>
          <w:szCs w:val="22"/>
          <w:lang w:val="en-GB"/>
        </w:rPr>
        <w:t xml:space="preserve"> the determining factor for both the competent insolvency court as well as the applicable insolvency laws</w:t>
      </w:r>
      <w:r w:rsidR="00ED7EB8">
        <w:rPr>
          <w:rStyle w:val="FootnoteReference"/>
          <w:rFonts w:ascii="Arial" w:hAnsi="Arial" w:cs="Arial"/>
          <w:color w:val="7B7B7B" w:themeColor="accent3" w:themeShade="BF"/>
          <w:sz w:val="22"/>
          <w:szCs w:val="22"/>
          <w:lang w:val="en-GB"/>
        </w:rPr>
        <w:footnoteReference w:id="17"/>
      </w:r>
      <w:r w:rsidR="00ED7EB8">
        <w:rPr>
          <w:rFonts w:ascii="Arial" w:hAnsi="Arial" w:cs="Arial"/>
          <w:color w:val="7B7B7B" w:themeColor="accent3" w:themeShade="BF"/>
          <w:sz w:val="22"/>
          <w:szCs w:val="22"/>
          <w:lang w:val="en-GB"/>
        </w:rPr>
        <w:t>.</w:t>
      </w:r>
      <w:r w:rsidR="00002A22">
        <w:rPr>
          <w:rFonts w:ascii="Arial" w:hAnsi="Arial" w:cs="Arial"/>
          <w:color w:val="7B7B7B" w:themeColor="accent3" w:themeShade="BF"/>
          <w:sz w:val="22"/>
          <w:szCs w:val="22"/>
          <w:lang w:val="en-GB"/>
        </w:rPr>
        <w:t xml:space="preserve"> </w:t>
      </w:r>
      <w:r w:rsidR="00BD5654">
        <w:rPr>
          <w:rFonts w:ascii="Arial" w:hAnsi="Arial" w:cs="Arial"/>
          <w:color w:val="7B7B7B" w:themeColor="accent3" w:themeShade="BF"/>
          <w:sz w:val="22"/>
          <w:szCs w:val="22"/>
          <w:lang w:val="en-GB"/>
        </w:rPr>
        <w:t>According to Article 3 of the European Regulation (EIR), the debtor’s Centre of Main Interest (COMI) is the place where the debtor conducts the administration of his interest on a regular basis which is ascertainable by third parties.</w:t>
      </w:r>
      <w:r w:rsidR="00FE650E">
        <w:rPr>
          <w:rFonts w:ascii="Arial" w:hAnsi="Arial" w:cs="Arial"/>
          <w:color w:val="7B7B7B" w:themeColor="accent3" w:themeShade="BF"/>
          <w:sz w:val="22"/>
          <w:szCs w:val="22"/>
          <w:lang w:val="en-GB"/>
        </w:rPr>
        <w:t xml:space="preserve"> With respect to companies, the place of the registered office of the company is presumed to be the COMI of the company.</w:t>
      </w:r>
      <w:r w:rsidR="004E5B4F">
        <w:rPr>
          <w:rFonts w:ascii="Arial" w:hAnsi="Arial" w:cs="Arial"/>
          <w:color w:val="7B7B7B" w:themeColor="accent3" w:themeShade="BF"/>
          <w:sz w:val="22"/>
          <w:szCs w:val="22"/>
          <w:lang w:val="en-GB"/>
        </w:rPr>
        <w:t xml:space="preserve"> For countries who are yet to adopt either the Model law or nay protocol agreements, or are not members of the European Union, the question or issue is left to be determined by the debtor’s and creditor’s in their agreements as such matters have been said to be in the rem of Private International Law.</w:t>
      </w:r>
    </w:p>
    <w:p w14:paraId="4123A4F0" w14:textId="41AA23A9" w:rsidR="009A1945" w:rsidRDefault="009A1945" w:rsidP="00720DD3">
      <w:pPr>
        <w:jc w:val="both"/>
        <w:rPr>
          <w:rFonts w:ascii="Arial" w:hAnsi="Arial" w:cs="Arial"/>
          <w:color w:val="7B7B7B" w:themeColor="accent3" w:themeShade="BF"/>
          <w:sz w:val="22"/>
          <w:szCs w:val="22"/>
          <w:lang w:val="en-GB"/>
        </w:rPr>
      </w:pPr>
    </w:p>
    <w:p w14:paraId="1F500F27" w14:textId="32444834" w:rsidR="009A1945" w:rsidRDefault="009A1945" w:rsidP="009A194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question Fletcher asked seek to determine the issue of which law will be applicable in the forum of the proceed</w:t>
      </w:r>
      <w:r w:rsidR="00DF3E40">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ng</w:t>
      </w:r>
      <w:r w:rsidR="00DF3E4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w:t>
      </w:r>
      <w:r w:rsidR="008B2DE9">
        <w:rPr>
          <w:rFonts w:ascii="Arial" w:hAnsi="Arial" w:cs="Arial"/>
          <w:color w:val="7B7B7B" w:themeColor="accent3" w:themeShade="BF"/>
          <w:sz w:val="22"/>
          <w:szCs w:val="22"/>
          <w:lang w:val="en-GB"/>
        </w:rPr>
        <w:t xml:space="preserve"> Here, different systems of law adopt different approaches</w:t>
      </w:r>
      <w:r w:rsidR="0095029C">
        <w:rPr>
          <w:rFonts w:ascii="Arial" w:hAnsi="Arial" w:cs="Arial"/>
          <w:color w:val="7B7B7B" w:themeColor="accent3" w:themeShade="BF"/>
          <w:sz w:val="22"/>
          <w:szCs w:val="22"/>
          <w:lang w:val="en-GB"/>
        </w:rPr>
        <w:t xml:space="preserve"> to this question. Under common law jurisdiction, like England, the question of which law to apply only arise where the parties invoke the question.</w:t>
      </w:r>
      <w:r w:rsidR="00576A45">
        <w:rPr>
          <w:rFonts w:ascii="Arial" w:hAnsi="Arial" w:cs="Arial"/>
          <w:color w:val="7B7B7B" w:themeColor="accent3" w:themeShade="BF"/>
          <w:sz w:val="22"/>
          <w:szCs w:val="22"/>
          <w:lang w:val="en-GB"/>
        </w:rPr>
        <w:t xml:space="preserve"> In the absent of the parties invoking the question, the law of the forum applies.</w:t>
      </w:r>
      <w:r w:rsidR="00B022D4">
        <w:rPr>
          <w:rFonts w:ascii="Arial" w:hAnsi="Arial" w:cs="Arial"/>
          <w:color w:val="7B7B7B" w:themeColor="accent3" w:themeShade="BF"/>
          <w:sz w:val="22"/>
          <w:szCs w:val="22"/>
          <w:lang w:val="en-GB"/>
        </w:rPr>
        <w:t xml:space="preserve"> This will however, only occur where it is to that party’s advantage to apply the foreign law.</w:t>
      </w:r>
      <w:r w:rsidR="0076746E">
        <w:rPr>
          <w:rFonts w:ascii="Arial" w:hAnsi="Arial" w:cs="Arial"/>
          <w:color w:val="7B7B7B" w:themeColor="accent3" w:themeShade="BF"/>
          <w:sz w:val="22"/>
          <w:szCs w:val="22"/>
          <w:lang w:val="en-GB"/>
        </w:rPr>
        <w:t xml:space="preserve"> Similarly, proof of foreign law in common law states is a question of fact whereas in civil law systems, foreign law is presumed to be a question of law to be applied regardless of whether it is pleaded by the parties or not</w:t>
      </w:r>
      <w:r w:rsidR="00955932">
        <w:rPr>
          <w:rStyle w:val="FootnoteReference"/>
          <w:rFonts w:ascii="Arial" w:hAnsi="Arial" w:cs="Arial"/>
          <w:color w:val="7B7B7B" w:themeColor="accent3" w:themeShade="BF"/>
          <w:sz w:val="22"/>
          <w:szCs w:val="22"/>
          <w:lang w:val="en-GB"/>
        </w:rPr>
        <w:footnoteReference w:id="18"/>
      </w:r>
      <w:r w:rsidR="0076746E">
        <w:rPr>
          <w:rFonts w:ascii="Arial" w:hAnsi="Arial" w:cs="Arial"/>
          <w:color w:val="7B7B7B" w:themeColor="accent3" w:themeShade="BF"/>
          <w:sz w:val="22"/>
          <w:szCs w:val="22"/>
          <w:lang w:val="en-GB"/>
        </w:rPr>
        <w:t>.</w:t>
      </w:r>
      <w:r w:rsidR="00DF3E40">
        <w:rPr>
          <w:rFonts w:ascii="Arial" w:hAnsi="Arial" w:cs="Arial"/>
          <w:color w:val="7B7B7B" w:themeColor="accent3" w:themeShade="BF"/>
          <w:sz w:val="22"/>
          <w:szCs w:val="22"/>
          <w:lang w:val="en-GB"/>
        </w:rPr>
        <w:t xml:space="preserve"> </w:t>
      </w:r>
      <w:r w:rsidR="00F63B8B">
        <w:rPr>
          <w:rFonts w:ascii="Arial" w:hAnsi="Arial" w:cs="Arial"/>
          <w:color w:val="7B7B7B" w:themeColor="accent3" w:themeShade="BF"/>
          <w:sz w:val="22"/>
          <w:szCs w:val="22"/>
          <w:lang w:val="en-GB"/>
        </w:rPr>
        <w:t>Under the Insolvency Act, 1986, in an English Winding up, including winding up of a foreign company, the Insolvency Act, will be applicable in relation to matters of procedure</w:t>
      </w:r>
      <w:r w:rsidR="0024110D">
        <w:rPr>
          <w:rFonts w:ascii="Arial" w:hAnsi="Arial" w:cs="Arial"/>
          <w:color w:val="7B7B7B" w:themeColor="accent3" w:themeShade="BF"/>
          <w:sz w:val="22"/>
          <w:szCs w:val="22"/>
          <w:lang w:val="en-GB"/>
        </w:rPr>
        <w:t xml:space="preserve"> and substance.</w:t>
      </w:r>
      <w:r w:rsidR="002B75E5">
        <w:rPr>
          <w:rFonts w:ascii="Arial" w:hAnsi="Arial" w:cs="Arial"/>
          <w:color w:val="7B7B7B" w:themeColor="accent3" w:themeShade="BF"/>
          <w:sz w:val="22"/>
          <w:szCs w:val="22"/>
          <w:lang w:val="en-GB"/>
        </w:rPr>
        <w:t xml:space="preserve"> For instance, English Court may deal with the issue of the procedure of lodging a proof of debt while, </w:t>
      </w:r>
      <w:r w:rsidR="00BC5D3B">
        <w:rPr>
          <w:rFonts w:ascii="Arial" w:hAnsi="Arial" w:cs="Arial"/>
          <w:color w:val="7B7B7B" w:themeColor="accent3" w:themeShade="BF"/>
          <w:sz w:val="22"/>
          <w:szCs w:val="22"/>
          <w:lang w:val="en-GB"/>
        </w:rPr>
        <w:t xml:space="preserve">it may also require reference to a foreign law to establish the validity of the actual claim where that claim is for a debt governed by </w:t>
      </w:r>
      <w:r w:rsidR="00EC3E7A">
        <w:rPr>
          <w:rFonts w:ascii="Arial" w:hAnsi="Arial" w:cs="Arial"/>
          <w:color w:val="7B7B7B" w:themeColor="accent3" w:themeShade="BF"/>
          <w:sz w:val="22"/>
          <w:szCs w:val="22"/>
          <w:lang w:val="en-GB"/>
        </w:rPr>
        <w:t>foreign law</w:t>
      </w:r>
      <w:r w:rsidR="00CF2DDA">
        <w:rPr>
          <w:rStyle w:val="FootnoteReference"/>
          <w:rFonts w:ascii="Arial" w:hAnsi="Arial" w:cs="Arial"/>
          <w:color w:val="7B7B7B" w:themeColor="accent3" w:themeShade="BF"/>
          <w:sz w:val="22"/>
          <w:szCs w:val="22"/>
          <w:lang w:val="en-GB"/>
        </w:rPr>
        <w:footnoteReference w:id="19"/>
      </w:r>
      <w:r w:rsidR="00EC3E7A">
        <w:rPr>
          <w:rFonts w:ascii="Arial" w:hAnsi="Arial" w:cs="Arial"/>
          <w:color w:val="7B7B7B" w:themeColor="accent3" w:themeShade="BF"/>
          <w:sz w:val="22"/>
          <w:szCs w:val="22"/>
          <w:lang w:val="en-GB"/>
        </w:rPr>
        <w:t>.</w:t>
      </w:r>
    </w:p>
    <w:p w14:paraId="3C8F1A80" w14:textId="77777777" w:rsidR="00B87C57" w:rsidRDefault="00B87C57" w:rsidP="00720DD3">
      <w:pPr>
        <w:jc w:val="both"/>
        <w:rPr>
          <w:rFonts w:ascii="Arial" w:hAnsi="Arial" w:cs="Arial"/>
          <w:color w:val="7B7B7B" w:themeColor="accent3" w:themeShade="BF"/>
          <w:sz w:val="22"/>
          <w:szCs w:val="22"/>
          <w:lang w:val="en-GB"/>
        </w:rPr>
      </w:pPr>
    </w:p>
    <w:p w14:paraId="7B1614A8" w14:textId="36CE8E43" w:rsidR="00F83B9D" w:rsidRDefault="00B87C57" w:rsidP="00720D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A1945">
        <w:rPr>
          <w:rFonts w:ascii="Arial" w:hAnsi="Arial" w:cs="Arial"/>
          <w:color w:val="7B7B7B" w:themeColor="accent3" w:themeShade="BF"/>
          <w:sz w:val="22"/>
          <w:szCs w:val="22"/>
          <w:lang w:val="en-GB"/>
        </w:rPr>
        <w:t>third</w:t>
      </w:r>
      <w:r>
        <w:rPr>
          <w:rFonts w:ascii="Arial" w:hAnsi="Arial" w:cs="Arial"/>
          <w:color w:val="7B7B7B" w:themeColor="accent3" w:themeShade="BF"/>
          <w:sz w:val="22"/>
          <w:szCs w:val="22"/>
          <w:lang w:val="en-GB"/>
        </w:rPr>
        <w:t xml:space="preserve"> question Fletcher asked seek to determine the issue </w:t>
      </w:r>
      <w:r w:rsidR="00413B14">
        <w:rPr>
          <w:rFonts w:ascii="Arial" w:hAnsi="Arial" w:cs="Arial"/>
          <w:color w:val="7B7B7B" w:themeColor="accent3" w:themeShade="BF"/>
          <w:sz w:val="22"/>
          <w:szCs w:val="22"/>
          <w:lang w:val="en-GB"/>
        </w:rPr>
        <w:t>which may arise in International Insolvency where there is a “foreign judgment” issued on the same matter by a court of another State or jurisdiction.</w:t>
      </w:r>
      <w:r w:rsidR="0097023C">
        <w:rPr>
          <w:rFonts w:ascii="Arial" w:hAnsi="Arial" w:cs="Arial"/>
          <w:color w:val="7B7B7B" w:themeColor="accent3" w:themeShade="BF"/>
          <w:sz w:val="22"/>
          <w:szCs w:val="22"/>
          <w:lang w:val="en-GB"/>
        </w:rPr>
        <w:t xml:space="preserve"> Foreign Judgments raises questions concerning the Court that issued the judgment, the type of Judgment and the effect of the Judgment.</w:t>
      </w:r>
      <w:r w:rsidR="00413BBD">
        <w:rPr>
          <w:rFonts w:ascii="Arial" w:hAnsi="Arial" w:cs="Arial"/>
          <w:color w:val="7B7B7B" w:themeColor="accent3" w:themeShade="BF"/>
          <w:sz w:val="22"/>
          <w:szCs w:val="22"/>
          <w:lang w:val="en-GB"/>
        </w:rPr>
        <w:t xml:space="preserve"> In insolvency, the type of judgment can be significant- in particular, whether it is a judgment commencing insolvency proceedings against a debtor (such as an Order to liquidate a company) or an Order of Court made during the Course of an insolvency proceedings (such as an Order that a third party pay monies to the estate following a successful action setting aside a voidable depositions)</w:t>
      </w:r>
      <w:r w:rsidR="00E126B0">
        <w:rPr>
          <w:rStyle w:val="FootnoteReference"/>
          <w:rFonts w:ascii="Arial" w:hAnsi="Arial" w:cs="Arial"/>
          <w:color w:val="7B7B7B" w:themeColor="accent3" w:themeShade="BF"/>
          <w:sz w:val="22"/>
          <w:szCs w:val="22"/>
          <w:lang w:val="en-GB"/>
        </w:rPr>
        <w:footnoteReference w:id="20"/>
      </w:r>
      <w:r w:rsidR="00E126B0">
        <w:rPr>
          <w:rFonts w:ascii="Arial" w:hAnsi="Arial" w:cs="Arial"/>
          <w:color w:val="7B7B7B" w:themeColor="accent3" w:themeShade="BF"/>
          <w:sz w:val="22"/>
          <w:szCs w:val="22"/>
          <w:lang w:val="en-GB"/>
        </w:rPr>
        <w:t>.</w:t>
      </w:r>
      <w:r w:rsidR="00413BBD">
        <w:rPr>
          <w:rFonts w:ascii="Arial" w:hAnsi="Arial" w:cs="Arial"/>
          <w:color w:val="7B7B7B" w:themeColor="accent3" w:themeShade="BF"/>
          <w:sz w:val="22"/>
          <w:szCs w:val="22"/>
          <w:lang w:val="en-GB"/>
        </w:rPr>
        <w:t xml:space="preserve"> </w:t>
      </w:r>
      <w:r w:rsidR="008D540E">
        <w:rPr>
          <w:rFonts w:ascii="Arial" w:hAnsi="Arial" w:cs="Arial"/>
          <w:color w:val="7B7B7B" w:themeColor="accent3" w:themeShade="BF"/>
          <w:sz w:val="22"/>
          <w:szCs w:val="22"/>
          <w:lang w:val="en-GB"/>
        </w:rPr>
        <w:t>In an attempt to resolve this issue, the Model Law developed the Model Law on Insolvency Related Judgments 2008 after the United Kingdom’s Supreme Court</w:t>
      </w:r>
      <w:r w:rsidR="0097023C">
        <w:rPr>
          <w:rFonts w:ascii="Arial" w:hAnsi="Arial" w:cs="Arial"/>
          <w:color w:val="7B7B7B" w:themeColor="accent3" w:themeShade="BF"/>
          <w:sz w:val="22"/>
          <w:szCs w:val="22"/>
          <w:lang w:val="en-GB"/>
        </w:rPr>
        <w:t xml:space="preserve"> </w:t>
      </w:r>
      <w:r w:rsidR="008D540E">
        <w:rPr>
          <w:rFonts w:ascii="Arial" w:hAnsi="Arial" w:cs="Arial"/>
          <w:color w:val="7B7B7B" w:themeColor="accent3" w:themeShade="BF"/>
          <w:sz w:val="22"/>
          <w:szCs w:val="22"/>
          <w:lang w:val="en-GB"/>
        </w:rPr>
        <w:t>decisions in the case of</w:t>
      </w:r>
      <w:r w:rsidR="003A2062">
        <w:rPr>
          <w:rFonts w:ascii="Arial" w:hAnsi="Arial" w:cs="Arial"/>
          <w:color w:val="7B7B7B" w:themeColor="accent3" w:themeShade="BF"/>
          <w:sz w:val="22"/>
          <w:szCs w:val="22"/>
          <w:lang w:val="en-GB"/>
        </w:rPr>
        <w:t xml:space="preserve"> Rubin v. Eurofinance SA; New Cap Reinsurance Corp (in liq) v. Grant [2013] 1 AC 236</w:t>
      </w:r>
      <w:r w:rsidR="003A2062">
        <w:rPr>
          <w:rStyle w:val="FootnoteReference"/>
          <w:rFonts w:ascii="Arial" w:hAnsi="Arial" w:cs="Arial"/>
          <w:color w:val="7B7B7B" w:themeColor="accent3" w:themeShade="BF"/>
          <w:sz w:val="22"/>
          <w:szCs w:val="22"/>
          <w:lang w:val="en-GB"/>
        </w:rPr>
        <w:footnoteReference w:id="21"/>
      </w:r>
      <w:r w:rsidR="003A2062">
        <w:rPr>
          <w:rFonts w:ascii="Arial" w:hAnsi="Arial" w:cs="Arial"/>
          <w:color w:val="7B7B7B" w:themeColor="accent3" w:themeShade="BF"/>
          <w:sz w:val="22"/>
          <w:szCs w:val="22"/>
          <w:lang w:val="en-GB"/>
        </w:rPr>
        <w:t>.</w:t>
      </w:r>
      <w:r w:rsidR="00E72509">
        <w:rPr>
          <w:rFonts w:ascii="Arial" w:hAnsi="Arial" w:cs="Arial"/>
          <w:color w:val="7B7B7B" w:themeColor="accent3" w:themeShade="BF"/>
          <w:sz w:val="22"/>
          <w:szCs w:val="22"/>
          <w:lang w:val="en-GB"/>
        </w:rPr>
        <w:t xml:space="preserve"> Insolvency Related Judgment however does not include a judgment commencing an insolvency proceeding nor does it include any interim measure of protection. To be covered, a foreign Judgment (i) must arise as a consequence of or be materially associated with an </w:t>
      </w:r>
      <w:r w:rsidR="00BB7322">
        <w:rPr>
          <w:rFonts w:ascii="Arial" w:hAnsi="Arial" w:cs="Arial"/>
          <w:color w:val="7B7B7B" w:themeColor="accent3" w:themeShade="BF"/>
          <w:sz w:val="22"/>
          <w:szCs w:val="22"/>
          <w:lang w:val="en-GB"/>
        </w:rPr>
        <w:lastRenderedPageBreak/>
        <w:t>insolvency proceeding</w:t>
      </w:r>
      <w:r w:rsidR="00E72509">
        <w:rPr>
          <w:rFonts w:ascii="Arial" w:hAnsi="Arial" w:cs="Arial"/>
          <w:color w:val="7B7B7B" w:themeColor="accent3" w:themeShade="BF"/>
          <w:sz w:val="22"/>
          <w:szCs w:val="22"/>
          <w:lang w:val="en-GB"/>
        </w:rPr>
        <w:t xml:space="preserve"> and (ii) must be issued on or after the commencement of that insolvency proceedings</w:t>
      </w:r>
      <w:r w:rsidR="00E72509">
        <w:rPr>
          <w:rStyle w:val="FootnoteReference"/>
          <w:rFonts w:ascii="Arial" w:hAnsi="Arial" w:cs="Arial"/>
          <w:color w:val="7B7B7B" w:themeColor="accent3" w:themeShade="BF"/>
          <w:sz w:val="22"/>
          <w:szCs w:val="22"/>
          <w:lang w:val="en-GB"/>
        </w:rPr>
        <w:footnoteReference w:id="22"/>
      </w:r>
      <w:r w:rsidR="00E72509">
        <w:rPr>
          <w:rFonts w:ascii="Arial" w:hAnsi="Arial" w:cs="Arial"/>
          <w:color w:val="7B7B7B" w:themeColor="accent3" w:themeShade="BF"/>
          <w:sz w:val="22"/>
          <w:szCs w:val="22"/>
          <w:lang w:val="en-GB"/>
        </w:rPr>
        <w:t xml:space="preserve">. </w:t>
      </w:r>
    </w:p>
    <w:p w14:paraId="015F89AB" w14:textId="77777777" w:rsidR="00F83B9D" w:rsidRDefault="00F83B9D" w:rsidP="00720DD3">
      <w:pPr>
        <w:jc w:val="both"/>
        <w:rPr>
          <w:rFonts w:ascii="Arial" w:hAnsi="Arial" w:cs="Arial"/>
          <w:color w:val="7B7B7B" w:themeColor="accent3" w:themeShade="BF"/>
          <w:sz w:val="22"/>
          <w:szCs w:val="22"/>
          <w:lang w:val="en-GB"/>
        </w:rPr>
      </w:pPr>
    </w:p>
    <w:p w14:paraId="33850742" w14:textId="77777777" w:rsidR="007D78D2" w:rsidRDefault="00F83B9D" w:rsidP="00720D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some States have laws for recognition and enforcement or the effects of a foreign insolvency proceeding.</w:t>
      </w:r>
      <w:r w:rsidR="00495A5C">
        <w:rPr>
          <w:rFonts w:ascii="Arial" w:hAnsi="Arial" w:cs="Arial"/>
          <w:color w:val="7B7B7B" w:themeColor="accent3" w:themeShade="BF"/>
          <w:sz w:val="22"/>
          <w:szCs w:val="22"/>
          <w:lang w:val="en-GB"/>
        </w:rPr>
        <w:t xml:space="preserve"> Other States provided for the cooperation and coordination where there are concurrent proceedings.</w:t>
      </w:r>
      <w:r w:rsidR="00075CD4">
        <w:rPr>
          <w:rFonts w:ascii="Arial" w:hAnsi="Arial" w:cs="Arial"/>
          <w:color w:val="7B7B7B" w:themeColor="accent3" w:themeShade="BF"/>
          <w:sz w:val="22"/>
          <w:szCs w:val="22"/>
          <w:lang w:val="en-GB"/>
        </w:rPr>
        <w:t xml:space="preserve"> In the case of MC Grath v. Riddel (2008) UKHL 21, the House of Lord turned over the assets in a local ancillary liquidation to a foreign principal liquidator for distribution under foreign laws</w:t>
      </w:r>
      <w:r w:rsidR="00C311DE">
        <w:rPr>
          <w:rStyle w:val="FootnoteReference"/>
          <w:rFonts w:ascii="Arial" w:hAnsi="Arial" w:cs="Arial"/>
          <w:color w:val="7B7B7B" w:themeColor="accent3" w:themeShade="BF"/>
          <w:sz w:val="22"/>
          <w:szCs w:val="22"/>
          <w:lang w:val="en-GB"/>
        </w:rPr>
        <w:footnoteReference w:id="23"/>
      </w:r>
      <w:r w:rsidR="00075CD4">
        <w:rPr>
          <w:rFonts w:ascii="Arial" w:hAnsi="Arial" w:cs="Arial"/>
          <w:color w:val="7B7B7B" w:themeColor="accent3" w:themeShade="BF"/>
          <w:sz w:val="22"/>
          <w:szCs w:val="22"/>
          <w:lang w:val="en-GB"/>
        </w:rPr>
        <w:t>.</w:t>
      </w:r>
      <w:r w:rsidR="00705BFA">
        <w:rPr>
          <w:rFonts w:ascii="Arial" w:hAnsi="Arial" w:cs="Arial"/>
          <w:color w:val="7B7B7B" w:themeColor="accent3" w:themeShade="BF"/>
          <w:sz w:val="22"/>
          <w:szCs w:val="22"/>
          <w:lang w:val="en-GB"/>
        </w:rPr>
        <w:t xml:space="preserve"> </w:t>
      </w:r>
      <w:r w:rsidR="0072163F">
        <w:rPr>
          <w:rFonts w:ascii="Arial" w:hAnsi="Arial" w:cs="Arial"/>
          <w:color w:val="7B7B7B" w:themeColor="accent3" w:themeShade="BF"/>
          <w:sz w:val="22"/>
          <w:szCs w:val="22"/>
          <w:lang w:val="en-GB"/>
        </w:rPr>
        <w:t>Under Australian law, Sections 580-581 of the Corporations Act, 2001 (Ctn), a similar legislation to Section 426 of the UK Insolvency Act, 1986, provide</w:t>
      </w:r>
      <w:r w:rsidR="00AD4837">
        <w:rPr>
          <w:rFonts w:ascii="Arial" w:hAnsi="Arial" w:cs="Arial"/>
          <w:color w:val="7B7B7B" w:themeColor="accent3" w:themeShade="BF"/>
          <w:sz w:val="22"/>
          <w:szCs w:val="22"/>
          <w:lang w:val="en-GB"/>
        </w:rPr>
        <w:t>d</w:t>
      </w:r>
      <w:r w:rsidR="0072163F">
        <w:rPr>
          <w:rFonts w:ascii="Arial" w:hAnsi="Arial" w:cs="Arial"/>
          <w:color w:val="7B7B7B" w:themeColor="accent3" w:themeShade="BF"/>
          <w:sz w:val="22"/>
          <w:szCs w:val="22"/>
          <w:lang w:val="en-GB"/>
        </w:rPr>
        <w:t xml:space="preserve"> for cooperation between Australian and foreign Courts in relation to “external administration” matters, such as liquidations.</w:t>
      </w:r>
      <w:r w:rsidR="0047233E">
        <w:rPr>
          <w:rFonts w:ascii="Arial" w:hAnsi="Arial" w:cs="Arial"/>
          <w:color w:val="7B7B7B" w:themeColor="accent3" w:themeShade="BF"/>
          <w:sz w:val="22"/>
          <w:szCs w:val="22"/>
          <w:lang w:val="en-GB"/>
        </w:rPr>
        <w:t xml:space="preserve"> In Re Chow Cho Poon (pte) Ltd [2011] NSWSC 300, an Australian Court granted assistance to a foreign liquidation upon a request under Section 581, thus enabling control of assets in a bank account. In this case, the Court specifically</w:t>
      </w:r>
      <w:r w:rsidR="00B12026">
        <w:rPr>
          <w:rFonts w:ascii="Arial" w:hAnsi="Arial" w:cs="Arial"/>
          <w:color w:val="7B7B7B" w:themeColor="accent3" w:themeShade="BF"/>
          <w:sz w:val="22"/>
          <w:szCs w:val="22"/>
          <w:lang w:val="en-GB"/>
        </w:rPr>
        <w:t xml:space="preserve"> discussed the Cross-Border Insolvency Act, 2008 (ctn)</w:t>
      </w:r>
      <w:r w:rsidR="0054330C">
        <w:rPr>
          <w:rFonts w:ascii="Arial" w:hAnsi="Arial" w:cs="Arial"/>
          <w:color w:val="7B7B7B" w:themeColor="accent3" w:themeShade="BF"/>
          <w:sz w:val="22"/>
          <w:szCs w:val="22"/>
          <w:lang w:val="en-GB"/>
        </w:rPr>
        <w:t xml:space="preserve"> and Section 22 on the relationship between the Model Law on Cross-Border Insolvency with the Corporation Act 2001 (ctn) Section 581 invoked in the case.</w:t>
      </w:r>
      <w:r w:rsidR="0011011D">
        <w:rPr>
          <w:rFonts w:ascii="Arial" w:hAnsi="Arial" w:cs="Arial"/>
          <w:color w:val="7B7B7B" w:themeColor="accent3" w:themeShade="BF"/>
          <w:sz w:val="22"/>
          <w:szCs w:val="22"/>
          <w:lang w:val="en-GB"/>
        </w:rPr>
        <w:t xml:space="preserve"> Similarly, in the New Zealand Insolvency (Cross-Border) Act 2006, (NZ), Section 8 provide that, if a foreign Court requests the aid of the New Zealand High Court in relation to an Insolvency proceeding, the High Court can act in aid of and be auxiliary to that Court. This provision has become useful in circumstance where the Model Law on Cross-Border Insolvency does not apply</w:t>
      </w:r>
      <w:r w:rsidR="00763FA1">
        <w:rPr>
          <w:rStyle w:val="FootnoteReference"/>
          <w:rFonts w:ascii="Arial" w:hAnsi="Arial" w:cs="Arial"/>
          <w:color w:val="7B7B7B" w:themeColor="accent3" w:themeShade="BF"/>
          <w:sz w:val="22"/>
          <w:szCs w:val="22"/>
          <w:lang w:val="en-GB"/>
        </w:rPr>
        <w:footnoteReference w:id="24"/>
      </w:r>
      <w:r w:rsidR="0011011D">
        <w:rPr>
          <w:rFonts w:ascii="Arial" w:hAnsi="Arial" w:cs="Arial"/>
          <w:color w:val="7B7B7B" w:themeColor="accent3" w:themeShade="BF"/>
          <w:sz w:val="22"/>
          <w:szCs w:val="22"/>
          <w:lang w:val="en-GB"/>
        </w:rPr>
        <w:t>.</w:t>
      </w:r>
    </w:p>
    <w:p w14:paraId="7940D274" w14:textId="1174303E" w:rsidR="00DF75F8" w:rsidRPr="007D78D2" w:rsidRDefault="00DF75F8" w:rsidP="00720DD3">
      <w:pPr>
        <w:jc w:val="both"/>
        <w:rPr>
          <w:rFonts w:ascii="Arial" w:hAnsi="Arial" w:cs="Arial"/>
          <w:color w:val="7B7B7B" w:themeColor="accent3" w:themeShade="BF"/>
          <w:sz w:val="22"/>
          <w:szCs w:val="22"/>
          <w:lang w:val="en-GB"/>
        </w:rPr>
      </w:pPr>
      <w:r w:rsidRPr="00720DD3">
        <w:rPr>
          <w:rFonts w:ascii="Arial" w:hAnsi="Arial" w:cs="Arial"/>
          <w:color w:val="7B7B7B" w:themeColor="accent3" w:themeShade="BF"/>
          <w:sz w:val="22"/>
          <w:szCs w:val="22"/>
          <w:lang w:val="en-GB"/>
        </w:rPr>
        <w:t>Type your answer here]</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2FEEFDD2" w14:textId="77777777" w:rsidR="00976A6A"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EA1807">
        <w:rPr>
          <w:rFonts w:ascii="Arial" w:hAnsi="Arial" w:cs="Arial"/>
          <w:color w:val="7B7B7B" w:themeColor="accent3" w:themeShade="BF"/>
          <w:sz w:val="22"/>
          <w:szCs w:val="22"/>
          <w:lang w:val="en-GB"/>
        </w:rPr>
        <w:t>A prominent case law example for the last quotation can be found in the case of Maxwell Communications Corporation Plc cross-border insolvency case of 1991.</w:t>
      </w:r>
      <w:r w:rsidR="0079050F">
        <w:rPr>
          <w:rFonts w:ascii="Arial" w:hAnsi="Arial" w:cs="Arial"/>
          <w:color w:val="7B7B7B" w:themeColor="accent3" w:themeShade="BF"/>
          <w:sz w:val="22"/>
          <w:szCs w:val="22"/>
          <w:lang w:val="en-GB"/>
        </w:rPr>
        <w:t xml:space="preserve"> The case involved two primary insolvency proceedings initiated by a single debtor, one in the United States and the other in the United Kingdom. There was appointment of two different and separate insolvency representatives in the two States, each charged with a similar responsibility.</w:t>
      </w:r>
      <w:r w:rsidR="001300AA">
        <w:rPr>
          <w:rFonts w:ascii="Arial" w:hAnsi="Arial" w:cs="Arial"/>
          <w:color w:val="7B7B7B" w:themeColor="accent3" w:themeShade="BF"/>
          <w:sz w:val="22"/>
          <w:szCs w:val="22"/>
          <w:lang w:val="en-GB"/>
        </w:rPr>
        <w:t xml:space="preserve"> The United States and English judges independently raised with their respective counsel the idea that an insolvency agreement between the two administrations could resolve conflict and facilitate the exchange of information.</w:t>
      </w:r>
      <w:r w:rsidR="00C84449">
        <w:rPr>
          <w:rFonts w:ascii="Arial" w:hAnsi="Arial" w:cs="Arial"/>
          <w:color w:val="7B7B7B" w:themeColor="accent3" w:themeShade="BF"/>
          <w:sz w:val="22"/>
          <w:szCs w:val="22"/>
          <w:lang w:val="en-GB"/>
        </w:rPr>
        <w:t xml:space="preserve"> Under the agreement, two goals were set to guide the insolvency representatives; maximizing the value of the estate and harmonizing the proceedings to minimize expense, waste and jurisdictional conflict.</w:t>
      </w:r>
      <w:r w:rsidR="00D82199">
        <w:rPr>
          <w:rFonts w:ascii="Arial" w:hAnsi="Arial" w:cs="Arial"/>
          <w:color w:val="7B7B7B" w:themeColor="accent3" w:themeShade="BF"/>
          <w:sz w:val="22"/>
          <w:szCs w:val="22"/>
          <w:lang w:val="en-GB"/>
        </w:rPr>
        <w:t xml:space="preserve"> The parties agreed essentially that the United States court would defer to the English proceedings, once it was </w:t>
      </w:r>
      <w:r w:rsidR="00D82199">
        <w:rPr>
          <w:rFonts w:ascii="Arial" w:hAnsi="Arial" w:cs="Arial"/>
          <w:color w:val="7B7B7B" w:themeColor="accent3" w:themeShade="BF"/>
          <w:sz w:val="22"/>
          <w:szCs w:val="22"/>
          <w:lang w:val="en-GB"/>
        </w:rPr>
        <w:lastRenderedPageBreak/>
        <w:t>determined that certain criteria were present.</w:t>
      </w:r>
      <w:r w:rsidR="002A78AD">
        <w:rPr>
          <w:rFonts w:ascii="Arial" w:hAnsi="Arial" w:cs="Arial"/>
          <w:color w:val="7B7B7B" w:themeColor="accent3" w:themeShade="BF"/>
          <w:sz w:val="22"/>
          <w:szCs w:val="22"/>
          <w:lang w:val="en-GB"/>
        </w:rPr>
        <w:t xml:space="preserve"> Specificities included that some existing management would be retained in the interest of maintaining the debtor’s going concern value, but the English insolvency representatives would be allowed, with the consent of their United States counterpart, to select new and independent directors;</w:t>
      </w:r>
      <w:r w:rsidR="000635F9">
        <w:rPr>
          <w:rFonts w:ascii="Arial" w:hAnsi="Arial" w:cs="Arial"/>
          <w:color w:val="7B7B7B" w:themeColor="accent3" w:themeShade="BF"/>
          <w:sz w:val="22"/>
          <w:szCs w:val="22"/>
          <w:lang w:val="en-GB"/>
        </w:rPr>
        <w:t xml:space="preserve"> the English insolvency representatives should only incur debt or file a reorganization plan with the consent of the United States insolvency representative or the United States Court;</w:t>
      </w:r>
      <w:r w:rsidR="007D4955">
        <w:rPr>
          <w:rFonts w:ascii="Arial" w:hAnsi="Arial" w:cs="Arial"/>
          <w:color w:val="7B7B7B" w:themeColor="accent3" w:themeShade="BF"/>
          <w:sz w:val="22"/>
          <w:szCs w:val="22"/>
          <w:lang w:val="en-GB"/>
        </w:rPr>
        <w:t xml:space="preserve"> and the English insolvency representatives should give prior notice to the United States insolvency representative before undertaking any major transaction on behalf of the debtor, but were pre-authorised to undertake lesser transactions.</w:t>
      </w:r>
      <w:r w:rsidR="008E614A">
        <w:rPr>
          <w:rFonts w:ascii="Arial" w:hAnsi="Arial" w:cs="Arial"/>
          <w:color w:val="7B7B7B" w:themeColor="accent3" w:themeShade="BF"/>
          <w:sz w:val="22"/>
          <w:szCs w:val="22"/>
          <w:lang w:val="en-GB"/>
        </w:rPr>
        <w:t xml:space="preserve"> Many issues were however purposely left out of the agreement to be resolved during the course of proceedings.</w:t>
      </w:r>
      <w:r w:rsidR="000659FB">
        <w:rPr>
          <w:rFonts w:ascii="Arial" w:hAnsi="Arial" w:cs="Arial"/>
          <w:color w:val="7B7B7B" w:themeColor="accent3" w:themeShade="BF"/>
          <w:sz w:val="22"/>
          <w:szCs w:val="22"/>
          <w:lang w:val="en-GB"/>
        </w:rPr>
        <w:t xml:space="preserve"> Some of those issues, such as distribution matters, were later included in an extension of the agreement</w:t>
      </w:r>
      <w:r w:rsidR="00B84575">
        <w:rPr>
          <w:rStyle w:val="FootnoteReference"/>
          <w:rFonts w:ascii="Arial" w:hAnsi="Arial" w:cs="Arial"/>
          <w:color w:val="7B7B7B" w:themeColor="accent3" w:themeShade="BF"/>
          <w:sz w:val="22"/>
          <w:szCs w:val="22"/>
          <w:lang w:val="en-GB"/>
        </w:rPr>
        <w:footnoteReference w:id="25"/>
      </w:r>
      <w:r w:rsidR="000659FB">
        <w:rPr>
          <w:rFonts w:ascii="Arial" w:hAnsi="Arial" w:cs="Arial"/>
          <w:color w:val="7B7B7B" w:themeColor="accent3" w:themeShade="BF"/>
          <w:sz w:val="22"/>
          <w:szCs w:val="22"/>
          <w:lang w:val="en-GB"/>
        </w:rPr>
        <w:t>.</w:t>
      </w:r>
    </w:p>
    <w:p w14:paraId="657D2A62" w14:textId="77777777" w:rsidR="00976A6A" w:rsidRDefault="00976A6A" w:rsidP="00B7193E">
      <w:pPr>
        <w:jc w:val="both"/>
        <w:rPr>
          <w:rFonts w:ascii="Arial" w:hAnsi="Arial" w:cs="Arial"/>
          <w:color w:val="7B7B7B" w:themeColor="accent3" w:themeShade="BF"/>
          <w:sz w:val="22"/>
          <w:szCs w:val="22"/>
          <w:lang w:val="en-GB"/>
        </w:rPr>
      </w:pPr>
    </w:p>
    <w:p w14:paraId="13D2E346" w14:textId="77777777" w:rsidR="009B41E3" w:rsidRDefault="00976A6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parties’ approach in this case brought about a new approach in complex international insolvency proceeding and process where the parties can by consent agree to reduce or minimize conflict by putting in place a workable structure to coordinate such complex proceedings with approval of the courts</w:t>
      </w:r>
      <w:r w:rsidR="003F2500">
        <w:rPr>
          <w:rStyle w:val="FootnoteReference"/>
          <w:rFonts w:ascii="Arial" w:hAnsi="Arial" w:cs="Arial"/>
          <w:color w:val="7B7B7B" w:themeColor="accent3" w:themeShade="BF"/>
          <w:sz w:val="22"/>
          <w:szCs w:val="22"/>
          <w:lang w:val="en-GB"/>
        </w:rPr>
        <w:footnoteReference w:id="26"/>
      </w:r>
      <w:r>
        <w:rPr>
          <w:rFonts w:ascii="Arial" w:hAnsi="Arial" w:cs="Arial"/>
          <w:color w:val="7B7B7B" w:themeColor="accent3" w:themeShade="BF"/>
          <w:sz w:val="22"/>
          <w:szCs w:val="22"/>
          <w:lang w:val="en-GB"/>
        </w:rPr>
        <w:t>.</w:t>
      </w:r>
      <w:r w:rsidR="00E44C59">
        <w:rPr>
          <w:rFonts w:ascii="Arial" w:hAnsi="Arial" w:cs="Arial"/>
          <w:color w:val="7B7B7B" w:themeColor="accent3" w:themeShade="BF"/>
          <w:sz w:val="22"/>
          <w:szCs w:val="22"/>
          <w:lang w:val="en-GB"/>
        </w:rPr>
        <w:t xml:space="preserve"> IBA and its Concordat</w:t>
      </w:r>
      <w:r w:rsidR="00905F74">
        <w:rPr>
          <w:rFonts w:ascii="Arial" w:hAnsi="Arial" w:cs="Arial"/>
          <w:color w:val="7B7B7B" w:themeColor="accent3" w:themeShade="BF"/>
          <w:sz w:val="22"/>
          <w:szCs w:val="22"/>
          <w:lang w:val="en-GB"/>
        </w:rPr>
        <w:t xml:space="preserve"> as a professional body has</w:t>
      </w:r>
      <w:r w:rsidR="00E44C59">
        <w:rPr>
          <w:rFonts w:ascii="Arial" w:hAnsi="Arial" w:cs="Arial"/>
          <w:color w:val="7B7B7B" w:themeColor="accent3" w:themeShade="BF"/>
          <w:sz w:val="22"/>
          <w:szCs w:val="22"/>
          <w:lang w:val="en-GB"/>
        </w:rPr>
        <w:t xml:space="preserve"> encouraged the outcome of the above case.</w:t>
      </w:r>
      <w:r w:rsidR="00905F74">
        <w:rPr>
          <w:rFonts w:ascii="Arial" w:hAnsi="Arial" w:cs="Arial"/>
          <w:color w:val="7B7B7B" w:themeColor="accent3" w:themeShade="BF"/>
          <w:sz w:val="22"/>
          <w:szCs w:val="22"/>
          <w:lang w:val="en-GB"/>
        </w:rPr>
        <w:t xml:space="preserve"> </w:t>
      </w:r>
      <w:r w:rsidR="006F7014">
        <w:rPr>
          <w:rFonts w:ascii="Arial" w:hAnsi="Arial" w:cs="Arial"/>
          <w:color w:val="7B7B7B" w:themeColor="accent3" w:themeShade="BF"/>
          <w:sz w:val="22"/>
          <w:szCs w:val="22"/>
          <w:lang w:val="en-GB"/>
        </w:rPr>
        <w:t>Also, the cooperation and communication achieved in the case may have also contributed to the development of the UNCITRAL Practical Guide on Cross-Border Insolvency Cooperation which has provided information for insolvency practitioners and judges on practical aspects of cooperation and communication in cross- border insolvency cases through the use and negotiation of cross-border agreements, even though it is h</w:t>
      </w:r>
      <w:r w:rsidR="00BB68C9">
        <w:rPr>
          <w:rFonts w:ascii="Arial" w:hAnsi="Arial" w:cs="Arial"/>
          <w:color w:val="7B7B7B" w:themeColor="accent3" w:themeShade="BF"/>
          <w:sz w:val="22"/>
          <w:szCs w:val="22"/>
          <w:lang w:val="en-GB"/>
        </w:rPr>
        <w:t>owever not prescriptive, it has helped to foster cooperation through parties agreements based on the parties specific needs.</w:t>
      </w:r>
    </w:p>
    <w:p w14:paraId="056E03DC" w14:textId="77777777" w:rsidR="009B41E3" w:rsidRDefault="009B41E3" w:rsidP="00B7193E">
      <w:pPr>
        <w:jc w:val="both"/>
        <w:rPr>
          <w:rFonts w:ascii="Arial" w:hAnsi="Arial" w:cs="Arial"/>
          <w:color w:val="7B7B7B" w:themeColor="accent3" w:themeShade="BF"/>
          <w:sz w:val="22"/>
          <w:szCs w:val="22"/>
          <w:lang w:val="en-GB"/>
        </w:rPr>
      </w:pPr>
    </w:p>
    <w:p w14:paraId="5DAF5DDB" w14:textId="77777777" w:rsidR="00B17449" w:rsidRDefault="009B41E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Nortel Networks case</w:t>
      </w:r>
      <w:r>
        <w:rPr>
          <w:rStyle w:val="FootnoteReference"/>
          <w:rFonts w:ascii="Arial" w:hAnsi="Arial" w:cs="Arial"/>
          <w:color w:val="7B7B7B" w:themeColor="accent3" w:themeShade="BF"/>
          <w:sz w:val="22"/>
          <w:szCs w:val="22"/>
          <w:lang w:val="en-GB"/>
        </w:rPr>
        <w:footnoteReference w:id="27"/>
      </w:r>
      <w:r>
        <w:rPr>
          <w:rFonts w:ascii="Arial" w:hAnsi="Arial" w:cs="Arial"/>
          <w:color w:val="7B7B7B" w:themeColor="accent3" w:themeShade="BF"/>
          <w:sz w:val="22"/>
          <w:szCs w:val="22"/>
          <w:lang w:val="en-GB"/>
        </w:rPr>
        <w:t>,</w:t>
      </w:r>
      <w:r w:rsidR="008F7BD9">
        <w:rPr>
          <w:rFonts w:ascii="Arial" w:hAnsi="Arial" w:cs="Arial"/>
          <w:color w:val="7B7B7B" w:themeColor="accent3" w:themeShade="BF"/>
          <w:sz w:val="22"/>
          <w:szCs w:val="22"/>
          <w:lang w:val="en-GB"/>
        </w:rPr>
        <w:t xml:space="preserve"> subsequent co-ordination and co-operation shown in the conduct of the concurrent insolvency proceedings in North America extended to a joint electronic trial, using video link, in the Ontario Court of Justice (Commercial List) and the US Bankruptcy Court for the District of Delaware on an allocation dispute.</w:t>
      </w:r>
      <w:r w:rsidR="00B603F8">
        <w:rPr>
          <w:rFonts w:ascii="Arial" w:hAnsi="Arial" w:cs="Arial"/>
          <w:color w:val="7B7B7B" w:themeColor="accent3" w:themeShade="BF"/>
          <w:sz w:val="22"/>
          <w:szCs w:val="22"/>
          <w:lang w:val="en-GB"/>
        </w:rPr>
        <w:t xml:space="preserve"> What was in issue was the distri</w:t>
      </w:r>
      <w:r w:rsidR="005029BC">
        <w:rPr>
          <w:rFonts w:ascii="Arial" w:hAnsi="Arial" w:cs="Arial"/>
          <w:color w:val="7B7B7B" w:themeColor="accent3" w:themeShade="BF"/>
          <w:sz w:val="22"/>
          <w:szCs w:val="22"/>
          <w:lang w:val="en-GB"/>
        </w:rPr>
        <w:t>b</w:t>
      </w:r>
      <w:r w:rsidR="00B603F8">
        <w:rPr>
          <w:rFonts w:ascii="Arial" w:hAnsi="Arial" w:cs="Arial"/>
          <w:color w:val="7B7B7B" w:themeColor="accent3" w:themeShade="BF"/>
          <w:sz w:val="22"/>
          <w:szCs w:val="22"/>
          <w:lang w:val="en-GB"/>
        </w:rPr>
        <w:t>ution</w:t>
      </w:r>
      <w:r w:rsidR="005029BC">
        <w:rPr>
          <w:rFonts w:ascii="Arial" w:hAnsi="Arial" w:cs="Arial"/>
          <w:color w:val="7B7B7B" w:themeColor="accent3" w:themeShade="BF"/>
          <w:sz w:val="22"/>
          <w:szCs w:val="22"/>
          <w:lang w:val="en-GB"/>
        </w:rPr>
        <w:t xml:space="preserve"> of some USD 7.3billion in funds from the sale of Nortel business lines and intellectual property.</w:t>
      </w:r>
      <w:r>
        <w:rPr>
          <w:rFonts w:ascii="Arial" w:hAnsi="Arial" w:cs="Arial"/>
          <w:color w:val="7B7B7B" w:themeColor="accent3" w:themeShade="BF"/>
          <w:sz w:val="22"/>
          <w:szCs w:val="22"/>
          <w:lang w:val="en-GB"/>
        </w:rPr>
        <w:t xml:space="preserve"> </w:t>
      </w:r>
      <w:r w:rsidR="005029BC">
        <w:rPr>
          <w:rFonts w:ascii="Arial" w:hAnsi="Arial" w:cs="Arial"/>
          <w:color w:val="7B7B7B" w:themeColor="accent3" w:themeShade="BF"/>
          <w:sz w:val="22"/>
          <w:szCs w:val="22"/>
          <w:lang w:val="en-GB"/>
        </w:rPr>
        <w:t>The joint trial arose out of arrangements by the parties as part of the process of selling the assets as well as from the Protocol that had been approved by the relevant US and Canadian courts.</w:t>
      </w:r>
      <w:r>
        <w:rPr>
          <w:rFonts w:ascii="Arial" w:hAnsi="Arial" w:cs="Arial"/>
          <w:color w:val="7B7B7B" w:themeColor="accent3" w:themeShade="BF"/>
          <w:sz w:val="22"/>
          <w:szCs w:val="22"/>
          <w:lang w:val="en-GB"/>
        </w:rPr>
        <w:t xml:space="preserve">   </w:t>
      </w:r>
    </w:p>
    <w:p w14:paraId="15499618" w14:textId="77777777" w:rsidR="00B17449" w:rsidRDefault="00B17449" w:rsidP="00B7193E">
      <w:pPr>
        <w:jc w:val="both"/>
        <w:rPr>
          <w:rFonts w:ascii="Arial" w:hAnsi="Arial" w:cs="Arial"/>
          <w:color w:val="7B7B7B" w:themeColor="accent3" w:themeShade="BF"/>
          <w:sz w:val="22"/>
          <w:szCs w:val="22"/>
          <w:lang w:val="en-GB"/>
        </w:rPr>
      </w:pPr>
    </w:p>
    <w:p w14:paraId="467C7A56" w14:textId="77777777" w:rsidR="007F7E1D" w:rsidRDefault="00B1744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significant glo</w:t>
      </w:r>
      <w:r w:rsidR="007F7E1D">
        <w:rPr>
          <w:rFonts w:ascii="Arial" w:hAnsi="Arial" w:cs="Arial"/>
          <w:color w:val="7B7B7B" w:themeColor="accent3" w:themeShade="BF"/>
          <w:sz w:val="22"/>
          <w:szCs w:val="22"/>
          <w:lang w:val="en-GB"/>
        </w:rPr>
        <w:t>bal developments adopting the approach of the use of Protocols or Cross-Border Insolvency Agreements include:</w:t>
      </w:r>
    </w:p>
    <w:p w14:paraId="004713E7" w14:textId="77777777" w:rsidR="00A82A0C" w:rsidRPr="00A82A0C" w:rsidRDefault="007F7E1D" w:rsidP="007F7E1D">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The ALI NAFTA Guidelines Applicable to Court-to-Court Communication in Cross-Border Cases published by the American Law Institute (III) in 2000;</w:t>
      </w:r>
    </w:p>
    <w:p w14:paraId="3E6F68B4" w14:textId="77777777" w:rsidR="00DA5F5D" w:rsidRPr="00DA5F5D" w:rsidRDefault="00A82A0C" w:rsidP="007F7E1D">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The ALI-III Global Guidelines Applicable to Court-to-Court Communication in Cross-Border cases pu</w:t>
      </w:r>
      <w:r w:rsidR="00DA5F5D">
        <w:rPr>
          <w:rFonts w:ascii="Arial" w:hAnsi="Arial" w:cs="Arial"/>
          <w:color w:val="7B7B7B" w:themeColor="accent3" w:themeShade="BF"/>
          <w:sz w:val="22"/>
          <w:szCs w:val="22"/>
          <w:lang w:val="en-GB"/>
        </w:rPr>
        <w:t>blished in 2012; and</w:t>
      </w:r>
    </w:p>
    <w:p w14:paraId="4E83D7AF" w14:textId="28DF4E6A" w:rsidR="00DF75F8" w:rsidRPr="007F7E1D" w:rsidRDefault="00DA5F5D" w:rsidP="007F7E1D">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The Judicial Insolvency Network Guidelines for Communication and Cooperation between Courts in Cross-Border Matters in 2016.</w:t>
      </w:r>
      <w:r w:rsidR="006763FD">
        <w:rPr>
          <w:rStyle w:val="FootnoteReference"/>
          <w:rFonts w:ascii="Arial" w:hAnsi="Arial" w:cs="Arial"/>
          <w:color w:val="7B7B7B" w:themeColor="accent3" w:themeShade="BF"/>
          <w:sz w:val="22"/>
          <w:szCs w:val="22"/>
          <w:lang w:val="en-GB"/>
        </w:rPr>
        <w:footnoteReference w:id="28"/>
      </w:r>
      <w:r w:rsidR="00DF75F8" w:rsidRPr="007F7E1D">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4"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82F3FE7" w14:textId="4601BA56" w:rsidR="00067E02" w:rsidRDefault="002F75A3"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422F46">
        <w:rPr>
          <w:rFonts w:ascii="Arial" w:hAnsi="Arial" w:cs="Arial"/>
          <w:color w:val="7B7B7B" w:themeColor="accent3" w:themeShade="BF"/>
          <w:sz w:val="22"/>
          <w:szCs w:val="22"/>
          <w:lang w:val="en-GB"/>
        </w:rPr>
        <w:t>First, further information is required on the country of the minor creditor to determine the insolvency law of the country that will be applicable and the e</w:t>
      </w:r>
      <w:r w:rsidR="00372045">
        <w:rPr>
          <w:rFonts w:ascii="Arial" w:hAnsi="Arial" w:cs="Arial"/>
          <w:color w:val="7B7B7B" w:themeColor="accent3" w:themeShade="BF"/>
          <w:sz w:val="22"/>
          <w:szCs w:val="22"/>
          <w:lang w:val="en-GB"/>
        </w:rPr>
        <w:t>xtent of the procedure to apply under the laws for the court’s jurisdiction in the proceeding.</w:t>
      </w:r>
      <w:r w:rsidR="00841261">
        <w:rPr>
          <w:rFonts w:ascii="Arial" w:hAnsi="Arial" w:cs="Arial"/>
          <w:color w:val="7B7B7B" w:themeColor="accent3" w:themeShade="BF"/>
          <w:sz w:val="22"/>
          <w:szCs w:val="22"/>
          <w:lang w:val="en-GB"/>
        </w:rPr>
        <w:t xml:space="preserve"> Where the minor creditor is a UK company, the UK Insolvency Act of 1986 will apply and the proceedings under the UK insolvency system will </w:t>
      </w:r>
      <w:r w:rsidR="00CA37FD">
        <w:rPr>
          <w:rFonts w:ascii="Arial" w:hAnsi="Arial" w:cs="Arial"/>
          <w:color w:val="7B7B7B" w:themeColor="accent3" w:themeShade="BF"/>
          <w:sz w:val="22"/>
          <w:szCs w:val="22"/>
          <w:lang w:val="en-GB"/>
        </w:rPr>
        <w:t>be adopted.</w:t>
      </w:r>
      <w:r w:rsidR="00AA3E08">
        <w:rPr>
          <w:rFonts w:ascii="Arial" w:hAnsi="Arial" w:cs="Arial"/>
          <w:color w:val="7B7B7B" w:themeColor="accent3" w:themeShade="BF"/>
          <w:sz w:val="22"/>
          <w:szCs w:val="22"/>
          <w:lang w:val="en-GB"/>
        </w:rPr>
        <w:t xml:space="preserve"> However, where the minor creditor is a foreign creditor, it may be required to be recognised by the </w:t>
      </w:r>
      <w:r w:rsidR="00C93059">
        <w:rPr>
          <w:rFonts w:ascii="Arial" w:hAnsi="Arial" w:cs="Arial"/>
          <w:color w:val="7B7B7B" w:themeColor="accent3" w:themeShade="BF"/>
          <w:sz w:val="22"/>
          <w:szCs w:val="22"/>
          <w:lang w:val="en-GB"/>
        </w:rPr>
        <w:t>act which has adopted the model law on cross-border insolvency.</w:t>
      </w:r>
      <w:r w:rsidR="00BB1F80">
        <w:rPr>
          <w:rFonts w:ascii="Arial" w:hAnsi="Arial" w:cs="Arial"/>
          <w:color w:val="7B7B7B" w:themeColor="accent3" w:themeShade="BF"/>
          <w:sz w:val="22"/>
          <w:szCs w:val="22"/>
          <w:lang w:val="en-GB"/>
        </w:rPr>
        <w:t xml:space="preserve"> The liquidator will be required to accept proofs lodged by the minor creditor where the minor creditor is a foreign creditor with respect to Rydell’s liabilities incurred overseas or governed by the foreign law of the minor creditor.</w:t>
      </w:r>
    </w:p>
    <w:p w14:paraId="53C7F783" w14:textId="77777777" w:rsidR="00067E02" w:rsidRDefault="00067E02" w:rsidP="00B7193E">
      <w:pPr>
        <w:jc w:val="both"/>
        <w:rPr>
          <w:rFonts w:ascii="Arial" w:hAnsi="Arial" w:cs="Arial"/>
          <w:color w:val="7B7B7B" w:themeColor="accent3" w:themeShade="BF"/>
          <w:sz w:val="22"/>
          <w:szCs w:val="22"/>
          <w:lang w:val="en-GB"/>
        </w:rPr>
      </w:pPr>
    </w:p>
    <w:p w14:paraId="42653831" w14:textId="356882E8" w:rsidR="00CE3741" w:rsidRDefault="00067E0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further information will also determine the domestic law on choice of law to be applied in the i</w:t>
      </w:r>
      <w:r w:rsidR="00BC6575">
        <w:rPr>
          <w:rFonts w:ascii="Arial" w:hAnsi="Arial" w:cs="Arial"/>
          <w:color w:val="7B7B7B" w:themeColor="accent3" w:themeShade="BF"/>
          <w:sz w:val="22"/>
          <w:szCs w:val="22"/>
          <w:lang w:val="en-GB"/>
        </w:rPr>
        <w:t>nsolvency proceeding opened in the UK where the minor creditor is a foreign creditor.</w:t>
      </w:r>
      <w:r w:rsidR="00F82E70">
        <w:rPr>
          <w:rFonts w:ascii="Arial" w:hAnsi="Arial" w:cs="Arial"/>
          <w:color w:val="7B7B7B" w:themeColor="accent3" w:themeShade="BF"/>
          <w:sz w:val="22"/>
          <w:szCs w:val="22"/>
          <w:lang w:val="en-GB"/>
        </w:rPr>
        <w:t xml:space="preserve"> Under the UK Insolvency Act 1986, where international element is involved, English law applies to matters of procedure and substance, like the procedure of lodging the proof of debt by the minor creditor while to establish the validity of the actual claim of the minor creditor which is governed by the foreign law of the minor creditor’s country, the UK insolvency law</w:t>
      </w:r>
      <w:r w:rsidR="00E4700B">
        <w:rPr>
          <w:rFonts w:ascii="Arial" w:hAnsi="Arial" w:cs="Arial"/>
          <w:color w:val="7B7B7B" w:themeColor="accent3" w:themeShade="BF"/>
          <w:sz w:val="22"/>
          <w:szCs w:val="22"/>
          <w:lang w:val="en-GB"/>
        </w:rPr>
        <w:t xml:space="preserve"> may require reference to the minor creditor’s country’s law to establish the claim against Rydell</w:t>
      </w:r>
      <w:r w:rsidR="00B42AD5">
        <w:rPr>
          <w:rStyle w:val="FootnoteReference"/>
          <w:rFonts w:ascii="Arial" w:hAnsi="Arial" w:cs="Arial"/>
          <w:color w:val="7B7B7B" w:themeColor="accent3" w:themeShade="BF"/>
          <w:sz w:val="22"/>
          <w:szCs w:val="22"/>
          <w:lang w:val="en-GB"/>
        </w:rPr>
        <w:footnoteReference w:id="29"/>
      </w:r>
      <w:r w:rsidR="00E4700B">
        <w:rPr>
          <w:rFonts w:ascii="Arial" w:hAnsi="Arial" w:cs="Arial"/>
          <w:color w:val="7B7B7B" w:themeColor="accent3" w:themeShade="BF"/>
          <w:sz w:val="22"/>
          <w:szCs w:val="22"/>
          <w:lang w:val="en-GB"/>
        </w:rPr>
        <w:t>.</w:t>
      </w:r>
      <w:r w:rsidR="00422F46">
        <w:rPr>
          <w:rFonts w:ascii="Arial" w:hAnsi="Arial" w:cs="Arial"/>
          <w:color w:val="7B7B7B" w:themeColor="accent3" w:themeShade="BF"/>
          <w:sz w:val="22"/>
          <w:szCs w:val="22"/>
          <w:lang w:val="en-GB"/>
        </w:rPr>
        <w:t xml:space="preserve"> </w:t>
      </w:r>
      <w:r w:rsidR="00B20BC8">
        <w:rPr>
          <w:rFonts w:ascii="Arial" w:hAnsi="Arial" w:cs="Arial"/>
          <w:color w:val="7B7B7B" w:themeColor="accent3" w:themeShade="BF"/>
          <w:sz w:val="22"/>
          <w:szCs w:val="22"/>
          <w:lang w:val="en-GB"/>
        </w:rPr>
        <w:t>However, the minor creditor’s proceeding against Rydell in the UK has been affected by the Corporate Insolvency and Governance Act, 2020 which has restricted winding-up petitions against UK companies affected by the Covid 19 pandemic</w:t>
      </w:r>
      <w:r w:rsidR="00381D07">
        <w:rPr>
          <w:rFonts w:ascii="Arial" w:hAnsi="Arial" w:cs="Arial"/>
          <w:color w:val="7B7B7B" w:themeColor="accent3" w:themeShade="BF"/>
          <w:sz w:val="22"/>
          <w:szCs w:val="22"/>
          <w:lang w:val="en-GB"/>
        </w:rPr>
        <w:t xml:space="preserve"> and has made provision for a company in UK to enter free-standing moratorium even where the company has been subject to an insolvency proceeding procedure in the previous 12 months.</w:t>
      </w:r>
      <w:r w:rsidR="00A137D3">
        <w:rPr>
          <w:rFonts w:ascii="Arial" w:hAnsi="Arial" w:cs="Arial"/>
          <w:color w:val="7B7B7B" w:themeColor="accent3" w:themeShade="BF"/>
          <w:sz w:val="22"/>
          <w:szCs w:val="22"/>
          <w:lang w:val="en-GB"/>
        </w:rPr>
        <w:t xml:space="preserve"> By the Act, Rydell can now enjoy breathing space within the relevant period provided under the Act from the insolvency proceeding opened against it in the UK by the minor creditor.</w:t>
      </w:r>
    </w:p>
    <w:p w14:paraId="6ABAC7BF" w14:textId="7568DFE2" w:rsidR="00CE3741" w:rsidRDefault="00CE3741" w:rsidP="00B7193E">
      <w:pPr>
        <w:jc w:val="both"/>
        <w:rPr>
          <w:rFonts w:ascii="Arial" w:hAnsi="Arial" w:cs="Arial"/>
          <w:color w:val="7B7B7B" w:themeColor="accent3" w:themeShade="BF"/>
          <w:sz w:val="22"/>
          <w:szCs w:val="22"/>
          <w:lang w:val="en-GB"/>
        </w:rPr>
      </w:pPr>
    </w:p>
    <w:p w14:paraId="0130A933" w14:textId="77777777" w:rsidR="00FB634D" w:rsidRDefault="00CE374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Fernz </w:t>
      </w:r>
      <w:r w:rsidR="00F13379">
        <w:rPr>
          <w:rFonts w:ascii="Arial" w:hAnsi="Arial" w:cs="Arial"/>
          <w:color w:val="7B7B7B" w:themeColor="accent3" w:themeShade="BF"/>
          <w:sz w:val="22"/>
          <w:szCs w:val="22"/>
          <w:lang w:val="en-GB"/>
        </w:rPr>
        <w:t>consideration to opening proceedings a month later in another country in Europe, a member of the European Union, such consideration is possible under the European Insolvency Regulation recast only to the extent that the proceeding will be a subsidiary territorial proceeding in the country where Rydell establishment</w:t>
      </w:r>
      <w:r w:rsidR="005A6D32">
        <w:rPr>
          <w:rFonts w:ascii="Arial" w:hAnsi="Arial" w:cs="Arial"/>
          <w:color w:val="7B7B7B" w:themeColor="accent3" w:themeShade="BF"/>
          <w:sz w:val="22"/>
          <w:szCs w:val="22"/>
          <w:lang w:val="en-GB"/>
        </w:rPr>
        <w:t xml:space="preserve"> or asset can be found among the member states of the European Union since Rydell’s center of main interest is located in UK now outside of the European Union due to the effect of Brexit.</w:t>
      </w:r>
      <w:r w:rsidR="00A52ED9">
        <w:rPr>
          <w:rFonts w:ascii="Arial" w:hAnsi="Arial" w:cs="Arial"/>
          <w:color w:val="7B7B7B" w:themeColor="accent3" w:themeShade="BF"/>
          <w:sz w:val="22"/>
          <w:szCs w:val="22"/>
          <w:lang w:val="en-GB"/>
        </w:rPr>
        <w:t xml:space="preserve"> By the EIR (Recast), such subsidiary territorial proceedings may be independent of the main proceeding in the </w:t>
      </w:r>
      <w:r w:rsidR="00E3704D">
        <w:rPr>
          <w:rFonts w:ascii="Arial" w:hAnsi="Arial" w:cs="Arial"/>
          <w:color w:val="7B7B7B" w:themeColor="accent3" w:themeShade="BF"/>
          <w:sz w:val="22"/>
          <w:szCs w:val="22"/>
          <w:lang w:val="en-GB"/>
        </w:rPr>
        <w:t xml:space="preserve">UK and </w:t>
      </w:r>
      <w:r w:rsidR="00E3704D">
        <w:rPr>
          <w:rFonts w:ascii="Arial" w:hAnsi="Arial" w:cs="Arial"/>
          <w:color w:val="7B7B7B" w:themeColor="accent3" w:themeShade="BF"/>
          <w:sz w:val="22"/>
          <w:szCs w:val="22"/>
          <w:lang w:val="en-GB"/>
        </w:rPr>
        <w:lastRenderedPageBreak/>
        <w:t>with the effect of Brexit, Fernz will now need to seek recognition in the UK to initiate or commence or open insolvency proceeding in the UK</w:t>
      </w:r>
      <w:r w:rsidR="00C36C56">
        <w:rPr>
          <w:rFonts w:ascii="Arial" w:hAnsi="Arial" w:cs="Arial"/>
          <w:color w:val="7B7B7B" w:themeColor="accent3" w:themeShade="BF"/>
          <w:sz w:val="22"/>
          <w:szCs w:val="22"/>
          <w:lang w:val="en-GB"/>
        </w:rPr>
        <w:t xml:space="preserve"> with respect to Rydell’s asset in the UK.</w:t>
      </w:r>
    </w:p>
    <w:p w14:paraId="6904C656" w14:textId="77777777" w:rsidR="00FB634D" w:rsidRDefault="00FB634D" w:rsidP="00B7193E">
      <w:pPr>
        <w:jc w:val="both"/>
        <w:rPr>
          <w:rFonts w:ascii="Arial" w:hAnsi="Arial" w:cs="Arial"/>
          <w:color w:val="7B7B7B" w:themeColor="accent3" w:themeShade="BF"/>
          <w:sz w:val="22"/>
          <w:szCs w:val="22"/>
          <w:lang w:val="en-GB"/>
        </w:rPr>
      </w:pPr>
    </w:p>
    <w:p w14:paraId="2574C6A7" w14:textId="77777777" w:rsidR="008E111C" w:rsidRDefault="00FB634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with</w:t>
      </w:r>
      <w:r w:rsidR="008332E4">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effect of the</w:t>
      </w:r>
      <w:r w:rsidR="008332E4">
        <w:rPr>
          <w:rFonts w:ascii="Arial" w:hAnsi="Arial" w:cs="Arial"/>
          <w:color w:val="7B7B7B" w:themeColor="accent3" w:themeShade="BF"/>
          <w:sz w:val="22"/>
          <w:szCs w:val="22"/>
          <w:lang w:val="en-GB"/>
        </w:rPr>
        <w:t xml:space="preserve"> UK</w:t>
      </w:r>
      <w:r>
        <w:rPr>
          <w:rFonts w:ascii="Arial" w:hAnsi="Arial" w:cs="Arial"/>
          <w:color w:val="7B7B7B" w:themeColor="accent3" w:themeShade="BF"/>
          <w:sz w:val="22"/>
          <w:szCs w:val="22"/>
          <w:lang w:val="en-GB"/>
        </w:rPr>
        <w:t xml:space="preserve"> Corporate Insolvency and Governance Act</w:t>
      </w:r>
      <w:r w:rsidR="004709F1">
        <w:rPr>
          <w:rFonts w:ascii="Arial" w:hAnsi="Arial" w:cs="Arial"/>
          <w:color w:val="7B7B7B" w:themeColor="accent3" w:themeShade="BF"/>
          <w:sz w:val="22"/>
          <w:szCs w:val="22"/>
          <w:lang w:val="en-GB"/>
        </w:rPr>
        <w:t xml:space="preserve"> (CIGA) 2020</w:t>
      </w:r>
      <w:r>
        <w:rPr>
          <w:rFonts w:ascii="Arial" w:hAnsi="Arial" w:cs="Arial"/>
          <w:color w:val="7B7B7B" w:themeColor="accent3" w:themeShade="BF"/>
          <w:sz w:val="22"/>
          <w:szCs w:val="22"/>
          <w:lang w:val="en-GB"/>
        </w:rPr>
        <w:t xml:space="preserve"> which was passed into law on 25</w:t>
      </w:r>
      <w:r w:rsidRPr="00FB634D">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2020 and became effective o</w:t>
      </w:r>
      <w:r w:rsidR="004709F1">
        <w:rPr>
          <w:rFonts w:ascii="Arial" w:hAnsi="Arial" w:cs="Arial"/>
          <w:color w:val="7B7B7B" w:themeColor="accent3" w:themeShade="BF"/>
          <w:sz w:val="22"/>
          <w:szCs w:val="22"/>
          <w:lang w:val="en-GB"/>
        </w:rPr>
        <w:t>n 26</w:t>
      </w:r>
      <w:r w:rsidR="004709F1" w:rsidRPr="004709F1">
        <w:rPr>
          <w:rFonts w:ascii="Arial" w:hAnsi="Arial" w:cs="Arial"/>
          <w:color w:val="7B7B7B" w:themeColor="accent3" w:themeShade="BF"/>
          <w:sz w:val="22"/>
          <w:szCs w:val="22"/>
          <w:vertAlign w:val="superscript"/>
          <w:lang w:val="en-GB"/>
        </w:rPr>
        <w:t>th</w:t>
      </w:r>
      <w:r w:rsidR="004709F1">
        <w:rPr>
          <w:rFonts w:ascii="Arial" w:hAnsi="Arial" w:cs="Arial"/>
          <w:color w:val="7B7B7B" w:themeColor="accent3" w:themeShade="BF"/>
          <w:sz w:val="22"/>
          <w:szCs w:val="22"/>
          <w:lang w:val="en-GB"/>
        </w:rPr>
        <w:t xml:space="preserve"> June, 2020, Fernz by the 18</w:t>
      </w:r>
      <w:r w:rsidR="004709F1" w:rsidRPr="004709F1">
        <w:rPr>
          <w:rFonts w:ascii="Arial" w:hAnsi="Arial" w:cs="Arial"/>
          <w:color w:val="7B7B7B" w:themeColor="accent3" w:themeShade="BF"/>
          <w:sz w:val="22"/>
          <w:szCs w:val="22"/>
          <w:vertAlign w:val="superscript"/>
          <w:lang w:val="en-GB"/>
        </w:rPr>
        <w:t>th</w:t>
      </w:r>
      <w:r w:rsidR="004709F1">
        <w:rPr>
          <w:rFonts w:ascii="Arial" w:hAnsi="Arial" w:cs="Arial"/>
          <w:color w:val="7B7B7B" w:themeColor="accent3" w:themeShade="BF"/>
          <w:sz w:val="22"/>
          <w:szCs w:val="22"/>
          <w:lang w:val="en-GB"/>
        </w:rPr>
        <w:t xml:space="preserve"> of July, 2020 can no longer open proceedings against Rydell’s assets in the UK within the relevant period provided by CIGA 2020</w:t>
      </w:r>
      <w:r w:rsidR="008332E4">
        <w:rPr>
          <w:rFonts w:ascii="Arial" w:hAnsi="Arial" w:cs="Arial"/>
          <w:color w:val="7B7B7B" w:themeColor="accent3" w:themeShade="BF"/>
          <w:sz w:val="22"/>
          <w:szCs w:val="22"/>
          <w:lang w:val="en-GB"/>
        </w:rPr>
        <w:t xml:space="preserve"> to</w:t>
      </w:r>
      <w:r w:rsidR="00335D0A">
        <w:rPr>
          <w:rFonts w:ascii="Arial" w:hAnsi="Arial" w:cs="Arial"/>
          <w:color w:val="7B7B7B" w:themeColor="accent3" w:themeShade="BF"/>
          <w:sz w:val="22"/>
          <w:szCs w:val="22"/>
          <w:lang w:val="en-GB"/>
        </w:rPr>
        <w:t xml:space="preserve"> protect UK companies who are unable to pay </w:t>
      </w:r>
      <w:r w:rsidR="00B153C5">
        <w:rPr>
          <w:rFonts w:ascii="Arial" w:hAnsi="Arial" w:cs="Arial"/>
          <w:color w:val="7B7B7B" w:themeColor="accent3" w:themeShade="BF"/>
          <w:sz w:val="22"/>
          <w:szCs w:val="22"/>
          <w:lang w:val="en-GB"/>
        </w:rPr>
        <w:t>thier</w:t>
      </w:r>
      <w:r w:rsidR="00335D0A">
        <w:rPr>
          <w:rFonts w:ascii="Arial" w:hAnsi="Arial" w:cs="Arial"/>
          <w:color w:val="7B7B7B" w:themeColor="accent3" w:themeShade="BF"/>
          <w:sz w:val="22"/>
          <w:szCs w:val="22"/>
          <w:lang w:val="en-GB"/>
        </w:rPr>
        <w:t xml:space="preserve"> debts due to the effect of the Covid 19 pandemic. </w:t>
      </w:r>
      <w:r w:rsidR="00DC4874">
        <w:rPr>
          <w:rFonts w:ascii="Arial" w:hAnsi="Arial" w:cs="Arial"/>
          <w:color w:val="7B7B7B" w:themeColor="accent3" w:themeShade="BF"/>
          <w:sz w:val="22"/>
          <w:szCs w:val="22"/>
          <w:lang w:val="en-GB"/>
        </w:rPr>
        <w:t>The CIGA (2020) which became effective on 26</w:t>
      </w:r>
      <w:r w:rsidR="00DC4874" w:rsidRPr="00DC4874">
        <w:rPr>
          <w:rFonts w:ascii="Arial" w:hAnsi="Arial" w:cs="Arial"/>
          <w:color w:val="7B7B7B" w:themeColor="accent3" w:themeShade="BF"/>
          <w:sz w:val="22"/>
          <w:szCs w:val="22"/>
          <w:vertAlign w:val="superscript"/>
          <w:lang w:val="en-GB"/>
        </w:rPr>
        <w:t>th</w:t>
      </w:r>
      <w:r w:rsidR="00DC4874">
        <w:rPr>
          <w:rFonts w:ascii="Arial" w:hAnsi="Arial" w:cs="Arial"/>
          <w:color w:val="7B7B7B" w:themeColor="accent3" w:themeShade="BF"/>
          <w:sz w:val="22"/>
          <w:szCs w:val="22"/>
          <w:lang w:val="en-GB"/>
        </w:rPr>
        <w:t xml:space="preserve"> June, 2020 had made provision for a new restructuring plan to help viable companies struggling with debt obligations. By the Act, the UK Courts can sanction a restructuring plan (that binds creditors) where it is fair and equitable to do so. Creditors’ </w:t>
      </w:r>
      <w:r w:rsidR="004046A6">
        <w:rPr>
          <w:rFonts w:ascii="Arial" w:hAnsi="Arial" w:cs="Arial"/>
          <w:color w:val="7B7B7B" w:themeColor="accent3" w:themeShade="BF"/>
          <w:sz w:val="22"/>
          <w:szCs w:val="22"/>
          <w:lang w:val="en-GB"/>
        </w:rPr>
        <w:t>may also be allowed to vote on the plan</w:t>
      </w:r>
      <w:r w:rsidR="000A2B39">
        <w:rPr>
          <w:rFonts w:ascii="Arial" w:hAnsi="Arial" w:cs="Arial"/>
          <w:color w:val="7B7B7B" w:themeColor="accent3" w:themeShade="BF"/>
          <w:sz w:val="22"/>
          <w:szCs w:val="22"/>
          <w:lang w:val="en-GB"/>
        </w:rPr>
        <w:t xml:space="preserve"> which the court can also impose on dissenting creditors.</w:t>
      </w:r>
      <w:r w:rsidR="00F808F9">
        <w:rPr>
          <w:rFonts w:ascii="Arial" w:hAnsi="Arial" w:cs="Arial"/>
          <w:color w:val="7B7B7B" w:themeColor="accent3" w:themeShade="BF"/>
          <w:sz w:val="22"/>
          <w:szCs w:val="22"/>
          <w:lang w:val="en-GB"/>
        </w:rPr>
        <w:t xml:space="preserve"> The Act also provided a free-standing moratorium that Rydell now enjoys to give Rydell a breathing space in which it can pursue a rescue or restructuring up to 30</w:t>
      </w:r>
      <w:r w:rsidR="00F808F9" w:rsidRPr="00F808F9">
        <w:rPr>
          <w:rFonts w:ascii="Arial" w:hAnsi="Arial" w:cs="Arial"/>
          <w:color w:val="7B7B7B" w:themeColor="accent3" w:themeShade="BF"/>
          <w:sz w:val="22"/>
          <w:szCs w:val="22"/>
          <w:vertAlign w:val="superscript"/>
          <w:lang w:val="en-GB"/>
        </w:rPr>
        <w:t>th</w:t>
      </w:r>
      <w:r w:rsidR="00F808F9">
        <w:rPr>
          <w:rFonts w:ascii="Arial" w:hAnsi="Arial" w:cs="Arial"/>
          <w:color w:val="7B7B7B" w:themeColor="accent3" w:themeShade="BF"/>
          <w:sz w:val="22"/>
          <w:szCs w:val="22"/>
          <w:lang w:val="en-GB"/>
        </w:rPr>
        <w:t xml:space="preserve"> September, 2021</w:t>
      </w:r>
      <w:r w:rsidR="002F00D5">
        <w:rPr>
          <w:rFonts w:ascii="Arial" w:hAnsi="Arial" w:cs="Arial"/>
          <w:color w:val="7B7B7B" w:themeColor="accent3" w:themeShade="BF"/>
          <w:sz w:val="22"/>
          <w:szCs w:val="22"/>
          <w:lang w:val="en-GB"/>
        </w:rPr>
        <w:t>, the effect of wish Fernz cannot take action against Rydell’s assets in the UK.</w:t>
      </w:r>
      <w:r w:rsidR="003B34CF">
        <w:rPr>
          <w:rFonts w:ascii="Arial" w:hAnsi="Arial" w:cs="Arial"/>
          <w:color w:val="7B7B7B" w:themeColor="accent3" w:themeShade="BF"/>
          <w:sz w:val="22"/>
          <w:szCs w:val="22"/>
          <w:lang w:val="en-GB"/>
        </w:rPr>
        <w:t xml:space="preserve"> Also</w:t>
      </w:r>
      <w:r w:rsidR="00AA7E38">
        <w:rPr>
          <w:rFonts w:ascii="Arial" w:hAnsi="Arial" w:cs="Arial"/>
          <w:color w:val="7B7B7B" w:themeColor="accent3" w:themeShade="BF"/>
          <w:sz w:val="22"/>
          <w:szCs w:val="22"/>
          <w:lang w:val="en-GB"/>
        </w:rPr>
        <w:t>,</w:t>
      </w:r>
      <w:r w:rsidR="003B34CF">
        <w:rPr>
          <w:rFonts w:ascii="Arial" w:hAnsi="Arial" w:cs="Arial"/>
          <w:color w:val="7B7B7B" w:themeColor="accent3" w:themeShade="BF"/>
          <w:sz w:val="22"/>
          <w:szCs w:val="22"/>
          <w:lang w:val="en-GB"/>
        </w:rPr>
        <w:t xml:space="preserve"> by the Act, a company could enter a moratorium even where it has been subject to an insolvency procedure in the previous 12 months like Rydell was subject to the proceeding initiated by a minor creditor on 18</w:t>
      </w:r>
      <w:r w:rsidR="003B34CF" w:rsidRPr="003B34CF">
        <w:rPr>
          <w:rFonts w:ascii="Arial" w:hAnsi="Arial" w:cs="Arial"/>
          <w:color w:val="7B7B7B" w:themeColor="accent3" w:themeShade="BF"/>
          <w:sz w:val="22"/>
          <w:szCs w:val="22"/>
          <w:vertAlign w:val="superscript"/>
          <w:lang w:val="en-GB"/>
        </w:rPr>
        <w:t>th</w:t>
      </w:r>
      <w:r w:rsidR="003B34CF">
        <w:rPr>
          <w:rFonts w:ascii="Arial" w:hAnsi="Arial" w:cs="Arial"/>
          <w:color w:val="7B7B7B" w:themeColor="accent3" w:themeShade="BF"/>
          <w:sz w:val="22"/>
          <w:szCs w:val="22"/>
          <w:lang w:val="en-GB"/>
        </w:rPr>
        <w:t xml:space="preserve"> of June, 2020.</w:t>
      </w:r>
      <w:r w:rsidR="00712784">
        <w:rPr>
          <w:rFonts w:ascii="Arial" w:hAnsi="Arial" w:cs="Arial"/>
          <w:color w:val="7B7B7B" w:themeColor="accent3" w:themeShade="BF"/>
          <w:sz w:val="22"/>
          <w:szCs w:val="22"/>
          <w:lang w:val="en-GB"/>
        </w:rPr>
        <w:t xml:space="preserve"> Further, as a temporary measure to mitigate the Covid 19 pandemic, which was the reason for Rydell’s downturn in business, CIGA, 2020 also made restriction on winding-up petitions where the unpaid debt is due to Covid 19 pandemic.</w:t>
      </w:r>
      <w:r w:rsidR="002F00D5">
        <w:rPr>
          <w:rFonts w:ascii="Arial" w:hAnsi="Arial" w:cs="Arial"/>
          <w:color w:val="7B7B7B" w:themeColor="accent3" w:themeShade="BF"/>
          <w:sz w:val="22"/>
          <w:szCs w:val="22"/>
          <w:lang w:val="en-GB"/>
        </w:rPr>
        <w:t xml:space="preserve"> </w:t>
      </w:r>
      <w:r w:rsidR="00DC4874">
        <w:rPr>
          <w:rFonts w:ascii="Arial" w:hAnsi="Arial" w:cs="Arial"/>
          <w:color w:val="7B7B7B" w:themeColor="accent3" w:themeShade="BF"/>
          <w:sz w:val="22"/>
          <w:szCs w:val="22"/>
          <w:lang w:val="en-GB"/>
        </w:rPr>
        <w:t xml:space="preserve"> </w:t>
      </w:r>
    </w:p>
    <w:p w14:paraId="0D37BBBB" w14:textId="0BF5B0FD" w:rsidR="002F75A3" w:rsidRPr="008E111C" w:rsidRDefault="002F75A3"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Type your answer here]</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5"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5"/>
    <w:p w14:paraId="06CA1A12" w14:textId="77777777" w:rsidR="00015EE6" w:rsidRPr="00205B31" w:rsidRDefault="00015EE6" w:rsidP="00C45A03">
      <w:pPr>
        <w:jc w:val="both"/>
        <w:rPr>
          <w:rFonts w:ascii="Arial" w:hAnsi="Arial" w:cs="Arial"/>
          <w:sz w:val="22"/>
          <w:szCs w:val="22"/>
          <w:lang w:val="en-GB"/>
        </w:rPr>
      </w:pPr>
    </w:p>
    <w:p w14:paraId="6838E654" w14:textId="3352C49D" w:rsidR="00D85A64" w:rsidRDefault="00C45A03" w:rsidP="00C45A03">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626E20">
        <w:rPr>
          <w:rFonts w:ascii="Arial" w:hAnsi="Arial" w:cs="Arial"/>
          <w:color w:val="7B7B7B" w:themeColor="accent3" w:themeShade="BF"/>
          <w:sz w:val="22"/>
          <w:szCs w:val="22"/>
          <w:lang w:val="en-GB"/>
        </w:rPr>
        <w:t xml:space="preserve"> My answer to 4.1 would have differed if the proceedings were opened in the UK on 18 June 2021 instead of 18 June 2020 because the provisions of the Corporate Insolvency and Governance Act, 2020</w:t>
      </w:r>
      <w:r w:rsidR="00623875">
        <w:rPr>
          <w:rFonts w:ascii="Arial" w:hAnsi="Arial" w:cs="Arial"/>
          <w:color w:val="7B7B7B" w:themeColor="accent3" w:themeShade="BF"/>
          <w:sz w:val="22"/>
          <w:szCs w:val="22"/>
          <w:lang w:val="en-GB"/>
        </w:rPr>
        <w:t xml:space="preserve"> enacted to intervene by setting up permanent and temporary measures to mitigate the effect of the Covid 19 pandemic on companies in the UK</w:t>
      </w:r>
      <w:r w:rsidR="00D85A64">
        <w:rPr>
          <w:rFonts w:ascii="Arial" w:hAnsi="Arial" w:cs="Arial"/>
          <w:color w:val="7B7B7B" w:themeColor="accent3" w:themeShade="BF"/>
          <w:sz w:val="22"/>
          <w:szCs w:val="22"/>
          <w:lang w:val="en-GB"/>
        </w:rPr>
        <w:t xml:space="preserve"> and to pursue a rescue or enter a restructuring plan,</w:t>
      </w:r>
      <w:r w:rsidR="00626E20">
        <w:rPr>
          <w:rFonts w:ascii="Arial" w:hAnsi="Arial" w:cs="Arial"/>
          <w:color w:val="7B7B7B" w:themeColor="accent3" w:themeShade="BF"/>
          <w:sz w:val="22"/>
          <w:szCs w:val="22"/>
          <w:lang w:val="en-GB"/>
        </w:rPr>
        <w:t xml:space="preserve"> would </w:t>
      </w:r>
      <w:r w:rsidR="00623875">
        <w:rPr>
          <w:rFonts w:ascii="Arial" w:hAnsi="Arial" w:cs="Arial"/>
          <w:color w:val="7B7B7B" w:themeColor="accent3" w:themeShade="BF"/>
          <w:sz w:val="22"/>
          <w:szCs w:val="22"/>
          <w:lang w:val="en-GB"/>
        </w:rPr>
        <w:t>then regulate the proceedings. And under the Act, such proceedings can no longer be opened without the sanction of the UK courts. Furthermore, the</w:t>
      </w:r>
      <w:r w:rsidR="00042C1C">
        <w:rPr>
          <w:rFonts w:ascii="Arial" w:hAnsi="Arial" w:cs="Arial"/>
          <w:color w:val="7B7B7B" w:themeColor="accent3" w:themeShade="BF"/>
          <w:sz w:val="22"/>
          <w:szCs w:val="22"/>
          <w:lang w:val="en-GB"/>
        </w:rPr>
        <w:t>re is a free-standing moratorium which has suspended opening of proceedings against UK companies who are unable to pay their debts due to the effect of Covid 19 pandemic such that affected Rydell</w:t>
      </w:r>
      <w:r w:rsidR="00F44BFF">
        <w:rPr>
          <w:rFonts w:ascii="Arial" w:hAnsi="Arial" w:cs="Arial"/>
          <w:color w:val="7B7B7B" w:themeColor="accent3" w:themeShade="BF"/>
          <w:sz w:val="22"/>
          <w:szCs w:val="22"/>
          <w:lang w:val="en-GB"/>
        </w:rPr>
        <w:t>,</w:t>
      </w:r>
      <w:r w:rsidR="00D85A64">
        <w:rPr>
          <w:rFonts w:ascii="Arial" w:hAnsi="Arial" w:cs="Arial"/>
          <w:color w:val="7B7B7B" w:themeColor="accent3" w:themeShade="BF"/>
          <w:sz w:val="22"/>
          <w:szCs w:val="22"/>
          <w:lang w:val="en-GB"/>
        </w:rPr>
        <w:t xml:space="preserve"> to give it a breathing space</w:t>
      </w:r>
      <w:r w:rsidR="00042C1C">
        <w:rPr>
          <w:rFonts w:ascii="Arial" w:hAnsi="Arial" w:cs="Arial"/>
          <w:color w:val="7B7B7B" w:themeColor="accent3" w:themeShade="BF"/>
          <w:sz w:val="22"/>
          <w:szCs w:val="22"/>
          <w:lang w:val="en-GB"/>
        </w:rPr>
        <w:t>.</w:t>
      </w:r>
      <w:r w:rsidR="00932DDE">
        <w:rPr>
          <w:rFonts w:ascii="Arial" w:hAnsi="Arial" w:cs="Arial"/>
          <w:color w:val="7B7B7B" w:themeColor="accent3" w:themeShade="BF"/>
          <w:sz w:val="22"/>
          <w:szCs w:val="22"/>
          <w:lang w:val="en-GB"/>
        </w:rPr>
        <w:t xml:space="preserve"> There is also a restriction on filing a winding-up petition against companies such as Rydell under the Act within the relevant</w:t>
      </w:r>
      <w:r w:rsidR="002819E7">
        <w:rPr>
          <w:rFonts w:ascii="Arial" w:hAnsi="Arial" w:cs="Arial"/>
          <w:color w:val="7B7B7B" w:themeColor="accent3" w:themeShade="BF"/>
          <w:sz w:val="22"/>
          <w:szCs w:val="22"/>
          <w:lang w:val="en-GB"/>
        </w:rPr>
        <w:t xml:space="preserve"> period.</w:t>
      </w:r>
      <w:r w:rsidR="006074BA">
        <w:rPr>
          <w:rFonts w:ascii="Arial" w:hAnsi="Arial" w:cs="Arial"/>
          <w:color w:val="7B7B7B" w:themeColor="accent3" w:themeShade="BF"/>
          <w:sz w:val="22"/>
          <w:szCs w:val="22"/>
          <w:lang w:val="en-GB"/>
        </w:rPr>
        <w:t xml:space="preserve"> These restrictions by the new Act are expected to expire on 30</w:t>
      </w:r>
      <w:r w:rsidR="006074BA" w:rsidRPr="006074BA">
        <w:rPr>
          <w:rFonts w:ascii="Arial" w:hAnsi="Arial" w:cs="Arial"/>
          <w:color w:val="7B7B7B" w:themeColor="accent3" w:themeShade="BF"/>
          <w:sz w:val="22"/>
          <w:szCs w:val="22"/>
          <w:vertAlign w:val="superscript"/>
          <w:lang w:val="en-GB"/>
        </w:rPr>
        <w:t>th</w:t>
      </w:r>
      <w:r w:rsidR="006074BA">
        <w:rPr>
          <w:rFonts w:ascii="Arial" w:hAnsi="Arial" w:cs="Arial"/>
          <w:color w:val="7B7B7B" w:themeColor="accent3" w:themeShade="BF"/>
          <w:sz w:val="22"/>
          <w:szCs w:val="22"/>
          <w:lang w:val="en-GB"/>
        </w:rPr>
        <w:t xml:space="preserve"> September, 2021. However, modified rules would apply from 1</w:t>
      </w:r>
      <w:r w:rsidR="006074BA" w:rsidRPr="006074BA">
        <w:rPr>
          <w:rFonts w:ascii="Arial" w:hAnsi="Arial" w:cs="Arial"/>
          <w:color w:val="7B7B7B" w:themeColor="accent3" w:themeShade="BF"/>
          <w:sz w:val="22"/>
          <w:szCs w:val="22"/>
          <w:vertAlign w:val="superscript"/>
          <w:lang w:val="en-GB"/>
        </w:rPr>
        <w:t>st</w:t>
      </w:r>
      <w:r w:rsidR="006074BA">
        <w:rPr>
          <w:rFonts w:ascii="Arial" w:hAnsi="Arial" w:cs="Arial"/>
          <w:color w:val="7B7B7B" w:themeColor="accent3" w:themeShade="BF"/>
          <w:sz w:val="22"/>
          <w:szCs w:val="22"/>
          <w:lang w:val="en-GB"/>
        </w:rPr>
        <w:t xml:space="preserve"> October until 31</w:t>
      </w:r>
      <w:r w:rsidR="006074BA" w:rsidRPr="006074BA">
        <w:rPr>
          <w:rFonts w:ascii="Arial" w:hAnsi="Arial" w:cs="Arial"/>
          <w:color w:val="7B7B7B" w:themeColor="accent3" w:themeShade="BF"/>
          <w:sz w:val="22"/>
          <w:szCs w:val="22"/>
          <w:vertAlign w:val="superscript"/>
          <w:lang w:val="en-GB"/>
        </w:rPr>
        <w:t>st</w:t>
      </w:r>
      <w:r w:rsidR="006074BA">
        <w:rPr>
          <w:rFonts w:ascii="Arial" w:hAnsi="Arial" w:cs="Arial"/>
          <w:color w:val="7B7B7B" w:themeColor="accent3" w:themeShade="BF"/>
          <w:sz w:val="22"/>
          <w:szCs w:val="22"/>
          <w:lang w:val="en-GB"/>
        </w:rPr>
        <w:t xml:space="preserve"> March, 2022</w:t>
      </w:r>
      <w:r w:rsidR="003B761F">
        <w:rPr>
          <w:rFonts w:ascii="Arial" w:hAnsi="Arial" w:cs="Arial"/>
          <w:color w:val="7B7B7B" w:themeColor="accent3" w:themeShade="BF"/>
          <w:sz w:val="22"/>
          <w:szCs w:val="22"/>
          <w:lang w:val="en-GB"/>
        </w:rPr>
        <w:t xml:space="preserve">. The proposed 18 June 2021 </w:t>
      </w:r>
      <w:r w:rsidR="003D6DAA">
        <w:rPr>
          <w:rFonts w:ascii="Arial" w:hAnsi="Arial" w:cs="Arial"/>
          <w:color w:val="7B7B7B" w:themeColor="accent3" w:themeShade="BF"/>
          <w:sz w:val="22"/>
          <w:szCs w:val="22"/>
          <w:lang w:val="en-GB"/>
        </w:rPr>
        <w:t>to open proceeding in the UK falls within the relevant period of the operations and applications of the permanent and temporary measures set up by the CIGA, 2020.</w:t>
      </w:r>
    </w:p>
    <w:p w14:paraId="1256E6FF" w14:textId="311D9A0C" w:rsidR="00015EE6" w:rsidRPr="00205B31" w:rsidRDefault="00C45A03" w:rsidP="00C45A03">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6" w:name="_Hlk75414344"/>
      <w:bookmarkEnd w:id="4"/>
    </w:p>
    <w:p w14:paraId="6625C320" w14:textId="383FB04A" w:rsidR="0046142D" w:rsidRDefault="0046142D" w:rsidP="0046142D">
      <w:pPr>
        <w:ind w:hanging="11"/>
        <w:jc w:val="both"/>
        <w:rPr>
          <w:rFonts w:ascii="Arial" w:hAnsi="Arial" w:cs="Arial"/>
          <w:sz w:val="22"/>
          <w:szCs w:val="22"/>
          <w:lang w:val="en-GB"/>
        </w:rPr>
      </w:pPr>
      <w:bookmarkStart w:id="7"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6"/>
    <w:bookmarkEnd w:id="7"/>
    <w:p w14:paraId="47D6816F" w14:textId="11871C7A" w:rsidR="00BF1807" w:rsidRDefault="00015EE6"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lastRenderedPageBreak/>
        <w:t>[</w:t>
      </w:r>
      <w:r w:rsidR="000D2929">
        <w:rPr>
          <w:rFonts w:ascii="Arial" w:hAnsi="Arial" w:cs="Arial"/>
          <w:color w:val="7B7B7B" w:themeColor="accent3" w:themeShade="BF"/>
          <w:sz w:val="22"/>
          <w:szCs w:val="22"/>
          <w:lang w:val="en-GB"/>
        </w:rPr>
        <w:t>The UK domestic laws that would be relevant to consider whether the minor creditor could commence those formal insolvency proceedings in the UK upon the above facts</w:t>
      </w:r>
      <w:r w:rsidR="0036670A">
        <w:rPr>
          <w:rFonts w:ascii="Arial" w:hAnsi="Arial" w:cs="Arial"/>
          <w:color w:val="7B7B7B" w:themeColor="accent3" w:themeShade="BF"/>
          <w:sz w:val="22"/>
          <w:szCs w:val="22"/>
          <w:lang w:val="en-GB"/>
        </w:rPr>
        <w:t xml:space="preserve"> that Rydell were unregistered with its COMI in a country in Europe that was a member of the European Union, instead of the UK,</w:t>
      </w:r>
      <w:r w:rsidR="000D2929">
        <w:rPr>
          <w:rFonts w:ascii="Arial" w:hAnsi="Arial" w:cs="Arial"/>
          <w:color w:val="7B7B7B" w:themeColor="accent3" w:themeShade="BF"/>
          <w:sz w:val="22"/>
          <w:szCs w:val="22"/>
          <w:lang w:val="en-GB"/>
        </w:rPr>
        <w:t xml:space="preserve"> are the UK Insolvency Act of 1986 and the UK Insolvency Rules of 2016.</w:t>
      </w:r>
      <w:r w:rsidR="00BF1807">
        <w:rPr>
          <w:rFonts w:ascii="Arial" w:hAnsi="Arial" w:cs="Arial"/>
          <w:color w:val="7B7B7B" w:themeColor="accent3" w:themeShade="BF"/>
          <w:sz w:val="22"/>
          <w:szCs w:val="22"/>
          <w:lang w:val="en-GB"/>
        </w:rPr>
        <w:t xml:space="preserve"> Under Section 221(5) of the UK Insolvency Act 1986, a court ordered winding-up of unregistered companies is possible on the following conditions:</w:t>
      </w:r>
    </w:p>
    <w:p w14:paraId="7D479C1F" w14:textId="77777777" w:rsidR="00BF1807" w:rsidRPr="00BF1807" w:rsidRDefault="00BF1807" w:rsidP="00BF1807">
      <w:pPr>
        <w:pStyle w:val="ListParagraph"/>
        <w:numPr>
          <w:ilvl w:val="0"/>
          <w:numId w:val="21"/>
        </w:num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If the company is dissolved or has ceased to carry on business, or is carrying on business only for the purpose of winding up its affairs;</w:t>
      </w:r>
    </w:p>
    <w:p w14:paraId="0B7A9CFB" w14:textId="77777777" w:rsidR="00BF1807" w:rsidRPr="00BF1807" w:rsidRDefault="00BF1807" w:rsidP="00BF1807">
      <w:pPr>
        <w:pStyle w:val="ListParagraph"/>
        <w:numPr>
          <w:ilvl w:val="0"/>
          <w:numId w:val="21"/>
        </w:num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If the company is unable to pay its debts;</w:t>
      </w:r>
    </w:p>
    <w:p w14:paraId="4009FD72" w14:textId="77777777" w:rsidR="00910DC0" w:rsidRPr="00910DC0" w:rsidRDefault="00BF1807" w:rsidP="00BF1807">
      <w:pPr>
        <w:pStyle w:val="ListParagraph"/>
        <w:numPr>
          <w:ilvl w:val="0"/>
          <w:numId w:val="21"/>
        </w:num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If </w:t>
      </w:r>
      <w:r w:rsidR="002A0F2E">
        <w:rPr>
          <w:rFonts w:ascii="Arial" w:hAnsi="Arial" w:cs="Arial"/>
          <w:color w:val="7B7B7B" w:themeColor="accent3" w:themeShade="BF"/>
          <w:sz w:val="22"/>
          <w:szCs w:val="22"/>
          <w:lang w:val="en-GB"/>
        </w:rPr>
        <w:t>the court is of opinion that it is just and equitable that the company should be wound up.</w:t>
      </w:r>
      <w:r w:rsidR="000D2929" w:rsidRPr="00BF1807">
        <w:rPr>
          <w:rFonts w:ascii="Arial" w:hAnsi="Arial" w:cs="Arial"/>
          <w:color w:val="7B7B7B" w:themeColor="accent3" w:themeShade="BF"/>
          <w:sz w:val="22"/>
          <w:szCs w:val="22"/>
          <w:lang w:val="en-GB"/>
        </w:rPr>
        <w:t xml:space="preserve">    </w:t>
      </w:r>
    </w:p>
    <w:p w14:paraId="3CAE42BE" w14:textId="51578C0C" w:rsidR="00015EE6" w:rsidRPr="00910DC0" w:rsidRDefault="00910DC0" w:rsidP="00910DC0">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There is also the jurisdiction under the Act, section 220 to wind-up a company formed under foreign law which in the present circumstance Rydell may be said to be.</w:t>
      </w:r>
      <w:r w:rsidR="000D4B3B">
        <w:rPr>
          <w:rFonts w:ascii="Arial" w:hAnsi="Arial" w:cs="Arial"/>
          <w:color w:val="7B7B7B" w:themeColor="accent3" w:themeShade="BF"/>
          <w:sz w:val="22"/>
          <w:szCs w:val="22"/>
          <w:lang w:val="en-GB"/>
        </w:rPr>
        <w:t xml:space="preserve"> It does not make any difference that the proceedings were opened in the UK on</w:t>
      </w:r>
      <w:r w:rsidR="00602675">
        <w:rPr>
          <w:rFonts w:ascii="Arial" w:hAnsi="Arial" w:cs="Arial"/>
          <w:color w:val="7B7B7B" w:themeColor="accent3" w:themeShade="BF"/>
          <w:sz w:val="22"/>
          <w:szCs w:val="22"/>
          <w:lang w:val="en-GB"/>
        </w:rPr>
        <w:t xml:space="preserve"> 18</w:t>
      </w:r>
      <w:r w:rsidR="000D4B3B">
        <w:rPr>
          <w:rFonts w:ascii="Arial" w:hAnsi="Arial" w:cs="Arial"/>
          <w:color w:val="7B7B7B" w:themeColor="accent3" w:themeShade="BF"/>
          <w:sz w:val="22"/>
          <w:szCs w:val="22"/>
          <w:lang w:val="en-GB"/>
        </w:rPr>
        <w:t xml:space="preserve"> June 2021.</w:t>
      </w:r>
      <w:r w:rsidR="00015EE6" w:rsidRPr="00910DC0">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3595E" w14:textId="77777777" w:rsidR="000B68F3" w:rsidRDefault="000B68F3" w:rsidP="00241B44">
      <w:r>
        <w:separator/>
      </w:r>
    </w:p>
  </w:endnote>
  <w:endnote w:type="continuationSeparator" w:id="0">
    <w:p w14:paraId="6AA7CCDD" w14:textId="77777777" w:rsidR="000B68F3" w:rsidRDefault="000B68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7A50D118" w:rsidR="006E1CB0" w:rsidRPr="0052732A" w:rsidRDefault="007973C9" w:rsidP="0052732A">
    <w:pPr>
      <w:pStyle w:val="Footer"/>
      <w:ind w:right="360"/>
      <w:rPr>
        <w:rFonts w:ascii="Arial" w:hAnsi="Arial" w:cs="Arial"/>
        <w:sz w:val="18"/>
        <w:szCs w:val="18"/>
      </w:rPr>
    </w:pPr>
    <w:r>
      <w:rPr>
        <w:rFonts w:ascii="Arial" w:hAnsi="Arial" w:cs="Arial"/>
        <w:sz w:val="18"/>
        <w:szCs w:val="18"/>
      </w:rPr>
      <w:t>202122-365</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8A76" w14:textId="77777777" w:rsidR="000B68F3" w:rsidRDefault="000B68F3" w:rsidP="00241B44">
      <w:r>
        <w:separator/>
      </w:r>
    </w:p>
  </w:footnote>
  <w:footnote w:type="continuationSeparator" w:id="0">
    <w:p w14:paraId="228010D8" w14:textId="77777777" w:rsidR="000B68F3" w:rsidRDefault="000B68F3" w:rsidP="00241B44">
      <w:r>
        <w:continuationSeparator/>
      </w:r>
    </w:p>
  </w:footnote>
  <w:footnote w:id="1">
    <w:p w14:paraId="238EFC8F" w14:textId="67E42D5B" w:rsidR="001D1865" w:rsidRPr="001D1865" w:rsidRDefault="001D1865">
      <w:pPr>
        <w:pStyle w:val="FootnoteText"/>
        <w:rPr>
          <w:lang w:val="en-GB"/>
        </w:rPr>
      </w:pPr>
      <w:r>
        <w:rPr>
          <w:rStyle w:val="FootnoteReference"/>
        </w:rPr>
        <w:footnoteRef/>
      </w:r>
      <w:r>
        <w:t xml:space="preserve"> </w:t>
      </w:r>
      <w:r>
        <w:rPr>
          <w:lang w:val="en-GB"/>
        </w:rPr>
        <w:t>These States include Bolivia, Brazil, Chile, Costa Rica, Cuba, Dominican Republic, Ecuador, El Salvador, Guatemala, Haiti, Honduras, Nicaragua, Panama, Peru and Venezuela.</w:t>
      </w:r>
    </w:p>
  </w:footnote>
  <w:footnote w:id="2">
    <w:p w14:paraId="56671CE0" w14:textId="0F2309D1" w:rsidR="00FC584C" w:rsidRPr="00FC584C" w:rsidRDefault="00FC584C">
      <w:pPr>
        <w:pStyle w:val="FootnoteText"/>
        <w:rPr>
          <w:lang w:val="en-GB"/>
        </w:rPr>
      </w:pPr>
      <w:r>
        <w:rPr>
          <w:rStyle w:val="FootnoteReference"/>
        </w:rPr>
        <w:footnoteRef/>
      </w:r>
      <w:r>
        <w:t xml:space="preserve"> </w:t>
      </w:r>
      <w:r>
        <w:rPr>
          <w:lang w:val="en-GB"/>
        </w:rPr>
        <w:t>The Europian Insolvency Regulation (EIR) (2000) has been currently reviewed and amended as the European Union Regulation (EU) 2015/848 by the European Parliament and of the Council on 20</w:t>
      </w:r>
      <w:r w:rsidRPr="00FC584C">
        <w:rPr>
          <w:vertAlign w:val="superscript"/>
          <w:lang w:val="en-GB"/>
        </w:rPr>
        <w:t>th</w:t>
      </w:r>
      <w:r>
        <w:rPr>
          <w:lang w:val="en-GB"/>
        </w:rPr>
        <w:t xml:space="preserve"> May, 2015</w:t>
      </w:r>
      <w:r w:rsidR="00BE01C6">
        <w:rPr>
          <w:lang w:val="en-GB"/>
        </w:rPr>
        <w:t>.</w:t>
      </w:r>
      <w:r w:rsidR="009726C2">
        <w:rPr>
          <w:lang w:val="en-GB"/>
        </w:rPr>
        <w:t xml:space="preserve"> </w:t>
      </w:r>
    </w:p>
  </w:footnote>
  <w:footnote w:id="3">
    <w:p w14:paraId="0A0F05DA" w14:textId="7A71E6E2" w:rsidR="002F7134" w:rsidRPr="002F7134" w:rsidRDefault="002F7134">
      <w:pPr>
        <w:pStyle w:val="FootnoteText"/>
        <w:rPr>
          <w:lang w:val="en-GB"/>
        </w:rPr>
      </w:pPr>
      <w:r>
        <w:rPr>
          <w:rStyle w:val="FootnoteReference"/>
        </w:rPr>
        <w:footnoteRef/>
      </w:r>
      <w:r>
        <w:t xml:space="preserve"> </w:t>
      </w:r>
      <w:r>
        <w:rPr>
          <w:lang w:val="en-GB"/>
        </w:rPr>
        <w:t xml:space="preserve">Irit Mevorach, </w:t>
      </w:r>
      <w:r>
        <w:rPr>
          <w:i/>
          <w:iCs/>
          <w:lang w:val="en-GB"/>
        </w:rPr>
        <w:t xml:space="preserve">A Fresh View on the Hard/Soft Law Divide: Implications for International Insolvency of Enterprise Groups, </w:t>
      </w:r>
      <w:r>
        <w:rPr>
          <w:lang w:val="en-GB"/>
        </w:rPr>
        <w:t>Michigan Journal of International Law, Vol 40 (2) 2019 p 508.</w:t>
      </w:r>
    </w:p>
  </w:footnote>
  <w:footnote w:id="4">
    <w:p w14:paraId="6D8D77E9" w14:textId="37EA22AD" w:rsidR="00A264F7" w:rsidRPr="00A264F7" w:rsidRDefault="00A264F7">
      <w:pPr>
        <w:pStyle w:val="FootnoteText"/>
        <w:rPr>
          <w:lang w:val="en-GB"/>
        </w:rPr>
      </w:pPr>
      <w:r>
        <w:rPr>
          <w:rStyle w:val="FootnoteReference"/>
        </w:rPr>
        <w:footnoteRef/>
      </w:r>
      <w:r>
        <w:t xml:space="preserve"> </w:t>
      </w:r>
      <w:r w:rsidRPr="00780948">
        <w:rPr>
          <w:i/>
          <w:iCs/>
          <w:lang w:val="en-GB"/>
        </w:rPr>
        <w:t>Ibid</w:t>
      </w:r>
      <w:r w:rsidR="00780948">
        <w:rPr>
          <w:i/>
          <w:iCs/>
          <w:lang w:val="en-GB"/>
        </w:rPr>
        <w:t>.</w:t>
      </w:r>
    </w:p>
  </w:footnote>
  <w:footnote w:id="5">
    <w:p w14:paraId="54AF945E" w14:textId="44B391B8" w:rsidR="00780948" w:rsidRPr="00780948" w:rsidRDefault="00780948">
      <w:pPr>
        <w:pStyle w:val="FootnoteText"/>
        <w:rPr>
          <w:lang w:val="en-GB"/>
        </w:rPr>
      </w:pPr>
      <w:r>
        <w:rPr>
          <w:rStyle w:val="FootnoteReference"/>
        </w:rPr>
        <w:footnoteRef/>
      </w:r>
      <w:r>
        <w:t xml:space="preserve"> </w:t>
      </w:r>
      <w:r w:rsidRPr="00780948">
        <w:rPr>
          <w:i/>
          <w:iCs/>
          <w:lang w:val="en-GB"/>
        </w:rPr>
        <w:t>Idem</w:t>
      </w:r>
      <w:r>
        <w:rPr>
          <w:lang w:val="en-GB"/>
        </w:rPr>
        <w:t xml:space="preserve"> p 509.</w:t>
      </w:r>
    </w:p>
  </w:footnote>
  <w:footnote w:id="6">
    <w:p w14:paraId="20DA49E6" w14:textId="0F04F42C" w:rsidR="00D24F8A" w:rsidRPr="00D24F8A" w:rsidRDefault="00D24F8A">
      <w:pPr>
        <w:pStyle w:val="FootnoteText"/>
        <w:rPr>
          <w:lang w:val="en-GB"/>
        </w:rPr>
      </w:pPr>
      <w:r>
        <w:rPr>
          <w:rStyle w:val="FootnoteReference"/>
        </w:rPr>
        <w:footnoteRef/>
      </w:r>
      <w:r>
        <w:t xml:space="preserve"> </w:t>
      </w:r>
      <w:r>
        <w:rPr>
          <w:lang w:val="en-GB"/>
        </w:rPr>
        <w:t>INSOL</w:t>
      </w:r>
      <w:r w:rsidR="00DF5AD2">
        <w:rPr>
          <w:lang w:val="en-GB"/>
        </w:rPr>
        <w:t xml:space="preserve"> INTERNATIONAL</w:t>
      </w:r>
      <w:r w:rsidR="00D33E3F">
        <w:rPr>
          <w:lang w:val="en-GB"/>
        </w:rPr>
        <w:t>,</w:t>
      </w:r>
      <w:r w:rsidR="00DF5AD2">
        <w:rPr>
          <w:lang w:val="en-GB"/>
        </w:rPr>
        <w:t xml:space="preserve"> </w:t>
      </w:r>
      <w:r w:rsidR="00DF5AD2">
        <w:rPr>
          <w:i/>
          <w:iCs/>
          <w:lang w:val="en-GB"/>
        </w:rPr>
        <w:t xml:space="preserve">Foundation </w:t>
      </w:r>
      <w:r w:rsidR="004453CF">
        <w:rPr>
          <w:i/>
          <w:iCs/>
          <w:lang w:val="en-GB"/>
        </w:rPr>
        <w:t xml:space="preserve">Certificate in International Insolvency Law: </w:t>
      </w:r>
      <w:r>
        <w:rPr>
          <w:lang w:val="en-GB"/>
        </w:rPr>
        <w:t>Module 1 Guidance Text</w:t>
      </w:r>
      <w:r w:rsidR="004453CF">
        <w:rPr>
          <w:lang w:val="en-GB"/>
        </w:rPr>
        <w:t xml:space="preserve"> 20212022</w:t>
      </w:r>
      <w:r>
        <w:rPr>
          <w:lang w:val="en-GB"/>
        </w:rPr>
        <w:t>, p 47.</w:t>
      </w:r>
    </w:p>
  </w:footnote>
  <w:footnote w:id="7">
    <w:p w14:paraId="35686EDD" w14:textId="2F8F01E5" w:rsidR="00F170A5" w:rsidRPr="00F170A5" w:rsidRDefault="00F170A5">
      <w:pPr>
        <w:pStyle w:val="FootnoteText"/>
        <w:rPr>
          <w:lang w:val="en-GB"/>
        </w:rPr>
      </w:pPr>
      <w:r>
        <w:rPr>
          <w:rStyle w:val="FootnoteReference"/>
        </w:rPr>
        <w:footnoteRef/>
      </w:r>
      <w:r>
        <w:t xml:space="preserve"> </w:t>
      </w:r>
      <w:r>
        <w:rPr>
          <w:lang w:val="en-GB"/>
        </w:rPr>
        <w:t>Ian F. Fletcher</w:t>
      </w:r>
      <w:r w:rsidRPr="00F170A5">
        <w:rPr>
          <w:i/>
          <w:iCs/>
          <w:lang w:val="en-GB"/>
        </w:rPr>
        <w:t>, International Insolvency: A case for Study and Treatment, Perspective</w:t>
      </w:r>
      <w:r w:rsidRPr="00F170A5">
        <w:rPr>
          <w:b/>
          <w:bCs/>
          <w:lang w:val="en-GB"/>
        </w:rPr>
        <w:t>,</w:t>
      </w:r>
      <w:r>
        <w:rPr>
          <w:lang w:val="en-GB"/>
        </w:rPr>
        <w:t xml:space="preserve"> The International Lawyer, (1993) 27 (2) p 437.</w:t>
      </w:r>
    </w:p>
  </w:footnote>
  <w:footnote w:id="8">
    <w:p w14:paraId="3646C423" w14:textId="405A65ED" w:rsidR="00BE1874" w:rsidRPr="00BE1874" w:rsidRDefault="00BE1874">
      <w:pPr>
        <w:pStyle w:val="FootnoteText"/>
        <w:rPr>
          <w:lang w:val="en-GB"/>
        </w:rPr>
      </w:pPr>
      <w:r>
        <w:rPr>
          <w:rStyle w:val="FootnoteReference"/>
        </w:rPr>
        <w:footnoteRef/>
      </w:r>
      <w:r>
        <w:t xml:space="preserve"> </w:t>
      </w:r>
      <w:r>
        <w:rPr>
          <w:lang w:val="en-GB"/>
        </w:rPr>
        <w:t>UNCIRAL legislative Guide on Insolvency law</w:t>
      </w:r>
      <w:r w:rsidR="00212CD7">
        <w:rPr>
          <w:lang w:val="en-GB"/>
        </w:rPr>
        <w:t>,</w:t>
      </w:r>
      <w:r>
        <w:rPr>
          <w:lang w:val="en-GB"/>
        </w:rPr>
        <w:t xml:space="preserve"> P 1.</w:t>
      </w:r>
    </w:p>
  </w:footnote>
  <w:footnote w:id="9">
    <w:p w14:paraId="3FC7AA55" w14:textId="3F34D78A" w:rsidR="00333BB3" w:rsidRPr="00333BB3" w:rsidRDefault="00333BB3">
      <w:pPr>
        <w:pStyle w:val="FootnoteText"/>
        <w:rPr>
          <w:lang w:val="en-GB"/>
        </w:rPr>
      </w:pPr>
      <w:r>
        <w:rPr>
          <w:rStyle w:val="FootnoteReference"/>
        </w:rPr>
        <w:footnoteRef/>
      </w:r>
      <w:r>
        <w:t xml:space="preserve"> Bruce Leonard, </w:t>
      </w:r>
      <w:r w:rsidRPr="00212CD7">
        <w:rPr>
          <w:i/>
          <w:iCs/>
        </w:rPr>
        <w:t>Co-ordinating Cross-border Insolvency Cases, International Insolvency Institute,</w:t>
      </w:r>
      <w:r>
        <w:t xml:space="preserve"> Appendix 5, p 52.</w:t>
      </w:r>
    </w:p>
  </w:footnote>
  <w:footnote w:id="10">
    <w:p w14:paraId="24B0C123" w14:textId="7397F93D" w:rsidR="0026661D" w:rsidRPr="0026661D" w:rsidRDefault="0026661D">
      <w:pPr>
        <w:pStyle w:val="FootnoteText"/>
        <w:rPr>
          <w:lang w:val="en-GB"/>
        </w:rPr>
      </w:pPr>
      <w:r>
        <w:rPr>
          <w:rStyle w:val="FootnoteReference"/>
        </w:rPr>
        <w:footnoteRef/>
      </w:r>
      <w:r w:rsidR="00333BB3">
        <w:t>Idem, p 50</w:t>
      </w:r>
      <w:r w:rsidR="00F92B8F">
        <w:t>.</w:t>
      </w:r>
    </w:p>
  </w:footnote>
  <w:footnote w:id="11">
    <w:p w14:paraId="2A489DD9" w14:textId="25DBA523" w:rsidR="00B118C4" w:rsidRPr="00B118C4" w:rsidRDefault="00B118C4">
      <w:pPr>
        <w:pStyle w:val="FootnoteText"/>
        <w:rPr>
          <w:lang w:val="en-GB"/>
        </w:rPr>
      </w:pPr>
      <w:r>
        <w:rPr>
          <w:rStyle w:val="FootnoteReference"/>
        </w:rPr>
        <w:footnoteRef/>
      </w:r>
      <w:r>
        <w:t xml:space="preserve"> </w:t>
      </w:r>
      <w:r>
        <w:rPr>
          <w:lang w:val="en-GB"/>
        </w:rPr>
        <w:t>INSOL</w:t>
      </w:r>
      <w:r w:rsidR="006A2992">
        <w:rPr>
          <w:lang w:val="en-GB"/>
        </w:rPr>
        <w:t xml:space="preserve"> </w:t>
      </w:r>
      <w:r w:rsidR="006A2992" w:rsidRPr="006A2992">
        <w:rPr>
          <w:i/>
          <w:iCs/>
          <w:lang w:val="en-GB"/>
        </w:rPr>
        <w:t>supra</w:t>
      </w:r>
      <w:r>
        <w:rPr>
          <w:lang w:val="en-GB"/>
        </w:rPr>
        <w:t xml:space="preserve"> Module 3B, Guidance Text, p 3.</w:t>
      </w:r>
    </w:p>
  </w:footnote>
  <w:footnote w:id="12">
    <w:p w14:paraId="64CC9785" w14:textId="44430E31" w:rsidR="004E48E9" w:rsidRPr="004E48E9" w:rsidRDefault="004E48E9">
      <w:pPr>
        <w:pStyle w:val="FootnoteText"/>
        <w:rPr>
          <w:lang w:val="en-GB"/>
        </w:rPr>
      </w:pPr>
      <w:r>
        <w:rPr>
          <w:rStyle w:val="FootnoteReference"/>
        </w:rPr>
        <w:footnoteRef/>
      </w:r>
      <w:r>
        <w:t xml:space="preserve"> </w:t>
      </w:r>
      <w:r>
        <w:rPr>
          <w:lang w:val="en-GB"/>
        </w:rPr>
        <w:t>UK Insolvency Rules 2016, R 15.3.</w:t>
      </w:r>
    </w:p>
  </w:footnote>
  <w:footnote w:id="13">
    <w:p w14:paraId="6C403D75" w14:textId="705A9596" w:rsidR="007E3FB2" w:rsidRPr="007E3FB2" w:rsidRDefault="007E3FB2">
      <w:pPr>
        <w:pStyle w:val="FootnoteText"/>
        <w:rPr>
          <w:lang w:val="en-GB"/>
        </w:rPr>
      </w:pPr>
      <w:r>
        <w:rPr>
          <w:rStyle w:val="FootnoteReference"/>
        </w:rPr>
        <w:footnoteRef/>
      </w:r>
      <w:r>
        <w:t xml:space="preserve"> </w:t>
      </w:r>
      <w:r>
        <w:rPr>
          <w:lang w:val="en-GB"/>
        </w:rPr>
        <w:t>INSOL Module 1 Guidance Text</w:t>
      </w:r>
      <w:r w:rsidR="006A2992">
        <w:rPr>
          <w:lang w:val="en-GB"/>
        </w:rPr>
        <w:t xml:space="preserve"> </w:t>
      </w:r>
      <w:r w:rsidR="006A2992">
        <w:rPr>
          <w:i/>
          <w:iCs/>
          <w:lang w:val="en-GB"/>
        </w:rPr>
        <w:t>supra</w:t>
      </w:r>
      <w:r>
        <w:rPr>
          <w:lang w:val="en-GB"/>
        </w:rPr>
        <w:t>, p 7.</w:t>
      </w:r>
    </w:p>
  </w:footnote>
  <w:footnote w:id="14">
    <w:p w14:paraId="14BC05D2" w14:textId="7F1BCF91" w:rsidR="008C4717" w:rsidRPr="008C4717" w:rsidRDefault="008C4717">
      <w:pPr>
        <w:pStyle w:val="FootnoteText"/>
        <w:rPr>
          <w:lang w:val="en-GB"/>
        </w:rPr>
      </w:pPr>
      <w:r>
        <w:rPr>
          <w:rStyle w:val="FootnoteReference"/>
        </w:rPr>
        <w:footnoteRef/>
      </w:r>
      <w:r w:rsidRPr="00B12E85">
        <w:rPr>
          <w:i/>
          <w:iCs/>
        </w:rPr>
        <w:t xml:space="preserve"> </w:t>
      </w:r>
      <w:r w:rsidRPr="00B12E85">
        <w:rPr>
          <w:i/>
          <w:iCs/>
          <w:lang w:val="en-GB"/>
        </w:rPr>
        <w:t>Idem</w:t>
      </w:r>
      <w:r>
        <w:rPr>
          <w:lang w:val="en-GB"/>
        </w:rPr>
        <w:t>,</w:t>
      </w:r>
      <w:r w:rsidR="00B12E85">
        <w:rPr>
          <w:lang w:val="en-GB"/>
        </w:rPr>
        <w:t xml:space="preserve"> p</w:t>
      </w:r>
      <w:r>
        <w:rPr>
          <w:lang w:val="en-GB"/>
        </w:rPr>
        <w:t xml:space="preserve"> 63.</w:t>
      </w:r>
    </w:p>
  </w:footnote>
  <w:footnote w:id="15">
    <w:p w14:paraId="43E79F2A" w14:textId="30F84679" w:rsidR="00842C5F" w:rsidRPr="00842C5F" w:rsidRDefault="00842C5F">
      <w:pPr>
        <w:pStyle w:val="FootnoteText"/>
        <w:rPr>
          <w:lang w:val="en-GB"/>
        </w:rPr>
      </w:pPr>
      <w:r>
        <w:rPr>
          <w:rStyle w:val="FootnoteReference"/>
        </w:rPr>
        <w:footnoteRef/>
      </w:r>
      <w:r>
        <w:t xml:space="preserve"> </w:t>
      </w:r>
      <w:r>
        <w:rPr>
          <w:lang w:val="en-GB"/>
        </w:rPr>
        <w:t>[2012] UKSC 46.</w:t>
      </w:r>
    </w:p>
  </w:footnote>
  <w:footnote w:id="16">
    <w:p w14:paraId="135C30DD" w14:textId="069A9981" w:rsidR="00A17789" w:rsidRPr="00A17789" w:rsidRDefault="00A17789">
      <w:pPr>
        <w:pStyle w:val="FootnoteText"/>
        <w:rPr>
          <w:lang w:val="en-GB"/>
        </w:rPr>
      </w:pPr>
      <w:r>
        <w:rPr>
          <w:rStyle w:val="FootnoteReference"/>
        </w:rPr>
        <w:footnoteRef/>
      </w:r>
      <w:r>
        <w:t xml:space="preserve"> INSOL Module 1</w:t>
      </w:r>
      <w:r w:rsidR="00B94986">
        <w:t xml:space="preserve"> Guidance Text</w:t>
      </w:r>
      <w:r>
        <w:t xml:space="preserve"> </w:t>
      </w:r>
      <w:r w:rsidRPr="00B94986">
        <w:rPr>
          <w:i/>
          <w:iCs/>
        </w:rPr>
        <w:t>supra</w:t>
      </w:r>
      <w:r>
        <w:t xml:space="preserve"> p 50.</w:t>
      </w:r>
    </w:p>
  </w:footnote>
  <w:footnote w:id="17">
    <w:p w14:paraId="30395D03" w14:textId="0E618518" w:rsidR="00ED7EB8" w:rsidRPr="00ED7EB8" w:rsidRDefault="00ED7EB8">
      <w:pPr>
        <w:pStyle w:val="FootnoteText"/>
        <w:rPr>
          <w:lang w:val="en-GB"/>
        </w:rPr>
      </w:pPr>
      <w:r>
        <w:rPr>
          <w:rStyle w:val="FootnoteReference"/>
        </w:rPr>
        <w:footnoteRef/>
      </w:r>
      <w:r>
        <w:t xml:space="preserve"> </w:t>
      </w:r>
      <w:r>
        <w:rPr>
          <w:lang w:val="en-GB"/>
        </w:rPr>
        <w:t xml:space="preserve">Wolf-Georg Ring, </w:t>
      </w:r>
      <w:r>
        <w:rPr>
          <w:i/>
          <w:iCs/>
          <w:lang w:val="en-GB"/>
        </w:rPr>
        <w:t>Insolvency Forum Sho</w:t>
      </w:r>
      <w:r w:rsidR="00ED6944">
        <w:rPr>
          <w:i/>
          <w:iCs/>
          <w:lang w:val="en-GB"/>
        </w:rPr>
        <w:t>p</w:t>
      </w:r>
      <w:r>
        <w:rPr>
          <w:i/>
          <w:iCs/>
          <w:lang w:val="en-GB"/>
        </w:rPr>
        <w:t>ping, Revis</w:t>
      </w:r>
      <w:r w:rsidR="00ED6944">
        <w:rPr>
          <w:i/>
          <w:iCs/>
          <w:lang w:val="en-GB"/>
        </w:rPr>
        <w:t>i</w:t>
      </w:r>
      <w:r>
        <w:rPr>
          <w:i/>
          <w:iCs/>
          <w:lang w:val="en-GB"/>
        </w:rPr>
        <w:t>ted</w:t>
      </w:r>
      <w:r w:rsidR="00ED6002">
        <w:rPr>
          <w:i/>
          <w:iCs/>
          <w:lang w:val="en-GB"/>
        </w:rPr>
        <w:t>,</w:t>
      </w:r>
      <w:r>
        <w:rPr>
          <w:i/>
          <w:iCs/>
          <w:lang w:val="en-GB"/>
        </w:rPr>
        <w:t xml:space="preserve"> </w:t>
      </w:r>
      <w:r>
        <w:rPr>
          <w:lang w:val="en-GB"/>
        </w:rPr>
        <w:t>Ham</w:t>
      </w:r>
      <w:r w:rsidR="00ED6944">
        <w:rPr>
          <w:lang w:val="en-GB"/>
        </w:rPr>
        <w:t>b</w:t>
      </w:r>
      <w:r>
        <w:rPr>
          <w:lang w:val="en-GB"/>
        </w:rPr>
        <w:t>urg Laws Review (2017) 38.</w:t>
      </w:r>
    </w:p>
  </w:footnote>
  <w:footnote w:id="18">
    <w:p w14:paraId="09389469" w14:textId="292244B8" w:rsidR="00955932" w:rsidRPr="00955932" w:rsidRDefault="00955932">
      <w:pPr>
        <w:pStyle w:val="FootnoteText"/>
        <w:rPr>
          <w:lang w:val="en-GB"/>
        </w:rPr>
      </w:pPr>
      <w:r>
        <w:rPr>
          <w:rStyle w:val="FootnoteReference"/>
        </w:rPr>
        <w:footnoteRef/>
      </w:r>
      <w:r>
        <w:t xml:space="preserve"> </w:t>
      </w:r>
      <w:r>
        <w:rPr>
          <w:lang w:val="en-GB"/>
        </w:rPr>
        <w:t>INSOL, Module 1</w:t>
      </w:r>
      <w:r w:rsidR="002075DA">
        <w:rPr>
          <w:lang w:val="en-GB"/>
        </w:rPr>
        <w:t xml:space="preserve"> </w:t>
      </w:r>
      <w:bookmarkStart w:id="2" w:name="_Hlk87458479"/>
      <w:r w:rsidR="002075DA">
        <w:rPr>
          <w:lang w:val="en-GB"/>
        </w:rPr>
        <w:t>Guidance Text</w:t>
      </w:r>
      <w:r>
        <w:rPr>
          <w:lang w:val="en-GB"/>
        </w:rPr>
        <w:t xml:space="preserve"> </w:t>
      </w:r>
      <w:bookmarkEnd w:id="2"/>
      <w:r w:rsidRPr="002075DA">
        <w:rPr>
          <w:i/>
          <w:iCs/>
          <w:lang w:val="en-GB"/>
        </w:rPr>
        <w:t>supra</w:t>
      </w:r>
      <w:r w:rsidR="00275E41" w:rsidRPr="002075DA">
        <w:rPr>
          <w:i/>
          <w:iCs/>
          <w:lang w:val="en-GB"/>
        </w:rPr>
        <w:t>,</w:t>
      </w:r>
      <w:r w:rsidR="00275E41">
        <w:rPr>
          <w:lang w:val="en-GB"/>
        </w:rPr>
        <w:t xml:space="preserve"> p 45.</w:t>
      </w:r>
    </w:p>
  </w:footnote>
  <w:footnote w:id="19">
    <w:p w14:paraId="0092C145" w14:textId="682F3AE4" w:rsidR="00CF2DDA" w:rsidRPr="00CF2DDA" w:rsidRDefault="00CF2DDA">
      <w:pPr>
        <w:pStyle w:val="FootnoteText"/>
        <w:rPr>
          <w:lang w:val="en-GB"/>
        </w:rPr>
      </w:pPr>
      <w:r>
        <w:rPr>
          <w:rStyle w:val="FootnoteReference"/>
        </w:rPr>
        <w:footnoteRef/>
      </w:r>
      <w:r>
        <w:t>See, Gibbs &amp; Sons v. La Societe’ Industrielle et Commerciale des Me’taux (1890) 25 QBD 399.</w:t>
      </w:r>
    </w:p>
  </w:footnote>
  <w:footnote w:id="20">
    <w:p w14:paraId="4BF81FCD" w14:textId="40F816E1" w:rsidR="00E126B0" w:rsidRPr="00E126B0" w:rsidRDefault="00E126B0">
      <w:pPr>
        <w:pStyle w:val="FootnoteText"/>
        <w:rPr>
          <w:lang w:val="en-GB"/>
        </w:rPr>
      </w:pPr>
      <w:r>
        <w:rPr>
          <w:rStyle w:val="FootnoteReference"/>
        </w:rPr>
        <w:footnoteRef/>
      </w:r>
      <w:r>
        <w:t xml:space="preserve"> </w:t>
      </w:r>
      <w:r>
        <w:rPr>
          <w:lang w:val="en-GB"/>
        </w:rPr>
        <w:t>INSOL, Module 1</w:t>
      </w:r>
      <w:r w:rsidR="002075DA" w:rsidRPr="002075DA">
        <w:rPr>
          <w:lang w:val="en-GB"/>
        </w:rPr>
        <w:t xml:space="preserve"> </w:t>
      </w:r>
      <w:r w:rsidR="002075DA">
        <w:rPr>
          <w:lang w:val="en-GB"/>
        </w:rPr>
        <w:t>Guidance Text</w:t>
      </w:r>
      <w:r>
        <w:rPr>
          <w:lang w:val="en-GB"/>
        </w:rPr>
        <w:t xml:space="preserve"> </w:t>
      </w:r>
      <w:r w:rsidRPr="002075DA">
        <w:rPr>
          <w:i/>
          <w:iCs/>
          <w:lang w:val="en-GB"/>
        </w:rPr>
        <w:t>supra</w:t>
      </w:r>
      <w:r>
        <w:rPr>
          <w:lang w:val="en-GB"/>
        </w:rPr>
        <w:t>, p 44-45.</w:t>
      </w:r>
    </w:p>
  </w:footnote>
  <w:footnote w:id="21">
    <w:p w14:paraId="69DAF7C1" w14:textId="2AB51170" w:rsidR="003A2062" w:rsidRPr="003A2062" w:rsidRDefault="003A2062">
      <w:pPr>
        <w:pStyle w:val="FootnoteText"/>
        <w:rPr>
          <w:lang w:val="en-GB"/>
        </w:rPr>
      </w:pPr>
      <w:r>
        <w:rPr>
          <w:rStyle w:val="FootnoteReference"/>
        </w:rPr>
        <w:footnoteRef/>
      </w:r>
      <w:r>
        <w:t xml:space="preserve"> </w:t>
      </w:r>
      <w:r>
        <w:rPr>
          <w:lang w:val="en-GB"/>
        </w:rPr>
        <w:t>Ibid, n</w:t>
      </w:r>
      <w:r w:rsidR="00F75514">
        <w:rPr>
          <w:lang w:val="en-GB"/>
        </w:rPr>
        <w:t>ote</w:t>
      </w:r>
      <w:r>
        <w:rPr>
          <w:lang w:val="en-GB"/>
        </w:rPr>
        <w:t xml:space="preserve"> 81.</w:t>
      </w:r>
    </w:p>
  </w:footnote>
  <w:footnote w:id="22">
    <w:p w14:paraId="5FC6887E" w14:textId="50EB7332" w:rsidR="00E72509" w:rsidRPr="00E72509" w:rsidRDefault="00E72509">
      <w:pPr>
        <w:pStyle w:val="FootnoteText"/>
        <w:rPr>
          <w:lang w:val="en-GB"/>
        </w:rPr>
      </w:pPr>
      <w:r>
        <w:rPr>
          <w:rStyle w:val="FootnoteReference"/>
        </w:rPr>
        <w:footnoteRef/>
      </w:r>
      <w:r>
        <w:t xml:space="preserve"> </w:t>
      </w:r>
      <w:r>
        <w:rPr>
          <w:lang w:val="en-GB"/>
        </w:rPr>
        <w:t>INSOL</w:t>
      </w:r>
      <w:r w:rsidR="00380524">
        <w:rPr>
          <w:lang w:val="en-GB"/>
        </w:rPr>
        <w:t xml:space="preserve"> </w:t>
      </w:r>
      <w:r w:rsidR="00380524">
        <w:rPr>
          <w:i/>
          <w:iCs/>
          <w:lang w:val="en-GB"/>
        </w:rPr>
        <w:t>supra</w:t>
      </w:r>
      <w:r>
        <w:rPr>
          <w:lang w:val="en-GB"/>
        </w:rPr>
        <w:t xml:space="preserve"> Module 2A </w:t>
      </w:r>
      <w:bookmarkStart w:id="3" w:name="_Hlk87458729"/>
      <w:r>
        <w:rPr>
          <w:lang w:val="en-GB"/>
        </w:rPr>
        <w:t>Guidance Text</w:t>
      </w:r>
      <w:bookmarkEnd w:id="3"/>
      <w:r>
        <w:rPr>
          <w:lang w:val="en-GB"/>
        </w:rPr>
        <w:t>, p 56.</w:t>
      </w:r>
    </w:p>
  </w:footnote>
  <w:footnote w:id="23">
    <w:p w14:paraId="13179D96" w14:textId="7C420C47" w:rsidR="00C311DE" w:rsidRPr="00C311DE" w:rsidRDefault="00C311DE">
      <w:pPr>
        <w:pStyle w:val="FootnoteText"/>
        <w:rPr>
          <w:lang w:val="en-GB"/>
        </w:rPr>
      </w:pPr>
      <w:r>
        <w:rPr>
          <w:rStyle w:val="FootnoteReference"/>
        </w:rPr>
        <w:footnoteRef/>
      </w:r>
      <w:r>
        <w:t xml:space="preserve"> </w:t>
      </w:r>
      <w:r>
        <w:rPr>
          <w:lang w:val="en-GB"/>
        </w:rPr>
        <w:t xml:space="preserve">INSOL Module 1 </w:t>
      </w:r>
      <w:r w:rsidR="00322A38">
        <w:rPr>
          <w:lang w:val="en-GB"/>
        </w:rPr>
        <w:t xml:space="preserve">Guidance Text </w:t>
      </w:r>
      <w:r w:rsidRPr="00322A38">
        <w:rPr>
          <w:i/>
          <w:iCs/>
          <w:lang w:val="en-GB"/>
        </w:rPr>
        <w:t>supra</w:t>
      </w:r>
      <w:r>
        <w:rPr>
          <w:lang w:val="en-GB"/>
        </w:rPr>
        <w:t xml:space="preserve"> p 49.</w:t>
      </w:r>
    </w:p>
  </w:footnote>
  <w:footnote w:id="24">
    <w:p w14:paraId="52D83357" w14:textId="773EA590" w:rsidR="00763FA1" w:rsidRPr="00763FA1" w:rsidRDefault="00763FA1">
      <w:pPr>
        <w:pStyle w:val="FootnoteText"/>
        <w:rPr>
          <w:lang w:val="en-GB"/>
        </w:rPr>
      </w:pPr>
      <w:r>
        <w:rPr>
          <w:rStyle w:val="FootnoteReference"/>
        </w:rPr>
        <w:footnoteRef/>
      </w:r>
      <w:r>
        <w:t xml:space="preserve"> </w:t>
      </w:r>
      <w:r>
        <w:rPr>
          <w:lang w:val="en-GB"/>
        </w:rPr>
        <w:t>See, Williams v. Simpson [2010] NZHC 1786 (12 Oct, 2010); Batty v. Reeves [ 2015] NZHC 908 ( 4 May, 2015)</w:t>
      </w:r>
      <w:r w:rsidR="000C34E9">
        <w:rPr>
          <w:lang w:val="en-GB"/>
        </w:rPr>
        <w:t xml:space="preserve">. The UK provision in Section 426 (5) of the Insolvency Act 1986 where it authorised the local court to apply the Insolvency law which is applicable by either court in relation to comparable matters falling within its jurisdiction, is a step further when compared to the Australian and New Zealand laws.  </w:t>
      </w:r>
    </w:p>
  </w:footnote>
  <w:footnote w:id="25">
    <w:p w14:paraId="45B9DE8F" w14:textId="23BDF300" w:rsidR="00B84575" w:rsidRPr="00B84575" w:rsidRDefault="00B84575">
      <w:pPr>
        <w:pStyle w:val="FootnoteText"/>
        <w:rPr>
          <w:lang w:val="en-GB"/>
        </w:rPr>
      </w:pPr>
      <w:r>
        <w:rPr>
          <w:rStyle w:val="FootnoteReference"/>
        </w:rPr>
        <w:footnoteRef/>
      </w:r>
      <w:r w:rsidR="009419A0">
        <w:t>See,</w:t>
      </w:r>
      <w:r>
        <w:t xml:space="preserve"> </w:t>
      </w:r>
      <w:r>
        <w:rPr>
          <w:lang w:val="en-GB"/>
        </w:rPr>
        <w:t>INSOL Module 1</w:t>
      </w:r>
      <w:r w:rsidR="009419A0">
        <w:rPr>
          <w:lang w:val="en-GB"/>
        </w:rPr>
        <w:t xml:space="preserve"> Guidance Text</w:t>
      </w:r>
      <w:r>
        <w:rPr>
          <w:lang w:val="en-GB"/>
        </w:rPr>
        <w:t xml:space="preserve"> </w:t>
      </w:r>
      <w:r w:rsidRPr="009419A0">
        <w:rPr>
          <w:i/>
          <w:iCs/>
          <w:lang w:val="en-GB"/>
        </w:rPr>
        <w:t>supra</w:t>
      </w:r>
      <w:r w:rsidR="002F05A4">
        <w:rPr>
          <w:lang w:val="en-GB"/>
        </w:rPr>
        <w:t xml:space="preserve"> p 69.</w:t>
      </w:r>
    </w:p>
  </w:footnote>
  <w:footnote w:id="26">
    <w:p w14:paraId="1A00A43B" w14:textId="15269BB5" w:rsidR="003F2500" w:rsidRPr="003F2500" w:rsidRDefault="003F2500">
      <w:pPr>
        <w:pStyle w:val="FootnoteText"/>
        <w:rPr>
          <w:lang w:val="en-GB"/>
        </w:rPr>
      </w:pPr>
      <w:r>
        <w:rPr>
          <w:rStyle w:val="FootnoteReference"/>
        </w:rPr>
        <w:footnoteRef/>
      </w:r>
      <w:r>
        <w:t xml:space="preserve"> </w:t>
      </w:r>
      <w:r>
        <w:rPr>
          <w:lang w:val="en-GB"/>
        </w:rPr>
        <w:t>Lehman Brothers case also followed the example of Maxwell Communication Corporation’s case</w:t>
      </w:r>
      <w:r w:rsidR="00380C04">
        <w:rPr>
          <w:lang w:val="en-GB"/>
        </w:rPr>
        <w:t xml:space="preserve">. See, </w:t>
      </w:r>
      <w:r w:rsidR="00380C04" w:rsidRPr="00380C04">
        <w:rPr>
          <w:i/>
          <w:iCs/>
          <w:lang w:val="en-GB"/>
        </w:rPr>
        <w:t>Idem</w:t>
      </w:r>
      <w:r w:rsidR="00380C04">
        <w:rPr>
          <w:lang w:val="en-GB"/>
        </w:rPr>
        <w:t>, p 70.</w:t>
      </w:r>
    </w:p>
  </w:footnote>
  <w:footnote w:id="27">
    <w:p w14:paraId="77B17254" w14:textId="72F6BDE8" w:rsidR="009B41E3" w:rsidRPr="009B41E3" w:rsidRDefault="009B41E3">
      <w:pPr>
        <w:pStyle w:val="FootnoteText"/>
        <w:rPr>
          <w:lang w:val="en-GB"/>
        </w:rPr>
      </w:pPr>
      <w:r>
        <w:rPr>
          <w:rStyle w:val="FootnoteReference"/>
        </w:rPr>
        <w:footnoteRef/>
      </w:r>
      <w:r>
        <w:t xml:space="preserve"> </w:t>
      </w:r>
      <w:r>
        <w:rPr>
          <w:lang w:val="en-GB"/>
        </w:rPr>
        <w:t>Ibid.</w:t>
      </w:r>
    </w:p>
  </w:footnote>
  <w:footnote w:id="28">
    <w:p w14:paraId="19D010ED" w14:textId="56E61D29" w:rsidR="006763FD" w:rsidRPr="006763FD" w:rsidRDefault="006763FD">
      <w:pPr>
        <w:pStyle w:val="FootnoteText"/>
        <w:rPr>
          <w:lang w:val="en-GB"/>
        </w:rPr>
      </w:pPr>
      <w:r>
        <w:rPr>
          <w:rStyle w:val="FootnoteReference"/>
        </w:rPr>
        <w:footnoteRef/>
      </w:r>
      <w:r>
        <w:t xml:space="preserve"> </w:t>
      </w:r>
      <w:r>
        <w:rPr>
          <w:lang w:val="en-GB"/>
        </w:rPr>
        <w:t>Ibid.</w:t>
      </w:r>
    </w:p>
  </w:footnote>
  <w:footnote w:id="29">
    <w:p w14:paraId="67987BCB" w14:textId="07AC3A6A" w:rsidR="00B42AD5" w:rsidRPr="00B42AD5" w:rsidRDefault="00B42AD5">
      <w:pPr>
        <w:pStyle w:val="FootnoteText"/>
        <w:rPr>
          <w:lang w:val="en-GB"/>
        </w:rPr>
      </w:pPr>
      <w:r>
        <w:rPr>
          <w:rStyle w:val="FootnoteReference"/>
        </w:rPr>
        <w:footnoteRef/>
      </w:r>
      <w:r>
        <w:t xml:space="preserve"> </w:t>
      </w:r>
      <w:r>
        <w:rPr>
          <w:lang w:val="en-GB"/>
        </w:rPr>
        <w:t>See, Gibbs &amp; Sons v. La Societe Industrielle et Commerciale des Metaux (1890) 25 QBD 399.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E67"/>
    <w:multiLevelType w:val="hybridMultilevel"/>
    <w:tmpl w:val="4FB8D354"/>
    <w:lvl w:ilvl="0" w:tplc="9C96A75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3412BD9"/>
    <w:multiLevelType w:val="hybridMultilevel"/>
    <w:tmpl w:val="0C5C79BC"/>
    <w:lvl w:ilvl="0" w:tplc="56D49CA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CC128D"/>
    <w:multiLevelType w:val="hybridMultilevel"/>
    <w:tmpl w:val="E8AED724"/>
    <w:lvl w:ilvl="0" w:tplc="BB5682C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64566F6"/>
    <w:multiLevelType w:val="hybridMultilevel"/>
    <w:tmpl w:val="2E8283E6"/>
    <w:lvl w:ilvl="0" w:tplc="85D47B6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4D447E"/>
    <w:multiLevelType w:val="hybridMultilevel"/>
    <w:tmpl w:val="A27E27FA"/>
    <w:lvl w:ilvl="0" w:tplc="277E727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5A45FE5"/>
    <w:multiLevelType w:val="hybridMultilevel"/>
    <w:tmpl w:val="622EE2C8"/>
    <w:lvl w:ilvl="0" w:tplc="20884ADC">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21"/>
  </w:num>
  <w:num w:numId="4">
    <w:abstractNumId w:val="5"/>
  </w:num>
  <w:num w:numId="5">
    <w:abstractNumId w:val="3"/>
  </w:num>
  <w:num w:numId="6">
    <w:abstractNumId w:val="18"/>
  </w:num>
  <w:num w:numId="7">
    <w:abstractNumId w:val="4"/>
  </w:num>
  <w:num w:numId="8">
    <w:abstractNumId w:val="2"/>
  </w:num>
  <w:num w:numId="9">
    <w:abstractNumId w:val="1"/>
  </w:num>
  <w:num w:numId="10">
    <w:abstractNumId w:val="7"/>
  </w:num>
  <w:num w:numId="11">
    <w:abstractNumId w:val="12"/>
  </w:num>
  <w:num w:numId="12">
    <w:abstractNumId w:val="20"/>
  </w:num>
  <w:num w:numId="13">
    <w:abstractNumId w:val="14"/>
  </w:num>
  <w:num w:numId="14">
    <w:abstractNumId w:val="8"/>
  </w:num>
  <w:num w:numId="15">
    <w:abstractNumId w:val="11"/>
  </w:num>
  <w:num w:numId="16">
    <w:abstractNumId w:val="17"/>
  </w:num>
  <w:num w:numId="17">
    <w:abstractNumId w:val="6"/>
  </w:num>
  <w:num w:numId="18">
    <w:abstractNumId w:val="16"/>
  </w:num>
  <w:num w:numId="19">
    <w:abstractNumId w:val="15"/>
  </w:num>
  <w:num w:numId="20">
    <w:abstractNumId w:val="13"/>
  </w:num>
  <w:num w:numId="21">
    <w:abstractNumId w:val="19"/>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US"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A22"/>
    <w:rsid w:val="00003D8F"/>
    <w:rsid w:val="0000420A"/>
    <w:rsid w:val="00004AE7"/>
    <w:rsid w:val="00010BA0"/>
    <w:rsid w:val="00011C3B"/>
    <w:rsid w:val="00015EE6"/>
    <w:rsid w:val="00020557"/>
    <w:rsid w:val="00021FD1"/>
    <w:rsid w:val="0002322B"/>
    <w:rsid w:val="000250C7"/>
    <w:rsid w:val="00031918"/>
    <w:rsid w:val="000329A6"/>
    <w:rsid w:val="000330BD"/>
    <w:rsid w:val="0003375A"/>
    <w:rsid w:val="00034C0C"/>
    <w:rsid w:val="00037621"/>
    <w:rsid w:val="000419D4"/>
    <w:rsid w:val="00042C1C"/>
    <w:rsid w:val="00043365"/>
    <w:rsid w:val="000436F0"/>
    <w:rsid w:val="00043960"/>
    <w:rsid w:val="00044D46"/>
    <w:rsid w:val="00045088"/>
    <w:rsid w:val="00045904"/>
    <w:rsid w:val="00045DC7"/>
    <w:rsid w:val="00046789"/>
    <w:rsid w:val="00051802"/>
    <w:rsid w:val="000521C4"/>
    <w:rsid w:val="00052A5E"/>
    <w:rsid w:val="00053CBF"/>
    <w:rsid w:val="00054EC2"/>
    <w:rsid w:val="00055EB9"/>
    <w:rsid w:val="000572C1"/>
    <w:rsid w:val="0006130F"/>
    <w:rsid w:val="00062D42"/>
    <w:rsid w:val="00062E85"/>
    <w:rsid w:val="000635F9"/>
    <w:rsid w:val="00064119"/>
    <w:rsid w:val="000649D1"/>
    <w:rsid w:val="00064C44"/>
    <w:rsid w:val="00065166"/>
    <w:rsid w:val="000659FB"/>
    <w:rsid w:val="00067E02"/>
    <w:rsid w:val="00070914"/>
    <w:rsid w:val="0007091D"/>
    <w:rsid w:val="0007127F"/>
    <w:rsid w:val="00071E6B"/>
    <w:rsid w:val="00075CD4"/>
    <w:rsid w:val="00076483"/>
    <w:rsid w:val="00080621"/>
    <w:rsid w:val="0008155B"/>
    <w:rsid w:val="00081A63"/>
    <w:rsid w:val="00082609"/>
    <w:rsid w:val="000851CC"/>
    <w:rsid w:val="00085349"/>
    <w:rsid w:val="00085D4B"/>
    <w:rsid w:val="00086BDD"/>
    <w:rsid w:val="00090933"/>
    <w:rsid w:val="00093BE8"/>
    <w:rsid w:val="00093FE2"/>
    <w:rsid w:val="0009471C"/>
    <w:rsid w:val="000A01B9"/>
    <w:rsid w:val="000A0C1B"/>
    <w:rsid w:val="000A2B39"/>
    <w:rsid w:val="000A68ED"/>
    <w:rsid w:val="000A74CA"/>
    <w:rsid w:val="000A7E09"/>
    <w:rsid w:val="000B5B12"/>
    <w:rsid w:val="000B5B93"/>
    <w:rsid w:val="000B5FF1"/>
    <w:rsid w:val="000B609F"/>
    <w:rsid w:val="000B68F3"/>
    <w:rsid w:val="000C34E9"/>
    <w:rsid w:val="000D2929"/>
    <w:rsid w:val="000D4B3B"/>
    <w:rsid w:val="000D55A8"/>
    <w:rsid w:val="000D57BE"/>
    <w:rsid w:val="000D6876"/>
    <w:rsid w:val="000E0165"/>
    <w:rsid w:val="000E05DB"/>
    <w:rsid w:val="000E2AC0"/>
    <w:rsid w:val="000E3A82"/>
    <w:rsid w:val="000E3C5A"/>
    <w:rsid w:val="000E4841"/>
    <w:rsid w:val="000E5CB4"/>
    <w:rsid w:val="000F0DC0"/>
    <w:rsid w:val="000F0FFF"/>
    <w:rsid w:val="000F1677"/>
    <w:rsid w:val="000F3D6C"/>
    <w:rsid w:val="000F58B0"/>
    <w:rsid w:val="000F7640"/>
    <w:rsid w:val="00100A77"/>
    <w:rsid w:val="00101707"/>
    <w:rsid w:val="00105CBD"/>
    <w:rsid w:val="00107BA3"/>
    <w:rsid w:val="0011011D"/>
    <w:rsid w:val="001107F2"/>
    <w:rsid w:val="00110E0C"/>
    <w:rsid w:val="001131C6"/>
    <w:rsid w:val="00113BE1"/>
    <w:rsid w:val="0011415F"/>
    <w:rsid w:val="0011473D"/>
    <w:rsid w:val="001156B2"/>
    <w:rsid w:val="00115C85"/>
    <w:rsid w:val="00122941"/>
    <w:rsid w:val="0012303D"/>
    <w:rsid w:val="00123855"/>
    <w:rsid w:val="00124B70"/>
    <w:rsid w:val="00125A7C"/>
    <w:rsid w:val="00125D53"/>
    <w:rsid w:val="00126A4D"/>
    <w:rsid w:val="001300AA"/>
    <w:rsid w:val="00131D42"/>
    <w:rsid w:val="0013278B"/>
    <w:rsid w:val="00135FFC"/>
    <w:rsid w:val="00137571"/>
    <w:rsid w:val="0014171F"/>
    <w:rsid w:val="001426B9"/>
    <w:rsid w:val="0014622C"/>
    <w:rsid w:val="00147E11"/>
    <w:rsid w:val="00150F6C"/>
    <w:rsid w:val="00152348"/>
    <w:rsid w:val="0015328F"/>
    <w:rsid w:val="0015456D"/>
    <w:rsid w:val="00161748"/>
    <w:rsid w:val="00161F1B"/>
    <w:rsid w:val="001620AF"/>
    <w:rsid w:val="00162829"/>
    <w:rsid w:val="0016472D"/>
    <w:rsid w:val="00164B28"/>
    <w:rsid w:val="001677CC"/>
    <w:rsid w:val="00173647"/>
    <w:rsid w:val="00180548"/>
    <w:rsid w:val="00180AC4"/>
    <w:rsid w:val="00180B1E"/>
    <w:rsid w:val="00180CCE"/>
    <w:rsid w:val="00181438"/>
    <w:rsid w:val="00181BDA"/>
    <w:rsid w:val="0018267A"/>
    <w:rsid w:val="00182779"/>
    <w:rsid w:val="001830DF"/>
    <w:rsid w:val="001833C2"/>
    <w:rsid w:val="00193AB3"/>
    <w:rsid w:val="001966D9"/>
    <w:rsid w:val="00197963"/>
    <w:rsid w:val="001A0ADF"/>
    <w:rsid w:val="001A620B"/>
    <w:rsid w:val="001A7E9A"/>
    <w:rsid w:val="001B0F70"/>
    <w:rsid w:val="001B4535"/>
    <w:rsid w:val="001B5016"/>
    <w:rsid w:val="001B6CEE"/>
    <w:rsid w:val="001C45FC"/>
    <w:rsid w:val="001C594A"/>
    <w:rsid w:val="001D1865"/>
    <w:rsid w:val="001D1BF7"/>
    <w:rsid w:val="001D4862"/>
    <w:rsid w:val="001D7EF2"/>
    <w:rsid w:val="001E1FB4"/>
    <w:rsid w:val="001E23FD"/>
    <w:rsid w:val="001E25B9"/>
    <w:rsid w:val="001E2C87"/>
    <w:rsid w:val="001E392F"/>
    <w:rsid w:val="001E49E0"/>
    <w:rsid w:val="001E70ED"/>
    <w:rsid w:val="001E7B5A"/>
    <w:rsid w:val="001F1478"/>
    <w:rsid w:val="001F2AF5"/>
    <w:rsid w:val="001F603D"/>
    <w:rsid w:val="001F7412"/>
    <w:rsid w:val="001F7C77"/>
    <w:rsid w:val="00202C2B"/>
    <w:rsid w:val="00205B31"/>
    <w:rsid w:val="0020725B"/>
    <w:rsid w:val="002075DA"/>
    <w:rsid w:val="00212B14"/>
    <w:rsid w:val="00212CD7"/>
    <w:rsid w:val="00216499"/>
    <w:rsid w:val="002164C0"/>
    <w:rsid w:val="00216CB4"/>
    <w:rsid w:val="002173C5"/>
    <w:rsid w:val="00223780"/>
    <w:rsid w:val="0022619E"/>
    <w:rsid w:val="0022682A"/>
    <w:rsid w:val="0022719C"/>
    <w:rsid w:val="002341BC"/>
    <w:rsid w:val="002362AB"/>
    <w:rsid w:val="002400DB"/>
    <w:rsid w:val="002406A4"/>
    <w:rsid w:val="0024110D"/>
    <w:rsid w:val="0024116D"/>
    <w:rsid w:val="00241B44"/>
    <w:rsid w:val="00241CD0"/>
    <w:rsid w:val="00244189"/>
    <w:rsid w:val="00245EFB"/>
    <w:rsid w:val="002529D2"/>
    <w:rsid w:val="00253233"/>
    <w:rsid w:val="00253507"/>
    <w:rsid w:val="0025386E"/>
    <w:rsid w:val="0026113A"/>
    <w:rsid w:val="002638B0"/>
    <w:rsid w:val="0026510C"/>
    <w:rsid w:val="0026647A"/>
    <w:rsid w:val="0026661D"/>
    <w:rsid w:val="002668D3"/>
    <w:rsid w:val="00266F17"/>
    <w:rsid w:val="002672D0"/>
    <w:rsid w:val="00267928"/>
    <w:rsid w:val="0027242B"/>
    <w:rsid w:val="0027299F"/>
    <w:rsid w:val="00275182"/>
    <w:rsid w:val="00275946"/>
    <w:rsid w:val="00275E41"/>
    <w:rsid w:val="002819E7"/>
    <w:rsid w:val="00284EBE"/>
    <w:rsid w:val="00286720"/>
    <w:rsid w:val="002872E1"/>
    <w:rsid w:val="00287B2E"/>
    <w:rsid w:val="00287D4D"/>
    <w:rsid w:val="00290116"/>
    <w:rsid w:val="0029433F"/>
    <w:rsid w:val="00294829"/>
    <w:rsid w:val="00295742"/>
    <w:rsid w:val="0029690F"/>
    <w:rsid w:val="002A0F2E"/>
    <w:rsid w:val="002A2A60"/>
    <w:rsid w:val="002A3815"/>
    <w:rsid w:val="002A5013"/>
    <w:rsid w:val="002A586A"/>
    <w:rsid w:val="002A6489"/>
    <w:rsid w:val="002A6646"/>
    <w:rsid w:val="002A78AD"/>
    <w:rsid w:val="002A7C2D"/>
    <w:rsid w:val="002B1C45"/>
    <w:rsid w:val="002B2970"/>
    <w:rsid w:val="002B75E5"/>
    <w:rsid w:val="002C1227"/>
    <w:rsid w:val="002C13C8"/>
    <w:rsid w:val="002C259C"/>
    <w:rsid w:val="002C3547"/>
    <w:rsid w:val="002D0021"/>
    <w:rsid w:val="002D10A3"/>
    <w:rsid w:val="002D295D"/>
    <w:rsid w:val="002D3473"/>
    <w:rsid w:val="002D74B0"/>
    <w:rsid w:val="002E37B7"/>
    <w:rsid w:val="002E3F64"/>
    <w:rsid w:val="002E4A02"/>
    <w:rsid w:val="002E4A1F"/>
    <w:rsid w:val="002E4B25"/>
    <w:rsid w:val="002E66F4"/>
    <w:rsid w:val="002F00D5"/>
    <w:rsid w:val="002F05A4"/>
    <w:rsid w:val="002F1956"/>
    <w:rsid w:val="002F2B8D"/>
    <w:rsid w:val="002F3440"/>
    <w:rsid w:val="002F3B17"/>
    <w:rsid w:val="002F5DD8"/>
    <w:rsid w:val="002F7134"/>
    <w:rsid w:val="002F75A3"/>
    <w:rsid w:val="002F75CD"/>
    <w:rsid w:val="002F7EB5"/>
    <w:rsid w:val="0030201F"/>
    <w:rsid w:val="00303C2F"/>
    <w:rsid w:val="0030558B"/>
    <w:rsid w:val="00306E87"/>
    <w:rsid w:val="00310FC2"/>
    <w:rsid w:val="00311C7A"/>
    <w:rsid w:val="003144EF"/>
    <w:rsid w:val="00322A38"/>
    <w:rsid w:val="00326292"/>
    <w:rsid w:val="00326415"/>
    <w:rsid w:val="00330937"/>
    <w:rsid w:val="00330F31"/>
    <w:rsid w:val="003326F0"/>
    <w:rsid w:val="00333BB3"/>
    <w:rsid w:val="00334648"/>
    <w:rsid w:val="00335D0A"/>
    <w:rsid w:val="00336CA6"/>
    <w:rsid w:val="00336E79"/>
    <w:rsid w:val="0033768C"/>
    <w:rsid w:val="00337938"/>
    <w:rsid w:val="00340769"/>
    <w:rsid w:val="00341A65"/>
    <w:rsid w:val="00341AA6"/>
    <w:rsid w:val="00342E57"/>
    <w:rsid w:val="00355B57"/>
    <w:rsid w:val="00361A0A"/>
    <w:rsid w:val="00361DF9"/>
    <w:rsid w:val="003634DA"/>
    <w:rsid w:val="0036565C"/>
    <w:rsid w:val="0036625E"/>
    <w:rsid w:val="0036670A"/>
    <w:rsid w:val="00367162"/>
    <w:rsid w:val="00372045"/>
    <w:rsid w:val="00372CD4"/>
    <w:rsid w:val="0037465A"/>
    <w:rsid w:val="00377B55"/>
    <w:rsid w:val="00380524"/>
    <w:rsid w:val="00380C04"/>
    <w:rsid w:val="00381D07"/>
    <w:rsid w:val="0038255B"/>
    <w:rsid w:val="00382C98"/>
    <w:rsid w:val="00382D40"/>
    <w:rsid w:val="0038325E"/>
    <w:rsid w:val="00384604"/>
    <w:rsid w:val="00384E3D"/>
    <w:rsid w:val="00385041"/>
    <w:rsid w:val="0038533C"/>
    <w:rsid w:val="0038591B"/>
    <w:rsid w:val="003937B9"/>
    <w:rsid w:val="003948D5"/>
    <w:rsid w:val="003957FD"/>
    <w:rsid w:val="00396821"/>
    <w:rsid w:val="00396CE5"/>
    <w:rsid w:val="003979A3"/>
    <w:rsid w:val="00397D3A"/>
    <w:rsid w:val="003A051E"/>
    <w:rsid w:val="003A0BBE"/>
    <w:rsid w:val="003A2062"/>
    <w:rsid w:val="003A2448"/>
    <w:rsid w:val="003A3128"/>
    <w:rsid w:val="003A60FF"/>
    <w:rsid w:val="003A696A"/>
    <w:rsid w:val="003B170F"/>
    <w:rsid w:val="003B34CF"/>
    <w:rsid w:val="003B3C5F"/>
    <w:rsid w:val="003B761F"/>
    <w:rsid w:val="003C1451"/>
    <w:rsid w:val="003C2017"/>
    <w:rsid w:val="003C4471"/>
    <w:rsid w:val="003D0590"/>
    <w:rsid w:val="003D0A6D"/>
    <w:rsid w:val="003D100A"/>
    <w:rsid w:val="003D3045"/>
    <w:rsid w:val="003D4300"/>
    <w:rsid w:val="003D6AC4"/>
    <w:rsid w:val="003D6DAA"/>
    <w:rsid w:val="003E064D"/>
    <w:rsid w:val="003E0B16"/>
    <w:rsid w:val="003E2D1B"/>
    <w:rsid w:val="003E67D1"/>
    <w:rsid w:val="003F2500"/>
    <w:rsid w:val="003F655E"/>
    <w:rsid w:val="003F74D9"/>
    <w:rsid w:val="00404148"/>
    <w:rsid w:val="004046A6"/>
    <w:rsid w:val="00404EF7"/>
    <w:rsid w:val="00405DC1"/>
    <w:rsid w:val="00413B14"/>
    <w:rsid w:val="00413BBD"/>
    <w:rsid w:val="00414BF9"/>
    <w:rsid w:val="00415DFF"/>
    <w:rsid w:val="00415F1F"/>
    <w:rsid w:val="0042108F"/>
    <w:rsid w:val="004214D4"/>
    <w:rsid w:val="00422F46"/>
    <w:rsid w:val="00426969"/>
    <w:rsid w:val="00426B64"/>
    <w:rsid w:val="00430FED"/>
    <w:rsid w:val="00433B8F"/>
    <w:rsid w:val="00434A8C"/>
    <w:rsid w:val="00437297"/>
    <w:rsid w:val="00437ABE"/>
    <w:rsid w:val="00440AC5"/>
    <w:rsid w:val="00444284"/>
    <w:rsid w:val="004442F1"/>
    <w:rsid w:val="004453CF"/>
    <w:rsid w:val="00445CE6"/>
    <w:rsid w:val="004466A8"/>
    <w:rsid w:val="004520B2"/>
    <w:rsid w:val="004534C2"/>
    <w:rsid w:val="00453967"/>
    <w:rsid w:val="0045446F"/>
    <w:rsid w:val="00454C9D"/>
    <w:rsid w:val="0045650B"/>
    <w:rsid w:val="0045683E"/>
    <w:rsid w:val="0046142D"/>
    <w:rsid w:val="0046274F"/>
    <w:rsid w:val="0046298C"/>
    <w:rsid w:val="00463259"/>
    <w:rsid w:val="004659E0"/>
    <w:rsid w:val="004709F1"/>
    <w:rsid w:val="00470A63"/>
    <w:rsid w:val="00470C55"/>
    <w:rsid w:val="004715C1"/>
    <w:rsid w:val="0047162F"/>
    <w:rsid w:val="0047233E"/>
    <w:rsid w:val="004731F4"/>
    <w:rsid w:val="00481FC8"/>
    <w:rsid w:val="00482FE3"/>
    <w:rsid w:val="00486065"/>
    <w:rsid w:val="00486776"/>
    <w:rsid w:val="004868BB"/>
    <w:rsid w:val="00491675"/>
    <w:rsid w:val="00493855"/>
    <w:rsid w:val="004948AF"/>
    <w:rsid w:val="00495A5C"/>
    <w:rsid w:val="00497558"/>
    <w:rsid w:val="00497CF9"/>
    <w:rsid w:val="004A57DD"/>
    <w:rsid w:val="004A5EF2"/>
    <w:rsid w:val="004A7B51"/>
    <w:rsid w:val="004A7D71"/>
    <w:rsid w:val="004A7EF3"/>
    <w:rsid w:val="004B0DD1"/>
    <w:rsid w:val="004B0EBE"/>
    <w:rsid w:val="004B10C5"/>
    <w:rsid w:val="004B11FD"/>
    <w:rsid w:val="004B23A2"/>
    <w:rsid w:val="004B25E4"/>
    <w:rsid w:val="004B428D"/>
    <w:rsid w:val="004B607C"/>
    <w:rsid w:val="004C1DA6"/>
    <w:rsid w:val="004C3461"/>
    <w:rsid w:val="004C5E4F"/>
    <w:rsid w:val="004C6A09"/>
    <w:rsid w:val="004C7030"/>
    <w:rsid w:val="004D1A5A"/>
    <w:rsid w:val="004D2FFF"/>
    <w:rsid w:val="004D3721"/>
    <w:rsid w:val="004D4159"/>
    <w:rsid w:val="004D64F9"/>
    <w:rsid w:val="004D687E"/>
    <w:rsid w:val="004E4224"/>
    <w:rsid w:val="004E48E9"/>
    <w:rsid w:val="004E5564"/>
    <w:rsid w:val="004E5A14"/>
    <w:rsid w:val="004E5B4F"/>
    <w:rsid w:val="004E622C"/>
    <w:rsid w:val="004E64DB"/>
    <w:rsid w:val="004E6981"/>
    <w:rsid w:val="004F09F3"/>
    <w:rsid w:val="004F1534"/>
    <w:rsid w:val="004F2DD1"/>
    <w:rsid w:val="004F3375"/>
    <w:rsid w:val="004F3CC8"/>
    <w:rsid w:val="004F55F1"/>
    <w:rsid w:val="004F5FDF"/>
    <w:rsid w:val="0050156C"/>
    <w:rsid w:val="005029BC"/>
    <w:rsid w:val="005059A4"/>
    <w:rsid w:val="00506349"/>
    <w:rsid w:val="00515756"/>
    <w:rsid w:val="00515F63"/>
    <w:rsid w:val="0051696C"/>
    <w:rsid w:val="005177FE"/>
    <w:rsid w:val="0052263B"/>
    <w:rsid w:val="005244F7"/>
    <w:rsid w:val="00524728"/>
    <w:rsid w:val="00525459"/>
    <w:rsid w:val="00525C99"/>
    <w:rsid w:val="005264E3"/>
    <w:rsid w:val="0052732A"/>
    <w:rsid w:val="00527365"/>
    <w:rsid w:val="00530010"/>
    <w:rsid w:val="00530CA0"/>
    <w:rsid w:val="00532283"/>
    <w:rsid w:val="005323A7"/>
    <w:rsid w:val="005331CA"/>
    <w:rsid w:val="0053373B"/>
    <w:rsid w:val="0053523A"/>
    <w:rsid w:val="00536ECD"/>
    <w:rsid w:val="00537970"/>
    <w:rsid w:val="00540E3A"/>
    <w:rsid w:val="00542E08"/>
    <w:rsid w:val="0054330C"/>
    <w:rsid w:val="005433D7"/>
    <w:rsid w:val="00543941"/>
    <w:rsid w:val="00544127"/>
    <w:rsid w:val="005508BB"/>
    <w:rsid w:val="00553EB2"/>
    <w:rsid w:val="0055783D"/>
    <w:rsid w:val="00560534"/>
    <w:rsid w:val="00561E97"/>
    <w:rsid w:val="0056391B"/>
    <w:rsid w:val="005650E2"/>
    <w:rsid w:val="00566D80"/>
    <w:rsid w:val="00567AD7"/>
    <w:rsid w:val="005716C3"/>
    <w:rsid w:val="00573594"/>
    <w:rsid w:val="00575B2D"/>
    <w:rsid w:val="00576A45"/>
    <w:rsid w:val="005800D0"/>
    <w:rsid w:val="005833D0"/>
    <w:rsid w:val="005846F3"/>
    <w:rsid w:val="0058622F"/>
    <w:rsid w:val="005865D6"/>
    <w:rsid w:val="00590880"/>
    <w:rsid w:val="00590FE6"/>
    <w:rsid w:val="00591631"/>
    <w:rsid w:val="00592CA2"/>
    <w:rsid w:val="00592E7F"/>
    <w:rsid w:val="00592F82"/>
    <w:rsid w:val="005936B3"/>
    <w:rsid w:val="005953ED"/>
    <w:rsid w:val="00595B58"/>
    <w:rsid w:val="005966E3"/>
    <w:rsid w:val="005974B9"/>
    <w:rsid w:val="005A0CCA"/>
    <w:rsid w:val="005A2152"/>
    <w:rsid w:val="005A2194"/>
    <w:rsid w:val="005A2628"/>
    <w:rsid w:val="005A383D"/>
    <w:rsid w:val="005A5ACB"/>
    <w:rsid w:val="005A6D32"/>
    <w:rsid w:val="005A726D"/>
    <w:rsid w:val="005A781C"/>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229E"/>
    <w:rsid w:val="005E605E"/>
    <w:rsid w:val="005E645E"/>
    <w:rsid w:val="005F026D"/>
    <w:rsid w:val="005F244F"/>
    <w:rsid w:val="005F2D0B"/>
    <w:rsid w:val="005F453F"/>
    <w:rsid w:val="005F4B31"/>
    <w:rsid w:val="005F5449"/>
    <w:rsid w:val="005F6059"/>
    <w:rsid w:val="00602675"/>
    <w:rsid w:val="006026FE"/>
    <w:rsid w:val="0060397D"/>
    <w:rsid w:val="006074BA"/>
    <w:rsid w:val="00610388"/>
    <w:rsid w:val="00610B84"/>
    <w:rsid w:val="00612092"/>
    <w:rsid w:val="00612CA5"/>
    <w:rsid w:val="0061422D"/>
    <w:rsid w:val="006153EC"/>
    <w:rsid w:val="00621A17"/>
    <w:rsid w:val="00623875"/>
    <w:rsid w:val="00626E20"/>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3F2"/>
    <w:rsid w:val="00654C2F"/>
    <w:rsid w:val="00655438"/>
    <w:rsid w:val="00657087"/>
    <w:rsid w:val="0065715A"/>
    <w:rsid w:val="006601D6"/>
    <w:rsid w:val="006635C9"/>
    <w:rsid w:val="006661EF"/>
    <w:rsid w:val="006746CB"/>
    <w:rsid w:val="006763FD"/>
    <w:rsid w:val="00677AEB"/>
    <w:rsid w:val="00680EF2"/>
    <w:rsid w:val="00682A3E"/>
    <w:rsid w:val="006850AE"/>
    <w:rsid w:val="00686C53"/>
    <w:rsid w:val="00687A1D"/>
    <w:rsid w:val="006931D8"/>
    <w:rsid w:val="00697EA1"/>
    <w:rsid w:val="006A2646"/>
    <w:rsid w:val="006A2992"/>
    <w:rsid w:val="006A6530"/>
    <w:rsid w:val="006A695F"/>
    <w:rsid w:val="006A6D1D"/>
    <w:rsid w:val="006B1D7B"/>
    <w:rsid w:val="006B2893"/>
    <w:rsid w:val="006B435A"/>
    <w:rsid w:val="006B4C64"/>
    <w:rsid w:val="006B5AE8"/>
    <w:rsid w:val="006C4533"/>
    <w:rsid w:val="006D0529"/>
    <w:rsid w:val="006D564C"/>
    <w:rsid w:val="006D6BD5"/>
    <w:rsid w:val="006E1CB0"/>
    <w:rsid w:val="006E2377"/>
    <w:rsid w:val="006E254C"/>
    <w:rsid w:val="006E481A"/>
    <w:rsid w:val="006E5298"/>
    <w:rsid w:val="006E6A1F"/>
    <w:rsid w:val="006E6A6A"/>
    <w:rsid w:val="006E77B0"/>
    <w:rsid w:val="006F4C8F"/>
    <w:rsid w:val="006F6B2E"/>
    <w:rsid w:val="006F7014"/>
    <w:rsid w:val="006F734A"/>
    <w:rsid w:val="00700D83"/>
    <w:rsid w:val="00703A77"/>
    <w:rsid w:val="00704852"/>
    <w:rsid w:val="00704C24"/>
    <w:rsid w:val="00705BFA"/>
    <w:rsid w:val="007074E9"/>
    <w:rsid w:val="00707954"/>
    <w:rsid w:val="00707BC5"/>
    <w:rsid w:val="00712784"/>
    <w:rsid w:val="00713D12"/>
    <w:rsid w:val="00713DA4"/>
    <w:rsid w:val="007142FA"/>
    <w:rsid w:val="00714BF1"/>
    <w:rsid w:val="00716F18"/>
    <w:rsid w:val="00720DD3"/>
    <w:rsid w:val="00721383"/>
    <w:rsid w:val="0072163F"/>
    <w:rsid w:val="007216AD"/>
    <w:rsid w:val="00722E91"/>
    <w:rsid w:val="00726E9A"/>
    <w:rsid w:val="00727864"/>
    <w:rsid w:val="007333CC"/>
    <w:rsid w:val="007335D8"/>
    <w:rsid w:val="0073399A"/>
    <w:rsid w:val="007369C7"/>
    <w:rsid w:val="00743531"/>
    <w:rsid w:val="00745AE1"/>
    <w:rsid w:val="007462D9"/>
    <w:rsid w:val="00751986"/>
    <w:rsid w:val="0075428A"/>
    <w:rsid w:val="00756ABD"/>
    <w:rsid w:val="007576A3"/>
    <w:rsid w:val="007603F5"/>
    <w:rsid w:val="00760A70"/>
    <w:rsid w:val="0076181C"/>
    <w:rsid w:val="0076354F"/>
    <w:rsid w:val="00763FA1"/>
    <w:rsid w:val="00764DB0"/>
    <w:rsid w:val="00766CA8"/>
    <w:rsid w:val="007671EB"/>
    <w:rsid w:val="0076746E"/>
    <w:rsid w:val="0076764D"/>
    <w:rsid w:val="0076766F"/>
    <w:rsid w:val="00770DF5"/>
    <w:rsid w:val="00773203"/>
    <w:rsid w:val="0077498C"/>
    <w:rsid w:val="00777070"/>
    <w:rsid w:val="00780948"/>
    <w:rsid w:val="00782B3F"/>
    <w:rsid w:val="00784128"/>
    <w:rsid w:val="0078662F"/>
    <w:rsid w:val="00787A23"/>
    <w:rsid w:val="0079050F"/>
    <w:rsid w:val="00790B4C"/>
    <w:rsid w:val="00790BF4"/>
    <w:rsid w:val="0079206E"/>
    <w:rsid w:val="00793173"/>
    <w:rsid w:val="007958F0"/>
    <w:rsid w:val="007970BC"/>
    <w:rsid w:val="007973C9"/>
    <w:rsid w:val="00797E1B"/>
    <w:rsid w:val="007A12A4"/>
    <w:rsid w:val="007A5988"/>
    <w:rsid w:val="007B1E13"/>
    <w:rsid w:val="007C0111"/>
    <w:rsid w:val="007C0663"/>
    <w:rsid w:val="007C1FCC"/>
    <w:rsid w:val="007C2831"/>
    <w:rsid w:val="007C2AA1"/>
    <w:rsid w:val="007C6201"/>
    <w:rsid w:val="007D0348"/>
    <w:rsid w:val="007D1E28"/>
    <w:rsid w:val="007D4955"/>
    <w:rsid w:val="007D78D2"/>
    <w:rsid w:val="007D7C92"/>
    <w:rsid w:val="007D7E30"/>
    <w:rsid w:val="007E1154"/>
    <w:rsid w:val="007E3AA5"/>
    <w:rsid w:val="007E3ADF"/>
    <w:rsid w:val="007E3FB2"/>
    <w:rsid w:val="007E530F"/>
    <w:rsid w:val="007E6A42"/>
    <w:rsid w:val="007E6BA4"/>
    <w:rsid w:val="007F19A2"/>
    <w:rsid w:val="007F1D76"/>
    <w:rsid w:val="007F41F8"/>
    <w:rsid w:val="007F7E1D"/>
    <w:rsid w:val="00804000"/>
    <w:rsid w:val="0080454E"/>
    <w:rsid w:val="00804C32"/>
    <w:rsid w:val="00806302"/>
    <w:rsid w:val="00807119"/>
    <w:rsid w:val="0081060B"/>
    <w:rsid w:val="00811865"/>
    <w:rsid w:val="00814A55"/>
    <w:rsid w:val="00815BE4"/>
    <w:rsid w:val="0081649A"/>
    <w:rsid w:val="00821C36"/>
    <w:rsid w:val="008227FE"/>
    <w:rsid w:val="0082483F"/>
    <w:rsid w:val="008279C0"/>
    <w:rsid w:val="00831DA1"/>
    <w:rsid w:val="008332E4"/>
    <w:rsid w:val="00841261"/>
    <w:rsid w:val="008412FF"/>
    <w:rsid w:val="00841E70"/>
    <w:rsid w:val="00842C5F"/>
    <w:rsid w:val="00844A71"/>
    <w:rsid w:val="008473AA"/>
    <w:rsid w:val="00852883"/>
    <w:rsid w:val="00852F37"/>
    <w:rsid w:val="00853A96"/>
    <w:rsid w:val="00855D0A"/>
    <w:rsid w:val="008571F6"/>
    <w:rsid w:val="00861E51"/>
    <w:rsid w:val="00870B96"/>
    <w:rsid w:val="008723F3"/>
    <w:rsid w:val="00873246"/>
    <w:rsid w:val="00874CC5"/>
    <w:rsid w:val="00875E2E"/>
    <w:rsid w:val="00876DBF"/>
    <w:rsid w:val="00880F99"/>
    <w:rsid w:val="00881DA8"/>
    <w:rsid w:val="00881DE6"/>
    <w:rsid w:val="008831CF"/>
    <w:rsid w:val="008837A6"/>
    <w:rsid w:val="0089145D"/>
    <w:rsid w:val="00896FD7"/>
    <w:rsid w:val="00897428"/>
    <w:rsid w:val="008A30C3"/>
    <w:rsid w:val="008A30EE"/>
    <w:rsid w:val="008A4DF2"/>
    <w:rsid w:val="008A6841"/>
    <w:rsid w:val="008A6CFE"/>
    <w:rsid w:val="008B2DE9"/>
    <w:rsid w:val="008B40E7"/>
    <w:rsid w:val="008B4681"/>
    <w:rsid w:val="008B4B58"/>
    <w:rsid w:val="008B5333"/>
    <w:rsid w:val="008B6223"/>
    <w:rsid w:val="008C4066"/>
    <w:rsid w:val="008C4717"/>
    <w:rsid w:val="008C66E0"/>
    <w:rsid w:val="008D0122"/>
    <w:rsid w:val="008D3E17"/>
    <w:rsid w:val="008D540E"/>
    <w:rsid w:val="008D5D34"/>
    <w:rsid w:val="008D7718"/>
    <w:rsid w:val="008E111C"/>
    <w:rsid w:val="008E220E"/>
    <w:rsid w:val="008E3339"/>
    <w:rsid w:val="008E4B5D"/>
    <w:rsid w:val="008E614A"/>
    <w:rsid w:val="008E64D3"/>
    <w:rsid w:val="008E6F11"/>
    <w:rsid w:val="008F116A"/>
    <w:rsid w:val="008F20FC"/>
    <w:rsid w:val="008F4878"/>
    <w:rsid w:val="008F50C4"/>
    <w:rsid w:val="008F5FFE"/>
    <w:rsid w:val="008F7BD9"/>
    <w:rsid w:val="0090037B"/>
    <w:rsid w:val="00903DCC"/>
    <w:rsid w:val="00905A43"/>
    <w:rsid w:val="00905F74"/>
    <w:rsid w:val="009078CE"/>
    <w:rsid w:val="009108EF"/>
    <w:rsid w:val="00910DC0"/>
    <w:rsid w:val="00911C23"/>
    <w:rsid w:val="009121A9"/>
    <w:rsid w:val="00912C79"/>
    <w:rsid w:val="00913FB9"/>
    <w:rsid w:val="00915010"/>
    <w:rsid w:val="0091528C"/>
    <w:rsid w:val="009152D1"/>
    <w:rsid w:val="009173D1"/>
    <w:rsid w:val="00923CCC"/>
    <w:rsid w:val="00926D10"/>
    <w:rsid w:val="009275FE"/>
    <w:rsid w:val="00932DDE"/>
    <w:rsid w:val="009347C4"/>
    <w:rsid w:val="009419A0"/>
    <w:rsid w:val="00942123"/>
    <w:rsid w:val="0094263A"/>
    <w:rsid w:val="009447C0"/>
    <w:rsid w:val="00946EE0"/>
    <w:rsid w:val="0095029B"/>
    <w:rsid w:val="0095029C"/>
    <w:rsid w:val="0095207B"/>
    <w:rsid w:val="009533CB"/>
    <w:rsid w:val="00953B5C"/>
    <w:rsid w:val="0095526F"/>
    <w:rsid w:val="00955932"/>
    <w:rsid w:val="00955CE0"/>
    <w:rsid w:val="00956653"/>
    <w:rsid w:val="009609CA"/>
    <w:rsid w:val="00962045"/>
    <w:rsid w:val="0096519A"/>
    <w:rsid w:val="00966E44"/>
    <w:rsid w:val="0097023C"/>
    <w:rsid w:val="009708BB"/>
    <w:rsid w:val="009711C4"/>
    <w:rsid w:val="009726C2"/>
    <w:rsid w:val="009727DF"/>
    <w:rsid w:val="009729E8"/>
    <w:rsid w:val="00975640"/>
    <w:rsid w:val="00976A6A"/>
    <w:rsid w:val="00976DA5"/>
    <w:rsid w:val="009773BA"/>
    <w:rsid w:val="00981608"/>
    <w:rsid w:val="00991272"/>
    <w:rsid w:val="00991428"/>
    <w:rsid w:val="00992676"/>
    <w:rsid w:val="009A1945"/>
    <w:rsid w:val="009A5354"/>
    <w:rsid w:val="009A6A10"/>
    <w:rsid w:val="009A7172"/>
    <w:rsid w:val="009B0723"/>
    <w:rsid w:val="009B07AD"/>
    <w:rsid w:val="009B0883"/>
    <w:rsid w:val="009B0C98"/>
    <w:rsid w:val="009B15E2"/>
    <w:rsid w:val="009B41E3"/>
    <w:rsid w:val="009C0B8E"/>
    <w:rsid w:val="009C1527"/>
    <w:rsid w:val="009C1BC8"/>
    <w:rsid w:val="009C2442"/>
    <w:rsid w:val="009C2628"/>
    <w:rsid w:val="009C27B1"/>
    <w:rsid w:val="009D0811"/>
    <w:rsid w:val="009D0E12"/>
    <w:rsid w:val="009D0EE1"/>
    <w:rsid w:val="009D4030"/>
    <w:rsid w:val="009D43D0"/>
    <w:rsid w:val="009D43F8"/>
    <w:rsid w:val="009D510C"/>
    <w:rsid w:val="009D5CDB"/>
    <w:rsid w:val="009D5E6D"/>
    <w:rsid w:val="009D6709"/>
    <w:rsid w:val="009E13C1"/>
    <w:rsid w:val="009E2AEB"/>
    <w:rsid w:val="009E2E27"/>
    <w:rsid w:val="009E44C0"/>
    <w:rsid w:val="009E4DE3"/>
    <w:rsid w:val="009E50C1"/>
    <w:rsid w:val="009F0C29"/>
    <w:rsid w:val="009F7D6A"/>
    <w:rsid w:val="00A015D7"/>
    <w:rsid w:val="00A01EBF"/>
    <w:rsid w:val="00A047EE"/>
    <w:rsid w:val="00A057CA"/>
    <w:rsid w:val="00A05D59"/>
    <w:rsid w:val="00A137D3"/>
    <w:rsid w:val="00A149B7"/>
    <w:rsid w:val="00A17789"/>
    <w:rsid w:val="00A177BC"/>
    <w:rsid w:val="00A17930"/>
    <w:rsid w:val="00A2274A"/>
    <w:rsid w:val="00A235B7"/>
    <w:rsid w:val="00A249AC"/>
    <w:rsid w:val="00A264F7"/>
    <w:rsid w:val="00A27A7A"/>
    <w:rsid w:val="00A301D1"/>
    <w:rsid w:val="00A31685"/>
    <w:rsid w:val="00A31881"/>
    <w:rsid w:val="00A37776"/>
    <w:rsid w:val="00A37912"/>
    <w:rsid w:val="00A407EF"/>
    <w:rsid w:val="00A411B7"/>
    <w:rsid w:val="00A419EC"/>
    <w:rsid w:val="00A42DD3"/>
    <w:rsid w:val="00A46B4C"/>
    <w:rsid w:val="00A50F1A"/>
    <w:rsid w:val="00A5117B"/>
    <w:rsid w:val="00A52ED9"/>
    <w:rsid w:val="00A560B6"/>
    <w:rsid w:val="00A56CF7"/>
    <w:rsid w:val="00A56DBC"/>
    <w:rsid w:val="00A577E6"/>
    <w:rsid w:val="00A60074"/>
    <w:rsid w:val="00A646E2"/>
    <w:rsid w:val="00A651A9"/>
    <w:rsid w:val="00A6627C"/>
    <w:rsid w:val="00A668F9"/>
    <w:rsid w:val="00A71019"/>
    <w:rsid w:val="00A81029"/>
    <w:rsid w:val="00A82A0C"/>
    <w:rsid w:val="00A82AFB"/>
    <w:rsid w:val="00A8485D"/>
    <w:rsid w:val="00A90A58"/>
    <w:rsid w:val="00A95747"/>
    <w:rsid w:val="00A96062"/>
    <w:rsid w:val="00A96489"/>
    <w:rsid w:val="00A96BB0"/>
    <w:rsid w:val="00A97D88"/>
    <w:rsid w:val="00AA0E39"/>
    <w:rsid w:val="00AA23CE"/>
    <w:rsid w:val="00AA3E08"/>
    <w:rsid w:val="00AA5A58"/>
    <w:rsid w:val="00AA670C"/>
    <w:rsid w:val="00AA7E38"/>
    <w:rsid w:val="00AB4EC9"/>
    <w:rsid w:val="00AB5A37"/>
    <w:rsid w:val="00AB61D6"/>
    <w:rsid w:val="00AB685C"/>
    <w:rsid w:val="00AB6C2D"/>
    <w:rsid w:val="00AB6ECF"/>
    <w:rsid w:val="00AC08F7"/>
    <w:rsid w:val="00AC126D"/>
    <w:rsid w:val="00AC261B"/>
    <w:rsid w:val="00AC3839"/>
    <w:rsid w:val="00AC7082"/>
    <w:rsid w:val="00AD0662"/>
    <w:rsid w:val="00AD1B6B"/>
    <w:rsid w:val="00AD326C"/>
    <w:rsid w:val="00AD4837"/>
    <w:rsid w:val="00AD6ACB"/>
    <w:rsid w:val="00AD74AD"/>
    <w:rsid w:val="00AE027F"/>
    <w:rsid w:val="00AE0B33"/>
    <w:rsid w:val="00AE5AE5"/>
    <w:rsid w:val="00AF228E"/>
    <w:rsid w:val="00AF455B"/>
    <w:rsid w:val="00B0123F"/>
    <w:rsid w:val="00B022D4"/>
    <w:rsid w:val="00B036BA"/>
    <w:rsid w:val="00B04004"/>
    <w:rsid w:val="00B06559"/>
    <w:rsid w:val="00B118C4"/>
    <w:rsid w:val="00B12026"/>
    <w:rsid w:val="00B12E85"/>
    <w:rsid w:val="00B14819"/>
    <w:rsid w:val="00B153C5"/>
    <w:rsid w:val="00B17449"/>
    <w:rsid w:val="00B1776C"/>
    <w:rsid w:val="00B17AA9"/>
    <w:rsid w:val="00B20BC8"/>
    <w:rsid w:val="00B221FF"/>
    <w:rsid w:val="00B26B31"/>
    <w:rsid w:val="00B30937"/>
    <w:rsid w:val="00B30A70"/>
    <w:rsid w:val="00B32674"/>
    <w:rsid w:val="00B333FE"/>
    <w:rsid w:val="00B3503B"/>
    <w:rsid w:val="00B378FA"/>
    <w:rsid w:val="00B41431"/>
    <w:rsid w:val="00B42352"/>
    <w:rsid w:val="00B42AD5"/>
    <w:rsid w:val="00B51227"/>
    <w:rsid w:val="00B51975"/>
    <w:rsid w:val="00B52E4D"/>
    <w:rsid w:val="00B54F90"/>
    <w:rsid w:val="00B55C9E"/>
    <w:rsid w:val="00B56B95"/>
    <w:rsid w:val="00B603F8"/>
    <w:rsid w:val="00B607DF"/>
    <w:rsid w:val="00B6409C"/>
    <w:rsid w:val="00B66053"/>
    <w:rsid w:val="00B661E2"/>
    <w:rsid w:val="00B7193E"/>
    <w:rsid w:val="00B72999"/>
    <w:rsid w:val="00B72FD7"/>
    <w:rsid w:val="00B736DF"/>
    <w:rsid w:val="00B74FBD"/>
    <w:rsid w:val="00B82586"/>
    <w:rsid w:val="00B829A3"/>
    <w:rsid w:val="00B84575"/>
    <w:rsid w:val="00B86537"/>
    <w:rsid w:val="00B86DB1"/>
    <w:rsid w:val="00B87869"/>
    <w:rsid w:val="00B87A61"/>
    <w:rsid w:val="00B87BAB"/>
    <w:rsid w:val="00B87C57"/>
    <w:rsid w:val="00B92D5B"/>
    <w:rsid w:val="00B9417E"/>
    <w:rsid w:val="00B94986"/>
    <w:rsid w:val="00BA1648"/>
    <w:rsid w:val="00BA2637"/>
    <w:rsid w:val="00BA35FF"/>
    <w:rsid w:val="00BB09FD"/>
    <w:rsid w:val="00BB0F2B"/>
    <w:rsid w:val="00BB1F80"/>
    <w:rsid w:val="00BB5A37"/>
    <w:rsid w:val="00BB68C9"/>
    <w:rsid w:val="00BB6955"/>
    <w:rsid w:val="00BB6F7A"/>
    <w:rsid w:val="00BB7322"/>
    <w:rsid w:val="00BC48EB"/>
    <w:rsid w:val="00BC585F"/>
    <w:rsid w:val="00BC5D3B"/>
    <w:rsid w:val="00BC5D7D"/>
    <w:rsid w:val="00BC6575"/>
    <w:rsid w:val="00BD0299"/>
    <w:rsid w:val="00BD23B4"/>
    <w:rsid w:val="00BD3363"/>
    <w:rsid w:val="00BD3F18"/>
    <w:rsid w:val="00BD5654"/>
    <w:rsid w:val="00BD64FB"/>
    <w:rsid w:val="00BD7D49"/>
    <w:rsid w:val="00BE01C6"/>
    <w:rsid w:val="00BE1874"/>
    <w:rsid w:val="00BE25C7"/>
    <w:rsid w:val="00BF0559"/>
    <w:rsid w:val="00BF1807"/>
    <w:rsid w:val="00BF2B49"/>
    <w:rsid w:val="00BF2E7A"/>
    <w:rsid w:val="00BF3D02"/>
    <w:rsid w:val="00BF40B9"/>
    <w:rsid w:val="00BF50F7"/>
    <w:rsid w:val="00BF5D90"/>
    <w:rsid w:val="00C00231"/>
    <w:rsid w:val="00C00446"/>
    <w:rsid w:val="00C01017"/>
    <w:rsid w:val="00C02F29"/>
    <w:rsid w:val="00C12AD5"/>
    <w:rsid w:val="00C15A16"/>
    <w:rsid w:val="00C1724E"/>
    <w:rsid w:val="00C20AFE"/>
    <w:rsid w:val="00C22A25"/>
    <w:rsid w:val="00C26E4B"/>
    <w:rsid w:val="00C31102"/>
    <w:rsid w:val="00C311DE"/>
    <w:rsid w:val="00C31EA4"/>
    <w:rsid w:val="00C33C84"/>
    <w:rsid w:val="00C3453F"/>
    <w:rsid w:val="00C34A50"/>
    <w:rsid w:val="00C35026"/>
    <w:rsid w:val="00C35671"/>
    <w:rsid w:val="00C35B77"/>
    <w:rsid w:val="00C36C56"/>
    <w:rsid w:val="00C376EB"/>
    <w:rsid w:val="00C4187E"/>
    <w:rsid w:val="00C444EC"/>
    <w:rsid w:val="00C45A03"/>
    <w:rsid w:val="00C469D1"/>
    <w:rsid w:val="00C46EC1"/>
    <w:rsid w:val="00C50F86"/>
    <w:rsid w:val="00C53E2C"/>
    <w:rsid w:val="00C550C8"/>
    <w:rsid w:val="00C56B61"/>
    <w:rsid w:val="00C570AC"/>
    <w:rsid w:val="00C5730D"/>
    <w:rsid w:val="00C60631"/>
    <w:rsid w:val="00C606C3"/>
    <w:rsid w:val="00C620F4"/>
    <w:rsid w:val="00C629CB"/>
    <w:rsid w:val="00C71C6E"/>
    <w:rsid w:val="00C71F4F"/>
    <w:rsid w:val="00C72848"/>
    <w:rsid w:val="00C750BA"/>
    <w:rsid w:val="00C7736C"/>
    <w:rsid w:val="00C80272"/>
    <w:rsid w:val="00C82D87"/>
    <w:rsid w:val="00C84449"/>
    <w:rsid w:val="00C859AA"/>
    <w:rsid w:val="00C8712A"/>
    <w:rsid w:val="00C92A0D"/>
    <w:rsid w:val="00C93059"/>
    <w:rsid w:val="00C963D3"/>
    <w:rsid w:val="00CA0B66"/>
    <w:rsid w:val="00CA1802"/>
    <w:rsid w:val="00CA37FD"/>
    <w:rsid w:val="00CB0ED0"/>
    <w:rsid w:val="00CB262C"/>
    <w:rsid w:val="00CB2CBB"/>
    <w:rsid w:val="00CB7283"/>
    <w:rsid w:val="00CB7CAC"/>
    <w:rsid w:val="00CC3CD5"/>
    <w:rsid w:val="00CC467D"/>
    <w:rsid w:val="00CC5335"/>
    <w:rsid w:val="00CC579C"/>
    <w:rsid w:val="00CC5BA4"/>
    <w:rsid w:val="00CC7728"/>
    <w:rsid w:val="00CD0FFE"/>
    <w:rsid w:val="00CD34DB"/>
    <w:rsid w:val="00CD377A"/>
    <w:rsid w:val="00CD47D3"/>
    <w:rsid w:val="00CD4892"/>
    <w:rsid w:val="00CD4998"/>
    <w:rsid w:val="00CE1035"/>
    <w:rsid w:val="00CE1DCB"/>
    <w:rsid w:val="00CE291F"/>
    <w:rsid w:val="00CE3741"/>
    <w:rsid w:val="00CE3D16"/>
    <w:rsid w:val="00CE62CA"/>
    <w:rsid w:val="00CF2819"/>
    <w:rsid w:val="00CF2DDA"/>
    <w:rsid w:val="00CF4F9D"/>
    <w:rsid w:val="00CF5AD8"/>
    <w:rsid w:val="00CF70DC"/>
    <w:rsid w:val="00CF717B"/>
    <w:rsid w:val="00D04AB4"/>
    <w:rsid w:val="00D068C5"/>
    <w:rsid w:val="00D06D67"/>
    <w:rsid w:val="00D07F87"/>
    <w:rsid w:val="00D148DC"/>
    <w:rsid w:val="00D1688E"/>
    <w:rsid w:val="00D17FDC"/>
    <w:rsid w:val="00D20584"/>
    <w:rsid w:val="00D22090"/>
    <w:rsid w:val="00D223E4"/>
    <w:rsid w:val="00D24F8A"/>
    <w:rsid w:val="00D256C6"/>
    <w:rsid w:val="00D25F51"/>
    <w:rsid w:val="00D33E3F"/>
    <w:rsid w:val="00D35229"/>
    <w:rsid w:val="00D35ADE"/>
    <w:rsid w:val="00D35EAE"/>
    <w:rsid w:val="00D4685B"/>
    <w:rsid w:val="00D57C59"/>
    <w:rsid w:val="00D60215"/>
    <w:rsid w:val="00D60874"/>
    <w:rsid w:val="00D63EFD"/>
    <w:rsid w:val="00D6588F"/>
    <w:rsid w:val="00D676F1"/>
    <w:rsid w:val="00D70934"/>
    <w:rsid w:val="00D714E4"/>
    <w:rsid w:val="00D72458"/>
    <w:rsid w:val="00D82199"/>
    <w:rsid w:val="00D84752"/>
    <w:rsid w:val="00D85A64"/>
    <w:rsid w:val="00D86A74"/>
    <w:rsid w:val="00D86B3B"/>
    <w:rsid w:val="00D8748A"/>
    <w:rsid w:val="00D905E4"/>
    <w:rsid w:val="00D93196"/>
    <w:rsid w:val="00D931A2"/>
    <w:rsid w:val="00D93661"/>
    <w:rsid w:val="00DA42EF"/>
    <w:rsid w:val="00DA5F5D"/>
    <w:rsid w:val="00DB243C"/>
    <w:rsid w:val="00DB3D6D"/>
    <w:rsid w:val="00DB482A"/>
    <w:rsid w:val="00DB56F2"/>
    <w:rsid w:val="00DB5D9B"/>
    <w:rsid w:val="00DB6EF5"/>
    <w:rsid w:val="00DB7710"/>
    <w:rsid w:val="00DC2A3F"/>
    <w:rsid w:val="00DC2BEC"/>
    <w:rsid w:val="00DC2FDB"/>
    <w:rsid w:val="00DC3089"/>
    <w:rsid w:val="00DC4420"/>
    <w:rsid w:val="00DC4874"/>
    <w:rsid w:val="00DC6681"/>
    <w:rsid w:val="00DD01DA"/>
    <w:rsid w:val="00DD0802"/>
    <w:rsid w:val="00DD19C6"/>
    <w:rsid w:val="00DD19D0"/>
    <w:rsid w:val="00DD2E11"/>
    <w:rsid w:val="00DD4E68"/>
    <w:rsid w:val="00DD59B5"/>
    <w:rsid w:val="00DD6923"/>
    <w:rsid w:val="00DD7350"/>
    <w:rsid w:val="00DD7AD7"/>
    <w:rsid w:val="00DE0115"/>
    <w:rsid w:val="00DE03AF"/>
    <w:rsid w:val="00DE097E"/>
    <w:rsid w:val="00DE121C"/>
    <w:rsid w:val="00DE2DDC"/>
    <w:rsid w:val="00DE475E"/>
    <w:rsid w:val="00DE6633"/>
    <w:rsid w:val="00DF056D"/>
    <w:rsid w:val="00DF2B38"/>
    <w:rsid w:val="00DF3E40"/>
    <w:rsid w:val="00DF4D51"/>
    <w:rsid w:val="00DF5AD2"/>
    <w:rsid w:val="00DF75F8"/>
    <w:rsid w:val="00DF7A3A"/>
    <w:rsid w:val="00DF7AD4"/>
    <w:rsid w:val="00E009E1"/>
    <w:rsid w:val="00E00C00"/>
    <w:rsid w:val="00E00DCB"/>
    <w:rsid w:val="00E00E54"/>
    <w:rsid w:val="00E041F9"/>
    <w:rsid w:val="00E05837"/>
    <w:rsid w:val="00E07C5A"/>
    <w:rsid w:val="00E10A73"/>
    <w:rsid w:val="00E126B0"/>
    <w:rsid w:val="00E12C13"/>
    <w:rsid w:val="00E15BA9"/>
    <w:rsid w:val="00E15BEC"/>
    <w:rsid w:val="00E161D2"/>
    <w:rsid w:val="00E177E2"/>
    <w:rsid w:val="00E20F5C"/>
    <w:rsid w:val="00E22DE4"/>
    <w:rsid w:val="00E26E19"/>
    <w:rsid w:val="00E31DF3"/>
    <w:rsid w:val="00E35964"/>
    <w:rsid w:val="00E37049"/>
    <w:rsid w:val="00E3704D"/>
    <w:rsid w:val="00E37A52"/>
    <w:rsid w:val="00E37AAA"/>
    <w:rsid w:val="00E44C59"/>
    <w:rsid w:val="00E450A4"/>
    <w:rsid w:val="00E4700B"/>
    <w:rsid w:val="00E506BE"/>
    <w:rsid w:val="00E518B6"/>
    <w:rsid w:val="00E51D62"/>
    <w:rsid w:val="00E525B9"/>
    <w:rsid w:val="00E54ADD"/>
    <w:rsid w:val="00E55015"/>
    <w:rsid w:val="00E55547"/>
    <w:rsid w:val="00E55E9B"/>
    <w:rsid w:val="00E6211B"/>
    <w:rsid w:val="00E6302B"/>
    <w:rsid w:val="00E6452F"/>
    <w:rsid w:val="00E64F45"/>
    <w:rsid w:val="00E6742D"/>
    <w:rsid w:val="00E71CB0"/>
    <w:rsid w:val="00E72509"/>
    <w:rsid w:val="00E7793C"/>
    <w:rsid w:val="00E77C3D"/>
    <w:rsid w:val="00E80299"/>
    <w:rsid w:val="00E8272F"/>
    <w:rsid w:val="00E84DA5"/>
    <w:rsid w:val="00E84DD5"/>
    <w:rsid w:val="00E86549"/>
    <w:rsid w:val="00E86D64"/>
    <w:rsid w:val="00E909F0"/>
    <w:rsid w:val="00E90D47"/>
    <w:rsid w:val="00E91BE6"/>
    <w:rsid w:val="00E92DA7"/>
    <w:rsid w:val="00E93993"/>
    <w:rsid w:val="00E945B2"/>
    <w:rsid w:val="00E950C0"/>
    <w:rsid w:val="00E9597C"/>
    <w:rsid w:val="00EA0879"/>
    <w:rsid w:val="00EA0913"/>
    <w:rsid w:val="00EA1807"/>
    <w:rsid w:val="00EA36CD"/>
    <w:rsid w:val="00EA4D77"/>
    <w:rsid w:val="00EB02BE"/>
    <w:rsid w:val="00EB146B"/>
    <w:rsid w:val="00EB2845"/>
    <w:rsid w:val="00EB45AC"/>
    <w:rsid w:val="00EB488B"/>
    <w:rsid w:val="00EB6668"/>
    <w:rsid w:val="00EB6A2F"/>
    <w:rsid w:val="00EC32FD"/>
    <w:rsid w:val="00EC3875"/>
    <w:rsid w:val="00EC3E7A"/>
    <w:rsid w:val="00EC549E"/>
    <w:rsid w:val="00EC6E55"/>
    <w:rsid w:val="00ED0BC4"/>
    <w:rsid w:val="00ED151E"/>
    <w:rsid w:val="00ED6002"/>
    <w:rsid w:val="00ED617A"/>
    <w:rsid w:val="00ED6944"/>
    <w:rsid w:val="00ED7EB8"/>
    <w:rsid w:val="00EE1A0E"/>
    <w:rsid w:val="00EE2F5B"/>
    <w:rsid w:val="00EE4971"/>
    <w:rsid w:val="00EE5A48"/>
    <w:rsid w:val="00EE6390"/>
    <w:rsid w:val="00EE7278"/>
    <w:rsid w:val="00EF090E"/>
    <w:rsid w:val="00EF16B6"/>
    <w:rsid w:val="00EF1B1A"/>
    <w:rsid w:val="00EF2D08"/>
    <w:rsid w:val="00EF5705"/>
    <w:rsid w:val="00EF62A9"/>
    <w:rsid w:val="00EF6653"/>
    <w:rsid w:val="00F033DA"/>
    <w:rsid w:val="00F0424E"/>
    <w:rsid w:val="00F07514"/>
    <w:rsid w:val="00F106CE"/>
    <w:rsid w:val="00F1096A"/>
    <w:rsid w:val="00F11591"/>
    <w:rsid w:val="00F13379"/>
    <w:rsid w:val="00F13FB1"/>
    <w:rsid w:val="00F15181"/>
    <w:rsid w:val="00F1640B"/>
    <w:rsid w:val="00F166EC"/>
    <w:rsid w:val="00F170A5"/>
    <w:rsid w:val="00F2025D"/>
    <w:rsid w:val="00F27CD8"/>
    <w:rsid w:val="00F30351"/>
    <w:rsid w:val="00F3323E"/>
    <w:rsid w:val="00F341F4"/>
    <w:rsid w:val="00F34F9D"/>
    <w:rsid w:val="00F34FAD"/>
    <w:rsid w:val="00F3554C"/>
    <w:rsid w:val="00F35CCE"/>
    <w:rsid w:val="00F35D73"/>
    <w:rsid w:val="00F366E1"/>
    <w:rsid w:val="00F42B4B"/>
    <w:rsid w:val="00F4376C"/>
    <w:rsid w:val="00F44BFF"/>
    <w:rsid w:val="00F45599"/>
    <w:rsid w:val="00F50D48"/>
    <w:rsid w:val="00F52E31"/>
    <w:rsid w:val="00F54776"/>
    <w:rsid w:val="00F5524B"/>
    <w:rsid w:val="00F5710B"/>
    <w:rsid w:val="00F61DD2"/>
    <w:rsid w:val="00F62F7C"/>
    <w:rsid w:val="00F63720"/>
    <w:rsid w:val="00F63B8B"/>
    <w:rsid w:val="00F65FB6"/>
    <w:rsid w:val="00F66AFF"/>
    <w:rsid w:val="00F71433"/>
    <w:rsid w:val="00F71CE8"/>
    <w:rsid w:val="00F738B0"/>
    <w:rsid w:val="00F75514"/>
    <w:rsid w:val="00F808F9"/>
    <w:rsid w:val="00F82E70"/>
    <w:rsid w:val="00F83231"/>
    <w:rsid w:val="00F83B9D"/>
    <w:rsid w:val="00F85A51"/>
    <w:rsid w:val="00F85DB2"/>
    <w:rsid w:val="00F8711B"/>
    <w:rsid w:val="00F90184"/>
    <w:rsid w:val="00F91FA7"/>
    <w:rsid w:val="00F92B8F"/>
    <w:rsid w:val="00F96AF1"/>
    <w:rsid w:val="00F97309"/>
    <w:rsid w:val="00F97C5B"/>
    <w:rsid w:val="00FA29FD"/>
    <w:rsid w:val="00FA2A46"/>
    <w:rsid w:val="00FA3739"/>
    <w:rsid w:val="00FA3D50"/>
    <w:rsid w:val="00FA3F91"/>
    <w:rsid w:val="00FA43E7"/>
    <w:rsid w:val="00FB2086"/>
    <w:rsid w:val="00FB634D"/>
    <w:rsid w:val="00FB6703"/>
    <w:rsid w:val="00FB7C8F"/>
    <w:rsid w:val="00FB7D52"/>
    <w:rsid w:val="00FC2B02"/>
    <w:rsid w:val="00FC337F"/>
    <w:rsid w:val="00FC374A"/>
    <w:rsid w:val="00FC4F43"/>
    <w:rsid w:val="00FC5343"/>
    <w:rsid w:val="00FC584C"/>
    <w:rsid w:val="00FC5D26"/>
    <w:rsid w:val="00FC7B47"/>
    <w:rsid w:val="00FD0169"/>
    <w:rsid w:val="00FD035C"/>
    <w:rsid w:val="00FD1240"/>
    <w:rsid w:val="00FD1A35"/>
    <w:rsid w:val="00FD36C5"/>
    <w:rsid w:val="00FD3CE9"/>
    <w:rsid w:val="00FD5B6F"/>
    <w:rsid w:val="00FD6126"/>
    <w:rsid w:val="00FD6310"/>
    <w:rsid w:val="00FD7C7B"/>
    <w:rsid w:val="00FE1D12"/>
    <w:rsid w:val="00FE2122"/>
    <w:rsid w:val="00FE2A86"/>
    <w:rsid w:val="00FE6330"/>
    <w:rsid w:val="00FE650E"/>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17</Pages>
  <Words>7160</Words>
  <Characters>40813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BENSON TEGU</cp:lastModifiedBy>
  <cp:revision>329</cp:revision>
  <cp:lastPrinted>2020-06-12T02:43:00Z</cp:lastPrinted>
  <dcterms:created xsi:type="dcterms:W3CDTF">2021-08-03T16:38:00Z</dcterms:created>
  <dcterms:modified xsi:type="dcterms:W3CDTF">2021-11-11T04:02:00Z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