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493435" w:rsidRDefault="00C60631" w:rsidP="009D510C">
      <w:pPr>
        <w:pStyle w:val="ListParagraph"/>
        <w:numPr>
          <w:ilvl w:val="0"/>
          <w:numId w:val="12"/>
        </w:numPr>
        <w:ind w:left="426"/>
        <w:jc w:val="both"/>
        <w:rPr>
          <w:rFonts w:ascii="Arial" w:hAnsi="Arial" w:cs="Arial"/>
          <w:sz w:val="22"/>
          <w:szCs w:val="22"/>
          <w:highlight w:val="yellow"/>
          <w:lang w:val="en-GB"/>
        </w:rPr>
      </w:pPr>
      <w:r w:rsidRPr="00493435">
        <w:rPr>
          <w:rFonts w:ascii="Arial" w:hAnsi="Arial" w:cs="Arial"/>
          <w:sz w:val="22"/>
          <w:szCs w:val="22"/>
          <w:highlight w:val="yellow"/>
          <w:lang w:val="en-GB"/>
        </w:rPr>
        <w:t xml:space="preserve">This statement is incorrect since </w:t>
      </w:r>
      <w:r w:rsidR="00E7793C" w:rsidRPr="00493435">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493435" w:rsidRDefault="00AE027F" w:rsidP="009D510C">
      <w:pPr>
        <w:pStyle w:val="ListParagraph"/>
        <w:numPr>
          <w:ilvl w:val="0"/>
          <w:numId w:val="13"/>
        </w:numPr>
        <w:jc w:val="both"/>
        <w:rPr>
          <w:rFonts w:ascii="Arial" w:hAnsi="Arial" w:cs="Arial"/>
          <w:sz w:val="22"/>
          <w:szCs w:val="22"/>
          <w:highlight w:val="yellow"/>
          <w:lang w:val="en-GB"/>
        </w:rPr>
      </w:pPr>
      <w:r w:rsidRPr="00493435">
        <w:rPr>
          <w:rFonts w:ascii="Arial" w:hAnsi="Arial" w:cs="Arial"/>
          <w:sz w:val="22"/>
          <w:szCs w:val="22"/>
          <w:highlight w:val="yellow"/>
          <w:lang w:val="en-GB"/>
        </w:rPr>
        <w:t>The statement i</w:t>
      </w:r>
      <w:r w:rsidR="006E77B0" w:rsidRPr="00493435">
        <w:rPr>
          <w:rFonts w:ascii="Arial" w:hAnsi="Arial" w:cs="Arial"/>
          <w:sz w:val="22"/>
          <w:szCs w:val="22"/>
          <w:highlight w:val="yellow"/>
          <w:lang w:val="en-GB"/>
        </w:rPr>
        <w:t>s incorrect since the UK did re</w:t>
      </w:r>
      <w:r w:rsidRPr="00493435">
        <w:rPr>
          <w:rFonts w:ascii="Arial" w:hAnsi="Arial" w:cs="Arial"/>
          <w:sz w:val="22"/>
          <w:szCs w:val="22"/>
          <w:highlight w:val="yellow"/>
          <w:lang w:val="en-GB"/>
        </w:rPr>
        <w:t>v</w:t>
      </w:r>
      <w:r w:rsidR="006E77B0" w:rsidRPr="00493435">
        <w:rPr>
          <w:rFonts w:ascii="Arial" w:hAnsi="Arial" w:cs="Arial"/>
          <w:sz w:val="22"/>
          <w:szCs w:val="22"/>
          <w:highlight w:val="yellow"/>
          <w:lang w:val="en-GB"/>
        </w:rPr>
        <w:t>i</w:t>
      </w:r>
      <w:r w:rsidRPr="00493435">
        <w:rPr>
          <w:rFonts w:ascii="Arial" w:hAnsi="Arial" w:cs="Arial"/>
          <w:sz w:val="22"/>
          <w:szCs w:val="22"/>
          <w:highlight w:val="yellow"/>
          <w:lang w:val="en-GB"/>
        </w:rPr>
        <w:t>ew parts of its insolvency rules and amended some, among</w:t>
      </w:r>
      <w:r w:rsidR="006E77B0" w:rsidRPr="00493435">
        <w:rPr>
          <w:rFonts w:ascii="Arial" w:hAnsi="Arial" w:cs="Arial"/>
          <w:sz w:val="22"/>
          <w:szCs w:val="22"/>
          <w:highlight w:val="yellow"/>
          <w:lang w:val="en-GB"/>
        </w:rPr>
        <w:t>s</w:t>
      </w:r>
      <w:r w:rsidRPr="00493435">
        <w:rPr>
          <w:rFonts w:ascii="Arial" w:hAnsi="Arial" w:cs="Arial"/>
          <w:sz w:val="22"/>
          <w:szCs w:val="22"/>
          <w:highlight w:val="yellow"/>
          <w:lang w:val="en-GB"/>
        </w:rPr>
        <w:t>t other</w:t>
      </w:r>
      <w:r w:rsidR="00F96AF1" w:rsidRPr="00493435">
        <w:rPr>
          <w:rFonts w:ascii="Arial" w:hAnsi="Arial" w:cs="Arial"/>
          <w:sz w:val="22"/>
          <w:szCs w:val="22"/>
          <w:highlight w:val="yellow"/>
          <w:lang w:val="en-GB"/>
        </w:rPr>
        <w:t xml:space="preserve"> things</w:t>
      </w:r>
      <w:r w:rsidRPr="00493435">
        <w:rPr>
          <w:rFonts w:ascii="Arial" w:hAnsi="Arial" w:cs="Arial"/>
          <w:sz w:val="22"/>
          <w:szCs w:val="22"/>
          <w:highlight w:val="yellow"/>
          <w:lang w:val="en-GB"/>
        </w:rPr>
        <w:t>, to deal with the negative economic fall out of the pandemic.</w:t>
      </w:r>
      <w:r w:rsidR="00100A77" w:rsidRPr="00493435">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493435" w:rsidRDefault="00B54F90" w:rsidP="009D510C">
      <w:pPr>
        <w:pStyle w:val="ListParagraph"/>
        <w:numPr>
          <w:ilvl w:val="0"/>
          <w:numId w:val="14"/>
        </w:numPr>
        <w:ind w:left="426"/>
        <w:jc w:val="both"/>
        <w:rPr>
          <w:rFonts w:ascii="Arial" w:hAnsi="Arial" w:cs="Arial"/>
          <w:sz w:val="22"/>
          <w:szCs w:val="22"/>
          <w:highlight w:val="yellow"/>
          <w:lang w:val="en-GB"/>
        </w:rPr>
      </w:pPr>
      <w:r w:rsidRPr="00493435">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493435">
        <w:rPr>
          <w:rFonts w:ascii="Arial" w:hAnsi="Arial" w:cs="Arial"/>
          <w:sz w:val="22"/>
          <w:szCs w:val="22"/>
          <w:highlight w:val="yellow"/>
          <w:lang w:val="en-GB"/>
        </w:rPr>
        <w:t xml:space="preserve">on </w:t>
      </w:r>
      <w:r w:rsidRPr="00493435">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493435"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493435">
        <w:rPr>
          <w:rFonts w:ascii="Arial" w:hAnsi="Arial" w:cs="Arial"/>
          <w:sz w:val="22"/>
          <w:szCs w:val="22"/>
          <w:highlight w:val="yellow"/>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493435">
        <w:rPr>
          <w:rFonts w:ascii="Arial" w:hAnsi="Arial" w:cs="Arial"/>
          <w:sz w:val="22"/>
          <w:szCs w:val="22"/>
          <w:highlight w:val="yellow"/>
          <w:lang w:val="en-GB"/>
        </w:rPr>
        <w:t>ud</w:t>
      </w:r>
      <w:r w:rsidRPr="00493435">
        <w:rPr>
          <w:rFonts w:ascii="Arial" w:hAnsi="Arial" w:cs="Arial"/>
          <w:sz w:val="22"/>
          <w:szCs w:val="22"/>
          <w:highlight w:val="yellow"/>
          <w:lang w:val="en-GB"/>
        </w:rPr>
        <w:t>ges across the globe.</w:t>
      </w:r>
      <w:r w:rsidR="00100A77" w:rsidRPr="00493435">
        <w:rPr>
          <w:rFonts w:ascii="Arial" w:hAnsi="Arial" w:cs="Arial"/>
          <w:sz w:val="22"/>
          <w:szCs w:val="22"/>
          <w:highlight w:val="yellow"/>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493435" w:rsidRDefault="00926D10" w:rsidP="009D510C">
      <w:pPr>
        <w:pStyle w:val="ListParagraph"/>
        <w:numPr>
          <w:ilvl w:val="0"/>
          <w:numId w:val="5"/>
        </w:numPr>
        <w:ind w:left="426"/>
        <w:jc w:val="both"/>
        <w:rPr>
          <w:rFonts w:ascii="Arial" w:hAnsi="Arial" w:cs="Arial"/>
          <w:sz w:val="22"/>
          <w:szCs w:val="22"/>
          <w:highlight w:val="yellow"/>
          <w:lang w:val="en-GB"/>
        </w:rPr>
      </w:pPr>
      <w:r w:rsidRPr="00493435">
        <w:rPr>
          <w:rFonts w:ascii="Arial" w:hAnsi="Arial" w:cs="Arial"/>
          <w:sz w:val="22"/>
          <w:szCs w:val="22"/>
          <w:highlight w:val="yellow"/>
          <w:lang w:val="en-GB"/>
        </w:rPr>
        <w:t xml:space="preserve">The statement is </w:t>
      </w:r>
      <w:r w:rsidR="006E1CB0" w:rsidRPr="00493435">
        <w:rPr>
          <w:rFonts w:ascii="Arial" w:hAnsi="Arial" w:cs="Arial"/>
          <w:sz w:val="22"/>
          <w:szCs w:val="22"/>
          <w:highlight w:val="yellow"/>
          <w:lang w:val="en-GB"/>
        </w:rPr>
        <w:t xml:space="preserve">not </w:t>
      </w:r>
      <w:r w:rsidRPr="00493435">
        <w:rPr>
          <w:rFonts w:ascii="Arial" w:hAnsi="Arial" w:cs="Arial"/>
          <w:sz w:val="22"/>
          <w:szCs w:val="22"/>
          <w:highlight w:val="yellow"/>
          <w:lang w:val="en-GB"/>
        </w:rPr>
        <w:t xml:space="preserve">correct </w:t>
      </w:r>
      <w:r w:rsidR="007958F0" w:rsidRPr="00493435">
        <w:rPr>
          <w:rFonts w:ascii="Arial" w:hAnsi="Arial" w:cs="Arial"/>
          <w:sz w:val="22"/>
          <w:szCs w:val="22"/>
          <w:highlight w:val="yellow"/>
          <w:lang w:val="en-GB"/>
        </w:rPr>
        <w:t>because</w:t>
      </w:r>
      <w:r w:rsidRPr="00493435">
        <w:rPr>
          <w:rFonts w:ascii="Arial" w:hAnsi="Arial" w:cs="Arial"/>
          <w:sz w:val="22"/>
          <w:szCs w:val="22"/>
          <w:highlight w:val="yellow"/>
          <w:lang w:val="en-GB"/>
        </w:rPr>
        <w:t xml:space="preserve"> very few </w:t>
      </w:r>
      <w:r w:rsidR="007958F0" w:rsidRPr="00493435">
        <w:rPr>
          <w:rFonts w:ascii="Arial" w:hAnsi="Arial" w:cs="Arial"/>
          <w:sz w:val="22"/>
          <w:szCs w:val="22"/>
          <w:highlight w:val="yellow"/>
          <w:lang w:val="en-GB"/>
        </w:rPr>
        <w:t>States</w:t>
      </w:r>
      <w:r w:rsidRPr="00493435">
        <w:rPr>
          <w:rFonts w:ascii="Arial" w:hAnsi="Arial" w:cs="Arial"/>
          <w:sz w:val="22"/>
          <w:szCs w:val="22"/>
          <w:highlight w:val="yellow"/>
          <w:lang w:val="en-GB"/>
        </w:rPr>
        <w:t xml:space="preserve"> allow insolvent estate representatives to deal with assets of a foreign debtor situated in </w:t>
      </w:r>
      <w:r w:rsidR="005936B3" w:rsidRPr="00493435">
        <w:rPr>
          <w:rFonts w:ascii="Arial" w:hAnsi="Arial" w:cs="Arial"/>
          <w:sz w:val="22"/>
          <w:szCs w:val="22"/>
          <w:highlight w:val="yellow"/>
          <w:lang w:val="en-GB"/>
        </w:rPr>
        <w:t>their own</w:t>
      </w:r>
      <w:r w:rsidRPr="00493435">
        <w:rPr>
          <w:rFonts w:ascii="Arial" w:hAnsi="Arial" w:cs="Arial"/>
          <w:sz w:val="22"/>
          <w:szCs w:val="22"/>
          <w:highlight w:val="yellow"/>
          <w:lang w:val="en-GB"/>
        </w:rPr>
        <w:t xml:space="preserve"> jurisdiction without </w:t>
      </w:r>
      <w:r w:rsidR="006E1CB0" w:rsidRPr="00493435">
        <w:rPr>
          <w:rFonts w:ascii="Arial" w:hAnsi="Arial" w:cs="Arial"/>
          <w:sz w:val="22"/>
          <w:szCs w:val="22"/>
          <w:highlight w:val="yellow"/>
          <w:lang w:val="en-GB"/>
        </w:rPr>
        <w:t xml:space="preserve">some form of </w:t>
      </w:r>
      <w:r w:rsidR="0090037B" w:rsidRPr="00493435">
        <w:rPr>
          <w:rFonts w:ascii="Arial" w:hAnsi="Arial" w:cs="Arial"/>
          <w:sz w:val="22"/>
          <w:szCs w:val="22"/>
          <w:highlight w:val="yellow"/>
          <w:lang w:val="en-GB"/>
        </w:rPr>
        <w:t xml:space="preserve">a </w:t>
      </w:r>
      <w:r w:rsidR="006E1CB0" w:rsidRPr="00493435">
        <w:rPr>
          <w:rFonts w:ascii="Arial" w:hAnsi="Arial" w:cs="Arial"/>
          <w:sz w:val="22"/>
          <w:szCs w:val="22"/>
          <w:highlight w:val="yellow"/>
          <w:lang w:val="en-GB"/>
        </w:rPr>
        <w:t>(</w:t>
      </w:r>
      <w:r w:rsidR="0090037B" w:rsidRPr="00493435">
        <w:rPr>
          <w:rFonts w:ascii="Arial" w:hAnsi="Arial" w:cs="Arial"/>
          <w:sz w:val="22"/>
          <w:szCs w:val="22"/>
          <w:highlight w:val="yellow"/>
          <w:lang w:val="en-GB"/>
        </w:rPr>
        <w:t>prior</w:t>
      </w:r>
      <w:r w:rsidR="006E1CB0" w:rsidRPr="00493435">
        <w:rPr>
          <w:rFonts w:ascii="Arial" w:hAnsi="Arial" w:cs="Arial"/>
          <w:sz w:val="22"/>
          <w:szCs w:val="22"/>
          <w:highlight w:val="yellow"/>
          <w:lang w:val="en-GB"/>
        </w:rPr>
        <w:t>)</w:t>
      </w:r>
      <w:r w:rsidRPr="00493435">
        <w:rPr>
          <w:rFonts w:ascii="Arial" w:hAnsi="Arial" w:cs="Arial"/>
          <w:sz w:val="22"/>
          <w:szCs w:val="22"/>
          <w:highlight w:val="yellow"/>
          <w:lang w:val="en-GB"/>
        </w:rPr>
        <w:t xml:space="preserve"> local procedure </w:t>
      </w:r>
      <w:r w:rsidR="005936B3" w:rsidRPr="00493435">
        <w:rPr>
          <w:rFonts w:ascii="Arial" w:hAnsi="Arial" w:cs="Arial"/>
          <w:sz w:val="22"/>
          <w:szCs w:val="22"/>
          <w:highlight w:val="yellow"/>
          <w:lang w:val="en-GB"/>
        </w:rPr>
        <w:t xml:space="preserve">to </w:t>
      </w:r>
      <w:r w:rsidRPr="00493435">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493435" w:rsidRDefault="000329A6" w:rsidP="00C570AC">
      <w:pPr>
        <w:pStyle w:val="ListParagraph"/>
        <w:numPr>
          <w:ilvl w:val="0"/>
          <w:numId w:val="6"/>
        </w:numPr>
        <w:ind w:left="426"/>
        <w:jc w:val="both"/>
        <w:rPr>
          <w:rFonts w:ascii="Arial" w:hAnsi="Arial" w:cs="Arial"/>
          <w:sz w:val="22"/>
          <w:szCs w:val="22"/>
          <w:highlight w:val="yellow"/>
          <w:lang w:val="en-GB"/>
        </w:rPr>
      </w:pPr>
      <w:r w:rsidRPr="00493435">
        <w:rPr>
          <w:rFonts w:ascii="Arial" w:eastAsiaTheme="minorHAnsi" w:hAnsi="Arial" w:cs="Arial"/>
          <w:sz w:val="22"/>
          <w:szCs w:val="22"/>
          <w:highlight w:val="yellow"/>
          <w:lang w:val="en-GB"/>
        </w:rPr>
        <w:t xml:space="preserve">They were recently revised in 2021 and, together with the </w:t>
      </w:r>
      <w:r w:rsidRPr="00493435">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493435"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493435">
        <w:rPr>
          <w:rFonts w:ascii="Arial" w:eastAsiaTheme="minorHAnsi" w:hAnsi="Arial" w:cs="Arial"/>
          <w:sz w:val="22"/>
          <w:szCs w:val="22"/>
          <w:highlight w:val="yellow"/>
          <w:lang w:val="en-GB"/>
        </w:rPr>
        <w:t xml:space="preserve">The Nordic Convention </w:t>
      </w:r>
      <w:r w:rsidR="00076483" w:rsidRPr="00493435">
        <w:rPr>
          <w:rFonts w:ascii="Arial" w:eastAsiaTheme="minorHAnsi" w:hAnsi="Arial" w:cs="Arial"/>
          <w:sz w:val="22"/>
          <w:szCs w:val="22"/>
          <w:highlight w:val="yellow"/>
          <w:lang w:val="en-GB"/>
        </w:rPr>
        <w:t>1933</w:t>
      </w:r>
      <w:r w:rsidR="00966E44" w:rsidRPr="00493435">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493435" w:rsidRDefault="00124B70" w:rsidP="00275182">
      <w:pPr>
        <w:pStyle w:val="ListParagraph"/>
        <w:numPr>
          <w:ilvl w:val="0"/>
          <w:numId w:val="8"/>
        </w:numPr>
        <w:ind w:left="426"/>
        <w:jc w:val="both"/>
        <w:rPr>
          <w:rFonts w:ascii="Arial" w:hAnsi="Arial" w:cs="Arial"/>
          <w:sz w:val="22"/>
          <w:szCs w:val="22"/>
          <w:highlight w:val="yellow"/>
          <w:lang w:val="en-GB"/>
        </w:rPr>
      </w:pPr>
      <w:r w:rsidRPr="00493435">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493435" w:rsidRDefault="00E86549" w:rsidP="00275182">
      <w:pPr>
        <w:pStyle w:val="ListParagraph"/>
        <w:numPr>
          <w:ilvl w:val="0"/>
          <w:numId w:val="9"/>
        </w:numPr>
        <w:ind w:left="426"/>
        <w:jc w:val="both"/>
        <w:rPr>
          <w:rFonts w:ascii="Arial" w:hAnsi="Arial" w:cs="Arial"/>
          <w:bCs/>
          <w:sz w:val="22"/>
          <w:szCs w:val="22"/>
          <w:highlight w:val="yellow"/>
          <w:lang w:val="en-GB"/>
        </w:rPr>
      </w:pPr>
      <w:r w:rsidRPr="00493435">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493435">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493435" w:rsidRDefault="00911C23" w:rsidP="00275182">
      <w:pPr>
        <w:pStyle w:val="ListParagraph"/>
        <w:numPr>
          <w:ilvl w:val="0"/>
          <w:numId w:val="10"/>
        </w:numPr>
        <w:ind w:left="426"/>
        <w:jc w:val="both"/>
        <w:rPr>
          <w:rFonts w:ascii="Arial" w:hAnsi="Arial" w:cs="Arial"/>
          <w:sz w:val="22"/>
          <w:szCs w:val="22"/>
          <w:highlight w:val="yellow"/>
          <w:lang w:val="en-GB"/>
        </w:rPr>
      </w:pPr>
      <w:r w:rsidRPr="00493435">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0AC798F7" w:rsidR="009B07AD" w:rsidRDefault="00493435" w:rsidP="00B7193E">
      <w:pPr>
        <w:ind w:left="720" w:hanging="72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Debt collection procedures were shaped by the following developments:</w:t>
      </w:r>
    </w:p>
    <w:p w14:paraId="2643E578" w14:textId="0D16B2DC" w:rsidR="00493435" w:rsidRDefault="00493435" w:rsidP="00493435">
      <w:pPr>
        <w:pStyle w:val="ListParagraph"/>
        <w:numPr>
          <w:ilvl w:val="0"/>
          <w:numId w:val="17"/>
        </w:numPr>
        <w:jc w:val="both"/>
        <w:rPr>
          <w:rFonts w:ascii="Arial" w:hAnsi="Arial" w:cs="Arial"/>
          <w:sz w:val="22"/>
          <w:szCs w:val="22"/>
          <w:lang w:val="en-001"/>
        </w:rPr>
      </w:pPr>
      <w:r>
        <w:rPr>
          <w:rFonts w:ascii="Arial" w:hAnsi="Arial" w:cs="Arial"/>
          <w:sz w:val="22"/>
          <w:szCs w:val="22"/>
          <w:lang w:val="en-001"/>
        </w:rPr>
        <w:t xml:space="preserve">The English Bankruptcy Act of 1542 was the first development in English law which provided for the appointment of commissioners who could proceed against a fraudulent debtor, upon a creditor’s application. This act provided for </w:t>
      </w:r>
      <w:r w:rsidR="00593461">
        <w:rPr>
          <w:rFonts w:ascii="Arial" w:hAnsi="Arial" w:cs="Arial"/>
          <w:sz w:val="22"/>
          <w:szCs w:val="22"/>
          <w:lang w:val="en-001"/>
        </w:rPr>
        <w:t xml:space="preserve">collective debt participation by creditors and the </w:t>
      </w:r>
      <w:proofErr w:type="spellStart"/>
      <w:r w:rsidR="00593461">
        <w:rPr>
          <w:rFonts w:ascii="Arial" w:hAnsi="Arial" w:cs="Arial"/>
          <w:sz w:val="22"/>
          <w:szCs w:val="22"/>
          <w:lang w:val="en-001"/>
        </w:rPr>
        <w:t>pari</w:t>
      </w:r>
      <w:proofErr w:type="spellEnd"/>
      <w:r w:rsidR="00593461">
        <w:rPr>
          <w:rFonts w:ascii="Arial" w:hAnsi="Arial" w:cs="Arial"/>
          <w:sz w:val="22"/>
          <w:szCs w:val="22"/>
          <w:lang w:val="en-001"/>
        </w:rPr>
        <w:t xml:space="preserve"> passu distribution of the collected assets.</w:t>
      </w:r>
    </w:p>
    <w:p w14:paraId="3AD84D02" w14:textId="683D7EB6" w:rsidR="00593461" w:rsidRDefault="00593461" w:rsidP="00493435">
      <w:pPr>
        <w:pStyle w:val="ListParagraph"/>
        <w:numPr>
          <w:ilvl w:val="0"/>
          <w:numId w:val="17"/>
        </w:numPr>
        <w:jc w:val="both"/>
        <w:rPr>
          <w:rFonts w:ascii="Arial" w:hAnsi="Arial" w:cs="Arial"/>
          <w:sz w:val="22"/>
          <w:szCs w:val="22"/>
          <w:lang w:val="en-001"/>
        </w:rPr>
      </w:pPr>
      <w:r>
        <w:rPr>
          <w:rFonts w:ascii="Arial" w:hAnsi="Arial" w:cs="Arial"/>
          <w:sz w:val="22"/>
          <w:szCs w:val="22"/>
          <w:lang w:val="en-001"/>
        </w:rPr>
        <w:t xml:space="preserve">The 1570 Act, known as the Act of Elizabeth, </w:t>
      </w:r>
      <w:r w:rsidR="00B8293D">
        <w:rPr>
          <w:rFonts w:ascii="Arial" w:hAnsi="Arial" w:cs="Arial"/>
          <w:sz w:val="22"/>
          <w:szCs w:val="22"/>
          <w:lang w:val="en-001"/>
        </w:rPr>
        <w:t>allowed</w:t>
      </w:r>
      <w:r>
        <w:rPr>
          <w:rFonts w:ascii="Arial" w:hAnsi="Arial" w:cs="Arial"/>
          <w:sz w:val="22"/>
          <w:szCs w:val="22"/>
          <w:lang w:val="en-001"/>
        </w:rPr>
        <w:t xml:space="preserve"> </w:t>
      </w:r>
      <w:r w:rsidR="00B8293D">
        <w:rPr>
          <w:rFonts w:ascii="Arial" w:hAnsi="Arial" w:cs="Arial"/>
          <w:sz w:val="22"/>
          <w:szCs w:val="22"/>
          <w:lang w:val="en-001"/>
        </w:rPr>
        <w:t>a</w:t>
      </w:r>
      <w:r>
        <w:rPr>
          <w:rFonts w:ascii="Arial" w:hAnsi="Arial" w:cs="Arial"/>
          <w:sz w:val="22"/>
          <w:szCs w:val="22"/>
          <w:lang w:val="en-001"/>
        </w:rPr>
        <w:t xml:space="preserve"> creditor </w:t>
      </w:r>
      <w:r w:rsidR="00B8293D">
        <w:rPr>
          <w:rFonts w:ascii="Arial" w:hAnsi="Arial" w:cs="Arial"/>
          <w:sz w:val="22"/>
          <w:szCs w:val="22"/>
          <w:lang w:val="en-001"/>
        </w:rPr>
        <w:t xml:space="preserve">to </w:t>
      </w:r>
      <w:r>
        <w:rPr>
          <w:rFonts w:ascii="Arial" w:hAnsi="Arial" w:cs="Arial"/>
          <w:sz w:val="22"/>
          <w:szCs w:val="22"/>
          <w:lang w:val="en-001"/>
        </w:rPr>
        <w:t>petition the Lord Chancellor to convene a meeting, examine the debtor’s transactions and property, and summon people for questioning</w:t>
      </w:r>
      <w:r w:rsidR="00B8293D">
        <w:rPr>
          <w:rFonts w:ascii="Arial" w:hAnsi="Arial" w:cs="Arial"/>
          <w:sz w:val="22"/>
          <w:szCs w:val="22"/>
          <w:lang w:val="en-001"/>
        </w:rPr>
        <w:t xml:space="preserve">, all of which constituted </w:t>
      </w:r>
      <w:r w:rsidR="00B8293D">
        <w:rPr>
          <w:rFonts w:ascii="Arial" w:hAnsi="Arial" w:cs="Arial"/>
          <w:sz w:val="22"/>
          <w:szCs w:val="22"/>
          <w:lang w:val="en-001"/>
        </w:rPr>
        <w:t>individual debt-collecting mechanisms</w:t>
      </w:r>
      <w:r w:rsidR="00B8293D">
        <w:rPr>
          <w:rFonts w:ascii="Arial" w:hAnsi="Arial" w:cs="Arial"/>
          <w:sz w:val="22"/>
          <w:szCs w:val="22"/>
          <w:lang w:val="en-001"/>
        </w:rPr>
        <w:t>.</w:t>
      </w:r>
    </w:p>
    <w:p w14:paraId="1A33092D" w14:textId="72664EC0" w:rsidR="00B8293D" w:rsidRPr="00493435" w:rsidRDefault="00B8293D" w:rsidP="00493435">
      <w:pPr>
        <w:pStyle w:val="ListParagraph"/>
        <w:numPr>
          <w:ilvl w:val="0"/>
          <w:numId w:val="17"/>
        </w:numPr>
        <w:jc w:val="both"/>
        <w:rPr>
          <w:rFonts w:ascii="Arial" w:hAnsi="Arial" w:cs="Arial"/>
          <w:sz w:val="22"/>
          <w:szCs w:val="22"/>
          <w:lang w:val="en-001"/>
        </w:rPr>
      </w:pPr>
      <w:r>
        <w:rPr>
          <w:rFonts w:ascii="Arial" w:hAnsi="Arial" w:cs="Arial"/>
          <w:sz w:val="22"/>
          <w:szCs w:val="22"/>
          <w:lang w:val="en-001"/>
        </w:rPr>
        <w:t>The 1883 Act, which remained the foundation of English insolvency law for the most of the next century, was guided by principles set out by Joseph Chamberlain, president of the Board of Trade in 1881, such as the assets of the debtor being deemed as belonging to the creditors who should have full control of the assets subject to little interference.</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48671EB8" w:rsidR="009B07AD" w:rsidRDefault="00B8293D" w:rsidP="00B7193E">
      <w:pPr>
        <w:ind w:left="720" w:hanging="72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Three insolvency measures introduced in the UK following the Covid-19 pandemic include:</w:t>
      </w:r>
    </w:p>
    <w:p w14:paraId="37124978" w14:textId="2CF2C280" w:rsidR="00B8293D" w:rsidRDefault="00B8293D" w:rsidP="00B8293D">
      <w:pPr>
        <w:pStyle w:val="ListParagraph"/>
        <w:numPr>
          <w:ilvl w:val="0"/>
          <w:numId w:val="18"/>
        </w:numPr>
        <w:jc w:val="both"/>
        <w:rPr>
          <w:rFonts w:ascii="Arial" w:hAnsi="Arial" w:cs="Arial"/>
          <w:sz w:val="22"/>
          <w:szCs w:val="22"/>
          <w:lang w:val="en-001"/>
        </w:rPr>
      </w:pPr>
      <w:r>
        <w:rPr>
          <w:rFonts w:ascii="Arial" w:hAnsi="Arial" w:cs="Arial"/>
          <w:sz w:val="22"/>
          <w:szCs w:val="22"/>
          <w:lang w:val="en-001"/>
        </w:rPr>
        <w:t>The temporary suspension of serving statutory demands and the voiding of statutory demands served on a company between 1 March 2020 and 30 September 2021.</w:t>
      </w:r>
    </w:p>
    <w:p w14:paraId="781C68EF" w14:textId="4EF42A1C" w:rsidR="00B8293D" w:rsidRDefault="00CA2D38" w:rsidP="00B8293D">
      <w:pPr>
        <w:pStyle w:val="ListParagraph"/>
        <w:numPr>
          <w:ilvl w:val="0"/>
          <w:numId w:val="18"/>
        </w:numPr>
        <w:jc w:val="both"/>
        <w:rPr>
          <w:rFonts w:ascii="Arial" w:hAnsi="Arial" w:cs="Arial"/>
          <w:sz w:val="22"/>
          <w:szCs w:val="22"/>
          <w:lang w:val="en-001"/>
        </w:rPr>
      </w:pPr>
      <w:r>
        <w:rPr>
          <w:rFonts w:ascii="Arial" w:hAnsi="Arial" w:cs="Arial"/>
          <w:sz w:val="22"/>
          <w:szCs w:val="22"/>
          <w:lang w:val="en-001"/>
        </w:rPr>
        <w:t>Temporarily raising the current debt threshold for a winding up petition to £10,000 or more to protect small businesses from creditors with relativity small debts.</w:t>
      </w:r>
    </w:p>
    <w:p w14:paraId="7F6F362C" w14:textId="11E7CDE9" w:rsidR="00CA2D38" w:rsidRPr="00B8293D" w:rsidRDefault="00CA2D38" w:rsidP="00B8293D">
      <w:pPr>
        <w:pStyle w:val="ListParagraph"/>
        <w:numPr>
          <w:ilvl w:val="0"/>
          <w:numId w:val="18"/>
        </w:numPr>
        <w:jc w:val="both"/>
        <w:rPr>
          <w:rFonts w:ascii="Arial" w:hAnsi="Arial" w:cs="Arial"/>
          <w:sz w:val="22"/>
          <w:szCs w:val="22"/>
          <w:lang w:val="en-001"/>
        </w:rPr>
      </w:pPr>
      <w:r>
        <w:rPr>
          <w:rFonts w:ascii="Arial" w:hAnsi="Arial" w:cs="Arial"/>
          <w:sz w:val="22"/>
          <w:szCs w:val="22"/>
          <w:lang w:val="en-001"/>
        </w:rPr>
        <w:t>A permanent measure which included a new restructuring plan to help viable companies with problematic debt obligations which could be sanctioned by the courts if it is fair and equitable and can be imposed on creditors by the courts. This marks a shift towards the “business rescue” culture more in line with US insolvency law.</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56EDED73" w:rsidR="00C72848" w:rsidRPr="00CA2D38" w:rsidRDefault="00CA2D38" w:rsidP="00CA2D38">
      <w:pPr>
        <w:ind w:left="720"/>
        <w:jc w:val="both"/>
        <w:rPr>
          <w:rFonts w:ascii="Arial" w:hAnsi="Arial" w:cs="Arial"/>
          <w:sz w:val="22"/>
          <w:szCs w:val="22"/>
          <w:lang w:val="en-001"/>
        </w:rPr>
      </w:pPr>
      <w:r>
        <w:rPr>
          <w:rFonts w:ascii="Arial" w:hAnsi="Arial" w:cs="Arial"/>
          <w:color w:val="7B7B7B" w:themeColor="accent3" w:themeShade="BF"/>
          <w:sz w:val="22"/>
          <w:szCs w:val="22"/>
          <w:lang w:val="en-001"/>
        </w:rPr>
        <w:t>Treaties and conventions are instruments to which States bind themselves to and affect their domestic law and can also have an effect on cross-border insolvencies. The Istanbul Convention, Council of Europe Treaty Series No 136, whilst signed by 8 member states in Europe, actually failed in getting ratified into effect yet had a large influence on forming the European Union’s solutions to questions posed by international insolvencies among its States.</w:t>
      </w:r>
      <w:r w:rsidR="00112282">
        <w:rPr>
          <w:rFonts w:ascii="Arial" w:hAnsi="Arial" w:cs="Arial"/>
          <w:color w:val="7B7B7B" w:themeColor="accent3" w:themeShade="BF"/>
          <w:sz w:val="22"/>
          <w:szCs w:val="22"/>
          <w:lang w:val="en-001"/>
        </w:rPr>
        <w:t xml:space="preserve"> Soft laws are quasi-</w:t>
      </w:r>
      <w:proofErr w:type="spellStart"/>
      <w:r w:rsidR="00112282">
        <w:rPr>
          <w:rFonts w:ascii="Arial" w:hAnsi="Arial" w:cs="Arial"/>
          <w:color w:val="7B7B7B" w:themeColor="accent3" w:themeShade="BF"/>
          <w:sz w:val="22"/>
          <w:szCs w:val="22"/>
          <w:lang w:val="en-001"/>
        </w:rPr>
        <w:t>lega</w:t>
      </w:r>
      <w:proofErr w:type="spellEnd"/>
      <w:r w:rsidR="00112282">
        <w:rPr>
          <w:rFonts w:ascii="Arial" w:hAnsi="Arial" w:cs="Arial"/>
          <w:color w:val="7B7B7B" w:themeColor="accent3" w:themeShade="BF"/>
          <w:sz w:val="22"/>
          <w:szCs w:val="22"/>
          <w:lang w:val="en-001"/>
        </w:rPr>
        <w:t xml:space="preserve"> instruments which do not have legally binding force; however, they can be successful such as the Model Law on Cross-border Insolvency (MLCBI) developed by UNCITRAL. The MLCBI as draft legislation has now been adopted by many States as a framework for addressing issues in cross-border insolvencies.</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0F4B15A8" w14:textId="1AF3D431" w:rsidR="003D2162" w:rsidRDefault="00112282" w:rsidP="00B7193E">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Roman Law principles largely sourced much of civil law which is practiced in many States around the world, whilst developments in English insolvency law largely were the foundation of insolvency law in common law jurisdictions. </w:t>
      </w:r>
      <w:r w:rsidR="003D2162">
        <w:rPr>
          <w:rFonts w:ascii="Arial" w:hAnsi="Arial" w:cs="Arial"/>
          <w:color w:val="7B7B7B" w:themeColor="accent3" w:themeShade="BF"/>
          <w:sz w:val="22"/>
          <w:szCs w:val="22"/>
          <w:lang w:val="en-001"/>
        </w:rPr>
        <w:t xml:space="preserve">Roman law principles such as cession </w:t>
      </w:r>
      <w:proofErr w:type="spellStart"/>
      <w:r w:rsidR="003D2162">
        <w:rPr>
          <w:rFonts w:ascii="Arial" w:hAnsi="Arial" w:cs="Arial"/>
          <w:color w:val="7B7B7B" w:themeColor="accent3" w:themeShade="BF"/>
          <w:sz w:val="22"/>
          <w:szCs w:val="22"/>
          <w:lang w:val="en-001"/>
        </w:rPr>
        <w:t>bonorum</w:t>
      </w:r>
      <w:proofErr w:type="spellEnd"/>
      <w:r w:rsidR="003D2162">
        <w:rPr>
          <w:rFonts w:ascii="Arial" w:hAnsi="Arial" w:cs="Arial"/>
          <w:color w:val="7B7B7B" w:themeColor="accent3" w:themeShade="BF"/>
          <w:sz w:val="22"/>
          <w:szCs w:val="22"/>
          <w:lang w:val="en-001"/>
        </w:rPr>
        <w:t xml:space="preserve"> (assignment of property) and dilation (compositions with creditors) also presumably fed into the principles set out by Joseph Chamberlain, eventually leading to the English 1883 Act which included similar principles (set out in my answer to question 2.1). Also, ancient Roman law allowed creditors to be enslaved as punishment for not paying their debts, whilst early English law allowed for creditors to be imprisoned. </w:t>
      </w:r>
    </w:p>
    <w:p w14:paraId="4024A332" w14:textId="41C3C905" w:rsidR="00544127" w:rsidRPr="00112282" w:rsidRDefault="00112282" w:rsidP="00B7193E">
      <w:pPr>
        <w:jc w:val="both"/>
        <w:rPr>
          <w:rFonts w:ascii="Arial" w:hAnsi="Arial" w:cs="Arial"/>
          <w:sz w:val="22"/>
          <w:szCs w:val="22"/>
          <w:lang w:val="en-001"/>
        </w:rPr>
      </w:pPr>
      <w:r>
        <w:rPr>
          <w:rFonts w:ascii="Arial" w:hAnsi="Arial" w:cs="Arial"/>
          <w:color w:val="7B7B7B" w:themeColor="accent3" w:themeShade="BF"/>
          <w:sz w:val="22"/>
          <w:szCs w:val="22"/>
          <w:lang w:val="en-001"/>
        </w:rPr>
        <w:t>Additionally, US bankruptcy law was built on the founding principle laid out in the US Constitution that insolvency law is a federal matter, rather than law which can vary from US state to state.</w:t>
      </w:r>
      <w:r w:rsidR="003D2162">
        <w:rPr>
          <w:rFonts w:ascii="Arial" w:hAnsi="Arial" w:cs="Arial"/>
          <w:color w:val="7B7B7B" w:themeColor="accent3" w:themeShade="BF"/>
          <w:sz w:val="22"/>
          <w:szCs w:val="22"/>
          <w:lang w:val="en-001"/>
        </w:rPr>
        <w:t xml:space="preserve"> This principle has also developed in the European Union to rule on cross-border insolvencies among its member States.</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5951D794" w:rsidR="00DF75F8" w:rsidRDefault="003D2162" w:rsidP="00B7193E">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The three questions on the pursuit of harmonisation of insolvency laws posed by Fletcher are as follows:</w:t>
      </w:r>
    </w:p>
    <w:p w14:paraId="3C661484" w14:textId="77777777" w:rsidR="004B31CB" w:rsidRDefault="003D2162" w:rsidP="003D2162">
      <w:pPr>
        <w:pStyle w:val="ListParagraph"/>
        <w:numPr>
          <w:ilvl w:val="0"/>
          <w:numId w:val="19"/>
        </w:numPr>
        <w:jc w:val="both"/>
        <w:rPr>
          <w:rFonts w:ascii="Arial" w:hAnsi="Arial" w:cs="Arial"/>
          <w:sz w:val="22"/>
          <w:szCs w:val="22"/>
          <w:lang w:val="en-001"/>
        </w:rPr>
      </w:pPr>
      <w:r>
        <w:rPr>
          <w:rFonts w:ascii="Arial" w:hAnsi="Arial" w:cs="Arial"/>
          <w:sz w:val="22"/>
          <w:szCs w:val="22"/>
          <w:lang w:val="en-001"/>
        </w:rPr>
        <w:t xml:space="preserve">In which jurisdictions may insolvency proceedings be opened? </w:t>
      </w:r>
    </w:p>
    <w:p w14:paraId="062D53EA" w14:textId="02100A41" w:rsidR="003D2162" w:rsidRDefault="003D2162" w:rsidP="004B31CB">
      <w:pPr>
        <w:pStyle w:val="ListParagraph"/>
        <w:jc w:val="both"/>
        <w:rPr>
          <w:rFonts w:ascii="Arial" w:hAnsi="Arial" w:cs="Arial"/>
          <w:sz w:val="22"/>
          <w:szCs w:val="22"/>
          <w:lang w:val="en-001"/>
        </w:rPr>
      </w:pPr>
      <w:r>
        <w:rPr>
          <w:rFonts w:ascii="Arial" w:hAnsi="Arial" w:cs="Arial"/>
          <w:sz w:val="22"/>
          <w:szCs w:val="22"/>
          <w:lang w:val="en-001"/>
        </w:rPr>
        <w:t xml:space="preserve">– This question addresses the legal issue relating to the choice of forum. This issue directly </w:t>
      </w:r>
      <w:r w:rsidR="004B31CB">
        <w:rPr>
          <w:rFonts w:ascii="Arial" w:hAnsi="Arial" w:cs="Arial"/>
          <w:sz w:val="22"/>
          <w:szCs w:val="22"/>
          <w:lang w:val="en-001"/>
        </w:rPr>
        <w:t>ties into the concepts of universalism (where a the choice of law insolvency law is based on where the debtor holds its centre of main interests) and territorialism (where multiple insolvency laws of more than one State can be involved). The EIR takes on this question by allocating the jurisdiction of law to where the debtor has its centre of main interests; however, it allows for subsidiary territorial proceedings to progress at the same time.</w:t>
      </w:r>
    </w:p>
    <w:p w14:paraId="7DCA7F28" w14:textId="77777777" w:rsidR="00AB1F58" w:rsidRDefault="003D2162" w:rsidP="003D2162">
      <w:pPr>
        <w:pStyle w:val="ListParagraph"/>
        <w:numPr>
          <w:ilvl w:val="0"/>
          <w:numId w:val="19"/>
        </w:numPr>
        <w:jc w:val="both"/>
        <w:rPr>
          <w:rFonts w:ascii="Arial" w:hAnsi="Arial" w:cs="Arial"/>
          <w:sz w:val="22"/>
          <w:szCs w:val="22"/>
          <w:lang w:val="en-001"/>
        </w:rPr>
      </w:pPr>
      <w:r>
        <w:rPr>
          <w:rFonts w:ascii="Arial" w:hAnsi="Arial" w:cs="Arial"/>
          <w:sz w:val="22"/>
          <w:szCs w:val="22"/>
          <w:lang w:val="en-001"/>
        </w:rPr>
        <w:t xml:space="preserve">What country’s law should be applied in respect of different aspects of the case? </w:t>
      </w:r>
    </w:p>
    <w:p w14:paraId="01E6AB26" w14:textId="437AFC7C" w:rsidR="004B31CB" w:rsidRDefault="00AB1F58" w:rsidP="00AB1F58">
      <w:pPr>
        <w:pStyle w:val="ListParagraph"/>
        <w:numPr>
          <w:ilvl w:val="0"/>
          <w:numId w:val="21"/>
        </w:numPr>
        <w:jc w:val="both"/>
        <w:rPr>
          <w:rFonts w:ascii="Arial" w:hAnsi="Arial" w:cs="Arial"/>
          <w:sz w:val="22"/>
          <w:szCs w:val="22"/>
          <w:lang w:val="en-001"/>
        </w:rPr>
      </w:pPr>
      <w:r>
        <w:rPr>
          <w:rFonts w:ascii="Arial" w:hAnsi="Arial" w:cs="Arial"/>
          <w:sz w:val="22"/>
          <w:szCs w:val="22"/>
          <w:lang w:val="en-001"/>
        </w:rPr>
        <w:t xml:space="preserve">This question takes into effect the choice of law to apply to the matter. In a common law system, choice of law issues will only arise if provoked, otherwise the law of the jurisdiction will prevail. Naturally, the issue of choice of law will only arise if it is advantageous for the party to apply foreign law, so this matter will depend case by case. Alternatively, in civil law systems which abide most by territoriality, foreign law is presumed to be a question of law whether provoked or not. </w:t>
      </w:r>
      <w:r w:rsidR="00B425A4">
        <w:rPr>
          <w:rFonts w:ascii="Arial" w:hAnsi="Arial" w:cs="Arial"/>
          <w:sz w:val="22"/>
          <w:szCs w:val="22"/>
          <w:lang w:val="en-001"/>
        </w:rPr>
        <w:t>In English law, where foreign elements are included in a case, English law will apply to matters of procedures or substance; however, reference may be made to a foreign law to establish a particular matter or to provide more clarity to an issue which involves a foreign element.</w:t>
      </w:r>
      <w:r>
        <w:rPr>
          <w:rFonts w:ascii="Arial" w:hAnsi="Arial" w:cs="Arial"/>
          <w:sz w:val="22"/>
          <w:szCs w:val="22"/>
          <w:lang w:val="en-001"/>
        </w:rPr>
        <w:t xml:space="preserve"> </w:t>
      </w:r>
    </w:p>
    <w:p w14:paraId="06DEB90F" w14:textId="77777777" w:rsidR="00AB1F58" w:rsidRDefault="003D2162" w:rsidP="003D2162">
      <w:pPr>
        <w:pStyle w:val="ListParagraph"/>
        <w:numPr>
          <w:ilvl w:val="0"/>
          <w:numId w:val="19"/>
        </w:numPr>
        <w:jc w:val="both"/>
        <w:rPr>
          <w:rFonts w:ascii="Arial" w:hAnsi="Arial" w:cs="Arial"/>
          <w:sz w:val="22"/>
          <w:szCs w:val="22"/>
          <w:lang w:val="en-001"/>
        </w:rPr>
      </w:pPr>
      <w:r>
        <w:rPr>
          <w:rFonts w:ascii="Arial" w:hAnsi="Arial" w:cs="Arial"/>
          <w:sz w:val="22"/>
          <w:szCs w:val="22"/>
          <w:lang w:val="en-001"/>
        </w:rPr>
        <w:t xml:space="preserve">What international effects will be accorded to proceedings conducted at a particular forum (including issues of enforcement)? </w:t>
      </w:r>
    </w:p>
    <w:p w14:paraId="077B427E" w14:textId="7F1903A2" w:rsidR="00AB1F58" w:rsidRDefault="00AB1F58" w:rsidP="00AB1F58">
      <w:pPr>
        <w:pStyle w:val="ListParagraph"/>
        <w:numPr>
          <w:ilvl w:val="0"/>
          <w:numId w:val="20"/>
        </w:numPr>
        <w:jc w:val="both"/>
        <w:rPr>
          <w:rFonts w:ascii="Arial" w:hAnsi="Arial" w:cs="Arial"/>
          <w:sz w:val="22"/>
          <w:szCs w:val="22"/>
          <w:lang w:val="en-001"/>
        </w:rPr>
      </w:pPr>
      <w:r>
        <w:rPr>
          <w:rFonts w:ascii="Arial" w:hAnsi="Arial" w:cs="Arial"/>
          <w:sz w:val="22"/>
          <w:szCs w:val="22"/>
          <w:lang w:val="en-001"/>
        </w:rPr>
        <w:t xml:space="preserve">This legal issue of the recognition and effect of various judgments in foreign proceedings in the same matter involves questions surrounding the court issuing </w:t>
      </w:r>
      <w:r>
        <w:rPr>
          <w:rFonts w:ascii="Arial" w:hAnsi="Arial" w:cs="Arial"/>
          <w:sz w:val="22"/>
          <w:szCs w:val="22"/>
          <w:lang w:val="en-001"/>
        </w:rPr>
        <w:lastRenderedPageBreak/>
        <w:t xml:space="preserve">the judgment, the type of judgment, and the effect of the judgment. In my view, the crux of this issue revolves around co-operation. Many States permit recognition of foreign insolvency proceedings and judgments. One relevant case which resulted in the turnover of assets in a local liquidation to a foreign liquidator for distribution was </w:t>
      </w:r>
      <w:r>
        <w:rPr>
          <w:rFonts w:ascii="Arial" w:hAnsi="Arial" w:cs="Arial"/>
          <w:i/>
          <w:iCs/>
          <w:sz w:val="22"/>
          <w:szCs w:val="22"/>
          <w:lang w:val="en-001"/>
        </w:rPr>
        <w:t>McGrath v. Riddell</w:t>
      </w:r>
      <w:r>
        <w:rPr>
          <w:rFonts w:ascii="Arial" w:hAnsi="Arial" w:cs="Arial"/>
          <w:sz w:val="22"/>
          <w:szCs w:val="22"/>
          <w:lang w:val="en-001"/>
        </w:rPr>
        <w:t xml:space="preserve"> wherein Lord Hoffman cited the principle of modified universalism to require the courts to co-operate with the foreign proceedings to allow for a fair distribution of the debtor’s assets. Additionally, Chapter 15 in US Bankruptcy Law provides for recognition of foreign proceedings in the USA, including the distribution of assets out of the country where applicable. </w:t>
      </w:r>
    </w:p>
    <w:p w14:paraId="33C831D1" w14:textId="1EB29000" w:rsidR="003D2162" w:rsidRPr="003D2162" w:rsidRDefault="003D2162" w:rsidP="00AB1F58">
      <w:pPr>
        <w:pStyle w:val="ListParagraph"/>
        <w:jc w:val="both"/>
        <w:rPr>
          <w:rFonts w:ascii="Arial" w:hAnsi="Arial" w:cs="Arial"/>
          <w:sz w:val="22"/>
          <w:szCs w:val="22"/>
          <w:lang w:val="en-001"/>
        </w:rPr>
      </w:pP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68EFCFFC" w:rsidR="00DF75F8" w:rsidRPr="00B425A4" w:rsidRDefault="00B425A4" w:rsidP="00B7193E">
      <w:pPr>
        <w:jc w:val="both"/>
        <w:rPr>
          <w:rFonts w:ascii="Arial" w:hAnsi="Arial" w:cs="Arial"/>
          <w:sz w:val="22"/>
          <w:szCs w:val="22"/>
          <w:lang w:val="en-001"/>
        </w:rPr>
      </w:pPr>
      <w:r>
        <w:rPr>
          <w:rFonts w:ascii="Arial" w:hAnsi="Arial" w:cs="Arial"/>
          <w:color w:val="7B7B7B" w:themeColor="accent3" w:themeShade="BF"/>
          <w:sz w:val="22"/>
          <w:szCs w:val="22"/>
          <w:lang w:val="en-001"/>
        </w:rPr>
        <w:t xml:space="preserve">One case law example which relates to the court approval of co-ordination agreements which pre-date the MLCBI is the Maxwell Communications Corporation plc cross-border insolvency case of 1991. </w:t>
      </w:r>
      <w:r w:rsidR="003102FB">
        <w:rPr>
          <w:rFonts w:ascii="Arial" w:hAnsi="Arial" w:cs="Arial"/>
          <w:color w:val="7B7B7B" w:themeColor="accent3" w:themeShade="BF"/>
          <w:sz w:val="22"/>
          <w:szCs w:val="22"/>
          <w:lang w:val="en-001"/>
        </w:rPr>
        <w:t>The case involved two primary insolvency proceedings, one in the US and one in the UK, brought by a single debtor, in which the courts independently ruled that an agreement between the two insolvency representatives in each State could ease the burden of the two administrations regarding communication and information conflicts. The agreement specified goals to guide each representative including maximizing the value of the debtor’s estate and harmonizing the proceedings to minimize expenses and conflicts. This resolution is an example of how co-operation in cross-border insolvencies, such as the enactment of agreements which are specifically tailored to each case, can alleviate the pressures of the situation and facilitate a more equitable and pragmatic solution.</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317DD6E7" w14:textId="267DB5D3" w:rsidR="00126A4D" w:rsidRPr="00F42A71" w:rsidRDefault="003102FB" w:rsidP="00B7193E">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European Insolvency Regulation Recast (“</w:t>
      </w:r>
      <w:r>
        <w:rPr>
          <w:rFonts w:ascii="Arial" w:hAnsi="Arial" w:cs="Arial"/>
          <w:b/>
          <w:bCs/>
          <w:color w:val="808080" w:themeColor="background1" w:themeShade="80"/>
          <w:sz w:val="22"/>
          <w:szCs w:val="22"/>
          <w:lang w:val="en-001"/>
        </w:rPr>
        <w:t>EIR (Recast)</w:t>
      </w:r>
      <w:r>
        <w:rPr>
          <w:rFonts w:ascii="Arial" w:hAnsi="Arial" w:cs="Arial"/>
          <w:color w:val="808080" w:themeColor="background1" w:themeShade="80"/>
          <w:sz w:val="22"/>
          <w:szCs w:val="22"/>
          <w:lang w:val="en-001"/>
        </w:rPr>
        <w:t xml:space="preserve">”) would apply to these proceedings </w:t>
      </w:r>
      <w:r w:rsidR="00F42A71">
        <w:rPr>
          <w:rFonts w:ascii="Arial" w:hAnsi="Arial" w:cs="Arial"/>
          <w:color w:val="808080" w:themeColor="background1" w:themeShade="80"/>
          <w:sz w:val="22"/>
          <w:szCs w:val="22"/>
          <w:lang w:val="en-001"/>
        </w:rPr>
        <w:t xml:space="preserve">if </w:t>
      </w:r>
      <w:proofErr w:type="spellStart"/>
      <w:r w:rsidR="00F42A71">
        <w:rPr>
          <w:rFonts w:ascii="Arial" w:hAnsi="Arial" w:cs="Arial"/>
          <w:color w:val="808080" w:themeColor="background1" w:themeShade="80"/>
          <w:sz w:val="22"/>
          <w:szCs w:val="22"/>
          <w:lang w:val="en-001"/>
        </w:rPr>
        <w:t>Fernz</w:t>
      </w:r>
      <w:proofErr w:type="spellEnd"/>
      <w:r w:rsidR="00F42A71">
        <w:rPr>
          <w:rFonts w:ascii="Arial" w:hAnsi="Arial" w:cs="Arial"/>
          <w:color w:val="808080" w:themeColor="background1" w:themeShade="80"/>
          <w:sz w:val="22"/>
          <w:szCs w:val="22"/>
          <w:lang w:val="en-001"/>
        </w:rPr>
        <w:t xml:space="preserve"> opened the proceedings prior to 31 December 2020, the transitional period granted by the UK in its departure from the European Union to insolvencies. Assuming that </w:t>
      </w:r>
      <w:proofErr w:type="spellStart"/>
      <w:r w:rsidR="00F42A71">
        <w:rPr>
          <w:rFonts w:ascii="Arial" w:hAnsi="Arial" w:cs="Arial"/>
          <w:color w:val="808080" w:themeColor="background1" w:themeShade="80"/>
          <w:sz w:val="22"/>
          <w:szCs w:val="22"/>
          <w:lang w:val="en-001"/>
        </w:rPr>
        <w:t>Fernz</w:t>
      </w:r>
      <w:proofErr w:type="spellEnd"/>
      <w:r w:rsidR="00F42A71">
        <w:rPr>
          <w:rFonts w:ascii="Arial" w:hAnsi="Arial" w:cs="Arial"/>
          <w:color w:val="808080" w:themeColor="background1" w:themeShade="80"/>
          <w:sz w:val="22"/>
          <w:szCs w:val="22"/>
          <w:lang w:val="en-001"/>
        </w:rPr>
        <w:t xml:space="preserve"> initiated proceedings before 31 December 2020, the EIR (Recast) would dictate that the primary jurisdiction for proceedings would be in the UK, due to the debtor having its centre of main interest (“</w:t>
      </w:r>
      <w:r w:rsidR="00F42A71">
        <w:rPr>
          <w:rFonts w:ascii="Arial" w:hAnsi="Arial" w:cs="Arial"/>
          <w:b/>
          <w:bCs/>
          <w:color w:val="808080" w:themeColor="background1" w:themeShade="80"/>
          <w:sz w:val="22"/>
          <w:szCs w:val="22"/>
          <w:lang w:val="en-001"/>
        </w:rPr>
        <w:t>COMI</w:t>
      </w:r>
      <w:r w:rsidR="00F42A71">
        <w:rPr>
          <w:rFonts w:ascii="Arial" w:hAnsi="Arial" w:cs="Arial"/>
          <w:color w:val="808080" w:themeColor="background1" w:themeShade="80"/>
          <w:sz w:val="22"/>
          <w:szCs w:val="22"/>
          <w:lang w:val="en-001"/>
        </w:rPr>
        <w:t xml:space="preserve">”) in the UK. This would mean that although </w:t>
      </w:r>
      <w:proofErr w:type="spellStart"/>
      <w:r w:rsidR="00F42A71">
        <w:rPr>
          <w:rFonts w:ascii="Arial" w:hAnsi="Arial" w:cs="Arial"/>
          <w:color w:val="808080" w:themeColor="background1" w:themeShade="80"/>
          <w:sz w:val="22"/>
          <w:szCs w:val="22"/>
          <w:lang w:val="en-001"/>
        </w:rPr>
        <w:t>Fernz</w:t>
      </w:r>
      <w:proofErr w:type="spellEnd"/>
      <w:r w:rsidR="00F42A71">
        <w:rPr>
          <w:rFonts w:ascii="Arial" w:hAnsi="Arial" w:cs="Arial"/>
          <w:color w:val="808080" w:themeColor="background1" w:themeShade="80"/>
          <w:sz w:val="22"/>
          <w:szCs w:val="22"/>
          <w:lang w:val="en-001"/>
        </w:rPr>
        <w:t xml:space="preserve"> is Rydell’s main creditor, the UK courts would have primary jurisdictional competence over any cross-border insolvency, rather than </w:t>
      </w:r>
      <w:proofErr w:type="spellStart"/>
      <w:r w:rsidR="00F42A71">
        <w:rPr>
          <w:rFonts w:ascii="Arial" w:hAnsi="Arial" w:cs="Arial"/>
          <w:color w:val="808080" w:themeColor="background1" w:themeShade="80"/>
          <w:sz w:val="22"/>
          <w:szCs w:val="22"/>
          <w:lang w:val="en-001"/>
        </w:rPr>
        <w:t>Fernz’s</w:t>
      </w:r>
      <w:proofErr w:type="spellEnd"/>
      <w:r w:rsidR="00F42A71">
        <w:rPr>
          <w:rFonts w:ascii="Arial" w:hAnsi="Arial" w:cs="Arial"/>
          <w:color w:val="808080" w:themeColor="background1" w:themeShade="80"/>
          <w:sz w:val="22"/>
          <w:szCs w:val="22"/>
          <w:lang w:val="en-001"/>
        </w:rPr>
        <w:t xml:space="preserve"> country of incorporation. However, </w:t>
      </w:r>
      <w:proofErr w:type="spellStart"/>
      <w:r w:rsidR="00F42A71">
        <w:rPr>
          <w:rFonts w:ascii="Arial" w:hAnsi="Arial" w:cs="Arial"/>
          <w:color w:val="808080" w:themeColor="background1" w:themeShade="80"/>
          <w:sz w:val="22"/>
          <w:szCs w:val="22"/>
          <w:lang w:val="en-001"/>
        </w:rPr>
        <w:t>Fernz</w:t>
      </w:r>
      <w:proofErr w:type="spellEnd"/>
      <w:r w:rsidR="00F42A71">
        <w:rPr>
          <w:rFonts w:ascii="Arial" w:hAnsi="Arial" w:cs="Arial"/>
          <w:color w:val="808080" w:themeColor="background1" w:themeShade="80"/>
          <w:sz w:val="22"/>
          <w:szCs w:val="22"/>
          <w:lang w:val="en-001"/>
        </w:rPr>
        <w:t xml:space="preserve"> would be able to open a secondary proceeding, opened after the adjudication of the bankruptcy in the UK, </w:t>
      </w:r>
      <w:r w:rsidR="0060317F">
        <w:rPr>
          <w:rFonts w:ascii="Arial" w:hAnsi="Arial" w:cs="Arial"/>
          <w:color w:val="808080" w:themeColor="background1" w:themeShade="80"/>
          <w:sz w:val="22"/>
          <w:szCs w:val="22"/>
          <w:lang w:val="en-001"/>
        </w:rPr>
        <w:t>if</w:t>
      </w:r>
      <w:r w:rsidR="00F42A71">
        <w:rPr>
          <w:rFonts w:ascii="Arial" w:hAnsi="Arial" w:cs="Arial"/>
          <w:color w:val="808080" w:themeColor="background1" w:themeShade="80"/>
          <w:sz w:val="22"/>
          <w:szCs w:val="22"/>
          <w:lang w:val="en-001"/>
        </w:rPr>
        <w:t xml:space="preserve"> Rydell had an establishment (carried out non-transitory business) in the country in which </w:t>
      </w:r>
      <w:proofErr w:type="spellStart"/>
      <w:r w:rsidR="00F42A71">
        <w:rPr>
          <w:rFonts w:ascii="Arial" w:hAnsi="Arial" w:cs="Arial"/>
          <w:color w:val="808080" w:themeColor="background1" w:themeShade="80"/>
          <w:sz w:val="22"/>
          <w:szCs w:val="22"/>
          <w:lang w:val="en-001"/>
        </w:rPr>
        <w:t>Fernz</w:t>
      </w:r>
      <w:proofErr w:type="spellEnd"/>
      <w:r w:rsidR="00F42A71">
        <w:rPr>
          <w:rFonts w:ascii="Arial" w:hAnsi="Arial" w:cs="Arial"/>
          <w:color w:val="808080" w:themeColor="background1" w:themeShade="80"/>
          <w:sz w:val="22"/>
          <w:szCs w:val="22"/>
          <w:lang w:val="en-001"/>
        </w:rPr>
        <w:t xml:space="preserve"> is incorporated. </w:t>
      </w:r>
      <w:r w:rsidR="0060317F">
        <w:rPr>
          <w:rFonts w:ascii="Arial" w:hAnsi="Arial" w:cs="Arial"/>
          <w:color w:val="808080" w:themeColor="background1" w:themeShade="80"/>
          <w:sz w:val="22"/>
          <w:szCs w:val="22"/>
          <w:lang w:val="en-001"/>
        </w:rPr>
        <w:t xml:space="preserve">To fully consider this question, I would need to know approximately when </w:t>
      </w:r>
      <w:proofErr w:type="spellStart"/>
      <w:r w:rsidR="0060317F">
        <w:rPr>
          <w:rFonts w:ascii="Arial" w:hAnsi="Arial" w:cs="Arial"/>
          <w:color w:val="808080" w:themeColor="background1" w:themeShade="80"/>
          <w:sz w:val="22"/>
          <w:szCs w:val="22"/>
          <w:lang w:val="en-001"/>
        </w:rPr>
        <w:t>Fernz</w:t>
      </w:r>
      <w:proofErr w:type="spellEnd"/>
      <w:r w:rsidR="0060317F">
        <w:rPr>
          <w:rFonts w:ascii="Arial" w:hAnsi="Arial" w:cs="Arial"/>
          <w:color w:val="808080" w:themeColor="background1" w:themeShade="80"/>
          <w:sz w:val="22"/>
          <w:szCs w:val="22"/>
          <w:lang w:val="en-001"/>
        </w:rPr>
        <w:t xml:space="preserve"> initiated its proceedings against Rydell to understand if the EIR (Recast) would apply. Additionally, I imagine that Rydell would have an establishment in </w:t>
      </w:r>
      <w:proofErr w:type="spellStart"/>
      <w:r w:rsidR="0060317F">
        <w:rPr>
          <w:rFonts w:ascii="Arial" w:hAnsi="Arial" w:cs="Arial"/>
          <w:color w:val="808080" w:themeColor="background1" w:themeShade="80"/>
          <w:sz w:val="22"/>
          <w:szCs w:val="22"/>
          <w:lang w:val="en-001"/>
        </w:rPr>
        <w:t>Fernz’s</w:t>
      </w:r>
      <w:proofErr w:type="spellEnd"/>
      <w:r w:rsidR="0060317F">
        <w:rPr>
          <w:rFonts w:ascii="Arial" w:hAnsi="Arial" w:cs="Arial"/>
          <w:color w:val="808080" w:themeColor="background1" w:themeShade="80"/>
          <w:sz w:val="22"/>
          <w:szCs w:val="22"/>
          <w:lang w:val="en-001"/>
        </w:rPr>
        <w:t xml:space="preserve"> country of incorporation; however, I would appreciate a bit more information as to the nature of the debt between Rydell and </w:t>
      </w:r>
      <w:proofErr w:type="spellStart"/>
      <w:r w:rsidR="0060317F">
        <w:rPr>
          <w:rFonts w:ascii="Arial" w:hAnsi="Arial" w:cs="Arial"/>
          <w:color w:val="808080" w:themeColor="background1" w:themeShade="80"/>
          <w:sz w:val="22"/>
          <w:szCs w:val="22"/>
          <w:lang w:val="en-001"/>
        </w:rPr>
        <w:t>Fernz</w:t>
      </w:r>
      <w:proofErr w:type="spellEnd"/>
      <w:r w:rsidR="0060317F">
        <w:rPr>
          <w:rFonts w:ascii="Arial" w:hAnsi="Arial" w:cs="Arial"/>
          <w:color w:val="808080" w:themeColor="background1" w:themeShade="80"/>
          <w:sz w:val="22"/>
          <w:szCs w:val="22"/>
          <w:lang w:val="en-001"/>
        </w:rPr>
        <w:t xml:space="preserve"> to clarify whether or not this debt would qualify as a non-transitory economic activity which took place in this country (or if it was a one-off agreement) and whether or not Rydell had business operations in </w:t>
      </w:r>
      <w:proofErr w:type="spellStart"/>
      <w:r w:rsidR="0060317F">
        <w:rPr>
          <w:rFonts w:ascii="Arial" w:hAnsi="Arial" w:cs="Arial"/>
          <w:color w:val="808080" w:themeColor="background1" w:themeShade="80"/>
          <w:sz w:val="22"/>
          <w:szCs w:val="22"/>
          <w:lang w:val="en-001"/>
        </w:rPr>
        <w:t>Fernz’s</w:t>
      </w:r>
      <w:proofErr w:type="spellEnd"/>
      <w:r w:rsidR="0060317F">
        <w:rPr>
          <w:rFonts w:ascii="Arial" w:hAnsi="Arial" w:cs="Arial"/>
          <w:color w:val="808080" w:themeColor="background1" w:themeShade="80"/>
          <w:sz w:val="22"/>
          <w:szCs w:val="22"/>
          <w:lang w:val="en-001"/>
        </w:rPr>
        <w:t xml:space="preserve"> country. </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6424B35F" w:rsidR="00015EE6" w:rsidRPr="0060317F" w:rsidRDefault="0060317F" w:rsidP="00C45A03">
      <w:pPr>
        <w:jc w:val="both"/>
        <w:rPr>
          <w:rFonts w:ascii="Arial" w:hAnsi="Arial" w:cs="Arial"/>
          <w:sz w:val="22"/>
          <w:szCs w:val="22"/>
          <w:lang w:val="en-001"/>
        </w:rPr>
      </w:pPr>
      <w:r>
        <w:rPr>
          <w:rFonts w:ascii="Arial" w:hAnsi="Arial" w:cs="Arial"/>
          <w:color w:val="7B7B7B" w:themeColor="accent3" w:themeShade="BF"/>
          <w:sz w:val="22"/>
          <w:szCs w:val="22"/>
          <w:lang w:val="en-001"/>
        </w:rPr>
        <w:t xml:space="preserve">My answer to 4.1 would differ if the proceedings were opened in the UK on 18 June 2021 instead of 18 June 2020 because the UK left the European Union on 31 January 2020 but kept a transitional period whereby the EIR (Recast) applies to insolvencies which are initiated before 31 December 2020. This would mean that the EIR (Recast) would not apply to proceedings initiated on 18 June 2021 and would be subject to new </w:t>
      </w:r>
      <w:r w:rsidR="007B15D0">
        <w:rPr>
          <w:rFonts w:ascii="Arial" w:hAnsi="Arial" w:cs="Arial"/>
          <w:color w:val="7B7B7B" w:themeColor="accent3" w:themeShade="BF"/>
          <w:sz w:val="22"/>
          <w:szCs w:val="22"/>
          <w:lang w:val="en-001"/>
        </w:rPr>
        <w:t>the new Exit R</w:t>
      </w:r>
      <w:r>
        <w:rPr>
          <w:rFonts w:ascii="Arial" w:hAnsi="Arial" w:cs="Arial"/>
          <w:color w:val="7B7B7B" w:themeColor="accent3" w:themeShade="BF"/>
          <w:sz w:val="22"/>
          <w:szCs w:val="22"/>
          <w:lang w:val="en-001"/>
        </w:rPr>
        <w:t>egulations.</w:t>
      </w:r>
      <w:r w:rsidR="007B15D0">
        <w:rPr>
          <w:rFonts w:ascii="Arial" w:hAnsi="Arial" w:cs="Arial"/>
          <w:color w:val="7B7B7B" w:themeColor="accent3" w:themeShade="BF"/>
          <w:sz w:val="22"/>
          <w:szCs w:val="22"/>
          <w:lang w:val="en-001"/>
        </w:rPr>
        <w:t xml:space="preserve"> In 2021, EU-based insolvencies opened after the end of this transitional period no longer benefit from automatic recognition in the UK. Now EU insolvency practitioners are relegated to the same status as non-EU insolvency practitioners meaning that their options are now more limited to the Cross-Border Insolvency Regulations (2006 revision)</w:t>
      </w:r>
      <w:r w:rsidR="006B31E1">
        <w:rPr>
          <w:rFonts w:ascii="Arial" w:hAnsi="Arial" w:cs="Arial"/>
          <w:color w:val="7B7B7B" w:themeColor="accent3" w:themeShade="BF"/>
          <w:sz w:val="22"/>
          <w:szCs w:val="22"/>
          <w:lang w:val="en-001"/>
        </w:rPr>
        <w:t xml:space="preserve"> which enacted the UCITRAL Model Law on Cross-Border Insolvency (“</w:t>
      </w:r>
      <w:r w:rsidR="006B31E1">
        <w:rPr>
          <w:rFonts w:ascii="Arial" w:hAnsi="Arial" w:cs="Arial"/>
          <w:b/>
          <w:bCs/>
          <w:color w:val="7B7B7B" w:themeColor="accent3" w:themeShade="BF"/>
          <w:sz w:val="22"/>
          <w:szCs w:val="22"/>
          <w:lang w:val="en-001"/>
        </w:rPr>
        <w:t>Model Law</w:t>
      </w:r>
      <w:r w:rsidR="006B31E1">
        <w:rPr>
          <w:rFonts w:ascii="Arial" w:hAnsi="Arial" w:cs="Arial"/>
          <w:color w:val="7B7B7B" w:themeColor="accent3" w:themeShade="BF"/>
          <w:sz w:val="22"/>
          <w:szCs w:val="22"/>
          <w:lang w:val="en-001"/>
        </w:rPr>
        <w:t>”)</w:t>
      </w:r>
      <w:r w:rsidR="007B15D0">
        <w:rPr>
          <w:rFonts w:ascii="Arial" w:hAnsi="Arial" w:cs="Arial"/>
          <w:color w:val="7B7B7B" w:themeColor="accent3" w:themeShade="BF"/>
          <w:sz w:val="22"/>
          <w:szCs w:val="22"/>
          <w:lang w:val="en-001"/>
        </w:rPr>
        <w:t xml:space="preserve">, section 426 of the IA (1986 revision) and English common law under comity principles. Referencing the third option, English common law is based on the principle of modified universalism so the English courts have the power to assist foreign insolvency proceedings. However, an application by </w:t>
      </w:r>
      <w:proofErr w:type="spellStart"/>
      <w:r w:rsidR="007B15D0">
        <w:rPr>
          <w:rFonts w:ascii="Arial" w:hAnsi="Arial" w:cs="Arial"/>
          <w:color w:val="7B7B7B" w:themeColor="accent3" w:themeShade="BF"/>
          <w:sz w:val="22"/>
          <w:szCs w:val="22"/>
          <w:lang w:val="en-001"/>
        </w:rPr>
        <w:t>Fernz</w:t>
      </w:r>
      <w:proofErr w:type="spellEnd"/>
      <w:r w:rsidR="007B15D0">
        <w:rPr>
          <w:rFonts w:ascii="Arial" w:hAnsi="Arial" w:cs="Arial"/>
          <w:color w:val="7B7B7B" w:themeColor="accent3" w:themeShade="BF"/>
          <w:sz w:val="22"/>
          <w:szCs w:val="22"/>
          <w:lang w:val="en-001"/>
        </w:rPr>
        <w:t xml:space="preserve"> would now have to be made to the UK court system.</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t>
      </w:r>
      <w:r w:rsidRPr="00205B31">
        <w:rPr>
          <w:rFonts w:ascii="Arial" w:hAnsi="Arial" w:cs="Arial"/>
          <w:sz w:val="22"/>
          <w:szCs w:val="22"/>
          <w:lang w:val="en-GB"/>
        </w:rPr>
        <w:lastRenderedPageBreak/>
        <w:t>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6E5A3E6B" w:rsidR="00015EE6" w:rsidRPr="007B15D0" w:rsidRDefault="007B15D0" w:rsidP="00015EE6">
      <w:pPr>
        <w:autoSpaceDE w:val="0"/>
        <w:autoSpaceDN w:val="0"/>
        <w:adjustRightInd w:val="0"/>
        <w:spacing w:line="276" w:lineRule="auto"/>
        <w:jc w:val="both"/>
        <w:rPr>
          <w:rFonts w:ascii="Arial" w:hAnsi="Arial" w:cs="Arial"/>
          <w:sz w:val="22"/>
          <w:szCs w:val="22"/>
          <w:lang w:val="en-001"/>
        </w:rPr>
      </w:pPr>
      <w:r>
        <w:rPr>
          <w:rFonts w:ascii="Arial" w:hAnsi="Arial" w:cs="Arial"/>
          <w:color w:val="7B7B7B" w:themeColor="accent3" w:themeShade="BF"/>
          <w:sz w:val="22"/>
          <w:szCs w:val="22"/>
          <w:lang w:val="en-001"/>
        </w:rPr>
        <w:t xml:space="preserve">If Rydell were unregistered with its COMI in a European Union member-state and the formal insolvency proceedings were opened in the UK on 18 June 2021, these proceedings would not fall under the EIR (Recast) as the transitional period would have lapsed on 31 December 2020. Instead of relying on those regulations, the UK domestic laws to consider whether the minor creditor could commence the formal proceedings in the UK would be model law, comity, and the laws of the European member state. If the EU member state was Greece, Poland, Romania or Slovenia, the minor creditor could look to Model Law because those countries have enacted Model law as at 18 June 2021. However, automatic recognition would not be applied (as it would be in the EIR (Recast)) and the minor creditor would have to make an application to the Court. </w:t>
      </w:r>
      <w:r w:rsidR="006B31E1">
        <w:rPr>
          <w:rFonts w:ascii="Arial" w:hAnsi="Arial" w:cs="Arial"/>
          <w:color w:val="7B7B7B" w:themeColor="accent3" w:themeShade="BF"/>
          <w:sz w:val="22"/>
          <w:szCs w:val="22"/>
          <w:lang w:val="en-001"/>
        </w:rPr>
        <w:t xml:space="preserve">If the EU member state was Cyprus or Ireland, the minor creditor could consider the UK domestic law of comity as those are common law jurisdictions. Lastly, the minor creditor would have to consider the laws of the EU member state as some States have provisions which allow for the recognition of certain foreign insolvency proceedings. </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D780C" w14:textId="77777777" w:rsidR="00131993" w:rsidRDefault="00131993" w:rsidP="00241B44">
      <w:r>
        <w:separator/>
      </w:r>
    </w:p>
  </w:endnote>
  <w:endnote w:type="continuationSeparator" w:id="0">
    <w:p w14:paraId="55E65338" w14:textId="77777777" w:rsidR="00131993" w:rsidRDefault="001319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E2A24" w14:textId="17960576" w:rsidR="00820EB2" w:rsidRDefault="00820EB2">
    <w:pPr>
      <w:pStyle w:val="Footer"/>
    </w:pPr>
    <w:r>
      <w:rPr>
        <w:b/>
        <w:bCs/>
        <w:lang w:val="en-001"/>
      </w:rPr>
      <w:t>202122-529</w:t>
    </w:r>
    <w:r w:rsidRPr="00820EB2">
      <w:rPr>
        <w:b/>
        <w:bCs/>
        <w:lang w:val="en-GB"/>
      </w:rPr>
      <w:t>.assessment1summative</w:t>
    </w:r>
  </w:p>
  <w:p w14:paraId="12ABA5E1" w14:textId="01F87070" w:rsidR="006E1CB0" w:rsidRPr="0052732A" w:rsidRDefault="006E1CB0" w:rsidP="0052732A">
    <w:pPr>
      <w:pStyle w:val="Footer"/>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F8404" w14:textId="77777777" w:rsidR="00820EB2" w:rsidRDefault="00820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49EA5" w14:textId="77777777" w:rsidR="00131993" w:rsidRDefault="00131993" w:rsidP="00241B44">
      <w:r>
        <w:separator/>
      </w:r>
    </w:p>
  </w:footnote>
  <w:footnote w:type="continuationSeparator" w:id="0">
    <w:p w14:paraId="2BEA022D" w14:textId="77777777" w:rsidR="00131993" w:rsidRDefault="0013199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8F562" w14:textId="77777777" w:rsidR="00820EB2" w:rsidRDefault="00820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52B0" w14:textId="77777777" w:rsidR="00820EB2" w:rsidRDefault="00820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10F3" w14:textId="77777777" w:rsidR="00820EB2" w:rsidRDefault="00820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D8E16DB"/>
    <w:multiLevelType w:val="hybridMultilevel"/>
    <w:tmpl w:val="7578DDE2"/>
    <w:lvl w:ilvl="0" w:tplc="108299F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22B09FF"/>
    <w:multiLevelType w:val="hybridMultilevel"/>
    <w:tmpl w:val="36C6A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2974CE1"/>
    <w:multiLevelType w:val="hybridMultilevel"/>
    <w:tmpl w:val="19FC2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5" w15:restartNumberingAfterBreak="0">
    <w:nsid w:val="539839FE"/>
    <w:multiLevelType w:val="hybridMultilevel"/>
    <w:tmpl w:val="FD66B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7F25319"/>
    <w:multiLevelType w:val="hybridMultilevel"/>
    <w:tmpl w:val="E87EE5A6"/>
    <w:lvl w:ilvl="0" w:tplc="E1868A52">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1"/>
  </w:num>
  <w:num w:numId="3">
    <w:abstractNumId w:val="20"/>
  </w:num>
  <w:num w:numId="4">
    <w:abstractNumId w:val="5"/>
  </w:num>
  <w:num w:numId="5">
    <w:abstractNumId w:val="2"/>
  </w:num>
  <w:num w:numId="6">
    <w:abstractNumId w:val="17"/>
  </w:num>
  <w:num w:numId="7">
    <w:abstractNumId w:val="3"/>
  </w:num>
  <w:num w:numId="8">
    <w:abstractNumId w:val="1"/>
  </w:num>
  <w:num w:numId="9">
    <w:abstractNumId w:val="0"/>
  </w:num>
  <w:num w:numId="10">
    <w:abstractNumId w:val="7"/>
  </w:num>
  <w:num w:numId="11">
    <w:abstractNumId w:val="13"/>
  </w:num>
  <w:num w:numId="12">
    <w:abstractNumId w:val="18"/>
  </w:num>
  <w:num w:numId="13">
    <w:abstractNumId w:val="14"/>
  </w:num>
  <w:num w:numId="14">
    <w:abstractNumId w:val="8"/>
  </w:num>
  <w:num w:numId="15">
    <w:abstractNumId w:val="12"/>
  </w:num>
  <w:num w:numId="16">
    <w:abstractNumId w:val="16"/>
  </w:num>
  <w:num w:numId="17">
    <w:abstractNumId w:val="9"/>
  </w:num>
  <w:num w:numId="18">
    <w:abstractNumId w:val="15"/>
  </w:num>
  <w:num w:numId="19">
    <w:abstractNumId w:val="6"/>
  </w:num>
  <w:num w:numId="20">
    <w:abstractNumId w:val="19"/>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4096" w:nlCheck="1" w:checkStyle="0"/>
  <w:activeWritingStyle w:appName="MSWord" w:lang="en-GB" w:vendorID="64" w:dllVersion="0" w:nlCheck="1" w:checkStyle="0"/>
  <w:activeWritingStyle w:appName="MSWord" w:lang="en-001"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2282"/>
    <w:rsid w:val="001131C6"/>
    <w:rsid w:val="0011473D"/>
    <w:rsid w:val="00115C85"/>
    <w:rsid w:val="0012303D"/>
    <w:rsid w:val="00123855"/>
    <w:rsid w:val="00124B70"/>
    <w:rsid w:val="00125A7C"/>
    <w:rsid w:val="00126A4D"/>
    <w:rsid w:val="00131993"/>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2FB"/>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2162"/>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435"/>
    <w:rsid w:val="00493855"/>
    <w:rsid w:val="00497558"/>
    <w:rsid w:val="00497CF9"/>
    <w:rsid w:val="004A57DD"/>
    <w:rsid w:val="004A7B51"/>
    <w:rsid w:val="004A7D71"/>
    <w:rsid w:val="004A7EF3"/>
    <w:rsid w:val="004B0EBE"/>
    <w:rsid w:val="004B10C5"/>
    <w:rsid w:val="004B11FD"/>
    <w:rsid w:val="004B23A2"/>
    <w:rsid w:val="004B25E4"/>
    <w:rsid w:val="004B31CB"/>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461"/>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17F"/>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31E1"/>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5D0"/>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0EB2"/>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1F58"/>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425A4"/>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3D"/>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126D"/>
    <w:rsid w:val="00C92A0D"/>
    <w:rsid w:val="00C963D3"/>
    <w:rsid w:val="00CA1802"/>
    <w:rsid w:val="00CA2D38"/>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A7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Reback, Eli</cp:lastModifiedBy>
  <cp:revision>2</cp:revision>
  <cp:lastPrinted>2020-06-12T02:43:00Z</cp:lastPrinted>
  <dcterms:created xsi:type="dcterms:W3CDTF">2021-11-10T02:49:00Z</dcterms:created>
  <dcterms:modified xsi:type="dcterms:W3CDTF">2021-11-10T02:49:00Z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