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367162" w14:paraId="425B7968" w14:textId="523053A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rsidR="00F35D73" w:rsidP="00592F82" w:rsidRDefault="00F35D73" w14:paraId="3387D906" w14:textId="7D9D7D57">
      <w:pPr>
        <w:jc w:val="center"/>
        <w:rPr>
          <w:rFonts w:ascii="Arial" w:hAnsi="Arial" w:cs="Arial"/>
          <w:b/>
          <w:sz w:val="22"/>
          <w:szCs w:val="22"/>
          <w:lang w:val="en-GB"/>
        </w:rPr>
      </w:pPr>
    </w:p>
    <w:p w:rsidR="00F35D73" w:rsidP="00592F82" w:rsidRDefault="00F35D73" w14:paraId="1DDE5B5C" w14:textId="7663897F">
      <w:pPr>
        <w:jc w:val="center"/>
        <w:rPr>
          <w:rFonts w:ascii="Arial" w:hAnsi="Arial" w:cs="Arial"/>
          <w:b/>
          <w:sz w:val="22"/>
          <w:szCs w:val="22"/>
          <w:lang w:val="en-GB"/>
        </w:rPr>
      </w:pPr>
    </w:p>
    <w:p w:rsidR="00F35D73" w:rsidP="00592F82" w:rsidRDefault="00F35D73" w14:paraId="0865A456" w14:textId="77777777">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852883" w:rsidR="00434A8C" w:rsidP="00FA2A46"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bCs/>
          <w:sz w:val="22"/>
          <w:szCs w:val="22"/>
          <w:lang w:val="en-GB"/>
        </w:rPr>
      </w:pPr>
    </w:p>
    <w:p w:rsidRPr="00852883" w:rsidR="0011473D" w:rsidP="00FA2A46" w:rsidRDefault="00C56B61" w14:paraId="59317C17" w14:textId="703AE0C8">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Pr="00852883" w:rsidR="009D0811">
        <w:rPr>
          <w:rFonts w:ascii="Arial" w:hAnsi="Arial" w:cs="Arial"/>
          <w:b/>
          <w:bCs/>
          <w:sz w:val="28"/>
          <w:szCs w:val="28"/>
          <w:lang w:val="en-GB"/>
        </w:rPr>
        <w:t>ASSESSMENT: MODULE 1</w:t>
      </w:r>
    </w:p>
    <w:p w:rsidRPr="00852883" w:rsidR="002638B0" w:rsidP="00FA2A46"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bCs/>
          <w:sz w:val="28"/>
          <w:szCs w:val="28"/>
          <w:lang w:val="en-GB"/>
        </w:rPr>
      </w:pPr>
    </w:p>
    <w:p w:rsidRPr="00852883" w:rsidR="002638B0" w:rsidP="00FA2A46" w:rsidRDefault="003326F0" w14:paraId="23556360" w14:textId="2352FC7B">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Pr="00852883" w:rsidR="002638B0">
        <w:rPr>
          <w:rFonts w:ascii="Arial" w:hAnsi="Arial" w:cs="Arial"/>
          <w:b/>
          <w:bCs/>
          <w:sz w:val="28"/>
          <w:szCs w:val="28"/>
          <w:lang w:val="en-GB"/>
        </w:rPr>
        <w:t>I</w:t>
      </w:r>
      <w:r w:rsidRPr="00852883" w:rsidR="00F34F9D">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rsidRPr="00852883" w:rsidR="00434A8C" w:rsidP="00FA2A46" w:rsidRDefault="00434A8C" w14:paraId="5E119630"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sz w:val="22"/>
          <w:szCs w:val="22"/>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427FB4D1">
      <w:pPr>
        <w:jc w:val="center"/>
        <w:rPr>
          <w:rFonts w:ascii="Arial" w:hAnsi="Arial" w:cs="Arial"/>
          <w:b/>
          <w:sz w:val="22"/>
          <w:szCs w:val="22"/>
          <w:lang w:val="en-GB"/>
        </w:rPr>
      </w:pPr>
    </w:p>
    <w:p w:rsidR="00FA2A46" w:rsidP="00592F82" w:rsidRDefault="00FA2A46" w14:paraId="38489011" w14:textId="52CBA35B">
      <w:pPr>
        <w:jc w:val="center"/>
        <w:rPr>
          <w:rFonts w:ascii="Arial" w:hAnsi="Arial" w:cs="Arial"/>
          <w:b/>
          <w:sz w:val="22"/>
          <w:szCs w:val="22"/>
          <w:lang w:val="en-GB"/>
        </w:rPr>
      </w:pPr>
    </w:p>
    <w:p w:rsidR="00FA2A46" w:rsidP="00592F82" w:rsidRDefault="00FA2A46" w14:paraId="6946C953" w14:textId="5BA66B3D">
      <w:pPr>
        <w:jc w:val="center"/>
        <w:rPr>
          <w:rFonts w:ascii="Arial" w:hAnsi="Arial" w:cs="Arial"/>
          <w:b/>
          <w:sz w:val="22"/>
          <w:szCs w:val="22"/>
          <w:lang w:val="en-GB"/>
        </w:rPr>
      </w:pPr>
    </w:p>
    <w:p w:rsidR="00FA2A46" w:rsidP="00592F82" w:rsidRDefault="00FA2A46" w14:paraId="1A6CE731" w14:textId="77777777">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Pr="00852883" w:rsidR="00DB56F2" w:rsidP="00DB56F2" w:rsidRDefault="00DB56F2" w14:paraId="0ED3DA75" w14:textId="77777777">
      <w:pPr>
        <w:pBdr>
          <w:top w:val="single" w:color="auto" w:sz="18" w:space="1"/>
          <w:left w:val="single" w:color="auto" w:sz="18" w:space="4"/>
          <w:bottom w:val="single" w:color="auto" w:sz="18" w:space="1"/>
          <w:right w:val="single" w:color="auto" w:sz="18" w:space="4"/>
        </w:pBdr>
        <w:jc w:val="both"/>
        <w:rPr>
          <w:rFonts w:ascii="Arial" w:hAnsi="Arial" w:cs="Arial"/>
          <w:bCs/>
          <w:sz w:val="22"/>
          <w:szCs w:val="22"/>
          <w:lang w:val="en-GB"/>
        </w:rPr>
      </w:pPr>
    </w:p>
    <w:p w:rsidRPr="00852883" w:rsidR="00873246" w:rsidP="00004AE7" w:rsidRDefault="00415F1F" w14:paraId="2D0C25B4" w14:textId="376B8FD8">
      <w:pPr>
        <w:pBdr>
          <w:top w:val="single" w:color="auto" w:sz="18" w:space="1"/>
          <w:left w:val="single" w:color="auto" w:sz="18" w:space="4"/>
          <w:bottom w:val="single" w:color="auto" w:sz="18" w:space="1"/>
          <w:right w:val="single" w:color="auto" w:sz="18" w:space="4"/>
        </w:pBdr>
        <w:jc w:val="both"/>
        <w:rPr>
          <w:rFonts w:ascii="Arial" w:hAnsi="Arial" w:cs="Arial"/>
          <w:bCs/>
          <w:sz w:val="22"/>
          <w:szCs w:val="22"/>
          <w:lang w:val="en-GB"/>
        </w:rPr>
      </w:pPr>
      <w:r w:rsidRPr="00852883">
        <w:rPr>
          <w:rFonts w:ascii="Arial" w:hAnsi="Arial" w:cs="Arial"/>
          <w:bCs/>
          <w:sz w:val="22"/>
          <w:szCs w:val="22"/>
          <w:lang w:val="en-GB"/>
        </w:rPr>
        <w:t xml:space="preserve">This is </w:t>
      </w:r>
      <w:r w:rsidRPr="00852883" w:rsidR="00C56B61">
        <w:rPr>
          <w:rFonts w:ascii="Arial" w:hAnsi="Arial" w:cs="Arial"/>
          <w:bCs/>
          <w:sz w:val="22"/>
          <w:szCs w:val="22"/>
          <w:lang w:val="en-GB"/>
        </w:rPr>
        <w:t>the</w:t>
      </w:r>
      <w:r w:rsidRPr="00852883">
        <w:rPr>
          <w:rFonts w:ascii="Arial" w:hAnsi="Arial" w:cs="Arial"/>
          <w:bCs/>
          <w:sz w:val="22"/>
          <w:szCs w:val="22"/>
          <w:lang w:val="en-GB"/>
        </w:rPr>
        <w:t xml:space="preserve"> </w:t>
      </w:r>
      <w:r w:rsidRPr="00852883" w:rsidR="00C56B61">
        <w:rPr>
          <w:rFonts w:ascii="Arial" w:hAnsi="Arial" w:cs="Arial"/>
          <w:b/>
          <w:bCs/>
          <w:sz w:val="22"/>
          <w:szCs w:val="22"/>
          <w:lang w:val="en-GB"/>
        </w:rPr>
        <w:t>summat</w:t>
      </w:r>
      <w:r w:rsidRPr="00852883">
        <w:rPr>
          <w:rFonts w:ascii="Arial" w:hAnsi="Arial" w:cs="Arial"/>
          <w:b/>
          <w:bCs/>
          <w:sz w:val="22"/>
          <w:szCs w:val="22"/>
          <w:lang w:val="en-GB"/>
        </w:rPr>
        <w:t xml:space="preserve">ive </w:t>
      </w:r>
      <w:r w:rsidRPr="00852883" w:rsidR="00A27A7A">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Pr="00852883" w:rsidR="00C56B61">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Pr="00852883" w:rsidR="00C56B61">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Pr="00852883" w:rsidR="00A27A7A">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Pr="00852883" w:rsidR="00A27A7A">
        <w:rPr>
          <w:rFonts w:ascii="Arial" w:hAnsi="Arial" w:cs="Arial"/>
          <w:bCs/>
          <w:sz w:val="22"/>
          <w:szCs w:val="22"/>
          <w:lang w:val="en-GB"/>
        </w:rPr>
        <w:t xml:space="preserve">. </w:t>
      </w:r>
      <w:r w:rsidRPr="00852883" w:rsidR="001B6CEE">
        <w:rPr>
          <w:rFonts w:ascii="Arial" w:hAnsi="Arial" w:cs="Arial"/>
          <w:bCs/>
          <w:sz w:val="22"/>
          <w:szCs w:val="22"/>
          <w:lang w:val="en-GB"/>
        </w:rPr>
        <w:t>T</w:t>
      </w:r>
      <w:r w:rsidRPr="00852883" w:rsidR="007F41F8">
        <w:rPr>
          <w:rFonts w:ascii="Arial" w:hAnsi="Arial" w:cs="Arial"/>
          <w:bCs/>
          <w:sz w:val="22"/>
          <w:szCs w:val="22"/>
          <w:lang w:val="en-GB"/>
        </w:rPr>
        <w:t xml:space="preserve">he mark awarded </w:t>
      </w:r>
      <w:r w:rsidRPr="00852883" w:rsidR="00704C24">
        <w:rPr>
          <w:rFonts w:ascii="Arial" w:hAnsi="Arial" w:cs="Arial"/>
          <w:bCs/>
          <w:sz w:val="22"/>
          <w:szCs w:val="22"/>
          <w:lang w:val="en-GB"/>
        </w:rPr>
        <w:t xml:space="preserve">for this assessment </w:t>
      </w:r>
      <w:r w:rsidRPr="00852883" w:rsidR="007F41F8">
        <w:rPr>
          <w:rFonts w:ascii="Arial" w:hAnsi="Arial" w:cs="Arial"/>
          <w:bCs/>
          <w:sz w:val="22"/>
          <w:szCs w:val="22"/>
          <w:lang w:val="en-GB"/>
        </w:rPr>
        <w:t xml:space="preserve">will </w:t>
      </w:r>
      <w:r w:rsidRPr="00852883" w:rsidR="00180AC4">
        <w:rPr>
          <w:rFonts w:ascii="Arial" w:hAnsi="Arial" w:cs="Arial"/>
          <w:bCs/>
          <w:sz w:val="22"/>
          <w:szCs w:val="22"/>
          <w:lang w:val="en-GB"/>
        </w:rPr>
        <w:t>determine</w:t>
      </w:r>
      <w:r w:rsidRPr="00852883" w:rsidR="007F41F8">
        <w:rPr>
          <w:rFonts w:ascii="Arial" w:hAnsi="Arial" w:cs="Arial"/>
          <w:bCs/>
          <w:sz w:val="22"/>
          <w:szCs w:val="22"/>
          <w:lang w:val="en-GB"/>
        </w:rPr>
        <w:t xml:space="preserve"> </w:t>
      </w:r>
      <w:r w:rsidRPr="00852883" w:rsidR="001B6CEE">
        <w:rPr>
          <w:rFonts w:ascii="Arial" w:hAnsi="Arial" w:cs="Arial"/>
          <w:bCs/>
          <w:sz w:val="22"/>
          <w:szCs w:val="22"/>
          <w:lang w:val="en-GB"/>
        </w:rPr>
        <w:t>your</w:t>
      </w:r>
      <w:r w:rsidRPr="00852883" w:rsidR="007C6201">
        <w:rPr>
          <w:rFonts w:ascii="Arial" w:hAnsi="Arial" w:cs="Arial"/>
          <w:bCs/>
          <w:sz w:val="22"/>
          <w:szCs w:val="22"/>
          <w:lang w:val="en-GB"/>
        </w:rPr>
        <w:t xml:space="preserve"> final mark for Module 1. </w:t>
      </w:r>
      <w:r w:rsidRPr="00852883" w:rsidR="00180AC4">
        <w:rPr>
          <w:rFonts w:ascii="Arial" w:hAnsi="Arial" w:cs="Arial"/>
          <w:bCs/>
          <w:sz w:val="22"/>
          <w:szCs w:val="22"/>
          <w:lang w:val="en-GB"/>
        </w:rPr>
        <w:t>In order to pass this module you need to obtain a mark of 50% or more</w:t>
      </w:r>
      <w:r w:rsidRPr="00852883" w:rsidR="00F13FB1">
        <w:rPr>
          <w:rFonts w:ascii="Arial" w:hAnsi="Arial" w:cs="Arial"/>
          <w:bCs/>
          <w:sz w:val="22"/>
          <w:szCs w:val="22"/>
          <w:lang w:val="en-GB"/>
        </w:rPr>
        <w:t xml:space="preserve"> for this assessment.</w:t>
      </w:r>
    </w:p>
    <w:p w:rsidRPr="00852883" w:rsidR="00DB56F2" w:rsidP="00DB56F2" w:rsidRDefault="00DB56F2" w14:paraId="274024F0" w14:textId="77777777">
      <w:pPr>
        <w:pBdr>
          <w:top w:val="single" w:color="auto" w:sz="18" w:space="1"/>
          <w:left w:val="single" w:color="auto" w:sz="18" w:space="4"/>
          <w:bottom w:val="single" w:color="auto" w:sz="18" w:space="1"/>
          <w:right w:val="single" w:color="auto" w:sz="18" w:space="4"/>
        </w:pBdr>
        <w:jc w:val="both"/>
        <w:rPr>
          <w:rFonts w:ascii="Arial" w:hAnsi="Arial" w:cs="Arial"/>
          <w:bCs/>
          <w:sz w:val="22"/>
          <w:szCs w:val="22"/>
          <w:lang w:val="en-GB"/>
        </w:rPr>
      </w:pPr>
    </w:p>
    <w:p w:rsidRPr="001E23FD" w:rsidR="00793173" w:rsidP="007C6201" w:rsidRDefault="00793173" w14:paraId="4614C5D8" w14:textId="3C9FD3D5">
      <w:pPr>
        <w:jc w:val="both"/>
        <w:rPr>
          <w:rFonts w:ascii="Arial" w:hAnsi="Arial" w:cs="Arial"/>
          <w:b/>
          <w:sz w:val="22"/>
          <w:szCs w:val="22"/>
          <w:lang w:val="en-GB"/>
        </w:rPr>
      </w:pPr>
    </w:p>
    <w:p w:rsidRPr="001E23FD" w:rsidR="00DB56F2" w:rsidP="007C6201" w:rsidRDefault="00DB56F2" w14:paraId="5A8E70B6" w14:textId="3DD478B6">
      <w:pPr>
        <w:jc w:val="both"/>
        <w:rPr>
          <w:rFonts w:ascii="Arial" w:hAnsi="Arial" w:cs="Arial"/>
          <w:b/>
          <w:sz w:val="22"/>
          <w:szCs w:val="22"/>
          <w:lang w:val="en-GB"/>
        </w:rPr>
      </w:pPr>
    </w:p>
    <w:p w:rsidRPr="001E23FD" w:rsidR="00397D3A" w:rsidP="007C6201" w:rsidRDefault="00397D3A" w14:paraId="1B27A2C1" w14:textId="5A9B8846">
      <w:pPr>
        <w:jc w:val="both"/>
        <w:rPr>
          <w:rFonts w:ascii="Arial" w:hAnsi="Arial" w:cs="Arial"/>
          <w:b/>
          <w:sz w:val="22"/>
          <w:szCs w:val="22"/>
          <w:lang w:val="en-GB"/>
        </w:rPr>
      </w:pPr>
    </w:p>
    <w:p w:rsidRPr="001E23FD" w:rsidR="00397D3A" w:rsidP="007C6201" w:rsidRDefault="00397D3A" w14:paraId="1BC7CE2F" w14:textId="5B3D9200">
      <w:pPr>
        <w:jc w:val="both"/>
        <w:rPr>
          <w:rFonts w:ascii="Arial" w:hAnsi="Arial" w:cs="Arial"/>
          <w:b/>
          <w:sz w:val="22"/>
          <w:szCs w:val="22"/>
          <w:lang w:val="en-GB"/>
        </w:rPr>
      </w:pPr>
    </w:p>
    <w:p w:rsidRPr="001E23FD" w:rsidR="00397D3A" w:rsidP="007C6201" w:rsidRDefault="00397D3A" w14:paraId="6416FB4A" w14:textId="60B3384C">
      <w:pPr>
        <w:jc w:val="both"/>
        <w:rPr>
          <w:rFonts w:ascii="Arial" w:hAnsi="Arial" w:cs="Arial"/>
          <w:b/>
          <w:sz w:val="22"/>
          <w:szCs w:val="22"/>
          <w:lang w:val="en-GB"/>
        </w:rPr>
      </w:pPr>
    </w:p>
    <w:p w:rsidRPr="001E23FD" w:rsidR="00397D3A" w:rsidP="007C6201" w:rsidRDefault="00397D3A" w14:paraId="5683A375" w14:textId="1322B645">
      <w:pPr>
        <w:jc w:val="both"/>
        <w:rPr>
          <w:rFonts w:ascii="Arial" w:hAnsi="Arial" w:cs="Arial"/>
          <w:b/>
          <w:sz w:val="22"/>
          <w:szCs w:val="22"/>
          <w:lang w:val="en-GB"/>
        </w:rPr>
      </w:pPr>
    </w:p>
    <w:p w:rsidRPr="001E23FD" w:rsidR="00397D3A" w:rsidP="007C6201" w:rsidRDefault="00397D3A" w14:paraId="35B724B9" w14:textId="4E0894C3">
      <w:pPr>
        <w:jc w:val="both"/>
        <w:rPr>
          <w:rFonts w:ascii="Arial" w:hAnsi="Arial" w:cs="Arial"/>
          <w:b/>
          <w:sz w:val="22"/>
          <w:szCs w:val="22"/>
          <w:lang w:val="en-GB"/>
        </w:rPr>
      </w:pPr>
    </w:p>
    <w:p w:rsidRPr="001E23FD" w:rsidR="00397D3A" w:rsidP="007C6201" w:rsidRDefault="00397D3A" w14:paraId="3A3FE896" w14:textId="40CAA3F9">
      <w:pPr>
        <w:jc w:val="both"/>
        <w:rPr>
          <w:rFonts w:ascii="Arial" w:hAnsi="Arial" w:cs="Arial"/>
          <w:b/>
          <w:sz w:val="22"/>
          <w:szCs w:val="22"/>
          <w:lang w:val="en-GB"/>
        </w:rPr>
      </w:pPr>
    </w:p>
    <w:p w:rsidR="00397D3A" w:rsidP="007C6201" w:rsidRDefault="00397D3A" w14:paraId="39016D5C" w14:textId="5EEE0915">
      <w:pPr>
        <w:jc w:val="both"/>
        <w:rPr>
          <w:rFonts w:ascii="Arial" w:hAnsi="Arial" w:cs="Arial"/>
          <w:b/>
          <w:sz w:val="22"/>
          <w:szCs w:val="22"/>
          <w:lang w:val="en-GB"/>
        </w:rPr>
      </w:pPr>
    </w:p>
    <w:p w:rsidR="00FA2A46" w:rsidP="007C6201" w:rsidRDefault="00FA2A46" w14:paraId="6CDF5300" w14:textId="4E80282D">
      <w:pPr>
        <w:jc w:val="both"/>
        <w:rPr>
          <w:rFonts w:ascii="Arial" w:hAnsi="Arial" w:cs="Arial"/>
          <w:b/>
          <w:sz w:val="22"/>
          <w:szCs w:val="22"/>
          <w:lang w:val="en-GB"/>
        </w:rPr>
      </w:pPr>
    </w:p>
    <w:p w:rsidR="00FA2A46" w:rsidP="007C6201" w:rsidRDefault="00FA2A46" w14:paraId="259225E2" w14:textId="72C41947">
      <w:pPr>
        <w:jc w:val="both"/>
        <w:rPr>
          <w:rFonts w:ascii="Arial" w:hAnsi="Arial" w:cs="Arial"/>
          <w:b/>
          <w:sz w:val="22"/>
          <w:szCs w:val="22"/>
          <w:lang w:val="en-GB"/>
        </w:rPr>
      </w:pPr>
    </w:p>
    <w:p w:rsidR="00FA2A46" w:rsidP="007C6201" w:rsidRDefault="00FA2A46" w14:paraId="680AB240" w14:textId="7D652C05">
      <w:pPr>
        <w:jc w:val="both"/>
        <w:rPr>
          <w:rFonts w:ascii="Arial" w:hAnsi="Arial" w:cs="Arial"/>
          <w:b/>
          <w:sz w:val="22"/>
          <w:szCs w:val="22"/>
          <w:lang w:val="en-GB"/>
        </w:rPr>
      </w:pPr>
    </w:p>
    <w:p w:rsidR="00FA2A46" w:rsidP="007C6201" w:rsidRDefault="00FA2A46" w14:paraId="2D56B5CD" w14:textId="72894838">
      <w:pPr>
        <w:jc w:val="both"/>
        <w:rPr>
          <w:rFonts w:ascii="Arial" w:hAnsi="Arial" w:cs="Arial"/>
          <w:b/>
          <w:sz w:val="22"/>
          <w:szCs w:val="22"/>
          <w:lang w:val="en-GB"/>
        </w:rPr>
      </w:pPr>
    </w:p>
    <w:p w:rsidRPr="001E23FD" w:rsidR="00FA2A46" w:rsidP="007C6201" w:rsidRDefault="00FA2A46" w14:paraId="17A488E1" w14:textId="77777777">
      <w:pPr>
        <w:jc w:val="both"/>
        <w:rPr>
          <w:rFonts w:ascii="Arial" w:hAnsi="Arial" w:cs="Arial"/>
          <w:b/>
          <w:sz w:val="22"/>
          <w:szCs w:val="22"/>
          <w:lang w:val="en-GB"/>
        </w:rPr>
      </w:pPr>
    </w:p>
    <w:p w:rsidRPr="001E23FD" w:rsidR="00FB6703" w:rsidP="009D0811" w:rsidRDefault="00FB6703" w14:paraId="0B3A4A1A" w14:textId="42ABB0C8">
      <w:pPr>
        <w:jc w:val="center"/>
        <w:rPr>
          <w:rFonts w:ascii="Arial" w:hAnsi="Arial" w:cs="Arial"/>
          <w:b/>
          <w:sz w:val="22"/>
          <w:szCs w:val="22"/>
          <w:u w:val="single"/>
          <w:lang w:val="en-GB"/>
        </w:rPr>
      </w:pPr>
    </w:p>
    <w:p w:rsidRPr="001E23FD" w:rsidR="00FB7C8F" w:rsidP="009D0811" w:rsidRDefault="00FB7C8F" w14:paraId="4FA9BF33" w14:textId="77777777">
      <w:pPr>
        <w:jc w:val="center"/>
        <w:rPr>
          <w:rFonts w:ascii="Arial" w:hAnsi="Arial" w:cs="Arial"/>
          <w:b/>
          <w:sz w:val="22"/>
          <w:szCs w:val="22"/>
          <w:u w:val="single"/>
          <w:lang w:val="en-GB"/>
        </w:rPr>
      </w:pPr>
    </w:p>
    <w:p w:rsidRPr="001E23FD" w:rsidR="00FB6703" w:rsidP="009D0811" w:rsidRDefault="00FB6703" w14:paraId="7866A7CC" w14:textId="77777777">
      <w:pPr>
        <w:jc w:val="center"/>
        <w:rPr>
          <w:rFonts w:ascii="Arial" w:hAnsi="Arial" w:cs="Arial"/>
          <w:b/>
          <w:sz w:val="22"/>
          <w:szCs w:val="22"/>
          <w:u w:val="single"/>
          <w:lang w:val="en-GB"/>
        </w:rPr>
      </w:pPr>
    </w:p>
    <w:p w:rsidRPr="001E23FD" w:rsidR="00FB6703" w:rsidP="009D0811" w:rsidRDefault="00FB6703" w14:paraId="5ADF0A6E" w14:textId="77777777">
      <w:pPr>
        <w:jc w:val="center"/>
        <w:rPr>
          <w:rFonts w:ascii="Arial" w:hAnsi="Arial" w:cs="Arial"/>
          <w:b/>
          <w:sz w:val="22"/>
          <w:szCs w:val="22"/>
          <w:u w:val="single"/>
          <w:lang w:val="en-GB"/>
        </w:rPr>
      </w:pPr>
    </w:p>
    <w:p w:rsidRPr="001E23FD" w:rsidR="009C1527" w:rsidP="009D0811" w:rsidRDefault="009C1527" w14:paraId="04764A5D" w14:textId="77777777">
      <w:pPr>
        <w:jc w:val="center"/>
        <w:rPr>
          <w:rFonts w:ascii="Arial" w:hAnsi="Arial" w:cs="Arial"/>
          <w:b/>
          <w:sz w:val="22"/>
          <w:szCs w:val="22"/>
          <w:u w:val="single"/>
          <w:lang w:val="en-GB"/>
        </w:rPr>
      </w:pPr>
    </w:p>
    <w:p w:rsidRPr="00205B31" w:rsidR="0011473D" w:rsidP="009D0811" w:rsidRDefault="00E93993" w14:paraId="3C0D3574" w14:textId="418ACA0E">
      <w:pPr>
        <w:jc w:val="center"/>
        <w:rPr>
          <w:rFonts w:ascii="Arial" w:hAnsi="Arial" w:cs="Arial"/>
          <w:b/>
          <w:sz w:val="22"/>
          <w:szCs w:val="22"/>
          <w:u w:val="single"/>
          <w:lang w:val="en-GB"/>
        </w:rPr>
      </w:pPr>
      <w:r w:rsidRPr="00205B31">
        <w:rPr>
          <w:rFonts w:ascii="Arial" w:hAnsi="Arial" w:cs="Arial"/>
          <w:b/>
          <w:sz w:val="22"/>
          <w:szCs w:val="22"/>
          <w:u w:val="single"/>
          <w:lang w:val="en-GB"/>
        </w:rPr>
        <w:t>I</w:t>
      </w:r>
      <w:r w:rsidRPr="00205B31" w:rsidR="0011473D">
        <w:rPr>
          <w:rFonts w:ascii="Arial" w:hAnsi="Arial" w:cs="Arial"/>
          <w:b/>
          <w:sz w:val="22"/>
          <w:szCs w:val="22"/>
          <w:u w:val="single"/>
          <w:lang w:val="en-GB"/>
        </w:rPr>
        <w:t>NSTRUCTIONS FOR COMPLETION AND SUBMISSION OF ASSESSMENT</w:t>
      </w:r>
    </w:p>
    <w:p w:rsidRPr="00205B31" w:rsidR="0011473D" w:rsidP="00B7193E" w:rsidRDefault="0011473D" w14:paraId="61C888AB" w14:textId="77777777">
      <w:pPr>
        <w:jc w:val="both"/>
        <w:rPr>
          <w:rFonts w:ascii="Arial" w:hAnsi="Arial" w:cs="Arial"/>
          <w:sz w:val="22"/>
          <w:szCs w:val="22"/>
          <w:lang w:val="en-GB"/>
        </w:rPr>
      </w:pPr>
    </w:p>
    <w:p w:rsidRPr="00205B31" w:rsidR="00397D3A" w:rsidP="00B7193E" w:rsidRDefault="00397D3A" w14:paraId="173B0B40" w14:textId="77777777">
      <w:pPr>
        <w:jc w:val="both"/>
        <w:rPr>
          <w:rFonts w:ascii="Arial" w:hAnsi="Arial" w:cs="Arial"/>
          <w:b/>
          <w:sz w:val="22"/>
          <w:szCs w:val="22"/>
          <w:lang w:val="en-GB"/>
        </w:rPr>
      </w:pPr>
    </w:p>
    <w:p w:rsidRPr="00205B31" w:rsidR="0011473D" w:rsidP="00B7193E" w:rsidRDefault="0011473D" w14:paraId="652FE6AE" w14:textId="617C4D9D">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Pr="00205B31" w:rsidR="00654C2F">
        <w:rPr>
          <w:rFonts w:ascii="Arial" w:hAnsi="Arial" w:cs="Arial"/>
          <w:b/>
          <w:sz w:val="22"/>
          <w:szCs w:val="22"/>
          <w:lang w:val="en-GB"/>
        </w:rPr>
        <w:t>web pages</w:t>
      </w:r>
      <w:r w:rsidRPr="00205B31">
        <w:rPr>
          <w:rFonts w:ascii="Arial" w:hAnsi="Arial" w:cs="Arial"/>
          <w:b/>
          <w:sz w:val="22"/>
          <w:szCs w:val="22"/>
          <w:lang w:val="en-GB"/>
        </w:rPr>
        <w:t>.</w:t>
      </w:r>
    </w:p>
    <w:p w:rsidRPr="00205B31" w:rsidR="00397D3A" w:rsidP="00B7193E" w:rsidRDefault="00397D3A" w14:paraId="4A4AFB28" w14:textId="77777777">
      <w:pPr>
        <w:jc w:val="both"/>
        <w:rPr>
          <w:rFonts w:ascii="Arial" w:hAnsi="Arial" w:cs="Arial"/>
          <w:b/>
          <w:sz w:val="22"/>
          <w:szCs w:val="22"/>
          <w:lang w:val="en-GB"/>
        </w:rPr>
      </w:pPr>
    </w:p>
    <w:p w:rsidRPr="00205B31" w:rsidR="0011473D" w:rsidP="00B7193E" w:rsidRDefault="0011473D" w14:paraId="79B183E3" w14:textId="77777777">
      <w:pPr>
        <w:jc w:val="both"/>
        <w:rPr>
          <w:rFonts w:ascii="Arial" w:hAnsi="Arial" w:cs="Arial"/>
          <w:sz w:val="22"/>
          <w:szCs w:val="22"/>
          <w:lang w:val="en-GB"/>
        </w:rPr>
      </w:pPr>
    </w:p>
    <w:p w:rsidRPr="00205B31" w:rsidR="00F3323E" w:rsidP="00B7193E" w:rsidRDefault="0011473D" w14:paraId="2A1DA423" w14:textId="4C7926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Pr="00205B31" w:rsidR="00537970">
        <w:rPr>
          <w:rFonts w:ascii="Arial" w:hAnsi="Arial" w:cs="Arial"/>
          <w:sz w:val="22"/>
          <w:szCs w:val="22"/>
          <w:lang w:val="en-GB"/>
        </w:rPr>
        <w:t xml:space="preserve">You must use this </w:t>
      </w:r>
      <w:r w:rsidRPr="00205B31" w:rsidR="00F3323E">
        <w:rPr>
          <w:rFonts w:ascii="Arial" w:hAnsi="Arial" w:cs="Arial"/>
          <w:sz w:val="22"/>
          <w:szCs w:val="22"/>
          <w:lang w:val="en-GB"/>
        </w:rPr>
        <w:t>document</w:t>
      </w:r>
      <w:r w:rsidRPr="00205B31" w:rsidR="00537970">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rsidRPr="00205B31" w:rsidR="00F3323E" w:rsidP="00B7193E" w:rsidRDefault="00F3323E" w14:paraId="4E2E922E" w14:textId="77777777">
      <w:pPr>
        <w:ind w:left="720" w:hanging="720"/>
        <w:jc w:val="both"/>
        <w:rPr>
          <w:rFonts w:ascii="Arial" w:hAnsi="Arial" w:cs="Arial"/>
          <w:sz w:val="22"/>
          <w:szCs w:val="22"/>
          <w:lang w:val="en-GB"/>
        </w:rPr>
      </w:pPr>
    </w:p>
    <w:p w:rsidRPr="00205B31" w:rsidR="0011473D" w:rsidP="00B7193E" w:rsidRDefault="00F3323E" w14:paraId="6BAAC2C7" w14:textId="17343940">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Pr="00205B31" w:rsidR="0011473D">
        <w:rPr>
          <w:rFonts w:ascii="Arial" w:hAnsi="Arial" w:cs="Arial"/>
          <w:sz w:val="22"/>
          <w:szCs w:val="22"/>
          <w:lang w:val="en-GB"/>
        </w:rPr>
        <w:t xml:space="preserve">All assessments must be submitted electronically in MS Word format, using a standard A4 size page and a </w:t>
      </w:r>
      <w:r w:rsidRPr="00205B31" w:rsidR="001C45FC">
        <w:rPr>
          <w:rFonts w:ascii="Arial" w:hAnsi="Arial" w:cs="Arial"/>
          <w:sz w:val="22"/>
          <w:szCs w:val="22"/>
          <w:lang w:val="en-GB"/>
        </w:rPr>
        <w:t>11-point</w:t>
      </w:r>
      <w:r w:rsidRPr="00205B31" w:rsidR="0011473D">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rsidRPr="00205B31" w:rsidR="00E26E19" w:rsidP="00B7193E" w:rsidRDefault="00E26E19" w14:paraId="4984F7EF" w14:textId="0D2861B2">
      <w:pPr>
        <w:ind w:left="720" w:hanging="720"/>
        <w:jc w:val="both"/>
        <w:rPr>
          <w:rFonts w:ascii="Arial" w:hAnsi="Arial" w:cs="Arial"/>
          <w:sz w:val="22"/>
          <w:szCs w:val="22"/>
          <w:lang w:val="en-GB"/>
        </w:rPr>
      </w:pPr>
    </w:p>
    <w:p w:rsidRPr="00205B31" w:rsidR="00E26E19" w:rsidP="00B7193E" w:rsidRDefault="00E26E19" w14:paraId="6138A348" w14:textId="7557EB79">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Pr="00205B31" w:rsidR="004534C2">
        <w:rPr>
          <w:rFonts w:ascii="Arial" w:hAnsi="Arial" w:cs="Arial"/>
          <w:sz w:val="22"/>
          <w:szCs w:val="22"/>
          <w:lang w:val="en-GB"/>
        </w:rPr>
        <w:t xml:space="preserve">No limit has been set for the length of your answers to </w:t>
      </w:r>
      <w:r w:rsidRPr="00205B31" w:rsidR="00852F37">
        <w:rPr>
          <w:rFonts w:ascii="Arial" w:hAnsi="Arial" w:cs="Arial"/>
          <w:sz w:val="22"/>
          <w:szCs w:val="22"/>
          <w:lang w:val="en-GB"/>
        </w:rPr>
        <w:t>the q</w:t>
      </w:r>
      <w:r w:rsidRPr="00205B31" w:rsidR="004534C2">
        <w:rPr>
          <w:rFonts w:ascii="Arial" w:hAnsi="Arial" w:cs="Arial"/>
          <w:sz w:val="22"/>
          <w:szCs w:val="22"/>
          <w:lang w:val="en-GB"/>
        </w:rPr>
        <w:t>uestion</w:t>
      </w:r>
      <w:r w:rsidRPr="00205B31" w:rsidR="00852F37">
        <w:rPr>
          <w:rFonts w:ascii="Arial" w:hAnsi="Arial" w:cs="Arial"/>
          <w:sz w:val="22"/>
          <w:szCs w:val="22"/>
          <w:lang w:val="en-GB"/>
        </w:rPr>
        <w:t>s</w:t>
      </w:r>
      <w:r w:rsidRPr="00205B31" w:rsidR="004534C2">
        <w:rPr>
          <w:rFonts w:ascii="Arial" w:hAnsi="Arial" w:cs="Arial"/>
          <w:sz w:val="22"/>
          <w:szCs w:val="22"/>
          <w:lang w:val="en-GB"/>
        </w:rPr>
        <w:t>. However, please be guided by the mark allocation</w:t>
      </w:r>
      <w:r w:rsidRPr="00205B31" w:rsidR="00FF296F">
        <w:rPr>
          <w:rFonts w:ascii="Arial" w:hAnsi="Arial" w:cs="Arial"/>
          <w:sz w:val="22"/>
          <w:szCs w:val="22"/>
          <w:lang w:val="en-GB"/>
        </w:rPr>
        <w:t xml:space="preserve"> for each question</w:t>
      </w:r>
      <w:r w:rsidRPr="00205B31" w:rsidR="004534C2">
        <w:rPr>
          <w:rFonts w:ascii="Arial" w:hAnsi="Arial" w:cs="Arial"/>
          <w:sz w:val="22"/>
          <w:szCs w:val="22"/>
          <w:lang w:val="en-GB"/>
        </w:rPr>
        <w:t xml:space="preserve">. More often </w:t>
      </w:r>
      <w:r w:rsidRPr="00205B31" w:rsidR="000851CC">
        <w:rPr>
          <w:rFonts w:ascii="Arial" w:hAnsi="Arial" w:cs="Arial"/>
          <w:sz w:val="22"/>
          <w:szCs w:val="22"/>
          <w:lang w:val="en-GB"/>
        </w:rPr>
        <w:t>than not, one fact / statement will earn one mark (unless it is obvious from the question that this is not the case).</w:t>
      </w:r>
    </w:p>
    <w:p w:rsidRPr="00205B31" w:rsidR="0011473D" w:rsidP="00B7193E" w:rsidRDefault="0011473D" w14:paraId="10FF44DB" w14:textId="77777777">
      <w:pPr>
        <w:ind w:left="720" w:hanging="720"/>
        <w:jc w:val="both"/>
        <w:rPr>
          <w:rFonts w:ascii="Arial" w:hAnsi="Arial" w:cs="Arial"/>
          <w:sz w:val="22"/>
          <w:szCs w:val="22"/>
          <w:lang w:val="en-GB"/>
        </w:rPr>
      </w:pPr>
    </w:p>
    <w:p w:rsidRPr="00205B31" w:rsidR="00537970" w:rsidP="00B7193E" w:rsidRDefault="00E26E19" w14:paraId="2C014314" w14:textId="3AC24451">
      <w:pPr>
        <w:ind w:left="720" w:hanging="720"/>
        <w:jc w:val="both"/>
        <w:rPr>
          <w:rFonts w:ascii="Arial" w:hAnsi="Arial" w:cs="Arial"/>
          <w:sz w:val="22"/>
          <w:szCs w:val="22"/>
          <w:lang w:val="en-GB"/>
        </w:rPr>
      </w:pPr>
      <w:r w:rsidRPr="00205B31">
        <w:rPr>
          <w:rFonts w:ascii="Arial" w:hAnsi="Arial" w:cs="Arial"/>
          <w:bCs/>
          <w:sz w:val="22"/>
          <w:szCs w:val="22"/>
          <w:lang w:val="en-GB"/>
        </w:rPr>
        <w:t>4</w:t>
      </w:r>
      <w:r w:rsidRPr="00205B31" w:rsidR="00537970">
        <w:rPr>
          <w:rFonts w:ascii="Arial" w:hAnsi="Arial" w:cs="Arial"/>
          <w:bCs/>
          <w:sz w:val="22"/>
          <w:szCs w:val="22"/>
          <w:lang w:val="en-GB"/>
        </w:rPr>
        <w:t>.</w:t>
      </w:r>
      <w:r w:rsidRPr="00205B31" w:rsidR="00537970">
        <w:rPr>
          <w:rFonts w:ascii="Arial" w:hAnsi="Arial" w:cs="Arial"/>
          <w:sz w:val="22"/>
          <w:szCs w:val="22"/>
          <w:lang w:val="en-GB"/>
        </w:rPr>
        <w:tab/>
      </w:r>
      <w:r w:rsidRPr="00205B31" w:rsidR="00537970">
        <w:rPr>
          <w:rFonts w:ascii="Arial" w:hAnsi="Arial" w:cs="Arial"/>
          <w:sz w:val="22"/>
          <w:szCs w:val="22"/>
          <w:lang w:val="en-GB"/>
        </w:rPr>
        <w:t xml:space="preserve">You must save </w:t>
      </w:r>
      <w:r w:rsidRPr="00205B31" w:rsidR="00F3323E">
        <w:rPr>
          <w:rFonts w:ascii="Arial" w:hAnsi="Arial" w:cs="Arial"/>
          <w:sz w:val="22"/>
          <w:szCs w:val="22"/>
          <w:lang w:val="en-GB"/>
        </w:rPr>
        <w:t>this</w:t>
      </w:r>
      <w:r w:rsidRPr="00205B31" w:rsidR="00537970">
        <w:rPr>
          <w:rFonts w:ascii="Arial" w:hAnsi="Arial" w:cs="Arial"/>
          <w:sz w:val="22"/>
          <w:szCs w:val="22"/>
          <w:lang w:val="en-GB"/>
        </w:rPr>
        <w:t xml:space="preserve"> document using the following format: </w:t>
      </w:r>
      <w:r w:rsidRPr="00205B31" w:rsidR="00BF50F7">
        <w:rPr>
          <w:rFonts w:ascii="Arial" w:hAnsi="Arial" w:cs="Arial"/>
          <w:b/>
          <w:bCs/>
          <w:sz w:val="22"/>
          <w:szCs w:val="22"/>
          <w:lang w:val="en-GB" w:eastAsia="en-GB"/>
        </w:rPr>
        <w:t>[student</w:t>
      </w:r>
      <w:r w:rsidRPr="00205B31" w:rsidR="00852883">
        <w:rPr>
          <w:rFonts w:ascii="Arial" w:hAnsi="Arial" w:cs="Arial"/>
          <w:b/>
          <w:bCs/>
          <w:sz w:val="22"/>
          <w:szCs w:val="22"/>
          <w:lang w:val="en-GB" w:eastAsia="en-GB"/>
        </w:rPr>
        <w:t>ID</w:t>
      </w:r>
      <w:r w:rsidRPr="00205B31" w:rsidR="00BF50F7">
        <w:rPr>
          <w:rFonts w:ascii="Arial" w:hAnsi="Arial" w:cs="Arial"/>
          <w:b/>
          <w:bCs/>
          <w:sz w:val="22"/>
          <w:szCs w:val="22"/>
          <w:lang w:val="en-GB" w:eastAsia="en-GB"/>
        </w:rPr>
        <w:t>.assessment1</w:t>
      </w:r>
      <w:r w:rsidRPr="00205B31" w:rsidR="00F13FB1">
        <w:rPr>
          <w:rFonts w:ascii="Arial" w:hAnsi="Arial" w:cs="Arial"/>
          <w:b/>
          <w:bCs/>
          <w:sz w:val="22"/>
          <w:szCs w:val="22"/>
          <w:lang w:val="en-GB" w:eastAsia="en-GB"/>
        </w:rPr>
        <w:t>summative</w:t>
      </w:r>
      <w:r w:rsidRPr="00205B31" w:rsidR="00BF50F7">
        <w:rPr>
          <w:rFonts w:ascii="Arial" w:hAnsi="Arial" w:cs="Arial"/>
          <w:b/>
          <w:bCs/>
          <w:sz w:val="22"/>
          <w:szCs w:val="22"/>
          <w:lang w:val="en-GB" w:eastAsia="en-GB"/>
        </w:rPr>
        <w:t>]</w:t>
      </w:r>
      <w:r w:rsidRPr="00205B31" w:rsidR="00700D83">
        <w:rPr>
          <w:rFonts w:ascii="Arial" w:hAnsi="Arial" w:cs="Arial"/>
          <w:sz w:val="22"/>
          <w:szCs w:val="22"/>
          <w:lang w:val="en-GB" w:eastAsia="en-GB"/>
        </w:rPr>
        <w:t xml:space="preserve">. An example would </w:t>
      </w:r>
      <w:r w:rsidRPr="00205B31" w:rsidR="00764DB0">
        <w:rPr>
          <w:rFonts w:ascii="Arial" w:hAnsi="Arial" w:cs="Arial"/>
          <w:sz w:val="22"/>
          <w:szCs w:val="22"/>
          <w:lang w:val="en-GB" w:eastAsia="en-GB"/>
        </w:rPr>
        <w:t>be something along the following lines:</w:t>
      </w:r>
      <w:r w:rsidRPr="00205B31" w:rsidR="00BF50F7">
        <w:rPr>
          <w:rFonts w:ascii="Arial" w:hAnsi="Arial" w:cs="Arial"/>
          <w:sz w:val="22"/>
          <w:szCs w:val="22"/>
          <w:lang w:val="en-GB" w:eastAsia="en-GB"/>
        </w:rPr>
        <w:t xml:space="preserve"> 2</w:t>
      </w:r>
      <w:r w:rsidRPr="00205B31" w:rsidR="009D510C">
        <w:rPr>
          <w:rFonts w:ascii="Arial" w:hAnsi="Arial" w:cs="Arial"/>
          <w:sz w:val="22"/>
          <w:szCs w:val="22"/>
          <w:lang w:val="en-GB" w:eastAsia="en-GB"/>
        </w:rPr>
        <w:t>0</w:t>
      </w:r>
      <w:r w:rsidRPr="00205B31" w:rsidR="0022719C">
        <w:rPr>
          <w:rFonts w:ascii="Arial" w:hAnsi="Arial" w:cs="Arial"/>
          <w:sz w:val="22"/>
          <w:szCs w:val="22"/>
          <w:lang w:val="en-GB" w:eastAsia="en-GB"/>
        </w:rPr>
        <w:t>2</w:t>
      </w:r>
      <w:r w:rsidRPr="00205B31" w:rsidR="009D510C">
        <w:rPr>
          <w:rFonts w:ascii="Arial" w:hAnsi="Arial" w:cs="Arial"/>
          <w:sz w:val="22"/>
          <w:szCs w:val="22"/>
          <w:lang w:val="en-GB" w:eastAsia="en-GB"/>
        </w:rPr>
        <w:t>1</w:t>
      </w:r>
      <w:r w:rsidRPr="00205B31" w:rsidR="00BF50F7">
        <w:rPr>
          <w:rFonts w:ascii="Arial" w:hAnsi="Arial" w:cs="Arial"/>
          <w:sz w:val="22"/>
          <w:szCs w:val="22"/>
          <w:lang w:val="en-GB" w:eastAsia="en-GB"/>
        </w:rPr>
        <w:t>2</w:t>
      </w:r>
      <w:r w:rsidRPr="00205B31" w:rsidR="009D510C">
        <w:rPr>
          <w:rFonts w:ascii="Arial" w:hAnsi="Arial" w:cs="Arial"/>
          <w:sz w:val="22"/>
          <w:szCs w:val="22"/>
          <w:lang w:val="en-GB" w:eastAsia="en-GB"/>
        </w:rPr>
        <w:t>2</w:t>
      </w:r>
      <w:r w:rsidRPr="00205B31" w:rsidR="00BF50F7">
        <w:rPr>
          <w:rFonts w:ascii="Arial" w:hAnsi="Arial" w:cs="Arial"/>
          <w:sz w:val="22"/>
          <w:szCs w:val="22"/>
          <w:lang w:val="en-GB" w:eastAsia="en-GB"/>
        </w:rPr>
        <w:t>-</w:t>
      </w:r>
      <w:r w:rsidRPr="00205B31" w:rsidR="009D510C">
        <w:rPr>
          <w:rFonts w:ascii="Arial" w:hAnsi="Arial" w:cs="Arial"/>
          <w:sz w:val="22"/>
          <w:szCs w:val="22"/>
          <w:lang w:val="en-GB" w:eastAsia="en-GB"/>
        </w:rPr>
        <w:t>545</w:t>
      </w:r>
      <w:r w:rsidRPr="00205B31" w:rsidR="00BF50F7">
        <w:rPr>
          <w:rFonts w:ascii="Arial" w:hAnsi="Arial" w:cs="Arial"/>
          <w:sz w:val="22"/>
          <w:szCs w:val="22"/>
          <w:lang w:val="en-GB" w:eastAsia="en-GB"/>
        </w:rPr>
        <w:t>.assessment1</w:t>
      </w:r>
      <w:r w:rsidRPr="00205B31" w:rsidR="008F5FFE">
        <w:rPr>
          <w:rFonts w:ascii="Arial" w:hAnsi="Arial" w:cs="Arial"/>
          <w:sz w:val="22"/>
          <w:szCs w:val="22"/>
          <w:lang w:val="en-GB" w:eastAsia="en-GB"/>
        </w:rPr>
        <w:t>summat</w:t>
      </w:r>
      <w:r w:rsidRPr="00205B31" w:rsidR="00704C24">
        <w:rPr>
          <w:rFonts w:ascii="Arial" w:hAnsi="Arial" w:cs="Arial"/>
          <w:sz w:val="22"/>
          <w:szCs w:val="22"/>
          <w:lang w:val="en-GB" w:eastAsia="en-GB"/>
        </w:rPr>
        <w:t>i</w:t>
      </w:r>
      <w:r w:rsidRPr="00205B31" w:rsidR="008F5FFE">
        <w:rPr>
          <w:rFonts w:ascii="Arial" w:hAnsi="Arial" w:cs="Arial"/>
          <w:sz w:val="22"/>
          <w:szCs w:val="22"/>
          <w:lang w:val="en-GB" w:eastAsia="en-GB"/>
        </w:rPr>
        <w:t>ve</w:t>
      </w:r>
      <w:r w:rsidRPr="00205B31" w:rsidR="00537970">
        <w:rPr>
          <w:rFonts w:ascii="Arial" w:hAnsi="Arial" w:cs="Arial"/>
          <w:sz w:val="22"/>
          <w:szCs w:val="22"/>
          <w:lang w:val="en-GB"/>
        </w:rPr>
        <w:t xml:space="preserve">. </w:t>
      </w:r>
      <w:r w:rsidRPr="00205B31" w:rsidR="00697EA1">
        <w:rPr>
          <w:rFonts w:ascii="Arial" w:hAnsi="Arial" w:cs="Arial"/>
          <w:b/>
          <w:sz w:val="22"/>
          <w:szCs w:val="22"/>
          <w:lang w:val="en-GB"/>
        </w:rPr>
        <w:t>Please also include the filename as a footer to each page of the assessment</w:t>
      </w:r>
      <w:r w:rsidRPr="00205B31" w:rsidR="00445CE6">
        <w:rPr>
          <w:rFonts w:ascii="Arial" w:hAnsi="Arial" w:cs="Arial"/>
          <w:bCs/>
          <w:sz w:val="22"/>
          <w:szCs w:val="22"/>
          <w:lang w:val="en-GB"/>
        </w:rPr>
        <w:t xml:space="preserve"> (this </w:t>
      </w:r>
      <w:r w:rsidRPr="00205B31" w:rsidR="004A57DD">
        <w:rPr>
          <w:rFonts w:ascii="Arial" w:hAnsi="Arial" w:cs="Arial"/>
          <w:bCs/>
          <w:sz w:val="22"/>
          <w:szCs w:val="22"/>
          <w:lang w:val="en-GB"/>
        </w:rPr>
        <w:t>has been pre</w:t>
      </w:r>
      <w:r w:rsidRPr="00205B31" w:rsidR="00704C24">
        <w:rPr>
          <w:rFonts w:ascii="Arial" w:hAnsi="Arial" w:cs="Arial"/>
          <w:bCs/>
          <w:sz w:val="22"/>
          <w:szCs w:val="22"/>
          <w:lang w:val="en-GB"/>
        </w:rPr>
        <w:t>-</w:t>
      </w:r>
      <w:r w:rsidRPr="00205B31" w:rsidR="004A57DD">
        <w:rPr>
          <w:rFonts w:ascii="Arial" w:hAnsi="Arial" w:cs="Arial"/>
          <w:bCs/>
          <w:sz w:val="22"/>
          <w:szCs w:val="22"/>
          <w:lang w:val="en-GB"/>
        </w:rPr>
        <w:t>populated for you, merely replace the words “student</w:t>
      </w:r>
      <w:r w:rsidRPr="00205B31" w:rsidR="003D6AC4">
        <w:rPr>
          <w:rFonts w:ascii="Arial" w:hAnsi="Arial" w:cs="Arial"/>
          <w:bCs/>
          <w:sz w:val="22"/>
          <w:szCs w:val="22"/>
          <w:lang w:val="en-GB"/>
        </w:rPr>
        <w:t>ID</w:t>
      </w:r>
      <w:r w:rsidRPr="00205B31" w:rsidR="004A57DD">
        <w:rPr>
          <w:rFonts w:ascii="Arial" w:hAnsi="Arial" w:cs="Arial"/>
          <w:bCs/>
          <w:sz w:val="22"/>
          <w:szCs w:val="22"/>
          <w:lang w:val="en-GB"/>
        </w:rPr>
        <w:t xml:space="preserve">” with the student </w:t>
      </w:r>
      <w:r w:rsidRPr="00205B31" w:rsidR="003D6AC4">
        <w:rPr>
          <w:rFonts w:ascii="Arial" w:hAnsi="Arial" w:cs="Arial"/>
          <w:bCs/>
          <w:sz w:val="22"/>
          <w:szCs w:val="22"/>
          <w:lang w:val="en-GB"/>
        </w:rPr>
        <w:t>ID</w:t>
      </w:r>
      <w:r w:rsidRPr="00205B31" w:rsidR="004A57DD">
        <w:rPr>
          <w:rFonts w:ascii="Arial" w:hAnsi="Arial" w:cs="Arial"/>
          <w:bCs/>
          <w:sz w:val="22"/>
          <w:szCs w:val="22"/>
          <w:lang w:val="en-GB"/>
        </w:rPr>
        <w:t xml:space="preserve"> allocated to you)</w:t>
      </w:r>
      <w:r w:rsidRPr="00205B31" w:rsidR="00697EA1">
        <w:rPr>
          <w:rFonts w:ascii="Arial" w:hAnsi="Arial" w:cs="Arial"/>
          <w:sz w:val="22"/>
          <w:szCs w:val="22"/>
          <w:lang w:val="en-GB"/>
        </w:rPr>
        <w:t xml:space="preserve">. </w:t>
      </w:r>
      <w:r w:rsidRPr="00205B31" w:rsidR="00537970">
        <w:rPr>
          <w:rFonts w:ascii="Arial" w:hAnsi="Arial" w:cs="Arial"/>
          <w:sz w:val="22"/>
          <w:szCs w:val="22"/>
          <w:lang w:val="en-GB"/>
        </w:rPr>
        <w:t xml:space="preserve">Do not include your name or any other identifying words in your file name. </w:t>
      </w:r>
      <w:r w:rsidRPr="00205B31" w:rsidR="00537970">
        <w:rPr>
          <w:rFonts w:ascii="Arial" w:hAnsi="Arial" w:cs="Arial"/>
          <w:b/>
          <w:bCs/>
          <w:sz w:val="22"/>
          <w:szCs w:val="22"/>
          <w:lang w:val="en-GB"/>
        </w:rPr>
        <w:t xml:space="preserve">Assessments that do not comply with this instruction will be returned to </w:t>
      </w:r>
      <w:r w:rsidRPr="00205B31" w:rsidR="00641515">
        <w:rPr>
          <w:rFonts w:ascii="Arial" w:hAnsi="Arial" w:cs="Arial"/>
          <w:b/>
          <w:bCs/>
          <w:sz w:val="22"/>
          <w:szCs w:val="22"/>
          <w:lang w:val="en-GB"/>
        </w:rPr>
        <w:t>candidates</w:t>
      </w:r>
      <w:r w:rsidRPr="00205B31" w:rsidR="00537970">
        <w:rPr>
          <w:rFonts w:ascii="Arial" w:hAnsi="Arial" w:cs="Arial"/>
          <w:b/>
          <w:bCs/>
          <w:sz w:val="22"/>
          <w:szCs w:val="22"/>
          <w:lang w:val="en-GB"/>
        </w:rPr>
        <w:t xml:space="preserve"> unmarked</w:t>
      </w:r>
      <w:r w:rsidRPr="00205B31" w:rsidR="00537970">
        <w:rPr>
          <w:rFonts w:ascii="Arial" w:hAnsi="Arial" w:cs="Arial"/>
          <w:sz w:val="22"/>
          <w:szCs w:val="22"/>
          <w:lang w:val="en-GB"/>
        </w:rPr>
        <w:t>.</w:t>
      </w:r>
    </w:p>
    <w:p w:rsidRPr="00205B31" w:rsidR="00537970" w:rsidP="00B7193E" w:rsidRDefault="00537970" w14:paraId="47770E9D" w14:textId="77777777">
      <w:pPr>
        <w:ind w:left="720" w:hanging="720"/>
        <w:jc w:val="both"/>
        <w:rPr>
          <w:rFonts w:ascii="Arial" w:hAnsi="Arial" w:cs="Arial"/>
          <w:sz w:val="22"/>
          <w:szCs w:val="22"/>
          <w:lang w:val="en-GB"/>
        </w:rPr>
      </w:pPr>
    </w:p>
    <w:p w:rsidRPr="00205B31" w:rsidR="00537970" w:rsidP="00B7193E" w:rsidRDefault="00E26E19" w14:paraId="3D78674A" w14:textId="10AFED9B">
      <w:pPr>
        <w:ind w:left="720" w:hanging="720"/>
        <w:jc w:val="both"/>
        <w:rPr>
          <w:rFonts w:ascii="Arial" w:hAnsi="Arial" w:cs="Arial"/>
          <w:sz w:val="22"/>
          <w:szCs w:val="22"/>
          <w:lang w:val="en-GB"/>
        </w:rPr>
      </w:pPr>
      <w:r w:rsidRPr="00205B31">
        <w:rPr>
          <w:rFonts w:ascii="Arial" w:hAnsi="Arial" w:cs="Arial"/>
          <w:bCs/>
          <w:sz w:val="22"/>
          <w:szCs w:val="22"/>
          <w:lang w:val="en-GB"/>
        </w:rPr>
        <w:t>5</w:t>
      </w:r>
      <w:r w:rsidRPr="00205B31" w:rsidR="00537970">
        <w:rPr>
          <w:rFonts w:ascii="Arial" w:hAnsi="Arial" w:cs="Arial"/>
          <w:bCs/>
          <w:sz w:val="22"/>
          <w:szCs w:val="22"/>
          <w:lang w:val="en-GB"/>
        </w:rPr>
        <w:t>.</w:t>
      </w:r>
      <w:r w:rsidRPr="00205B31" w:rsidR="00537970">
        <w:rPr>
          <w:rFonts w:ascii="Arial" w:hAnsi="Arial" w:cs="Arial"/>
          <w:sz w:val="22"/>
          <w:szCs w:val="22"/>
          <w:lang w:val="en-GB"/>
        </w:rPr>
        <w:tab/>
      </w:r>
      <w:r w:rsidRPr="00205B31" w:rsidR="008C66E0">
        <w:rPr>
          <w:rFonts w:ascii="Arial" w:hAnsi="Arial" w:cs="Arial"/>
          <w:sz w:val="22"/>
          <w:szCs w:val="22"/>
          <w:lang w:val="en-GB"/>
        </w:rPr>
        <w:t xml:space="preserve">Before you will be allowed to </w:t>
      </w:r>
      <w:r w:rsidRPr="00205B31" w:rsidR="002B1C45">
        <w:rPr>
          <w:rFonts w:ascii="Arial" w:hAnsi="Arial" w:cs="Arial"/>
          <w:sz w:val="22"/>
          <w:szCs w:val="22"/>
          <w:lang w:val="en-GB"/>
        </w:rPr>
        <w:t xml:space="preserve">upload / </w:t>
      </w:r>
      <w:r w:rsidRPr="00205B31" w:rsidR="008C66E0">
        <w:rPr>
          <w:rFonts w:ascii="Arial" w:hAnsi="Arial" w:cs="Arial"/>
          <w:sz w:val="22"/>
          <w:szCs w:val="22"/>
          <w:lang w:val="en-GB"/>
        </w:rPr>
        <w:t xml:space="preserve">submit your assessment via the </w:t>
      </w:r>
      <w:r w:rsidRPr="00205B31" w:rsidR="0077498C">
        <w:rPr>
          <w:rFonts w:ascii="Arial" w:hAnsi="Arial" w:cs="Arial"/>
          <w:sz w:val="22"/>
          <w:szCs w:val="22"/>
          <w:lang w:val="en-GB"/>
        </w:rPr>
        <w:t>portal</w:t>
      </w:r>
      <w:r w:rsidRPr="00205B31" w:rsidR="008C66E0">
        <w:rPr>
          <w:rFonts w:ascii="Arial" w:hAnsi="Arial" w:cs="Arial"/>
          <w:sz w:val="22"/>
          <w:szCs w:val="22"/>
          <w:lang w:val="en-GB"/>
        </w:rPr>
        <w:t xml:space="preserve"> on the Foundation Certificate web pages, y</w:t>
      </w:r>
      <w:r w:rsidRPr="00205B31" w:rsidR="00537970">
        <w:rPr>
          <w:rFonts w:ascii="Arial" w:hAnsi="Arial" w:cs="Arial"/>
          <w:sz w:val="22"/>
          <w:szCs w:val="22"/>
          <w:lang w:val="en-GB"/>
        </w:rPr>
        <w:t xml:space="preserve">ou </w:t>
      </w:r>
      <w:r w:rsidRPr="00205B31" w:rsidR="008C66E0">
        <w:rPr>
          <w:rFonts w:ascii="Arial" w:hAnsi="Arial" w:cs="Arial"/>
          <w:sz w:val="22"/>
          <w:szCs w:val="22"/>
          <w:lang w:val="en-GB"/>
        </w:rPr>
        <w:t xml:space="preserve">will be required to confirm / certify </w:t>
      </w:r>
      <w:r w:rsidRPr="00205B31" w:rsidR="00537970">
        <w:rPr>
          <w:rFonts w:ascii="Arial" w:hAnsi="Arial" w:cs="Arial"/>
          <w:sz w:val="22"/>
          <w:szCs w:val="22"/>
          <w:lang w:val="en-GB"/>
        </w:rPr>
        <w:t>that you are the person who completed the assessment and that the work submitted is your own</w:t>
      </w:r>
      <w:r w:rsidRPr="00205B31" w:rsidR="008C66E0">
        <w:rPr>
          <w:rFonts w:ascii="Arial" w:hAnsi="Arial" w:cs="Arial"/>
          <w:sz w:val="22"/>
          <w:szCs w:val="22"/>
          <w:lang w:val="en-GB"/>
        </w:rPr>
        <w:t>, original work</w:t>
      </w:r>
      <w:r w:rsidRPr="00205B31" w:rsidR="00537970">
        <w:rPr>
          <w:rFonts w:ascii="Arial" w:hAnsi="Arial" w:cs="Arial"/>
          <w:sz w:val="22"/>
          <w:szCs w:val="22"/>
          <w:lang w:val="en-GB"/>
        </w:rPr>
        <w:t>.</w:t>
      </w:r>
      <w:r w:rsidRPr="00205B31" w:rsidR="00F3323E">
        <w:rPr>
          <w:rFonts w:ascii="Arial" w:hAnsi="Arial" w:cs="Arial"/>
          <w:sz w:val="22"/>
          <w:szCs w:val="22"/>
          <w:lang w:val="en-GB"/>
        </w:rPr>
        <w:t xml:space="preserve"> Please see </w:t>
      </w:r>
      <w:r w:rsidRPr="00205B31" w:rsidR="003979A3">
        <w:rPr>
          <w:rFonts w:ascii="Arial" w:hAnsi="Arial" w:cs="Arial"/>
          <w:sz w:val="22"/>
          <w:szCs w:val="22"/>
          <w:lang w:val="en-GB"/>
        </w:rPr>
        <w:t>the part</w:t>
      </w:r>
      <w:r w:rsidRPr="00205B31" w:rsidR="00F3323E">
        <w:rPr>
          <w:rFonts w:ascii="Arial" w:hAnsi="Arial" w:cs="Arial"/>
          <w:sz w:val="22"/>
          <w:szCs w:val="22"/>
          <w:lang w:val="en-GB"/>
        </w:rPr>
        <w:t xml:space="preserve"> of the Course Handbook</w:t>
      </w:r>
      <w:r w:rsidRPr="00205B31" w:rsidR="003979A3">
        <w:rPr>
          <w:rFonts w:ascii="Arial" w:hAnsi="Arial" w:cs="Arial"/>
          <w:sz w:val="22"/>
          <w:szCs w:val="22"/>
          <w:lang w:val="en-GB"/>
        </w:rPr>
        <w:t xml:space="preserve"> that</w:t>
      </w:r>
      <w:r w:rsidRPr="00205B31" w:rsidR="00F3323E">
        <w:rPr>
          <w:rFonts w:ascii="Arial" w:hAnsi="Arial" w:cs="Arial"/>
          <w:sz w:val="22"/>
          <w:szCs w:val="22"/>
          <w:lang w:val="en-GB"/>
        </w:rPr>
        <w:t xml:space="preserve"> deals with plagiarism and dishonesty in the submission of assessments.</w:t>
      </w:r>
      <w:r w:rsidRPr="00205B31" w:rsidR="00F15181">
        <w:rPr>
          <w:rFonts w:ascii="Arial" w:hAnsi="Arial" w:cs="Arial"/>
          <w:sz w:val="22"/>
          <w:szCs w:val="22"/>
          <w:lang w:val="en-GB"/>
        </w:rPr>
        <w:t xml:space="preserve"> </w:t>
      </w:r>
      <w:r w:rsidRPr="00205B31" w:rsidR="00F15181">
        <w:rPr>
          <w:rFonts w:ascii="Arial" w:hAnsi="Arial" w:cs="Arial"/>
          <w:b/>
          <w:bCs/>
          <w:sz w:val="22"/>
          <w:szCs w:val="22"/>
          <w:lang w:val="en-GB"/>
        </w:rPr>
        <w:t xml:space="preserve">Please note that copying and pasting from the Guidance Text into your answer is prohibited and constitutes </w:t>
      </w:r>
      <w:r w:rsidRPr="00205B31" w:rsidR="005059A4">
        <w:rPr>
          <w:rFonts w:ascii="Arial" w:hAnsi="Arial" w:cs="Arial"/>
          <w:b/>
          <w:bCs/>
          <w:sz w:val="22"/>
          <w:szCs w:val="22"/>
          <w:lang w:val="en-GB"/>
        </w:rPr>
        <w:t>plagiarism. You m</w:t>
      </w:r>
      <w:r w:rsidRPr="00205B31" w:rsidR="003979A3">
        <w:rPr>
          <w:rFonts w:ascii="Arial" w:hAnsi="Arial" w:cs="Arial"/>
          <w:b/>
          <w:bCs/>
          <w:sz w:val="22"/>
          <w:szCs w:val="22"/>
          <w:lang w:val="en-GB"/>
        </w:rPr>
        <w:t>u</w:t>
      </w:r>
      <w:r w:rsidRPr="00205B31" w:rsidR="005059A4">
        <w:rPr>
          <w:rFonts w:ascii="Arial" w:hAnsi="Arial" w:cs="Arial"/>
          <w:b/>
          <w:bCs/>
          <w:sz w:val="22"/>
          <w:szCs w:val="22"/>
          <w:lang w:val="en-GB"/>
        </w:rPr>
        <w:t>st write the answers to the questions in your own words</w:t>
      </w:r>
      <w:r w:rsidRPr="00205B31" w:rsidR="005059A4">
        <w:rPr>
          <w:rFonts w:ascii="Arial" w:hAnsi="Arial" w:cs="Arial"/>
          <w:sz w:val="22"/>
          <w:szCs w:val="22"/>
          <w:lang w:val="en-GB"/>
        </w:rPr>
        <w:t>.</w:t>
      </w:r>
    </w:p>
    <w:p w:rsidRPr="00205B31" w:rsidR="00F3323E" w:rsidP="00B7193E" w:rsidRDefault="00F3323E" w14:paraId="4F1F5BF2" w14:textId="77777777">
      <w:pPr>
        <w:ind w:left="720" w:hanging="720"/>
        <w:jc w:val="both"/>
        <w:rPr>
          <w:rFonts w:ascii="Arial" w:hAnsi="Arial" w:cs="Arial"/>
          <w:sz w:val="22"/>
          <w:szCs w:val="22"/>
          <w:lang w:val="en-GB"/>
        </w:rPr>
      </w:pPr>
    </w:p>
    <w:p w:rsidRPr="00205B31" w:rsidR="00F3323E" w:rsidP="00B7193E" w:rsidRDefault="00E26E19" w14:paraId="0117397F" w14:textId="5B86C851">
      <w:pPr>
        <w:ind w:left="720" w:hanging="720"/>
        <w:jc w:val="both"/>
        <w:rPr>
          <w:rFonts w:ascii="Arial" w:hAnsi="Arial" w:cs="Arial"/>
          <w:sz w:val="22"/>
          <w:szCs w:val="22"/>
          <w:lang w:val="en-GB"/>
        </w:rPr>
      </w:pPr>
      <w:r w:rsidRPr="00205B31">
        <w:rPr>
          <w:rFonts w:ascii="Arial" w:hAnsi="Arial" w:cs="Arial"/>
          <w:bCs/>
          <w:sz w:val="22"/>
          <w:szCs w:val="22"/>
          <w:lang w:val="en-GB"/>
        </w:rPr>
        <w:t>6</w:t>
      </w:r>
      <w:r w:rsidRPr="00205B31" w:rsidR="00F3323E">
        <w:rPr>
          <w:rFonts w:ascii="Arial" w:hAnsi="Arial" w:cs="Arial"/>
          <w:bCs/>
          <w:sz w:val="22"/>
          <w:szCs w:val="22"/>
          <w:lang w:val="en-GB"/>
        </w:rPr>
        <w:t>.</w:t>
      </w:r>
      <w:r w:rsidRPr="00205B31" w:rsidR="00F3323E">
        <w:rPr>
          <w:rFonts w:ascii="Arial" w:hAnsi="Arial" w:cs="Arial"/>
          <w:b/>
          <w:sz w:val="22"/>
          <w:szCs w:val="22"/>
          <w:lang w:val="en-GB"/>
        </w:rPr>
        <w:tab/>
      </w:r>
      <w:r w:rsidRPr="00205B31" w:rsidR="00F3323E">
        <w:rPr>
          <w:rFonts w:ascii="Arial" w:hAnsi="Arial" w:cs="Arial"/>
          <w:sz w:val="22"/>
          <w:szCs w:val="22"/>
          <w:lang w:val="en-GB"/>
        </w:rPr>
        <w:t>The final submission date for this assessment is</w:t>
      </w:r>
      <w:r w:rsidRPr="00205B31" w:rsidR="00FE2122">
        <w:rPr>
          <w:rFonts w:ascii="Arial" w:hAnsi="Arial" w:cs="Arial"/>
          <w:sz w:val="22"/>
          <w:szCs w:val="22"/>
          <w:lang w:val="en-GB"/>
        </w:rPr>
        <w:t xml:space="preserve"> </w:t>
      </w:r>
      <w:r w:rsidRPr="00205B31" w:rsidR="00DB482A">
        <w:rPr>
          <w:rFonts w:ascii="Arial" w:hAnsi="Arial" w:cs="Arial"/>
          <w:b/>
          <w:bCs/>
          <w:sz w:val="22"/>
          <w:szCs w:val="22"/>
          <w:lang w:val="en-GB"/>
        </w:rPr>
        <w:t xml:space="preserve">15 </w:t>
      </w:r>
      <w:r w:rsidRPr="00205B31" w:rsidR="00E9597C">
        <w:rPr>
          <w:rFonts w:ascii="Arial" w:hAnsi="Arial" w:cs="Arial"/>
          <w:b/>
          <w:bCs/>
          <w:sz w:val="22"/>
          <w:szCs w:val="22"/>
          <w:lang w:val="en-GB"/>
        </w:rPr>
        <w:t>November</w:t>
      </w:r>
      <w:r w:rsidRPr="00205B31" w:rsidR="00DB482A">
        <w:rPr>
          <w:rFonts w:ascii="Arial" w:hAnsi="Arial" w:cs="Arial"/>
          <w:b/>
          <w:bCs/>
          <w:sz w:val="22"/>
          <w:szCs w:val="22"/>
          <w:lang w:val="en-GB"/>
        </w:rPr>
        <w:t xml:space="preserve"> 20</w:t>
      </w:r>
      <w:r w:rsidRPr="00205B31" w:rsidR="003979A3">
        <w:rPr>
          <w:rFonts w:ascii="Arial" w:hAnsi="Arial" w:cs="Arial"/>
          <w:b/>
          <w:bCs/>
          <w:sz w:val="22"/>
          <w:szCs w:val="22"/>
          <w:lang w:val="en-GB"/>
        </w:rPr>
        <w:t>2</w:t>
      </w:r>
      <w:r w:rsidRPr="00205B31" w:rsidR="00FA2A46">
        <w:rPr>
          <w:rFonts w:ascii="Arial" w:hAnsi="Arial" w:cs="Arial"/>
          <w:b/>
          <w:bCs/>
          <w:sz w:val="22"/>
          <w:szCs w:val="22"/>
          <w:lang w:val="en-GB"/>
        </w:rPr>
        <w:t>1</w:t>
      </w:r>
      <w:r w:rsidRPr="00205B31" w:rsidR="00F3323E">
        <w:rPr>
          <w:rFonts w:ascii="Arial" w:hAnsi="Arial" w:cs="Arial"/>
          <w:sz w:val="22"/>
          <w:szCs w:val="22"/>
          <w:lang w:val="en-GB"/>
        </w:rPr>
        <w:t xml:space="preserve">. The </w:t>
      </w:r>
      <w:r w:rsidRPr="00205B31" w:rsidR="00881DE6">
        <w:rPr>
          <w:rFonts w:ascii="Arial" w:hAnsi="Arial" w:cs="Arial"/>
          <w:sz w:val="22"/>
          <w:szCs w:val="22"/>
          <w:lang w:val="en-GB"/>
        </w:rPr>
        <w:t>assessment submission</w:t>
      </w:r>
      <w:r w:rsidRPr="00205B31" w:rsidR="00F3323E">
        <w:rPr>
          <w:rFonts w:ascii="Arial" w:hAnsi="Arial" w:cs="Arial"/>
          <w:sz w:val="22"/>
          <w:szCs w:val="22"/>
          <w:lang w:val="en-GB"/>
        </w:rPr>
        <w:t xml:space="preserve"> portal will close at </w:t>
      </w:r>
      <w:r w:rsidRPr="00205B31" w:rsidR="00F3323E">
        <w:rPr>
          <w:rFonts w:ascii="Arial" w:hAnsi="Arial" w:cs="Arial"/>
          <w:b/>
          <w:sz w:val="22"/>
          <w:szCs w:val="22"/>
          <w:lang w:val="en-GB"/>
        </w:rPr>
        <w:t xml:space="preserve">23:00 (11 pm) </w:t>
      </w:r>
      <w:r w:rsidRPr="00205B31" w:rsidR="00BF40B9">
        <w:rPr>
          <w:rFonts w:ascii="Arial" w:hAnsi="Arial" w:cs="Arial"/>
          <w:b/>
          <w:sz w:val="22"/>
          <w:szCs w:val="22"/>
          <w:lang w:val="en-GB"/>
        </w:rPr>
        <w:t>GMT</w:t>
      </w:r>
      <w:r w:rsidRPr="00205B31" w:rsidR="00F3323E">
        <w:rPr>
          <w:rFonts w:ascii="Arial" w:hAnsi="Arial" w:cs="Arial"/>
          <w:b/>
          <w:sz w:val="22"/>
          <w:szCs w:val="22"/>
          <w:lang w:val="en-GB"/>
        </w:rPr>
        <w:t xml:space="preserve"> on </w:t>
      </w:r>
      <w:r w:rsidRPr="00205B31" w:rsidR="00DB482A">
        <w:rPr>
          <w:rFonts w:ascii="Arial" w:hAnsi="Arial" w:cs="Arial"/>
          <w:b/>
          <w:sz w:val="22"/>
          <w:szCs w:val="22"/>
          <w:lang w:val="en-GB"/>
        </w:rPr>
        <w:t xml:space="preserve">15 </w:t>
      </w:r>
      <w:r w:rsidRPr="00205B31" w:rsidR="00E9597C">
        <w:rPr>
          <w:rFonts w:ascii="Arial" w:hAnsi="Arial" w:cs="Arial"/>
          <w:b/>
          <w:sz w:val="22"/>
          <w:szCs w:val="22"/>
          <w:lang w:val="en-GB"/>
        </w:rPr>
        <w:t>November</w:t>
      </w:r>
      <w:r w:rsidRPr="00205B31" w:rsidR="00DB482A">
        <w:rPr>
          <w:rFonts w:ascii="Arial" w:hAnsi="Arial" w:cs="Arial"/>
          <w:b/>
          <w:sz w:val="22"/>
          <w:szCs w:val="22"/>
          <w:lang w:val="en-GB"/>
        </w:rPr>
        <w:t xml:space="preserve"> 20</w:t>
      </w:r>
      <w:r w:rsidRPr="00205B31" w:rsidR="003979A3">
        <w:rPr>
          <w:rFonts w:ascii="Arial" w:hAnsi="Arial" w:cs="Arial"/>
          <w:b/>
          <w:sz w:val="22"/>
          <w:szCs w:val="22"/>
          <w:lang w:val="en-GB"/>
        </w:rPr>
        <w:t>2</w:t>
      </w:r>
      <w:r w:rsidRPr="00205B31" w:rsidR="00FA2A46">
        <w:rPr>
          <w:rFonts w:ascii="Arial" w:hAnsi="Arial" w:cs="Arial"/>
          <w:b/>
          <w:sz w:val="22"/>
          <w:szCs w:val="22"/>
          <w:lang w:val="en-GB"/>
        </w:rPr>
        <w:t>1</w:t>
      </w:r>
      <w:r w:rsidRPr="00205B31" w:rsidR="00F3323E">
        <w:rPr>
          <w:rFonts w:ascii="Arial" w:hAnsi="Arial" w:cs="Arial"/>
          <w:sz w:val="22"/>
          <w:szCs w:val="22"/>
          <w:lang w:val="en-GB"/>
        </w:rPr>
        <w:t>. No submissions can be made after the portal has closed and no further uploading of documents will be allowed, no matter the circumstances.</w:t>
      </w:r>
    </w:p>
    <w:p w:rsidRPr="00205B31" w:rsidR="0018267A" w:rsidP="00B7193E" w:rsidRDefault="0018267A" w14:paraId="74599937" w14:textId="2C57D73B">
      <w:pPr>
        <w:ind w:left="720" w:hanging="720"/>
        <w:jc w:val="both"/>
        <w:rPr>
          <w:rFonts w:ascii="Arial" w:hAnsi="Arial" w:cs="Arial"/>
          <w:sz w:val="22"/>
          <w:szCs w:val="22"/>
          <w:lang w:val="en-GB"/>
        </w:rPr>
      </w:pPr>
    </w:p>
    <w:p w:rsidRPr="00205B31" w:rsidR="0018267A" w:rsidP="00B7193E" w:rsidRDefault="00E26E19" w14:paraId="40E8BCD6" w14:textId="1EFF41C4">
      <w:pPr>
        <w:ind w:left="720" w:hanging="720"/>
        <w:jc w:val="both"/>
        <w:rPr>
          <w:rFonts w:ascii="Arial" w:hAnsi="Arial" w:cs="Arial"/>
          <w:sz w:val="22"/>
          <w:szCs w:val="22"/>
          <w:lang w:val="en-GB"/>
        </w:rPr>
      </w:pPr>
      <w:r w:rsidRPr="00205B31">
        <w:rPr>
          <w:rFonts w:ascii="Arial" w:hAnsi="Arial" w:cs="Arial"/>
          <w:sz w:val="22"/>
          <w:szCs w:val="22"/>
          <w:lang w:val="en-GB"/>
        </w:rPr>
        <w:t>7</w:t>
      </w:r>
      <w:r w:rsidRPr="00205B31" w:rsidR="0018267A">
        <w:rPr>
          <w:rFonts w:ascii="Arial" w:hAnsi="Arial" w:cs="Arial"/>
          <w:sz w:val="22"/>
          <w:szCs w:val="22"/>
          <w:lang w:val="en-GB"/>
        </w:rPr>
        <w:t>.</w:t>
      </w:r>
      <w:r w:rsidRPr="00205B31" w:rsidR="0018267A">
        <w:rPr>
          <w:rFonts w:ascii="Arial" w:hAnsi="Arial" w:cs="Arial"/>
          <w:sz w:val="22"/>
          <w:szCs w:val="22"/>
          <w:lang w:val="en-GB"/>
        </w:rPr>
        <w:tab/>
      </w:r>
      <w:r w:rsidRPr="00205B31" w:rsidR="0018267A">
        <w:rPr>
          <w:rFonts w:ascii="Arial" w:hAnsi="Arial" w:cs="Arial"/>
          <w:sz w:val="22"/>
          <w:szCs w:val="22"/>
          <w:lang w:val="en-GB"/>
        </w:rPr>
        <w:t xml:space="preserve">Prior to being populated with your answers, this assessment consists of </w:t>
      </w:r>
      <w:r w:rsidRPr="00205B31" w:rsidR="009C1527">
        <w:rPr>
          <w:rFonts w:ascii="Arial" w:hAnsi="Arial" w:cs="Arial"/>
          <w:b/>
          <w:bCs/>
          <w:sz w:val="22"/>
          <w:szCs w:val="22"/>
          <w:lang w:val="en-GB"/>
        </w:rPr>
        <w:t>9</w:t>
      </w:r>
      <w:r w:rsidRPr="00205B31" w:rsidR="00C606C3">
        <w:rPr>
          <w:rFonts w:ascii="Arial" w:hAnsi="Arial" w:cs="Arial"/>
          <w:b/>
          <w:bCs/>
          <w:sz w:val="22"/>
          <w:szCs w:val="22"/>
          <w:lang w:val="en-GB"/>
        </w:rPr>
        <w:t xml:space="preserve"> </w:t>
      </w:r>
      <w:r w:rsidRPr="00205B31" w:rsidR="0018267A">
        <w:rPr>
          <w:rFonts w:ascii="Arial" w:hAnsi="Arial" w:cs="Arial"/>
          <w:b/>
          <w:bCs/>
          <w:sz w:val="22"/>
          <w:szCs w:val="22"/>
          <w:lang w:val="en-GB"/>
        </w:rPr>
        <w:t>pages</w:t>
      </w:r>
      <w:r w:rsidRPr="00205B31" w:rsidR="0018267A">
        <w:rPr>
          <w:rFonts w:ascii="Arial" w:hAnsi="Arial" w:cs="Arial"/>
          <w:sz w:val="22"/>
          <w:szCs w:val="22"/>
          <w:lang w:val="en-GB"/>
        </w:rPr>
        <w:t>.</w:t>
      </w:r>
    </w:p>
    <w:p w:rsidRPr="00205B31" w:rsidR="00F3323E" w:rsidP="00B7193E" w:rsidRDefault="00F3323E" w14:paraId="730563CC" w14:textId="77777777">
      <w:pPr>
        <w:ind w:left="720" w:hanging="720"/>
        <w:jc w:val="both"/>
        <w:rPr>
          <w:rFonts w:ascii="Arial" w:hAnsi="Arial" w:cs="Arial"/>
          <w:sz w:val="22"/>
          <w:szCs w:val="22"/>
          <w:lang w:val="en-GB"/>
        </w:rPr>
      </w:pPr>
    </w:p>
    <w:p w:rsidRPr="00205B31" w:rsidR="00F3323E" w:rsidP="00B7193E" w:rsidRDefault="00F3323E" w14:paraId="16583175" w14:textId="5187F973">
      <w:pPr>
        <w:ind w:left="720" w:hanging="720"/>
        <w:jc w:val="both"/>
        <w:rPr>
          <w:rFonts w:ascii="Arial" w:hAnsi="Arial" w:cs="Arial"/>
          <w:sz w:val="22"/>
          <w:szCs w:val="22"/>
          <w:lang w:val="en-GB"/>
        </w:rPr>
      </w:pPr>
    </w:p>
    <w:p w:rsidRPr="00205B31" w:rsidR="00A31881" w:rsidP="00B7193E" w:rsidRDefault="00A31881" w14:paraId="68799C99" w14:textId="1C798209">
      <w:pPr>
        <w:ind w:left="720" w:hanging="720"/>
        <w:jc w:val="both"/>
        <w:rPr>
          <w:rFonts w:ascii="Arial" w:hAnsi="Arial" w:cs="Arial"/>
          <w:sz w:val="22"/>
          <w:szCs w:val="22"/>
          <w:lang w:val="en-GB"/>
        </w:rPr>
      </w:pPr>
    </w:p>
    <w:p w:rsidRPr="00205B31" w:rsidR="00A31881" w:rsidP="00B7193E" w:rsidRDefault="00A31881" w14:paraId="7C7E4EAF" w14:textId="149D915A">
      <w:pPr>
        <w:ind w:left="720" w:hanging="720"/>
        <w:jc w:val="both"/>
        <w:rPr>
          <w:rFonts w:ascii="Arial" w:hAnsi="Arial" w:cs="Arial"/>
          <w:sz w:val="22"/>
          <w:szCs w:val="22"/>
          <w:lang w:val="en-GB"/>
        </w:rPr>
      </w:pPr>
    </w:p>
    <w:p w:rsidRPr="00205B31" w:rsidR="00A31881" w:rsidP="00B7193E" w:rsidRDefault="00A31881" w14:paraId="7BDDF43F" w14:textId="0CF00AD4">
      <w:pPr>
        <w:ind w:left="720" w:hanging="720"/>
        <w:jc w:val="both"/>
        <w:rPr>
          <w:rFonts w:ascii="Arial" w:hAnsi="Arial" w:cs="Arial"/>
          <w:sz w:val="22"/>
          <w:szCs w:val="22"/>
          <w:lang w:val="en-GB"/>
        </w:rPr>
      </w:pPr>
    </w:p>
    <w:p w:rsidRPr="00205B31" w:rsidR="00A31881" w:rsidP="00B7193E" w:rsidRDefault="00A31881" w14:paraId="6FDC16E4" w14:textId="77777777">
      <w:pPr>
        <w:ind w:left="720" w:hanging="720"/>
        <w:jc w:val="both"/>
        <w:rPr>
          <w:rFonts w:ascii="Arial" w:hAnsi="Arial" w:cs="Arial"/>
          <w:sz w:val="22"/>
          <w:szCs w:val="22"/>
          <w:lang w:val="en-GB"/>
        </w:rPr>
      </w:pPr>
    </w:p>
    <w:p w:rsidRPr="00205B31" w:rsidR="003D100A" w:rsidRDefault="003D100A" w14:paraId="6006FE8C" w14:textId="77777777">
      <w:pPr>
        <w:rPr>
          <w:rFonts w:ascii="Arial" w:hAnsi="Arial" w:cs="Arial"/>
          <w:b/>
          <w:sz w:val="22"/>
          <w:szCs w:val="22"/>
          <w:u w:val="single"/>
          <w:lang w:val="en-GB"/>
        </w:rPr>
      </w:pPr>
      <w:r w:rsidRPr="00205B31">
        <w:rPr>
          <w:rFonts w:ascii="Arial" w:hAnsi="Arial" w:cs="Arial"/>
          <w:b/>
          <w:sz w:val="22"/>
          <w:szCs w:val="22"/>
          <w:u w:val="single"/>
          <w:lang w:val="en-GB"/>
        </w:rPr>
        <w:br w:type="page"/>
      </w:r>
    </w:p>
    <w:p w:rsidRPr="00205B31" w:rsidR="00F3323E" w:rsidP="00B7193E" w:rsidRDefault="00F3323E" w14:paraId="2966AAD4" w14:textId="00052271">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rsidRPr="00205B31" w:rsidR="00F3323E" w:rsidP="00B7193E" w:rsidRDefault="00F3323E" w14:paraId="62B460C7" w14:textId="77777777">
      <w:pPr>
        <w:spacing w:line="276" w:lineRule="auto"/>
        <w:ind w:left="720" w:hanging="720"/>
        <w:jc w:val="both"/>
        <w:rPr>
          <w:rFonts w:ascii="Arial" w:hAnsi="Arial" w:cs="Arial"/>
          <w:sz w:val="22"/>
          <w:szCs w:val="22"/>
          <w:lang w:val="en-GB"/>
        </w:rPr>
      </w:pPr>
    </w:p>
    <w:p w:rsidRPr="00205B31" w:rsidR="005D43E0" w:rsidP="00B7193E" w:rsidRDefault="0029433F" w14:paraId="7855E8A8" w14:textId="3F6B427A">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Pr="00205B31" w:rsidR="005D43E0">
        <w:rPr>
          <w:rFonts w:ascii="Arial" w:hAnsi="Arial" w:cs="Arial"/>
          <w:b/>
          <w:sz w:val="22"/>
          <w:szCs w:val="22"/>
          <w:lang w:val="en-GB"/>
        </w:rPr>
        <w:t xml:space="preserve"> (multiple-choice questions) [10 marks</w:t>
      </w:r>
      <w:r w:rsidRPr="00205B31" w:rsidR="00D17FDC">
        <w:rPr>
          <w:rFonts w:ascii="Arial" w:hAnsi="Arial" w:cs="Arial"/>
          <w:b/>
          <w:sz w:val="22"/>
          <w:szCs w:val="22"/>
          <w:lang w:val="en-GB"/>
        </w:rPr>
        <w:t xml:space="preserve"> in total</w:t>
      </w:r>
      <w:r w:rsidRPr="00205B31" w:rsidR="005D43E0">
        <w:rPr>
          <w:rFonts w:ascii="Arial" w:hAnsi="Arial" w:cs="Arial"/>
          <w:b/>
          <w:sz w:val="22"/>
          <w:szCs w:val="22"/>
          <w:lang w:val="en-GB"/>
        </w:rPr>
        <w:t>]</w:t>
      </w:r>
    </w:p>
    <w:p w:rsidRPr="00205B31" w:rsidR="00F3323E" w:rsidP="00B7193E" w:rsidRDefault="00F3323E" w14:paraId="3CF1A35C" w14:textId="77777777">
      <w:pPr>
        <w:spacing w:line="276" w:lineRule="auto"/>
        <w:ind w:left="720" w:hanging="720"/>
        <w:jc w:val="both"/>
        <w:rPr>
          <w:rFonts w:ascii="Arial" w:hAnsi="Arial" w:cs="Arial"/>
          <w:sz w:val="22"/>
          <w:szCs w:val="22"/>
          <w:lang w:val="en-GB"/>
        </w:rPr>
      </w:pPr>
    </w:p>
    <w:p w:rsidRPr="00205B31" w:rsidR="005D43E0" w:rsidP="00B7193E" w:rsidRDefault="005D43E0" w14:paraId="52F192E0" w14:textId="4F9975C1">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Pr="00205B31" w:rsidR="00341AA6">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Pr="00205B31" w:rsidR="00397D3A">
        <w:rPr>
          <w:rFonts w:ascii="Arial" w:hAnsi="Arial" w:cs="Arial"/>
          <w:sz w:val="22"/>
          <w:szCs w:val="22"/>
          <w:highlight w:val="yellow"/>
          <w:lang w:val="en-GB"/>
        </w:rPr>
        <w:t xml:space="preserve"> by highlighting the </w:t>
      </w:r>
      <w:r w:rsidRPr="00205B31" w:rsidR="0036565C">
        <w:rPr>
          <w:rFonts w:ascii="Arial" w:hAnsi="Arial" w:cs="Arial"/>
          <w:sz w:val="22"/>
          <w:szCs w:val="22"/>
          <w:highlight w:val="yellow"/>
          <w:lang w:val="en-GB"/>
        </w:rPr>
        <w:t xml:space="preserve">relevant paragraph </w:t>
      </w:r>
      <w:r w:rsidRPr="00205B31" w:rsidR="0036565C">
        <w:rPr>
          <w:rFonts w:ascii="Arial" w:hAnsi="Arial" w:cs="Arial"/>
          <w:b/>
          <w:bCs/>
          <w:sz w:val="22"/>
          <w:szCs w:val="22"/>
          <w:highlight w:val="yellow"/>
          <w:lang w:val="en-GB"/>
        </w:rPr>
        <w:t>in yellow</w:t>
      </w:r>
      <w:r w:rsidRPr="00205B31">
        <w:rPr>
          <w:rFonts w:ascii="Arial" w:hAnsi="Arial" w:cs="Arial"/>
          <w:sz w:val="22"/>
          <w:szCs w:val="22"/>
          <w:lang w:val="en-GB"/>
        </w:rPr>
        <w:t>.</w:t>
      </w:r>
      <w:r w:rsidRPr="00205B31" w:rsidR="0036565C">
        <w:rPr>
          <w:rFonts w:ascii="Arial" w:hAnsi="Arial" w:cs="Arial"/>
          <w:sz w:val="22"/>
          <w:szCs w:val="22"/>
          <w:lang w:val="en-GB"/>
        </w:rPr>
        <w:t xml:space="preserve"> Select only </w:t>
      </w:r>
      <w:r w:rsidRPr="00205B31" w:rsidR="0036565C">
        <w:rPr>
          <w:rFonts w:ascii="Arial" w:hAnsi="Arial" w:cs="Arial"/>
          <w:b/>
          <w:bCs/>
          <w:sz w:val="22"/>
          <w:szCs w:val="22"/>
          <w:lang w:val="en-GB"/>
        </w:rPr>
        <w:t>ONE</w:t>
      </w:r>
      <w:r w:rsidRPr="00205B31" w:rsidR="0036565C">
        <w:rPr>
          <w:rFonts w:ascii="Arial" w:hAnsi="Arial" w:cs="Arial"/>
          <w:sz w:val="22"/>
          <w:szCs w:val="22"/>
          <w:lang w:val="en-GB"/>
        </w:rPr>
        <w:t xml:space="preserve"> answer</w:t>
      </w:r>
      <w:r w:rsidRPr="00205B31" w:rsidR="00A60074">
        <w:rPr>
          <w:rFonts w:ascii="Arial" w:hAnsi="Arial" w:cs="Arial"/>
          <w:sz w:val="22"/>
          <w:szCs w:val="22"/>
          <w:lang w:val="en-GB"/>
        </w:rPr>
        <w:t>. Candidates who select more than one answer will receive no mark for that specific question.</w:t>
      </w:r>
    </w:p>
    <w:p w:rsidRPr="00205B31" w:rsidR="00AF228E" w:rsidP="00B7193E" w:rsidRDefault="00AF228E" w14:paraId="27033D10" w14:textId="424A462F">
      <w:pPr>
        <w:autoSpaceDE w:val="0"/>
        <w:autoSpaceDN w:val="0"/>
        <w:adjustRightInd w:val="0"/>
        <w:spacing w:line="276" w:lineRule="auto"/>
        <w:jc w:val="both"/>
        <w:rPr>
          <w:rFonts w:ascii="Arial" w:hAnsi="Arial" w:cs="Arial"/>
          <w:sz w:val="22"/>
          <w:szCs w:val="22"/>
          <w:lang w:val="en-GB"/>
        </w:rPr>
      </w:pPr>
    </w:p>
    <w:p w:rsidRPr="00205B31" w:rsidR="00E9597C" w:rsidP="00B7193E" w:rsidRDefault="00E9597C" w14:paraId="43F355DA" w14:textId="77777777">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rsidRPr="00205B31" w:rsidR="00E9597C" w:rsidP="00B7193E" w:rsidRDefault="00E9597C" w14:paraId="280FEE57" w14:textId="77777777">
      <w:pPr>
        <w:jc w:val="both"/>
        <w:rPr>
          <w:rFonts w:ascii="Arial" w:hAnsi="Arial" w:cs="Arial"/>
          <w:sz w:val="22"/>
          <w:szCs w:val="22"/>
          <w:lang w:val="en-GB"/>
        </w:rPr>
      </w:pPr>
    </w:p>
    <w:p w:rsidRPr="00205B31" w:rsidR="00C60631" w:rsidP="00F85DB2" w:rsidRDefault="00C60631" w14:paraId="51B5C0A3" w14:textId="6F6E09BC">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Pr="00205B31" w:rsidR="009E44C0">
        <w:rPr>
          <w:rFonts w:ascii="Arial" w:hAnsi="Arial" w:cs="Arial"/>
          <w:sz w:val="22"/>
          <w:szCs w:val="22"/>
          <w:lang w:val="en-GB"/>
        </w:rPr>
        <w:t xml:space="preserve">Select the </w:t>
      </w:r>
      <w:r w:rsidRPr="00205B31" w:rsidR="009E44C0">
        <w:rPr>
          <w:rFonts w:ascii="Arial" w:hAnsi="Arial" w:cs="Arial"/>
          <w:b/>
          <w:bCs/>
          <w:sz w:val="22"/>
          <w:szCs w:val="22"/>
          <w:u w:val="single"/>
          <w:lang w:val="en-GB"/>
        </w:rPr>
        <w:t>most accurate response</w:t>
      </w:r>
      <w:r w:rsidRPr="00205B31" w:rsidR="009E44C0">
        <w:rPr>
          <w:rFonts w:ascii="Arial" w:hAnsi="Arial" w:cs="Arial"/>
          <w:sz w:val="22"/>
          <w:szCs w:val="22"/>
          <w:lang w:val="en-GB"/>
        </w:rPr>
        <w:t xml:space="preserve"> to this statement from (a) – (d) below.</w:t>
      </w:r>
    </w:p>
    <w:p w:rsidRPr="00205B31" w:rsidR="00C60631" w:rsidP="00F85DB2" w:rsidRDefault="00C60631" w14:paraId="1709B488" w14:textId="0D302F13">
      <w:pPr>
        <w:jc w:val="both"/>
        <w:rPr>
          <w:rFonts w:ascii="Arial" w:hAnsi="Arial" w:cs="Arial"/>
          <w:sz w:val="22"/>
          <w:szCs w:val="22"/>
          <w:lang w:val="en-GB"/>
        </w:rPr>
      </w:pPr>
    </w:p>
    <w:p w:rsidRPr="00205B31" w:rsidR="00C60631" w:rsidP="009D510C" w:rsidRDefault="00C60631" w14:paraId="11869D21" w14:textId="3405C08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rsidRPr="00205B31" w:rsidR="00C60631" w:rsidP="009D510C" w:rsidRDefault="00C60631" w14:paraId="5BB87BD2" w14:textId="77777777">
      <w:pPr>
        <w:pStyle w:val="ListParagraph"/>
        <w:ind w:left="426"/>
        <w:jc w:val="both"/>
        <w:rPr>
          <w:rFonts w:ascii="Arial" w:hAnsi="Arial" w:cs="Arial"/>
          <w:sz w:val="22"/>
          <w:szCs w:val="22"/>
          <w:lang w:val="en-GB"/>
        </w:rPr>
      </w:pPr>
    </w:p>
    <w:p w:rsidRPr="00205B31" w:rsidR="00C60631" w:rsidP="009D510C" w:rsidRDefault="00C60631" w14:paraId="3A5379A8" w14:textId="640837BF">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rsidRPr="00205B31" w:rsidR="00C60631" w:rsidP="009D510C" w:rsidRDefault="00C60631" w14:paraId="56901618" w14:textId="77777777">
      <w:pPr>
        <w:pStyle w:val="ListParagraph"/>
        <w:ind w:left="426"/>
        <w:rPr>
          <w:rFonts w:ascii="Arial" w:hAnsi="Arial" w:cs="Arial"/>
          <w:sz w:val="22"/>
          <w:szCs w:val="22"/>
          <w:lang w:val="en-GB"/>
        </w:rPr>
      </w:pPr>
    </w:p>
    <w:p w:rsidRPr="00205B31" w:rsidR="00C60631" w:rsidP="009D510C" w:rsidRDefault="00C60631" w14:paraId="0C8A950B" w14:textId="2BF27228" w14:noSpellErr="1">
      <w:pPr>
        <w:pStyle w:val="ListParagraph"/>
        <w:numPr>
          <w:ilvl w:val="0"/>
          <w:numId w:val="12"/>
        </w:numPr>
        <w:ind w:left="426"/>
        <w:jc w:val="both"/>
        <w:rPr>
          <w:rFonts w:ascii="Arial" w:hAnsi="Arial" w:cs="Arial"/>
          <w:sz w:val="22"/>
          <w:szCs w:val="22"/>
          <w:lang w:val="en-GB"/>
        </w:rPr>
      </w:pPr>
      <w:r w:rsidRPr="410F0EA9" w:rsidR="410F0EA9">
        <w:rPr>
          <w:rFonts w:ascii="Arial" w:hAnsi="Arial" w:cs="Arial"/>
          <w:sz w:val="22"/>
          <w:szCs w:val="22"/>
          <w:highlight w:val="yellow"/>
          <w:lang w:val="en-GB"/>
        </w:rPr>
        <w:t xml:space="preserve">This statement is incorrect since </w:t>
      </w:r>
      <w:r w:rsidRPr="410F0EA9" w:rsidR="410F0EA9">
        <w:rPr>
          <w:rFonts w:ascii="Arial" w:hAnsi="Arial" w:cs="Arial"/>
          <w:sz w:val="22"/>
          <w:szCs w:val="22"/>
          <w:highlight w:val="yellow"/>
          <w:lang w:val="en-GB"/>
        </w:rPr>
        <w:t>a statutory discharge of debt was only introduced in 1705 in England.</w:t>
      </w:r>
    </w:p>
    <w:p w:rsidRPr="00205B31" w:rsidR="00E7793C" w:rsidP="009D510C" w:rsidRDefault="00E7793C" w14:paraId="2C44B6EA" w14:textId="77777777">
      <w:pPr>
        <w:pStyle w:val="ListParagraph"/>
        <w:ind w:left="426"/>
        <w:rPr>
          <w:rFonts w:ascii="Arial" w:hAnsi="Arial" w:cs="Arial"/>
          <w:sz w:val="22"/>
          <w:szCs w:val="22"/>
          <w:lang w:val="en-GB"/>
        </w:rPr>
      </w:pPr>
    </w:p>
    <w:p w:rsidRPr="00205B31" w:rsidR="00E7793C" w:rsidP="009D510C" w:rsidRDefault="00E7793C" w14:paraId="0DCFE971" w14:textId="0AB341B1">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rsidRPr="00205B31" w:rsidR="001D1BF7" w:rsidP="00B7193E" w:rsidRDefault="001D1BF7" w14:paraId="74CCEF94" w14:textId="750FF580">
      <w:pPr>
        <w:jc w:val="both"/>
        <w:rPr>
          <w:rFonts w:ascii="Arial" w:hAnsi="Arial" w:cs="Arial"/>
          <w:sz w:val="22"/>
          <w:szCs w:val="22"/>
          <w:lang w:val="en-GB"/>
        </w:rPr>
      </w:pPr>
    </w:p>
    <w:p w:rsidRPr="00205B31" w:rsidR="00E9597C" w:rsidP="00B7193E" w:rsidRDefault="00E9597C" w14:paraId="1EDB374E" w14:textId="77777777">
      <w:pPr>
        <w:jc w:val="both"/>
        <w:rPr>
          <w:rFonts w:ascii="Arial" w:hAnsi="Arial" w:cs="Arial"/>
          <w:b/>
          <w:bCs/>
          <w:sz w:val="22"/>
          <w:szCs w:val="22"/>
          <w:lang w:val="en-GB"/>
        </w:rPr>
      </w:pPr>
      <w:r w:rsidRPr="00205B31">
        <w:rPr>
          <w:rFonts w:ascii="Arial" w:hAnsi="Arial" w:cs="Arial"/>
          <w:b/>
          <w:bCs/>
          <w:sz w:val="22"/>
          <w:szCs w:val="22"/>
          <w:lang w:val="en-GB"/>
        </w:rPr>
        <w:t>Question 1.2</w:t>
      </w:r>
    </w:p>
    <w:p w:rsidRPr="00205B31" w:rsidR="00E9597C" w:rsidP="00B7193E" w:rsidRDefault="00E9597C" w14:paraId="2FDFDBCB" w14:textId="77777777">
      <w:pPr>
        <w:jc w:val="both"/>
        <w:rPr>
          <w:rFonts w:ascii="Arial" w:hAnsi="Arial" w:cs="Arial"/>
          <w:b/>
          <w:bCs/>
          <w:sz w:val="22"/>
          <w:szCs w:val="22"/>
          <w:lang w:val="en-GB"/>
        </w:rPr>
      </w:pPr>
    </w:p>
    <w:p w:rsidRPr="00205B31" w:rsidR="002400DB" w:rsidP="00031918" w:rsidRDefault="00E7793C" w14:paraId="0C3113CB" w14:textId="404BF5AB">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Pr="00205B31" w:rsidR="009E44C0">
        <w:rPr>
          <w:rFonts w:ascii="Arial" w:hAnsi="Arial" w:cs="Arial"/>
          <w:sz w:val="22"/>
          <w:szCs w:val="22"/>
          <w:lang w:val="en-GB"/>
        </w:rPr>
        <w:t xml:space="preserve"> Select the </w:t>
      </w:r>
      <w:r w:rsidRPr="00205B31" w:rsidR="009E44C0">
        <w:rPr>
          <w:rFonts w:ascii="Arial" w:hAnsi="Arial" w:cs="Arial"/>
          <w:b/>
          <w:bCs/>
          <w:sz w:val="22"/>
          <w:szCs w:val="22"/>
          <w:u w:val="single"/>
          <w:lang w:val="en-GB"/>
        </w:rPr>
        <w:t>most accurate response</w:t>
      </w:r>
      <w:r w:rsidRPr="00205B31" w:rsidR="009E44C0">
        <w:rPr>
          <w:rFonts w:ascii="Arial" w:hAnsi="Arial" w:cs="Arial"/>
          <w:sz w:val="22"/>
          <w:szCs w:val="22"/>
          <w:lang w:val="en-GB"/>
        </w:rPr>
        <w:t xml:space="preserve"> to this statement from (a) – (d) below.</w:t>
      </w:r>
    </w:p>
    <w:p w:rsidRPr="00205B31" w:rsidR="00E7793C" w:rsidP="00031918" w:rsidRDefault="00E7793C" w14:paraId="3E8D8190" w14:textId="4E1150AB">
      <w:pPr>
        <w:ind w:left="66"/>
        <w:jc w:val="both"/>
        <w:rPr>
          <w:rFonts w:ascii="Arial" w:hAnsi="Arial" w:cs="Arial"/>
          <w:sz w:val="22"/>
          <w:szCs w:val="22"/>
          <w:lang w:val="en-GB"/>
        </w:rPr>
      </w:pPr>
    </w:p>
    <w:p w:rsidRPr="00205B31" w:rsidR="00E7793C" w:rsidP="009D510C" w:rsidRDefault="00E7793C" w14:paraId="0C1701BE" w14:textId="0EC965D4">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rsidRPr="00205B31" w:rsidR="00E7793C" w:rsidP="009D510C" w:rsidRDefault="00E7793C" w14:paraId="5F54333B" w14:textId="77777777">
      <w:pPr>
        <w:pStyle w:val="ListParagraph"/>
        <w:ind w:left="426" w:hanging="360"/>
        <w:jc w:val="both"/>
        <w:rPr>
          <w:rFonts w:ascii="Arial" w:hAnsi="Arial" w:cs="Arial"/>
          <w:sz w:val="22"/>
          <w:szCs w:val="22"/>
          <w:lang w:val="en-GB"/>
        </w:rPr>
      </w:pPr>
    </w:p>
    <w:p w:rsidRPr="00205B31" w:rsidR="00AE027F" w:rsidP="009D510C" w:rsidRDefault="00E7793C" w14:paraId="62B41459" w14:textId="77777777">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Pr="00205B31" w:rsidR="00AE027F">
        <w:rPr>
          <w:rFonts w:ascii="Arial" w:hAnsi="Arial" w:cs="Arial"/>
          <w:sz w:val="22"/>
          <w:szCs w:val="22"/>
          <w:lang w:val="en-GB"/>
        </w:rPr>
        <w:t>in the UK is too slow to effect amendments to an elaborate piece of legislation such as its Insolvency Act of 1986.</w:t>
      </w:r>
    </w:p>
    <w:p w:rsidRPr="00205B31" w:rsidR="00AE027F" w:rsidP="009D510C" w:rsidRDefault="00AE027F" w14:paraId="02C04778" w14:textId="77777777">
      <w:pPr>
        <w:pStyle w:val="ListParagraph"/>
        <w:ind w:left="426" w:hanging="360"/>
        <w:rPr>
          <w:rFonts w:ascii="Arial" w:hAnsi="Arial" w:cs="Arial"/>
          <w:sz w:val="22"/>
          <w:szCs w:val="22"/>
          <w:lang w:val="en-GB"/>
        </w:rPr>
      </w:pPr>
    </w:p>
    <w:p w:rsidRPr="00205B31" w:rsidR="00AE027F" w:rsidP="009D510C" w:rsidRDefault="00AE027F" w14:paraId="60F45659" w14:textId="42DF7EA5">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Pr="00205B31" w:rsidR="002A3815">
        <w:rPr>
          <w:rFonts w:ascii="Arial" w:hAnsi="Arial" w:cs="Arial"/>
          <w:sz w:val="22"/>
          <w:szCs w:val="22"/>
          <w:lang w:val="en-GB"/>
        </w:rPr>
        <w:t>-19</w:t>
      </w:r>
      <w:r w:rsidRPr="00205B31">
        <w:rPr>
          <w:rFonts w:ascii="Arial" w:hAnsi="Arial" w:cs="Arial"/>
          <w:sz w:val="22"/>
          <w:szCs w:val="22"/>
          <w:lang w:val="en-GB"/>
        </w:rPr>
        <w:t xml:space="preserve"> pandemic. </w:t>
      </w:r>
    </w:p>
    <w:p w:rsidRPr="00205B31" w:rsidR="00AE027F" w:rsidP="009D510C" w:rsidRDefault="00AE027F" w14:paraId="5485A427" w14:textId="77777777">
      <w:pPr>
        <w:pStyle w:val="ListParagraph"/>
        <w:ind w:left="426" w:hanging="360"/>
        <w:rPr>
          <w:rFonts w:ascii="Arial" w:hAnsi="Arial" w:cs="Arial"/>
          <w:sz w:val="22"/>
          <w:szCs w:val="22"/>
          <w:lang w:val="en-GB"/>
        </w:rPr>
      </w:pPr>
    </w:p>
    <w:p w:rsidRPr="00205B31" w:rsidR="00E7793C" w:rsidP="009D510C" w:rsidRDefault="00AE027F" w14:paraId="095097C0" w14:textId="5CFDC719" w14:noSpellErr="1">
      <w:pPr>
        <w:pStyle w:val="ListParagraph"/>
        <w:numPr>
          <w:ilvl w:val="0"/>
          <w:numId w:val="13"/>
        </w:numPr>
        <w:jc w:val="both"/>
        <w:rPr>
          <w:rFonts w:ascii="Arial" w:hAnsi="Arial" w:cs="Arial"/>
          <w:sz w:val="22"/>
          <w:szCs w:val="22"/>
          <w:lang w:val="en-GB"/>
        </w:rPr>
      </w:pPr>
      <w:r w:rsidRPr="410F0EA9" w:rsidR="410F0EA9">
        <w:rPr>
          <w:rFonts w:ascii="Arial" w:hAnsi="Arial" w:cs="Arial"/>
          <w:sz w:val="22"/>
          <w:szCs w:val="22"/>
          <w:highlight w:val="yellow"/>
          <w:lang w:val="en-GB"/>
        </w:rPr>
        <w:t>The statement i</w:t>
      </w:r>
      <w:r w:rsidRPr="410F0EA9" w:rsidR="410F0EA9">
        <w:rPr>
          <w:rFonts w:ascii="Arial" w:hAnsi="Arial" w:cs="Arial"/>
          <w:sz w:val="22"/>
          <w:szCs w:val="22"/>
          <w:highlight w:val="yellow"/>
          <w:lang w:val="en-GB"/>
        </w:rPr>
        <w:t>s incorrect since the UK did re</w:t>
      </w:r>
      <w:r w:rsidRPr="410F0EA9" w:rsidR="410F0EA9">
        <w:rPr>
          <w:rFonts w:ascii="Arial" w:hAnsi="Arial" w:cs="Arial"/>
          <w:sz w:val="22"/>
          <w:szCs w:val="22"/>
          <w:highlight w:val="yellow"/>
          <w:lang w:val="en-GB"/>
        </w:rPr>
        <w:t>v</w:t>
      </w:r>
      <w:r w:rsidRPr="410F0EA9" w:rsidR="410F0EA9">
        <w:rPr>
          <w:rFonts w:ascii="Arial" w:hAnsi="Arial" w:cs="Arial"/>
          <w:sz w:val="22"/>
          <w:szCs w:val="22"/>
          <w:highlight w:val="yellow"/>
          <w:lang w:val="en-GB"/>
        </w:rPr>
        <w:t>i</w:t>
      </w:r>
      <w:r w:rsidRPr="410F0EA9" w:rsidR="410F0EA9">
        <w:rPr>
          <w:rFonts w:ascii="Arial" w:hAnsi="Arial" w:cs="Arial"/>
          <w:sz w:val="22"/>
          <w:szCs w:val="22"/>
          <w:highlight w:val="yellow"/>
          <w:lang w:val="en-GB"/>
        </w:rPr>
        <w:t>ew parts of its insolvency rules and amended some, among</w:t>
      </w:r>
      <w:r w:rsidRPr="410F0EA9" w:rsidR="410F0EA9">
        <w:rPr>
          <w:rFonts w:ascii="Arial" w:hAnsi="Arial" w:cs="Arial"/>
          <w:sz w:val="22"/>
          <w:szCs w:val="22"/>
          <w:highlight w:val="yellow"/>
          <w:lang w:val="en-GB"/>
        </w:rPr>
        <w:t>s</w:t>
      </w:r>
      <w:r w:rsidRPr="410F0EA9" w:rsidR="410F0EA9">
        <w:rPr>
          <w:rFonts w:ascii="Arial" w:hAnsi="Arial" w:cs="Arial"/>
          <w:sz w:val="22"/>
          <w:szCs w:val="22"/>
          <w:highlight w:val="yellow"/>
          <w:lang w:val="en-GB"/>
        </w:rPr>
        <w:t>t other</w:t>
      </w:r>
      <w:r w:rsidRPr="410F0EA9" w:rsidR="410F0EA9">
        <w:rPr>
          <w:rFonts w:ascii="Arial" w:hAnsi="Arial" w:cs="Arial"/>
          <w:sz w:val="22"/>
          <w:szCs w:val="22"/>
          <w:highlight w:val="yellow"/>
          <w:lang w:val="en-GB"/>
        </w:rPr>
        <w:t xml:space="preserve"> things</w:t>
      </w:r>
      <w:r w:rsidRPr="410F0EA9" w:rsidR="410F0EA9">
        <w:rPr>
          <w:rFonts w:ascii="Arial" w:hAnsi="Arial" w:cs="Arial"/>
          <w:sz w:val="22"/>
          <w:szCs w:val="22"/>
          <w:highlight w:val="yellow"/>
          <w:lang w:val="en-GB"/>
        </w:rPr>
        <w:t>, to deal with the negative economic fall out of the pandemic.</w:t>
      </w:r>
      <w:r w:rsidRPr="410F0EA9" w:rsidR="410F0EA9">
        <w:rPr>
          <w:rFonts w:ascii="Arial" w:hAnsi="Arial" w:cs="Arial"/>
          <w:sz w:val="22"/>
          <w:szCs w:val="22"/>
          <w:lang w:val="en-GB"/>
        </w:rPr>
        <w:t xml:space="preserve">  </w:t>
      </w:r>
    </w:p>
    <w:p w:rsidRPr="00205B31" w:rsidR="002400DB" w:rsidP="00031918" w:rsidRDefault="002400DB" w14:paraId="58B523BA" w14:textId="3828720F">
      <w:pPr>
        <w:ind w:left="66"/>
        <w:jc w:val="both"/>
        <w:rPr>
          <w:rFonts w:ascii="Arial" w:hAnsi="Arial" w:cs="Arial"/>
          <w:sz w:val="22"/>
          <w:szCs w:val="22"/>
          <w:lang w:val="en-GB"/>
        </w:rPr>
      </w:pPr>
    </w:p>
    <w:p w:rsidRPr="00205B31" w:rsidR="002400DB" w:rsidP="00031918" w:rsidRDefault="002400DB" w14:paraId="02AC7AFA" w14:textId="6A7A375D">
      <w:pPr>
        <w:ind w:left="66"/>
        <w:jc w:val="both"/>
        <w:rPr>
          <w:rFonts w:ascii="Arial" w:hAnsi="Arial" w:cs="Arial"/>
          <w:sz w:val="22"/>
          <w:szCs w:val="22"/>
          <w:lang w:val="en-GB"/>
        </w:rPr>
      </w:pPr>
    </w:p>
    <w:p w:rsidRPr="00205B31" w:rsidR="00CC579C" w:rsidP="00031918" w:rsidRDefault="00CC579C" w14:paraId="6DAADA47" w14:textId="77777777">
      <w:pPr>
        <w:ind w:left="66"/>
        <w:jc w:val="both"/>
        <w:rPr>
          <w:rFonts w:ascii="Arial" w:hAnsi="Arial" w:cs="Arial"/>
          <w:sz w:val="22"/>
          <w:szCs w:val="22"/>
          <w:lang w:val="en-GB"/>
        </w:rPr>
      </w:pPr>
    </w:p>
    <w:p w:rsidRPr="00205B31" w:rsidR="00E9597C" w:rsidP="00B7193E" w:rsidRDefault="00E9597C" w14:paraId="788B3207" w14:textId="3C9826A4">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rsidRPr="00205B31" w:rsidR="00AE027F" w:rsidP="00180B1E" w:rsidRDefault="00AE027F" w14:paraId="6AB9AB1D" w14:textId="77777777">
      <w:pPr>
        <w:rPr>
          <w:rFonts w:ascii="Arial" w:hAnsi="Arial" w:cs="Arial"/>
          <w:sz w:val="22"/>
          <w:szCs w:val="22"/>
          <w:lang w:val="en-GB"/>
        </w:rPr>
      </w:pPr>
    </w:p>
    <w:p w:rsidRPr="00205B31" w:rsidR="00AE027F" w:rsidP="00F85DB2" w:rsidRDefault="00AE027F" w14:paraId="429B8018" w14:textId="06DE09D9">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Pr="00205B31" w:rsidR="007D7E30">
        <w:rPr>
          <w:rFonts w:ascii="Arial" w:hAnsi="Arial" w:cs="Arial"/>
          <w:sz w:val="22"/>
          <w:szCs w:val="22"/>
          <w:lang w:val="en-GB"/>
        </w:rPr>
        <w:t>with</w:t>
      </w:r>
      <w:r w:rsidRPr="00205B31">
        <w:rPr>
          <w:rFonts w:ascii="Arial" w:hAnsi="Arial" w:cs="Arial"/>
          <w:sz w:val="22"/>
          <w:szCs w:val="22"/>
          <w:lang w:val="en-GB"/>
        </w:rPr>
        <w:t xml:space="preserve"> English or American insolvency</w:t>
      </w:r>
      <w:r w:rsidRPr="00205B31" w:rsidR="002A3815">
        <w:rPr>
          <w:rFonts w:ascii="Arial" w:hAnsi="Arial" w:cs="Arial"/>
          <w:sz w:val="22"/>
          <w:szCs w:val="22"/>
          <w:lang w:val="en-GB"/>
        </w:rPr>
        <w:t xml:space="preserve"> </w:t>
      </w:r>
      <w:r w:rsidRPr="00205B31">
        <w:rPr>
          <w:rFonts w:ascii="Arial" w:hAnsi="Arial" w:cs="Arial"/>
          <w:sz w:val="22"/>
          <w:szCs w:val="22"/>
          <w:lang w:val="en-GB"/>
        </w:rPr>
        <w:t>/ bankruptcy</w:t>
      </w:r>
      <w:r w:rsidRPr="00205B31" w:rsidR="007D7E30">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Pr="00205B31" w:rsidR="007D7E30">
        <w:rPr>
          <w:rFonts w:ascii="Arial" w:hAnsi="Arial" w:cs="Arial"/>
          <w:sz w:val="22"/>
          <w:szCs w:val="22"/>
          <w:lang w:val="en-GB"/>
        </w:rPr>
        <w:t xml:space="preserve"> Select the </w:t>
      </w:r>
      <w:r w:rsidRPr="00205B31" w:rsidR="007D7E30">
        <w:rPr>
          <w:rFonts w:ascii="Arial" w:hAnsi="Arial" w:cs="Arial"/>
          <w:b/>
          <w:bCs/>
          <w:sz w:val="22"/>
          <w:szCs w:val="22"/>
          <w:u w:val="single"/>
          <w:lang w:val="en-GB"/>
        </w:rPr>
        <w:t>most accurate response</w:t>
      </w:r>
      <w:r w:rsidRPr="00205B31" w:rsidR="007D7E30">
        <w:rPr>
          <w:rFonts w:ascii="Arial" w:hAnsi="Arial" w:cs="Arial"/>
          <w:sz w:val="22"/>
          <w:szCs w:val="22"/>
          <w:lang w:val="en-GB"/>
        </w:rPr>
        <w:t xml:space="preserve"> to this statement from (a) – (d) below.</w:t>
      </w:r>
    </w:p>
    <w:p w:rsidRPr="00205B31" w:rsidR="00AE027F" w:rsidP="00F85DB2" w:rsidRDefault="00AE027F" w14:paraId="5BCC6198" w14:textId="77777777">
      <w:pPr>
        <w:jc w:val="both"/>
        <w:rPr>
          <w:rFonts w:ascii="Arial" w:hAnsi="Arial" w:cs="Arial"/>
          <w:sz w:val="22"/>
          <w:szCs w:val="22"/>
          <w:lang w:val="en-GB"/>
        </w:rPr>
      </w:pPr>
    </w:p>
    <w:p w:rsidRPr="00205B31" w:rsidR="00B54F90" w:rsidP="009D510C" w:rsidRDefault="00AE027F" w14:paraId="33E40305" w14:textId="77777777">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Pr="00205B31" w:rsidR="00B54F90">
        <w:rPr>
          <w:rFonts w:ascii="Arial" w:hAnsi="Arial" w:cs="Arial"/>
          <w:sz w:val="22"/>
          <w:szCs w:val="22"/>
          <w:lang w:val="en-GB"/>
        </w:rPr>
        <w:t>Dutch insolvency system does not provide for a discharge of debt and without such a dispensation in place, a scheme of arrangement will not be functional.</w:t>
      </w:r>
    </w:p>
    <w:p w:rsidRPr="00205B31" w:rsidR="00AE027F" w:rsidP="009D510C" w:rsidRDefault="00100A77" w14:paraId="2F43C763" w14:textId="4B127431">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rsidRPr="00205B31" w:rsidR="00B54F90" w:rsidP="009D510C" w:rsidRDefault="00B54F90" w14:paraId="6330F942" w14:textId="0D276EA9">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rsidRPr="00205B31" w:rsidR="00B54F90" w:rsidP="009D510C" w:rsidRDefault="00B54F90" w14:paraId="5C08F63E" w14:textId="77777777">
      <w:pPr>
        <w:pStyle w:val="ListParagraph"/>
        <w:ind w:left="426"/>
        <w:rPr>
          <w:rFonts w:ascii="Arial" w:hAnsi="Arial" w:cs="Arial"/>
          <w:sz w:val="22"/>
          <w:szCs w:val="22"/>
          <w:lang w:val="en-GB"/>
        </w:rPr>
      </w:pPr>
    </w:p>
    <w:p w:rsidRPr="00205B31" w:rsidR="00B54F90" w:rsidP="009D510C" w:rsidRDefault="00B54F90" w14:paraId="633F6419" w14:textId="77777777">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rsidRPr="00205B31" w:rsidR="00B54F90" w:rsidP="009D510C" w:rsidRDefault="00B54F90" w14:paraId="7183B02D" w14:textId="77777777">
      <w:pPr>
        <w:pStyle w:val="ListParagraph"/>
        <w:ind w:left="426"/>
        <w:rPr>
          <w:rFonts w:ascii="Arial" w:hAnsi="Arial" w:cs="Arial"/>
          <w:sz w:val="22"/>
          <w:szCs w:val="22"/>
          <w:lang w:val="en-GB"/>
        </w:rPr>
      </w:pPr>
    </w:p>
    <w:p w:rsidRPr="00205B31" w:rsidR="00B54F90" w:rsidP="009D510C" w:rsidRDefault="00B54F90" w14:paraId="77ADD601" w14:textId="2D159736" w14:noSpellErr="1">
      <w:pPr>
        <w:pStyle w:val="ListParagraph"/>
        <w:numPr>
          <w:ilvl w:val="0"/>
          <w:numId w:val="14"/>
        </w:numPr>
        <w:ind w:left="426"/>
        <w:jc w:val="both"/>
        <w:rPr>
          <w:rFonts w:ascii="Arial" w:hAnsi="Arial" w:cs="Arial"/>
          <w:sz w:val="22"/>
          <w:szCs w:val="22"/>
          <w:lang w:val="en-GB"/>
        </w:rPr>
      </w:pPr>
      <w:r w:rsidRPr="410F0EA9" w:rsidR="410F0EA9">
        <w:rPr>
          <w:rFonts w:ascii="Arial" w:hAnsi="Arial" w:cs="Arial"/>
          <w:sz w:val="22"/>
          <w:szCs w:val="22"/>
          <w:highlight w:val="yellow"/>
          <w:lang w:val="en-GB"/>
        </w:rPr>
        <w:t xml:space="preserve">This statement is incorrect since the Dutch quite recently adopted legislation in this regard and it became operational </w:t>
      </w:r>
      <w:r w:rsidRPr="410F0EA9" w:rsidR="410F0EA9">
        <w:rPr>
          <w:rFonts w:ascii="Arial" w:hAnsi="Arial" w:cs="Arial"/>
          <w:sz w:val="22"/>
          <w:szCs w:val="22"/>
          <w:highlight w:val="yellow"/>
          <w:lang w:val="en-GB"/>
        </w:rPr>
        <w:t xml:space="preserve">on </w:t>
      </w:r>
      <w:r w:rsidRPr="410F0EA9" w:rsidR="410F0EA9">
        <w:rPr>
          <w:rFonts w:ascii="Arial" w:hAnsi="Arial" w:cs="Arial"/>
          <w:sz w:val="22"/>
          <w:szCs w:val="22"/>
          <w:highlight w:val="yellow"/>
          <w:lang w:val="en-GB"/>
        </w:rPr>
        <w:t>1 January 2021.</w:t>
      </w:r>
    </w:p>
    <w:p w:rsidRPr="00205B31" w:rsidR="00C34A50" w:rsidP="00B7193E" w:rsidRDefault="00C34A50" w14:paraId="455D81D5" w14:textId="77777777">
      <w:pPr>
        <w:jc w:val="both"/>
        <w:rPr>
          <w:rFonts w:ascii="Arial" w:hAnsi="Arial" w:cs="Arial"/>
          <w:b/>
          <w:bCs/>
          <w:sz w:val="22"/>
          <w:szCs w:val="22"/>
          <w:lang w:val="en-GB"/>
        </w:rPr>
      </w:pPr>
    </w:p>
    <w:p w:rsidRPr="00205B31" w:rsidR="00E9597C" w:rsidP="00B7193E" w:rsidRDefault="00E9597C" w14:paraId="5099C7EB" w14:textId="0E03DDB8">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rsidRPr="00205B31" w:rsidR="00E9597C" w:rsidP="00B7193E" w:rsidRDefault="00E9597C" w14:paraId="67CD7462" w14:textId="77777777">
      <w:pPr>
        <w:jc w:val="both"/>
        <w:rPr>
          <w:rFonts w:ascii="Arial" w:hAnsi="Arial" w:cs="Arial"/>
          <w:sz w:val="22"/>
          <w:szCs w:val="22"/>
          <w:lang w:val="en-GB"/>
        </w:rPr>
      </w:pPr>
    </w:p>
    <w:p w:rsidRPr="00205B31" w:rsidR="009C2628" w:rsidP="009C2628" w:rsidRDefault="00B54F90" w14:paraId="0A41CF56" w14:textId="6DA1B4C7">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Pr="00205B31" w:rsidR="009C2628">
        <w:rPr>
          <w:rFonts w:ascii="Arial" w:hAnsi="Arial" w:cs="Arial"/>
          <w:sz w:val="22"/>
          <w:szCs w:val="22"/>
          <w:lang w:val="en-GB"/>
        </w:rPr>
        <w:t xml:space="preserve"> Select the </w:t>
      </w:r>
      <w:r w:rsidRPr="00205B31" w:rsidR="009C2628">
        <w:rPr>
          <w:rFonts w:ascii="Arial" w:hAnsi="Arial" w:cs="Arial"/>
          <w:b/>
          <w:bCs/>
          <w:sz w:val="22"/>
          <w:szCs w:val="22"/>
          <w:u w:val="single"/>
          <w:lang w:val="en-GB"/>
        </w:rPr>
        <w:t>most accurate response</w:t>
      </w:r>
      <w:r w:rsidRPr="00205B31" w:rsidR="009C2628">
        <w:rPr>
          <w:rFonts w:ascii="Arial" w:hAnsi="Arial" w:cs="Arial"/>
          <w:sz w:val="22"/>
          <w:szCs w:val="22"/>
          <w:lang w:val="en-GB"/>
        </w:rPr>
        <w:t xml:space="preserve"> to this statement from (a) – (d) below. </w:t>
      </w:r>
    </w:p>
    <w:p w:rsidRPr="00205B31" w:rsidR="00B54F90" w:rsidP="00B7193E" w:rsidRDefault="00B54F90" w14:paraId="63595328" w14:textId="19BBD3C3">
      <w:pPr>
        <w:autoSpaceDE w:val="0"/>
        <w:autoSpaceDN w:val="0"/>
        <w:adjustRightInd w:val="0"/>
        <w:spacing w:line="276" w:lineRule="auto"/>
        <w:jc w:val="both"/>
        <w:rPr>
          <w:rFonts w:ascii="Arial" w:hAnsi="Arial" w:cs="Arial"/>
          <w:sz w:val="22"/>
          <w:szCs w:val="22"/>
          <w:lang w:val="en-GB"/>
        </w:rPr>
      </w:pPr>
    </w:p>
    <w:p w:rsidRPr="00205B31" w:rsidR="006E1CB0" w:rsidP="009D510C" w:rsidRDefault="00B54F90" w14:paraId="16B8A526" w14:textId="02E6CAF3">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Pr="00205B31" w:rsidR="006E1CB0">
        <w:rPr>
          <w:rFonts w:ascii="Arial" w:hAnsi="Arial" w:cs="Arial"/>
          <w:sz w:val="22"/>
          <w:szCs w:val="22"/>
          <w:lang w:val="en-GB"/>
        </w:rPr>
        <w:t>courts cooperating across jurisdictional borders are familiar with global insolvency principles.</w:t>
      </w:r>
    </w:p>
    <w:p w:rsidRPr="00205B31" w:rsidR="006E1CB0" w:rsidP="009D510C" w:rsidRDefault="006E1CB0" w14:paraId="6B0473FD" w14:textId="77777777">
      <w:pPr>
        <w:pStyle w:val="ListParagraph"/>
        <w:autoSpaceDE w:val="0"/>
        <w:autoSpaceDN w:val="0"/>
        <w:adjustRightInd w:val="0"/>
        <w:spacing w:line="276" w:lineRule="auto"/>
        <w:ind w:left="426"/>
        <w:jc w:val="both"/>
        <w:rPr>
          <w:rFonts w:ascii="Arial" w:hAnsi="Arial" w:cs="Arial"/>
          <w:sz w:val="22"/>
          <w:szCs w:val="22"/>
          <w:lang w:val="en-GB"/>
        </w:rPr>
      </w:pPr>
    </w:p>
    <w:p w:rsidRPr="00205B31" w:rsidR="006E1CB0" w:rsidP="009D510C" w:rsidRDefault="006E1CB0" w14:paraId="0BBBF25C" w14:textId="0B0E8374">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rsidRPr="00205B31" w:rsidR="006E1CB0" w:rsidP="009D510C" w:rsidRDefault="006E1CB0" w14:paraId="599F1798" w14:textId="77777777">
      <w:pPr>
        <w:pStyle w:val="ListParagraph"/>
        <w:autoSpaceDE w:val="0"/>
        <w:autoSpaceDN w:val="0"/>
        <w:adjustRightInd w:val="0"/>
        <w:spacing w:line="276" w:lineRule="auto"/>
        <w:ind w:left="426"/>
        <w:jc w:val="both"/>
        <w:rPr>
          <w:rFonts w:ascii="Arial" w:hAnsi="Arial" w:cs="Arial"/>
          <w:sz w:val="22"/>
          <w:szCs w:val="22"/>
          <w:lang w:val="en-GB"/>
        </w:rPr>
      </w:pPr>
    </w:p>
    <w:p w:rsidRPr="00205B31" w:rsidR="006E1CB0" w:rsidP="009D510C" w:rsidRDefault="006E1CB0" w14:paraId="39F01905" w14:textId="0987E737" w14:noSpellErr="1">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410F0EA9" w:rsidR="410F0EA9">
        <w:rPr>
          <w:rFonts w:ascii="Arial" w:hAnsi="Arial" w:cs="Arial"/>
          <w:sz w:val="22"/>
          <w:szCs w:val="22"/>
          <w:highlight w:val="yellow"/>
          <w:lang w:val="en-GB"/>
        </w:rPr>
        <w:t>The statement is not correct since both local insolvency systems as well as cross-border insolvency rules differ quite significantly in many respects.</w:t>
      </w:r>
    </w:p>
    <w:p w:rsidRPr="00205B31" w:rsidR="006E1CB0" w:rsidP="009D510C" w:rsidRDefault="006E1CB0" w14:paraId="3DBDE9DE" w14:textId="77777777">
      <w:pPr>
        <w:pStyle w:val="ListParagraph"/>
        <w:autoSpaceDE w:val="0"/>
        <w:autoSpaceDN w:val="0"/>
        <w:adjustRightInd w:val="0"/>
        <w:spacing w:line="276" w:lineRule="auto"/>
        <w:ind w:left="426"/>
        <w:jc w:val="both"/>
        <w:rPr>
          <w:rFonts w:ascii="Arial" w:hAnsi="Arial" w:cs="Arial"/>
          <w:sz w:val="22"/>
          <w:szCs w:val="22"/>
          <w:lang w:val="en-GB"/>
        </w:rPr>
      </w:pPr>
    </w:p>
    <w:p w:rsidRPr="00205B31" w:rsidR="00B54F90" w:rsidP="009D510C" w:rsidRDefault="006E1CB0" w14:paraId="4D1F24AC" w14:textId="5591D68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Pr="00205B31" w:rsidR="0079206E">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rsidRPr="00205B31" w:rsidR="00B54F90" w:rsidP="00B7193E" w:rsidRDefault="00B54F90" w14:paraId="76C30CD4" w14:textId="77777777">
      <w:pPr>
        <w:autoSpaceDE w:val="0"/>
        <w:autoSpaceDN w:val="0"/>
        <w:adjustRightInd w:val="0"/>
        <w:spacing w:line="276" w:lineRule="auto"/>
        <w:jc w:val="both"/>
        <w:rPr>
          <w:rFonts w:ascii="Arial" w:hAnsi="Arial" w:cs="Arial"/>
          <w:sz w:val="22"/>
          <w:szCs w:val="22"/>
          <w:lang w:val="en-GB"/>
        </w:rPr>
      </w:pPr>
    </w:p>
    <w:p w:rsidRPr="00205B31" w:rsidR="00E9597C" w:rsidP="00B7193E" w:rsidRDefault="00E9597C" w14:paraId="7826345D" w14:textId="77777777">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rsidRPr="00205B31" w:rsidR="00E9597C" w:rsidP="00B7193E" w:rsidRDefault="00E9597C" w14:paraId="49262AAD" w14:textId="77777777">
      <w:pPr>
        <w:jc w:val="both"/>
        <w:rPr>
          <w:rFonts w:ascii="Arial" w:hAnsi="Arial" w:cs="Arial"/>
          <w:b/>
          <w:bCs/>
          <w:sz w:val="22"/>
          <w:szCs w:val="22"/>
          <w:lang w:val="en-GB"/>
        </w:rPr>
      </w:pPr>
    </w:p>
    <w:p w:rsidRPr="00205B31" w:rsidR="00926D10" w:rsidP="00926D10" w:rsidRDefault="006E1CB0" w14:paraId="472EE0D7" w14:textId="41C10ECD">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Pr="00205B31" w:rsidR="007D7E30">
        <w:rPr>
          <w:rFonts w:ascii="Arial" w:hAnsi="Arial" w:cs="Arial"/>
          <w:sz w:val="22"/>
          <w:szCs w:val="22"/>
          <w:lang w:val="en-GB"/>
        </w:rPr>
        <w:t xml:space="preserve">Select the </w:t>
      </w:r>
      <w:r w:rsidRPr="00205B31" w:rsidR="007D7E30">
        <w:rPr>
          <w:rFonts w:ascii="Arial" w:hAnsi="Arial" w:cs="Arial"/>
          <w:b/>
          <w:bCs/>
          <w:sz w:val="22"/>
          <w:szCs w:val="22"/>
          <w:u w:val="single"/>
          <w:lang w:val="en-GB"/>
        </w:rPr>
        <w:t>most accurate response</w:t>
      </w:r>
      <w:r w:rsidRPr="00205B31" w:rsidR="007D7E30">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rsidRPr="00205B31" w:rsidR="00926D10" w:rsidP="00926D10" w:rsidRDefault="00926D10" w14:paraId="6C746C8C" w14:textId="77777777">
      <w:pPr>
        <w:jc w:val="both"/>
        <w:rPr>
          <w:rFonts w:ascii="Arial" w:hAnsi="Arial" w:cs="Arial"/>
          <w:sz w:val="22"/>
          <w:szCs w:val="22"/>
          <w:lang w:val="en-GB"/>
        </w:rPr>
      </w:pPr>
    </w:p>
    <w:p w:rsidRPr="00205B31" w:rsidR="00926D10" w:rsidP="009D510C" w:rsidRDefault="00926D10" w14:paraId="49752BE6" w14:textId="3B0DEE5F" w14:noSpellErr="1">
      <w:pPr>
        <w:pStyle w:val="ListParagraph"/>
        <w:numPr>
          <w:ilvl w:val="0"/>
          <w:numId w:val="5"/>
        </w:numPr>
        <w:ind w:left="426"/>
        <w:jc w:val="both"/>
        <w:rPr>
          <w:rFonts w:ascii="Arial" w:hAnsi="Arial" w:cs="Arial"/>
          <w:sz w:val="22"/>
          <w:szCs w:val="22"/>
          <w:lang w:val="en-GB"/>
        </w:rPr>
      </w:pPr>
      <w:r w:rsidRPr="410F0EA9" w:rsidR="410F0EA9">
        <w:rPr>
          <w:rFonts w:ascii="Arial" w:hAnsi="Arial" w:cs="Arial"/>
          <w:sz w:val="22"/>
          <w:szCs w:val="22"/>
          <w:highlight w:val="yellow"/>
          <w:lang w:val="en-GB"/>
        </w:rPr>
        <w:t xml:space="preserve">The statement is </w:t>
      </w:r>
      <w:r w:rsidRPr="410F0EA9" w:rsidR="410F0EA9">
        <w:rPr>
          <w:rFonts w:ascii="Arial" w:hAnsi="Arial" w:cs="Arial"/>
          <w:sz w:val="22"/>
          <w:szCs w:val="22"/>
          <w:highlight w:val="yellow"/>
          <w:lang w:val="en-GB"/>
        </w:rPr>
        <w:t xml:space="preserve">not </w:t>
      </w:r>
      <w:r w:rsidRPr="410F0EA9" w:rsidR="410F0EA9">
        <w:rPr>
          <w:rFonts w:ascii="Arial" w:hAnsi="Arial" w:cs="Arial"/>
          <w:sz w:val="22"/>
          <w:szCs w:val="22"/>
          <w:highlight w:val="yellow"/>
          <w:lang w:val="en-GB"/>
        </w:rPr>
        <w:t xml:space="preserve">correct </w:t>
      </w:r>
      <w:r w:rsidRPr="410F0EA9" w:rsidR="410F0EA9">
        <w:rPr>
          <w:rFonts w:ascii="Arial" w:hAnsi="Arial" w:cs="Arial"/>
          <w:sz w:val="22"/>
          <w:szCs w:val="22"/>
          <w:highlight w:val="yellow"/>
          <w:lang w:val="en-GB"/>
        </w:rPr>
        <w:t>because</w:t>
      </w:r>
      <w:r w:rsidRPr="410F0EA9" w:rsidR="410F0EA9">
        <w:rPr>
          <w:rFonts w:ascii="Arial" w:hAnsi="Arial" w:cs="Arial"/>
          <w:sz w:val="22"/>
          <w:szCs w:val="22"/>
          <w:highlight w:val="yellow"/>
          <w:lang w:val="en-GB"/>
        </w:rPr>
        <w:t xml:space="preserve"> very few </w:t>
      </w:r>
      <w:r w:rsidRPr="410F0EA9" w:rsidR="410F0EA9">
        <w:rPr>
          <w:rFonts w:ascii="Arial" w:hAnsi="Arial" w:cs="Arial"/>
          <w:sz w:val="22"/>
          <w:szCs w:val="22"/>
          <w:highlight w:val="yellow"/>
          <w:lang w:val="en-GB"/>
        </w:rPr>
        <w:t>States</w:t>
      </w:r>
      <w:r w:rsidRPr="410F0EA9" w:rsidR="410F0EA9">
        <w:rPr>
          <w:rFonts w:ascii="Arial" w:hAnsi="Arial" w:cs="Arial"/>
          <w:sz w:val="22"/>
          <w:szCs w:val="22"/>
          <w:highlight w:val="yellow"/>
          <w:lang w:val="en-GB"/>
        </w:rPr>
        <w:t xml:space="preserve"> allow insolvent estate representatives to deal with assets of a foreign debtor situated in </w:t>
      </w:r>
      <w:r w:rsidRPr="410F0EA9" w:rsidR="410F0EA9">
        <w:rPr>
          <w:rFonts w:ascii="Arial" w:hAnsi="Arial" w:cs="Arial"/>
          <w:sz w:val="22"/>
          <w:szCs w:val="22"/>
          <w:highlight w:val="yellow"/>
          <w:lang w:val="en-GB"/>
        </w:rPr>
        <w:t>their own</w:t>
      </w:r>
      <w:r w:rsidRPr="410F0EA9" w:rsidR="410F0EA9">
        <w:rPr>
          <w:rFonts w:ascii="Arial" w:hAnsi="Arial" w:cs="Arial"/>
          <w:sz w:val="22"/>
          <w:szCs w:val="22"/>
          <w:highlight w:val="yellow"/>
          <w:lang w:val="en-GB"/>
        </w:rPr>
        <w:t xml:space="preserve"> jurisdiction without </w:t>
      </w:r>
      <w:r w:rsidRPr="410F0EA9" w:rsidR="410F0EA9">
        <w:rPr>
          <w:rFonts w:ascii="Arial" w:hAnsi="Arial" w:cs="Arial"/>
          <w:sz w:val="22"/>
          <w:szCs w:val="22"/>
          <w:highlight w:val="yellow"/>
          <w:lang w:val="en-GB"/>
        </w:rPr>
        <w:t xml:space="preserve">some form of </w:t>
      </w:r>
      <w:r w:rsidRPr="410F0EA9" w:rsidR="410F0EA9">
        <w:rPr>
          <w:rFonts w:ascii="Arial" w:hAnsi="Arial" w:cs="Arial"/>
          <w:sz w:val="22"/>
          <w:szCs w:val="22"/>
          <w:highlight w:val="yellow"/>
          <w:lang w:val="en-GB"/>
        </w:rPr>
        <w:t xml:space="preserve">a </w:t>
      </w:r>
      <w:r w:rsidRPr="410F0EA9" w:rsidR="410F0EA9">
        <w:rPr>
          <w:rFonts w:ascii="Arial" w:hAnsi="Arial" w:cs="Arial"/>
          <w:sz w:val="22"/>
          <w:szCs w:val="22"/>
          <w:highlight w:val="yellow"/>
          <w:lang w:val="en-GB"/>
        </w:rPr>
        <w:t>(</w:t>
      </w:r>
      <w:r w:rsidRPr="410F0EA9" w:rsidR="410F0EA9">
        <w:rPr>
          <w:rFonts w:ascii="Arial" w:hAnsi="Arial" w:cs="Arial"/>
          <w:sz w:val="22"/>
          <w:szCs w:val="22"/>
          <w:highlight w:val="yellow"/>
          <w:lang w:val="en-GB"/>
        </w:rPr>
        <w:t>prior</w:t>
      </w:r>
      <w:r w:rsidRPr="410F0EA9" w:rsidR="410F0EA9">
        <w:rPr>
          <w:rFonts w:ascii="Arial" w:hAnsi="Arial" w:cs="Arial"/>
          <w:sz w:val="22"/>
          <w:szCs w:val="22"/>
          <w:highlight w:val="yellow"/>
          <w:lang w:val="en-GB"/>
        </w:rPr>
        <w:t>)</w:t>
      </w:r>
      <w:r w:rsidRPr="410F0EA9" w:rsidR="410F0EA9">
        <w:rPr>
          <w:rFonts w:ascii="Arial" w:hAnsi="Arial" w:cs="Arial"/>
          <w:sz w:val="22"/>
          <w:szCs w:val="22"/>
          <w:highlight w:val="yellow"/>
          <w:lang w:val="en-GB"/>
        </w:rPr>
        <w:t xml:space="preserve"> local procedure </w:t>
      </w:r>
      <w:r w:rsidRPr="410F0EA9" w:rsidR="410F0EA9">
        <w:rPr>
          <w:rFonts w:ascii="Arial" w:hAnsi="Arial" w:cs="Arial"/>
          <w:sz w:val="22"/>
          <w:szCs w:val="22"/>
          <w:highlight w:val="yellow"/>
          <w:lang w:val="en-GB"/>
        </w:rPr>
        <w:t xml:space="preserve">to </w:t>
      </w:r>
      <w:r w:rsidRPr="410F0EA9" w:rsidR="410F0EA9">
        <w:rPr>
          <w:rFonts w:ascii="Arial" w:hAnsi="Arial" w:cs="Arial"/>
          <w:sz w:val="22"/>
          <w:szCs w:val="22"/>
          <w:highlight w:val="yellow"/>
          <w:lang w:val="en-GB"/>
        </w:rPr>
        <w:t>recognise the foreign insolvency proceeding.</w:t>
      </w:r>
    </w:p>
    <w:p w:rsidRPr="00205B31" w:rsidR="00926D10" w:rsidP="009D510C" w:rsidRDefault="00926D10" w14:paraId="2F21E5E8" w14:textId="6FA1397D">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Pr="00205B31" w:rsidR="0090037B">
        <w:rPr>
          <w:rFonts w:ascii="Arial" w:hAnsi="Arial" w:cs="Arial"/>
          <w:sz w:val="22"/>
          <w:szCs w:val="22"/>
          <w:lang w:val="en-GB"/>
        </w:rPr>
        <w:t>because</w:t>
      </w:r>
      <w:r w:rsidRPr="00205B31">
        <w:rPr>
          <w:rFonts w:ascii="Arial" w:hAnsi="Arial" w:cs="Arial"/>
          <w:sz w:val="22"/>
          <w:szCs w:val="22"/>
          <w:lang w:val="en-GB"/>
        </w:rPr>
        <w:t xml:space="preserve"> universality </w:t>
      </w:r>
      <w:r w:rsidRPr="00205B31" w:rsidR="00CB7283">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Pr="00205B31" w:rsidR="00426B64">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Pr="00205B31" w:rsidR="00CB7283">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rsidRPr="00205B31" w:rsidR="002E66F4" w:rsidP="009D510C" w:rsidRDefault="002E66F4" w14:paraId="25A6BFFB" w14:textId="77777777">
      <w:pPr>
        <w:ind w:left="426"/>
        <w:jc w:val="both"/>
        <w:rPr>
          <w:rFonts w:ascii="Arial" w:hAnsi="Arial" w:cs="Arial"/>
          <w:sz w:val="22"/>
          <w:szCs w:val="22"/>
          <w:lang w:val="en-GB"/>
        </w:rPr>
      </w:pPr>
    </w:p>
    <w:p w:rsidRPr="00205B31" w:rsidR="00926D10" w:rsidP="009D510C" w:rsidRDefault="000A74CA" w14:paraId="427DB678" w14:textId="7BFDC182">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Pr="00205B31" w:rsidR="00926D10">
        <w:rPr>
          <w:rFonts w:ascii="Arial" w:hAnsi="Arial" w:cs="Arial"/>
          <w:sz w:val="22"/>
          <w:szCs w:val="22"/>
          <w:lang w:val="en-GB"/>
        </w:rPr>
        <w:t xml:space="preserve">correct </w:t>
      </w:r>
      <w:r w:rsidRPr="00205B31" w:rsidR="00426B64">
        <w:rPr>
          <w:rFonts w:ascii="Arial" w:hAnsi="Arial" w:cs="Arial"/>
          <w:sz w:val="22"/>
          <w:szCs w:val="22"/>
          <w:lang w:val="en-GB"/>
        </w:rPr>
        <w:t>because</w:t>
      </w:r>
      <w:r w:rsidRPr="00205B31" w:rsidR="00CB7283">
        <w:rPr>
          <w:rFonts w:ascii="Arial" w:hAnsi="Arial" w:cs="Arial"/>
          <w:sz w:val="22"/>
          <w:szCs w:val="22"/>
          <w:lang w:val="en-GB"/>
        </w:rPr>
        <w:t xml:space="preserve"> the prevalent approach of</w:t>
      </w:r>
      <w:r w:rsidRPr="00205B31" w:rsidR="00926D10">
        <w:rPr>
          <w:rFonts w:ascii="Arial" w:hAnsi="Arial" w:cs="Arial"/>
          <w:sz w:val="22"/>
          <w:szCs w:val="22"/>
          <w:lang w:val="en-GB"/>
        </w:rPr>
        <w:t xml:space="preserve"> </w:t>
      </w:r>
      <w:r w:rsidRPr="00205B31" w:rsidR="00CB7283">
        <w:rPr>
          <w:rFonts w:ascii="Arial" w:hAnsi="Arial" w:cs="Arial"/>
          <w:sz w:val="22"/>
          <w:szCs w:val="22"/>
          <w:lang w:val="en-GB"/>
        </w:rPr>
        <w:t xml:space="preserve">modified territoriality amounts to a universal embracement of universalism amongst the majority of States around the globe. </w:t>
      </w:r>
    </w:p>
    <w:p w:rsidRPr="00205B31" w:rsidR="002400DB" w:rsidP="009D510C" w:rsidRDefault="002400DB" w14:paraId="47919325" w14:textId="77777777">
      <w:pPr>
        <w:ind w:left="426"/>
        <w:jc w:val="both"/>
        <w:rPr>
          <w:rFonts w:ascii="Arial" w:hAnsi="Arial" w:cs="Arial"/>
          <w:sz w:val="22"/>
          <w:szCs w:val="22"/>
          <w:lang w:val="en-GB"/>
        </w:rPr>
      </w:pPr>
    </w:p>
    <w:p w:rsidRPr="00205B31" w:rsidR="00926D10" w:rsidP="009D510C" w:rsidRDefault="00926D10" w14:paraId="6BCDF47B" w14:textId="50F5998D">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Pr="00205B31" w:rsidR="00426B64">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Pr="00205B31" w:rsidR="002E66F4">
        <w:rPr>
          <w:rFonts w:ascii="Arial" w:hAnsi="Arial" w:cs="Arial"/>
          <w:sz w:val="22"/>
          <w:szCs w:val="22"/>
          <w:lang w:val="en-GB"/>
        </w:rPr>
        <w:t>-</w:t>
      </w:r>
      <w:r w:rsidRPr="00205B31">
        <w:rPr>
          <w:rFonts w:ascii="Arial" w:hAnsi="Arial" w:cs="Arial"/>
          <w:sz w:val="22"/>
          <w:szCs w:val="22"/>
          <w:lang w:val="en-GB"/>
        </w:rPr>
        <w:t xml:space="preserve">making bodies </w:t>
      </w:r>
      <w:r w:rsidRPr="00205B31" w:rsidR="0013278B">
        <w:rPr>
          <w:rFonts w:ascii="Arial" w:hAnsi="Arial" w:cs="Arial"/>
          <w:sz w:val="22"/>
          <w:szCs w:val="22"/>
          <w:lang w:val="en-GB"/>
        </w:rPr>
        <w:t>such as</w:t>
      </w:r>
      <w:r w:rsidRPr="00205B31">
        <w:rPr>
          <w:rFonts w:ascii="Arial" w:hAnsi="Arial" w:cs="Arial"/>
          <w:sz w:val="22"/>
          <w:szCs w:val="22"/>
          <w:lang w:val="en-GB"/>
        </w:rPr>
        <w:t xml:space="preserve"> the I</w:t>
      </w:r>
      <w:r w:rsidRPr="00205B31" w:rsidR="00426B64">
        <w:rPr>
          <w:rFonts w:ascii="Arial" w:hAnsi="Arial" w:cs="Arial"/>
          <w:sz w:val="22"/>
          <w:szCs w:val="22"/>
          <w:lang w:val="en-GB"/>
        </w:rPr>
        <w:t>nternational Monetary Fund</w:t>
      </w:r>
      <w:r w:rsidRPr="00205B31" w:rsidR="0013278B">
        <w:rPr>
          <w:rFonts w:ascii="Arial" w:hAnsi="Arial" w:cs="Arial"/>
          <w:sz w:val="22"/>
          <w:szCs w:val="22"/>
          <w:lang w:val="en-GB"/>
        </w:rPr>
        <w:t xml:space="preserve"> (IMF)</w:t>
      </w:r>
      <w:r w:rsidRPr="00205B31" w:rsidR="00426B64">
        <w:rPr>
          <w:rFonts w:ascii="Arial" w:hAnsi="Arial" w:cs="Arial"/>
          <w:sz w:val="22"/>
          <w:szCs w:val="22"/>
          <w:lang w:val="en-GB"/>
        </w:rPr>
        <w:t>, the W</w:t>
      </w:r>
      <w:r w:rsidRPr="00205B31">
        <w:rPr>
          <w:rFonts w:ascii="Arial" w:hAnsi="Arial" w:cs="Arial"/>
          <w:sz w:val="22"/>
          <w:szCs w:val="22"/>
          <w:lang w:val="en-GB"/>
        </w:rPr>
        <w:t xml:space="preserve">orld Bank </w:t>
      </w:r>
      <w:r w:rsidRPr="00205B31" w:rsidR="0094263A">
        <w:rPr>
          <w:rFonts w:ascii="Arial" w:hAnsi="Arial" w:cs="Arial"/>
          <w:sz w:val="22"/>
          <w:szCs w:val="22"/>
          <w:lang w:val="en-GB"/>
        </w:rPr>
        <w:t xml:space="preserve">Group </w:t>
      </w:r>
      <w:r w:rsidRPr="00205B31">
        <w:rPr>
          <w:rFonts w:ascii="Arial" w:hAnsi="Arial" w:cs="Arial"/>
          <w:sz w:val="22"/>
          <w:szCs w:val="22"/>
          <w:lang w:val="en-GB"/>
        </w:rPr>
        <w:t>and the U</w:t>
      </w:r>
      <w:r w:rsidRPr="00205B31" w:rsidR="00426B64">
        <w:rPr>
          <w:rFonts w:ascii="Arial" w:hAnsi="Arial" w:cs="Arial"/>
          <w:sz w:val="22"/>
          <w:szCs w:val="22"/>
          <w:lang w:val="en-GB"/>
        </w:rPr>
        <w:t xml:space="preserve">nited </w:t>
      </w:r>
      <w:r w:rsidRPr="00205B31">
        <w:rPr>
          <w:rFonts w:ascii="Arial" w:hAnsi="Arial" w:cs="Arial"/>
          <w:sz w:val="22"/>
          <w:szCs w:val="22"/>
          <w:lang w:val="en-GB"/>
        </w:rPr>
        <w:t>N</w:t>
      </w:r>
      <w:r w:rsidRPr="00205B31" w:rsidR="00426B64">
        <w:rPr>
          <w:rFonts w:ascii="Arial" w:hAnsi="Arial" w:cs="Arial"/>
          <w:sz w:val="22"/>
          <w:szCs w:val="22"/>
          <w:lang w:val="en-GB"/>
        </w:rPr>
        <w:t>ations</w:t>
      </w:r>
      <w:r w:rsidRPr="00205B31">
        <w:rPr>
          <w:rFonts w:ascii="Arial" w:hAnsi="Arial" w:cs="Arial"/>
          <w:sz w:val="22"/>
          <w:szCs w:val="22"/>
          <w:lang w:val="en-GB"/>
        </w:rPr>
        <w:t xml:space="preserve"> </w:t>
      </w:r>
      <w:r w:rsidRPr="00205B31" w:rsidR="00CB7283">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rsidRPr="00205B31" w:rsidR="00926D10" w:rsidP="00B7193E" w:rsidRDefault="00926D10" w14:paraId="58AB858A" w14:textId="77777777">
      <w:pPr>
        <w:autoSpaceDE w:val="0"/>
        <w:autoSpaceDN w:val="0"/>
        <w:adjustRightInd w:val="0"/>
        <w:spacing w:line="276" w:lineRule="auto"/>
        <w:jc w:val="both"/>
        <w:rPr>
          <w:rFonts w:ascii="Arial" w:hAnsi="Arial" w:cs="Arial"/>
          <w:sz w:val="22"/>
          <w:szCs w:val="22"/>
          <w:lang w:val="en-GB"/>
        </w:rPr>
      </w:pPr>
    </w:p>
    <w:p w:rsidRPr="00205B31" w:rsidR="00E9597C" w:rsidP="00B7193E" w:rsidRDefault="00E9597C" w14:paraId="462DBC77" w14:textId="41C248FC">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rsidRPr="00205B31" w:rsidR="00E9597C" w:rsidP="00B7193E" w:rsidRDefault="00E9597C" w14:paraId="2411DCA7" w14:textId="77777777">
      <w:pPr>
        <w:autoSpaceDE w:val="0"/>
        <w:autoSpaceDN w:val="0"/>
        <w:adjustRightInd w:val="0"/>
        <w:spacing w:line="276" w:lineRule="auto"/>
        <w:jc w:val="both"/>
        <w:rPr>
          <w:rFonts w:ascii="Arial" w:hAnsi="Arial" w:cs="Arial"/>
          <w:sz w:val="22"/>
          <w:szCs w:val="22"/>
          <w:lang w:val="en-GB"/>
        </w:rPr>
      </w:pPr>
    </w:p>
    <w:p w:rsidRPr="00205B31" w:rsidR="000329A6" w:rsidP="00B7193E" w:rsidRDefault="006A695F" w14:paraId="78958053" w14:textId="004A61C9">
      <w:pPr>
        <w:autoSpaceDE w:val="0"/>
        <w:autoSpaceDN w:val="0"/>
        <w:adjustRightInd w:val="0"/>
        <w:spacing w:line="276" w:lineRule="auto"/>
        <w:jc w:val="both"/>
        <w:rPr>
          <w:rFonts w:ascii="Arial" w:hAnsi="Arial" w:cs="Arial" w:eastAsiaTheme="majorEastAsia"/>
          <w:sz w:val="22"/>
          <w:szCs w:val="22"/>
          <w:lang w:val="en-GB"/>
        </w:rPr>
      </w:pPr>
      <w:bookmarkStart w:name="_Hlk75699137" w:id="0"/>
      <w:r w:rsidRPr="00205B31">
        <w:rPr>
          <w:rFonts w:ascii="Arial" w:hAnsi="Arial" w:cs="Arial"/>
          <w:sz w:val="22"/>
          <w:szCs w:val="22"/>
          <w:lang w:val="en-GB"/>
        </w:rPr>
        <w:t xml:space="preserve">A number of initiatives have been </w:t>
      </w:r>
      <w:r w:rsidRPr="00205B31" w:rsidR="00B51975">
        <w:rPr>
          <w:rFonts w:ascii="Arial" w:hAnsi="Arial" w:cs="Arial"/>
          <w:sz w:val="22"/>
          <w:szCs w:val="22"/>
          <w:lang w:val="en-GB"/>
        </w:rPr>
        <w:t>pursued</w:t>
      </w:r>
      <w:r w:rsidRPr="00205B31">
        <w:rPr>
          <w:rFonts w:ascii="Arial" w:hAnsi="Arial" w:cs="Arial"/>
          <w:sz w:val="22"/>
          <w:szCs w:val="22"/>
          <w:lang w:val="en-GB"/>
        </w:rPr>
        <w:t xml:space="preserve"> in </w:t>
      </w:r>
      <w:r w:rsidRPr="00205B31" w:rsidR="00B51975">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Pr="00205B31" w:rsidR="00B51975">
        <w:rPr>
          <w:rFonts w:ascii="Arial" w:hAnsi="Arial" w:cs="Arial"/>
          <w:sz w:val="22"/>
          <w:szCs w:val="22"/>
          <w:lang w:val="en-GB"/>
        </w:rPr>
        <w:t>stimulate</w:t>
      </w:r>
      <w:r w:rsidRPr="00205B31">
        <w:rPr>
          <w:rFonts w:ascii="Arial" w:hAnsi="Arial" w:cs="Arial"/>
          <w:sz w:val="22"/>
          <w:szCs w:val="22"/>
          <w:lang w:val="en-GB"/>
        </w:rPr>
        <w:t xml:space="preserve"> debate and to </w:t>
      </w:r>
      <w:r w:rsidRPr="00205B31" w:rsidR="00B51975">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Pr="00205B31" w:rsidR="00B3503B">
        <w:rPr>
          <w:rFonts w:ascii="Arial" w:hAnsi="Arial" w:cs="Arial"/>
          <w:b/>
          <w:bCs/>
          <w:sz w:val="22"/>
          <w:szCs w:val="22"/>
          <w:u w:val="single"/>
          <w:lang w:val="en-GB"/>
        </w:rPr>
        <w:t>most accurate</w:t>
      </w:r>
      <w:r w:rsidRPr="00205B31" w:rsidR="00B3503B">
        <w:rPr>
          <w:rFonts w:ascii="Arial" w:hAnsi="Arial" w:cs="Arial"/>
          <w:sz w:val="22"/>
          <w:szCs w:val="22"/>
          <w:lang w:val="en-GB"/>
        </w:rPr>
        <w:t xml:space="preserve"> </w:t>
      </w:r>
      <w:r w:rsidRPr="00205B31">
        <w:rPr>
          <w:rFonts w:ascii="Arial" w:hAnsi="Arial" w:cs="Arial"/>
          <w:sz w:val="22"/>
          <w:szCs w:val="22"/>
          <w:lang w:val="en-GB"/>
        </w:rPr>
        <w:t xml:space="preserve">regarding </w:t>
      </w:r>
      <w:r w:rsidRPr="00205B31" w:rsidR="00336CA6">
        <w:rPr>
          <w:rFonts w:ascii="Arial" w:hAnsi="Arial" w:cs="Arial"/>
          <w:sz w:val="22"/>
          <w:szCs w:val="22"/>
          <w:lang w:val="en-GB"/>
        </w:rPr>
        <w:t xml:space="preserve">the World Bank’s </w:t>
      </w:r>
      <w:r w:rsidRPr="00205B31" w:rsidR="00542E08">
        <w:rPr>
          <w:rFonts w:ascii="Arial" w:hAnsi="Arial" w:cs="Arial"/>
          <w:i/>
          <w:iCs/>
          <w:sz w:val="22"/>
          <w:szCs w:val="22"/>
          <w:lang w:val="en-GB"/>
        </w:rPr>
        <w:t>Principles for Effective Insolvency and Creditor</w:t>
      </w:r>
      <w:r w:rsidRPr="00205B31" w:rsidR="00AA23CE">
        <w:rPr>
          <w:rFonts w:ascii="Arial" w:hAnsi="Arial" w:cs="Arial"/>
          <w:i/>
          <w:iCs/>
          <w:sz w:val="22"/>
          <w:szCs w:val="22"/>
          <w:lang w:val="en-GB"/>
        </w:rPr>
        <w:t xml:space="preserve"> </w:t>
      </w:r>
      <w:r w:rsidRPr="00205B31" w:rsidR="00542E08">
        <w:rPr>
          <w:rFonts w:ascii="Arial" w:hAnsi="Arial" w:cs="Arial"/>
          <w:i/>
          <w:iCs/>
          <w:sz w:val="22"/>
          <w:szCs w:val="22"/>
          <w:lang w:val="en-GB"/>
        </w:rPr>
        <w:t>/</w:t>
      </w:r>
      <w:r w:rsidRPr="00205B31" w:rsidR="009D510C">
        <w:rPr>
          <w:rFonts w:ascii="Arial" w:hAnsi="Arial" w:cs="Arial"/>
          <w:i/>
          <w:iCs/>
          <w:sz w:val="22"/>
          <w:szCs w:val="22"/>
          <w:lang w:val="en-GB"/>
        </w:rPr>
        <w:t xml:space="preserve"> </w:t>
      </w:r>
      <w:r w:rsidRPr="00205B31" w:rsidR="00542E08">
        <w:rPr>
          <w:rFonts w:ascii="Arial" w:hAnsi="Arial" w:cs="Arial"/>
          <w:i/>
          <w:iCs/>
          <w:sz w:val="22"/>
          <w:szCs w:val="22"/>
          <w:lang w:val="en-GB"/>
        </w:rPr>
        <w:t>Debtor Regimes</w:t>
      </w:r>
      <w:r w:rsidRPr="00205B31" w:rsidR="00B51975">
        <w:rPr>
          <w:rFonts w:ascii="Arial" w:hAnsi="Arial" w:cs="Arial"/>
          <w:sz w:val="22"/>
          <w:szCs w:val="22"/>
          <w:lang w:val="en-GB"/>
        </w:rPr>
        <w:t>?</w:t>
      </w:r>
    </w:p>
    <w:bookmarkEnd w:id="0"/>
    <w:p w:rsidRPr="00205B31" w:rsidR="009078CE" w:rsidP="00B7193E" w:rsidRDefault="009078CE" w14:paraId="0C814F4C" w14:textId="77777777">
      <w:pPr>
        <w:autoSpaceDE w:val="0"/>
        <w:autoSpaceDN w:val="0"/>
        <w:adjustRightInd w:val="0"/>
        <w:spacing w:line="276" w:lineRule="auto"/>
        <w:jc w:val="both"/>
        <w:rPr>
          <w:rFonts w:ascii="Arial" w:hAnsi="Arial" w:cs="Arial"/>
          <w:sz w:val="22"/>
          <w:szCs w:val="22"/>
          <w:lang w:val="en-GB"/>
        </w:rPr>
      </w:pPr>
    </w:p>
    <w:p w:rsidRPr="00205B31" w:rsidR="00E9597C" w:rsidP="00C570AC" w:rsidRDefault="00396CE5" w14:paraId="3209F289" w14:textId="22BEACB9">
      <w:pPr>
        <w:pStyle w:val="ListParagraph"/>
        <w:numPr>
          <w:ilvl w:val="0"/>
          <w:numId w:val="6"/>
        </w:numPr>
        <w:ind w:left="426"/>
        <w:jc w:val="both"/>
        <w:rPr>
          <w:rFonts w:ascii="Arial" w:hAnsi="Arial" w:cs="Arial" w:eastAsiaTheme="minorHAnsi"/>
          <w:sz w:val="22"/>
          <w:szCs w:val="22"/>
          <w:lang w:val="en-GB"/>
        </w:rPr>
      </w:pPr>
      <w:r w:rsidRPr="00205B31">
        <w:rPr>
          <w:rFonts w:ascii="Arial" w:hAnsi="Arial" w:cs="Arial" w:eastAsiaTheme="minorHAnsi"/>
          <w:sz w:val="22"/>
          <w:szCs w:val="22"/>
          <w:lang w:val="en-GB"/>
        </w:rPr>
        <w:t>They</w:t>
      </w:r>
      <w:r w:rsidRPr="00205B31" w:rsidR="002C1227">
        <w:rPr>
          <w:rFonts w:ascii="Arial" w:hAnsi="Arial" w:cs="Arial" w:eastAsiaTheme="minorHAnsi"/>
          <w:sz w:val="22"/>
          <w:szCs w:val="22"/>
          <w:lang w:val="en-GB"/>
        </w:rPr>
        <w:t xml:space="preserve"> were developed in </w:t>
      </w:r>
      <w:r w:rsidRPr="00205B31" w:rsidR="00B87A61">
        <w:rPr>
          <w:rFonts w:ascii="Arial" w:hAnsi="Arial" w:cs="Arial" w:eastAsiaTheme="minorHAnsi"/>
          <w:sz w:val="22"/>
          <w:szCs w:val="22"/>
          <w:lang w:val="en-GB"/>
        </w:rPr>
        <w:t>2000</w:t>
      </w:r>
      <w:r w:rsidRPr="00205B31" w:rsidR="002C1227">
        <w:rPr>
          <w:rFonts w:ascii="Arial" w:hAnsi="Arial" w:cs="Arial" w:eastAsiaTheme="minorHAnsi"/>
          <w:sz w:val="22"/>
          <w:szCs w:val="22"/>
          <w:lang w:val="en-GB"/>
        </w:rPr>
        <w:t xml:space="preserve"> and are the international best practice standards for insolvency regimes. </w:t>
      </w:r>
    </w:p>
    <w:p w:rsidRPr="00205B31" w:rsidR="002400DB" w:rsidP="00C570AC" w:rsidRDefault="002400DB" w14:paraId="20BD3CC4" w14:textId="77777777">
      <w:pPr>
        <w:ind w:left="426" w:hanging="360"/>
        <w:jc w:val="both"/>
        <w:rPr>
          <w:rFonts w:ascii="Arial" w:hAnsi="Arial" w:cs="Arial" w:eastAsiaTheme="minorHAnsi"/>
          <w:sz w:val="22"/>
          <w:szCs w:val="22"/>
          <w:lang w:val="en-GB"/>
        </w:rPr>
      </w:pPr>
    </w:p>
    <w:p w:rsidRPr="00205B31" w:rsidR="002400DB" w:rsidP="00C570AC" w:rsidRDefault="000329A6" w14:paraId="6748FBE1" w14:textId="764D3DDE" w14:noSpellErr="1">
      <w:pPr>
        <w:pStyle w:val="ListParagraph"/>
        <w:numPr>
          <w:ilvl w:val="0"/>
          <w:numId w:val="6"/>
        </w:numPr>
        <w:ind w:left="426"/>
        <w:jc w:val="both"/>
        <w:rPr>
          <w:rFonts w:ascii="Arial" w:hAnsi="Arial" w:cs="Arial"/>
          <w:sz w:val="22"/>
          <w:szCs w:val="22"/>
          <w:lang w:val="en-GB"/>
        </w:rPr>
      </w:pPr>
      <w:r w:rsidRPr="410F0EA9" w:rsidR="410F0EA9">
        <w:rPr>
          <w:rFonts w:ascii="Arial" w:hAnsi="Arial" w:eastAsia="Calibri" w:cs="Arial" w:eastAsiaTheme="minorAscii"/>
          <w:sz w:val="22"/>
          <w:szCs w:val="22"/>
          <w:highlight w:val="yellow"/>
          <w:lang w:val="en-GB"/>
        </w:rPr>
        <w:t xml:space="preserve">They were recently revised in 2021 and, together with the </w:t>
      </w:r>
      <w:r w:rsidRPr="410F0EA9" w:rsidR="410F0EA9">
        <w:rPr>
          <w:rFonts w:ascii="Arial" w:hAnsi="Arial" w:cs="Arial"/>
          <w:sz w:val="22"/>
          <w:szCs w:val="22"/>
          <w:highlight w:val="yellow"/>
          <w:lang w:val="en-GB"/>
        </w:rPr>
        <w:t>UNCITRAL Legislative Guide, form the international best practice standard for insolvency regimes.</w:t>
      </w:r>
    </w:p>
    <w:p w:rsidRPr="00205B31" w:rsidR="00310FC2" w:rsidP="00C570AC" w:rsidRDefault="00310FC2" w14:paraId="59FC3ADE" w14:textId="77777777">
      <w:pPr>
        <w:pStyle w:val="ListParagraph"/>
        <w:ind w:left="426" w:hanging="360"/>
        <w:jc w:val="both"/>
        <w:rPr>
          <w:rFonts w:ascii="Arial" w:hAnsi="Arial" w:cs="Arial"/>
          <w:sz w:val="22"/>
          <w:szCs w:val="22"/>
          <w:lang w:val="en-GB"/>
        </w:rPr>
      </w:pPr>
    </w:p>
    <w:p w:rsidRPr="00205B31" w:rsidR="00E9597C" w:rsidP="00C570AC" w:rsidRDefault="00AC126D" w14:paraId="191AFD3F" w14:textId="2D782C6E">
      <w:pPr>
        <w:pStyle w:val="ListParagraph"/>
        <w:numPr>
          <w:ilvl w:val="0"/>
          <w:numId w:val="6"/>
        </w:numPr>
        <w:ind w:left="426"/>
        <w:jc w:val="both"/>
        <w:rPr>
          <w:rFonts w:ascii="Arial" w:hAnsi="Arial" w:cs="Arial" w:eastAsiaTheme="minorHAnsi"/>
          <w:sz w:val="22"/>
          <w:szCs w:val="22"/>
          <w:lang w:val="en-GB"/>
        </w:rPr>
      </w:pPr>
      <w:r w:rsidRPr="00205B31">
        <w:rPr>
          <w:rFonts w:ascii="Arial" w:hAnsi="Arial" w:cs="Arial" w:eastAsiaTheme="minorHAnsi"/>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Pr="00205B31" w:rsidR="0006130F">
        <w:rPr>
          <w:rFonts w:ascii="Arial" w:hAnsi="Arial" w:cs="Arial"/>
          <w:sz w:val="22"/>
          <w:szCs w:val="22"/>
          <w:lang w:val="en-GB"/>
        </w:rPr>
        <w:t>form the international best practice standard for insolvency regimes.</w:t>
      </w:r>
    </w:p>
    <w:p w:rsidRPr="00205B31" w:rsidR="00AC126D" w:rsidP="00C570AC" w:rsidRDefault="00AC126D" w14:paraId="33F6C20F" w14:textId="77777777">
      <w:pPr>
        <w:ind w:left="426" w:hanging="360"/>
        <w:jc w:val="both"/>
        <w:rPr>
          <w:rFonts w:ascii="Arial" w:hAnsi="Arial" w:cs="Arial" w:eastAsiaTheme="minorHAnsi"/>
          <w:sz w:val="22"/>
          <w:szCs w:val="22"/>
          <w:lang w:val="en-GB"/>
        </w:rPr>
      </w:pPr>
    </w:p>
    <w:p w:rsidRPr="00205B31" w:rsidR="00811865" w:rsidP="00C570AC" w:rsidRDefault="00811865" w14:paraId="2DE2BEC1" w14:textId="4200A2F3">
      <w:pPr>
        <w:pStyle w:val="ListParagraph"/>
        <w:numPr>
          <w:ilvl w:val="0"/>
          <w:numId w:val="6"/>
        </w:numPr>
        <w:ind w:left="426"/>
        <w:jc w:val="both"/>
        <w:rPr>
          <w:rFonts w:ascii="Arial" w:hAnsi="Arial" w:cs="Arial" w:eastAsiaTheme="minorHAnsi"/>
          <w:sz w:val="22"/>
          <w:szCs w:val="22"/>
          <w:lang w:val="en-GB"/>
        </w:rPr>
      </w:pPr>
      <w:r w:rsidRPr="00205B31">
        <w:rPr>
          <w:rFonts w:ascii="Arial" w:hAnsi="Arial" w:cs="Arial" w:eastAsiaTheme="minorHAnsi"/>
          <w:sz w:val="22"/>
          <w:szCs w:val="22"/>
          <w:lang w:val="en-GB"/>
        </w:rPr>
        <w:t xml:space="preserve">They were </w:t>
      </w:r>
      <w:r w:rsidRPr="00205B31" w:rsidR="00FE6330">
        <w:rPr>
          <w:rFonts w:ascii="Arial" w:hAnsi="Arial" w:cs="Arial" w:eastAsiaTheme="minorHAnsi"/>
          <w:sz w:val="22"/>
          <w:szCs w:val="22"/>
          <w:lang w:val="en-GB"/>
        </w:rPr>
        <w:t>initially released in 2011</w:t>
      </w:r>
      <w:r w:rsidRPr="00205B31">
        <w:rPr>
          <w:rFonts w:ascii="Arial" w:hAnsi="Arial" w:cs="Arial" w:eastAsiaTheme="minorHAnsi"/>
          <w:sz w:val="22"/>
          <w:szCs w:val="22"/>
          <w:lang w:val="en-GB"/>
        </w:rPr>
        <w:t xml:space="preserve"> and are the international best practice standards for insolvency regimes. </w:t>
      </w:r>
    </w:p>
    <w:p w:rsidRPr="00205B31" w:rsidR="00E9597C" w:rsidP="009C2628" w:rsidRDefault="00E9597C" w14:paraId="3B72086B" w14:textId="6EBCC50E">
      <w:pPr>
        <w:pStyle w:val="ListParagraph"/>
        <w:ind w:left="426"/>
        <w:jc w:val="both"/>
        <w:rPr>
          <w:rFonts w:ascii="Arial" w:hAnsi="Arial" w:cs="Arial" w:eastAsiaTheme="minorHAnsi"/>
          <w:sz w:val="22"/>
          <w:szCs w:val="22"/>
          <w:lang w:val="en-GB"/>
        </w:rPr>
      </w:pPr>
    </w:p>
    <w:p w:rsidRPr="00205B31" w:rsidR="00E9597C" w:rsidP="00B7193E" w:rsidRDefault="00E9597C" w14:paraId="2A9B1C75" w14:textId="77777777">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rsidRPr="00205B31" w:rsidR="00E9597C" w:rsidP="00B7193E" w:rsidRDefault="00E9597C" w14:paraId="524461BA" w14:textId="77777777">
      <w:pPr>
        <w:spacing w:line="276" w:lineRule="auto"/>
        <w:jc w:val="both"/>
        <w:rPr>
          <w:rFonts w:ascii="Arial" w:hAnsi="Arial" w:cs="Arial"/>
          <w:sz w:val="22"/>
          <w:szCs w:val="22"/>
          <w:lang w:val="en-GB"/>
        </w:rPr>
      </w:pPr>
    </w:p>
    <w:p w:rsidRPr="00205B31" w:rsidR="00E9597C" w:rsidP="002173C5" w:rsidRDefault="00E9597C" w14:paraId="687A1C45" w14:textId="695502A0">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sidR="00B9417E">
        <w:rPr>
          <w:rFonts w:ascii="Arial" w:hAnsi="Arial" w:cs="Arial"/>
          <w:b/>
          <w:bCs/>
          <w:sz w:val="22"/>
          <w:szCs w:val="22"/>
          <w:u w:val="single"/>
          <w:lang w:val="en-GB"/>
        </w:rPr>
        <w:t>do</w:t>
      </w:r>
      <w:r w:rsidRPr="00205B31" w:rsidR="002D295D">
        <w:rPr>
          <w:rFonts w:ascii="Arial" w:hAnsi="Arial" w:cs="Arial"/>
          <w:b/>
          <w:bCs/>
          <w:sz w:val="22"/>
          <w:szCs w:val="22"/>
          <w:u w:val="single"/>
          <w:lang w:val="en-GB"/>
        </w:rPr>
        <w:t>es</w:t>
      </w:r>
      <w:r w:rsidRPr="00205B31" w:rsidR="00B9417E">
        <w:rPr>
          <w:rFonts w:ascii="Arial" w:hAnsi="Arial" w:cs="Arial"/>
          <w:b/>
          <w:bCs/>
          <w:sz w:val="22"/>
          <w:szCs w:val="22"/>
          <w:u w:val="single"/>
          <w:lang w:val="en-GB"/>
        </w:rPr>
        <w:t xml:space="preserve"> not</w:t>
      </w:r>
      <w:r w:rsidRPr="00205B31" w:rsidR="00B9417E">
        <w:rPr>
          <w:rFonts w:ascii="Arial" w:hAnsi="Arial" w:cs="Arial"/>
          <w:b/>
          <w:bCs/>
          <w:sz w:val="22"/>
          <w:szCs w:val="22"/>
          <w:lang w:val="en-GB"/>
        </w:rPr>
        <w:t xml:space="preserve"> </w:t>
      </w:r>
      <w:r w:rsidRPr="00205B31" w:rsidR="00076483">
        <w:rPr>
          <w:rFonts w:ascii="Arial" w:hAnsi="Arial" w:cs="Arial"/>
          <w:sz w:val="22"/>
          <w:szCs w:val="22"/>
          <w:lang w:val="en-GB"/>
        </w:rPr>
        <w:t>focus on</w:t>
      </w:r>
      <w:r w:rsidRPr="00205B31" w:rsidR="00B9417E">
        <w:rPr>
          <w:rFonts w:ascii="Arial" w:hAnsi="Arial" w:cs="Arial"/>
          <w:sz w:val="22"/>
          <w:szCs w:val="22"/>
          <w:lang w:val="en-GB"/>
        </w:rPr>
        <w:t xml:space="preserve"> communication among States</w:t>
      </w:r>
      <w:r w:rsidRPr="00205B31" w:rsidR="002D295D">
        <w:rPr>
          <w:rFonts w:ascii="Arial" w:hAnsi="Arial" w:cs="Arial"/>
          <w:sz w:val="22"/>
          <w:szCs w:val="22"/>
          <w:lang w:val="en-GB"/>
        </w:rPr>
        <w:t xml:space="preserve"> in international insolvencies</w:t>
      </w:r>
      <w:r w:rsidRPr="00205B31" w:rsidR="00B9417E">
        <w:rPr>
          <w:rFonts w:ascii="Arial" w:hAnsi="Arial" w:cs="Arial"/>
          <w:sz w:val="22"/>
          <w:szCs w:val="22"/>
          <w:lang w:val="en-GB"/>
        </w:rPr>
        <w:t>?</w:t>
      </w:r>
    </w:p>
    <w:p w:rsidRPr="00205B31" w:rsidR="00295742" w:rsidP="00180B1E" w:rsidRDefault="00295742" w14:paraId="503ECD12" w14:textId="2BA5364D">
      <w:pPr>
        <w:spacing w:line="276" w:lineRule="auto"/>
        <w:ind w:left="709" w:hanging="425"/>
        <w:jc w:val="both"/>
        <w:rPr>
          <w:rFonts w:ascii="Arial" w:hAnsi="Arial" w:cs="Arial"/>
          <w:sz w:val="22"/>
          <w:szCs w:val="22"/>
          <w:lang w:val="en-GB"/>
        </w:rPr>
      </w:pPr>
    </w:p>
    <w:p w:rsidRPr="00205B31" w:rsidR="00E9597C" w:rsidP="00275182" w:rsidRDefault="002D295D" w14:paraId="25E0641D" w14:textId="79F3A1A1">
      <w:pPr>
        <w:pStyle w:val="ListParagraph"/>
        <w:numPr>
          <w:ilvl w:val="0"/>
          <w:numId w:val="16"/>
        </w:numPr>
        <w:ind w:left="426"/>
        <w:jc w:val="both"/>
        <w:rPr>
          <w:rFonts w:ascii="Arial" w:hAnsi="Arial" w:cs="Arial" w:eastAsiaTheme="minorHAnsi"/>
          <w:sz w:val="22"/>
          <w:szCs w:val="22"/>
          <w:lang w:val="en-GB"/>
        </w:rPr>
      </w:pPr>
      <w:r w:rsidRPr="00205B31">
        <w:rPr>
          <w:rFonts w:ascii="Arial" w:hAnsi="Arial" w:cs="Arial"/>
          <w:sz w:val="22"/>
          <w:szCs w:val="22"/>
          <w:lang w:val="en-GB"/>
        </w:rPr>
        <w:t>ALI - III Global Guidelines for Court-to-Court Communications in International Insolvency Cases</w:t>
      </w:r>
      <w:r w:rsidRPr="00205B31" w:rsidR="00966E44">
        <w:rPr>
          <w:rFonts w:ascii="Arial" w:hAnsi="Arial" w:cs="Arial"/>
          <w:sz w:val="22"/>
          <w:szCs w:val="22"/>
          <w:lang w:val="en-GB"/>
        </w:rPr>
        <w:t>.</w:t>
      </w:r>
    </w:p>
    <w:p w:rsidRPr="00205B31" w:rsidR="00295742" w:rsidP="00275182" w:rsidRDefault="00295742" w14:paraId="179FD560" w14:textId="77777777">
      <w:pPr>
        <w:ind w:left="426"/>
        <w:jc w:val="both"/>
        <w:rPr>
          <w:rFonts w:ascii="Arial" w:hAnsi="Arial" w:cs="Arial" w:eastAsiaTheme="minorHAnsi"/>
          <w:sz w:val="22"/>
          <w:szCs w:val="22"/>
          <w:lang w:val="en-GB"/>
        </w:rPr>
      </w:pPr>
    </w:p>
    <w:p w:rsidRPr="00205B31" w:rsidR="00E9597C" w:rsidP="00275182" w:rsidRDefault="00197963" w14:paraId="2C6D6568" w14:textId="128C91DB">
      <w:pPr>
        <w:pStyle w:val="ListParagraph"/>
        <w:numPr>
          <w:ilvl w:val="0"/>
          <w:numId w:val="16"/>
        </w:numPr>
        <w:ind w:left="426"/>
        <w:jc w:val="both"/>
        <w:rPr>
          <w:rFonts w:ascii="Arial" w:hAnsi="Arial" w:cs="Arial" w:eastAsiaTheme="minorHAnsi"/>
          <w:sz w:val="22"/>
          <w:szCs w:val="22"/>
          <w:lang w:val="en-GB"/>
        </w:rPr>
      </w:pPr>
      <w:r w:rsidRPr="00205B31">
        <w:rPr>
          <w:rFonts w:ascii="Arial" w:hAnsi="Arial" w:cs="Arial"/>
          <w:sz w:val="22"/>
          <w:szCs w:val="22"/>
          <w:shd w:val="clear" w:color="auto" w:fill="FFFFFF"/>
          <w:lang w:val="en-GB"/>
        </w:rPr>
        <w:t>The JIN Guidelines</w:t>
      </w:r>
      <w:r w:rsidRPr="00205B31" w:rsidR="00966E44">
        <w:rPr>
          <w:rFonts w:ascii="Arial" w:hAnsi="Arial" w:cs="Arial"/>
          <w:sz w:val="22"/>
          <w:szCs w:val="22"/>
          <w:shd w:val="clear" w:color="auto" w:fill="FFFFFF"/>
          <w:lang w:val="en-GB"/>
        </w:rPr>
        <w:t>.</w:t>
      </w:r>
    </w:p>
    <w:p w:rsidRPr="00205B31" w:rsidR="00295742" w:rsidP="00275182" w:rsidRDefault="00295742" w14:paraId="72A3B5F7" w14:textId="77777777">
      <w:pPr>
        <w:ind w:left="426"/>
        <w:jc w:val="both"/>
        <w:rPr>
          <w:rFonts w:ascii="Arial" w:hAnsi="Arial" w:cs="Arial" w:eastAsiaTheme="minorHAnsi"/>
          <w:sz w:val="22"/>
          <w:szCs w:val="22"/>
          <w:lang w:val="en-GB"/>
        </w:rPr>
      </w:pPr>
    </w:p>
    <w:p w:rsidRPr="00205B31" w:rsidR="008A30C3" w:rsidP="00275182" w:rsidRDefault="00470C55" w14:paraId="1F64B374" w14:textId="35C4357B">
      <w:pPr>
        <w:pStyle w:val="ListParagraph"/>
        <w:numPr>
          <w:ilvl w:val="0"/>
          <w:numId w:val="16"/>
        </w:numPr>
        <w:ind w:left="426"/>
        <w:jc w:val="both"/>
        <w:rPr>
          <w:rFonts w:ascii="Arial" w:hAnsi="Arial" w:cs="Arial" w:eastAsiaTheme="minorHAnsi"/>
          <w:sz w:val="22"/>
          <w:szCs w:val="22"/>
          <w:lang w:val="en-GB"/>
        </w:rPr>
      </w:pPr>
      <w:r w:rsidRPr="00205B31">
        <w:rPr>
          <w:rFonts w:ascii="Arial" w:hAnsi="Arial" w:cs="Arial" w:eastAsiaTheme="minorHAnsi"/>
          <w:sz w:val="22"/>
          <w:szCs w:val="22"/>
          <w:lang w:val="en-GB"/>
        </w:rPr>
        <w:t xml:space="preserve">The </w:t>
      </w:r>
      <w:r w:rsidRPr="00205B31">
        <w:rPr>
          <w:rFonts w:ascii="Arial" w:hAnsi="Arial" w:cs="Arial"/>
          <w:sz w:val="22"/>
          <w:szCs w:val="22"/>
          <w:lang w:val="en-GB"/>
        </w:rPr>
        <w:t>JIN Modalities</w:t>
      </w:r>
      <w:r w:rsidRPr="00205B31" w:rsidR="00966E44">
        <w:rPr>
          <w:rFonts w:ascii="Arial" w:hAnsi="Arial" w:cs="Arial"/>
          <w:sz w:val="22"/>
          <w:szCs w:val="22"/>
          <w:lang w:val="en-GB"/>
        </w:rPr>
        <w:t>.</w:t>
      </w:r>
    </w:p>
    <w:p w:rsidRPr="00205B31" w:rsidR="00295742" w:rsidP="00275182" w:rsidRDefault="00295742" w14:paraId="523FDED9" w14:textId="77777777">
      <w:pPr>
        <w:ind w:left="426"/>
        <w:jc w:val="both"/>
        <w:rPr>
          <w:rFonts w:ascii="Arial" w:hAnsi="Arial" w:cs="Arial" w:eastAsiaTheme="minorHAnsi"/>
          <w:sz w:val="22"/>
          <w:szCs w:val="22"/>
          <w:lang w:val="en-GB"/>
        </w:rPr>
      </w:pPr>
    </w:p>
    <w:p w:rsidRPr="00205B31" w:rsidR="00E9597C" w:rsidP="410F0EA9" w:rsidRDefault="00470C55" w14:paraId="7BD81B72" w14:textId="43448EFE" w14:noSpellErr="1">
      <w:pPr>
        <w:pStyle w:val="ListParagraph"/>
        <w:numPr>
          <w:ilvl w:val="0"/>
          <w:numId w:val="16"/>
        </w:numPr>
        <w:ind w:left="426"/>
        <w:jc w:val="both"/>
        <w:rPr>
          <w:rFonts w:ascii="Arial" w:hAnsi="Arial" w:eastAsia="Calibri" w:cs="Arial" w:eastAsiaTheme="minorAscii"/>
          <w:sz w:val="22"/>
          <w:szCs w:val="22"/>
          <w:lang w:val="en-GB"/>
        </w:rPr>
      </w:pPr>
      <w:r w:rsidRPr="410F0EA9" w:rsidR="410F0EA9">
        <w:rPr>
          <w:rFonts w:ascii="Arial" w:hAnsi="Arial" w:eastAsia="Calibri" w:cs="Arial" w:eastAsiaTheme="minorAscii"/>
          <w:sz w:val="22"/>
          <w:szCs w:val="22"/>
          <w:highlight w:val="yellow"/>
          <w:lang w:val="en-GB"/>
        </w:rPr>
        <w:t xml:space="preserve">The Nordic Convention </w:t>
      </w:r>
      <w:r w:rsidRPr="410F0EA9" w:rsidR="410F0EA9">
        <w:rPr>
          <w:rFonts w:ascii="Arial" w:hAnsi="Arial" w:eastAsia="Calibri" w:cs="Arial" w:eastAsiaTheme="minorAscii"/>
          <w:sz w:val="22"/>
          <w:szCs w:val="22"/>
          <w:highlight w:val="yellow"/>
          <w:lang w:val="en-GB"/>
        </w:rPr>
        <w:t>1933</w:t>
      </w:r>
      <w:r w:rsidRPr="410F0EA9" w:rsidR="410F0EA9">
        <w:rPr>
          <w:rFonts w:ascii="Arial" w:hAnsi="Arial" w:eastAsia="Calibri" w:cs="Arial" w:eastAsiaTheme="minorAscii"/>
          <w:sz w:val="22"/>
          <w:szCs w:val="22"/>
          <w:highlight w:val="yellow"/>
          <w:lang w:val="en-GB"/>
        </w:rPr>
        <w:t>.</w:t>
      </w:r>
    </w:p>
    <w:p w:rsidRPr="00205B31" w:rsidR="00E9597C" w:rsidP="00B7193E" w:rsidRDefault="00E9597C" w14:paraId="2CA1EE5C" w14:textId="3882249B">
      <w:pPr>
        <w:spacing w:line="276" w:lineRule="auto"/>
        <w:jc w:val="both"/>
        <w:rPr>
          <w:rFonts w:ascii="Arial" w:hAnsi="Arial" w:cs="Arial" w:eastAsiaTheme="minorHAnsi"/>
          <w:sz w:val="22"/>
          <w:szCs w:val="22"/>
          <w:lang w:val="en-GB"/>
        </w:rPr>
      </w:pPr>
    </w:p>
    <w:p w:rsidRPr="00205B31" w:rsidR="00E9597C" w:rsidP="00B7193E" w:rsidRDefault="00E9597C" w14:paraId="2542F9D9" w14:textId="433CDD9A">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rsidRPr="00205B31" w:rsidR="00E9597C" w:rsidP="00B7193E" w:rsidRDefault="00E9597C" w14:paraId="2E73BC84" w14:textId="77777777">
      <w:pPr>
        <w:spacing w:line="276" w:lineRule="auto"/>
        <w:jc w:val="both"/>
        <w:rPr>
          <w:rFonts w:ascii="Arial" w:hAnsi="Arial" w:cs="Arial"/>
          <w:sz w:val="22"/>
          <w:szCs w:val="22"/>
          <w:lang w:val="en-GB"/>
        </w:rPr>
      </w:pPr>
    </w:p>
    <w:p w:rsidRPr="00205B31" w:rsidR="00FD0169" w:rsidP="00B7193E" w:rsidRDefault="00E86549" w14:paraId="66F9DE58" w14:textId="640CDFA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Pr="00205B31" w:rsidR="00124B70">
        <w:rPr>
          <w:rFonts w:ascii="Arial" w:hAnsi="Arial" w:cs="Arial"/>
          <w:sz w:val="22"/>
          <w:szCs w:val="22"/>
          <w:lang w:val="en-GB"/>
        </w:rPr>
        <w:t xml:space="preserve"> </w:t>
      </w:r>
      <w:r w:rsidRPr="00205B31" w:rsidR="00FD0169">
        <w:rPr>
          <w:rFonts w:ascii="Arial" w:hAnsi="Arial" w:cs="Arial"/>
          <w:sz w:val="22"/>
          <w:szCs w:val="22"/>
          <w:lang w:val="en-GB"/>
        </w:rPr>
        <w:t xml:space="preserve">the fundamental legal issues that arise in an international legal problem? </w:t>
      </w:r>
    </w:p>
    <w:p w:rsidRPr="00205B31" w:rsidR="00E9597C" w:rsidP="00B7193E" w:rsidRDefault="00E9597C" w14:paraId="0E605897" w14:textId="77777777">
      <w:pPr>
        <w:spacing w:line="276" w:lineRule="auto"/>
        <w:jc w:val="both"/>
        <w:rPr>
          <w:rFonts w:ascii="Arial" w:hAnsi="Arial" w:cs="Arial"/>
          <w:sz w:val="22"/>
          <w:szCs w:val="22"/>
          <w:lang w:val="en-GB"/>
        </w:rPr>
      </w:pPr>
    </w:p>
    <w:p w:rsidRPr="00205B31" w:rsidR="00E9597C" w:rsidP="00275182" w:rsidRDefault="00124B70" w14:paraId="473533DD" w14:textId="46AEFBDA">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rsidRPr="00205B31" w:rsidR="00E9597C" w:rsidP="00275182" w:rsidRDefault="00124B70" w14:paraId="5F13747C" w14:textId="785742EA" w14:noSpellErr="1">
      <w:pPr>
        <w:pStyle w:val="ListParagraph"/>
        <w:numPr>
          <w:ilvl w:val="0"/>
          <w:numId w:val="8"/>
        </w:numPr>
        <w:ind w:left="426"/>
        <w:jc w:val="both"/>
        <w:rPr>
          <w:rFonts w:ascii="Arial" w:hAnsi="Arial" w:cs="Arial"/>
          <w:sz w:val="22"/>
          <w:szCs w:val="22"/>
          <w:lang w:val="en-GB"/>
        </w:rPr>
      </w:pPr>
      <w:r w:rsidRPr="410F0EA9" w:rsidR="410F0EA9">
        <w:rPr>
          <w:rFonts w:ascii="Arial" w:hAnsi="Arial" w:cs="Arial"/>
          <w:sz w:val="22"/>
          <w:szCs w:val="22"/>
          <w:highlight w:val="yellow"/>
          <w:lang w:val="en-GB"/>
        </w:rPr>
        <w:t>Choice of forum, recognition and effect accorded foreign proceedings in the same matter, and choice of law.</w:t>
      </w:r>
    </w:p>
    <w:p w:rsidRPr="00205B31" w:rsidR="00295742" w:rsidP="00275182" w:rsidRDefault="00295742" w14:paraId="3358CA03" w14:textId="77777777">
      <w:pPr>
        <w:ind w:left="426" w:hanging="360"/>
        <w:jc w:val="both"/>
        <w:rPr>
          <w:rFonts w:ascii="Arial" w:hAnsi="Arial" w:cs="Arial"/>
          <w:sz w:val="22"/>
          <w:szCs w:val="22"/>
          <w:lang w:val="en-GB"/>
        </w:rPr>
      </w:pPr>
    </w:p>
    <w:p w:rsidRPr="00205B31" w:rsidR="00D714E4" w:rsidP="00275182" w:rsidRDefault="00F4376C" w14:paraId="22973B84" w14:textId="2BC67A86">
      <w:pPr>
        <w:pStyle w:val="ListParagraph"/>
        <w:numPr>
          <w:ilvl w:val="0"/>
          <w:numId w:val="8"/>
        </w:numPr>
        <w:ind w:left="426"/>
        <w:jc w:val="both"/>
        <w:rPr>
          <w:rFonts w:ascii="Arial" w:hAnsi="Arial" w:cs="Arial" w:eastAsiaTheme="minorHAnsi"/>
          <w:sz w:val="22"/>
          <w:szCs w:val="22"/>
          <w:lang w:val="en-GB"/>
        </w:rPr>
      </w:pPr>
      <w:bookmarkStart w:name="_Hlk75699720" w:id="1"/>
      <w:r w:rsidRPr="00205B31">
        <w:rPr>
          <w:rFonts w:ascii="Arial" w:hAnsi="Arial" w:cs="Arial"/>
          <w:sz w:val="22"/>
          <w:szCs w:val="22"/>
          <w:lang w:val="en-GB"/>
        </w:rPr>
        <w:t xml:space="preserve">Choice of </w:t>
      </w:r>
      <w:r w:rsidRPr="00205B31" w:rsidR="0078662F">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rsidRPr="00205B31" w:rsidR="00E9597C" w:rsidP="00275182" w:rsidRDefault="00DF056D" w14:paraId="086892AA" w14:textId="2E05E445">
      <w:pPr>
        <w:pStyle w:val="ListParagraph"/>
        <w:ind w:left="426" w:hanging="360"/>
        <w:jc w:val="both"/>
        <w:rPr>
          <w:rFonts w:ascii="Arial" w:hAnsi="Arial" w:cs="Arial" w:eastAsiaTheme="minorHAnsi"/>
          <w:sz w:val="22"/>
          <w:szCs w:val="22"/>
          <w:lang w:val="en-GB"/>
        </w:rPr>
      </w:pPr>
      <w:r w:rsidRPr="00205B31">
        <w:rPr>
          <w:rFonts w:ascii="Arial" w:hAnsi="Arial" w:cs="Arial"/>
          <w:sz w:val="22"/>
          <w:szCs w:val="22"/>
          <w:lang w:val="en-GB"/>
        </w:rPr>
        <w:t xml:space="preserve"> </w:t>
      </w:r>
    </w:p>
    <w:p w:rsidRPr="00205B31" w:rsidR="00D714E4" w:rsidP="00275182" w:rsidRDefault="00F4376C" w14:paraId="6CD07600" w14:textId="374FA118">
      <w:pPr>
        <w:pStyle w:val="ListParagraph"/>
        <w:numPr>
          <w:ilvl w:val="0"/>
          <w:numId w:val="8"/>
        </w:numPr>
        <w:ind w:left="426"/>
        <w:jc w:val="both"/>
        <w:rPr>
          <w:rFonts w:ascii="Arial" w:hAnsi="Arial" w:cs="Arial" w:eastAsiaTheme="minorHAnsi"/>
          <w:sz w:val="22"/>
          <w:szCs w:val="22"/>
          <w:lang w:val="en-GB"/>
        </w:rPr>
      </w:pPr>
      <w:r w:rsidRPr="00205B31">
        <w:rPr>
          <w:rFonts w:ascii="Arial" w:hAnsi="Arial" w:cs="Arial" w:eastAsiaTheme="minorHAnsi"/>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rsidRPr="00205B31" w:rsidR="00E9597C" w:rsidP="00B7193E" w:rsidRDefault="00E9597C" w14:paraId="2ECF4087" w14:textId="77777777">
      <w:pPr>
        <w:spacing w:line="276" w:lineRule="auto"/>
        <w:jc w:val="both"/>
        <w:rPr>
          <w:rFonts w:ascii="Arial" w:hAnsi="Arial" w:cs="Arial" w:eastAsiaTheme="minorHAnsi"/>
          <w:sz w:val="22"/>
          <w:szCs w:val="22"/>
          <w:lang w:val="en-GB"/>
        </w:rPr>
      </w:pPr>
    </w:p>
    <w:p w:rsidRPr="00205B31" w:rsidR="00E9597C" w:rsidP="00B7193E" w:rsidRDefault="00E9597C" w14:paraId="057810FC" w14:textId="6AA99856">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rsidRPr="00205B31" w:rsidR="00E9597C" w:rsidP="00B7193E" w:rsidRDefault="00E9597C" w14:paraId="596C3F7D" w14:textId="77777777">
      <w:pPr>
        <w:spacing w:line="276" w:lineRule="auto"/>
        <w:jc w:val="both"/>
        <w:rPr>
          <w:rFonts w:ascii="Arial" w:hAnsi="Arial" w:cs="Arial"/>
          <w:sz w:val="22"/>
          <w:szCs w:val="22"/>
          <w:lang w:val="en-GB"/>
        </w:rPr>
      </w:pPr>
    </w:p>
    <w:p w:rsidRPr="00205B31" w:rsidR="00E86549" w:rsidP="00B7193E" w:rsidRDefault="007C0111" w14:paraId="5DE379DD" w14:textId="12DB9CE2">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rsidRPr="00205B31" w:rsidR="00E9597C" w:rsidP="00B7193E" w:rsidRDefault="00E9597C" w14:paraId="12CB08EB" w14:textId="77777777">
      <w:pPr>
        <w:spacing w:line="276" w:lineRule="auto"/>
        <w:jc w:val="both"/>
        <w:rPr>
          <w:rFonts w:ascii="Arial" w:hAnsi="Arial" w:cs="Arial"/>
          <w:sz w:val="22"/>
          <w:szCs w:val="22"/>
          <w:lang w:val="en-GB"/>
        </w:rPr>
      </w:pPr>
    </w:p>
    <w:p w:rsidRPr="00205B31" w:rsidR="00E9597C" w:rsidP="410F0EA9" w:rsidRDefault="00E86549" w14:paraId="1221DC71" w14:textId="731C9D2B" w14:noSpellErr="1">
      <w:pPr>
        <w:pStyle w:val="ListParagraph"/>
        <w:numPr>
          <w:ilvl w:val="0"/>
          <w:numId w:val="9"/>
        </w:numPr>
        <w:ind w:left="426"/>
        <w:jc w:val="both"/>
        <w:rPr>
          <w:rFonts w:ascii="Arial" w:hAnsi="Arial" w:cs="Arial"/>
          <w:sz w:val="22"/>
          <w:szCs w:val="22"/>
          <w:lang w:val="en-GB"/>
        </w:rPr>
      </w:pPr>
      <w:r w:rsidRPr="410F0EA9" w:rsidR="410F0EA9">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Pr="410F0EA9" w:rsidR="410F0EA9">
        <w:rPr>
          <w:rFonts w:ascii="Arial" w:hAnsi="Arial" w:cs="Arial"/>
          <w:sz w:val="22"/>
          <w:szCs w:val="22"/>
          <w:highlight w:val="yellow"/>
          <w:lang w:val="en-GB"/>
        </w:rPr>
        <w:t>.</w:t>
      </w:r>
    </w:p>
    <w:p w:rsidRPr="00205B31" w:rsidR="00295742" w:rsidP="00275182" w:rsidRDefault="00295742" w14:paraId="0326FF0E" w14:textId="77777777">
      <w:pPr>
        <w:ind w:left="426" w:hanging="360"/>
        <w:jc w:val="both"/>
        <w:rPr>
          <w:rFonts w:ascii="Arial" w:hAnsi="Arial" w:cs="Arial"/>
          <w:bCs/>
          <w:sz w:val="22"/>
          <w:szCs w:val="22"/>
          <w:lang w:val="en-GB"/>
        </w:rPr>
      </w:pPr>
    </w:p>
    <w:p w:rsidRPr="00205B31" w:rsidR="00E9597C" w:rsidP="00275182" w:rsidRDefault="00E12C13" w14:paraId="38128FF3" w14:textId="0B9F235F">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rsidRPr="00205B31" w:rsidR="00295742" w:rsidP="00275182" w:rsidRDefault="00295742" w14:paraId="26C877B2" w14:textId="77777777">
      <w:pPr>
        <w:ind w:left="426" w:hanging="360"/>
        <w:jc w:val="both"/>
        <w:rPr>
          <w:rFonts w:ascii="Arial" w:hAnsi="Arial" w:cs="Arial"/>
          <w:sz w:val="22"/>
          <w:szCs w:val="22"/>
          <w:lang w:val="en-GB"/>
        </w:rPr>
      </w:pPr>
    </w:p>
    <w:p w:rsidRPr="00205B31" w:rsidR="00E9597C" w:rsidP="00275182" w:rsidRDefault="00E12C13" w14:paraId="3B294042" w14:textId="648634A9">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Pr="00205B31" w:rsidR="004B0EBE">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rsidRPr="00205B31" w:rsidR="00295742" w:rsidP="00275182" w:rsidRDefault="00295742" w14:paraId="0FD427C4" w14:textId="77777777">
      <w:pPr>
        <w:ind w:left="426" w:hanging="360"/>
        <w:jc w:val="both"/>
        <w:rPr>
          <w:rFonts w:ascii="Arial" w:hAnsi="Arial" w:cs="Arial"/>
          <w:sz w:val="22"/>
          <w:szCs w:val="22"/>
          <w:lang w:val="en-GB"/>
        </w:rPr>
      </w:pPr>
    </w:p>
    <w:p w:rsidRPr="00205B31" w:rsidR="00AF455B" w:rsidP="00275182" w:rsidRDefault="00AF455B" w14:paraId="0DF8FD2E" w14:textId="339E8CA4">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Pr="00205B31" w:rsidR="004B0EBE">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Pr="00205B31" w:rsidR="00BA35FF">
        <w:rPr>
          <w:rFonts w:ascii="Arial" w:hAnsi="Arial" w:cs="Arial"/>
          <w:sz w:val="22"/>
          <w:szCs w:val="22"/>
          <w:lang w:val="en-GB"/>
        </w:rPr>
        <w:t>practical aspects of recognition and enforcement in cross-border insolvency cases.</w:t>
      </w:r>
    </w:p>
    <w:p w:rsidRPr="00205B31" w:rsidR="00E9597C" w:rsidP="00180B1E" w:rsidRDefault="00E9597C" w14:paraId="3892FBCB" w14:textId="24157E6B">
      <w:pPr>
        <w:pStyle w:val="ListParagraph"/>
        <w:ind w:left="426"/>
        <w:jc w:val="both"/>
        <w:rPr>
          <w:rFonts w:ascii="Arial" w:hAnsi="Arial" w:cs="Arial" w:eastAsiaTheme="minorHAnsi"/>
          <w:sz w:val="22"/>
          <w:szCs w:val="22"/>
          <w:lang w:val="en-GB"/>
        </w:rPr>
      </w:pPr>
    </w:p>
    <w:p w:rsidRPr="00205B31" w:rsidR="00E9597C" w:rsidP="00B7193E" w:rsidRDefault="00E9597C" w14:paraId="5E679430" w14:textId="429A2189">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Pr="00205B31" w:rsidR="002406A4">
        <w:rPr>
          <w:rFonts w:ascii="Arial" w:hAnsi="Arial" w:cs="Arial"/>
          <w:sz w:val="22"/>
          <w:szCs w:val="22"/>
          <w:lang w:val="en-GB"/>
        </w:rPr>
        <w:t xml:space="preserve"> </w:t>
      </w:r>
    </w:p>
    <w:p w:rsidRPr="00205B31" w:rsidR="00E9597C" w:rsidP="00B7193E" w:rsidRDefault="00E9597C" w14:paraId="72785BD8" w14:textId="77777777">
      <w:pPr>
        <w:spacing w:line="276" w:lineRule="auto"/>
        <w:jc w:val="both"/>
        <w:rPr>
          <w:rFonts w:ascii="Arial" w:hAnsi="Arial" w:cs="Arial"/>
          <w:sz w:val="22"/>
          <w:szCs w:val="22"/>
          <w:lang w:val="en-GB"/>
        </w:rPr>
      </w:pPr>
    </w:p>
    <w:p w:rsidRPr="00205B31" w:rsidR="00E9597C" w:rsidP="00B7193E" w:rsidRDefault="006521CD" w14:paraId="6D8E035B" w14:textId="7D58B2F2">
      <w:pPr>
        <w:spacing w:line="276" w:lineRule="auto"/>
        <w:jc w:val="both"/>
        <w:rPr>
          <w:rFonts w:ascii="Arial" w:hAnsi="Arial" w:cs="Arial" w:eastAsiaTheme="minorHAnsi"/>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rsidRPr="00205B31" w:rsidR="00E9597C" w:rsidP="00180B1E" w:rsidRDefault="005A2194" w14:paraId="448B12DF" w14:textId="7D98E39C">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rsidRPr="00205B31" w:rsidR="006521CD" w:rsidP="00275182" w:rsidRDefault="00911C23" w14:paraId="1DF1FB64" w14:textId="5471FA5C">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Pr="00205B31" w:rsidR="005C2790">
        <w:rPr>
          <w:rFonts w:ascii="Arial" w:hAnsi="Arial" w:cs="Arial"/>
          <w:sz w:val="22"/>
          <w:szCs w:val="22"/>
          <w:lang w:val="en-GB"/>
        </w:rPr>
        <w:t xml:space="preserve"> and ensure an effective outcome</w:t>
      </w:r>
      <w:r w:rsidRPr="00205B31">
        <w:rPr>
          <w:rFonts w:ascii="Arial" w:hAnsi="Arial" w:cs="Arial"/>
          <w:sz w:val="22"/>
          <w:szCs w:val="22"/>
          <w:lang w:val="en-GB"/>
        </w:rPr>
        <w:t>.</w:t>
      </w:r>
    </w:p>
    <w:p w:rsidRPr="00205B31" w:rsidR="00DC2FDB" w:rsidP="00275182" w:rsidRDefault="00DC2FDB" w14:paraId="12D2DD03" w14:textId="77777777">
      <w:pPr>
        <w:ind w:left="426" w:hanging="360"/>
        <w:jc w:val="both"/>
        <w:rPr>
          <w:rFonts w:ascii="Arial" w:hAnsi="Arial" w:cs="Arial"/>
          <w:sz w:val="22"/>
          <w:szCs w:val="22"/>
          <w:lang w:val="en-GB"/>
        </w:rPr>
      </w:pPr>
    </w:p>
    <w:p w:rsidRPr="00205B31" w:rsidR="00ED0BC4" w:rsidP="00275182" w:rsidRDefault="00652A22" w14:paraId="380A2E8D" w14:textId="7C65476C">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rsidRPr="00205B31" w:rsidR="00DC2FDB" w:rsidP="00275182" w:rsidRDefault="00DC2FDB" w14:paraId="3B963038" w14:textId="77777777">
      <w:pPr>
        <w:ind w:left="426" w:hanging="360"/>
        <w:jc w:val="both"/>
        <w:rPr>
          <w:rFonts w:ascii="Arial" w:hAnsi="Arial" w:cs="Arial" w:eastAsiaTheme="minorHAnsi"/>
          <w:sz w:val="22"/>
          <w:szCs w:val="22"/>
          <w:lang w:val="en-GB"/>
        </w:rPr>
      </w:pPr>
    </w:p>
    <w:p w:rsidRPr="00205B31" w:rsidR="00955CE0" w:rsidP="00275182" w:rsidRDefault="00911C23" w14:paraId="6B94ACA8" w14:textId="5F9741C5" w14:noSpellErr="1">
      <w:pPr>
        <w:pStyle w:val="ListParagraph"/>
        <w:numPr>
          <w:ilvl w:val="0"/>
          <w:numId w:val="10"/>
        </w:numPr>
        <w:ind w:left="426"/>
        <w:jc w:val="both"/>
        <w:rPr>
          <w:rFonts w:ascii="Arial" w:hAnsi="Arial" w:cs="Arial"/>
          <w:sz w:val="22"/>
          <w:szCs w:val="22"/>
          <w:lang w:val="en-GB"/>
        </w:rPr>
      </w:pPr>
      <w:r w:rsidRPr="410F0EA9" w:rsidR="410F0EA9">
        <w:rPr>
          <w:rFonts w:ascii="Arial" w:hAnsi="Arial" w:cs="Arial"/>
          <w:sz w:val="22"/>
          <w:szCs w:val="22"/>
          <w:highlight w:val="yellow"/>
          <w:lang w:val="en-GB"/>
        </w:rPr>
        <w:t>To enhance co-ordination and harmonisation of insolvency proceedings that involve more than one State through communications among the States involved.</w:t>
      </w:r>
    </w:p>
    <w:p w:rsidRPr="00205B31" w:rsidR="00DC2FDB" w:rsidP="00275182" w:rsidRDefault="00DC2FDB" w14:paraId="10055929" w14:textId="77777777">
      <w:pPr>
        <w:ind w:left="426" w:hanging="360"/>
        <w:jc w:val="both"/>
        <w:rPr>
          <w:rFonts w:ascii="Arial" w:hAnsi="Arial" w:cs="Arial"/>
          <w:sz w:val="22"/>
          <w:szCs w:val="22"/>
          <w:lang w:val="en-GB"/>
        </w:rPr>
      </w:pPr>
    </w:p>
    <w:p w:rsidRPr="00205B31" w:rsidR="00054EC2" w:rsidP="00275182" w:rsidRDefault="00054EC2" w14:paraId="7A6C6A90" w14:textId="48C30360">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rsidRPr="00205B31" w:rsidR="00DE03AF" w:rsidP="00B7193E" w:rsidRDefault="00DE03AF" w14:paraId="12F8B8D0" w14:textId="4C6D33E7">
      <w:pPr>
        <w:spacing w:line="276" w:lineRule="auto"/>
        <w:jc w:val="both"/>
        <w:rPr>
          <w:rFonts w:ascii="Arial" w:hAnsi="Arial" w:cs="Arial"/>
          <w:b/>
          <w:sz w:val="22"/>
          <w:szCs w:val="22"/>
          <w:lang w:val="en-GB"/>
        </w:rPr>
      </w:pPr>
    </w:p>
    <w:p w:rsidRPr="00205B31" w:rsidR="00CC579C" w:rsidP="00B7193E" w:rsidRDefault="00CC579C" w14:paraId="146D007C" w14:textId="34B8472D">
      <w:pPr>
        <w:spacing w:line="276" w:lineRule="auto"/>
        <w:jc w:val="both"/>
        <w:rPr>
          <w:rFonts w:ascii="Arial" w:hAnsi="Arial" w:cs="Arial"/>
          <w:b/>
          <w:sz w:val="22"/>
          <w:szCs w:val="22"/>
          <w:lang w:val="en-GB"/>
        </w:rPr>
      </w:pPr>
    </w:p>
    <w:p w:rsidRPr="00205B31" w:rsidR="00CC579C" w:rsidP="00B7193E" w:rsidRDefault="00CC579C" w14:paraId="1C8F50AF" w14:textId="4116FA0E">
      <w:pPr>
        <w:spacing w:line="276" w:lineRule="auto"/>
        <w:jc w:val="both"/>
        <w:rPr>
          <w:rFonts w:ascii="Arial" w:hAnsi="Arial" w:cs="Arial"/>
          <w:b/>
          <w:sz w:val="22"/>
          <w:szCs w:val="22"/>
          <w:lang w:val="en-GB"/>
        </w:rPr>
      </w:pPr>
    </w:p>
    <w:p w:rsidRPr="00205B31" w:rsidR="00CC579C" w:rsidP="00B7193E" w:rsidRDefault="00CC579C" w14:paraId="2983B292" w14:textId="3C664974">
      <w:pPr>
        <w:spacing w:line="276" w:lineRule="auto"/>
        <w:jc w:val="both"/>
        <w:rPr>
          <w:rFonts w:ascii="Arial" w:hAnsi="Arial" w:cs="Arial"/>
          <w:b/>
          <w:sz w:val="22"/>
          <w:szCs w:val="22"/>
          <w:lang w:val="en-GB"/>
        </w:rPr>
      </w:pPr>
    </w:p>
    <w:p w:rsidRPr="00205B31" w:rsidR="00CC579C" w:rsidP="00B7193E" w:rsidRDefault="00CC579C" w14:paraId="3B1CCCBE" w14:textId="5AE77A8D">
      <w:pPr>
        <w:spacing w:line="276" w:lineRule="auto"/>
        <w:jc w:val="both"/>
        <w:rPr>
          <w:rFonts w:ascii="Arial" w:hAnsi="Arial" w:cs="Arial"/>
          <w:b/>
          <w:sz w:val="22"/>
          <w:szCs w:val="22"/>
          <w:lang w:val="en-GB"/>
        </w:rPr>
      </w:pPr>
    </w:p>
    <w:p w:rsidRPr="00205B31" w:rsidR="00CC579C" w:rsidP="00B7193E" w:rsidRDefault="00CC579C" w14:paraId="7D5551C7" w14:textId="77777777">
      <w:pPr>
        <w:spacing w:line="276" w:lineRule="auto"/>
        <w:jc w:val="both"/>
        <w:rPr>
          <w:rFonts w:ascii="Arial" w:hAnsi="Arial" w:cs="Arial"/>
          <w:b/>
          <w:sz w:val="22"/>
          <w:szCs w:val="22"/>
          <w:lang w:val="en-GB"/>
        </w:rPr>
      </w:pPr>
    </w:p>
    <w:p w:rsidRPr="00205B31" w:rsidR="00DC2FDB" w:rsidP="00B7193E" w:rsidRDefault="00DC2FDB" w14:paraId="23198B18" w14:textId="447D50EF">
      <w:pPr>
        <w:spacing w:line="276" w:lineRule="auto"/>
        <w:jc w:val="both"/>
        <w:rPr>
          <w:rFonts w:ascii="Arial" w:hAnsi="Arial" w:cs="Arial"/>
          <w:b/>
          <w:sz w:val="22"/>
          <w:szCs w:val="22"/>
          <w:lang w:val="en-GB"/>
        </w:rPr>
      </w:pPr>
    </w:p>
    <w:p w:rsidRPr="00205B31" w:rsidR="00962045" w:rsidP="00B7193E" w:rsidRDefault="00DF75F8" w14:paraId="4FC20A3B" w14:textId="37F218F7">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Pr="00205B31" w:rsidR="00962045">
        <w:rPr>
          <w:rFonts w:ascii="Arial" w:hAnsi="Arial" w:cs="Arial"/>
          <w:b/>
          <w:sz w:val="22"/>
          <w:szCs w:val="22"/>
          <w:lang w:val="en-GB"/>
        </w:rPr>
        <w:t xml:space="preserve"> (direct questions) [10 marks] </w:t>
      </w:r>
    </w:p>
    <w:p w:rsidRPr="00205B31" w:rsidR="00962045" w:rsidP="00B7193E" w:rsidRDefault="00962045" w14:paraId="620F47E2" w14:textId="77777777">
      <w:pPr>
        <w:ind w:left="720" w:hanging="720"/>
        <w:jc w:val="both"/>
        <w:rPr>
          <w:rFonts w:ascii="Arial" w:hAnsi="Arial" w:cs="Arial"/>
          <w:sz w:val="22"/>
          <w:szCs w:val="22"/>
          <w:lang w:val="en-GB"/>
        </w:rPr>
      </w:pPr>
    </w:p>
    <w:p w:rsidRPr="00205B31" w:rsidR="002C13C8" w:rsidP="00B7193E" w:rsidRDefault="002C13C8" w14:paraId="40595AA6" w14:textId="574B05E1">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Pr="00205B31" w:rsidR="00962045">
        <w:rPr>
          <w:rFonts w:ascii="Arial" w:hAnsi="Arial" w:cs="Arial"/>
          <w:b/>
          <w:bCs/>
          <w:sz w:val="22"/>
          <w:szCs w:val="22"/>
          <w:lang w:val="en-GB"/>
        </w:rPr>
        <w:t>2.1</w:t>
      </w:r>
      <w:r w:rsidRPr="00205B31" w:rsidR="00962045">
        <w:rPr>
          <w:rFonts w:ascii="Arial" w:hAnsi="Arial" w:cs="Arial"/>
          <w:b/>
          <w:bCs/>
          <w:sz w:val="22"/>
          <w:szCs w:val="22"/>
          <w:lang w:val="en-GB"/>
        </w:rPr>
        <w:tab/>
      </w:r>
      <w:r w:rsidRPr="00205B31" w:rsidR="00DE03AF">
        <w:rPr>
          <w:rFonts w:ascii="Arial" w:hAnsi="Arial" w:cs="Arial"/>
          <w:b/>
          <w:bCs/>
          <w:sz w:val="22"/>
          <w:szCs w:val="22"/>
          <w:lang w:val="en-GB"/>
        </w:rPr>
        <w:t>[</w:t>
      </w:r>
      <w:r w:rsidRPr="00205B31" w:rsidR="00D17FDC">
        <w:rPr>
          <w:rFonts w:ascii="Arial" w:hAnsi="Arial" w:cs="Arial"/>
          <w:b/>
          <w:bCs/>
          <w:sz w:val="22"/>
          <w:szCs w:val="22"/>
          <w:lang w:val="en-GB"/>
        </w:rPr>
        <w:t>m</w:t>
      </w:r>
      <w:r w:rsidRPr="00205B31" w:rsidR="00DE03AF">
        <w:rPr>
          <w:rFonts w:ascii="Arial" w:hAnsi="Arial" w:cs="Arial"/>
          <w:b/>
          <w:bCs/>
          <w:sz w:val="22"/>
          <w:szCs w:val="22"/>
          <w:lang w:val="en-GB"/>
        </w:rPr>
        <w:t xml:space="preserve">aximum </w:t>
      </w:r>
      <w:r w:rsidRPr="00205B31" w:rsidR="00567AD7">
        <w:rPr>
          <w:rFonts w:ascii="Arial" w:hAnsi="Arial" w:cs="Arial"/>
          <w:b/>
          <w:bCs/>
          <w:sz w:val="22"/>
          <w:szCs w:val="22"/>
          <w:lang w:val="en-GB"/>
        </w:rPr>
        <w:t>3</w:t>
      </w:r>
      <w:r w:rsidRPr="00205B31" w:rsidR="00DE03AF">
        <w:rPr>
          <w:rFonts w:ascii="Arial" w:hAnsi="Arial" w:cs="Arial"/>
          <w:b/>
          <w:bCs/>
          <w:sz w:val="22"/>
          <w:szCs w:val="22"/>
          <w:lang w:val="en-GB"/>
        </w:rPr>
        <w:t xml:space="preserve"> marks</w:t>
      </w:r>
      <w:r w:rsidRPr="00205B31" w:rsidR="00DE03AF">
        <w:rPr>
          <w:rFonts w:ascii="Arial" w:hAnsi="Arial" w:cs="Arial"/>
          <w:sz w:val="22"/>
          <w:szCs w:val="22"/>
          <w:lang w:val="en-GB"/>
        </w:rPr>
        <w:t xml:space="preserve">] </w:t>
      </w:r>
    </w:p>
    <w:p w:rsidRPr="00205B31" w:rsidR="002C13C8" w:rsidP="00B7193E" w:rsidRDefault="002C13C8" w14:paraId="36EB02DF" w14:textId="77777777">
      <w:pPr>
        <w:ind w:left="720" w:hanging="720"/>
        <w:jc w:val="both"/>
        <w:rPr>
          <w:rFonts w:ascii="Arial" w:hAnsi="Arial" w:cs="Arial"/>
          <w:sz w:val="22"/>
          <w:szCs w:val="22"/>
          <w:lang w:val="en-GB"/>
        </w:rPr>
      </w:pPr>
    </w:p>
    <w:p w:rsidRPr="00205B31" w:rsidR="00CC7728" w:rsidP="00180B1E" w:rsidRDefault="00CC7728" w14:paraId="122231D1" w14:textId="02A6C486">
      <w:pPr>
        <w:jc w:val="both"/>
        <w:rPr>
          <w:rFonts w:ascii="Arial" w:hAnsi="Arial" w:cs="Arial"/>
          <w:sz w:val="22"/>
          <w:szCs w:val="22"/>
          <w:lang w:val="en-GB"/>
        </w:rPr>
      </w:pPr>
      <w:r w:rsidRPr="00205B31">
        <w:rPr>
          <w:rFonts w:ascii="Arial" w:hAnsi="Arial" w:cs="Arial"/>
          <w:sz w:val="22"/>
          <w:szCs w:val="22"/>
          <w:lang w:val="en-GB"/>
        </w:rPr>
        <w:t>Briefly indicate three significant</w:t>
      </w:r>
      <w:r w:rsidRPr="00205B31" w:rsidR="001D7EF2">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rsidRPr="00205B31" w:rsidR="00CC7728" w:rsidP="00E84DD5" w:rsidRDefault="00CC7728" w14:paraId="304C2FB2" w14:textId="77777777">
      <w:pPr>
        <w:rPr>
          <w:rFonts w:ascii="Arial" w:hAnsi="Arial" w:cs="Arial"/>
          <w:sz w:val="22"/>
          <w:szCs w:val="22"/>
          <w:lang w:val="en-GB"/>
        </w:rPr>
      </w:pPr>
    </w:p>
    <w:p w:rsidRPr="00205B31" w:rsidR="009B07AD" w:rsidP="410F0EA9" w:rsidRDefault="009B07AD" w14:paraId="47B89310" w14:textId="49EE4013">
      <w:pPr>
        <w:ind w:left="720" w:hanging="720"/>
        <w:jc w:val="both"/>
        <w:rPr>
          <w:rFonts w:ascii="Arial" w:hAnsi="Arial" w:cs="Arial"/>
          <w:sz w:val="22"/>
          <w:szCs w:val="22"/>
          <w:lang w:val="en-GB"/>
        </w:rPr>
      </w:pPr>
      <w:r w:rsidRPr="410F0EA9" w:rsidR="410F0EA9">
        <w:rPr>
          <w:rFonts w:ascii="Arial" w:hAnsi="Arial" w:cs="Arial"/>
          <w:color w:val="7B7B7B" w:themeColor="accent3" w:themeTint="FF" w:themeShade="BF"/>
          <w:sz w:val="22"/>
          <w:szCs w:val="22"/>
          <w:lang w:val="en-GB"/>
        </w:rPr>
        <w:t xml:space="preserve">[the English Bankruptcy Act of 1542 provided a compulsory administration and distribution mechanism for dishonest and absconding debtors. It first introduced the principles of collective participation by creditors and </w:t>
      </w:r>
      <w:proofErr w:type="spellStart"/>
      <w:r w:rsidRPr="410F0EA9" w:rsidR="410F0EA9">
        <w:rPr>
          <w:rFonts w:ascii="Arial" w:hAnsi="Arial" w:cs="Arial"/>
          <w:color w:val="7B7B7B" w:themeColor="accent3" w:themeTint="FF" w:themeShade="BF"/>
          <w:sz w:val="22"/>
          <w:szCs w:val="22"/>
          <w:lang w:val="en-GB"/>
        </w:rPr>
        <w:t>pari</w:t>
      </w:r>
      <w:proofErr w:type="spellEnd"/>
      <w:r w:rsidRPr="410F0EA9" w:rsidR="410F0EA9">
        <w:rPr>
          <w:rFonts w:ascii="Arial" w:hAnsi="Arial" w:cs="Arial"/>
          <w:color w:val="7B7B7B" w:themeColor="accent3" w:themeTint="FF" w:themeShade="BF"/>
          <w:sz w:val="22"/>
          <w:szCs w:val="22"/>
          <w:lang w:val="en-GB"/>
        </w:rPr>
        <w:t xml:space="preserve"> passu distribution.</w:t>
      </w:r>
    </w:p>
    <w:p w:rsidRPr="00205B31" w:rsidR="009B07AD" w:rsidP="410F0EA9" w:rsidRDefault="009B07AD" w14:paraId="4D1F3027" w14:textId="1DD5D410">
      <w:pPr>
        <w:ind w:left="720" w:hanging="720"/>
        <w:jc w:val="both"/>
        <w:rPr>
          <w:rFonts w:ascii="Arial" w:hAnsi="Arial" w:cs="Arial"/>
          <w:color w:val="7B7B7B" w:themeColor="accent3" w:themeTint="FF" w:themeShade="BF"/>
          <w:sz w:val="22"/>
          <w:szCs w:val="22"/>
          <w:lang w:val="en-GB"/>
        </w:rPr>
      </w:pPr>
    </w:p>
    <w:p w:rsidRPr="00205B31" w:rsidR="009B07AD" w:rsidP="410F0EA9" w:rsidRDefault="009B07AD" w14:paraId="4224C1BD" w14:textId="443939ED">
      <w:pPr>
        <w:ind w:left="720" w:hanging="720"/>
        <w:jc w:val="both"/>
        <w:rPr>
          <w:rFonts w:ascii="Arial" w:hAnsi="Arial" w:cs="Arial"/>
          <w:sz w:val="22"/>
          <w:szCs w:val="22"/>
          <w:lang w:val="en-GB"/>
        </w:rPr>
      </w:pPr>
      <w:r w:rsidRPr="410F0EA9" w:rsidR="410F0EA9">
        <w:rPr>
          <w:rFonts w:ascii="Arial" w:hAnsi="Arial" w:cs="Arial"/>
          <w:color w:val="7B7B7B" w:themeColor="accent3" w:themeTint="FF" w:themeShade="BF"/>
          <w:sz w:val="22"/>
          <w:szCs w:val="22"/>
          <w:lang w:val="en-GB"/>
        </w:rPr>
        <w:t>The Statute of Ann of 1705 first introduced the notion of a statutory discharge, which had a significant impact on the development of insolvency policy.</w:t>
      </w:r>
    </w:p>
    <w:p w:rsidRPr="00205B31" w:rsidR="009B07AD" w:rsidP="410F0EA9" w:rsidRDefault="009B07AD" w14:paraId="242FB782" w14:textId="7FDBADB5">
      <w:pPr>
        <w:ind w:left="720" w:hanging="720"/>
        <w:jc w:val="both"/>
        <w:rPr>
          <w:rFonts w:ascii="Arial" w:hAnsi="Arial" w:cs="Arial"/>
          <w:color w:val="7B7B7B" w:themeColor="accent3" w:themeTint="FF" w:themeShade="BF"/>
          <w:sz w:val="22"/>
          <w:szCs w:val="22"/>
          <w:lang w:val="en-GB"/>
        </w:rPr>
      </w:pPr>
    </w:p>
    <w:p w:rsidRPr="00205B31" w:rsidR="009B07AD" w:rsidP="00B7193E" w:rsidRDefault="009B07AD" w14:paraId="57BCFC30" w14:textId="1DD4AA39">
      <w:pPr>
        <w:ind w:left="720" w:hanging="720"/>
        <w:jc w:val="both"/>
        <w:rPr>
          <w:rFonts w:ascii="Arial" w:hAnsi="Arial" w:cs="Arial"/>
          <w:sz w:val="22"/>
          <w:szCs w:val="22"/>
          <w:lang w:val="en-GB"/>
        </w:rPr>
      </w:pPr>
      <w:r w:rsidRPr="410F0EA9" w:rsidR="410F0EA9">
        <w:rPr>
          <w:rFonts w:ascii="Arial" w:hAnsi="Arial" w:cs="Arial"/>
          <w:color w:val="7B7B7B" w:themeColor="accent3" w:themeTint="FF" w:themeShade="BF"/>
          <w:sz w:val="22"/>
          <w:szCs w:val="22"/>
          <w:lang w:val="en-GB"/>
        </w:rPr>
        <w:t>The law of 1883 established the office of the Official Receiver, which was given the responsibility of administering the debtor’s estate before the commencement of the bankruptcy procedure. Many viewed the 1883 law as the foundation of the present system of English bankruptcy law.]</w:t>
      </w:r>
    </w:p>
    <w:p w:rsidRPr="00205B31" w:rsidR="00DE03AF" w:rsidP="00B7193E" w:rsidRDefault="00DE03AF" w14:paraId="22C610C9" w14:textId="16EF6256">
      <w:pPr>
        <w:jc w:val="both"/>
        <w:rPr>
          <w:rFonts w:ascii="Arial" w:hAnsi="Arial" w:cs="Arial"/>
          <w:sz w:val="22"/>
          <w:szCs w:val="22"/>
          <w:lang w:val="en-GB"/>
        </w:rPr>
      </w:pPr>
    </w:p>
    <w:p w:rsidRPr="00205B31" w:rsidR="00020557" w:rsidP="00B7193E" w:rsidRDefault="00020557" w14:paraId="789C3223" w14:textId="12982B5C">
      <w:pPr>
        <w:jc w:val="both"/>
        <w:rPr>
          <w:rFonts w:ascii="Arial" w:hAnsi="Arial" w:cs="Arial"/>
          <w:sz w:val="22"/>
          <w:szCs w:val="22"/>
          <w:lang w:val="en-GB"/>
        </w:rPr>
      </w:pPr>
    </w:p>
    <w:p w:rsidRPr="00205B31" w:rsidR="00C72848" w:rsidP="00B7193E" w:rsidRDefault="002C13C8" w14:paraId="10614297" w14:textId="01361397">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Pr="00205B31" w:rsidR="00DE03AF">
        <w:rPr>
          <w:rFonts w:ascii="Arial" w:hAnsi="Arial" w:cs="Arial"/>
          <w:b/>
          <w:bCs/>
          <w:sz w:val="22"/>
          <w:szCs w:val="22"/>
          <w:lang w:val="en-GB"/>
        </w:rPr>
        <w:t>2.2</w:t>
      </w:r>
      <w:r w:rsidRPr="00205B31" w:rsidR="00DE03AF">
        <w:rPr>
          <w:rFonts w:ascii="Arial" w:hAnsi="Arial" w:cs="Arial"/>
          <w:b/>
          <w:bCs/>
          <w:sz w:val="22"/>
          <w:szCs w:val="22"/>
          <w:lang w:val="en-GB"/>
        </w:rPr>
        <w:tab/>
      </w:r>
      <w:r w:rsidRPr="00205B31" w:rsidR="00DE03AF">
        <w:rPr>
          <w:rFonts w:ascii="Arial" w:hAnsi="Arial" w:cs="Arial"/>
          <w:b/>
          <w:bCs/>
          <w:sz w:val="22"/>
          <w:szCs w:val="22"/>
          <w:lang w:val="en-GB"/>
        </w:rPr>
        <w:t>[</w:t>
      </w:r>
      <w:r w:rsidRPr="00205B31" w:rsidR="00D17FDC">
        <w:rPr>
          <w:rFonts w:ascii="Arial" w:hAnsi="Arial" w:cs="Arial"/>
          <w:b/>
          <w:bCs/>
          <w:sz w:val="22"/>
          <w:szCs w:val="22"/>
          <w:lang w:val="en-GB"/>
        </w:rPr>
        <w:t>m</w:t>
      </w:r>
      <w:r w:rsidRPr="00205B31" w:rsidR="00DE03AF">
        <w:rPr>
          <w:rFonts w:ascii="Arial" w:hAnsi="Arial" w:cs="Arial"/>
          <w:b/>
          <w:bCs/>
          <w:sz w:val="22"/>
          <w:szCs w:val="22"/>
          <w:lang w:val="en-GB"/>
        </w:rPr>
        <w:t xml:space="preserve">aximum </w:t>
      </w:r>
      <w:r w:rsidRPr="00205B31" w:rsidR="005800D0">
        <w:rPr>
          <w:rFonts w:ascii="Arial" w:hAnsi="Arial" w:cs="Arial"/>
          <w:b/>
          <w:bCs/>
          <w:sz w:val="22"/>
          <w:szCs w:val="22"/>
          <w:lang w:val="en-GB"/>
        </w:rPr>
        <w:t>3</w:t>
      </w:r>
      <w:r w:rsidRPr="00205B31" w:rsidR="003A0BBE">
        <w:rPr>
          <w:rFonts w:ascii="Arial" w:hAnsi="Arial" w:cs="Arial"/>
          <w:b/>
          <w:bCs/>
          <w:sz w:val="22"/>
          <w:szCs w:val="22"/>
          <w:lang w:val="en-GB"/>
        </w:rPr>
        <w:t xml:space="preserve"> </w:t>
      </w:r>
      <w:r w:rsidRPr="00205B31" w:rsidR="00DE03AF">
        <w:rPr>
          <w:rFonts w:ascii="Arial" w:hAnsi="Arial" w:cs="Arial"/>
          <w:b/>
          <w:bCs/>
          <w:sz w:val="22"/>
          <w:szCs w:val="22"/>
          <w:lang w:val="en-GB"/>
        </w:rPr>
        <w:t>marks]</w:t>
      </w:r>
      <w:r w:rsidRPr="00205B31" w:rsidR="00DE03AF">
        <w:rPr>
          <w:rFonts w:ascii="Arial" w:hAnsi="Arial" w:cs="Arial"/>
          <w:sz w:val="22"/>
          <w:szCs w:val="22"/>
          <w:lang w:val="en-GB"/>
        </w:rPr>
        <w:t xml:space="preserve"> </w:t>
      </w:r>
    </w:p>
    <w:p w:rsidRPr="00205B31" w:rsidR="00C72848" w:rsidP="00B7193E" w:rsidRDefault="00C72848" w14:paraId="1C61515B" w14:textId="77777777">
      <w:pPr>
        <w:ind w:left="720" w:hanging="720"/>
        <w:jc w:val="both"/>
        <w:rPr>
          <w:rFonts w:ascii="Arial" w:hAnsi="Arial" w:cs="Arial"/>
          <w:sz w:val="22"/>
          <w:szCs w:val="22"/>
          <w:lang w:val="en-GB"/>
        </w:rPr>
      </w:pPr>
    </w:p>
    <w:p w:rsidRPr="00205B31" w:rsidR="00CC7728" w:rsidP="00CC7728" w:rsidRDefault="00CC7728" w14:paraId="2FF00504" w14:textId="5CAAEB21">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rsidRPr="00205B31" w:rsidR="00CC7728" w:rsidP="00B7193E" w:rsidRDefault="00CC7728" w14:paraId="5AC225CD" w14:textId="77777777">
      <w:pPr>
        <w:jc w:val="both"/>
        <w:rPr>
          <w:rFonts w:ascii="Arial" w:hAnsi="Arial" w:cs="Arial"/>
          <w:sz w:val="22"/>
          <w:szCs w:val="22"/>
          <w:lang w:val="en-GB"/>
        </w:rPr>
      </w:pPr>
    </w:p>
    <w:p w:rsidRPr="00205B31" w:rsidR="009B07AD" w:rsidP="410F0EA9" w:rsidRDefault="009B07AD" w14:paraId="3B4DE3AA" w14:textId="3C6A2F8F">
      <w:pPr>
        <w:ind w:left="720" w:hanging="720"/>
        <w:jc w:val="both"/>
        <w:rPr>
          <w:rFonts w:ascii="Arial" w:hAnsi="Arial" w:cs="Arial"/>
          <w:sz w:val="22"/>
          <w:szCs w:val="22"/>
          <w:lang w:val="en-GB"/>
        </w:rPr>
      </w:pPr>
      <w:r w:rsidRPr="410F0EA9" w:rsidR="410F0EA9">
        <w:rPr>
          <w:rFonts w:ascii="Arial" w:hAnsi="Arial" w:cs="Arial"/>
          <w:color w:val="7B7B7B" w:themeColor="accent3" w:themeTint="FF" w:themeShade="BF"/>
          <w:sz w:val="22"/>
          <w:szCs w:val="22"/>
          <w:lang w:val="en-GB"/>
        </w:rPr>
        <w:t>[Corporate Insolvency and Governance Act 2020 was passed which provided:</w:t>
      </w:r>
    </w:p>
    <w:p w:rsidRPr="00205B31" w:rsidR="009B07AD" w:rsidP="410F0EA9" w:rsidRDefault="009B07AD" w14:paraId="53C56CE9" w14:textId="20A38ADD">
      <w:pPr>
        <w:pStyle w:val="ListParagraph"/>
        <w:numPr>
          <w:ilvl w:val="0"/>
          <w:numId w:val="17"/>
        </w:numPr>
        <w:ind/>
        <w:jc w:val="both"/>
        <w:rPr>
          <w:rFonts w:ascii="Arial" w:hAnsi="Arial" w:eastAsia="Arial" w:cs="Arial" w:asciiTheme="minorAscii" w:hAnsiTheme="minorAscii" w:eastAsiaTheme="minorAscii" w:cstheme="minorAscii"/>
          <w:color w:val="7B7B7B" w:themeColor="accent3" w:themeTint="FF" w:themeShade="BF"/>
          <w:sz w:val="22"/>
          <w:szCs w:val="22"/>
          <w:lang w:val="en-GB"/>
        </w:rPr>
      </w:pPr>
      <w:r w:rsidRPr="410F0EA9" w:rsidR="410F0EA9">
        <w:rPr>
          <w:rFonts w:ascii="Arial" w:hAnsi="Arial" w:cs="Arial"/>
          <w:color w:val="7B7B7B" w:themeColor="accent3" w:themeTint="FF" w:themeShade="BF"/>
          <w:sz w:val="22"/>
          <w:szCs w:val="22"/>
          <w:lang w:val="en-GB"/>
        </w:rPr>
        <w:t>a new restructuring plan. The new plan is similar to a scheme of arrangement, but introduces a cross-class cramdown, which is a feature of the US Chapter 11 restructuring. The cross-class cramdown allows a sanctioned plan to bind dissenting classes of creditors.</w:t>
      </w:r>
    </w:p>
    <w:p w:rsidRPr="00205B31" w:rsidR="009B07AD" w:rsidP="410F0EA9" w:rsidRDefault="009B07AD" w14:paraId="3C5AF5B5" w14:textId="1A240E8B">
      <w:pPr>
        <w:pStyle w:val="Normal"/>
        <w:ind w:left="0"/>
        <w:jc w:val="both"/>
        <w:rPr>
          <w:rFonts w:ascii="Calibri" w:hAnsi="Calibri" w:eastAsia="Times New Roman" w:cs=""/>
          <w:color w:val="7B7B7B" w:themeColor="accent3" w:themeTint="FF" w:themeShade="BF"/>
          <w:sz w:val="20"/>
          <w:szCs w:val="20"/>
          <w:lang w:val="en-GB"/>
        </w:rPr>
      </w:pPr>
    </w:p>
    <w:p w:rsidRPr="00205B31" w:rsidR="009B07AD" w:rsidP="410F0EA9" w:rsidRDefault="009B07AD" w14:paraId="12D9E629" w14:textId="6096F085">
      <w:pPr>
        <w:pStyle w:val="ListParagraph"/>
        <w:numPr>
          <w:ilvl w:val="0"/>
          <w:numId w:val="17"/>
        </w:numPr>
        <w:ind/>
        <w:jc w:val="both"/>
        <w:rPr>
          <w:rFonts w:ascii="Calibri" w:hAnsi="Calibri" w:eastAsia="Calibri" w:cs="Calibri" w:asciiTheme="minorAscii" w:hAnsiTheme="minorAscii" w:eastAsiaTheme="minorAscii" w:cstheme="minorAscii"/>
          <w:color w:val="7B7B7B" w:themeColor="accent3" w:themeTint="FF" w:themeShade="BF"/>
          <w:sz w:val="20"/>
          <w:szCs w:val="20"/>
          <w:lang w:val="en-GB"/>
        </w:rPr>
      </w:pPr>
      <w:r w:rsidRPr="410F0EA9" w:rsidR="410F0EA9">
        <w:rPr>
          <w:rFonts w:ascii="Arial" w:hAnsi="Arial" w:cs="Arial"/>
          <w:color w:val="7B7B7B" w:themeColor="accent3" w:themeTint="FF" w:themeShade="BF"/>
          <w:sz w:val="22"/>
          <w:szCs w:val="22"/>
          <w:lang w:val="en-GB"/>
        </w:rPr>
        <w:t>a suspension of wrongful trading liability. The Act provides that in assessing whether a director should make a contribution to the company’s assets under the wrongful trading provisions, it is assumed that the director is not responsible for any worsening of the financial position of the company or its creditors between certain periods.</w:t>
      </w:r>
    </w:p>
    <w:p w:rsidRPr="00205B31" w:rsidR="009B07AD" w:rsidP="410F0EA9" w:rsidRDefault="009B07AD" w14:paraId="62B6C610" w14:textId="39A6C3BE">
      <w:pPr>
        <w:pStyle w:val="Normal"/>
        <w:ind w:left="0"/>
        <w:jc w:val="both"/>
        <w:rPr>
          <w:rFonts w:ascii="Calibri" w:hAnsi="Calibri" w:eastAsia="Times New Roman" w:cs=""/>
          <w:color w:val="7B7B7B" w:themeColor="accent3" w:themeTint="FF" w:themeShade="BF"/>
          <w:sz w:val="20"/>
          <w:szCs w:val="20"/>
          <w:lang w:val="en-GB"/>
        </w:rPr>
      </w:pPr>
    </w:p>
    <w:p w:rsidRPr="00205B31" w:rsidR="009B07AD" w:rsidP="410F0EA9" w:rsidRDefault="009B07AD" w14:paraId="2F57801B" w14:textId="7A26C00A">
      <w:pPr>
        <w:pStyle w:val="ListParagraph"/>
        <w:numPr>
          <w:ilvl w:val="0"/>
          <w:numId w:val="17"/>
        </w:numPr>
        <w:ind/>
        <w:jc w:val="both"/>
        <w:rPr>
          <w:color w:val="7B7B7B" w:themeColor="accent3" w:themeTint="FF" w:themeShade="BF"/>
          <w:sz w:val="22"/>
          <w:szCs w:val="22"/>
          <w:lang w:val="en-GB"/>
        </w:rPr>
      </w:pPr>
      <w:r w:rsidRPr="410F0EA9" w:rsidR="410F0EA9">
        <w:rPr>
          <w:rFonts w:ascii="Arial" w:hAnsi="Arial" w:cs="Arial"/>
          <w:color w:val="7B7B7B" w:themeColor="accent3" w:themeTint="FF" w:themeShade="BF"/>
          <w:sz w:val="22"/>
          <w:szCs w:val="22"/>
          <w:lang w:val="en-GB"/>
        </w:rPr>
        <w:t>the suspension of winding up petitions and statutory demands. The Act provides that statutory demand issued against a company during certain period is void. If a winding up petition is presented during certain period on the basis that a company is unable to pay its debts, the court will assess the cause of non-payment. If the cause is covid-19, no winding-up order will be made.]</w:t>
      </w:r>
    </w:p>
    <w:p w:rsidRPr="00205B31" w:rsidR="00C82D87" w:rsidP="00B7193E" w:rsidRDefault="00C82D87" w14:paraId="039E27B5" w14:textId="43F06D19">
      <w:pPr>
        <w:ind w:left="720" w:hanging="720"/>
        <w:jc w:val="both"/>
        <w:rPr>
          <w:rFonts w:ascii="Arial" w:hAnsi="Arial" w:cs="Arial"/>
          <w:sz w:val="22"/>
          <w:szCs w:val="22"/>
          <w:lang w:val="en-GB"/>
        </w:rPr>
      </w:pPr>
    </w:p>
    <w:p w:rsidRPr="00205B31" w:rsidR="00D17FDC" w:rsidP="00B7193E" w:rsidRDefault="00D17FDC" w14:paraId="79961E83" w14:textId="77777777">
      <w:pPr>
        <w:ind w:left="720" w:hanging="720"/>
        <w:jc w:val="both"/>
        <w:rPr>
          <w:rFonts w:ascii="Arial" w:hAnsi="Arial" w:cs="Arial"/>
          <w:sz w:val="22"/>
          <w:szCs w:val="22"/>
          <w:lang w:val="en-GB"/>
        </w:rPr>
      </w:pPr>
    </w:p>
    <w:p w:rsidRPr="00205B31" w:rsidR="00C72848" w:rsidP="00B7193E" w:rsidRDefault="00C72848" w14:paraId="34516371" w14:textId="4075EDFA">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Pr="00205B31" w:rsidR="00E6452F">
        <w:rPr>
          <w:rFonts w:ascii="Arial" w:hAnsi="Arial" w:cs="Arial"/>
          <w:b/>
          <w:bCs/>
          <w:sz w:val="22"/>
          <w:szCs w:val="22"/>
          <w:lang w:val="en-GB"/>
        </w:rPr>
        <w:t>2.3</w:t>
      </w:r>
      <w:r w:rsidRPr="00205B31" w:rsidR="00E6452F">
        <w:rPr>
          <w:rFonts w:ascii="Arial" w:hAnsi="Arial" w:cs="Arial"/>
          <w:b/>
          <w:bCs/>
          <w:sz w:val="22"/>
          <w:szCs w:val="22"/>
          <w:lang w:val="en-GB"/>
        </w:rPr>
        <w:tab/>
      </w:r>
      <w:r w:rsidRPr="00205B31" w:rsidR="00E6452F">
        <w:rPr>
          <w:rFonts w:ascii="Arial" w:hAnsi="Arial" w:cs="Arial"/>
          <w:b/>
          <w:bCs/>
          <w:sz w:val="22"/>
          <w:szCs w:val="22"/>
          <w:lang w:val="en-GB"/>
        </w:rPr>
        <w:t>[</w:t>
      </w:r>
      <w:r w:rsidRPr="00205B31" w:rsidR="00D17FDC">
        <w:rPr>
          <w:rFonts w:ascii="Arial" w:hAnsi="Arial" w:cs="Arial"/>
          <w:b/>
          <w:bCs/>
          <w:sz w:val="22"/>
          <w:szCs w:val="22"/>
          <w:lang w:val="en-GB"/>
        </w:rPr>
        <w:t>m</w:t>
      </w:r>
      <w:r w:rsidRPr="00205B31" w:rsidR="00E6452F">
        <w:rPr>
          <w:rFonts w:ascii="Arial" w:hAnsi="Arial" w:cs="Arial"/>
          <w:b/>
          <w:bCs/>
          <w:sz w:val="22"/>
          <w:szCs w:val="22"/>
          <w:lang w:val="en-GB"/>
        </w:rPr>
        <w:t xml:space="preserve">aximum </w:t>
      </w:r>
      <w:r w:rsidRPr="00205B31" w:rsidR="005800D0">
        <w:rPr>
          <w:rFonts w:ascii="Arial" w:hAnsi="Arial" w:cs="Arial"/>
          <w:b/>
          <w:bCs/>
          <w:sz w:val="22"/>
          <w:szCs w:val="22"/>
          <w:lang w:val="en-GB"/>
        </w:rPr>
        <w:t>4</w:t>
      </w:r>
      <w:r w:rsidRPr="00205B31" w:rsidR="003A0BBE">
        <w:rPr>
          <w:rFonts w:ascii="Arial" w:hAnsi="Arial" w:cs="Arial"/>
          <w:b/>
          <w:bCs/>
          <w:sz w:val="22"/>
          <w:szCs w:val="22"/>
          <w:lang w:val="en-GB"/>
        </w:rPr>
        <w:t xml:space="preserve"> </w:t>
      </w:r>
      <w:r w:rsidRPr="00205B31" w:rsidR="00E6452F">
        <w:rPr>
          <w:rFonts w:ascii="Arial" w:hAnsi="Arial" w:cs="Arial"/>
          <w:b/>
          <w:bCs/>
          <w:sz w:val="22"/>
          <w:szCs w:val="22"/>
          <w:lang w:val="en-GB"/>
        </w:rPr>
        <w:t xml:space="preserve">marks] </w:t>
      </w:r>
    </w:p>
    <w:p w:rsidRPr="00205B31" w:rsidR="00C72848" w:rsidP="00B7193E" w:rsidRDefault="00C72848" w14:paraId="64670543" w14:textId="77777777">
      <w:pPr>
        <w:ind w:left="720" w:hanging="720"/>
        <w:jc w:val="both"/>
        <w:rPr>
          <w:rFonts w:ascii="Arial" w:hAnsi="Arial" w:cs="Arial"/>
          <w:b/>
          <w:bCs/>
          <w:sz w:val="22"/>
          <w:szCs w:val="22"/>
          <w:lang w:val="en-GB"/>
        </w:rPr>
      </w:pPr>
    </w:p>
    <w:p w:rsidRPr="00205B31" w:rsidR="00CC7728" w:rsidP="00E54ADD" w:rsidRDefault="00CC7728" w14:paraId="5B6A4681" w14:textId="7C04346A">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rsidRPr="00205B31" w:rsidR="0030558B" w:rsidP="00E54ADD" w:rsidRDefault="0030558B" w14:paraId="2016D6EE" w14:textId="77777777">
      <w:pPr>
        <w:jc w:val="both"/>
        <w:rPr>
          <w:rFonts w:ascii="Arial" w:hAnsi="Arial" w:cs="Arial"/>
          <w:sz w:val="22"/>
          <w:szCs w:val="22"/>
          <w:lang w:val="en-GB"/>
        </w:rPr>
      </w:pPr>
    </w:p>
    <w:p w:rsidRPr="00205B31" w:rsidR="00C72848" w:rsidP="410F0EA9" w:rsidRDefault="00C72848" w14:paraId="4B986542" w14:textId="4968BB10">
      <w:pPr>
        <w:ind w:left="720" w:hanging="720"/>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[Treaty is a legally binding agreement between States. Once entered into, it imposes legal obligations on the contracting States and affects the contracting States’ domestic law.  Soft law is not strictly binding on States. But it is not without legal significance. It is usually in the form of guidelines, policies, and codes of conducts, and sets out standards of conducts.  </w:t>
      </w:r>
    </w:p>
    <w:p w:rsidRPr="00205B31" w:rsidR="00C72848" w:rsidP="410F0EA9" w:rsidRDefault="00C72848" w14:paraId="3CF4EF23" w14:textId="74B5A684">
      <w:pPr>
        <w:ind w:left="720" w:hanging="720"/>
        <w:jc w:val="both"/>
        <w:rPr>
          <w:rFonts w:ascii="Arial" w:hAnsi="Arial" w:cs="Arial"/>
          <w:color w:val="7B7B7B" w:themeColor="accent3" w:themeTint="FF" w:themeShade="BF"/>
          <w:sz w:val="22"/>
          <w:szCs w:val="22"/>
          <w:lang w:val="en-GB"/>
        </w:rPr>
      </w:pPr>
    </w:p>
    <w:p w:rsidRPr="00205B31" w:rsidR="00C72848" w:rsidP="410F0EA9" w:rsidRDefault="00C72848" w14:paraId="4E578214" w14:textId="1CC15A22">
      <w:pPr>
        <w:pStyle w:val="Normal"/>
        <w:ind w:left="720" w:hanging="720"/>
        <w:jc w:val="both"/>
        <w:rPr>
          <w:rFonts w:ascii="Arial" w:hAnsi="Arial" w:eastAsia="Times New Roman" w:cs="Arial"/>
          <w:color w:val="7B7B7B" w:themeColor="accent3" w:themeTint="FF" w:themeShade="BF"/>
          <w:sz w:val="22"/>
          <w:szCs w:val="22"/>
          <w:lang w:val="en-GB"/>
        </w:rPr>
      </w:pPr>
      <w:r w:rsidRPr="410F0EA9" w:rsidR="410F0EA9">
        <w:rPr>
          <w:rFonts w:ascii="Arial" w:hAnsi="Arial" w:eastAsia="Times New Roman" w:cs="Arial"/>
          <w:color w:val="7B7B7B" w:themeColor="accent3" w:themeTint="FF" w:themeShade="BF"/>
          <w:sz w:val="22"/>
          <w:szCs w:val="22"/>
          <w:lang w:val="en-GB"/>
        </w:rPr>
        <w:t xml:space="preserve">Treaties can be useful to facilitate cross-border insolvency procedures between contracting States. As it creates binding obligations, it promotes certainty and can be used to create a simplified cross-border insolvency procedure amongst contracting States. For example, Nordic Convention (1933) was made between Norway, Denmark, Finland, Iceland and Sweden, which provides that the law of the place of insolvency adjudication as determining almost all the effects of the order in all member States without the need for further formalities. </w:t>
      </w:r>
    </w:p>
    <w:p w:rsidRPr="00205B31" w:rsidR="00C72848" w:rsidP="410F0EA9" w:rsidRDefault="00C72848" w14:paraId="347AAF3C" w14:textId="7EDA4150">
      <w:pPr>
        <w:pStyle w:val="Normal"/>
        <w:ind w:left="720" w:hanging="720"/>
        <w:jc w:val="both"/>
        <w:rPr>
          <w:rFonts w:ascii="Calibri" w:hAnsi="Calibri" w:eastAsia="Times New Roman" w:cs=""/>
          <w:color w:val="7B7B7B" w:themeColor="accent3" w:themeTint="FF" w:themeShade="BF"/>
          <w:sz w:val="20"/>
          <w:szCs w:val="20"/>
          <w:lang w:val="en-GB"/>
        </w:rPr>
      </w:pPr>
    </w:p>
    <w:p w:rsidRPr="00205B31" w:rsidR="00C72848" w:rsidP="00B7193E" w:rsidRDefault="00C72848" w14:paraId="78DB9FD8" w14:textId="3E322B64">
      <w:pPr>
        <w:ind w:left="720" w:hanging="720"/>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It can be difficult to have a large number of States with diverged domestic law and socio-economic situation to agree on a uniform set of cross-border insolvency rules. As a result, it may not be possible to use treaties to harmonise insolvency rules. Soft law has the flexibility where a participating State may adopt with or without modification to make it suit its domestic legal and socio-economic framework. So soft law is a very useful tool to harmonise the cross-border insolvency rules. For example, UNCITRAL Model Law on Cross-border Insolvency is a soft law. Given its wide adoption, it has shaped the international insolvency law.]</w:t>
      </w:r>
    </w:p>
    <w:p w:rsidRPr="00205B31" w:rsidR="0045683E" w:rsidP="00B7193E" w:rsidRDefault="0045683E" w14:paraId="572227E7" w14:textId="10041403">
      <w:pPr>
        <w:jc w:val="both"/>
        <w:rPr>
          <w:rFonts w:ascii="Arial" w:hAnsi="Arial" w:cs="Arial"/>
          <w:b/>
          <w:sz w:val="22"/>
          <w:szCs w:val="22"/>
          <w:lang w:val="en-GB"/>
        </w:rPr>
      </w:pPr>
    </w:p>
    <w:p w:rsidRPr="00205B31" w:rsidR="00C550C8" w:rsidP="00B7193E" w:rsidRDefault="00C550C8" w14:paraId="383B5930" w14:textId="24E126B6">
      <w:pPr>
        <w:jc w:val="both"/>
        <w:rPr>
          <w:rFonts w:ascii="Arial" w:hAnsi="Arial" w:cs="Arial"/>
          <w:b/>
          <w:sz w:val="22"/>
          <w:szCs w:val="22"/>
          <w:lang w:val="en-GB"/>
        </w:rPr>
      </w:pPr>
    </w:p>
    <w:p w:rsidRPr="00205B31" w:rsidR="00962045" w:rsidP="00B7193E" w:rsidRDefault="00DF75F8" w14:paraId="170A9E71" w14:textId="05E7E870">
      <w:pPr>
        <w:jc w:val="both"/>
        <w:rPr>
          <w:rFonts w:ascii="Arial" w:hAnsi="Arial" w:cs="Arial"/>
          <w:b/>
          <w:sz w:val="22"/>
          <w:szCs w:val="22"/>
          <w:lang w:val="en-GB"/>
        </w:rPr>
      </w:pPr>
      <w:r w:rsidRPr="00205B31">
        <w:rPr>
          <w:rFonts w:ascii="Arial" w:hAnsi="Arial" w:cs="Arial"/>
          <w:b/>
          <w:sz w:val="22"/>
          <w:szCs w:val="22"/>
          <w:lang w:val="en-GB"/>
        </w:rPr>
        <w:t>QUESTION</w:t>
      </w:r>
      <w:r w:rsidRPr="00205B31" w:rsidR="00962045">
        <w:rPr>
          <w:rFonts w:ascii="Arial" w:hAnsi="Arial" w:cs="Arial"/>
          <w:b/>
          <w:sz w:val="22"/>
          <w:szCs w:val="22"/>
          <w:lang w:val="en-GB"/>
        </w:rPr>
        <w:t xml:space="preserve"> 3 (essay-type questions) [15 marks</w:t>
      </w:r>
      <w:r w:rsidRPr="00205B31" w:rsidR="006A2646">
        <w:rPr>
          <w:rFonts w:ascii="Arial" w:hAnsi="Arial" w:cs="Arial"/>
          <w:b/>
          <w:sz w:val="22"/>
          <w:szCs w:val="22"/>
          <w:lang w:val="en-GB"/>
        </w:rPr>
        <w:t xml:space="preserve"> in total</w:t>
      </w:r>
      <w:r w:rsidRPr="00205B31" w:rsidR="00962045">
        <w:rPr>
          <w:rFonts w:ascii="Arial" w:hAnsi="Arial" w:cs="Arial"/>
          <w:b/>
          <w:sz w:val="22"/>
          <w:szCs w:val="22"/>
          <w:lang w:val="en-GB"/>
        </w:rPr>
        <w:t xml:space="preserve">] </w:t>
      </w:r>
    </w:p>
    <w:p w:rsidRPr="00205B31" w:rsidR="00962045" w:rsidP="00B7193E" w:rsidRDefault="00962045" w14:paraId="0D6D151E" w14:textId="2D3B870E">
      <w:pPr>
        <w:jc w:val="both"/>
        <w:rPr>
          <w:rFonts w:ascii="Arial" w:hAnsi="Arial" w:cs="Arial"/>
          <w:sz w:val="22"/>
          <w:szCs w:val="22"/>
          <w:lang w:val="en-GB"/>
        </w:rPr>
      </w:pPr>
    </w:p>
    <w:p w:rsidRPr="00205B31" w:rsidR="00C550C8" w:rsidP="00B7193E" w:rsidRDefault="00C550C8" w14:paraId="4DDCEC2C" w14:textId="74A792FA">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Pr="00205B31" w:rsidR="00807119">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Pr="00205B31" w:rsidR="006A2646">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rsidRPr="00205B31" w:rsidR="00C550C8" w:rsidP="00B7193E" w:rsidRDefault="00C550C8" w14:paraId="23D3936A" w14:textId="77777777">
      <w:pPr>
        <w:ind w:left="720" w:hanging="720"/>
        <w:jc w:val="both"/>
        <w:rPr>
          <w:rFonts w:ascii="Arial" w:hAnsi="Arial" w:cs="Arial"/>
          <w:sz w:val="22"/>
          <w:szCs w:val="22"/>
          <w:lang w:val="en-GB"/>
        </w:rPr>
      </w:pPr>
    </w:p>
    <w:p w:rsidRPr="00205B31" w:rsidR="009E50C1" w:rsidP="009E50C1" w:rsidRDefault="009E50C1" w14:paraId="29A8C3CA" w14:textId="061026E9">
      <w:pPr>
        <w:jc w:val="both"/>
        <w:rPr>
          <w:rFonts w:ascii="Arial" w:hAnsi="Arial" w:cs="Arial"/>
          <w:sz w:val="22"/>
          <w:szCs w:val="22"/>
          <w:lang w:val="en-GB"/>
        </w:rPr>
      </w:pPr>
      <w:r w:rsidRPr="00205B31">
        <w:rPr>
          <w:rFonts w:ascii="Arial" w:hAnsi="Arial" w:cs="Arial"/>
          <w:sz w:val="22"/>
          <w:szCs w:val="22"/>
          <w:lang w:val="en-GB"/>
        </w:rPr>
        <w:t xml:space="preserve">Briefly discuss the </w:t>
      </w:r>
      <w:r w:rsidRPr="00205B31" w:rsidR="00B56B95">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rsidRPr="00205B31" w:rsidR="00CC7728" w:rsidP="00643ABE" w:rsidRDefault="00CC7728" w14:paraId="17215273" w14:textId="77777777">
      <w:pPr>
        <w:jc w:val="both"/>
        <w:rPr>
          <w:rFonts w:ascii="Arial" w:hAnsi="Arial" w:cs="Arial"/>
          <w:sz w:val="22"/>
          <w:szCs w:val="22"/>
          <w:lang w:val="en-GB"/>
        </w:rPr>
      </w:pPr>
    </w:p>
    <w:p w:rsidRPr="00205B31" w:rsidR="00544127" w:rsidP="70A00666" w:rsidRDefault="00DF75F8" w14:paraId="781BD7D0" w14:textId="49B855B1">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[Sources of insolvency laws include domestic insolvency legislation (for example Insolvency Act 1986 (UK)), domestic international insolvency provisions (for example, the Cross-Border Insolvency Regulations 2006 (UK)), common law (case law, precedents), private international law, treaties, protocols and soft law (for example, UNCITRAL Practice Guide on Cross-Border Insolvency Cooperation).</w:t>
      </w:r>
    </w:p>
    <w:p w:rsidRPr="00205B31" w:rsidR="00544127" w:rsidP="70A00666" w:rsidRDefault="00DF75F8" w14:paraId="3658382F" w14:textId="7638AA00">
      <w:pPr>
        <w:jc w:val="both"/>
        <w:rPr>
          <w:rFonts w:ascii="Arial" w:hAnsi="Arial" w:cs="Arial"/>
          <w:color w:val="7B7B7B" w:themeColor="accent3" w:themeTint="FF" w:themeShade="BF"/>
          <w:sz w:val="22"/>
          <w:szCs w:val="22"/>
          <w:lang w:val="en-GB"/>
        </w:rPr>
      </w:pPr>
    </w:p>
    <w:p w:rsidRPr="00205B31" w:rsidR="00544127" w:rsidP="70A00666" w:rsidRDefault="00DF75F8" w14:paraId="52CF427D" w14:textId="2D628AC1">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The domestic insolvency legislation usually sets out in which circumstances a company may be wind up by the domestic court. However, if there is a concurrent foreign proceeding, domestic international insolvency provision or private international law may impose restrictions on commencing domestic insolvency proceedings. If there are concurrent domestic and foreign insolvency proceedings, domestic international insolvency provisions and/or private international law may deal with the relationship between the domestic proceedings and foreign proceedings, for example, which proceedings have supremacy, and what effect the foreign proceedings should have and what assistance the domestic court could give to the representatives appointed in the foreign proceedings. If a treaty relating to insolvency has been entered into between the state and the foreign state in which the foreign proceedings are opened, the treaty provisions should be followed. Note that treaty </w:t>
      </w:r>
      <w:r w:rsidRPr="70A00666" w:rsidR="70A00666">
        <w:rPr>
          <w:rFonts w:ascii="Arial" w:hAnsi="Arial" w:cs="Arial"/>
          <w:color w:val="7B7B7B" w:themeColor="accent3" w:themeTint="FF" w:themeShade="BF"/>
          <w:sz w:val="22"/>
          <w:szCs w:val="22"/>
          <w:lang w:val="en-GB"/>
        </w:rPr>
        <w:t>is</w:t>
      </w:r>
      <w:r w:rsidRPr="70A00666" w:rsidR="70A00666">
        <w:rPr>
          <w:rFonts w:ascii="Arial" w:hAnsi="Arial" w:cs="Arial"/>
          <w:color w:val="7B7B7B" w:themeColor="accent3" w:themeTint="FF" w:themeShade="BF"/>
          <w:sz w:val="22"/>
          <w:szCs w:val="22"/>
          <w:lang w:val="en-GB"/>
        </w:rPr>
        <w:t xml:space="preserve"> often implemented by domestic laws. So, the treaty obligations may have already been reflected in domestic legislation.</w:t>
      </w:r>
    </w:p>
    <w:p w:rsidRPr="00205B31" w:rsidR="00544127" w:rsidP="70A00666" w:rsidRDefault="00DF75F8" w14:paraId="6EA4B84F" w14:textId="659FB34D">
      <w:pPr>
        <w:jc w:val="both"/>
        <w:rPr>
          <w:rFonts w:ascii="Arial" w:hAnsi="Arial" w:cs="Arial"/>
          <w:color w:val="7B7B7B" w:themeColor="accent3" w:themeTint="FF" w:themeShade="BF"/>
          <w:sz w:val="22"/>
          <w:szCs w:val="22"/>
          <w:lang w:val="en-GB"/>
        </w:rPr>
      </w:pPr>
    </w:p>
    <w:p w:rsidRPr="00205B31" w:rsidR="00544127" w:rsidP="00B7193E" w:rsidRDefault="00DF75F8" w14:paraId="4024A332" w14:textId="7305D479">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Though protocols and soft law are not legally binding and do not need to be followed, it sets outs standard practice, and are often followed, in particular in the areas where is no domestic provisions.]</w:t>
      </w:r>
    </w:p>
    <w:p w:rsidRPr="00205B31" w:rsidR="00544127" w:rsidP="00B7193E" w:rsidRDefault="00544127" w14:paraId="4A637290" w14:textId="4A0282A0">
      <w:pPr>
        <w:ind w:left="720" w:hanging="720"/>
        <w:jc w:val="both"/>
        <w:rPr>
          <w:rFonts w:ascii="Arial" w:hAnsi="Arial" w:cs="Arial"/>
          <w:sz w:val="22"/>
          <w:szCs w:val="22"/>
          <w:lang w:val="en-GB"/>
        </w:rPr>
      </w:pPr>
    </w:p>
    <w:p w:rsidRPr="00205B31" w:rsidR="00726E9A" w:rsidP="00B7193E" w:rsidRDefault="00726E9A" w14:paraId="624E69FB" w14:textId="77777777">
      <w:pPr>
        <w:ind w:left="720" w:hanging="720"/>
        <w:jc w:val="both"/>
        <w:rPr>
          <w:rFonts w:ascii="Arial" w:hAnsi="Arial" w:cs="Arial"/>
          <w:sz w:val="22"/>
          <w:szCs w:val="22"/>
          <w:lang w:val="en-GB"/>
        </w:rPr>
      </w:pPr>
    </w:p>
    <w:p w:rsidRPr="00205B31" w:rsidR="00C550C8" w:rsidP="00B7193E" w:rsidRDefault="00C550C8" w14:paraId="755D6AFF" w14:textId="36B9114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Pr="00205B31" w:rsidR="00544127">
        <w:rPr>
          <w:rFonts w:ascii="Arial" w:hAnsi="Arial" w:cs="Arial"/>
          <w:b/>
          <w:bCs/>
          <w:sz w:val="22"/>
          <w:szCs w:val="22"/>
          <w:lang w:val="en-GB"/>
        </w:rPr>
        <w:t>3.2</w:t>
      </w:r>
      <w:r w:rsidRPr="00205B31">
        <w:rPr>
          <w:rFonts w:ascii="Arial" w:hAnsi="Arial" w:cs="Arial"/>
          <w:b/>
          <w:bCs/>
          <w:sz w:val="22"/>
          <w:szCs w:val="22"/>
          <w:lang w:val="en-GB"/>
        </w:rPr>
        <w:t xml:space="preserve"> [</w:t>
      </w:r>
      <w:r w:rsidRPr="00205B31" w:rsidR="006A2646">
        <w:rPr>
          <w:rFonts w:ascii="Arial" w:hAnsi="Arial" w:cs="Arial"/>
          <w:b/>
          <w:bCs/>
          <w:sz w:val="22"/>
          <w:szCs w:val="22"/>
          <w:lang w:val="en-GB"/>
        </w:rPr>
        <w:t>m</w:t>
      </w:r>
      <w:r w:rsidRPr="00205B31">
        <w:rPr>
          <w:rFonts w:ascii="Arial" w:hAnsi="Arial" w:cs="Arial"/>
          <w:b/>
          <w:bCs/>
          <w:sz w:val="22"/>
          <w:szCs w:val="22"/>
          <w:lang w:val="en-GB"/>
        </w:rPr>
        <w:t>aximum 5 marks]</w:t>
      </w:r>
    </w:p>
    <w:p w:rsidRPr="00205B31" w:rsidR="00C550C8" w:rsidP="00B7193E" w:rsidRDefault="00C550C8" w14:paraId="49F0073B" w14:textId="77777777">
      <w:pPr>
        <w:ind w:left="720" w:hanging="720"/>
        <w:jc w:val="both"/>
        <w:rPr>
          <w:rFonts w:ascii="Arial" w:hAnsi="Arial" w:cs="Arial"/>
          <w:sz w:val="22"/>
          <w:szCs w:val="22"/>
          <w:lang w:val="en-GB"/>
        </w:rPr>
      </w:pPr>
    </w:p>
    <w:p w:rsidRPr="00205B31" w:rsidR="001131C6" w:rsidP="00F85DB2" w:rsidRDefault="00633DC9" w14:paraId="4656D263" w14:textId="5DDAE10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Pr="00205B31" w:rsidR="004B25E4">
        <w:rPr>
          <w:rFonts w:ascii="Arial" w:hAnsi="Arial" w:cs="Arial"/>
          <w:sz w:val="22"/>
          <w:szCs w:val="22"/>
          <w:lang w:val="en-GB"/>
        </w:rPr>
        <w:t>s, including</w:t>
      </w:r>
      <w:r w:rsidR="00414BF9">
        <w:rPr>
          <w:rFonts w:ascii="Arial" w:hAnsi="Arial" w:cs="Arial"/>
          <w:sz w:val="22"/>
          <w:szCs w:val="22"/>
          <w:lang w:val="en-GB"/>
        </w:rPr>
        <w:t xml:space="preserve"> </w:t>
      </w:r>
      <w:r w:rsidRPr="00205B31" w:rsidR="00FF22DC">
        <w:rPr>
          <w:rFonts w:ascii="Arial" w:hAnsi="Arial" w:cs="Arial"/>
          <w:sz w:val="22"/>
          <w:szCs w:val="22"/>
          <w:lang w:val="en-GB"/>
        </w:rPr>
        <w:t>as a result of</w:t>
      </w:r>
      <w:r w:rsidRPr="00205B31" w:rsidR="004B25E4">
        <w:rPr>
          <w:rFonts w:ascii="Arial" w:hAnsi="Arial" w:cs="Arial"/>
          <w:sz w:val="22"/>
          <w:szCs w:val="22"/>
          <w:lang w:val="en-GB"/>
        </w:rPr>
        <w:t xml:space="preserve"> differences in law</w:t>
      </w:r>
      <w:r w:rsidRPr="00205B31" w:rsidR="00FF22DC">
        <w:rPr>
          <w:rFonts w:ascii="Arial" w:hAnsi="Arial" w:cs="Arial"/>
          <w:sz w:val="22"/>
          <w:szCs w:val="22"/>
          <w:lang w:val="en-GB"/>
        </w:rPr>
        <w:t>s</w:t>
      </w:r>
      <w:r w:rsidRPr="00205B31" w:rsidR="004B25E4">
        <w:rPr>
          <w:rFonts w:ascii="Arial" w:hAnsi="Arial" w:cs="Arial"/>
          <w:sz w:val="22"/>
          <w:szCs w:val="22"/>
          <w:lang w:val="en-GB"/>
        </w:rPr>
        <w:t xml:space="preserve"> between States.</w:t>
      </w:r>
      <w:r w:rsidRPr="00205B31">
        <w:rPr>
          <w:rFonts w:ascii="Arial" w:hAnsi="Arial" w:cs="Arial"/>
          <w:sz w:val="22"/>
          <w:szCs w:val="22"/>
          <w:lang w:val="en-GB"/>
        </w:rPr>
        <w:t xml:space="preserve"> </w:t>
      </w:r>
      <w:r w:rsidRPr="00205B31" w:rsidR="004B25E4">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Pr="00205B31" w:rsidR="009D5CDB">
        <w:rPr>
          <w:rFonts w:ascii="Arial" w:hAnsi="Arial" w:cs="Arial"/>
          <w:sz w:val="22"/>
          <w:szCs w:val="22"/>
          <w:lang w:val="en-GB"/>
        </w:rPr>
        <w:t>.</w:t>
      </w:r>
      <w:r w:rsidRPr="00205B31">
        <w:rPr>
          <w:rFonts w:ascii="Arial" w:hAnsi="Arial" w:cs="Arial"/>
          <w:sz w:val="22"/>
          <w:szCs w:val="22"/>
          <w:lang w:val="en-GB"/>
        </w:rPr>
        <w:t xml:space="preserve"> </w:t>
      </w:r>
      <w:r w:rsidRPr="00205B31" w:rsidR="001131C6">
        <w:rPr>
          <w:rFonts w:ascii="Arial" w:hAnsi="Arial" w:cs="Arial"/>
          <w:sz w:val="22"/>
          <w:szCs w:val="22"/>
          <w:lang w:val="en-GB"/>
        </w:rPr>
        <w:t>Discuss the</w:t>
      </w:r>
      <w:r w:rsidRPr="00205B31">
        <w:rPr>
          <w:rFonts w:ascii="Arial" w:hAnsi="Arial" w:cs="Arial"/>
          <w:sz w:val="22"/>
          <w:szCs w:val="22"/>
          <w:lang w:val="en-GB"/>
        </w:rPr>
        <w:t>se</w:t>
      </w:r>
      <w:r w:rsidRPr="00205B31" w:rsidR="001131C6">
        <w:rPr>
          <w:rFonts w:ascii="Arial" w:hAnsi="Arial" w:cs="Arial"/>
          <w:sz w:val="22"/>
          <w:szCs w:val="22"/>
          <w:lang w:val="en-GB"/>
        </w:rPr>
        <w:t xml:space="preserve"> pertinent questions</w:t>
      </w:r>
      <w:r w:rsidR="00414BF9">
        <w:rPr>
          <w:rFonts w:ascii="Arial" w:hAnsi="Arial" w:cs="Arial"/>
          <w:sz w:val="22"/>
          <w:szCs w:val="22"/>
          <w:lang w:val="en-GB"/>
        </w:rPr>
        <w:t xml:space="preserve"> </w:t>
      </w:r>
      <w:r w:rsidRPr="00205B31" w:rsidR="001131C6">
        <w:rPr>
          <w:rFonts w:ascii="Arial" w:hAnsi="Arial" w:cs="Arial"/>
          <w:sz w:val="22"/>
          <w:szCs w:val="22"/>
          <w:lang w:val="en-GB"/>
        </w:rPr>
        <w:t>/ issues raised by Fletcher.</w:t>
      </w:r>
    </w:p>
    <w:p w:rsidRPr="00205B31" w:rsidR="001131C6" w:rsidP="001131C6" w:rsidRDefault="001131C6" w14:paraId="0BD1F16A" w14:textId="77777777">
      <w:pPr>
        <w:ind w:left="720"/>
        <w:rPr>
          <w:rFonts w:ascii="Avenir Next" w:hAnsi="Avenir Next" w:cs="Arial"/>
          <w:sz w:val="22"/>
          <w:szCs w:val="22"/>
          <w:lang w:val="en-GB"/>
        </w:rPr>
      </w:pPr>
    </w:p>
    <w:p w:rsidRPr="00205B31" w:rsidR="00DF75F8" w:rsidP="410F0EA9" w:rsidRDefault="00DF75F8" w14:paraId="25C9D8C1" w14:textId="4FC1692D">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w:t>
      </w:r>
      <w:r w:rsidRPr="70A00666" w:rsidR="70A00666">
        <w:rPr>
          <w:rFonts w:ascii="Arial" w:hAnsi="Arial" w:cs="Arial"/>
          <w:color w:val="7B7B7B" w:themeColor="accent3" w:themeTint="FF" w:themeShade="BF"/>
          <w:sz w:val="22"/>
          <w:szCs w:val="22"/>
          <w:u w:val="single"/>
          <w:lang w:val="en-GB"/>
        </w:rPr>
        <w:t>In which jurisdictions may insolvency proceedings be opened?</w:t>
      </w:r>
    </w:p>
    <w:p w:rsidR="70A00666" w:rsidP="70A00666" w:rsidRDefault="70A00666" w14:paraId="7065ADC2" w14:textId="00A9DC72">
      <w:pPr>
        <w:jc w:val="both"/>
        <w:rPr>
          <w:rFonts w:ascii="Arial" w:hAnsi="Arial" w:cs="Arial"/>
          <w:color w:val="7B7B7B" w:themeColor="accent3" w:themeTint="FF" w:themeShade="BF"/>
          <w:sz w:val="22"/>
          <w:szCs w:val="22"/>
          <w:lang w:val="en-GB"/>
        </w:rPr>
      </w:pPr>
      <w:r w:rsidRPr="70A00666" w:rsidR="70A00666">
        <w:rPr>
          <w:rFonts w:ascii="Arial" w:hAnsi="Arial" w:cs="Arial"/>
          <w:color w:val="7B7B7B" w:themeColor="accent3" w:themeTint="FF" w:themeShade="BF"/>
          <w:sz w:val="22"/>
          <w:szCs w:val="22"/>
          <w:lang w:val="en-GB"/>
        </w:rPr>
        <w:t xml:space="preserve">It is possible that concurrent insolvency proceedings may be opened in different jurisdictions under different laws. Some jurisdictions may limit its insolvency proceedings to the assets within the jurisdiction, whereas under laws of other jurisdictions, insolvency proceedings may have exterritorial effect. This may pose the problem that the same asset may be subject to different orders from courts of different jurisdictions. Without harmonisation, there may be conflict regarding how this asset should be dealt with. There are also questions about what limitations should be imposed on proceedings opened outside of the jurisdiction of incorporation or outside of the debtors’ COMI. </w:t>
      </w:r>
    </w:p>
    <w:p w:rsidR="70A00666" w:rsidP="70A00666" w:rsidRDefault="70A00666" w14:paraId="29C497F4" w14:textId="75C757B2">
      <w:pPr>
        <w:pStyle w:val="Normal"/>
        <w:jc w:val="both"/>
        <w:rPr>
          <w:rFonts w:ascii="Calibri" w:hAnsi="Calibri" w:eastAsia="Times New Roman" w:cs=""/>
          <w:color w:val="7B7B7B" w:themeColor="accent3" w:themeTint="FF" w:themeShade="BF"/>
          <w:sz w:val="20"/>
          <w:szCs w:val="20"/>
          <w:lang w:val="en-GB"/>
        </w:rPr>
      </w:pPr>
    </w:p>
    <w:p w:rsidRPr="00205B31" w:rsidR="00DF75F8" w:rsidP="410F0EA9" w:rsidRDefault="00DF75F8" w14:paraId="0DF623BC" w14:textId="5839F1C1">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u w:val="single"/>
          <w:lang w:val="en-GB"/>
        </w:rPr>
        <w:t xml:space="preserve">What country’s law should be applied in respect of </w:t>
      </w:r>
      <w:r w:rsidRPr="70A00666" w:rsidR="70A00666">
        <w:rPr>
          <w:rFonts w:ascii="Arial" w:hAnsi="Arial" w:cs="Arial"/>
          <w:color w:val="7B7B7B" w:themeColor="accent3" w:themeTint="FF" w:themeShade="BF"/>
          <w:sz w:val="22"/>
          <w:szCs w:val="22"/>
          <w:u w:val="single"/>
          <w:lang w:val="en-GB"/>
        </w:rPr>
        <w:t>different aspects</w:t>
      </w:r>
      <w:r w:rsidRPr="70A00666" w:rsidR="70A00666">
        <w:rPr>
          <w:rFonts w:ascii="Arial" w:hAnsi="Arial" w:cs="Arial"/>
          <w:color w:val="7B7B7B" w:themeColor="accent3" w:themeTint="FF" w:themeShade="BF"/>
          <w:sz w:val="22"/>
          <w:szCs w:val="22"/>
          <w:u w:val="single"/>
          <w:lang w:val="en-GB"/>
        </w:rPr>
        <w:t xml:space="preserve"> of the case?</w:t>
      </w:r>
      <w:r w:rsidRPr="70A00666" w:rsidR="70A00666">
        <w:rPr>
          <w:rFonts w:ascii="Arial" w:hAnsi="Arial" w:cs="Arial"/>
          <w:color w:val="7B7B7B" w:themeColor="accent3" w:themeTint="FF" w:themeShade="BF"/>
          <w:sz w:val="22"/>
          <w:szCs w:val="22"/>
          <w:lang w:val="en-GB"/>
        </w:rPr>
        <w:t xml:space="preserve"> </w:t>
      </w:r>
    </w:p>
    <w:p w:rsidR="70A00666" w:rsidP="70A00666" w:rsidRDefault="70A00666" w14:paraId="489E4AC7" w14:textId="3FB5EA7E">
      <w:pPr>
        <w:jc w:val="both"/>
        <w:rPr>
          <w:rFonts w:ascii="Arial" w:hAnsi="Arial" w:cs="Arial"/>
          <w:color w:val="7B7B7B" w:themeColor="accent3" w:themeTint="FF" w:themeShade="BF"/>
          <w:sz w:val="22"/>
          <w:szCs w:val="22"/>
          <w:lang w:val="en-GB"/>
        </w:rPr>
      </w:pPr>
      <w:r w:rsidRPr="70A00666" w:rsidR="70A00666">
        <w:rPr>
          <w:rFonts w:ascii="Arial" w:hAnsi="Arial" w:cs="Arial"/>
          <w:color w:val="7B7B7B" w:themeColor="accent3" w:themeTint="FF" w:themeShade="BF"/>
          <w:sz w:val="22"/>
          <w:szCs w:val="22"/>
          <w:lang w:val="en-GB"/>
        </w:rPr>
        <w:t xml:space="preserve">After a court accepts jurisdiction, it has to decide which law it should apply. This is a private international law question, and different jurisdiction have different approaches. This may create a problem, where if the same issue is decided by a Chinese court applying Chinese private international law rule, the court may conclude that Chinese law applies and the result may be more favourable to the debtor, and if the same issue is decided by a Singapore court applying Singapore private international law rule, the court may conclude that English law applies and the result may be more favourable to the creditors. This would create opportunities for forum shopping. </w:t>
      </w:r>
    </w:p>
    <w:p w:rsidR="70A00666" w:rsidP="70A00666" w:rsidRDefault="70A00666" w14:paraId="538D6573" w14:textId="21446367">
      <w:pPr>
        <w:pStyle w:val="Normal"/>
        <w:jc w:val="both"/>
        <w:rPr>
          <w:rFonts w:ascii="Calibri" w:hAnsi="Calibri" w:eastAsia="Times New Roman" w:cs=""/>
          <w:color w:val="7B7B7B" w:themeColor="accent3" w:themeTint="FF" w:themeShade="BF"/>
          <w:sz w:val="20"/>
          <w:szCs w:val="20"/>
          <w:lang w:val="en-GB"/>
        </w:rPr>
      </w:pPr>
    </w:p>
    <w:p w:rsidRPr="00205B31" w:rsidR="00DF75F8" w:rsidP="70A00666" w:rsidRDefault="00DF75F8" w14:paraId="2CA173CB" w14:textId="18510AE9">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u w:val="single"/>
          <w:lang w:val="en-GB"/>
        </w:rPr>
        <w:t xml:space="preserve">What international effects will be </w:t>
      </w:r>
      <w:r w:rsidRPr="70A00666" w:rsidR="70A00666">
        <w:rPr>
          <w:rFonts w:ascii="Arial" w:hAnsi="Arial" w:cs="Arial"/>
          <w:color w:val="7B7B7B" w:themeColor="accent3" w:themeTint="FF" w:themeShade="BF"/>
          <w:sz w:val="22"/>
          <w:szCs w:val="22"/>
          <w:u w:val="single"/>
          <w:lang w:val="en-GB"/>
        </w:rPr>
        <w:t>accorded</w:t>
      </w:r>
      <w:r w:rsidRPr="70A00666" w:rsidR="70A00666">
        <w:rPr>
          <w:rFonts w:ascii="Arial" w:hAnsi="Arial" w:cs="Arial"/>
          <w:color w:val="7B7B7B" w:themeColor="accent3" w:themeTint="FF" w:themeShade="BF"/>
          <w:sz w:val="22"/>
          <w:szCs w:val="22"/>
          <w:u w:val="single"/>
          <w:lang w:val="en-GB"/>
        </w:rPr>
        <w:t xml:space="preserve"> to proceedings conducted at a particular forum (including enforcement)</w:t>
      </w:r>
    </w:p>
    <w:p w:rsidRPr="00205B31" w:rsidR="00DF75F8" w:rsidP="00B7193E" w:rsidRDefault="00DF75F8" w14:paraId="7940D274" w14:textId="09394DA6">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Different jurisdictions adopted different approaches in relation to the recognition and effects given to foreign insolvency proceedings. This may create a problem that a foreign proceeding may be recognised in certain countries but not others. If creditors want to enforcement the judgment against assets in those countries which do not recognise that foreign insolvency proceeding, they may have to issue fresh proceedings, which will incur further costs and may take a considerable amount of time, and may result in inconsistent judgment. Another problem is that if a foreign insolvency proceeding is not recognised and the creditors are free to commence proceedings against the debtor in the non-recognition jurisdiction. This may result in some creditors getting better recovery than others in the same class.]</w:t>
      </w:r>
    </w:p>
    <w:p w:rsidRPr="00205B31" w:rsidR="00275182" w:rsidP="00275182" w:rsidRDefault="00275182" w14:paraId="4135BFDA" w14:textId="1560B2D4">
      <w:pPr>
        <w:widowControl w:val="0"/>
        <w:ind w:left="720" w:hanging="720"/>
        <w:jc w:val="both"/>
        <w:rPr>
          <w:rFonts w:ascii="Arial" w:hAnsi="Arial" w:cs="Arial"/>
          <w:sz w:val="22"/>
          <w:szCs w:val="22"/>
          <w:shd w:val="clear" w:color="auto" w:fill="FFFFFF"/>
          <w:lang w:val="en-GB"/>
        </w:rPr>
      </w:pPr>
    </w:p>
    <w:p w:rsidRPr="00205B31" w:rsidR="00275182" w:rsidP="00275182" w:rsidRDefault="00275182" w14:paraId="39B93AC5" w14:textId="1210638C">
      <w:pPr>
        <w:widowControl w:val="0"/>
        <w:ind w:left="720" w:hanging="720"/>
        <w:jc w:val="both"/>
        <w:rPr>
          <w:rFonts w:ascii="Arial" w:hAnsi="Arial" w:cs="Arial"/>
          <w:sz w:val="22"/>
          <w:szCs w:val="22"/>
          <w:shd w:val="clear" w:color="auto" w:fill="FFFFFF"/>
          <w:lang w:val="en-GB"/>
        </w:rPr>
      </w:pPr>
    </w:p>
    <w:p w:rsidRPr="00205B31" w:rsidR="00DF75F8" w:rsidP="00275182" w:rsidRDefault="00DF75F8" w14:paraId="4B3595C7" w14:textId="370B4D9A">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Pr="00205B31" w:rsidR="00962045">
        <w:rPr>
          <w:rFonts w:ascii="Arial" w:hAnsi="Arial" w:cs="Arial"/>
          <w:b/>
          <w:bCs/>
          <w:sz w:val="22"/>
          <w:szCs w:val="22"/>
          <w:shd w:val="clear" w:color="auto" w:fill="FFFFFF"/>
          <w:lang w:val="en-GB"/>
        </w:rPr>
        <w:t>3.</w:t>
      </w:r>
      <w:r w:rsidRPr="00205B31" w:rsidR="00807119">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Pr="00205B31" w:rsidR="006A2646">
        <w:rPr>
          <w:rFonts w:ascii="Arial" w:hAnsi="Arial" w:cs="Arial"/>
          <w:b/>
          <w:bCs/>
          <w:sz w:val="22"/>
          <w:szCs w:val="22"/>
          <w:lang w:val="en-GB"/>
        </w:rPr>
        <w:t>m</w:t>
      </w:r>
      <w:r w:rsidRPr="00205B31">
        <w:rPr>
          <w:rFonts w:ascii="Arial" w:hAnsi="Arial" w:cs="Arial"/>
          <w:b/>
          <w:bCs/>
          <w:sz w:val="22"/>
          <w:szCs w:val="22"/>
          <w:lang w:val="en-GB"/>
        </w:rPr>
        <w:t>aximum 5 marks]</w:t>
      </w:r>
    </w:p>
    <w:p w:rsidRPr="00205B31" w:rsidR="00DF75F8" w:rsidP="00275182" w:rsidRDefault="00DF75F8" w14:paraId="14F4111F" w14:textId="77777777">
      <w:pPr>
        <w:widowControl w:val="0"/>
        <w:ind w:left="720" w:hanging="720"/>
        <w:jc w:val="both"/>
        <w:rPr>
          <w:rFonts w:ascii="Arial" w:hAnsi="Arial" w:cs="Arial"/>
          <w:sz w:val="22"/>
          <w:szCs w:val="22"/>
          <w:shd w:val="clear" w:color="auto" w:fill="FFFFFF"/>
          <w:lang w:val="en-GB"/>
        </w:rPr>
      </w:pPr>
    </w:p>
    <w:p w:rsidRPr="00205B31" w:rsidR="001131C6" w:rsidP="00275182" w:rsidRDefault="00EE7278" w14:paraId="5FFEDE36" w14:textId="6663D954">
      <w:pPr>
        <w:pStyle w:val="INSOLstyletext"/>
        <w:widowControl w:val="0"/>
        <w:ind w:left="0"/>
        <w:jc w:val="both"/>
      </w:pPr>
      <w:r w:rsidRPr="00205B31">
        <w:t>I</w:t>
      </w:r>
      <w:r w:rsidRPr="00205B31" w:rsidR="001131C6">
        <w:t xml:space="preserve">t is said that “co-ordination agreements are sometimes known as Protocols or Cross-border Insolvency Agreements. Their growing acceptance internationally is evident in the work by the ALI-III in their </w:t>
      </w:r>
      <w:r w:rsidRPr="00205B31" w:rsidR="001131C6">
        <w:rPr>
          <w:i/>
          <w:iCs/>
        </w:rPr>
        <w:t>Guidelines Applicable to Court-to-Court Communication in Cross-Border Cases</w:t>
      </w:r>
      <w:r w:rsidRPr="00205B31" w:rsidR="001131C6">
        <w:t xml:space="preserve">; by UNICTRAL in their </w:t>
      </w:r>
      <w:r w:rsidRPr="00205B31" w:rsidR="001131C6">
        <w:rPr>
          <w:i/>
          <w:iCs/>
        </w:rPr>
        <w:t>Practice Guide on Cross-border Insolvency Agreements</w:t>
      </w:r>
      <w:r w:rsidRPr="00205B31" w:rsidR="001131C6">
        <w:t xml:space="preserve">; and by the Judicial Insolvency Network in their </w:t>
      </w:r>
      <w:r w:rsidRPr="00205B31" w:rsidR="001131C6">
        <w:rPr>
          <w:i/>
          <w:iCs/>
        </w:rPr>
        <w:t>Guidelines for Communication and Cooperation between Courts in Cross-Border Insolvency Matters</w:t>
      </w:r>
      <w:r w:rsidRPr="00205B31" w:rsidR="001131C6">
        <w:t xml:space="preserve">…” </w:t>
      </w:r>
    </w:p>
    <w:p w:rsidRPr="00205B31" w:rsidR="001131C6" w:rsidP="00A8485D" w:rsidRDefault="001131C6" w14:paraId="4F9FA5B1" w14:textId="77777777">
      <w:pPr>
        <w:pStyle w:val="INSOLstyletext"/>
        <w:jc w:val="both"/>
      </w:pPr>
    </w:p>
    <w:p w:rsidRPr="00205B31" w:rsidR="001131C6" w:rsidP="00A8485D" w:rsidRDefault="00F65FB6" w14:paraId="6EE3E5B8" w14:textId="0B2E825F">
      <w:pPr>
        <w:jc w:val="both"/>
        <w:rPr>
          <w:rFonts w:ascii="Arial" w:hAnsi="Arial" w:cs="Arial"/>
          <w:sz w:val="22"/>
          <w:szCs w:val="22"/>
          <w:lang w:val="en-GB"/>
        </w:rPr>
      </w:pPr>
      <w:r w:rsidRPr="00205B31">
        <w:rPr>
          <w:rFonts w:ascii="Arial" w:hAnsi="Arial" w:cs="Arial"/>
          <w:sz w:val="22"/>
          <w:szCs w:val="22"/>
          <w:lang w:val="en-GB"/>
        </w:rPr>
        <w:t xml:space="preserve">It is also said that </w:t>
      </w:r>
      <w:r w:rsidRPr="00205B31" w:rsidR="001131C6">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rsidRPr="00205B31" w:rsidR="001131C6" w:rsidP="001131C6" w:rsidRDefault="001131C6" w14:paraId="74FC8DE4" w14:textId="77777777">
      <w:pPr>
        <w:rPr>
          <w:rFonts w:ascii="Arial" w:hAnsi="Arial" w:cs="Arial"/>
          <w:sz w:val="22"/>
          <w:szCs w:val="22"/>
          <w:lang w:val="en-GB"/>
        </w:rPr>
      </w:pPr>
    </w:p>
    <w:p w:rsidRPr="00205B31" w:rsidR="001131C6" w:rsidP="001131C6" w:rsidRDefault="001131C6" w14:paraId="2628A7D0" w14:textId="2B0472D0">
      <w:pPr>
        <w:rPr>
          <w:rFonts w:ascii="Arial" w:hAnsi="Arial" w:cs="Arial"/>
          <w:b/>
          <w:sz w:val="22"/>
          <w:szCs w:val="22"/>
          <w:lang w:val="en-GB"/>
        </w:rPr>
      </w:pPr>
      <w:r w:rsidRPr="00205B31">
        <w:rPr>
          <w:rFonts w:ascii="Arial" w:hAnsi="Arial" w:cs="Arial"/>
          <w:b/>
          <w:sz w:val="22"/>
          <w:szCs w:val="22"/>
          <w:lang w:val="en-GB"/>
        </w:rPr>
        <w:t xml:space="preserve">Briefly discuss </w:t>
      </w:r>
      <w:r w:rsidRPr="00205B31" w:rsidR="00EE7278">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Pr="00205B31" w:rsidR="0063316D">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rsidRPr="00205B31" w:rsidR="00DF75F8" w:rsidP="001131C6" w:rsidRDefault="00DF75F8" w14:paraId="722B5381" w14:textId="1AF877DB">
      <w:pPr>
        <w:jc w:val="both"/>
        <w:rPr>
          <w:rFonts w:ascii="Arial" w:hAnsi="Arial" w:cs="Arial"/>
          <w:sz w:val="22"/>
          <w:szCs w:val="22"/>
          <w:lang w:val="en-GB"/>
        </w:rPr>
      </w:pPr>
    </w:p>
    <w:p w:rsidRPr="00205B31" w:rsidR="00DF75F8" w:rsidP="70A00666" w:rsidRDefault="00DF75F8" w14:paraId="2016F904" w14:textId="2CF2635B">
      <w:pPr>
        <w:pStyle w:val="Normal"/>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[Maxwell Communications Corporation Plc (“MCC”) cross border insolvency case in 1992. It is significant in international insolvency. It introduced protocols as important tools in cross-border cases.</w:t>
      </w:r>
    </w:p>
    <w:p w:rsidRPr="00205B31" w:rsidR="00DF75F8" w:rsidP="70A00666" w:rsidRDefault="00DF75F8" w14:paraId="6C28ECB7" w14:textId="58139458">
      <w:pPr>
        <w:pStyle w:val="Normal"/>
        <w:jc w:val="both"/>
        <w:rPr>
          <w:rFonts w:ascii="Arial" w:hAnsi="Arial" w:cs="Arial"/>
          <w:color w:val="7B7B7B" w:themeColor="accent3" w:themeTint="FF" w:themeShade="BF"/>
          <w:sz w:val="22"/>
          <w:szCs w:val="22"/>
          <w:lang w:val="en-GB"/>
        </w:rPr>
      </w:pPr>
    </w:p>
    <w:p w:rsidRPr="00205B31" w:rsidR="00DF75F8" w:rsidP="70A00666" w:rsidRDefault="00DF75F8" w14:paraId="057A356A" w14:textId="280CB8F4">
      <w:pPr>
        <w:pStyle w:val="Normal"/>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 MCC is a conglomerate with its holding company incorporated in the UK, substantial assets in the US and substantial debt in the UK. MCC filed chapter 11 petition in the US and applied for administration in the UK. US Court appointed a chapter 11 examiner in the US proceeding, and the UK Court appointed joint administrators in the English proceeding.</w:t>
      </w:r>
    </w:p>
    <w:p w:rsidRPr="00205B31" w:rsidR="00DF75F8" w:rsidP="410F0EA9" w:rsidRDefault="00DF75F8" w14:paraId="232BFEDB" w14:textId="18A6A6AD">
      <w:pPr>
        <w:jc w:val="both"/>
        <w:rPr>
          <w:rFonts w:ascii="Arial" w:hAnsi="Arial" w:cs="Arial"/>
          <w:color w:val="7B7B7B" w:themeColor="accent3" w:themeTint="FF" w:themeShade="BF"/>
          <w:sz w:val="22"/>
          <w:szCs w:val="22"/>
          <w:lang w:val="en-GB"/>
        </w:rPr>
      </w:pPr>
    </w:p>
    <w:p w:rsidRPr="00205B31" w:rsidR="00DF75F8" w:rsidP="410F0EA9" w:rsidRDefault="00DF75F8" w14:paraId="3EE0DC9C" w14:textId="6831F4D9">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A protocol was negotiated and agreed to harmonise the two proceedings with the aim of minimising the costs and conflicts between the concurrent US and English proceedings, and preserving the value of the estate (the “Protocol”). </w:t>
      </w:r>
    </w:p>
    <w:p w:rsidRPr="00205B31" w:rsidR="00DF75F8" w:rsidP="410F0EA9" w:rsidRDefault="00DF75F8" w14:paraId="4639C4FD" w14:textId="22E254DF">
      <w:pPr>
        <w:jc w:val="both"/>
        <w:rPr>
          <w:rFonts w:ascii="Arial" w:hAnsi="Arial" w:cs="Arial"/>
          <w:color w:val="7B7B7B" w:themeColor="accent3" w:themeTint="FF" w:themeShade="BF"/>
          <w:sz w:val="22"/>
          <w:szCs w:val="22"/>
          <w:lang w:val="en-GB"/>
        </w:rPr>
      </w:pPr>
    </w:p>
    <w:p w:rsidRPr="00205B31" w:rsidR="00DF75F8" w:rsidP="410F0EA9" w:rsidRDefault="00DF75F8" w14:paraId="679E2183" w14:textId="398D8707">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Under the Protocol, the English joint administrators and the US examiner had similar authority and each was made subject to the jurisdiction of the other Court. The Protocol installed the English joint administrators as monitors of the ‘corporate governance’ of MCC with certain important actions, such as the disposal of assets and the incurrence of further debt, subject to the prior consent of the US examiner.</w:t>
      </w:r>
    </w:p>
    <w:p w:rsidRPr="00205B31" w:rsidR="00DF75F8" w:rsidP="410F0EA9" w:rsidRDefault="00DF75F8" w14:paraId="51D14335" w14:textId="20859F1D">
      <w:pPr>
        <w:jc w:val="both"/>
        <w:rPr>
          <w:rFonts w:ascii="Arial" w:hAnsi="Arial" w:cs="Arial"/>
          <w:color w:val="7B7B7B" w:themeColor="accent3" w:themeTint="FF" w:themeShade="BF"/>
          <w:sz w:val="22"/>
          <w:szCs w:val="22"/>
          <w:lang w:val="en-GB"/>
        </w:rPr>
      </w:pPr>
    </w:p>
    <w:p w:rsidRPr="00205B31" w:rsidR="00DF75F8" w:rsidP="00B7193E" w:rsidRDefault="00DF75F8" w14:paraId="4E83D7AF" w14:textId="2336FB89">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As a result of the effective coordination of the concurrent proceedings, a plan of reorganisation in the US and the scheme of arrangement in the UK, which constituted a single collaborative arrangement consistent with the insolvency regime of both countries, have been successfully approved and implemented.]</w:t>
      </w:r>
    </w:p>
    <w:p w:rsidRPr="00205B31" w:rsidR="007D7C92" w:rsidP="00B7193E" w:rsidRDefault="007D7C92" w14:paraId="4AE7EA78" w14:textId="24C76947">
      <w:pPr>
        <w:ind w:left="720" w:hanging="720"/>
        <w:jc w:val="both"/>
        <w:rPr>
          <w:rFonts w:ascii="Arial" w:hAnsi="Arial" w:cs="Arial"/>
          <w:sz w:val="22"/>
          <w:szCs w:val="22"/>
          <w:lang w:val="en-GB"/>
        </w:rPr>
      </w:pPr>
    </w:p>
    <w:p w:rsidRPr="00205B31" w:rsidR="00275182" w:rsidP="00B7193E" w:rsidRDefault="00275182" w14:paraId="62816FF1" w14:textId="77777777">
      <w:pPr>
        <w:jc w:val="both"/>
        <w:rPr>
          <w:rFonts w:ascii="Arial" w:hAnsi="Arial" w:cs="Arial"/>
          <w:bCs/>
          <w:sz w:val="22"/>
          <w:szCs w:val="22"/>
          <w:lang w:val="en-GB"/>
        </w:rPr>
      </w:pPr>
    </w:p>
    <w:p w:rsidRPr="00205B31" w:rsidR="009B0723" w:rsidP="00B7193E" w:rsidRDefault="00DF75F8" w14:paraId="55C402CC" w14:textId="24A17E92">
      <w:pPr>
        <w:jc w:val="both"/>
        <w:rPr>
          <w:rFonts w:ascii="Arial" w:hAnsi="Arial" w:cs="Arial"/>
          <w:b/>
          <w:sz w:val="22"/>
          <w:szCs w:val="22"/>
          <w:lang w:val="en-GB"/>
        </w:rPr>
      </w:pPr>
      <w:r w:rsidRPr="00205B31">
        <w:rPr>
          <w:rFonts w:ascii="Arial" w:hAnsi="Arial" w:cs="Arial"/>
          <w:b/>
          <w:sz w:val="22"/>
          <w:szCs w:val="22"/>
          <w:lang w:val="en-GB"/>
        </w:rPr>
        <w:t>QUESTION 4</w:t>
      </w:r>
      <w:r w:rsidRPr="00205B31" w:rsidR="009B0723">
        <w:rPr>
          <w:rFonts w:ascii="Arial" w:hAnsi="Arial" w:cs="Arial"/>
          <w:b/>
          <w:sz w:val="22"/>
          <w:szCs w:val="22"/>
          <w:lang w:val="en-GB"/>
        </w:rPr>
        <w:t xml:space="preserve"> (fact-based application-type question) [15 marks</w:t>
      </w:r>
      <w:r w:rsidRPr="00205B31" w:rsidR="006A2646">
        <w:rPr>
          <w:rFonts w:ascii="Arial" w:hAnsi="Arial" w:cs="Arial"/>
          <w:b/>
          <w:sz w:val="22"/>
          <w:szCs w:val="22"/>
          <w:lang w:val="en-GB"/>
        </w:rPr>
        <w:t xml:space="preserve"> in total</w:t>
      </w:r>
      <w:r w:rsidRPr="00205B31" w:rsidR="009B0723">
        <w:rPr>
          <w:rFonts w:ascii="Arial" w:hAnsi="Arial" w:cs="Arial"/>
          <w:b/>
          <w:sz w:val="22"/>
          <w:szCs w:val="22"/>
          <w:lang w:val="en-GB"/>
        </w:rPr>
        <w:t>]</w:t>
      </w:r>
    </w:p>
    <w:p w:rsidRPr="00205B31" w:rsidR="0009471C" w:rsidP="00B7193E" w:rsidRDefault="0009471C" w14:paraId="6D423740" w14:textId="77777777">
      <w:pPr>
        <w:autoSpaceDE w:val="0"/>
        <w:autoSpaceDN w:val="0"/>
        <w:adjustRightInd w:val="0"/>
        <w:jc w:val="both"/>
        <w:rPr>
          <w:rFonts w:ascii="Arial" w:hAnsi="Arial" w:cs="Arial"/>
          <w:sz w:val="22"/>
          <w:szCs w:val="22"/>
          <w:lang w:val="en-GB"/>
        </w:rPr>
      </w:pPr>
    </w:p>
    <w:p w:rsidRPr="00205B31" w:rsidR="00486776" w:rsidP="006D564C" w:rsidRDefault="0009471C" w14:paraId="5120397A" w14:textId="440198B9">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Pr="00205B31" w:rsidR="00BF2B49">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Pr="00205B31" w:rsidR="006A6D1D">
        <w:rPr>
          <w:rFonts w:ascii="Arial" w:hAnsi="Arial" w:cs="Arial"/>
          <w:sz w:val="22"/>
          <w:szCs w:val="22"/>
          <w:lang w:val="en-GB"/>
        </w:rPr>
        <w:t xml:space="preserve">Its centre of main interest </w:t>
      </w:r>
      <w:r w:rsidRPr="00205B31" w:rsidR="00FB7D52">
        <w:rPr>
          <w:rFonts w:ascii="Arial" w:hAnsi="Arial" w:cs="Arial"/>
          <w:sz w:val="22"/>
          <w:szCs w:val="22"/>
          <w:lang w:val="en-GB"/>
        </w:rPr>
        <w:t xml:space="preserve">(COMI) </w:t>
      </w:r>
      <w:r w:rsidRPr="00205B31" w:rsidR="006A6D1D">
        <w:rPr>
          <w:rFonts w:ascii="Arial" w:hAnsi="Arial" w:cs="Arial"/>
          <w:sz w:val="22"/>
          <w:szCs w:val="22"/>
          <w:lang w:val="en-GB"/>
        </w:rPr>
        <w:t xml:space="preserve">is in the UK. </w:t>
      </w:r>
      <w:r w:rsidRPr="00205B31" w:rsidR="00486776">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Pr="00205B31" w:rsidR="00486776">
        <w:rPr>
          <w:rFonts w:ascii="Arial" w:hAnsi="Arial" w:cs="Arial"/>
          <w:color w:val="212529"/>
          <w:sz w:val="22"/>
          <w:szCs w:val="22"/>
          <w:shd w:val="clear" w:color="auto" w:fill="FFFFFF"/>
          <w:lang w:val="en-GB"/>
        </w:rPr>
        <w:t xml:space="preserve">19 pandemic. </w:t>
      </w:r>
    </w:p>
    <w:p w:rsidRPr="00205B31" w:rsidR="00486776" w:rsidP="006D564C" w:rsidRDefault="00486776" w14:paraId="6EE122C6" w14:textId="77777777">
      <w:pPr>
        <w:autoSpaceDE w:val="0"/>
        <w:autoSpaceDN w:val="0"/>
        <w:adjustRightInd w:val="0"/>
        <w:jc w:val="both"/>
        <w:rPr>
          <w:rFonts w:ascii="Arial" w:hAnsi="Arial" w:cs="Arial"/>
          <w:color w:val="212529"/>
          <w:sz w:val="22"/>
          <w:szCs w:val="22"/>
          <w:shd w:val="clear" w:color="auto" w:fill="FFFFFF"/>
          <w:lang w:val="en-GB"/>
        </w:rPr>
      </w:pPr>
    </w:p>
    <w:p w:rsidRPr="00205B31" w:rsidR="0009471C" w:rsidP="006D564C" w:rsidRDefault="00BF2B49" w14:paraId="2078D54B" w14:textId="35D9D996">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Pr="00205B31" w:rsidR="005716C3">
        <w:rPr>
          <w:rFonts w:ascii="Arial" w:hAnsi="Arial" w:cs="Arial"/>
          <w:color w:val="212529"/>
          <w:sz w:val="22"/>
          <w:szCs w:val="22"/>
          <w:shd w:val="clear" w:color="auto" w:fill="FFFFFF"/>
          <w:lang w:val="en-GB"/>
        </w:rPr>
        <w:t xml:space="preserve"> which is incorporated in </w:t>
      </w:r>
      <w:r w:rsidRPr="00205B31" w:rsidR="00342E57">
        <w:rPr>
          <w:rFonts w:ascii="Arial" w:hAnsi="Arial" w:cs="Arial"/>
          <w:color w:val="212529"/>
          <w:sz w:val="22"/>
          <w:szCs w:val="22"/>
          <w:shd w:val="clear" w:color="auto" w:fill="FFFFFF"/>
          <w:lang w:val="en-GB"/>
        </w:rPr>
        <w:t xml:space="preserve">a country in </w:t>
      </w:r>
      <w:r w:rsidRPr="00205B31" w:rsidR="005716C3">
        <w:rPr>
          <w:rFonts w:ascii="Arial" w:hAnsi="Arial" w:cs="Arial"/>
          <w:color w:val="212529"/>
          <w:sz w:val="22"/>
          <w:szCs w:val="22"/>
          <w:shd w:val="clear" w:color="auto" w:fill="FFFFFF"/>
          <w:lang w:val="en-GB"/>
        </w:rPr>
        <w:t>Europe</w:t>
      </w:r>
      <w:r w:rsidRPr="00205B31" w:rsidR="00E950C0">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Pr="00205B31" w:rsidR="00DF4D51">
        <w:rPr>
          <w:rFonts w:ascii="Arial" w:hAnsi="Arial" w:cs="Arial"/>
          <w:color w:val="212529"/>
          <w:sz w:val="22"/>
          <w:szCs w:val="22"/>
          <w:shd w:val="clear" w:color="auto" w:fill="FFFFFF"/>
          <w:lang w:val="en-GB"/>
        </w:rPr>
        <w:t>Fernz</w:t>
      </w:r>
      <w:proofErr w:type="spellEnd"/>
      <w:r w:rsidRPr="00205B31" w:rsidR="00DF4D51">
        <w:rPr>
          <w:rFonts w:ascii="Arial" w:hAnsi="Arial" w:cs="Arial"/>
          <w:color w:val="212529"/>
          <w:sz w:val="22"/>
          <w:szCs w:val="22"/>
          <w:shd w:val="clear" w:color="auto" w:fill="FFFFFF"/>
          <w:lang w:val="en-GB"/>
        </w:rPr>
        <w:t xml:space="preserve"> </w:t>
      </w:r>
      <w:r w:rsidRPr="00205B31" w:rsidR="0002322B">
        <w:rPr>
          <w:rFonts w:ascii="Arial" w:hAnsi="Arial" w:cs="Arial"/>
          <w:color w:val="212529"/>
          <w:sz w:val="22"/>
          <w:szCs w:val="22"/>
          <w:shd w:val="clear" w:color="auto" w:fill="FFFFFF"/>
          <w:lang w:val="en-GB"/>
        </w:rPr>
        <w:t xml:space="preserve">is considering commencing proceedings </w:t>
      </w:r>
      <w:r w:rsidRPr="00205B31" w:rsidR="00C15A16">
        <w:rPr>
          <w:rFonts w:ascii="Arial" w:hAnsi="Arial" w:cs="Arial"/>
          <w:color w:val="212529"/>
          <w:sz w:val="22"/>
          <w:szCs w:val="22"/>
          <w:shd w:val="clear" w:color="auto" w:fill="FFFFFF"/>
          <w:lang w:val="en-GB"/>
        </w:rPr>
        <w:t xml:space="preserve">or </w:t>
      </w:r>
      <w:r w:rsidRPr="00205B31" w:rsidR="00A56DBC">
        <w:rPr>
          <w:rFonts w:ascii="Arial" w:hAnsi="Arial" w:cs="Arial"/>
          <w:color w:val="212529"/>
          <w:sz w:val="22"/>
          <w:szCs w:val="22"/>
          <w:shd w:val="clear" w:color="auto" w:fill="FFFFFF"/>
          <w:lang w:val="en-GB"/>
        </w:rPr>
        <w:t xml:space="preserve">pursuing </w:t>
      </w:r>
      <w:r w:rsidRPr="00205B31" w:rsidR="00C15A16">
        <w:rPr>
          <w:rFonts w:ascii="Arial" w:hAnsi="Arial" w:cs="Arial"/>
          <w:color w:val="212529"/>
          <w:sz w:val="22"/>
          <w:szCs w:val="22"/>
          <w:shd w:val="clear" w:color="auto" w:fill="FFFFFF"/>
          <w:lang w:val="en-GB"/>
        </w:rPr>
        <w:t xml:space="preserve">other options with respect to </w:t>
      </w:r>
      <w:r w:rsidRPr="00205B31" w:rsidR="0002322B">
        <w:rPr>
          <w:rFonts w:ascii="Arial" w:hAnsi="Arial" w:cs="Arial"/>
          <w:color w:val="212529"/>
          <w:sz w:val="22"/>
          <w:szCs w:val="22"/>
          <w:shd w:val="clear" w:color="auto" w:fill="FFFFFF"/>
          <w:lang w:val="en-GB"/>
        </w:rPr>
        <w:t>recovering unpaid debts</w:t>
      </w:r>
      <w:r w:rsidRPr="00205B31" w:rsidR="00C15A16">
        <w:rPr>
          <w:rFonts w:ascii="Arial" w:hAnsi="Arial" w:cs="Arial"/>
          <w:color w:val="212529"/>
          <w:sz w:val="22"/>
          <w:szCs w:val="22"/>
          <w:shd w:val="clear" w:color="auto" w:fill="FFFFFF"/>
          <w:lang w:val="en-GB"/>
        </w:rPr>
        <w:t xml:space="preserve"> from </w:t>
      </w:r>
      <w:r w:rsidRPr="00205B31" w:rsidR="00A56DBC">
        <w:rPr>
          <w:rFonts w:ascii="Arial" w:hAnsi="Arial" w:cs="Arial"/>
          <w:color w:val="212529"/>
          <w:sz w:val="22"/>
          <w:szCs w:val="22"/>
          <w:shd w:val="clear" w:color="auto" w:fill="FFFFFF"/>
          <w:lang w:val="en-GB"/>
        </w:rPr>
        <w:t>Rydell.</w:t>
      </w:r>
    </w:p>
    <w:p w:rsidRPr="00205B31" w:rsidR="00BA1648" w:rsidP="006D564C" w:rsidRDefault="00BA1648" w14:paraId="6B51E649" w14:textId="1875C79A">
      <w:pPr>
        <w:autoSpaceDE w:val="0"/>
        <w:autoSpaceDN w:val="0"/>
        <w:adjustRightInd w:val="0"/>
        <w:jc w:val="both"/>
        <w:rPr>
          <w:rFonts w:ascii="Arial" w:hAnsi="Arial" w:cs="Arial"/>
          <w:color w:val="212529"/>
          <w:sz w:val="22"/>
          <w:szCs w:val="22"/>
          <w:shd w:val="clear" w:color="auto" w:fill="FFFFFF"/>
          <w:lang w:val="en-GB"/>
        </w:rPr>
      </w:pPr>
    </w:p>
    <w:p w:rsidRPr="00205B31" w:rsidR="00BA1648" w:rsidP="006D564C" w:rsidRDefault="00BA1648" w14:paraId="7977247A" w14:textId="547A1794">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Pr="00205B31" w:rsidR="00530010">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Pr="00205B31" w:rsidR="00BB09FD">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rsidRPr="00205B31" w:rsidR="0009471C" w:rsidP="006D564C" w:rsidRDefault="0009471C" w14:paraId="72D991CE" w14:textId="17EF7877">
      <w:pPr>
        <w:jc w:val="both"/>
        <w:rPr>
          <w:rFonts w:ascii="Arial" w:hAnsi="Arial" w:cs="Arial"/>
          <w:sz w:val="22"/>
          <w:szCs w:val="22"/>
          <w:lang w:val="en-GB"/>
        </w:rPr>
      </w:pPr>
    </w:p>
    <w:p w:rsidRPr="00205B31" w:rsidR="00DF4D51" w:rsidP="006D564C" w:rsidRDefault="00DF4D51" w14:paraId="58ED2700" w14:textId="3BF39D00">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rsidRPr="00205B31" w:rsidR="009B0723" w:rsidP="006D564C" w:rsidRDefault="009B0723" w14:paraId="793A98A7" w14:textId="7EAFF6C1">
      <w:pPr>
        <w:autoSpaceDE w:val="0"/>
        <w:autoSpaceDN w:val="0"/>
        <w:adjustRightInd w:val="0"/>
        <w:jc w:val="both"/>
        <w:rPr>
          <w:rFonts w:ascii="Arial" w:hAnsi="Arial" w:cs="Arial"/>
          <w:sz w:val="22"/>
          <w:szCs w:val="22"/>
          <w:lang w:val="en-GB"/>
        </w:rPr>
      </w:pPr>
    </w:p>
    <w:p w:rsidRPr="00205B31" w:rsidR="002F75A3" w:rsidP="006D564C" w:rsidRDefault="009B0723" w14:paraId="3EEBCF39" w14:textId="4405CA51">
      <w:pPr>
        <w:jc w:val="both"/>
        <w:rPr>
          <w:rFonts w:ascii="Arial" w:hAnsi="Arial" w:cs="Arial"/>
          <w:sz w:val="22"/>
          <w:szCs w:val="22"/>
          <w:lang w:val="en-GB"/>
        </w:rPr>
      </w:pPr>
      <w:bookmarkStart w:name="_Hlk17745211" w:id="2"/>
      <w:r w:rsidRPr="00205B31">
        <w:rPr>
          <w:rFonts w:ascii="Arial" w:hAnsi="Arial" w:cs="Arial"/>
          <w:b/>
          <w:bCs/>
          <w:sz w:val="22"/>
          <w:szCs w:val="22"/>
          <w:lang w:val="en-GB"/>
        </w:rPr>
        <w:t>Question 4.1 [</w:t>
      </w:r>
      <w:r w:rsidRPr="00205B31" w:rsidR="00D17FDC">
        <w:rPr>
          <w:rFonts w:ascii="Arial" w:hAnsi="Arial" w:cs="Arial"/>
          <w:b/>
          <w:bCs/>
          <w:sz w:val="22"/>
          <w:szCs w:val="22"/>
          <w:lang w:val="en-GB"/>
        </w:rPr>
        <w:t>m</w:t>
      </w:r>
      <w:r w:rsidRPr="00205B31">
        <w:rPr>
          <w:rFonts w:ascii="Arial" w:hAnsi="Arial" w:cs="Arial"/>
          <w:b/>
          <w:bCs/>
          <w:sz w:val="22"/>
          <w:szCs w:val="22"/>
          <w:lang w:val="en-GB"/>
        </w:rPr>
        <w:t xml:space="preserve">aximum </w:t>
      </w:r>
      <w:r w:rsidRPr="00205B31" w:rsidR="001E392F">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rsidRPr="00205B31" w:rsidR="002F75A3" w:rsidP="006D564C" w:rsidRDefault="002F75A3" w14:paraId="0FD43ABB" w14:textId="77777777">
      <w:pPr>
        <w:jc w:val="both"/>
        <w:rPr>
          <w:rFonts w:ascii="Arial" w:hAnsi="Arial" w:cs="Arial"/>
          <w:sz w:val="22"/>
          <w:szCs w:val="22"/>
          <w:lang w:val="en-GB"/>
        </w:rPr>
      </w:pPr>
    </w:p>
    <w:p w:rsidRPr="00205B31" w:rsidR="00EC549E" w:rsidP="006D564C" w:rsidRDefault="00EC549E" w14:paraId="18137265" w14:textId="242085AE">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Pr="00205B31" w:rsidR="004D687E">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Pr="00205B31" w:rsidR="0050156C">
        <w:rPr>
          <w:rFonts w:ascii="Arial" w:hAnsi="Arial" w:cs="Arial"/>
          <w:sz w:val="22"/>
          <w:szCs w:val="22"/>
          <w:lang w:val="en-GB"/>
        </w:rPr>
        <w:t>Fernz</w:t>
      </w:r>
      <w:proofErr w:type="spellEnd"/>
      <w:r w:rsidRPr="00205B31" w:rsidR="0050156C">
        <w:rPr>
          <w:rFonts w:ascii="Arial" w:hAnsi="Arial" w:cs="Arial"/>
          <w:sz w:val="22"/>
          <w:szCs w:val="22"/>
          <w:lang w:val="en-GB"/>
        </w:rPr>
        <w:t xml:space="preserve"> </w:t>
      </w:r>
      <w:r w:rsidRPr="00205B31">
        <w:rPr>
          <w:rFonts w:ascii="Arial" w:hAnsi="Arial" w:cs="Arial"/>
          <w:sz w:val="22"/>
          <w:szCs w:val="22"/>
          <w:lang w:val="en-GB"/>
        </w:rPr>
        <w:t xml:space="preserve">was </w:t>
      </w:r>
      <w:r w:rsidRPr="00205B31" w:rsidR="0050156C">
        <w:rPr>
          <w:rFonts w:ascii="Arial" w:hAnsi="Arial" w:cs="Arial"/>
          <w:sz w:val="22"/>
          <w:szCs w:val="22"/>
          <w:lang w:val="en-GB"/>
        </w:rPr>
        <w:t xml:space="preserve">considering </w:t>
      </w:r>
      <w:r w:rsidRPr="00205B31">
        <w:rPr>
          <w:rFonts w:ascii="Arial" w:hAnsi="Arial" w:cs="Arial"/>
          <w:sz w:val="22"/>
          <w:szCs w:val="22"/>
          <w:lang w:val="en-GB"/>
        </w:rPr>
        <w:t>also open</w:t>
      </w:r>
      <w:r w:rsidRPr="00205B31" w:rsidR="0050156C">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Pr="00205B31" w:rsidR="00BB09FD">
        <w:rPr>
          <w:rFonts w:ascii="Arial" w:hAnsi="Arial" w:cs="Arial"/>
          <w:sz w:val="22"/>
          <w:szCs w:val="22"/>
          <w:lang w:val="en-GB"/>
        </w:rPr>
        <w:t xml:space="preserve"> which was a member of the European Union.</w:t>
      </w:r>
    </w:p>
    <w:p w:rsidRPr="00205B31" w:rsidR="00EC549E" w:rsidP="006D564C" w:rsidRDefault="00EC549E" w14:paraId="3D1845DD" w14:textId="77777777">
      <w:pPr>
        <w:jc w:val="both"/>
        <w:rPr>
          <w:rFonts w:ascii="Arial" w:hAnsi="Arial" w:cs="Arial"/>
          <w:sz w:val="22"/>
          <w:szCs w:val="22"/>
          <w:lang w:val="en-GB"/>
        </w:rPr>
      </w:pPr>
    </w:p>
    <w:p w:rsidRPr="00205B31" w:rsidR="00EC549E" w:rsidP="006D564C" w:rsidRDefault="00EC549E" w14:paraId="673CF976" w14:textId="7852F7A1">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Pr="00205B31" w:rsidR="002F5DD8">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rsidRPr="00205B31" w:rsidR="00BA1648" w:rsidP="006D564C" w:rsidRDefault="00BA1648" w14:paraId="7719E4F1" w14:textId="77777777">
      <w:pPr>
        <w:jc w:val="both"/>
        <w:rPr>
          <w:rFonts w:ascii="Arial" w:hAnsi="Arial" w:cs="Arial"/>
          <w:sz w:val="22"/>
          <w:szCs w:val="22"/>
          <w:lang w:val="en-GB"/>
        </w:rPr>
      </w:pPr>
    </w:p>
    <w:p w:rsidRPr="00205B31" w:rsidR="002F75A3" w:rsidP="410F0EA9" w:rsidRDefault="002F75A3" w14:paraId="5020645C" w14:textId="79C89B7E">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[The European Insolvency Regulation Recast (“EIR Recast”) applies to the specified insolvency proceedings as set out in Annex B to the regulation, and it applies to all EU member states except Denmark. </w:t>
      </w:r>
    </w:p>
    <w:p w:rsidRPr="00205B31" w:rsidR="002F75A3" w:rsidP="70A00666" w:rsidRDefault="002F75A3" w14:paraId="44EDE684" w14:textId="6FA74ACE">
      <w:pPr>
        <w:pStyle w:val="Normal"/>
        <w:jc w:val="both"/>
        <w:rPr>
          <w:rFonts w:ascii="Calibri" w:hAnsi="Calibri" w:eastAsia="Times New Roman" w:cs=""/>
          <w:color w:val="7B7B7B" w:themeColor="accent3" w:themeTint="FF" w:themeShade="BF"/>
          <w:sz w:val="20"/>
          <w:szCs w:val="20"/>
          <w:lang w:val="en-GB"/>
        </w:rPr>
      </w:pPr>
    </w:p>
    <w:p w:rsidRPr="00205B31" w:rsidR="002F75A3" w:rsidP="70A00666" w:rsidRDefault="002F75A3" w14:paraId="72FE2DD5" w14:textId="30FF5E49">
      <w:pPr>
        <w:pStyle w:val="Normal"/>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 xml:space="preserve">The English insolvency proceedings were opened on 18 June 2020, and at the time, UK was an EU member state. The English insolvency proceedings are one of the proceedings set out in Annex B to the EIR Recast. Therefore, EIR Recast applies unless the contemplated proceedings </w:t>
      </w:r>
      <w:r w:rsidRPr="70A00666" w:rsidR="70A00666">
        <w:rPr>
          <w:rFonts w:ascii="Arial" w:hAnsi="Arial" w:eastAsia="Times New Roman" w:cs="Arial"/>
          <w:color w:val="7B7B7B" w:themeColor="accent3" w:themeTint="FF" w:themeShade="BF"/>
          <w:sz w:val="22"/>
          <w:szCs w:val="22"/>
          <w:lang w:val="en-GB"/>
        </w:rPr>
        <w:t>are</w:t>
      </w:r>
      <w:r w:rsidRPr="70A00666" w:rsidR="70A00666">
        <w:rPr>
          <w:rFonts w:ascii="Arial" w:hAnsi="Arial" w:eastAsia="Times New Roman" w:cs="Arial"/>
          <w:color w:val="7B7B7B" w:themeColor="accent3" w:themeTint="FF" w:themeShade="BF"/>
          <w:sz w:val="22"/>
          <w:szCs w:val="22"/>
          <w:lang w:val="en-GB"/>
        </w:rPr>
        <w:t xml:space="preserve"> to be opened in Denmark. </w:t>
      </w:r>
    </w:p>
    <w:p w:rsidRPr="00205B31" w:rsidR="002F75A3" w:rsidP="70A00666" w:rsidRDefault="002F75A3" w14:paraId="706688DE" w14:textId="5D62A544">
      <w:pPr>
        <w:pStyle w:val="Normal"/>
        <w:jc w:val="both"/>
        <w:rPr>
          <w:rFonts w:ascii="Calibri" w:hAnsi="Calibri" w:eastAsia="Times New Roman" w:cs=""/>
          <w:color w:val="7B7B7B" w:themeColor="accent3" w:themeTint="FF" w:themeShade="BF"/>
          <w:sz w:val="20"/>
          <w:szCs w:val="20"/>
          <w:lang w:val="en-GB"/>
        </w:rPr>
      </w:pPr>
    </w:p>
    <w:p w:rsidRPr="00205B31" w:rsidR="00126A4D" w:rsidP="70A00666" w:rsidRDefault="00126A4D" w14:paraId="51BE426F" w14:textId="3338FE5F">
      <w:pPr>
        <w:pStyle w:val="Normal"/>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Assuming, EIR Recast applies, since the English proceedings have been opened in the court where the debtor’s COMI is located, the English proceedings are main insolvency proceedings under the EIR Recast (Article 3.1). The significance of characterise the English proceedings as main proceedings include:</w:t>
      </w:r>
    </w:p>
    <w:p w:rsidRPr="00205B31" w:rsidR="00126A4D" w:rsidP="70A00666" w:rsidRDefault="00126A4D" w14:paraId="5B6D7A67" w14:textId="6330E0B8">
      <w:pPr>
        <w:pStyle w:val="Normal"/>
        <w:jc w:val="both"/>
        <w:rPr>
          <w:rFonts w:ascii="Calibri" w:hAnsi="Calibri" w:eastAsia="Times New Roman" w:cs=""/>
          <w:color w:val="7B7B7B" w:themeColor="accent3" w:themeTint="FF" w:themeShade="BF"/>
          <w:sz w:val="20"/>
          <w:szCs w:val="20"/>
          <w:lang w:val="en-GB"/>
        </w:rPr>
      </w:pPr>
    </w:p>
    <w:p w:rsidRPr="00205B31" w:rsidR="00126A4D" w:rsidP="70A00666" w:rsidRDefault="00126A4D" w14:paraId="114D1B2D" w14:textId="63B506EE">
      <w:pPr>
        <w:pStyle w:val="Normal"/>
        <w:ind w:left="720"/>
        <w:jc w:val="both"/>
        <w:rPr>
          <w:rFonts w:ascii="Arial" w:hAnsi="Arial" w:cs="Arial"/>
          <w:color w:val="7B7B7B" w:themeColor="accent3" w:themeTint="FF" w:themeShade="BF"/>
          <w:sz w:val="22"/>
          <w:szCs w:val="22"/>
          <w:lang w:val="en-GB"/>
        </w:rPr>
      </w:pPr>
      <w:r w:rsidRPr="70A00666" w:rsidR="70A00666">
        <w:rPr>
          <w:rFonts w:ascii="Arial" w:hAnsi="Arial" w:cs="Arial"/>
          <w:color w:val="7B7B7B" w:themeColor="accent3" w:themeTint="FF" w:themeShade="BF"/>
          <w:sz w:val="22"/>
          <w:szCs w:val="22"/>
          <w:lang w:val="en-GB"/>
        </w:rPr>
        <w:t>(1) the courts of another member state may only open a secondary proceeding if the debtor has an establishment in that state. The secondary proceeding is generally limited to dealing with assets within that member state. (Article 3.2)</w:t>
      </w:r>
    </w:p>
    <w:p w:rsidRPr="00205B31" w:rsidR="00126A4D" w:rsidP="70A00666" w:rsidRDefault="00126A4D" w14:paraId="0E2A98AE" w14:textId="6D27EB5B">
      <w:pPr>
        <w:pStyle w:val="Normal"/>
        <w:ind w:left="720"/>
        <w:jc w:val="both"/>
        <w:rPr>
          <w:rFonts w:ascii="Calibri" w:hAnsi="Calibri" w:eastAsia="Times New Roman" w:cs=""/>
          <w:color w:val="7B7B7B" w:themeColor="accent3" w:themeTint="FF" w:themeShade="BF"/>
          <w:sz w:val="20"/>
          <w:szCs w:val="20"/>
          <w:lang w:val="en-GB"/>
        </w:rPr>
      </w:pPr>
    </w:p>
    <w:p w:rsidRPr="00205B31" w:rsidR="00126A4D" w:rsidP="70A00666" w:rsidRDefault="00126A4D" w14:paraId="664E34E2" w14:textId="6DB14ED3">
      <w:pPr>
        <w:pStyle w:val="Normal"/>
        <w:ind w:left="720"/>
        <w:jc w:val="both"/>
        <w:rPr>
          <w:rFonts w:ascii="Arial" w:hAnsi="Arial" w:eastAsia="Times New Roman" w:cs="Arial"/>
          <w:color w:val="7B7B7B" w:themeColor="accent3" w:themeTint="FF" w:themeShade="BF"/>
          <w:sz w:val="22"/>
          <w:szCs w:val="22"/>
          <w:lang w:val="en-GB"/>
        </w:rPr>
      </w:pPr>
      <w:r w:rsidRPr="70A00666" w:rsidR="70A00666">
        <w:rPr>
          <w:rFonts w:ascii="Arial" w:hAnsi="Arial" w:eastAsia="Times New Roman" w:cs="Arial"/>
          <w:color w:val="7B7B7B" w:themeColor="accent3" w:themeTint="FF" w:themeShade="BF"/>
          <w:sz w:val="22"/>
          <w:szCs w:val="22"/>
          <w:lang w:val="en-GB"/>
        </w:rPr>
        <w:t xml:space="preserve">(2) the English proceedings are automatically recognised in all other member state and shall have the effect in each member state as they would have in the UK (Article 20.1). This means the English law moratorium preventing the commencement of new proceedings against the debtor will be given automatic effect in another EU member state.  </w:t>
      </w:r>
    </w:p>
    <w:p w:rsidRPr="00205B31" w:rsidR="00126A4D" w:rsidP="70A00666" w:rsidRDefault="00126A4D" w14:paraId="0A695EB2" w14:textId="2750EEFC">
      <w:pPr>
        <w:pStyle w:val="Normal"/>
        <w:jc w:val="both"/>
        <w:rPr>
          <w:rFonts w:ascii="Calibri" w:hAnsi="Calibri" w:eastAsia="Times New Roman" w:cs=""/>
          <w:color w:val="7B7B7B" w:themeColor="accent3" w:themeTint="FF" w:themeShade="BF"/>
          <w:sz w:val="20"/>
          <w:szCs w:val="20"/>
          <w:lang w:val="en-GB"/>
        </w:rPr>
      </w:pPr>
    </w:p>
    <w:p w:rsidRPr="00205B31" w:rsidR="00126A4D" w:rsidP="70A00666" w:rsidRDefault="00126A4D" w14:paraId="787A6CD5" w14:textId="112CE619">
      <w:pPr>
        <w:pStyle w:val="Normal"/>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This means that Fernz can only open insolvency proceedings in another EU member state (other than Denmark) if Fernz can establish that Rydell possesses an establishment in that state. In order to establish this, it must be proved that Rydell carries out or has carried out in the 3 month period prior to the request to open the English proceedings a non-transitory economic activity with human means and assets. In order to assess whether Rydell has an establishment in that country, further information about Rydell’s activities in that country (whether it is carrying on business, or has carried on business, whether it has any employees and assets there, etc) is required.</w:t>
      </w:r>
    </w:p>
    <w:p w:rsidRPr="00205B31" w:rsidR="00126A4D" w:rsidP="70A00666" w:rsidRDefault="00126A4D" w14:paraId="69313BC2" w14:textId="72A9925E">
      <w:pPr>
        <w:pStyle w:val="Normal"/>
        <w:jc w:val="both"/>
        <w:rPr>
          <w:rFonts w:ascii="Arial" w:hAnsi="Arial" w:cs="Arial"/>
          <w:color w:val="7B7B7B" w:themeColor="accent3" w:themeTint="FF" w:themeShade="BF"/>
          <w:sz w:val="22"/>
          <w:szCs w:val="22"/>
          <w:lang w:val="en-GB"/>
        </w:rPr>
      </w:pPr>
    </w:p>
    <w:p w:rsidRPr="00205B31" w:rsidR="00126A4D" w:rsidP="70A00666" w:rsidRDefault="00126A4D" w14:paraId="391A0743" w14:textId="2A2C8C4C">
      <w:pPr>
        <w:pStyle w:val="Normal"/>
        <w:jc w:val="both"/>
        <w:rPr>
          <w:rFonts w:ascii="Calibri" w:hAnsi="Calibri" w:eastAsia="Times New Roman" w:cs=""/>
          <w:sz w:val="20"/>
          <w:szCs w:val="20"/>
          <w:lang w:val="en-GB"/>
        </w:rPr>
      </w:pPr>
      <w:r w:rsidRPr="70A00666" w:rsidR="70A00666">
        <w:rPr>
          <w:rFonts w:ascii="Arial" w:hAnsi="Arial" w:cs="Arial"/>
          <w:color w:val="7B7B7B" w:themeColor="accent3" w:themeTint="FF" w:themeShade="BF"/>
          <w:sz w:val="22"/>
          <w:szCs w:val="22"/>
          <w:lang w:val="en-GB"/>
        </w:rPr>
        <w:t>If the contemplated proceedings are not insolvency proceedings (</w:t>
      </w:r>
      <w:proofErr w:type="gramStart"/>
      <w:r w:rsidRPr="70A00666" w:rsidR="70A00666">
        <w:rPr>
          <w:rFonts w:ascii="Arial" w:hAnsi="Arial" w:cs="Arial"/>
          <w:color w:val="7B7B7B" w:themeColor="accent3" w:themeTint="FF" w:themeShade="BF"/>
          <w:sz w:val="22"/>
          <w:szCs w:val="22"/>
          <w:lang w:val="en-GB"/>
        </w:rPr>
        <w:t>i.e.</w:t>
      </w:r>
      <w:proofErr w:type="gramEnd"/>
      <w:r w:rsidRPr="70A00666" w:rsidR="70A00666">
        <w:rPr>
          <w:rFonts w:ascii="Arial" w:hAnsi="Arial" w:cs="Arial"/>
          <w:color w:val="7B7B7B" w:themeColor="accent3" w:themeTint="FF" w:themeShade="BF"/>
          <w:sz w:val="22"/>
          <w:szCs w:val="22"/>
          <w:lang w:val="en-GB"/>
        </w:rPr>
        <w:t xml:space="preserve"> not one of the proceedings listed in Annex B to the EIR Recast), the English law moratorium may prevent commencing such proceedings in another EU member state because of the automatic effect under the EIR Recast.]</w:t>
      </w:r>
    </w:p>
    <w:p w:rsidRPr="00205B31" w:rsidR="00126A4D" w:rsidP="70A00666" w:rsidRDefault="00126A4D" w14:paraId="317DD6E7" w14:textId="133EDF2F">
      <w:pPr>
        <w:pStyle w:val="Normal"/>
        <w:jc w:val="both"/>
        <w:rPr>
          <w:rFonts w:ascii="Calibri" w:hAnsi="Calibri" w:eastAsia="Times New Roman" w:cs=""/>
          <w:color w:val="7B7B7B" w:themeColor="accent3" w:themeTint="FF" w:themeShade="BF"/>
          <w:sz w:val="20"/>
          <w:szCs w:val="20"/>
          <w:lang w:val="en-GB"/>
        </w:rPr>
      </w:pPr>
    </w:p>
    <w:p w:rsidRPr="00205B31" w:rsidR="005F453F" w:rsidP="00B7193E" w:rsidRDefault="005F453F" w14:paraId="38BBF3CA" w14:textId="77777777">
      <w:pPr>
        <w:jc w:val="both"/>
        <w:rPr>
          <w:rFonts w:ascii="Arial" w:hAnsi="Arial" w:cs="Arial"/>
          <w:sz w:val="22"/>
          <w:szCs w:val="22"/>
          <w:lang w:val="en-GB"/>
        </w:rPr>
      </w:pPr>
    </w:p>
    <w:p w:rsidRPr="00205B31" w:rsidR="002F75A3" w:rsidP="00B7193E" w:rsidRDefault="009B0723" w14:paraId="40921E31" w14:textId="5D544629">
      <w:pPr>
        <w:jc w:val="both"/>
        <w:rPr>
          <w:rFonts w:ascii="Arial" w:hAnsi="Arial" w:cs="Arial"/>
          <w:b/>
          <w:bCs/>
          <w:sz w:val="22"/>
          <w:szCs w:val="22"/>
          <w:lang w:val="en-GB"/>
        </w:rPr>
      </w:pPr>
      <w:r w:rsidRPr="00205B31">
        <w:rPr>
          <w:rFonts w:ascii="Arial" w:hAnsi="Arial" w:cs="Arial"/>
          <w:b/>
          <w:bCs/>
          <w:sz w:val="22"/>
          <w:szCs w:val="22"/>
          <w:lang w:val="en-GB"/>
        </w:rPr>
        <w:t>Question 4.2 [</w:t>
      </w:r>
      <w:r w:rsidRPr="00205B31" w:rsidR="00126A4D">
        <w:rPr>
          <w:rFonts w:ascii="Arial" w:hAnsi="Arial" w:cs="Arial"/>
          <w:b/>
          <w:bCs/>
          <w:sz w:val="22"/>
          <w:szCs w:val="22"/>
          <w:lang w:val="en-GB"/>
        </w:rPr>
        <w:t>m</w:t>
      </w:r>
      <w:r w:rsidRPr="00205B31">
        <w:rPr>
          <w:rFonts w:ascii="Arial" w:hAnsi="Arial" w:cs="Arial"/>
          <w:b/>
          <w:bCs/>
          <w:sz w:val="22"/>
          <w:szCs w:val="22"/>
          <w:lang w:val="en-GB"/>
        </w:rPr>
        <w:t xml:space="preserve">aximum </w:t>
      </w:r>
      <w:r w:rsidRPr="00205B31" w:rsidR="001E392F">
        <w:rPr>
          <w:rFonts w:ascii="Arial" w:hAnsi="Arial" w:cs="Arial"/>
          <w:b/>
          <w:bCs/>
          <w:sz w:val="22"/>
          <w:szCs w:val="22"/>
          <w:lang w:val="en-GB"/>
        </w:rPr>
        <w:t>3</w:t>
      </w:r>
      <w:r w:rsidRPr="00205B31">
        <w:rPr>
          <w:rFonts w:ascii="Arial" w:hAnsi="Arial" w:cs="Arial"/>
          <w:b/>
          <w:bCs/>
          <w:sz w:val="22"/>
          <w:szCs w:val="22"/>
          <w:lang w:val="en-GB"/>
        </w:rPr>
        <w:t xml:space="preserve"> marks] </w:t>
      </w:r>
    </w:p>
    <w:p w:rsidRPr="00205B31" w:rsidR="002F75A3" w:rsidP="00B7193E" w:rsidRDefault="002F75A3" w14:paraId="6433B0AC" w14:textId="77777777">
      <w:pPr>
        <w:jc w:val="both"/>
        <w:rPr>
          <w:rFonts w:ascii="Arial" w:hAnsi="Arial" w:cs="Arial"/>
          <w:b/>
          <w:bCs/>
          <w:sz w:val="22"/>
          <w:szCs w:val="22"/>
          <w:lang w:val="en-GB"/>
        </w:rPr>
      </w:pPr>
    </w:p>
    <w:p w:rsidRPr="00205B31" w:rsidR="005A2152" w:rsidP="00C45A03" w:rsidRDefault="00E37049" w14:paraId="244CB174" w14:textId="4027F873">
      <w:pPr>
        <w:jc w:val="both"/>
        <w:rPr>
          <w:rFonts w:ascii="Arial" w:hAnsi="Arial" w:cs="Arial"/>
          <w:sz w:val="22"/>
          <w:szCs w:val="22"/>
          <w:lang w:val="en-GB"/>
        </w:rPr>
      </w:pPr>
      <w:bookmarkStart w:name="_Hlk75415073" w:id="3"/>
      <w:r w:rsidRPr="00205B31">
        <w:rPr>
          <w:rFonts w:ascii="Arial" w:hAnsi="Arial" w:cs="Arial"/>
          <w:sz w:val="22"/>
          <w:szCs w:val="22"/>
          <w:lang w:val="en-GB"/>
        </w:rPr>
        <w:t xml:space="preserve">How would your answer to 4.1 differ if the proceedings were opened </w:t>
      </w:r>
      <w:r w:rsidRPr="00205B31" w:rsidR="009A5354">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Pr="00205B31" w:rsidR="0046142D">
        <w:rPr>
          <w:rFonts w:ascii="Arial" w:hAnsi="Arial" w:cs="Arial"/>
          <w:sz w:val="22"/>
          <w:szCs w:val="22"/>
          <w:lang w:val="en-GB"/>
        </w:rPr>
        <w:t>Also note w</w:t>
      </w:r>
      <w:r w:rsidRPr="00205B31">
        <w:rPr>
          <w:rFonts w:ascii="Arial" w:hAnsi="Arial" w:cs="Arial"/>
          <w:sz w:val="22"/>
          <w:szCs w:val="22"/>
          <w:lang w:val="en-GB"/>
        </w:rPr>
        <w:t>hat further information</w:t>
      </w:r>
      <w:r w:rsidRPr="00205B31" w:rsidR="00591631">
        <w:rPr>
          <w:rFonts w:ascii="Arial" w:hAnsi="Arial" w:cs="Arial"/>
          <w:sz w:val="22"/>
          <w:szCs w:val="22"/>
          <w:lang w:val="en-GB"/>
        </w:rPr>
        <w:t>, if any,</w:t>
      </w:r>
      <w:r w:rsidRPr="00205B31">
        <w:rPr>
          <w:rFonts w:ascii="Arial" w:hAnsi="Arial" w:cs="Arial"/>
          <w:sz w:val="22"/>
          <w:szCs w:val="22"/>
          <w:lang w:val="en-GB"/>
        </w:rPr>
        <w:t xml:space="preserve"> might become relevant</w:t>
      </w:r>
      <w:r w:rsidRPr="00205B31" w:rsidR="0046142D">
        <w:rPr>
          <w:rFonts w:ascii="Arial" w:hAnsi="Arial" w:cs="Arial"/>
          <w:sz w:val="22"/>
          <w:szCs w:val="22"/>
          <w:lang w:val="en-GB"/>
        </w:rPr>
        <w:t>.</w:t>
      </w:r>
    </w:p>
    <w:bookmarkEnd w:id="3"/>
    <w:p w:rsidRPr="00205B31" w:rsidR="00015EE6" w:rsidP="00C45A03" w:rsidRDefault="00015EE6" w14:paraId="06CA1A12" w14:textId="77777777">
      <w:pPr>
        <w:jc w:val="both"/>
        <w:rPr>
          <w:rFonts w:ascii="Arial" w:hAnsi="Arial" w:cs="Arial"/>
          <w:sz w:val="22"/>
          <w:szCs w:val="22"/>
          <w:lang w:val="en-GB"/>
        </w:rPr>
      </w:pPr>
    </w:p>
    <w:p w:rsidRPr="00205B31" w:rsidR="00015EE6" w:rsidP="410F0EA9" w:rsidRDefault="00C45A03" w14:paraId="79AADD3B" w14:textId="296D5BF3">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[From 11 pm on 31 December 2020, the EIR Recast ceased to apply in the UK following its exit from the EU. If the English proceedings were opened on 18 June 2021, the EIR Recast will not apply. This means that the English proceedings will no longer to be given automatic effect under the EIR Recast, and the creditors in the UK may be able to commence proceedings against the debtor, enforce against the debtor’s assets in the US. </w:t>
      </w:r>
    </w:p>
    <w:p w:rsidRPr="00205B31" w:rsidR="00015EE6" w:rsidP="410F0EA9" w:rsidRDefault="00C45A03" w14:paraId="46160A04" w14:textId="47824296">
      <w:pPr>
        <w:jc w:val="both"/>
        <w:rPr>
          <w:rFonts w:ascii="Arial" w:hAnsi="Arial" w:cs="Arial"/>
          <w:color w:val="7B7B7B" w:themeColor="accent3" w:themeTint="FF" w:themeShade="BF"/>
          <w:sz w:val="22"/>
          <w:szCs w:val="22"/>
          <w:lang w:val="en-GB"/>
        </w:rPr>
      </w:pPr>
    </w:p>
    <w:p w:rsidRPr="00205B31" w:rsidR="00015EE6" w:rsidP="70A00666" w:rsidRDefault="00C45A03" w14:paraId="7E095F82" w14:textId="606B6A97">
      <w:pPr>
        <w:jc w:val="both"/>
        <w:rPr>
          <w:rFonts w:ascii="Arial" w:hAnsi="Arial" w:cs="Arial"/>
          <w:color w:val="7B7B7B" w:themeColor="accent3" w:themeTint="FF" w:themeShade="BF"/>
          <w:sz w:val="22"/>
          <w:szCs w:val="22"/>
          <w:lang w:val="en-GB"/>
        </w:rPr>
      </w:pPr>
      <w:r w:rsidRPr="70A00666" w:rsidR="70A00666">
        <w:rPr>
          <w:rFonts w:ascii="Arial" w:hAnsi="Arial" w:cs="Arial"/>
          <w:color w:val="7B7B7B" w:themeColor="accent3" w:themeTint="FF" w:themeShade="BF"/>
          <w:sz w:val="22"/>
          <w:szCs w:val="22"/>
          <w:lang w:val="en-GB"/>
        </w:rPr>
        <w:t xml:space="preserve">What it means to </w:t>
      </w:r>
      <w:proofErr w:type="spellStart"/>
      <w:r w:rsidRPr="70A00666" w:rsidR="70A00666">
        <w:rPr>
          <w:rFonts w:ascii="Arial" w:hAnsi="Arial" w:cs="Arial"/>
          <w:color w:val="7B7B7B" w:themeColor="accent3" w:themeTint="FF" w:themeShade="BF"/>
          <w:sz w:val="22"/>
          <w:szCs w:val="22"/>
          <w:lang w:val="en-GB"/>
        </w:rPr>
        <w:t>Fernz</w:t>
      </w:r>
      <w:proofErr w:type="spellEnd"/>
      <w:r w:rsidRPr="70A00666" w:rsidR="70A00666">
        <w:rPr>
          <w:rFonts w:ascii="Arial" w:hAnsi="Arial" w:cs="Arial"/>
          <w:color w:val="7B7B7B" w:themeColor="accent3" w:themeTint="FF" w:themeShade="BF"/>
          <w:sz w:val="22"/>
          <w:szCs w:val="22"/>
          <w:lang w:val="en-GB"/>
        </w:rPr>
        <w:t xml:space="preserve"> is that it is no longer be prevented by English law moratorium to commence proceedings in an EU member state against Rydell. If </w:t>
      </w:r>
      <w:proofErr w:type="spellStart"/>
      <w:r w:rsidRPr="70A00666" w:rsidR="70A00666">
        <w:rPr>
          <w:rFonts w:ascii="Arial" w:hAnsi="Arial" w:cs="Arial"/>
          <w:color w:val="7B7B7B" w:themeColor="accent3" w:themeTint="FF" w:themeShade="BF"/>
          <w:sz w:val="22"/>
          <w:szCs w:val="22"/>
          <w:lang w:val="en-GB"/>
        </w:rPr>
        <w:t>Fernz</w:t>
      </w:r>
      <w:proofErr w:type="spellEnd"/>
      <w:r w:rsidRPr="70A00666" w:rsidR="70A00666">
        <w:rPr>
          <w:rFonts w:ascii="Arial" w:hAnsi="Arial" w:cs="Arial"/>
          <w:color w:val="7B7B7B" w:themeColor="accent3" w:themeTint="FF" w:themeShade="BF"/>
          <w:sz w:val="22"/>
          <w:szCs w:val="22"/>
          <w:lang w:val="en-GB"/>
        </w:rPr>
        <w:t xml:space="preserve"> intends to open an insolvency proceeding, it no longer needs to establish that Rydell has an establishment in the member state. </w:t>
      </w:r>
      <w:proofErr w:type="spellStart"/>
      <w:proofErr w:type="spellEnd"/>
    </w:p>
    <w:p w:rsidRPr="00205B31" w:rsidR="00015EE6" w:rsidP="70A00666" w:rsidRDefault="00C45A03" w14:paraId="243F5E59" w14:textId="271217BF">
      <w:pPr>
        <w:jc w:val="both"/>
        <w:rPr>
          <w:rFonts w:ascii="Arial" w:hAnsi="Arial" w:cs="Arial"/>
          <w:color w:val="7B7B7B" w:themeColor="accent3" w:themeTint="FF" w:themeShade="BF"/>
          <w:sz w:val="22"/>
          <w:szCs w:val="22"/>
          <w:lang w:val="en-GB"/>
        </w:rPr>
      </w:pPr>
    </w:p>
    <w:p w:rsidRPr="00205B31" w:rsidR="00015EE6" w:rsidP="00C45A03" w:rsidRDefault="00C45A03" w14:paraId="1256E6FF" w14:textId="45F7817B">
      <w:pPr>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 xml:space="preserve">It is also open to </w:t>
      </w:r>
      <w:proofErr w:type="spellStart"/>
      <w:r w:rsidRPr="70A00666" w:rsidR="70A00666">
        <w:rPr>
          <w:rFonts w:ascii="Arial" w:hAnsi="Arial" w:cs="Arial"/>
          <w:color w:val="7B7B7B" w:themeColor="accent3" w:themeTint="FF" w:themeShade="BF"/>
          <w:sz w:val="22"/>
          <w:szCs w:val="22"/>
          <w:lang w:val="en-GB"/>
        </w:rPr>
        <w:t>Fernz</w:t>
      </w:r>
      <w:proofErr w:type="spellEnd"/>
      <w:r w:rsidRPr="70A00666" w:rsidR="70A00666">
        <w:rPr>
          <w:rFonts w:ascii="Arial" w:hAnsi="Arial" w:cs="Arial"/>
          <w:color w:val="7B7B7B" w:themeColor="accent3" w:themeTint="FF" w:themeShade="BF"/>
          <w:sz w:val="22"/>
          <w:szCs w:val="22"/>
          <w:lang w:val="en-GB"/>
        </w:rPr>
        <w:t xml:space="preserve"> to open main insolvency proceedings in an EU member state, if it can persuade the court that Rydell’s COMI is in that state. There is a presumption that the place of the registered office of the debtor is its COMI. If Rydell has a registered office in that member state, unless it is proved to the contrary, Rydell’s COMI is presumed to be in that member state, and </w:t>
      </w:r>
      <w:proofErr w:type="spellStart"/>
      <w:r w:rsidRPr="70A00666" w:rsidR="70A00666">
        <w:rPr>
          <w:rFonts w:ascii="Arial" w:hAnsi="Arial" w:cs="Arial"/>
          <w:color w:val="7B7B7B" w:themeColor="accent3" w:themeTint="FF" w:themeShade="BF"/>
          <w:sz w:val="22"/>
          <w:szCs w:val="22"/>
          <w:lang w:val="en-GB"/>
        </w:rPr>
        <w:t>Fernz</w:t>
      </w:r>
      <w:proofErr w:type="spellEnd"/>
      <w:r w:rsidRPr="70A00666" w:rsidR="70A00666">
        <w:rPr>
          <w:rFonts w:ascii="Arial" w:hAnsi="Arial" w:cs="Arial"/>
          <w:color w:val="7B7B7B" w:themeColor="accent3" w:themeTint="FF" w:themeShade="BF"/>
          <w:sz w:val="22"/>
          <w:szCs w:val="22"/>
          <w:lang w:val="en-GB"/>
        </w:rPr>
        <w:t xml:space="preserve"> can open main proceedings in that state. If Rydell’s COMI is not in that member state, the conditions set out in Article 3.4 of the EIR Recast must be satisfied in order for Fernz to open secondary insolvency proceedings prior to the opening of the main insolvency proceedings.]</w:t>
      </w:r>
    </w:p>
    <w:p w:rsidRPr="00205B31" w:rsidR="00275182" w:rsidP="00B7193E" w:rsidRDefault="00275182" w14:paraId="7C5E5F3E" w14:textId="6A2E6386">
      <w:pPr>
        <w:jc w:val="both"/>
        <w:rPr>
          <w:rFonts w:ascii="Arial" w:hAnsi="Arial" w:cs="Arial"/>
          <w:b/>
          <w:bCs/>
          <w:sz w:val="22"/>
          <w:szCs w:val="22"/>
          <w:lang w:val="en-GB"/>
        </w:rPr>
      </w:pPr>
    </w:p>
    <w:p w:rsidRPr="00205B31" w:rsidR="00966E44" w:rsidP="00B7193E" w:rsidRDefault="00966E44" w14:paraId="10ACEBD1" w14:textId="77777777">
      <w:pPr>
        <w:jc w:val="both"/>
        <w:rPr>
          <w:rFonts w:ascii="Arial" w:hAnsi="Arial" w:cs="Arial"/>
          <w:b/>
          <w:bCs/>
          <w:sz w:val="22"/>
          <w:szCs w:val="22"/>
          <w:lang w:val="en-GB"/>
        </w:rPr>
      </w:pPr>
    </w:p>
    <w:p w:rsidRPr="00205B31" w:rsidR="002D3473" w:rsidP="00B7193E" w:rsidRDefault="009B0723" w14:paraId="033C67A4" w14:textId="4B78BA2B">
      <w:pPr>
        <w:jc w:val="both"/>
        <w:rPr>
          <w:rFonts w:ascii="Arial" w:hAnsi="Arial" w:cs="Arial"/>
          <w:b/>
          <w:bCs/>
          <w:sz w:val="22"/>
          <w:szCs w:val="22"/>
          <w:lang w:val="en-GB"/>
        </w:rPr>
      </w:pPr>
      <w:r w:rsidRPr="00205B31">
        <w:rPr>
          <w:rFonts w:ascii="Arial" w:hAnsi="Arial" w:cs="Arial"/>
          <w:b/>
          <w:bCs/>
          <w:sz w:val="22"/>
          <w:szCs w:val="22"/>
          <w:lang w:val="en-GB"/>
        </w:rPr>
        <w:t>Question 4.3 [</w:t>
      </w:r>
      <w:r w:rsidRPr="00205B31" w:rsidR="00126A4D">
        <w:rPr>
          <w:rFonts w:ascii="Arial" w:hAnsi="Arial" w:cs="Arial"/>
          <w:b/>
          <w:bCs/>
          <w:sz w:val="22"/>
          <w:szCs w:val="22"/>
          <w:lang w:val="en-GB"/>
        </w:rPr>
        <w:t>m</w:t>
      </w:r>
      <w:r w:rsidRPr="00205B31">
        <w:rPr>
          <w:rFonts w:ascii="Arial" w:hAnsi="Arial" w:cs="Arial"/>
          <w:b/>
          <w:bCs/>
          <w:sz w:val="22"/>
          <w:szCs w:val="22"/>
          <w:lang w:val="en-GB"/>
        </w:rPr>
        <w:t xml:space="preserve">aximum </w:t>
      </w:r>
      <w:r w:rsidRPr="00205B31" w:rsidR="00540E3A">
        <w:rPr>
          <w:rFonts w:ascii="Arial" w:hAnsi="Arial" w:cs="Arial"/>
          <w:b/>
          <w:bCs/>
          <w:sz w:val="22"/>
          <w:szCs w:val="22"/>
          <w:lang w:val="en-GB"/>
        </w:rPr>
        <w:t>5</w:t>
      </w:r>
      <w:r w:rsidRPr="00205B31">
        <w:rPr>
          <w:rFonts w:ascii="Arial" w:hAnsi="Arial" w:cs="Arial"/>
          <w:b/>
          <w:bCs/>
          <w:sz w:val="22"/>
          <w:szCs w:val="22"/>
          <w:lang w:val="en-GB"/>
        </w:rPr>
        <w:t xml:space="preserve"> marks]</w:t>
      </w:r>
    </w:p>
    <w:p w:rsidRPr="00205B31" w:rsidR="00DD4E68" w:rsidP="00DD4E68" w:rsidRDefault="00DD4E68" w14:paraId="2D362983" w14:textId="77777777">
      <w:pPr>
        <w:jc w:val="both"/>
        <w:rPr>
          <w:rFonts w:ascii="Arial" w:hAnsi="Arial" w:cs="Arial"/>
          <w:sz w:val="22"/>
          <w:szCs w:val="22"/>
          <w:lang w:val="en-GB"/>
        </w:rPr>
      </w:pPr>
      <w:bookmarkStart w:name="_Hlk75414344" w:id="4"/>
      <w:bookmarkEnd w:id="2"/>
    </w:p>
    <w:p w:rsidR="0046142D" w:rsidP="0046142D" w:rsidRDefault="0046142D" w14:paraId="6625C320" w14:textId="383FB04A">
      <w:pPr>
        <w:ind w:hanging="11"/>
        <w:jc w:val="both"/>
        <w:rPr>
          <w:rFonts w:ascii="Arial" w:hAnsi="Arial" w:cs="Arial"/>
          <w:sz w:val="22"/>
          <w:szCs w:val="22"/>
          <w:lang w:val="en-GB"/>
        </w:rPr>
      </w:pPr>
      <w:bookmarkStart w:name="_Hlk75687459" w:id="5"/>
      <w:r w:rsidRPr="00205B31">
        <w:rPr>
          <w:rFonts w:ascii="Arial" w:hAnsi="Arial" w:cs="Arial"/>
          <w:sz w:val="22"/>
          <w:szCs w:val="22"/>
          <w:lang w:val="en-GB"/>
        </w:rPr>
        <w:t xml:space="preserve">Consider an alternative situation now. What if Rydell were unregistered with its COMI in a country in Europe </w:t>
      </w:r>
      <w:r w:rsidRPr="00205B31" w:rsidR="00202C2B">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Pr="00205B31" w:rsidR="00202C2B">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rsidRPr="00205B31" w:rsidR="00463259" w:rsidP="0046142D" w:rsidRDefault="00463259" w14:paraId="7E5ACB83" w14:textId="77777777">
      <w:pPr>
        <w:ind w:hanging="11"/>
        <w:jc w:val="both"/>
        <w:rPr>
          <w:rFonts w:ascii="Arial" w:hAnsi="Arial" w:cs="Arial"/>
          <w:sz w:val="22"/>
          <w:szCs w:val="22"/>
          <w:lang w:val="en-GB"/>
        </w:rPr>
      </w:pPr>
    </w:p>
    <w:bookmarkEnd w:id="4"/>
    <w:bookmarkEnd w:id="5"/>
    <w:p w:rsidRPr="00205B31" w:rsidR="00015EE6" w:rsidP="70A00666" w:rsidRDefault="00015EE6" w14:paraId="156768E0" w14:textId="2B38273D">
      <w:pPr>
        <w:autoSpaceDE w:val="0"/>
        <w:autoSpaceDN w:val="0"/>
        <w:adjustRightInd w:val="0"/>
        <w:spacing w:line="276" w:lineRule="auto"/>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[Insolvency Act 1986 (“IA”) is relevant. English Court has jurisdiction to wind up unregistered companies under Part V of the IA, regardless of whether or not the debtor’s COMI is in the UK. It is well established by a well-accepted line of case law that the court will only exercise such jurisdiction if the followings are met:</w:t>
      </w:r>
    </w:p>
    <w:p w:rsidRPr="00205B31" w:rsidR="00015EE6" w:rsidP="70A00666" w:rsidRDefault="00015EE6" w14:paraId="137508D8" w14:textId="27737396">
      <w:pPr>
        <w:pStyle w:val="Normal"/>
        <w:autoSpaceDE w:val="0"/>
        <w:autoSpaceDN w:val="0"/>
        <w:adjustRightInd w:val="0"/>
        <w:spacing w:line="276" w:lineRule="auto"/>
        <w:jc w:val="both"/>
        <w:rPr>
          <w:rFonts w:ascii="Calibri" w:hAnsi="Calibri" w:eastAsia="Times New Roman" w:cs=""/>
          <w:color w:val="7B7B7B" w:themeColor="accent3" w:themeTint="FF" w:themeShade="BF"/>
          <w:sz w:val="20"/>
          <w:szCs w:val="20"/>
          <w:lang w:val="en-GB"/>
        </w:rPr>
      </w:pPr>
    </w:p>
    <w:p w:rsidRPr="00205B31" w:rsidR="00015EE6" w:rsidP="70A00666" w:rsidRDefault="00015EE6" w14:paraId="43717AB5" w14:textId="4A70BE4F">
      <w:pPr>
        <w:pStyle w:val="Normal"/>
        <w:autoSpaceDE w:val="0"/>
        <w:autoSpaceDN w:val="0"/>
        <w:adjustRightInd w:val="0"/>
        <w:spacing w:line="276" w:lineRule="auto"/>
        <w:ind w:left="720"/>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(1) there must be a sufficient connection with England and Wales which may, but not necessarily have to, consist of assets within the jurisdiction.</w:t>
      </w:r>
    </w:p>
    <w:p w:rsidRPr="00205B31" w:rsidR="00015EE6" w:rsidP="70A00666" w:rsidRDefault="00015EE6" w14:paraId="5E3BE932" w14:textId="6DAA0A04">
      <w:pPr>
        <w:pStyle w:val="Normal"/>
        <w:autoSpaceDE w:val="0"/>
        <w:autoSpaceDN w:val="0"/>
        <w:adjustRightInd w:val="0"/>
        <w:spacing w:line="276" w:lineRule="auto"/>
        <w:ind w:left="720"/>
        <w:jc w:val="both"/>
        <w:rPr>
          <w:rFonts w:ascii="Calibri" w:hAnsi="Calibri" w:eastAsia="Times New Roman" w:cs=""/>
          <w:color w:val="7B7B7B" w:themeColor="accent3" w:themeTint="FF" w:themeShade="BF"/>
          <w:sz w:val="20"/>
          <w:szCs w:val="20"/>
          <w:lang w:val="en-GB"/>
        </w:rPr>
      </w:pPr>
    </w:p>
    <w:p w:rsidRPr="00205B31" w:rsidR="00015EE6" w:rsidP="70A00666" w:rsidRDefault="00015EE6" w14:paraId="38FBE68F" w14:textId="697EA761">
      <w:pPr>
        <w:pStyle w:val="Normal"/>
        <w:autoSpaceDE w:val="0"/>
        <w:autoSpaceDN w:val="0"/>
        <w:adjustRightInd w:val="0"/>
        <w:spacing w:line="276" w:lineRule="auto"/>
        <w:ind w:left="720"/>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(2) there must be a reasonable possibility, if a winding-up order is made, of benefit to those applying for the winding up order.</w:t>
      </w:r>
    </w:p>
    <w:p w:rsidRPr="00205B31" w:rsidR="00015EE6" w:rsidP="70A00666" w:rsidRDefault="00015EE6" w14:paraId="7EEA52BF" w14:textId="1623B346">
      <w:pPr>
        <w:pStyle w:val="Normal"/>
        <w:autoSpaceDE w:val="0"/>
        <w:autoSpaceDN w:val="0"/>
        <w:adjustRightInd w:val="0"/>
        <w:spacing w:line="276" w:lineRule="auto"/>
        <w:ind w:left="720"/>
        <w:jc w:val="both"/>
        <w:rPr>
          <w:rFonts w:ascii="Calibri" w:hAnsi="Calibri" w:eastAsia="Times New Roman" w:cs=""/>
          <w:color w:val="7B7B7B" w:themeColor="accent3" w:themeTint="FF" w:themeShade="BF"/>
          <w:sz w:val="20"/>
          <w:szCs w:val="20"/>
          <w:lang w:val="en-GB"/>
        </w:rPr>
      </w:pPr>
    </w:p>
    <w:p w:rsidRPr="00205B31" w:rsidR="00015EE6" w:rsidP="70A00666" w:rsidRDefault="00015EE6" w14:paraId="10C971D9" w14:textId="613F5E1E">
      <w:pPr>
        <w:pStyle w:val="Normal"/>
        <w:autoSpaceDE w:val="0"/>
        <w:autoSpaceDN w:val="0"/>
        <w:adjustRightInd w:val="0"/>
        <w:spacing w:line="276" w:lineRule="auto"/>
        <w:ind w:left="720"/>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 xml:space="preserve">(3) one or more persons interested in the distribution of assets of the company must be persons over whom the court can exercise a jurisdiction. </w:t>
      </w:r>
    </w:p>
    <w:p w:rsidRPr="00205B31" w:rsidR="00015EE6" w:rsidP="70A00666" w:rsidRDefault="00015EE6" w14:paraId="325853DE" w14:textId="00CDDBB6">
      <w:pPr>
        <w:pStyle w:val="Normal"/>
        <w:autoSpaceDE w:val="0"/>
        <w:autoSpaceDN w:val="0"/>
        <w:adjustRightInd w:val="0"/>
        <w:spacing w:line="276" w:lineRule="auto"/>
        <w:jc w:val="both"/>
        <w:rPr>
          <w:rFonts w:ascii="Calibri" w:hAnsi="Calibri" w:eastAsia="Times New Roman" w:cs=""/>
          <w:color w:val="7B7B7B" w:themeColor="accent3" w:themeTint="FF" w:themeShade="BF"/>
          <w:sz w:val="20"/>
          <w:szCs w:val="20"/>
          <w:lang w:val="en-GB"/>
        </w:rPr>
      </w:pPr>
    </w:p>
    <w:p w:rsidRPr="00205B31" w:rsidR="00015EE6" w:rsidP="70A00666" w:rsidRDefault="00015EE6" w14:paraId="11F26CDC" w14:textId="4B182810">
      <w:pPr>
        <w:pStyle w:val="Normal"/>
        <w:autoSpaceDE w:val="0"/>
        <w:autoSpaceDN w:val="0"/>
        <w:adjustRightInd w:val="0"/>
        <w:spacing w:line="276" w:lineRule="auto"/>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 xml:space="preserve">(Re Real Estate Development Co [1991] BCLC 210, and Stocznia Gdanska SA v </w:t>
      </w:r>
      <w:proofErr w:type="spellStart"/>
      <w:r w:rsidRPr="70A00666" w:rsidR="70A00666">
        <w:rPr>
          <w:rFonts w:ascii="Arial" w:hAnsi="Arial" w:eastAsia="Times New Roman" w:cs="Arial"/>
          <w:color w:val="7B7B7B" w:themeColor="accent3" w:themeTint="FF" w:themeShade="BF"/>
          <w:sz w:val="22"/>
          <w:szCs w:val="22"/>
          <w:lang w:val="en-GB"/>
        </w:rPr>
        <w:t>Latreefers</w:t>
      </w:r>
      <w:proofErr w:type="spellEnd"/>
      <w:r w:rsidRPr="70A00666" w:rsidR="70A00666">
        <w:rPr>
          <w:rFonts w:ascii="Arial" w:hAnsi="Arial" w:eastAsia="Times New Roman" w:cs="Arial"/>
          <w:color w:val="7B7B7B" w:themeColor="accent3" w:themeTint="FF" w:themeShade="BF"/>
          <w:sz w:val="22"/>
          <w:szCs w:val="22"/>
          <w:lang w:val="en-GB"/>
        </w:rPr>
        <w:t xml:space="preserve"> Inc [2000] EWCA </w:t>
      </w:r>
      <w:proofErr w:type="spellStart"/>
      <w:r w:rsidRPr="70A00666" w:rsidR="70A00666">
        <w:rPr>
          <w:rFonts w:ascii="Arial" w:hAnsi="Arial" w:eastAsia="Times New Roman" w:cs="Arial"/>
          <w:color w:val="7B7B7B" w:themeColor="accent3" w:themeTint="FF" w:themeShade="BF"/>
          <w:sz w:val="22"/>
          <w:szCs w:val="22"/>
          <w:lang w:val="en-GB"/>
        </w:rPr>
        <w:t>Civ</w:t>
      </w:r>
      <w:proofErr w:type="spellEnd"/>
      <w:r w:rsidRPr="70A00666" w:rsidR="70A00666">
        <w:rPr>
          <w:rFonts w:ascii="Arial" w:hAnsi="Arial" w:eastAsia="Times New Roman" w:cs="Arial"/>
          <w:color w:val="7B7B7B" w:themeColor="accent3" w:themeTint="FF" w:themeShade="BF"/>
          <w:sz w:val="22"/>
          <w:szCs w:val="22"/>
          <w:lang w:val="en-GB"/>
        </w:rPr>
        <w:t xml:space="preserve"> 36)</w:t>
      </w:r>
    </w:p>
    <w:p w:rsidRPr="00205B31" w:rsidR="00015EE6" w:rsidP="70A00666" w:rsidRDefault="00015EE6" w14:paraId="3AC18CD4" w14:textId="5E6912CE">
      <w:pPr>
        <w:pStyle w:val="Normal"/>
        <w:autoSpaceDE w:val="0"/>
        <w:autoSpaceDN w:val="0"/>
        <w:adjustRightInd w:val="0"/>
        <w:spacing w:line="276" w:lineRule="auto"/>
        <w:jc w:val="both"/>
        <w:rPr>
          <w:rFonts w:ascii="Calibri" w:hAnsi="Calibri" w:eastAsia="Times New Roman" w:cs=""/>
          <w:color w:val="7B7B7B" w:themeColor="accent3" w:themeTint="FF" w:themeShade="BF"/>
          <w:sz w:val="20"/>
          <w:szCs w:val="20"/>
          <w:lang w:val="en-GB"/>
        </w:rPr>
      </w:pPr>
    </w:p>
    <w:p w:rsidRPr="00205B31" w:rsidR="00015EE6" w:rsidP="70A00666" w:rsidRDefault="00015EE6" w14:paraId="0A28FD07" w14:textId="2CF0DEAD">
      <w:pPr>
        <w:pStyle w:val="Normal"/>
        <w:autoSpaceDE w:val="0"/>
        <w:autoSpaceDN w:val="0"/>
        <w:adjustRightInd w:val="0"/>
        <w:spacing w:line="276" w:lineRule="auto"/>
        <w:jc w:val="both"/>
        <w:rPr>
          <w:rFonts w:ascii="Calibri" w:hAnsi="Calibri" w:eastAsia="Times New Roman" w:cs=""/>
          <w:color w:val="7B7B7B" w:themeColor="accent3" w:themeTint="FF" w:themeShade="BF"/>
          <w:sz w:val="20"/>
          <w:szCs w:val="20"/>
          <w:lang w:val="en-GB"/>
        </w:rPr>
      </w:pPr>
      <w:r w:rsidRPr="70A00666" w:rsidR="70A00666">
        <w:rPr>
          <w:rFonts w:ascii="Arial" w:hAnsi="Arial" w:eastAsia="Times New Roman" w:cs="Arial"/>
          <w:color w:val="7B7B7B" w:themeColor="accent3" w:themeTint="FF" w:themeShade="BF"/>
          <w:sz w:val="22"/>
          <w:szCs w:val="22"/>
          <w:lang w:val="en-GB"/>
        </w:rPr>
        <w:t>The minor creditor must also establish one of the grounds for winding up unregistered companies in section 220(5) of the IA.</w:t>
      </w:r>
    </w:p>
    <w:p w:rsidRPr="00205B31" w:rsidR="00015EE6" w:rsidP="70A00666" w:rsidRDefault="00015EE6" w14:paraId="4933791A" w14:textId="56F6D99E">
      <w:pPr>
        <w:pStyle w:val="Normal"/>
        <w:bidi w:val="0"/>
        <w:spacing w:beforeLines="0" w:beforeAutospacing="off" w:afterLines="0" w:afterAutospacing="off" w:line="276" w:lineRule="auto"/>
        <w:ind w:left="0" w:rightChars="0"/>
        <w:jc w:val="both"/>
        <w:rPr>
          <w:rFonts w:ascii="Arial" w:hAnsi="Arial" w:cs="Arial"/>
          <w:color w:val="7B7B7B" w:themeColor="accent3" w:themeTint="FF" w:themeShade="BF"/>
          <w:sz w:val="22"/>
          <w:szCs w:val="22"/>
          <w:lang w:val="en-GB"/>
        </w:rPr>
      </w:pPr>
    </w:p>
    <w:p w:rsidRPr="00205B31" w:rsidR="00015EE6" w:rsidP="70A00666" w:rsidRDefault="00015EE6" w14:paraId="3CAE42BE" w14:textId="0C3B3915">
      <w:pPr>
        <w:pStyle w:val="Normal"/>
        <w:bidi w:val="0"/>
        <w:spacing w:beforeLines="0" w:beforeAutospacing="off" w:afterLines="0" w:afterAutospacing="off" w:line="276" w:lineRule="auto"/>
        <w:ind w:left="0" w:rightChars="0"/>
        <w:jc w:val="both"/>
        <w:rPr>
          <w:rFonts w:ascii="Arial" w:hAnsi="Arial" w:cs="Arial"/>
          <w:sz w:val="22"/>
          <w:szCs w:val="22"/>
          <w:lang w:val="en-GB"/>
        </w:rPr>
      </w:pPr>
      <w:r w:rsidRPr="70A00666" w:rsidR="70A00666">
        <w:rPr>
          <w:rFonts w:ascii="Arial" w:hAnsi="Arial" w:cs="Arial"/>
          <w:color w:val="7B7B7B" w:themeColor="accent3" w:themeTint="FF" w:themeShade="BF"/>
          <w:sz w:val="22"/>
          <w:szCs w:val="22"/>
          <w:lang w:val="en-GB"/>
        </w:rPr>
        <w:t>Cross-Border Insolvency Regulations 2006 may also be relevant or become relevant if a concurrent foreign insolvency proceeding has been or will be commenced. If a foreign insolvency proceeding has been opened in the court of the debtor’s COMI, and that foreign representative has sought recognition in the English Court, the English proceedings may only be opened if Rydell has assets in the UK.]</w:t>
      </w:r>
    </w:p>
    <w:p w:rsidRPr="00205B31" w:rsidR="00015EE6" w:rsidP="00015EE6" w:rsidRDefault="00015EE6" w14:paraId="04434D04" w14:textId="77777777">
      <w:pPr>
        <w:autoSpaceDE w:val="0"/>
        <w:autoSpaceDN w:val="0"/>
        <w:adjustRightInd w:val="0"/>
        <w:spacing w:line="276" w:lineRule="auto"/>
        <w:jc w:val="both"/>
        <w:rPr>
          <w:rFonts w:ascii="Arial" w:hAnsi="Arial" w:cs="Arial"/>
          <w:sz w:val="22"/>
          <w:szCs w:val="22"/>
          <w:lang w:val="en-GB"/>
        </w:rPr>
      </w:pPr>
    </w:p>
    <w:p w:rsidRPr="00205B31" w:rsidR="0077498C" w:rsidP="00B7193E" w:rsidRDefault="0077498C" w14:paraId="5F059774" w14:textId="77777777">
      <w:pPr>
        <w:jc w:val="both"/>
        <w:rPr>
          <w:rFonts w:ascii="Arial" w:hAnsi="Arial" w:cs="Arial"/>
          <w:color w:val="000000" w:themeColor="text1"/>
          <w:sz w:val="22"/>
          <w:szCs w:val="22"/>
          <w:lang w:val="en-GB"/>
        </w:rPr>
      </w:pPr>
    </w:p>
    <w:p w:rsidRPr="00205B31" w:rsidR="0077498C" w:rsidP="00B7193E" w:rsidRDefault="0077498C" w14:paraId="0B1643A6" w14:textId="77777777">
      <w:pPr>
        <w:jc w:val="both"/>
        <w:rPr>
          <w:rFonts w:ascii="Arial" w:hAnsi="Arial" w:cs="Arial"/>
          <w:color w:val="000000" w:themeColor="text1"/>
          <w:sz w:val="22"/>
          <w:szCs w:val="22"/>
          <w:lang w:val="en-GB"/>
        </w:rPr>
      </w:pPr>
    </w:p>
    <w:p w:rsidRPr="00205B31" w:rsidR="0077498C" w:rsidP="0077498C" w:rsidRDefault="00C606C3" w14:paraId="0CF7B602" w14:textId="0F4B9EC6">
      <w:pPr>
        <w:jc w:val="center"/>
        <w:rPr>
          <w:rFonts w:ascii="Arial" w:hAnsi="Arial" w:cs="Arial"/>
          <w:b/>
          <w:bCs/>
          <w:sz w:val="22"/>
          <w:szCs w:val="22"/>
          <w:lang w:val="en-GB"/>
        </w:rPr>
      </w:pPr>
      <w:r w:rsidRPr="00205B31">
        <w:rPr>
          <w:rFonts w:ascii="Arial" w:hAnsi="Arial" w:cs="Arial"/>
          <w:b/>
          <w:bCs/>
          <w:sz w:val="22"/>
          <w:szCs w:val="22"/>
          <w:lang w:val="en-GB"/>
        </w:rPr>
        <w:t>*</w:t>
      </w:r>
      <w:r w:rsidRPr="00205B31" w:rsidR="001E25B9">
        <w:rPr>
          <w:rFonts w:ascii="Arial" w:hAnsi="Arial" w:cs="Arial"/>
          <w:b/>
          <w:bCs/>
          <w:sz w:val="22"/>
          <w:szCs w:val="22"/>
          <w:lang w:val="en-GB"/>
        </w:rPr>
        <w:t xml:space="preserve"> </w:t>
      </w:r>
      <w:r w:rsidRPr="00205B31" w:rsidR="0077498C">
        <w:rPr>
          <w:rFonts w:ascii="Arial" w:hAnsi="Arial" w:cs="Arial"/>
          <w:b/>
          <w:bCs/>
          <w:sz w:val="22"/>
          <w:szCs w:val="22"/>
          <w:lang w:val="en-GB"/>
        </w:rPr>
        <w:t>End of Assessment</w:t>
      </w:r>
      <w:r w:rsidRPr="00205B31" w:rsidR="001E25B9">
        <w:rPr>
          <w:rFonts w:ascii="Arial" w:hAnsi="Arial" w:cs="Arial"/>
          <w:b/>
          <w:bCs/>
          <w:sz w:val="22"/>
          <w:szCs w:val="22"/>
          <w:lang w:val="en-GB"/>
        </w:rPr>
        <w:t xml:space="preserve"> </w:t>
      </w:r>
      <w:r w:rsidRPr="00205B31">
        <w:rPr>
          <w:rFonts w:ascii="Arial" w:hAnsi="Arial" w:cs="Arial"/>
          <w:b/>
          <w:bCs/>
          <w:sz w:val="22"/>
          <w:szCs w:val="22"/>
          <w:lang w:val="en-GB"/>
        </w:rPr>
        <w:t>*</w:t>
      </w:r>
    </w:p>
    <w:p w:rsidRPr="00205B31" w:rsidR="009B0723" w:rsidP="00C606C3" w:rsidRDefault="009B0723" w14:paraId="722C1D98" w14:textId="3B50A62B">
      <w:pPr>
        <w:rPr>
          <w:rFonts w:ascii="Arial" w:hAnsi="Arial" w:cs="Arial"/>
          <w:sz w:val="22"/>
          <w:szCs w:val="22"/>
          <w:lang w:val="en-GB"/>
        </w:rPr>
      </w:pPr>
      <w:r w:rsidRPr="00205B31">
        <w:rPr>
          <w:rFonts w:ascii="Arial" w:hAnsi="Arial" w:cs="Arial"/>
          <w:sz w:val="22"/>
          <w:szCs w:val="22"/>
          <w:lang w:val="en-GB"/>
        </w:rPr>
        <w:t xml:space="preserve"> </w:t>
      </w:r>
    </w:p>
    <w:p w:rsidRPr="001E23FD" w:rsidR="001E23FD" w:rsidRDefault="001E23FD" w14:paraId="0412FBE7" w14:textId="77777777">
      <w:pPr>
        <w:rPr>
          <w:rFonts w:ascii="Arial" w:hAnsi="Arial" w:cs="Arial"/>
          <w:sz w:val="22"/>
          <w:szCs w:val="22"/>
          <w:lang w:val="en-GB"/>
        </w:rPr>
      </w:pPr>
    </w:p>
    <w:sectPr w:rsidRPr="001E23FD" w:rsidR="001E23FD" w:rsidSect="0052732A">
      <w:footerReference w:type="even" r:id="rId12"/>
      <w:footerReference w:type="default" r:id="rId13"/>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headerReference w:type="default" r:id="Re4b2205a72b24593"/>
      <w:headerReference w:type="first" r:id="R6f0281269401486e"/>
      <w:footerReference w:type="first" r:id="R2519f7d17dd7452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E4B" w:rsidP="00241B44" w:rsidRDefault="00C26E4B" w14:paraId="6FF4FC56" w14:textId="77777777">
      <w:r>
        <w:separator/>
      </w:r>
    </w:p>
  </w:endnote>
  <w:endnote w:type="continuationSeparator" w:id="0">
    <w:p w:rsidR="00C26E4B" w:rsidP="00241B44" w:rsidRDefault="00C26E4B" w14:paraId="156951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rsidRPr="00A31881" w:rsidR="006E1CB0" w:rsidP="0052732A" w:rsidRDefault="006E1CB0" w14:paraId="0AAD6B61" w14:textId="77777777">
        <w:pPr>
          <w:pStyle w:val="Footer"/>
          <w:framePr w:wrap="none" w:hAnchor="margin" w:vAnchor="text"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rsidRPr="00A31881" w:rsidR="006E1CB0" w:rsidP="00FC7B47" w:rsidRDefault="006E1CB0" w14:paraId="39FD1B0B" w14:textId="131F514A">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rsidRPr="0052732A" w:rsidR="006E1CB0" w:rsidP="006E1CB0" w:rsidRDefault="006E1CB0" w14:paraId="532C33C7" w14:textId="3184068D">
        <w:pPr>
          <w:pStyle w:val="Footer"/>
          <w:framePr w:wrap="none" w:hAnchor="margin" w:vAnchor="text"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rsidRPr="0052732A" w:rsidR="006E1CB0" w:rsidP="0052732A" w:rsidRDefault="006E1CB0" w14:paraId="12ABA5E1" w14:textId="2B098AEC">
    <w:pPr>
      <w:pStyle w:val="Footer"/>
      <w:ind w:right="360"/>
      <w:rPr>
        <w:rFonts w:ascii="Arial" w:hAnsi="Arial" w:cs="Arial"/>
        <w:sz w:val="18"/>
        <w:szCs w:val="18"/>
      </w:rPr>
    </w:pPr>
    <w:r w:rsidRPr="410F0EA9" w:rsidR="410F0EA9">
      <w:rPr>
        <w:rFonts w:ascii="Arial" w:hAnsi="Arial" w:cs="Arial"/>
        <w:sz w:val="18"/>
        <w:szCs w:val="18"/>
      </w:rPr>
      <w:t>202122-442.assessment1summative</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0F0EA9" w:rsidTr="410F0EA9" w14:paraId="1E397FD8">
      <w:tc>
        <w:tcPr>
          <w:tcW w:w="3005" w:type="dxa"/>
          <w:tcMar/>
        </w:tcPr>
        <w:p w:rsidR="410F0EA9" w:rsidP="410F0EA9" w:rsidRDefault="410F0EA9" w14:paraId="47BBD101" w14:textId="7F0B6F4D">
          <w:pPr>
            <w:pStyle w:val="Header"/>
            <w:bidi w:val="0"/>
            <w:ind w:left="-115"/>
            <w:jc w:val="left"/>
            <w:rPr>
              <w:rFonts w:ascii="Calibri" w:hAnsi="Calibri" w:eastAsia="Times New Roman" w:cs=""/>
              <w:sz w:val="20"/>
              <w:szCs w:val="20"/>
            </w:rPr>
          </w:pPr>
        </w:p>
      </w:tc>
      <w:tc>
        <w:tcPr>
          <w:tcW w:w="3005" w:type="dxa"/>
          <w:tcMar/>
        </w:tcPr>
        <w:p w:rsidR="410F0EA9" w:rsidP="410F0EA9" w:rsidRDefault="410F0EA9" w14:paraId="182B813F" w14:textId="5DE50536">
          <w:pPr>
            <w:pStyle w:val="Header"/>
            <w:bidi w:val="0"/>
            <w:jc w:val="center"/>
            <w:rPr>
              <w:rFonts w:ascii="Calibri" w:hAnsi="Calibri" w:eastAsia="Times New Roman" w:cs=""/>
              <w:sz w:val="20"/>
              <w:szCs w:val="20"/>
            </w:rPr>
          </w:pPr>
        </w:p>
      </w:tc>
      <w:tc>
        <w:tcPr>
          <w:tcW w:w="3005" w:type="dxa"/>
          <w:tcMar/>
        </w:tcPr>
        <w:p w:rsidR="410F0EA9" w:rsidP="410F0EA9" w:rsidRDefault="410F0EA9" w14:paraId="56F170F4" w14:textId="5467B7E7">
          <w:pPr>
            <w:pStyle w:val="Header"/>
            <w:bidi w:val="0"/>
            <w:ind w:right="-115"/>
            <w:jc w:val="right"/>
            <w:rPr>
              <w:rFonts w:ascii="Calibri" w:hAnsi="Calibri" w:eastAsia="Times New Roman" w:cs=""/>
              <w:sz w:val="20"/>
              <w:szCs w:val="20"/>
            </w:rPr>
          </w:pPr>
        </w:p>
      </w:tc>
    </w:tr>
  </w:tbl>
  <w:p w:rsidR="410F0EA9" w:rsidP="410F0EA9" w:rsidRDefault="410F0EA9" w14:paraId="0CA84308" w14:textId="109A8182">
    <w:pPr>
      <w:pStyle w:val="Footer"/>
      <w:bidi w:val="0"/>
      <w:rPr>
        <w:rFonts w:ascii="Calibri" w:hAnsi="Calibri" w:eastAsia="Times New Roman" w: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E4B" w:rsidP="00241B44" w:rsidRDefault="00C26E4B" w14:paraId="02BD2433" w14:textId="77777777">
      <w:r>
        <w:separator/>
      </w:r>
    </w:p>
  </w:footnote>
  <w:footnote w:type="continuationSeparator" w:id="0">
    <w:p w:rsidR="00C26E4B" w:rsidP="00241B44" w:rsidRDefault="00C26E4B" w14:paraId="1B0F45A1"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0F0EA9" w:rsidTr="410F0EA9" w14:paraId="18DADE77">
      <w:tc>
        <w:tcPr>
          <w:tcW w:w="3005" w:type="dxa"/>
          <w:tcMar/>
        </w:tcPr>
        <w:p w:rsidR="410F0EA9" w:rsidP="410F0EA9" w:rsidRDefault="410F0EA9" w14:paraId="702F4901" w14:textId="157E6DFB">
          <w:pPr>
            <w:pStyle w:val="Header"/>
            <w:bidi w:val="0"/>
            <w:ind w:left="-115"/>
            <w:jc w:val="left"/>
            <w:rPr>
              <w:rFonts w:ascii="Calibri" w:hAnsi="Calibri" w:eastAsia="Times New Roman" w:cs=""/>
              <w:sz w:val="20"/>
              <w:szCs w:val="20"/>
            </w:rPr>
          </w:pPr>
        </w:p>
      </w:tc>
      <w:tc>
        <w:tcPr>
          <w:tcW w:w="3005" w:type="dxa"/>
          <w:tcMar/>
        </w:tcPr>
        <w:p w:rsidR="410F0EA9" w:rsidP="410F0EA9" w:rsidRDefault="410F0EA9" w14:paraId="0FEB2C69" w14:textId="3765D22C">
          <w:pPr>
            <w:pStyle w:val="Header"/>
            <w:bidi w:val="0"/>
            <w:jc w:val="center"/>
            <w:rPr>
              <w:rFonts w:ascii="Calibri" w:hAnsi="Calibri" w:eastAsia="Times New Roman" w:cs=""/>
              <w:sz w:val="20"/>
              <w:szCs w:val="20"/>
            </w:rPr>
          </w:pPr>
        </w:p>
      </w:tc>
      <w:tc>
        <w:tcPr>
          <w:tcW w:w="3005" w:type="dxa"/>
          <w:tcMar/>
        </w:tcPr>
        <w:p w:rsidR="410F0EA9" w:rsidP="410F0EA9" w:rsidRDefault="410F0EA9" w14:paraId="426E8FE2" w14:textId="07D79E84">
          <w:pPr>
            <w:pStyle w:val="Header"/>
            <w:bidi w:val="0"/>
            <w:ind w:right="-115"/>
            <w:jc w:val="right"/>
            <w:rPr>
              <w:rFonts w:ascii="Calibri" w:hAnsi="Calibri" w:eastAsia="Times New Roman" w:cs=""/>
              <w:sz w:val="20"/>
              <w:szCs w:val="20"/>
            </w:rPr>
          </w:pPr>
        </w:p>
      </w:tc>
    </w:tr>
  </w:tbl>
  <w:p w:rsidR="410F0EA9" w:rsidP="410F0EA9" w:rsidRDefault="410F0EA9" w14:paraId="27AC8D9F" w14:textId="1567B5BC">
    <w:pPr>
      <w:pStyle w:val="Header"/>
      <w:bidi w:val="0"/>
      <w:rPr>
        <w:rFonts w:ascii="Calibri" w:hAnsi="Calibri" w:eastAsia="Times New Roman" w:cs=""/>
        <w:sz w:val="20"/>
        <w:szCs w:val="2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10F0EA9" w:rsidTr="410F0EA9" w14:paraId="1E0CF6FD">
      <w:tc>
        <w:tcPr>
          <w:tcW w:w="3005" w:type="dxa"/>
          <w:tcMar/>
        </w:tcPr>
        <w:p w:rsidR="410F0EA9" w:rsidP="410F0EA9" w:rsidRDefault="410F0EA9" w14:paraId="3613ACBA" w14:textId="0FF99650">
          <w:pPr>
            <w:pStyle w:val="Header"/>
            <w:bidi w:val="0"/>
            <w:ind w:left="-115"/>
            <w:jc w:val="left"/>
            <w:rPr>
              <w:rFonts w:ascii="Calibri" w:hAnsi="Calibri" w:eastAsia="Times New Roman" w:cs=""/>
              <w:sz w:val="20"/>
              <w:szCs w:val="20"/>
            </w:rPr>
          </w:pPr>
        </w:p>
      </w:tc>
      <w:tc>
        <w:tcPr>
          <w:tcW w:w="3005" w:type="dxa"/>
          <w:tcMar/>
        </w:tcPr>
        <w:p w:rsidR="410F0EA9" w:rsidP="410F0EA9" w:rsidRDefault="410F0EA9" w14:paraId="1856B713" w14:textId="78A5BDFC">
          <w:pPr>
            <w:pStyle w:val="Header"/>
            <w:bidi w:val="0"/>
            <w:jc w:val="center"/>
            <w:rPr>
              <w:rFonts w:ascii="Calibri" w:hAnsi="Calibri" w:eastAsia="Times New Roman" w:cs=""/>
              <w:sz w:val="20"/>
              <w:szCs w:val="20"/>
            </w:rPr>
          </w:pPr>
        </w:p>
      </w:tc>
      <w:tc>
        <w:tcPr>
          <w:tcW w:w="3005" w:type="dxa"/>
          <w:tcMar/>
        </w:tcPr>
        <w:p w:rsidR="410F0EA9" w:rsidP="410F0EA9" w:rsidRDefault="410F0EA9" w14:paraId="4184E8A3" w14:textId="0D5C6549">
          <w:pPr>
            <w:pStyle w:val="Header"/>
            <w:bidi w:val="0"/>
            <w:ind w:right="-115"/>
            <w:jc w:val="right"/>
            <w:rPr>
              <w:rFonts w:ascii="Calibri" w:hAnsi="Calibri" w:eastAsia="Times New Roman" w:cs=""/>
              <w:sz w:val="20"/>
              <w:szCs w:val="20"/>
            </w:rPr>
          </w:pPr>
        </w:p>
      </w:tc>
    </w:tr>
  </w:tbl>
  <w:p w:rsidR="410F0EA9" w:rsidP="410F0EA9" w:rsidRDefault="410F0EA9" w14:paraId="37CD1DD4" w14:textId="2C2DFE91">
    <w:pPr>
      <w:pStyle w:val="Header"/>
      <w:bidi w:val="0"/>
      <w:rPr>
        <w:rFonts w:ascii="Calibri" w:hAnsi="Calibri" w:eastAsia="Times New Roman" w: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480" w:hanging="480"/>
      </w:pPr>
    </w:lvl>
    <w:lvl xmlns:w="http://schemas.openxmlformats.org/wordprocessingml/2006/main" w:ilvl="1">
      <w:start w:val="1"/>
      <w:numFmt w:val="lowerLetter"/>
      <w:lvlText w:val="%2."/>
      <w:lvlJc w:val="left"/>
      <w:pPr>
        <w:ind w:left="960" w:hanging="480"/>
      </w:pPr>
    </w:lvl>
    <w:lvl xmlns:w="http://schemas.openxmlformats.org/wordprocessingml/2006/main" w:ilvl="2">
      <w:start w:val="1"/>
      <w:numFmt w:val="lowerRoman"/>
      <w:lvlText w:val="%3."/>
      <w:lvlJc w:val="right"/>
      <w:pPr>
        <w:ind w:left="1440" w:hanging="480"/>
      </w:pPr>
    </w:lvl>
    <w:lvl xmlns:w="http://schemas.openxmlformats.org/wordprocessingml/2006/main" w:ilvl="3">
      <w:start w:val="1"/>
      <w:numFmt w:val="decimal"/>
      <w:lvlText w:val="%4."/>
      <w:lvlJc w:val="left"/>
      <w:pPr>
        <w:ind w:left="1920" w:hanging="480"/>
      </w:pPr>
    </w:lvl>
    <w:lvl xmlns:w="http://schemas.openxmlformats.org/wordprocessingml/2006/main" w:ilvl="4">
      <w:start w:val="1"/>
      <w:numFmt w:val="lowerLetter"/>
      <w:lvlText w:val="%5."/>
      <w:lvlJc w:val="left"/>
      <w:pPr>
        <w:ind w:left="2400" w:hanging="480"/>
      </w:pPr>
    </w:lvl>
    <w:lvl xmlns:w="http://schemas.openxmlformats.org/wordprocessingml/2006/main" w:ilvl="5">
      <w:start w:val="1"/>
      <w:numFmt w:val="lowerRoman"/>
      <w:lvlText w:val="%6."/>
      <w:lvlJc w:val="right"/>
      <w:pPr>
        <w:ind w:left="2880" w:hanging="480"/>
      </w:pPr>
    </w:lvl>
    <w:lvl xmlns:w="http://schemas.openxmlformats.org/wordprocessingml/2006/main" w:ilvl="6">
      <w:start w:val="1"/>
      <w:numFmt w:val="decimal"/>
      <w:lvlText w:val="%7."/>
      <w:lvlJc w:val="left"/>
      <w:pPr>
        <w:ind w:left="3360" w:hanging="480"/>
      </w:pPr>
    </w:lvl>
    <w:lvl xmlns:w="http://schemas.openxmlformats.org/wordprocessingml/2006/main" w:ilvl="7">
      <w:start w:val="1"/>
      <w:numFmt w:val="lowerLetter"/>
      <w:lvlText w:val="%8."/>
      <w:lvlJc w:val="left"/>
      <w:pPr>
        <w:ind w:left="3840" w:hanging="480"/>
      </w:pPr>
    </w:lvl>
    <w:lvl xmlns:w="http://schemas.openxmlformats.org/wordprocessingml/2006/main" w:ilvl="8">
      <w:start w:val="1"/>
      <w:numFmt w:val="lowerRoman"/>
      <w:lvlText w:val="%9."/>
      <w:lvlJc w:val="right"/>
      <w:pPr>
        <w:ind w:left="4320" w:hanging="480"/>
      </w:pPr>
    </w:lvl>
  </w:abstractNum>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7">
    <w:abstractNumId w:val="16"/>
  </w: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7"/>
  <w:displayBackgroundShape/>
  <w:activeWritingStyle w:lang="en-GB" w:vendorID="64" w:dllVersion="4096" w:nlCheck="1" w:checkStyle="0" w:appName="MSWord"/>
  <w:trackRevisions w:val="false"/>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7F3C"/>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 w:val="410F0EA9"/>
    <w:rsid w:val="70A0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styleId="CommentTextChar" w:customStyle="1">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paragraph" w:styleId="INSOLstyle" w:customStyle="1">
    <w:name w:val="INSOL style"/>
    <w:basedOn w:val="Normal"/>
    <w:next w:val="Normal"/>
    <w:qFormat/>
    <w:rsid w:val="001131C6"/>
    <w:pPr>
      <w:ind w:left="284" w:hanging="284"/>
    </w:pPr>
    <w:rPr>
      <w:rFonts w:ascii="Arial" w:hAnsi="Arial" w:cs="Arial" w:eastAsiaTheme="minorEastAsia"/>
      <w:sz w:val="18"/>
      <w:szCs w:val="22"/>
      <w:u w:color="FF0000"/>
      <w:lang w:val="en-GB"/>
    </w:rPr>
  </w:style>
  <w:style w:type="paragraph" w:styleId="INSOLstyletext" w:customStyle="1">
    <w:name w:val="INSOL style text"/>
    <w:basedOn w:val="Normal"/>
    <w:next w:val="Normal"/>
    <w:qFormat/>
    <w:rsid w:val="001131C6"/>
    <w:pPr>
      <w:ind w:left="708"/>
    </w:pPr>
    <w:rPr>
      <w:rFonts w:ascii="Arial" w:hAnsi="Arial" w:cs="Arial" w:eastAsiaTheme="minorEastAsia"/>
      <w:sz w:val="22"/>
      <w:szCs w:val="22"/>
      <w:u w:color="FF0000"/>
      <w:lang w:val="en-GB"/>
    </w:rPr>
  </w:style>
  <w:style w:type="paragraph" w:styleId="Revision">
    <w:name w:val="Revision"/>
    <w:hidden/>
    <w:uiPriority w:val="99"/>
    <w:semiHidden/>
    <w:rsid w:val="002173C5"/>
    <w:rPr>
      <w:rFonts w:eastAsia="Times New Roman"/>
      <w:sz w:val="20"/>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bd3c6ed1ba364a0a" /><Relationship Type="http://schemas.openxmlformats.org/officeDocument/2006/relationships/header" Target="/word/header.xml" Id="Re4b2205a72b24593" /><Relationship Type="http://schemas.openxmlformats.org/officeDocument/2006/relationships/header" Target="/word/header2.xml" Id="R6f0281269401486e" /><Relationship Type="http://schemas.openxmlformats.org/officeDocument/2006/relationships/footer" Target="/word/footer3.xml" Id="R2519f7d17dd745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6acb39-e7c8-47c2-bd4a-af7a2f629cbb}"/>
      </w:docPartPr>
      <w:docPartBody>
        <w:p w14:paraId="7A60B0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0/xmlns/"/>
    <ds:schemaRef ds:uri="http://www.w3.org/2001/XMLSchema"/>
    <ds:schemaRef ds:uri="a21de7b9-cad9-43f2-8459-9b1b4f9894e2"/>
    <ds:schemaRef ds:uri="d0ad2d52-4869-465d-a93a-001fa21a593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Kay Kay</lastModifiedBy>
  <revision>4</revision>
  <lastPrinted>2020-06-12T02:43:00.0000000Z</lastPrinted>
  <dcterms:created xsi:type="dcterms:W3CDTF">2021-11-07T06:56:00.0000000Z</dcterms:created>
  <dcterms:modified xsi:type="dcterms:W3CDTF">2021-11-08T07:42:19.1607732Z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