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E941DC" w:rsidRDefault="00C60631" w:rsidP="009D510C">
      <w:pPr>
        <w:pStyle w:val="ListParagraph"/>
        <w:numPr>
          <w:ilvl w:val="0"/>
          <w:numId w:val="12"/>
        </w:numPr>
        <w:ind w:left="426"/>
        <w:jc w:val="both"/>
        <w:rPr>
          <w:rFonts w:ascii="Arial" w:hAnsi="Arial" w:cs="Arial"/>
          <w:sz w:val="22"/>
          <w:szCs w:val="22"/>
          <w:highlight w:val="yellow"/>
          <w:lang w:val="en-GB"/>
        </w:rPr>
      </w:pPr>
      <w:r w:rsidRPr="00E941DC">
        <w:rPr>
          <w:rFonts w:ascii="Arial" w:hAnsi="Arial" w:cs="Arial"/>
          <w:sz w:val="22"/>
          <w:szCs w:val="22"/>
          <w:highlight w:val="yellow"/>
          <w:lang w:val="en-GB"/>
        </w:rPr>
        <w:t xml:space="preserve">This statement is incorrect since </w:t>
      </w:r>
      <w:r w:rsidR="00E7793C" w:rsidRPr="00E941DC">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E941DC" w:rsidRDefault="00E7793C" w:rsidP="009D510C">
      <w:pPr>
        <w:pStyle w:val="ListParagraph"/>
        <w:numPr>
          <w:ilvl w:val="0"/>
          <w:numId w:val="12"/>
        </w:numPr>
        <w:ind w:left="426"/>
        <w:jc w:val="both"/>
        <w:rPr>
          <w:rFonts w:ascii="Arial" w:hAnsi="Arial" w:cs="Arial"/>
          <w:sz w:val="22"/>
          <w:szCs w:val="22"/>
          <w:lang w:val="en-GB"/>
        </w:rPr>
      </w:pPr>
      <w:r w:rsidRPr="00E941DC">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E941DC" w:rsidRDefault="00AE027F" w:rsidP="009D510C">
      <w:pPr>
        <w:pStyle w:val="ListParagraph"/>
        <w:numPr>
          <w:ilvl w:val="0"/>
          <w:numId w:val="13"/>
        </w:numPr>
        <w:jc w:val="both"/>
        <w:rPr>
          <w:rFonts w:ascii="Arial" w:hAnsi="Arial" w:cs="Arial"/>
          <w:sz w:val="22"/>
          <w:szCs w:val="22"/>
          <w:lang w:val="en-GB"/>
        </w:rPr>
      </w:pPr>
      <w:r w:rsidRPr="00E941DC">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E941DC">
        <w:rPr>
          <w:rFonts w:ascii="Arial" w:hAnsi="Arial" w:cs="Arial"/>
          <w:sz w:val="22"/>
          <w:szCs w:val="22"/>
          <w:lang w:val="en-GB"/>
        </w:rPr>
        <w:t>-19</w:t>
      </w:r>
      <w:r w:rsidRPr="00E941DC">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E941DC" w:rsidRDefault="00AE027F" w:rsidP="009D510C">
      <w:pPr>
        <w:pStyle w:val="ListParagraph"/>
        <w:numPr>
          <w:ilvl w:val="0"/>
          <w:numId w:val="13"/>
        </w:numPr>
        <w:jc w:val="both"/>
        <w:rPr>
          <w:rFonts w:ascii="Arial" w:hAnsi="Arial" w:cs="Arial"/>
          <w:sz w:val="22"/>
          <w:szCs w:val="22"/>
          <w:highlight w:val="yellow"/>
          <w:lang w:val="en-GB"/>
        </w:rPr>
      </w:pPr>
      <w:r w:rsidRPr="00E941DC">
        <w:rPr>
          <w:rFonts w:ascii="Arial" w:hAnsi="Arial" w:cs="Arial"/>
          <w:sz w:val="22"/>
          <w:szCs w:val="22"/>
          <w:highlight w:val="yellow"/>
          <w:lang w:val="en-GB"/>
        </w:rPr>
        <w:t>The statement i</w:t>
      </w:r>
      <w:r w:rsidR="006E77B0" w:rsidRPr="00E941DC">
        <w:rPr>
          <w:rFonts w:ascii="Arial" w:hAnsi="Arial" w:cs="Arial"/>
          <w:sz w:val="22"/>
          <w:szCs w:val="22"/>
          <w:highlight w:val="yellow"/>
          <w:lang w:val="en-GB"/>
        </w:rPr>
        <w:t>s incorrect since the UK did re</w:t>
      </w:r>
      <w:r w:rsidRPr="00E941DC">
        <w:rPr>
          <w:rFonts w:ascii="Arial" w:hAnsi="Arial" w:cs="Arial"/>
          <w:sz w:val="22"/>
          <w:szCs w:val="22"/>
          <w:highlight w:val="yellow"/>
          <w:lang w:val="en-GB"/>
        </w:rPr>
        <w:t>v</w:t>
      </w:r>
      <w:r w:rsidR="006E77B0" w:rsidRPr="00E941DC">
        <w:rPr>
          <w:rFonts w:ascii="Arial" w:hAnsi="Arial" w:cs="Arial"/>
          <w:sz w:val="22"/>
          <w:szCs w:val="22"/>
          <w:highlight w:val="yellow"/>
          <w:lang w:val="en-GB"/>
        </w:rPr>
        <w:t>i</w:t>
      </w:r>
      <w:r w:rsidRPr="00E941DC">
        <w:rPr>
          <w:rFonts w:ascii="Arial" w:hAnsi="Arial" w:cs="Arial"/>
          <w:sz w:val="22"/>
          <w:szCs w:val="22"/>
          <w:highlight w:val="yellow"/>
          <w:lang w:val="en-GB"/>
        </w:rPr>
        <w:t>ew parts of its insolvency rules and amended some, among</w:t>
      </w:r>
      <w:r w:rsidR="006E77B0" w:rsidRPr="00E941DC">
        <w:rPr>
          <w:rFonts w:ascii="Arial" w:hAnsi="Arial" w:cs="Arial"/>
          <w:sz w:val="22"/>
          <w:szCs w:val="22"/>
          <w:highlight w:val="yellow"/>
          <w:lang w:val="en-GB"/>
        </w:rPr>
        <w:t>s</w:t>
      </w:r>
      <w:r w:rsidRPr="00E941DC">
        <w:rPr>
          <w:rFonts w:ascii="Arial" w:hAnsi="Arial" w:cs="Arial"/>
          <w:sz w:val="22"/>
          <w:szCs w:val="22"/>
          <w:highlight w:val="yellow"/>
          <w:lang w:val="en-GB"/>
        </w:rPr>
        <w:t>t other</w:t>
      </w:r>
      <w:r w:rsidR="00F96AF1" w:rsidRPr="00E941DC">
        <w:rPr>
          <w:rFonts w:ascii="Arial" w:hAnsi="Arial" w:cs="Arial"/>
          <w:sz w:val="22"/>
          <w:szCs w:val="22"/>
          <w:highlight w:val="yellow"/>
          <w:lang w:val="en-GB"/>
        </w:rPr>
        <w:t xml:space="preserve"> things</w:t>
      </w:r>
      <w:r w:rsidRPr="00E941DC">
        <w:rPr>
          <w:rFonts w:ascii="Arial" w:hAnsi="Arial" w:cs="Arial"/>
          <w:sz w:val="22"/>
          <w:szCs w:val="22"/>
          <w:highlight w:val="yellow"/>
          <w:lang w:val="en-GB"/>
        </w:rPr>
        <w:t>, to deal with the negative economic fall out of the pandemic.</w:t>
      </w:r>
      <w:r w:rsidR="00100A77" w:rsidRPr="00E941DC">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E941DC" w:rsidRDefault="00B54F90" w:rsidP="009D510C">
      <w:pPr>
        <w:pStyle w:val="ListParagraph"/>
        <w:numPr>
          <w:ilvl w:val="0"/>
          <w:numId w:val="14"/>
        </w:numPr>
        <w:ind w:left="426"/>
        <w:jc w:val="both"/>
        <w:rPr>
          <w:rFonts w:ascii="Arial" w:hAnsi="Arial" w:cs="Arial"/>
          <w:sz w:val="22"/>
          <w:szCs w:val="22"/>
          <w:highlight w:val="yellow"/>
          <w:lang w:val="en-GB"/>
        </w:rPr>
      </w:pPr>
      <w:r w:rsidRPr="00E941D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941DC">
        <w:rPr>
          <w:rFonts w:ascii="Arial" w:hAnsi="Arial" w:cs="Arial"/>
          <w:sz w:val="22"/>
          <w:szCs w:val="22"/>
          <w:highlight w:val="yellow"/>
          <w:lang w:val="en-GB"/>
        </w:rPr>
        <w:t xml:space="preserve">on </w:t>
      </w:r>
      <w:r w:rsidRPr="00E941D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E941DC">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E941DC" w:rsidRDefault="00926D10" w:rsidP="009D510C">
      <w:pPr>
        <w:pStyle w:val="ListParagraph"/>
        <w:numPr>
          <w:ilvl w:val="0"/>
          <w:numId w:val="5"/>
        </w:numPr>
        <w:ind w:left="426"/>
        <w:jc w:val="both"/>
        <w:rPr>
          <w:rFonts w:ascii="Arial" w:hAnsi="Arial" w:cs="Arial"/>
          <w:sz w:val="22"/>
          <w:szCs w:val="22"/>
          <w:highlight w:val="yellow"/>
          <w:lang w:val="en-GB"/>
        </w:rPr>
      </w:pPr>
      <w:r w:rsidRPr="00E941DC">
        <w:rPr>
          <w:rFonts w:ascii="Arial" w:hAnsi="Arial" w:cs="Arial"/>
          <w:sz w:val="22"/>
          <w:szCs w:val="22"/>
          <w:highlight w:val="yellow"/>
          <w:lang w:val="en-GB"/>
        </w:rPr>
        <w:lastRenderedPageBreak/>
        <w:t xml:space="preserve">The statement is correct </w:t>
      </w:r>
      <w:r w:rsidR="0090037B" w:rsidRPr="00E941DC">
        <w:rPr>
          <w:rFonts w:ascii="Arial" w:hAnsi="Arial" w:cs="Arial"/>
          <w:sz w:val="22"/>
          <w:szCs w:val="22"/>
          <w:highlight w:val="yellow"/>
          <w:lang w:val="en-GB"/>
        </w:rPr>
        <w:t>because</w:t>
      </w:r>
      <w:r w:rsidRPr="00E941DC">
        <w:rPr>
          <w:rFonts w:ascii="Arial" w:hAnsi="Arial" w:cs="Arial"/>
          <w:sz w:val="22"/>
          <w:szCs w:val="22"/>
          <w:highlight w:val="yellow"/>
          <w:lang w:val="en-GB"/>
        </w:rPr>
        <w:t xml:space="preserve"> universality </w:t>
      </w:r>
      <w:r w:rsidR="00CB7283" w:rsidRPr="00E941DC">
        <w:rPr>
          <w:rFonts w:ascii="Arial" w:hAnsi="Arial" w:cs="Arial"/>
          <w:sz w:val="22"/>
          <w:szCs w:val="22"/>
          <w:highlight w:val="yellow"/>
          <w:lang w:val="en-GB"/>
        </w:rPr>
        <w:t>has become</w:t>
      </w:r>
      <w:r w:rsidRPr="00E941DC">
        <w:rPr>
          <w:rFonts w:ascii="Arial" w:hAnsi="Arial" w:cs="Arial"/>
          <w:sz w:val="22"/>
          <w:szCs w:val="22"/>
          <w:highlight w:val="yellow"/>
          <w:lang w:val="en-GB"/>
        </w:rPr>
        <w:t xml:space="preserve"> the norm in </w:t>
      </w:r>
      <w:proofErr w:type="gramStart"/>
      <w:r w:rsidRPr="00E941DC">
        <w:rPr>
          <w:rFonts w:ascii="Arial" w:hAnsi="Arial" w:cs="Arial"/>
          <w:sz w:val="22"/>
          <w:szCs w:val="22"/>
          <w:highlight w:val="yellow"/>
          <w:lang w:val="en-GB"/>
        </w:rPr>
        <w:t>the majority of</w:t>
      </w:r>
      <w:proofErr w:type="gramEnd"/>
      <w:r w:rsidRPr="00E941DC">
        <w:rPr>
          <w:rFonts w:ascii="Arial" w:hAnsi="Arial" w:cs="Arial"/>
          <w:sz w:val="22"/>
          <w:szCs w:val="22"/>
          <w:highlight w:val="yellow"/>
          <w:lang w:val="en-GB"/>
        </w:rPr>
        <w:t xml:space="preserve"> </w:t>
      </w:r>
      <w:r w:rsidR="00426B64" w:rsidRPr="00E941DC">
        <w:rPr>
          <w:rFonts w:ascii="Arial" w:hAnsi="Arial" w:cs="Arial"/>
          <w:sz w:val="22"/>
          <w:szCs w:val="22"/>
          <w:highlight w:val="yellow"/>
          <w:lang w:val="en-GB"/>
        </w:rPr>
        <w:t>States</w:t>
      </w:r>
      <w:r w:rsidRPr="00E941DC">
        <w:rPr>
          <w:rFonts w:ascii="Arial" w:hAnsi="Arial" w:cs="Arial"/>
          <w:sz w:val="22"/>
          <w:szCs w:val="22"/>
          <w:highlight w:val="yellow"/>
          <w:lang w:val="en-GB"/>
        </w:rPr>
        <w:t xml:space="preserve"> in cross-border insolvency matters</w:t>
      </w:r>
      <w:r w:rsidR="00CB7283" w:rsidRPr="00E941DC">
        <w:rPr>
          <w:rFonts w:ascii="Arial" w:hAnsi="Arial" w:cs="Arial"/>
          <w:sz w:val="22"/>
          <w:szCs w:val="22"/>
          <w:highlight w:val="yellow"/>
          <w:lang w:val="en-GB"/>
        </w:rPr>
        <w:t xml:space="preserve"> since the introduction of the UNCITRAL Model Law on Cross-Border Insolvency in 1997</w:t>
      </w:r>
      <w:r w:rsidRPr="00E941DC">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941DC" w:rsidRDefault="000329A6" w:rsidP="00C570AC">
      <w:pPr>
        <w:pStyle w:val="ListParagraph"/>
        <w:numPr>
          <w:ilvl w:val="0"/>
          <w:numId w:val="6"/>
        </w:numPr>
        <w:ind w:left="426"/>
        <w:jc w:val="both"/>
        <w:rPr>
          <w:rFonts w:ascii="Arial" w:hAnsi="Arial" w:cs="Arial"/>
          <w:sz w:val="22"/>
          <w:szCs w:val="22"/>
          <w:highlight w:val="yellow"/>
          <w:lang w:val="en-GB"/>
        </w:rPr>
      </w:pPr>
      <w:r w:rsidRPr="00E941DC">
        <w:rPr>
          <w:rFonts w:ascii="Arial" w:eastAsiaTheme="minorHAnsi" w:hAnsi="Arial" w:cs="Arial"/>
          <w:sz w:val="22"/>
          <w:szCs w:val="22"/>
          <w:highlight w:val="yellow"/>
          <w:lang w:val="en-GB"/>
        </w:rPr>
        <w:t xml:space="preserve">They were recently revised in 2021 and, together with the </w:t>
      </w:r>
      <w:r w:rsidRPr="00E941DC">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941DC"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941DC">
        <w:rPr>
          <w:rFonts w:ascii="Arial" w:eastAsiaTheme="minorHAnsi" w:hAnsi="Arial" w:cs="Arial"/>
          <w:sz w:val="22"/>
          <w:szCs w:val="22"/>
          <w:highlight w:val="yellow"/>
          <w:lang w:val="en-GB"/>
        </w:rPr>
        <w:t xml:space="preserve">The Nordic Convention </w:t>
      </w:r>
      <w:r w:rsidR="00076483" w:rsidRPr="00E941DC">
        <w:rPr>
          <w:rFonts w:ascii="Arial" w:eastAsiaTheme="minorHAnsi" w:hAnsi="Arial" w:cs="Arial"/>
          <w:sz w:val="22"/>
          <w:szCs w:val="22"/>
          <w:highlight w:val="yellow"/>
          <w:lang w:val="en-GB"/>
        </w:rPr>
        <w:t>1933</w:t>
      </w:r>
      <w:r w:rsidR="00966E44" w:rsidRPr="00E941DC">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E941DC" w:rsidRDefault="00F4376C" w:rsidP="00275182">
      <w:pPr>
        <w:pStyle w:val="ListParagraph"/>
        <w:numPr>
          <w:ilvl w:val="0"/>
          <w:numId w:val="8"/>
        </w:numPr>
        <w:ind w:left="426"/>
        <w:jc w:val="both"/>
        <w:rPr>
          <w:rFonts w:ascii="Arial" w:eastAsiaTheme="minorHAnsi" w:hAnsi="Arial" w:cs="Arial"/>
          <w:sz w:val="22"/>
          <w:szCs w:val="22"/>
          <w:highlight w:val="yellow"/>
          <w:lang w:val="en-GB"/>
        </w:rPr>
      </w:pPr>
      <w:r w:rsidRPr="00E941DC">
        <w:rPr>
          <w:rFonts w:ascii="Arial" w:eastAsiaTheme="minorHAnsi" w:hAnsi="Arial" w:cs="Arial"/>
          <w:sz w:val="22"/>
          <w:szCs w:val="22"/>
          <w:highlight w:val="yellow"/>
          <w:lang w:val="en-GB"/>
        </w:rPr>
        <w:t xml:space="preserve">Choice of forum, </w:t>
      </w:r>
      <w:r w:rsidRPr="00E941DC">
        <w:rPr>
          <w:rFonts w:ascii="Arial" w:hAnsi="Arial" w:cs="Arial"/>
          <w:sz w:val="22"/>
          <w:szCs w:val="22"/>
          <w:highlight w:val="yellow"/>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E941DC" w:rsidRDefault="00E86549" w:rsidP="00275182">
      <w:pPr>
        <w:pStyle w:val="ListParagraph"/>
        <w:numPr>
          <w:ilvl w:val="0"/>
          <w:numId w:val="9"/>
        </w:numPr>
        <w:ind w:left="426"/>
        <w:jc w:val="both"/>
        <w:rPr>
          <w:rFonts w:ascii="Arial" w:hAnsi="Arial" w:cs="Arial"/>
          <w:bCs/>
          <w:sz w:val="22"/>
          <w:szCs w:val="22"/>
          <w:highlight w:val="yellow"/>
          <w:lang w:val="en-GB"/>
        </w:rPr>
      </w:pPr>
      <w:r w:rsidRPr="00E941D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E941D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941DC" w:rsidRDefault="00911C23" w:rsidP="00275182">
      <w:pPr>
        <w:pStyle w:val="ListParagraph"/>
        <w:numPr>
          <w:ilvl w:val="0"/>
          <w:numId w:val="10"/>
        </w:numPr>
        <w:ind w:left="426"/>
        <w:jc w:val="both"/>
        <w:rPr>
          <w:rFonts w:ascii="Arial" w:hAnsi="Arial" w:cs="Arial"/>
          <w:sz w:val="22"/>
          <w:szCs w:val="22"/>
          <w:highlight w:val="yellow"/>
          <w:lang w:val="en-GB"/>
        </w:rPr>
      </w:pPr>
      <w:r w:rsidRPr="00E941D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6425886B" w:rsidR="009B07AD" w:rsidRDefault="00E941DC" w:rsidP="00E941DC">
      <w:p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Pr="00E941DC">
        <w:rPr>
          <w:rFonts w:ascii="Arial" w:hAnsi="Arial" w:cs="Arial"/>
          <w:color w:val="000000" w:themeColor="text1"/>
          <w:sz w:val="22"/>
          <w:szCs w:val="22"/>
          <w:lang w:val="en-GB"/>
        </w:rPr>
        <w:t>Three significant historical developments regarding debt collection procedures in English law that shaped the way of thinking concerning modern insolvency law are:</w:t>
      </w:r>
    </w:p>
    <w:p w14:paraId="5D0BB262" w14:textId="24C7382A" w:rsidR="00E941DC" w:rsidRDefault="00E941DC" w:rsidP="00B7193E">
      <w:pPr>
        <w:ind w:left="720" w:hanging="720"/>
        <w:jc w:val="both"/>
        <w:rPr>
          <w:rFonts w:ascii="Arial" w:hAnsi="Arial" w:cs="Arial"/>
          <w:color w:val="7B7B7B" w:themeColor="accent3" w:themeShade="BF"/>
          <w:sz w:val="22"/>
          <w:szCs w:val="22"/>
          <w:lang w:val="en-GB"/>
        </w:rPr>
      </w:pPr>
    </w:p>
    <w:p w14:paraId="027B6F27" w14:textId="37B6290E" w:rsidR="00E941DC" w:rsidRDefault="00E941DC" w:rsidP="00E941DC">
      <w:pPr>
        <w:pStyle w:val="ListParagraph"/>
        <w:numPr>
          <w:ilvl w:val="0"/>
          <w:numId w:val="17"/>
        </w:num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First, </w:t>
      </w:r>
      <w:r w:rsidRPr="00E941DC">
        <w:rPr>
          <w:rFonts w:ascii="Arial" w:hAnsi="Arial" w:cs="Arial"/>
          <w:b/>
          <w:bCs/>
          <w:color w:val="000000" w:themeColor="text1"/>
          <w:sz w:val="22"/>
          <w:szCs w:val="22"/>
          <w:lang w:val="en-GB"/>
        </w:rPr>
        <w:t>the Roman Law and Table 3 of the Twelve Tables introduced execution of judgements.</w:t>
      </w:r>
      <w:r w:rsidRPr="00E941DC">
        <w:rPr>
          <w:rFonts w:ascii="Arial" w:hAnsi="Arial" w:cs="Arial"/>
          <w:color w:val="000000" w:themeColor="text1"/>
          <w:sz w:val="22"/>
          <w:szCs w:val="22"/>
          <w:lang w:val="en-GB"/>
        </w:rPr>
        <w:t xml:space="preserve"> Debt execution was developed from the acts of debtors in this era who pledged their bodies as collaterals for the repayment of loans. These debtors could be imprisoned, sold into slavery, or even sentenced to death to ensure the repayment of the debts owed.</w:t>
      </w:r>
    </w:p>
    <w:p w14:paraId="6251E1E3" w14:textId="77777777" w:rsidR="00E941DC" w:rsidRPr="00E941DC" w:rsidRDefault="00E941DC" w:rsidP="00E941DC">
      <w:pPr>
        <w:pStyle w:val="ListParagraph"/>
        <w:jc w:val="both"/>
        <w:rPr>
          <w:rFonts w:ascii="Arial" w:hAnsi="Arial" w:cs="Arial"/>
          <w:color w:val="000000" w:themeColor="text1"/>
          <w:sz w:val="22"/>
          <w:szCs w:val="22"/>
          <w:lang w:val="en-GB"/>
        </w:rPr>
      </w:pPr>
    </w:p>
    <w:p w14:paraId="1E533814" w14:textId="433BDC7A" w:rsidR="00E941DC" w:rsidRPr="00E941DC" w:rsidRDefault="00E941DC" w:rsidP="00E941DC">
      <w:pPr>
        <w:pStyle w:val="ListParagraph"/>
        <w:numPr>
          <w:ilvl w:val="0"/>
          <w:numId w:val="1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Second, </w:t>
      </w:r>
      <w:r w:rsidRPr="00E941DC">
        <w:rPr>
          <w:rFonts w:ascii="Arial" w:hAnsi="Arial" w:cs="Arial"/>
          <w:color w:val="000000" w:themeColor="text1"/>
          <w:sz w:val="22"/>
          <w:szCs w:val="22"/>
          <w:lang w:val="en-GB"/>
        </w:rPr>
        <w:t xml:space="preserve">the word bankruptcy evolved from the </w:t>
      </w:r>
      <w:r w:rsidRPr="00E941DC">
        <w:rPr>
          <w:rFonts w:ascii="Arial" w:hAnsi="Arial" w:cs="Arial"/>
          <w:b/>
          <w:bCs/>
          <w:color w:val="000000" w:themeColor="text1"/>
          <w:sz w:val="22"/>
          <w:szCs w:val="22"/>
          <w:lang w:val="en-GB"/>
        </w:rPr>
        <w:t xml:space="preserve">Italian </w:t>
      </w:r>
      <w:r w:rsidRPr="00E941DC">
        <w:rPr>
          <w:rFonts w:ascii="Arial" w:hAnsi="Arial" w:cs="Arial"/>
          <w:b/>
          <w:bCs/>
          <w:i/>
          <w:iCs/>
          <w:color w:val="000000" w:themeColor="text1"/>
          <w:sz w:val="22"/>
          <w:szCs w:val="22"/>
          <w:lang w:val="en-GB"/>
        </w:rPr>
        <w:t xml:space="preserve">Banca </w:t>
      </w:r>
      <w:proofErr w:type="spellStart"/>
      <w:r w:rsidRPr="00E941DC">
        <w:rPr>
          <w:rFonts w:ascii="Arial" w:hAnsi="Arial" w:cs="Arial"/>
          <w:b/>
          <w:bCs/>
          <w:i/>
          <w:iCs/>
          <w:color w:val="000000" w:themeColor="text1"/>
          <w:sz w:val="22"/>
          <w:szCs w:val="22"/>
          <w:lang w:val="en-GB"/>
        </w:rPr>
        <w:t>rotta</w:t>
      </w:r>
      <w:proofErr w:type="spellEnd"/>
      <w:r w:rsidRPr="00E941DC">
        <w:rPr>
          <w:rFonts w:ascii="Arial" w:hAnsi="Arial" w:cs="Arial"/>
          <w:i/>
          <w:iCs/>
          <w:color w:val="000000" w:themeColor="text1"/>
          <w:sz w:val="22"/>
          <w:szCs w:val="22"/>
          <w:lang w:val="en-GB"/>
        </w:rPr>
        <w:t>,</w:t>
      </w:r>
      <w:r w:rsidRPr="00E941DC">
        <w:rPr>
          <w:rFonts w:ascii="Arial" w:hAnsi="Arial" w:cs="Arial"/>
          <w:color w:val="000000" w:themeColor="text1"/>
          <w:sz w:val="22"/>
          <w:szCs w:val="22"/>
          <w:lang w:val="en-GB"/>
        </w:rPr>
        <w:t xml:space="preserve"> which means “to break the bench” This introduced debt collection and liquidating of assets of the debtor. The depicts a situation where a debtor or merchant who ran a business could not pay his debt and his creditors closed his business by breaking his bench or counter. There was a shift from execution against a person to execution against the assets of the debtor.</w:t>
      </w:r>
    </w:p>
    <w:p w14:paraId="7BB63748" w14:textId="360C6D2D" w:rsidR="00E941DC" w:rsidRPr="00E941DC" w:rsidRDefault="00E941DC" w:rsidP="00E941DC">
      <w:pPr>
        <w:jc w:val="both"/>
        <w:rPr>
          <w:rFonts w:ascii="Arial" w:hAnsi="Arial" w:cs="Arial"/>
          <w:sz w:val="22"/>
          <w:szCs w:val="22"/>
          <w:lang w:val="en-GB"/>
        </w:rPr>
      </w:pPr>
      <w:r w:rsidRPr="00E941DC">
        <w:rPr>
          <w:rFonts w:ascii="Arial" w:hAnsi="Arial" w:cs="Arial"/>
          <w:sz w:val="22"/>
          <w:szCs w:val="22"/>
          <w:lang w:val="en-GB"/>
        </w:rPr>
        <w:t xml:space="preserve"> </w:t>
      </w:r>
    </w:p>
    <w:p w14:paraId="09C25F94" w14:textId="3483A4F0" w:rsidR="00E941DC" w:rsidRPr="00E941DC" w:rsidRDefault="00E941DC" w:rsidP="00E941DC">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Third, </w:t>
      </w:r>
      <w:r w:rsidRPr="00E941DC">
        <w:rPr>
          <w:rFonts w:ascii="Arial" w:hAnsi="Arial" w:cs="Arial"/>
          <w:b/>
          <w:bCs/>
          <w:sz w:val="22"/>
          <w:szCs w:val="22"/>
          <w:lang w:val="en-GB"/>
        </w:rPr>
        <w:t>the statute of Ann of 1705</w:t>
      </w:r>
      <w:r>
        <w:rPr>
          <w:rFonts w:ascii="Arial" w:hAnsi="Arial" w:cs="Arial"/>
          <w:sz w:val="22"/>
          <w:szCs w:val="22"/>
          <w:lang w:val="en-GB"/>
        </w:rPr>
        <w:t xml:space="preserve"> introduced the statutory discharge. This discharge is also referred to as a fresh start and it is not automatically bestowed on the debtor. The commissioners must confirm that the debtor had conformed and had co-operated during the proceedings.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4138328B" w:rsidR="009B07AD" w:rsidRPr="00E941DC" w:rsidRDefault="00E941DC" w:rsidP="00E941DC">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Three insolvency related measures introduced in the UK </w:t>
      </w:r>
      <w:r>
        <w:rPr>
          <w:rFonts w:ascii="Arial" w:hAnsi="Arial" w:cs="Arial"/>
          <w:color w:val="000000" w:themeColor="text1"/>
          <w:sz w:val="22"/>
          <w:szCs w:val="22"/>
          <w:lang w:val="en-GB"/>
        </w:rPr>
        <w:t xml:space="preserve">after the passing of the Corporate Insolvency and Governance Act 2020 </w:t>
      </w:r>
      <w:r w:rsidRPr="00E941DC">
        <w:rPr>
          <w:rFonts w:ascii="Arial" w:hAnsi="Arial" w:cs="Arial"/>
          <w:color w:val="000000" w:themeColor="text1"/>
          <w:sz w:val="22"/>
          <w:szCs w:val="22"/>
          <w:lang w:val="en-GB"/>
        </w:rPr>
        <w:t xml:space="preserve">are: </w:t>
      </w:r>
    </w:p>
    <w:p w14:paraId="647A815B" w14:textId="77777777" w:rsidR="00E941DC" w:rsidRPr="00205B31" w:rsidRDefault="00E941DC" w:rsidP="00E941DC">
      <w:pPr>
        <w:jc w:val="both"/>
        <w:rPr>
          <w:rFonts w:ascii="Arial" w:hAnsi="Arial" w:cs="Arial"/>
          <w:sz w:val="22"/>
          <w:szCs w:val="22"/>
          <w:lang w:val="en-GB"/>
        </w:rPr>
      </w:pPr>
    </w:p>
    <w:p w14:paraId="7CAC5024" w14:textId="5346B926" w:rsidR="00E941DC" w:rsidRDefault="00E941DC" w:rsidP="00E941DC">
      <w:pPr>
        <w:pStyle w:val="ListParagraph"/>
        <w:numPr>
          <w:ilvl w:val="0"/>
          <w:numId w:val="18"/>
        </w:numPr>
        <w:jc w:val="both"/>
        <w:rPr>
          <w:rFonts w:ascii="Arial" w:hAnsi="Arial" w:cs="Arial"/>
          <w:sz w:val="22"/>
          <w:szCs w:val="22"/>
          <w:lang w:val="en-GB"/>
        </w:rPr>
      </w:pPr>
      <w:r w:rsidRPr="00E941DC">
        <w:rPr>
          <w:rFonts w:ascii="Arial" w:hAnsi="Arial" w:cs="Arial"/>
          <w:b/>
          <w:bCs/>
          <w:sz w:val="22"/>
          <w:szCs w:val="22"/>
          <w:lang w:val="en-GB"/>
        </w:rPr>
        <w:t>Restructuring Plan:</w:t>
      </w:r>
      <w:r>
        <w:rPr>
          <w:rFonts w:ascii="Arial" w:hAnsi="Arial" w:cs="Arial"/>
          <w:sz w:val="22"/>
          <w:szCs w:val="22"/>
          <w:lang w:val="en-GB"/>
        </w:rPr>
        <w:t xml:space="preserve"> A new restructuring plan was introduced. This measure enables a company which has encountered or is likely to encounter financial difficulties that are affecting its ability to carry on business as a going concern, the company may make an application to use the restructuring process.</w:t>
      </w:r>
    </w:p>
    <w:p w14:paraId="5B39B840" w14:textId="77777777" w:rsidR="00E941DC" w:rsidRDefault="00E941DC" w:rsidP="00E941DC">
      <w:pPr>
        <w:pStyle w:val="ListParagraph"/>
        <w:jc w:val="both"/>
        <w:rPr>
          <w:rFonts w:ascii="Arial" w:hAnsi="Arial" w:cs="Arial"/>
          <w:sz w:val="22"/>
          <w:szCs w:val="22"/>
          <w:lang w:val="en-GB"/>
        </w:rPr>
      </w:pPr>
    </w:p>
    <w:p w14:paraId="75B7A18E" w14:textId="5507CACC" w:rsidR="00E941DC" w:rsidRDefault="00E941DC" w:rsidP="00E941DC">
      <w:pPr>
        <w:pStyle w:val="ListParagraph"/>
        <w:numPr>
          <w:ilvl w:val="0"/>
          <w:numId w:val="18"/>
        </w:numPr>
        <w:jc w:val="both"/>
        <w:rPr>
          <w:rFonts w:ascii="Arial" w:hAnsi="Arial" w:cs="Arial"/>
          <w:sz w:val="22"/>
          <w:szCs w:val="22"/>
          <w:lang w:val="en-GB"/>
        </w:rPr>
      </w:pPr>
      <w:r w:rsidRPr="00E941DC">
        <w:rPr>
          <w:rFonts w:ascii="Arial" w:hAnsi="Arial" w:cs="Arial"/>
          <w:b/>
          <w:bCs/>
          <w:sz w:val="22"/>
          <w:szCs w:val="22"/>
          <w:lang w:val="en-GB"/>
        </w:rPr>
        <w:t>Moratorium:</w:t>
      </w:r>
      <w:r>
        <w:rPr>
          <w:rFonts w:ascii="Arial" w:hAnsi="Arial" w:cs="Arial"/>
          <w:sz w:val="22"/>
          <w:szCs w:val="22"/>
          <w:lang w:val="en-GB"/>
        </w:rPr>
        <w:t xml:space="preserve"> This is also referred to as stay of proceedings. There is now a free-standing moratorium for distressed but viable companies which can be used to support a rescue of a company as a going concern. The major aim of this is to afford insolvent companies the breathing space from creditor action to pursue a turnaround plan.</w:t>
      </w:r>
    </w:p>
    <w:p w14:paraId="7E507E44" w14:textId="77777777" w:rsidR="00E941DC" w:rsidRPr="00E941DC" w:rsidRDefault="00E941DC" w:rsidP="00E941DC">
      <w:pPr>
        <w:pStyle w:val="ListParagraph"/>
        <w:rPr>
          <w:rFonts w:ascii="Arial" w:hAnsi="Arial" w:cs="Arial"/>
          <w:sz w:val="22"/>
          <w:szCs w:val="22"/>
          <w:lang w:val="en-GB"/>
        </w:rPr>
      </w:pPr>
    </w:p>
    <w:p w14:paraId="38F3AB69" w14:textId="6BD87ECB" w:rsidR="00E941DC" w:rsidRPr="00E941DC" w:rsidRDefault="00E941DC" w:rsidP="00E941DC">
      <w:pPr>
        <w:pStyle w:val="ListParagraph"/>
        <w:numPr>
          <w:ilvl w:val="0"/>
          <w:numId w:val="18"/>
        </w:numPr>
        <w:jc w:val="both"/>
        <w:rPr>
          <w:rFonts w:ascii="Arial" w:hAnsi="Arial" w:cs="Arial"/>
          <w:b/>
          <w:bCs/>
          <w:sz w:val="22"/>
          <w:szCs w:val="22"/>
          <w:lang w:val="en-GB"/>
        </w:rPr>
      </w:pPr>
      <w:r w:rsidRPr="00E941DC">
        <w:rPr>
          <w:rFonts w:ascii="Arial" w:hAnsi="Arial" w:cs="Arial"/>
          <w:b/>
          <w:bCs/>
          <w:sz w:val="22"/>
          <w:szCs w:val="22"/>
          <w:lang w:val="en-GB"/>
        </w:rPr>
        <w:t xml:space="preserve">Wrongful trading: </w:t>
      </w:r>
      <w:r w:rsidRPr="00E941DC">
        <w:rPr>
          <w:rFonts w:ascii="Arial" w:hAnsi="Arial" w:cs="Arial"/>
          <w:sz w:val="22"/>
          <w:szCs w:val="22"/>
          <w:lang w:val="en-GB"/>
        </w:rPr>
        <w:t>wrongful trading liability has been relaxed</w:t>
      </w:r>
      <w:r>
        <w:rPr>
          <w:rFonts w:ascii="Arial" w:hAnsi="Arial" w:cs="Arial"/>
          <w:sz w:val="22"/>
          <w:szCs w:val="22"/>
          <w:lang w:val="en-GB"/>
        </w:rPr>
        <w:t>. There is a temporary suspension of wrongful trading rules.</w:t>
      </w:r>
    </w:p>
    <w:p w14:paraId="79961E83" w14:textId="77777777" w:rsidR="00D17FDC" w:rsidRPr="00205B31" w:rsidRDefault="00D17FDC" w:rsidP="00B7193E">
      <w:pPr>
        <w:ind w:left="720" w:hanging="720"/>
        <w:jc w:val="both"/>
        <w:rPr>
          <w:rFonts w:ascii="Arial" w:hAnsi="Arial" w:cs="Arial"/>
          <w:sz w:val="22"/>
          <w:szCs w:val="22"/>
          <w:lang w:val="en-GB"/>
        </w:rPr>
      </w:pPr>
    </w:p>
    <w:p w14:paraId="74E2DC0B" w14:textId="77777777" w:rsidR="00E941DC" w:rsidRDefault="00E941DC" w:rsidP="00B7193E">
      <w:pPr>
        <w:ind w:left="720" w:hanging="720"/>
        <w:jc w:val="both"/>
        <w:rPr>
          <w:rFonts w:ascii="Arial" w:hAnsi="Arial" w:cs="Arial"/>
          <w:b/>
          <w:bCs/>
          <w:sz w:val="22"/>
          <w:szCs w:val="22"/>
          <w:lang w:val="en-GB"/>
        </w:rPr>
      </w:pPr>
    </w:p>
    <w:p w14:paraId="0008FD8F" w14:textId="77777777" w:rsidR="00E941DC" w:rsidRDefault="00E941DC" w:rsidP="00B7193E">
      <w:pPr>
        <w:ind w:left="720" w:hanging="720"/>
        <w:jc w:val="both"/>
        <w:rPr>
          <w:rFonts w:ascii="Arial" w:hAnsi="Arial" w:cs="Arial"/>
          <w:b/>
          <w:bCs/>
          <w:sz w:val="22"/>
          <w:szCs w:val="22"/>
          <w:lang w:val="en-GB"/>
        </w:rPr>
      </w:pPr>
    </w:p>
    <w:p w14:paraId="7665D091" w14:textId="77777777" w:rsidR="00E941DC" w:rsidRDefault="00E941DC" w:rsidP="00B7193E">
      <w:pPr>
        <w:ind w:left="720" w:hanging="720"/>
        <w:jc w:val="both"/>
        <w:rPr>
          <w:rFonts w:ascii="Arial" w:hAnsi="Arial" w:cs="Arial"/>
          <w:b/>
          <w:bCs/>
          <w:sz w:val="22"/>
          <w:szCs w:val="22"/>
          <w:lang w:val="en-GB"/>
        </w:rPr>
      </w:pPr>
    </w:p>
    <w:p w14:paraId="6DEB76DD" w14:textId="77777777" w:rsidR="00E941DC" w:rsidRDefault="00E941DC" w:rsidP="00B7193E">
      <w:pPr>
        <w:ind w:left="720" w:hanging="720"/>
        <w:jc w:val="both"/>
        <w:rPr>
          <w:rFonts w:ascii="Arial" w:hAnsi="Arial" w:cs="Arial"/>
          <w:b/>
          <w:bCs/>
          <w:sz w:val="22"/>
          <w:szCs w:val="22"/>
          <w:lang w:val="en-GB"/>
        </w:rPr>
      </w:pPr>
    </w:p>
    <w:p w14:paraId="34516371" w14:textId="3AFF4449"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3C7703E2" w:rsidR="0045683E" w:rsidRP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Soft law are legal norms which are created by treaties which various states import into their domestic laws principles to resolve insolvency concerns they have in connection with another state. </w:t>
      </w:r>
    </w:p>
    <w:p w14:paraId="49E3933A" w14:textId="7E44E130" w:rsidR="00E941DC" w:rsidRPr="00E941DC" w:rsidRDefault="00E941DC" w:rsidP="00E941DC">
      <w:pPr>
        <w:pStyle w:val="ListParagraph"/>
        <w:numPr>
          <w:ilvl w:val="0"/>
          <w:numId w:val="19"/>
        </w:num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The adoption of the Model treaty on Bankruptcy at the 1925 conference was an early initiative. This model treaty has contributed to the international deliberations on regulating international insolvency. </w:t>
      </w:r>
      <w:r w:rsidRPr="00E941DC">
        <w:rPr>
          <w:rFonts w:ascii="Calibri" w:hAnsi="Calibri" w:cs="Calibri"/>
          <w:color w:val="000000" w:themeColor="text1"/>
          <w:sz w:val="24"/>
          <w:shd w:val="clear" w:color="auto" w:fill="FFFFFF"/>
          <w:lang w:eastAsia="en-GB"/>
        </w:rPr>
        <w:t>Even though this treaty was never ratified, it has contributed to the international regulations on regulating international insolvency. For e.g., it bestowed jurisdiction in respect of a corporation to the court where the statutory registered seat was located “provided that it be neither fraudulent nor fictitious”</w:t>
      </w:r>
    </w:p>
    <w:p w14:paraId="337FF23D" w14:textId="126B6542" w:rsidR="00E941DC" w:rsidRPr="00E941DC" w:rsidRDefault="00E941DC" w:rsidP="00E941DC">
      <w:pPr>
        <w:pStyle w:val="ListParagraph"/>
        <w:numPr>
          <w:ilvl w:val="0"/>
          <w:numId w:val="19"/>
        </w:numPr>
        <w:jc w:val="both"/>
        <w:rPr>
          <w:rFonts w:ascii="Arial" w:hAnsi="Arial" w:cs="Arial"/>
          <w:color w:val="000000" w:themeColor="text1"/>
          <w:sz w:val="22"/>
          <w:szCs w:val="22"/>
          <w:lang w:val="en-GB"/>
        </w:rPr>
      </w:pPr>
      <w:r>
        <w:rPr>
          <w:rFonts w:ascii="Calibri" w:hAnsi="Calibri" w:cs="Calibri"/>
          <w:color w:val="000000" w:themeColor="text1"/>
          <w:sz w:val="24"/>
          <w:shd w:val="clear" w:color="auto" w:fill="FFFFFF"/>
          <w:lang w:eastAsia="en-GB"/>
        </w:rPr>
        <w:t xml:space="preserve">In the Mid 1990s the most successful soft law approach has been undertaken by UNCITRAL. It developed a model law on Cross border insolvency (MLCBI) This initiative took the form of a model law, draft legislation that UNCITRAL recommended member states to adopt, with or without modification. As a result of the number, economic size and geographical spread of states that are now adopting the MLBCI, it is gathering momentum as an influential response to international insolvency law and cross border issues affecting states.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24E69FB" w14:textId="2506ED1E" w:rsidR="00726E9A" w:rsidRPr="00E941DC" w:rsidRDefault="00E941DC" w:rsidP="00E941DC">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The sources of insolvency laws are usually gotten from legislations or codes in that state. In circumstances where there is a lacuna and the legislations or the codes have failed to provide for a particular insolvency law concern, common law steps in to fill in the gap.</w:t>
      </w:r>
    </w:p>
    <w:p w14:paraId="15C367DA" w14:textId="0473C268" w:rsidR="00E941DC" w:rsidRPr="00E941DC" w:rsidRDefault="00E941DC" w:rsidP="00E941DC">
      <w:pPr>
        <w:jc w:val="both"/>
        <w:rPr>
          <w:rFonts w:ascii="Arial" w:hAnsi="Arial" w:cs="Arial"/>
          <w:color w:val="000000" w:themeColor="text1"/>
          <w:sz w:val="22"/>
          <w:szCs w:val="22"/>
          <w:lang w:val="en-GB"/>
        </w:rPr>
      </w:pPr>
    </w:p>
    <w:p w14:paraId="67F5C9B3" w14:textId="7FD88580" w:rsidR="00E941DC" w:rsidRPr="00E941DC" w:rsidRDefault="00E941DC" w:rsidP="00E941DC">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Some states have a unified law regulating bankruptcy and when insolvency concerns arise, everyone resorts to that law for guidance. In the USA for example, the Bankruptcy Code of 1978 is a Federal Legislation, and it applies throughout the USA. In many other systems or states a multiplicity of legislation exists and these laws must be studied in conjunction with each other to understand the system in Full. For example, in Canada, there are two major insolvency laws which are the Bankruptcy and Insolvency Act and the Companies Creditors Arrangement Act. Insolvent companies have the discretion to choose any of these two regimes.</w:t>
      </w:r>
    </w:p>
    <w:p w14:paraId="6A2442F1" w14:textId="0C29083F" w:rsidR="00E941DC" w:rsidRPr="00E941DC" w:rsidRDefault="00E941DC" w:rsidP="00E941DC">
      <w:pPr>
        <w:jc w:val="both"/>
        <w:rPr>
          <w:rFonts w:ascii="Arial" w:hAnsi="Arial" w:cs="Arial"/>
          <w:color w:val="000000" w:themeColor="text1"/>
          <w:sz w:val="22"/>
          <w:szCs w:val="22"/>
          <w:lang w:val="en-GB"/>
        </w:rPr>
      </w:pPr>
    </w:p>
    <w:p w14:paraId="1D2E138F" w14:textId="4AD3BB40" w:rsidR="00E941DC" w:rsidRDefault="00E941DC" w:rsidP="00E941DC">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There are also some other laws which are not found in the insolvency legislations that regulate a huge part of the insolvency proceedings for </w:t>
      </w:r>
      <w:proofErr w:type="gramStart"/>
      <w:r w:rsidRPr="00E941DC">
        <w:rPr>
          <w:rFonts w:ascii="Arial" w:hAnsi="Arial" w:cs="Arial"/>
          <w:color w:val="000000" w:themeColor="text1"/>
          <w:sz w:val="22"/>
          <w:szCs w:val="22"/>
          <w:lang w:val="en-GB"/>
        </w:rPr>
        <w:t>e.g.</w:t>
      </w:r>
      <w:proofErr w:type="gramEnd"/>
      <w:r w:rsidRPr="00E941DC">
        <w:rPr>
          <w:rFonts w:ascii="Arial" w:hAnsi="Arial" w:cs="Arial"/>
          <w:color w:val="000000" w:themeColor="text1"/>
          <w:sz w:val="22"/>
          <w:szCs w:val="22"/>
          <w:lang w:val="en-GB"/>
        </w:rPr>
        <w:t xml:space="preserve"> the rules regulating the vesting of real rights such as ownership or rights of real security</w:t>
      </w:r>
      <w:r>
        <w:rPr>
          <w:rFonts w:ascii="Arial" w:hAnsi="Arial" w:cs="Arial"/>
          <w:color w:val="000000" w:themeColor="text1"/>
          <w:sz w:val="22"/>
          <w:szCs w:val="22"/>
          <w:lang w:val="en-GB"/>
        </w:rPr>
        <w:t xml:space="preserve">. And </w:t>
      </w:r>
      <w:proofErr w:type="gramStart"/>
      <w:r>
        <w:rPr>
          <w:rFonts w:ascii="Arial" w:hAnsi="Arial" w:cs="Arial"/>
          <w:color w:val="000000" w:themeColor="text1"/>
          <w:sz w:val="22"/>
          <w:szCs w:val="22"/>
          <w:lang w:val="en-GB"/>
        </w:rPr>
        <w:t>often times</w:t>
      </w:r>
      <w:proofErr w:type="gramEnd"/>
      <w:r>
        <w:rPr>
          <w:rFonts w:ascii="Arial" w:hAnsi="Arial" w:cs="Arial"/>
          <w:color w:val="000000" w:themeColor="text1"/>
          <w:sz w:val="22"/>
          <w:szCs w:val="22"/>
          <w:lang w:val="en-GB"/>
        </w:rPr>
        <w:t xml:space="preserve"> before the insolvency laws might take effect these laws have to come in first to lay down some ground rules.</w:t>
      </w:r>
    </w:p>
    <w:p w14:paraId="3BC019EA" w14:textId="308688C5" w:rsidR="00E941DC" w:rsidRDefault="00E941DC" w:rsidP="00E941DC">
      <w:pPr>
        <w:jc w:val="both"/>
        <w:rPr>
          <w:rFonts w:ascii="Arial" w:hAnsi="Arial" w:cs="Arial"/>
          <w:color w:val="000000" w:themeColor="text1"/>
          <w:sz w:val="22"/>
          <w:szCs w:val="22"/>
          <w:lang w:val="en-GB"/>
        </w:rPr>
      </w:pPr>
    </w:p>
    <w:p w14:paraId="3439BE6A" w14:textId="264AC1F9" w:rsidR="00E941DC" w:rsidRDefault="00E941DC" w:rsidP="00E941DC">
      <w:pPr>
        <w:jc w:val="both"/>
        <w:rPr>
          <w:rFonts w:ascii="Arial" w:hAnsi="Arial" w:cs="Arial"/>
          <w:color w:val="000000" w:themeColor="text1"/>
          <w:sz w:val="22"/>
          <w:szCs w:val="22"/>
          <w:lang w:val="en-GB"/>
        </w:rPr>
      </w:pPr>
    </w:p>
    <w:p w14:paraId="1D0042A7" w14:textId="2E09C84D" w:rsidR="00E941DC" w:rsidRDefault="00E941DC" w:rsidP="00E941DC">
      <w:pPr>
        <w:jc w:val="both"/>
        <w:rPr>
          <w:rFonts w:ascii="Arial" w:hAnsi="Arial" w:cs="Arial"/>
          <w:color w:val="000000" w:themeColor="text1"/>
          <w:sz w:val="22"/>
          <w:szCs w:val="22"/>
          <w:lang w:val="en-GB"/>
        </w:rPr>
      </w:pPr>
    </w:p>
    <w:p w14:paraId="4855FE53" w14:textId="77777777" w:rsidR="00E941DC" w:rsidRDefault="00E941DC" w:rsidP="00E941DC">
      <w:pPr>
        <w:jc w:val="both"/>
        <w:rPr>
          <w:rFonts w:ascii="Arial" w:hAnsi="Arial" w:cs="Arial"/>
          <w:color w:val="000000" w:themeColor="text1"/>
          <w:sz w:val="22"/>
          <w:szCs w:val="22"/>
          <w:lang w:val="en-GB"/>
        </w:rPr>
      </w:pPr>
    </w:p>
    <w:p w14:paraId="783E802B" w14:textId="39986A72" w:rsidR="00E941DC" w:rsidRPr="00E941DC" w:rsidRDefault="00E941DC" w:rsidP="00E941DC">
      <w:pPr>
        <w:jc w:val="both"/>
        <w:rPr>
          <w:rFonts w:ascii="Arial" w:hAnsi="Arial" w:cs="Arial"/>
          <w:color w:val="000000" w:themeColor="text1"/>
          <w:sz w:val="22"/>
          <w:szCs w:val="22"/>
          <w:lang w:val="en-GB"/>
        </w:rPr>
      </w:pPr>
    </w:p>
    <w:p w14:paraId="3F7B1E0C" w14:textId="77777777" w:rsidR="00E941DC" w:rsidRPr="00205B31" w:rsidRDefault="00E941DC"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AB923DE" w14:textId="0BA1F509" w:rsidR="00E941DC" w:rsidRPr="00E941DC" w:rsidRDefault="00E941DC" w:rsidP="00E941DC">
      <w:pPr>
        <w:widowControl w:val="0"/>
        <w:ind w:left="720" w:hanging="720"/>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The three questions raised by fletcher are:</w:t>
      </w:r>
    </w:p>
    <w:p w14:paraId="704AD433" w14:textId="01BBA789" w:rsidR="00E941DC" w:rsidRDefault="00E941DC" w:rsidP="00275182">
      <w:pPr>
        <w:widowControl w:val="0"/>
        <w:ind w:left="720" w:hanging="720"/>
        <w:jc w:val="both"/>
        <w:rPr>
          <w:rFonts w:ascii="Arial" w:hAnsi="Arial" w:cs="Arial"/>
          <w:color w:val="7B7B7B" w:themeColor="accent3" w:themeShade="BF"/>
          <w:sz w:val="22"/>
          <w:szCs w:val="22"/>
          <w:lang w:val="en-GB"/>
        </w:rPr>
      </w:pPr>
    </w:p>
    <w:p w14:paraId="7E51AD9C" w14:textId="7D3DD608" w:rsidR="00E941DC" w:rsidRPr="00E941DC" w:rsidRDefault="00E941DC" w:rsidP="00E941DC">
      <w:pPr>
        <w:pStyle w:val="ListParagraph"/>
        <w:widowControl w:val="0"/>
        <w:numPr>
          <w:ilvl w:val="0"/>
          <w:numId w:val="2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In which jurisdictions may insolvency proceedings be opened?</w:t>
      </w:r>
    </w:p>
    <w:p w14:paraId="6B7C3853" w14:textId="1789B39A" w:rsidR="00E941DC" w:rsidRDefault="00E941DC" w:rsidP="00E941DC">
      <w:pPr>
        <w:pStyle w:val="ListParagraph"/>
        <w:widowControl w:val="0"/>
        <w:jc w:val="both"/>
        <w:rPr>
          <w:rFonts w:ascii="Arial" w:hAnsi="Arial" w:cs="Arial"/>
          <w:sz w:val="22"/>
          <w:szCs w:val="22"/>
          <w:shd w:val="clear" w:color="auto" w:fill="FFFFFF"/>
          <w:lang w:val="en-GB"/>
        </w:rPr>
      </w:pPr>
    </w:p>
    <w:p w14:paraId="4FFFECD2" w14:textId="3BF2BAFF" w:rsidR="00E941DC" w:rsidRDefault="00E941DC" w:rsidP="00E941DC">
      <w:pPr>
        <w:pStyle w:val="ListParagraph"/>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According to universalism</w:t>
      </w:r>
      <w:r>
        <w:rPr>
          <w:rFonts w:ascii="Arial" w:hAnsi="Arial" w:cs="Arial"/>
          <w:sz w:val="22"/>
          <w:szCs w:val="22"/>
          <w:shd w:val="clear" w:color="auto" w:fill="FFFFFF"/>
          <w:lang w:val="en-GB"/>
        </w:rPr>
        <w:t xml:space="preserve"> theory</w:t>
      </w:r>
      <w:r>
        <w:rPr>
          <w:rFonts w:ascii="Arial" w:hAnsi="Arial" w:cs="Arial"/>
          <w:sz w:val="22"/>
          <w:szCs w:val="22"/>
          <w:shd w:val="clear" w:color="auto" w:fill="FFFFFF"/>
          <w:lang w:val="en-GB"/>
        </w:rPr>
        <w:t xml:space="preserve">, if there are more than one insolvency proceedings originating in different states, their concerns and issues should be dealt with under one insolvency law. For </w:t>
      </w:r>
      <w:proofErr w:type="spellStart"/>
      <w:r>
        <w:rPr>
          <w:rFonts w:ascii="Arial" w:hAnsi="Arial" w:cs="Arial"/>
          <w:sz w:val="22"/>
          <w:szCs w:val="22"/>
          <w:shd w:val="clear" w:color="auto" w:fill="FFFFFF"/>
          <w:lang w:val="en-GB"/>
        </w:rPr>
        <w:t>eg</w:t>
      </w:r>
      <w:proofErr w:type="spellEnd"/>
      <w:r>
        <w:rPr>
          <w:rFonts w:ascii="Arial" w:hAnsi="Arial" w:cs="Arial"/>
          <w:sz w:val="22"/>
          <w:szCs w:val="22"/>
          <w:shd w:val="clear" w:color="auto" w:fill="FFFFFF"/>
          <w:lang w:val="en-GB"/>
        </w:rPr>
        <w:t xml:space="preserve">, in the state where the debtor has its </w:t>
      </w:r>
      <w:proofErr w:type="spellStart"/>
      <w:r>
        <w:rPr>
          <w:rFonts w:ascii="Arial" w:hAnsi="Arial" w:cs="Arial"/>
          <w:sz w:val="22"/>
          <w:szCs w:val="22"/>
          <w:shd w:val="clear" w:color="auto" w:fill="FFFFFF"/>
          <w:lang w:val="en-GB"/>
        </w:rPr>
        <w:t>center</w:t>
      </w:r>
      <w:proofErr w:type="spellEnd"/>
      <w:r>
        <w:rPr>
          <w:rFonts w:ascii="Arial" w:hAnsi="Arial" w:cs="Arial"/>
          <w:sz w:val="22"/>
          <w:szCs w:val="22"/>
          <w:shd w:val="clear" w:color="auto" w:fill="FFFFFF"/>
          <w:lang w:val="en-GB"/>
        </w:rPr>
        <w:t xml:space="preserve"> of main interests (COMI). This rule implied that the law of the main proceedings will have worldwide effect, even under the territorial jurisdiction of the state where the </w:t>
      </w:r>
      <w:r>
        <w:rPr>
          <w:rFonts w:ascii="Arial" w:hAnsi="Arial" w:cs="Arial"/>
          <w:sz w:val="22"/>
          <w:szCs w:val="22"/>
          <w:shd w:val="clear" w:color="auto" w:fill="FFFFFF"/>
          <w:lang w:val="en-GB"/>
        </w:rPr>
        <w:t>so-called</w:t>
      </w:r>
      <w:r>
        <w:rPr>
          <w:rFonts w:ascii="Arial" w:hAnsi="Arial" w:cs="Arial"/>
          <w:sz w:val="22"/>
          <w:szCs w:val="22"/>
          <w:shd w:val="clear" w:color="auto" w:fill="FFFFFF"/>
          <w:lang w:val="en-GB"/>
        </w:rPr>
        <w:t xml:space="preserve"> main proceeding has been opened. </w:t>
      </w:r>
    </w:p>
    <w:p w14:paraId="791BADBE" w14:textId="35E54F87" w:rsidR="00E941DC" w:rsidRDefault="00E941DC" w:rsidP="00E941DC">
      <w:pPr>
        <w:pStyle w:val="ListParagraph"/>
        <w:widowControl w:val="0"/>
        <w:jc w:val="both"/>
        <w:rPr>
          <w:rFonts w:ascii="Arial" w:hAnsi="Arial" w:cs="Arial"/>
          <w:sz w:val="22"/>
          <w:szCs w:val="22"/>
          <w:shd w:val="clear" w:color="auto" w:fill="FFFFFF"/>
          <w:lang w:val="en-GB"/>
        </w:rPr>
      </w:pPr>
    </w:p>
    <w:p w14:paraId="3928D179" w14:textId="72904D29" w:rsidR="00E941DC" w:rsidRDefault="00E941DC" w:rsidP="00E941DC">
      <w:pPr>
        <w:pStyle w:val="ListParagraph"/>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However, according to fletcher, insolvency proceedings can be commenced concurrently in more than one state</w:t>
      </w:r>
    </w:p>
    <w:p w14:paraId="226048FF" w14:textId="77777777" w:rsidR="00E941DC" w:rsidRPr="00E941DC" w:rsidRDefault="00E941DC" w:rsidP="00E941DC">
      <w:pPr>
        <w:widowControl w:val="0"/>
        <w:jc w:val="both"/>
        <w:rPr>
          <w:rFonts w:ascii="Arial" w:hAnsi="Arial" w:cs="Arial"/>
          <w:sz w:val="22"/>
          <w:szCs w:val="22"/>
          <w:shd w:val="clear" w:color="auto" w:fill="FFFFFF"/>
          <w:lang w:val="en-GB"/>
        </w:rPr>
      </w:pPr>
    </w:p>
    <w:p w14:paraId="56856EC6" w14:textId="06A027B7" w:rsidR="00E941DC" w:rsidRPr="00E941DC" w:rsidRDefault="00E941DC" w:rsidP="00E941DC">
      <w:pPr>
        <w:pStyle w:val="ListParagraph"/>
        <w:widowControl w:val="0"/>
        <w:numPr>
          <w:ilvl w:val="0"/>
          <w:numId w:val="2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What country’s law should be applied in respect of different aspects of the case</w:t>
      </w:r>
    </w:p>
    <w:p w14:paraId="77F7AFB4" w14:textId="79D14959" w:rsidR="00E941DC" w:rsidRPr="00E941DC" w:rsidRDefault="00E941DC" w:rsidP="00E941DC">
      <w:pPr>
        <w:widowControl w:val="0"/>
        <w:jc w:val="both"/>
        <w:rPr>
          <w:rFonts w:ascii="Arial" w:hAnsi="Arial" w:cs="Arial"/>
          <w:sz w:val="22"/>
          <w:szCs w:val="22"/>
          <w:shd w:val="clear" w:color="auto" w:fill="FFFFFF"/>
          <w:lang w:val="en-GB"/>
        </w:rPr>
      </w:pPr>
    </w:p>
    <w:p w14:paraId="6CF7E3ED" w14:textId="2A51829C" w:rsidR="00E941DC" w:rsidRDefault="00E941DC" w:rsidP="00E941DC">
      <w:pPr>
        <w:pStyle w:val="ListParagraph"/>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territorialism theory answers this question perfectly by stating that the consequences of an insolvency proceeding will only have effect on the state where the insolvency proceedings have been opened and may lead to multiple insolvency proceedings.</w:t>
      </w:r>
    </w:p>
    <w:p w14:paraId="140C612F" w14:textId="39F8F8A1" w:rsidR="00E941DC" w:rsidRDefault="00E941DC" w:rsidP="00E941DC">
      <w:pPr>
        <w:pStyle w:val="ListParagraph"/>
        <w:widowControl w:val="0"/>
        <w:jc w:val="both"/>
        <w:rPr>
          <w:rFonts w:ascii="Arial" w:hAnsi="Arial" w:cs="Arial"/>
          <w:sz w:val="22"/>
          <w:szCs w:val="22"/>
          <w:shd w:val="clear" w:color="auto" w:fill="FFFFFF"/>
          <w:lang w:val="en-GB"/>
        </w:rPr>
      </w:pPr>
    </w:p>
    <w:p w14:paraId="1F6706F1" w14:textId="7AA3A7E3" w:rsidR="00E941DC" w:rsidRDefault="00E941DC" w:rsidP="00E941DC">
      <w:pPr>
        <w:widowControl w:val="0"/>
        <w:ind w:left="709"/>
        <w:jc w:val="both"/>
        <w:rPr>
          <w:rFonts w:ascii="Arial" w:hAnsi="Arial" w:cs="Arial"/>
          <w:sz w:val="22"/>
          <w:szCs w:val="22"/>
          <w:shd w:val="clear" w:color="auto" w:fill="FFFFFF"/>
          <w:lang w:val="en-GB"/>
        </w:rPr>
      </w:pPr>
      <w:r>
        <w:rPr>
          <w:rFonts w:ascii="Arial" w:hAnsi="Arial" w:cs="Arial"/>
          <w:sz w:val="22"/>
          <w:szCs w:val="22"/>
          <w:shd w:val="clear" w:color="auto" w:fill="FFFFFF"/>
        </w:rPr>
        <w:t xml:space="preserve">However, </w:t>
      </w:r>
      <w:proofErr w:type="spellStart"/>
      <w:r>
        <w:rPr>
          <w:rFonts w:ascii="Arial" w:hAnsi="Arial" w:cs="Arial"/>
          <w:sz w:val="22"/>
          <w:szCs w:val="22"/>
          <w:shd w:val="clear" w:color="auto" w:fill="FFFFFF"/>
        </w:rPr>
        <w:t>i</w:t>
      </w:r>
      <w:proofErr w:type="spellEnd"/>
      <w:r w:rsidRPr="00E941DC">
        <w:rPr>
          <w:rFonts w:ascii="Arial" w:hAnsi="Arial" w:cs="Arial"/>
          <w:sz w:val="22"/>
          <w:szCs w:val="22"/>
          <w:shd w:val="clear" w:color="auto" w:fill="FFFFFF"/>
          <w:lang w:val="en-NG"/>
        </w:rPr>
        <w:t>n Territoriali</w:t>
      </w:r>
      <w:proofErr w:type="spellStart"/>
      <w:r>
        <w:rPr>
          <w:rFonts w:ascii="Arial" w:hAnsi="Arial" w:cs="Arial"/>
          <w:sz w:val="22"/>
          <w:szCs w:val="22"/>
          <w:shd w:val="clear" w:color="auto" w:fill="FFFFFF"/>
        </w:rPr>
        <w:t>sm</w:t>
      </w:r>
      <w:proofErr w:type="spellEnd"/>
      <w:r w:rsidRPr="00E941DC">
        <w:rPr>
          <w:rFonts w:ascii="Arial" w:hAnsi="Arial" w:cs="Arial"/>
          <w:sz w:val="22"/>
          <w:szCs w:val="22"/>
          <w:shd w:val="clear" w:color="auto" w:fill="FFFFFF"/>
          <w:lang w:val="en-NG"/>
        </w:rPr>
        <w:t xml:space="preserve"> it is difficult to know when the debtor is insolvent as the debtor might be declared insolvent in the jurisdiction where his debts are but solve</w:t>
      </w:r>
      <w:proofErr w:type="spellStart"/>
      <w:r>
        <w:rPr>
          <w:rFonts w:ascii="Arial" w:hAnsi="Arial" w:cs="Arial"/>
          <w:sz w:val="22"/>
          <w:szCs w:val="22"/>
          <w:shd w:val="clear" w:color="auto" w:fill="FFFFFF"/>
        </w:rPr>
        <w:t>nt</w:t>
      </w:r>
      <w:proofErr w:type="spellEnd"/>
      <w:r w:rsidRPr="00E941DC">
        <w:rPr>
          <w:rFonts w:ascii="Arial" w:hAnsi="Arial" w:cs="Arial"/>
          <w:sz w:val="22"/>
          <w:szCs w:val="22"/>
          <w:shd w:val="clear" w:color="auto" w:fill="FFFFFF"/>
          <w:lang w:val="en-NG"/>
        </w:rPr>
        <w:t xml:space="preserve"> in the jurisdiction where his assets are located, it therefore becomes difficult to ascertain the </w:t>
      </w:r>
      <w:r w:rsidRPr="00E941DC">
        <w:rPr>
          <w:rFonts w:ascii="Arial" w:hAnsi="Arial" w:cs="Arial"/>
          <w:sz w:val="22"/>
          <w:szCs w:val="22"/>
          <w:shd w:val="clear" w:color="auto" w:fill="FFFFFF"/>
          <w:lang w:val="en-NG"/>
        </w:rPr>
        <w:t>status</w:t>
      </w:r>
      <w:r w:rsidRPr="00E941DC">
        <w:rPr>
          <w:rFonts w:ascii="Arial" w:hAnsi="Arial" w:cs="Arial"/>
          <w:sz w:val="22"/>
          <w:szCs w:val="22"/>
          <w:shd w:val="clear" w:color="auto" w:fill="FFFFFF"/>
          <w:lang w:val="en-NG"/>
        </w:rPr>
        <w:t xml:space="preserve"> of the debtor. </w:t>
      </w:r>
    </w:p>
    <w:p w14:paraId="0381ABF8" w14:textId="07C79440" w:rsidR="00E941DC" w:rsidRDefault="00E941DC" w:rsidP="00E941DC">
      <w:pPr>
        <w:pStyle w:val="ListParagraph"/>
        <w:widowControl w:val="0"/>
        <w:jc w:val="both"/>
        <w:rPr>
          <w:rFonts w:ascii="Arial" w:hAnsi="Arial" w:cs="Arial"/>
          <w:sz w:val="22"/>
          <w:szCs w:val="22"/>
          <w:shd w:val="clear" w:color="auto" w:fill="FFFFFF"/>
          <w:lang w:val="en-GB"/>
        </w:rPr>
      </w:pPr>
    </w:p>
    <w:p w14:paraId="63186D56" w14:textId="0D7E8BDA" w:rsidR="00E941DC" w:rsidRDefault="00E941DC" w:rsidP="00E941DC">
      <w:pPr>
        <w:pStyle w:val="ListParagraph"/>
        <w:widowControl w:val="0"/>
        <w:numPr>
          <w:ilvl w:val="0"/>
          <w:numId w:val="20"/>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What international effects should be accorded to proceedings conducted at a particular forum (including issues of enforcement).</w:t>
      </w:r>
    </w:p>
    <w:p w14:paraId="4AC7E6F6" w14:textId="71F4511E" w:rsidR="00E941DC" w:rsidRDefault="00E941DC" w:rsidP="00E941DC">
      <w:pPr>
        <w:pStyle w:val="ListParagraph"/>
        <w:widowControl w:val="0"/>
        <w:jc w:val="both"/>
        <w:rPr>
          <w:rFonts w:ascii="Arial" w:hAnsi="Arial" w:cs="Arial"/>
          <w:sz w:val="22"/>
          <w:szCs w:val="22"/>
          <w:shd w:val="clear" w:color="auto" w:fill="FFFFFF"/>
          <w:lang w:val="en-GB"/>
        </w:rPr>
      </w:pPr>
    </w:p>
    <w:p w14:paraId="6A379BDB" w14:textId="7709C863" w:rsidR="00E941DC" w:rsidRPr="00E941DC" w:rsidRDefault="00E941DC" w:rsidP="00E941DC">
      <w:pPr>
        <w:pStyle w:val="ListParagraph"/>
        <w:widowControl w:val="0"/>
        <w:jc w:val="both"/>
        <w:rPr>
          <w:rFonts w:ascii="Arial" w:hAnsi="Arial" w:cs="Arial"/>
          <w:sz w:val="22"/>
          <w:szCs w:val="22"/>
          <w:shd w:val="clear" w:color="auto" w:fill="FFFFFF"/>
          <w:lang w:val="en-NG"/>
        </w:rPr>
      </w:pPr>
      <w:r>
        <w:rPr>
          <w:rFonts w:ascii="Arial" w:hAnsi="Arial" w:cs="Arial"/>
          <w:sz w:val="22"/>
          <w:szCs w:val="22"/>
          <w:shd w:val="clear" w:color="auto" w:fill="FFFFFF"/>
          <w:lang w:val="en-GB"/>
        </w:rPr>
        <w:t xml:space="preserve">The enforcement issues that arise during insolvency proceedings should be regulated and none or very limited extra territorial effects will be granted to foreign proceedings. However, in situations where a treaty has a solution to the insolvency concern in that jurisdiction, the treaty will need to be ratified before it can apply. In my opinion, the situations that arise from the courts in one jurisdiction requesting that the courts in a different jurisdiction grant enforcement power can be prevented by </w:t>
      </w:r>
      <w:r w:rsidRPr="00E941DC">
        <w:rPr>
          <w:rFonts w:ascii="Arial" w:hAnsi="Arial" w:cs="Arial"/>
          <w:sz w:val="22"/>
          <w:szCs w:val="22"/>
          <w:shd w:val="clear" w:color="auto" w:fill="FFFFFF"/>
          <w:lang w:val="en-NG"/>
        </w:rPr>
        <w:t xml:space="preserve">establishing what he home state of the debtor will be, where the debtor can commence all insolvency proceedings. </w:t>
      </w:r>
    </w:p>
    <w:p w14:paraId="44D8DF5D" w14:textId="7263027D" w:rsidR="00E941DC" w:rsidRDefault="00E941DC" w:rsidP="00E941DC">
      <w:pPr>
        <w:pStyle w:val="ListParagraph"/>
        <w:widowControl w:val="0"/>
        <w:jc w:val="both"/>
        <w:rPr>
          <w:rFonts w:ascii="Arial" w:hAnsi="Arial" w:cs="Arial"/>
          <w:sz w:val="22"/>
          <w:szCs w:val="22"/>
          <w:shd w:val="clear" w:color="auto" w:fill="FFFFFF"/>
          <w:lang w:val="en-GB"/>
        </w:rPr>
      </w:pPr>
    </w:p>
    <w:p w14:paraId="059198FE" w14:textId="77777777" w:rsidR="00E941DC" w:rsidRPr="00E941DC" w:rsidRDefault="00E941DC" w:rsidP="00E941DC">
      <w:pPr>
        <w:pStyle w:val="ListParagraph"/>
        <w:widowControl w:val="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AE7EA78" w14:textId="758B498E" w:rsidR="007D7C92" w:rsidRPr="00E941DC" w:rsidRDefault="007D7C92" w:rsidP="00E941DC">
      <w:pPr>
        <w:jc w:val="both"/>
        <w:rPr>
          <w:rFonts w:ascii="ArialMT" w:hAnsi="ArialMT" w:cs="Times New Roman"/>
          <w:color w:val="000000" w:themeColor="text1"/>
          <w:sz w:val="22"/>
          <w:szCs w:val="22"/>
          <w:lang w:eastAsia="en-GB"/>
        </w:rPr>
      </w:pPr>
    </w:p>
    <w:p w14:paraId="7B91C19F" w14:textId="4AA23463" w:rsidR="00E941DC" w:rsidRDefault="00E941DC" w:rsidP="00E941DC">
      <w:pPr>
        <w:jc w:val="both"/>
        <w:rPr>
          <w:rFonts w:ascii="ArialMT" w:hAnsi="ArialMT" w:cs="Times New Roman"/>
          <w:color w:val="000000" w:themeColor="text1"/>
          <w:sz w:val="22"/>
          <w:szCs w:val="22"/>
          <w:lang w:eastAsia="en-GB"/>
        </w:rPr>
      </w:pPr>
      <w:r>
        <w:rPr>
          <w:rFonts w:ascii="ArialMT" w:hAnsi="ArialMT" w:cs="Times New Roman"/>
          <w:color w:val="000000" w:themeColor="text1"/>
          <w:sz w:val="22"/>
          <w:szCs w:val="22"/>
          <w:lang w:eastAsia="en-GB"/>
        </w:rPr>
        <w:t xml:space="preserve">In </w:t>
      </w:r>
      <w:r w:rsidRPr="00E941DC">
        <w:rPr>
          <w:rFonts w:ascii="ArialMT" w:hAnsi="ArialMT" w:cs="Times New Roman"/>
          <w:b/>
          <w:bCs/>
          <w:color w:val="000000" w:themeColor="text1"/>
          <w:sz w:val="22"/>
          <w:szCs w:val="22"/>
          <w:lang w:eastAsia="en-GB"/>
        </w:rPr>
        <w:t>Maxwell communication Corporation Plc</w:t>
      </w:r>
      <w:r>
        <w:rPr>
          <w:rFonts w:ascii="ArialMT" w:hAnsi="ArialMT" w:cs="Times New Roman"/>
          <w:color w:val="000000" w:themeColor="text1"/>
          <w:sz w:val="22"/>
          <w:szCs w:val="22"/>
          <w:lang w:eastAsia="en-GB"/>
        </w:rPr>
        <w:t xml:space="preserve">, two primary insolvency proceedings were commenced by a debtor, one in the United States and the other in the United Kingdom </w:t>
      </w:r>
      <w:proofErr w:type="gramStart"/>
      <w:r>
        <w:rPr>
          <w:rFonts w:ascii="ArialMT" w:hAnsi="ArialMT" w:cs="Times New Roman"/>
          <w:color w:val="000000" w:themeColor="text1"/>
          <w:sz w:val="22"/>
          <w:szCs w:val="22"/>
          <w:lang w:eastAsia="en-GB"/>
        </w:rPr>
        <w:t>and also</w:t>
      </w:r>
      <w:proofErr w:type="gramEnd"/>
      <w:r>
        <w:rPr>
          <w:rFonts w:ascii="ArialMT" w:hAnsi="ArialMT" w:cs="Times New Roman"/>
          <w:color w:val="000000" w:themeColor="text1"/>
          <w:sz w:val="22"/>
          <w:szCs w:val="22"/>
          <w:lang w:eastAsia="en-GB"/>
        </w:rPr>
        <w:t xml:space="preserve"> the appointment of two separate insolvency proceedings in two states and each had similar responsibility. The judges in the US and the UK alongside their counsels raised the idea that an insolvency agreement between the two administrations could resolve conflicts and facilitate the exchange of information.</w:t>
      </w:r>
    </w:p>
    <w:p w14:paraId="4FE25AD8" w14:textId="39C3E4C4" w:rsidR="00E941DC" w:rsidRDefault="00E941DC" w:rsidP="00E941DC">
      <w:pPr>
        <w:jc w:val="both"/>
        <w:rPr>
          <w:rFonts w:ascii="ArialMT" w:hAnsi="ArialMT" w:cs="Times New Roman"/>
          <w:color w:val="000000" w:themeColor="text1"/>
          <w:sz w:val="22"/>
          <w:szCs w:val="22"/>
          <w:lang w:eastAsia="en-GB"/>
        </w:rPr>
      </w:pPr>
    </w:p>
    <w:p w14:paraId="2B2BF3F1" w14:textId="26A4BD9D" w:rsidR="00E941DC" w:rsidRDefault="00E941DC" w:rsidP="00E941DC">
      <w:pPr>
        <w:jc w:val="both"/>
        <w:rPr>
          <w:rFonts w:ascii="ArialMT" w:hAnsi="ArialMT" w:cs="Times New Roman"/>
          <w:color w:val="000000" w:themeColor="text1"/>
          <w:sz w:val="22"/>
          <w:szCs w:val="22"/>
          <w:lang w:eastAsia="en-GB"/>
        </w:rPr>
      </w:pPr>
      <w:r>
        <w:rPr>
          <w:rFonts w:ascii="ArialMT" w:hAnsi="ArialMT" w:cs="Times New Roman"/>
          <w:color w:val="000000" w:themeColor="text1"/>
          <w:sz w:val="22"/>
          <w:szCs w:val="22"/>
          <w:lang w:eastAsia="en-GB"/>
        </w:rPr>
        <w:t>Two goals were then established to guide the insolvency representatives. The first goal is the maximization of the value of the estate and harmonizing the proceedings to minimize expense, waste, and jurisdictional conflict. The US court agreed to defer to the English court once certain criteria were determined to be present.</w:t>
      </w:r>
    </w:p>
    <w:p w14:paraId="5C5231E0" w14:textId="5850428E" w:rsidR="00E941DC" w:rsidRDefault="00E941DC" w:rsidP="00E941DC">
      <w:pPr>
        <w:jc w:val="both"/>
        <w:rPr>
          <w:rFonts w:ascii="ArialMT" w:hAnsi="ArialMT" w:cs="Times New Roman"/>
          <w:color w:val="000000" w:themeColor="text1"/>
          <w:sz w:val="22"/>
          <w:szCs w:val="22"/>
          <w:lang w:eastAsia="en-GB"/>
        </w:rPr>
      </w:pPr>
    </w:p>
    <w:p w14:paraId="1A1615CF" w14:textId="11D1746D" w:rsidR="00E941DC" w:rsidRDefault="00E941DC" w:rsidP="00E941DC">
      <w:pPr>
        <w:jc w:val="both"/>
        <w:rPr>
          <w:rFonts w:ascii="ArialMT" w:hAnsi="ArialMT" w:cs="Times New Roman"/>
          <w:color w:val="000000" w:themeColor="text1"/>
          <w:sz w:val="22"/>
          <w:szCs w:val="22"/>
          <w:lang w:eastAsia="en-GB"/>
        </w:rPr>
      </w:pPr>
      <w:r>
        <w:rPr>
          <w:rFonts w:ascii="ArialMT" w:hAnsi="ArialMT" w:cs="Times New Roman"/>
          <w:color w:val="000000" w:themeColor="text1"/>
          <w:sz w:val="22"/>
          <w:szCs w:val="22"/>
          <w:lang w:eastAsia="en-GB"/>
        </w:rPr>
        <w:t xml:space="preserve">The plan was that the existing management in the insolvent corporation would be retained to preserve the debtors going concern value and continue the business as a going concern, but the English representatives would have the right to select new and independent directors. The English representatives should seek the consent of the US insolvency representative or the insolvency court before incurring a debt or filing for a reorganization and the English representative should also give prior notice to the United States Insolvency representative before undertaking any major transaction on behalf of the debtor when they were pre-authorized to undertake lesser transactions. </w:t>
      </w:r>
    </w:p>
    <w:p w14:paraId="2B6C3159" w14:textId="70ADDC33" w:rsidR="00E941DC" w:rsidRDefault="00E941DC" w:rsidP="00E941DC">
      <w:pPr>
        <w:jc w:val="both"/>
        <w:rPr>
          <w:rFonts w:ascii="ArialMT" w:hAnsi="ArialMT" w:cs="Times New Roman"/>
          <w:color w:val="000000" w:themeColor="text1"/>
          <w:sz w:val="22"/>
          <w:szCs w:val="22"/>
          <w:lang w:eastAsia="en-GB"/>
        </w:rPr>
      </w:pPr>
    </w:p>
    <w:p w14:paraId="58E58B8F" w14:textId="46E5D4B0" w:rsidR="00E941DC" w:rsidRPr="00E941DC" w:rsidRDefault="00E941DC" w:rsidP="00E941DC">
      <w:pPr>
        <w:jc w:val="both"/>
        <w:rPr>
          <w:rFonts w:ascii="Arial" w:hAnsi="Arial" w:cs="Arial"/>
          <w:color w:val="000000" w:themeColor="text1"/>
          <w:sz w:val="22"/>
          <w:szCs w:val="22"/>
        </w:rPr>
      </w:pPr>
      <w:r>
        <w:rPr>
          <w:rFonts w:ascii="ArialMT" w:hAnsi="ArialMT" w:cs="Times New Roman"/>
          <w:color w:val="000000" w:themeColor="text1"/>
          <w:sz w:val="22"/>
          <w:szCs w:val="22"/>
          <w:lang w:eastAsia="en-GB"/>
        </w:rPr>
        <w:t xml:space="preserve">There were also other issues which were left out of the agreement to be discussed </w:t>
      </w:r>
      <w:proofErr w:type="gramStart"/>
      <w:r>
        <w:rPr>
          <w:rFonts w:ascii="ArialMT" w:hAnsi="ArialMT" w:cs="Times New Roman"/>
          <w:color w:val="000000" w:themeColor="text1"/>
          <w:sz w:val="22"/>
          <w:szCs w:val="22"/>
          <w:lang w:eastAsia="en-GB"/>
        </w:rPr>
        <w:t>in the course of</w:t>
      </w:r>
      <w:proofErr w:type="gramEnd"/>
      <w:r>
        <w:rPr>
          <w:rFonts w:ascii="ArialMT" w:hAnsi="ArialMT" w:cs="Times New Roman"/>
          <w:color w:val="000000" w:themeColor="text1"/>
          <w:sz w:val="22"/>
          <w:szCs w:val="22"/>
          <w:lang w:eastAsia="en-GB"/>
        </w:rPr>
        <w:t xml:space="preserve"> the proceedings. These issues such as distribution matters were included in a subsequent agreement called the extension agreement. </w:t>
      </w:r>
    </w:p>
    <w:p w14:paraId="62816FF1" w14:textId="77777777" w:rsidR="00275182" w:rsidRPr="00E941DC" w:rsidRDefault="00275182" w:rsidP="00B7193E">
      <w:pPr>
        <w:jc w:val="both"/>
        <w:rPr>
          <w:rFonts w:ascii="Arial" w:hAnsi="Arial" w:cs="Arial"/>
          <w:bCs/>
          <w:color w:val="000000" w:themeColor="text1"/>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5127F253" w14:textId="77777777" w:rsidR="00E941DC" w:rsidRDefault="00E941DC" w:rsidP="006D564C">
      <w:pPr>
        <w:jc w:val="both"/>
        <w:rPr>
          <w:rFonts w:ascii="Arial" w:hAnsi="Arial" w:cs="Arial"/>
          <w:b/>
          <w:bCs/>
          <w:sz w:val="22"/>
          <w:szCs w:val="22"/>
          <w:lang w:val="en-GB"/>
        </w:rPr>
      </w:pPr>
      <w:bookmarkStart w:id="2" w:name="_Hlk17745211"/>
    </w:p>
    <w:p w14:paraId="3EEBCF39" w14:textId="3DE1FCFA" w:rsidR="002F75A3" w:rsidRPr="00205B31" w:rsidRDefault="009B0723" w:rsidP="006D564C">
      <w:pPr>
        <w:jc w:val="both"/>
        <w:rPr>
          <w:rFonts w:ascii="Arial" w:hAnsi="Arial" w:cs="Arial"/>
          <w:sz w:val="22"/>
          <w:szCs w:val="22"/>
          <w:lang w:val="en-GB"/>
        </w:rPr>
      </w:pPr>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4E267144" w14:textId="5B32D397" w:rsidR="00E941DC" w:rsidRPr="00E941DC" w:rsidRDefault="00E941DC" w:rsidP="00E941DC">
      <w:pPr>
        <w:jc w:val="both"/>
        <w:rPr>
          <w:rFonts w:ascii="Arial" w:hAnsi="Arial" w:cs="Arial"/>
          <w:b/>
          <w:bCs/>
          <w:color w:val="000000" w:themeColor="text1"/>
          <w:sz w:val="22"/>
          <w:szCs w:val="22"/>
          <w:u w:val="single"/>
          <w:lang w:val="en-GB"/>
        </w:rPr>
      </w:pPr>
      <w:r w:rsidRPr="00E941DC">
        <w:rPr>
          <w:rFonts w:ascii="Arial" w:hAnsi="Arial" w:cs="Arial"/>
          <w:b/>
          <w:bCs/>
          <w:color w:val="000000" w:themeColor="text1"/>
          <w:sz w:val="22"/>
          <w:szCs w:val="22"/>
          <w:u w:val="single"/>
          <w:lang w:val="en-GB"/>
        </w:rPr>
        <w:t>Issue</w:t>
      </w:r>
    </w:p>
    <w:p w14:paraId="7F9D1F07" w14:textId="520E6077" w:rsidR="00E941DC" w:rsidRP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Whether </w:t>
      </w:r>
      <w:proofErr w:type="spellStart"/>
      <w:r w:rsidRPr="00E941DC">
        <w:rPr>
          <w:rFonts w:ascii="Arial" w:hAnsi="Arial" w:cs="Arial"/>
          <w:color w:val="000000" w:themeColor="text1"/>
          <w:sz w:val="22"/>
          <w:szCs w:val="22"/>
          <w:lang w:val="en-GB"/>
        </w:rPr>
        <w:t>Fernz</w:t>
      </w:r>
      <w:proofErr w:type="spellEnd"/>
      <w:r w:rsidRPr="00E941DC">
        <w:rPr>
          <w:rFonts w:ascii="Arial" w:hAnsi="Arial" w:cs="Arial"/>
          <w:color w:val="000000" w:themeColor="text1"/>
          <w:sz w:val="22"/>
          <w:szCs w:val="22"/>
          <w:lang w:val="en-GB"/>
        </w:rPr>
        <w:t xml:space="preserve"> can also open proceedings in another country in Europe which was a member of the European union</w:t>
      </w:r>
    </w:p>
    <w:p w14:paraId="0C9783AF" w14:textId="2BA38ADF" w:rsidR="00E941DC" w:rsidRPr="00E941DC" w:rsidRDefault="00E941DC" w:rsidP="00B7193E">
      <w:pPr>
        <w:jc w:val="both"/>
        <w:rPr>
          <w:rFonts w:ascii="Arial" w:hAnsi="Arial" w:cs="Arial"/>
          <w:color w:val="000000" w:themeColor="text1"/>
          <w:sz w:val="22"/>
          <w:szCs w:val="22"/>
          <w:lang w:val="en-GB"/>
        </w:rPr>
      </w:pPr>
    </w:p>
    <w:p w14:paraId="3C134CA0" w14:textId="0136CB93" w:rsidR="00E941DC" w:rsidRPr="00E941DC" w:rsidRDefault="00E941DC" w:rsidP="00B7193E">
      <w:pPr>
        <w:jc w:val="both"/>
        <w:rPr>
          <w:rFonts w:ascii="Arial" w:hAnsi="Arial" w:cs="Arial"/>
          <w:b/>
          <w:bCs/>
          <w:color w:val="000000" w:themeColor="text1"/>
          <w:sz w:val="22"/>
          <w:szCs w:val="22"/>
          <w:u w:val="single"/>
          <w:lang w:val="en-GB"/>
        </w:rPr>
      </w:pPr>
      <w:r w:rsidRPr="00E941DC">
        <w:rPr>
          <w:rFonts w:ascii="Arial" w:hAnsi="Arial" w:cs="Arial"/>
          <w:b/>
          <w:bCs/>
          <w:color w:val="000000" w:themeColor="text1"/>
          <w:sz w:val="22"/>
          <w:szCs w:val="22"/>
          <w:u w:val="single"/>
          <w:lang w:val="en-GB"/>
        </w:rPr>
        <w:t>Rule</w:t>
      </w:r>
    </w:p>
    <w:p w14:paraId="2E2C7D7A" w14:textId="38F45B37" w:rsid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The UK ceased to be a member of the EU on 31</w:t>
      </w:r>
      <w:r w:rsidRPr="00E941DC">
        <w:rPr>
          <w:rFonts w:ascii="Arial" w:hAnsi="Arial" w:cs="Arial"/>
          <w:color w:val="000000" w:themeColor="text1"/>
          <w:sz w:val="22"/>
          <w:szCs w:val="22"/>
          <w:vertAlign w:val="superscript"/>
          <w:lang w:val="en-GB"/>
        </w:rPr>
        <w:t>st</w:t>
      </w:r>
      <w:r w:rsidRPr="00E941DC">
        <w:rPr>
          <w:rFonts w:ascii="Arial" w:hAnsi="Arial" w:cs="Arial"/>
          <w:color w:val="000000" w:themeColor="text1"/>
          <w:sz w:val="22"/>
          <w:szCs w:val="22"/>
          <w:lang w:val="en-GB"/>
        </w:rPr>
        <w:t xml:space="preserve"> January 2020. The recast insolvency regulation applies to insolvencies which were commenced before the expiration of the transitionary period of December 31, 2020.</w:t>
      </w:r>
    </w:p>
    <w:p w14:paraId="115C0C99" w14:textId="77777777" w:rsidR="00E941DC" w:rsidRPr="00E941DC" w:rsidRDefault="00E941DC" w:rsidP="00B7193E">
      <w:pPr>
        <w:jc w:val="both"/>
        <w:rPr>
          <w:rFonts w:ascii="Arial" w:hAnsi="Arial" w:cs="Arial"/>
          <w:color w:val="000000" w:themeColor="text1"/>
          <w:sz w:val="22"/>
          <w:szCs w:val="22"/>
          <w:lang w:val="en-GB"/>
        </w:rPr>
      </w:pPr>
    </w:p>
    <w:p w14:paraId="3422DFE6" w14:textId="77777777" w:rsidR="00E941DC" w:rsidRPr="00E941DC" w:rsidRDefault="00E941DC" w:rsidP="00E941DC">
      <w:pPr>
        <w:autoSpaceDE w:val="0"/>
        <w:autoSpaceDN w:val="0"/>
        <w:adjustRightInd w:val="0"/>
        <w:spacing w:line="276" w:lineRule="auto"/>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The European Insolvency Regulation (Recast) Articles 7-18: The Law in the “state of the opening of proceedings” that are applicable to insolvency proceedings and their effects is the law which determines “the conditions for the opening of those proceedings, their conduct and their closure.” However, this is subject to provisions dealing with rights in rem, et off, immovable property, employment, and detrimental acts. </w:t>
      </w:r>
    </w:p>
    <w:p w14:paraId="61D3B026" w14:textId="11199EB7" w:rsidR="00E941DC" w:rsidRPr="00E941DC" w:rsidRDefault="00E941DC" w:rsidP="00B7193E">
      <w:pPr>
        <w:jc w:val="both"/>
        <w:rPr>
          <w:rFonts w:ascii="Arial" w:hAnsi="Arial" w:cs="Arial"/>
          <w:color w:val="000000" w:themeColor="text1"/>
          <w:sz w:val="22"/>
          <w:szCs w:val="22"/>
          <w:lang w:val="en-GB"/>
        </w:rPr>
      </w:pPr>
    </w:p>
    <w:p w14:paraId="1EEA7E17" w14:textId="3DA59426" w:rsidR="00E941DC" w:rsidRPr="00E941DC" w:rsidRDefault="00E941DC" w:rsidP="00B7193E">
      <w:pPr>
        <w:jc w:val="both"/>
        <w:rPr>
          <w:rFonts w:ascii="Arial" w:hAnsi="Arial" w:cs="Arial"/>
          <w:b/>
          <w:bCs/>
          <w:color w:val="000000" w:themeColor="text1"/>
          <w:sz w:val="22"/>
          <w:szCs w:val="22"/>
          <w:u w:val="single"/>
          <w:lang w:val="en-GB"/>
        </w:rPr>
      </w:pPr>
      <w:r w:rsidRPr="00E941DC">
        <w:rPr>
          <w:rFonts w:ascii="Arial" w:hAnsi="Arial" w:cs="Arial"/>
          <w:b/>
          <w:bCs/>
          <w:color w:val="000000" w:themeColor="text1"/>
          <w:sz w:val="22"/>
          <w:szCs w:val="22"/>
          <w:u w:val="single"/>
          <w:lang w:val="en-GB"/>
        </w:rPr>
        <w:t>Application</w:t>
      </w:r>
    </w:p>
    <w:p w14:paraId="14313ECA" w14:textId="40427BB6" w:rsidR="00E941DC" w:rsidRPr="00E941DC" w:rsidRDefault="00E941DC" w:rsidP="00B7193E">
      <w:pPr>
        <w:jc w:val="both"/>
        <w:rPr>
          <w:rFonts w:ascii="Arial" w:hAnsi="Arial" w:cs="Arial"/>
          <w:color w:val="000000" w:themeColor="text1"/>
          <w:sz w:val="22"/>
          <w:szCs w:val="22"/>
          <w:lang w:val="en-GB"/>
        </w:rPr>
      </w:pPr>
    </w:p>
    <w:p w14:paraId="5190D506" w14:textId="0F86EC7A" w:rsidR="00E941DC" w:rsidRP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From the scenario, the proceedings were to be commenced on 19</w:t>
      </w:r>
      <w:r w:rsidRPr="00E941DC">
        <w:rPr>
          <w:rFonts w:ascii="Arial" w:hAnsi="Arial" w:cs="Arial"/>
          <w:color w:val="000000" w:themeColor="text1"/>
          <w:sz w:val="22"/>
          <w:szCs w:val="22"/>
          <w:vertAlign w:val="superscript"/>
          <w:lang w:val="en-GB"/>
        </w:rPr>
        <w:t>th</w:t>
      </w:r>
      <w:r w:rsidRPr="00E941DC">
        <w:rPr>
          <w:rFonts w:ascii="Arial" w:hAnsi="Arial" w:cs="Arial"/>
          <w:color w:val="000000" w:themeColor="text1"/>
          <w:sz w:val="22"/>
          <w:szCs w:val="22"/>
          <w:lang w:val="en-GB"/>
        </w:rPr>
        <w:t xml:space="preserve"> July 2020, in other words the European Insolvency Regulation Recast would apply</w:t>
      </w:r>
      <w:r>
        <w:rPr>
          <w:rFonts w:ascii="Arial" w:hAnsi="Arial" w:cs="Arial"/>
          <w:color w:val="000000" w:themeColor="text1"/>
          <w:sz w:val="22"/>
          <w:szCs w:val="22"/>
          <w:lang w:val="en-GB"/>
        </w:rPr>
        <w:t xml:space="preserve"> as it was commenced before the expiration of the transitionary period of December 31, 2020</w:t>
      </w:r>
    </w:p>
    <w:p w14:paraId="3BABE5F1" w14:textId="4CA124B8" w:rsidR="00E941DC" w:rsidRPr="00E941DC" w:rsidRDefault="00E941DC" w:rsidP="00B7193E">
      <w:pPr>
        <w:jc w:val="both"/>
        <w:rPr>
          <w:rFonts w:ascii="Arial" w:hAnsi="Arial" w:cs="Arial"/>
          <w:color w:val="000000" w:themeColor="text1"/>
          <w:sz w:val="22"/>
          <w:szCs w:val="22"/>
          <w:lang w:val="en-GB"/>
        </w:rPr>
      </w:pPr>
    </w:p>
    <w:p w14:paraId="5D0A7C56" w14:textId="0AEF1D4E" w:rsid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 xml:space="preserve">Generally, the </w:t>
      </w:r>
      <w:r>
        <w:rPr>
          <w:rFonts w:ascii="Arial" w:hAnsi="Arial" w:cs="Arial"/>
          <w:color w:val="000000" w:themeColor="text1"/>
          <w:sz w:val="22"/>
          <w:szCs w:val="22"/>
          <w:lang w:val="en-GB"/>
        </w:rPr>
        <w:t>EIR allocates jurisdictional competence to courts of a member state within which is situated the “Centre of the debtors’ main interests”. While the EIR allocates jurisdiction based on the COMI, it makes provisions for subsidiary territorial proceedings in other member states. These are permitted where the debtor has an “establishment” An establishment has been defined as “any place of operations where the debtor carries out a non-transitionary economic activity with human means and assets”</w:t>
      </w:r>
    </w:p>
    <w:p w14:paraId="1244005F" w14:textId="5FA826CF" w:rsidR="00E941DC" w:rsidRPr="00E941DC" w:rsidRDefault="00E941DC" w:rsidP="00B719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These subsidiary proceedings can either be independent proceedings or opened subsequently. </w:t>
      </w:r>
    </w:p>
    <w:p w14:paraId="317DD6E7" w14:textId="50E5AA7D" w:rsidR="00126A4D" w:rsidRDefault="00126A4D" w:rsidP="00B7193E">
      <w:pPr>
        <w:jc w:val="both"/>
        <w:rPr>
          <w:rFonts w:ascii="Arial" w:hAnsi="Arial" w:cs="Arial"/>
          <w:sz w:val="22"/>
          <w:szCs w:val="22"/>
          <w:lang w:val="en-GB"/>
        </w:rPr>
      </w:pPr>
    </w:p>
    <w:p w14:paraId="23C6E7A9" w14:textId="77777777" w:rsidR="00E941DC" w:rsidRDefault="00E941DC" w:rsidP="00B7193E">
      <w:pPr>
        <w:jc w:val="both"/>
        <w:rPr>
          <w:rFonts w:ascii="Arial" w:hAnsi="Arial" w:cs="Arial"/>
          <w:sz w:val="22"/>
          <w:szCs w:val="22"/>
          <w:lang w:val="en-GB"/>
        </w:rPr>
      </w:pPr>
      <w:r>
        <w:rPr>
          <w:rFonts w:ascii="Arial" w:hAnsi="Arial" w:cs="Arial"/>
          <w:sz w:val="22"/>
          <w:szCs w:val="22"/>
          <w:lang w:val="en-GB"/>
        </w:rPr>
        <w:t xml:space="preserve">The additional information which will be required to answer this question is whether Rydell has an establishment in that country in Europe and what country is that. </w:t>
      </w:r>
    </w:p>
    <w:p w14:paraId="68420B08" w14:textId="77777777" w:rsidR="00E941DC" w:rsidRDefault="00E941DC" w:rsidP="00B7193E">
      <w:pPr>
        <w:jc w:val="both"/>
        <w:rPr>
          <w:rFonts w:ascii="Arial" w:hAnsi="Arial" w:cs="Arial"/>
          <w:sz w:val="22"/>
          <w:szCs w:val="22"/>
          <w:lang w:val="en-GB"/>
        </w:rPr>
      </w:pPr>
    </w:p>
    <w:p w14:paraId="7AB04B96" w14:textId="77777777" w:rsidR="00E941DC" w:rsidRPr="00E941DC" w:rsidRDefault="00E941DC" w:rsidP="00B7193E">
      <w:pPr>
        <w:jc w:val="both"/>
        <w:rPr>
          <w:rFonts w:ascii="Arial" w:hAnsi="Arial" w:cs="Arial"/>
          <w:b/>
          <w:bCs/>
          <w:sz w:val="22"/>
          <w:szCs w:val="22"/>
          <w:u w:val="single"/>
          <w:lang w:val="en-GB"/>
        </w:rPr>
      </w:pPr>
      <w:r w:rsidRPr="00E941DC">
        <w:rPr>
          <w:rFonts w:ascii="Arial" w:hAnsi="Arial" w:cs="Arial"/>
          <w:b/>
          <w:bCs/>
          <w:sz w:val="22"/>
          <w:szCs w:val="22"/>
          <w:u w:val="single"/>
          <w:lang w:val="en-GB"/>
        </w:rPr>
        <w:t>Conclusion</w:t>
      </w:r>
    </w:p>
    <w:p w14:paraId="15CA6EB4" w14:textId="1184ED59" w:rsidR="00E941DC" w:rsidRPr="00205B31" w:rsidRDefault="00E941DC" w:rsidP="00B7193E">
      <w:pPr>
        <w:jc w:val="both"/>
        <w:rPr>
          <w:rFonts w:ascii="Arial" w:hAnsi="Arial" w:cs="Arial"/>
          <w:sz w:val="22"/>
          <w:szCs w:val="22"/>
          <w:lang w:val="en-GB"/>
        </w:rPr>
      </w:pPr>
      <w:r>
        <w:rPr>
          <w:rFonts w:ascii="Arial" w:hAnsi="Arial" w:cs="Arial"/>
          <w:sz w:val="22"/>
          <w:szCs w:val="22"/>
          <w:lang w:val="en-GB"/>
        </w:rPr>
        <w:t xml:space="preserve">If this is answered in the </w:t>
      </w:r>
      <w:proofErr w:type="gramStart"/>
      <w:r>
        <w:rPr>
          <w:rFonts w:ascii="Arial" w:hAnsi="Arial" w:cs="Arial"/>
          <w:sz w:val="22"/>
          <w:szCs w:val="22"/>
          <w:lang w:val="en-GB"/>
        </w:rPr>
        <w:t>affirmative</w:t>
      </w:r>
      <w:proofErr w:type="gramEnd"/>
      <w:r>
        <w:rPr>
          <w:rFonts w:ascii="Arial" w:hAnsi="Arial" w:cs="Arial"/>
          <w:sz w:val="22"/>
          <w:szCs w:val="22"/>
          <w:lang w:val="en-GB"/>
        </w:rPr>
        <w:t xml:space="preserve"> then the subsequent proceedings can be commenced but if this is answered in the negative then it cannot be commenced as the debtor is required to have an establishment located at that country where subsequent proceedings are about to be commenced.</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537395AD" w:rsidR="00275182" w:rsidRPr="00E941DC" w:rsidRDefault="00E941DC" w:rsidP="00B7193E">
      <w:p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If the proceedings were opened on 18</w:t>
      </w:r>
      <w:r w:rsidRPr="00E941DC">
        <w:rPr>
          <w:rFonts w:ascii="Arial" w:hAnsi="Arial" w:cs="Arial"/>
          <w:color w:val="000000" w:themeColor="text1"/>
          <w:sz w:val="22"/>
          <w:szCs w:val="22"/>
          <w:vertAlign w:val="superscript"/>
          <w:lang w:val="en-GB"/>
        </w:rPr>
        <w:t>th</w:t>
      </w:r>
      <w:r w:rsidRPr="00E941DC">
        <w:rPr>
          <w:rFonts w:ascii="Arial" w:hAnsi="Arial" w:cs="Arial"/>
          <w:color w:val="000000" w:themeColor="text1"/>
          <w:sz w:val="22"/>
          <w:szCs w:val="22"/>
          <w:lang w:val="en-GB"/>
        </w:rPr>
        <w:t xml:space="preserve"> June 2021, it will be commenced after the expiration of the transitionary period of December 31, </w:t>
      </w:r>
      <w:proofErr w:type="gramStart"/>
      <w:r w:rsidRPr="00E941DC">
        <w:rPr>
          <w:rFonts w:ascii="Arial" w:hAnsi="Arial" w:cs="Arial"/>
          <w:color w:val="000000" w:themeColor="text1"/>
          <w:sz w:val="22"/>
          <w:szCs w:val="22"/>
          <w:lang w:val="en-GB"/>
        </w:rPr>
        <w:t>2020</w:t>
      </w:r>
      <w:proofErr w:type="gramEnd"/>
      <w:r w:rsidRPr="00E941DC">
        <w:rPr>
          <w:rFonts w:ascii="Arial" w:hAnsi="Arial" w:cs="Arial"/>
          <w:color w:val="000000" w:themeColor="text1"/>
          <w:sz w:val="22"/>
          <w:szCs w:val="22"/>
          <w:lang w:val="en-GB"/>
        </w:rPr>
        <w:t xml:space="preserve"> as such the European Insolvency Regulation recast would not apply. </w:t>
      </w:r>
      <w:r>
        <w:rPr>
          <w:rFonts w:ascii="Arial" w:hAnsi="Arial" w:cs="Arial"/>
          <w:color w:val="000000" w:themeColor="text1"/>
          <w:sz w:val="22"/>
          <w:szCs w:val="22"/>
          <w:lang w:val="en-GB"/>
        </w:rPr>
        <w:t xml:space="preserve">Because it does not apply no other information is relevant or required.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lastRenderedPageBreak/>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4A395E8B" w:rsidR="0077498C" w:rsidRDefault="00E941DC" w:rsidP="00B719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UK domestic laws that would be relevant to consider whether the minor can commence those proceedings are:</w:t>
      </w:r>
    </w:p>
    <w:p w14:paraId="15ECCD98" w14:textId="77777777" w:rsidR="00E941DC" w:rsidRDefault="00E941DC" w:rsidP="00B7193E">
      <w:pPr>
        <w:jc w:val="both"/>
        <w:rPr>
          <w:rFonts w:ascii="Arial" w:hAnsi="Arial" w:cs="Arial"/>
          <w:color w:val="000000" w:themeColor="text1"/>
          <w:sz w:val="22"/>
          <w:szCs w:val="22"/>
          <w:lang w:val="en-GB"/>
        </w:rPr>
      </w:pPr>
    </w:p>
    <w:p w14:paraId="3838A183" w14:textId="1EC48A4D" w:rsidR="00E941DC" w:rsidRDefault="00E941DC" w:rsidP="00E941DC">
      <w:pPr>
        <w:pStyle w:val="ListParagraph"/>
        <w:numPr>
          <w:ilvl w:val="0"/>
          <w:numId w:val="27"/>
        </w:numPr>
        <w:jc w:val="both"/>
        <w:rPr>
          <w:rFonts w:ascii="Arial" w:hAnsi="Arial" w:cs="Arial"/>
          <w:color w:val="000000" w:themeColor="text1"/>
          <w:sz w:val="22"/>
          <w:szCs w:val="22"/>
          <w:lang w:val="en-GB"/>
        </w:rPr>
      </w:pPr>
      <w:r w:rsidRPr="00E941DC">
        <w:rPr>
          <w:rFonts w:ascii="Arial" w:hAnsi="Arial" w:cs="Arial"/>
          <w:color w:val="000000" w:themeColor="text1"/>
          <w:sz w:val="22"/>
          <w:szCs w:val="22"/>
          <w:lang w:val="en-GB"/>
        </w:rPr>
        <w:t>UNCITRAL Model law on cross border insolvency</w:t>
      </w:r>
      <w:r>
        <w:rPr>
          <w:rFonts w:ascii="Arial" w:hAnsi="Arial" w:cs="Arial"/>
          <w:color w:val="000000" w:themeColor="text1"/>
          <w:sz w:val="22"/>
          <w:szCs w:val="22"/>
          <w:lang w:val="en-GB"/>
        </w:rPr>
        <w:t>.</w:t>
      </w:r>
    </w:p>
    <w:p w14:paraId="74FA7BC5" w14:textId="5106215F" w:rsidR="00E941DC" w:rsidRDefault="00E941DC" w:rsidP="00E941DC">
      <w:pPr>
        <w:pStyle w:val="ListParagraph"/>
        <w:numPr>
          <w:ilvl w:val="0"/>
          <w:numId w:val="2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UNCITRAL Legislative Guide on Insolvency Law</w:t>
      </w:r>
    </w:p>
    <w:p w14:paraId="10108BBA" w14:textId="0CBF3798" w:rsidR="00E941DC" w:rsidRPr="00E941DC" w:rsidRDefault="00E941DC" w:rsidP="00E941DC">
      <w:pPr>
        <w:pStyle w:val="ListParagraph"/>
        <w:numPr>
          <w:ilvl w:val="0"/>
          <w:numId w:val="27"/>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Insolvency Act of 1986</w:t>
      </w:r>
    </w:p>
    <w:p w14:paraId="03C54B62" w14:textId="77777777" w:rsidR="00E941DC" w:rsidRPr="00205B31" w:rsidRDefault="00E941D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7786" w14:textId="77777777" w:rsidR="00C110C3" w:rsidRDefault="00C110C3" w:rsidP="00241B44">
      <w:r>
        <w:separator/>
      </w:r>
    </w:p>
  </w:endnote>
  <w:endnote w:type="continuationSeparator" w:id="0">
    <w:p w14:paraId="7D1E340B" w14:textId="77777777" w:rsidR="00C110C3" w:rsidRDefault="00C110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ꘓތ"/>
    <w:panose1 w:val="020B0503020202020204"/>
    <w:charset w:val="00"/>
    <w:family w:val="swiss"/>
    <w:pitch w:val="variable"/>
    <w:sig w:usb0="8000002F" w:usb1="5000204A" w:usb2="00000000" w:usb3="00000000" w:csb0="0000009B"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9F7F" w14:textId="77777777" w:rsidR="00C110C3" w:rsidRDefault="00C110C3" w:rsidP="00241B44">
      <w:r>
        <w:separator/>
      </w:r>
    </w:p>
  </w:footnote>
  <w:footnote w:type="continuationSeparator" w:id="0">
    <w:p w14:paraId="5C88FA8D" w14:textId="77777777" w:rsidR="00C110C3" w:rsidRDefault="00C110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39B2B53"/>
    <w:multiLevelType w:val="hybridMultilevel"/>
    <w:tmpl w:val="D1B0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E4661D2"/>
    <w:multiLevelType w:val="hybridMultilevel"/>
    <w:tmpl w:val="D1B24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325128"/>
    <w:multiLevelType w:val="hybridMultilevel"/>
    <w:tmpl w:val="458E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A6D20"/>
    <w:multiLevelType w:val="hybridMultilevel"/>
    <w:tmpl w:val="5DEE0406"/>
    <w:lvl w:ilvl="0" w:tplc="C196227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356B9"/>
    <w:multiLevelType w:val="hybridMultilevel"/>
    <w:tmpl w:val="5FB87B44"/>
    <w:lvl w:ilvl="0" w:tplc="187EE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9B3CBE"/>
    <w:multiLevelType w:val="multilevel"/>
    <w:tmpl w:val="306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8" w15:restartNumberingAfterBreak="0">
    <w:nsid w:val="50E17E59"/>
    <w:multiLevelType w:val="multilevel"/>
    <w:tmpl w:val="0632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B695D"/>
    <w:multiLevelType w:val="hybridMultilevel"/>
    <w:tmpl w:val="7120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9569AA"/>
    <w:multiLevelType w:val="multilevel"/>
    <w:tmpl w:val="C32C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6CC46C32"/>
    <w:multiLevelType w:val="multilevel"/>
    <w:tmpl w:val="EF6A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E5C5E"/>
    <w:multiLevelType w:val="multilevel"/>
    <w:tmpl w:val="BA54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D416A"/>
    <w:multiLevelType w:val="hybridMultilevel"/>
    <w:tmpl w:val="3A10EEEC"/>
    <w:lvl w:ilvl="0" w:tplc="4F9A2CA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6"/>
  </w:num>
  <w:num w:numId="4">
    <w:abstractNumId w:val="4"/>
  </w:num>
  <w:num w:numId="5">
    <w:abstractNumId w:val="2"/>
  </w:num>
  <w:num w:numId="6">
    <w:abstractNumId w:val="22"/>
  </w:num>
  <w:num w:numId="7">
    <w:abstractNumId w:val="3"/>
  </w:num>
  <w:num w:numId="8">
    <w:abstractNumId w:val="1"/>
  </w:num>
  <w:num w:numId="9">
    <w:abstractNumId w:val="0"/>
  </w:num>
  <w:num w:numId="10">
    <w:abstractNumId w:val="6"/>
  </w:num>
  <w:num w:numId="11">
    <w:abstractNumId w:val="15"/>
  </w:num>
  <w:num w:numId="12">
    <w:abstractNumId w:val="25"/>
  </w:num>
  <w:num w:numId="13">
    <w:abstractNumId w:val="17"/>
  </w:num>
  <w:num w:numId="14">
    <w:abstractNumId w:val="8"/>
  </w:num>
  <w:num w:numId="15">
    <w:abstractNumId w:val="14"/>
  </w:num>
  <w:num w:numId="16">
    <w:abstractNumId w:val="20"/>
  </w:num>
  <w:num w:numId="17">
    <w:abstractNumId w:val="10"/>
  </w:num>
  <w:num w:numId="18">
    <w:abstractNumId w:val="9"/>
  </w:num>
  <w:num w:numId="19">
    <w:abstractNumId w:val="19"/>
  </w:num>
  <w:num w:numId="20">
    <w:abstractNumId w:val="11"/>
  </w:num>
  <w:num w:numId="21">
    <w:abstractNumId w:val="23"/>
  </w:num>
  <w:num w:numId="22">
    <w:abstractNumId w:val="18"/>
  </w:num>
  <w:num w:numId="23">
    <w:abstractNumId w:val="21"/>
  </w:num>
  <w:num w:numId="24">
    <w:abstractNumId w:val="16"/>
  </w:num>
  <w:num w:numId="25">
    <w:abstractNumId w:val="24"/>
  </w:num>
  <w:num w:numId="26">
    <w:abstractNumId w:val="5"/>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0ED5"/>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10C3"/>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41DC"/>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386">
      <w:bodyDiv w:val="1"/>
      <w:marLeft w:val="0"/>
      <w:marRight w:val="0"/>
      <w:marTop w:val="0"/>
      <w:marBottom w:val="0"/>
      <w:divBdr>
        <w:top w:val="none" w:sz="0" w:space="0" w:color="auto"/>
        <w:left w:val="none" w:sz="0" w:space="0" w:color="auto"/>
        <w:bottom w:val="none" w:sz="0" w:space="0" w:color="auto"/>
        <w:right w:val="none" w:sz="0" w:space="0" w:color="auto"/>
      </w:divBdr>
      <w:divsChild>
        <w:div w:id="1890411520">
          <w:marLeft w:val="0"/>
          <w:marRight w:val="0"/>
          <w:marTop w:val="0"/>
          <w:marBottom w:val="0"/>
          <w:divBdr>
            <w:top w:val="none" w:sz="0" w:space="0" w:color="auto"/>
            <w:left w:val="none" w:sz="0" w:space="0" w:color="auto"/>
            <w:bottom w:val="none" w:sz="0" w:space="0" w:color="auto"/>
            <w:right w:val="none" w:sz="0" w:space="0" w:color="auto"/>
          </w:divBdr>
          <w:divsChild>
            <w:div w:id="191112748">
              <w:marLeft w:val="0"/>
              <w:marRight w:val="0"/>
              <w:marTop w:val="0"/>
              <w:marBottom w:val="0"/>
              <w:divBdr>
                <w:top w:val="none" w:sz="0" w:space="0" w:color="auto"/>
                <w:left w:val="none" w:sz="0" w:space="0" w:color="auto"/>
                <w:bottom w:val="none" w:sz="0" w:space="0" w:color="auto"/>
                <w:right w:val="none" w:sz="0" w:space="0" w:color="auto"/>
              </w:divBdr>
              <w:divsChild>
                <w:div w:id="413548916">
                  <w:marLeft w:val="0"/>
                  <w:marRight w:val="0"/>
                  <w:marTop w:val="0"/>
                  <w:marBottom w:val="0"/>
                  <w:divBdr>
                    <w:top w:val="none" w:sz="0" w:space="0" w:color="auto"/>
                    <w:left w:val="none" w:sz="0" w:space="0" w:color="auto"/>
                    <w:bottom w:val="none" w:sz="0" w:space="0" w:color="auto"/>
                    <w:right w:val="none" w:sz="0" w:space="0" w:color="auto"/>
                  </w:divBdr>
                  <w:divsChild>
                    <w:div w:id="958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0435808">
      <w:bodyDiv w:val="1"/>
      <w:marLeft w:val="0"/>
      <w:marRight w:val="0"/>
      <w:marTop w:val="0"/>
      <w:marBottom w:val="0"/>
      <w:divBdr>
        <w:top w:val="none" w:sz="0" w:space="0" w:color="auto"/>
        <w:left w:val="none" w:sz="0" w:space="0" w:color="auto"/>
        <w:bottom w:val="none" w:sz="0" w:space="0" w:color="auto"/>
        <w:right w:val="none" w:sz="0" w:space="0" w:color="auto"/>
      </w:divBdr>
      <w:divsChild>
        <w:div w:id="536502149">
          <w:marLeft w:val="0"/>
          <w:marRight w:val="0"/>
          <w:marTop w:val="0"/>
          <w:marBottom w:val="0"/>
          <w:divBdr>
            <w:top w:val="none" w:sz="0" w:space="0" w:color="auto"/>
            <w:left w:val="none" w:sz="0" w:space="0" w:color="auto"/>
            <w:bottom w:val="none" w:sz="0" w:space="0" w:color="auto"/>
            <w:right w:val="none" w:sz="0" w:space="0" w:color="auto"/>
          </w:divBdr>
          <w:divsChild>
            <w:div w:id="2013028423">
              <w:marLeft w:val="0"/>
              <w:marRight w:val="0"/>
              <w:marTop w:val="0"/>
              <w:marBottom w:val="0"/>
              <w:divBdr>
                <w:top w:val="none" w:sz="0" w:space="0" w:color="auto"/>
                <w:left w:val="none" w:sz="0" w:space="0" w:color="auto"/>
                <w:bottom w:val="none" w:sz="0" w:space="0" w:color="auto"/>
                <w:right w:val="none" w:sz="0" w:space="0" w:color="auto"/>
              </w:divBdr>
              <w:divsChild>
                <w:div w:id="2002851788">
                  <w:marLeft w:val="0"/>
                  <w:marRight w:val="0"/>
                  <w:marTop w:val="0"/>
                  <w:marBottom w:val="0"/>
                  <w:divBdr>
                    <w:top w:val="none" w:sz="0" w:space="0" w:color="auto"/>
                    <w:left w:val="none" w:sz="0" w:space="0" w:color="auto"/>
                    <w:bottom w:val="none" w:sz="0" w:space="0" w:color="auto"/>
                    <w:right w:val="none" w:sz="0" w:space="0" w:color="auto"/>
                  </w:divBdr>
                  <w:divsChild>
                    <w:div w:id="577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17412622">
      <w:bodyDiv w:val="1"/>
      <w:marLeft w:val="0"/>
      <w:marRight w:val="0"/>
      <w:marTop w:val="0"/>
      <w:marBottom w:val="0"/>
      <w:divBdr>
        <w:top w:val="none" w:sz="0" w:space="0" w:color="auto"/>
        <w:left w:val="none" w:sz="0" w:space="0" w:color="auto"/>
        <w:bottom w:val="none" w:sz="0" w:space="0" w:color="auto"/>
        <w:right w:val="none" w:sz="0" w:space="0" w:color="auto"/>
      </w:divBdr>
    </w:div>
    <w:div w:id="1248076987">
      <w:bodyDiv w:val="1"/>
      <w:marLeft w:val="0"/>
      <w:marRight w:val="0"/>
      <w:marTop w:val="0"/>
      <w:marBottom w:val="0"/>
      <w:divBdr>
        <w:top w:val="none" w:sz="0" w:space="0" w:color="auto"/>
        <w:left w:val="none" w:sz="0" w:space="0" w:color="auto"/>
        <w:bottom w:val="none" w:sz="0" w:space="0" w:color="auto"/>
        <w:right w:val="none" w:sz="0" w:space="0" w:color="auto"/>
      </w:divBdr>
      <w:divsChild>
        <w:div w:id="1353919016">
          <w:marLeft w:val="0"/>
          <w:marRight w:val="0"/>
          <w:marTop w:val="0"/>
          <w:marBottom w:val="0"/>
          <w:divBdr>
            <w:top w:val="none" w:sz="0" w:space="0" w:color="auto"/>
            <w:left w:val="none" w:sz="0" w:space="0" w:color="auto"/>
            <w:bottom w:val="none" w:sz="0" w:space="0" w:color="auto"/>
            <w:right w:val="none" w:sz="0" w:space="0" w:color="auto"/>
          </w:divBdr>
          <w:divsChild>
            <w:div w:id="669407617">
              <w:marLeft w:val="0"/>
              <w:marRight w:val="0"/>
              <w:marTop w:val="0"/>
              <w:marBottom w:val="0"/>
              <w:divBdr>
                <w:top w:val="none" w:sz="0" w:space="0" w:color="auto"/>
                <w:left w:val="none" w:sz="0" w:space="0" w:color="auto"/>
                <w:bottom w:val="none" w:sz="0" w:space="0" w:color="auto"/>
                <w:right w:val="none" w:sz="0" w:space="0" w:color="auto"/>
              </w:divBdr>
              <w:divsChild>
                <w:div w:id="1912884841">
                  <w:marLeft w:val="0"/>
                  <w:marRight w:val="0"/>
                  <w:marTop w:val="0"/>
                  <w:marBottom w:val="0"/>
                  <w:divBdr>
                    <w:top w:val="none" w:sz="0" w:space="0" w:color="auto"/>
                    <w:left w:val="none" w:sz="0" w:space="0" w:color="auto"/>
                    <w:bottom w:val="none" w:sz="0" w:space="0" w:color="auto"/>
                    <w:right w:val="none" w:sz="0" w:space="0" w:color="auto"/>
                  </w:divBdr>
                  <w:divsChild>
                    <w:div w:id="3451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704">
      <w:bodyDiv w:val="1"/>
      <w:marLeft w:val="0"/>
      <w:marRight w:val="0"/>
      <w:marTop w:val="0"/>
      <w:marBottom w:val="0"/>
      <w:divBdr>
        <w:top w:val="none" w:sz="0" w:space="0" w:color="auto"/>
        <w:left w:val="none" w:sz="0" w:space="0" w:color="auto"/>
        <w:bottom w:val="none" w:sz="0" w:space="0" w:color="auto"/>
        <w:right w:val="none" w:sz="0" w:space="0" w:color="auto"/>
      </w:divBdr>
      <w:divsChild>
        <w:div w:id="375277165">
          <w:marLeft w:val="0"/>
          <w:marRight w:val="0"/>
          <w:marTop w:val="0"/>
          <w:marBottom w:val="0"/>
          <w:divBdr>
            <w:top w:val="none" w:sz="0" w:space="0" w:color="auto"/>
            <w:left w:val="none" w:sz="0" w:space="0" w:color="auto"/>
            <w:bottom w:val="none" w:sz="0" w:space="0" w:color="auto"/>
            <w:right w:val="none" w:sz="0" w:space="0" w:color="auto"/>
          </w:divBdr>
          <w:divsChild>
            <w:div w:id="628971140">
              <w:marLeft w:val="0"/>
              <w:marRight w:val="0"/>
              <w:marTop w:val="0"/>
              <w:marBottom w:val="0"/>
              <w:divBdr>
                <w:top w:val="none" w:sz="0" w:space="0" w:color="auto"/>
                <w:left w:val="none" w:sz="0" w:space="0" w:color="auto"/>
                <w:bottom w:val="none" w:sz="0" w:space="0" w:color="auto"/>
                <w:right w:val="none" w:sz="0" w:space="0" w:color="auto"/>
              </w:divBdr>
              <w:divsChild>
                <w:div w:id="2441582">
                  <w:marLeft w:val="0"/>
                  <w:marRight w:val="0"/>
                  <w:marTop w:val="0"/>
                  <w:marBottom w:val="0"/>
                  <w:divBdr>
                    <w:top w:val="none" w:sz="0" w:space="0" w:color="auto"/>
                    <w:left w:val="none" w:sz="0" w:space="0" w:color="auto"/>
                    <w:bottom w:val="none" w:sz="0" w:space="0" w:color="auto"/>
                    <w:right w:val="none" w:sz="0" w:space="0" w:color="auto"/>
                  </w:divBdr>
                  <w:divsChild>
                    <w:div w:id="542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39127">
      <w:bodyDiv w:val="1"/>
      <w:marLeft w:val="0"/>
      <w:marRight w:val="0"/>
      <w:marTop w:val="0"/>
      <w:marBottom w:val="0"/>
      <w:divBdr>
        <w:top w:val="none" w:sz="0" w:space="0" w:color="auto"/>
        <w:left w:val="none" w:sz="0" w:space="0" w:color="auto"/>
        <w:bottom w:val="none" w:sz="0" w:space="0" w:color="auto"/>
        <w:right w:val="none" w:sz="0" w:space="0" w:color="auto"/>
      </w:divBdr>
      <w:divsChild>
        <w:div w:id="1836191423">
          <w:marLeft w:val="0"/>
          <w:marRight w:val="0"/>
          <w:marTop w:val="0"/>
          <w:marBottom w:val="0"/>
          <w:divBdr>
            <w:top w:val="none" w:sz="0" w:space="0" w:color="auto"/>
            <w:left w:val="none" w:sz="0" w:space="0" w:color="auto"/>
            <w:bottom w:val="none" w:sz="0" w:space="0" w:color="auto"/>
            <w:right w:val="none" w:sz="0" w:space="0" w:color="auto"/>
          </w:divBdr>
          <w:divsChild>
            <w:div w:id="1477527113">
              <w:marLeft w:val="0"/>
              <w:marRight w:val="0"/>
              <w:marTop w:val="0"/>
              <w:marBottom w:val="0"/>
              <w:divBdr>
                <w:top w:val="none" w:sz="0" w:space="0" w:color="auto"/>
                <w:left w:val="none" w:sz="0" w:space="0" w:color="auto"/>
                <w:bottom w:val="none" w:sz="0" w:space="0" w:color="auto"/>
                <w:right w:val="none" w:sz="0" w:space="0" w:color="auto"/>
              </w:divBdr>
              <w:divsChild>
                <w:div w:id="380911359">
                  <w:marLeft w:val="0"/>
                  <w:marRight w:val="0"/>
                  <w:marTop w:val="0"/>
                  <w:marBottom w:val="0"/>
                  <w:divBdr>
                    <w:top w:val="none" w:sz="0" w:space="0" w:color="auto"/>
                    <w:left w:val="none" w:sz="0" w:space="0" w:color="auto"/>
                    <w:bottom w:val="none" w:sz="0" w:space="0" w:color="auto"/>
                    <w:right w:val="none" w:sz="0" w:space="0" w:color="auto"/>
                  </w:divBdr>
                  <w:divsChild>
                    <w:div w:id="1220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9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4911">
          <w:marLeft w:val="0"/>
          <w:marRight w:val="0"/>
          <w:marTop w:val="0"/>
          <w:marBottom w:val="0"/>
          <w:divBdr>
            <w:top w:val="none" w:sz="0" w:space="0" w:color="auto"/>
            <w:left w:val="none" w:sz="0" w:space="0" w:color="auto"/>
            <w:bottom w:val="none" w:sz="0" w:space="0" w:color="auto"/>
            <w:right w:val="none" w:sz="0" w:space="0" w:color="auto"/>
          </w:divBdr>
          <w:divsChild>
            <w:div w:id="956568783">
              <w:marLeft w:val="0"/>
              <w:marRight w:val="0"/>
              <w:marTop w:val="0"/>
              <w:marBottom w:val="0"/>
              <w:divBdr>
                <w:top w:val="none" w:sz="0" w:space="0" w:color="auto"/>
                <w:left w:val="none" w:sz="0" w:space="0" w:color="auto"/>
                <w:bottom w:val="none" w:sz="0" w:space="0" w:color="auto"/>
                <w:right w:val="none" w:sz="0" w:space="0" w:color="auto"/>
              </w:divBdr>
              <w:divsChild>
                <w:div w:id="752361142">
                  <w:marLeft w:val="0"/>
                  <w:marRight w:val="0"/>
                  <w:marTop w:val="0"/>
                  <w:marBottom w:val="0"/>
                  <w:divBdr>
                    <w:top w:val="none" w:sz="0" w:space="0" w:color="auto"/>
                    <w:left w:val="none" w:sz="0" w:space="0" w:color="auto"/>
                    <w:bottom w:val="none" w:sz="0" w:space="0" w:color="auto"/>
                    <w:right w:val="none" w:sz="0" w:space="0" w:color="auto"/>
                  </w:divBdr>
                  <w:divsChild>
                    <w:div w:id="11168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39256">
      <w:bodyDiv w:val="1"/>
      <w:marLeft w:val="0"/>
      <w:marRight w:val="0"/>
      <w:marTop w:val="0"/>
      <w:marBottom w:val="0"/>
      <w:divBdr>
        <w:top w:val="none" w:sz="0" w:space="0" w:color="auto"/>
        <w:left w:val="none" w:sz="0" w:space="0" w:color="auto"/>
        <w:bottom w:val="none" w:sz="0" w:space="0" w:color="auto"/>
        <w:right w:val="none" w:sz="0" w:space="0" w:color="auto"/>
      </w:divBdr>
      <w:divsChild>
        <w:div w:id="230896366">
          <w:marLeft w:val="0"/>
          <w:marRight w:val="0"/>
          <w:marTop w:val="0"/>
          <w:marBottom w:val="0"/>
          <w:divBdr>
            <w:top w:val="none" w:sz="0" w:space="0" w:color="auto"/>
            <w:left w:val="none" w:sz="0" w:space="0" w:color="auto"/>
            <w:bottom w:val="none" w:sz="0" w:space="0" w:color="auto"/>
            <w:right w:val="none" w:sz="0" w:space="0" w:color="auto"/>
          </w:divBdr>
          <w:divsChild>
            <w:div w:id="2029133900">
              <w:marLeft w:val="0"/>
              <w:marRight w:val="0"/>
              <w:marTop w:val="0"/>
              <w:marBottom w:val="0"/>
              <w:divBdr>
                <w:top w:val="none" w:sz="0" w:space="0" w:color="auto"/>
                <w:left w:val="none" w:sz="0" w:space="0" w:color="auto"/>
                <w:bottom w:val="none" w:sz="0" w:space="0" w:color="auto"/>
                <w:right w:val="none" w:sz="0" w:space="0" w:color="auto"/>
              </w:divBdr>
              <w:divsChild>
                <w:div w:id="1528367218">
                  <w:marLeft w:val="0"/>
                  <w:marRight w:val="0"/>
                  <w:marTop w:val="0"/>
                  <w:marBottom w:val="0"/>
                  <w:divBdr>
                    <w:top w:val="none" w:sz="0" w:space="0" w:color="auto"/>
                    <w:left w:val="none" w:sz="0" w:space="0" w:color="auto"/>
                    <w:bottom w:val="none" w:sz="0" w:space="0" w:color="auto"/>
                    <w:right w:val="none" w:sz="0" w:space="0" w:color="auto"/>
                  </w:divBdr>
                  <w:divsChild>
                    <w:div w:id="18399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2319">
      <w:bodyDiv w:val="1"/>
      <w:marLeft w:val="0"/>
      <w:marRight w:val="0"/>
      <w:marTop w:val="0"/>
      <w:marBottom w:val="0"/>
      <w:divBdr>
        <w:top w:val="none" w:sz="0" w:space="0" w:color="auto"/>
        <w:left w:val="none" w:sz="0" w:space="0" w:color="auto"/>
        <w:bottom w:val="none" w:sz="0" w:space="0" w:color="auto"/>
        <w:right w:val="none" w:sz="0" w:space="0" w:color="auto"/>
      </w:divBdr>
      <w:divsChild>
        <w:div w:id="1013844836">
          <w:marLeft w:val="0"/>
          <w:marRight w:val="0"/>
          <w:marTop w:val="0"/>
          <w:marBottom w:val="0"/>
          <w:divBdr>
            <w:top w:val="none" w:sz="0" w:space="0" w:color="auto"/>
            <w:left w:val="none" w:sz="0" w:space="0" w:color="auto"/>
            <w:bottom w:val="none" w:sz="0" w:space="0" w:color="auto"/>
            <w:right w:val="none" w:sz="0" w:space="0" w:color="auto"/>
          </w:divBdr>
          <w:divsChild>
            <w:div w:id="1245337054">
              <w:marLeft w:val="0"/>
              <w:marRight w:val="0"/>
              <w:marTop w:val="0"/>
              <w:marBottom w:val="0"/>
              <w:divBdr>
                <w:top w:val="none" w:sz="0" w:space="0" w:color="auto"/>
                <w:left w:val="none" w:sz="0" w:space="0" w:color="auto"/>
                <w:bottom w:val="none" w:sz="0" w:space="0" w:color="auto"/>
                <w:right w:val="none" w:sz="0" w:space="0" w:color="auto"/>
              </w:divBdr>
              <w:divsChild>
                <w:div w:id="1348483815">
                  <w:marLeft w:val="0"/>
                  <w:marRight w:val="0"/>
                  <w:marTop w:val="0"/>
                  <w:marBottom w:val="0"/>
                  <w:divBdr>
                    <w:top w:val="none" w:sz="0" w:space="0" w:color="auto"/>
                    <w:left w:val="none" w:sz="0" w:space="0" w:color="auto"/>
                    <w:bottom w:val="none" w:sz="0" w:space="0" w:color="auto"/>
                    <w:right w:val="none" w:sz="0" w:space="0" w:color="auto"/>
                  </w:divBdr>
                  <w:divsChild>
                    <w:div w:id="1972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Chioma Adiele</cp:lastModifiedBy>
  <cp:revision>2</cp:revision>
  <cp:lastPrinted>2020-06-12T02:43:00Z</cp:lastPrinted>
  <dcterms:created xsi:type="dcterms:W3CDTF">2021-11-08T03:06:00Z</dcterms:created>
  <dcterms:modified xsi:type="dcterms:W3CDTF">2021-11-08T03:06:00Z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