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9878DB" w:rsidRDefault="00C60631" w:rsidP="009D510C">
      <w:pPr>
        <w:pStyle w:val="ListParagraph"/>
        <w:numPr>
          <w:ilvl w:val="0"/>
          <w:numId w:val="12"/>
        </w:numPr>
        <w:ind w:left="426"/>
        <w:jc w:val="both"/>
        <w:rPr>
          <w:rFonts w:ascii="Arial" w:hAnsi="Arial" w:cs="Arial"/>
          <w:sz w:val="22"/>
          <w:szCs w:val="22"/>
          <w:highlight w:val="yellow"/>
          <w:lang w:val="en-GB"/>
        </w:rPr>
      </w:pPr>
      <w:r w:rsidRPr="009878DB">
        <w:rPr>
          <w:rFonts w:ascii="Arial" w:hAnsi="Arial" w:cs="Arial"/>
          <w:sz w:val="22"/>
          <w:szCs w:val="22"/>
          <w:highlight w:val="yellow"/>
          <w:lang w:val="en-GB"/>
        </w:rPr>
        <w:t xml:space="preserve">This statement is incorrect since </w:t>
      </w:r>
      <w:r w:rsidR="00E7793C" w:rsidRPr="009878DB">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5B31" w:rsidRDefault="00AE027F" w:rsidP="009D510C">
      <w:pPr>
        <w:pStyle w:val="ListParagraph"/>
        <w:numPr>
          <w:ilvl w:val="0"/>
          <w:numId w:val="13"/>
        </w:numPr>
        <w:jc w:val="both"/>
        <w:rPr>
          <w:rFonts w:ascii="Arial" w:hAnsi="Arial" w:cs="Arial"/>
          <w:sz w:val="22"/>
          <w:szCs w:val="22"/>
          <w:lang w:val="en-GB"/>
        </w:rPr>
      </w:pPr>
      <w:r w:rsidRPr="009878DB">
        <w:rPr>
          <w:rFonts w:ascii="Arial" w:hAnsi="Arial" w:cs="Arial"/>
          <w:sz w:val="22"/>
          <w:szCs w:val="22"/>
          <w:highlight w:val="yellow"/>
          <w:lang w:val="en-GB"/>
        </w:rPr>
        <w:t>The statement i</w:t>
      </w:r>
      <w:r w:rsidR="006E77B0" w:rsidRPr="009878DB">
        <w:rPr>
          <w:rFonts w:ascii="Arial" w:hAnsi="Arial" w:cs="Arial"/>
          <w:sz w:val="22"/>
          <w:szCs w:val="22"/>
          <w:highlight w:val="yellow"/>
          <w:lang w:val="en-GB"/>
        </w:rPr>
        <w:t>s incorrect since the UK did re</w:t>
      </w:r>
      <w:r w:rsidRPr="009878DB">
        <w:rPr>
          <w:rFonts w:ascii="Arial" w:hAnsi="Arial" w:cs="Arial"/>
          <w:sz w:val="22"/>
          <w:szCs w:val="22"/>
          <w:highlight w:val="yellow"/>
          <w:lang w:val="en-GB"/>
        </w:rPr>
        <w:t>v</w:t>
      </w:r>
      <w:r w:rsidR="006E77B0" w:rsidRPr="009878DB">
        <w:rPr>
          <w:rFonts w:ascii="Arial" w:hAnsi="Arial" w:cs="Arial"/>
          <w:sz w:val="22"/>
          <w:szCs w:val="22"/>
          <w:highlight w:val="yellow"/>
          <w:lang w:val="en-GB"/>
        </w:rPr>
        <w:t>i</w:t>
      </w:r>
      <w:r w:rsidRPr="009878DB">
        <w:rPr>
          <w:rFonts w:ascii="Arial" w:hAnsi="Arial" w:cs="Arial"/>
          <w:sz w:val="22"/>
          <w:szCs w:val="22"/>
          <w:highlight w:val="yellow"/>
          <w:lang w:val="en-GB"/>
        </w:rPr>
        <w:t>ew parts of its insolvency rules and amended some, among</w:t>
      </w:r>
      <w:r w:rsidR="006E77B0" w:rsidRPr="009878DB">
        <w:rPr>
          <w:rFonts w:ascii="Arial" w:hAnsi="Arial" w:cs="Arial"/>
          <w:sz w:val="22"/>
          <w:szCs w:val="22"/>
          <w:highlight w:val="yellow"/>
          <w:lang w:val="en-GB"/>
        </w:rPr>
        <w:t>s</w:t>
      </w:r>
      <w:r w:rsidRPr="009878DB">
        <w:rPr>
          <w:rFonts w:ascii="Arial" w:hAnsi="Arial" w:cs="Arial"/>
          <w:sz w:val="22"/>
          <w:szCs w:val="22"/>
          <w:highlight w:val="yellow"/>
          <w:lang w:val="en-GB"/>
        </w:rPr>
        <w:t>t other</w:t>
      </w:r>
      <w:r w:rsidR="00F96AF1" w:rsidRPr="009878DB">
        <w:rPr>
          <w:rFonts w:ascii="Arial" w:hAnsi="Arial" w:cs="Arial"/>
          <w:sz w:val="22"/>
          <w:szCs w:val="22"/>
          <w:highlight w:val="yellow"/>
          <w:lang w:val="en-GB"/>
        </w:rPr>
        <w:t xml:space="preserve"> things</w:t>
      </w:r>
      <w:r w:rsidRPr="009878DB">
        <w:rPr>
          <w:rFonts w:ascii="Arial" w:hAnsi="Arial" w:cs="Arial"/>
          <w:sz w:val="22"/>
          <w:szCs w:val="22"/>
          <w:highlight w:val="yellow"/>
          <w:lang w:val="en-GB"/>
        </w:rPr>
        <w:t>, to deal with the negative economic fall out of the pandemic.</w:t>
      </w:r>
      <w:r w:rsidR="00100A77">
        <w:rPr>
          <w:rFonts w:ascii="Arial" w:hAnsi="Arial" w:cs="Arial"/>
          <w:sz w:val="22"/>
          <w:szCs w:val="22"/>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36136B" w:rsidRDefault="00B54F90" w:rsidP="009D510C">
      <w:pPr>
        <w:pStyle w:val="ListParagraph"/>
        <w:numPr>
          <w:ilvl w:val="0"/>
          <w:numId w:val="14"/>
        </w:numPr>
        <w:ind w:left="426"/>
        <w:jc w:val="both"/>
        <w:rPr>
          <w:rFonts w:ascii="Arial" w:hAnsi="Arial" w:cs="Arial"/>
          <w:sz w:val="22"/>
          <w:szCs w:val="22"/>
          <w:highlight w:val="yellow"/>
          <w:lang w:val="en-GB"/>
        </w:rPr>
      </w:pPr>
      <w:r w:rsidRPr="0036136B">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36136B">
        <w:rPr>
          <w:rFonts w:ascii="Arial" w:hAnsi="Arial" w:cs="Arial"/>
          <w:sz w:val="22"/>
          <w:szCs w:val="22"/>
          <w:highlight w:val="yellow"/>
          <w:lang w:val="en-GB"/>
        </w:rPr>
        <w:t xml:space="preserve">on </w:t>
      </w:r>
      <w:r w:rsidRPr="0036136B">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36136B">
        <w:rPr>
          <w:rFonts w:ascii="Arial" w:hAnsi="Arial" w:cs="Arial"/>
          <w:sz w:val="22"/>
          <w:szCs w:val="22"/>
          <w:highlight w:val="yellow"/>
          <w:lang w:val="en-GB"/>
        </w:rPr>
        <w:t>The statement is not correct since both local insolvency systems as well as cross-border insolvency rules differ quite significantly in many respects</w:t>
      </w:r>
      <w:r w:rsidRPr="00205B31">
        <w:rPr>
          <w:rFonts w:ascii="Arial" w:hAnsi="Arial" w:cs="Arial"/>
          <w:sz w:val="22"/>
          <w:szCs w:val="22"/>
          <w:lang w:val="en-GB"/>
        </w:rPr>
        <w:t>.</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A17E9A">
        <w:rPr>
          <w:rFonts w:ascii="Arial" w:hAnsi="Arial" w:cs="Arial"/>
          <w:sz w:val="22"/>
          <w:szCs w:val="22"/>
          <w:highlight w:val="yellow"/>
          <w:lang w:val="en-GB"/>
        </w:rPr>
        <w:t xml:space="preserve">The statement is </w:t>
      </w:r>
      <w:r w:rsidR="006E1CB0" w:rsidRPr="00A17E9A">
        <w:rPr>
          <w:rFonts w:ascii="Arial" w:hAnsi="Arial" w:cs="Arial"/>
          <w:sz w:val="22"/>
          <w:szCs w:val="22"/>
          <w:highlight w:val="yellow"/>
          <w:lang w:val="en-GB"/>
        </w:rPr>
        <w:t xml:space="preserve">not </w:t>
      </w:r>
      <w:r w:rsidRPr="00A17E9A">
        <w:rPr>
          <w:rFonts w:ascii="Arial" w:hAnsi="Arial" w:cs="Arial"/>
          <w:sz w:val="22"/>
          <w:szCs w:val="22"/>
          <w:highlight w:val="yellow"/>
          <w:lang w:val="en-GB"/>
        </w:rPr>
        <w:t xml:space="preserve">correct </w:t>
      </w:r>
      <w:r w:rsidR="007958F0" w:rsidRPr="00A17E9A">
        <w:rPr>
          <w:rFonts w:ascii="Arial" w:hAnsi="Arial" w:cs="Arial"/>
          <w:sz w:val="22"/>
          <w:szCs w:val="22"/>
          <w:highlight w:val="yellow"/>
          <w:lang w:val="en-GB"/>
        </w:rPr>
        <w:t>because</w:t>
      </w:r>
      <w:r w:rsidRPr="00A17E9A">
        <w:rPr>
          <w:rFonts w:ascii="Arial" w:hAnsi="Arial" w:cs="Arial"/>
          <w:sz w:val="22"/>
          <w:szCs w:val="22"/>
          <w:highlight w:val="yellow"/>
          <w:lang w:val="en-GB"/>
        </w:rPr>
        <w:t xml:space="preserve"> very few </w:t>
      </w:r>
      <w:r w:rsidR="007958F0" w:rsidRPr="00A17E9A">
        <w:rPr>
          <w:rFonts w:ascii="Arial" w:hAnsi="Arial" w:cs="Arial"/>
          <w:sz w:val="22"/>
          <w:szCs w:val="22"/>
          <w:highlight w:val="yellow"/>
          <w:lang w:val="en-GB"/>
        </w:rPr>
        <w:t>States</w:t>
      </w:r>
      <w:r w:rsidRPr="00A17E9A">
        <w:rPr>
          <w:rFonts w:ascii="Arial" w:hAnsi="Arial" w:cs="Arial"/>
          <w:sz w:val="22"/>
          <w:szCs w:val="22"/>
          <w:highlight w:val="yellow"/>
          <w:lang w:val="en-GB"/>
        </w:rPr>
        <w:t xml:space="preserve"> allow insolvent estate representatives to deal with assets of a foreign debtor situated in </w:t>
      </w:r>
      <w:r w:rsidR="005936B3" w:rsidRPr="00A17E9A">
        <w:rPr>
          <w:rFonts w:ascii="Arial" w:hAnsi="Arial" w:cs="Arial"/>
          <w:sz w:val="22"/>
          <w:szCs w:val="22"/>
          <w:highlight w:val="yellow"/>
          <w:lang w:val="en-GB"/>
        </w:rPr>
        <w:t>their own</w:t>
      </w:r>
      <w:r w:rsidRPr="00A17E9A">
        <w:rPr>
          <w:rFonts w:ascii="Arial" w:hAnsi="Arial" w:cs="Arial"/>
          <w:sz w:val="22"/>
          <w:szCs w:val="22"/>
          <w:highlight w:val="yellow"/>
          <w:lang w:val="en-GB"/>
        </w:rPr>
        <w:t xml:space="preserve"> jurisdiction without </w:t>
      </w:r>
      <w:r w:rsidR="006E1CB0" w:rsidRPr="00A17E9A">
        <w:rPr>
          <w:rFonts w:ascii="Arial" w:hAnsi="Arial" w:cs="Arial"/>
          <w:sz w:val="22"/>
          <w:szCs w:val="22"/>
          <w:highlight w:val="yellow"/>
          <w:lang w:val="en-GB"/>
        </w:rPr>
        <w:t xml:space="preserve">some form of </w:t>
      </w:r>
      <w:r w:rsidR="0090037B" w:rsidRPr="00A17E9A">
        <w:rPr>
          <w:rFonts w:ascii="Arial" w:hAnsi="Arial" w:cs="Arial"/>
          <w:sz w:val="22"/>
          <w:szCs w:val="22"/>
          <w:highlight w:val="yellow"/>
          <w:lang w:val="en-GB"/>
        </w:rPr>
        <w:t xml:space="preserve">a </w:t>
      </w:r>
      <w:r w:rsidR="006E1CB0" w:rsidRPr="00A17E9A">
        <w:rPr>
          <w:rFonts w:ascii="Arial" w:hAnsi="Arial" w:cs="Arial"/>
          <w:sz w:val="22"/>
          <w:szCs w:val="22"/>
          <w:highlight w:val="yellow"/>
          <w:lang w:val="en-GB"/>
        </w:rPr>
        <w:t>(</w:t>
      </w:r>
      <w:r w:rsidR="0090037B" w:rsidRPr="00A17E9A">
        <w:rPr>
          <w:rFonts w:ascii="Arial" w:hAnsi="Arial" w:cs="Arial"/>
          <w:sz w:val="22"/>
          <w:szCs w:val="22"/>
          <w:highlight w:val="yellow"/>
          <w:lang w:val="en-GB"/>
        </w:rPr>
        <w:t>prior</w:t>
      </w:r>
      <w:r w:rsidR="006E1CB0" w:rsidRPr="00A17E9A">
        <w:rPr>
          <w:rFonts w:ascii="Arial" w:hAnsi="Arial" w:cs="Arial"/>
          <w:sz w:val="22"/>
          <w:szCs w:val="22"/>
          <w:highlight w:val="yellow"/>
          <w:lang w:val="en-GB"/>
        </w:rPr>
        <w:t>)</w:t>
      </w:r>
      <w:r w:rsidRPr="00A17E9A">
        <w:rPr>
          <w:rFonts w:ascii="Arial" w:hAnsi="Arial" w:cs="Arial"/>
          <w:sz w:val="22"/>
          <w:szCs w:val="22"/>
          <w:highlight w:val="yellow"/>
          <w:lang w:val="en-GB"/>
        </w:rPr>
        <w:t xml:space="preserve"> local procedure </w:t>
      </w:r>
      <w:r w:rsidR="005936B3" w:rsidRPr="00A17E9A">
        <w:rPr>
          <w:rFonts w:ascii="Arial" w:hAnsi="Arial" w:cs="Arial"/>
          <w:sz w:val="22"/>
          <w:szCs w:val="22"/>
          <w:highlight w:val="yellow"/>
          <w:lang w:val="en-GB"/>
        </w:rPr>
        <w:t xml:space="preserve">to </w:t>
      </w:r>
      <w:r w:rsidRPr="00A17E9A">
        <w:rPr>
          <w:rFonts w:ascii="Arial" w:hAnsi="Arial" w:cs="Arial"/>
          <w:sz w:val="22"/>
          <w:szCs w:val="22"/>
          <w:highlight w:val="yellow"/>
          <w:lang w:val="en-GB"/>
        </w:rPr>
        <w:t>recognise the foreign insolvency proceeding</w:t>
      </w:r>
      <w:r w:rsidRPr="00205B31">
        <w:rPr>
          <w:rFonts w:ascii="Arial" w:hAnsi="Arial" w:cs="Arial"/>
          <w:sz w:val="22"/>
          <w:szCs w:val="22"/>
          <w:lang w:val="en-GB"/>
        </w:rPr>
        <w:t>.</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A17E9A" w:rsidRDefault="000329A6" w:rsidP="00C570AC">
      <w:pPr>
        <w:pStyle w:val="ListParagraph"/>
        <w:numPr>
          <w:ilvl w:val="0"/>
          <w:numId w:val="6"/>
        </w:numPr>
        <w:ind w:left="426"/>
        <w:jc w:val="both"/>
        <w:rPr>
          <w:rFonts w:ascii="Arial" w:hAnsi="Arial" w:cs="Arial"/>
          <w:sz w:val="22"/>
          <w:szCs w:val="22"/>
          <w:highlight w:val="yellow"/>
          <w:lang w:val="en-GB"/>
        </w:rPr>
      </w:pPr>
      <w:r w:rsidRPr="00A17E9A">
        <w:rPr>
          <w:rFonts w:ascii="Arial" w:eastAsiaTheme="minorHAnsi" w:hAnsi="Arial" w:cs="Arial"/>
          <w:sz w:val="22"/>
          <w:szCs w:val="22"/>
          <w:highlight w:val="yellow"/>
          <w:lang w:val="en-GB"/>
        </w:rPr>
        <w:t xml:space="preserve">They were recently revised in 2021 and, together with the </w:t>
      </w:r>
      <w:r w:rsidRPr="00A17E9A">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F93832"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F93832">
        <w:rPr>
          <w:rFonts w:ascii="Arial" w:eastAsiaTheme="minorHAnsi" w:hAnsi="Arial" w:cs="Arial"/>
          <w:sz w:val="22"/>
          <w:szCs w:val="22"/>
          <w:highlight w:val="yellow"/>
          <w:lang w:val="en-GB"/>
        </w:rPr>
        <w:t xml:space="preserve">The Nordic Convention </w:t>
      </w:r>
      <w:r w:rsidR="00076483" w:rsidRPr="00F93832">
        <w:rPr>
          <w:rFonts w:ascii="Arial" w:eastAsiaTheme="minorHAnsi" w:hAnsi="Arial" w:cs="Arial"/>
          <w:sz w:val="22"/>
          <w:szCs w:val="22"/>
          <w:highlight w:val="yellow"/>
          <w:lang w:val="en-GB"/>
        </w:rPr>
        <w:t>1933</w:t>
      </w:r>
      <w:r w:rsidR="00966E44" w:rsidRPr="00F93832">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F93832" w:rsidRDefault="00124B70" w:rsidP="00275182">
      <w:pPr>
        <w:pStyle w:val="ListParagraph"/>
        <w:numPr>
          <w:ilvl w:val="0"/>
          <w:numId w:val="8"/>
        </w:numPr>
        <w:ind w:left="426"/>
        <w:jc w:val="both"/>
        <w:rPr>
          <w:rFonts w:ascii="Arial" w:hAnsi="Arial" w:cs="Arial"/>
          <w:sz w:val="22"/>
          <w:szCs w:val="22"/>
          <w:highlight w:val="yellow"/>
          <w:lang w:val="en-GB"/>
        </w:rPr>
      </w:pPr>
      <w:r w:rsidRPr="00F93832">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D412EC" w:rsidRDefault="00E86549" w:rsidP="00275182">
      <w:pPr>
        <w:pStyle w:val="ListParagraph"/>
        <w:numPr>
          <w:ilvl w:val="0"/>
          <w:numId w:val="9"/>
        </w:numPr>
        <w:ind w:left="426"/>
        <w:jc w:val="both"/>
        <w:rPr>
          <w:rFonts w:ascii="Arial" w:hAnsi="Arial" w:cs="Arial"/>
          <w:bCs/>
          <w:sz w:val="22"/>
          <w:szCs w:val="22"/>
          <w:highlight w:val="yellow"/>
          <w:lang w:val="en-GB"/>
        </w:rPr>
      </w:pPr>
      <w:r w:rsidRPr="00D412EC">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D412EC">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D412EC" w:rsidRDefault="00911C23" w:rsidP="00275182">
      <w:pPr>
        <w:pStyle w:val="ListParagraph"/>
        <w:numPr>
          <w:ilvl w:val="0"/>
          <w:numId w:val="10"/>
        </w:numPr>
        <w:ind w:left="426"/>
        <w:jc w:val="both"/>
        <w:rPr>
          <w:rFonts w:ascii="Arial" w:hAnsi="Arial" w:cs="Arial"/>
          <w:sz w:val="22"/>
          <w:szCs w:val="22"/>
          <w:highlight w:val="yellow"/>
          <w:lang w:val="en-GB"/>
        </w:rPr>
      </w:pPr>
      <w:r w:rsidRPr="00D412EC">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346F2349" w:rsidR="00CC7728" w:rsidRDefault="00CC7728" w:rsidP="00E84DD5">
      <w:pPr>
        <w:rPr>
          <w:rFonts w:ascii="Arial" w:hAnsi="Arial" w:cs="Arial"/>
          <w:sz w:val="22"/>
          <w:szCs w:val="22"/>
          <w:lang w:val="en-GB"/>
        </w:rPr>
      </w:pPr>
    </w:p>
    <w:p w14:paraId="26A96629" w14:textId="77777777" w:rsidR="00410813" w:rsidRPr="00205B31" w:rsidRDefault="00410813" w:rsidP="00E84DD5">
      <w:pPr>
        <w:rPr>
          <w:rFonts w:ascii="Arial" w:hAnsi="Arial" w:cs="Arial"/>
          <w:sz w:val="22"/>
          <w:szCs w:val="22"/>
          <w:lang w:val="en-GB"/>
        </w:rPr>
      </w:pPr>
    </w:p>
    <w:p w14:paraId="7F268793" w14:textId="1CDE71EE" w:rsidR="00F17D23" w:rsidRDefault="007F5D99" w:rsidP="00EB0495">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1</w:t>
      </w:r>
      <w:r>
        <w:rPr>
          <w:rFonts w:ascii="Arial" w:hAnsi="Arial" w:cs="Arial"/>
          <w:color w:val="4472C4" w:themeColor="accent1"/>
          <w:sz w:val="22"/>
          <w:szCs w:val="22"/>
          <w:lang w:val="en-GB"/>
        </w:rPr>
        <w:tab/>
      </w:r>
      <w:r w:rsidR="00F17D23">
        <w:rPr>
          <w:rFonts w:ascii="Arial" w:hAnsi="Arial" w:cs="Arial"/>
          <w:color w:val="4472C4" w:themeColor="accent1"/>
          <w:sz w:val="22"/>
          <w:szCs w:val="22"/>
          <w:lang w:val="en-GB"/>
        </w:rPr>
        <w:t>Although the early English law does not provide for imprisonment for debt, the imprisonment option was introduced by Statute of Marlbridge of 1267 (13</w:t>
      </w:r>
      <w:r w:rsidR="00F17D23" w:rsidRPr="00F17D23">
        <w:rPr>
          <w:rFonts w:ascii="Arial" w:hAnsi="Arial" w:cs="Arial"/>
          <w:color w:val="4472C4" w:themeColor="accent1"/>
          <w:sz w:val="22"/>
          <w:szCs w:val="22"/>
          <w:vertAlign w:val="superscript"/>
          <w:lang w:val="en-GB"/>
        </w:rPr>
        <w:t>th</w:t>
      </w:r>
      <w:r w:rsidR="00F17D23">
        <w:rPr>
          <w:rFonts w:ascii="Arial" w:hAnsi="Arial" w:cs="Arial"/>
          <w:color w:val="4472C4" w:themeColor="accent1"/>
          <w:sz w:val="22"/>
          <w:szCs w:val="22"/>
          <w:lang w:val="en-GB"/>
        </w:rPr>
        <w:t xml:space="preserve"> century).</w:t>
      </w:r>
      <w:r w:rsidR="00EB0495">
        <w:rPr>
          <w:rFonts w:ascii="Arial" w:hAnsi="Arial" w:cs="Arial"/>
          <w:color w:val="4472C4" w:themeColor="accent1"/>
          <w:sz w:val="22"/>
          <w:szCs w:val="22"/>
          <w:lang w:val="en-GB"/>
        </w:rPr>
        <w:t xml:space="preserve"> The imprisonment for non-payment of debt was only abolished by the Debtors Act 1869 (19</w:t>
      </w:r>
      <w:r w:rsidR="00EB0495" w:rsidRPr="00EB0495">
        <w:rPr>
          <w:rFonts w:ascii="Arial" w:hAnsi="Arial" w:cs="Arial"/>
          <w:color w:val="4472C4" w:themeColor="accent1"/>
          <w:sz w:val="22"/>
          <w:szCs w:val="22"/>
          <w:vertAlign w:val="superscript"/>
          <w:lang w:val="en-GB"/>
        </w:rPr>
        <w:t>th</w:t>
      </w:r>
      <w:r w:rsidR="00EB0495">
        <w:rPr>
          <w:rFonts w:ascii="Arial" w:hAnsi="Arial" w:cs="Arial"/>
          <w:color w:val="4472C4" w:themeColor="accent1"/>
          <w:sz w:val="22"/>
          <w:szCs w:val="22"/>
          <w:lang w:val="en-GB"/>
        </w:rPr>
        <w:t xml:space="preserve"> century).  </w:t>
      </w:r>
    </w:p>
    <w:p w14:paraId="2862A69C" w14:textId="77777777" w:rsidR="00F17D23" w:rsidRDefault="00F17D23" w:rsidP="00F17D23">
      <w:pPr>
        <w:ind w:left="720"/>
        <w:jc w:val="both"/>
        <w:rPr>
          <w:rFonts w:ascii="Arial" w:hAnsi="Arial" w:cs="Arial"/>
          <w:color w:val="4472C4" w:themeColor="accent1"/>
          <w:sz w:val="22"/>
          <w:szCs w:val="22"/>
          <w:lang w:val="en-GB"/>
        </w:rPr>
      </w:pPr>
    </w:p>
    <w:p w14:paraId="25EDB2C1" w14:textId="5FA3C854" w:rsidR="00212C0B" w:rsidRDefault="007F5D99" w:rsidP="00F17D23">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2</w:t>
      </w:r>
      <w:r>
        <w:rPr>
          <w:rFonts w:ascii="Arial" w:hAnsi="Arial" w:cs="Arial"/>
          <w:color w:val="4472C4" w:themeColor="accent1"/>
          <w:sz w:val="22"/>
          <w:szCs w:val="22"/>
          <w:lang w:val="en-GB"/>
        </w:rPr>
        <w:tab/>
      </w:r>
      <w:r w:rsidR="00F17D23">
        <w:rPr>
          <w:rFonts w:ascii="Arial" w:hAnsi="Arial" w:cs="Arial"/>
          <w:color w:val="4472C4" w:themeColor="accent1"/>
          <w:sz w:val="22"/>
          <w:szCs w:val="22"/>
          <w:lang w:val="en-GB"/>
        </w:rPr>
        <w:t>English law viewed unpaid debts seriously.  When Bankruptcy Act 1542 (16</w:t>
      </w:r>
      <w:r w:rsidR="00F17D23" w:rsidRPr="00F17D23">
        <w:rPr>
          <w:rFonts w:ascii="Arial" w:hAnsi="Arial" w:cs="Arial"/>
          <w:color w:val="4472C4" w:themeColor="accent1"/>
          <w:sz w:val="22"/>
          <w:szCs w:val="22"/>
          <w:vertAlign w:val="superscript"/>
          <w:lang w:val="en-GB"/>
        </w:rPr>
        <w:t>th</w:t>
      </w:r>
      <w:r w:rsidR="00F17D23">
        <w:rPr>
          <w:rFonts w:ascii="Arial" w:hAnsi="Arial" w:cs="Arial"/>
          <w:color w:val="4472C4" w:themeColor="accent1"/>
          <w:sz w:val="22"/>
          <w:szCs w:val="22"/>
          <w:lang w:val="en-GB"/>
        </w:rPr>
        <w:t xml:space="preserve"> century) was introduced, it viewed debtors with unpaid debts as “offenders” or “quasi-criminals”. In the case of a fraudulent debtor, his assets will be </w:t>
      </w:r>
      <w:r w:rsidR="000140F7">
        <w:rPr>
          <w:rFonts w:ascii="Arial" w:hAnsi="Arial" w:cs="Arial"/>
          <w:color w:val="4472C4" w:themeColor="accent1"/>
          <w:sz w:val="22"/>
          <w:szCs w:val="22"/>
          <w:lang w:val="en-GB"/>
        </w:rPr>
        <w:t>sequestrated (taken into custody by officials).  T</w:t>
      </w:r>
      <w:r w:rsidR="00F17D23">
        <w:rPr>
          <w:rFonts w:ascii="Arial" w:hAnsi="Arial" w:cs="Arial"/>
          <w:color w:val="4472C4" w:themeColor="accent1"/>
          <w:sz w:val="22"/>
          <w:szCs w:val="22"/>
          <w:lang w:val="en-GB"/>
        </w:rPr>
        <w:t xml:space="preserve">he proceeds </w:t>
      </w:r>
      <w:r w:rsidR="000140F7">
        <w:rPr>
          <w:rFonts w:ascii="Arial" w:hAnsi="Arial" w:cs="Arial"/>
          <w:color w:val="4472C4" w:themeColor="accent1"/>
          <w:sz w:val="22"/>
          <w:szCs w:val="22"/>
          <w:lang w:val="en-GB"/>
        </w:rPr>
        <w:t xml:space="preserve">of sale of the debtor’s assets will be used to </w:t>
      </w:r>
      <w:r w:rsidR="00F17D23">
        <w:rPr>
          <w:rFonts w:ascii="Arial" w:hAnsi="Arial" w:cs="Arial"/>
          <w:color w:val="4472C4" w:themeColor="accent1"/>
          <w:sz w:val="22"/>
          <w:szCs w:val="22"/>
          <w:lang w:val="en-GB"/>
        </w:rPr>
        <w:t xml:space="preserve">repay creditors (collective participations) on pari passu principle. </w:t>
      </w:r>
    </w:p>
    <w:p w14:paraId="3CB84B8F" w14:textId="77777777" w:rsidR="00212C0B" w:rsidRDefault="00212C0B" w:rsidP="00F17D23">
      <w:pPr>
        <w:ind w:left="720"/>
        <w:jc w:val="both"/>
        <w:rPr>
          <w:rFonts w:ascii="Arial" w:hAnsi="Arial" w:cs="Arial"/>
          <w:color w:val="4472C4" w:themeColor="accent1"/>
          <w:sz w:val="22"/>
          <w:szCs w:val="22"/>
          <w:lang w:val="en-GB"/>
        </w:rPr>
      </w:pPr>
    </w:p>
    <w:p w14:paraId="0F93D39D" w14:textId="75FB786C" w:rsidR="00212C0B" w:rsidRDefault="007F5D99" w:rsidP="00F17D23">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3</w:t>
      </w:r>
      <w:r>
        <w:rPr>
          <w:rFonts w:ascii="Arial" w:hAnsi="Arial" w:cs="Arial"/>
          <w:color w:val="4472C4" w:themeColor="accent1"/>
          <w:sz w:val="22"/>
          <w:szCs w:val="22"/>
          <w:lang w:val="en-GB"/>
        </w:rPr>
        <w:tab/>
      </w:r>
      <w:r w:rsidR="00212C0B">
        <w:rPr>
          <w:rFonts w:ascii="Arial" w:hAnsi="Arial" w:cs="Arial"/>
          <w:color w:val="4472C4" w:themeColor="accent1"/>
          <w:sz w:val="22"/>
          <w:szCs w:val="22"/>
          <w:lang w:val="en-GB"/>
        </w:rPr>
        <w:t xml:space="preserve">The Act of Elizabeth (1570) is said to be the first law designed to address bankruptcy, as opposed to the earlier fraud-prevention law.  However, this Act does not provide for discharge of debt – all debts must be paid in full.  </w:t>
      </w:r>
    </w:p>
    <w:p w14:paraId="239D662D" w14:textId="77777777" w:rsidR="00212C0B" w:rsidRDefault="00212C0B" w:rsidP="00F17D23">
      <w:pPr>
        <w:ind w:left="720"/>
        <w:jc w:val="both"/>
        <w:rPr>
          <w:rFonts w:ascii="Arial" w:hAnsi="Arial" w:cs="Arial"/>
          <w:color w:val="4472C4" w:themeColor="accent1"/>
          <w:sz w:val="22"/>
          <w:szCs w:val="22"/>
          <w:lang w:val="en-GB"/>
        </w:rPr>
      </w:pPr>
    </w:p>
    <w:p w14:paraId="06344578" w14:textId="30083158" w:rsidR="00212C0B" w:rsidRDefault="007F5D99" w:rsidP="00F17D23">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4</w:t>
      </w:r>
      <w:r>
        <w:rPr>
          <w:rFonts w:ascii="Arial" w:hAnsi="Arial" w:cs="Arial"/>
          <w:color w:val="4472C4" w:themeColor="accent1"/>
          <w:sz w:val="22"/>
          <w:szCs w:val="22"/>
          <w:lang w:val="en-GB"/>
        </w:rPr>
        <w:tab/>
      </w:r>
      <w:r w:rsidR="00212C0B">
        <w:rPr>
          <w:rFonts w:ascii="Arial" w:hAnsi="Arial" w:cs="Arial"/>
          <w:color w:val="4472C4" w:themeColor="accent1"/>
          <w:sz w:val="22"/>
          <w:szCs w:val="22"/>
          <w:lang w:val="en-GB"/>
        </w:rPr>
        <w:t>The concept of discharge of debt was introduced by the Statute of Ann of 1705 (18</w:t>
      </w:r>
      <w:r w:rsidR="00212C0B" w:rsidRPr="00212C0B">
        <w:rPr>
          <w:rFonts w:ascii="Arial" w:hAnsi="Arial" w:cs="Arial"/>
          <w:color w:val="4472C4" w:themeColor="accent1"/>
          <w:sz w:val="22"/>
          <w:szCs w:val="22"/>
          <w:vertAlign w:val="superscript"/>
          <w:lang w:val="en-GB"/>
        </w:rPr>
        <w:t>th</w:t>
      </w:r>
      <w:r w:rsidR="00212C0B">
        <w:rPr>
          <w:rFonts w:ascii="Arial" w:hAnsi="Arial" w:cs="Arial"/>
          <w:color w:val="4472C4" w:themeColor="accent1"/>
          <w:sz w:val="22"/>
          <w:szCs w:val="22"/>
          <w:lang w:val="en-GB"/>
        </w:rPr>
        <w:t xml:space="preserve"> century), although the discharge was not automatic. </w:t>
      </w:r>
      <w:proofErr w:type="gramStart"/>
      <w:r w:rsidR="00EB0495">
        <w:rPr>
          <w:rFonts w:ascii="Arial" w:hAnsi="Arial" w:cs="Arial"/>
          <w:color w:val="4472C4" w:themeColor="accent1"/>
          <w:sz w:val="22"/>
          <w:szCs w:val="22"/>
          <w:lang w:val="en-GB"/>
        </w:rPr>
        <w:t>In order to</w:t>
      </w:r>
      <w:proofErr w:type="gramEnd"/>
      <w:r w:rsidR="00EB0495">
        <w:rPr>
          <w:rFonts w:ascii="Arial" w:hAnsi="Arial" w:cs="Arial"/>
          <w:color w:val="4472C4" w:themeColor="accent1"/>
          <w:sz w:val="22"/>
          <w:szCs w:val="22"/>
          <w:lang w:val="en-GB"/>
        </w:rPr>
        <w:t xml:space="preserve"> be </w:t>
      </w:r>
      <w:r w:rsidR="00212C0B">
        <w:rPr>
          <w:rFonts w:ascii="Arial" w:hAnsi="Arial" w:cs="Arial"/>
          <w:color w:val="4472C4" w:themeColor="accent1"/>
          <w:sz w:val="22"/>
          <w:szCs w:val="22"/>
          <w:lang w:val="en-GB"/>
        </w:rPr>
        <w:t xml:space="preserve">discharged, the administrator (commissioner) must be satisfied with the co-operation and conduct o the debtor.  </w:t>
      </w:r>
    </w:p>
    <w:p w14:paraId="74F37B28" w14:textId="77777777" w:rsidR="00212C0B" w:rsidRDefault="00212C0B" w:rsidP="00F17D23">
      <w:pPr>
        <w:ind w:left="720"/>
        <w:jc w:val="both"/>
        <w:rPr>
          <w:rFonts w:ascii="Arial" w:hAnsi="Arial" w:cs="Arial"/>
          <w:color w:val="4472C4" w:themeColor="accent1"/>
          <w:sz w:val="22"/>
          <w:szCs w:val="22"/>
          <w:lang w:val="en-GB"/>
        </w:rPr>
      </w:pPr>
    </w:p>
    <w:p w14:paraId="0EC3B3E8" w14:textId="21D1FD8A" w:rsidR="00500D32" w:rsidRDefault="007F5D99" w:rsidP="00F17D23">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5</w:t>
      </w:r>
      <w:r>
        <w:rPr>
          <w:rFonts w:ascii="Arial" w:hAnsi="Arial" w:cs="Arial"/>
          <w:color w:val="4472C4" w:themeColor="accent1"/>
          <w:sz w:val="22"/>
          <w:szCs w:val="22"/>
          <w:lang w:val="en-GB"/>
        </w:rPr>
        <w:tab/>
      </w:r>
      <w:r w:rsidR="00212C0B">
        <w:rPr>
          <w:rFonts w:ascii="Arial" w:hAnsi="Arial" w:cs="Arial"/>
          <w:color w:val="4472C4" w:themeColor="accent1"/>
          <w:sz w:val="22"/>
          <w:szCs w:val="22"/>
          <w:lang w:val="en-GB"/>
        </w:rPr>
        <w:t xml:space="preserve">Further legislative reform took place in 1883, with the appointment of Joseph Chamberlain as president of the Bord of Trade in 1881.  </w:t>
      </w:r>
      <w:r w:rsidR="00500D32">
        <w:rPr>
          <w:rFonts w:ascii="Arial" w:hAnsi="Arial" w:cs="Arial"/>
          <w:color w:val="4472C4" w:themeColor="accent1"/>
          <w:sz w:val="22"/>
          <w:szCs w:val="22"/>
          <w:lang w:val="en-GB"/>
        </w:rPr>
        <w:t xml:space="preserve">Mr Chamberlain set out three key principles for bankruptcy – </w:t>
      </w:r>
    </w:p>
    <w:p w14:paraId="287CE185" w14:textId="59E46D2D" w:rsidR="00500D32" w:rsidRDefault="00500D32" w:rsidP="00F17D23">
      <w:pPr>
        <w:ind w:left="720"/>
        <w:jc w:val="both"/>
        <w:rPr>
          <w:rFonts w:ascii="Arial" w:hAnsi="Arial" w:cs="Arial"/>
          <w:color w:val="4472C4" w:themeColor="accent1"/>
          <w:sz w:val="22"/>
          <w:szCs w:val="22"/>
          <w:lang w:val="en-GB"/>
        </w:rPr>
      </w:pPr>
    </w:p>
    <w:p w14:paraId="2B3D4A97" w14:textId="45B9FD25" w:rsidR="00500D32" w:rsidRDefault="00500D32" w:rsidP="007F5D99">
      <w:pPr>
        <w:pStyle w:val="ListParagraph"/>
        <w:numPr>
          <w:ilvl w:val="0"/>
          <w:numId w:val="17"/>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assets of the debtor belong to the creditors – creditors therefore should have control over the administration of the debtor’s assets. </w:t>
      </w:r>
    </w:p>
    <w:p w14:paraId="31E54ADF" w14:textId="1AC04386" w:rsidR="00500D32" w:rsidRDefault="00500D32" w:rsidP="007F5D99">
      <w:pPr>
        <w:pStyle w:val="ListParagraph"/>
        <w:numPr>
          <w:ilvl w:val="0"/>
          <w:numId w:val="17"/>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the trustee of the bankrupt’s asset should be subject to official supervision.  His remuneration must be supervised</w:t>
      </w:r>
      <w:r w:rsidR="00F1005C">
        <w:rPr>
          <w:rFonts w:ascii="Arial" w:hAnsi="Arial" w:cs="Arial"/>
          <w:color w:val="4472C4" w:themeColor="accent1"/>
          <w:sz w:val="22"/>
          <w:szCs w:val="22"/>
          <w:lang w:val="en-GB"/>
        </w:rPr>
        <w:t>, and</w:t>
      </w:r>
      <w:r>
        <w:rPr>
          <w:rFonts w:ascii="Arial" w:hAnsi="Arial" w:cs="Arial"/>
          <w:color w:val="4472C4" w:themeColor="accent1"/>
          <w:sz w:val="22"/>
          <w:szCs w:val="22"/>
          <w:lang w:val="en-GB"/>
        </w:rPr>
        <w:t xml:space="preserve"> his conduct must be audited. </w:t>
      </w:r>
    </w:p>
    <w:p w14:paraId="4D4767DC" w14:textId="17E67E8E" w:rsidR="00500D32" w:rsidRPr="00500D32" w:rsidRDefault="00500D32" w:rsidP="007F5D99">
      <w:pPr>
        <w:pStyle w:val="ListParagraph"/>
        <w:numPr>
          <w:ilvl w:val="0"/>
          <w:numId w:val="17"/>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an independent examination of the debtor’s conduct and circumstance leading to the insolvency must be examined.  </w:t>
      </w:r>
    </w:p>
    <w:p w14:paraId="327D815F" w14:textId="77777777" w:rsidR="00500D32" w:rsidRDefault="00500D32" w:rsidP="00F17D23">
      <w:pPr>
        <w:ind w:left="720"/>
        <w:jc w:val="both"/>
        <w:rPr>
          <w:rFonts w:ascii="Arial" w:hAnsi="Arial" w:cs="Arial"/>
          <w:color w:val="4472C4" w:themeColor="accent1"/>
          <w:sz w:val="22"/>
          <w:szCs w:val="22"/>
          <w:lang w:val="en-GB"/>
        </w:rPr>
      </w:pPr>
    </w:p>
    <w:p w14:paraId="184CC498" w14:textId="4464280F" w:rsidR="00AD6A3E" w:rsidRDefault="007F5D99" w:rsidP="00F17D23">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6</w:t>
      </w:r>
      <w:r>
        <w:rPr>
          <w:rFonts w:ascii="Arial" w:hAnsi="Arial" w:cs="Arial"/>
          <w:color w:val="4472C4" w:themeColor="accent1"/>
          <w:sz w:val="22"/>
          <w:szCs w:val="22"/>
          <w:lang w:val="en-GB"/>
        </w:rPr>
        <w:tab/>
      </w:r>
      <w:r w:rsidR="00500D32">
        <w:rPr>
          <w:rFonts w:ascii="Arial" w:hAnsi="Arial" w:cs="Arial"/>
          <w:color w:val="4472C4" w:themeColor="accent1"/>
          <w:sz w:val="22"/>
          <w:szCs w:val="22"/>
          <w:lang w:val="en-GB"/>
        </w:rPr>
        <w:t>The law of 1883 is seen as the foundation of present English bankruptcy law</w:t>
      </w:r>
      <w:r w:rsidR="00AD6A3E">
        <w:rPr>
          <w:rFonts w:ascii="Arial" w:hAnsi="Arial" w:cs="Arial"/>
          <w:color w:val="4472C4" w:themeColor="accent1"/>
          <w:sz w:val="22"/>
          <w:szCs w:val="22"/>
          <w:lang w:val="en-GB"/>
        </w:rPr>
        <w:t xml:space="preserve">.  The approach to bankruptcy remains largely the same until the promulgation of the Insolvency Act 1986.  </w:t>
      </w:r>
    </w:p>
    <w:p w14:paraId="3BAFEB57" w14:textId="77777777" w:rsidR="00AD6A3E" w:rsidRDefault="00AD6A3E" w:rsidP="00F17D23">
      <w:pPr>
        <w:ind w:left="720"/>
        <w:jc w:val="both"/>
        <w:rPr>
          <w:rFonts w:ascii="Arial" w:hAnsi="Arial" w:cs="Arial"/>
          <w:color w:val="4472C4" w:themeColor="accent1"/>
          <w:sz w:val="22"/>
          <w:szCs w:val="22"/>
          <w:lang w:val="en-GB"/>
        </w:rPr>
      </w:pPr>
    </w:p>
    <w:p w14:paraId="57BCFC30" w14:textId="05933462" w:rsidR="009B07AD" w:rsidRPr="00205B31" w:rsidRDefault="007F5D99" w:rsidP="00F17D23">
      <w:pPr>
        <w:ind w:left="720"/>
        <w:jc w:val="both"/>
        <w:rPr>
          <w:rFonts w:ascii="Arial" w:hAnsi="Arial" w:cs="Arial"/>
          <w:sz w:val="22"/>
          <w:szCs w:val="22"/>
          <w:lang w:val="en-GB"/>
        </w:rPr>
      </w:pPr>
      <w:r>
        <w:rPr>
          <w:rFonts w:ascii="Arial" w:hAnsi="Arial" w:cs="Arial"/>
          <w:color w:val="4472C4" w:themeColor="accent1"/>
          <w:sz w:val="22"/>
          <w:szCs w:val="22"/>
          <w:lang w:val="en-GB"/>
        </w:rPr>
        <w:t>7</w:t>
      </w:r>
      <w:r>
        <w:rPr>
          <w:rFonts w:ascii="Arial" w:hAnsi="Arial" w:cs="Arial"/>
          <w:color w:val="4472C4" w:themeColor="accent1"/>
          <w:sz w:val="22"/>
          <w:szCs w:val="22"/>
          <w:lang w:val="en-GB"/>
        </w:rPr>
        <w:tab/>
      </w:r>
      <w:r w:rsidR="00AD6A3E">
        <w:rPr>
          <w:rFonts w:ascii="Arial" w:hAnsi="Arial" w:cs="Arial"/>
          <w:color w:val="4472C4" w:themeColor="accent1"/>
          <w:sz w:val="22"/>
          <w:szCs w:val="22"/>
          <w:lang w:val="en-GB"/>
        </w:rPr>
        <w:t xml:space="preserve">Insolvency Act 1986 provides for restructuring (compromise) of the debtor’s debts via (a) Corporate Voluntary Arrangement regime and (b) Administration regime – an insolvency practitioner will be appointed to take control of the assets of the debtor, while he </w:t>
      </w:r>
      <w:r w:rsidR="00F1005C">
        <w:rPr>
          <w:rFonts w:ascii="Arial" w:hAnsi="Arial" w:cs="Arial"/>
          <w:color w:val="4472C4" w:themeColor="accent1"/>
          <w:sz w:val="22"/>
          <w:szCs w:val="22"/>
          <w:lang w:val="en-GB"/>
        </w:rPr>
        <w:t xml:space="preserve">(the insolvency practitioner) </w:t>
      </w:r>
      <w:r w:rsidR="00AD6A3E">
        <w:rPr>
          <w:rFonts w:ascii="Arial" w:hAnsi="Arial" w:cs="Arial"/>
          <w:color w:val="4472C4" w:themeColor="accent1"/>
          <w:sz w:val="22"/>
          <w:szCs w:val="22"/>
          <w:lang w:val="en-GB"/>
        </w:rPr>
        <w:t xml:space="preserve">considers developing a restructuring scheme.  This often involves a partial discharge of debt.  </w:t>
      </w:r>
    </w:p>
    <w:p w14:paraId="22C610C9" w14:textId="16EF6256" w:rsidR="00DE03AF" w:rsidRPr="00205B31" w:rsidRDefault="00DE03AF" w:rsidP="00B7193E">
      <w:pPr>
        <w:jc w:val="both"/>
        <w:rPr>
          <w:rFonts w:ascii="Arial" w:hAnsi="Arial" w:cs="Arial"/>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78C914FD" w14:textId="77777777" w:rsidR="00C6686D" w:rsidRDefault="00C6686D" w:rsidP="00C6686D">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 the light of Covid-19 pandemic, UK has introduced </w:t>
      </w:r>
      <w:proofErr w:type="gramStart"/>
      <w:r>
        <w:rPr>
          <w:rFonts w:ascii="Arial" w:hAnsi="Arial" w:cs="Arial"/>
          <w:color w:val="4472C4" w:themeColor="accent1"/>
          <w:sz w:val="22"/>
          <w:szCs w:val="22"/>
          <w:lang w:val="en-GB"/>
        </w:rPr>
        <w:t>a number of</w:t>
      </w:r>
      <w:proofErr w:type="gramEnd"/>
      <w:r>
        <w:rPr>
          <w:rFonts w:ascii="Arial" w:hAnsi="Arial" w:cs="Arial"/>
          <w:color w:val="4472C4" w:themeColor="accent1"/>
          <w:sz w:val="22"/>
          <w:szCs w:val="22"/>
          <w:lang w:val="en-GB"/>
        </w:rPr>
        <w:t xml:space="preserve"> insolvency related measures under the Corporate Insolvency and Governance Act 2020.  The measures include the following:  </w:t>
      </w:r>
    </w:p>
    <w:p w14:paraId="3D44EA7F" w14:textId="77777777" w:rsidR="00C6686D" w:rsidRDefault="00C6686D" w:rsidP="00C6686D">
      <w:pPr>
        <w:ind w:left="720"/>
        <w:jc w:val="both"/>
        <w:rPr>
          <w:rFonts w:ascii="Arial" w:hAnsi="Arial" w:cs="Arial"/>
          <w:color w:val="4472C4" w:themeColor="accent1"/>
          <w:sz w:val="22"/>
          <w:szCs w:val="22"/>
          <w:lang w:val="en-GB"/>
        </w:rPr>
      </w:pPr>
    </w:p>
    <w:p w14:paraId="09044CA4" w14:textId="77777777" w:rsidR="0077572C" w:rsidRDefault="007033CF" w:rsidP="00C6686D">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New restructuring plan</w:t>
      </w:r>
    </w:p>
    <w:p w14:paraId="5ABEBDA3" w14:textId="08498F1F" w:rsidR="008A3354" w:rsidRDefault="00790C43" w:rsidP="0077572C">
      <w:pPr>
        <w:pStyle w:val="ListParagraph"/>
        <w:ind w:left="144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12C18753" w14:textId="77777777" w:rsidR="008A3354" w:rsidRDefault="00790C43" w:rsidP="008A3354">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new restructuring plan is somewhat </w:t>
      </w:r>
      <w:proofErr w:type="gramStart"/>
      <w:r>
        <w:rPr>
          <w:rFonts w:ascii="Arial" w:hAnsi="Arial" w:cs="Arial"/>
          <w:color w:val="4472C4" w:themeColor="accent1"/>
          <w:sz w:val="22"/>
          <w:szCs w:val="22"/>
          <w:lang w:val="en-GB"/>
        </w:rPr>
        <w:t>similar to</w:t>
      </w:r>
      <w:proofErr w:type="gramEnd"/>
      <w:r>
        <w:rPr>
          <w:rFonts w:ascii="Arial" w:hAnsi="Arial" w:cs="Arial"/>
          <w:color w:val="4472C4" w:themeColor="accent1"/>
          <w:sz w:val="22"/>
          <w:szCs w:val="22"/>
          <w:lang w:val="en-GB"/>
        </w:rPr>
        <w:t xml:space="preserve"> the Scheme of Arrangement under the Companies.  </w:t>
      </w:r>
    </w:p>
    <w:p w14:paraId="0BB5AD93" w14:textId="77777777" w:rsidR="008A3354" w:rsidRDefault="00790C43" w:rsidP="008A3354">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It allows a debtor who is facing financial difficulties to apply for the use of restructuring process.</w:t>
      </w:r>
    </w:p>
    <w:p w14:paraId="03DCD3BB" w14:textId="416A3B84" w:rsidR="008A3354" w:rsidRDefault="008A3354" w:rsidP="008A3354">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debtor company </w:t>
      </w:r>
      <w:proofErr w:type="gramStart"/>
      <w:r>
        <w:rPr>
          <w:rFonts w:ascii="Arial" w:hAnsi="Arial" w:cs="Arial"/>
          <w:color w:val="4472C4" w:themeColor="accent1"/>
          <w:sz w:val="22"/>
          <w:szCs w:val="22"/>
          <w:lang w:val="en-GB"/>
        </w:rPr>
        <w:t>has to</w:t>
      </w:r>
      <w:proofErr w:type="gramEnd"/>
      <w:r>
        <w:rPr>
          <w:rFonts w:ascii="Arial" w:hAnsi="Arial" w:cs="Arial"/>
          <w:color w:val="4472C4" w:themeColor="accent1"/>
          <w:sz w:val="22"/>
          <w:szCs w:val="22"/>
          <w:lang w:val="en-GB"/>
        </w:rPr>
        <w:t xml:space="preserve"> demonstrate that it is in financial difficulties, and it will or may affect its ability to carry on the business as a going concern.  It also </w:t>
      </w:r>
      <w:proofErr w:type="gramStart"/>
      <w:r>
        <w:rPr>
          <w:rFonts w:ascii="Arial" w:hAnsi="Arial" w:cs="Arial"/>
          <w:color w:val="4472C4" w:themeColor="accent1"/>
          <w:sz w:val="22"/>
          <w:szCs w:val="22"/>
          <w:lang w:val="en-GB"/>
        </w:rPr>
        <w:t>has to</w:t>
      </w:r>
      <w:proofErr w:type="gramEnd"/>
      <w:r>
        <w:rPr>
          <w:rFonts w:ascii="Arial" w:hAnsi="Arial" w:cs="Arial"/>
          <w:color w:val="4472C4" w:themeColor="accent1"/>
          <w:sz w:val="22"/>
          <w:szCs w:val="22"/>
          <w:lang w:val="en-GB"/>
        </w:rPr>
        <w:t xml:space="preserve"> demonstrate that there is some form of compromise or arrangements with the creditors with the view of resolving the debtor’s financial difficulties.  </w:t>
      </w:r>
      <w:r w:rsidR="00790C43">
        <w:rPr>
          <w:rFonts w:ascii="Arial" w:hAnsi="Arial" w:cs="Arial"/>
          <w:color w:val="4472C4" w:themeColor="accent1"/>
          <w:sz w:val="22"/>
          <w:szCs w:val="22"/>
          <w:lang w:val="en-GB"/>
        </w:rPr>
        <w:t xml:space="preserve">  </w:t>
      </w:r>
    </w:p>
    <w:p w14:paraId="019D6CC9" w14:textId="205CAC8B" w:rsidR="008A3354" w:rsidRDefault="00790C43" w:rsidP="008A3354">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If 75% of the creditors vote in favour of the restructuring (there is no requirement for majority in number of creditors), it binds the</w:t>
      </w:r>
      <w:r w:rsidR="00F1005C">
        <w:rPr>
          <w:rFonts w:ascii="Arial" w:hAnsi="Arial" w:cs="Arial"/>
          <w:color w:val="4472C4" w:themeColor="accent1"/>
          <w:sz w:val="22"/>
          <w:szCs w:val="22"/>
          <w:lang w:val="en-GB"/>
        </w:rPr>
        <w:t xml:space="preserve"> creditors</w:t>
      </w:r>
      <w:r>
        <w:rPr>
          <w:rFonts w:ascii="Arial" w:hAnsi="Arial" w:cs="Arial"/>
          <w:color w:val="4472C4" w:themeColor="accent1"/>
          <w:sz w:val="22"/>
          <w:szCs w:val="22"/>
          <w:lang w:val="en-GB"/>
        </w:rPr>
        <w:t xml:space="preserve"> </w:t>
      </w:r>
      <w:r w:rsidR="008A3354">
        <w:rPr>
          <w:rFonts w:ascii="Arial" w:hAnsi="Arial" w:cs="Arial"/>
          <w:color w:val="4472C4" w:themeColor="accent1"/>
          <w:sz w:val="22"/>
          <w:szCs w:val="22"/>
          <w:lang w:val="en-GB"/>
        </w:rPr>
        <w:t>(assuming that there is no dissenting class of creditors)</w:t>
      </w:r>
      <w:r>
        <w:rPr>
          <w:rFonts w:ascii="Arial" w:hAnsi="Arial" w:cs="Arial"/>
          <w:color w:val="4472C4" w:themeColor="accent1"/>
          <w:sz w:val="22"/>
          <w:szCs w:val="22"/>
          <w:lang w:val="en-GB"/>
        </w:rPr>
        <w:t xml:space="preserve">.  </w:t>
      </w:r>
    </w:p>
    <w:p w14:paraId="66EDA746" w14:textId="77777777" w:rsidR="008A3354" w:rsidRDefault="00790C43" w:rsidP="008A3354">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It also provides for the court to effect a cross-class cramdown if one class of creditor (Class A</w:t>
      </w:r>
      <w:r w:rsidR="008A3354">
        <w:rPr>
          <w:rFonts w:ascii="Arial" w:hAnsi="Arial" w:cs="Arial"/>
          <w:color w:val="4472C4" w:themeColor="accent1"/>
          <w:sz w:val="22"/>
          <w:szCs w:val="22"/>
          <w:lang w:val="en-GB"/>
        </w:rPr>
        <w:t xml:space="preserve"> – dissenting class</w:t>
      </w:r>
      <w:r>
        <w:rPr>
          <w:rFonts w:ascii="Arial" w:hAnsi="Arial" w:cs="Arial"/>
          <w:color w:val="4472C4" w:themeColor="accent1"/>
          <w:sz w:val="22"/>
          <w:szCs w:val="22"/>
          <w:lang w:val="en-GB"/>
        </w:rPr>
        <w:t xml:space="preserve">) does not vote in favour, but other classes vote in favour of the scheme (Class B, C, etc).  </w:t>
      </w:r>
    </w:p>
    <w:p w14:paraId="4882A5A6" w14:textId="77777777" w:rsidR="008A3354" w:rsidRDefault="008A3354" w:rsidP="008A3354">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When effecting the cram-down, the court </w:t>
      </w:r>
      <w:proofErr w:type="gramStart"/>
      <w:r>
        <w:rPr>
          <w:rFonts w:ascii="Arial" w:hAnsi="Arial" w:cs="Arial"/>
          <w:color w:val="4472C4" w:themeColor="accent1"/>
          <w:sz w:val="22"/>
          <w:szCs w:val="22"/>
          <w:lang w:val="en-GB"/>
        </w:rPr>
        <w:t>has to</w:t>
      </w:r>
      <w:proofErr w:type="gramEnd"/>
      <w:r>
        <w:rPr>
          <w:rFonts w:ascii="Arial" w:hAnsi="Arial" w:cs="Arial"/>
          <w:color w:val="4472C4" w:themeColor="accent1"/>
          <w:sz w:val="22"/>
          <w:szCs w:val="22"/>
          <w:lang w:val="en-GB"/>
        </w:rPr>
        <w:t xml:space="preserve"> be satisfied that the dissenting will not be worst off compared to if the scheme is rejected.</w:t>
      </w:r>
    </w:p>
    <w:p w14:paraId="2F57801B" w14:textId="0DAD7EA9" w:rsidR="009B07AD" w:rsidRDefault="008A3354" w:rsidP="008A3354">
      <w:pPr>
        <w:pStyle w:val="ListParagraph"/>
        <w:numPr>
          <w:ilvl w:val="0"/>
          <w:numId w:val="19"/>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When making the application for the restructuring process, the debtor may also apply for a moratorium providing the debtor company with “breathing space” to work out a restructuring plan.  </w:t>
      </w:r>
    </w:p>
    <w:p w14:paraId="53E0CE5E" w14:textId="77777777" w:rsidR="0053772A" w:rsidRDefault="0053772A" w:rsidP="0053772A">
      <w:pPr>
        <w:pStyle w:val="ListParagraph"/>
        <w:ind w:left="1800"/>
        <w:jc w:val="both"/>
        <w:rPr>
          <w:rFonts w:ascii="Arial" w:hAnsi="Arial" w:cs="Arial"/>
          <w:color w:val="4472C4" w:themeColor="accent1"/>
          <w:sz w:val="22"/>
          <w:szCs w:val="22"/>
          <w:lang w:val="en-GB"/>
        </w:rPr>
      </w:pPr>
    </w:p>
    <w:p w14:paraId="0BECBCDA" w14:textId="04FCE1C9" w:rsidR="007033CF" w:rsidRDefault="007033CF" w:rsidP="00C6686D">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Moratorium</w:t>
      </w:r>
    </w:p>
    <w:p w14:paraId="746E83F4" w14:textId="77777777" w:rsidR="0077572C" w:rsidRDefault="0077572C" w:rsidP="0077572C">
      <w:pPr>
        <w:pStyle w:val="ListParagraph"/>
        <w:ind w:left="1440"/>
        <w:jc w:val="both"/>
        <w:rPr>
          <w:rFonts w:ascii="Arial" w:hAnsi="Arial" w:cs="Arial"/>
          <w:color w:val="4472C4" w:themeColor="accent1"/>
          <w:sz w:val="22"/>
          <w:szCs w:val="22"/>
          <w:lang w:val="en-GB"/>
        </w:rPr>
      </w:pPr>
    </w:p>
    <w:p w14:paraId="1176413E" w14:textId="7D0A7710" w:rsidR="00DC3087" w:rsidRDefault="00DC3087" w:rsidP="00DC3087">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 viable (but distressed) company may apply for a moratorium.  The aim is to provide the company space to work out a restructuring (turnaround plan).  </w:t>
      </w:r>
    </w:p>
    <w:p w14:paraId="15868AEA" w14:textId="3EFACFA4" w:rsidR="00DC3087" w:rsidRDefault="00DC3087" w:rsidP="00DC3087">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initial period of moratorium is for a period of 20-business days, which can be extended for another 20-business day.  Any extension beyond that would require the approval of the creditors or the court.  </w:t>
      </w:r>
    </w:p>
    <w:p w14:paraId="36FCA717" w14:textId="6EA22D8C" w:rsidR="00DC3087" w:rsidRDefault="00DC3087" w:rsidP="00DC3087">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Management of the company – during the moratorium, the day-to-day management of the company is in the hands of its directors.  However, the management is under the supervision (oversight) by an insolvency practitioner (monitor).  Certain transactions would require the consent of the insolvency practitioner (monitor).  </w:t>
      </w:r>
    </w:p>
    <w:p w14:paraId="5EBA34D1" w14:textId="7259D618" w:rsidR="00DC3087" w:rsidRDefault="00DC3087" w:rsidP="00DC3087">
      <w:pPr>
        <w:pStyle w:val="ListParagraph"/>
        <w:numPr>
          <w:ilvl w:val="0"/>
          <w:numId w:val="20"/>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Debts incurred during the moratorium period – Supplies (debts) incurred during the moratorium period must be paid in full.  This includes wages and salaries and amount due under the loan agreements.  As the amount due under the loan agreements are typically a large (larger) amount, the extension of moratorium is largely in the hands of the lenders.  </w:t>
      </w:r>
      <w:r w:rsidRPr="00DC3087">
        <w:rPr>
          <w:rFonts w:ascii="Arial" w:hAnsi="Arial" w:cs="Arial"/>
          <w:color w:val="4472C4" w:themeColor="accent1"/>
          <w:sz w:val="22"/>
          <w:szCs w:val="22"/>
          <w:lang w:val="en-GB"/>
        </w:rPr>
        <w:t xml:space="preserve"> </w:t>
      </w:r>
    </w:p>
    <w:p w14:paraId="7B7750C6" w14:textId="77777777" w:rsidR="0053772A" w:rsidRPr="00DC3087" w:rsidRDefault="0053772A" w:rsidP="0053772A">
      <w:pPr>
        <w:pStyle w:val="ListParagraph"/>
        <w:ind w:left="1800"/>
        <w:jc w:val="both"/>
        <w:rPr>
          <w:rFonts w:ascii="Arial" w:hAnsi="Arial" w:cs="Arial"/>
          <w:color w:val="4472C4" w:themeColor="accent1"/>
          <w:sz w:val="22"/>
          <w:szCs w:val="22"/>
          <w:lang w:val="en-GB"/>
        </w:rPr>
      </w:pPr>
    </w:p>
    <w:p w14:paraId="14F9476E" w14:textId="77777777" w:rsidR="0077572C" w:rsidRDefault="007033CF" w:rsidP="00C6686D">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Wrongful trading</w:t>
      </w:r>
    </w:p>
    <w:p w14:paraId="0313A0E1" w14:textId="4EC920B9" w:rsidR="007033CF" w:rsidRDefault="007033CF" w:rsidP="0077572C">
      <w:pPr>
        <w:pStyle w:val="ListParagraph"/>
        <w:ind w:left="1440"/>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1B1851F3" w14:textId="35AA35BD" w:rsidR="00EE36CD" w:rsidRDefault="00EE36CD" w:rsidP="00EE36CD">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 Insolvency Act 1986 makes the directors personally liable for wrongful (insolvent) trading.  </w:t>
      </w:r>
    </w:p>
    <w:p w14:paraId="5DDC51C6" w14:textId="4F0307C9" w:rsidR="00EE36CD" w:rsidRDefault="00EE36CD" w:rsidP="00EE36CD">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This rule on wrongful (insolvent) trading is relaxed during the “pandemic period” – it expires on 30 June 2021.  The ‘relaxation” provides that the court is to assume that the director is not responsible for worsening financial position of the debtor (creditors) company.  </w:t>
      </w:r>
    </w:p>
    <w:p w14:paraId="424E7EC3" w14:textId="2B62B816" w:rsidR="00EE36CD" w:rsidRDefault="00EE36CD" w:rsidP="00EE36CD">
      <w:pPr>
        <w:pStyle w:val="ListParagraph"/>
        <w:numPr>
          <w:ilvl w:val="0"/>
          <w:numId w:val="21"/>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 xml:space="preserve">While there is relaxation on wrongful (insolvent) trading rule, the provision relating to fraudulent trading continues to apply.  </w:t>
      </w:r>
    </w:p>
    <w:p w14:paraId="053CFD16" w14:textId="0FC5E759" w:rsidR="0053772A" w:rsidRDefault="0053772A" w:rsidP="0053772A">
      <w:pPr>
        <w:pStyle w:val="ListParagraph"/>
        <w:ind w:left="1800"/>
        <w:jc w:val="both"/>
        <w:rPr>
          <w:rFonts w:ascii="Arial" w:hAnsi="Arial" w:cs="Arial"/>
          <w:color w:val="4472C4" w:themeColor="accent1"/>
          <w:sz w:val="22"/>
          <w:szCs w:val="22"/>
          <w:lang w:val="en-GB"/>
        </w:rPr>
      </w:pPr>
    </w:p>
    <w:p w14:paraId="3648F735" w14:textId="77777777" w:rsidR="0053772A" w:rsidRDefault="0053772A" w:rsidP="0053772A">
      <w:pPr>
        <w:pStyle w:val="ListParagraph"/>
        <w:ind w:left="1800"/>
        <w:jc w:val="both"/>
        <w:rPr>
          <w:rFonts w:ascii="Arial" w:hAnsi="Arial" w:cs="Arial"/>
          <w:color w:val="4472C4" w:themeColor="accent1"/>
          <w:sz w:val="22"/>
          <w:szCs w:val="22"/>
          <w:lang w:val="en-GB"/>
        </w:rPr>
      </w:pPr>
    </w:p>
    <w:p w14:paraId="561ABF52" w14:textId="3A3601DB" w:rsidR="007033CF" w:rsidRDefault="0053772A" w:rsidP="00C6686D">
      <w:pPr>
        <w:pStyle w:val="ListParagraph"/>
        <w:numPr>
          <w:ilvl w:val="0"/>
          <w:numId w:val="18"/>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S</w:t>
      </w:r>
      <w:r w:rsidR="007033CF">
        <w:rPr>
          <w:rFonts w:ascii="Arial" w:hAnsi="Arial" w:cs="Arial"/>
          <w:color w:val="4472C4" w:themeColor="accent1"/>
          <w:sz w:val="22"/>
          <w:szCs w:val="22"/>
          <w:lang w:val="en-GB"/>
        </w:rPr>
        <w:t>tatutory demand</w:t>
      </w:r>
      <w:r>
        <w:rPr>
          <w:rFonts w:ascii="Arial" w:hAnsi="Arial" w:cs="Arial"/>
          <w:color w:val="4472C4" w:themeColor="accent1"/>
          <w:sz w:val="22"/>
          <w:szCs w:val="22"/>
          <w:lang w:val="en-GB"/>
        </w:rPr>
        <w:t xml:space="preserve"> and winding-up petition</w:t>
      </w:r>
    </w:p>
    <w:p w14:paraId="44F1FF8E" w14:textId="77777777" w:rsidR="0077572C" w:rsidRDefault="0077572C" w:rsidP="0077572C">
      <w:pPr>
        <w:pStyle w:val="ListParagraph"/>
        <w:ind w:left="1440"/>
        <w:jc w:val="both"/>
        <w:rPr>
          <w:rFonts w:ascii="Arial" w:hAnsi="Arial" w:cs="Arial"/>
          <w:color w:val="4472C4" w:themeColor="accent1"/>
          <w:sz w:val="22"/>
          <w:szCs w:val="22"/>
          <w:lang w:val="en-GB"/>
        </w:rPr>
      </w:pPr>
    </w:p>
    <w:p w14:paraId="7F39AFCE" w14:textId="30F089BF" w:rsidR="0053772A" w:rsidRDefault="0053772A" w:rsidP="0053772A">
      <w:pPr>
        <w:pStyle w:val="ListParagraph"/>
        <w:numPr>
          <w:ilvl w:val="0"/>
          <w:numId w:val="22"/>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There was a ban on statutory demands served between 1 March 2020 to 30 Sept 2021 (a period of 19 months) from being used, for presenting a winding up petition.  </w:t>
      </w:r>
    </w:p>
    <w:p w14:paraId="039E27B5" w14:textId="43F06D19" w:rsidR="00C82D87" w:rsidRPr="00205B31" w:rsidRDefault="00C82D87" w:rsidP="007033CF">
      <w:pPr>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4E80F38F" w:rsidR="0030558B" w:rsidRDefault="0030558B" w:rsidP="00E54ADD">
      <w:pPr>
        <w:jc w:val="both"/>
        <w:rPr>
          <w:rFonts w:ascii="Arial" w:hAnsi="Arial" w:cs="Arial"/>
          <w:sz w:val="22"/>
          <w:szCs w:val="22"/>
          <w:lang w:val="en-GB"/>
        </w:rPr>
      </w:pPr>
    </w:p>
    <w:p w14:paraId="440CA6FD" w14:textId="77777777" w:rsidR="00410813" w:rsidRPr="00205B31" w:rsidRDefault="00410813" w:rsidP="00E54ADD">
      <w:pPr>
        <w:jc w:val="both"/>
        <w:rPr>
          <w:rFonts w:ascii="Arial" w:hAnsi="Arial" w:cs="Arial"/>
          <w:sz w:val="22"/>
          <w:szCs w:val="22"/>
          <w:lang w:val="en-GB"/>
        </w:rPr>
      </w:pPr>
    </w:p>
    <w:p w14:paraId="3C599E87" w14:textId="08B69B99" w:rsidR="005D32AB" w:rsidRDefault="007F5D99" w:rsidP="005D32AB">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1</w:t>
      </w:r>
      <w:r>
        <w:rPr>
          <w:rFonts w:ascii="Arial" w:hAnsi="Arial" w:cs="Arial"/>
          <w:color w:val="4472C4" w:themeColor="accent1"/>
          <w:sz w:val="22"/>
          <w:szCs w:val="22"/>
          <w:lang w:val="en-GB"/>
        </w:rPr>
        <w:tab/>
      </w:r>
      <w:r w:rsidR="005D32AB">
        <w:rPr>
          <w:rFonts w:ascii="Arial" w:hAnsi="Arial" w:cs="Arial"/>
          <w:color w:val="4472C4" w:themeColor="accent1"/>
          <w:sz w:val="22"/>
          <w:szCs w:val="22"/>
          <w:lang w:val="en-GB"/>
        </w:rPr>
        <w:t xml:space="preserve">Treaties are bilateral and multilateral agreements among States which bind themselves and are coded in their domestic laws.  They are </w:t>
      </w:r>
      <w:r w:rsidR="005D32AB" w:rsidRPr="005D32AB">
        <w:rPr>
          <w:rFonts w:ascii="Arial" w:hAnsi="Arial" w:cs="Arial"/>
          <w:color w:val="4472C4" w:themeColor="accent1"/>
          <w:sz w:val="22"/>
          <w:szCs w:val="22"/>
          <w:lang w:val="en-GB"/>
        </w:rPr>
        <w:t xml:space="preserve">enforceable is their courts “hard law”. </w:t>
      </w:r>
    </w:p>
    <w:p w14:paraId="52446C3E" w14:textId="2A9BAC91" w:rsidR="00E574E3" w:rsidRDefault="00E574E3" w:rsidP="00293F98">
      <w:p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  </w:t>
      </w:r>
    </w:p>
    <w:p w14:paraId="43718D0D" w14:textId="0F394FAA" w:rsidR="00293F98" w:rsidRDefault="007F5D99" w:rsidP="00E574E3">
      <w:pPr>
        <w:ind w:left="709"/>
        <w:jc w:val="both"/>
        <w:rPr>
          <w:rFonts w:ascii="Arial" w:hAnsi="Arial" w:cs="Arial"/>
          <w:color w:val="4472C4" w:themeColor="accent1"/>
          <w:sz w:val="22"/>
          <w:szCs w:val="22"/>
          <w:lang w:val="en-GB"/>
        </w:rPr>
      </w:pPr>
      <w:r>
        <w:rPr>
          <w:rFonts w:ascii="Arial" w:hAnsi="Arial" w:cs="Arial"/>
          <w:color w:val="4472C4" w:themeColor="accent1"/>
          <w:sz w:val="22"/>
          <w:szCs w:val="22"/>
          <w:lang w:val="en-GB"/>
        </w:rPr>
        <w:t>2</w:t>
      </w:r>
      <w:r>
        <w:rPr>
          <w:rFonts w:ascii="Arial" w:hAnsi="Arial" w:cs="Arial"/>
          <w:color w:val="4472C4" w:themeColor="accent1"/>
          <w:sz w:val="22"/>
          <w:szCs w:val="22"/>
          <w:lang w:val="en-GB"/>
        </w:rPr>
        <w:tab/>
      </w:r>
      <w:r w:rsidR="00E574E3">
        <w:rPr>
          <w:rFonts w:ascii="Arial" w:hAnsi="Arial" w:cs="Arial"/>
          <w:color w:val="4472C4" w:themeColor="accent1"/>
          <w:sz w:val="22"/>
          <w:szCs w:val="22"/>
          <w:lang w:val="en-GB"/>
        </w:rPr>
        <w:t xml:space="preserve">An example of treaty (hard law) is the Nordic Convention on Bankruptcy (1933).  This is a successful multilateral treaty involving </w:t>
      </w:r>
      <w:r w:rsidR="00724639">
        <w:rPr>
          <w:rFonts w:ascii="Arial" w:hAnsi="Arial" w:cs="Arial"/>
          <w:color w:val="4472C4" w:themeColor="accent1"/>
          <w:sz w:val="22"/>
          <w:szCs w:val="22"/>
          <w:lang w:val="en-GB"/>
        </w:rPr>
        <w:t xml:space="preserve">5 Nordic countries - </w:t>
      </w:r>
      <w:r w:rsidR="00E574E3">
        <w:rPr>
          <w:rFonts w:ascii="Arial" w:hAnsi="Arial" w:cs="Arial"/>
          <w:color w:val="4472C4" w:themeColor="accent1"/>
          <w:sz w:val="22"/>
          <w:szCs w:val="22"/>
          <w:lang w:val="en-GB"/>
        </w:rPr>
        <w:t xml:space="preserve">Norway, Sweden, Finland, </w:t>
      </w:r>
      <w:proofErr w:type="gramStart"/>
      <w:r w:rsidR="00E574E3">
        <w:rPr>
          <w:rFonts w:ascii="Arial" w:hAnsi="Arial" w:cs="Arial"/>
          <w:color w:val="4472C4" w:themeColor="accent1"/>
          <w:sz w:val="22"/>
          <w:szCs w:val="22"/>
          <w:lang w:val="en-GB"/>
        </w:rPr>
        <w:t>Denmark</w:t>
      </w:r>
      <w:proofErr w:type="gramEnd"/>
      <w:r w:rsidR="00E574E3">
        <w:rPr>
          <w:rFonts w:ascii="Arial" w:hAnsi="Arial" w:cs="Arial"/>
          <w:color w:val="4472C4" w:themeColor="accent1"/>
          <w:sz w:val="22"/>
          <w:szCs w:val="22"/>
          <w:lang w:val="en-GB"/>
        </w:rPr>
        <w:t xml:space="preserve"> and Iceland. </w:t>
      </w:r>
      <w:r w:rsidR="00724639">
        <w:rPr>
          <w:rFonts w:ascii="Arial" w:hAnsi="Arial" w:cs="Arial"/>
          <w:color w:val="4472C4" w:themeColor="accent1"/>
          <w:sz w:val="22"/>
          <w:szCs w:val="22"/>
          <w:lang w:val="en-GB"/>
        </w:rPr>
        <w:t>When a bankruptcy order is issued in any of the member State, it is recognised by other States without the need for further formalities.  An insolvency administrator is recognised in every member States and may directly request the assistance of other States’ courts and public authorities.  There is an immediate stay of creditor actions in all States when an insolvency administrator is appointed, which has the effect on almost all the assets of the bankrupt’s debtor</w:t>
      </w:r>
      <w:r w:rsidR="00B24F7D">
        <w:rPr>
          <w:rFonts w:ascii="Arial" w:hAnsi="Arial" w:cs="Arial"/>
          <w:color w:val="4472C4" w:themeColor="accent1"/>
          <w:sz w:val="22"/>
          <w:szCs w:val="22"/>
          <w:lang w:val="en-GB"/>
        </w:rPr>
        <w:t xml:space="preserve"> (except for real property). </w:t>
      </w:r>
    </w:p>
    <w:p w14:paraId="1EC8EE74" w14:textId="77777777" w:rsidR="00293F98" w:rsidRDefault="00293F98" w:rsidP="00E574E3">
      <w:pPr>
        <w:ind w:left="709"/>
        <w:jc w:val="both"/>
        <w:rPr>
          <w:rFonts w:ascii="Arial" w:hAnsi="Arial" w:cs="Arial"/>
          <w:color w:val="4472C4" w:themeColor="accent1"/>
          <w:sz w:val="22"/>
          <w:szCs w:val="22"/>
          <w:lang w:val="en-GB"/>
        </w:rPr>
      </w:pPr>
    </w:p>
    <w:p w14:paraId="1D7087B9" w14:textId="59BFEF44" w:rsidR="00293F98" w:rsidRDefault="007F5D99" w:rsidP="00293F98">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3</w:t>
      </w:r>
      <w:r>
        <w:rPr>
          <w:rFonts w:ascii="Arial" w:hAnsi="Arial" w:cs="Arial"/>
          <w:color w:val="4472C4" w:themeColor="accent1"/>
          <w:sz w:val="22"/>
          <w:szCs w:val="22"/>
          <w:lang w:val="en-GB"/>
        </w:rPr>
        <w:tab/>
      </w:r>
      <w:r w:rsidR="00293F98" w:rsidRPr="005D32AB">
        <w:rPr>
          <w:rFonts w:ascii="Arial" w:hAnsi="Arial" w:cs="Arial"/>
          <w:color w:val="4472C4" w:themeColor="accent1"/>
          <w:sz w:val="22"/>
          <w:szCs w:val="22"/>
          <w:lang w:val="en-GB"/>
        </w:rPr>
        <w:t xml:space="preserve">On the other hand, </w:t>
      </w:r>
      <w:r w:rsidR="00293F98">
        <w:rPr>
          <w:rFonts w:ascii="Arial" w:hAnsi="Arial" w:cs="Arial"/>
          <w:color w:val="4472C4" w:themeColor="accent1"/>
          <w:sz w:val="22"/>
          <w:szCs w:val="22"/>
          <w:lang w:val="en-GB"/>
        </w:rPr>
        <w:t xml:space="preserve">soft law is a form of “model law” that is not legally binding.  However, it provides a model or template to States </w:t>
      </w:r>
      <w:r w:rsidR="00B064F4">
        <w:rPr>
          <w:rFonts w:ascii="Arial" w:hAnsi="Arial" w:cs="Arial"/>
          <w:color w:val="4472C4" w:themeColor="accent1"/>
          <w:sz w:val="22"/>
          <w:szCs w:val="22"/>
          <w:lang w:val="en-GB"/>
        </w:rPr>
        <w:t>that</w:t>
      </w:r>
      <w:r w:rsidR="00293F98">
        <w:rPr>
          <w:rFonts w:ascii="Arial" w:hAnsi="Arial" w:cs="Arial"/>
          <w:color w:val="4472C4" w:themeColor="accent1"/>
          <w:sz w:val="22"/>
          <w:szCs w:val="22"/>
          <w:lang w:val="en-GB"/>
        </w:rPr>
        <w:t xml:space="preserve"> is motivated or inclined to update its domestic law to be in harmony with other States</w:t>
      </w:r>
      <w:r w:rsidR="00322764">
        <w:rPr>
          <w:rFonts w:ascii="Arial" w:hAnsi="Arial" w:cs="Arial"/>
          <w:color w:val="4472C4" w:themeColor="accent1"/>
          <w:sz w:val="22"/>
          <w:szCs w:val="22"/>
          <w:lang w:val="en-GB"/>
        </w:rPr>
        <w:t xml:space="preserve">.  </w:t>
      </w:r>
    </w:p>
    <w:p w14:paraId="4EEFE8F9" w14:textId="64C9706C" w:rsidR="00FA7FC2" w:rsidRDefault="00FA7FC2" w:rsidP="00293F98">
      <w:pPr>
        <w:ind w:left="720"/>
        <w:jc w:val="both"/>
        <w:rPr>
          <w:rFonts w:ascii="Arial" w:hAnsi="Arial" w:cs="Arial"/>
          <w:color w:val="4472C4" w:themeColor="accent1"/>
          <w:sz w:val="22"/>
          <w:szCs w:val="22"/>
          <w:lang w:val="en-GB"/>
        </w:rPr>
      </w:pPr>
    </w:p>
    <w:p w14:paraId="1EEAC284" w14:textId="5B837F42" w:rsidR="00FA7FC2" w:rsidRDefault="007F5D99" w:rsidP="00293F98">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4</w:t>
      </w:r>
      <w:r>
        <w:rPr>
          <w:rFonts w:ascii="Arial" w:hAnsi="Arial" w:cs="Arial"/>
          <w:color w:val="4472C4" w:themeColor="accent1"/>
          <w:sz w:val="22"/>
          <w:szCs w:val="22"/>
          <w:lang w:val="en-GB"/>
        </w:rPr>
        <w:tab/>
      </w:r>
      <w:r w:rsidR="00FA7FC2">
        <w:rPr>
          <w:rFonts w:ascii="Arial" w:hAnsi="Arial" w:cs="Arial"/>
          <w:color w:val="4472C4" w:themeColor="accent1"/>
          <w:sz w:val="22"/>
          <w:szCs w:val="22"/>
          <w:lang w:val="en-GB"/>
        </w:rPr>
        <w:t>The most successful soft law is the UNCITRAL Model Law on Cross-Border Insolvency</w:t>
      </w:r>
      <w:r w:rsidR="0062001F">
        <w:rPr>
          <w:rFonts w:ascii="Arial" w:hAnsi="Arial" w:cs="Arial"/>
          <w:color w:val="4472C4" w:themeColor="accent1"/>
          <w:sz w:val="22"/>
          <w:szCs w:val="22"/>
          <w:lang w:val="en-GB"/>
        </w:rPr>
        <w:t xml:space="preserve"> </w:t>
      </w:r>
      <w:r w:rsidR="009D4EC2">
        <w:rPr>
          <w:rFonts w:ascii="Arial" w:hAnsi="Arial" w:cs="Arial"/>
          <w:color w:val="4472C4" w:themeColor="accent1"/>
          <w:sz w:val="22"/>
          <w:szCs w:val="22"/>
          <w:lang w:val="en-GB"/>
        </w:rPr>
        <w:t xml:space="preserve">(1997) </w:t>
      </w:r>
      <w:r w:rsidR="0062001F">
        <w:rPr>
          <w:rFonts w:ascii="Arial" w:hAnsi="Arial" w:cs="Arial"/>
          <w:color w:val="4472C4" w:themeColor="accent1"/>
          <w:sz w:val="22"/>
          <w:szCs w:val="22"/>
          <w:lang w:val="en-GB"/>
        </w:rPr>
        <w:t>(UNCITRAL MLCBI)</w:t>
      </w:r>
      <w:r w:rsidR="00FA7FC2">
        <w:rPr>
          <w:rFonts w:ascii="Arial" w:hAnsi="Arial" w:cs="Arial"/>
          <w:color w:val="4472C4" w:themeColor="accent1"/>
          <w:sz w:val="22"/>
          <w:szCs w:val="22"/>
          <w:lang w:val="en-GB"/>
        </w:rPr>
        <w:t xml:space="preserve">.  It provides a model (template) and recommend member States to adopt it with or without modifications.  To date, over 40 members have adopted this model law.  Most recently, Singapore has adopted this model law in 2017. </w:t>
      </w:r>
    </w:p>
    <w:p w14:paraId="63AFFC39" w14:textId="716C01ED" w:rsidR="001033E6" w:rsidRDefault="001033E6" w:rsidP="00293F98">
      <w:pPr>
        <w:ind w:left="720"/>
        <w:jc w:val="both"/>
        <w:rPr>
          <w:rFonts w:ascii="Arial" w:hAnsi="Arial" w:cs="Arial"/>
          <w:color w:val="4472C4" w:themeColor="accent1"/>
          <w:sz w:val="22"/>
          <w:szCs w:val="22"/>
          <w:lang w:val="en-GB"/>
        </w:rPr>
      </w:pPr>
    </w:p>
    <w:p w14:paraId="5792DE87" w14:textId="06F3B042" w:rsidR="001033E6" w:rsidRDefault="007F5D99" w:rsidP="00293F98">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5</w:t>
      </w:r>
      <w:r>
        <w:rPr>
          <w:rFonts w:ascii="Arial" w:hAnsi="Arial" w:cs="Arial"/>
          <w:color w:val="4472C4" w:themeColor="accent1"/>
          <w:sz w:val="22"/>
          <w:szCs w:val="22"/>
          <w:lang w:val="en-GB"/>
        </w:rPr>
        <w:tab/>
      </w:r>
      <w:r w:rsidR="001033E6">
        <w:rPr>
          <w:rFonts w:ascii="Arial" w:hAnsi="Arial" w:cs="Arial"/>
          <w:color w:val="4472C4" w:themeColor="accent1"/>
          <w:sz w:val="22"/>
          <w:szCs w:val="22"/>
          <w:lang w:val="en-GB"/>
        </w:rPr>
        <w:t xml:space="preserve">The key principles of UNCITRAL MLCBI relates to co-operation and co-ordination.  It places obligations on courts and insolvency representatives to communicate, co-operation and co-ordinate with each other with the view of administering the insolvent estate in an efficient manner, such that the returns to the creditors may be optimised. </w:t>
      </w:r>
    </w:p>
    <w:p w14:paraId="405CDE90" w14:textId="45D30F5B" w:rsidR="0062001F" w:rsidRDefault="0062001F" w:rsidP="00293F98">
      <w:pPr>
        <w:ind w:left="720"/>
        <w:jc w:val="both"/>
        <w:rPr>
          <w:rFonts w:ascii="Arial" w:hAnsi="Arial" w:cs="Arial"/>
          <w:color w:val="4472C4" w:themeColor="accent1"/>
          <w:sz w:val="22"/>
          <w:szCs w:val="22"/>
          <w:lang w:val="en-GB"/>
        </w:rPr>
      </w:pPr>
    </w:p>
    <w:p w14:paraId="4D00F61E" w14:textId="7CF9482D" w:rsidR="0062001F" w:rsidRDefault="007F5D99" w:rsidP="00293F98">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6</w:t>
      </w:r>
      <w:r>
        <w:rPr>
          <w:rFonts w:ascii="Arial" w:hAnsi="Arial" w:cs="Arial"/>
          <w:color w:val="4472C4" w:themeColor="accent1"/>
          <w:sz w:val="22"/>
          <w:szCs w:val="22"/>
          <w:lang w:val="en-GB"/>
        </w:rPr>
        <w:tab/>
      </w:r>
      <w:r w:rsidR="0062001F">
        <w:rPr>
          <w:rFonts w:ascii="Arial" w:hAnsi="Arial" w:cs="Arial"/>
          <w:color w:val="4472C4" w:themeColor="accent1"/>
          <w:sz w:val="22"/>
          <w:szCs w:val="22"/>
          <w:lang w:val="en-GB"/>
        </w:rPr>
        <w:t xml:space="preserve">Another example of soft law is the World Bank Principles for Effective Insolvency and Creditor / Debtor Regimes </w:t>
      </w:r>
      <w:r w:rsidR="009D4EC2">
        <w:rPr>
          <w:rFonts w:ascii="Arial" w:hAnsi="Arial" w:cs="Arial"/>
          <w:color w:val="4472C4" w:themeColor="accent1"/>
          <w:sz w:val="22"/>
          <w:szCs w:val="22"/>
          <w:lang w:val="en-GB"/>
        </w:rPr>
        <w:t xml:space="preserve">(2021) </w:t>
      </w:r>
      <w:r w:rsidR="0062001F">
        <w:rPr>
          <w:rFonts w:ascii="Arial" w:hAnsi="Arial" w:cs="Arial"/>
          <w:color w:val="4472C4" w:themeColor="accent1"/>
          <w:sz w:val="22"/>
          <w:szCs w:val="22"/>
          <w:lang w:val="en-GB"/>
        </w:rPr>
        <w:t xml:space="preserve">(World Bank Principles).  </w:t>
      </w:r>
    </w:p>
    <w:p w14:paraId="101589E0" w14:textId="2556FFAA" w:rsidR="0062001F" w:rsidRDefault="0062001F" w:rsidP="00293F98">
      <w:pPr>
        <w:ind w:left="720"/>
        <w:jc w:val="both"/>
        <w:rPr>
          <w:rFonts w:ascii="Arial" w:hAnsi="Arial" w:cs="Arial"/>
          <w:color w:val="4472C4" w:themeColor="accent1"/>
          <w:sz w:val="22"/>
          <w:szCs w:val="22"/>
          <w:lang w:val="en-GB"/>
        </w:rPr>
      </w:pPr>
    </w:p>
    <w:p w14:paraId="2862307A" w14:textId="427A545A" w:rsidR="00322764" w:rsidRDefault="007F5D99" w:rsidP="0062001F">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7</w:t>
      </w:r>
      <w:r>
        <w:rPr>
          <w:rFonts w:ascii="Arial" w:hAnsi="Arial" w:cs="Arial"/>
          <w:color w:val="4472C4" w:themeColor="accent1"/>
          <w:sz w:val="22"/>
          <w:szCs w:val="22"/>
          <w:lang w:val="en-GB"/>
        </w:rPr>
        <w:tab/>
      </w:r>
      <w:r w:rsidR="0062001F">
        <w:rPr>
          <w:rFonts w:ascii="Arial" w:hAnsi="Arial" w:cs="Arial"/>
          <w:color w:val="4472C4" w:themeColor="accent1"/>
          <w:sz w:val="22"/>
          <w:szCs w:val="22"/>
          <w:lang w:val="en-GB"/>
        </w:rPr>
        <w:t xml:space="preserve">IMF and World Bank sometimes require developing countries who want loans from them to update their domestic bankruptcy law.  UNCITRAL MLCBI and World Bank Principles are models (templates) that could be used for their domestic insolvency laws.  </w:t>
      </w:r>
    </w:p>
    <w:p w14:paraId="572227E7" w14:textId="763D0A81" w:rsidR="0045683E" w:rsidRPr="00205B31" w:rsidRDefault="00B24F7D" w:rsidP="00E574E3">
      <w:pPr>
        <w:ind w:left="709"/>
        <w:jc w:val="both"/>
        <w:rPr>
          <w:rFonts w:ascii="Arial" w:hAnsi="Arial" w:cs="Arial"/>
          <w:b/>
          <w:sz w:val="22"/>
          <w:szCs w:val="22"/>
          <w:lang w:val="en-GB"/>
        </w:rPr>
      </w:pPr>
      <w:r>
        <w:rPr>
          <w:rFonts w:ascii="Arial" w:hAnsi="Arial" w:cs="Arial"/>
          <w:color w:val="4472C4" w:themeColor="accent1"/>
          <w:sz w:val="22"/>
          <w:szCs w:val="22"/>
          <w:lang w:val="en-GB"/>
        </w:rPr>
        <w:t xml:space="preserve">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0B37D76F" w14:textId="31A53822" w:rsidR="009B6BCE" w:rsidRDefault="007F5D99" w:rsidP="009B6BCE">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1</w:t>
      </w:r>
      <w:r>
        <w:rPr>
          <w:rFonts w:ascii="Arial" w:hAnsi="Arial" w:cs="Arial"/>
          <w:color w:val="4472C4" w:themeColor="accent1"/>
          <w:sz w:val="22"/>
          <w:szCs w:val="22"/>
          <w:lang w:val="en-GB"/>
        </w:rPr>
        <w:tab/>
      </w:r>
      <w:r w:rsidR="009B6BCE">
        <w:rPr>
          <w:rFonts w:ascii="Arial" w:hAnsi="Arial" w:cs="Arial"/>
          <w:color w:val="4472C4" w:themeColor="accent1"/>
          <w:sz w:val="22"/>
          <w:szCs w:val="22"/>
          <w:lang w:val="en-GB"/>
        </w:rPr>
        <w:t xml:space="preserve">Most countries have some form of domestic insolvency regime. Some countries have it in one legislation, while other have it in more than one </w:t>
      </w:r>
      <w:r w:rsidR="00E67D9F">
        <w:rPr>
          <w:rFonts w:ascii="Arial" w:hAnsi="Arial" w:cs="Arial"/>
          <w:color w:val="4472C4" w:themeColor="accent1"/>
          <w:sz w:val="22"/>
          <w:szCs w:val="22"/>
          <w:lang w:val="en-GB"/>
        </w:rPr>
        <w:t>legislation</w:t>
      </w:r>
      <w:r w:rsidR="009B6BCE">
        <w:rPr>
          <w:rFonts w:ascii="Arial" w:hAnsi="Arial" w:cs="Arial"/>
          <w:color w:val="4472C4" w:themeColor="accent1"/>
          <w:sz w:val="22"/>
          <w:szCs w:val="22"/>
          <w:lang w:val="en-GB"/>
        </w:rPr>
        <w:t xml:space="preserve">.  The following are some examples – </w:t>
      </w:r>
    </w:p>
    <w:p w14:paraId="7432D8F7" w14:textId="1A38B3D8" w:rsidR="009B6BCE" w:rsidRDefault="009B6BCE" w:rsidP="009B6BCE">
      <w:pPr>
        <w:ind w:left="720"/>
        <w:jc w:val="both"/>
        <w:rPr>
          <w:rFonts w:ascii="Arial" w:hAnsi="Arial" w:cs="Arial"/>
          <w:color w:val="4472C4" w:themeColor="accent1"/>
          <w:sz w:val="22"/>
          <w:szCs w:val="22"/>
          <w:lang w:val="en-GB"/>
        </w:rPr>
      </w:pPr>
    </w:p>
    <w:p w14:paraId="05CD77EF" w14:textId="654CDD1B" w:rsidR="009B6BCE" w:rsidRDefault="009B6BCE" w:rsidP="00E67D9F">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 USA, there is a Bankruptcy Cod</w:t>
      </w:r>
      <w:r w:rsidR="003432CF">
        <w:rPr>
          <w:rFonts w:ascii="Arial" w:hAnsi="Arial" w:cs="Arial"/>
          <w:color w:val="4472C4" w:themeColor="accent1"/>
          <w:sz w:val="22"/>
          <w:szCs w:val="22"/>
          <w:lang w:val="en-GB"/>
        </w:rPr>
        <w:t>e</w:t>
      </w:r>
      <w:r>
        <w:rPr>
          <w:rFonts w:ascii="Arial" w:hAnsi="Arial" w:cs="Arial"/>
          <w:color w:val="4472C4" w:themeColor="accent1"/>
          <w:sz w:val="22"/>
          <w:szCs w:val="22"/>
          <w:lang w:val="en-GB"/>
        </w:rPr>
        <w:t xml:space="preserve"> 1978, a single </w:t>
      </w:r>
      <w:r w:rsidR="00E67D9F">
        <w:rPr>
          <w:rFonts w:ascii="Arial" w:hAnsi="Arial" w:cs="Arial"/>
          <w:color w:val="4472C4" w:themeColor="accent1"/>
          <w:sz w:val="22"/>
          <w:szCs w:val="22"/>
          <w:lang w:val="en-GB"/>
        </w:rPr>
        <w:t>federal</w:t>
      </w:r>
      <w:r>
        <w:rPr>
          <w:rFonts w:ascii="Arial" w:hAnsi="Arial" w:cs="Arial"/>
          <w:color w:val="4472C4" w:themeColor="accent1"/>
          <w:sz w:val="22"/>
          <w:szCs w:val="22"/>
          <w:lang w:val="en-GB"/>
        </w:rPr>
        <w:t xml:space="preserve"> legislation that covers all aspects of bankruptcy and it applies through the country.  </w:t>
      </w:r>
    </w:p>
    <w:p w14:paraId="643FE9C3" w14:textId="61A8A865" w:rsidR="009B6BCE" w:rsidRDefault="009B6BCE" w:rsidP="00E67D9F">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 the UK, there is single legislation, Insolvency Act 1986, covering all aspects of individual and corporate bankruptcy</w:t>
      </w:r>
      <w:r w:rsidR="00A4128C">
        <w:rPr>
          <w:rFonts w:ascii="Arial" w:hAnsi="Arial" w:cs="Arial"/>
          <w:color w:val="4472C4" w:themeColor="accent1"/>
          <w:sz w:val="22"/>
          <w:szCs w:val="22"/>
          <w:lang w:val="en-GB"/>
        </w:rPr>
        <w:t xml:space="preserve">. However, corporations sometimes carried out restructuring under Scheme of Arrangement via UK Companies Act 2006, rather than Insolvency Act 1986.    </w:t>
      </w:r>
      <w:r>
        <w:rPr>
          <w:rFonts w:ascii="Arial" w:hAnsi="Arial" w:cs="Arial"/>
          <w:color w:val="4472C4" w:themeColor="accent1"/>
          <w:sz w:val="22"/>
          <w:szCs w:val="22"/>
          <w:lang w:val="en-GB"/>
        </w:rPr>
        <w:t xml:space="preserve"> </w:t>
      </w:r>
    </w:p>
    <w:p w14:paraId="0C582DC7" w14:textId="1C92F45E" w:rsidR="009B6BCE" w:rsidRDefault="009B6BCE" w:rsidP="00E67D9F">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 Australia, its Corporation Act </w:t>
      </w:r>
      <w:r w:rsidR="00A4128C">
        <w:rPr>
          <w:rFonts w:ascii="Arial" w:hAnsi="Arial" w:cs="Arial"/>
          <w:color w:val="4472C4" w:themeColor="accent1"/>
          <w:sz w:val="22"/>
          <w:szCs w:val="22"/>
          <w:lang w:val="en-GB"/>
        </w:rPr>
        <w:t xml:space="preserve">2001 </w:t>
      </w:r>
      <w:r>
        <w:rPr>
          <w:rFonts w:ascii="Arial" w:hAnsi="Arial" w:cs="Arial"/>
          <w:color w:val="4472C4" w:themeColor="accent1"/>
          <w:sz w:val="22"/>
          <w:szCs w:val="22"/>
          <w:lang w:val="en-GB"/>
        </w:rPr>
        <w:t xml:space="preserve">deals with corporates insolvency, while the insolvency involving individuals is in a separate legislation. </w:t>
      </w:r>
    </w:p>
    <w:p w14:paraId="36CE641A" w14:textId="734EF353" w:rsidR="009B6BCE" w:rsidRDefault="009B6BCE" w:rsidP="00E67D9F">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In Singapore, the</w:t>
      </w:r>
      <w:r w:rsidR="00A4128C">
        <w:rPr>
          <w:rFonts w:ascii="Arial" w:hAnsi="Arial" w:cs="Arial"/>
          <w:color w:val="4472C4" w:themeColor="accent1"/>
          <w:sz w:val="22"/>
          <w:szCs w:val="22"/>
          <w:lang w:val="en-GB"/>
        </w:rPr>
        <w:t>re</w:t>
      </w:r>
      <w:r>
        <w:rPr>
          <w:rFonts w:ascii="Arial" w:hAnsi="Arial" w:cs="Arial"/>
          <w:color w:val="4472C4" w:themeColor="accent1"/>
          <w:sz w:val="22"/>
          <w:szCs w:val="22"/>
          <w:lang w:val="en-GB"/>
        </w:rPr>
        <w:t xml:space="preserve"> is a recent </w:t>
      </w:r>
      <w:r w:rsidR="00A4128C">
        <w:rPr>
          <w:rFonts w:ascii="Arial" w:hAnsi="Arial" w:cs="Arial"/>
          <w:color w:val="4472C4" w:themeColor="accent1"/>
          <w:sz w:val="22"/>
          <w:szCs w:val="22"/>
          <w:lang w:val="en-GB"/>
        </w:rPr>
        <w:t xml:space="preserve">law </w:t>
      </w:r>
      <w:r>
        <w:rPr>
          <w:rFonts w:ascii="Arial" w:hAnsi="Arial" w:cs="Arial"/>
          <w:color w:val="4472C4" w:themeColor="accent1"/>
          <w:sz w:val="22"/>
          <w:szCs w:val="22"/>
          <w:lang w:val="en-GB"/>
        </w:rPr>
        <w:t>reform.  Its Insolvency, Restructuring and Dissolution Act 2018 (IRDA</w:t>
      </w:r>
      <w:r w:rsidR="00E67D9F">
        <w:rPr>
          <w:rFonts w:ascii="Arial" w:hAnsi="Arial" w:cs="Arial"/>
          <w:color w:val="4472C4" w:themeColor="accent1"/>
          <w:sz w:val="22"/>
          <w:szCs w:val="22"/>
          <w:lang w:val="en-GB"/>
        </w:rPr>
        <w:t xml:space="preserve"> 2018</w:t>
      </w:r>
      <w:r>
        <w:rPr>
          <w:rFonts w:ascii="Arial" w:hAnsi="Arial" w:cs="Arial"/>
          <w:color w:val="4472C4" w:themeColor="accent1"/>
          <w:sz w:val="22"/>
          <w:szCs w:val="22"/>
          <w:lang w:val="en-GB"/>
        </w:rPr>
        <w:t xml:space="preserve">) </w:t>
      </w:r>
      <w:r w:rsidR="00E67D9F">
        <w:rPr>
          <w:rFonts w:ascii="Arial" w:hAnsi="Arial" w:cs="Arial"/>
          <w:color w:val="4472C4" w:themeColor="accent1"/>
          <w:sz w:val="22"/>
          <w:szCs w:val="22"/>
          <w:lang w:val="en-GB"/>
        </w:rPr>
        <w:t xml:space="preserve">is a single piece of legislation covering both corporate and individual insolvency.  </w:t>
      </w:r>
    </w:p>
    <w:p w14:paraId="0A3C76B3" w14:textId="6835F9A4" w:rsidR="00E67D9F" w:rsidRDefault="00E67D9F" w:rsidP="00E67D9F">
      <w:pPr>
        <w:jc w:val="both"/>
        <w:rPr>
          <w:rFonts w:ascii="Arial" w:hAnsi="Arial" w:cs="Arial"/>
          <w:color w:val="4472C4" w:themeColor="accent1"/>
          <w:sz w:val="22"/>
          <w:szCs w:val="22"/>
          <w:lang w:val="en-GB"/>
        </w:rPr>
      </w:pPr>
    </w:p>
    <w:p w14:paraId="79B6F8E4" w14:textId="54A20D7C" w:rsidR="00E67D9F" w:rsidRDefault="007F5D99" w:rsidP="00E67D9F">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2</w:t>
      </w:r>
      <w:r>
        <w:rPr>
          <w:rFonts w:ascii="Arial" w:hAnsi="Arial" w:cs="Arial"/>
          <w:color w:val="4472C4" w:themeColor="accent1"/>
          <w:sz w:val="22"/>
          <w:szCs w:val="22"/>
          <w:lang w:val="en-GB"/>
        </w:rPr>
        <w:tab/>
      </w:r>
      <w:r w:rsidR="00E67D9F">
        <w:rPr>
          <w:rFonts w:ascii="Arial" w:hAnsi="Arial" w:cs="Arial"/>
          <w:color w:val="4472C4" w:themeColor="accent1"/>
          <w:sz w:val="22"/>
          <w:szCs w:val="22"/>
          <w:lang w:val="en-GB"/>
        </w:rPr>
        <w:t xml:space="preserve">In addition, some countries have embedded cross-border insolvency law (or co-operations) in their domestic legislation.  The following are some examples – </w:t>
      </w:r>
    </w:p>
    <w:p w14:paraId="7C90A82C" w14:textId="24936140" w:rsidR="00E67D9F" w:rsidRDefault="00E67D9F" w:rsidP="00E67D9F">
      <w:pPr>
        <w:ind w:left="720"/>
        <w:jc w:val="both"/>
        <w:rPr>
          <w:rFonts w:ascii="Arial" w:hAnsi="Arial" w:cs="Arial"/>
          <w:color w:val="4472C4" w:themeColor="accent1"/>
          <w:sz w:val="22"/>
          <w:szCs w:val="22"/>
          <w:lang w:val="en-GB"/>
        </w:rPr>
      </w:pPr>
    </w:p>
    <w:p w14:paraId="45069776" w14:textId="0767FDE8" w:rsidR="00E67D9F" w:rsidRDefault="00E67D9F" w:rsidP="00E67D9F">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Section 426 of UK Insolvency Act 1986 allows English court to recognise winding-up proceedings of a foreign country. </w:t>
      </w:r>
    </w:p>
    <w:p w14:paraId="55C69052" w14:textId="4D127592" w:rsidR="00E67D9F" w:rsidRDefault="00E67D9F" w:rsidP="00E67D9F">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UK has also adopted UNCITRAL Model Law on Cross-Border Insolvency (UNCITRAL MLCBI)</w:t>
      </w:r>
      <w:r w:rsidR="00932D16">
        <w:rPr>
          <w:rFonts w:ascii="Arial" w:hAnsi="Arial" w:cs="Arial"/>
          <w:color w:val="4472C4" w:themeColor="accent1"/>
          <w:sz w:val="22"/>
          <w:szCs w:val="22"/>
          <w:lang w:val="en-GB"/>
        </w:rPr>
        <w:t xml:space="preserve"> (1997)</w:t>
      </w:r>
      <w:r>
        <w:rPr>
          <w:rFonts w:ascii="Arial" w:hAnsi="Arial" w:cs="Arial"/>
          <w:color w:val="4472C4" w:themeColor="accent1"/>
          <w:sz w:val="22"/>
          <w:szCs w:val="22"/>
          <w:lang w:val="en-GB"/>
        </w:rPr>
        <w:t xml:space="preserve">, and provisions of UNICTRAL MLCBI will apply.  </w:t>
      </w:r>
    </w:p>
    <w:p w14:paraId="615E60CD" w14:textId="3DB2683B" w:rsidR="00E67D9F" w:rsidRDefault="00E67D9F" w:rsidP="00E67D9F">
      <w:pPr>
        <w:pStyle w:val="ListParagraph"/>
        <w:numPr>
          <w:ilvl w:val="0"/>
          <w:numId w:val="23"/>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In Singapore, IRDA 2018 has also adopted UNCITRAL MLCBI.  It however has </w:t>
      </w:r>
      <w:r w:rsidR="005B2F60">
        <w:rPr>
          <w:rFonts w:ascii="Arial" w:hAnsi="Arial" w:cs="Arial"/>
          <w:color w:val="4472C4" w:themeColor="accent1"/>
          <w:sz w:val="22"/>
          <w:szCs w:val="22"/>
          <w:lang w:val="en-GB"/>
        </w:rPr>
        <w:t>carved</w:t>
      </w:r>
      <w:r>
        <w:rPr>
          <w:rFonts w:ascii="Arial" w:hAnsi="Arial" w:cs="Arial"/>
          <w:color w:val="4472C4" w:themeColor="accent1"/>
          <w:sz w:val="22"/>
          <w:szCs w:val="22"/>
          <w:lang w:val="en-GB"/>
        </w:rPr>
        <w:t xml:space="preserve"> out provisions</w:t>
      </w:r>
      <w:r w:rsidR="005B2F60">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t>
      </w:r>
      <w:r w:rsidR="005B2F60">
        <w:rPr>
          <w:rFonts w:ascii="Arial" w:hAnsi="Arial" w:cs="Arial"/>
          <w:color w:val="4472C4" w:themeColor="accent1"/>
          <w:sz w:val="22"/>
          <w:szCs w:val="22"/>
          <w:lang w:val="en-GB"/>
        </w:rPr>
        <w:t>For</w:t>
      </w:r>
      <w:r>
        <w:rPr>
          <w:rFonts w:ascii="Arial" w:hAnsi="Arial" w:cs="Arial"/>
          <w:color w:val="4472C4" w:themeColor="accent1"/>
          <w:sz w:val="22"/>
          <w:szCs w:val="22"/>
          <w:lang w:val="en-GB"/>
        </w:rPr>
        <w:t xml:space="preserve"> example, it will be me applied to some sectors (banking</w:t>
      </w:r>
      <w:r w:rsidR="005B2F60">
        <w:rPr>
          <w:rFonts w:ascii="Arial" w:hAnsi="Arial" w:cs="Arial"/>
          <w:color w:val="4472C4" w:themeColor="accent1"/>
          <w:sz w:val="22"/>
          <w:szCs w:val="22"/>
          <w:lang w:val="en-GB"/>
        </w:rPr>
        <w:t xml:space="preserve"> and insurance companies,</w:t>
      </w:r>
      <w:r>
        <w:rPr>
          <w:rFonts w:ascii="Arial" w:hAnsi="Arial" w:cs="Arial"/>
          <w:color w:val="4472C4" w:themeColor="accent1"/>
          <w:sz w:val="22"/>
          <w:szCs w:val="22"/>
          <w:lang w:val="en-GB"/>
        </w:rPr>
        <w:t xml:space="preserve"> for example).  </w:t>
      </w:r>
    </w:p>
    <w:p w14:paraId="314DEC89" w14:textId="77777777" w:rsidR="00E67D9F" w:rsidRDefault="00E67D9F" w:rsidP="00E67D9F">
      <w:pPr>
        <w:jc w:val="both"/>
        <w:rPr>
          <w:rFonts w:ascii="Arial" w:hAnsi="Arial" w:cs="Arial"/>
          <w:color w:val="4472C4" w:themeColor="accent1"/>
          <w:sz w:val="22"/>
          <w:szCs w:val="22"/>
          <w:lang w:val="en-GB"/>
        </w:rPr>
      </w:pPr>
    </w:p>
    <w:p w14:paraId="3B8458AA" w14:textId="6B24913A" w:rsidR="00E67D9F" w:rsidRDefault="007F5D99" w:rsidP="00E67D9F">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3</w:t>
      </w:r>
      <w:r>
        <w:rPr>
          <w:rFonts w:ascii="Arial" w:hAnsi="Arial" w:cs="Arial"/>
          <w:color w:val="4472C4" w:themeColor="accent1"/>
          <w:sz w:val="22"/>
          <w:szCs w:val="22"/>
          <w:lang w:val="en-GB"/>
        </w:rPr>
        <w:tab/>
      </w:r>
      <w:r w:rsidR="00E67D9F">
        <w:rPr>
          <w:rFonts w:ascii="Arial" w:hAnsi="Arial" w:cs="Arial"/>
          <w:color w:val="4472C4" w:themeColor="accent1"/>
          <w:sz w:val="22"/>
          <w:szCs w:val="22"/>
          <w:lang w:val="en-GB"/>
        </w:rPr>
        <w:t xml:space="preserve">In addition to domestic insolvency laws and adoption of model laws, there are also treaties that have been signed and are legally binding in their respective States.  The </w:t>
      </w:r>
      <w:r w:rsidR="005B2F60">
        <w:rPr>
          <w:rFonts w:ascii="Arial" w:hAnsi="Arial" w:cs="Arial"/>
          <w:color w:val="4472C4" w:themeColor="accent1"/>
          <w:sz w:val="22"/>
          <w:szCs w:val="22"/>
          <w:lang w:val="en-GB"/>
        </w:rPr>
        <w:t xml:space="preserve">following are some examples – </w:t>
      </w:r>
    </w:p>
    <w:p w14:paraId="6EECFD78" w14:textId="21DA17FB" w:rsidR="005B2F60" w:rsidRDefault="005B2F60" w:rsidP="00E67D9F">
      <w:pPr>
        <w:ind w:left="720"/>
        <w:jc w:val="both"/>
        <w:rPr>
          <w:rFonts w:ascii="Arial" w:hAnsi="Arial" w:cs="Arial"/>
          <w:color w:val="4472C4" w:themeColor="accent1"/>
          <w:sz w:val="22"/>
          <w:szCs w:val="22"/>
          <w:lang w:val="en-GB"/>
        </w:rPr>
      </w:pPr>
    </w:p>
    <w:p w14:paraId="46D6B7CC" w14:textId="2E26F066" w:rsidR="005B2F60" w:rsidRDefault="005B2F60" w:rsidP="005B2F60">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Nordic Convention (1933) – It is a unified legislation applicable to five countries: Norway, Sweden, Finland, Denmark, and Iceland.  </w:t>
      </w:r>
    </w:p>
    <w:p w14:paraId="6583EE3B" w14:textId="1E6EB4BA" w:rsidR="005B2F60" w:rsidRPr="005B2F60" w:rsidRDefault="005B2F60" w:rsidP="005B2F60">
      <w:pPr>
        <w:pStyle w:val="ListParagraph"/>
        <w:numPr>
          <w:ilvl w:val="0"/>
          <w:numId w:val="24"/>
        </w:numPr>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Cape Town Convention – it is a treaty that has been ratified by over 50 countries.  It is a source of law in each domestic State.  </w:t>
      </w:r>
    </w:p>
    <w:p w14:paraId="4279E955" w14:textId="77777777" w:rsidR="009B6BCE" w:rsidRDefault="009B6BCE" w:rsidP="009B6BCE">
      <w:pPr>
        <w:ind w:left="720"/>
        <w:jc w:val="both"/>
        <w:rPr>
          <w:rFonts w:ascii="Arial" w:hAnsi="Arial" w:cs="Arial"/>
          <w:color w:val="4472C4" w:themeColor="accent1"/>
          <w:sz w:val="22"/>
          <w:szCs w:val="22"/>
          <w:lang w:val="en-GB"/>
        </w:rPr>
      </w:pPr>
    </w:p>
    <w:p w14:paraId="17DBC51D" w14:textId="76B6E3F9" w:rsidR="005B2F60" w:rsidRPr="005B2F60" w:rsidRDefault="007F5D99" w:rsidP="005B2F60">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4</w:t>
      </w:r>
      <w:r>
        <w:rPr>
          <w:rFonts w:ascii="Arial" w:hAnsi="Arial" w:cs="Arial"/>
          <w:color w:val="4472C4" w:themeColor="accent1"/>
          <w:sz w:val="22"/>
          <w:szCs w:val="22"/>
          <w:lang w:val="en-GB"/>
        </w:rPr>
        <w:tab/>
      </w:r>
      <w:r w:rsidR="005B2F60" w:rsidRPr="005B2F60">
        <w:rPr>
          <w:rFonts w:ascii="Arial" w:hAnsi="Arial" w:cs="Arial"/>
          <w:color w:val="4472C4" w:themeColor="accent1"/>
          <w:sz w:val="22"/>
          <w:szCs w:val="22"/>
          <w:lang w:val="en-GB"/>
        </w:rPr>
        <w:t xml:space="preserve">Besides the laws coded in legislation, common law in Commonwealth countries continues to apply, where the domestic legislation has a gap (lacuna).  </w:t>
      </w:r>
    </w:p>
    <w:p w14:paraId="72862569" w14:textId="77777777" w:rsidR="005B2F60" w:rsidRDefault="005B2F60" w:rsidP="005B2F60">
      <w:pPr>
        <w:ind w:left="720"/>
        <w:jc w:val="both"/>
        <w:rPr>
          <w:rFonts w:ascii="Arial" w:hAnsi="Arial" w:cs="Arial"/>
          <w:color w:val="7B7B7B" w:themeColor="accent3" w:themeShade="BF"/>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8CDFF7B" w:rsidR="001131C6" w:rsidRDefault="001131C6" w:rsidP="001131C6">
      <w:pPr>
        <w:ind w:left="720"/>
        <w:rPr>
          <w:rFonts w:ascii="Avenir Next" w:hAnsi="Avenir Next" w:cs="Arial"/>
          <w:sz w:val="22"/>
          <w:szCs w:val="22"/>
          <w:lang w:val="en-GB"/>
        </w:rPr>
      </w:pPr>
    </w:p>
    <w:p w14:paraId="11CF0860" w14:textId="77777777" w:rsidR="00410813" w:rsidRPr="00205B31" w:rsidRDefault="00410813" w:rsidP="001131C6">
      <w:pPr>
        <w:ind w:left="720"/>
        <w:rPr>
          <w:rFonts w:ascii="Avenir Next" w:hAnsi="Avenir Next" w:cs="Arial"/>
          <w:sz w:val="22"/>
          <w:szCs w:val="22"/>
          <w:lang w:val="en-GB"/>
        </w:rPr>
      </w:pPr>
    </w:p>
    <w:p w14:paraId="1DC272DF" w14:textId="07B3DCF9" w:rsidR="00A072F7" w:rsidRDefault="007F5D99" w:rsidP="00A072F7">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1</w:t>
      </w:r>
      <w:r>
        <w:rPr>
          <w:rFonts w:ascii="Arial" w:hAnsi="Arial" w:cs="Arial"/>
          <w:color w:val="4472C4" w:themeColor="accent1"/>
          <w:sz w:val="22"/>
          <w:szCs w:val="22"/>
          <w:lang w:val="en-GB"/>
        </w:rPr>
        <w:tab/>
      </w:r>
      <w:r w:rsidR="00A072F7">
        <w:rPr>
          <w:rFonts w:ascii="Arial" w:hAnsi="Arial" w:cs="Arial"/>
          <w:color w:val="4472C4" w:themeColor="accent1"/>
          <w:sz w:val="22"/>
          <w:szCs w:val="22"/>
          <w:lang w:val="en-GB"/>
        </w:rPr>
        <w:t xml:space="preserve">Fletcher spoke about three fundamental difficulties – (a) which jurisdiction should insolvency proceedings be opened? (b) what country’s law is to be applied and (c) what effect will it have on enforcement.  </w:t>
      </w:r>
    </w:p>
    <w:p w14:paraId="47BD9D78" w14:textId="77777777" w:rsidR="00A072F7" w:rsidRDefault="00A072F7" w:rsidP="00A072F7">
      <w:pPr>
        <w:ind w:left="720"/>
        <w:jc w:val="both"/>
        <w:rPr>
          <w:rFonts w:ascii="Arial" w:hAnsi="Arial" w:cs="Arial"/>
          <w:color w:val="4472C4" w:themeColor="accent1"/>
          <w:sz w:val="22"/>
          <w:szCs w:val="22"/>
          <w:lang w:val="en-GB"/>
        </w:rPr>
      </w:pPr>
    </w:p>
    <w:p w14:paraId="504ED0DF" w14:textId="642941B5" w:rsidR="00A072F7" w:rsidRDefault="007F5D99" w:rsidP="00A072F7">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2</w:t>
      </w:r>
      <w:r>
        <w:rPr>
          <w:rFonts w:ascii="Arial" w:hAnsi="Arial" w:cs="Arial"/>
          <w:color w:val="4472C4" w:themeColor="accent1"/>
          <w:sz w:val="22"/>
          <w:szCs w:val="22"/>
          <w:lang w:val="en-GB"/>
        </w:rPr>
        <w:tab/>
      </w:r>
      <w:r w:rsidR="00A072F7">
        <w:rPr>
          <w:rFonts w:ascii="Arial" w:hAnsi="Arial" w:cs="Arial"/>
          <w:color w:val="4472C4" w:themeColor="accent1"/>
          <w:sz w:val="22"/>
          <w:szCs w:val="22"/>
          <w:lang w:val="en-GB"/>
        </w:rPr>
        <w:t xml:space="preserve">As an illustration, the Airline of State A flies to and has businesses in many countries.  There will be creditors (debts not paid) in these countries.  When the Airline is insolvent, which jurisdiction should the insolvency proceedings be opened?  Should it be in State A?  If it does, what about contracts where both parties had agreed to be subject to laws in State B?  If the contract has an underlying asset, say, an aircraft, could the creditor in State B enforce the contract by taking possession of the aircraft?    </w:t>
      </w:r>
    </w:p>
    <w:p w14:paraId="7AAFD167" w14:textId="77777777" w:rsidR="00A072F7" w:rsidRDefault="00A072F7" w:rsidP="00A072F7">
      <w:pPr>
        <w:ind w:left="720"/>
        <w:jc w:val="both"/>
        <w:rPr>
          <w:rFonts w:ascii="Arial" w:hAnsi="Arial" w:cs="Arial"/>
          <w:color w:val="4472C4" w:themeColor="accent1"/>
          <w:sz w:val="22"/>
          <w:szCs w:val="22"/>
          <w:lang w:val="en-GB"/>
        </w:rPr>
      </w:pPr>
    </w:p>
    <w:p w14:paraId="460146D1" w14:textId="032D924C" w:rsidR="00A072F7" w:rsidRDefault="007F5D99" w:rsidP="00A072F7">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3</w:t>
      </w:r>
      <w:r>
        <w:rPr>
          <w:rFonts w:ascii="Arial" w:hAnsi="Arial" w:cs="Arial"/>
          <w:color w:val="4472C4" w:themeColor="accent1"/>
          <w:sz w:val="22"/>
          <w:szCs w:val="22"/>
          <w:lang w:val="en-GB"/>
        </w:rPr>
        <w:tab/>
      </w:r>
      <w:r w:rsidR="00A072F7" w:rsidRPr="00CF1234">
        <w:rPr>
          <w:rFonts w:ascii="Arial" w:hAnsi="Arial" w:cs="Arial"/>
          <w:color w:val="4472C4" w:themeColor="accent1"/>
          <w:sz w:val="22"/>
          <w:szCs w:val="22"/>
          <w:lang w:val="en-GB"/>
        </w:rPr>
        <w:t xml:space="preserve">Examples </w:t>
      </w:r>
      <w:r w:rsidR="00A072F7">
        <w:rPr>
          <w:rFonts w:ascii="Arial" w:hAnsi="Arial" w:cs="Arial"/>
          <w:color w:val="4472C4" w:themeColor="accent1"/>
          <w:sz w:val="22"/>
          <w:szCs w:val="22"/>
          <w:lang w:val="en-GB"/>
        </w:rPr>
        <w:t xml:space="preserve">of other difficulties include the following – </w:t>
      </w:r>
    </w:p>
    <w:p w14:paraId="3A069711" w14:textId="77777777" w:rsidR="00A072F7" w:rsidRDefault="00A072F7" w:rsidP="00A072F7">
      <w:pPr>
        <w:ind w:left="720"/>
        <w:jc w:val="both"/>
        <w:rPr>
          <w:rFonts w:ascii="Arial" w:hAnsi="Arial" w:cs="Arial"/>
          <w:color w:val="4472C4" w:themeColor="accent1"/>
          <w:sz w:val="22"/>
          <w:szCs w:val="22"/>
          <w:lang w:val="en-GB"/>
        </w:rPr>
      </w:pPr>
    </w:p>
    <w:p w14:paraId="29DE4A88" w14:textId="1B924964" w:rsidR="00A072F7" w:rsidRDefault="00A072F7" w:rsidP="007F5D99">
      <w:pPr>
        <w:pStyle w:val="ListParagraph"/>
        <w:numPr>
          <w:ilvl w:val="0"/>
          <w:numId w:val="29"/>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Recognition </w:t>
      </w:r>
      <w:r w:rsidR="00932D16">
        <w:rPr>
          <w:rFonts w:ascii="Arial" w:hAnsi="Arial" w:cs="Arial"/>
          <w:color w:val="4472C4" w:themeColor="accent1"/>
          <w:sz w:val="22"/>
          <w:szCs w:val="22"/>
          <w:lang w:val="en-GB"/>
        </w:rPr>
        <w:t>–</w:t>
      </w:r>
      <w:r>
        <w:rPr>
          <w:rFonts w:ascii="Arial" w:hAnsi="Arial" w:cs="Arial"/>
          <w:color w:val="4472C4" w:themeColor="accent1"/>
          <w:sz w:val="22"/>
          <w:szCs w:val="22"/>
          <w:lang w:val="en-GB"/>
        </w:rPr>
        <w:t xml:space="preserve"> Would the office-bearer of one State (State A) be recognised by the other State (State B)?  If not, the officer-bearer (example, liquidator) of State A will have no standing in the State B, and his requests for information or claims against the debtor will be ignored. </w:t>
      </w:r>
    </w:p>
    <w:p w14:paraId="4FDE17B3" w14:textId="77777777" w:rsidR="00A072F7" w:rsidRDefault="00A072F7" w:rsidP="007F5D99">
      <w:pPr>
        <w:pStyle w:val="ListParagraph"/>
        <w:ind w:left="1843" w:hanging="425"/>
        <w:jc w:val="both"/>
        <w:rPr>
          <w:rFonts w:ascii="Arial" w:hAnsi="Arial" w:cs="Arial"/>
          <w:color w:val="4472C4" w:themeColor="accent1"/>
          <w:sz w:val="22"/>
          <w:szCs w:val="22"/>
          <w:lang w:val="en-GB"/>
        </w:rPr>
      </w:pPr>
    </w:p>
    <w:p w14:paraId="16401522" w14:textId="77777777" w:rsidR="00A072F7" w:rsidRDefault="00A072F7" w:rsidP="007F5D99">
      <w:pPr>
        <w:pStyle w:val="ListParagraph"/>
        <w:numPr>
          <w:ilvl w:val="0"/>
          <w:numId w:val="29"/>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Moratorium – When an insolvency proceeding is opened in State A, would the creditors be prevented (moratorium) from taking a recovery action against the debtor or assets of the debtor in State B? </w:t>
      </w:r>
    </w:p>
    <w:p w14:paraId="33776A6E" w14:textId="77777777" w:rsidR="00A072F7" w:rsidRPr="0077572C" w:rsidRDefault="00A072F7" w:rsidP="007F5D99">
      <w:pPr>
        <w:ind w:left="1843" w:hanging="425"/>
        <w:rPr>
          <w:rFonts w:ascii="Arial" w:hAnsi="Arial" w:cs="Arial"/>
          <w:color w:val="4472C4" w:themeColor="accent1"/>
          <w:sz w:val="22"/>
          <w:szCs w:val="22"/>
          <w:lang w:val="en-GB"/>
        </w:rPr>
      </w:pPr>
    </w:p>
    <w:p w14:paraId="30390EE0" w14:textId="1EEAAC81" w:rsidR="00932D16" w:rsidRPr="0077572C" w:rsidRDefault="00A072F7" w:rsidP="007F5D99">
      <w:pPr>
        <w:pStyle w:val="ListParagraph"/>
        <w:numPr>
          <w:ilvl w:val="0"/>
          <w:numId w:val="29"/>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Creditors’ participation – When an insolvency proceeding is opened in State A and an office-bearer is appointed, will the creditors of State B be allowed to participate?  If they do, would they be treated equally (pari passu)?  </w:t>
      </w:r>
    </w:p>
    <w:p w14:paraId="775046D3" w14:textId="77777777" w:rsidR="00A072F7" w:rsidRPr="00161437" w:rsidRDefault="00A072F7" w:rsidP="007F5D99">
      <w:pPr>
        <w:pStyle w:val="ListParagraph"/>
        <w:ind w:left="1843" w:hanging="425"/>
        <w:rPr>
          <w:rFonts w:ascii="Arial" w:hAnsi="Arial" w:cs="Arial"/>
          <w:color w:val="4472C4" w:themeColor="accent1"/>
          <w:sz w:val="22"/>
          <w:szCs w:val="22"/>
          <w:lang w:val="en-GB"/>
        </w:rPr>
      </w:pPr>
    </w:p>
    <w:p w14:paraId="5DB9F540" w14:textId="77777777" w:rsidR="00A072F7" w:rsidRDefault="00A072F7" w:rsidP="007F5D99">
      <w:pPr>
        <w:pStyle w:val="ListParagraph"/>
        <w:numPr>
          <w:ilvl w:val="0"/>
          <w:numId w:val="29"/>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Executory contracts – There will be executory contracts (contracts that are existing and have not been completed yet – there are remaining rights and obligations to be performed).  Would the law of State A allow for disclaiming such a contract on the basis that it is onerous (the burden of continuing such a contract exceeds the benefits)? </w:t>
      </w:r>
    </w:p>
    <w:p w14:paraId="420287F8" w14:textId="77777777" w:rsidR="00A072F7" w:rsidRPr="0077572C" w:rsidRDefault="00A072F7" w:rsidP="007F5D99">
      <w:pPr>
        <w:ind w:left="1843" w:hanging="425"/>
        <w:rPr>
          <w:rFonts w:ascii="Arial" w:hAnsi="Arial" w:cs="Arial"/>
          <w:color w:val="4472C4" w:themeColor="accent1"/>
          <w:sz w:val="22"/>
          <w:szCs w:val="22"/>
          <w:lang w:val="en-GB"/>
        </w:rPr>
      </w:pPr>
    </w:p>
    <w:p w14:paraId="76270843" w14:textId="77777777" w:rsidR="00A072F7" w:rsidRDefault="00A072F7" w:rsidP="007F5D99">
      <w:pPr>
        <w:pStyle w:val="ListParagraph"/>
        <w:numPr>
          <w:ilvl w:val="0"/>
          <w:numId w:val="29"/>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Claims procedures – Are there clarity on claims procedures?  For example, what are the documents to be provided to the office-bearers for the claim?  If the claims are provided, how long does the office-bearer has in deciding whether to accept or reject the claim.  If the claim by a creditor is rejected, what is the appeal procedure?  </w:t>
      </w:r>
    </w:p>
    <w:p w14:paraId="5274E401" w14:textId="77777777" w:rsidR="00A072F7" w:rsidRPr="0077572C" w:rsidRDefault="00A072F7" w:rsidP="007F5D99">
      <w:pPr>
        <w:ind w:left="1843" w:hanging="425"/>
        <w:rPr>
          <w:rFonts w:ascii="Arial" w:hAnsi="Arial" w:cs="Arial"/>
          <w:color w:val="4472C4" w:themeColor="accent1"/>
          <w:sz w:val="22"/>
          <w:szCs w:val="22"/>
          <w:lang w:val="en-GB"/>
        </w:rPr>
      </w:pPr>
    </w:p>
    <w:p w14:paraId="31491D42" w14:textId="5E719376" w:rsidR="00932D16" w:rsidRPr="0077572C" w:rsidRDefault="00A072F7" w:rsidP="007F5D99">
      <w:pPr>
        <w:pStyle w:val="ListParagraph"/>
        <w:numPr>
          <w:ilvl w:val="0"/>
          <w:numId w:val="29"/>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Priorities and preferences – Are there priorities or preferences provided by the local legislation.  For example, claims by employees.  Will they be accorded priorities?  </w:t>
      </w:r>
    </w:p>
    <w:p w14:paraId="06133C19" w14:textId="77777777" w:rsidR="00A072F7" w:rsidRPr="00304E27" w:rsidRDefault="00A072F7" w:rsidP="007F5D99">
      <w:pPr>
        <w:pStyle w:val="ListParagraph"/>
        <w:ind w:left="1843" w:hanging="425"/>
        <w:rPr>
          <w:rFonts w:ascii="Arial" w:hAnsi="Arial" w:cs="Arial"/>
          <w:color w:val="4472C4" w:themeColor="accent1"/>
          <w:sz w:val="22"/>
          <w:szCs w:val="22"/>
          <w:lang w:val="en-GB"/>
        </w:rPr>
      </w:pPr>
    </w:p>
    <w:p w14:paraId="7940D274" w14:textId="75281330" w:rsidR="00DF75F8" w:rsidRPr="00A072F7" w:rsidRDefault="00A072F7" w:rsidP="007F5D99">
      <w:pPr>
        <w:pStyle w:val="ListParagraph"/>
        <w:numPr>
          <w:ilvl w:val="0"/>
          <w:numId w:val="29"/>
        </w:numPr>
        <w:ind w:left="1843" w:hanging="425"/>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Avoidable transaction – What are the laws relating voidable or void transaction.  For example, when a debtor knows that an insolvency proceeding will be initiated by a creditor, the debtor chooses to pay a creditor(s) [undue preference transaction] knowing that other creditors will be put in a less advantageous position.  </w:t>
      </w:r>
    </w:p>
    <w:p w14:paraId="5CF42D7D" w14:textId="77777777" w:rsidR="00932D16" w:rsidRDefault="00932D16" w:rsidP="00932D16">
      <w:pPr>
        <w:pStyle w:val="ListParagraph"/>
        <w:rPr>
          <w:rFonts w:ascii="Arial" w:hAnsi="Arial" w:cs="Arial"/>
          <w:sz w:val="22"/>
          <w:szCs w:val="22"/>
          <w:shd w:val="clear" w:color="auto" w:fill="FFFFFF"/>
          <w:lang w:val="en-GB"/>
        </w:rPr>
      </w:pP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lastRenderedPageBreak/>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2E722C76" w14:textId="77777777" w:rsidR="00410813" w:rsidRDefault="00410813" w:rsidP="00932D16">
      <w:pPr>
        <w:ind w:left="720"/>
        <w:jc w:val="both"/>
        <w:rPr>
          <w:rFonts w:ascii="Arial" w:hAnsi="Arial" w:cs="Arial"/>
          <w:color w:val="4472C4" w:themeColor="accent1"/>
          <w:sz w:val="22"/>
          <w:szCs w:val="22"/>
          <w:lang w:val="en-GB"/>
        </w:rPr>
      </w:pPr>
    </w:p>
    <w:p w14:paraId="38EB1212" w14:textId="4573DDCA" w:rsidR="00932D16" w:rsidRDefault="007F5D99" w:rsidP="00932D16">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1</w:t>
      </w:r>
      <w:r>
        <w:rPr>
          <w:rFonts w:ascii="Arial" w:hAnsi="Arial" w:cs="Arial"/>
          <w:color w:val="4472C4" w:themeColor="accent1"/>
          <w:sz w:val="22"/>
          <w:szCs w:val="22"/>
          <w:lang w:val="en-GB"/>
        </w:rPr>
        <w:tab/>
      </w:r>
      <w:r w:rsidR="00932D16">
        <w:rPr>
          <w:rFonts w:ascii="Arial" w:hAnsi="Arial" w:cs="Arial"/>
          <w:color w:val="4472C4" w:themeColor="accent1"/>
          <w:sz w:val="22"/>
          <w:szCs w:val="22"/>
          <w:lang w:val="en-GB"/>
        </w:rPr>
        <w:t xml:space="preserve">A prominent cross-border insolvency case can be found in Maxwell Communication Plc (Maxwell Case) bankruptcy in 1991.  </w:t>
      </w:r>
    </w:p>
    <w:p w14:paraId="6844E5D7" w14:textId="77777777" w:rsidR="00932D16" w:rsidRDefault="00932D16" w:rsidP="00932D16">
      <w:pPr>
        <w:ind w:left="720"/>
        <w:jc w:val="both"/>
        <w:rPr>
          <w:rFonts w:ascii="Arial" w:hAnsi="Arial" w:cs="Arial"/>
          <w:color w:val="4472C4" w:themeColor="accent1"/>
          <w:sz w:val="22"/>
          <w:szCs w:val="22"/>
          <w:lang w:val="en-GB"/>
        </w:rPr>
      </w:pPr>
    </w:p>
    <w:p w14:paraId="266BA6A1" w14:textId="546730CB" w:rsidR="00932D16" w:rsidRDefault="007F5D99" w:rsidP="00932D16">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2</w:t>
      </w:r>
      <w:r>
        <w:rPr>
          <w:rFonts w:ascii="Arial" w:hAnsi="Arial" w:cs="Arial"/>
          <w:color w:val="4472C4" w:themeColor="accent1"/>
          <w:sz w:val="22"/>
          <w:szCs w:val="22"/>
          <w:lang w:val="en-GB"/>
        </w:rPr>
        <w:tab/>
      </w:r>
      <w:r w:rsidR="00932D16">
        <w:rPr>
          <w:rFonts w:ascii="Arial" w:hAnsi="Arial" w:cs="Arial"/>
          <w:color w:val="4472C4" w:themeColor="accent1"/>
          <w:sz w:val="22"/>
          <w:szCs w:val="22"/>
          <w:lang w:val="en-GB"/>
        </w:rPr>
        <w:t xml:space="preserve">This is before (pre-date) UNICITRAL Model Law on Cross-Border Insolvency (1997) and World Bank Principles for Effective Insolvency and Creditor / Debtor Regimes in 2005 (revised in 2021) and various others cross-border communication, co-operation, and co-ordination protocols among countries.  </w:t>
      </w:r>
    </w:p>
    <w:p w14:paraId="71F1391C" w14:textId="77777777" w:rsidR="00932D16" w:rsidRDefault="00932D16" w:rsidP="00932D16">
      <w:pPr>
        <w:ind w:left="720"/>
        <w:jc w:val="both"/>
        <w:rPr>
          <w:rFonts w:ascii="Arial" w:hAnsi="Arial" w:cs="Arial"/>
          <w:color w:val="4472C4" w:themeColor="accent1"/>
          <w:sz w:val="22"/>
          <w:szCs w:val="22"/>
          <w:lang w:val="en-GB"/>
        </w:rPr>
      </w:pPr>
    </w:p>
    <w:p w14:paraId="435CC29B" w14:textId="2B48B940" w:rsidR="00285A8D" w:rsidRDefault="007F5D99" w:rsidP="00932D16">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3</w:t>
      </w:r>
      <w:r>
        <w:rPr>
          <w:rFonts w:ascii="Arial" w:hAnsi="Arial" w:cs="Arial"/>
          <w:color w:val="4472C4" w:themeColor="accent1"/>
          <w:sz w:val="22"/>
          <w:szCs w:val="22"/>
          <w:lang w:val="en-GB"/>
        </w:rPr>
        <w:tab/>
      </w:r>
      <w:r w:rsidR="00285A8D">
        <w:rPr>
          <w:rFonts w:ascii="Arial" w:hAnsi="Arial" w:cs="Arial"/>
          <w:color w:val="4472C4" w:themeColor="accent1"/>
          <w:sz w:val="22"/>
          <w:szCs w:val="22"/>
          <w:lang w:val="en-GB"/>
        </w:rPr>
        <w:t>In Maxwell case, legal proceedings involved two States</w:t>
      </w:r>
      <w:r w:rsidR="00A767FB">
        <w:rPr>
          <w:rFonts w:ascii="Arial" w:hAnsi="Arial" w:cs="Arial"/>
          <w:color w:val="4472C4" w:themeColor="accent1"/>
          <w:sz w:val="22"/>
          <w:szCs w:val="22"/>
          <w:lang w:val="en-GB"/>
        </w:rPr>
        <w:t xml:space="preserve"> - </w:t>
      </w:r>
      <w:r w:rsidR="00285A8D">
        <w:rPr>
          <w:rFonts w:ascii="Arial" w:hAnsi="Arial" w:cs="Arial"/>
          <w:color w:val="4472C4" w:themeColor="accent1"/>
          <w:sz w:val="22"/>
          <w:szCs w:val="22"/>
          <w:lang w:val="en-GB"/>
        </w:rPr>
        <w:t>USA and UK.  There were appointments of two separate insolvency representative</w:t>
      </w:r>
      <w:r w:rsidR="00A767FB">
        <w:rPr>
          <w:rFonts w:ascii="Arial" w:hAnsi="Arial" w:cs="Arial"/>
          <w:color w:val="4472C4" w:themeColor="accent1"/>
          <w:sz w:val="22"/>
          <w:szCs w:val="22"/>
          <w:lang w:val="en-GB"/>
        </w:rPr>
        <w:t>s</w:t>
      </w:r>
      <w:r w:rsidR="00285A8D">
        <w:rPr>
          <w:rFonts w:ascii="Arial" w:hAnsi="Arial" w:cs="Arial"/>
          <w:color w:val="4472C4" w:themeColor="accent1"/>
          <w:sz w:val="22"/>
          <w:szCs w:val="22"/>
          <w:lang w:val="en-GB"/>
        </w:rPr>
        <w:t>, one in the UK and the other in US</w:t>
      </w:r>
      <w:r w:rsidR="00A767FB">
        <w:rPr>
          <w:rFonts w:ascii="Arial" w:hAnsi="Arial" w:cs="Arial"/>
          <w:color w:val="4472C4" w:themeColor="accent1"/>
          <w:sz w:val="22"/>
          <w:szCs w:val="22"/>
          <w:lang w:val="en-GB"/>
        </w:rPr>
        <w:t>A</w:t>
      </w:r>
      <w:r w:rsidR="00285A8D">
        <w:rPr>
          <w:rFonts w:ascii="Arial" w:hAnsi="Arial" w:cs="Arial"/>
          <w:color w:val="4472C4" w:themeColor="accent1"/>
          <w:sz w:val="22"/>
          <w:szCs w:val="22"/>
          <w:lang w:val="en-GB"/>
        </w:rPr>
        <w:t xml:space="preserve">. </w:t>
      </w:r>
    </w:p>
    <w:p w14:paraId="6DDE08DD" w14:textId="77777777" w:rsidR="00285A8D" w:rsidRDefault="00285A8D" w:rsidP="00932D16">
      <w:pPr>
        <w:ind w:left="720"/>
        <w:jc w:val="both"/>
        <w:rPr>
          <w:rFonts w:ascii="Arial" w:hAnsi="Arial" w:cs="Arial"/>
          <w:color w:val="4472C4" w:themeColor="accent1"/>
          <w:sz w:val="22"/>
          <w:szCs w:val="22"/>
          <w:lang w:val="en-GB"/>
        </w:rPr>
      </w:pPr>
    </w:p>
    <w:p w14:paraId="3E719D3B" w14:textId="777B36C1" w:rsidR="00932D16" w:rsidRDefault="007F5D99" w:rsidP="00932D16">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4</w:t>
      </w:r>
      <w:r>
        <w:rPr>
          <w:rFonts w:ascii="Arial" w:hAnsi="Arial" w:cs="Arial"/>
          <w:color w:val="4472C4" w:themeColor="accent1"/>
          <w:sz w:val="22"/>
          <w:szCs w:val="22"/>
          <w:lang w:val="en-GB"/>
        </w:rPr>
        <w:tab/>
      </w:r>
      <w:r w:rsidR="00A767FB">
        <w:rPr>
          <w:rFonts w:ascii="Arial" w:hAnsi="Arial" w:cs="Arial"/>
          <w:color w:val="4472C4" w:themeColor="accent1"/>
          <w:sz w:val="22"/>
          <w:szCs w:val="22"/>
          <w:lang w:val="en-GB"/>
        </w:rPr>
        <w:t>Communication, co-ordination</w:t>
      </w:r>
      <w:r w:rsidR="00BB2465">
        <w:rPr>
          <w:rFonts w:ascii="Arial" w:hAnsi="Arial" w:cs="Arial"/>
          <w:color w:val="4472C4" w:themeColor="accent1"/>
          <w:sz w:val="22"/>
          <w:szCs w:val="22"/>
          <w:lang w:val="en-GB"/>
        </w:rPr>
        <w:t>,</w:t>
      </w:r>
      <w:r w:rsidR="00A767FB">
        <w:rPr>
          <w:rFonts w:ascii="Arial" w:hAnsi="Arial" w:cs="Arial"/>
          <w:color w:val="4472C4" w:themeColor="accent1"/>
          <w:sz w:val="22"/>
          <w:szCs w:val="22"/>
          <w:lang w:val="en-GB"/>
        </w:rPr>
        <w:t xml:space="preserve"> and co-operation “protocols” in the </w:t>
      </w:r>
      <w:r w:rsidR="00932D16">
        <w:rPr>
          <w:rFonts w:ascii="Arial" w:hAnsi="Arial" w:cs="Arial"/>
          <w:color w:val="4472C4" w:themeColor="accent1"/>
          <w:sz w:val="22"/>
          <w:szCs w:val="22"/>
          <w:lang w:val="en-GB"/>
        </w:rPr>
        <w:t xml:space="preserve">Maxwell Case </w:t>
      </w:r>
      <w:r w:rsidR="00285A8D">
        <w:rPr>
          <w:rFonts w:ascii="Arial" w:hAnsi="Arial" w:cs="Arial"/>
          <w:color w:val="4472C4" w:themeColor="accent1"/>
          <w:sz w:val="22"/>
          <w:szCs w:val="22"/>
          <w:lang w:val="en-GB"/>
        </w:rPr>
        <w:t xml:space="preserve">include the following: </w:t>
      </w:r>
    </w:p>
    <w:p w14:paraId="373F6334" w14:textId="15CDA39A" w:rsidR="00285A8D" w:rsidRDefault="00285A8D" w:rsidP="00932D16">
      <w:pPr>
        <w:ind w:left="720"/>
        <w:jc w:val="both"/>
        <w:rPr>
          <w:rFonts w:ascii="Arial" w:hAnsi="Arial" w:cs="Arial"/>
          <w:color w:val="4472C4" w:themeColor="accent1"/>
          <w:sz w:val="22"/>
          <w:szCs w:val="22"/>
          <w:lang w:val="en-GB"/>
        </w:rPr>
      </w:pPr>
    </w:p>
    <w:p w14:paraId="0D09F908" w14:textId="11171356" w:rsidR="00285A8D" w:rsidRDefault="00285A8D" w:rsidP="007F5D99">
      <w:pPr>
        <w:pStyle w:val="ListParagraph"/>
        <w:numPr>
          <w:ilvl w:val="0"/>
          <w:numId w:val="28"/>
        </w:numPr>
        <w:ind w:left="1985" w:hanging="567"/>
        <w:jc w:val="both"/>
        <w:rPr>
          <w:rFonts w:ascii="Arial" w:hAnsi="Arial" w:cs="Arial"/>
          <w:color w:val="4472C4" w:themeColor="accent1"/>
          <w:sz w:val="22"/>
          <w:szCs w:val="22"/>
          <w:lang w:val="en-GB"/>
        </w:rPr>
      </w:pPr>
      <w:r>
        <w:rPr>
          <w:rFonts w:ascii="Arial" w:hAnsi="Arial" w:cs="Arial"/>
          <w:color w:val="4472C4" w:themeColor="accent1"/>
          <w:sz w:val="22"/>
          <w:szCs w:val="22"/>
          <w:lang w:val="en-GB"/>
        </w:rPr>
        <w:t xml:space="preserve">There was an insolvency agreement entered into between the two insolvency representatives.  The goals were (a) optimise the value of the estate and (b) harmonise the proceedings to minimise waste (additional expense) and avoid jurisdictional conflicts.  </w:t>
      </w:r>
    </w:p>
    <w:p w14:paraId="3D4D7C12" w14:textId="77777777" w:rsidR="00A767FB" w:rsidRDefault="00A767FB" w:rsidP="007F5D99">
      <w:pPr>
        <w:pStyle w:val="ListParagraph"/>
        <w:ind w:left="1985" w:hanging="567"/>
        <w:jc w:val="both"/>
        <w:rPr>
          <w:rFonts w:ascii="Arial" w:hAnsi="Arial" w:cs="Arial"/>
          <w:color w:val="4472C4" w:themeColor="accent1"/>
          <w:sz w:val="22"/>
          <w:szCs w:val="22"/>
          <w:lang w:val="en-GB"/>
        </w:rPr>
      </w:pPr>
    </w:p>
    <w:p w14:paraId="6ED92C8E" w14:textId="12992D99" w:rsidR="00285A8D" w:rsidRPr="00285A8D" w:rsidRDefault="00285A8D" w:rsidP="007F5D99">
      <w:pPr>
        <w:pStyle w:val="ListParagraph"/>
        <w:numPr>
          <w:ilvl w:val="0"/>
          <w:numId w:val="28"/>
        </w:numPr>
        <w:ind w:left="1985" w:hanging="567"/>
        <w:jc w:val="both"/>
        <w:rPr>
          <w:rFonts w:ascii="Arial" w:hAnsi="Arial" w:cs="Arial"/>
          <w:color w:val="4472C4" w:themeColor="accent1"/>
          <w:sz w:val="22"/>
          <w:szCs w:val="22"/>
          <w:lang w:val="en-GB"/>
        </w:rPr>
      </w:pPr>
      <w:r>
        <w:rPr>
          <w:rFonts w:ascii="Arial" w:hAnsi="Arial" w:cs="Arial"/>
          <w:color w:val="4472C4" w:themeColor="accent1"/>
          <w:sz w:val="22"/>
          <w:szCs w:val="22"/>
          <w:lang w:val="en-GB"/>
        </w:rPr>
        <w:t>Parties broadly agree that English proceedings will take the lead, but with some conditions</w:t>
      </w:r>
      <w:r w:rsidR="00BB2465">
        <w:rPr>
          <w:rFonts w:ascii="Arial" w:hAnsi="Arial" w:cs="Arial"/>
          <w:color w:val="4472C4" w:themeColor="accent1"/>
          <w:sz w:val="22"/>
          <w:szCs w:val="22"/>
          <w:lang w:val="en-GB"/>
        </w:rPr>
        <w:t xml:space="preserve">.  For </w:t>
      </w:r>
      <w:r>
        <w:rPr>
          <w:rFonts w:ascii="Arial" w:hAnsi="Arial" w:cs="Arial"/>
          <w:color w:val="4472C4" w:themeColor="accent1"/>
          <w:sz w:val="22"/>
          <w:szCs w:val="22"/>
          <w:lang w:val="en-GB"/>
        </w:rPr>
        <w:t xml:space="preserve">example, </w:t>
      </w:r>
      <w:r w:rsidR="00A767FB">
        <w:rPr>
          <w:rFonts w:ascii="Arial" w:hAnsi="Arial" w:cs="Arial"/>
          <w:color w:val="4472C4" w:themeColor="accent1"/>
          <w:sz w:val="22"/>
          <w:szCs w:val="22"/>
          <w:lang w:val="en-GB"/>
        </w:rPr>
        <w:t>(</w:t>
      </w:r>
      <w:proofErr w:type="spellStart"/>
      <w:r w:rsidR="007F5D99">
        <w:rPr>
          <w:rFonts w:ascii="Arial" w:hAnsi="Arial" w:cs="Arial"/>
          <w:color w:val="4472C4" w:themeColor="accent1"/>
          <w:sz w:val="22"/>
          <w:szCs w:val="22"/>
          <w:lang w:val="en-GB"/>
        </w:rPr>
        <w:t>i</w:t>
      </w:r>
      <w:proofErr w:type="spellEnd"/>
      <w:r w:rsidR="00A767FB">
        <w:rPr>
          <w:rFonts w:ascii="Arial" w:hAnsi="Arial" w:cs="Arial"/>
          <w:color w:val="4472C4" w:themeColor="accent1"/>
          <w:sz w:val="22"/>
          <w:szCs w:val="22"/>
          <w:lang w:val="en-GB"/>
        </w:rPr>
        <w:t xml:space="preserve">) </w:t>
      </w:r>
      <w:r>
        <w:rPr>
          <w:rFonts w:ascii="Arial" w:hAnsi="Arial" w:cs="Arial"/>
          <w:color w:val="4472C4" w:themeColor="accent1"/>
          <w:sz w:val="22"/>
          <w:szCs w:val="22"/>
          <w:lang w:val="en-GB"/>
        </w:rPr>
        <w:t xml:space="preserve">English insolvency representatives should give </w:t>
      </w:r>
      <w:r w:rsidR="00A767FB">
        <w:rPr>
          <w:rFonts w:ascii="Arial" w:hAnsi="Arial" w:cs="Arial"/>
          <w:color w:val="4472C4" w:themeColor="accent1"/>
          <w:sz w:val="22"/>
          <w:szCs w:val="22"/>
          <w:lang w:val="en-GB"/>
        </w:rPr>
        <w:t>prior</w:t>
      </w:r>
      <w:r>
        <w:rPr>
          <w:rFonts w:ascii="Arial" w:hAnsi="Arial" w:cs="Arial"/>
          <w:color w:val="4472C4" w:themeColor="accent1"/>
          <w:sz w:val="22"/>
          <w:szCs w:val="22"/>
          <w:lang w:val="en-GB"/>
        </w:rPr>
        <w:t xml:space="preserve"> notice to USA insolvency </w:t>
      </w:r>
      <w:r w:rsidR="00A767FB">
        <w:rPr>
          <w:rFonts w:ascii="Arial" w:hAnsi="Arial" w:cs="Arial"/>
          <w:color w:val="4472C4" w:themeColor="accent1"/>
          <w:sz w:val="22"/>
          <w:szCs w:val="22"/>
          <w:lang w:val="en-GB"/>
        </w:rPr>
        <w:t>representative before undertaking a major transaction</w:t>
      </w:r>
      <w:r w:rsidR="00BB2465">
        <w:rPr>
          <w:rFonts w:ascii="Arial" w:hAnsi="Arial" w:cs="Arial"/>
          <w:color w:val="4472C4" w:themeColor="accent1"/>
          <w:sz w:val="22"/>
          <w:szCs w:val="22"/>
          <w:lang w:val="en-GB"/>
        </w:rPr>
        <w:t>,</w:t>
      </w:r>
      <w:r w:rsidR="00A767FB">
        <w:rPr>
          <w:rFonts w:ascii="Arial" w:hAnsi="Arial" w:cs="Arial"/>
          <w:color w:val="4472C4" w:themeColor="accent1"/>
          <w:sz w:val="22"/>
          <w:szCs w:val="22"/>
          <w:lang w:val="en-GB"/>
        </w:rPr>
        <w:t xml:space="preserve"> and (</w:t>
      </w:r>
      <w:r w:rsidR="007F5D99">
        <w:rPr>
          <w:rFonts w:ascii="Arial" w:hAnsi="Arial" w:cs="Arial"/>
          <w:color w:val="4472C4" w:themeColor="accent1"/>
          <w:sz w:val="22"/>
          <w:szCs w:val="22"/>
          <w:lang w:val="en-GB"/>
        </w:rPr>
        <w:t>ii</w:t>
      </w:r>
      <w:r w:rsidR="00A767FB">
        <w:rPr>
          <w:rFonts w:ascii="Arial" w:hAnsi="Arial" w:cs="Arial"/>
          <w:color w:val="4472C4" w:themeColor="accent1"/>
          <w:sz w:val="22"/>
          <w:szCs w:val="22"/>
          <w:lang w:val="en-GB"/>
        </w:rPr>
        <w:t xml:space="preserve">) English insolvency representative should only file a reorganization plan with the consent of the US insolvency representative or court.  </w:t>
      </w:r>
    </w:p>
    <w:p w14:paraId="136A871C" w14:textId="77777777" w:rsidR="00410813" w:rsidRPr="00205B31" w:rsidRDefault="00410813"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Rydell’s main creditor is Fernz Co Ltd (Fernz)</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r w:rsidR="00DF4D51" w:rsidRPr="00205B31">
        <w:rPr>
          <w:rFonts w:ascii="Arial" w:hAnsi="Arial" w:cs="Arial"/>
          <w:color w:val="212529"/>
          <w:sz w:val="22"/>
          <w:szCs w:val="22"/>
          <w:shd w:val="clear" w:color="auto" w:fill="FFFFFF"/>
          <w:lang w:val="en-GB"/>
        </w:rPr>
        <w:t xml:space="preserve">Fernz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lastRenderedPageBreak/>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r w:rsidR="0050156C" w:rsidRPr="00205B31">
        <w:rPr>
          <w:rFonts w:ascii="Arial" w:hAnsi="Arial" w:cs="Arial"/>
          <w:sz w:val="22"/>
          <w:szCs w:val="22"/>
          <w:lang w:val="en-GB"/>
        </w:rPr>
        <w:t xml:space="preserve">Fernz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556B23AC" w14:textId="77777777" w:rsidR="00963FA8" w:rsidRPr="00963FA8" w:rsidRDefault="00963FA8" w:rsidP="009A25C0">
      <w:pPr>
        <w:ind w:left="720"/>
        <w:jc w:val="both"/>
        <w:rPr>
          <w:rFonts w:ascii="Arial" w:hAnsi="Arial" w:cs="Arial"/>
          <w:b/>
          <w:bCs/>
          <w:color w:val="4472C4" w:themeColor="accent1"/>
          <w:sz w:val="22"/>
          <w:szCs w:val="22"/>
          <w:lang w:val="en-GB"/>
        </w:rPr>
      </w:pPr>
      <w:r w:rsidRPr="00963FA8">
        <w:rPr>
          <w:rFonts w:ascii="Arial" w:hAnsi="Arial" w:cs="Arial"/>
          <w:b/>
          <w:bCs/>
          <w:color w:val="4472C4" w:themeColor="accent1"/>
          <w:sz w:val="22"/>
          <w:szCs w:val="22"/>
          <w:lang w:val="en-GB"/>
        </w:rPr>
        <w:t>Issues</w:t>
      </w:r>
    </w:p>
    <w:p w14:paraId="7B69763A" w14:textId="77777777" w:rsidR="00963FA8" w:rsidRDefault="00963FA8" w:rsidP="009A25C0">
      <w:pPr>
        <w:ind w:left="720"/>
        <w:jc w:val="both"/>
        <w:rPr>
          <w:rFonts w:ascii="Arial" w:hAnsi="Arial" w:cs="Arial"/>
          <w:color w:val="4472C4" w:themeColor="accent1"/>
          <w:sz w:val="22"/>
          <w:szCs w:val="22"/>
          <w:lang w:val="en-GB"/>
        </w:rPr>
      </w:pPr>
    </w:p>
    <w:p w14:paraId="471878BF" w14:textId="0A445B26" w:rsidR="00D326F8" w:rsidRDefault="00D326F8" w:rsidP="009A25C0">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1</w:t>
      </w:r>
      <w:r>
        <w:rPr>
          <w:rFonts w:ascii="Arial" w:hAnsi="Arial" w:cs="Arial"/>
          <w:color w:val="4472C4" w:themeColor="accent1"/>
          <w:sz w:val="22"/>
          <w:szCs w:val="22"/>
          <w:lang w:val="en-GB"/>
        </w:rPr>
        <w:tab/>
        <w:t xml:space="preserve">The issues that arise are </w:t>
      </w:r>
      <w:r w:rsidR="00C9280B">
        <w:rPr>
          <w:rFonts w:ascii="Arial" w:hAnsi="Arial" w:cs="Arial"/>
          <w:color w:val="4472C4" w:themeColor="accent1"/>
          <w:sz w:val="22"/>
          <w:szCs w:val="22"/>
          <w:lang w:val="en-GB"/>
        </w:rPr>
        <w:t xml:space="preserve">(a) </w:t>
      </w:r>
      <w:r>
        <w:rPr>
          <w:rFonts w:ascii="Arial" w:hAnsi="Arial" w:cs="Arial"/>
          <w:color w:val="4472C4" w:themeColor="accent1"/>
          <w:sz w:val="22"/>
          <w:szCs w:val="22"/>
          <w:lang w:val="en-GB"/>
        </w:rPr>
        <w:t>whether COMI is in the UK</w:t>
      </w:r>
      <w:r w:rsidR="00C9280B">
        <w:rPr>
          <w:rFonts w:ascii="Arial" w:hAnsi="Arial" w:cs="Arial"/>
          <w:color w:val="4472C4" w:themeColor="accent1"/>
          <w:sz w:val="22"/>
          <w:szCs w:val="22"/>
          <w:lang w:val="en-GB"/>
        </w:rPr>
        <w:t xml:space="preserve">, (b) which law of the state govern the </w:t>
      </w:r>
      <w:r>
        <w:rPr>
          <w:rFonts w:ascii="Arial" w:hAnsi="Arial" w:cs="Arial"/>
          <w:color w:val="4472C4" w:themeColor="accent1"/>
          <w:sz w:val="22"/>
          <w:szCs w:val="22"/>
          <w:lang w:val="en-GB"/>
        </w:rPr>
        <w:t>contract(s) between Rydell and Fernz</w:t>
      </w:r>
      <w:r w:rsidR="00C9280B">
        <w:rPr>
          <w:rFonts w:ascii="Arial" w:hAnsi="Arial" w:cs="Arial"/>
          <w:color w:val="4472C4" w:themeColor="accent1"/>
          <w:sz w:val="22"/>
          <w:szCs w:val="22"/>
          <w:lang w:val="en-GB"/>
        </w:rPr>
        <w:t>, and</w:t>
      </w:r>
      <w:r>
        <w:rPr>
          <w:rFonts w:ascii="Arial" w:hAnsi="Arial" w:cs="Arial"/>
          <w:color w:val="4472C4" w:themeColor="accent1"/>
          <w:sz w:val="22"/>
          <w:szCs w:val="22"/>
          <w:lang w:val="en-GB"/>
        </w:rPr>
        <w:t xml:space="preserve"> </w:t>
      </w:r>
      <w:r w:rsidR="00C9280B">
        <w:rPr>
          <w:rFonts w:ascii="Arial" w:hAnsi="Arial" w:cs="Arial"/>
          <w:color w:val="4472C4" w:themeColor="accent1"/>
          <w:sz w:val="22"/>
          <w:szCs w:val="22"/>
          <w:lang w:val="en-GB"/>
        </w:rPr>
        <w:t xml:space="preserve">(c) where the assets of Rydell are.  </w:t>
      </w:r>
      <w:r>
        <w:rPr>
          <w:rFonts w:ascii="Arial" w:hAnsi="Arial" w:cs="Arial"/>
          <w:color w:val="4472C4" w:themeColor="accent1"/>
          <w:sz w:val="22"/>
          <w:szCs w:val="22"/>
          <w:lang w:val="en-GB"/>
        </w:rPr>
        <w:t xml:space="preserve">  </w:t>
      </w:r>
    </w:p>
    <w:p w14:paraId="3B880FBA" w14:textId="70636198" w:rsidR="00D326F8" w:rsidRDefault="00D326F8" w:rsidP="009A25C0">
      <w:pPr>
        <w:ind w:left="720"/>
        <w:jc w:val="both"/>
        <w:rPr>
          <w:rFonts w:ascii="Arial" w:hAnsi="Arial" w:cs="Arial"/>
          <w:color w:val="4472C4" w:themeColor="accent1"/>
          <w:sz w:val="22"/>
          <w:szCs w:val="22"/>
          <w:lang w:val="en-GB"/>
        </w:rPr>
      </w:pPr>
    </w:p>
    <w:p w14:paraId="2FA3F643" w14:textId="5914E956" w:rsidR="00D326F8" w:rsidRPr="00963FA8" w:rsidRDefault="00362A05" w:rsidP="009A25C0">
      <w:pPr>
        <w:ind w:left="720"/>
        <w:jc w:val="both"/>
        <w:rPr>
          <w:rFonts w:ascii="Arial" w:hAnsi="Arial" w:cs="Arial"/>
          <w:b/>
          <w:bCs/>
          <w:color w:val="4472C4" w:themeColor="accent1"/>
          <w:sz w:val="22"/>
          <w:szCs w:val="22"/>
          <w:lang w:val="en-GB"/>
        </w:rPr>
      </w:pPr>
      <w:r w:rsidRPr="00963FA8">
        <w:rPr>
          <w:rFonts w:ascii="Arial" w:hAnsi="Arial" w:cs="Arial"/>
          <w:b/>
          <w:bCs/>
          <w:color w:val="4472C4" w:themeColor="accent1"/>
          <w:sz w:val="22"/>
          <w:szCs w:val="22"/>
          <w:lang w:val="en-GB"/>
        </w:rPr>
        <w:t>The Law</w:t>
      </w:r>
    </w:p>
    <w:p w14:paraId="7F081E24" w14:textId="75794715" w:rsidR="00D326F8" w:rsidRDefault="00D326F8" w:rsidP="009A25C0">
      <w:pPr>
        <w:ind w:left="720"/>
        <w:jc w:val="both"/>
        <w:rPr>
          <w:rFonts w:ascii="Arial" w:hAnsi="Arial" w:cs="Arial"/>
          <w:color w:val="4472C4" w:themeColor="accent1"/>
          <w:sz w:val="22"/>
          <w:szCs w:val="22"/>
          <w:lang w:val="en-GB"/>
        </w:rPr>
      </w:pPr>
    </w:p>
    <w:p w14:paraId="48A8E225" w14:textId="254E2139" w:rsidR="00D326F8" w:rsidRDefault="00D326F8" w:rsidP="009A25C0">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2</w:t>
      </w:r>
      <w:r>
        <w:rPr>
          <w:rFonts w:ascii="Arial" w:hAnsi="Arial" w:cs="Arial"/>
          <w:color w:val="4472C4" w:themeColor="accent1"/>
          <w:sz w:val="22"/>
          <w:szCs w:val="22"/>
          <w:lang w:val="en-GB"/>
        </w:rPr>
        <w:tab/>
      </w:r>
      <w:r w:rsidR="00362A05">
        <w:rPr>
          <w:rFonts w:ascii="Arial" w:hAnsi="Arial" w:cs="Arial"/>
          <w:color w:val="4472C4" w:themeColor="accent1"/>
          <w:sz w:val="22"/>
          <w:szCs w:val="22"/>
          <w:lang w:val="en-GB"/>
        </w:rPr>
        <w:t xml:space="preserve">Article 2(10) of Recast provides that ‘establishment’ means ‘any place of operations where a debtor carries out or has carried out in the three-months prior to the request to open main insolvency proceedings a non-transitory economic activity with human means and assets.’  </w:t>
      </w:r>
    </w:p>
    <w:p w14:paraId="32EA373E" w14:textId="5E561BEA" w:rsidR="00362A05" w:rsidRDefault="00362A05" w:rsidP="009A25C0">
      <w:pPr>
        <w:ind w:left="720"/>
        <w:jc w:val="both"/>
        <w:rPr>
          <w:rFonts w:ascii="Arial" w:hAnsi="Arial" w:cs="Arial"/>
          <w:color w:val="4472C4" w:themeColor="accent1"/>
          <w:sz w:val="22"/>
          <w:szCs w:val="22"/>
          <w:lang w:val="en-GB"/>
        </w:rPr>
      </w:pPr>
    </w:p>
    <w:p w14:paraId="0FF8C491" w14:textId="77777777" w:rsidR="00463229" w:rsidRDefault="00362A05" w:rsidP="009A25C0">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3</w:t>
      </w:r>
      <w:r>
        <w:rPr>
          <w:rFonts w:ascii="Arial" w:hAnsi="Arial" w:cs="Arial"/>
          <w:color w:val="4472C4" w:themeColor="accent1"/>
          <w:sz w:val="22"/>
          <w:szCs w:val="22"/>
          <w:lang w:val="en-GB"/>
        </w:rPr>
        <w:tab/>
        <w:t>Article 3 of the Recast provides that ‘the centre of main interests shall be the place where the debtor conducts the administration of its interest on a regular basis, and which is ascertainable by third parties.  In the case of a company or legal person, the place of the registered office shall be presumed to be the centre of its main interests in the absence of proof to the country.  That presumption shall only apply if the registered office has not been moved to another Member State within the 3-month period prior to the request for the opening of insolvency proceedings.’</w:t>
      </w:r>
    </w:p>
    <w:p w14:paraId="00C3914B" w14:textId="77777777" w:rsidR="00463229" w:rsidRDefault="00463229" w:rsidP="009A25C0">
      <w:pPr>
        <w:ind w:left="720"/>
        <w:jc w:val="both"/>
        <w:rPr>
          <w:rFonts w:ascii="Arial" w:hAnsi="Arial" w:cs="Arial"/>
          <w:color w:val="4472C4" w:themeColor="accent1"/>
          <w:sz w:val="22"/>
          <w:szCs w:val="22"/>
          <w:lang w:val="en-GB"/>
        </w:rPr>
      </w:pPr>
    </w:p>
    <w:p w14:paraId="2879CA68" w14:textId="1C4153F2" w:rsidR="00362A05" w:rsidRDefault="00463229" w:rsidP="009A25C0">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4</w:t>
      </w:r>
      <w:r>
        <w:rPr>
          <w:rFonts w:ascii="Arial" w:hAnsi="Arial" w:cs="Arial"/>
          <w:color w:val="4472C4" w:themeColor="accent1"/>
          <w:sz w:val="22"/>
          <w:szCs w:val="22"/>
          <w:lang w:val="en-GB"/>
        </w:rPr>
        <w:tab/>
        <w:t>Recital 28 of the Recast provides some further explanation – ‘When determining whether the centre of the debtor’s main interests is ascertainable by the parties, special consideration should be given to the creditors and their perception as to whether a debtor conducts the administration of its interest.  This may require, in the event of a shift of centre of main interest, informing creditors of the new location from which the debtor is carrying out its activities in due course, for example, by drawing attention to the change of address in commercial correspondence, or by making the new location public through other appropriate means.’</w:t>
      </w:r>
      <w:r w:rsidR="00362A05">
        <w:rPr>
          <w:rFonts w:ascii="Arial" w:hAnsi="Arial" w:cs="Arial"/>
          <w:color w:val="4472C4" w:themeColor="accent1"/>
          <w:sz w:val="22"/>
          <w:szCs w:val="22"/>
          <w:lang w:val="en-GB"/>
        </w:rPr>
        <w:t xml:space="preserve">  </w:t>
      </w:r>
    </w:p>
    <w:p w14:paraId="113E2463" w14:textId="1806A9A8" w:rsidR="00092971" w:rsidRDefault="00092971" w:rsidP="009A25C0">
      <w:pPr>
        <w:ind w:left="720"/>
        <w:jc w:val="both"/>
        <w:rPr>
          <w:rFonts w:ascii="Arial" w:hAnsi="Arial" w:cs="Arial"/>
          <w:color w:val="4472C4" w:themeColor="accent1"/>
          <w:sz w:val="22"/>
          <w:szCs w:val="22"/>
          <w:lang w:val="en-GB"/>
        </w:rPr>
      </w:pPr>
    </w:p>
    <w:p w14:paraId="3E445A6A" w14:textId="21927C52" w:rsidR="00092971" w:rsidRDefault="00092971" w:rsidP="00092971">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5</w:t>
      </w:r>
      <w:r>
        <w:rPr>
          <w:rFonts w:ascii="Arial" w:hAnsi="Arial" w:cs="Arial"/>
          <w:color w:val="4472C4" w:themeColor="accent1"/>
          <w:sz w:val="22"/>
          <w:szCs w:val="22"/>
          <w:lang w:val="en-GB"/>
        </w:rPr>
        <w:tab/>
        <w:t>Case law have suggested factors to look into when considering the debtors COMI – (a) the location of the debtor’s headquarters, (b) where the management staff are located, (c) the location of the debtor’s primary assets, (d) the location of majority of their creditors, and (e) if there is a dispute, which member law of the country should apply, (f) where the debtor’s books and records are kept, (g) the debtor’s principal lender(s), (g) the debtor’s administration, payroll activities, (h) where is the main tax authority, and (</w:t>
      </w:r>
      <w:proofErr w:type="spellStart"/>
      <w:r>
        <w:rPr>
          <w:rFonts w:ascii="Arial" w:hAnsi="Arial" w:cs="Arial"/>
          <w:color w:val="4472C4" w:themeColor="accent1"/>
          <w:sz w:val="22"/>
          <w:szCs w:val="22"/>
          <w:lang w:val="en-GB"/>
        </w:rPr>
        <w:t>i</w:t>
      </w:r>
      <w:proofErr w:type="spellEnd"/>
      <w:r>
        <w:rPr>
          <w:rFonts w:ascii="Arial" w:hAnsi="Arial" w:cs="Arial"/>
          <w:color w:val="4472C4" w:themeColor="accent1"/>
          <w:sz w:val="22"/>
          <w:szCs w:val="22"/>
          <w:lang w:val="en-GB"/>
        </w:rPr>
        <w:t>) which law governs the preparation</w:t>
      </w:r>
      <w:r w:rsidR="00B4661F">
        <w:rPr>
          <w:rFonts w:ascii="Arial" w:hAnsi="Arial" w:cs="Arial"/>
          <w:color w:val="4472C4" w:themeColor="accent1"/>
          <w:sz w:val="22"/>
          <w:szCs w:val="22"/>
          <w:lang w:val="en-GB"/>
        </w:rPr>
        <w:t xml:space="preserve"> of audited accounts.  </w:t>
      </w:r>
    </w:p>
    <w:p w14:paraId="0BB812B6" w14:textId="2FB27715" w:rsidR="00B4661F" w:rsidRDefault="00B4661F" w:rsidP="00092971">
      <w:pPr>
        <w:ind w:left="720"/>
        <w:jc w:val="both"/>
        <w:rPr>
          <w:rFonts w:ascii="Arial" w:hAnsi="Arial" w:cs="Arial"/>
          <w:color w:val="4472C4" w:themeColor="accent1"/>
          <w:sz w:val="22"/>
          <w:szCs w:val="22"/>
          <w:lang w:val="en-GB"/>
        </w:rPr>
      </w:pPr>
    </w:p>
    <w:p w14:paraId="6C8F257C" w14:textId="1AC6D3B8" w:rsidR="00B4661F" w:rsidRDefault="00B4661F" w:rsidP="00092971">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6</w:t>
      </w:r>
      <w:r>
        <w:rPr>
          <w:rFonts w:ascii="Arial" w:hAnsi="Arial" w:cs="Arial"/>
          <w:color w:val="4472C4" w:themeColor="accent1"/>
          <w:sz w:val="22"/>
          <w:szCs w:val="22"/>
          <w:lang w:val="en-GB"/>
        </w:rPr>
        <w:tab/>
        <w:t xml:space="preserve">Determining where COMI is ultimately a question of fact.  Fernz would need more information and satisfy itself on where COMI is situated.  </w:t>
      </w:r>
    </w:p>
    <w:p w14:paraId="58B4F616" w14:textId="31518555" w:rsidR="00B4661F" w:rsidRDefault="00B4661F" w:rsidP="00092971">
      <w:pPr>
        <w:ind w:left="720"/>
        <w:jc w:val="both"/>
        <w:rPr>
          <w:rFonts w:ascii="Arial" w:hAnsi="Arial" w:cs="Arial"/>
          <w:color w:val="4472C4" w:themeColor="accent1"/>
          <w:sz w:val="22"/>
          <w:szCs w:val="22"/>
          <w:lang w:val="en-GB"/>
        </w:rPr>
      </w:pPr>
    </w:p>
    <w:p w14:paraId="1F74D177" w14:textId="40D95957" w:rsidR="00B4661F" w:rsidRPr="00963FA8" w:rsidRDefault="00B4661F" w:rsidP="00092971">
      <w:pPr>
        <w:ind w:left="720"/>
        <w:jc w:val="both"/>
        <w:rPr>
          <w:rFonts w:ascii="Arial" w:hAnsi="Arial" w:cs="Arial"/>
          <w:b/>
          <w:bCs/>
          <w:color w:val="4472C4" w:themeColor="accent1"/>
          <w:sz w:val="22"/>
          <w:szCs w:val="22"/>
          <w:lang w:val="en-GB"/>
        </w:rPr>
      </w:pPr>
      <w:r w:rsidRPr="00963FA8">
        <w:rPr>
          <w:rFonts w:ascii="Arial" w:hAnsi="Arial" w:cs="Arial"/>
          <w:b/>
          <w:bCs/>
          <w:color w:val="4472C4" w:themeColor="accent1"/>
          <w:sz w:val="22"/>
          <w:szCs w:val="22"/>
          <w:lang w:val="en-GB"/>
        </w:rPr>
        <w:t>Advice</w:t>
      </w:r>
    </w:p>
    <w:p w14:paraId="6D452543" w14:textId="10B36032" w:rsidR="00B4661F" w:rsidRDefault="00B4661F" w:rsidP="00092971">
      <w:pPr>
        <w:ind w:left="720"/>
        <w:jc w:val="both"/>
        <w:rPr>
          <w:rFonts w:ascii="Arial" w:hAnsi="Arial" w:cs="Arial"/>
          <w:color w:val="4472C4" w:themeColor="accent1"/>
          <w:sz w:val="22"/>
          <w:szCs w:val="22"/>
          <w:lang w:val="en-GB"/>
        </w:rPr>
      </w:pPr>
    </w:p>
    <w:p w14:paraId="4C7E2485" w14:textId="5A5E7831" w:rsidR="00B4661F" w:rsidRDefault="00B4661F" w:rsidP="00092971">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7</w:t>
      </w:r>
      <w:r>
        <w:rPr>
          <w:rFonts w:ascii="Arial" w:hAnsi="Arial" w:cs="Arial"/>
          <w:color w:val="4472C4" w:themeColor="accent1"/>
          <w:sz w:val="22"/>
          <w:szCs w:val="22"/>
          <w:lang w:val="en-GB"/>
        </w:rPr>
        <w:tab/>
        <w:t xml:space="preserve">Option A – If it is not satisfied that COMI is in the UK (a minor creditor has opened an insolvency proceeding there), Fernz can consider filing an application to intervene in the application and ask for the proceedings to be struck off, on the basis that COMI is not UK, and proceedings cannot be filed in the UK.  </w:t>
      </w:r>
    </w:p>
    <w:p w14:paraId="0EBD7644" w14:textId="156EBE36" w:rsidR="00B4661F" w:rsidRDefault="00B4661F" w:rsidP="00092971">
      <w:pPr>
        <w:ind w:left="720"/>
        <w:jc w:val="both"/>
        <w:rPr>
          <w:rFonts w:ascii="Arial" w:hAnsi="Arial" w:cs="Arial"/>
          <w:color w:val="4472C4" w:themeColor="accent1"/>
          <w:sz w:val="22"/>
          <w:szCs w:val="22"/>
          <w:lang w:val="en-GB"/>
        </w:rPr>
      </w:pPr>
    </w:p>
    <w:p w14:paraId="5483D73C" w14:textId="275FBBD7" w:rsidR="00B4661F" w:rsidRDefault="00B4661F" w:rsidP="00092971">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8</w:t>
      </w:r>
      <w:r>
        <w:rPr>
          <w:rFonts w:ascii="Arial" w:hAnsi="Arial" w:cs="Arial"/>
          <w:color w:val="4472C4" w:themeColor="accent1"/>
          <w:sz w:val="22"/>
          <w:szCs w:val="22"/>
          <w:lang w:val="en-GB"/>
        </w:rPr>
        <w:tab/>
        <w:t xml:space="preserve">Option B – If it is satisfied that COMI is in the UK, Fernz may consider opening another proceeding (subsidiary proceeding) in the place where the contracts between Rydell and Fernz took place.  </w:t>
      </w:r>
    </w:p>
    <w:p w14:paraId="1EB5F615" w14:textId="45AE4857" w:rsidR="00B4661F" w:rsidRDefault="00B4661F" w:rsidP="00092971">
      <w:pPr>
        <w:ind w:left="720"/>
        <w:jc w:val="both"/>
        <w:rPr>
          <w:rFonts w:ascii="Arial" w:hAnsi="Arial" w:cs="Arial"/>
          <w:color w:val="4472C4" w:themeColor="accent1"/>
          <w:sz w:val="22"/>
          <w:szCs w:val="22"/>
          <w:lang w:val="en-GB"/>
        </w:rPr>
      </w:pPr>
    </w:p>
    <w:p w14:paraId="4A19FABC" w14:textId="524D2A6D" w:rsidR="00B4661F" w:rsidRDefault="00B4661F" w:rsidP="00092971">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9</w:t>
      </w:r>
      <w:r>
        <w:rPr>
          <w:rFonts w:ascii="Arial" w:hAnsi="Arial" w:cs="Arial"/>
          <w:color w:val="4472C4" w:themeColor="accent1"/>
          <w:sz w:val="22"/>
          <w:szCs w:val="22"/>
          <w:lang w:val="en-GB"/>
        </w:rPr>
        <w:tab/>
        <w:t xml:space="preserve">Option C – Ferns may want </w:t>
      </w:r>
      <w:r w:rsidR="007079C8">
        <w:rPr>
          <w:rFonts w:ascii="Arial" w:hAnsi="Arial" w:cs="Arial"/>
          <w:color w:val="4472C4" w:themeColor="accent1"/>
          <w:sz w:val="22"/>
          <w:szCs w:val="22"/>
          <w:lang w:val="en-GB"/>
        </w:rPr>
        <w:t xml:space="preserve">to sue Rydell for breach of contract and seek other forms of legal remedies, as opposed to opening a subsidiary insolvency proceeding, in the state where the contract(s) governs.  </w:t>
      </w:r>
    </w:p>
    <w:p w14:paraId="75618943" w14:textId="39DBD53D" w:rsidR="00C9280B" w:rsidRDefault="00C9280B" w:rsidP="00092971">
      <w:pPr>
        <w:ind w:left="720"/>
        <w:jc w:val="both"/>
        <w:rPr>
          <w:rFonts w:ascii="Arial" w:hAnsi="Arial" w:cs="Arial"/>
          <w:color w:val="4472C4" w:themeColor="accent1"/>
          <w:sz w:val="22"/>
          <w:szCs w:val="22"/>
          <w:lang w:val="en-GB"/>
        </w:rPr>
      </w:pPr>
    </w:p>
    <w:p w14:paraId="1F44F48B" w14:textId="3CA063A7" w:rsidR="00BA10C7" w:rsidRDefault="00C9280B" w:rsidP="00693F5A">
      <w:pPr>
        <w:ind w:left="720"/>
        <w:jc w:val="both"/>
        <w:rPr>
          <w:rFonts w:ascii="Arial" w:hAnsi="Arial" w:cs="Arial"/>
          <w:color w:val="4472C4" w:themeColor="accent1"/>
          <w:sz w:val="22"/>
          <w:szCs w:val="22"/>
          <w:lang w:val="en-GB"/>
        </w:rPr>
      </w:pPr>
      <w:r>
        <w:rPr>
          <w:rFonts w:ascii="Arial" w:hAnsi="Arial" w:cs="Arial"/>
          <w:color w:val="4472C4" w:themeColor="accent1"/>
          <w:sz w:val="22"/>
          <w:szCs w:val="22"/>
          <w:lang w:val="en-GB"/>
        </w:rPr>
        <w:t>10</w:t>
      </w:r>
      <w:r>
        <w:rPr>
          <w:rFonts w:ascii="Arial" w:hAnsi="Arial" w:cs="Arial"/>
          <w:color w:val="4472C4" w:themeColor="accent1"/>
          <w:sz w:val="22"/>
          <w:szCs w:val="22"/>
          <w:lang w:val="en-GB"/>
        </w:rPr>
        <w:tab/>
        <w:t xml:space="preserve">In considering the options, Rydell should investigate where the assets of Rydell are located and whether they are recoverable. </w:t>
      </w:r>
      <w:r w:rsidR="009A25C0" w:rsidRPr="009A25C0">
        <w:rPr>
          <w:rFonts w:ascii="Arial" w:hAnsi="Arial" w:cs="Arial"/>
          <w:color w:val="4472C4" w:themeColor="accent1"/>
          <w:sz w:val="22"/>
          <w:szCs w:val="22"/>
          <w:lang w:val="en-GB"/>
        </w:rPr>
        <w:t xml:space="preserve">There are limitations to </w:t>
      </w:r>
      <w:r w:rsidR="009A25C0">
        <w:rPr>
          <w:rFonts w:ascii="Arial" w:hAnsi="Arial" w:cs="Arial"/>
          <w:color w:val="4472C4" w:themeColor="accent1"/>
          <w:sz w:val="22"/>
          <w:szCs w:val="22"/>
          <w:lang w:val="en-GB"/>
        </w:rPr>
        <w:t xml:space="preserve">the Recast relating to </w:t>
      </w:r>
      <w:r w:rsidR="009A25C0" w:rsidRPr="009A25C0">
        <w:rPr>
          <w:rFonts w:ascii="Arial" w:hAnsi="Arial" w:cs="Arial"/>
          <w:color w:val="4472C4" w:themeColor="accent1"/>
          <w:sz w:val="22"/>
          <w:szCs w:val="22"/>
          <w:lang w:val="en-GB"/>
        </w:rPr>
        <w:t>right</w:t>
      </w:r>
      <w:r w:rsidR="009A25C0">
        <w:rPr>
          <w:rFonts w:ascii="Arial" w:hAnsi="Arial" w:cs="Arial"/>
          <w:color w:val="4472C4" w:themeColor="accent1"/>
          <w:sz w:val="22"/>
          <w:szCs w:val="22"/>
          <w:lang w:val="en-GB"/>
        </w:rPr>
        <w:t>s</w:t>
      </w:r>
      <w:r w:rsidR="009A25C0" w:rsidRPr="009A25C0">
        <w:rPr>
          <w:rFonts w:ascii="Arial" w:hAnsi="Arial" w:cs="Arial"/>
          <w:color w:val="4472C4" w:themeColor="accent1"/>
          <w:sz w:val="22"/>
          <w:szCs w:val="22"/>
          <w:lang w:val="en-GB"/>
        </w:rPr>
        <w:t xml:space="preserve"> in rem, set-off, immovable property, and employment matters. </w:t>
      </w:r>
      <w:r w:rsidR="00693F5A">
        <w:rPr>
          <w:rFonts w:ascii="Arial" w:hAnsi="Arial" w:cs="Arial"/>
          <w:color w:val="4472C4" w:themeColor="accent1"/>
          <w:sz w:val="22"/>
          <w:szCs w:val="22"/>
          <w:lang w:val="en-GB"/>
        </w:rPr>
        <w:t xml:space="preserve">Commercial aspects of recoverability of assets should be considered before suing in contract or opening a subsidiary proceeding in another state within EU.  </w:t>
      </w:r>
    </w:p>
    <w:p w14:paraId="764C4C1A" w14:textId="33D4B9F6" w:rsidR="00BA10C7" w:rsidRDefault="00BA10C7" w:rsidP="00C9280B">
      <w:pPr>
        <w:jc w:val="both"/>
        <w:rPr>
          <w:rFonts w:ascii="Arial" w:hAnsi="Arial" w:cs="Arial"/>
          <w:color w:val="4472C4" w:themeColor="accent1"/>
          <w:sz w:val="22"/>
          <w:szCs w:val="22"/>
          <w:lang w:val="en-GB"/>
        </w:rPr>
      </w:pP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375AAE3E" w14:textId="2DDE27BD" w:rsidR="00F46131" w:rsidRDefault="00DE54C3" w:rsidP="00F46131">
      <w:pPr>
        <w:pStyle w:val="ListParagraph"/>
        <w:jc w:val="both"/>
        <w:rPr>
          <w:rFonts w:ascii="Arial" w:hAnsi="Arial" w:cs="Arial"/>
          <w:color w:val="4472C4" w:themeColor="accent1"/>
          <w:sz w:val="22"/>
          <w:szCs w:val="22"/>
          <w:lang w:val="en-GB"/>
        </w:rPr>
      </w:pPr>
      <w:r>
        <w:rPr>
          <w:rFonts w:ascii="Arial" w:hAnsi="Arial" w:cs="Arial"/>
          <w:color w:val="4472C4" w:themeColor="accent1"/>
          <w:sz w:val="22"/>
          <w:szCs w:val="22"/>
          <w:lang w:val="en-GB"/>
        </w:rPr>
        <w:t>1</w:t>
      </w:r>
      <w:r>
        <w:rPr>
          <w:rFonts w:ascii="Arial" w:hAnsi="Arial" w:cs="Arial"/>
          <w:color w:val="4472C4" w:themeColor="accent1"/>
          <w:sz w:val="22"/>
          <w:szCs w:val="22"/>
          <w:lang w:val="en-GB"/>
        </w:rPr>
        <w:tab/>
      </w:r>
      <w:r w:rsidR="00F46131" w:rsidRPr="00F46131">
        <w:rPr>
          <w:rFonts w:ascii="Arial" w:hAnsi="Arial" w:cs="Arial"/>
          <w:color w:val="4472C4" w:themeColor="accent1"/>
          <w:sz w:val="22"/>
          <w:szCs w:val="22"/>
          <w:lang w:val="en-GB"/>
        </w:rPr>
        <w:t>UK ceased to be a member of EU with effect from 31 Dec 2020.  Recast will no longer apply in the UK</w:t>
      </w:r>
      <w:r w:rsidR="00F46131">
        <w:rPr>
          <w:rFonts w:ascii="Arial" w:hAnsi="Arial" w:cs="Arial"/>
          <w:color w:val="4472C4" w:themeColor="accent1"/>
          <w:sz w:val="22"/>
          <w:szCs w:val="22"/>
          <w:lang w:val="en-GB"/>
        </w:rPr>
        <w:t xml:space="preserve"> from 1 Jan 2021. </w:t>
      </w:r>
      <w:r w:rsidR="003E1E6A">
        <w:rPr>
          <w:rFonts w:ascii="Arial" w:hAnsi="Arial" w:cs="Arial"/>
          <w:color w:val="4472C4" w:themeColor="accent1"/>
          <w:sz w:val="22"/>
          <w:szCs w:val="22"/>
          <w:lang w:val="en-GB"/>
        </w:rPr>
        <w:t xml:space="preserve">There is no need to be concerned about where COMI is situated.  </w:t>
      </w:r>
      <w:r w:rsidR="00F46131">
        <w:rPr>
          <w:rFonts w:ascii="Arial" w:hAnsi="Arial" w:cs="Arial"/>
          <w:color w:val="4472C4" w:themeColor="accent1"/>
          <w:sz w:val="22"/>
          <w:szCs w:val="22"/>
          <w:lang w:val="en-GB"/>
        </w:rPr>
        <w:t xml:space="preserve"> </w:t>
      </w:r>
    </w:p>
    <w:p w14:paraId="63F672B1" w14:textId="009ADD53" w:rsidR="00F46131" w:rsidRDefault="00F46131" w:rsidP="00F46131">
      <w:pPr>
        <w:pStyle w:val="ListParagraph"/>
        <w:jc w:val="both"/>
        <w:rPr>
          <w:rFonts w:ascii="Arial" w:hAnsi="Arial" w:cs="Arial"/>
          <w:color w:val="4472C4" w:themeColor="accent1"/>
          <w:sz w:val="22"/>
          <w:szCs w:val="22"/>
          <w:lang w:val="en-GB"/>
        </w:rPr>
      </w:pPr>
    </w:p>
    <w:p w14:paraId="459E1CC2" w14:textId="77777777" w:rsidR="003E1E6A" w:rsidRDefault="003E1E6A" w:rsidP="00F46131">
      <w:pPr>
        <w:pStyle w:val="ListParagraph"/>
        <w:jc w:val="both"/>
        <w:rPr>
          <w:rFonts w:ascii="Arial" w:hAnsi="Arial" w:cs="Arial"/>
          <w:color w:val="4472C4" w:themeColor="accent1"/>
          <w:sz w:val="22"/>
          <w:szCs w:val="22"/>
          <w:lang w:val="en-GB"/>
        </w:rPr>
      </w:pPr>
      <w:r>
        <w:rPr>
          <w:rFonts w:ascii="Arial" w:hAnsi="Arial" w:cs="Arial"/>
          <w:color w:val="4472C4" w:themeColor="accent1"/>
          <w:sz w:val="22"/>
          <w:szCs w:val="22"/>
          <w:lang w:val="en-GB"/>
        </w:rPr>
        <w:t>2</w:t>
      </w:r>
      <w:r>
        <w:rPr>
          <w:rFonts w:ascii="Arial" w:hAnsi="Arial" w:cs="Arial"/>
          <w:color w:val="4472C4" w:themeColor="accent1"/>
          <w:sz w:val="22"/>
          <w:szCs w:val="22"/>
          <w:lang w:val="en-GB"/>
        </w:rPr>
        <w:tab/>
        <w:t xml:space="preserve">What Fernz need to find out is where </w:t>
      </w:r>
      <w:r w:rsidR="00F46131">
        <w:rPr>
          <w:rFonts w:ascii="Arial" w:hAnsi="Arial" w:cs="Arial"/>
          <w:color w:val="4472C4" w:themeColor="accent1"/>
          <w:sz w:val="22"/>
          <w:szCs w:val="22"/>
          <w:lang w:val="en-GB"/>
        </w:rPr>
        <w:t>Fernz has a valid contractual claim</w:t>
      </w:r>
      <w:r>
        <w:rPr>
          <w:rFonts w:ascii="Arial" w:hAnsi="Arial" w:cs="Arial"/>
          <w:color w:val="4472C4" w:themeColor="accent1"/>
          <w:sz w:val="22"/>
          <w:szCs w:val="22"/>
          <w:lang w:val="en-GB"/>
        </w:rPr>
        <w:t xml:space="preserve">, whether the contract provides for which state law should apply in the event of dispute.  </w:t>
      </w:r>
    </w:p>
    <w:p w14:paraId="7CDD8E0E" w14:textId="77777777" w:rsidR="003E1E6A" w:rsidRDefault="003E1E6A" w:rsidP="00F46131">
      <w:pPr>
        <w:pStyle w:val="ListParagraph"/>
        <w:jc w:val="both"/>
        <w:rPr>
          <w:rFonts w:ascii="Arial" w:hAnsi="Arial" w:cs="Arial"/>
          <w:color w:val="4472C4" w:themeColor="accent1"/>
          <w:sz w:val="22"/>
          <w:szCs w:val="22"/>
          <w:lang w:val="en-GB"/>
        </w:rPr>
      </w:pPr>
    </w:p>
    <w:p w14:paraId="230E4DFA" w14:textId="4FBB4643" w:rsidR="003E1E6A" w:rsidRDefault="003E1E6A" w:rsidP="00F46131">
      <w:pPr>
        <w:pStyle w:val="ListParagraph"/>
        <w:jc w:val="both"/>
        <w:rPr>
          <w:rFonts w:ascii="Arial" w:hAnsi="Arial" w:cs="Arial"/>
          <w:color w:val="4472C4" w:themeColor="accent1"/>
          <w:sz w:val="22"/>
          <w:szCs w:val="22"/>
          <w:lang w:val="en-GB"/>
        </w:rPr>
      </w:pPr>
      <w:r>
        <w:rPr>
          <w:rFonts w:ascii="Arial" w:hAnsi="Arial" w:cs="Arial"/>
          <w:color w:val="4472C4" w:themeColor="accent1"/>
          <w:sz w:val="22"/>
          <w:szCs w:val="22"/>
          <w:lang w:val="en-GB"/>
        </w:rPr>
        <w:t>3</w:t>
      </w:r>
      <w:r>
        <w:rPr>
          <w:rFonts w:ascii="Arial" w:hAnsi="Arial" w:cs="Arial"/>
          <w:color w:val="4472C4" w:themeColor="accent1"/>
          <w:sz w:val="22"/>
          <w:szCs w:val="22"/>
          <w:lang w:val="en-GB"/>
        </w:rPr>
        <w:tab/>
        <w:t xml:space="preserve">Assuming that the Rydell has a contractual claim in </w:t>
      </w:r>
      <w:r w:rsidR="004B5945">
        <w:rPr>
          <w:rFonts w:ascii="Arial" w:hAnsi="Arial" w:cs="Arial"/>
          <w:color w:val="4472C4" w:themeColor="accent1"/>
          <w:sz w:val="22"/>
          <w:szCs w:val="22"/>
          <w:lang w:val="en-GB"/>
        </w:rPr>
        <w:t xml:space="preserve">(say) </w:t>
      </w:r>
      <w:r>
        <w:rPr>
          <w:rFonts w:ascii="Arial" w:hAnsi="Arial" w:cs="Arial"/>
          <w:color w:val="4472C4" w:themeColor="accent1"/>
          <w:sz w:val="22"/>
          <w:szCs w:val="22"/>
          <w:lang w:val="en-GB"/>
        </w:rPr>
        <w:t>France, Fernz will be able open an insolvency proceeding</w:t>
      </w:r>
      <w:r w:rsidR="00A54319">
        <w:rPr>
          <w:rFonts w:ascii="Arial" w:hAnsi="Arial" w:cs="Arial"/>
          <w:color w:val="4472C4" w:themeColor="accent1"/>
          <w:sz w:val="22"/>
          <w:szCs w:val="22"/>
          <w:lang w:val="en-GB"/>
        </w:rPr>
        <w:t xml:space="preserve"> against</w:t>
      </w:r>
      <w:r>
        <w:rPr>
          <w:rFonts w:ascii="Arial" w:hAnsi="Arial" w:cs="Arial"/>
          <w:color w:val="4472C4" w:themeColor="accent1"/>
          <w:sz w:val="22"/>
          <w:szCs w:val="22"/>
          <w:lang w:val="en-GB"/>
        </w:rPr>
        <w:t xml:space="preserve"> (sue) Rydell in France, </w:t>
      </w:r>
      <w:r w:rsidR="00A54319">
        <w:rPr>
          <w:rFonts w:ascii="Arial" w:hAnsi="Arial" w:cs="Arial"/>
          <w:color w:val="4472C4" w:themeColor="accent1"/>
          <w:sz w:val="22"/>
          <w:szCs w:val="22"/>
          <w:lang w:val="en-GB"/>
        </w:rPr>
        <w:t>if</w:t>
      </w:r>
      <w:r>
        <w:rPr>
          <w:rFonts w:ascii="Arial" w:hAnsi="Arial" w:cs="Arial"/>
          <w:color w:val="4472C4" w:themeColor="accent1"/>
          <w:sz w:val="22"/>
          <w:szCs w:val="22"/>
          <w:lang w:val="en-GB"/>
        </w:rPr>
        <w:t xml:space="preserve"> Rydell has </w:t>
      </w:r>
      <w:r w:rsidR="00A54319">
        <w:rPr>
          <w:rFonts w:ascii="Arial" w:hAnsi="Arial" w:cs="Arial"/>
          <w:color w:val="4472C4" w:themeColor="accent1"/>
          <w:sz w:val="22"/>
          <w:szCs w:val="22"/>
          <w:lang w:val="en-GB"/>
        </w:rPr>
        <w:t xml:space="preserve">non-transitory </w:t>
      </w:r>
      <w:r>
        <w:rPr>
          <w:rFonts w:ascii="Arial" w:hAnsi="Arial" w:cs="Arial"/>
          <w:color w:val="4472C4" w:themeColor="accent1"/>
          <w:sz w:val="22"/>
          <w:szCs w:val="22"/>
          <w:lang w:val="en-GB"/>
        </w:rPr>
        <w:t xml:space="preserve">business operations in France. </w:t>
      </w:r>
    </w:p>
    <w:p w14:paraId="4FF9D417" w14:textId="3E4A6806" w:rsidR="00FF25CB" w:rsidRDefault="00FF25CB" w:rsidP="00F46131">
      <w:pPr>
        <w:pStyle w:val="ListParagraph"/>
        <w:jc w:val="both"/>
        <w:rPr>
          <w:rFonts w:ascii="Arial" w:hAnsi="Arial" w:cs="Arial"/>
          <w:color w:val="4472C4" w:themeColor="accent1"/>
          <w:sz w:val="22"/>
          <w:szCs w:val="22"/>
          <w:lang w:val="en-GB"/>
        </w:rPr>
      </w:pPr>
    </w:p>
    <w:p w14:paraId="5DD09896" w14:textId="620B2B04" w:rsidR="00A36677" w:rsidRPr="00FF25CB" w:rsidRDefault="00FF25CB" w:rsidP="00FF25CB">
      <w:pPr>
        <w:pStyle w:val="ListParagraph"/>
        <w:jc w:val="both"/>
        <w:rPr>
          <w:rFonts w:ascii="Arial" w:hAnsi="Arial" w:cs="Arial"/>
          <w:color w:val="4472C4" w:themeColor="accent1"/>
          <w:sz w:val="22"/>
          <w:szCs w:val="22"/>
          <w:lang w:val="en-GB"/>
        </w:rPr>
      </w:pPr>
      <w:r>
        <w:rPr>
          <w:rFonts w:ascii="Arial" w:hAnsi="Arial" w:cs="Arial"/>
          <w:color w:val="4472C4" w:themeColor="accent1"/>
          <w:sz w:val="22"/>
          <w:szCs w:val="22"/>
          <w:lang w:val="en-GB"/>
        </w:rPr>
        <w:t>4</w:t>
      </w:r>
      <w:r>
        <w:rPr>
          <w:rFonts w:ascii="Arial" w:hAnsi="Arial" w:cs="Arial"/>
          <w:color w:val="4472C4" w:themeColor="accent1"/>
          <w:sz w:val="22"/>
          <w:szCs w:val="22"/>
          <w:lang w:val="en-GB"/>
        </w:rPr>
        <w:tab/>
      </w:r>
      <w:r w:rsidR="00D21A94">
        <w:rPr>
          <w:rFonts w:ascii="Arial" w:hAnsi="Arial" w:cs="Arial"/>
          <w:color w:val="4472C4" w:themeColor="accent1"/>
          <w:sz w:val="22"/>
          <w:szCs w:val="22"/>
          <w:lang w:val="en-GB"/>
        </w:rPr>
        <w:t xml:space="preserve">As the </w:t>
      </w:r>
      <w:r w:rsidR="00A36677" w:rsidRPr="00FF25CB">
        <w:rPr>
          <w:rFonts w:ascii="Arial" w:hAnsi="Arial" w:cs="Arial"/>
          <w:color w:val="4472C4" w:themeColor="accent1"/>
          <w:sz w:val="22"/>
          <w:szCs w:val="22"/>
          <w:lang w:val="en-GB"/>
        </w:rPr>
        <w:t>UK has adopted the</w:t>
      </w:r>
      <w:r w:rsidR="00254C0F" w:rsidRPr="00FF25CB">
        <w:rPr>
          <w:rFonts w:ascii="Arial" w:hAnsi="Arial" w:cs="Arial"/>
          <w:color w:val="4472C4" w:themeColor="accent1"/>
          <w:sz w:val="22"/>
          <w:szCs w:val="22"/>
          <w:lang w:val="en-GB"/>
        </w:rPr>
        <w:t xml:space="preserve"> UNCITRAL Model Law</w:t>
      </w:r>
      <w:r w:rsidR="00D21A94">
        <w:rPr>
          <w:rFonts w:ascii="Arial" w:hAnsi="Arial" w:cs="Arial"/>
          <w:color w:val="4472C4" w:themeColor="accent1"/>
          <w:sz w:val="22"/>
          <w:szCs w:val="22"/>
          <w:lang w:val="en-GB"/>
        </w:rPr>
        <w:t xml:space="preserve"> and Recast no longer applies in the UK from 1 Jan 2021, Rydell can consider the </w:t>
      </w:r>
      <w:r>
        <w:rPr>
          <w:rFonts w:ascii="Arial" w:hAnsi="Arial" w:cs="Arial"/>
          <w:color w:val="4472C4" w:themeColor="accent1"/>
          <w:sz w:val="22"/>
          <w:szCs w:val="22"/>
          <w:lang w:val="en-GB"/>
        </w:rPr>
        <w:t xml:space="preserve">possibility </w:t>
      </w:r>
      <w:r w:rsidR="00D21A94">
        <w:rPr>
          <w:rFonts w:ascii="Arial" w:hAnsi="Arial" w:cs="Arial"/>
          <w:color w:val="4472C4" w:themeColor="accent1"/>
          <w:sz w:val="22"/>
          <w:szCs w:val="22"/>
          <w:lang w:val="en-GB"/>
        </w:rPr>
        <w:t xml:space="preserve">of suing Fernz in the UK or be a supporting creditor (relating to insolvency proceeding) to the petition by the minor creditor.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4497DC88" w:rsidR="00463259" w:rsidRDefault="00463259" w:rsidP="0046142D">
      <w:pPr>
        <w:ind w:hanging="11"/>
        <w:jc w:val="both"/>
        <w:rPr>
          <w:rFonts w:ascii="Arial" w:hAnsi="Arial" w:cs="Arial"/>
          <w:sz w:val="22"/>
          <w:szCs w:val="22"/>
          <w:lang w:val="en-GB"/>
        </w:rPr>
      </w:pPr>
    </w:p>
    <w:p w14:paraId="287828F6" w14:textId="77777777" w:rsidR="007F5D99" w:rsidRDefault="007F5D99" w:rsidP="0046142D">
      <w:pPr>
        <w:ind w:hanging="11"/>
        <w:jc w:val="both"/>
        <w:rPr>
          <w:rFonts w:ascii="Arial" w:hAnsi="Arial" w:cs="Arial"/>
          <w:color w:val="4472C4" w:themeColor="accent1"/>
          <w:sz w:val="22"/>
          <w:szCs w:val="22"/>
          <w:lang w:val="en-GB"/>
        </w:rPr>
      </w:pPr>
    </w:p>
    <w:p w14:paraId="2FDD6CA7" w14:textId="77777777" w:rsidR="007F5D99" w:rsidRDefault="007F5D99" w:rsidP="007F5D99">
      <w:pPr>
        <w:ind w:hanging="11"/>
        <w:jc w:val="both"/>
        <w:rPr>
          <w:rFonts w:ascii="Arial" w:hAnsi="Arial" w:cs="Arial"/>
          <w:color w:val="4472C4" w:themeColor="accent1"/>
          <w:sz w:val="22"/>
          <w:szCs w:val="22"/>
          <w:lang w:val="en-GB"/>
        </w:rPr>
      </w:pPr>
      <w:r>
        <w:rPr>
          <w:rFonts w:ascii="Arial" w:hAnsi="Arial" w:cs="Arial"/>
          <w:color w:val="4472C4" w:themeColor="accent1"/>
          <w:sz w:val="22"/>
          <w:szCs w:val="22"/>
          <w:lang w:val="en-GB"/>
        </w:rPr>
        <w:t>1</w:t>
      </w:r>
      <w:r>
        <w:rPr>
          <w:rFonts w:ascii="Arial" w:hAnsi="Arial" w:cs="Arial"/>
          <w:color w:val="4472C4" w:themeColor="accent1"/>
          <w:sz w:val="22"/>
          <w:szCs w:val="22"/>
          <w:lang w:val="en-GB"/>
        </w:rPr>
        <w:tab/>
      </w:r>
      <w:r w:rsidR="00A36677">
        <w:rPr>
          <w:rFonts w:ascii="Arial" w:hAnsi="Arial" w:cs="Arial"/>
          <w:color w:val="4472C4" w:themeColor="accent1"/>
          <w:sz w:val="22"/>
          <w:szCs w:val="22"/>
          <w:lang w:val="en-GB"/>
        </w:rPr>
        <w:t xml:space="preserve">On 18 June 2021, UK is no longer a member of EU.  </w:t>
      </w:r>
      <w:r w:rsidR="00FA7E52">
        <w:rPr>
          <w:rFonts w:ascii="Arial" w:hAnsi="Arial" w:cs="Arial"/>
          <w:color w:val="4472C4" w:themeColor="accent1"/>
          <w:sz w:val="22"/>
          <w:szCs w:val="22"/>
          <w:lang w:val="en-GB"/>
        </w:rPr>
        <w:t xml:space="preserve">EIR does not apply.  </w:t>
      </w:r>
    </w:p>
    <w:p w14:paraId="753D2E3F" w14:textId="267BD02E" w:rsidR="00FA7E52" w:rsidRDefault="007F5D99" w:rsidP="007F5D99">
      <w:pPr>
        <w:ind w:hanging="11"/>
        <w:jc w:val="both"/>
        <w:rPr>
          <w:rFonts w:ascii="Arial" w:hAnsi="Arial" w:cs="Arial"/>
          <w:color w:val="4472C4" w:themeColor="accent1"/>
          <w:sz w:val="22"/>
          <w:szCs w:val="22"/>
          <w:lang w:val="en-GB"/>
        </w:rPr>
      </w:pPr>
      <w:r>
        <w:rPr>
          <w:rFonts w:ascii="Arial" w:hAnsi="Arial" w:cs="Arial"/>
          <w:color w:val="4472C4" w:themeColor="accent1"/>
          <w:sz w:val="22"/>
          <w:szCs w:val="22"/>
          <w:lang w:val="en-GB"/>
        </w:rPr>
        <w:lastRenderedPageBreak/>
        <w:t>2</w:t>
      </w:r>
      <w:r>
        <w:rPr>
          <w:rFonts w:ascii="Arial" w:hAnsi="Arial" w:cs="Arial"/>
          <w:color w:val="4472C4" w:themeColor="accent1"/>
          <w:sz w:val="22"/>
          <w:szCs w:val="22"/>
          <w:lang w:val="en-GB"/>
        </w:rPr>
        <w:tab/>
      </w:r>
      <w:r w:rsidR="00FA7E52">
        <w:rPr>
          <w:rFonts w:ascii="Arial" w:hAnsi="Arial" w:cs="Arial"/>
          <w:color w:val="4472C4" w:themeColor="accent1"/>
          <w:sz w:val="22"/>
          <w:szCs w:val="22"/>
          <w:lang w:val="en-GB"/>
        </w:rPr>
        <w:t xml:space="preserve">The issue that arises is whether the </w:t>
      </w:r>
      <w:r>
        <w:rPr>
          <w:rFonts w:ascii="Arial" w:hAnsi="Arial" w:cs="Arial"/>
          <w:color w:val="4472C4" w:themeColor="accent1"/>
          <w:sz w:val="22"/>
          <w:szCs w:val="22"/>
          <w:lang w:val="en-GB"/>
        </w:rPr>
        <w:t xml:space="preserve">Fernz </w:t>
      </w:r>
      <w:r w:rsidR="00FA7E52">
        <w:rPr>
          <w:rFonts w:ascii="Arial" w:hAnsi="Arial" w:cs="Arial"/>
          <w:color w:val="4472C4" w:themeColor="accent1"/>
          <w:sz w:val="22"/>
          <w:szCs w:val="22"/>
          <w:lang w:val="en-GB"/>
        </w:rPr>
        <w:t xml:space="preserve">may proceed to commence an insolvency proceeding against Rydell in the UK, when Rydell is not registered in the UK (and COMI is not in the UK).  </w:t>
      </w:r>
    </w:p>
    <w:p w14:paraId="4E6D0C97" w14:textId="77777777" w:rsidR="00FA7E52" w:rsidRDefault="00FA7E52" w:rsidP="0046142D">
      <w:pPr>
        <w:ind w:hanging="11"/>
        <w:jc w:val="both"/>
        <w:rPr>
          <w:rFonts w:ascii="Arial" w:hAnsi="Arial" w:cs="Arial"/>
          <w:color w:val="4472C4" w:themeColor="accent1"/>
          <w:sz w:val="22"/>
          <w:szCs w:val="22"/>
          <w:lang w:val="en-GB"/>
        </w:rPr>
      </w:pPr>
    </w:p>
    <w:bookmarkEnd w:id="4"/>
    <w:bookmarkEnd w:id="5"/>
    <w:p w14:paraId="3CAE42BE" w14:textId="76EE3A2B" w:rsidR="00015EE6" w:rsidRDefault="007F5D99" w:rsidP="00FA7E52">
      <w:pPr>
        <w:ind w:hanging="11"/>
        <w:jc w:val="both"/>
        <w:rPr>
          <w:rFonts w:ascii="Arial" w:hAnsi="Arial" w:cs="Arial"/>
          <w:color w:val="4472C4" w:themeColor="accent1"/>
          <w:sz w:val="22"/>
          <w:szCs w:val="22"/>
          <w:lang w:val="en-GB"/>
        </w:rPr>
      </w:pPr>
      <w:r>
        <w:rPr>
          <w:rFonts w:ascii="Arial" w:hAnsi="Arial" w:cs="Arial"/>
          <w:color w:val="4472C4" w:themeColor="accent1"/>
          <w:sz w:val="22"/>
          <w:szCs w:val="22"/>
          <w:lang w:val="en-GB"/>
        </w:rPr>
        <w:t>3</w:t>
      </w:r>
      <w:r>
        <w:rPr>
          <w:rFonts w:ascii="Arial" w:hAnsi="Arial" w:cs="Arial"/>
          <w:color w:val="4472C4" w:themeColor="accent1"/>
          <w:sz w:val="22"/>
          <w:szCs w:val="22"/>
          <w:lang w:val="en-GB"/>
        </w:rPr>
        <w:tab/>
      </w:r>
      <w:r w:rsidR="00FA7E52">
        <w:rPr>
          <w:rFonts w:ascii="Arial" w:hAnsi="Arial" w:cs="Arial"/>
          <w:color w:val="4472C4" w:themeColor="accent1"/>
          <w:sz w:val="22"/>
          <w:szCs w:val="22"/>
          <w:lang w:val="en-GB"/>
        </w:rPr>
        <w:t xml:space="preserve">Section 220 – 221 of UK Insolvency Act 1986 provides that an English court has jurisdiction to wind-up a company formed in another State if the foreign company (not registered in the UK) carried on business in the UK.  </w:t>
      </w:r>
    </w:p>
    <w:p w14:paraId="2C3A6C13" w14:textId="5850D078" w:rsidR="007F5D99" w:rsidRDefault="007F5D99" w:rsidP="00FA7E52">
      <w:pPr>
        <w:ind w:hanging="11"/>
        <w:jc w:val="both"/>
        <w:rPr>
          <w:rFonts w:ascii="Arial" w:hAnsi="Arial" w:cs="Arial"/>
          <w:color w:val="4472C4" w:themeColor="accent1"/>
          <w:sz w:val="22"/>
          <w:szCs w:val="22"/>
          <w:lang w:val="en-GB"/>
        </w:rPr>
      </w:pPr>
    </w:p>
    <w:p w14:paraId="2F5A74F2" w14:textId="06D2E65D" w:rsidR="007F5D99" w:rsidRPr="00205B31" w:rsidRDefault="007F5D99" w:rsidP="00FA7E52">
      <w:pPr>
        <w:ind w:hanging="11"/>
        <w:jc w:val="both"/>
        <w:rPr>
          <w:rFonts w:ascii="Arial" w:hAnsi="Arial" w:cs="Arial"/>
          <w:sz w:val="22"/>
          <w:szCs w:val="22"/>
          <w:lang w:val="en-GB"/>
        </w:rPr>
      </w:pPr>
      <w:r>
        <w:rPr>
          <w:rFonts w:ascii="Arial" w:hAnsi="Arial" w:cs="Arial"/>
          <w:color w:val="4472C4" w:themeColor="accent1"/>
          <w:sz w:val="22"/>
          <w:szCs w:val="22"/>
          <w:lang w:val="en-GB"/>
        </w:rPr>
        <w:t>4</w:t>
      </w:r>
      <w:r>
        <w:rPr>
          <w:rFonts w:ascii="Arial" w:hAnsi="Arial" w:cs="Arial"/>
          <w:color w:val="4472C4" w:themeColor="accent1"/>
          <w:sz w:val="22"/>
          <w:szCs w:val="22"/>
          <w:lang w:val="en-GB"/>
        </w:rPr>
        <w:tab/>
        <w:t>If Fernz has a contractual claim in the UK against Rydell, Fernz can either (a) sue Rydell in the UK, or (b) commence an insolvency proceeding against Rydell in the UK</w:t>
      </w:r>
      <w:r w:rsidR="00521CA2">
        <w:rPr>
          <w:rFonts w:ascii="Arial" w:hAnsi="Arial" w:cs="Arial"/>
          <w:color w:val="4472C4" w:themeColor="accent1"/>
          <w:sz w:val="22"/>
          <w:szCs w:val="22"/>
          <w:lang w:val="en-GB"/>
        </w:rPr>
        <w:t xml:space="preserve">, if Rydell can meet the procedural requirements to winding-up under UK Insolvency Act 1986.  </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AA67" w14:textId="77777777" w:rsidR="007D5355" w:rsidRDefault="007D5355" w:rsidP="00241B44">
      <w:r>
        <w:separator/>
      </w:r>
    </w:p>
  </w:endnote>
  <w:endnote w:type="continuationSeparator" w:id="0">
    <w:p w14:paraId="7678F4CB" w14:textId="77777777" w:rsidR="007D5355" w:rsidRDefault="007D535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2E1C86B2" w:rsidR="006E1CB0" w:rsidRPr="0052732A" w:rsidRDefault="002E26B9" w:rsidP="0052732A">
    <w:pPr>
      <w:pStyle w:val="Footer"/>
      <w:ind w:right="360"/>
      <w:rPr>
        <w:rFonts w:ascii="Arial" w:hAnsi="Arial" w:cs="Arial"/>
        <w:sz w:val="18"/>
        <w:szCs w:val="18"/>
      </w:rPr>
    </w:pPr>
    <w:r>
      <w:rPr>
        <w:rFonts w:ascii="Arial" w:hAnsi="Arial" w:cs="Arial"/>
        <w:sz w:val="18"/>
        <w:szCs w:val="18"/>
      </w:rPr>
      <w:t>202122-499</w:t>
    </w:r>
    <w:r w:rsidR="006E1CB0" w:rsidRPr="0052732A">
      <w:rPr>
        <w:rFonts w:ascii="Arial" w:hAnsi="Arial" w:cs="Arial"/>
        <w:sz w:val="18"/>
        <w:szCs w:val="18"/>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7705" w14:textId="77777777" w:rsidR="002E26B9" w:rsidRDefault="002E2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FDA3" w14:textId="77777777" w:rsidR="007D5355" w:rsidRDefault="007D5355" w:rsidP="00241B44">
      <w:r>
        <w:separator/>
      </w:r>
    </w:p>
  </w:footnote>
  <w:footnote w:type="continuationSeparator" w:id="0">
    <w:p w14:paraId="05FCFA51" w14:textId="77777777" w:rsidR="007D5355" w:rsidRDefault="007D535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D299" w14:textId="77777777" w:rsidR="002E26B9" w:rsidRDefault="002E2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94A3" w14:textId="77777777" w:rsidR="002E26B9" w:rsidRDefault="002E2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C458" w14:textId="77777777" w:rsidR="002E26B9" w:rsidRDefault="002E2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B51"/>
    <w:multiLevelType w:val="hybridMultilevel"/>
    <w:tmpl w:val="81A400F2"/>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 w15:restartNumberingAfterBreak="0">
    <w:nsid w:val="01217378"/>
    <w:multiLevelType w:val="hybridMultilevel"/>
    <w:tmpl w:val="8C342D16"/>
    <w:lvl w:ilvl="0" w:tplc="44090011">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DB34947"/>
    <w:multiLevelType w:val="hybridMultilevel"/>
    <w:tmpl w:val="5BC050DE"/>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4" w15:restartNumberingAfterBreak="0">
    <w:nsid w:val="0F0C73A5"/>
    <w:multiLevelType w:val="hybridMultilevel"/>
    <w:tmpl w:val="9210E1E0"/>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5"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5A319FC"/>
    <w:multiLevelType w:val="hybridMultilevel"/>
    <w:tmpl w:val="398AF530"/>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0" w15:restartNumberingAfterBreak="0">
    <w:nsid w:val="28ED35B1"/>
    <w:multiLevelType w:val="hybridMultilevel"/>
    <w:tmpl w:val="287C9EE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1"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5519C2"/>
    <w:multiLevelType w:val="hybridMultilevel"/>
    <w:tmpl w:val="DA1E501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4" w15:restartNumberingAfterBreak="0">
    <w:nsid w:val="3C473F8C"/>
    <w:multiLevelType w:val="hybridMultilevel"/>
    <w:tmpl w:val="1ACC522A"/>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5"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0" w15:restartNumberingAfterBreak="0">
    <w:nsid w:val="516A15C6"/>
    <w:multiLevelType w:val="hybridMultilevel"/>
    <w:tmpl w:val="0CD00538"/>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1"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7D1397"/>
    <w:multiLevelType w:val="hybridMultilevel"/>
    <w:tmpl w:val="6D8064B6"/>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23" w15:restartNumberingAfterBreak="0">
    <w:nsid w:val="65EA196C"/>
    <w:multiLevelType w:val="hybridMultilevel"/>
    <w:tmpl w:val="0EA2E0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6EC139CF"/>
    <w:multiLevelType w:val="hybridMultilevel"/>
    <w:tmpl w:val="183AC21E"/>
    <w:lvl w:ilvl="0" w:tplc="44090011">
      <w:start w:val="1"/>
      <w:numFmt w:val="decimal"/>
      <w:lvlText w:val="%1)"/>
      <w:lvlJc w:val="left"/>
      <w:pPr>
        <w:ind w:left="1440" w:hanging="360"/>
      </w:pPr>
    </w:lvl>
    <w:lvl w:ilvl="1" w:tplc="44090001">
      <w:start w:val="1"/>
      <w:numFmt w:val="bullet"/>
      <w:lvlText w:val=""/>
      <w:lvlJc w:val="left"/>
      <w:pPr>
        <w:ind w:left="2160" w:hanging="360"/>
      </w:pPr>
      <w:rPr>
        <w:rFonts w:ascii="Symbol" w:hAnsi="Symbol"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6" w15:restartNumberingAfterBreak="0">
    <w:nsid w:val="707C038E"/>
    <w:multiLevelType w:val="hybridMultilevel"/>
    <w:tmpl w:val="3006A9F8"/>
    <w:lvl w:ilvl="0" w:tplc="44090011">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7"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5"/>
  </w:num>
  <w:num w:numId="2">
    <w:abstractNumId w:val="16"/>
  </w:num>
  <w:num w:numId="3">
    <w:abstractNumId w:val="28"/>
  </w:num>
  <w:num w:numId="4">
    <w:abstractNumId w:val="8"/>
  </w:num>
  <w:num w:numId="5">
    <w:abstractNumId w:val="6"/>
  </w:num>
  <w:num w:numId="6">
    <w:abstractNumId w:val="24"/>
  </w:num>
  <w:num w:numId="7">
    <w:abstractNumId w:val="7"/>
  </w:num>
  <w:num w:numId="8">
    <w:abstractNumId w:val="5"/>
  </w:num>
  <w:num w:numId="9">
    <w:abstractNumId w:val="2"/>
  </w:num>
  <w:num w:numId="10">
    <w:abstractNumId w:val="11"/>
  </w:num>
  <w:num w:numId="11">
    <w:abstractNumId w:val="18"/>
  </w:num>
  <w:num w:numId="12">
    <w:abstractNumId w:val="27"/>
  </w:num>
  <w:num w:numId="13">
    <w:abstractNumId w:val="19"/>
  </w:num>
  <w:num w:numId="14">
    <w:abstractNumId w:val="12"/>
  </w:num>
  <w:num w:numId="15">
    <w:abstractNumId w:val="17"/>
  </w:num>
  <w:num w:numId="16">
    <w:abstractNumId w:val="21"/>
  </w:num>
  <w:num w:numId="17">
    <w:abstractNumId w:val="20"/>
  </w:num>
  <w:num w:numId="18">
    <w:abstractNumId w:val="25"/>
  </w:num>
  <w:num w:numId="19">
    <w:abstractNumId w:val="22"/>
  </w:num>
  <w:num w:numId="20">
    <w:abstractNumId w:val="0"/>
  </w:num>
  <w:num w:numId="21">
    <w:abstractNumId w:val="4"/>
  </w:num>
  <w:num w:numId="22">
    <w:abstractNumId w:val="3"/>
  </w:num>
  <w:num w:numId="23">
    <w:abstractNumId w:val="10"/>
  </w:num>
  <w:num w:numId="24">
    <w:abstractNumId w:val="13"/>
  </w:num>
  <w:num w:numId="25">
    <w:abstractNumId w:val="1"/>
  </w:num>
  <w:num w:numId="26">
    <w:abstractNumId w:val="26"/>
  </w:num>
  <w:num w:numId="27">
    <w:abstractNumId w:val="23"/>
  </w:num>
  <w:num w:numId="28">
    <w:abstractNumId w:val="9"/>
  </w:num>
  <w:num w:numId="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UwNDc3NLG0NDAzsjBQ0lEKTi0uzszPAykwqwUA8o/D2iwAAAA="/>
  </w:docVars>
  <w:rsids>
    <w:rsidRoot w:val="00045088"/>
    <w:rsid w:val="000009F5"/>
    <w:rsid w:val="00003D8F"/>
    <w:rsid w:val="0000420A"/>
    <w:rsid w:val="00004AE7"/>
    <w:rsid w:val="00010BA0"/>
    <w:rsid w:val="000140F7"/>
    <w:rsid w:val="00015EE6"/>
    <w:rsid w:val="00020557"/>
    <w:rsid w:val="000218C2"/>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405E"/>
    <w:rsid w:val="000851CC"/>
    <w:rsid w:val="00085349"/>
    <w:rsid w:val="00085D4B"/>
    <w:rsid w:val="00086BDD"/>
    <w:rsid w:val="00090933"/>
    <w:rsid w:val="00092971"/>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33E6"/>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2C0B"/>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54C0F"/>
    <w:rsid w:val="002638B0"/>
    <w:rsid w:val="0026510C"/>
    <w:rsid w:val="0026647A"/>
    <w:rsid w:val="002668D3"/>
    <w:rsid w:val="00266F17"/>
    <w:rsid w:val="002672D0"/>
    <w:rsid w:val="0027242B"/>
    <w:rsid w:val="0027299F"/>
    <w:rsid w:val="00275182"/>
    <w:rsid w:val="00275946"/>
    <w:rsid w:val="00284EBE"/>
    <w:rsid w:val="00285A8D"/>
    <w:rsid w:val="00286720"/>
    <w:rsid w:val="002872E1"/>
    <w:rsid w:val="00287B2E"/>
    <w:rsid w:val="00287D4D"/>
    <w:rsid w:val="00290116"/>
    <w:rsid w:val="00293F98"/>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26B9"/>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4971"/>
    <w:rsid w:val="0030558B"/>
    <w:rsid w:val="00306E87"/>
    <w:rsid w:val="00310FC2"/>
    <w:rsid w:val="003144EF"/>
    <w:rsid w:val="00322764"/>
    <w:rsid w:val="00326292"/>
    <w:rsid w:val="00326415"/>
    <w:rsid w:val="00330937"/>
    <w:rsid w:val="00330F31"/>
    <w:rsid w:val="003326F0"/>
    <w:rsid w:val="00334648"/>
    <w:rsid w:val="00336CA6"/>
    <w:rsid w:val="0033768C"/>
    <w:rsid w:val="00337938"/>
    <w:rsid w:val="00340769"/>
    <w:rsid w:val="00341A65"/>
    <w:rsid w:val="00341AA6"/>
    <w:rsid w:val="00342E57"/>
    <w:rsid w:val="003432CF"/>
    <w:rsid w:val="00355B57"/>
    <w:rsid w:val="0036136B"/>
    <w:rsid w:val="00361A0A"/>
    <w:rsid w:val="00361DF9"/>
    <w:rsid w:val="00362A05"/>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1E6A"/>
    <w:rsid w:val="003E2D1B"/>
    <w:rsid w:val="003E67D1"/>
    <w:rsid w:val="003F655E"/>
    <w:rsid w:val="003F74D9"/>
    <w:rsid w:val="00404EF7"/>
    <w:rsid w:val="00405DC1"/>
    <w:rsid w:val="00410813"/>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B9F"/>
    <w:rsid w:val="00454C9D"/>
    <w:rsid w:val="0045683E"/>
    <w:rsid w:val="0046142D"/>
    <w:rsid w:val="0046274F"/>
    <w:rsid w:val="0046298C"/>
    <w:rsid w:val="00463229"/>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5945"/>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0D32"/>
    <w:rsid w:val="0050156C"/>
    <w:rsid w:val="005059A4"/>
    <w:rsid w:val="00515756"/>
    <w:rsid w:val="00515F63"/>
    <w:rsid w:val="005177FE"/>
    <w:rsid w:val="00521CA2"/>
    <w:rsid w:val="0052263B"/>
    <w:rsid w:val="005243AD"/>
    <w:rsid w:val="00524728"/>
    <w:rsid w:val="00525459"/>
    <w:rsid w:val="00525C99"/>
    <w:rsid w:val="0052732A"/>
    <w:rsid w:val="00530010"/>
    <w:rsid w:val="00530CA0"/>
    <w:rsid w:val="00532283"/>
    <w:rsid w:val="005323A7"/>
    <w:rsid w:val="005331CA"/>
    <w:rsid w:val="0053523A"/>
    <w:rsid w:val="0053772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2F60"/>
    <w:rsid w:val="005B503A"/>
    <w:rsid w:val="005B67AC"/>
    <w:rsid w:val="005C01B0"/>
    <w:rsid w:val="005C2790"/>
    <w:rsid w:val="005C36E9"/>
    <w:rsid w:val="005C3B3A"/>
    <w:rsid w:val="005C6778"/>
    <w:rsid w:val="005D0511"/>
    <w:rsid w:val="005D32AB"/>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001F"/>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3F5A"/>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33CF"/>
    <w:rsid w:val="00704852"/>
    <w:rsid w:val="00704C24"/>
    <w:rsid w:val="007074E9"/>
    <w:rsid w:val="00707954"/>
    <w:rsid w:val="007079C8"/>
    <w:rsid w:val="00707BC5"/>
    <w:rsid w:val="00713DA4"/>
    <w:rsid w:val="007142FA"/>
    <w:rsid w:val="00714BF1"/>
    <w:rsid w:val="00721383"/>
    <w:rsid w:val="007216AD"/>
    <w:rsid w:val="00724639"/>
    <w:rsid w:val="00726E9A"/>
    <w:rsid w:val="00727864"/>
    <w:rsid w:val="007333CC"/>
    <w:rsid w:val="007335D8"/>
    <w:rsid w:val="0073399A"/>
    <w:rsid w:val="007369C7"/>
    <w:rsid w:val="00743531"/>
    <w:rsid w:val="007462D9"/>
    <w:rsid w:val="00751986"/>
    <w:rsid w:val="0075428A"/>
    <w:rsid w:val="00756ABD"/>
    <w:rsid w:val="00756ED1"/>
    <w:rsid w:val="007576A3"/>
    <w:rsid w:val="007603F5"/>
    <w:rsid w:val="00760A70"/>
    <w:rsid w:val="0076181C"/>
    <w:rsid w:val="00764DB0"/>
    <w:rsid w:val="007671EB"/>
    <w:rsid w:val="00767551"/>
    <w:rsid w:val="0076764D"/>
    <w:rsid w:val="0076766F"/>
    <w:rsid w:val="00770DF5"/>
    <w:rsid w:val="0077498C"/>
    <w:rsid w:val="0077572C"/>
    <w:rsid w:val="00777070"/>
    <w:rsid w:val="00782B3F"/>
    <w:rsid w:val="00784128"/>
    <w:rsid w:val="0078662F"/>
    <w:rsid w:val="00790B4C"/>
    <w:rsid w:val="00790C43"/>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5355"/>
    <w:rsid w:val="007D7C92"/>
    <w:rsid w:val="007D7E30"/>
    <w:rsid w:val="007E1154"/>
    <w:rsid w:val="007E3AA5"/>
    <w:rsid w:val="007E3ADF"/>
    <w:rsid w:val="007E530F"/>
    <w:rsid w:val="007E6BA4"/>
    <w:rsid w:val="007F19A2"/>
    <w:rsid w:val="007F41F8"/>
    <w:rsid w:val="007F5D99"/>
    <w:rsid w:val="00804000"/>
    <w:rsid w:val="0080454E"/>
    <w:rsid w:val="00804C32"/>
    <w:rsid w:val="00806302"/>
    <w:rsid w:val="00807119"/>
    <w:rsid w:val="00811865"/>
    <w:rsid w:val="00814A55"/>
    <w:rsid w:val="0082483F"/>
    <w:rsid w:val="008259C8"/>
    <w:rsid w:val="008279C0"/>
    <w:rsid w:val="00841E70"/>
    <w:rsid w:val="008473AA"/>
    <w:rsid w:val="00852883"/>
    <w:rsid w:val="00852F37"/>
    <w:rsid w:val="008571F6"/>
    <w:rsid w:val="00861E51"/>
    <w:rsid w:val="00866648"/>
    <w:rsid w:val="00870B96"/>
    <w:rsid w:val="008723F3"/>
    <w:rsid w:val="00873246"/>
    <w:rsid w:val="00875E2E"/>
    <w:rsid w:val="00880F99"/>
    <w:rsid w:val="00881DA8"/>
    <w:rsid w:val="00881DE6"/>
    <w:rsid w:val="008837A6"/>
    <w:rsid w:val="0089145D"/>
    <w:rsid w:val="00896FD7"/>
    <w:rsid w:val="00897428"/>
    <w:rsid w:val="008A30C3"/>
    <w:rsid w:val="008A30EE"/>
    <w:rsid w:val="008A3354"/>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2D16"/>
    <w:rsid w:val="00942123"/>
    <w:rsid w:val="0094263A"/>
    <w:rsid w:val="00946EE0"/>
    <w:rsid w:val="0095029B"/>
    <w:rsid w:val="0095207B"/>
    <w:rsid w:val="009533CB"/>
    <w:rsid w:val="00953B5C"/>
    <w:rsid w:val="0095526F"/>
    <w:rsid w:val="00955CE0"/>
    <w:rsid w:val="009609CA"/>
    <w:rsid w:val="00962045"/>
    <w:rsid w:val="00963FA8"/>
    <w:rsid w:val="00966E44"/>
    <w:rsid w:val="009708BB"/>
    <w:rsid w:val="009727DF"/>
    <w:rsid w:val="009729E8"/>
    <w:rsid w:val="00975640"/>
    <w:rsid w:val="00976DA5"/>
    <w:rsid w:val="009773BA"/>
    <w:rsid w:val="00981608"/>
    <w:rsid w:val="009878DB"/>
    <w:rsid w:val="00991272"/>
    <w:rsid w:val="00991428"/>
    <w:rsid w:val="00992676"/>
    <w:rsid w:val="009A25C0"/>
    <w:rsid w:val="009A5354"/>
    <w:rsid w:val="009A6A10"/>
    <w:rsid w:val="009A7172"/>
    <w:rsid w:val="009B0723"/>
    <w:rsid w:val="009B07AD"/>
    <w:rsid w:val="009B0883"/>
    <w:rsid w:val="009B15E2"/>
    <w:rsid w:val="009B6BCE"/>
    <w:rsid w:val="009C0B8E"/>
    <w:rsid w:val="009C1527"/>
    <w:rsid w:val="009C1BC8"/>
    <w:rsid w:val="009C2442"/>
    <w:rsid w:val="009C2628"/>
    <w:rsid w:val="009C27B1"/>
    <w:rsid w:val="009D0811"/>
    <w:rsid w:val="009D0E12"/>
    <w:rsid w:val="009D0EE1"/>
    <w:rsid w:val="009D43D0"/>
    <w:rsid w:val="009D4EC2"/>
    <w:rsid w:val="009D510C"/>
    <w:rsid w:val="009D5CDB"/>
    <w:rsid w:val="009D6709"/>
    <w:rsid w:val="009E13C1"/>
    <w:rsid w:val="009E2AEB"/>
    <w:rsid w:val="009E2E27"/>
    <w:rsid w:val="009E44C0"/>
    <w:rsid w:val="009E4DE3"/>
    <w:rsid w:val="009E50C1"/>
    <w:rsid w:val="009F0C29"/>
    <w:rsid w:val="00A047EE"/>
    <w:rsid w:val="00A057CA"/>
    <w:rsid w:val="00A072F7"/>
    <w:rsid w:val="00A149B7"/>
    <w:rsid w:val="00A177BC"/>
    <w:rsid w:val="00A17930"/>
    <w:rsid w:val="00A17E9A"/>
    <w:rsid w:val="00A2274A"/>
    <w:rsid w:val="00A235B7"/>
    <w:rsid w:val="00A249AC"/>
    <w:rsid w:val="00A27A7A"/>
    <w:rsid w:val="00A301D1"/>
    <w:rsid w:val="00A31881"/>
    <w:rsid w:val="00A36677"/>
    <w:rsid w:val="00A407EF"/>
    <w:rsid w:val="00A411B7"/>
    <w:rsid w:val="00A4128C"/>
    <w:rsid w:val="00A46B4C"/>
    <w:rsid w:val="00A5117B"/>
    <w:rsid w:val="00A54319"/>
    <w:rsid w:val="00A560B6"/>
    <w:rsid w:val="00A56CF7"/>
    <w:rsid w:val="00A56DBC"/>
    <w:rsid w:val="00A60074"/>
    <w:rsid w:val="00A646E2"/>
    <w:rsid w:val="00A651A9"/>
    <w:rsid w:val="00A6627C"/>
    <w:rsid w:val="00A71019"/>
    <w:rsid w:val="00A767FB"/>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6A3E"/>
    <w:rsid w:val="00AD74AD"/>
    <w:rsid w:val="00AE027F"/>
    <w:rsid w:val="00AF228E"/>
    <w:rsid w:val="00AF455B"/>
    <w:rsid w:val="00B0123F"/>
    <w:rsid w:val="00B04004"/>
    <w:rsid w:val="00B064F4"/>
    <w:rsid w:val="00B14819"/>
    <w:rsid w:val="00B17AA9"/>
    <w:rsid w:val="00B221FF"/>
    <w:rsid w:val="00B24F7D"/>
    <w:rsid w:val="00B26B31"/>
    <w:rsid w:val="00B30A70"/>
    <w:rsid w:val="00B32674"/>
    <w:rsid w:val="00B333FE"/>
    <w:rsid w:val="00B3503B"/>
    <w:rsid w:val="00B378FA"/>
    <w:rsid w:val="00B42352"/>
    <w:rsid w:val="00B4661F"/>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1618"/>
    <w:rsid w:val="00B82586"/>
    <w:rsid w:val="00B829A3"/>
    <w:rsid w:val="00B86537"/>
    <w:rsid w:val="00B86DB1"/>
    <w:rsid w:val="00B87869"/>
    <w:rsid w:val="00B87A61"/>
    <w:rsid w:val="00B92D5B"/>
    <w:rsid w:val="00B9417E"/>
    <w:rsid w:val="00BA10C7"/>
    <w:rsid w:val="00BA1648"/>
    <w:rsid w:val="00BA2637"/>
    <w:rsid w:val="00BA35FF"/>
    <w:rsid w:val="00BB09FD"/>
    <w:rsid w:val="00BB0F2B"/>
    <w:rsid w:val="00BB2465"/>
    <w:rsid w:val="00BB5A37"/>
    <w:rsid w:val="00BB6955"/>
    <w:rsid w:val="00BB6F7A"/>
    <w:rsid w:val="00BC48EB"/>
    <w:rsid w:val="00BC585F"/>
    <w:rsid w:val="00BC5D7D"/>
    <w:rsid w:val="00BD0299"/>
    <w:rsid w:val="00BD23B4"/>
    <w:rsid w:val="00BD3363"/>
    <w:rsid w:val="00BD3F18"/>
    <w:rsid w:val="00BD4882"/>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686D"/>
    <w:rsid w:val="00C71F4F"/>
    <w:rsid w:val="00C72848"/>
    <w:rsid w:val="00C750BA"/>
    <w:rsid w:val="00C7736C"/>
    <w:rsid w:val="00C80272"/>
    <w:rsid w:val="00C82D87"/>
    <w:rsid w:val="00C8712A"/>
    <w:rsid w:val="00C9280B"/>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1A94"/>
    <w:rsid w:val="00D223E4"/>
    <w:rsid w:val="00D256C6"/>
    <w:rsid w:val="00D25F51"/>
    <w:rsid w:val="00D326F8"/>
    <w:rsid w:val="00D35229"/>
    <w:rsid w:val="00D35ADE"/>
    <w:rsid w:val="00D35EAE"/>
    <w:rsid w:val="00D412EC"/>
    <w:rsid w:val="00D4685B"/>
    <w:rsid w:val="00D5458E"/>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D88"/>
    <w:rsid w:val="00DB6EF5"/>
    <w:rsid w:val="00DC2A3F"/>
    <w:rsid w:val="00DC2BEC"/>
    <w:rsid w:val="00DC2FDB"/>
    <w:rsid w:val="00DC3087"/>
    <w:rsid w:val="00DC3089"/>
    <w:rsid w:val="00DC34CC"/>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54C3"/>
    <w:rsid w:val="00DE6633"/>
    <w:rsid w:val="00DF056D"/>
    <w:rsid w:val="00DF4D51"/>
    <w:rsid w:val="00DF75F8"/>
    <w:rsid w:val="00DF7A3A"/>
    <w:rsid w:val="00DF7AD4"/>
    <w:rsid w:val="00E009E1"/>
    <w:rsid w:val="00E00C00"/>
    <w:rsid w:val="00E00E54"/>
    <w:rsid w:val="00E041F9"/>
    <w:rsid w:val="00E05837"/>
    <w:rsid w:val="00E07C5A"/>
    <w:rsid w:val="00E10A73"/>
    <w:rsid w:val="00E11F27"/>
    <w:rsid w:val="00E12C13"/>
    <w:rsid w:val="00E15BA9"/>
    <w:rsid w:val="00E161D2"/>
    <w:rsid w:val="00E167B7"/>
    <w:rsid w:val="00E177E2"/>
    <w:rsid w:val="00E22DE4"/>
    <w:rsid w:val="00E26E19"/>
    <w:rsid w:val="00E31DF3"/>
    <w:rsid w:val="00E37049"/>
    <w:rsid w:val="00E450A4"/>
    <w:rsid w:val="00E455BC"/>
    <w:rsid w:val="00E506BE"/>
    <w:rsid w:val="00E518B6"/>
    <w:rsid w:val="00E525B9"/>
    <w:rsid w:val="00E54ADD"/>
    <w:rsid w:val="00E55547"/>
    <w:rsid w:val="00E55E9B"/>
    <w:rsid w:val="00E574E3"/>
    <w:rsid w:val="00E6211B"/>
    <w:rsid w:val="00E6302B"/>
    <w:rsid w:val="00E6452F"/>
    <w:rsid w:val="00E64F45"/>
    <w:rsid w:val="00E6742D"/>
    <w:rsid w:val="00E67D9F"/>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0495"/>
    <w:rsid w:val="00EB146B"/>
    <w:rsid w:val="00EB2845"/>
    <w:rsid w:val="00EB45AC"/>
    <w:rsid w:val="00EB488B"/>
    <w:rsid w:val="00EB6668"/>
    <w:rsid w:val="00EB6A2F"/>
    <w:rsid w:val="00EC3875"/>
    <w:rsid w:val="00EC549E"/>
    <w:rsid w:val="00EC6E55"/>
    <w:rsid w:val="00ED0BC4"/>
    <w:rsid w:val="00ED151E"/>
    <w:rsid w:val="00ED617A"/>
    <w:rsid w:val="00EE1A0E"/>
    <w:rsid w:val="00EE36CD"/>
    <w:rsid w:val="00EE4971"/>
    <w:rsid w:val="00EE5A48"/>
    <w:rsid w:val="00EE6390"/>
    <w:rsid w:val="00EE7278"/>
    <w:rsid w:val="00EF090E"/>
    <w:rsid w:val="00EF16B6"/>
    <w:rsid w:val="00EF1B1A"/>
    <w:rsid w:val="00EF2D08"/>
    <w:rsid w:val="00EF5705"/>
    <w:rsid w:val="00EF6653"/>
    <w:rsid w:val="00F033DA"/>
    <w:rsid w:val="00F0424E"/>
    <w:rsid w:val="00F1005C"/>
    <w:rsid w:val="00F106CE"/>
    <w:rsid w:val="00F1096A"/>
    <w:rsid w:val="00F13FB1"/>
    <w:rsid w:val="00F15181"/>
    <w:rsid w:val="00F1640B"/>
    <w:rsid w:val="00F17D23"/>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46131"/>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3832"/>
    <w:rsid w:val="00F96AF1"/>
    <w:rsid w:val="00F97C5B"/>
    <w:rsid w:val="00FA29FD"/>
    <w:rsid w:val="00FA2A46"/>
    <w:rsid w:val="00FA3739"/>
    <w:rsid w:val="00FA3D50"/>
    <w:rsid w:val="00FA43E7"/>
    <w:rsid w:val="00FA7E52"/>
    <w:rsid w:val="00FA7FC2"/>
    <w:rsid w:val="00FB6703"/>
    <w:rsid w:val="00FB7C8F"/>
    <w:rsid w:val="00FB7D52"/>
    <w:rsid w:val="00FB7F04"/>
    <w:rsid w:val="00FC337F"/>
    <w:rsid w:val="00FC374A"/>
    <w:rsid w:val="00FC4F43"/>
    <w:rsid w:val="00FC5D26"/>
    <w:rsid w:val="00FC7B47"/>
    <w:rsid w:val="00FD0169"/>
    <w:rsid w:val="00FD035C"/>
    <w:rsid w:val="00FD1240"/>
    <w:rsid w:val="00FD1A35"/>
    <w:rsid w:val="00FD36C5"/>
    <w:rsid w:val="00FD5A80"/>
    <w:rsid w:val="00FD5B6F"/>
    <w:rsid w:val="00FD6126"/>
    <w:rsid w:val="00FD6310"/>
    <w:rsid w:val="00FD7C7B"/>
    <w:rsid w:val="00FE1D12"/>
    <w:rsid w:val="00FE2122"/>
    <w:rsid w:val="00FE2A86"/>
    <w:rsid w:val="00FE6330"/>
    <w:rsid w:val="00FF22DC"/>
    <w:rsid w:val="00FF25CB"/>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15</Pages>
  <Words>5303</Words>
  <Characters>30229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Jimmy Ng</cp:lastModifiedBy>
  <cp:revision>44</cp:revision>
  <cp:lastPrinted>2020-06-12T02:43:00Z</cp:lastPrinted>
  <dcterms:created xsi:type="dcterms:W3CDTF">2021-09-11T07:07:00Z</dcterms:created>
  <dcterms:modified xsi:type="dcterms:W3CDTF">2021-11-06T15:37:00Z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