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E36F" w14:textId="7FA8666F" w:rsidR="0002348B" w:rsidRPr="0002348B" w:rsidRDefault="0002348B">
      <w:pPr>
        <w:rPr>
          <w:sz w:val="48"/>
          <w:szCs w:val="48"/>
        </w:rPr>
      </w:pPr>
      <w:r w:rsidRPr="0002348B">
        <w:rPr>
          <w:sz w:val="48"/>
          <w:szCs w:val="48"/>
        </w:rPr>
        <w:t xml:space="preserve">GLOBAL INSOLVENCY PRACTICE COURSE </w:t>
      </w:r>
    </w:p>
    <w:p w14:paraId="0A10DEA9" w14:textId="77777777" w:rsidR="0002348B" w:rsidRPr="0002348B" w:rsidRDefault="0002348B">
      <w:pPr>
        <w:rPr>
          <w:sz w:val="48"/>
          <w:szCs w:val="48"/>
        </w:rPr>
      </w:pPr>
      <w:r w:rsidRPr="0002348B">
        <w:rPr>
          <w:sz w:val="48"/>
          <w:szCs w:val="48"/>
        </w:rPr>
        <w:t>(ONLINE)</w:t>
      </w:r>
    </w:p>
    <w:p w14:paraId="17F010BE" w14:textId="77777777" w:rsidR="0002348B" w:rsidRPr="0002348B" w:rsidRDefault="0002348B">
      <w:pPr>
        <w:rPr>
          <w:sz w:val="48"/>
          <w:szCs w:val="48"/>
        </w:rPr>
      </w:pPr>
    </w:p>
    <w:p w14:paraId="79C85C6E" w14:textId="41F9361B" w:rsidR="00F76974" w:rsidRPr="0002348B" w:rsidRDefault="0002348B">
      <w:pPr>
        <w:rPr>
          <w:sz w:val="48"/>
          <w:szCs w:val="48"/>
        </w:rPr>
      </w:pPr>
      <w:r w:rsidRPr="0002348B">
        <w:rPr>
          <w:sz w:val="48"/>
          <w:szCs w:val="48"/>
        </w:rPr>
        <w:t>2021 / 2022</w:t>
      </w:r>
    </w:p>
    <w:p w14:paraId="109D7DCE" w14:textId="04F01311" w:rsidR="0002348B" w:rsidRPr="0002348B" w:rsidRDefault="0002348B"/>
    <w:p w14:paraId="091834BE" w14:textId="00AC0E08" w:rsidR="0002348B" w:rsidRPr="0002348B" w:rsidRDefault="0002348B"/>
    <w:p w14:paraId="63A2F470" w14:textId="7D885AFB" w:rsidR="0002348B" w:rsidRPr="0002348B" w:rsidRDefault="0002348B"/>
    <w:p w14:paraId="731742DF" w14:textId="50CA74E6" w:rsidR="0002348B" w:rsidRPr="0002348B" w:rsidRDefault="0002348B">
      <w:pPr>
        <w:rPr>
          <w:sz w:val="48"/>
          <w:szCs w:val="48"/>
        </w:rPr>
      </w:pPr>
      <w:r w:rsidRPr="0002348B">
        <w:rPr>
          <w:sz w:val="48"/>
          <w:szCs w:val="48"/>
        </w:rPr>
        <w:t>Case Study 1</w:t>
      </w:r>
    </w:p>
    <w:p w14:paraId="01F36AAF" w14:textId="44637546" w:rsidR="0002348B" w:rsidRDefault="0002348B"/>
    <w:p w14:paraId="3696DCB1" w14:textId="549D4492" w:rsidR="0002348B" w:rsidRDefault="0002348B"/>
    <w:p w14:paraId="305C7FD0" w14:textId="77777777" w:rsidR="0002348B" w:rsidRPr="0002348B" w:rsidRDefault="0002348B"/>
    <w:p w14:paraId="11AD23D1" w14:textId="457BCD77" w:rsidR="0002348B" w:rsidRPr="0002348B" w:rsidRDefault="0002348B">
      <w:pPr>
        <w:rPr>
          <w:sz w:val="32"/>
        </w:rPr>
      </w:pPr>
      <w:r w:rsidRPr="0002348B">
        <w:rPr>
          <w:sz w:val="32"/>
        </w:rPr>
        <w:t>Prepared by Bryan Williams – New Zealand</w:t>
      </w:r>
    </w:p>
    <w:p w14:paraId="3986156A" w14:textId="67F04C69" w:rsidR="0002348B" w:rsidRPr="0002348B" w:rsidRDefault="0002348B">
      <w:pPr>
        <w:rPr>
          <w:sz w:val="32"/>
        </w:rPr>
      </w:pPr>
    </w:p>
    <w:p w14:paraId="65E5191E" w14:textId="77777777" w:rsidR="0002348B" w:rsidRPr="0002348B" w:rsidRDefault="0002348B" w:rsidP="0002348B">
      <w:pPr>
        <w:rPr>
          <w:sz w:val="32"/>
        </w:rPr>
      </w:pPr>
      <w:r w:rsidRPr="0002348B">
        <w:rPr>
          <w:sz w:val="32"/>
        </w:rPr>
        <w:t>To be submitted by 5 November 2021</w:t>
      </w:r>
    </w:p>
    <w:p w14:paraId="36513EDB" w14:textId="6DED665E" w:rsidR="0002348B" w:rsidRDefault="0002348B"/>
    <w:p w14:paraId="477D16F0" w14:textId="7561C939" w:rsidR="0002348B" w:rsidRDefault="0002348B">
      <w:r>
        <w:br w:type="page"/>
      </w:r>
    </w:p>
    <w:p w14:paraId="437185B8" w14:textId="3169C3BA" w:rsidR="002906AA" w:rsidRPr="0047127C" w:rsidRDefault="002906AA" w:rsidP="002906AA">
      <w:pPr>
        <w:jc w:val="center"/>
        <w:rPr>
          <w:b/>
          <w:bCs/>
          <w:sz w:val="32"/>
        </w:rPr>
      </w:pPr>
      <w:r w:rsidRPr="0047127C">
        <w:rPr>
          <w:b/>
          <w:bCs/>
          <w:sz w:val="32"/>
        </w:rPr>
        <w:lastRenderedPageBreak/>
        <w:t>REQUIRED</w:t>
      </w:r>
    </w:p>
    <w:p w14:paraId="77AF2E8D" w14:textId="77777777" w:rsidR="002906AA" w:rsidRDefault="002906AA"/>
    <w:p w14:paraId="7B5F3E0C" w14:textId="04F3C9E9" w:rsidR="002906AA" w:rsidRDefault="002906AA" w:rsidP="00670456">
      <w:pPr>
        <w:jc w:val="both"/>
      </w:pPr>
      <w:r>
        <w:t xml:space="preserve">Read and analyse the case provided and answer the questions that follow. </w:t>
      </w:r>
    </w:p>
    <w:p w14:paraId="0FDA0CC6" w14:textId="77777777" w:rsidR="002906AA" w:rsidRDefault="002906AA" w:rsidP="00670456">
      <w:pPr>
        <w:jc w:val="both"/>
      </w:pPr>
    </w:p>
    <w:p w14:paraId="16E34478" w14:textId="77777777" w:rsidR="002906AA" w:rsidRDefault="002906AA" w:rsidP="00670456">
      <w:pPr>
        <w:jc w:val="both"/>
      </w:pPr>
      <w:r>
        <w:t xml:space="preserve">This case provides detail of the acknowledgement of poor trading results of a group of Companies known as Flow Management to its bankers in November 2013. Subsequently the </w:t>
      </w:r>
    </w:p>
    <w:p w14:paraId="26DCF10B" w14:textId="77777777" w:rsidR="002906AA" w:rsidRDefault="002906AA" w:rsidP="00670456">
      <w:pPr>
        <w:jc w:val="both"/>
      </w:pPr>
      <w:r>
        <w:t xml:space="preserve">case records worsening events that call for a response from the various stakeholders affected by the effects of the trading outcomes. </w:t>
      </w:r>
    </w:p>
    <w:p w14:paraId="02B4CD54" w14:textId="77777777" w:rsidR="002906AA" w:rsidRDefault="002906AA" w:rsidP="00670456">
      <w:pPr>
        <w:jc w:val="both"/>
      </w:pPr>
    </w:p>
    <w:p w14:paraId="4B3D46D8" w14:textId="0D1E639B" w:rsidR="00713FA6" w:rsidRDefault="00713FA6" w:rsidP="00670456">
      <w:pPr>
        <w:jc w:val="both"/>
      </w:pPr>
      <w:r>
        <w:t xml:space="preserve">The requirement is to respond to the issues through nine questions that reflect upon a distinct issue of the case providing opinion and recommendations in respect of that issue. </w:t>
      </w:r>
    </w:p>
    <w:p w14:paraId="3D4EF776" w14:textId="77777777" w:rsidR="00713FA6" w:rsidRDefault="00713FA6" w:rsidP="00670456">
      <w:pPr>
        <w:jc w:val="both"/>
      </w:pPr>
    </w:p>
    <w:p w14:paraId="433B73CD" w14:textId="61DFE635" w:rsidR="00713FA6" w:rsidRDefault="00713FA6">
      <w:r>
        <w:br w:type="page"/>
      </w:r>
    </w:p>
    <w:p w14:paraId="658F623B" w14:textId="4158556B" w:rsidR="002906AA" w:rsidRPr="0047127C" w:rsidRDefault="00713FA6" w:rsidP="0047127C">
      <w:pPr>
        <w:jc w:val="center"/>
        <w:rPr>
          <w:b/>
          <w:bCs/>
          <w:sz w:val="32"/>
        </w:rPr>
      </w:pPr>
      <w:r w:rsidRPr="0047127C">
        <w:rPr>
          <w:b/>
          <w:bCs/>
          <w:sz w:val="32"/>
        </w:rPr>
        <w:lastRenderedPageBreak/>
        <w:t>QUESTION 1</w:t>
      </w:r>
    </w:p>
    <w:p w14:paraId="74D1C103" w14:textId="77777777" w:rsidR="00713FA6" w:rsidRPr="00713FA6" w:rsidRDefault="00713FA6" w:rsidP="00713FA6">
      <w:pPr>
        <w:jc w:val="both"/>
        <w:rPr>
          <w:i/>
          <w:iCs/>
        </w:rPr>
      </w:pPr>
    </w:p>
    <w:p w14:paraId="1B880EBB" w14:textId="559DD321" w:rsidR="002906AA" w:rsidRPr="00F200D4" w:rsidRDefault="00713FA6" w:rsidP="00713FA6">
      <w:pPr>
        <w:jc w:val="both"/>
      </w:pPr>
      <w:r w:rsidRPr="00F200D4">
        <w:t xml:space="preserve">What were in your opinion the causes of financial distress at Flow Management (see e.g. </w:t>
      </w:r>
      <w:proofErr w:type="spellStart"/>
      <w:r w:rsidRPr="00F200D4">
        <w:t>Mellahi</w:t>
      </w:r>
      <w:proofErr w:type="spellEnd"/>
      <w:r w:rsidRPr="00F200D4">
        <w:t xml:space="preserve"> &amp; Wilkinson, 2004)? Could the financial distress have been prevented? If yes, explain how. If no, why not?</w:t>
      </w:r>
    </w:p>
    <w:p w14:paraId="22B98590" w14:textId="4245A05B" w:rsidR="00713FA6" w:rsidRDefault="00713FA6" w:rsidP="00713FA6">
      <w:pPr>
        <w:jc w:val="both"/>
        <w:rPr>
          <w:i/>
          <w:iCs/>
        </w:rPr>
      </w:pPr>
    </w:p>
    <w:p w14:paraId="0425A1FF" w14:textId="7087CC2A" w:rsidR="00713FA6" w:rsidRPr="009B3D7C" w:rsidRDefault="00713FA6" w:rsidP="00713FA6">
      <w:pPr>
        <w:jc w:val="both"/>
        <w:rPr>
          <w:b/>
          <w:bCs/>
        </w:rPr>
      </w:pPr>
      <w:r w:rsidRPr="009B3D7C">
        <w:rPr>
          <w:b/>
          <w:bCs/>
        </w:rPr>
        <w:t>ANSWER</w:t>
      </w:r>
    </w:p>
    <w:p w14:paraId="24B05F12" w14:textId="1D3BFA1A" w:rsidR="00713FA6" w:rsidRDefault="00713FA6" w:rsidP="00713FA6">
      <w:pPr>
        <w:jc w:val="both"/>
      </w:pPr>
    </w:p>
    <w:p w14:paraId="2D4BB046" w14:textId="2C90C098" w:rsidR="008B7AA0" w:rsidRPr="008B7AA0" w:rsidRDefault="008B7AA0" w:rsidP="00713FA6">
      <w:pPr>
        <w:jc w:val="both"/>
        <w:rPr>
          <w:b/>
          <w:bCs/>
        </w:rPr>
      </w:pPr>
      <w:r w:rsidRPr="008B7AA0">
        <w:rPr>
          <w:b/>
          <w:bCs/>
        </w:rPr>
        <w:t>Overview</w:t>
      </w:r>
    </w:p>
    <w:p w14:paraId="2FC57C4E" w14:textId="6080BAF3" w:rsidR="00480FD5" w:rsidRDefault="00480FD5" w:rsidP="00713FA6">
      <w:pPr>
        <w:jc w:val="both"/>
      </w:pPr>
      <w:r>
        <w:t>In a meeting convened for the purpose, t</w:t>
      </w:r>
      <w:r w:rsidR="00713FA6">
        <w:t>he board of Flow Management Holding (FMH) ad</w:t>
      </w:r>
      <w:r>
        <w:t>vise</w:t>
      </w:r>
      <w:r w:rsidR="00F200D4">
        <w:t>d</w:t>
      </w:r>
      <w:r>
        <w:t xml:space="preserve"> the member banks that the earlier reported pre-tax profit, as of September 2013, of €8 million has, after adjustments, turned out to be a loss of €5.4 million. The revised outcome for the period is a spread of €13.4 million.</w:t>
      </w:r>
    </w:p>
    <w:p w14:paraId="66F7D1D7" w14:textId="77777777" w:rsidR="00480FD5" w:rsidRDefault="00480FD5" w:rsidP="00713FA6">
      <w:pPr>
        <w:jc w:val="both"/>
      </w:pPr>
    </w:p>
    <w:p w14:paraId="20F672A4" w14:textId="1995172E" w:rsidR="00713FA6" w:rsidRDefault="00480FD5" w:rsidP="00713FA6">
      <w:pPr>
        <w:jc w:val="both"/>
      </w:pPr>
      <w:r>
        <w:t xml:space="preserve">The </w:t>
      </w:r>
      <w:r w:rsidR="00103D50">
        <w:t>board explains that the reason for the change in outcome is attributed to large management bonuses, wrongful appropriation of a contingency gain</w:t>
      </w:r>
      <w:r w:rsidR="001C4DC2">
        <w:t>, failure to achieve an accounted for capital gain</w:t>
      </w:r>
      <w:r w:rsidR="00572B17">
        <w:t xml:space="preserve"> and</w:t>
      </w:r>
      <w:r w:rsidR="001C4DC2">
        <w:t xml:space="preserve"> inadequate maintenance of reconciling standard costing to actual costings.</w:t>
      </w:r>
    </w:p>
    <w:p w14:paraId="70DA584D" w14:textId="037A6602" w:rsidR="001C4DC2" w:rsidRDefault="001C4DC2" w:rsidP="00713FA6">
      <w:pPr>
        <w:jc w:val="both"/>
      </w:pPr>
    </w:p>
    <w:p w14:paraId="5ADA7ECE" w14:textId="720AFF4E" w:rsidR="008B7AA0" w:rsidRPr="008B7AA0" w:rsidRDefault="008B7AA0" w:rsidP="00713FA6">
      <w:pPr>
        <w:jc w:val="both"/>
        <w:rPr>
          <w:b/>
          <w:bCs/>
        </w:rPr>
      </w:pPr>
      <w:r w:rsidRPr="008B7AA0">
        <w:rPr>
          <w:b/>
          <w:bCs/>
        </w:rPr>
        <w:t>Suggested cause of the financial distress</w:t>
      </w:r>
    </w:p>
    <w:p w14:paraId="2A6EE553" w14:textId="77777777" w:rsidR="005538F7" w:rsidRDefault="001C4DC2" w:rsidP="00713FA6">
      <w:pPr>
        <w:jc w:val="both"/>
      </w:pPr>
      <w:r>
        <w:t xml:space="preserve">Although the </w:t>
      </w:r>
      <w:r w:rsidR="00F200D4">
        <w:t>reasons of why the</w:t>
      </w:r>
      <w:r>
        <w:t xml:space="preserve"> </w:t>
      </w:r>
      <w:r w:rsidR="005538F7">
        <w:t xml:space="preserve">overstatement of </w:t>
      </w:r>
      <w:r>
        <w:t>previously reported profit may be accurate</w:t>
      </w:r>
      <w:r w:rsidR="00F200D4">
        <w:t>,</w:t>
      </w:r>
      <w:r>
        <w:t xml:space="preserve"> it does not accurately address the causes of the losses. </w:t>
      </w:r>
      <w:r w:rsidR="009D6936">
        <w:t xml:space="preserve">The larger question to be </w:t>
      </w:r>
      <w:r w:rsidR="009D6936" w:rsidRPr="008B34F9">
        <w:t xml:space="preserve">considered is whether the </w:t>
      </w:r>
      <w:r w:rsidR="00FC29EF" w:rsidRPr="008B34F9">
        <w:t xml:space="preserve">newly reported </w:t>
      </w:r>
      <w:r w:rsidR="009D6936" w:rsidRPr="008B34F9">
        <w:t>result</w:t>
      </w:r>
      <w:r w:rsidR="00216DC7">
        <w:t xml:space="preserve"> is caused by </w:t>
      </w:r>
      <w:r w:rsidR="009D6936" w:rsidRPr="008B34F9">
        <w:t xml:space="preserve">a failure of </w:t>
      </w:r>
      <w:r w:rsidR="00FC29EF" w:rsidRPr="008B34F9">
        <w:t xml:space="preserve">management. </w:t>
      </w:r>
    </w:p>
    <w:p w14:paraId="3AB2499E" w14:textId="77777777" w:rsidR="005538F7" w:rsidRDefault="005538F7" w:rsidP="00713FA6">
      <w:pPr>
        <w:jc w:val="both"/>
      </w:pPr>
    </w:p>
    <w:p w14:paraId="2B15318E" w14:textId="7B605BE5" w:rsidR="00FC29EF" w:rsidRPr="008B34F9" w:rsidRDefault="00FC29EF" w:rsidP="00713FA6">
      <w:pPr>
        <w:jc w:val="both"/>
      </w:pPr>
      <w:r w:rsidRPr="008B34F9">
        <w:t>There are t</w:t>
      </w:r>
      <w:r w:rsidR="007A5AA1" w:rsidRPr="008B34F9">
        <w:t xml:space="preserve">hree </w:t>
      </w:r>
      <w:r w:rsidRPr="008B34F9">
        <w:t>reasons which suggest that management has failed</w:t>
      </w:r>
      <w:r w:rsidR="00216DC7">
        <w:t>. T</w:t>
      </w:r>
      <w:r w:rsidRPr="008B34F9">
        <w:t xml:space="preserve">he first is that </w:t>
      </w:r>
      <w:r w:rsidR="007A5AA1" w:rsidRPr="008B34F9">
        <w:t>it has taken more than one year to recognise that its 2012 accounts were overstated</w:t>
      </w:r>
      <w:r w:rsidR="00216DC7">
        <w:t xml:space="preserve"> </w:t>
      </w:r>
      <w:r w:rsidR="007A5AA1" w:rsidRPr="008B34F9">
        <w:t>by €8 million</w:t>
      </w:r>
      <w:r w:rsidR="00216DC7">
        <w:t>. T</w:t>
      </w:r>
      <w:r w:rsidR="007A5AA1" w:rsidRPr="008B34F9">
        <w:t xml:space="preserve">he second is that management </w:t>
      </w:r>
      <w:r w:rsidR="00216DC7">
        <w:t>contends that</w:t>
      </w:r>
      <w:r w:rsidRPr="008B34F9">
        <w:t xml:space="preserve"> accounting shortcomings a</w:t>
      </w:r>
      <w:r w:rsidR="00216DC7">
        <w:t>re</w:t>
      </w:r>
      <w:r w:rsidRPr="008B34F9">
        <w:t xml:space="preserve"> the </w:t>
      </w:r>
      <w:r w:rsidR="00216DC7">
        <w:t>cause</w:t>
      </w:r>
      <w:r w:rsidRPr="008B34F9">
        <w:t xml:space="preserve"> of its situation</w:t>
      </w:r>
      <w:r w:rsidR="00216DC7">
        <w:t>. The</w:t>
      </w:r>
      <w:r w:rsidRPr="008B34F9">
        <w:t xml:space="preserve"> </w:t>
      </w:r>
      <w:r w:rsidR="007A5AA1" w:rsidRPr="008B34F9">
        <w:t xml:space="preserve">third </w:t>
      </w:r>
      <w:r w:rsidR="000924D1">
        <w:t xml:space="preserve">is a proposition </w:t>
      </w:r>
      <w:r w:rsidRPr="008B34F9">
        <w:t xml:space="preserve">that the situation </w:t>
      </w:r>
      <w:r w:rsidR="00216DC7">
        <w:t xml:space="preserve">can </w:t>
      </w:r>
      <w:r w:rsidRPr="008B34F9">
        <w:t xml:space="preserve">be rectified by </w:t>
      </w:r>
      <w:r w:rsidR="00216DC7">
        <w:t xml:space="preserve">performing better in the </w:t>
      </w:r>
      <w:r w:rsidRPr="008B34F9">
        <w:t>marketplace.</w:t>
      </w:r>
    </w:p>
    <w:p w14:paraId="0F47FCA0" w14:textId="77777777" w:rsidR="00FC29EF" w:rsidRPr="008B34F9" w:rsidRDefault="00FC29EF" w:rsidP="00713FA6">
      <w:pPr>
        <w:jc w:val="both"/>
      </w:pPr>
    </w:p>
    <w:p w14:paraId="46809E98" w14:textId="7F7054FF" w:rsidR="008A1BE4" w:rsidRPr="008B34F9" w:rsidRDefault="00FC29EF" w:rsidP="00713FA6">
      <w:pPr>
        <w:jc w:val="both"/>
      </w:pPr>
      <w:r w:rsidRPr="008B34F9">
        <w:t xml:space="preserve">Management failure has been defined by </w:t>
      </w:r>
      <w:r w:rsidR="00921565" w:rsidRPr="008B34F9">
        <w:t xml:space="preserve">Cameron, Sutton and </w:t>
      </w:r>
      <w:proofErr w:type="spellStart"/>
      <w:r w:rsidR="00921565" w:rsidRPr="008B34F9">
        <w:t>Whetton</w:t>
      </w:r>
      <w:proofErr w:type="spellEnd"/>
      <w:r w:rsidR="00A46500" w:rsidRPr="008B34F9">
        <w:t xml:space="preserve"> </w:t>
      </w:r>
      <w:r w:rsidR="00921565" w:rsidRPr="008B34F9">
        <w:t xml:space="preserve">and as cited by </w:t>
      </w:r>
      <w:proofErr w:type="spellStart"/>
      <w:r w:rsidR="00921565" w:rsidRPr="008B34F9">
        <w:t>Mellahi</w:t>
      </w:r>
      <w:proofErr w:type="spellEnd"/>
      <w:r w:rsidR="00A46500" w:rsidRPr="008B34F9">
        <w:t xml:space="preserve"> and Wilkinson</w:t>
      </w:r>
      <w:r w:rsidR="00A46500" w:rsidRPr="008B34F9">
        <w:rPr>
          <w:rStyle w:val="FootnoteReference"/>
        </w:rPr>
        <w:footnoteReference w:id="1"/>
      </w:r>
      <w:r w:rsidR="00A46500" w:rsidRPr="008B34F9">
        <w:t xml:space="preserve"> “</w:t>
      </w:r>
      <w:r w:rsidR="00A46500" w:rsidRPr="008B34F9">
        <w:rPr>
          <w:i/>
          <w:iCs/>
        </w:rPr>
        <w:t>as a deterioration in an organisations adaption to its microniche and the associated reduction of resources within the organisation</w:t>
      </w:r>
      <w:r w:rsidR="00A46500" w:rsidRPr="008B34F9">
        <w:t>”. In the fact situation of this case</w:t>
      </w:r>
      <w:r w:rsidR="00C03973" w:rsidRPr="008B34F9">
        <w:t>,</w:t>
      </w:r>
      <w:r w:rsidR="00A46500" w:rsidRPr="008B34F9">
        <w:t xml:space="preserve"> management has failed to accurately identify, and pointedly respond, to the underlying causes</w:t>
      </w:r>
      <w:r w:rsidR="00C03973" w:rsidRPr="008B34F9">
        <w:t xml:space="preserve"> that have been </w:t>
      </w:r>
      <w:r w:rsidR="005538F7">
        <w:t xml:space="preserve">picked up </w:t>
      </w:r>
      <w:r w:rsidR="00C03973" w:rsidRPr="008B34F9">
        <w:t xml:space="preserve">by accounting corrections. In addition, the proposed corrective measures (extract greater gross profit from the marketplace), bear no resemblance to the </w:t>
      </w:r>
      <w:r w:rsidR="00572B17">
        <w:t>losses highlighted</w:t>
      </w:r>
      <w:r w:rsidR="00C03973" w:rsidRPr="008B34F9">
        <w:t xml:space="preserve"> </w:t>
      </w:r>
      <w:r w:rsidR="007A5AA1" w:rsidRPr="008B34F9">
        <w:t>n</w:t>
      </w:r>
      <w:r w:rsidR="00C03973" w:rsidRPr="008B34F9">
        <w:t xml:space="preserve">or </w:t>
      </w:r>
      <w:r w:rsidR="007A5AA1" w:rsidRPr="008B34F9">
        <w:t xml:space="preserve">is </w:t>
      </w:r>
      <w:r w:rsidR="00C03973" w:rsidRPr="008B34F9">
        <w:t xml:space="preserve">any attempt </w:t>
      </w:r>
      <w:r w:rsidR="005538F7">
        <w:t>made</w:t>
      </w:r>
      <w:r w:rsidR="007A5AA1" w:rsidRPr="008B34F9">
        <w:t xml:space="preserve"> to infer</w:t>
      </w:r>
      <w:r w:rsidR="00C03973" w:rsidRPr="008B34F9">
        <w:t xml:space="preserve"> a relationship with the causes and the solution. </w:t>
      </w:r>
      <w:r w:rsidR="005538F7">
        <w:t>It</w:t>
      </w:r>
      <w:r w:rsidR="008A1BE4" w:rsidRPr="008B34F9">
        <w:t xml:space="preserve"> is </w:t>
      </w:r>
      <w:r w:rsidR="00C03973" w:rsidRPr="008B34F9">
        <w:t xml:space="preserve">acknowledged </w:t>
      </w:r>
      <w:r w:rsidR="008A1BE4" w:rsidRPr="008B34F9">
        <w:t xml:space="preserve">that </w:t>
      </w:r>
      <w:r w:rsidR="004366FE">
        <w:t xml:space="preserve">the implementation of </w:t>
      </w:r>
      <w:r w:rsidR="008A1BE4" w:rsidRPr="008B34F9">
        <w:t xml:space="preserve">price rises will be </w:t>
      </w:r>
      <w:r w:rsidR="004366FE">
        <w:t>helpful, but</w:t>
      </w:r>
      <w:r w:rsidR="008A1BE4" w:rsidRPr="008B34F9">
        <w:t xml:space="preserve"> no </w:t>
      </w:r>
      <w:r w:rsidR="004366FE">
        <w:t xml:space="preserve">connection </w:t>
      </w:r>
      <w:r w:rsidR="008A1BE4" w:rsidRPr="008B34F9">
        <w:t>is drawn between the need for greater gross profit and</w:t>
      </w:r>
      <w:r w:rsidR="004366FE">
        <w:t xml:space="preserve"> the</w:t>
      </w:r>
      <w:r w:rsidR="008A1BE4" w:rsidRPr="008B34F9">
        <w:t xml:space="preserve"> fail</w:t>
      </w:r>
      <w:r w:rsidR="004366FE">
        <w:t>ure to reconcile standard costing to actual costing.</w:t>
      </w:r>
    </w:p>
    <w:p w14:paraId="72C21988" w14:textId="77777777" w:rsidR="008A1BE4" w:rsidRPr="008B34F9" w:rsidRDefault="008A1BE4" w:rsidP="00713FA6">
      <w:pPr>
        <w:jc w:val="both"/>
      </w:pPr>
    </w:p>
    <w:p w14:paraId="79D06D30" w14:textId="77777777" w:rsidR="00311A92" w:rsidRDefault="007A5AA1" w:rsidP="00713FA6">
      <w:pPr>
        <w:jc w:val="both"/>
      </w:pPr>
      <w:r w:rsidRPr="008B34F9">
        <w:t xml:space="preserve">Importantly, management does not appear to be </w:t>
      </w:r>
      <w:r w:rsidR="004366FE">
        <w:t xml:space="preserve">conscious </w:t>
      </w:r>
      <w:r w:rsidRPr="008B34F9">
        <w:t xml:space="preserve">of the </w:t>
      </w:r>
      <w:r w:rsidR="008A1BE4" w:rsidRPr="008B34F9">
        <w:t>re</w:t>
      </w:r>
      <w:r w:rsidRPr="008B34F9">
        <w:t xml:space="preserve">duced liquidity that </w:t>
      </w:r>
      <w:r w:rsidR="000924D1">
        <w:t xml:space="preserve">should have been observed </w:t>
      </w:r>
      <w:r w:rsidRPr="008B34F9">
        <w:t xml:space="preserve">as a result of the losses in YE 2012. </w:t>
      </w:r>
      <w:r w:rsidR="00311A92">
        <w:t>On that point, t</w:t>
      </w:r>
      <w:r w:rsidR="006E09E5" w:rsidRPr="008B34F9">
        <w:t xml:space="preserve">he work prepared by </w:t>
      </w:r>
      <w:proofErr w:type="spellStart"/>
      <w:r w:rsidR="006E09E5" w:rsidRPr="008B34F9">
        <w:t>Mellahi</w:t>
      </w:r>
      <w:proofErr w:type="spellEnd"/>
      <w:r w:rsidR="006E09E5" w:rsidRPr="008B34F9">
        <w:t xml:space="preserve"> and Wilkinson</w:t>
      </w:r>
      <w:r w:rsidR="006E09E5" w:rsidRPr="008B34F9">
        <w:rPr>
          <w:rStyle w:val="FootnoteReference"/>
        </w:rPr>
        <w:footnoteReference w:id="2"/>
      </w:r>
      <w:r w:rsidR="006E09E5" w:rsidRPr="008B34F9">
        <w:t xml:space="preserve"> </w:t>
      </w:r>
      <w:r w:rsidR="00311A92">
        <w:t xml:space="preserve">is relevant. The authors </w:t>
      </w:r>
      <w:r w:rsidR="006E09E5" w:rsidRPr="008B34F9">
        <w:t xml:space="preserve">propose that schools of thought on business failure stem from determinism or </w:t>
      </w:r>
      <w:r w:rsidR="00A7741F" w:rsidRPr="008B34F9">
        <w:t>voluntarism</w:t>
      </w:r>
      <w:r w:rsidR="00A7741F" w:rsidRPr="008B34F9">
        <w:rPr>
          <w:rStyle w:val="FootnoteReference"/>
        </w:rPr>
        <w:footnoteReference w:id="3"/>
      </w:r>
      <w:r w:rsidR="00A7741F" w:rsidRPr="008B34F9">
        <w:t xml:space="preserve"> and that there is a divide between them. In more simple terms the theories suggest that causes of business failure are either external</w:t>
      </w:r>
      <w:r w:rsidR="00311A92">
        <w:t>,</w:t>
      </w:r>
      <w:r w:rsidR="00A7741F" w:rsidRPr="008B34F9">
        <w:t xml:space="preserve"> or internal to the organisation. </w:t>
      </w:r>
    </w:p>
    <w:p w14:paraId="77E4B0DF" w14:textId="0180DA21" w:rsidR="00A007E7" w:rsidRPr="008B34F9" w:rsidRDefault="003E3765" w:rsidP="00713FA6">
      <w:pPr>
        <w:jc w:val="both"/>
      </w:pPr>
      <w:r w:rsidRPr="008B34F9">
        <w:lastRenderedPageBreak/>
        <w:t>T</w:t>
      </w:r>
      <w:r w:rsidR="00A7741F" w:rsidRPr="008B34F9">
        <w:t xml:space="preserve">he facts </w:t>
      </w:r>
      <w:r w:rsidR="000924D1">
        <w:t xml:space="preserve">of the case </w:t>
      </w:r>
      <w:r w:rsidR="00A7741F" w:rsidRPr="008B34F9">
        <w:t>s</w:t>
      </w:r>
      <w:r w:rsidR="00D51B5B">
        <w:t>uggest</w:t>
      </w:r>
      <w:r w:rsidR="00A7741F" w:rsidRPr="008B34F9">
        <w:t xml:space="preserve"> that management lacked the interpretive skills to comprehend the </w:t>
      </w:r>
      <w:r w:rsidR="00D51B5B">
        <w:t xml:space="preserve">inevitable reduced </w:t>
      </w:r>
      <w:r w:rsidR="00A7741F" w:rsidRPr="008B34F9">
        <w:t>working capital</w:t>
      </w:r>
      <w:r w:rsidR="00311A92">
        <w:t xml:space="preserve">, compared to </w:t>
      </w:r>
      <w:r w:rsidR="00D51B5B">
        <w:t xml:space="preserve">what </w:t>
      </w:r>
      <w:r w:rsidR="00A7741F" w:rsidRPr="008B34F9">
        <w:t xml:space="preserve">should have existed </w:t>
      </w:r>
      <w:r w:rsidR="00D51B5B">
        <w:t xml:space="preserve">if </w:t>
      </w:r>
      <w:r w:rsidR="00311A92">
        <w:t xml:space="preserve">the </w:t>
      </w:r>
      <w:r w:rsidR="00D51B5B">
        <w:t xml:space="preserve">reported </w:t>
      </w:r>
      <w:r w:rsidR="00A7741F" w:rsidRPr="008B34F9">
        <w:t xml:space="preserve">profits </w:t>
      </w:r>
      <w:r w:rsidR="00D51B5B">
        <w:t xml:space="preserve">from </w:t>
      </w:r>
      <w:r w:rsidR="00A007E7" w:rsidRPr="008B34F9">
        <w:t>YE 2012</w:t>
      </w:r>
      <w:r w:rsidR="00D51B5B">
        <w:t xml:space="preserve"> were to be believed</w:t>
      </w:r>
      <w:r w:rsidR="00A007E7" w:rsidRPr="008B34F9">
        <w:t xml:space="preserve">. Such a failure is consistent with the </w:t>
      </w:r>
      <w:r w:rsidR="00311A92">
        <w:t xml:space="preserve">idea </w:t>
      </w:r>
      <w:r w:rsidR="00A007E7" w:rsidRPr="008B34F9">
        <w:t xml:space="preserve">that corporate failure is often underpinned by voluntaristic shortcomings. </w:t>
      </w:r>
    </w:p>
    <w:p w14:paraId="263B4B59" w14:textId="77777777" w:rsidR="00A007E7" w:rsidRPr="008B34F9" w:rsidRDefault="00A007E7" w:rsidP="00713FA6">
      <w:pPr>
        <w:jc w:val="both"/>
      </w:pPr>
    </w:p>
    <w:p w14:paraId="69FC4E1E" w14:textId="59221C45" w:rsidR="00D51B5B" w:rsidRDefault="00A007E7" w:rsidP="00713FA6">
      <w:pPr>
        <w:jc w:val="both"/>
      </w:pPr>
      <w:r w:rsidRPr="008B34F9">
        <w:t>The proposition is supported</w:t>
      </w:r>
      <w:r w:rsidR="008B7AA0" w:rsidRPr="008B34F9">
        <w:t xml:space="preserve"> by Larsen and Clute (1979) as cited</w:t>
      </w:r>
      <w:r w:rsidR="00311A92">
        <w:t xml:space="preserve"> by</w:t>
      </w:r>
      <w:r w:rsidR="008B7AA0" w:rsidRPr="008B34F9">
        <w:t xml:space="preserve"> </w:t>
      </w:r>
      <w:proofErr w:type="spellStart"/>
      <w:r w:rsidR="008B7AA0" w:rsidRPr="008B34F9">
        <w:t>Mellahi</w:t>
      </w:r>
      <w:proofErr w:type="spellEnd"/>
      <w:r w:rsidR="008B7AA0" w:rsidRPr="008B34F9">
        <w:t xml:space="preserve"> and Wilkinson</w:t>
      </w:r>
      <w:r w:rsidR="008B7AA0" w:rsidRPr="008B34F9">
        <w:rPr>
          <w:rStyle w:val="FootnoteReference"/>
        </w:rPr>
        <w:footnoteReference w:id="4"/>
      </w:r>
      <w:r w:rsidR="008B7AA0" w:rsidRPr="008B34F9">
        <w:t xml:space="preserve"> where they say that “</w:t>
      </w:r>
      <w:r w:rsidR="008B7AA0" w:rsidRPr="008B34F9">
        <w:rPr>
          <w:i/>
          <w:iCs/>
        </w:rPr>
        <w:t>the characteristics shared by failed firms are directly related to personal decision-based characteristics of managers</w:t>
      </w:r>
      <w:r w:rsidR="008B7AA0" w:rsidRPr="008B34F9">
        <w:t>”.</w:t>
      </w:r>
      <w:r w:rsidR="008F7D7A" w:rsidRPr="008B34F9">
        <w:t xml:space="preserve"> </w:t>
      </w:r>
      <w:r w:rsidR="00717F8B">
        <w:t>With that in mine,</w:t>
      </w:r>
      <w:r w:rsidR="008F7D7A" w:rsidRPr="008B34F9">
        <w:t xml:space="preserve"> it is my view that the cause of the financial distress is directly related to the “</w:t>
      </w:r>
      <w:r w:rsidR="008F7D7A" w:rsidRPr="008B34F9">
        <w:rPr>
          <w:i/>
          <w:iCs/>
        </w:rPr>
        <w:t>mental models</w:t>
      </w:r>
      <w:r w:rsidR="008F7D7A" w:rsidRPr="008B34F9">
        <w:t>”</w:t>
      </w:r>
      <w:r w:rsidR="000B251B" w:rsidRPr="008B34F9">
        <w:rPr>
          <w:rStyle w:val="FootnoteReference"/>
        </w:rPr>
        <w:footnoteReference w:id="5"/>
      </w:r>
      <w:r w:rsidR="008F7D7A" w:rsidRPr="008B34F9">
        <w:t xml:space="preserve"> that </w:t>
      </w:r>
      <w:r w:rsidR="000B251B" w:rsidRPr="008B34F9">
        <w:t xml:space="preserve">appear to </w:t>
      </w:r>
      <w:r w:rsidR="00B15C90" w:rsidRPr="008B34F9">
        <w:t xml:space="preserve">be </w:t>
      </w:r>
      <w:r w:rsidR="000B251B" w:rsidRPr="008B34F9">
        <w:t xml:space="preserve">characterised in </w:t>
      </w:r>
      <w:r w:rsidR="00311A92">
        <w:t xml:space="preserve">the </w:t>
      </w:r>
      <w:r w:rsidR="000B251B" w:rsidRPr="008B34F9">
        <w:t xml:space="preserve">stayed </w:t>
      </w:r>
      <w:r w:rsidR="000B251B" w:rsidRPr="008B34F9">
        <w:rPr>
          <w:i/>
          <w:iCs/>
        </w:rPr>
        <w:t>(constrained by their existing commitments)</w:t>
      </w:r>
      <w:r w:rsidR="00B15C90" w:rsidRPr="008B34F9">
        <w:rPr>
          <w:rStyle w:val="FootnoteReference"/>
          <w:i/>
          <w:iCs/>
        </w:rPr>
        <w:footnoteReference w:id="6"/>
      </w:r>
      <w:r w:rsidR="000B251B" w:rsidRPr="008B34F9">
        <w:t xml:space="preserve"> and blunt perspectives</w:t>
      </w:r>
      <w:r w:rsidR="000960EB">
        <w:t>,</w:t>
      </w:r>
      <w:r w:rsidR="000B251B" w:rsidRPr="008B34F9">
        <w:t xml:space="preserve"> </w:t>
      </w:r>
      <w:r w:rsidR="000960EB">
        <w:t xml:space="preserve">that </w:t>
      </w:r>
      <w:r w:rsidR="00717F8B">
        <w:t>management held</w:t>
      </w:r>
      <w:r w:rsidR="00572B17">
        <w:t xml:space="preserve">. This is </w:t>
      </w:r>
      <w:r w:rsidR="00717F8B">
        <w:t xml:space="preserve">illustrated by the proposed way </w:t>
      </w:r>
      <w:r w:rsidR="00572B17">
        <w:t>for</w:t>
      </w:r>
      <w:r w:rsidR="00717F8B">
        <w:t xml:space="preserve"> </w:t>
      </w:r>
      <w:r w:rsidR="000960EB">
        <w:t>remedy</w:t>
      </w:r>
      <w:r w:rsidR="00717F8B">
        <w:t>ing</w:t>
      </w:r>
      <w:r w:rsidR="000960EB">
        <w:t xml:space="preserve"> of the situation </w:t>
      </w:r>
      <w:r w:rsidR="00717F8B">
        <w:t>was to be</w:t>
      </w:r>
      <w:r w:rsidR="000960EB">
        <w:t xml:space="preserve"> found in placing attention on </w:t>
      </w:r>
      <w:r w:rsidR="000B251B" w:rsidRPr="008B34F9">
        <w:t xml:space="preserve">sales and costs. </w:t>
      </w:r>
    </w:p>
    <w:p w14:paraId="368DC849" w14:textId="77777777" w:rsidR="00D51B5B" w:rsidRDefault="00D51B5B" w:rsidP="00713FA6">
      <w:pPr>
        <w:jc w:val="both"/>
      </w:pPr>
    </w:p>
    <w:p w14:paraId="2B91998D" w14:textId="662E4057" w:rsidR="008B7AA0" w:rsidRPr="008B34F9" w:rsidRDefault="003E3765" w:rsidP="00713FA6">
      <w:pPr>
        <w:jc w:val="both"/>
      </w:pPr>
      <w:r w:rsidRPr="00717F8B">
        <w:t>This view is supported when recognising that management paid out large management bonuses ostensibly on the</w:t>
      </w:r>
      <w:r w:rsidRPr="008B34F9">
        <w:t xml:space="preserve"> basis that such payments would earn the business positive future outcomes. However, view</w:t>
      </w:r>
      <w:r w:rsidR="003833BA">
        <w:t>ed</w:t>
      </w:r>
      <w:r w:rsidRPr="008B34F9">
        <w:t xml:space="preserve"> retrospectively, the bonuses should not have been paid because they were not deserved – knowledge of which should have been known by management. This not only reveals a shortcoming in reporting requirements but a lacking in managements intuitive skills as to the </w:t>
      </w:r>
      <w:r w:rsidR="00503B55" w:rsidRPr="008B34F9">
        <w:t>business</w:t>
      </w:r>
      <w:r w:rsidR="00503B55">
        <w:t>’s</w:t>
      </w:r>
      <w:r w:rsidR="00717F8B">
        <w:t xml:space="preserve"> performance</w:t>
      </w:r>
      <w:r w:rsidRPr="008B34F9">
        <w:t>.</w:t>
      </w:r>
    </w:p>
    <w:p w14:paraId="5993E2A4" w14:textId="0AED5D39" w:rsidR="008B7AA0" w:rsidRPr="008B34F9" w:rsidRDefault="008B7AA0" w:rsidP="00713FA6">
      <w:pPr>
        <w:jc w:val="both"/>
      </w:pPr>
    </w:p>
    <w:p w14:paraId="4F1DFEF1" w14:textId="23942849" w:rsidR="003A2B5F" w:rsidRPr="008B34F9" w:rsidRDefault="003A2B5F" w:rsidP="00713FA6">
      <w:pPr>
        <w:jc w:val="both"/>
        <w:rPr>
          <w:b/>
          <w:bCs/>
        </w:rPr>
      </w:pPr>
      <w:r w:rsidRPr="008B34F9">
        <w:rPr>
          <w:b/>
          <w:bCs/>
        </w:rPr>
        <w:t>Could the financial distress have been prevented?</w:t>
      </w:r>
    </w:p>
    <w:p w14:paraId="4CB122D9" w14:textId="22D7AD7F" w:rsidR="00056276" w:rsidRPr="008B34F9" w:rsidRDefault="003E3765" w:rsidP="00713FA6">
      <w:pPr>
        <w:jc w:val="both"/>
      </w:pPr>
      <w:r w:rsidRPr="008B34F9">
        <w:t>M</w:t>
      </w:r>
      <w:r w:rsidR="000B251B" w:rsidRPr="008B34F9">
        <w:t xml:space="preserve">anagement </w:t>
      </w:r>
      <w:r w:rsidR="00B15C90" w:rsidRPr="008B34F9">
        <w:t xml:space="preserve">arguably </w:t>
      </w:r>
      <w:r w:rsidR="000B251B" w:rsidRPr="008B34F9">
        <w:t xml:space="preserve">misguides itself when predicting </w:t>
      </w:r>
      <w:r w:rsidR="00B15C90" w:rsidRPr="008B34F9">
        <w:t>a profit will be made again in just two months</w:t>
      </w:r>
      <w:r w:rsidRPr="008B34F9">
        <w:t>. Although th</w:t>
      </w:r>
      <w:r w:rsidR="00056276" w:rsidRPr="008B34F9">
        <w:t>e</w:t>
      </w:r>
      <w:r w:rsidRPr="008B34F9">
        <w:t xml:space="preserve"> correction from loss to profit is unrealistic, </w:t>
      </w:r>
      <w:r w:rsidR="00EF4182">
        <w:t>the expectation of an increase in sales does</w:t>
      </w:r>
      <w:r w:rsidR="003833BA">
        <w:t xml:space="preserve"> confirm </w:t>
      </w:r>
      <w:r w:rsidR="00056276" w:rsidRPr="008B34F9">
        <w:t>that</w:t>
      </w:r>
      <w:r w:rsidRPr="008B34F9">
        <w:t xml:space="preserve"> a market for the service delivery does exist. </w:t>
      </w:r>
      <w:r w:rsidR="00056276" w:rsidRPr="008B34F9">
        <w:t>Information provided in t</w:t>
      </w:r>
      <w:r w:rsidRPr="008B34F9">
        <w:t xml:space="preserve">he case </w:t>
      </w:r>
      <w:r w:rsidR="00056276" w:rsidRPr="008B34F9">
        <w:t xml:space="preserve">records </w:t>
      </w:r>
      <w:r w:rsidRPr="008B34F9">
        <w:t xml:space="preserve">that competitors </w:t>
      </w:r>
      <w:r w:rsidR="00056276" w:rsidRPr="008B34F9">
        <w:t xml:space="preserve">also </w:t>
      </w:r>
      <w:r w:rsidRPr="008B34F9">
        <w:t>exist in the marketplace</w:t>
      </w:r>
      <w:r w:rsidR="003833BA">
        <w:t xml:space="preserve">. This provides </w:t>
      </w:r>
      <w:r w:rsidRPr="008B34F9">
        <w:t xml:space="preserve">further evidence that demand side is not </w:t>
      </w:r>
      <w:r w:rsidR="00EF4182">
        <w:t>a</w:t>
      </w:r>
      <w:r w:rsidR="00490009">
        <w:t>n</w:t>
      </w:r>
      <w:r w:rsidRPr="008B34F9">
        <w:t xml:space="preserve"> issue of concern.</w:t>
      </w:r>
    </w:p>
    <w:p w14:paraId="6E5DB87D" w14:textId="4292ABDC" w:rsidR="00056276" w:rsidRPr="008B34F9" w:rsidRDefault="00056276" w:rsidP="00713FA6">
      <w:pPr>
        <w:jc w:val="both"/>
      </w:pPr>
    </w:p>
    <w:p w14:paraId="45FFDE76" w14:textId="7498C15B" w:rsidR="00596431" w:rsidRPr="008B34F9" w:rsidRDefault="00E55FB1" w:rsidP="00713FA6">
      <w:pPr>
        <w:jc w:val="both"/>
      </w:pPr>
      <w:r w:rsidRPr="008B34F9">
        <w:t xml:space="preserve">On the presumption that </w:t>
      </w:r>
      <w:r w:rsidR="00F87549" w:rsidRPr="008B34F9">
        <w:t>competitors are financially sound</w:t>
      </w:r>
      <w:r w:rsidR="00EF4182">
        <w:t>,</w:t>
      </w:r>
      <w:r w:rsidR="00F87549" w:rsidRPr="008B34F9">
        <w:t xml:space="preserve"> it would suggest that </w:t>
      </w:r>
      <w:r w:rsidRPr="008B34F9">
        <w:t xml:space="preserve">failure factors relating to </w:t>
      </w:r>
      <w:r w:rsidR="00F87549" w:rsidRPr="008B34F9">
        <w:t>Industrial Organisation or Organisational Ecology</w:t>
      </w:r>
      <w:r w:rsidR="00C15E0C" w:rsidRPr="008B34F9">
        <w:rPr>
          <w:rStyle w:val="FootnoteReference"/>
        </w:rPr>
        <w:footnoteReference w:id="7"/>
      </w:r>
      <w:r w:rsidR="00F87549" w:rsidRPr="008B34F9">
        <w:t xml:space="preserve"> </w:t>
      </w:r>
      <w:r w:rsidR="00CB6981" w:rsidRPr="008B34F9">
        <w:t>are not the reason for the failure of Flow Management.</w:t>
      </w:r>
      <w:r w:rsidR="00056276" w:rsidRPr="008B34F9">
        <w:t xml:space="preserve"> This supports the contention that failure </w:t>
      </w:r>
      <w:r w:rsidR="00EF4182">
        <w:t xml:space="preserve">arises from internal factors and accordingly </w:t>
      </w:r>
      <w:r w:rsidR="00056276" w:rsidRPr="008B34F9">
        <w:t xml:space="preserve">rest with management. </w:t>
      </w:r>
    </w:p>
    <w:p w14:paraId="0294304D" w14:textId="0A0DA270" w:rsidR="0057109F" w:rsidRPr="008B34F9" w:rsidRDefault="0057109F" w:rsidP="00713FA6">
      <w:pPr>
        <w:jc w:val="both"/>
      </w:pPr>
    </w:p>
    <w:p w14:paraId="69F40F63" w14:textId="04122CA4" w:rsidR="006B056C" w:rsidRPr="008B34F9" w:rsidRDefault="0057109F" w:rsidP="00713FA6">
      <w:pPr>
        <w:jc w:val="both"/>
      </w:pPr>
      <w:r w:rsidRPr="008B34F9">
        <w:t xml:space="preserve">To </w:t>
      </w:r>
      <w:r w:rsidR="006B056C" w:rsidRPr="008B34F9">
        <w:t xml:space="preserve">have been in a position to prevent the </w:t>
      </w:r>
      <w:r w:rsidRPr="008B34F9">
        <w:t>financial distress, management would first need to know</w:t>
      </w:r>
      <w:r w:rsidR="000710A9" w:rsidRPr="008B34F9">
        <w:t>,</w:t>
      </w:r>
      <w:r w:rsidR="006B056C" w:rsidRPr="008B34F9">
        <w:t xml:space="preserve"> </w:t>
      </w:r>
      <w:r w:rsidR="006B056C" w:rsidRPr="008B34F9">
        <w:rPr>
          <w:i/>
          <w:iCs/>
        </w:rPr>
        <w:t>ex ante</w:t>
      </w:r>
      <w:r w:rsidR="000710A9" w:rsidRPr="008B34F9">
        <w:rPr>
          <w:i/>
          <w:iCs/>
        </w:rPr>
        <w:t>,</w:t>
      </w:r>
      <w:r w:rsidRPr="008B34F9">
        <w:t xml:space="preserve"> what cause</w:t>
      </w:r>
      <w:r w:rsidR="00503B55">
        <w:t>d</w:t>
      </w:r>
      <w:r w:rsidR="006B056C" w:rsidRPr="008B34F9">
        <w:t xml:space="preserve"> </w:t>
      </w:r>
      <w:r w:rsidR="00E55FB1" w:rsidRPr="008B34F9">
        <w:t>the issue</w:t>
      </w:r>
      <w:r w:rsidR="006B056C" w:rsidRPr="008B34F9">
        <w:t>s</w:t>
      </w:r>
      <w:r w:rsidR="00E55FB1" w:rsidRPr="008B34F9">
        <w:t xml:space="preserve"> that accounting has reported on.</w:t>
      </w:r>
      <w:r w:rsidRPr="008B34F9">
        <w:t xml:space="preserve"> </w:t>
      </w:r>
      <w:r w:rsidR="00056276" w:rsidRPr="008B34F9">
        <w:t>The explanation provided to the bankers</w:t>
      </w:r>
      <w:r w:rsidR="00503B55">
        <w:t xml:space="preserve"> -</w:t>
      </w:r>
      <w:r w:rsidR="00056276" w:rsidRPr="008B34F9">
        <w:t xml:space="preserve"> defining how the situation will be corrected</w:t>
      </w:r>
      <w:r w:rsidR="000710A9" w:rsidRPr="008B34F9">
        <w:t>,</w:t>
      </w:r>
      <w:r w:rsidR="00056276" w:rsidRPr="008B34F9">
        <w:t xml:space="preserve"> suggests that management</w:t>
      </w:r>
      <w:r w:rsidR="006B056C" w:rsidRPr="008B34F9">
        <w:t xml:space="preserve">s mind set is </w:t>
      </w:r>
      <w:r w:rsidR="00056276" w:rsidRPr="008B34F9">
        <w:t xml:space="preserve">to do little more than what </w:t>
      </w:r>
      <w:r w:rsidR="001F7DFF" w:rsidRPr="008B34F9">
        <w:t xml:space="preserve">it </w:t>
      </w:r>
      <w:r w:rsidR="00490009">
        <w:t xml:space="preserve">has </w:t>
      </w:r>
      <w:r w:rsidR="00056276" w:rsidRPr="008B34F9">
        <w:t xml:space="preserve">already </w:t>
      </w:r>
      <w:r w:rsidR="00490009">
        <w:t xml:space="preserve">been </w:t>
      </w:r>
      <w:r w:rsidR="00056276" w:rsidRPr="008B34F9">
        <w:t xml:space="preserve">doing with perhaps some tweaking - increasing prices and running the ruler over expenses. </w:t>
      </w:r>
      <w:proofErr w:type="spellStart"/>
      <w:r w:rsidRPr="008B34F9">
        <w:t>Mellahi</w:t>
      </w:r>
      <w:proofErr w:type="spellEnd"/>
      <w:r w:rsidRPr="008B34F9">
        <w:t xml:space="preserve"> and Wilkinson contend</w:t>
      </w:r>
      <w:r w:rsidRPr="008B34F9">
        <w:rPr>
          <w:rStyle w:val="FootnoteReference"/>
        </w:rPr>
        <w:footnoteReference w:id="8"/>
      </w:r>
      <w:r w:rsidRPr="008B34F9">
        <w:t xml:space="preserve"> that management will do the things that it has done in the past</w:t>
      </w:r>
      <w:r w:rsidR="00F87549" w:rsidRPr="008B34F9">
        <w:t xml:space="preserve"> </w:t>
      </w:r>
      <w:r w:rsidR="006B056C" w:rsidRPr="008B34F9">
        <w:t xml:space="preserve">and </w:t>
      </w:r>
      <w:r w:rsidR="006B056C" w:rsidRPr="008B34F9">
        <w:rPr>
          <w:i/>
          <w:iCs/>
        </w:rPr>
        <w:t>“reinforce well-earned past routines and procedures”</w:t>
      </w:r>
      <w:r w:rsidR="006B056C" w:rsidRPr="008B34F9">
        <w:t>. In this fact situation</w:t>
      </w:r>
      <w:r w:rsidR="003833BA">
        <w:t>,</w:t>
      </w:r>
      <w:r w:rsidR="006B056C" w:rsidRPr="008B34F9">
        <w:t xml:space="preserve"> persistence of past practice</w:t>
      </w:r>
      <w:r w:rsidR="003833BA">
        <w:t>,</w:t>
      </w:r>
      <w:r w:rsidR="006B056C" w:rsidRPr="008B34F9">
        <w:t xml:space="preserve"> is likely to </w:t>
      </w:r>
      <w:r w:rsidR="003833BA">
        <w:t xml:space="preserve">do </w:t>
      </w:r>
      <w:r w:rsidR="006B056C" w:rsidRPr="008B34F9">
        <w:t xml:space="preserve">little more than leverage the </w:t>
      </w:r>
      <w:r w:rsidR="00F87549" w:rsidRPr="008B34F9">
        <w:t>failing drivers</w:t>
      </w:r>
      <w:r w:rsidR="006B056C" w:rsidRPr="008B34F9">
        <w:t xml:space="preserve"> already in place.</w:t>
      </w:r>
      <w:r w:rsidR="000710A9" w:rsidRPr="008B34F9">
        <w:t xml:space="preserve"> This observation suggests that the financial distress would not be averted unless</w:t>
      </w:r>
      <w:r w:rsidR="00EF4182">
        <w:t>,</w:t>
      </w:r>
      <w:r w:rsidR="000710A9" w:rsidRPr="008B34F9">
        <w:t xml:space="preserve"> and until</w:t>
      </w:r>
      <w:r w:rsidR="00EF4182">
        <w:t>,</w:t>
      </w:r>
      <w:r w:rsidR="000710A9" w:rsidRPr="008B34F9">
        <w:t xml:space="preserve"> management turns a searching mind to the causal relationship of </w:t>
      </w:r>
      <w:r w:rsidR="00EF4182">
        <w:t>its financial situation.</w:t>
      </w:r>
    </w:p>
    <w:p w14:paraId="2173E42C" w14:textId="76053B41" w:rsidR="006B056C" w:rsidRPr="008B34F9" w:rsidRDefault="006B056C" w:rsidP="00713FA6">
      <w:pPr>
        <w:jc w:val="both"/>
      </w:pPr>
    </w:p>
    <w:p w14:paraId="41BF338F" w14:textId="0B86B0DC" w:rsidR="006B056C" w:rsidRPr="008B34F9" w:rsidRDefault="000710A9" w:rsidP="00713FA6">
      <w:pPr>
        <w:jc w:val="both"/>
        <w:rPr>
          <w:b/>
          <w:bCs/>
        </w:rPr>
      </w:pPr>
      <w:r w:rsidRPr="008B34F9">
        <w:rPr>
          <w:b/>
          <w:bCs/>
        </w:rPr>
        <w:t>Conclusion</w:t>
      </w:r>
    </w:p>
    <w:p w14:paraId="493BA13E" w14:textId="05A88C10" w:rsidR="000710A9" w:rsidRDefault="003E0753" w:rsidP="00713FA6">
      <w:pPr>
        <w:jc w:val="both"/>
      </w:pPr>
      <w:r w:rsidRPr="008B34F9">
        <w:t xml:space="preserve">The operating </w:t>
      </w:r>
      <w:r w:rsidR="00490009">
        <w:t>mandate</w:t>
      </w:r>
      <w:r w:rsidRPr="008B34F9">
        <w:t xml:space="preserve"> of management is to efficiently engage the resources of the business to achieve the best possible outcome in all the circumstances. In this situation, there do</w:t>
      </w:r>
      <w:r w:rsidR="00490009">
        <w:t>es</w:t>
      </w:r>
      <w:r w:rsidRPr="008B34F9">
        <w:t xml:space="preserve"> not appear to be external factors that have caused the financial distress. The corollary is that </w:t>
      </w:r>
      <w:r w:rsidRPr="008B34F9">
        <w:lastRenderedPageBreak/>
        <w:t xml:space="preserve">internal factors are responsible, and the </w:t>
      </w:r>
      <w:r w:rsidR="00EC58B8">
        <w:t>existence</w:t>
      </w:r>
      <w:r w:rsidRPr="008B34F9">
        <w:t xml:space="preserve"> of those factors firmly rests with management. </w:t>
      </w:r>
      <w:r w:rsidR="00EF4182">
        <w:t xml:space="preserve">As a result </w:t>
      </w:r>
      <w:r w:rsidRPr="008B34F9">
        <w:t xml:space="preserve">it is </w:t>
      </w:r>
      <w:r w:rsidR="00EC58B8" w:rsidRPr="008B34F9">
        <w:t>suggested</w:t>
      </w:r>
      <w:r w:rsidRPr="008B34F9">
        <w:t xml:space="preserve"> that the viability of the business will continue to be a</w:t>
      </w:r>
      <w:r w:rsidR="003833BA">
        <w:t>t</w:t>
      </w:r>
      <w:r w:rsidRPr="008B34F9">
        <w:t xml:space="preserve"> risk until management </w:t>
      </w:r>
      <w:r w:rsidR="003833BA">
        <w:t>engages in</w:t>
      </w:r>
      <w:r w:rsidRPr="008B34F9">
        <w:t xml:space="preserve"> deeper analysis and broader insightfulness into its </w:t>
      </w:r>
      <w:r w:rsidR="00FD134C" w:rsidRPr="008B34F9">
        <w:t>voluntarist approach to optimising outcomes.</w:t>
      </w:r>
    </w:p>
    <w:p w14:paraId="45306CEC" w14:textId="6DCF7CDD" w:rsidR="00BC51F8" w:rsidRDefault="00BC51F8">
      <w:r>
        <w:br w:type="page"/>
      </w:r>
    </w:p>
    <w:p w14:paraId="2E20CB75" w14:textId="17E79DA3" w:rsidR="009B3D7C" w:rsidRPr="0047127C" w:rsidRDefault="009B3D7C" w:rsidP="0047127C">
      <w:pPr>
        <w:jc w:val="center"/>
        <w:rPr>
          <w:b/>
          <w:bCs/>
          <w:sz w:val="32"/>
        </w:rPr>
      </w:pPr>
      <w:bookmarkStart w:id="0" w:name="_Hlk85612979"/>
      <w:r w:rsidRPr="0047127C">
        <w:rPr>
          <w:b/>
          <w:bCs/>
          <w:sz w:val="32"/>
        </w:rPr>
        <w:lastRenderedPageBreak/>
        <w:t>QUESTION 2</w:t>
      </w:r>
    </w:p>
    <w:p w14:paraId="2B972B0A" w14:textId="615AFAA5" w:rsidR="009B3D7C" w:rsidRDefault="009B3D7C" w:rsidP="00713FA6">
      <w:pPr>
        <w:jc w:val="both"/>
      </w:pPr>
    </w:p>
    <w:p w14:paraId="7A4E67E0" w14:textId="51E62D94" w:rsidR="009B3D7C" w:rsidRDefault="009B3D7C" w:rsidP="00713FA6">
      <w:pPr>
        <w:jc w:val="both"/>
      </w:pPr>
      <w:r>
        <w:t xml:space="preserve">What are in general advantages and disadvantages of an out of court restructuring (workout) as compared to a formal bankruptcy procedure? More specific, what are the advantages versus disadvantages in your country? </w:t>
      </w:r>
    </w:p>
    <w:p w14:paraId="066F6AF3" w14:textId="7B669A21" w:rsidR="009B3D7C" w:rsidRDefault="009B3D7C" w:rsidP="00713FA6">
      <w:pPr>
        <w:jc w:val="both"/>
      </w:pPr>
    </w:p>
    <w:p w14:paraId="2A33EA7C" w14:textId="6156821E" w:rsidR="009B3D7C" w:rsidRDefault="009B3D7C" w:rsidP="00713FA6">
      <w:pPr>
        <w:jc w:val="both"/>
        <w:rPr>
          <w:b/>
          <w:bCs/>
        </w:rPr>
      </w:pPr>
      <w:r w:rsidRPr="009B3D7C">
        <w:rPr>
          <w:b/>
          <w:bCs/>
        </w:rPr>
        <w:t>ANSWER</w:t>
      </w:r>
    </w:p>
    <w:bookmarkEnd w:id="0"/>
    <w:p w14:paraId="4ECAB32E" w14:textId="5148D655" w:rsidR="009B3D7C" w:rsidRPr="009B3D7C" w:rsidRDefault="009B3D7C" w:rsidP="00713FA6">
      <w:pPr>
        <w:jc w:val="both"/>
      </w:pPr>
    </w:p>
    <w:p w14:paraId="725366EC" w14:textId="6F311EAE" w:rsidR="009B3D7C" w:rsidRDefault="00F54087" w:rsidP="00713FA6">
      <w:pPr>
        <w:jc w:val="both"/>
      </w:pPr>
      <w:r>
        <w:t xml:space="preserve">For </w:t>
      </w:r>
      <w:r w:rsidR="003A00D5">
        <w:t xml:space="preserve">this response, out of court restructuring is deemed to be a reorganising of the affairs of the company without reference or recourse to either the court for adjudication or enforcement. </w:t>
      </w:r>
      <w:r w:rsidR="00A039F8">
        <w:t xml:space="preserve">The process is said to be conducted in the shadow of the law. </w:t>
      </w:r>
      <w:r w:rsidR="003A00D5">
        <w:t xml:space="preserve">It is suggestive that any such process is an alternative to </w:t>
      </w:r>
      <w:r w:rsidR="00D06664">
        <w:t>a procedure determined by a statutory framework.</w:t>
      </w:r>
      <w:r w:rsidR="003A00D5">
        <w:t xml:space="preserve"> </w:t>
      </w:r>
      <w:r w:rsidR="00A039F8">
        <w:t xml:space="preserve">In this </w:t>
      </w:r>
      <w:r w:rsidR="00D11FEC">
        <w:t>discussion</w:t>
      </w:r>
      <w:r w:rsidR="00A039F8">
        <w:t>, r</w:t>
      </w:r>
      <w:r w:rsidR="003A00D5">
        <w:t xml:space="preserve">eference will be made to an article authored by </w:t>
      </w:r>
      <w:proofErr w:type="spellStart"/>
      <w:r w:rsidR="003A00D5">
        <w:t>Adriannse</w:t>
      </w:r>
      <w:proofErr w:type="spellEnd"/>
      <w:r w:rsidR="003A00D5">
        <w:t xml:space="preserve"> and </w:t>
      </w:r>
      <w:proofErr w:type="spellStart"/>
      <w:r w:rsidR="004C35FA">
        <w:t>Kuijl</w:t>
      </w:r>
      <w:proofErr w:type="spellEnd"/>
      <w:r w:rsidR="004C35FA">
        <w:rPr>
          <w:rStyle w:val="FootnoteReference"/>
        </w:rPr>
        <w:footnoteReference w:id="9"/>
      </w:r>
      <w:r w:rsidR="004C35FA">
        <w:t xml:space="preserve"> w</w:t>
      </w:r>
      <w:r w:rsidR="00D06664">
        <w:t>h</w:t>
      </w:r>
      <w:r w:rsidR="004C35FA">
        <w:t xml:space="preserve">ere appropriate. </w:t>
      </w:r>
    </w:p>
    <w:p w14:paraId="53FDBAEA" w14:textId="47F89054" w:rsidR="003A00D5" w:rsidRDefault="003A00D5" w:rsidP="00713FA6">
      <w:pPr>
        <w:jc w:val="both"/>
      </w:pPr>
    </w:p>
    <w:p w14:paraId="25C5C0E2" w14:textId="2562353B" w:rsidR="003A00D5" w:rsidRPr="00BC41FF" w:rsidRDefault="004C35FA" w:rsidP="00BC41FF">
      <w:pPr>
        <w:jc w:val="center"/>
        <w:rPr>
          <w:b/>
          <w:bCs/>
        </w:rPr>
      </w:pPr>
      <w:r w:rsidRPr="00BC41FF">
        <w:rPr>
          <w:b/>
          <w:bCs/>
        </w:rPr>
        <w:t>I</w:t>
      </w:r>
      <w:r w:rsidR="00AB1CEA">
        <w:rPr>
          <w:b/>
          <w:bCs/>
        </w:rPr>
        <w:t>NFORMAL PROCEDURE</w:t>
      </w:r>
    </w:p>
    <w:p w14:paraId="02862AB2" w14:textId="77777777" w:rsidR="00BC41FF" w:rsidRDefault="00BC41FF" w:rsidP="00713FA6">
      <w:pPr>
        <w:jc w:val="both"/>
      </w:pPr>
    </w:p>
    <w:p w14:paraId="751EF85D" w14:textId="18C21537" w:rsidR="004C35FA" w:rsidRDefault="004C35FA" w:rsidP="00713FA6">
      <w:pPr>
        <w:jc w:val="both"/>
      </w:pPr>
      <w:r>
        <w:t xml:space="preserve">The </w:t>
      </w:r>
      <w:r w:rsidR="00D06664">
        <w:t xml:space="preserve">purpose of any </w:t>
      </w:r>
      <w:r w:rsidR="00D11FEC">
        <w:t xml:space="preserve">recovery </w:t>
      </w:r>
      <w:r w:rsidR="00D06664">
        <w:t>procedure is to restore the economic health of the comp</w:t>
      </w:r>
      <w:r w:rsidR="005941C3">
        <w:t>a</w:t>
      </w:r>
      <w:r w:rsidR="00D06664">
        <w:t>ny</w:t>
      </w:r>
      <w:r w:rsidR="005941C3">
        <w:t>. The</w:t>
      </w:r>
      <w:r w:rsidR="00D06664">
        <w:t xml:space="preserve"> intrinsic value of conducting an informal procedure </w:t>
      </w:r>
      <w:r w:rsidR="00BC41FF">
        <w:t>is captured in the three features of flexibility, silence and control.</w:t>
      </w:r>
      <w:r w:rsidR="00BC41FF">
        <w:rPr>
          <w:rStyle w:val="FootnoteReference"/>
        </w:rPr>
        <w:footnoteReference w:id="10"/>
      </w:r>
      <w:r w:rsidR="00BC41FF">
        <w:t xml:space="preserve"> </w:t>
      </w:r>
    </w:p>
    <w:p w14:paraId="2BBF6902" w14:textId="702091E1" w:rsidR="00BC41FF" w:rsidRDefault="00BC41FF" w:rsidP="00713FA6">
      <w:pPr>
        <w:jc w:val="both"/>
      </w:pPr>
    </w:p>
    <w:p w14:paraId="2C894CD1" w14:textId="2CB3FBE3" w:rsidR="00BC41FF" w:rsidRPr="00BC41FF" w:rsidRDefault="00BC41FF" w:rsidP="00713FA6">
      <w:pPr>
        <w:jc w:val="both"/>
        <w:rPr>
          <w:b/>
          <w:bCs/>
        </w:rPr>
      </w:pPr>
      <w:r w:rsidRPr="00BC41FF">
        <w:rPr>
          <w:b/>
          <w:bCs/>
        </w:rPr>
        <w:t>Flexibility</w:t>
      </w:r>
    </w:p>
    <w:p w14:paraId="5298F683" w14:textId="0D167CD6" w:rsidR="00AD740F" w:rsidRDefault="00BC41FF" w:rsidP="00713FA6">
      <w:pPr>
        <w:jc w:val="both"/>
      </w:pPr>
      <w:r>
        <w:t>Flexibility is a critical feature of any turnaround process</w:t>
      </w:r>
      <w:r w:rsidR="00A74DCD">
        <w:t xml:space="preserve">. This </w:t>
      </w:r>
      <w:r>
        <w:t>on the ground that the parties that are responsible to achieve an effective outcome are able to use all their wiles without the constraints that typify a formal procedure.</w:t>
      </w:r>
      <w:r w:rsidR="00A6651A">
        <w:t xml:space="preserve"> </w:t>
      </w:r>
      <w:r w:rsidR="007805ED">
        <w:t>In this unrestricted landscape</w:t>
      </w:r>
      <w:r w:rsidR="00214C62">
        <w:t>,</w:t>
      </w:r>
      <w:r w:rsidR="007805ED">
        <w:t xml:space="preserve"> a better outcome is expected to be achieved</w:t>
      </w:r>
      <w:r w:rsidR="00A039F8">
        <w:t xml:space="preserve"> due to the malleability of persons involved, time efficiency </w:t>
      </w:r>
      <w:r w:rsidR="0034376E">
        <w:t xml:space="preserve">in </w:t>
      </w:r>
      <w:r w:rsidR="00214C62">
        <w:t>achieving outcomes</w:t>
      </w:r>
      <w:r w:rsidR="0034376E">
        <w:t xml:space="preserve"> and cost savings that are likely to result</w:t>
      </w:r>
      <w:r w:rsidR="007805ED">
        <w:t>.</w:t>
      </w:r>
    </w:p>
    <w:p w14:paraId="19CC23AC" w14:textId="77777777" w:rsidR="00AD740F" w:rsidRDefault="00AD740F" w:rsidP="00713FA6">
      <w:pPr>
        <w:jc w:val="both"/>
      </w:pPr>
    </w:p>
    <w:p w14:paraId="78E50023" w14:textId="7F8179F5" w:rsidR="002C1F19" w:rsidRDefault="00AD740F" w:rsidP="00713FA6">
      <w:pPr>
        <w:jc w:val="both"/>
      </w:pPr>
      <w:r>
        <w:t>A</w:t>
      </w:r>
      <w:r w:rsidR="00A6651A">
        <w:t>t all times</w:t>
      </w:r>
      <w:r w:rsidR="00F54087">
        <w:t>,</w:t>
      </w:r>
      <w:r w:rsidR="00A6651A">
        <w:t xml:space="preserve"> any agreements reached will need to meet a legal test of reasonableness</w:t>
      </w:r>
      <w:r w:rsidR="00F54087">
        <w:t>,</w:t>
      </w:r>
      <w:r w:rsidR="00A6651A">
        <w:t xml:space="preserve"> as well as ensuring settlement arrangements are not designed to defeat rights that would exist in</w:t>
      </w:r>
      <w:r>
        <w:t xml:space="preserve"> formal proceedings. Provided restructuring arrangements are made in the faith of those requirements, parties can </w:t>
      </w:r>
      <w:r w:rsidR="00A74DCD">
        <w:t xml:space="preserve">strike deals </w:t>
      </w:r>
      <w:r>
        <w:t>that will suit themselves and be</w:t>
      </w:r>
      <w:r w:rsidR="0034376E">
        <w:t xml:space="preserve"> </w:t>
      </w:r>
      <w:r w:rsidR="00A74DCD">
        <w:t xml:space="preserve">structured </w:t>
      </w:r>
      <w:r w:rsidR="0034376E">
        <w:t xml:space="preserve">to </w:t>
      </w:r>
      <w:r>
        <w:t>fit</w:t>
      </w:r>
      <w:r w:rsidR="0034376E">
        <w:t xml:space="preserve"> </w:t>
      </w:r>
      <w:r w:rsidR="002C1F19">
        <w:t xml:space="preserve">the desired outcome. </w:t>
      </w:r>
    </w:p>
    <w:p w14:paraId="1EFD5B4C" w14:textId="77777777" w:rsidR="002C1F19" w:rsidRDefault="002C1F19" w:rsidP="00713FA6">
      <w:pPr>
        <w:jc w:val="both"/>
      </w:pPr>
    </w:p>
    <w:p w14:paraId="4C3C0CD4" w14:textId="2EA97A10" w:rsidR="002C1F19" w:rsidRPr="002C1F19" w:rsidRDefault="002C1F19" w:rsidP="00713FA6">
      <w:pPr>
        <w:jc w:val="both"/>
        <w:rPr>
          <w:b/>
          <w:bCs/>
        </w:rPr>
      </w:pPr>
      <w:r w:rsidRPr="002C1F19">
        <w:rPr>
          <w:b/>
          <w:bCs/>
        </w:rPr>
        <w:t>Silence</w:t>
      </w:r>
    </w:p>
    <w:p w14:paraId="2D178A02" w14:textId="54CAC446" w:rsidR="00BC41FF" w:rsidRDefault="002C1F19" w:rsidP="00714173">
      <w:pPr>
        <w:jc w:val="both"/>
      </w:pPr>
      <w:r>
        <w:t xml:space="preserve">While disclosure is a vital requirement of </w:t>
      </w:r>
      <w:r w:rsidR="00214C62">
        <w:t xml:space="preserve">formal recovery </w:t>
      </w:r>
      <w:r>
        <w:t xml:space="preserve">proceedings, there is a powerful negative impact that can </w:t>
      </w:r>
      <w:r w:rsidR="00714173">
        <w:t xml:space="preserve">land </w:t>
      </w:r>
      <w:r>
        <w:t>upon other service providers if there is a hint of loss that they may have to bear. In occasions of broad dis</w:t>
      </w:r>
      <w:r w:rsidR="00A74DCD">
        <w:t>semination</w:t>
      </w:r>
      <w:r>
        <w:t xml:space="preserve">, all creditors </w:t>
      </w:r>
      <w:r w:rsidR="000313B0">
        <w:t xml:space="preserve">affected </w:t>
      </w:r>
      <w:r w:rsidR="0034376E">
        <w:t xml:space="preserve">will manifest heightened interest in their exposure </w:t>
      </w:r>
      <w:r w:rsidR="000313B0">
        <w:t xml:space="preserve">and </w:t>
      </w:r>
      <w:r w:rsidR="00A74DCD">
        <w:t xml:space="preserve">may </w:t>
      </w:r>
      <w:r w:rsidR="000313B0">
        <w:t>proactive</w:t>
      </w:r>
      <w:r w:rsidR="00A74DCD">
        <w:t>ly</w:t>
      </w:r>
      <w:r w:rsidR="000313B0">
        <w:t xml:space="preserve"> striv</w:t>
      </w:r>
      <w:r w:rsidR="00A74DCD">
        <w:t>e</w:t>
      </w:r>
      <w:r w:rsidR="000313B0">
        <w:t xml:space="preserve"> to achieve </w:t>
      </w:r>
      <w:r>
        <w:t>s</w:t>
      </w:r>
      <w:r w:rsidR="000313B0">
        <w:t xml:space="preserve">ettlement by </w:t>
      </w:r>
      <w:r w:rsidR="0034376E">
        <w:t xml:space="preserve">way of </w:t>
      </w:r>
      <w:r w:rsidR="000313B0">
        <w:t xml:space="preserve">leverage or </w:t>
      </w:r>
      <w:r w:rsidR="0034376E">
        <w:t xml:space="preserve">by means of </w:t>
      </w:r>
      <w:r w:rsidR="000313B0">
        <w:t xml:space="preserve">self-help. </w:t>
      </w:r>
      <w:r w:rsidR="00714173">
        <w:t xml:space="preserve">An </w:t>
      </w:r>
      <w:r w:rsidR="000313B0">
        <w:t xml:space="preserve">informal procedure can </w:t>
      </w:r>
      <w:r w:rsidR="00714173">
        <w:t xml:space="preserve">minimise that risk by keeping issues contained to the </w:t>
      </w:r>
      <w:r w:rsidR="00214C62">
        <w:t xml:space="preserve">parties </w:t>
      </w:r>
      <w:r w:rsidR="00714173">
        <w:t>directly affected.</w:t>
      </w:r>
    </w:p>
    <w:p w14:paraId="3D661B61" w14:textId="11352139" w:rsidR="00714173" w:rsidRDefault="00714173" w:rsidP="00714173">
      <w:pPr>
        <w:jc w:val="both"/>
      </w:pPr>
    </w:p>
    <w:p w14:paraId="3E483809" w14:textId="713BD5A3" w:rsidR="00714173" w:rsidRPr="00714173" w:rsidRDefault="00714173" w:rsidP="00714173">
      <w:pPr>
        <w:jc w:val="both"/>
        <w:rPr>
          <w:b/>
          <w:bCs/>
        </w:rPr>
      </w:pPr>
      <w:r w:rsidRPr="00714173">
        <w:rPr>
          <w:b/>
          <w:bCs/>
        </w:rPr>
        <w:t>Control</w:t>
      </w:r>
    </w:p>
    <w:p w14:paraId="7C62485A" w14:textId="1EDBDF46" w:rsidR="00370AA5" w:rsidRDefault="00714173" w:rsidP="00713FA6">
      <w:pPr>
        <w:jc w:val="both"/>
      </w:pPr>
      <w:r>
        <w:t xml:space="preserve">Control is the manifestation of authority to deal with issues that are relevant to the turnaround process. The persons that will have the knowledge of the insolvent circumstances are </w:t>
      </w:r>
      <w:r w:rsidR="00A74DCD">
        <w:t xml:space="preserve">usually </w:t>
      </w:r>
      <w:r>
        <w:t>the parties that are directly affected. A delegated authority</w:t>
      </w:r>
      <w:r w:rsidR="0034376E">
        <w:t xml:space="preserve"> to an independent person</w:t>
      </w:r>
      <w:r>
        <w:t xml:space="preserve">, as would be expected in a formal state of insolvency, </w:t>
      </w:r>
      <w:r w:rsidR="0034376E">
        <w:t>will result in a know</w:t>
      </w:r>
      <w:r>
        <w:t xml:space="preserve">ledge </w:t>
      </w:r>
      <w:r w:rsidR="0034376E">
        <w:t>gap</w:t>
      </w:r>
      <w:r w:rsidR="00214C62">
        <w:t xml:space="preserve"> within</w:t>
      </w:r>
      <w:r w:rsidR="0034376E">
        <w:t xml:space="preserve"> the appointed person</w:t>
      </w:r>
      <w:r w:rsidR="00D54067">
        <w:t xml:space="preserve">, of the </w:t>
      </w:r>
      <w:r w:rsidR="0034376E">
        <w:t>business resources that the</w:t>
      </w:r>
      <w:r w:rsidR="00D54067">
        <w:t xml:space="preserve">y have </w:t>
      </w:r>
      <w:r w:rsidR="0034376E">
        <w:t xml:space="preserve">become responsible for. </w:t>
      </w:r>
    </w:p>
    <w:p w14:paraId="0090B8E2" w14:textId="32EDF0CC" w:rsidR="00BC41FF" w:rsidRDefault="00714173" w:rsidP="00713FA6">
      <w:pPr>
        <w:jc w:val="both"/>
      </w:pPr>
      <w:r>
        <w:lastRenderedPageBreak/>
        <w:t xml:space="preserve">The nuances and interpretations of </w:t>
      </w:r>
      <w:r w:rsidR="00C0141A">
        <w:t>business</w:t>
      </w:r>
      <w:r>
        <w:t xml:space="preserve"> issues </w:t>
      </w:r>
      <w:r w:rsidR="00370AA5">
        <w:t>will rest with the persons that have been involved</w:t>
      </w:r>
      <w:r w:rsidR="00E67305">
        <w:t xml:space="preserve"> in the activities of the business. These subtilities are </w:t>
      </w:r>
      <w:r>
        <w:t xml:space="preserve">vital to achieving economically efficient </w:t>
      </w:r>
      <w:r w:rsidR="00591240">
        <w:t>outcomes</w:t>
      </w:r>
      <w:r>
        <w:t>. Moreover, the parties that are directly involved have more to win, or lose, and are expected to be more keenly interested in the outcome</w:t>
      </w:r>
      <w:r w:rsidR="00C0141A">
        <w:t xml:space="preserve"> which should result in a more </w:t>
      </w:r>
      <w:r>
        <w:t>focussed view</w:t>
      </w:r>
      <w:r w:rsidR="003512EE">
        <w:t>.</w:t>
      </w:r>
    </w:p>
    <w:p w14:paraId="39AB946D" w14:textId="77777777" w:rsidR="003512EE" w:rsidRDefault="003512EE" w:rsidP="00713FA6">
      <w:pPr>
        <w:jc w:val="both"/>
      </w:pPr>
    </w:p>
    <w:p w14:paraId="0F37C37A" w14:textId="0D360AB4" w:rsidR="003512EE" w:rsidRPr="003512EE" w:rsidRDefault="003512EE" w:rsidP="003512EE">
      <w:pPr>
        <w:jc w:val="center"/>
        <w:rPr>
          <w:b/>
          <w:bCs/>
        </w:rPr>
      </w:pPr>
      <w:r w:rsidRPr="003512EE">
        <w:rPr>
          <w:b/>
          <w:bCs/>
        </w:rPr>
        <w:t>A</w:t>
      </w:r>
      <w:r w:rsidR="00AB1CEA">
        <w:rPr>
          <w:b/>
          <w:bCs/>
        </w:rPr>
        <w:t>DVANTAGES AND DISADVANTAGES</w:t>
      </w:r>
    </w:p>
    <w:p w14:paraId="701CAED6" w14:textId="03CD6651" w:rsidR="003512EE" w:rsidRDefault="003512EE" w:rsidP="00713FA6">
      <w:pPr>
        <w:jc w:val="both"/>
      </w:pPr>
    </w:p>
    <w:p w14:paraId="79DADEAE" w14:textId="3B8573DC" w:rsidR="00962A53" w:rsidRDefault="00962A53" w:rsidP="00713FA6">
      <w:pPr>
        <w:jc w:val="both"/>
      </w:pPr>
      <w:r>
        <w:t xml:space="preserve">The advantages and disadvantages of an informal procedure are set out below. </w:t>
      </w:r>
    </w:p>
    <w:p w14:paraId="28357C66" w14:textId="77777777" w:rsidR="00962A53" w:rsidRPr="00714173" w:rsidRDefault="00962A53" w:rsidP="00713FA6">
      <w:pPr>
        <w:jc w:val="both"/>
      </w:pPr>
    </w:p>
    <w:p w14:paraId="738E0125" w14:textId="0669FE3B" w:rsidR="00BC41FF" w:rsidRDefault="003512EE" w:rsidP="00713FA6">
      <w:pPr>
        <w:jc w:val="both"/>
        <w:rPr>
          <w:b/>
          <w:bCs/>
        </w:rPr>
      </w:pPr>
      <w:r w:rsidRPr="003512EE">
        <w:rPr>
          <w:b/>
          <w:bCs/>
        </w:rPr>
        <w:t>Advantages</w:t>
      </w:r>
    </w:p>
    <w:p w14:paraId="7C858045" w14:textId="77777777" w:rsidR="00962A53" w:rsidRDefault="00962A53" w:rsidP="00713FA6">
      <w:pPr>
        <w:jc w:val="both"/>
      </w:pPr>
      <w:r w:rsidRPr="00591240">
        <w:t>A significant advantage is flexibility – owners and affected parties can work out a solution that</w:t>
      </w:r>
      <w:r>
        <w:t xml:space="preserve"> optimises their respective interests. </w:t>
      </w:r>
    </w:p>
    <w:p w14:paraId="3E573D9B" w14:textId="77777777" w:rsidR="00962A53" w:rsidRDefault="00962A53" w:rsidP="00713FA6">
      <w:pPr>
        <w:jc w:val="both"/>
      </w:pPr>
    </w:p>
    <w:p w14:paraId="6DC3DC27" w14:textId="42EA3536" w:rsidR="00962A53" w:rsidRDefault="00962A53" w:rsidP="00713FA6">
      <w:pPr>
        <w:jc w:val="both"/>
      </w:pPr>
      <w:r>
        <w:t xml:space="preserve">A second advantage is that, throughout the process, management remains in control of the business activity. This minimises the disruption that arises from the engagement of independent persons who are constrained by </w:t>
      </w:r>
      <w:r w:rsidR="00591240">
        <w:t xml:space="preserve">the rigors of </w:t>
      </w:r>
      <w:r>
        <w:t xml:space="preserve">statutory requirements. </w:t>
      </w:r>
    </w:p>
    <w:p w14:paraId="4BA1ADDA" w14:textId="14975E43" w:rsidR="00BE2CA2" w:rsidRDefault="00BE2CA2" w:rsidP="00713FA6">
      <w:pPr>
        <w:jc w:val="both"/>
      </w:pPr>
    </w:p>
    <w:p w14:paraId="0E07F08F" w14:textId="47C14E93" w:rsidR="00BE2CA2" w:rsidRDefault="00BE2CA2" w:rsidP="00713FA6">
      <w:pPr>
        <w:jc w:val="both"/>
      </w:pPr>
      <w:r>
        <w:t xml:space="preserve">Privacy is also a significant advantage. Keeping the issues confined to the affected parties minimises the risks of reaction from other parties that may not </w:t>
      </w:r>
      <w:r w:rsidR="00E62569">
        <w:t xml:space="preserve">otherwise </w:t>
      </w:r>
      <w:r>
        <w:t>be affected.</w:t>
      </w:r>
    </w:p>
    <w:p w14:paraId="25464F94" w14:textId="77777777" w:rsidR="00962A53" w:rsidRDefault="00962A53" w:rsidP="00713FA6">
      <w:pPr>
        <w:jc w:val="both"/>
      </w:pPr>
    </w:p>
    <w:p w14:paraId="476019C9" w14:textId="1E952948" w:rsidR="00BD35FF" w:rsidRDefault="00962A53" w:rsidP="00713FA6">
      <w:pPr>
        <w:jc w:val="both"/>
      </w:pPr>
      <w:r>
        <w:t xml:space="preserve">Savings are also a big advantage. The process can be achieved in a much more time efficient manner with perhaps </w:t>
      </w:r>
      <w:r w:rsidR="00E62569">
        <w:t>just</w:t>
      </w:r>
      <w:r>
        <w:t xml:space="preserve"> the guidance of an independent specialist </w:t>
      </w:r>
      <w:r w:rsidR="00591240">
        <w:t xml:space="preserve">- </w:t>
      </w:r>
      <w:r>
        <w:t xml:space="preserve">compared with a full </w:t>
      </w:r>
      <w:r w:rsidR="00BD35FF">
        <w:t xml:space="preserve">team of </w:t>
      </w:r>
      <w:r>
        <w:t>engage</w:t>
      </w:r>
      <w:r w:rsidR="00BD35FF">
        <w:t>d people to conduct a formal process.</w:t>
      </w:r>
    </w:p>
    <w:p w14:paraId="7ED01F19" w14:textId="77777777" w:rsidR="00BD35FF" w:rsidRDefault="00BD35FF" w:rsidP="00713FA6">
      <w:pPr>
        <w:jc w:val="both"/>
      </w:pPr>
    </w:p>
    <w:p w14:paraId="37449317" w14:textId="77777777" w:rsidR="00BD35FF" w:rsidRPr="00BD35FF" w:rsidRDefault="00BD35FF" w:rsidP="00713FA6">
      <w:pPr>
        <w:jc w:val="both"/>
        <w:rPr>
          <w:b/>
          <w:bCs/>
        </w:rPr>
      </w:pPr>
      <w:r w:rsidRPr="00BD35FF">
        <w:rPr>
          <w:b/>
          <w:bCs/>
        </w:rPr>
        <w:t>Disadvantages</w:t>
      </w:r>
    </w:p>
    <w:p w14:paraId="5E0B94EF" w14:textId="0EF4B0C5" w:rsidR="00BD35FF" w:rsidRDefault="00BD35FF" w:rsidP="00713FA6">
      <w:pPr>
        <w:jc w:val="both"/>
      </w:pPr>
      <w:r w:rsidRPr="00591240">
        <w:t>A disadvantage</w:t>
      </w:r>
      <w:r>
        <w:t xml:space="preserve"> will occur when management exhibits the will but does not have the knowledge or skills to hone down the issues</w:t>
      </w:r>
      <w:r w:rsidR="00591240">
        <w:t>,</w:t>
      </w:r>
      <w:r>
        <w:t xml:space="preserve"> and to achieve the best result in the circumstances.</w:t>
      </w:r>
    </w:p>
    <w:p w14:paraId="0681E961" w14:textId="77777777" w:rsidR="00BD35FF" w:rsidRDefault="00BD35FF" w:rsidP="00713FA6">
      <w:pPr>
        <w:jc w:val="both"/>
      </w:pPr>
    </w:p>
    <w:p w14:paraId="703050EC" w14:textId="58320043" w:rsidR="00BD35FF" w:rsidRDefault="00BE2CA2" w:rsidP="00713FA6">
      <w:pPr>
        <w:jc w:val="both"/>
      </w:pPr>
      <w:r>
        <w:t xml:space="preserve">In a similar vein, </w:t>
      </w:r>
      <w:r w:rsidR="00BD35FF">
        <w:t xml:space="preserve">management </w:t>
      </w:r>
      <w:r>
        <w:t xml:space="preserve">may </w:t>
      </w:r>
      <w:r w:rsidR="00E62569">
        <w:t xml:space="preserve">have </w:t>
      </w:r>
      <w:r w:rsidR="00BD35FF">
        <w:t>the desire</w:t>
      </w:r>
      <w:r w:rsidR="00591240">
        <w:t>,</w:t>
      </w:r>
      <w:r w:rsidR="00BD35FF">
        <w:t xml:space="preserve"> but does not have the inertia to </w:t>
      </w:r>
      <w:r w:rsidR="00D54067">
        <w:t>strive</w:t>
      </w:r>
      <w:r w:rsidR="00BD35FF">
        <w:t xml:space="preserve"> </w:t>
      </w:r>
      <w:r w:rsidR="00095FAA">
        <w:t xml:space="preserve">toward </w:t>
      </w:r>
      <w:r w:rsidR="00D54067">
        <w:t>an</w:t>
      </w:r>
      <w:r w:rsidR="00BD35FF">
        <w:t xml:space="preserve"> end goal</w:t>
      </w:r>
      <w:r>
        <w:t xml:space="preserve">. Consequently </w:t>
      </w:r>
      <w:r w:rsidR="00BD35FF">
        <w:t xml:space="preserve">a disadvantage will occur in the form of unrealised outcomes. </w:t>
      </w:r>
    </w:p>
    <w:p w14:paraId="15E397BD" w14:textId="77777777" w:rsidR="00BD35FF" w:rsidRDefault="00BD35FF" w:rsidP="00713FA6">
      <w:pPr>
        <w:jc w:val="both"/>
      </w:pPr>
    </w:p>
    <w:p w14:paraId="55743E73" w14:textId="3239ABDB" w:rsidR="00962A53" w:rsidRDefault="00BD35FF" w:rsidP="00713FA6">
      <w:pPr>
        <w:jc w:val="both"/>
      </w:pPr>
      <w:r>
        <w:t>A further disadvantage is that the aspiration to engage without formalities</w:t>
      </w:r>
      <w:r w:rsidR="00095FAA">
        <w:t>,</w:t>
      </w:r>
      <w:r>
        <w:t xml:space="preserve"> leaves the process bare of any </w:t>
      </w:r>
      <w:r w:rsidR="00363AFF">
        <w:t>legal framework to fall back upon if negotiations do not proceed as desired.</w:t>
      </w:r>
    </w:p>
    <w:p w14:paraId="64D02D3A" w14:textId="216401E2" w:rsidR="00E22BB9" w:rsidRDefault="00E22BB9" w:rsidP="00713FA6">
      <w:pPr>
        <w:jc w:val="both"/>
      </w:pPr>
    </w:p>
    <w:p w14:paraId="14A8FF97" w14:textId="580BEEB4" w:rsidR="00E22BB9" w:rsidRDefault="00E22BB9" w:rsidP="00713FA6">
      <w:pPr>
        <w:jc w:val="both"/>
      </w:pPr>
      <w:r>
        <w:t>A lack of reality may also exist within management</w:t>
      </w:r>
      <w:r w:rsidR="00E62569">
        <w:t>,</w:t>
      </w:r>
      <w:r>
        <w:t xml:space="preserve"> as to the ability of the business to return to viability. Keeping a business operating in a setting of little</w:t>
      </w:r>
      <w:r w:rsidR="00095FAA">
        <w:t>,</w:t>
      </w:r>
      <w:r>
        <w:t xml:space="preserve"> or no hope</w:t>
      </w:r>
      <w:r w:rsidR="00095FAA">
        <w:t>,</w:t>
      </w:r>
      <w:r>
        <w:t xml:space="preserve"> will cause a significant disadvantage to creditors </w:t>
      </w:r>
      <w:r w:rsidR="00EF5822">
        <w:t>if immediate liquidation would have returned a better dividend.</w:t>
      </w:r>
    </w:p>
    <w:p w14:paraId="7DF25A72" w14:textId="562AA348" w:rsidR="00363AFF" w:rsidRDefault="00363AFF" w:rsidP="00713FA6">
      <w:pPr>
        <w:jc w:val="both"/>
      </w:pPr>
    </w:p>
    <w:p w14:paraId="3CC6E6FC" w14:textId="77777777" w:rsidR="00363AFF" w:rsidRDefault="00363AFF" w:rsidP="00713FA6">
      <w:pPr>
        <w:jc w:val="both"/>
      </w:pPr>
    </w:p>
    <w:p w14:paraId="626384B6" w14:textId="28E7F099" w:rsidR="00363AFF" w:rsidRDefault="00363AFF" w:rsidP="00363AFF">
      <w:pPr>
        <w:jc w:val="center"/>
        <w:rPr>
          <w:b/>
          <w:bCs/>
        </w:rPr>
      </w:pPr>
      <w:r w:rsidRPr="00363AFF">
        <w:rPr>
          <w:b/>
          <w:bCs/>
        </w:rPr>
        <w:t>Advantages and Disadvantages in New Zealand</w:t>
      </w:r>
    </w:p>
    <w:p w14:paraId="6505DB05" w14:textId="2CB04CEC" w:rsidR="00363AFF" w:rsidRDefault="00363AFF" w:rsidP="00363AFF">
      <w:pPr>
        <w:jc w:val="center"/>
        <w:rPr>
          <w:b/>
          <w:bCs/>
        </w:rPr>
      </w:pPr>
    </w:p>
    <w:p w14:paraId="0283C81D" w14:textId="123C8F9B" w:rsidR="00363AFF" w:rsidRDefault="00363AFF" w:rsidP="00363AFF">
      <w:r w:rsidRPr="00363AFF">
        <w:t xml:space="preserve">The </w:t>
      </w:r>
      <w:r>
        <w:t xml:space="preserve">advantages and disadvantages in New Zealand are similar to those identified above but scaled </w:t>
      </w:r>
      <w:r w:rsidR="00EF5822">
        <w:t xml:space="preserve">relative to the size of businesses in New Zealand. </w:t>
      </w:r>
    </w:p>
    <w:p w14:paraId="385DDC84" w14:textId="03E17811" w:rsidR="00EF5822" w:rsidRDefault="00EF5822" w:rsidP="00363AFF"/>
    <w:p w14:paraId="7BC7DBEB" w14:textId="0CB89B9C" w:rsidR="00EF5822" w:rsidRDefault="00EF5822" w:rsidP="00EF5822">
      <w:pPr>
        <w:jc w:val="both"/>
      </w:pPr>
      <w:r>
        <w:t>In the corporate context there are three formal states of insolvency: Voluntary Administration, Liquidation and Receivership. Voluntary Administration is the legislative process that is designed to determine whether the business has the potential to survive or whether immediate liquidation would be better for creditors.</w:t>
      </w:r>
    </w:p>
    <w:p w14:paraId="21366B3E" w14:textId="3FBCEC82" w:rsidR="00EF5822" w:rsidRDefault="00EF5822" w:rsidP="00EF5822">
      <w:pPr>
        <w:jc w:val="both"/>
      </w:pPr>
    </w:p>
    <w:p w14:paraId="4DCA1FE7" w14:textId="6972B075" w:rsidR="00EF5822" w:rsidRDefault="00EF5822" w:rsidP="00EF5822">
      <w:pPr>
        <w:jc w:val="both"/>
      </w:pPr>
      <w:r>
        <w:lastRenderedPageBreak/>
        <w:t xml:space="preserve">There is a relatively low uptake in New Zealand for Voluntary Administration despite the fact that it offers the potential for a safe harbour for directors as well as a structured </w:t>
      </w:r>
      <w:r w:rsidR="000E3AC1">
        <w:t xml:space="preserve">process for business recovery. </w:t>
      </w:r>
    </w:p>
    <w:p w14:paraId="6FE8624D" w14:textId="41101018" w:rsidR="000E3AC1" w:rsidRDefault="000E3AC1" w:rsidP="00EF5822">
      <w:pPr>
        <w:jc w:val="both"/>
      </w:pPr>
    </w:p>
    <w:p w14:paraId="204646C2" w14:textId="7E32F70F" w:rsidR="000E3AC1" w:rsidRDefault="000E3AC1" w:rsidP="00EF5822">
      <w:pPr>
        <w:jc w:val="both"/>
      </w:pPr>
      <w:r>
        <w:t>This suggest</w:t>
      </w:r>
      <w:r w:rsidR="007D1794">
        <w:t>s</w:t>
      </w:r>
      <w:r>
        <w:t xml:space="preserve"> that</w:t>
      </w:r>
      <w:r w:rsidR="002C670A">
        <w:t>, electively,</w:t>
      </w:r>
      <w:r>
        <w:t xml:space="preserve"> there </w:t>
      </w:r>
      <w:r w:rsidR="00095FAA">
        <w:t>are</w:t>
      </w:r>
      <w:r>
        <w:t xml:space="preserve"> informal processes being conducted </w:t>
      </w:r>
      <w:r w:rsidR="007D1794">
        <w:t xml:space="preserve">by and between the </w:t>
      </w:r>
      <w:r>
        <w:t>company</w:t>
      </w:r>
      <w:r w:rsidR="007D1794">
        <w:t xml:space="preserve"> and </w:t>
      </w:r>
      <w:r>
        <w:t>the suppliers of credit</w:t>
      </w:r>
      <w:r w:rsidR="002C670A">
        <w:t xml:space="preserve">. </w:t>
      </w:r>
      <w:r w:rsidR="00335C37">
        <w:t xml:space="preserve">The possible explanation for this is that </w:t>
      </w:r>
      <w:r w:rsidR="002C670A">
        <w:t>business owners have a perception that formal processes spell a death knell for the company.</w:t>
      </w:r>
    </w:p>
    <w:p w14:paraId="6544DC05" w14:textId="1DB9868F" w:rsidR="000E3AC1" w:rsidRDefault="000E3AC1" w:rsidP="00EF5822">
      <w:pPr>
        <w:jc w:val="both"/>
      </w:pPr>
    </w:p>
    <w:p w14:paraId="57F6205C" w14:textId="77777777" w:rsidR="000E3AC1" w:rsidRDefault="000E3AC1" w:rsidP="00EF5822">
      <w:pPr>
        <w:jc w:val="both"/>
      </w:pPr>
      <w:r>
        <w:t xml:space="preserve">Some of the advantages of informally dealing with insolvency issues are as follows. </w:t>
      </w:r>
    </w:p>
    <w:p w14:paraId="0CA76098" w14:textId="77777777" w:rsidR="000E3AC1" w:rsidRDefault="000E3AC1" w:rsidP="00EF5822">
      <w:pPr>
        <w:jc w:val="both"/>
      </w:pPr>
    </w:p>
    <w:p w14:paraId="716BCE26" w14:textId="0049174C" w:rsidR="000E3AC1" w:rsidRDefault="000E3AC1" w:rsidP="000E3AC1">
      <w:pPr>
        <w:pStyle w:val="ListParagraph"/>
        <w:numPr>
          <w:ilvl w:val="0"/>
          <w:numId w:val="2"/>
        </w:numPr>
        <w:jc w:val="both"/>
      </w:pPr>
      <w:r>
        <w:t xml:space="preserve">The issues can be resolved with the same flexibility, silence and control already addressed. </w:t>
      </w:r>
    </w:p>
    <w:p w14:paraId="72E97622" w14:textId="77777777" w:rsidR="000E3AC1" w:rsidRDefault="000E3AC1" w:rsidP="000E3AC1">
      <w:pPr>
        <w:jc w:val="both"/>
      </w:pPr>
    </w:p>
    <w:p w14:paraId="0F0F5C5C" w14:textId="3B9BAD4E" w:rsidR="000E3AC1" w:rsidRDefault="000E3AC1" w:rsidP="000E3AC1">
      <w:pPr>
        <w:pStyle w:val="ListParagraph"/>
        <w:numPr>
          <w:ilvl w:val="0"/>
          <w:numId w:val="2"/>
        </w:numPr>
        <w:jc w:val="both"/>
      </w:pPr>
      <w:r>
        <w:t xml:space="preserve">The internal economy of the business can be manipulated to focus on some suppliers </w:t>
      </w:r>
      <w:r w:rsidR="007D1794">
        <w:t xml:space="preserve">while </w:t>
      </w:r>
      <w:r>
        <w:t>ag</w:t>
      </w:r>
      <w:r w:rsidR="007D1794">
        <w:t>ing</w:t>
      </w:r>
      <w:r>
        <w:t xml:space="preserve"> others.</w:t>
      </w:r>
    </w:p>
    <w:p w14:paraId="7C45380C" w14:textId="77777777" w:rsidR="000E3AC1" w:rsidRDefault="000E3AC1" w:rsidP="000E3AC1">
      <w:pPr>
        <w:pStyle w:val="ListParagraph"/>
      </w:pPr>
    </w:p>
    <w:p w14:paraId="5BC36DD4" w14:textId="3D097BED" w:rsidR="000E3AC1" w:rsidRDefault="000E3AC1" w:rsidP="000E3AC1">
      <w:pPr>
        <w:pStyle w:val="ListParagraph"/>
        <w:numPr>
          <w:ilvl w:val="0"/>
          <w:numId w:val="2"/>
        </w:numPr>
        <w:jc w:val="both"/>
      </w:pPr>
      <w:r>
        <w:t>Given the community aspect of New Zealand business</w:t>
      </w:r>
      <w:r w:rsidR="00095FAA">
        <w:t>,</w:t>
      </w:r>
      <w:r>
        <w:t xml:space="preserve"> it is more likely that resolve can be achieved whe</w:t>
      </w:r>
      <w:r w:rsidR="00095FAA">
        <w:t xml:space="preserve">re personal </w:t>
      </w:r>
      <w:r>
        <w:t>relationships feature as an element of the proceedings.</w:t>
      </w:r>
    </w:p>
    <w:p w14:paraId="735939BA" w14:textId="77777777" w:rsidR="000E3AC1" w:rsidRDefault="000E3AC1" w:rsidP="000E3AC1">
      <w:pPr>
        <w:pStyle w:val="ListParagraph"/>
      </w:pPr>
    </w:p>
    <w:p w14:paraId="67C6E3F9" w14:textId="52AC5456" w:rsidR="000E3AC1" w:rsidRDefault="007D1794" w:rsidP="000E3AC1">
      <w:pPr>
        <w:jc w:val="both"/>
      </w:pPr>
      <w:r>
        <w:t>Some dis</w:t>
      </w:r>
      <w:r w:rsidR="000E3AC1">
        <w:t>advantages</w:t>
      </w:r>
      <w:r>
        <w:t xml:space="preserve"> are listed below of </w:t>
      </w:r>
      <w:r w:rsidR="00815163">
        <w:t>whe</w:t>
      </w:r>
      <w:r>
        <w:t>n</w:t>
      </w:r>
      <w:r w:rsidR="00815163">
        <w:t xml:space="preserve"> an independent person</w:t>
      </w:r>
      <w:r>
        <w:t>,</w:t>
      </w:r>
      <w:r w:rsidR="00815163">
        <w:t xml:space="preserve"> with appropriate skills</w:t>
      </w:r>
      <w:r>
        <w:t>,</w:t>
      </w:r>
      <w:r w:rsidR="00815163">
        <w:t xml:space="preserve"> is not involved</w:t>
      </w:r>
      <w:r>
        <w:t>.</w:t>
      </w:r>
    </w:p>
    <w:p w14:paraId="0283B470" w14:textId="77777777" w:rsidR="00815163" w:rsidRDefault="00815163" w:rsidP="00815163">
      <w:pPr>
        <w:jc w:val="both"/>
      </w:pPr>
    </w:p>
    <w:p w14:paraId="00C0B750" w14:textId="4A52A1EB" w:rsidR="000E3AC1" w:rsidRDefault="000E3AC1" w:rsidP="000E3AC1">
      <w:pPr>
        <w:pStyle w:val="ListParagraph"/>
        <w:numPr>
          <w:ilvl w:val="0"/>
          <w:numId w:val="3"/>
        </w:numPr>
        <w:jc w:val="both"/>
      </w:pPr>
      <w:r>
        <w:t xml:space="preserve">Knowledge of insolvency processes are not well understood. This will often result in informal processes being conducted without reference to the priorities of preferential creditors and the rights </w:t>
      </w:r>
      <w:r w:rsidR="007D1794">
        <w:t xml:space="preserve">of </w:t>
      </w:r>
      <w:r>
        <w:t>secured creditors.</w:t>
      </w:r>
    </w:p>
    <w:p w14:paraId="21700A9A" w14:textId="77777777" w:rsidR="00815163" w:rsidRDefault="00815163" w:rsidP="00815163">
      <w:pPr>
        <w:jc w:val="both"/>
      </w:pPr>
    </w:p>
    <w:p w14:paraId="2014FEFD" w14:textId="2FE40AD7" w:rsidR="000E3AC1" w:rsidRDefault="00815163" w:rsidP="000E3AC1">
      <w:pPr>
        <w:pStyle w:val="ListParagraph"/>
        <w:numPr>
          <w:ilvl w:val="0"/>
          <w:numId w:val="3"/>
        </w:numPr>
        <w:jc w:val="both"/>
      </w:pPr>
      <w:r>
        <w:t>Often informal processes will be embarked upon involving the introduction of new capital</w:t>
      </w:r>
      <w:r w:rsidR="00095FAA">
        <w:t>,</w:t>
      </w:r>
      <w:r>
        <w:t xml:space="preserve"> without any reasoned justification for increased investment. Family and friends’ money is often exposed as a result. </w:t>
      </w:r>
    </w:p>
    <w:p w14:paraId="10DD6E94" w14:textId="77777777" w:rsidR="00815163" w:rsidRDefault="00815163" w:rsidP="00815163">
      <w:pPr>
        <w:pStyle w:val="ListParagraph"/>
      </w:pPr>
    </w:p>
    <w:p w14:paraId="5C2BA172" w14:textId="50D4A801" w:rsidR="00815163" w:rsidRDefault="00815163" w:rsidP="000E3AC1">
      <w:pPr>
        <w:pStyle w:val="ListParagraph"/>
        <w:numPr>
          <w:ilvl w:val="0"/>
          <w:numId w:val="3"/>
        </w:numPr>
        <w:jc w:val="both"/>
      </w:pPr>
      <w:r>
        <w:t>Keeping the business going without any realistic hope of returning to viability will keep feeding the will of management but may very w</w:t>
      </w:r>
      <w:r w:rsidR="007D1794">
        <w:t>e</w:t>
      </w:r>
      <w:r>
        <w:t xml:space="preserve">ll diminish the value for creditors. Survival for survival’s sake is not a justification for continuing the business. </w:t>
      </w:r>
    </w:p>
    <w:p w14:paraId="1A9A3657" w14:textId="2923552A" w:rsidR="00754E41" w:rsidRDefault="00754E41" w:rsidP="00363AFF"/>
    <w:p w14:paraId="05E1E856" w14:textId="469ADEB8" w:rsidR="00AB1CEA" w:rsidRDefault="00AB1CEA">
      <w:r>
        <w:br w:type="page"/>
      </w:r>
    </w:p>
    <w:p w14:paraId="30692BF2" w14:textId="0D75CA9F" w:rsidR="00AB1CEA" w:rsidRPr="0047127C" w:rsidRDefault="00AB1CEA" w:rsidP="0047127C">
      <w:pPr>
        <w:jc w:val="center"/>
        <w:rPr>
          <w:b/>
          <w:bCs/>
          <w:sz w:val="32"/>
        </w:rPr>
      </w:pPr>
      <w:r w:rsidRPr="0047127C">
        <w:rPr>
          <w:b/>
          <w:bCs/>
          <w:sz w:val="32"/>
        </w:rPr>
        <w:lastRenderedPageBreak/>
        <w:t>QUESTION 3</w:t>
      </w:r>
    </w:p>
    <w:p w14:paraId="4DC7B410" w14:textId="77777777" w:rsidR="00AB1CEA" w:rsidRDefault="00AB1CEA" w:rsidP="00AB1CEA">
      <w:pPr>
        <w:jc w:val="both"/>
      </w:pPr>
    </w:p>
    <w:p w14:paraId="7F194217" w14:textId="3769A802" w:rsidR="00AB1CEA" w:rsidRDefault="00AB1CEA" w:rsidP="00AB1CEA">
      <w:pPr>
        <w:jc w:val="both"/>
      </w:pPr>
      <w:r>
        <w:t xml:space="preserve">Were the turnaround/reorganisation approaches as presented in the reading material (see e.g. </w:t>
      </w:r>
      <w:proofErr w:type="spellStart"/>
      <w:r>
        <w:t>Adriaanse</w:t>
      </w:r>
      <w:proofErr w:type="spellEnd"/>
      <w:r>
        <w:t xml:space="preserve"> &amp; </w:t>
      </w:r>
      <w:proofErr w:type="spellStart"/>
      <w:r>
        <w:t>Kuikl</w:t>
      </w:r>
      <w:proofErr w:type="spellEnd"/>
      <w:r>
        <w:t xml:space="preserve">, 2006, Pajunen, 2006, </w:t>
      </w:r>
      <w:proofErr w:type="spellStart"/>
      <w:r>
        <w:t>Sudarsanam</w:t>
      </w:r>
      <w:proofErr w:type="spellEnd"/>
      <w:r>
        <w:t xml:space="preserve">, S, Lai, J., 2001, Schmitt, A., </w:t>
      </w:r>
      <w:proofErr w:type="spellStart"/>
      <w:r>
        <w:t>Raisch</w:t>
      </w:r>
      <w:proofErr w:type="spellEnd"/>
      <w:r>
        <w:t xml:space="preserve">, S., 2013) applied in this case? if yes, explain in what way, </w:t>
      </w:r>
      <w:r w:rsidR="00170F0B">
        <w:t>if</w:t>
      </w:r>
      <w:r>
        <w:t xml:space="preserve"> no, detail what in your opinion should have been done differently. </w:t>
      </w:r>
    </w:p>
    <w:p w14:paraId="172F6B83" w14:textId="77777777" w:rsidR="00AB1CEA" w:rsidRDefault="00AB1CEA" w:rsidP="00AB1CEA">
      <w:pPr>
        <w:jc w:val="both"/>
      </w:pPr>
    </w:p>
    <w:p w14:paraId="07095BDB" w14:textId="77777777" w:rsidR="00AB1CEA" w:rsidRDefault="00AB1CEA" w:rsidP="00AB1CEA">
      <w:pPr>
        <w:jc w:val="both"/>
        <w:rPr>
          <w:b/>
          <w:bCs/>
        </w:rPr>
      </w:pPr>
      <w:r w:rsidRPr="009B3D7C">
        <w:rPr>
          <w:b/>
          <w:bCs/>
        </w:rPr>
        <w:t>ANSWER</w:t>
      </w:r>
    </w:p>
    <w:p w14:paraId="3E5F0A84" w14:textId="113C3112" w:rsidR="00AB1CEA" w:rsidRDefault="00AB1CEA" w:rsidP="00363AFF"/>
    <w:p w14:paraId="4D334705" w14:textId="7CB0ABB7" w:rsidR="00AB1CEA" w:rsidRDefault="00AB1CEA" w:rsidP="00AB1CEA">
      <w:pPr>
        <w:jc w:val="center"/>
        <w:rPr>
          <w:b/>
          <w:bCs/>
        </w:rPr>
      </w:pPr>
      <w:r w:rsidRPr="00AB1CEA">
        <w:rPr>
          <w:b/>
          <w:bCs/>
        </w:rPr>
        <w:t>C</w:t>
      </w:r>
      <w:r w:rsidR="0047127C">
        <w:rPr>
          <w:b/>
          <w:bCs/>
        </w:rPr>
        <w:t>ompany’s</w:t>
      </w:r>
      <w:r w:rsidR="004A2ABE">
        <w:rPr>
          <w:b/>
          <w:bCs/>
        </w:rPr>
        <w:t xml:space="preserve"> Approach to the Insolvency</w:t>
      </w:r>
    </w:p>
    <w:p w14:paraId="162BF51E" w14:textId="2F673EC4" w:rsidR="00AB1CEA" w:rsidRDefault="00AB1CEA" w:rsidP="00AB1CEA">
      <w:pPr>
        <w:jc w:val="center"/>
        <w:rPr>
          <w:b/>
          <w:bCs/>
        </w:rPr>
      </w:pPr>
    </w:p>
    <w:p w14:paraId="26DFA7E4" w14:textId="7668A116" w:rsidR="00AB1CEA" w:rsidRDefault="00AB1CEA" w:rsidP="00AB1CEA">
      <w:pPr>
        <w:rPr>
          <w:b/>
          <w:bCs/>
        </w:rPr>
      </w:pPr>
      <w:r>
        <w:rPr>
          <w:b/>
          <w:bCs/>
        </w:rPr>
        <w:t xml:space="preserve">Initial </w:t>
      </w:r>
      <w:r w:rsidR="001D44B4">
        <w:rPr>
          <w:b/>
          <w:bCs/>
        </w:rPr>
        <w:t xml:space="preserve">strategic </w:t>
      </w:r>
      <w:r>
        <w:rPr>
          <w:b/>
          <w:bCs/>
        </w:rPr>
        <w:t>response</w:t>
      </w:r>
    </w:p>
    <w:p w14:paraId="226028F3" w14:textId="228D1E4A" w:rsidR="001D44B4" w:rsidRDefault="00AB1CEA" w:rsidP="001D44B4">
      <w:pPr>
        <w:jc w:val="both"/>
      </w:pPr>
      <w:r>
        <w:t xml:space="preserve">On learning of the trading losses as </w:t>
      </w:r>
      <w:r w:rsidR="001D44B4">
        <w:t>of</w:t>
      </w:r>
      <w:r>
        <w:t xml:space="preserve"> November 2013</w:t>
      </w:r>
      <w:r w:rsidR="000E2596">
        <w:t>,</w:t>
      </w:r>
      <w:r>
        <w:t xml:space="preserve"> the company submitted to the banks that it’s approach to turning </w:t>
      </w:r>
      <w:r w:rsidR="008B34F9">
        <w:t xml:space="preserve">the business around </w:t>
      </w:r>
      <w:r>
        <w:t xml:space="preserve">was to </w:t>
      </w:r>
      <w:r w:rsidR="001D44B4">
        <w:t>engage with its major clients for the purpose</w:t>
      </w:r>
      <w:r w:rsidR="008B34F9">
        <w:t xml:space="preserve"> of</w:t>
      </w:r>
      <w:r w:rsidR="001D44B4">
        <w:t xml:space="preserve"> increasing prices. The </w:t>
      </w:r>
      <w:r w:rsidR="008B34F9">
        <w:t xml:space="preserve">expectation would be </w:t>
      </w:r>
      <w:r w:rsidR="001D44B4">
        <w:t>an increase in gross profit</w:t>
      </w:r>
      <w:r w:rsidR="008B34F9">
        <w:t>.</w:t>
      </w:r>
      <w:r w:rsidR="001D44B4">
        <w:t xml:space="preserve"> Th</w:t>
      </w:r>
      <w:r w:rsidR="008B34F9">
        <w:t xml:space="preserve">e stated intent was to </w:t>
      </w:r>
      <w:r w:rsidR="001D44B4">
        <w:t>negotiate</w:t>
      </w:r>
      <w:r w:rsidR="008B34F9">
        <w:t xml:space="preserve"> with its major clients</w:t>
      </w:r>
      <w:r w:rsidR="00B83432">
        <w:t xml:space="preserve">, </w:t>
      </w:r>
      <w:r w:rsidR="0073421D">
        <w:t xml:space="preserve">exhibiting </w:t>
      </w:r>
      <w:r w:rsidR="00B83432">
        <w:t xml:space="preserve">sensitivity, to ensure that </w:t>
      </w:r>
      <w:r w:rsidR="001D44B4">
        <w:t>dictat</w:t>
      </w:r>
      <w:r w:rsidR="008B34F9">
        <w:t>ing new prices</w:t>
      </w:r>
      <w:r w:rsidR="00B83432">
        <w:t xml:space="preserve"> did not result in </w:t>
      </w:r>
      <w:r w:rsidR="001D44B4">
        <w:t xml:space="preserve">a severance of the relationship </w:t>
      </w:r>
      <w:r w:rsidR="008B34F9">
        <w:t xml:space="preserve">and a move </w:t>
      </w:r>
      <w:r w:rsidR="001D44B4">
        <w:t xml:space="preserve">toward competitors. </w:t>
      </w:r>
    </w:p>
    <w:p w14:paraId="1BE0518F" w14:textId="77777777" w:rsidR="001D44B4" w:rsidRDefault="001D44B4" w:rsidP="001D44B4">
      <w:pPr>
        <w:jc w:val="both"/>
      </w:pPr>
    </w:p>
    <w:p w14:paraId="7309D1DE" w14:textId="6E48BDD2" w:rsidR="009C21C1" w:rsidRDefault="008B34F9" w:rsidP="001D44B4">
      <w:pPr>
        <w:jc w:val="both"/>
      </w:pPr>
      <w:r>
        <w:t xml:space="preserve">The </w:t>
      </w:r>
      <w:r w:rsidR="001D44B4">
        <w:t xml:space="preserve">company </w:t>
      </w:r>
      <w:r>
        <w:t xml:space="preserve">also intended to </w:t>
      </w:r>
      <w:r w:rsidR="001D44B4">
        <w:t xml:space="preserve">notify other clients of price increases and absorb, ostensibly with some indifference, client losses if they were not accepting of the increased prices. </w:t>
      </w:r>
      <w:r>
        <w:t xml:space="preserve">The underlying </w:t>
      </w:r>
      <w:r w:rsidR="001D44B4">
        <w:t xml:space="preserve">thinking </w:t>
      </w:r>
      <w:r>
        <w:t xml:space="preserve">being </w:t>
      </w:r>
      <w:r w:rsidR="001D44B4">
        <w:t>that more gross profit will be earned</w:t>
      </w:r>
      <w:r w:rsidR="00B83432">
        <w:t>,</w:t>
      </w:r>
      <w:r w:rsidR="001D44B4">
        <w:t xml:space="preserve"> </w:t>
      </w:r>
      <w:r w:rsidR="009C21C1">
        <w:t>than lost</w:t>
      </w:r>
      <w:r w:rsidR="00B83432">
        <w:t>,</w:t>
      </w:r>
      <w:r w:rsidR="009C21C1">
        <w:t xml:space="preserve"> </w:t>
      </w:r>
      <w:r>
        <w:t>when comparing increased margins over lost clients because of the price increases.</w:t>
      </w:r>
    </w:p>
    <w:p w14:paraId="59053627" w14:textId="77777777" w:rsidR="009C21C1" w:rsidRDefault="009C21C1" w:rsidP="001D44B4">
      <w:pPr>
        <w:jc w:val="both"/>
      </w:pPr>
    </w:p>
    <w:p w14:paraId="610A6290" w14:textId="70A1C25F" w:rsidR="00AB1CEA" w:rsidRDefault="008B34F9" w:rsidP="001D44B4">
      <w:pPr>
        <w:jc w:val="both"/>
      </w:pPr>
      <w:r>
        <w:t xml:space="preserve">The second limb of the strategy </w:t>
      </w:r>
      <w:r w:rsidR="00B131D7">
        <w:t xml:space="preserve">was that </w:t>
      </w:r>
      <w:r w:rsidR="00C10B13">
        <w:t xml:space="preserve">the company </w:t>
      </w:r>
      <w:r w:rsidR="00B131D7">
        <w:t xml:space="preserve">would assertively cut costs </w:t>
      </w:r>
      <w:r w:rsidR="009C21C1">
        <w:t>and in particular</w:t>
      </w:r>
      <w:r w:rsidR="00C10B13">
        <w:t>,</w:t>
      </w:r>
      <w:r w:rsidR="009C21C1">
        <w:t xml:space="preserve"> labour costs. </w:t>
      </w:r>
      <w:r w:rsidR="00C349B7">
        <w:t>It is anticipated that labour costs represent a significant portion of all operating expen</w:t>
      </w:r>
      <w:r w:rsidR="00B131D7">
        <w:t>diture</w:t>
      </w:r>
      <w:r w:rsidR="00C349B7">
        <w:t>.</w:t>
      </w:r>
    </w:p>
    <w:p w14:paraId="6951E42D" w14:textId="05AB81EB" w:rsidR="009C21C1" w:rsidRDefault="009C21C1" w:rsidP="001D44B4">
      <w:pPr>
        <w:jc w:val="both"/>
      </w:pPr>
    </w:p>
    <w:p w14:paraId="1FA3D99B" w14:textId="7F4BED3F" w:rsidR="009C21C1" w:rsidRDefault="009C21C1" w:rsidP="001D44B4">
      <w:pPr>
        <w:jc w:val="both"/>
      </w:pPr>
      <w:r>
        <w:t xml:space="preserve">The initial strategy therefore was to extract from the market, the highest gross profit that customers would tolerate while at the same time </w:t>
      </w:r>
      <w:r w:rsidR="000E2596">
        <w:t>strive</w:t>
      </w:r>
      <w:r w:rsidR="00A718F0">
        <w:t xml:space="preserve"> to reduce expenses </w:t>
      </w:r>
      <w:r w:rsidR="00C349B7">
        <w:t>from within the labour pool expense category.</w:t>
      </w:r>
    </w:p>
    <w:p w14:paraId="44F3D9A8" w14:textId="59F1D8B9" w:rsidR="00C349B7" w:rsidRDefault="00C349B7" w:rsidP="001D44B4">
      <w:pPr>
        <w:jc w:val="both"/>
      </w:pPr>
    </w:p>
    <w:p w14:paraId="2E14111E" w14:textId="5CD3E908" w:rsidR="00C349B7" w:rsidRDefault="00ED594C" w:rsidP="001D44B4">
      <w:pPr>
        <w:jc w:val="both"/>
      </w:pPr>
      <w:r>
        <w:t>The facts show that i</w:t>
      </w:r>
      <w:r w:rsidR="00C349B7">
        <w:t xml:space="preserve">mplementation of the </w:t>
      </w:r>
      <w:r w:rsidR="00B131D7">
        <w:t>pricing strategy</w:t>
      </w:r>
      <w:r w:rsidR="00C349B7">
        <w:t xml:space="preserve"> did leverag</w:t>
      </w:r>
      <w:r w:rsidR="00016F63">
        <w:t>e</w:t>
      </w:r>
      <w:r w:rsidR="00C349B7">
        <w:t xml:space="preserve"> the brand to achieve better prices. </w:t>
      </w:r>
      <w:r>
        <w:t xml:space="preserve">In addition, </w:t>
      </w:r>
      <w:r w:rsidR="00C349B7">
        <w:t>redundancies</w:t>
      </w:r>
      <w:r>
        <w:t xml:space="preserve"> were made that will have </w:t>
      </w:r>
      <w:r w:rsidR="00C349B7">
        <w:t>result</w:t>
      </w:r>
      <w:r>
        <w:t>ed</w:t>
      </w:r>
      <w:r w:rsidR="00C349B7">
        <w:t xml:space="preserve"> in </w:t>
      </w:r>
      <w:r>
        <w:t xml:space="preserve">an </w:t>
      </w:r>
      <w:r w:rsidR="00C349B7">
        <w:t xml:space="preserve">immediate benefit of improved cash flow and profit gains. The company also </w:t>
      </w:r>
      <w:r>
        <w:t xml:space="preserve">reduced its cost of sales </w:t>
      </w:r>
      <w:r w:rsidR="00C349B7">
        <w:t>by transferring a portion of the insurance cost to the consumer.</w:t>
      </w:r>
    </w:p>
    <w:p w14:paraId="374610F1" w14:textId="1604CBE3" w:rsidR="00FF50BC" w:rsidRDefault="00FF50BC" w:rsidP="001D44B4">
      <w:pPr>
        <w:jc w:val="both"/>
      </w:pPr>
    </w:p>
    <w:p w14:paraId="510E913D" w14:textId="615220FA" w:rsidR="00FF50BC" w:rsidRPr="00FF50BC" w:rsidRDefault="00FF50BC" w:rsidP="001D44B4">
      <w:pPr>
        <w:jc w:val="both"/>
        <w:rPr>
          <w:b/>
          <w:bCs/>
        </w:rPr>
      </w:pPr>
      <w:r w:rsidRPr="00FF50BC">
        <w:rPr>
          <w:b/>
          <w:bCs/>
        </w:rPr>
        <w:t>Intermediate strategic responses</w:t>
      </w:r>
    </w:p>
    <w:p w14:paraId="26C7F1DC" w14:textId="0A2A6304" w:rsidR="00FF50BC" w:rsidRDefault="00FF50BC" w:rsidP="001D44B4">
      <w:pPr>
        <w:jc w:val="both"/>
      </w:pPr>
      <w:r>
        <w:t>Given knowledge that the predicted losses were greater than earlier expected</w:t>
      </w:r>
      <w:r w:rsidR="00ED594C">
        <w:t>,</w:t>
      </w:r>
      <w:r>
        <w:t xml:space="preserve"> management t</w:t>
      </w:r>
      <w:r w:rsidR="00ED594C">
        <w:t>ook</w:t>
      </w:r>
      <w:r>
        <w:t xml:space="preserve"> further strategic measures</w:t>
      </w:r>
      <w:r w:rsidR="00116174">
        <w:t xml:space="preserve">. It improved its </w:t>
      </w:r>
      <w:r>
        <w:t>information system</w:t>
      </w:r>
      <w:r w:rsidR="00116174">
        <w:t>s</w:t>
      </w:r>
      <w:r>
        <w:t>, restructur</w:t>
      </w:r>
      <w:r w:rsidR="00116174">
        <w:t>ed</w:t>
      </w:r>
      <w:r>
        <w:t xml:space="preserve"> its foreign subsidiaries, </w:t>
      </w:r>
      <w:r w:rsidR="004C62B0">
        <w:t>engag</w:t>
      </w:r>
      <w:r w:rsidR="00116174">
        <w:t>ed</w:t>
      </w:r>
      <w:r w:rsidR="004C62B0">
        <w:t xml:space="preserve"> further management skills by employing a new CFO and </w:t>
      </w:r>
      <w:r>
        <w:t>consider</w:t>
      </w:r>
      <w:r w:rsidR="00116174">
        <w:t>ed</w:t>
      </w:r>
      <w:r>
        <w:t xml:space="preserve"> the introduction of </w:t>
      </w:r>
      <w:r w:rsidR="004C62B0">
        <w:t>new</w:t>
      </w:r>
      <w:r>
        <w:t xml:space="preserve"> shareholder capital</w:t>
      </w:r>
      <w:r w:rsidR="004C62B0">
        <w:t>.</w:t>
      </w:r>
    </w:p>
    <w:p w14:paraId="17F0FA5E" w14:textId="12C19A81" w:rsidR="00FF50BC" w:rsidRDefault="00FF50BC" w:rsidP="001D44B4">
      <w:pPr>
        <w:jc w:val="both"/>
      </w:pPr>
    </w:p>
    <w:p w14:paraId="2850FCBD" w14:textId="3BE141B5" w:rsidR="00FF50BC" w:rsidRDefault="00FF50BC" w:rsidP="001D44B4">
      <w:pPr>
        <w:jc w:val="both"/>
        <w:rPr>
          <w:b/>
          <w:bCs/>
        </w:rPr>
      </w:pPr>
      <w:r w:rsidRPr="00FF50BC">
        <w:rPr>
          <w:b/>
          <w:bCs/>
        </w:rPr>
        <w:t>Final strategy to be adopted</w:t>
      </w:r>
    </w:p>
    <w:p w14:paraId="4BA2A222" w14:textId="0BE1293C" w:rsidR="00FF50BC" w:rsidRDefault="00FF50BC" w:rsidP="001D44B4">
      <w:pPr>
        <w:jc w:val="both"/>
      </w:pPr>
      <w:r>
        <w:t xml:space="preserve">As matters become clearer and pressure </w:t>
      </w:r>
      <w:r w:rsidR="007E41CE">
        <w:t xml:space="preserve">became present </w:t>
      </w:r>
      <w:r>
        <w:t xml:space="preserve">from the banks, management </w:t>
      </w:r>
      <w:r w:rsidR="00535944">
        <w:t>submitted</w:t>
      </w:r>
      <w:r w:rsidR="008B5CEC">
        <w:t xml:space="preserve"> the following action steps.</w:t>
      </w:r>
    </w:p>
    <w:p w14:paraId="542E49CF" w14:textId="0ED27307" w:rsidR="008B5CEC" w:rsidRDefault="008B5CEC" w:rsidP="001D44B4">
      <w:pPr>
        <w:jc w:val="both"/>
      </w:pPr>
    </w:p>
    <w:p w14:paraId="3A938B71" w14:textId="2698E5BC" w:rsidR="008B5CEC" w:rsidRDefault="008B5CEC" w:rsidP="008B5CEC">
      <w:pPr>
        <w:pStyle w:val="ListParagraph"/>
        <w:numPr>
          <w:ilvl w:val="0"/>
          <w:numId w:val="1"/>
        </w:numPr>
        <w:jc w:val="both"/>
      </w:pPr>
      <w:r>
        <w:t>Focus on increasing turnover</w:t>
      </w:r>
    </w:p>
    <w:p w14:paraId="52B23124" w14:textId="0C0E1550" w:rsidR="008B5CEC" w:rsidRDefault="008B5CEC" w:rsidP="008B5CEC">
      <w:pPr>
        <w:pStyle w:val="ListParagraph"/>
        <w:numPr>
          <w:ilvl w:val="0"/>
          <w:numId w:val="1"/>
        </w:numPr>
        <w:jc w:val="both"/>
      </w:pPr>
      <w:r>
        <w:t xml:space="preserve">Effect large cutbacks </w:t>
      </w:r>
    </w:p>
    <w:p w14:paraId="13545771" w14:textId="72583768" w:rsidR="008B5CEC" w:rsidRDefault="008B5CEC" w:rsidP="008B5CEC">
      <w:pPr>
        <w:pStyle w:val="ListParagraph"/>
        <w:numPr>
          <w:ilvl w:val="0"/>
          <w:numId w:val="1"/>
        </w:numPr>
        <w:jc w:val="both"/>
      </w:pPr>
      <w:r>
        <w:t xml:space="preserve">Evaluate and assess the potential to change the product mix </w:t>
      </w:r>
    </w:p>
    <w:p w14:paraId="3D527BB4" w14:textId="43D4CCA4" w:rsidR="008B5CEC" w:rsidRDefault="008B5CEC" w:rsidP="008B5CEC">
      <w:pPr>
        <w:pStyle w:val="ListParagraph"/>
        <w:numPr>
          <w:ilvl w:val="0"/>
          <w:numId w:val="1"/>
        </w:numPr>
        <w:jc w:val="both"/>
      </w:pPr>
      <w:r>
        <w:t xml:space="preserve">Sell the shares of </w:t>
      </w:r>
      <w:r w:rsidR="00FE3521">
        <w:t>subsidiary companies that are foreign to the home country.</w:t>
      </w:r>
    </w:p>
    <w:p w14:paraId="55BB9987" w14:textId="3E473912" w:rsidR="00FE3521" w:rsidRDefault="00FE3521" w:rsidP="00FE3521">
      <w:pPr>
        <w:jc w:val="both"/>
      </w:pPr>
    </w:p>
    <w:p w14:paraId="4D654EF1" w14:textId="2F489A67" w:rsidR="00FE3521" w:rsidRDefault="00FE3521" w:rsidP="00FE3521">
      <w:pPr>
        <w:jc w:val="both"/>
      </w:pPr>
      <w:r>
        <w:t xml:space="preserve">The </w:t>
      </w:r>
      <w:r w:rsidR="004C62B0">
        <w:t xml:space="preserve">final </w:t>
      </w:r>
      <w:r>
        <w:t>strategy can be defined as retrenchment of activity, consolidation of offerings and divestment of assets to liberate capital.</w:t>
      </w:r>
    </w:p>
    <w:p w14:paraId="0F582963" w14:textId="44387C7D" w:rsidR="00DE019E" w:rsidRDefault="00DE019E" w:rsidP="00FE3521">
      <w:pPr>
        <w:jc w:val="both"/>
      </w:pPr>
    </w:p>
    <w:p w14:paraId="460CAE79" w14:textId="36F7D333" w:rsidR="00DE019E" w:rsidRDefault="00DE019E" w:rsidP="00DE019E">
      <w:pPr>
        <w:jc w:val="center"/>
        <w:rPr>
          <w:b/>
          <w:bCs/>
        </w:rPr>
      </w:pPr>
      <w:r w:rsidRPr="00DE019E">
        <w:rPr>
          <w:b/>
          <w:bCs/>
        </w:rPr>
        <w:t>R</w:t>
      </w:r>
      <w:r w:rsidR="0047127C">
        <w:rPr>
          <w:b/>
          <w:bCs/>
        </w:rPr>
        <w:t>eference to Reading Material</w:t>
      </w:r>
    </w:p>
    <w:p w14:paraId="614B2507" w14:textId="1AD85DC1" w:rsidR="00DE019E" w:rsidRPr="00DE019E" w:rsidRDefault="00DE019E" w:rsidP="00DE019E">
      <w:pPr>
        <w:jc w:val="center"/>
      </w:pPr>
    </w:p>
    <w:p w14:paraId="3D48388D" w14:textId="0DC55AF4" w:rsidR="00B02D16" w:rsidRPr="00B02D16" w:rsidRDefault="00B02D16" w:rsidP="00EA3823">
      <w:pPr>
        <w:jc w:val="both"/>
        <w:rPr>
          <w:b/>
          <w:bCs/>
        </w:rPr>
      </w:pPr>
      <w:r w:rsidRPr="00B02D16">
        <w:rPr>
          <w:b/>
          <w:bCs/>
        </w:rPr>
        <w:t>Stakeholder influences in Organi</w:t>
      </w:r>
      <w:r w:rsidR="00116174">
        <w:rPr>
          <w:b/>
          <w:bCs/>
        </w:rPr>
        <w:t>s</w:t>
      </w:r>
      <w:r w:rsidRPr="00B02D16">
        <w:rPr>
          <w:b/>
          <w:bCs/>
        </w:rPr>
        <w:t>ational Survival</w:t>
      </w:r>
    </w:p>
    <w:p w14:paraId="57FCEB04" w14:textId="34E8C42A" w:rsidR="00EA3823" w:rsidRDefault="00DE019E" w:rsidP="00EA3823">
      <w:pPr>
        <w:jc w:val="both"/>
      </w:pPr>
      <w:r>
        <w:t xml:space="preserve">The creation and continued existence of any business activity is conducted through its human actors. The achievements and outcomes of that business are a reflection of the </w:t>
      </w:r>
      <w:r w:rsidR="00EA3823">
        <w:t xml:space="preserve">people that manage its affairs. Their stake in the business interests is measurably </w:t>
      </w:r>
      <w:r w:rsidR="00E61718">
        <w:t>effectual and</w:t>
      </w:r>
      <w:r w:rsidR="00EA3823">
        <w:t xml:space="preserve"> carries </w:t>
      </w:r>
      <w:r w:rsidR="00535944">
        <w:t>significant</w:t>
      </w:r>
      <w:r w:rsidR="00EA3823">
        <w:t xml:space="preserve"> importance to the welfare of the business. The different players are the stakeholders in the business. </w:t>
      </w:r>
    </w:p>
    <w:p w14:paraId="1325ED27" w14:textId="77777777" w:rsidR="00EA3823" w:rsidRDefault="00EA3823" w:rsidP="00EA3823">
      <w:pPr>
        <w:jc w:val="both"/>
      </w:pPr>
    </w:p>
    <w:p w14:paraId="3D644DE4" w14:textId="69CE2E76" w:rsidR="00D424F7" w:rsidRDefault="00EA3823" w:rsidP="00EA3823">
      <w:pPr>
        <w:jc w:val="both"/>
      </w:pPr>
      <w:r>
        <w:t>In exist</w:t>
      </w:r>
      <w:r w:rsidR="00AA2FE3">
        <w:t>ence</w:t>
      </w:r>
      <w:r>
        <w:t xml:space="preserve"> threatening circumstances, cognisance of the stakeholders, and their relative importance, is material to the </w:t>
      </w:r>
      <w:r w:rsidR="00AA2FE3">
        <w:t xml:space="preserve">recovery of the business. </w:t>
      </w:r>
      <w:r w:rsidR="006A3D0A">
        <w:t xml:space="preserve">In </w:t>
      </w:r>
      <w:r w:rsidR="00C53588">
        <w:t>a</w:t>
      </w:r>
      <w:r w:rsidR="006A3D0A">
        <w:t xml:space="preserve"> study on the topic by Pajunen</w:t>
      </w:r>
      <w:r w:rsidR="006A3D0A">
        <w:rPr>
          <w:rStyle w:val="FootnoteReference"/>
        </w:rPr>
        <w:footnoteReference w:id="11"/>
      </w:r>
      <w:r w:rsidR="006A3D0A">
        <w:t xml:space="preserve"> (2006), he contends that stakeholders can be divided into </w:t>
      </w:r>
      <w:r w:rsidR="00F52FFD">
        <w:t xml:space="preserve">three categories - </w:t>
      </w:r>
      <w:r w:rsidR="006A3D0A">
        <w:t>governing, potential or minor</w:t>
      </w:r>
      <w:r w:rsidR="00116174">
        <w:t>.</w:t>
      </w:r>
      <w:r w:rsidR="006A3D0A">
        <w:rPr>
          <w:rStyle w:val="FootnoteReference"/>
        </w:rPr>
        <w:footnoteReference w:id="12"/>
      </w:r>
      <w:r w:rsidR="0056296B">
        <w:t xml:space="preserve"> </w:t>
      </w:r>
      <w:r w:rsidR="00F52FFD">
        <w:t>The</w:t>
      </w:r>
      <w:r w:rsidR="0056296B">
        <w:t xml:space="preserve"> degree of power a stakeholder may have</w:t>
      </w:r>
      <w:r w:rsidR="00F52FFD">
        <w:t>,</w:t>
      </w:r>
      <w:r w:rsidR="0056296B">
        <w:t xml:space="preserve"> relates to the extent of dependency the focal organisation has in that stakeholder.</w:t>
      </w:r>
      <w:r w:rsidR="0056296B">
        <w:rPr>
          <w:rStyle w:val="FootnoteReference"/>
        </w:rPr>
        <w:footnoteReference w:id="13"/>
      </w:r>
      <w:r w:rsidR="006A3D0A">
        <w:t xml:space="preserve"> </w:t>
      </w:r>
    </w:p>
    <w:p w14:paraId="2721F52D" w14:textId="77777777" w:rsidR="00D424F7" w:rsidRDefault="00D424F7" w:rsidP="00EA3823">
      <w:pPr>
        <w:jc w:val="both"/>
      </w:pPr>
    </w:p>
    <w:p w14:paraId="562877EB" w14:textId="647769D9" w:rsidR="00D424F7" w:rsidRDefault="0056296B" w:rsidP="00EA3823">
      <w:pPr>
        <w:jc w:val="both"/>
      </w:pPr>
      <w:r>
        <w:t xml:space="preserve">Pajunen (2006) concludes that stakeholder influence </w:t>
      </w:r>
      <w:r w:rsidR="00D424F7">
        <w:t xml:space="preserve">stems from </w:t>
      </w:r>
      <w:r w:rsidR="00C53588">
        <w:t xml:space="preserve">two factors - </w:t>
      </w:r>
      <w:r w:rsidR="00D424F7">
        <w:t xml:space="preserve">the extent of </w:t>
      </w:r>
      <w:r>
        <w:t xml:space="preserve">power </w:t>
      </w:r>
      <w:r w:rsidR="00D424F7">
        <w:t xml:space="preserve">a </w:t>
      </w:r>
      <w:r>
        <w:t>stakeholder</w:t>
      </w:r>
      <w:r w:rsidR="00D424F7">
        <w:t xml:space="preserve"> has in influencing the firms dir</w:t>
      </w:r>
      <w:r>
        <w:t xml:space="preserve">ect resource </w:t>
      </w:r>
      <w:r w:rsidR="00D424F7">
        <w:t>dependence that is essential to its survival</w:t>
      </w:r>
      <w:r w:rsidR="00493949">
        <w:t xml:space="preserve"> -</w:t>
      </w:r>
      <w:r w:rsidR="00C53588">
        <w:t xml:space="preserve"> </w:t>
      </w:r>
      <w:r w:rsidR="00493949">
        <w:t>and</w:t>
      </w:r>
      <w:r w:rsidR="00C53588">
        <w:t xml:space="preserve"> </w:t>
      </w:r>
      <w:r w:rsidR="00D424F7">
        <w:t xml:space="preserve">the power a stakeholder has in influencing the firms network position that is essential to its presence. </w:t>
      </w:r>
    </w:p>
    <w:p w14:paraId="6DA01A8D" w14:textId="32279633" w:rsidR="00D424F7" w:rsidRDefault="00D424F7" w:rsidP="00EA3823">
      <w:pPr>
        <w:jc w:val="both"/>
      </w:pPr>
    </w:p>
    <w:p w14:paraId="33B9E97C" w14:textId="2AE2A338" w:rsidR="00D424F7" w:rsidRDefault="00D424F7" w:rsidP="00EA3823">
      <w:pPr>
        <w:jc w:val="both"/>
      </w:pPr>
      <w:r>
        <w:t xml:space="preserve">The case </w:t>
      </w:r>
      <w:r w:rsidR="00F3074C">
        <w:t xml:space="preserve">suggests that the respective parties were not cognisant of stakeholder relevance until the achievements of </w:t>
      </w:r>
      <w:r w:rsidR="00F52FFD">
        <w:t xml:space="preserve">the </w:t>
      </w:r>
      <w:r w:rsidR="00F3074C">
        <w:t>newly appointed CRO became evident. From the facts</w:t>
      </w:r>
      <w:r w:rsidR="00535944">
        <w:t>,</w:t>
      </w:r>
      <w:r w:rsidR="00F3074C">
        <w:t xml:space="preserve"> it can be seen that the CRO did comprehend that a direct resource dependence exist</w:t>
      </w:r>
      <w:r w:rsidR="00535944">
        <w:t>ed</w:t>
      </w:r>
      <w:r w:rsidR="00F3074C">
        <w:t xml:space="preserve"> with the banks </w:t>
      </w:r>
      <w:r w:rsidR="00F3074C" w:rsidRPr="00493949">
        <w:t>and that meeting the banks</w:t>
      </w:r>
      <w:r w:rsidR="00F3074C">
        <w:t xml:space="preserve"> needs was critical to the reversal of the company’s </w:t>
      </w:r>
      <w:r w:rsidR="00206B5B">
        <w:t xml:space="preserve">existence threatening </w:t>
      </w:r>
      <w:r w:rsidR="007E3340">
        <w:t>crisis</w:t>
      </w:r>
      <w:r w:rsidR="00F3074C">
        <w:t>.</w:t>
      </w:r>
      <w:r w:rsidR="00206B5B">
        <w:t xml:space="preserve"> Prior to that event</w:t>
      </w:r>
      <w:r w:rsidR="00493949">
        <w:t>,</w:t>
      </w:r>
      <w:r w:rsidR="00206B5B">
        <w:t xml:space="preserve"> there is no evidence that the parties recognised the relevance of stakeholder influence on </w:t>
      </w:r>
      <w:r w:rsidR="007E3340">
        <w:t>organisational survival.</w:t>
      </w:r>
    </w:p>
    <w:p w14:paraId="4EE4129D" w14:textId="1EAAF36B" w:rsidR="00C53588" w:rsidRDefault="00C53588" w:rsidP="00EA3823">
      <w:pPr>
        <w:jc w:val="both"/>
      </w:pPr>
    </w:p>
    <w:p w14:paraId="1F49164E" w14:textId="4C6B8DA7" w:rsidR="00C53588" w:rsidRDefault="00C53588" w:rsidP="00EA3823">
      <w:pPr>
        <w:jc w:val="both"/>
      </w:pPr>
      <w:r>
        <w:t>I submit that management did not follow the Pajunen approach</w:t>
      </w:r>
      <w:r w:rsidR="00F52FFD">
        <w:t>. I</w:t>
      </w:r>
      <w:r>
        <w:t>f management had been conscious of stakeholder relevance</w:t>
      </w:r>
      <w:r w:rsidR="00F52FFD">
        <w:t>,</w:t>
      </w:r>
      <w:r>
        <w:t xml:space="preserve"> it could have gained the benefit of contributively based power that would result.</w:t>
      </w:r>
    </w:p>
    <w:p w14:paraId="54FEDC3B" w14:textId="5053A66A" w:rsidR="00D424F7" w:rsidRDefault="00D424F7" w:rsidP="00EA3823">
      <w:pPr>
        <w:jc w:val="both"/>
      </w:pPr>
    </w:p>
    <w:p w14:paraId="34240853" w14:textId="5251E1AC" w:rsidR="00D424F7" w:rsidRPr="00B02D16" w:rsidRDefault="00B02D16" w:rsidP="00EA3823">
      <w:pPr>
        <w:jc w:val="both"/>
        <w:rPr>
          <w:b/>
          <w:bCs/>
        </w:rPr>
      </w:pPr>
      <w:r w:rsidRPr="00B02D16">
        <w:rPr>
          <w:b/>
          <w:bCs/>
        </w:rPr>
        <w:t xml:space="preserve">The Duality of Retrenchment and Recovery </w:t>
      </w:r>
    </w:p>
    <w:p w14:paraId="3D612DBD" w14:textId="539C5410" w:rsidR="00197173" w:rsidRDefault="00C74619" w:rsidP="00EA3823">
      <w:pPr>
        <w:jc w:val="both"/>
      </w:pPr>
      <w:r>
        <w:t>A</w:t>
      </w:r>
      <w:r w:rsidR="00DC3D86">
        <w:t xml:space="preserve">pproaches to corporate turnaround activity </w:t>
      </w:r>
      <w:r>
        <w:t xml:space="preserve">typically </w:t>
      </w:r>
      <w:r w:rsidR="00DC3D86">
        <w:t xml:space="preserve">sees effort start with retrenchment and then move on to activities of a recovery nature. The two activities, </w:t>
      </w:r>
      <w:r>
        <w:t xml:space="preserve">from a conventional wisdom perspective, are considered to be separate and distinct. </w:t>
      </w:r>
      <w:r w:rsidR="0067056D">
        <w:t>On the one hand, r</w:t>
      </w:r>
      <w:r w:rsidR="00197173">
        <w:t xml:space="preserve">etrenchment is </w:t>
      </w:r>
      <w:r w:rsidR="0067056D">
        <w:t xml:space="preserve">a </w:t>
      </w:r>
      <w:r w:rsidR="00197173">
        <w:t xml:space="preserve">contracting </w:t>
      </w:r>
      <w:r w:rsidR="0067056D">
        <w:t xml:space="preserve">activity </w:t>
      </w:r>
      <w:r w:rsidR="00197173">
        <w:t>for the purpose</w:t>
      </w:r>
      <w:r w:rsidR="00F52FFD">
        <w:t xml:space="preserve"> of</w:t>
      </w:r>
      <w:r w:rsidR="00197173">
        <w:t xml:space="preserve"> increasing control and reducing expenditure</w:t>
      </w:r>
      <w:r w:rsidR="0067056D">
        <w:t xml:space="preserve">. On the other, </w:t>
      </w:r>
      <w:r w:rsidR="00197173">
        <w:t xml:space="preserve">recovery operates in a mode of outward looking expansiveness. The two dynamics are intuitively inconsistent with each other. </w:t>
      </w:r>
    </w:p>
    <w:p w14:paraId="18A3AB5B" w14:textId="77777777" w:rsidR="00197173" w:rsidRDefault="00197173" w:rsidP="00EA3823">
      <w:pPr>
        <w:jc w:val="both"/>
      </w:pPr>
    </w:p>
    <w:p w14:paraId="35BE36B5" w14:textId="64D1F7C2" w:rsidR="00D424F7" w:rsidRDefault="00C74619" w:rsidP="00EA3823">
      <w:pPr>
        <w:jc w:val="both"/>
      </w:pPr>
      <w:r>
        <w:t xml:space="preserve">In a study </w:t>
      </w:r>
      <w:r w:rsidR="005E0F2C">
        <w:t xml:space="preserve">undertaken </w:t>
      </w:r>
      <w:r>
        <w:t xml:space="preserve">by Schmitt and </w:t>
      </w:r>
      <w:proofErr w:type="spellStart"/>
      <w:r>
        <w:t>Raisch</w:t>
      </w:r>
      <w:proofErr w:type="spellEnd"/>
      <w:r>
        <w:rPr>
          <w:rStyle w:val="FootnoteReference"/>
        </w:rPr>
        <w:footnoteReference w:id="14"/>
      </w:r>
      <w:r>
        <w:t xml:space="preserve"> (2013), it is contended that </w:t>
      </w:r>
      <w:r w:rsidR="00197173">
        <w:t xml:space="preserve">the two activities are simultaneously </w:t>
      </w:r>
      <w:r w:rsidR="005E0F2C">
        <w:t>contradictory</w:t>
      </w:r>
      <w:r w:rsidR="00197173">
        <w:t xml:space="preserve"> and mutually reinforcing</w:t>
      </w:r>
      <w:r w:rsidR="005E0F2C">
        <w:rPr>
          <w:rStyle w:val="FootnoteReference"/>
        </w:rPr>
        <w:footnoteReference w:id="15"/>
      </w:r>
      <w:r w:rsidR="00197173">
        <w:t xml:space="preserve">. </w:t>
      </w:r>
      <w:r w:rsidR="00CD6154">
        <w:t xml:space="preserve">They assert that turnaround success is </w:t>
      </w:r>
      <w:r w:rsidR="00717E24">
        <w:t xml:space="preserve">achievable when the firm integrates </w:t>
      </w:r>
      <w:r w:rsidR="00CD6154">
        <w:t>contradictory</w:t>
      </w:r>
      <w:r w:rsidR="00717E24">
        <w:t>, yet interrelated, retrenchment and recovery activities</w:t>
      </w:r>
      <w:r w:rsidR="00717E24">
        <w:rPr>
          <w:rStyle w:val="FootnoteReference"/>
        </w:rPr>
        <w:footnoteReference w:id="16"/>
      </w:r>
      <w:r w:rsidR="00717E24">
        <w:t>.</w:t>
      </w:r>
      <w:r w:rsidR="00CD6154">
        <w:t xml:space="preserve"> </w:t>
      </w:r>
      <w:r w:rsidR="00717E24">
        <w:t>This suggests that</w:t>
      </w:r>
      <w:r w:rsidR="0067056D">
        <w:t>,</w:t>
      </w:r>
      <w:r w:rsidR="00717E24">
        <w:t xml:space="preserve"> within the layers and nuances of the two blunt modes, ways exist of being expansionary while retrenching</w:t>
      </w:r>
      <w:r w:rsidR="0067056D">
        <w:t>.</w:t>
      </w:r>
      <w:r w:rsidR="00717E24">
        <w:t xml:space="preserve"> Moreover it suggests that </w:t>
      </w:r>
      <w:r w:rsidR="00717E24">
        <w:lastRenderedPageBreak/>
        <w:t xml:space="preserve">correcting an existence threatening situation is not achieved by following strict rules of convention but rather by understanding the needs of the firm so that its future prospects can be improved. </w:t>
      </w:r>
    </w:p>
    <w:p w14:paraId="4E93D965" w14:textId="1907D6EE" w:rsidR="00D424F7" w:rsidRDefault="00D424F7" w:rsidP="00EA3823">
      <w:pPr>
        <w:jc w:val="both"/>
      </w:pPr>
    </w:p>
    <w:p w14:paraId="6F9521DA" w14:textId="31DCA9C8" w:rsidR="00D424F7" w:rsidRDefault="00573212" w:rsidP="00EA3823">
      <w:pPr>
        <w:jc w:val="both"/>
      </w:pPr>
      <w:r>
        <w:t>In the case</w:t>
      </w:r>
      <w:r w:rsidR="00EA50E0">
        <w:t>,</w:t>
      </w:r>
      <w:r>
        <w:t xml:space="preserve"> it is recorded that </w:t>
      </w:r>
      <w:r w:rsidR="006B48D5">
        <w:t xml:space="preserve">management planned </w:t>
      </w:r>
      <w:r>
        <w:t>a strategy with four limbs</w:t>
      </w:r>
      <w:r w:rsidR="00B72AD4">
        <w:t xml:space="preserve"> – increase turnover, </w:t>
      </w:r>
      <w:r w:rsidR="0067056D">
        <w:t xml:space="preserve">cutback </w:t>
      </w:r>
      <w:r w:rsidR="00B72AD4">
        <w:t>expenditure, change product mix and sell assets (shares in subsidiary companies). Two limbs are consistent with retrenchment and two are consistent with expansion. The important question for consideration</w:t>
      </w:r>
      <w:r w:rsidR="0067056D">
        <w:t>,</w:t>
      </w:r>
      <w:r w:rsidR="00B72AD4">
        <w:t xml:space="preserve"> is whether the mix was deliberate or whether </w:t>
      </w:r>
      <w:r w:rsidR="006B48D5">
        <w:t xml:space="preserve">the choices were ad hoc without any rationale for their choice. Although the banks acknowledged progress through the CRO, I suggest that the mix of strategy options were more naively </w:t>
      </w:r>
      <w:r w:rsidR="000E6893">
        <w:t>g</w:t>
      </w:r>
      <w:r w:rsidR="006B48D5">
        <w:t>rasp</w:t>
      </w:r>
      <w:r w:rsidR="000E6893">
        <w:t>ed</w:t>
      </w:r>
      <w:r w:rsidR="00EA50E0">
        <w:t>,</w:t>
      </w:r>
      <w:r w:rsidR="006B48D5">
        <w:t xml:space="preserve"> </w:t>
      </w:r>
      <w:r w:rsidR="000E6893">
        <w:t xml:space="preserve">as valid </w:t>
      </w:r>
      <w:r w:rsidR="006B48D5">
        <w:t xml:space="preserve">things </w:t>
      </w:r>
      <w:r w:rsidR="000E6893">
        <w:t>to do</w:t>
      </w:r>
      <w:r w:rsidR="00EA50E0">
        <w:t>,</w:t>
      </w:r>
      <w:r w:rsidR="000E6893">
        <w:t xml:space="preserve"> than a consideration of any synergistic benefit between them. </w:t>
      </w:r>
    </w:p>
    <w:p w14:paraId="362A07BE" w14:textId="0577D8EC" w:rsidR="00016F63" w:rsidRDefault="00016F63" w:rsidP="00EA3823">
      <w:pPr>
        <w:jc w:val="both"/>
      </w:pPr>
    </w:p>
    <w:p w14:paraId="61C9817E" w14:textId="263CBC99" w:rsidR="00016F63" w:rsidRDefault="00016F63" w:rsidP="00EA3823">
      <w:pPr>
        <w:jc w:val="both"/>
      </w:pPr>
      <w:r>
        <w:t>Despite a strategy that expressed dual emphasis, I do not consider that management understood the potential for adopting a dual retrenchment and recovery strategy. For the strategy adopted to be successful, management would need to understand the concept of duality and harmonise the different limbs together to produce a finessed outcome.</w:t>
      </w:r>
    </w:p>
    <w:p w14:paraId="16ABA141" w14:textId="5155E985" w:rsidR="00D424F7" w:rsidRDefault="00D424F7" w:rsidP="00EA3823">
      <w:pPr>
        <w:jc w:val="both"/>
      </w:pPr>
    </w:p>
    <w:p w14:paraId="67EC61EA" w14:textId="04CBAB28" w:rsidR="00D424F7" w:rsidRPr="0034786C" w:rsidRDefault="0034786C" w:rsidP="00EA3823">
      <w:pPr>
        <w:jc w:val="both"/>
        <w:rPr>
          <w:b/>
          <w:bCs/>
        </w:rPr>
      </w:pPr>
      <w:r w:rsidRPr="0034786C">
        <w:rPr>
          <w:b/>
          <w:bCs/>
        </w:rPr>
        <w:t>Effectiveness of restructuring</w:t>
      </w:r>
    </w:p>
    <w:p w14:paraId="3AB6614A" w14:textId="01743FBA" w:rsidR="005B2E19" w:rsidRDefault="0034786C" w:rsidP="00EA3823">
      <w:pPr>
        <w:jc w:val="both"/>
      </w:pPr>
      <w:r>
        <w:t xml:space="preserve">Management of a firm facing an existence threatening crisis must act in </w:t>
      </w:r>
      <w:r w:rsidR="00EA50E0">
        <w:t xml:space="preserve">a </w:t>
      </w:r>
      <w:r>
        <w:t xml:space="preserve">manner that strives to avoid the collapse of the firm and potential liquidation. In a study undertaken by </w:t>
      </w:r>
      <w:proofErr w:type="spellStart"/>
      <w:r>
        <w:t>Sudersanam</w:t>
      </w:r>
      <w:proofErr w:type="spellEnd"/>
      <w:r>
        <w:t xml:space="preserve"> and Lai</w:t>
      </w:r>
      <w:r>
        <w:rPr>
          <w:rStyle w:val="FootnoteReference"/>
        </w:rPr>
        <w:footnoteReference w:id="17"/>
      </w:r>
      <w:r>
        <w:t xml:space="preserve"> </w:t>
      </w:r>
      <w:r w:rsidR="00887645">
        <w:t xml:space="preserve">the authors posited that </w:t>
      </w:r>
      <w:r w:rsidR="001D0C1F">
        <w:t xml:space="preserve">there were </w:t>
      </w:r>
      <w:r w:rsidR="00887645">
        <w:t xml:space="preserve">five </w:t>
      </w:r>
      <w:r w:rsidR="001D0C1F">
        <w:t>generic strategies</w:t>
      </w:r>
      <w:r w:rsidR="00887645">
        <w:t xml:space="preserve"> – operational restructuring, asset restructuring, asset divestment, asset investment and financial restructuring. </w:t>
      </w:r>
    </w:p>
    <w:p w14:paraId="1E978064" w14:textId="77777777" w:rsidR="005B2E19" w:rsidRDefault="005B2E19" w:rsidP="00EA3823">
      <w:pPr>
        <w:jc w:val="both"/>
      </w:pPr>
    </w:p>
    <w:p w14:paraId="56D79D01" w14:textId="7DE3AA30" w:rsidR="001D0C1F" w:rsidRDefault="005B2E19" w:rsidP="00EA3823">
      <w:pPr>
        <w:jc w:val="both"/>
      </w:pPr>
      <w:r>
        <w:t>As an overlay</w:t>
      </w:r>
      <w:r w:rsidR="00EA50E0">
        <w:t>,</w:t>
      </w:r>
      <w:r>
        <w:t xml:space="preserve"> to the implementation of the </w:t>
      </w:r>
      <w:r w:rsidR="001D0C1F">
        <w:t xml:space="preserve">generic </w:t>
      </w:r>
      <w:r>
        <w:t>strategies</w:t>
      </w:r>
      <w:r w:rsidR="00EA50E0">
        <w:t>,</w:t>
      </w:r>
      <w:r>
        <w:t xml:space="preserve"> exists what the authors identif</w:t>
      </w:r>
      <w:r w:rsidR="001D0C1F">
        <w:t>y</w:t>
      </w:r>
      <w:r>
        <w:t xml:space="preserve"> as control variables</w:t>
      </w:r>
      <w:r w:rsidR="00EA50E0">
        <w:t>.</w:t>
      </w:r>
      <w:r>
        <w:rPr>
          <w:rStyle w:val="FootnoteReference"/>
        </w:rPr>
        <w:footnoteReference w:id="18"/>
      </w:r>
      <w:r w:rsidR="001D0C1F">
        <w:t xml:space="preserve"> </w:t>
      </w:r>
      <w:r w:rsidR="00EA50E0">
        <w:t xml:space="preserve">They </w:t>
      </w:r>
      <w:r w:rsidR="001D0C1F">
        <w:t>record them to be,</w:t>
      </w:r>
      <w:r>
        <w:t xml:space="preserve"> severity of decline, internal problems, industry condition and economic condition</w:t>
      </w:r>
      <w:r w:rsidR="001D0C1F">
        <w:t>. The deduction to be made</w:t>
      </w:r>
      <w:r w:rsidR="00AE6AF8">
        <w:t>,</w:t>
      </w:r>
      <w:r w:rsidR="001D0C1F">
        <w:t xml:space="preserve"> is that </w:t>
      </w:r>
      <w:r>
        <w:t>the effectiveness of any turnaround</w:t>
      </w:r>
      <w:r w:rsidR="00EA50E0">
        <w:t>,</w:t>
      </w:r>
      <w:r>
        <w:t xml:space="preserve"> </w:t>
      </w:r>
      <w:r w:rsidR="00EA50E0">
        <w:t xml:space="preserve">is </w:t>
      </w:r>
      <w:r>
        <w:t>in large part</w:t>
      </w:r>
      <w:r w:rsidR="00AE6AF8">
        <w:t>,</w:t>
      </w:r>
      <w:r>
        <w:t xml:space="preserve"> due to the appropriateness of the strategy chosen and</w:t>
      </w:r>
      <w:r w:rsidR="00EA50E0">
        <w:t xml:space="preserve"> the</w:t>
      </w:r>
      <w:r>
        <w:t xml:space="preserve"> a</w:t>
      </w:r>
      <w:r w:rsidR="00AE6AF8">
        <w:t xml:space="preserve">bility of </w:t>
      </w:r>
      <w:r>
        <w:t xml:space="preserve">management </w:t>
      </w:r>
      <w:r w:rsidR="00AE6AF8">
        <w:t xml:space="preserve">as regards </w:t>
      </w:r>
      <w:r>
        <w:t>the control variables.</w:t>
      </w:r>
      <w:r w:rsidR="001D0C1F" w:rsidRPr="001D0C1F">
        <w:t xml:space="preserve"> </w:t>
      </w:r>
      <w:r w:rsidR="001D0C1F">
        <w:t>The study illustrates that success of achieving a return to the outcomes the firm enjoyed before the distress</w:t>
      </w:r>
      <w:r w:rsidR="00AE6AF8">
        <w:t>,</w:t>
      </w:r>
      <w:r w:rsidR="001D0C1F">
        <w:t xml:space="preserve"> pivots to a very large degree upon </w:t>
      </w:r>
      <w:r w:rsidR="00AC045E">
        <w:t>intensity of action</w:t>
      </w:r>
      <w:r w:rsidR="001D0C1F">
        <w:t xml:space="preserve">, </w:t>
      </w:r>
      <w:r w:rsidR="00AC045E">
        <w:t>effectiveness of execution and the degree of expansionary vision involved.</w:t>
      </w:r>
    </w:p>
    <w:p w14:paraId="1D2954C6" w14:textId="55A5F576" w:rsidR="00AC045E" w:rsidRDefault="00AC045E" w:rsidP="00EA3823">
      <w:pPr>
        <w:jc w:val="both"/>
      </w:pPr>
    </w:p>
    <w:p w14:paraId="5BA53E5A" w14:textId="5E506D46" w:rsidR="00393752" w:rsidRDefault="00AC045E" w:rsidP="00EA3823">
      <w:pPr>
        <w:jc w:val="both"/>
      </w:pPr>
      <w:r>
        <w:t>In the case being considered</w:t>
      </w:r>
      <w:r w:rsidR="006B1E1F">
        <w:t>,</w:t>
      </w:r>
      <w:r>
        <w:t xml:space="preserve"> management held an expansionary vision when it proposed</w:t>
      </w:r>
      <w:r w:rsidR="006B1E1F">
        <w:t xml:space="preserve"> an asset investment strategy that included a </w:t>
      </w:r>
      <w:r>
        <w:t xml:space="preserve">change </w:t>
      </w:r>
      <w:r w:rsidR="006B1E1F">
        <w:t xml:space="preserve">to </w:t>
      </w:r>
      <w:r>
        <w:t xml:space="preserve">the product mix and </w:t>
      </w:r>
      <w:r w:rsidR="006B1E1F">
        <w:t xml:space="preserve">a </w:t>
      </w:r>
      <w:r>
        <w:t>focus on increasing turnover</w:t>
      </w:r>
      <w:r w:rsidRPr="00AA2574">
        <w:t xml:space="preserve">. </w:t>
      </w:r>
      <w:r w:rsidR="006B1E1F" w:rsidRPr="00AA2574">
        <w:t>In addition</w:t>
      </w:r>
      <w:r w:rsidR="00AE6AF8" w:rsidRPr="00AA2574">
        <w:t>,</w:t>
      </w:r>
      <w:r w:rsidR="006B1E1F">
        <w:t xml:space="preserve"> it had intended to embark upon an</w:t>
      </w:r>
      <w:r>
        <w:t xml:space="preserve"> operational restructuring</w:t>
      </w:r>
      <w:r w:rsidR="006B1E1F">
        <w:t xml:space="preserve"> that would strive to achieve </w:t>
      </w:r>
      <w:r>
        <w:t>large cutbacks</w:t>
      </w:r>
      <w:r w:rsidR="00AE6AF8">
        <w:t>,</w:t>
      </w:r>
      <w:r>
        <w:t xml:space="preserve"> a</w:t>
      </w:r>
      <w:r w:rsidR="006B1E1F">
        <w:t xml:space="preserve">s well as an </w:t>
      </w:r>
      <w:r>
        <w:t xml:space="preserve">asset divestment strategy </w:t>
      </w:r>
      <w:r w:rsidR="006B1E1F">
        <w:t xml:space="preserve">that involved </w:t>
      </w:r>
      <w:r>
        <w:t xml:space="preserve">selling its </w:t>
      </w:r>
      <w:r w:rsidR="006B1E1F">
        <w:t xml:space="preserve">offshore subsidiaries. if the </w:t>
      </w:r>
      <w:r w:rsidR="00393752">
        <w:t>four independent strategies were a part of an intended cohesive whole, the plan would have merit. However, on reading the case</w:t>
      </w:r>
      <w:r w:rsidR="00D46E9C">
        <w:t>,</w:t>
      </w:r>
      <w:r w:rsidR="00393752">
        <w:t xml:space="preserve"> it does </w:t>
      </w:r>
      <w:r w:rsidR="00D46E9C">
        <w:t xml:space="preserve">not </w:t>
      </w:r>
      <w:r w:rsidR="00393752">
        <w:t>seem that</w:t>
      </w:r>
      <w:r w:rsidR="00D46E9C">
        <w:t xml:space="preserve"> managements </w:t>
      </w:r>
      <w:r w:rsidR="00AE6AF8">
        <w:t>strategizing</w:t>
      </w:r>
      <w:r w:rsidR="00393752">
        <w:t xml:space="preserve"> </w:t>
      </w:r>
      <w:r w:rsidR="00D46E9C">
        <w:t>wa</w:t>
      </w:r>
      <w:r w:rsidR="00393752">
        <w:t xml:space="preserve">s the result of </w:t>
      </w:r>
      <w:r w:rsidR="00D46E9C">
        <w:t xml:space="preserve">a deliberate plan to </w:t>
      </w:r>
      <w:r w:rsidR="00393752">
        <w:t>interweav</w:t>
      </w:r>
      <w:r w:rsidR="00D46E9C">
        <w:t>e</w:t>
      </w:r>
      <w:r w:rsidR="00393752">
        <w:t xml:space="preserve"> different strategic activity into a reasoned whole. </w:t>
      </w:r>
    </w:p>
    <w:p w14:paraId="65617C14" w14:textId="67E201BA" w:rsidR="00016F63" w:rsidRDefault="00016F63" w:rsidP="00EA3823">
      <w:pPr>
        <w:jc w:val="both"/>
      </w:pPr>
    </w:p>
    <w:p w14:paraId="64693414" w14:textId="793B43B8" w:rsidR="00016F63" w:rsidRDefault="00016F63" w:rsidP="00EA3823">
      <w:pPr>
        <w:jc w:val="both"/>
      </w:pPr>
      <w:r>
        <w:t>In my opinion</w:t>
      </w:r>
      <w:r w:rsidR="00D46E9C">
        <w:t>,</w:t>
      </w:r>
      <w:r>
        <w:t xml:space="preserve"> management did </w:t>
      </w:r>
      <w:r w:rsidR="00D46E9C">
        <w:t xml:space="preserve">not </w:t>
      </w:r>
      <w:r>
        <w:t>either understand or follow any conventional approach to its reorganisation. For the strategy to be successful</w:t>
      </w:r>
      <w:r w:rsidR="00D46E9C">
        <w:t>,</w:t>
      </w:r>
      <w:r>
        <w:t xml:space="preserve"> management would need to understand </w:t>
      </w:r>
      <w:r w:rsidR="00D75416">
        <w:t>the decline it was confronting</w:t>
      </w:r>
      <w:r w:rsidR="00AA2574">
        <w:t>,</w:t>
      </w:r>
      <w:r w:rsidR="00D75416">
        <w:t xml:space="preserve"> as well </w:t>
      </w:r>
      <w:r w:rsidR="00B172C4">
        <w:t xml:space="preserve">as </w:t>
      </w:r>
      <w:r w:rsidR="00D75416">
        <w:t xml:space="preserve">why it was not able to </w:t>
      </w:r>
      <w:r w:rsidR="00170F0B">
        <w:t xml:space="preserve">be </w:t>
      </w:r>
      <w:r w:rsidR="00D75416">
        <w:t xml:space="preserve">informed of its economic circumstances in a </w:t>
      </w:r>
      <w:r w:rsidR="00170F0B">
        <w:t>time</w:t>
      </w:r>
      <w:r w:rsidR="00B172C4">
        <w:t xml:space="preserve">ly </w:t>
      </w:r>
      <w:r w:rsidR="00D75416">
        <w:t>way.</w:t>
      </w:r>
    </w:p>
    <w:p w14:paraId="138CB357" w14:textId="33365E66" w:rsidR="00393752" w:rsidRDefault="00393752" w:rsidP="00EA3823">
      <w:pPr>
        <w:jc w:val="both"/>
      </w:pPr>
    </w:p>
    <w:p w14:paraId="47D036D6" w14:textId="19D48A09" w:rsidR="00D46E9C" w:rsidRDefault="00D46E9C" w:rsidP="00EA3823">
      <w:pPr>
        <w:jc w:val="both"/>
      </w:pPr>
    </w:p>
    <w:p w14:paraId="09C02A07" w14:textId="77777777" w:rsidR="00D46E9C" w:rsidRDefault="00D46E9C" w:rsidP="00EA3823">
      <w:pPr>
        <w:jc w:val="both"/>
      </w:pPr>
    </w:p>
    <w:p w14:paraId="167396EF" w14:textId="1D553A79" w:rsidR="005B2E19" w:rsidRPr="00B140C4" w:rsidRDefault="00404C83" w:rsidP="00EA3823">
      <w:pPr>
        <w:jc w:val="both"/>
        <w:rPr>
          <w:b/>
          <w:bCs/>
        </w:rPr>
      </w:pPr>
      <w:r w:rsidRPr="00B140C4">
        <w:rPr>
          <w:b/>
          <w:bCs/>
        </w:rPr>
        <w:lastRenderedPageBreak/>
        <w:t xml:space="preserve">Formal versus informal restructuring. </w:t>
      </w:r>
    </w:p>
    <w:p w14:paraId="16A2BDAF" w14:textId="47E39B46" w:rsidR="00D424F7" w:rsidRDefault="00B140C4" w:rsidP="00EA3823">
      <w:pPr>
        <w:jc w:val="both"/>
      </w:pPr>
      <w:r>
        <w:t xml:space="preserve">Action to remedy an existence threatening circumstance can be undertaken by adopting formal insolvency processes or by addressing the issues by informal means. Analysis undertaken by </w:t>
      </w:r>
      <w:proofErr w:type="spellStart"/>
      <w:r>
        <w:t>Adriaanse</w:t>
      </w:r>
      <w:proofErr w:type="spellEnd"/>
      <w:r>
        <w:t xml:space="preserve"> and </w:t>
      </w:r>
      <w:proofErr w:type="spellStart"/>
      <w:r>
        <w:t>Kuijl</w:t>
      </w:r>
      <w:proofErr w:type="spellEnd"/>
      <w:r>
        <w:rPr>
          <w:rStyle w:val="FootnoteReference"/>
        </w:rPr>
        <w:footnoteReference w:id="19"/>
      </w:r>
      <w:r>
        <w:t xml:space="preserve"> (2006) suggest that correcting </w:t>
      </w:r>
      <w:r w:rsidR="00B172C4">
        <w:t>a</w:t>
      </w:r>
      <w:r>
        <w:t xml:space="preserve"> </w:t>
      </w:r>
      <w:r w:rsidR="00782928">
        <w:t>firm’s</w:t>
      </w:r>
      <w:r>
        <w:t xml:space="preserve"> reorganisation requirements</w:t>
      </w:r>
      <w:r w:rsidR="00B172C4">
        <w:t>,</w:t>
      </w:r>
      <w:r>
        <w:t xml:space="preserve"> are often best undertaken by adopting informal processes. </w:t>
      </w:r>
    </w:p>
    <w:p w14:paraId="07D3AF3D" w14:textId="3D4CFD63" w:rsidR="00782928" w:rsidRDefault="00782928" w:rsidP="00EA3823">
      <w:pPr>
        <w:jc w:val="both"/>
      </w:pPr>
    </w:p>
    <w:p w14:paraId="311A2BA2" w14:textId="098B57A6" w:rsidR="00AD766C" w:rsidRDefault="00782928" w:rsidP="00EA3823">
      <w:pPr>
        <w:jc w:val="both"/>
      </w:pPr>
      <w:r>
        <w:t>The authors contend that successful informally undertaken reorganisations are frequently characterised by quick and adequate</w:t>
      </w:r>
      <w:r>
        <w:rPr>
          <w:rStyle w:val="FootnoteReference"/>
        </w:rPr>
        <w:footnoteReference w:id="20"/>
      </w:r>
      <w:r>
        <w:t xml:space="preserve"> attention to the requirements of reorganisation. The</w:t>
      </w:r>
      <w:r w:rsidR="00B172C4">
        <w:t>y</w:t>
      </w:r>
      <w:r>
        <w:t xml:space="preserve"> identify that speed and adequacy will be underpinned by five factors</w:t>
      </w:r>
      <w:r w:rsidR="00AD766C">
        <w:t>:</w:t>
      </w:r>
      <w:r>
        <w:t xml:space="preserve"> active attitude of management and shareholders, involvement of </w:t>
      </w:r>
      <w:r w:rsidR="00AD766C">
        <w:t>important interested parties, engagement with third parties for the operations reorganisation, transparency and risk bearing capital</w:t>
      </w:r>
      <w:r w:rsidR="00AD766C">
        <w:rPr>
          <w:rStyle w:val="FootnoteReference"/>
        </w:rPr>
        <w:footnoteReference w:id="21"/>
      </w:r>
      <w:r w:rsidR="00AD766C">
        <w:t>.</w:t>
      </w:r>
    </w:p>
    <w:p w14:paraId="056A71A0" w14:textId="009D83AC" w:rsidR="00AD766C" w:rsidRDefault="00AD766C" w:rsidP="00EA3823">
      <w:pPr>
        <w:jc w:val="both"/>
      </w:pPr>
      <w:r>
        <w:t xml:space="preserve">The case </w:t>
      </w:r>
      <w:r w:rsidR="00B172C4">
        <w:t>s</w:t>
      </w:r>
      <w:r w:rsidR="007A0CEE">
        <w:t xml:space="preserve">uggests </w:t>
      </w:r>
      <w:r w:rsidR="00B172C4">
        <w:t xml:space="preserve">there to be </w:t>
      </w:r>
      <w:r>
        <w:t xml:space="preserve">a very strong potential to manage the difficulties it </w:t>
      </w:r>
      <w:r w:rsidR="00B172C4">
        <w:t>wa</w:t>
      </w:r>
      <w:r>
        <w:t>s confronting</w:t>
      </w:r>
      <w:r w:rsidR="00B172C4">
        <w:t>,</w:t>
      </w:r>
      <w:r>
        <w:t xml:space="preserve"> </w:t>
      </w:r>
      <w:r w:rsidR="00B172C4">
        <w:t>had a sense o</w:t>
      </w:r>
      <w:r>
        <w:t>f urgency</w:t>
      </w:r>
      <w:r w:rsidR="00B172C4">
        <w:t xml:space="preserve"> existed</w:t>
      </w:r>
      <w:r>
        <w:t>. The facts show that</w:t>
      </w:r>
    </w:p>
    <w:p w14:paraId="0E24779F" w14:textId="77777777" w:rsidR="00AD766C" w:rsidRDefault="00AD766C" w:rsidP="00EA3823">
      <w:pPr>
        <w:jc w:val="both"/>
      </w:pPr>
    </w:p>
    <w:p w14:paraId="0D6321C2" w14:textId="4312DE46" w:rsidR="00AD766C" w:rsidRDefault="00AD766C" w:rsidP="00AD766C">
      <w:pPr>
        <w:pStyle w:val="ListParagraph"/>
        <w:numPr>
          <w:ilvl w:val="0"/>
          <w:numId w:val="4"/>
        </w:numPr>
        <w:jc w:val="both"/>
      </w:pPr>
      <w:r>
        <w:t>The Banks are prepared to engage in a reorganising strategy.</w:t>
      </w:r>
    </w:p>
    <w:p w14:paraId="7D216412" w14:textId="77777777" w:rsidR="00AD766C" w:rsidRDefault="00AD766C" w:rsidP="00AD766C">
      <w:pPr>
        <w:jc w:val="both"/>
      </w:pPr>
    </w:p>
    <w:p w14:paraId="66BE2A2B" w14:textId="77777777" w:rsidR="00AD766C" w:rsidRDefault="00AD766C" w:rsidP="00AD766C">
      <w:pPr>
        <w:pStyle w:val="ListParagraph"/>
        <w:numPr>
          <w:ilvl w:val="0"/>
          <w:numId w:val="4"/>
        </w:numPr>
        <w:jc w:val="both"/>
      </w:pPr>
      <w:r>
        <w:t>There is transparency between the company and its Bankers.</w:t>
      </w:r>
    </w:p>
    <w:p w14:paraId="28649122" w14:textId="77777777" w:rsidR="00AD766C" w:rsidRDefault="00AD766C" w:rsidP="00AD766C">
      <w:pPr>
        <w:pStyle w:val="ListParagraph"/>
      </w:pPr>
    </w:p>
    <w:p w14:paraId="30D74B52" w14:textId="2E7B7C97" w:rsidR="00AD766C" w:rsidRDefault="00AD766C" w:rsidP="00AD766C">
      <w:pPr>
        <w:pStyle w:val="ListParagraph"/>
        <w:numPr>
          <w:ilvl w:val="0"/>
          <w:numId w:val="4"/>
        </w:numPr>
        <w:jc w:val="both"/>
      </w:pPr>
      <w:r>
        <w:t>The shareholder is prepared to inject fresh capital.</w:t>
      </w:r>
    </w:p>
    <w:p w14:paraId="67037F37" w14:textId="77777777" w:rsidR="00AD766C" w:rsidRDefault="00AD766C" w:rsidP="00AD766C">
      <w:pPr>
        <w:pStyle w:val="ListParagraph"/>
      </w:pPr>
    </w:p>
    <w:p w14:paraId="52677BC1" w14:textId="4C9B87CC" w:rsidR="00AD766C" w:rsidRDefault="004361BA" w:rsidP="00AD766C">
      <w:pPr>
        <w:jc w:val="both"/>
      </w:pPr>
      <w:r>
        <w:t>Despite those significant elements in place</w:t>
      </w:r>
      <w:r w:rsidR="007A0CEE">
        <w:t>,</w:t>
      </w:r>
      <w:r>
        <w:t xml:space="preserve"> the company lacks the focus to become decisive about its affairs and constructive with any realistic plan to correct its circumstances in a timely way. </w:t>
      </w:r>
      <w:r w:rsidR="007A0CEE">
        <w:t xml:space="preserve">On that ground, </w:t>
      </w:r>
      <w:r>
        <w:t>an informal process is not likely to be successful unless</w:t>
      </w:r>
      <w:r w:rsidR="007A0CEE">
        <w:t>,</w:t>
      </w:r>
      <w:r>
        <w:t xml:space="preserve"> and until</w:t>
      </w:r>
      <w:r w:rsidR="007A0CEE">
        <w:t>,</w:t>
      </w:r>
      <w:r>
        <w:t xml:space="preserve"> management exhibits that skill and urgency</w:t>
      </w:r>
      <w:r w:rsidR="007A0CEE">
        <w:t xml:space="preserve"> are</w:t>
      </w:r>
      <w:r>
        <w:t xml:space="preserve"> required to remedy its circumstances. </w:t>
      </w:r>
    </w:p>
    <w:p w14:paraId="74C1976C" w14:textId="41DAF4DC" w:rsidR="004361BA" w:rsidRDefault="004361BA" w:rsidP="00AD766C">
      <w:pPr>
        <w:jc w:val="both"/>
      </w:pPr>
    </w:p>
    <w:p w14:paraId="72811795" w14:textId="4DA2EC2F" w:rsidR="00B11037" w:rsidRDefault="00D75416" w:rsidP="00B11037">
      <w:pPr>
        <w:jc w:val="both"/>
      </w:pPr>
      <w:r>
        <w:t xml:space="preserve">It is my opinion that management did </w:t>
      </w:r>
      <w:r w:rsidR="00B11037">
        <w:t>have an open mind as to whether it could resolve its issues by formal or informal means. T</w:t>
      </w:r>
      <w:r>
        <w:t xml:space="preserve">he facts </w:t>
      </w:r>
      <w:r w:rsidR="00B11037">
        <w:t xml:space="preserve">do </w:t>
      </w:r>
      <w:r>
        <w:t xml:space="preserve">suggest that there was scope to be decisive about its situation and remedy the difficulties by informal means. </w:t>
      </w:r>
      <w:r w:rsidR="00B11037">
        <w:t>However, t</w:t>
      </w:r>
      <w:r>
        <w:t>o do so</w:t>
      </w:r>
      <w:r w:rsidR="007A0CEE">
        <w:t>,</w:t>
      </w:r>
      <w:r>
        <w:t xml:space="preserve"> management </w:t>
      </w:r>
      <w:r w:rsidR="00B11037">
        <w:t xml:space="preserve">would need to be </w:t>
      </w:r>
      <w:r>
        <w:t xml:space="preserve">purposeful and </w:t>
      </w:r>
      <w:r w:rsidR="00522191">
        <w:t xml:space="preserve">focussed </w:t>
      </w:r>
      <w:r w:rsidR="007A0CEE">
        <w:t xml:space="preserve">on the need to </w:t>
      </w:r>
      <w:r w:rsidR="00522191">
        <w:t>harmonis</w:t>
      </w:r>
      <w:r w:rsidR="007A0CEE">
        <w:t xml:space="preserve">e </w:t>
      </w:r>
      <w:r w:rsidR="00522191">
        <w:t>all stakeholders to achieve that outcome</w:t>
      </w:r>
      <w:r w:rsidR="00B11037">
        <w:t xml:space="preserve"> and it clearly fell short of </w:t>
      </w:r>
      <w:r w:rsidR="00F857EC">
        <w:t xml:space="preserve">achieving </w:t>
      </w:r>
      <w:r w:rsidR="00B11037">
        <w:t>that objective.</w:t>
      </w:r>
    </w:p>
    <w:p w14:paraId="25093570" w14:textId="321F36AB" w:rsidR="00AA2FE3" w:rsidRDefault="00AA2FE3" w:rsidP="00B11037">
      <w:pPr>
        <w:jc w:val="both"/>
        <w:rPr>
          <w:sz w:val="20"/>
          <w:szCs w:val="28"/>
        </w:rPr>
      </w:pPr>
      <w:r w:rsidRPr="00D75416">
        <w:rPr>
          <w:sz w:val="20"/>
          <w:szCs w:val="28"/>
        </w:rPr>
        <w:br w:type="page"/>
      </w:r>
    </w:p>
    <w:p w14:paraId="24B122C3" w14:textId="4E1AC70D" w:rsidR="0047127C" w:rsidRPr="0047127C" w:rsidRDefault="0047127C" w:rsidP="0047127C">
      <w:pPr>
        <w:jc w:val="center"/>
        <w:rPr>
          <w:b/>
          <w:bCs/>
          <w:sz w:val="32"/>
        </w:rPr>
      </w:pPr>
      <w:r w:rsidRPr="0047127C">
        <w:rPr>
          <w:b/>
          <w:bCs/>
          <w:sz w:val="32"/>
        </w:rPr>
        <w:lastRenderedPageBreak/>
        <w:t>QUESTION 4</w:t>
      </w:r>
    </w:p>
    <w:p w14:paraId="3C56ED84" w14:textId="77777777" w:rsidR="0047127C" w:rsidRDefault="0047127C" w:rsidP="009115BA">
      <w:pPr>
        <w:jc w:val="center"/>
        <w:rPr>
          <w:b/>
          <w:bCs/>
        </w:rPr>
      </w:pPr>
    </w:p>
    <w:p w14:paraId="335FCB83" w14:textId="77777777" w:rsidR="006D1D7B" w:rsidRDefault="006D1D7B" w:rsidP="006D1D7B">
      <w:r>
        <w:t>Banks C and D seem to frustrate the process at a certain point. What could have been the (rational and/or opportunistic reason(s) for them to behave like that? What would you have done in that situation in your role as advisor of the other two banks?</w:t>
      </w:r>
    </w:p>
    <w:p w14:paraId="48254EF7" w14:textId="77777777" w:rsidR="006D1D7B" w:rsidRDefault="006D1D7B" w:rsidP="006D1D7B"/>
    <w:p w14:paraId="2DBD5413" w14:textId="11A44ADD" w:rsidR="0047127C" w:rsidRPr="006D1D7B" w:rsidRDefault="006D1D7B" w:rsidP="006D1D7B">
      <w:pPr>
        <w:rPr>
          <w:b/>
          <w:bCs/>
        </w:rPr>
      </w:pPr>
      <w:r w:rsidRPr="006D1D7B">
        <w:rPr>
          <w:b/>
          <w:bCs/>
        </w:rPr>
        <w:t>ANSWER</w:t>
      </w:r>
    </w:p>
    <w:p w14:paraId="2024F202" w14:textId="6DD5C94A" w:rsidR="0047127C" w:rsidRDefault="0047127C" w:rsidP="00554751">
      <w:pPr>
        <w:rPr>
          <w:b/>
          <w:bCs/>
        </w:rPr>
      </w:pPr>
    </w:p>
    <w:p w14:paraId="3D9814D1" w14:textId="4AF945B7" w:rsidR="00554751" w:rsidRDefault="00554751" w:rsidP="00554751">
      <w:pPr>
        <w:rPr>
          <w:b/>
          <w:bCs/>
        </w:rPr>
      </w:pPr>
      <w:r>
        <w:rPr>
          <w:b/>
          <w:bCs/>
        </w:rPr>
        <w:t>Overview</w:t>
      </w:r>
    </w:p>
    <w:p w14:paraId="2697874F" w14:textId="5957A7B4" w:rsidR="00D53D0A" w:rsidRDefault="005F2650" w:rsidP="00D53D0A">
      <w:pPr>
        <w:jc w:val="both"/>
      </w:pPr>
      <w:r w:rsidRPr="005F2650">
        <w:t>Ris</w:t>
      </w:r>
      <w:r>
        <w:t xml:space="preserve">k </w:t>
      </w:r>
      <w:r w:rsidR="00D53D0A">
        <w:t>is an integral part of commerce. An investor expects an appropriate return on time and resource employed. Typically banks that provide asset funding or working capital requirements are not risk lenders. The interest rate charged is reward for the use of the banks money.</w:t>
      </w:r>
    </w:p>
    <w:p w14:paraId="003F816F" w14:textId="77777777" w:rsidR="00D53D0A" w:rsidRDefault="00D53D0A" w:rsidP="00D53D0A">
      <w:pPr>
        <w:jc w:val="both"/>
      </w:pPr>
    </w:p>
    <w:p w14:paraId="5476BCAC" w14:textId="271BC3E5" w:rsidR="00D53D0A" w:rsidRDefault="00D53D0A" w:rsidP="00D53D0A">
      <w:pPr>
        <w:jc w:val="both"/>
      </w:pPr>
      <w:r>
        <w:t xml:space="preserve">Management has placed the banks in a position that it appears it has not bargained for. The risk it now </w:t>
      </w:r>
      <w:r w:rsidR="0051037B">
        <w:t>confronts</w:t>
      </w:r>
      <w:r w:rsidR="00F857EC">
        <w:t>,</w:t>
      </w:r>
      <w:r>
        <w:t xml:space="preserve"> because of the shortcomings of management</w:t>
      </w:r>
      <w:r w:rsidR="00F857EC">
        <w:t>,</w:t>
      </w:r>
      <w:r>
        <w:t xml:space="preserve"> is that it may be faced with a write down of its funds invested.</w:t>
      </w:r>
    </w:p>
    <w:p w14:paraId="74ACFDE1" w14:textId="77777777" w:rsidR="00D53D0A" w:rsidRDefault="00D53D0A" w:rsidP="00D53D0A">
      <w:pPr>
        <w:jc w:val="both"/>
      </w:pPr>
    </w:p>
    <w:p w14:paraId="0F96F2E4" w14:textId="2177951C" w:rsidR="00554751" w:rsidRDefault="00D53D0A" w:rsidP="00D53D0A">
      <w:pPr>
        <w:jc w:val="both"/>
      </w:pPr>
      <w:r>
        <w:t>The information records that there are four banks involved</w:t>
      </w:r>
      <w:r w:rsidR="00F857EC">
        <w:t xml:space="preserve">. There appears to be </w:t>
      </w:r>
      <w:r w:rsidR="00554751">
        <w:t>an alignment in thought between A and B</w:t>
      </w:r>
      <w:r w:rsidR="00F857EC">
        <w:t>,</w:t>
      </w:r>
      <w:r w:rsidR="00554751">
        <w:t xml:space="preserve"> as one group</w:t>
      </w:r>
      <w:r w:rsidR="00F857EC">
        <w:t>,</w:t>
      </w:r>
      <w:r w:rsidR="00554751">
        <w:t xml:space="preserve"> and C and D as a second group. </w:t>
      </w:r>
    </w:p>
    <w:p w14:paraId="2C74E7AE" w14:textId="77777777" w:rsidR="00554751" w:rsidRDefault="00554751" w:rsidP="00D53D0A">
      <w:pPr>
        <w:jc w:val="both"/>
      </w:pPr>
    </w:p>
    <w:p w14:paraId="677189FE" w14:textId="29882CC0" w:rsidR="006D1D7B" w:rsidRDefault="00554751" w:rsidP="00406C82">
      <w:pPr>
        <w:jc w:val="both"/>
      </w:pPr>
      <w:r>
        <w:t xml:space="preserve">Discord has manifest between the </w:t>
      </w:r>
      <w:r w:rsidR="00F857EC">
        <w:t xml:space="preserve">two </w:t>
      </w:r>
      <w:r>
        <w:t>groups as well as between all the banks and management of the company. The basis for the discord</w:t>
      </w:r>
      <w:r w:rsidR="00F857EC">
        <w:t>, as between all the banks and management,</w:t>
      </w:r>
      <w:r>
        <w:t xml:space="preserve"> is the banks lack of confidence</w:t>
      </w:r>
      <w:r w:rsidR="00406C82">
        <w:t xml:space="preserve"> in management</w:t>
      </w:r>
      <w:r w:rsidR="00B44745">
        <w:t xml:space="preserve">. As </w:t>
      </w:r>
      <w:r w:rsidR="00406C82">
        <w:t xml:space="preserve">between the </w:t>
      </w:r>
      <w:r w:rsidR="00B44745">
        <w:t>two groups of ba</w:t>
      </w:r>
      <w:r w:rsidR="00406C82">
        <w:t xml:space="preserve">nks, </w:t>
      </w:r>
      <w:r w:rsidR="00B44745">
        <w:t xml:space="preserve">the price of failure may be paid disproportionately by </w:t>
      </w:r>
      <w:r w:rsidR="00406C82">
        <w:t>banks C and D.</w:t>
      </w:r>
    </w:p>
    <w:p w14:paraId="648A3AFC" w14:textId="2605D035" w:rsidR="00406C82" w:rsidRDefault="00406C82" w:rsidP="00406C82">
      <w:pPr>
        <w:jc w:val="both"/>
      </w:pPr>
    </w:p>
    <w:p w14:paraId="481141FE" w14:textId="47E7FB1D" w:rsidR="00406C82" w:rsidRPr="00406C82" w:rsidRDefault="00406C82" w:rsidP="00406C82">
      <w:pPr>
        <w:jc w:val="both"/>
        <w:rPr>
          <w:b/>
          <w:bCs/>
        </w:rPr>
      </w:pPr>
      <w:r w:rsidRPr="00406C82">
        <w:rPr>
          <w:b/>
          <w:bCs/>
        </w:rPr>
        <w:t>Action by banks C and D</w:t>
      </w:r>
    </w:p>
    <w:p w14:paraId="72A12EB6" w14:textId="062818D2" w:rsidR="0047127C" w:rsidRDefault="00406C82" w:rsidP="00406C82">
      <w:pPr>
        <w:jc w:val="both"/>
      </w:pPr>
      <w:r>
        <w:t xml:space="preserve">The </w:t>
      </w:r>
      <w:r w:rsidR="00137ECD">
        <w:t>case</w:t>
      </w:r>
      <w:r>
        <w:t xml:space="preserve"> records that banks C and D are no longer fully aligned to </w:t>
      </w:r>
      <w:r w:rsidR="00137ECD">
        <w:t xml:space="preserve">any </w:t>
      </w:r>
      <w:r>
        <w:t>recovery p</w:t>
      </w:r>
      <w:r w:rsidR="00137ECD">
        <w:t xml:space="preserve">lan and that they would prefer to </w:t>
      </w:r>
      <w:r>
        <w:t>liquidat</w:t>
      </w:r>
      <w:r w:rsidR="00137ECD">
        <w:t>e</w:t>
      </w:r>
      <w:r>
        <w:t xml:space="preserve"> their position in the company. Reasons for adopting this stance </w:t>
      </w:r>
      <w:r w:rsidR="00AB072D">
        <w:t>will be</w:t>
      </w:r>
      <w:r w:rsidR="00137ECD">
        <w:t xml:space="preserve"> ground</w:t>
      </w:r>
      <w:r w:rsidR="00AB072D">
        <w:t xml:space="preserve"> in their interpretation of risk.</w:t>
      </w:r>
    </w:p>
    <w:p w14:paraId="1130AF66" w14:textId="4624F1CE" w:rsidR="00406C82" w:rsidRDefault="00406C82" w:rsidP="00406C82">
      <w:pPr>
        <w:jc w:val="both"/>
      </w:pPr>
    </w:p>
    <w:p w14:paraId="125D4275" w14:textId="2DC15E75" w:rsidR="00AB072D" w:rsidRDefault="00AB072D" w:rsidP="00406C82">
      <w:pPr>
        <w:jc w:val="both"/>
      </w:pPr>
      <w:r>
        <w:t xml:space="preserve">The risk factors able to be gleaned from the </w:t>
      </w:r>
      <w:r w:rsidR="0035530E">
        <w:t>case</w:t>
      </w:r>
      <w:r>
        <w:t xml:space="preserve"> are set out below.</w:t>
      </w:r>
    </w:p>
    <w:p w14:paraId="17A9E198" w14:textId="77777777" w:rsidR="00AB072D" w:rsidRDefault="00AB072D" w:rsidP="00406C82">
      <w:pPr>
        <w:jc w:val="both"/>
      </w:pPr>
    </w:p>
    <w:p w14:paraId="1D9EA064" w14:textId="6C731A18" w:rsidR="00406C82" w:rsidRDefault="00AB072D" w:rsidP="00406C82">
      <w:pPr>
        <w:pStyle w:val="ListParagraph"/>
        <w:numPr>
          <w:ilvl w:val="0"/>
          <w:numId w:val="5"/>
        </w:numPr>
        <w:jc w:val="both"/>
      </w:pPr>
      <w:r>
        <w:t>C</w:t>
      </w:r>
      <w:r w:rsidR="00406C82">
        <w:t>ompetency of management</w:t>
      </w:r>
      <w:r>
        <w:t xml:space="preserve"> is questionable given the strategies posed as </w:t>
      </w:r>
      <w:r w:rsidR="0035530E">
        <w:t>bei</w:t>
      </w:r>
      <w:r w:rsidR="00EE7141">
        <w:t>n</w:t>
      </w:r>
      <w:r w:rsidR="0035530E">
        <w:t xml:space="preserve">g able to </w:t>
      </w:r>
      <w:r>
        <w:t>avert a</w:t>
      </w:r>
      <w:r w:rsidR="0051037B">
        <w:t xml:space="preserve"> deepening</w:t>
      </w:r>
      <w:r>
        <w:t xml:space="preserve"> existence threatening </w:t>
      </w:r>
      <w:r w:rsidR="00E642D0">
        <w:t>circumstance.</w:t>
      </w:r>
    </w:p>
    <w:p w14:paraId="70742B2D" w14:textId="77777777" w:rsidR="00E642D0" w:rsidRDefault="00E642D0" w:rsidP="00E642D0">
      <w:pPr>
        <w:jc w:val="both"/>
      </w:pPr>
    </w:p>
    <w:p w14:paraId="1C603B8A" w14:textId="2062D3DB" w:rsidR="00406C82" w:rsidRDefault="00E642D0" w:rsidP="00406C82">
      <w:pPr>
        <w:pStyle w:val="ListParagraph"/>
        <w:numPr>
          <w:ilvl w:val="0"/>
          <w:numId w:val="5"/>
        </w:numPr>
        <w:jc w:val="both"/>
      </w:pPr>
      <w:r>
        <w:t xml:space="preserve">The </w:t>
      </w:r>
      <w:r w:rsidR="00406C82">
        <w:t>time taken to initiate corrective measures</w:t>
      </w:r>
      <w:r>
        <w:t>, regardless of their validity, is too long given the severity of the situation.</w:t>
      </w:r>
    </w:p>
    <w:p w14:paraId="0DE4D93C" w14:textId="77777777" w:rsidR="00E642D0" w:rsidRDefault="00E642D0" w:rsidP="00E642D0">
      <w:pPr>
        <w:pStyle w:val="ListParagraph"/>
      </w:pPr>
    </w:p>
    <w:p w14:paraId="0A6633FB" w14:textId="4EB42BB5" w:rsidR="00E642D0" w:rsidRDefault="00E642D0" w:rsidP="00406C82">
      <w:pPr>
        <w:pStyle w:val="ListParagraph"/>
        <w:numPr>
          <w:ilvl w:val="0"/>
          <w:numId w:val="5"/>
        </w:numPr>
        <w:jc w:val="both"/>
      </w:pPr>
      <w:r>
        <w:t>The ability to accurately identify the full extent of the exposure is apparent.</w:t>
      </w:r>
    </w:p>
    <w:p w14:paraId="0DFC655B" w14:textId="77777777" w:rsidR="00E642D0" w:rsidRDefault="00E642D0" w:rsidP="00E642D0">
      <w:pPr>
        <w:pStyle w:val="ListParagraph"/>
      </w:pPr>
    </w:p>
    <w:p w14:paraId="211A6E0B" w14:textId="4BEC3444" w:rsidR="00E642D0" w:rsidRDefault="00E642D0" w:rsidP="00406C82">
      <w:pPr>
        <w:pStyle w:val="ListParagraph"/>
        <w:numPr>
          <w:ilvl w:val="0"/>
          <w:numId w:val="5"/>
        </w:numPr>
        <w:jc w:val="both"/>
      </w:pPr>
      <w:r>
        <w:t xml:space="preserve">The shareholder is not as forthcoming to introduce new capital as should be expected in </w:t>
      </w:r>
      <w:r w:rsidR="00EF54D1">
        <w:t xml:space="preserve">the </w:t>
      </w:r>
      <w:r>
        <w:t xml:space="preserve">circumstances. </w:t>
      </w:r>
    </w:p>
    <w:p w14:paraId="676D00C5" w14:textId="77777777" w:rsidR="00E642D0" w:rsidRDefault="00E642D0" w:rsidP="00E642D0">
      <w:pPr>
        <w:pStyle w:val="ListParagraph"/>
      </w:pPr>
    </w:p>
    <w:p w14:paraId="7E99A572" w14:textId="4814B2EF" w:rsidR="00E642D0" w:rsidRDefault="00E642D0" w:rsidP="00406C82">
      <w:pPr>
        <w:pStyle w:val="ListParagraph"/>
        <w:numPr>
          <w:ilvl w:val="0"/>
          <w:numId w:val="5"/>
        </w:numPr>
        <w:jc w:val="both"/>
      </w:pPr>
      <w:r>
        <w:t>There is no movement by management to displace itself with persons that specialise in the tasks of business turnaround. The CRO was engaged by the banks.</w:t>
      </w:r>
    </w:p>
    <w:p w14:paraId="5158D296" w14:textId="77777777" w:rsidR="00B5633E" w:rsidRDefault="00B5633E" w:rsidP="00E642D0">
      <w:pPr>
        <w:pStyle w:val="ListParagraph"/>
      </w:pPr>
    </w:p>
    <w:p w14:paraId="5D215736" w14:textId="0EAED644" w:rsidR="00E642D0" w:rsidRDefault="00E642D0" w:rsidP="00E642D0">
      <w:pPr>
        <w:jc w:val="both"/>
      </w:pPr>
      <w:r>
        <w:t>Banks C and D can justify an exit strategy on the following grounds.</w:t>
      </w:r>
    </w:p>
    <w:p w14:paraId="0CBC4594" w14:textId="77777777" w:rsidR="00B5633E" w:rsidRDefault="00B5633E" w:rsidP="00B5633E">
      <w:pPr>
        <w:jc w:val="both"/>
      </w:pPr>
    </w:p>
    <w:p w14:paraId="41D73C0B" w14:textId="6AF76855" w:rsidR="00B5633E" w:rsidRDefault="00B5633E" w:rsidP="00B5633E">
      <w:pPr>
        <w:pStyle w:val="ListParagraph"/>
        <w:numPr>
          <w:ilvl w:val="0"/>
          <w:numId w:val="6"/>
        </w:numPr>
        <w:jc w:val="both"/>
      </w:pPr>
      <w:r>
        <w:t>On the basis of the five points identified</w:t>
      </w:r>
      <w:r w:rsidR="00EF54D1">
        <w:t xml:space="preserve"> above</w:t>
      </w:r>
      <w:r>
        <w:t>, confidence in obtaining a return of the capital invested</w:t>
      </w:r>
      <w:r w:rsidR="00EF54D1">
        <w:t>,</w:t>
      </w:r>
      <w:r>
        <w:t xml:space="preserve"> by way of </w:t>
      </w:r>
      <w:r w:rsidR="00EF54D1">
        <w:t xml:space="preserve">a </w:t>
      </w:r>
      <w:r>
        <w:t>turnaround</w:t>
      </w:r>
      <w:r w:rsidR="00EF54D1">
        <w:t>,</w:t>
      </w:r>
      <w:r>
        <w:t xml:space="preserve"> may be more unlikely than likely. </w:t>
      </w:r>
    </w:p>
    <w:p w14:paraId="00175010" w14:textId="780F6AF0" w:rsidR="00B5633E" w:rsidRDefault="00B5633E" w:rsidP="00B5633E">
      <w:pPr>
        <w:jc w:val="both"/>
      </w:pPr>
    </w:p>
    <w:p w14:paraId="54ADF97B" w14:textId="77777777" w:rsidR="00B5633E" w:rsidRDefault="00B5633E" w:rsidP="00B5633E">
      <w:pPr>
        <w:pStyle w:val="ListParagraph"/>
        <w:numPr>
          <w:ilvl w:val="0"/>
          <w:numId w:val="6"/>
        </w:numPr>
        <w:jc w:val="both"/>
      </w:pPr>
      <w:r>
        <w:lastRenderedPageBreak/>
        <w:t xml:space="preserve">Recourse in the assets of the company may be suspect given that the security agreements may not be enforceable. </w:t>
      </w:r>
    </w:p>
    <w:p w14:paraId="3148CEC2" w14:textId="77777777" w:rsidR="00B5633E" w:rsidRDefault="00B5633E" w:rsidP="00B5633E">
      <w:pPr>
        <w:pStyle w:val="ListParagraph"/>
      </w:pPr>
    </w:p>
    <w:p w14:paraId="68A2818A" w14:textId="77777777" w:rsidR="005572E3" w:rsidRDefault="005572E3" w:rsidP="00B5633E">
      <w:pPr>
        <w:pStyle w:val="ListParagraph"/>
        <w:numPr>
          <w:ilvl w:val="0"/>
          <w:numId w:val="6"/>
        </w:numPr>
        <w:jc w:val="both"/>
      </w:pPr>
      <w:r>
        <w:t xml:space="preserve">Exposure between the two bank groups appear to be unequally spread. </w:t>
      </w:r>
    </w:p>
    <w:p w14:paraId="3D507DD9" w14:textId="77777777" w:rsidR="005572E3" w:rsidRDefault="005572E3" w:rsidP="005572E3">
      <w:pPr>
        <w:pStyle w:val="ListParagraph"/>
      </w:pPr>
    </w:p>
    <w:p w14:paraId="2B2AA163" w14:textId="306A853B" w:rsidR="005572E3" w:rsidRDefault="005572E3" w:rsidP="00B5633E">
      <w:pPr>
        <w:pStyle w:val="ListParagraph"/>
        <w:numPr>
          <w:ilvl w:val="0"/>
          <w:numId w:val="6"/>
        </w:numPr>
        <w:jc w:val="both"/>
      </w:pPr>
      <w:r>
        <w:t>Although an exit may cause a right down, the loss will be certain</w:t>
      </w:r>
      <w:r w:rsidR="00EF54D1">
        <w:t>,</w:t>
      </w:r>
      <w:r>
        <w:t xml:space="preserve"> whereas hope associated with staying may result in a worse outcome. </w:t>
      </w:r>
    </w:p>
    <w:p w14:paraId="1D7E0C83" w14:textId="77777777" w:rsidR="005572E3" w:rsidRDefault="005572E3" w:rsidP="005572E3">
      <w:pPr>
        <w:pStyle w:val="ListParagraph"/>
      </w:pPr>
    </w:p>
    <w:p w14:paraId="4681223B" w14:textId="77777777" w:rsidR="005572E3" w:rsidRDefault="005572E3" w:rsidP="00B5633E">
      <w:pPr>
        <w:pStyle w:val="ListParagraph"/>
        <w:numPr>
          <w:ilvl w:val="0"/>
          <w:numId w:val="6"/>
        </w:numPr>
        <w:jc w:val="both"/>
      </w:pPr>
      <w:r>
        <w:t xml:space="preserve">Timing is important and leveraging C and D’s position at the right time will likely improve their realisation value. </w:t>
      </w:r>
    </w:p>
    <w:p w14:paraId="630B1383" w14:textId="77777777" w:rsidR="005572E3" w:rsidRDefault="005572E3" w:rsidP="005572E3">
      <w:pPr>
        <w:pStyle w:val="ListParagraph"/>
      </w:pPr>
    </w:p>
    <w:p w14:paraId="7C0F01B0" w14:textId="2196F4D9" w:rsidR="005572E3" w:rsidRPr="005F1C31" w:rsidRDefault="005F1C31" w:rsidP="005572E3">
      <w:pPr>
        <w:jc w:val="both"/>
        <w:rPr>
          <w:b/>
          <w:bCs/>
        </w:rPr>
      </w:pPr>
      <w:r w:rsidRPr="005F1C31">
        <w:rPr>
          <w:b/>
          <w:bCs/>
        </w:rPr>
        <w:t>If I were acting for A and B</w:t>
      </w:r>
    </w:p>
    <w:p w14:paraId="532600A3" w14:textId="5AA61AE8" w:rsidR="00BF4309" w:rsidRDefault="005F1C31" w:rsidP="005572E3">
      <w:pPr>
        <w:jc w:val="both"/>
      </w:pPr>
      <w:r>
        <w:t>If I were engaged by banks A and B</w:t>
      </w:r>
      <w:r w:rsidR="00BF4309">
        <w:t>, and in</w:t>
      </w:r>
      <w:r w:rsidR="00D71EA2">
        <w:t xml:space="preserve"> the</w:t>
      </w:r>
      <w:r w:rsidR="00BF4309">
        <w:t xml:space="preserve"> normal circumstances of hav</w:t>
      </w:r>
      <w:r w:rsidR="00EF54D1">
        <w:t>ing</w:t>
      </w:r>
      <w:r w:rsidR="00BF4309">
        <w:t xml:space="preserve"> secure pledges,</w:t>
      </w:r>
      <w:r>
        <w:t xml:space="preserve"> I would carefully consider the risk profile of continued involvement</w:t>
      </w:r>
      <w:r w:rsidR="00BF4309">
        <w:t xml:space="preserve"> based in hope</w:t>
      </w:r>
      <w:r w:rsidR="00D71EA2">
        <w:t xml:space="preserve">. I would then </w:t>
      </w:r>
      <w:r w:rsidR="00BF4309">
        <w:t>balance that potential against the certain</w:t>
      </w:r>
      <w:r w:rsidR="00D71EA2">
        <w:t>t</w:t>
      </w:r>
      <w:r w:rsidR="00BF4309">
        <w:t>y of early</w:t>
      </w:r>
      <w:r w:rsidR="0051037B">
        <w:t>,</w:t>
      </w:r>
      <w:r w:rsidR="00BF4309">
        <w:t xml:space="preserve"> </w:t>
      </w:r>
      <w:r w:rsidR="00D71EA2">
        <w:t>but definite</w:t>
      </w:r>
      <w:r w:rsidR="0051037B">
        <w:t>,</w:t>
      </w:r>
      <w:r w:rsidR="00D71EA2">
        <w:t xml:space="preserve"> realisation</w:t>
      </w:r>
      <w:r w:rsidR="00BF4309">
        <w:t xml:space="preserve">. </w:t>
      </w:r>
    </w:p>
    <w:p w14:paraId="560280E1" w14:textId="77777777" w:rsidR="00BF4309" w:rsidRDefault="00BF4309" w:rsidP="005572E3">
      <w:pPr>
        <w:jc w:val="both"/>
      </w:pPr>
    </w:p>
    <w:p w14:paraId="691FFF45" w14:textId="41A89D11" w:rsidR="00BF4309" w:rsidRDefault="00BF4309" w:rsidP="005572E3">
      <w:pPr>
        <w:jc w:val="both"/>
      </w:pPr>
      <w:r>
        <w:t>There is though</w:t>
      </w:r>
      <w:r w:rsidR="00D71EA2">
        <w:t>,</w:t>
      </w:r>
      <w:r>
        <w:t xml:space="preserve"> the nagging uncertainty </w:t>
      </w:r>
      <w:r w:rsidR="00D71EA2">
        <w:t xml:space="preserve">regarding the </w:t>
      </w:r>
      <w:r>
        <w:t>enforceability of the security pledges</w:t>
      </w:r>
      <w:r w:rsidR="00D71EA2">
        <w:t xml:space="preserve"> and the economic </w:t>
      </w:r>
      <w:r>
        <w:t>consequence</w:t>
      </w:r>
      <w:r w:rsidR="00D71EA2">
        <w:t>s of that risk</w:t>
      </w:r>
      <w:r>
        <w:t xml:space="preserve"> if </w:t>
      </w:r>
      <w:r w:rsidR="00D71EA2">
        <w:t xml:space="preserve">a </w:t>
      </w:r>
      <w:r>
        <w:t xml:space="preserve">recovery </w:t>
      </w:r>
      <w:r w:rsidR="00D71EA2">
        <w:t xml:space="preserve">plan </w:t>
      </w:r>
      <w:r>
        <w:t>w</w:t>
      </w:r>
      <w:r w:rsidR="00D71EA2">
        <w:t>as not successful.</w:t>
      </w:r>
    </w:p>
    <w:p w14:paraId="4F09F259" w14:textId="77777777" w:rsidR="00BF4309" w:rsidRDefault="00BF4309" w:rsidP="005572E3">
      <w:pPr>
        <w:jc w:val="both"/>
      </w:pPr>
    </w:p>
    <w:p w14:paraId="33B51C1E" w14:textId="53F346F9" w:rsidR="00495D0A" w:rsidRPr="00264CF4" w:rsidRDefault="00F74E66" w:rsidP="005572E3">
      <w:pPr>
        <w:jc w:val="both"/>
      </w:pPr>
      <w:r w:rsidRPr="00264CF4">
        <w:t>T</w:t>
      </w:r>
      <w:r w:rsidR="00BF4309" w:rsidRPr="00264CF4">
        <w:t>here is consideration that A and B may assume C and D’s position for a discounted price</w:t>
      </w:r>
      <w:r w:rsidRPr="00264CF4">
        <w:t>.</w:t>
      </w:r>
      <w:r w:rsidR="0051037B">
        <w:t xml:space="preserve"> Given the </w:t>
      </w:r>
      <w:r w:rsidR="0035530E">
        <w:t>risk of enforceability of the bank’s security interest, i</w:t>
      </w:r>
      <w:r w:rsidR="00BF4309" w:rsidRPr="00264CF4">
        <w:t xml:space="preserve">t </w:t>
      </w:r>
      <w:r w:rsidR="00781B0D" w:rsidRPr="00264CF4">
        <w:t xml:space="preserve">is my view </w:t>
      </w:r>
      <w:r w:rsidR="00495D0A" w:rsidRPr="00264CF4">
        <w:t xml:space="preserve">that this </w:t>
      </w:r>
      <w:r w:rsidRPr="00264CF4">
        <w:t xml:space="preserve">could </w:t>
      </w:r>
      <w:r w:rsidR="00EE7141">
        <w:t xml:space="preserve">only </w:t>
      </w:r>
      <w:r w:rsidR="00495D0A" w:rsidRPr="00264CF4">
        <w:t xml:space="preserve">improve A and B’s </w:t>
      </w:r>
      <w:r w:rsidR="0093287C" w:rsidRPr="00264CF4">
        <w:t>position</w:t>
      </w:r>
      <w:r w:rsidRPr="00264CF4">
        <w:t xml:space="preserve"> </w:t>
      </w:r>
      <w:r w:rsidR="00EE7141">
        <w:t>if it allowed it to be more effectively decisive.</w:t>
      </w:r>
      <w:r w:rsidRPr="00264CF4">
        <w:t xml:space="preserve"> </w:t>
      </w:r>
      <w:r w:rsidR="00D33F65">
        <w:t>In t</w:t>
      </w:r>
      <w:r w:rsidR="0035530E">
        <w:t>he counterfactual</w:t>
      </w:r>
      <w:r w:rsidR="00D33F65">
        <w:t>,</w:t>
      </w:r>
      <w:r w:rsidR="0035530E">
        <w:t xml:space="preserve"> </w:t>
      </w:r>
      <w:r w:rsidR="00264CF4">
        <w:t xml:space="preserve">A and B </w:t>
      </w:r>
      <w:r w:rsidRPr="00264CF4">
        <w:t xml:space="preserve">would significantly increase </w:t>
      </w:r>
      <w:r w:rsidR="00264CF4">
        <w:t xml:space="preserve">their </w:t>
      </w:r>
      <w:r w:rsidRPr="00264CF4">
        <w:t xml:space="preserve">losses </w:t>
      </w:r>
      <w:r w:rsidR="00264CF4" w:rsidRPr="00264CF4">
        <w:t>if the recovery plans failed, and reliance was place</w:t>
      </w:r>
      <w:r w:rsidR="00264CF4">
        <w:t>d</w:t>
      </w:r>
      <w:r w:rsidR="00264CF4" w:rsidRPr="00264CF4">
        <w:t xml:space="preserve"> in the pledges which </w:t>
      </w:r>
      <w:r w:rsidR="00D33F65">
        <w:t>proved to be un</w:t>
      </w:r>
      <w:r w:rsidR="00264CF4" w:rsidRPr="00264CF4">
        <w:t>enforceable. The decision to acquire C and D’s interest</w:t>
      </w:r>
      <w:r w:rsidR="00F37E37">
        <w:t>,</w:t>
      </w:r>
      <w:r w:rsidR="00264CF4" w:rsidRPr="00264CF4">
        <w:t xml:space="preserve"> must be based in achieving such a strong level of decisiveness </w:t>
      </w:r>
      <w:r w:rsidR="00F37E37">
        <w:t xml:space="preserve">that the recovery plan will be effective, and </w:t>
      </w:r>
      <w:r w:rsidR="00264CF4" w:rsidRPr="00264CF4">
        <w:t xml:space="preserve">the need to fall back upon the security </w:t>
      </w:r>
      <w:r w:rsidR="00F37E37">
        <w:t>pledges</w:t>
      </w:r>
      <w:r w:rsidR="00264CF4" w:rsidRPr="00264CF4">
        <w:t xml:space="preserve"> is minimised.</w:t>
      </w:r>
    </w:p>
    <w:p w14:paraId="353FE586" w14:textId="77777777" w:rsidR="00495D0A" w:rsidRPr="007F03ED" w:rsidRDefault="00495D0A" w:rsidP="005572E3">
      <w:pPr>
        <w:jc w:val="both"/>
        <w:rPr>
          <w:highlight w:val="yellow"/>
        </w:rPr>
      </w:pPr>
    </w:p>
    <w:p w14:paraId="380388A4" w14:textId="796097AA" w:rsidR="00781B0D" w:rsidRDefault="00495D0A" w:rsidP="005572E3">
      <w:pPr>
        <w:jc w:val="both"/>
      </w:pPr>
      <w:r w:rsidRPr="00F37E37">
        <w:t xml:space="preserve">There appears to be a waiting game </w:t>
      </w:r>
      <w:r w:rsidR="00781B0D" w:rsidRPr="00F37E37">
        <w:t xml:space="preserve">as between </w:t>
      </w:r>
      <w:r w:rsidRPr="00F37E37">
        <w:t xml:space="preserve">management and the shareholding interests </w:t>
      </w:r>
      <w:r w:rsidR="00781B0D" w:rsidRPr="00F37E37">
        <w:t>in one camp</w:t>
      </w:r>
      <w:r w:rsidR="00F37E37">
        <w:t>,</w:t>
      </w:r>
      <w:r w:rsidR="00781B0D" w:rsidRPr="00F37E37">
        <w:t xml:space="preserve"> and the banks in the other. This suggests that neither side has sufficient power to force the other to action. While acquiring C and D’s position </w:t>
      </w:r>
      <w:r w:rsidR="00F37E37">
        <w:t>c</w:t>
      </w:r>
      <w:r w:rsidR="00781B0D" w:rsidRPr="00F37E37">
        <w:t>ould</w:t>
      </w:r>
      <w:r w:rsidR="00F37E37">
        <w:t>,</w:t>
      </w:r>
      <w:r w:rsidR="00781B0D" w:rsidRPr="00F37E37">
        <w:t xml:space="preserve"> on its face</w:t>
      </w:r>
      <w:r w:rsidR="00F37E37">
        <w:t>,</w:t>
      </w:r>
      <w:r w:rsidR="00781B0D" w:rsidRPr="00F37E37">
        <w:t xml:space="preserve"> alter the dynamics</w:t>
      </w:r>
      <w:r w:rsidR="00F37E37">
        <w:t>,</w:t>
      </w:r>
      <w:r w:rsidR="00781B0D" w:rsidRPr="00F37E37">
        <w:t xml:space="preserve"> it </w:t>
      </w:r>
      <w:r w:rsidR="00EF1023">
        <w:t>may work t</w:t>
      </w:r>
      <w:r w:rsidR="00781B0D" w:rsidRPr="00F37E37">
        <w:t>o bank’s A and D disadvantage</w:t>
      </w:r>
      <w:r w:rsidR="00EF1023">
        <w:t xml:space="preserve"> given the human </w:t>
      </w:r>
      <w:r w:rsidR="00781B0D" w:rsidRPr="00F37E37">
        <w:t>influence that the bankers of C and D will bring.</w:t>
      </w:r>
      <w:r w:rsidR="00781B0D">
        <w:t xml:space="preserve"> </w:t>
      </w:r>
    </w:p>
    <w:p w14:paraId="10A482FE" w14:textId="77777777" w:rsidR="00781B0D" w:rsidRDefault="00781B0D" w:rsidP="005572E3">
      <w:pPr>
        <w:jc w:val="both"/>
      </w:pPr>
    </w:p>
    <w:p w14:paraId="57116D77" w14:textId="48C76BA0" w:rsidR="00781B0D" w:rsidRDefault="00781B0D" w:rsidP="005572E3">
      <w:pPr>
        <w:jc w:val="both"/>
      </w:pPr>
      <w:r>
        <w:t>It is suggested that</w:t>
      </w:r>
      <w:r w:rsidR="00EF1023">
        <w:t xml:space="preserve">, </w:t>
      </w:r>
      <w:r>
        <w:t>rather than</w:t>
      </w:r>
      <w:r w:rsidR="00EF1023">
        <w:t xml:space="preserve"> to </w:t>
      </w:r>
      <w:r>
        <w:t xml:space="preserve">take C and D out of the mix, a better approach would be to become more unified and present a more determined approach upon management to perform. </w:t>
      </w:r>
    </w:p>
    <w:p w14:paraId="12DD6F1E" w14:textId="77777777" w:rsidR="00781B0D" w:rsidRDefault="00781B0D" w:rsidP="005572E3">
      <w:pPr>
        <w:jc w:val="both"/>
      </w:pPr>
    </w:p>
    <w:p w14:paraId="404659B7" w14:textId="79216B7F" w:rsidR="0047127C" w:rsidRDefault="0047127C">
      <w:pPr>
        <w:rPr>
          <w:b/>
          <w:bCs/>
        </w:rPr>
      </w:pPr>
      <w:r>
        <w:rPr>
          <w:b/>
          <w:bCs/>
        </w:rPr>
        <w:br w:type="page"/>
      </w:r>
    </w:p>
    <w:p w14:paraId="1E49ECAF" w14:textId="351DC647" w:rsidR="00D066A1" w:rsidRPr="0047127C" w:rsidRDefault="00D066A1" w:rsidP="00D066A1">
      <w:pPr>
        <w:jc w:val="center"/>
        <w:rPr>
          <w:b/>
          <w:bCs/>
          <w:sz w:val="32"/>
        </w:rPr>
      </w:pPr>
      <w:bookmarkStart w:id="1" w:name="_Hlk86217892"/>
      <w:r w:rsidRPr="0047127C">
        <w:rPr>
          <w:b/>
          <w:bCs/>
          <w:sz w:val="32"/>
        </w:rPr>
        <w:lastRenderedPageBreak/>
        <w:t xml:space="preserve">QUESTION </w:t>
      </w:r>
      <w:r>
        <w:rPr>
          <w:b/>
          <w:bCs/>
          <w:sz w:val="32"/>
        </w:rPr>
        <w:t>5</w:t>
      </w:r>
    </w:p>
    <w:p w14:paraId="1509AB00" w14:textId="77777777" w:rsidR="00D066A1" w:rsidRDefault="00D066A1" w:rsidP="00D066A1">
      <w:pPr>
        <w:jc w:val="center"/>
        <w:rPr>
          <w:b/>
          <w:bCs/>
        </w:rPr>
      </w:pPr>
    </w:p>
    <w:p w14:paraId="2EF1E609" w14:textId="2A0A19AA" w:rsidR="00D066A1" w:rsidRDefault="00D066A1" w:rsidP="00D066A1">
      <w:r>
        <w:t>Which of the eight principles of the “</w:t>
      </w:r>
      <w:bookmarkStart w:id="2" w:name="_Hlk86341010"/>
      <w:r>
        <w:t>Statement of Principles for a Global Approach to Multi-Creditor Workouts II</w:t>
      </w:r>
      <w:bookmarkEnd w:id="2"/>
      <w:r>
        <w:t>” can be found in the workout process of Flow Management (explicit or implicit)</w:t>
      </w:r>
      <w:r w:rsidR="00546C9C">
        <w:t>?</w:t>
      </w:r>
    </w:p>
    <w:p w14:paraId="1112A23E" w14:textId="77777777" w:rsidR="00D066A1" w:rsidRDefault="00D066A1" w:rsidP="00D066A1"/>
    <w:p w14:paraId="12E6D621" w14:textId="77777777" w:rsidR="00D066A1" w:rsidRPr="006D1D7B" w:rsidRDefault="00D066A1" w:rsidP="00D066A1">
      <w:pPr>
        <w:rPr>
          <w:b/>
          <w:bCs/>
        </w:rPr>
      </w:pPr>
      <w:r w:rsidRPr="006D1D7B">
        <w:rPr>
          <w:b/>
          <w:bCs/>
        </w:rPr>
        <w:t>ANSWER</w:t>
      </w:r>
    </w:p>
    <w:bookmarkEnd w:id="1"/>
    <w:p w14:paraId="45D8A659" w14:textId="7888E336" w:rsidR="00546C9C" w:rsidRDefault="00546C9C" w:rsidP="009C102C">
      <w:pPr>
        <w:jc w:val="both"/>
      </w:pPr>
      <w:r>
        <w:t>A statement of eight principles have been formulated by I</w:t>
      </w:r>
      <w:r w:rsidR="00DE4147">
        <w:t>NSOL</w:t>
      </w:r>
      <w:r>
        <w:t xml:space="preserve"> International</w:t>
      </w:r>
      <w:r>
        <w:rPr>
          <w:rStyle w:val="FootnoteReference"/>
        </w:rPr>
        <w:footnoteReference w:id="22"/>
      </w:r>
      <w:r w:rsidR="009C102C">
        <w:t xml:space="preserve"> for the purpose of achieving a best practice approach to multi creditor workouts.</w:t>
      </w:r>
      <w:r w:rsidR="009C102C">
        <w:rPr>
          <w:rStyle w:val="FootnoteReference"/>
        </w:rPr>
        <w:footnoteReference w:id="23"/>
      </w:r>
    </w:p>
    <w:p w14:paraId="581700C5" w14:textId="77777777" w:rsidR="008A268E" w:rsidRDefault="008A268E" w:rsidP="009C102C">
      <w:pPr>
        <w:jc w:val="both"/>
      </w:pPr>
    </w:p>
    <w:p w14:paraId="5966F0C3" w14:textId="2E2A8661" w:rsidR="009C102C" w:rsidRDefault="008A268E" w:rsidP="008A268E">
      <w:r>
        <w:t>For the purposes of this discussion the relevant creditors referred to in the principles are the four banks. The relevant creditors are claimants in the debtor company.</w:t>
      </w:r>
    </w:p>
    <w:p w14:paraId="30720637" w14:textId="77777777" w:rsidR="008A268E" w:rsidRDefault="008A268E" w:rsidP="008A268E"/>
    <w:p w14:paraId="7B0C48A3" w14:textId="620A6618" w:rsidR="009C102C" w:rsidRPr="00546C9C" w:rsidRDefault="009C102C" w:rsidP="009C102C">
      <w:pPr>
        <w:jc w:val="both"/>
      </w:pPr>
      <w:r>
        <w:t>Of the eight principles, I submit that only f</w:t>
      </w:r>
      <w:r w:rsidR="00BE3828">
        <w:t>ive</w:t>
      </w:r>
      <w:r>
        <w:t xml:space="preserve"> have been adhered to </w:t>
      </w:r>
      <w:r w:rsidR="00BE3828">
        <w:t xml:space="preserve">in </w:t>
      </w:r>
      <w:r w:rsidR="008A268E">
        <w:t>the</w:t>
      </w:r>
      <w:r>
        <w:t xml:space="preserve"> case being considered. Each are addressed separately.</w:t>
      </w:r>
    </w:p>
    <w:p w14:paraId="7BBB0001" w14:textId="292C8F17" w:rsidR="00546C9C" w:rsidRDefault="00546C9C" w:rsidP="009C102C">
      <w:pPr>
        <w:jc w:val="both"/>
      </w:pPr>
    </w:p>
    <w:p w14:paraId="79CEE698" w14:textId="30347042" w:rsidR="008A268E" w:rsidRPr="004635E5" w:rsidRDefault="008A268E" w:rsidP="009C102C">
      <w:pPr>
        <w:jc w:val="both"/>
        <w:rPr>
          <w:b/>
          <w:bCs/>
        </w:rPr>
      </w:pPr>
      <w:r w:rsidRPr="004635E5">
        <w:rPr>
          <w:b/>
          <w:bCs/>
        </w:rPr>
        <w:t>Third Principle</w:t>
      </w:r>
    </w:p>
    <w:p w14:paraId="2D7A1CCE" w14:textId="66C363A0" w:rsidR="008A268E" w:rsidRDefault="008A268E" w:rsidP="009C102C">
      <w:pPr>
        <w:jc w:val="both"/>
      </w:pPr>
      <w:r>
        <w:t>Th</w:t>
      </w:r>
      <w:r w:rsidR="00A82F08">
        <w:t>e Third Principle</w:t>
      </w:r>
      <w:r w:rsidR="00A82F08" w:rsidRPr="004635E5">
        <w:rPr>
          <w:rStyle w:val="FootnoteReference"/>
          <w:b/>
          <w:bCs/>
        </w:rPr>
        <w:footnoteReference w:id="24"/>
      </w:r>
      <w:r w:rsidR="00A82F08">
        <w:t xml:space="preserve"> </w:t>
      </w:r>
      <w:r>
        <w:t xml:space="preserve">requires that </w:t>
      </w:r>
      <w:r w:rsidR="008059AE">
        <w:t>the debtor should not take any action that will adversely affect the return to relevant creditors after the standstill commencement date.</w:t>
      </w:r>
    </w:p>
    <w:p w14:paraId="2B931CE5" w14:textId="45C8559B" w:rsidR="008059AE" w:rsidRDefault="008059AE" w:rsidP="009C102C">
      <w:pPr>
        <w:jc w:val="both"/>
      </w:pPr>
    </w:p>
    <w:p w14:paraId="7D7192D0" w14:textId="77777777" w:rsidR="00413AED" w:rsidRDefault="00413AED" w:rsidP="00413AED">
      <w:pPr>
        <w:jc w:val="both"/>
      </w:pPr>
      <w:r>
        <w:t xml:space="preserve">The standstill agreement was executed during August 2014 and the debtor appears to have acted consistently with this principle by entering into a seven limbed restructuring plan and subsequently complying with its terms. </w:t>
      </w:r>
    </w:p>
    <w:p w14:paraId="4D7C32BA" w14:textId="77777777" w:rsidR="00413AED" w:rsidRDefault="00413AED" w:rsidP="00413AED">
      <w:pPr>
        <w:jc w:val="both"/>
      </w:pPr>
    </w:p>
    <w:p w14:paraId="58B9F11A" w14:textId="772E3ED6" w:rsidR="00413AED" w:rsidRPr="004635E5" w:rsidRDefault="00413AED" w:rsidP="00413AED">
      <w:pPr>
        <w:jc w:val="both"/>
        <w:rPr>
          <w:b/>
          <w:bCs/>
        </w:rPr>
      </w:pPr>
      <w:r w:rsidRPr="004635E5">
        <w:rPr>
          <w:b/>
          <w:bCs/>
        </w:rPr>
        <w:t>Fourth Principle</w:t>
      </w:r>
    </w:p>
    <w:p w14:paraId="2E67A4F9" w14:textId="146936FF" w:rsidR="00413AED" w:rsidRDefault="003C50EE" w:rsidP="00413AED">
      <w:pPr>
        <w:jc w:val="both"/>
      </w:pPr>
      <w:r>
        <w:t>Th</w:t>
      </w:r>
      <w:r w:rsidR="00A82F08">
        <w:t>e Fourth Principle</w:t>
      </w:r>
      <w:r w:rsidR="00A82F08" w:rsidRPr="004635E5">
        <w:rPr>
          <w:rStyle w:val="FootnoteReference"/>
          <w:b/>
          <w:bCs/>
        </w:rPr>
        <w:footnoteReference w:id="25"/>
      </w:r>
      <w:r w:rsidR="00A82F08">
        <w:t xml:space="preserve"> </w:t>
      </w:r>
      <w:r>
        <w:t xml:space="preserve">requires that the interests of relevant creditors </w:t>
      </w:r>
      <w:r w:rsidR="00BE3828">
        <w:t>are</w:t>
      </w:r>
      <w:r>
        <w:t xml:space="preserve"> best served by coordinating responses through a single body and that professional advisers should be engaged to assist</w:t>
      </w:r>
      <w:r w:rsidR="00D251F2">
        <w:t xml:space="preserve"> recovery plans</w:t>
      </w:r>
      <w:r>
        <w:t xml:space="preserve">. </w:t>
      </w:r>
    </w:p>
    <w:p w14:paraId="6DE14E00" w14:textId="777A41E5" w:rsidR="003C50EE" w:rsidRDefault="003C50EE" w:rsidP="00413AED">
      <w:pPr>
        <w:jc w:val="both"/>
      </w:pPr>
    </w:p>
    <w:p w14:paraId="283EDD9D" w14:textId="4DFD7F00" w:rsidR="003C50EE" w:rsidRDefault="003C50EE" w:rsidP="00413AED">
      <w:pPr>
        <w:jc w:val="both"/>
      </w:pPr>
      <w:r>
        <w:t xml:space="preserve">The </w:t>
      </w:r>
      <w:r w:rsidR="00BE3828">
        <w:t>debtor</w:t>
      </w:r>
      <w:r>
        <w:t xml:space="preserve"> </w:t>
      </w:r>
      <w:r w:rsidR="004635E5">
        <w:t xml:space="preserve">did not appear to resist this </w:t>
      </w:r>
      <w:r w:rsidR="00D251F2">
        <w:t>principle</w:t>
      </w:r>
      <w:r w:rsidR="004635E5">
        <w:t xml:space="preserve"> but </w:t>
      </w:r>
      <w:r w:rsidR="00D251F2">
        <w:t xml:space="preserve">neither did it </w:t>
      </w:r>
      <w:r w:rsidR="004635E5">
        <w:t xml:space="preserve">actively promote </w:t>
      </w:r>
      <w:r w:rsidR="00BE3828">
        <w:t>the coordination of responses through a single body</w:t>
      </w:r>
      <w:r w:rsidR="00D251F2">
        <w:t xml:space="preserve"> or engagement of professional advisors</w:t>
      </w:r>
      <w:r w:rsidR="00BE3828">
        <w:t xml:space="preserve">. </w:t>
      </w:r>
      <w:r w:rsidR="00D251F2">
        <w:t>Despite that, t</w:t>
      </w:r>
      <w:r w:rsidR="00BE3828">
        <w:t xml:space="preserve">here was acceptance of the </w:t>
      </w:r>
      <w:r w:rsidR="00D251F2">
        <w:t>bank’s</w:t>
      </w:r>
      <w:r w:rsidR="004635E5">
        <w:t xml:space="preserve"> engage</w:t>
      </w:r>
      <w:r w:rsidR="00BE3828">
        <w:t>ment of</w:t>
      </w:r>
      <w:r w:rsidR="004635E5">
        <w:t xml:space="preserve"> a Chief Restructuring Office</w:t>
      </w:r>
      <w:r w:rsidR="00D251F2">
        <w:t>r</w:t>
      </w:r>
      <w:r w:rsidR="004635E5">
        <w:t xml:space="preserve"> and </w:t>
      </w:r>
      <w:r w:rsidR="00BE3828">
        <w:t xml:space="preserve">the </w:t>
      </w:r>
      <w:r w:rsidR="000405B9">
        <w:t>require</w:t>
      </w:r>
      <w:r w:rsidR="00BE3828">
        <w:t>ment of th</w:t>
      </w:r>
      <w:r w:rsidR="000405B9">
        <w:t>is person to sit on the board</w:t>
      </w:r>
      <w:r w:rsidR="00BE3828">
        <w:t xml:space="preserve">. It is suggested that the CRO </w:t>
      </w:r>
      <w:r w:rsidR="00D251F2">
        <w:t>was instrumental in coordinating responses and did become an effective professional advisor.</w:t>
      </w:r>
    </w:p>
    <w:p w14:paraId="10E20819" w14:textId="4A5D5696" w:rsidR="000405B9" w:rsidRDefault="000405B9" w:rsidP="00413AED">
      <w:pPr>
        <w:jc w:val="both"/>
      </w:pPr>
    </w:p>
    <w:p w14:paraId="79CF9879" w14:textId="0A61C719" w:rsidR="000405B9" w:rsidRPr="000405B9" w:rsidRDefault="000405B9" w:rsidP="00413AED">
      <w:pPr>
        <w:jc w:val="both"/>
        <w:rPr>
          <w:b/>
          <w:bCs/>
        </w:rPr>
      </w:pPr>
      <w:r w:rsidRPr="000405B9">
        <w:rPr>
          <w:b/>
          <w:bCs/>
        </w:rPr>
        <w:t>Fifth Principle</w:t>
      </w:r>
    </w:p>
    <w:p w14:paraId="7B4F6FB3" w14:textId="641FCA38" w:rsidR="003C50EE" w:rsidRDefault="000405B9" w:rsidP="00413AED">
      <w:pPr>
        <w:jc w:val="both"/>
      </w:pPr>
      <w:r>
        <w:t>Th</w:t>
      </w:r>
      <w:r w:rsidR="00A82F08">
        <w:t>e Fifth Principle</w:t>
      </w:r>
      <w:r w:rsidR="00A82F08" w:rsidRPr="000405B9">
        <w:rPr>
          <w:rStyle w:val="FootnoteReference"/>
          <w:b/>
          <w:bCs/>
        </w:rPr>
        <w:footnoteReference w:id="26"/>
      </w:r>
      <w:r>
        <w:t xml:space="preserve"> requires that</w:t>
      </w:r>
      <w:r w:rsidR="009825B7">
        <w:t xml:space="preserve">, during the standstill period, the debtor should </w:t>
      </w:r>
      <w:r w:rsidR="00BE34D6">
        <w:t xml:space="preserve">be </w:t>
      </w:r>
      <w:r w:rsidR="009825B7">
        <w:t>open and willing</w:t>
      </w:r>
      <w:r w:rsidR="00BE34D6">
        <w:t xml:space="preserve"> to </w:t>
      </w:r>
      <w:r w:rsidR="009825B7">
        <w:t xml:space="preserve">provide information to relevant creditors, and their advisors, </w:t>
      </w:r>
      <w:r w:rsidR="00BE34D6">
        <w:t xml:space="preserve">in a timely way </w:t>
      </w:r>
      <w:r w:rsidR="009825B7">
        <w:t xml:space="preserve">so </w:t>
      </w:r>
      <w:r w:rsidR="00BE34D6">
        <w:t>that proper evaluation can be undertaken, and proposals made to the relevant creditors.</w:t>
      </w:r>
    </w:p>
    <w:p w14:paraId="044BFF81" w14:textId="7295A9B0" w:rsidR="00BE34D6" w:rsidRDefault="00BE34D6" w:rsidP="00413AED">
      <w:pPr>
        <w:jc w:val="both"/>
      </w:pPr>
    </w:p>
    <w:p w14:paraId="729BBD1F" w14:textId="13CF8959" w:rsidR="00BE34D6" w:rsidRDefault="00BE34D6" w:rsidP="00413AED">
      <w:pPr>
        <w:jc w:val="both"/>
      </w:pPr>
      <w:r>
        <w:t>Management does appear to meet the purpose and intent of this principle. Although in the lead up to the execution of the standstill agreement</w:t>
      </w:r>
      <w:r w:rsidR="00917234">
        <w:t>,</w:t>
      </w:r>
      <w:r>
        <w:t xml:space="preserve"> the information fell short o</w:t>
      </w:r>
      <w:r w:rsidR="00917234">
        <w:t>f</w:t>
      </w:r>
      <w:r>
        <w:t xml:space="preserve"> recording accurately the full picture, there seems to be a genuine attempt </w:t>
      </w:r>
      <w:r w:rsidR="00917234">
        <w:t xml:space="preserve">to </w:t>
      </w:r>
      <w:r>
        <w:t>provide information in a timely way.</w:t>
      </w:r>
    </w:p>
    <w:p w14:paraId="344A8FA9" w14:textId="0CFCEFC7" w:rsidR="00864C1A" w:rsidRDefault="00864C1A" w:rsidP="00413AED">
      <w:pPr>
        <w:jc w:val="both"/>
      </w:pPr>
    </w:p>
    <w:p w14:paraId="5E876282" w14:textId="0ADAFE6E" w:rsidR="00A82F08" w:rsidRDefault="00A82F08" w:rsidP="00413AED">
      <w:pPr>
        <w:jc w:val="both"/>
      </w:pPr>
    </w:p>
    <w:p w14:paraId="0E5F7657" w14:textId="7F4B99CE" w:rsidR="00A82F08" w:rsidRDefault="00A82F08" w:rsidP="00413AED">
      <w:pPr>
        <w:jc w:val="both"/>
      </w:pPr>
    </w:p>
    <w:p w14:paraId="12586881" w14:textId="64ADC94B" w:rsidR="00A82F08" w:rsidRDefault="00A82F08" w:rsidP="00413AED">
      <w:pPr>
        <w:jc w:val="both"/>
      </w:pPr>
    </w:p>
    <w:p w14:paraId="5AEDEE0B" w14:textId="673DD077" w:rsidR="003C50EE" w:rsidRPr="00E26D5C" w:rsidRDefault="00E26D5C" w:rsidP="00413AED">
      <w:pPr>
        <w:jc w:val="both"/>
        <w:rPr>
          <w:b/>
          <w:bCs/>
        </w:rPr>
      </w:pPr>
      <w:r w:rsidRPr="00E26D5C">
        <w:rPr>
          <w:b/>
          <w:bCs/>
        </w:rPr>
        <w:lastRenderedPageBreak/>
        <w:t>Sixth Principle</w:t>
      </w:r>
    </w:p>
    <w:p w14:paraId="21B811BC" w14:textId="544503A7" w:rsidR="00E26D5C" w:rsidRDefault="00E26D5C" w:rsidP="00413AED">
      <w:pPr>
        <w:jc w:val="both"/>
      </w:pPr>
      <w:r>
        <w:t>Th</w:t>
      </w:r>
      <w:r w:rsidR="00A82F08">
        <w:t>e Sixth Principle</w:t>
      </w:r>
      <w:r w:rsidR="00A82F08" w:rsidRPr="00E26D5C">
        <w:rPr>
          <w:rStyle w:val="FootnoteReference"/>
          <w:b/>
          <w:bCs/>
        </w:rPr>
        <w:footnoteReference w:id="27"/>
      </w:r>
      <w:r w:rsidR="00A82F08">
        <w:t xml:space="preserve"> </w:t>
      </w:r>
      <w:r>
        <w:t>requires that any proposal submitted for consideration by the relevant creditors should reflect applicable law and the positions of relevant creditors a</w:t>
      </w:r>
      <w:r w:rsidR="00A323D1">
        <w:t>s at</w:t>
      </w:r>
      <w:r>
        <w:t xml:space="preserve"> the standstill commencement date</w:t>
      </w:r>
      <w:r w:rsidR="00A323D1">
        <w:t xml:space="preserve"> are </w:t>
      </w:r>
      <w:r w:rsidR="00B41691">
        <w:t xml:space="preserve">to be </w:t>
      </w:r>
      <w:r w:rsidR="00A323D1">
        <w:t>preserved</w:t>
      </w:r>
      <w:r w:rsidR="00B41691">
        <w:t xml:space="preserve"> throughout the standstill </w:t>
      </w:r>
      <w:r w:rsidR="00DE4147">
        <w:t>period</w:t>
      </w:r>
      <w:r>
        <w:t>.</w:t>
      </w:r>
    </w:p>
    <w:p w14:paraId="1C48DEE4" w14:textId="77777777" w:rsidR="00E26D5C" w:rsidRDefault="00E26D5C" w:rsidP="00413AED">
      <w:pPr>
        <w:jc w:val="both"/>
      </w:pPr>
    </w:p>
    <w:p w14:paraId="4B2F29A5" w14:textId="10DB5255" w:rsidR="00864C1A" w:rsidRDefault="00E26D5C" w:rsidP="00413AED">
      <w:pPr>
        <w:jc w:val="both"/>
      </w:pPr>
      <w:r>
        <w:t xml:space="preserve">The </w:t>
      </w:r>
      <w:r w:rsidR="00917234">
        <w:t>debtor,</w:t>
      </w:r>
      <w:r>
        <w:t xml:space="preserve"> </w:t>
      </w:r>
      <w:r w:rsidR="00864C1A">
        <w:t xml:space="preserve">and the relevant creditors </w:t>
      </w:r>
      <w:r>
        <w:t>ha</w:t>
      </w:r>
      <w:r w:rsidR="00864C1A">
        <w:t>ve</w:t>
      </w:r>
      <w:r>
        <w:t xml:space="preserve"> complied with the essence of this principle </w:t>
      </w:r>
      <w:r w:rsidR="00917234">
        <w:t xml:space="preserve">from the execution date of the </w:t>
      </w:r>
      <w:r>
        <w:t>standstill agreement</w:t>
      </w:r>
      <w:r w:rsidR="00864C1A">
        <w:t xml:space="preserve">. The facts record that the financing restructuring agreement, as regards the financiers involved, has preserved their relevant position and the expectations of the debtor company are intended to be met. </w:t>
      </w:r>
    </w:p>
    <w:p w14:paraId="7D1D4BC0" w14:textId="77777777" w:rsidR="00864C1A" w:rsidRDefault="00864C1A" w:rsidP="00413AED">
      <w:pPr>
        <w:jc w:val="both"/>
      </w:pPr>
    </w:p>
    <w:p w14:paraId="772F82CE" w14:textId="542CBAA6" w:rsidR="003C50EE" w:rsidRPr="00864C1A" w:rsidRDefault="00864C1A" w:rsidP="00413AED">
      <w:pPr>
        <w:jc w:val="both"/>
        <w:rPr>
          <w:b/>
          <w:bCs/>
        </w:rPr>
      </w:pPr>
      <w:r w:rsidRPr="00864C1A">
        <w:rPr>
          <w:b/>
          <w:bCs/>
        </w:rPr>
        <w:t>Eighth Principle</w:t>
      </w:r>
    </w:p>
    <w:p w14:paraId="7CC07B28" w14:textId="10C6B160" w:rsidR="00864C1A" w:rsidRDefault="004233B8" w:rsidP="00413AED">
      <w:pPr>
        <w:jc w:val="both"/>
      </w:pPr>
      <w:r>
        <w:t>Th</w:t>
      </w:r>
      <w:r w:rsidR="00A82F08">
        <w:t>e Eighth Principal</w:t>
      </w:r>
      <w:r w:rsidR="00A82F08" w:rsidRPr="00864C1A">
        <w:rPr>
          <w:rStyle w:val="FootnoteReference"/>
          <w:b/>
          <w:bCs/>
        </w:rPr>
        <w:footnoteReference w:id="28"/>
      </w:r>
      <w:r w:rsidR="00A82F08">
        <w:t xml:space="preserve"> </w:t>
      </w:r>
      <w:r>
        <w:t xml:space="preserve">requires that parties that provide funding during the standstill period are accorded a super priority ahead of all other pre standstill claimants. </w:t>
      </w:r>
    </w:p>
    <w:p w14:paraId="0E89D263" w14:textId="5858C7FA" w:rsidR="004233B8" w:rsidRDefault="004233B8" w:rsidP="00413AED">
      <w:pPr>
        <w:jc w:val="both"/>
      </w:pPr>
    </w:p>
    <w:p w14:paraId="1448A757" w14:textId="59F0FD20" w:rsidR="00864C1A" w:rsidRDefault="004233B8" w:rsidP="00413AED">
      <w:pPr>
        <w:jc w:val="both"/>
      </w:pPr>
      <w:r>
        <w:t>The facts show that the shareholder has demonstrated willingness to contribute €35 million if a standstill agreement is executed.</w:t>
      </w:r>
      <w:r w:rsidR="00B460A3">
        <w:t xml:space="preserve"> </w:t>
      </w:r>
      <w:r w:rsidR="00DE4147">
        <w:t xml:space="preserve">While only </w:t>
      </w:r>
      <w:r w:rsidR="00B460A3">
        <w:t>€25 million is repaid to the shareholders</w:t>
      </w:r>
      <w:r w:rsidR="00B41691">
        <w:t xml:space="preserve"> </w:t>
      </w:r>
      <w:r w:rsidR="00DE4147">
        <w:t>it is ahead o</w:t>
      </w:r>
      <w:r w:rsidR="00B41691">
        <w:t>f any distribution to the Banks</w:t>
      </w:r>
      <w:r w:rsidR="00DE4147">
        <w:t xml:space="preserve"> which suggests conformity to such an agreement</w:t>
      </w:r>
      <w:r w:rsidR="00B460A3">
        <w:t>.</w:t>
      </w:r>
    </w:p>
    <w:p w14:paraId="55015072" w14:textId="2E780985" w:rsidR="00B460A3" w:rsidRDefault="00B460A3" w:rsidP="00413AED">
      <w:pPr>
        <w:jc w:val="both"/>
      </w:pPr>
    </w:p>
    <w:p w14:paraId="720956A6" w14:textId="5EBB950E" w:rsidR="00835064" w:rsidRPr="00835064" w:rsidRDefault="00835064" w:rsidP="00413AED">
      <w:pPr>
        <w:jc w:val="both"/>
        <w:rPr>
          <w:b/>
          <w:bCs/>
        </w:rPr>
      </w:pPr>
      <w:r w:rsidRPr="00835064">
        <w:rPr>
          <w:b/>
          <w:bCs/>
        </w:rPr>
        <w:t>Endnote</w:t>
      </w:r>
    </w:p>
    <w:p w14:paraId="4E120091" w14:textId="794BF52A" w:rsidR="00B460A3" w:rsidRDefault="00B460A3" w:rsidP="00413AED">
      <w:pPr>
        <w:jc w:val="both"/>
      </w:pPr>
      <w:r>
        <w:t xml:space="preserve">For completeness I comment </w:t>
      </w:r>
      <w:r w:rsidR="00835064">
        <w:t xml:space="preserve">with </w:t>
      </w:r>
      <w:r>
        <w:t xml:space="preserve">my view as to why the first, second and seventh principle were not found in the workout process. </w:t>
      </w:r>
    </w:p>
    <w:p w14:paraId="2DCC928D" w14:textId="1C1EFBD9" w:rsidR="00B460A3" w:rsidRDefault="00B460A3" w:rsidP="00413AED">
      <w:pPr>
        <w:jc w:val="both"/>
      </w:pPr>
    </w:p>
    <w:p w14:paraId="6BB07864" w14:textId="6700D5E3" w:rsidR="00B460A3" w:rsidRDefault="00835064" w:rsidP="00413AED">
      <w:pPr>
        <w:jc w:val="both"/>
      </w:pPr>
      <w:r>
        <w:t xml:space="preserve">The first principle requires that the parties co-operate with each </w:t>
      </w:r>
      <w:r w:rsidR="00DD641F">
        <w:t xml:space="preserve">other </w:t>
      </w:r>
      <w:r>
        <w:t xml:space="preserve">for the purpose </w:t>
      </w:r>
      <w:r w:rsidR="00DD641F">
        <w:t xml:space="preserve">of </w:t>
      </w:r>
      <w:r>
        <w:t>executing a standstill agreement so that an evaluation process can be undertaken. The first notice of the financial difficulties was provided to the banks on 16 November 2013, but a standstill agreement was not executed until August 2014. During the intervening period</w:t>
      </w:r>
      <w:r w:rsidR="00DD641F">
        <w:t>,</w:t>
      </w:r>
      <w:r>
        <w:t xml:space="preserve"> </w:t>
      </w:r>
      <w:r w:rsidR="008F69E4">
        <w:t xml:space="preserve">only </w:t>
      </w:r>
      <w:r>
        <w:t>a dismal attempt was made at providing worthwhile information to the banks</w:t>
      </w:r>
      <w:r w:rsidR="00DD641F">
        <w:t>,</w:t>
      </w:r>
      <w:r>
        <w:t xml:space="preserve"> and valuable time was lost in commencing the investigative process so a recovery plan could be initiated. </w:t>
      </w:r>
    </w:p>
    <w:p w14:paraId="09F9C19A" w14:textId="4D84EDB6" w:rsidR="00835064" w:rsidRDefault="00835064" w:rsidP="00413AED">
      <w:pPr>
        <w:jc w:val="both"/>
      </w:pPr>
    </w:p>
    <w:p w14:paraId="72DE507B" w14:textId="13AABB60" w:rsidR="00864C1A" w:rsidRDefault="00835064" w:rsidP="00413AED">
      <w:pPr>
        <w:jc w:val="both"/>
      </w:pPr>
      <w:r>
        <w:t>The second principle requires that the status quo</w:t>
      </w:r>
      <w:r w:rsidR="00DD641F">
        <w:t>,</w:t>
      </w:r>
      <w:r>
        <w:t xml:space="preserve"> by and between relevant creditors</w:t>
      </w:r>
      <w:r w:rsidR="00DD641F">
        <w:t>,</w:t>
      </w:r>
      <w:r>
        <w:t xml:space="preserve"> will remain during the standstill period. </w:t>
      </w:r>
      <w:r w:rsidR="00CF1286">
        <w:t>However, in the Restructuring Agreement reached, banks C and D had their entire debt written off</w:t>
      </w:r>
      <w:r w:rsidR="00B41691">
        <w:t xml:space="preserve"> in one of the </w:t>
      </w:r>
      <w:r w:rsidR="00AA220B">
        <w:t>companies in the group</w:t>
      </w:r>
      <w:r w:rsidR="00B41691">
        <w:t>, with a suggestion that their position was compromised</w:t>
      </w:r>
      <w:r w:rsidR="008F69E4">
        <w:t xml:space="preserve"> as regards this principle</w:t>
      </w:r>
      <w:r w:rsidR="00B41691">
        <w:t>.</w:t>
      </w:r>
    </w:p>
    <w:p w14:paraId="345A3631" w14:textId="03DDC262" w:rsidR="00CF1286" w:rsidRDefault="00CF1286" w:rsidP="00413AED">
      <w:pPr>
        <w:jc w:val="both"/>
      </w:pPr>
    </w:p>
    <w:p w14:paraId="6D76E624" w14:textId="557C7B8B" w:rsidR="00CF1286" w:rsidRDefault="00CF1286" w:rsidP="00413AED">
      <w:pPr>
        <w:jc w:val="both"/>
      </w:pPr>
      <w:r>
        <w:t xml:space="preserve">The seventh principle requires the need for transparency of the supply of information across all relevant creditors where a proposal </w:t>
      </w:r>
      <w:r w:rsidR="00664C0B">
        <w:t>is being formulated</w:t>
      </w:r>
      <w:r w:rsidR="00615178">
        <w:t>,</w:t>
      </w:r>
      <w:r w:rsidR="00664C0B">
        <w:t xml:space="preserve"> and that confidentiality should otherwise prevail. It is noted that a public statement was made in the form of a press release that reported an expected trading loss of €39 million.</w:t>
      </w:r>
      <w:r w:rsidR="00AA220B">
        <w:t xml:space="preserve"> There is no suggestion that there was any legal obligation to do so nor that all parties agreed to the announcement.</w:t>
      </w:r>
    </w:p>
    <w:p w14:paraId="0DFF0DFC" w14:textId="0CC8387E" w:rsidR="00664C0B" w:rsidRDefault="00664C0B" w:rsidP="00413AED">
      <w:pPr>
        <w:jc w:val="both"/>
      </w:pPr>
    </w:p>
    <w:p w14:paraId="38E966C0" w14:textId="77777777" w:rsidR="00664C0B" w:rsidRDefault="00664C0B" w:rsidP="00413AED">
      <w:pPr>
        <w:jc w:val="both"/>
      </w:pPr>
      <w:r>
        <w:t xml:space="preserve">The case material exhibits weak adherence to the principles espoused as being best practice. The explanation for this is most likely to be low awareness of how the parties should conduct themselves to achieve the best possible outcome in all the circumstances. </w:t>
      </w:r>
    </w:p>
    <w:p w14:paraId="3F3D791B" w14:textId="6B84F237" w:rsidR="00664C0B" w:rsidRDefault="00664C0B" w:rsidP="00413AED">
      <w:pPr>
        <w:jc w:val="both"/>
      </w:pPr>
    </w:p>
    <w:p w14:paraId="664D26E8" w14:textId="144C3CDB" w:rsidR="00FD06A5" w:rsidRDefault="00FD06A5">
      <w:r>
        <w:br w:type="page"/>
      </w:r>
    </w:p>
    <w:p w14:paraId="6727AF6F" w14:textId="44999901" w:rsidR="00FD06A5" w:rsidRPr="0047127C" w:rsidRDefault="00FD06A5" w:rsidP="00FD06A5">
      <w:pPr>
        <w:jc w:val="center"/>
        <w:rPr>
          <w:b/>
          <w:bCs/>
          <w:sz w:val="32"/>
        </w:rPr>
      </w:pPr>
      <w:r w:rsidRPr="0047127C">
        <w:rPr>
          <w:b/>
          <w:bCs/>
          <w:sz w:val="32"/>
        </w:rPr>
        <w:lastRenderedPageBreak/>
        <w:t xml:space="preserve">QUESTION </w:t>
      </w:r>
      <w:r>
        <w:rPr>
          <w:b/>
          <w:bCs/>
          <w:sz w:val="32"/>
        </w:rPr>
        <w:t>6</w:t>
      </w:r>
    </w:p>
    <w:p w14:paraId="78823107" w14:textId="77777777" w:rsidR="00FD06A5" w:rsidRDefault="00FD06A5" w:rsidP="00FD06A5">
      <w:pPr>
        <w:jc w:val="center"/>
        <w:rPr>
          <w:b/>
          <w:bCs/>
        </w:rPr>
      </w:pPr>
    </w:p>
    <w:p w14:paraId="4B24F4F5" w14:textId="77777777" w:rsidR="00FD06A5" w:rsidRPr="002B7720" w:rsidRDefault="00FD06A5" w:rsidP="00FD06A5">
      <w:r w:rsidRPr="002B7720">
        <w:t xml:space="preserve">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 </w:t>
      </w:r>
    </w:p>
    <w:p w14:paraId="2BB61424" w14:textId="77777777" w:rsidR="00FD06A5" w:rsidRPr="002B7720" w:rsidRDefault="00FD06A5" w:rsidP="00FD06A5"/>
    <w:p w14:paraId="16F1B2D1" w14:textId="77777777" w:rsidR="00FD06A5" w:rsidRPr="002B7720" w:rsidRDefault="00FD06A5" w:rsidP="00FD06A5">
      <w:pPr>
        <w:rPr>
          <w:b/>
          <w:bCs/>
        </w:rPr>
      </w:pPr>
      <w:r w:rsidRPr="002B7720">
        <w:rPr>
          <w:b/>
          <w:bCs/>
        </w:rPr>
        <w:t>ANSWER</w:t>
      </w:r>
    </w:p>
    <w:p w14:paraId="4BC75933" w14:textId="77777777" w:rsidR="00FD06A5" w:rsidRPr="002B7720" w:rsidRDefault="00FD06A5" w:rsidP="00413AED">
      <w:pPr>
        <w:jc w:val="both"/>
      </w:pPr>
    </w:p>
    <w:p w14:paraId="39BAB2F3" w14:textId="7E116532" w:rsidR="00A82F08" w:rsidRPr="002B7720" w:rsidRDefault="00A82F08" w:rsidP="00413AED">
      <w:pPr>
        <w:jc w:val="both"/>
        <w:rPr>
          <w:b/>
          <w:bCs/>
        </w:rPr>
      </w:pPr>
      <w:r w:rsidRPr="002B7720">
        <w:rPr>
          <w:b/>
          <w:bCs/>
        </w:rPr>
        <w:t>What is soft law?</w:t>
      </w:r>
    </w:p>
    <w:p w14:paraId="19EB3848" w14:textId="0539D811" w:rsidR="00E1101E" w:rsidRDefault="006B5EBE" w:rsidP="00413AED">
      <w:pPr>
        <w:jc w:val="both"/>
      </w:pPr>
      <w:r w:rsidRPr="00643723">
        <w:t>Soft law is generally</w:t>
      </w:r>
      <w:r w:rsidRPr="002B7720">
        <w:t xml:space="preserve"> understood to be law that is not binding on the parties. The corollary being that hard law is binding on the parties that </w:t>
      </w:r>
      <w:r w:rsidR="009A7ECE" w:rsidRPr="002B7720">
        <w:t>agree to be bound.</w:t>
      </w:r>
      <w:r w:rsidRPr="002B7720">
        <w:t xml:space="preserve"> While the </w:t>
      </w:r>
      <w:r w:rsidR="009A7ECE" w:rsidRPr="002B7720">
        <w:t xml:space="preserve">distilled </w:t>
      </w:r>
      <w:r w:rsidRPr="002B7720">
        <w:t xml:space="preserve">definition </w:t>
      </w:r>
      <w:r w:rsidR="009A7ECE" w:rsidRPr="002B7720">
        <w:t xml:space="preserve">of non-binding law </w:t>
      </w:r>
      <w:r w:rsidRPr="002B7720">
        <w:t>may be easily conceptualised</w:t>
      </w:r>
      <w:r w:rsidR="009A7ECE" w:rsidRPr="002B7720">
        <w:t>,</w:t>
      </w:r>
      <w:r w:rsidRPr="002B7720">
        <w:t xml:space="preserve"> it is too simple when considering the context</w:t>
      </w:r>
      <w:r>
        <w:t xml:space="preserve"> and the basis </w:t>
      </w:r>
      <w:r w:rsidR="00643723">
        <w:t>of</w:t>
      </w:r>
      <w:r>
        <w:t xml:space="preserve"> its existence. </w:t>
      </w:r>
    </w:p>
    <w:p w14:paraId="3DB4C650" w14:textId="77777777" w:rsidR="00E1101E" w:rsidRDefault="00E1101E" w:rsidP="00413AED">
      <w:pPr>
        <w:jc w:val="both"/>
      </w:pPr>
    </w:p>
    <w:p w14:paraId="327D8461" w14:textId="760571BF" w:rsidR="00FD06A5" w:rsidRDefault="006B5EBE" w:rsidP="00413AED">
      <w:pPr>
        <w:jc w:val="both"/>
      </w:pPr>
      <w:r>
        <w:t>In an article by Wessels and Boon</w:t>
      </w:r>
      <w:r>
        <w:rPr>
          <w:rStyle w:val="FootnoteReference"/>
        </w:rPr>
        <w:footnoteReference w:id="29"/>
      </w:r>
      <w:r>
        <w:t xml:space="preserve"> (2019) </w:t>
      </w:r>
      <w:r w:rsidR="00591357">
        <w:t xml:space="preserve">the authors </w:t>
      </w:r>
      <w:r w:rsidR="009A7ECE">
        <w:t xml:space="preserve">cite </w:t>
      </w:r>
      <w:r w:rsidR="00591357">
        <w:t>Abbott and Snidal</w:t>
      </w:r>
      <w:r w:rsidR="00591357">
        <w:rPr>
          <w:rStyle w:val="FootnoteReference"/>
        </w:rPr>
        <w:footnoteReference w:id="30"/>
      </w:r>
      <w:r w:rsidR="00591357">
        <w:t xml:space="preserve"> </w:t>
      </w:r>
      <w:r w:rsidR="009A7ECE">
        <w:t xml:space="preserve">by quoting </w:t>
      </w:r>
      <w:r w:rsidR="00591357">
        <w:t xml:space="preserve">that </w:t>
      </w:r>
      <w:r w:rsidR="00E1101E">
        <w:t>“</w:t>
      </w:r>
      <w:r w:rsidR="00E1101E" w:rsidRPr="00E1101E">
        <w:rPr>
          <w:i/>
          <w:iCs/>
        </w:rPr>
        <w:t>hard and soft law are concepts on a continuum with hard law at one end and political arrangements at the other end”.</w:t>
      </w:r>
      <w:r w:rsidR="00E1101E">
        <w:t xml:space="preserve"> The authors </w:t>
      </w:r>
      <w:r w:rsidR="009A7ECE">
        <w:t xml:space="preserve">go on to </w:t>
      </w:r>
      <w:r w:rsidR="00E1101E">
        <w:t>say that an</w:t>
      </w:r>
      <w:r w:rsidR="00591357">
        <w:t xml:space="preserve"> instrument </w:t>
      </w:r>
      <w:r w:rsidR="00E1101E">
        <w:t xml:space="preserve">will be considered </w:t>
      </w:r>
      <w:r w:rsidR="00591357">
        <w:t>hard law w</w:t>
      </w:r>
      <w:r w:rsidR="00E1101E">
        <w:t>hen it refers to binding obligations, provides precise obligations and delegates authority for the interpretation of those obligations.</w:t>
      </w:r>
      <w:r w:rsidR="00E1101E">
        <w:rPr>
          <w:rStyle w:val="FootnoteReference"/>
        </w:rPr>
        <w:footnoteReference w:id="31"/>
      </w:r>
      <w:r w:rsidR="00E1101E">
        <w:t xml:space="preserve"> Soft law</w:t>
      </w:r>
      <w:r w:rsidR="00643723">
        <w:t>,</w:t>
      </w:r>
      <w:r w:rsidR="00E1101E">
        <w:t xml:space="preserve"> i</w:t>
      </w:r>
      <w:r w:rsidR="009A7ECE">
        <w:t>n contrast</w:t>
      </w:r>
      <w:r w:rsidR="00643723">
        <w:t>,</w:t>
      </w:r>
      <w:r w:rsidR="009A7ECE">
        <w:t xml:space="preserve"> will be found in </w:t>
      </w:r>
      <w:r w:rsidR="00E1101E">
        <w:t xml:space="preserve">an instrument that will </w:t>
      </w:r>
      <w:r w:rsidR="00643723">
        <w:t xml:space="preserve">strive to achieve </w:t>
      </w:r>
      <w:r w:rsidR="00E1101E">
        <w:t>a desir</w:t>
      </w:r>
      <w:r w:rsidR="009A7ECE">
        <w:t>ed</w:t>
      </w:r>
      <w:r w:rsidR="00E1101E">
        <w:t xml:space="preserve"> outcome but will not be enforceable by</w:t>
      </w:r>
      <w:r w:rsidR="00615178">
        <w:t>,</w:t>
      </w:r>
      <w:r w:rsidR="00E1101E">
        <w:t xml:space="preserve"> and between</w:t>
      </w:r>
      <w:r w:rsidR="00615178">
        <w:t>,</w:t>
      </w:r>
      <w:r w:rsidR="00E1101E">
        <w:t xml:space="preserve"> the parties.</w:t>
      </w:r>
      <w:r w:rsidR="00E1101E">
        <w:rPr>
          <w:rStyle w:val="FootnoteReference"/>
        </w:rPr>
        <w:footnoteReference w:id="32"/>
      </w:r>
      <w:r w:rsidR="00E1101E">
        <w:t xml:space="preserve"> An example of soft law are the eight principles advocated in the Statement of Principles for a Global Approach to Multi-Creditor Workouts II referred to in question 5.</w:t>
      </w:r>
    </w:p>
    <w:p w14:paraId="12048EBD" w14:textId="53E4AD38" w:rsidR="00637DCF" w:rsidRDefault="00637DCF" w:rsidP="00413AED">
      <w:pPr>
        <w:jc w:val="both"/>
      </w:pPr>
    </w:p>
    <w:p w14:paraId="22D6940C" w14:textId="0A0FE0BF" w:rsidR="00601896" w:rsidRDefault="00637DCF" w:rsidP="00413AED">
      <w:pPr>
        <w:jc w:val="both"/>
      </w:pPr>
      <w:r>
        <w:t>For the Statement of Principles to be adopted</w:t>
      </w:r>
      <w:r w:rsidR="00615178">
        <w:t>,</w:t>
      </w:r>
      <w:r>
        <w:t xml:space="preserve"> with any sense of purpose and desired outcome, they would first need to be understood</w:t>
      </w:r>
      <w:r w:rsidR="00615178">
        <w:t>,</w:t>
      </w:r>
      <w:r>
        <w:t xml:space="preserve"> and a common view held as to adherence with them. </w:t>
      </w:r>
      <w:r w:rsidR="009A7ECE">
        <w:t>In my re</w:t>
      </w:r>
      <w:r w:rsidR="00601896">
        <w:t>sponse to Question 5,</w:t>
      </w:r>
      <w:r>
        <w:t xml:space="preserve"> I have observed that five of the eight principles can be identified in the activity between the parties</w:t>
      </w:r>
      <w:r w:rsidR="00601896">
        <w:t xml:space="preserve">. That is not </w:t>
      </w:r>
      <w:r>
        <w:t>to say th</w:t>
      </w:r>
      <w:r w:rsidR="00601896">
        <w:t>ough</w:t>
      </w:r>
      <w:r w:rsidR="00615178">
        <w:t>,</w:t>
      </w:r>
      <w:r w:rsidR="00601896">
        <w:t xml:space="preserve"> that the parties </w:t>
      </w:r>
      <w:r>
        <w:t>recogni</w:t>
      </w:r>
      <w:r w:rsidR="00601896">
        <w:t xml:space="preserve">sed </w:t>
      </w:r>
      <w:r>
        <w:t>them</w:t>
      </w:r>
      <w:r w:rsidR="00615178">
        <w:t>,</w:t>
      </w:r>
      <w:r>
        <w:t xml:space="preserve"> and adher</w:t>
      </w:r>
      <w:r w:rsidR="00601896">
        <w:t>ed to them</w:t>
      </w:r>
      <w:r w:rsidR="00643723">
        <w:t>,</w:t>
      </w:r>
      <w:r w:rsidR="00601896">
        <w:t xml:space="preserve"> with any sense of deliberate intention.</w:t>
      </w:r>
    </w:p>
    <w:p w14:paraId="7F734889" w14:textId="04B2A14A" w:rsidR="00601896" w:rsidRDefault="00601896" w:rsidP="00413AED">
      <w:pPr>
        <w:jc w:val="both"/>
      </w:pPr>
    </w:p>
    <w:p w14:paraId="53E24E8D" w14:textId="36448AFE" w:rsidR="00601896" w:rsidRDefault="00601896" w:rsidP="00413AED">
      <w:pPr>
        <w:jc w:val="both"/>
      </w:pPr>
      <w:r>
        <w:t xml:space="preserve">The issue for consideration is whether the other creditors will adopt the processes agreeable to the parties. </w:t>
      </w:r>
      <w:r w:rsidR="004D117E">
        <w:t xml:space="preserve">Obligations for taxes, employee entitlements and non-party creditors, </w:t>
      </w:r>
      <w:r>
        <w:t>secured or unsecured</w:t>
      </w:r>
      <w:r w:rsidR="004D117E">
        <w:t>,</w:t>
      </w:r>
      <w:r>
        <w:t xml:space="preserve"> will </w:t>
      </w:r>
      <w:r w:rsidR="004D117E">
        <w:t xml:space="preserve">be affected by the </w:t>
      </w:r>
      <w:r w:rsidR="00665B47">
        <w:t>recovery processes</w:t>
      </w:r>
      <w:r w:rsidR="004D117E">
        <w:t xml:space="preserve"> being considered. The facts do not show any recognition of these claimant groups and yet their continued commitment will be essential to any plan to re</w:t>
      </w:r>
      <w:r w:rsidR="00665B47">
        <w:t>habilitate</w:t>
      </w:r>
      <w:r w:rsidR="004D117E">
        <w:t xml:space="preserve"> the business.</w:t>
      </w:r>
      <w:r w:rsidR="009C44CA">
        <w:t xml:space="preserve"> </w:t>
      </w:r>
    </w:p>
    <w:p w14:paraId="5843638C" w14:textId="2C4EDD02" w:rsidR="009C44CA" w:rsidRDefault="009C44CA" w:rsidP="00413AED">
      <w:pPr>
        <w:jc w:val="both"/>
      </w:pPr>
    </w:p>
    <w:p w14:paraId="487F151D" w14:textId="53EC93FF" w:rsidR="00601896" w:rsidRDefault="009C44CA" w:rsidP="00413AED">
      <w:pPr>
        <w:jc w:val="both"/>
      </w:pPr>
      <w:r>
        <w:t>If the other creditors are not convinced that due and proper consideration has been given to their interests, then the scope of agreements will need to broaden to ensure that they do.</w:t>
      </w:r>
      <w:r>
        <w:rPr>
          <w:rStyle w:val="FootnoteReference"/>
        </w:rPr>
        <w:footnoteReference w:id="33"/>
      </w:r>
      <w:r>
        <w:t xml:space="preserve"> </w:t>
      </w:r>
      <w:r w:rsidR="000A6392">
        <w:t>An example of how this may be achieved is</w:t>
      </w:r>
      <w:r w:rsidR="005D3FC9">
        <w:t>,</w:t>
      </w:r>
      <w:r w:rsidR="000A6392">
        <w:t xml:space="preserve"> acknowledgement of contributing creditors rights</w:t>
      </w:r>
      <w:r w:rsidR="005D3FC9">
        <w:t>,</w:t>
      </w:r>
      <w:r w:rsidR="000A6392">
        <w:t xml:space="preserve"> and the establishment of a Creditor Committee. Support for this can be found in </w:t>
      </w:r>
      <w:r w:rsidR="00F8522B">
        <w:t xml:space="preserve">works </w:t>
      </w:r>
      <w:r w:rsidR="000A6392">
        <w:t>prepared by the World Bank</w:t>
      </w:r>
      <w:r w:rsidR="00062B58">
        <w:rPr>
          <w:rStyle w:val="FootnoteReference"/>
        </w:rPr>
        <w:footnoteReference w:id="34"/>
      </w:r>
      <w:r w:rsidR="000A6392">
        <w:t xml:space="preserve">. </w:t>
      </w:r>
      <w:r w:rsidR="00062B58">
        <w:t xml:space="preserve">At paragraph C7.1 of that </w:t>
      </w:r>
      <w:r w:rsidR="00F8522B">
        <w:t xml:space="preserve">work </w:t>
      </w:r>
      <w:r w:rsidR="00062B58">
        <w:t xml:space="preserve">it notes that </w:t>
      </w:r>
      <w:r w:rsidR="00F8522B">
        <w:t xml:space="preserve">best practice would ensure that </w:t>
      </w:r>
      <w:r w:rsidR="00F8522B" w:rsidRPr="00F8522B">
        <w:rPr>
          <w:i/>
          <w:iCs/>
        </w:rPr>
        <w:t xml:space="preserve">“Creditor interests should be safeguarded by appropriate means that enable </w:t>
      </w:r>
      <w:r w:rsidR="00F8522B" w:rsidRPr="00F8522B">
        <w:rPr>
          <w:i/>
          <w:iCs/>
        </w:rPr>
        <w:lastRenderedPageBreak/>
        <w:t>creditors to effectively monitor and participate in insolvency proceedings to ensure fairness and integrity</w:t>
      </w:r>
      <w:r w:rsidR="00062B58">
        <w:rPr>
          <w:i/>
          <w:iCs/>
        </w:rPr>
        <w:t>, including by creation of a creditors’ committee as a preferred mechanism, especially in cases involving numerous creditors.</w:t>
      </w:r>
      <w:r w:rsidR="00F8522B" w:rsidRPr="00F8522B">
        <w:rPr>
          <w:i/>
          <w:iCs/>
        </w:rPr>
        <w:t xml:space="preserve">” </w:t>
      </w:r>
      <w:r w:rsidR="00062B58">
        <w:t xml:space="preserve">Paragraph C7.2 outlines the framework of a creditor committee including its rights, roles and responsibilities. </w:t>
      </w:r>
    </w:p>
    <w:p w14:paraId="2F62FA1F" w14:textId="77777777" w:rsidR="00900A5E" w:rsidRDefault="00900A5E" w:rsidP="00413AED">
      <w:pPr>
        <w:jc w:val="both"/>
      </w:pPr>
    </w:p>
    <w:p w14:paraId="576597CA" w14:textId="2FFD63AE" w:rsidR="00062B58" w:rsidRDefault="00900A5E" w:rsidP="00413AED">
      <w:pPr>
        <w:jc w:val="both"/>
      </w:pPr>
      <w:r>
        <w:t>Not being able to convince other creditors to adopt the Statement of Principles may well be because they feel excluded from the process</w:t>
      </w:r>
      <w:r w:rsidR="00665B47">
        <w:t>,</w:t>
      </w:r>
      <w:r>
        <w:t xml:space="preserve"> </w:t>
      </w:r>
      <w:r w:rsidR="00333748">
        <w:t xml:space="preserve">or </w:t>
      </w:r>
      <w:r>
        <w:t>inappropriately subordinated. In such circumstances, the use of any power that may exist by</w:t>
      </w:r>
      <w:r w:rsidR="00665B47">
        <w:t>,</w:t>
      </w:r>
      <w:r>
        <w:t xml:space="preserve"> and between them</w:t>
      </w:r>
      <w:r w:rsidR="00665B47">
        <w:t>,</w:t>
      </w:r>
      <w:r>
        <w:t xml:space="preserve"> to appoint a creditor committee will be useful to achieve a balance of rights – especially if the creditor committee is framed in an instrument comprising Hard Law. </w:t>
      </w:r>
    </w:p>
    <w:p w14:paraId="7B678D30" w14:textId="4EA0688B" w:rsidR="00333748" w:rsidRDefault="00333748" w:rsidP="00413AED">
      <w:pPr>
        <w:jc w:val="both"/>
      </w:pPr>
    </w:p>
    <w:p w14:paraId="128F0C20" w14:textId="77777777" w:rsidR="00711DBD" w:rsidRDefault="00333748" w:rsidP="00413AED">
      <w:pPr>
        <w:jc w:val="both"/>
      </w:pPr>
      <w:r>
        <w:t xml:space="preserve">On 7 November 2006 the Insolvency (Cross-Border) Act 2006 was assented to and adopted into New Zealand law. That Act </w:t>
      </w:r>
      <w:r w:rsidR="00DC1C2E">
        <w:t>states its purpose</w:t>
      </w:r>
      <w:r w:rsidR="00711DBD">
        <w:rPr>
          <w:rStyle w:val="FootnoteReference"/>
        </w:rPr>
        <w:footnoteReference w:id="35"/>
      </w:r>
      <w:r w:rsidR="00DC1C2E">
        <w:t xml:space="preserve"> to be to implement the Model Law on Cross-Border Insolvency adopted by the United Nations Commission on International Trade Law</w:t>
      </w:r>
      <w:r w:rsidR="00DC1C2E">
        <w:rPr>
          <w:rStyle w:val="FootnoteReference"/>
        </w:rPr>
        <w:footnoteReference w:id="36"/>
      </w:r>
      <w:r w:rsidR="00DC1C2E">
        <w:t xml:space="preserve">. </w:t>
      </w:r>
    </w:p>
    <w:p w14:paraId="2AF3CBCF" w14:textId="77777777" w:rsidR="00711DBD" w:rsidRDefault="00711DBD" w:rsidP="00413AED">
      <w:pPr>
        <w:jc w:val="both"/>
      </w:pPr>
    </w:p>
    <w:p w14:paraId="22BA639C" w14:textId="77777777" w:rsidR="00BD4EFD" w:rsidRDefault="00711DBD" w:rsidP="00413AED">
      <w:pPr>
        <w:jc w:val="both"/>
      </w:pPr>
      <w:r>
        <w:t xml:space="preserve">The UNCITRAL Model Law on Cross-Border Insolvency (“Model Law”) would be applicable Soft Law if the circumstances of the Case were to include New Zealand counterparties. If New Zealand based creditors were not convinced that the Statement of Principles adhered to by the restructuring parties </w:t>
      </w:r>
      <w:r w:rsidR="00E125A9">
        <w:t xml:space="preserve">served their interests also, </w:t>
      </w:r>
      <w:r>
        <w:t xml:space="preserve">then the provisions of the Model Law could be invoked. </w:t>
      </w:r>
    </w:p>
    <w:p w14:paraId="11718180" w14:textId="77777777" w:rsidR="00BD4EFD" w:rsidRDefault="00BD4EFD" w:rsidP="00413AED">
      <w:pPr>
        <w:jc w:val="both"/>
      </w:pPr>
    </w:p>
    <w:p w14:paraId="7AD76AF1" w14:textId="638C1E41" w:rsidR="00333748" w:rsidRPr="00E125A9" w:rsidRDefault="00711DBD" w:rsidP="00413AED">
      <w:pPr>
        <w:jc w:val="both"/>
      </w:pPr>
      <w:r>
        <w:t>Paragraph 1 d of Article 1 provides that the law applies where “</w:t>
      </w:r>
      <w:r w:rsidRPr="00E125A9">
        <w:rPr>
          <w:i/>
          <w:iCs/>
        </w:rPr>
        <w:t>Creditors or other interest</w:t>
      </w:r>
      <w:r w:rsidR="003F2E92" w:rsidRPr="00E125A9">
        <w:rPr>
          <w:i/>
          <w:iCs/>
        </w:rPr>
        <w:t xml:space="preserve">ed persons in a foreign state have an interest in requesting the commencement of, or participating in, a </w:t>
      </w:r>
      <w:r w:rsidR="00E125A9" w:rsidRPr="00E125A9">
        <w:rPr>
          <w:i/>
          <w:iCs/>
        </w:rPr>
        <w:t>proceeding [identify laws of the enacting State relating to insolvency].”</w:t>
      </w:r>
      <w:r w:rsidR="00E125A9">
        <w:rPr>
          <w:i/>
          <w:iCs/>
        </w:rPr>
        <w:t xml:space="preserve"> </w:t>
      </w:r>
      <w:r w:rsidR="00E125A9">
        <w:t xml:space="preserve">In such circumstances the other creditors could see their position strengthened by reaching agreement that was inclusive </w:t>
      </w:r>
      <w:r w:rsidR="00E3373C">
        <w:t>with the use of Soft Law that is authorised by enactment in New Zealand.</w:t>
      </w:r>
    </w:p>
    <w:p w14:paraId="7DABCD9B" w14:textId="438CCD75" w:rsidR="00D066A1" w:rsidRDefault="00D066A1" w:rsidP="00413AED">
      <w:pPr>
        <w:jc w:val="both"/>
        <w:rPr>
          <w:b/>
          <w:bCs/>
        </w:rPr>
      </w:pPr>
      <w:r>
        <w:rPr>
          <w:b/>
          <w:bCs/>
        </w:rPr>
        <w:br w:type="page"/>
      </w:r>
    </w:p>
    <w:p w14:paraId="68D967EE" w14:textId="387D7567" w:rsidR="00E3373C" w:rsidRPr="0047127C" w:rsidRDefault="00E3373C" w:rsidP="00E3373C">
      <w:pPr>
        <w:jc w:val="center"/>
        <w:rPr>
          <w:b/>
          <w:bCs/>
          <w:sz w:val="32"/>
        </w:rPr>
      </w:pPr>
      <w:r w:rsidRPr="0047127C">
        <w:rPr>
          <w:b/>
          <w:bCs/>
          <w:sz w:val="32"/>
        </w:rPr>
        <w:lastRenderedPageBreak/>
        <w:t xml:space="preserve">QUESTION </w:t>
      </w:r>
      <w:r>
        <w:rPr>
          <w:b/>
          <w:bCs/>
          <w:sz w:val="32"/>
        </w:rPr>
        <w:t>7</w:t>
      </w:r>
    </w:p>
    <w:p w14:paraId="77750AF2" w14:textId="77777777" w:rsidR="00E3373C" w:rsidRDefault="00E3373C" w:rsidP="00E3373C">
      <w:pPr>
        <w:jc w:val="center"/>
        <w:rPr>
          <w:b/>
          <w:bCs/>
        </w:rPr>
      </w:pPr>
    </w:p>
    <w:p w14:paraId="7441EB0F" w14:textId="77E324A0" w:rsidR="00E3373C" w:rsidRDefault="00E3373C" w:rsidP="00E3373C">
      <w:r>
        <w:t>Explain in detail the essence and result of the restructuring agreement as signed on 4</w:t>
      </w:r>
      <w:r w:rsidRPr="00E3373C">
        <w:rPr>
          <w:vertAlign w:val="superscript"/>
        </w:rPr>
        <w:t>th</w:t>
      </w:r>
      <w:r>
        <w:t xml:space="preserve"> of July 2015</w:t>
      </w:r>
    </w:p>
    <w:p w14:paraId="600111B3" w14:textId="77777777" w:rsidR="00E3373C" w:rsidRDefault="00E3373C" w:rsidP="00E3373C"/>
    <w:p w14:paraId="1FE38ACC" w14:textId="77777777" w:rsidR="00E3373C" w:rsidRPr="006D1D7B" w:rsidRDefault="00E3373C" w:rsidP="00E3373C">
      <w:pPr>
        <w:rPr>
          <w:b/>
          <w:bCs/>
        </w:rPr>
      </w:pPr>
      <w:r w:rsidRPr="006D1D7B">
        <w:rPr>
          <w:b/>
          <w:bCs/>
        </w:rPr>
        <w:t>ANSWER</w:t>
      </w:r>
    </w:p>
    <w:p w14:paraId="7B78811F" w14:textId="58FE7CD8" w:rsidR="00B35130" w:rsidRDefault="00B35130" w:rsidP="00413AED">
      <w:pPr>
        <w:jc w:val="both"/>
      </w:pPr>
    </w:p>
    <w:p w14:paraId="1DB8F0BE" w14:textId="6F56F535" w:rsidR="002A789E" w:rsidRPr="002A789E" w:rsidRDefault="002A789E" w:rsidP="00413AED">
      <w:pPr>
        <w:jc w:val="both"/>
        <w:rPr>
          <w:b/>
          <w:bCs/>
        </w:rPr>
      </w:pPr>
      <w:r w:rsidRPr="002A789E">
        <w:rPr>
          <w:b/>
          <w:bCs/>
        </w:rPr>
        <w:t>Overview</w:t>
      </w:r>
    </w:p>
    <w:p w14:paraId="03A6A0EF" w14:textId="4A81D5D4" w:rsidR="00442A33" w:rsidRDefault="00B35130" w:rsidP="00413AED">
      <w:pPr>
        <w:jc w:val="both"/>
      </w:pPr>
      <w:r>
        <w:t>The seven</w:t>
      </w:r>
      <w:r w:rsidR="00442A33">
        <w:t>-</w:t>
      </w:r>
      <w:r>
        <w:t>point restructuring agreement is in essence a hive down of the business interests of the six trading companies to a new entity</w:t>
      </w:r>
      <w:r w:rsidR="005206D0">
        <w:t>. O</w:t>
      </w:r>
      <w:r>
        <w:t xml:space="preserve">wnership </w:t>
      </w:r>
      <w:r w:rsidR="005206D0">
        <w:t xml:space="preserve">of the new entity will be </w:t>
      </w:r>
      <w:r w:rsidR="00442A33">
        <w:t>comprised of creditors that have supplied capital</w:t>
      </w:r>
      <w:r w:rsidR="00BD4EFD">
        <w:t>,</w:t>
      </w:r>
      <w:r w:rsidR="00442A33">
        <w:t xml:space="preserve"> and individuals that will be influential in </w:t>
      </w:r>
      <w:r w:rsidR="005206D0">
        <w:t>achieving a commercial outcome</w:t>
      </w:r>
      <w:r w:rsidR="00456994">
        <w:t xml:space="preserve">. The intention of the </w:t>
      </w:r>
      <w:r w:rsidR="00442A33">
        <w:t>restructur</w:t>
      </w:r>
      <w:r w:rsidR="00456994">
        <w:t>ing process is for the realisation of the b</w:t>
      </w:r>
      <w:r w:rsidR="00442A33">
        <w:t>usiness</w:t>
      </w:r>
      <w:r w:rsidR="00C61A19">
        <w:t xml:space="preserve"> </w:t>
      </w:r>
      <w:r w:rsidR="00456994">
        <w:t xml:space="preserve">to provide </w:t>
      </w:r>
      <w:r w:rsidR="00C61A19">
        <w:t xml:space="preserve">an exit route </w:t>
      </w:r>
      <w:r w:rsidR="00456994">
        <w:t xml:space="preserve">and a </w:t>
      </w:r>
      <w:r w:rsidR="00C61A19">
        <w:t>rede</w:t>
      </w:r>
      <w:r w:rsidR="00456994">
        <w:t>mption of e</w:t>
      </w:r>
      <w:r w:rsidR="00C61A19">
        <w:t>arlier investment</w:t>
      </w:r>
      <w:r w:rsidR="005206D0">
        <w:t>.</w:t>
      </w:r>
    </w:p>
    <w:p w14:paraId="283BAA93" w14:textId="77777777" w:rsidR="002A789E" w:rsidRDefault="002A789E" w:rsidP="00413AED">
      <w:pPr>
        <w:jc w:val="both"/>
      </w:pPr>
    </w:p>
    <w:p w14:paraId="3EF633F8" w14:textId="77777777" w:rsidR="002A789E" w:rsidRPr="00B35130" w:rsidRDefault="002A789E" w:rsidP="002A789E">
      <w:pPr>
        <w:jc w:val="both"/>
        <w:rPr>
          <w:b/>
          <w:bCs/>
        </w:rPr>
      </w:pPr>
      <w:r w:rsidRPr="00B35130">
        <w:rPr>
          <w:b/>
          <w:bCs/>
        </w:rPr>
        <w:t>The essence of the restructuring agreement</w:t>
      </w:r>
    </w:p>
    <w:p w14:paraId="02FFD64A" w14:textId="44C4899B" w:rsidR="002C2158" w:rsidRDefault="005206D0" w:rsidP="00413AED">
      <w:pPr>
        <w:jc w:val="both"/>
      </w:pPr>
      <w:r>
        <w:t>The agreement provides that</w:t>
      </w:r>
      <w:r w:rsidR="00C61A19">
        <w:t xml:space="preserve"> the first step is for </w:t>
      </w:r>
      <w:r>
        <w:t xml:space="preserve">a new company </w:t>
      </w:r>
      <w:r w:rsidR="00C61A19">
        <w:t>to</w:t>
      </w:r>
      <w:r>
        <w:t xml:space="preserve"> be incorporated in the Netherlands under the name Flow Management II BV (“FMII”). The incorporating shareholder is Flow Management BV (“FMBV”). On incorporation, the shareholding ownership of the six trading companies </w:t>
      </w:r>
      <w:r w:rsidR="00C61A19">
        <w:t>are</w:t>
      </w:r>
      <w:r>
        <w:t xml:space="preserve"> transferred from FMBV to FMII. The effect of this transfer is</w:t>
      </w:r>
      <w:r w:rsidR="003B54FA">
        <w:t xml:space="preserve"> that the business interests of the </w:t>
      </w:r>
      <w:r w:rsidR="002C2158">
        <w:t xml:space="preserve">six trading companies </w:t>
      </w:r>
      <w:r w:rsidR="003B54FA">
        <w:t xml:space="preserve">are now owned by </w:t>
      </w:r>
      <w:r w:rsidR="002C2158">
        <w:t xml:space="preserve">FMII. The first step of the hive down is completed with all </w:t>
      </w:r>
      <w:r w:rsidR="006466AD">
        <w:t>creditor’s</w:t>
      </w:r>
      <w:r w:rsidR="002C2158">
        <w:t xml:space="preserve"> rights, at this stage, remaining unaltered</w:t>
      </w:r>
      <w:r w:rsidR="00757F77">
        <w:rPr>
          <w:rStyle w:val="FootnoteReference"/>
        </w:rPr>
        <w:footnoteReference w:id="37"/>
      </w:r>
      <w:r w:rsidR="002C2158">
        <w:t>.</w:t>
      </w:r>
    </w:p>
    <w:p w14:paraId="1D9F3F52" w14:textId="77777777" w:rsidR="002C2158" w:rsidRDefault="002C2158" w:rsidP="00413AED">
      <w:pPr>
        <w:jc w:val="both"/>
      </w:pPr>
    </w:p>
    <w:p w14:paraId="46C6A369" w14:textId="474FA167" w:rsidR="006910A0" w:rsidRDefault="006466AD" w:rsidP="00413AED">
      <w:pPr>
        <w:jc w:val="both"/>
      </w:pPr>
      <w:r>
        <w:t xml:space="preserve">The second step is </w:t>
      </w:r>
      <w:r w:rsidR="00E03FCE">
        <w:t xml:space="preserve">to </w:t>
      </w:r>
      <w:r>
        <w:t xml:space="preserve">allocate the shareholding interest in FMII to parties that will, as consideration for the allocation, forgive debt or pledge commitment. </w:t>
      </w:r>
      <w:r w:rsidR="002C6F0D">
        <w:t xml:space="preserve">A parcel of </w:t>
      </w:r>
      <w:r w:rsidR="00953AE1">
        <w:t xml:space="preserve">shares of FMII are </w:t>
      </w:r>
      <w:r w:rsidR="006910A0">
        <w:t xml:space="preserve">to be </w:t>
      </w:r>
      <w:r w:rsidR="00953AE1">
        <w:t>allocated to the consortium of banks (A, B, C and D)</w:t>
      </w:r>
      <w:r w:rsidR="00450D88">
        <w:t xml:space="preserve"> (“</w:t>
      </w:r>
      <w:r w:rsidR="006910A0">
        <w:t xml:space="preserve">Consortium of </w:t>
      </w:r>
      <w:r w:rsidR="00450D88">
        <w:t>Banks”)</w:t>
      </w:r>
      <w:r w:rsidR="00F34299">
        <w:t xml:space="preserve"> </w:t>
      </w:r>
      <w:r w:rsidR="002C6F0D">
        <w:t>in consideration of the Banks forgiving</w:t>
      </w:r>
      <w:r w:rsidR="006910A0">
        <w:t>,</w:t>
      </w:r>
      <w:r w:rsidR="002C6F0D">
        <w:t xml:space="preserve"> or writing o</w:t>
      </w:r>
      <w:r w:rsidR="003B54FA">
        <w:t>f</w:t>
      </w:r>
      <w:r w:rsidR="002C6F0D">
        <w:t>f</w:t>
      </w:r>
      <w:r w:rsidR="006910A0">
        <w:t>,</w:t>
      </w:r>
      <w:r w:rsidR="002C6F0D">
        <w:t xml:space="preserve"> their claim in FMBV. </w:t>
      </w:r>
    </w:p>
    <w:p w14:paraId="08BA88D1" w14:textId="77777777" w:rsidR="006910A0" w:rsidRDefault="006910A0" w:rsidP="00413AED">
      <w:pPr>
        <w:jc w:val="both"/>
      </w:pPr>
    </w:p>
    <w:p w14:paraId="211D90B7" w14:textId="0A794490" w:rsidR="002C6F0D" w:rsidRDefault="002C6F0D" w:rsidP="00413AED">
      <w:pPr>
        <w:jc w:val="both"/>
      </w:pPr>
      <w:r>
        <w:t xml:space="preserve">A second parcel of shares are allocated to </w:t>
      </w:r>
      <w:r w:rsidR="00F34299">
        <w:t>selected board members</w:t>
      </w:r>
      <w:r>
        <w:t>. It is presumed that the board members are investors in FMBV. Consideration for this parcel of shares is that claims</w:t>
      </w:r>
      <w:r w:rsidR="006910A0">
        <w:t>,</w:t>
      </w:r>
      <w:r>
        <w:t xml:space="preserve"> able to be made by Lease Group Holding BV The Netherlands (“LGH”)</w:t>
      </w:r>
      <w:r w:rsidR="006910A0">
        <w:t>,</w:t>
      </w:r>
      <w:r>
        <w:t xml:space="preserve"> are forgiven or written off. The third parcel of shares have been allocated to the CRO with consideration most likely being a pledge </w:t>
      </w:r>
      <w:r w:rsidR="00E16F10">
        <w:t>involving</w:t>
      </w:r>
      <w:r>
        <w:t xml:space="preserve"> </w:t>
      </w:r>
      <w:r w:rsidR="006910A0">
        <w:t xml:space="preserve">a contract of employment </w:t>
      </w:r>
      <w:r w:rsidR="00E16F10">
        <w:t>containing</w:t>
      </w:r>
      <w:r w:rsidR="006910A0">
        <w:t xml:space="preserve"> </w:t>
      </w:r>
      <w:r>
        <w:t>performance</w:t>
      </w:r>
      <w:r w:rsidR="006910A0">
        <w:t xml:space="preserve"> expectations</w:t>
      </w:r>
      <w:r>
        <w:t>.</w:t>
      </w:r>
    </w:p>
    <w:p w14:paraId="319713A9" w14:textId="77777777" w:rsidR="002C6F0D" w:rsidRDefault="002C6F0D" w:rsidP="00413AED">
      <w:pPr>
        <w:jc w:val="both"/>
      </w:pPr>
    </w:p>
    <w:p w14:paraId="5FC6E68C" w14:textId="41698406" w:rsidR="007926BD" w:rsidRDefault="00450D88" w:rsidP="00413AED">
      <w:pPr>
        <w:jc w:val="both"/>
      </w:pPr>
      <w:r>
        <w:t xml:space="preserve">The effect of this second step is a debt for equity swap for the </w:t>
      </w:r>
      <w:r w:rsidR="006910A0">
        <w:t xml:space="preserve">Consortium of </w:t>
      </w:r>
      <w:r>
        <w:t xml:space="preserve">Banks, the provision of shares </w:t>
      </w:r>
      <w:r w:rsidR="006910A0">
        <w:t xml:space="preserve">to the investors in </w:t>
      </w:r>
      <w:r>
        <w:t>FMBV</w:t>
      </w:r>
      <w:r w:rsidR="00E16F10">
        <w:t xml:space="preserve"> (</w:t>
      </w:r>
      <w:r w:rsidR="006910A0">
        <w:t>assuming them to be the board members referred to</w:t>
      </w:r>
      <w:r w:rsidR="00E16F10">
        <w:t>)</w:t>
      </w:r>
      <w:r w:rsidR="006910A0">
        <w:t xml:space="preserve">, </w:t>
      </w:r>
      <w:r>
        <w:t xml:space="preserve">and an allocation to </w:t>
      </w:r>
      <w:r w:rsidR="006910A0">
        <w:t>the CRO</w:t>
      </w:r>
      <w:r>
        <w:t xml:space="preserve"> that will </w:t>
      </w:r>
      <w:r w:rsidR="006910A0">
        <w:t xml:space="preserve">engineer, and execute upon, the </w:t>
      </w:r>
      <w:r w:rsidR="00757F77">
        <w:t xml:space="preserve">plan for </w:t>
      </w:r>
      <w:r w:rsidR="006910A0">
        <w:t>commercial recovery.</w:t>
      </w:r>
    </w:p>
    <w:p w14:paraId="258E08E7" w14:textId="77777777" w:rsidR="007926BD" w:rsidRDefault="007926BD" w:rsidP="00413AED">
      <w:pPr>
        <w:jc w:val="both"/>
      </w:pPr>
    </w:p>
    <w:p w14:paraId="280BF393" w14:textId="5363D046" w:rsidR="00450D88" w:rsidRDefault="007A73D8" w:rsidP="00413AED">
      <w:pPr>
        <w:jc w:val="both"/>
      </w:pPr>
      <w:r>
        <w:t>In addition</w:t>
      </w:r>
      <w:r w:rsidR="006910A0">
        <w:t>,</w:t>
      </w:r>
      <w:r>
        <w:t xml:space="preserve"> write</w:t>
      </w:r>
      <w:r w:rsidR="007926BD">
        <w:t xml:space="preserve">-off will occur for any claims that LGH </w:t>
      </w:r>
      <w:r w:rsidR="003D2655">
        <w:t xml:space="preserve">may </w:t>
      </w:r>
      <w:r w:rsidR="007926BD">
        <w:t xml:space="preserve">have against FMBV and the subsidiaries that have been transferred to FMII. </w:t>
      </w:r>
      <w:r w:rsidR="00450D88">
        <w:t>Th</w:t>
      </w:r>
      <w:r w:rsidR="003D2655">
        <w:t xml:space="preserve">e agreements reached in this </w:t>
      </w:r>
      <w:r w:rsidR="007926BD">
        <w:t xml:space="preserve">second </w:t>
      </w:r>
      <w:r w:rsidR="00450D88">
        <w:t xml:space="preserve">step will preserve, </w:t>
      </w:r>
      <w:r w:rsidR="003D2655">
        <w:t>in balance sheet terms</w:t>
      </w:r>
      <w:r w:rsidR="00450D88">
        <w:t xml:space="preserve">, the relative interests of the parties in the operating activity and its future potential. </w:t>
      </w:r>
      <w:r>
        <w:t>It will not provide any interest to non-party or non-shareholding interests in FMBV.</w:t>
      </w:r>
      <w:r w:rsidR="007926BD">
        <w:t xml:space="preserve"> It is anticipated that FMBV will be liquidated at some time and the</w:t>
      </w:r>
      <w:r w:rsidR="003D2655">
        <w:t xml:space="preserve"> </w:t>
      </w:r>
      <w:r w:rsidR="00E16F10">
        <w:t xml:space="preserve">creditors not </w:t>
      </w:r>
      <w:r w:rsidR="003D2655">
        <w:t>accounted for</w:t>
      </w:r>
      <w:r w:rsidR="007926BD">
        <w:t xml:space="preserve"> will make a claim for their rights to the liquidator.</w:t>
      </w:r>
    </w:p>
    <w:p w14:paraId="41361E57" w14:textId="5436C1F3" w:rsidR="007926BD" w:rsidRDefault="007926BD" w:rsidP="00413AED">
      <w:pPr>
        <w:jc w:val="both"/>
      </w:pPr>
    </w:p>
    <w:p w14:paraId="53BB7905" w14:textId="0F62C6A4" w:rsidR="007926BD" w:rsidRDefault="007926BD" w:rsidP="00413AED">
      <w:pPr>
        <w:jc w:val="both"/>
      </w:pPr>
      <w:r>
        <w:t xml:space="preserve">The third step taken reflects a need for </w:t>
      </w:r>
      <w:r w:rsidR="00E933F6">
        <w:t xml:space="preserve">refinement of </w:t>
      </w:r>
      <w:r>
        <w:t xml:space="preserve">debt </w:t>
      </w:r>
      <w:r w:rsidR="00E933F6">
        <w:t xml:space="preserve">advances made to </w:t>
      </w:r>
      <w:r>
        <w:t>Flow Management Work BV (“FMW”)</w:t>
      </w:r>
      <w:r w:rsidR="00E933F6">
        <w:t>. As at 16 November 2013, debt advances made to FMW were working capital of €360 million and other loans of €55 million, a total of €415 million.</w:t>
      </w:r>
      <w:r w:rsidR="00205BB2">
        <w:t xml:space="preserve"> </w:t>
      </w:r>
      <w:r w:rsidR="00E933F6">
        <w:t xml:space="preserve">The </w:t>
      </w:r>
      <w:r w:rsidR="00177480">
        <w:t xml:space="preserve">agreement provides that </w:t>
      </w:r>
      <w:r w:rsidR="00E933F6">
        <w:t>Banks C and D will write off €32.5 million</w:t>
      </w:r>
      <w:r w:rsidR="00177480">
        <w:t xml:space="preserve"> and</w:t>
      </w:r>
      <w:r w:rsidR="00E933F6">
        <w:t xml:space="preserve"> the </w:t>
      </w:r>
      <w:r w:rsidR="003D2655">
        <w:t>C</w:t>
      </w:r>
      <w:r w:rsidR="00E933F6">
        <w:t>onsortium of Banks will write of</w:t>
      </w:r>
      <w:r w:rsidR="00083581">
        <w:t>f</w:t>
      </w:r>
      <w:r w:rsidR="00E933F6">
        <w:t xml:space="preserve"> €97.5</w:t>
      </w:r>
      <w:r w:rsidR="00083581">
        <w:t xml:space="preserve"> </w:t>
      </w:r>
      <w:r w:rsidR="00E16F10">
        <w:t xml:space="preserve">million and will </w:t>
      </w:r>
      <w:r w:rsidR="00083581">
        <w:t>cancel the €55</w:t>
      </w:r>
      <w:r w:rsidR="00E933F6">
        <w:t xml:space="preserve"> million </w:t>
      </w:r>
      <w:r w:rsidR="00083581">
        <w:t>loan.</w:t>
      </w:r>
      <w:r>
        <w:t xml:space="preserve"> </w:t>
      </w:r>
      <w:r w:rsidR="00083581">
        <w:t>The total write</w:t>
      </w:r>
      <w:r w:rsidR="00E16F10">
        <w:t>-off</w:t>
      </w:r>
      <w:r w:rsidR="00083581">
        <w:t xml:space="preserve"> against </w:t>
      </w:r>
      <w:r w:rsidR="00083581">
        <w:lastRenderedPageBreak/>
        <w:t xml:space="preserve">FMW is €185 million. </w:t>
      </w:r>
      <w:r w:rsidR="00177480">
        <w:t xml:space="preserve">The agreement provides that </w:t>
      </w:r>
      <w:r w:rsidR="003D2655">
        <w:t xml:space="preserve">a </w:t>
      </w:r>
      <w:r w:rsidR="00177480">
        <w:t>€240</w:t>
      </w:r>
      <w:r w:rsidR="00E16F10">
        <w:t xml:space="preserve"> million</w:t>
      </w:r>
      <w:r w:rsidR="00177480">
        <w:t xml:space="preserve"> claim against FMW will remain. The difference of €10 million is assumed to be capitalised interest. </w:t>
      </w:r>
    </w:p>
    <w:p w14:paraId="5B6B4995" w14:textId="77777777" w:rsidR="00E16F10" w:rsidRDefault="00E16F10" w:rsidP="00413AED">
      <w:pPr>
        <w:jc w:val="both"/>
      </w:pPr>
    </w:p>
    <w:p w14:paraId="07F4265B" w14:textId="77777777" w:rsidR="000A7E02" w:rsidRPr="000A7E02" w:rsidRDefault="007A73D8" w:rsidP="00413AED">
      <w:pPr>
        <w:jc w:val="both"/>
        <w:rPr>
          <w:b/>
          <w:bCs/>
        </w:rPr>
      </w:pPr>
      <w:r w:rsidRPr="000A7E02">
        <w:rPr>
          <w:b/>
          <w:bCs/>
        </w:rPr>
        <w:t xml:space="preserve">The </w:t>
      </w:r>
      <w:r w:rsidR="000A7E02" w:rsidRPr="000A7E02">
        <w:rPr>
          <w:b/>
          <w:bCs/>
        </w:rPr>
        <w:t>result of the restructuring</w:t>
      </w:r>
    </w:p>
    <w:p w14:paraId="27CFBF1C" w14:textId="3AE72E64" w:rsidR="0006780C" w:rsidRDefault="0006780C" w:rsidP="00413AED">
      <w:pPr>
        <w:jc w:val="both"/>
      </w:pPr>
      <w:r>
        <w:t xml:space="preserve">The result of the restructuring agreement has many factors for consideration. </w:t>
      </w:r>
      <w:r w:rsidR="003D2655">
        <w:t xml:space="preserve">Some </w:t>
      </w:r>
      <w:r>
        <w:t xml:space="preserve">are identified below as discrete </w:t>
      </w:r>
      <w:r w:rsidR="006865B5">
        <w:t>topics with a</w:t>
      </w:r>
      <w:r w:rsidR="003D2655">
        <w:t xml:space="preserve"> comment </w:t>
      </w:r>
      <w:r w:rsidR="006865B5">
        <w:t xml:space="preserve">of </w:t>
      </w:r>
      <w:r w:rsidR="003D2655">
        <w:t xml:space="preserve">their </w:t>
      </w:r>
      <w:r w:rsidR="006865B5">
        <w:t>value where appropriate.</w:t>
      </w:r>
    </w:p>
    <w:p w14:paraId="1AD8FB42" w14:textId="77777777" w:rsidR="0006780C" w:rsidRDefault="0006780C" w:rsidP="00413AED">
      <w:pPr>
        <w:jc w:val="both"/>
      </w:pPr>
    </w:p>
    <w:p w14:paraId="1094819D" w14:textId="26A7235F" w:rsidR="0006780C" w:rsidRDefault="0006780C" w:rsidP="0006780C">
      <w:pPr>
        <w:pStyle w:val="ListParagraph"/>
        <w:numPr>
          <w:ilvl w:val="0"/>
          <w:numId w:val="7"/>
        </w:numPr>
        <w:jc w:val="both"/>
      </w:pPr>
      <w:r>
        <w:t xml:space="preserve">It is expected that in consideration of the write-offs in FMW, the </w:t>
      </w:r>
      <w:r w:rsidR="00E16F10">
        <w:t>C</w:t>
      </w:r>
      <w:r>
        <w:t xml:space="preserve">onsortium of Banks established binding security agreements for its reaffirmed advance of €240 million. </w:t>
      </w:r>
      <w:r w:rsidR="006865B5">
        <w:t>The market value of the business assets is likely to be greater than the reaffirmed advance and there</w:t>
      </w:r>
      <w:r w:rsidR="003D2655">
        <w:t>fore</w:t>
      </w:r>
      <w:r w:rsidR="006865B5">
        <w:t xml:space="preserve"> altering, positively, the risk profile of th</w:t>
      </w:r>
      <w:r w:rsidR="00E16F10">
        <w:t>at amount.</w:t>
      </w:r>
    </w:p>
    <w:p w14:paraId="61AB4075" w14:textId="77777777" w:rsidR="009B6CE8" w:rsidRDefault="009B6CE8" w:rsidP="009B6CE8">
      <w:pPr>
        <w:jc w:val="both"/>
      </w:pPr>
    </w:p>
    <w:p w14:paraId="06325FDF" w14:textId="4576A433" w:rsidR="009B6CE8" w:rsidRDefault="0006780C" w:rsidP="0006780C">
      <w:pPr>
        <w:pStyle w:val="ListParagraph"/>
        <w:numPr>
          <w:ilvl w:val="0"/>
          <w:numId w:val="7"/>
        </w:numPr>
        <w:jc w:val="both"/>
      </w:pPr>
      <w:r>
        <w:t>Although the banks have written off €185 million</w:t>
      </w:r>
      <w:r w:rsidR="009B6CE8">
        <w:t>,</w:t>
      </w:r>
      <w:r>
        <w:t xml:space="preserve"> they have gained an equity position in </w:t>
      </w:r>
      <w:r w:rsidR="009B6CE8">
        <w:t>FMII</w:t>
      </w:r>
      <w:r w:rsidR="003D2655">
        <w:t xml:space="preserve">. This </w:t>
      </w:r>
      <w:r w:rsidR="009B6CE8">
        <w:t xml:space="preserve">will </w:t>
      </w:r>
      <w:r w:rsidR="003D2655">
        <w:t xml:space="preserve">provide the </w:t>
      </w:r>
      <w:r w:rsidR="009B6CE8">
        <w:t>potent</w:t>
      </w:r>
      <w:r w:rsidR="003D2655">
        <w:t xml:space="preserve">ial for </w:t>
      </w:r>
      <w:r w:rsidR="009B6CE8">
        <w:t>them to recover the written off amounts.</w:t>
      </w:r>
      <w:r w:rsidR="006865B5">
        <w:t xml:space="preserve"> The swap for debt to equity will provide a share in the net proceeds of sale </w:t>
      </w:r>
      <w:r w:rsidR="003D2655">
        <w:t xml:space="preserve">that will be </w:t>
      </w:r>
      <w:r w:rsidR="006865B5">
        <w:t xml:space="preserve">rateably distributed across all shareholders. </w:t>
      </w:r>
      <w:r w:rsidR="00EC72FB">
        <w:t>Although it depends</w:t>
      </w:r>
      <w:r w:rsidR="006865B5">
        <w:t xml:space="preserve"> upon the realisation value of the business</w:t>
      </w:r>
      <w:r w:rsidR="00EC72FB">
        <w:t>,</w:t>
      </w:r>
      <w:r w:rsidR="006865B5">
        <w:t xml:space="preserve"> there is a potential to recover some, or all</w:t>
      </w:r>
      <w:r w:rsidR="003D2655">
        <w:t>,</w:t>
      </w:r>
      <w:r w:rsidR="006865B5">
        <w:t xml:space="preserve"> of the amounts written off</w:t>
      </w:r>
      <w:r w:rsidR="00EC72FB">
        <w:t>.</w:t>
      </w:r>
    </w:p>
    <w:p w14:paraId="15805925" w14:textId="77777777" w:rsidR="009B6CE8" w:rsidRDefault="009B6CE8" w:rsidP="009B6CE8">
      <w:pPr>
        <w:jc w:val="both"/>
      </w:pPr>
    </w:p>
    <w:p w14:paraId="592E4FFF" w14:textId="7504BAEA" w:rsidR="009B6CE8" w:rsidRDefault="009B6CE8" w:rsidP="0006780C">
      <w:pPr>
        <w:pStyle w:val="ListParagraph"/>
        <w:numPr>
          <w:ilvl w:val="0"/>
          <w:numId w:val="7"/>
        </w:numPr>
        <w:jc w:val="both"/>
      </w:pPr>
      <w:r w:rsidRPr="002B7720">
        <w:t>The new legal entity (FM</w:t>
      </w:r>
      <w:r>
        <w:t>II) will be free from any issues that the business may have accumulated while in the hands of FMBV that were not realised at the date of transfer</w:t>
      </w:r>
      <w:r w:rsidR="003D2655">
        <w:t xml:space="preserve"> -</w:t>
      </w:r>
      <w:r>
        <w:t xml:space="preserve"> such as government claims, claims in tort or contractual breaches.</w:t>
      </w:r>
      <w:r w:rsidR="00F22C91">
        <w:t xml:space="preserve"> </w:t>
      </w:r>
      <w:r w:rsidR="003D2655">
        <w:t>Becoming a business owner</w:t>
      </w:r>
      <w:r w:rsidR="00F22C91">
        <w:t xml:space="preserve"> by way of acquiring the </w:t>
      </w:r>
      <w:r w:rsidR="003D2655">
        <w:t xml:space="preserve">vendor’s </w:t>
      </w:r>
      <w:r w:rsidR="00F22C91">
        <w:t>shareholding interest</w:t>
      </w:r>
      <w:r w:rsidR="00C83338">
        <w:t>,</w:t>
      </w:r>
      <w:r w:rsidR="00F22C91">
        <w:t xml:space="preserve"> brings forward to the acquirer any undesirable historical issues that may exist.</w:t>
      </w:r>
    </w:p>
    <w:p w14:paraId="008B0775" w14:textId="77777777" w:rsidR="009B6CE8" w:rsidRDefault="009B6CE8" w:rsidP="009B6CE8">
      <w:pPr>
        <w:pStyle w:val="ListParagraph"/>
      </w:pPr>
    </w:p>
    <w:p w14:paraId="73A0F2AF" w14:textId="78C213AB" w:rsidR="009B6CE8" w:rsidRDefault="009B6CE8" w:rsidP="0006780C">
      <w:pPr>
        <w:pStyle w:val="ListParagraph"/>
        <w:numPr>
          <w:ilvl w:val="0"/>
          <w:numId w:val="7"/>
        </w:numPr>
        <w:jc w:val="both"/>
      </w:pPr>
      <w:r>
        <w:t xml:space="preserve">The affairs of the </w:t>
      </w:r>
      <w:r w:rsidR="00E32148">
        <w:t xml:space="preserve">company are now to be managed by </w:t>
      </w:r>
      <w:r w:rsidR="00E16F10">
        <w:t>a</w:t>
      </w:r>
      <w:r w:rsidR="00E32148">
        <w:t xml:space="preserve"> reconst</w:t>
      </w:r>
      <w:r w:rsidR="00E16F10">
        <w:t xml:space="preserve">ituted </w:t>
      </w:r>
      <w:r w:rsidR="00E32148">
        <w:t>board</w:t>
      </w:r>
      <w:r w:rsidR="003D2655">
        <w:t>. This will cast</w:t>
      </w:r>
      <w:r w:rsidR="00E32148">
        <w:t xml:space="preserve"> the Banks, Board Members and the CRO in</w:t>
      </w:r>
      <w:r w:rsidR="003D2655">
        <w:t>to</w:t>
      </w:r>
      <w:r w:rsidR="00E32148">
        <w:t xml:space="preserve"> a co-operative role of governing </w:t>
      </w:r>
      <w:r w:rsidR="003D2655">
        <w:t>a</w:t>
      </w:r>
      <w:r w:rsidR="00E32148">
        <w:t xml:space="preserve"> business for the specific purpose of readying it for sale. This may prove to be an advantage but on the other hand the Banks may realise that providing capital to a business</w:t>
      </w:r>
      <w:r w:rsidR="00F22C91">
        <w:t>,</w:t>
      </w:r>
      <w:r w:rsidR="00E32148">
        <w:t xml:space="preserve"> and running a business profitably</w:t>
      </w:r>
      <w:r w:rsidR="00F22C91">
        <w:t>,</w:t>
      </w:r>
      <w:r w:rsidR="00E32148">
        <w:t xml:space="preserve"> are two entirely </w:t>
      </w:r>
      <w:r w:rsidR="00F22C91">
        <w:t xml:space="preserve">different </w:t>
      </w:r>
      <w:r w:rsidR="00E32148">
        <w:t xml:space="preserve">commercial </w:t>
      </w:r>
      <w:r w:rsidR="003D2655">
        <w:t>ventures</w:t>
      </w:r>
      <w:r w:rsidR="00E32148">
        <w:t>.</w:t>
      </w:r>
    </w:p>
    <w:p w14:paraId="7FBDD78B" w14:textId="77777777" w:rsidR="00E32148" w:rsidRDefault="00E32148" w:rsidP="00E32148">
      <w:pPr>
        <w:pStyle w:val="ListParagraph"/>
      </w:pPr>
    </w:p>
    <w:p w14:paraId="03200DCB" w14:textId="7110B17F" w:rsidR="00E32148" w:rsidRDefault="00E32148" w:rsidP="0006780C">
      <w:pPr>
        <w:pStyle w:val="ListParagraph"/>
        <w:numPr>
          <w:ilvl w:val="0"/>
          <w:numId w:val="7"/>
        </w:numPr>
        <w:jc w:val="both"/>
      </w:pPr>
      <w:r>
        <w:t xml:space="preserve">Creditors that have </w:t>
      </w:r>
      <w:r w:rsidR="00E16F10">
        <w:t xml:space="preserve">a </w:t>
      </w:r>
      <w:r>
        <w:t>claim in FMBV</w:t>
      </w:r>
      <w:r w:rsidR="00F22C91">
        <w:t>,</w:t>
      </w:r>
      <w:r>
        <w:t xml:space="preserve"> that sit outside the restructuring agreement</w:t>
      </w:r>
      <w:r w:rsidR="00F22C91">
        <w:t>,</w:t>
      </w:r>
      <w:r>
        <w:t xml:space="preserve"> will </w:t>
      </w:r>
      <w:r w:rsidR="00F22C91">
        <w:t xml:space="preserve">be </w:t>
      </w:r>
      <w:r>
        <w:t xml:space="preserve">discharged </w:t>
      </w:r>
      <w:r w:rsidR="009272DC">
        <w:t xml:space="preserve">in the liquidation process. </w:t>
      </w:r>
      <w:r w:rsidR="0007381F">
        <w:t>A benefit</w:t>
      </w:r>
      <w:r w:rsidR="009272DC">
        <w:t xml:space="preserve"> </w:t>
      </w:r>
      <w:r w:rsidR="0007381F">
        <w:t xml:space="preserve">falls to the shareholders of </w:t>
      </w:r>
      <w:r w:rsidR="009272DC">
        <w:t>FMII as it acquires the interests of the six trading companies net of those claims</w:t>
      </w:r>
      <w:r w:rsidR="00F22C91">
        <w:t xml:space="preserve">. This advantage will be conditioned by the need for </w:t>
      </w:r>
      <w:r w:rsidR="009272DC">
        <w:t xml:space="preserve">the liquidator </w:t>
      </w:r>
      <w:r w:rsidR="00F22C91">
        <w:t xml:space="preserve">to </w:t>
      </w:r>
      <w:r w:rsidR="009272DC">
        <w:t>confirm that the transfer of the interests w</w:t>
      </w:r>
      <w:r w:rsidR="00FD3C6F">
        <w:t>as</w:t>
      </w:r>
      <w:r w:rsidR="009272DC">
        <w:t xml:space="preserve"> for adequate consideration.</w:t>
      </w:r>
    </w:p>
    <w:p w14:paraId="664C03A2" w14:textId="77777777" w:rsidR="00FD3C6F" w:rsidRDefault="00FD3C6F" w:rsidP="00FD3C6F">
      <w:pPr>
        <w:pStyle w:val="ListParagraph"/>
      </w:pPr>
    </w:p>
    <w:p w14:paraId="10FA1D8A" w14:textId="32FC8A7E" w:rsidR="00FD3C6F" w:rsidRDefault="00FD3C6F" w:rsidP="0006780C">
      <w:pPr>
        <w:pStyle w:val="ListParagraph"/>
        <w:numPr>
          <w:ilvl w:val="0"/>
          <w:numId w:val="7"/>
        </w:numPr>
        <w:jc w:val="both"/>
      </w:pPr>
      <w:r>
        <w:t>The sharehold</w:t>
      </w:r>
      <w:r w:rsidR="00E16F10">
        <w:t>ers</w:t>
      </w:r>
      <w:r>
        <w:t xml:space="preserve"> </w:t>
      </w:r>
      <w:r w:rsidR="00E16F10">
        <w:t xml:space="preserve">of </w:t>
      </w:r>
      <w:r>
        <w:t xml:space="preserve">LGH will </w:t>
      </w:r>
      <w:r w:rsidR="00F22C91">
        <w:t xml:space="preserve">share, rateably, in any benefit that will </w:t>
      </w:r>
      <w:r w:rsidR="003B54FA">
        <w:t>f</w:t>
      </w:r>
      <w:r w:rsidR="00F22C91">
        <w:t>all</w:t>
      </w:r>
      <w:r w:rsidR="003B54FA">
        <w:t xml:space="preserve"> to</w:t>
      </w:r>
      <w:r w:rsidR="00F22C91">
        <w:t xml:space="preserve"> the </w:t>
      </w:r>
      <w:r w:rsidR="003B54FA">
        <w:t>C</w:t>
      </w:r>
      <w:r w:rsidR="00F22C91">
        <w:t xml:space="preserve">onsortium of Banks without any </w:t>
      </w:r>
      <w:r w:rsidR="00F70156">
        <w:t xml:space="preserve">further investment. </w:t>
      </w:r>
      <w:r w:rsidR="00BC67CD">
        <w:t xml:space="preserve">The agreement reconstitutes the rights of the respective parties. In normal circumstances it would </w:t>
      </w:r>
      <w:r w:rsidR="00FF433B">
        <w:t xml:space="preserve">be reasonable to </w:t>
      </w:r>
      <w:r w:rsidR="00BC67CD">
        <w:t xml:space="preserve">expect something to be contributed if the reconstituted rights are likely to realise a benefit. The agreement provides that the only expectation from LGH is governance which is a very attractive arrangement for this investor. </w:t>
      </w:r>
    </w:p>
    <w:p w14:paraId="60BFCC51" w14:textId="77777777" w:rsidR="009B6CE8" w:rsidRDefault="009B6CE8" w:rsidP="009B6CE8">
      <w:pPr>
        <w:pStyle w:val="ListParagraph"/>
      </w:pPr>
    </w:p>
    <w:p w14:paraId="34F12723" w14:textId="2D148627" w:rsidR="005206D0" w:rsidRPr="002A789E" w:rsidRDefault="002A789E" w:rsidP="00413AED">
      <w:pPr>
        <w:jc w:val="both"/>
        <w:rPr>
          <w:b/>
          <w:bCs/>
        </w:rPr>
      </w:pPr>
      <w:r w:rsidRPr="002A789E">
        <w:rPr>
          <w:b/>
          <w:bCs/>
        </w:rPr>
        <w:t>Conclusion</w:t>
      </w:r>
    </w:p>
    <w:p w14:paraId="5CF970C8" w14:textId="5FAA5455" w:rsidR="002A789E" w:rsidRDefault="002A789E" w:rsidP="00413AED">
      <w:pPr>
        <w:jc w:val="both"/>
      </w:pPr>
      <w:r>
        <w:t>Restructuring activity occurs when an existence threatening condition is determined for the business entity. It is an intervention to be laid over the body of the business for the purpose of preventing</w:t>
      </w:r>
      <w:r w:rsidR="00FF433B">
        <w:t xml:space="preserve"> the</w:t>
      </w:r>
      <w:r>
        <w:t xml:space="preserve"> inevitable circumstance of </w:t>
      </w:r>
      <w:r w:rsidR="003B54FA">
        <w:t>demise</w:t>
      </w:r>
      <w:r>
        <w:t xml:space="preserve"> unless action is taken. </w:t>
      </w:r>
    </w:p>
    <w:p w14:paraId="0C09F7D2" w14:textId="77777777" w:rsidR="002A789E" w:rsidRDefault="002A789E" w:rsidP="00413AED">
      <w:pPr>
        <w:jc w:val="both"/>
      </w:pPr>
    </w:p>
    <w:p w14:paraId="7A4AF08B" w14:textId="739B3E0D" w:rsidR="003B54FA" w:rsidRDefault="002A789E" w:rsidP="00413AED">
      <w:pPr>
        <w:jc w:val="both"/>
      </w:pPr>
      <w:r>
        <w:t>In this restructuring agreement</w:t>
      </w:r>
      <w:r w:rsidR="003B54FA">
        <w:t xml:space="preserve">, </w:t>
      </w:r>
      <w:r>
        <w:t>an attempt has been made to provide scope for recovery of the enterprise of the business</w:t>
      </w:r>
      <w:r w:rsidR="003B54FA">
        <w:t xml:space="preserve">. The purpose for doing </w:t>
      </w:r>
      <w:r>
        <w:t xml:space="preserve">so </w:t>
      </w:r>
      <w:r w:rsidR="003B54FA">
        <w:t xml:space="preserve">is that the business interests </w:t>
      </w:r>
      <w:r>
        <w:t>can be transferred to new owners for a value sufficient to redeem the exposure of its proponents.</w:t>
      </w:r>
    </w:p>
    <w:p w14:paraId="62550B31" w14:textId="77777777" w:rsidR="003B54FA" w:rsidRDefault="003B54FA" w:rsidP="00413AED">
      <w:pPr>
        <w:jc w:val="both"/>
      </w:pPr>
    </w:p>
    <w:p w14:paraId="64A3AC34" w14:textId="77777777" w:rsidR="00C83338" w:rsidRDefault="002A789E" w:rsidP="00413AED">
      <w:pPr>
        <w:jc w:val="both"/>
      </w:pPr>
      <w:r>
        <w:lastRenderedPageBreak/>
        <w:t>Much is being asked of the governance of the restructured business to achieve that outcome</w:t>
      </w:r>
      <w:r w:rsidR="00FF433B">
        <w:t>. E</w:t>
      </w:r>
      <w:r>
        <w:t xml:space="preserve">specially since the board members will be </w:t>
      </w:r>
      <w:r w:rsidR="00C61A19">
        <w:t xml:space="preserve">empowered by </w:t>
      </w:r>
      <w:r>
        <w:t>shareholders that are more at home mak</w:t>
      </w:r>
      <w:r w:rsidR="00C61A19">
        <w:t>ing banking investments than by turning a business around that operates in a mature and highly competitive industry.</w:t>
      </w:r>
      <w:r w:rsidR="00C83338">
        <w:t xml:space="preserve"> </w:t>
      </w:r>
    </w:p>
    <w:p w14:paraId="35C40AED" w14:textId="77777777" w:rsidR="00C83338" w:rsidRDefault="00C83338" w:rsidP="00413AED">
      <w:pPr>
        <w:jc w:val="both"/>
      </w:pPr>
    </w:p>
    <w:p w14:paraId="70DC744C" w14:textId="2CD32831" w:rsidR="00442A33" w:rsidRDefault="00C83338" w:rsidP="00413AED">
      <w:pPr>
        <w:jc w:val="both"/>
      </w:pPr>
      <w:r>
        <w:t xml:space="preserve">The restructuring in my view will not necessarily achieve the desired objective for the want of having a highly </w:t>
      </w:r>
      <w:r w:rsidR="0007381F">
        <w:t xml:space="preserve">skilled </w:t>
      </w:r>
      <w:r>
        <w:t>unit o</w:t>
      </w:r>
      <w:r w:rsidR="00D63525">
        <w:t>f people that are more focussed on the rehabilitation of the business than how to redeem creditor obligations.</w:t>
      </w:r>
    </w:p>
    <w:p w14:paraId="472EDC25" w14:textId="6BC042F7" w:rsidR="003B54FA" w:rsidRDefault="003B54FA" w:rsidP="00413AED">
      <w:pPr>
        <w:jc w:val="both"/>
      </w:pPr>
    </w:p>
    <w:p w14:paraId="49D60187" w14:textId="3205855D" w:rsidR="003B54FA" w:rsidRDefault="003B54FA">
      <w:r>
        <w:br w:type="page"/>
      </w:r>
    </w:p>
    <w:p w14:paraId="32216926" w14:textId="352BE877" w:rsidR="00C61A19" w:rsidRPr="0047127C" w:rsidRDefault="00C61A19" w:rsidP="00C61A19">
      <w:pPr>
        <w:jc w:val="center"/>
        <w:rPr>
          <w:b/>
          <w:bCs/>
          <w:sz w:val="32"/>
        </w:rPr>
      </w:pPr>
      <w:r w:rsidRPr="0047127C">
        <w:rPr>
          <w:b/>
          <w:bCs/>
          <w:sz w:val="32"/>
        </w:rPr>
        <w:lastRenderedPageBreak/>
        <w:t xml:space="preserve">QUESTION </w:t>
      </w:r>
      <w:r>
        <w:rPr>
          <w:b/>
          <w:bCs/>
          <w:sz w:val="32"/>
        </w:rPr>
        <w:t>8</w:t>
      </w:r>
    </w:p>
    <w:p w14:paraId="46CB936C" w14:textId="77777777" w:rsidR="00C61A19" w:rsidRDefault="00C61A19" w:rsidP="00C61A19">
      <w:pPr>
        <w:jc w:val="center"/>
        <w:rPr>
          <w:b/>
          <w:bCs/>
        </w:rPr>
      </w:pPr>
    </w:p>
    <w:p w14:paraId="5201BE11" w14:textId="37E017A3" w:rsidR="00C61A19" w:rsidRDefault="00C61A19" w:rsidP="00C61A19">
      <w:pPr>
        <w:jc w:val="both"/>
      </w:pPr>
      <w:r>
        <w:t>Which (potential) legal and/or non-legal cross-border issues – if any - do you recognise in the Flow Management restructuring process?</w:t>
      </w:r>
    </w:p>
    <w:p w14:paraId="2AF7AB46" w14:textId="77777777" w:rsidR="00C61A19" w:rsidRDefault="00C61A19" w:rsidP="00C61A19"/>
    <w:p w14:paraId="27E567BF" w14:textId="77777777" w:rsidR="00C61A19" w:rsidRPr="006D1D7B" w:rsidRDefault="00C61A19" w:rsidP="00C61A19">
      <w:pPr>
        <w:rPr>
          <w:b/>
          <w:bCs/>
        </w:rPr>
      </w:pPr>
      <w:r w:rsidRPr="006D1D7B">
        <w:rPr>
          <w:b/>
          <w:bCs/>
        </w:rPr>
        <w:t>ANSWER</w:t>
      </w:r>
    </w:p>
    <w:p w14:paraId="4EC9E34A" w14:textId="77777777" w:rsidR="00C61A19" w:rsidRDefault="00C61A19">
      <w:pPr>
        <w:rPr>
          <w:b/>
          <w:bCs/>
        </w:rPr>
      </w:pPr>
    </w:p>
    <w:p w14:paraId="66688BB5" w14:textId="1ED2DE10" w:rsidR="00D066A1" w:rsidRDefault="00B02287" w:rsidP="00B02287">
      <w:pPr>
        <w:jc w:val="both"/>
      </w:pPr>
      <w:r w:rsidRPr="00B02287">
        <w:t>The re</w:t>
      </w:r>
      <w:r>
        <w:t xml:space="preserve">structuring process is comprised of entities that are within </w:t>
      </w:r>
      <w:r w:rsidR="00132E87">
        <w:t xml:space="preserve">many different </w:t>
      </w:r>
      <w:r>
        <w:t>jurisdiction</w:t>
      </w:r>
      <w:r w:rsidR="00132E87">
        <w:t>s</w:t>
      </w:r>
      <w:r>
        <w:t xml:space="preserve">. Cross-border issues will not only arise between the </w:t>
      </w:r>
      <w:r w:rsidR="00132E87">
        <w:t xml:space="preserve">companies </w:t>
      </w:r>
      <w:r w:rsidR="003F7539">
        <w:t>across</w:t>
      </w:r>
      <w:r w:rsidR="00132E87">
        <w:t xml:space="preserve"> different </w:t>
      </w:r>
      <w:r w:rsidR="003F7539">
        <w:t>jurisdictions but</w:t>
      </w:r>
      <w:r>
        <w:t xml:space="preserve"> will </w:t>
      </w:r>
      <w:r w:rsidR="003F7539">
        <w:t xml:space="preserve">also </w:t>
      </w:r>
      <w:r>
        <w:t>surface f</w:t>
      </w:r>
      <w:r w:rsidR="00132E87">
        <w:t>r</w:t>
      </w:r>
      <w:r>
        <w:t xml:space="preserve">om </w:t>
      </w:r>
      <w:r w:rsidR="003F7539">
        <w:t>creditors</w:t>
      </w:r>
      <w:r>
        <w:t xml:space="preserve"> that have a</w:t>
      </w:r>
      <w:r w:rsidR="00132E87">
        <w:t xml:space="preserve"> claim in a company within a particular jurisdiction.</w:t>
      </w:r>
      <w:r w:rsidR="003F7539">
        <w:t xml:space="preserve"> For the purposes of this discussion, I have grouped all entities into three groups.</w:t>
      </w:r>
    </w:p>
    <w:p w14:paraId="141BE266" w14:textId="0CC91004" w:rsidR="00B02287" w:rsidRDefault="00B02287" w:rsidP="00B02287">
      <w:pPr>
        <w:jc w:val="both"/>
      </w:pPr>
    </w:p>
    <w:p w14:paraId="1BEE7468" w14:textId="77777777" w:rsidR="00FB3EEA" w:rsidRDefault="00B02287" w:rsidP="00B02287">
      <w:pPr>
        <w:jc w:val="both"/>
      </w:pPr>
      <w:r>
        <w:t xml:space="preserve">The first group is comprised of Lease Group Holding United Kingdom Limited (“LGH”) and its investors. The </w:t>
      </w:r>
      <w:r w:rsidR="00FB3EEA">
        <w:t xml:space="preserve">country of ownership interest is expected to be the United Kingdom. </w:t>
      </w:r>
    </w:p>
    <w:p w14:paraId="2D1BCE22" w14:textId="77777777" w:rsidR="00FB3EEA" w:rsidRDefault="00FB3EEA" w:rsidP="00B02287">
      <w:pPr>
        <w:jc w:val="both"/>
      </w:pPr>
    </w:p>
    <w:p w14:paraId="22E98AC6" w14:textId="2D09CFF9" w:rsidR="00FB3EEA" w:rsidRDefault="00FB3EEA" w:rsidP="00B02287">
      <w:pPr>
        <w:jc w:val="both"/>
      </w:pPr>
      <w:r>
        <w:t xml:space="preserve">The second group is comprised of Flow Management II BV (“FMII”), the Consortium of Banks and the CRO. The country of </w:t>
      </w:r>
      <w:r w:rsidR="00E479FE">
        <w:t>investor and business</w:t>
      </w:r>
      <w:r>
        <w:t xml:space="preserve"> interest is expected to be the Netherlands.</w:t>
      </w:r>
    </w:p>
    <w:p w14:paraId="10BFE317" w14:textId="77777777" w:rsidR="00FB3EEA" w:rsidRDefault="00FB3EEA" w:rsidP="00B02287">
      <w:pPr>
        <w:jc w:val="both"/>
      </w:pPr>
    </w:p>
    <w:p w14:paraId="18781C55" w14:textId="039BE448" w:rsidR="00B02287" w:rsidRDefault="00FB3EEA" w:rsidP="00B02287">
      <w:pPr>
        <w:jc w:val="both"/>
      </w:pPr>
      <w:r>
        <w:t xml:space="preserve">The third group is comprised of the six </w:t>
      </w:r>
      <w:r w:rsidR="00376312">
        <w:t xml:space="preserve">companies acquired by FMII. Their country of </w:t>
      </w:r>
      <w:r w:rsidR="00E479FE">
        <w:t>business</w:t>
      </w:r>
      <w:r w:rsidR="00376312">
        <w:t xml:space="preserve"> interest is The Netherlands, Spain, France, Australia, South Africa and United States of America.</w:t>
      </w:r>
    </w:p>
    <w:p w14:paraId="003B7AF0" w14:textId="77777777" w:rsidR="003F7539" w:rsidRDefault="003F7539" w:rsidP="00B02287">
      <w:pPr>
        <w:jc w:val="both"/>
      </w:pPr>
    </w:p>
    <w:p w14:paraId="2FDA1A4B" w14:textId="77777777" w:rsidR="00956D88" w:rsidRDefault="003F7539" w:rsidP="00B02287">
      <w:pPr>
        <w:jc w:val="both"/>
      </w:pPr>
      <w:r>
        <w:t xml:space="preserve">The </w:t>
      </w:r>
      <w:r>
        <w:t xml:space="preserve">case is suggestive that the </w:t>
      </w:r>
      <w:r>
        <w:t xml:space="preserve">centre of main interest </w:t>
      </w:r>
      <w:r w:rsidR="00E479FE">
        <w:t xml:space="preserve">for the three groups </w:t>
      </w:r>
      <w:r>
        <w:t>is the Netherlands</w:t>
      </w:r>
      <w:r w:rsidR="00EF6216">
        <w:t>.</w:t>
      </w:r>
    </w:p>
    <w:p w14:paraId="3192100E" w14:textId="77777777" w:rsidR="00956D88" w:rsidRDefault="00956D88" w:rsidP="00B02287">
      <w:pPr>
        <w:jc w:val="both"/>
      </w:pPr>
      <w:r>
        <w:t>E</w:t>
      </w:r>
      <w:r w:rsidR="006F04BC">
        <w:t xml:space="preserve">ach group will have both common and particular interests and conflicts of law will prevail. </w:t>
      </w:r>
    </w:p>
    <w:p w14:paraId="577661E0" w14:textId="77777777" w:rsidR="00956D88" w:rsidRDefault="00956D88" w:rsidP="00B02287">
      <w:pPr>
        <w:jc w:val="both"/>
      </w:pPr>
    </w:p>
    <w:p w14:paraId="6057088F" w14:textId="4B7EB86F" w:rsidR="006F04BC" w:rsidRDefault="006F04BC" w:rsidP="00B02287">
      <w:pPr>
        <w:jc w:val="both"/>
      </w:pPr>
      <w:r>
        <w:t>Examples of issues that may arise are listed below.</w:t>
      </w:r>
    </w:p>
    <w:p w14:paraId="6BED1877" w14:textId="77777777" w:rsidR="006F04BC" w:rsidRDefault="006F04BC" w:rsidP="00B02287">
      <w:pPr>
        <w:jc w:val="both"/>
      </w:pPr>
    </w:p>
    <w:p w14:paraId="5CDC363C" w14:textId="22DBF51B" w:rsidR="00C65BBE" w:rsidRDefault="006F04BC" w:rsidP="006F04BC">
      <w:pPr>
        <w:pStyle w:val="ListParagraph"/>
        <w:numPr>
          <w:ilvl w:val="0"/>
          <w:numId w:val="8"/>
        </w:numPr>
        <w:jc w:val="both"/>
      </w:pPr>
      <w:r>
        <w:t xml:space="preserve">The Flow Management Holding BV (“FMBV”) ownership interest of the six </w:t>
      </w:r>
      <w:r w:rsidR="00C65BBE">
        <w:t xml:space="preserve">operating </w:t>
      </w:r>
      <w:r>
        <w:t xml:space="preserve">companies has changed by way of </w:t>
      </w:r>
      <w:r w:rsidR="00956D88">
        <w:t>a transfer</w:t>
      </w:r>
      <w:r>
        <w:t xml:space="preserve"> of shareholding interest. Most contracts that bind parties will see such an alteration as material to the terms of the contract and perhaps render it impotent</w:t>
      </w:r>
      <w:r w:rsidR="00E479FE">
        <w:t xml:space="preserve"> – leasehold interests are an example</w:t>
      </w:r>
      <w:r>
        <w:t>.</w:t>
      </w:r>
      <w:r w:rsidR="00C65BBE">
        <w:t xml:space="preserve"> This will include contracts instigated</w:t>
      </w:r>
      <w:r w:rsidR="00956D88">
        <w:t xml:space="preserve"> by the</w:t>
      </w:r>
      <w:r w:rsidR="00C65BBE">
        <w:t xml:space="preserve"> six operating companies with other parties in their jurisdiction. </w:t>
      </w:r>
    </w:p>
    <w:p w14:paraId="7B7FC94F" w14:textId="77777777" w:rsidR="00C65BBE" w:rsidRDefault="00C65BBE" w:rsidP="00C65BBE">
      <w:pPr>
        <w:jc w:val="both"/>
      </w:pPr>
    </w:p>
    <w:p w14:paraId="3ED7B658" w14:textId="77777777" w:rsidR="00C65BBE" w:rsidRDefault="006F04BC" w:rsidP="006F04BC">
      <w:pPr>
        <w:pStyle w:val="ListParagraph"/>
        <w:numPr>
          <w:ilvl w:val="0"/>
          <w:numId w:val="8"/>
        </w:numPr>
        <w:jc w:val="both"/>
      </w:pPr>
      <w:r>
        <w:t xml:space="preserve">A change in shareholding interest </w:t>
      </w:r>
      <w:r w:rsidR="00C65BBE">
        <w:t>will be relevant to the governments and enforcement entities of the six operating companies with regard to foreign laws, compliance expectations and union membership.</w:t>
      </w:r>
    </w:p>
    <w:p w14:paraId="747B1B71" w14:textId="77777777" w:rsidR="00C65BBE" w:rsidRDefault="00C65BBE" w:rsidP="00C65BBE">
      <w:pPr>
        <w:pStyle w:val="ListParagraph"/>
      </w:pPr>
    </w:p>
    <w:p w14:paraId="0A628BB4" w14:textId="77777777" w:rsidR="002A7395" w:rsidRDefault="00C65BBE" w:rsidP="006F04BC">
      <w:pPr>
        <w:pStyle w:val="ListParagraph"/>
        <w:numPr>
          <w:ilvl w:val="0"/>
          <w:numId w:val="8"/>
        </w:numPr>
        <w:jc w:val="both"/>
      </w:pPr>
      <w:r>
        <w:t>A change of ownership may trigger a review of the respective operating compan</w:t>
      </w:r>
      <w:r w:rsidR="002A7395">
        <w:t xml:space="preserve">y’s </w:t>
      </w:r>
      <w:r>
        <w:t xml:space="preserve">right to trade </w:t>
      </w:r>
      <w:r w:rsidR="002A7395">
        <w:t>because it may, as a result of the change of ownership, breach competition laws.</w:t>
      </w:r>
    </w:p>
    <w:p w14:paraId="01963F5A" w14:textId="77777777" w:rsidR="002A7395" w:rsidRDefault="002A7395" w:rsidP="002A7395">
      <w:pPr>
        <w:pStyle w:val="ListParagraph"/>
      </w:pPr>
    </w:p>
    <w:p w14:paraId="4D8A4B40" w14:textId="6922D2FB" w:rsidR="002A7395" w:rsidRDefault="002A7395" w:rsidP="006F04BC">
      <w:pPr>
        <w:pStyle w:val="ListParagraph"/>
        <w:numPr>
          <w:ilvl w:val="0"/>
          <w:numId w:val="8"/>
        </w:numPr>
        <w:jc w:val="both"/>
      </w:pPr>
      <w:r>
        <w:t xml:space="preserve">The assumed reorganised security agreements in favour of the Consortium of Banks may not be enforceable in the relevant jurisdictions if the terms are inconsistent with local law or </w:t>
      </w:r>
      <w:r w:rsidR="00E479FE">
        <w:t xml:space="preserve">are </w:t>
      </w:r>
      <w:r>
        <w:t>too onerous.</w:t>
      </w:r>
    </w:p>
    <w:p w14:paraId="238A8A7E" w14:textId="77777777" w:rsidR="002A7395" w:rsidRDefault="002A7395" w:rsidP="002A7395">
      <w:pPr>
        <w:pStyle w:val="ListParagraph"/>
      </w:pPr>
    </w:p>
    <w:p w14:paraId="0453F27E" w14:textId="4FC11217" w:rsidR="002A7395" w:rsidRDefault="0051264F" w:rsidP="006F04BC">
      <w:pPr>
        <w:pStyle w:val="ListParagraph"/>
        <w:numPr>
          <w:ilvl w:val="0"/>
          <w:numId w:val="8"/>
        </w:numPr>
        <w:jc w:val="both"/>
      </w:pPr>
      <w:r>
        <w:t>If the initial pledges made to the Consortium of Banks were unenforceable, but now enforceable because of renewal, would they be voidable in the event of liquidation</w:t>
      </w:r>
      <w:r w:rsidR="00EF6216">
        <w:t xml:space="preserve"> on the ground that it would be security for past advances</w:t>
      </w:r>
      <w:r>
        <w:t>.</w:t>
      </w:r>
    </w:p>
    <w:p w14:paraId="49772CAF" w14:textId="77777777" w:rsidR="0051264F" w:rsidRDefault="0051264F" w:rsidP="0051264F">
      <w:pPr>
        <w:pStyle w:val="ListParagraph"/>
      </w:pPr>
    </w:p>
    <w:p w14:paraId="7D93BA3A" w14:textId="77777777" w:rsidR="00956D88" w:rsidRDefault="0051264F" w:rsidP="0051264F">
      <w:pPr>
        <w:jc w:val="both"/>
      </w:pPr>
      <w:r>
        <w:t>Issues of the kind identified above</w:t>
      </w:r>
      <w:r w:rsidR="00EF6216">
        <w:t>,</w:t>
      </w:r>
      <w:r>
        <w:t xml:space="preserve"> as well as those not identified</w:t>
      </w:r>
      <w:r w:rsidR="00EF6216">
        <w:t>,</w:t>
      </w:r>
      <w:r>
        <w:t xml:space="preserve"> will </w:t>
      </w:r>
      <w:r w:rsidR="00FF10E9">
        <w:t xml:space="preserve">inevitably involve competing interests that span different jurisdictions. In those circumstances, resolution will need to be found. </w:t>
      </w:r>
    </w:p>
    <w:p w14:paraId="50661BCE" w14:textId="1862B3A1" w:rsidR="00EF6216" w:rsidRDefault="00FF10E9" w:rsidP="0051264F">
      <w:pPr>
        <w:jc w:val="both"/>
      </w:pPr>
      <w:r>
        <w:lastRenderedPageBreak/>
        <w:t>In aid of resolution</w:t>
      </w:r>
      <w:r w:rsidR="00956D88">
        <w:t>,</w:t>
      </w:r>
      <w:r>
        <w:t xml:space="preserve"> reference can be made to many instruments of Soft Law that are available internationally. A significant instrument </w:t>
      </w:r>
      <w:r w:rsidR="003A7B1E">
        <w:t>describing means of resolution in insolvent circumstances that cross borders i</w:t>
      </w:r>
      <w:r w:rsidR="00EF6216">
        <w:t>s</w:t>
      </w:r>
      <w:r w:rsidR="003A7B1E">
        <w:t xml:space="preserve"> </w:t>
      </w:r>
      <w:r>
        <w:t xml:space="preserve">the UNICTRAL Model Law on Cross-Border Insolvency. </w:t>
      </w:r>
      <w:r w:rsidR="003A7B1E">
        <w:t>This model has been adopted by 5</w:t>
      </w:r>
      <w:r w:rsidR="002B6236">
        <w:t>3</w:t>
      </w:r>
      <w:r w:rsidR="003A7B1E">
        <w:t xml:space="preserve"> different jurisdictions</w:t>
      </w:r>
      <w:r w:rsidR="002B6236">
        <w:t xml:space="preserve">. The list </w:t>
      </w:r>
      <w:r w:rsidR="000B0C22">
        <w:t>includes</w:t>
      </w:r>
      <w:r w:rsidR="002B6236">
        <w:t xml:space="preserve"> Great Britain, Australia, South Africa and the United States of America </w:t>
      </w:r>
      <w:r w:rsidR="000B0C22">
        <w:t xml:space="preserve">– four of the eight companies involved in </w:t>
      </w:r>
      <w:r w:rsidR="00EF6216">
        <w:t xml:space="preserve">the </w:t>
      </w:r>
      <w:r w:rsidR="000B0C22">
        <w:t>restructuring agreement.</w:t>
      </w:r>
    </w:p>
    <w:p w14:paraId="12E4CB00" w14:textId="78459FCC" w:rsidR="000B0C22" w:rsidRDefault="000B0C22" w:rsidP="0051264F">
      <w:pPr>
        <w:jc w:val="both"/>
      </w:pPr>
    </w:p>
    <w:p w14:paraId="315633B0" w14:textId="4000698A" w:rsidR="00C21FBA" w:rsidRDefault="000B0C22" w:rsidP="0051264F">
      <w:pPr>
        <w:jc w:val="both"/>
      </w:pPr>
      <w:r>
        <w:t xml:space="preserve">In addition to UNCITRAL Model Law </w:t>
      </w:r>
      <w:r w:rsidR="00EF6216">
        <w:t xml:space="preserve">there </w:t>
      </w:r>
      <w:r>
        <w:t>exists</w:t>
      </w:r>
      <w:r w:rsidR="00EC632D">
        <w:t xml:space="preserve"> the EU Regulation on Insolvency Proceedings. This instrument </w:t>
      </w:r>
      <w:r w:rsidR="00956D88">
        <w:t>wa</w:t>
      </w:r>
      <w:r w:rsidR="00EC632D">
        <w:t>s adopted by the EU Council on 29 May 2000 and is directly applicable to all member states of the EU</w:t>
      </w:r>
      <w:r w:rsidR="00956D88">
        <w:t xml:space="preserve"> and </w:t>
      </w:r>
      <w:r w:rsidR="00C21FBA">
        <w:t xml:space="preserve">will be applicable to the jurisdictions of The Netherlands, Spain and France. </w:t>
      </w:r>
    </w:p>
    <w:p w14:paraId="3618FC47" w14:textId="77777777" w:rsidR="00C21FBA" w:rsidRDefault="00C21FBA" w:rsidP="0051264F">
      <w:pPr>
        <w:jc w:val="both"/>
      </w:pPr>
    </w:p>
    <w:p w14:paraId="10D59B12" w14:textId="2D3E20F4" w:rsidR="00D37890" w:rsidRDefault="00C21FBA" w:rsidP="00D37890">
      <w:pPr>
        <w:jc w:val="both"/>
      </w:pPr>
      <w:bookmarkStart w:id="4" w:name="_Hlk86593388"/>
      <w:r>
        <w:t>In this situation</w:t>
      </w:r>
      <w:r w:rsidR="0012651A">
        <w:t>,</w:t>
      </w:r>
      <w:r>
        <w:t xml:space="preserve"> four of the trading companies could seek to </w:t>
      </w:r>
      <w:r w:rsidR="006557DF">
        <w:t>resolve</w:t>
      </w:r>
      <w:r w:rsidR="0012651A">
        <w:t xml:space="preserve"> cross-border</w:t>
      </w:r>
      <w:r w:rsidR="006557DF">
        <w:t xml:space="preserve"> issues </w:t>
      </w:r>
      <w:r w:rsidR="0012651A">
        <w:t xml:space="preserve">with reference to the </w:t>
      </w:r>
      <w:r w:rsidR="006557DF">
        <w:t>EU Regulation</w:t>
      </w:r>
      <w:r w:rsidR="0012651A">
        <w:t xml:space="preserve">. The other </w:t>
      </w:r>
      <w:r w:rsidR="006557DF">
        <w:t xml:space="preserve">four </w:t>
      </w:r>
      <w:r w:rsidR="0012651A">
        <w:t xml:space="preserve">trading companies </w:t>
      </w:r>
      <w:r w:rsidR="006557DF">
        <w:t xml:space="preserve">may </w:t>
      </w:r>
      <w:r w:rsidR="0012651A">
        <w:t>approach cross-border issues with reference to the</w:t>
      </w:r>
      <w:r w:rsidR="006557DF">
        <w:t xml:space="preserve"> UNICTRAL Model law. </w:t>
      </w:r>
      <w:r>
        <w:t xml:space="preserve">While </w:t>
      </w:r>
      <w:r w:rsidR="0012651A">
        <w:t xml:space="preserve">this suggests </w:t>
      </w:r>
      <w:r w:rsidR="00D37890">
        <w:t xml:space="preserve">a potential for conflict </w:t>
      </w:r>
      <w:r w:rsidR="0012651A">
        <w:t xml:space="preserve">to </w:t>
      </w:r>
      <w:r w:rsidR="00D37890">
        <w:t>exist</w:t>
      </w:r>
      <w:r w:rsidR="0012651A">
        <w:t>,</w:t>
      </w:r>
      <w:r w:rsidR="00D37890">
        <w:t xml:space="preserve"> it is </w:t>
      </w:r>
      <w:r w:rsidR="0012651A">
        <w:t xml:space="preserve">evident </w:t>
      </w:r>
      <w:r w:rsidR="00D37890">
        <w:t xml:space="preserve">that the different instruments have a similar purpose and that any conflict </w:t>
      </w:r>
      <w:r w:rsidR="0012651A">
        <w:t xml:space="preserve">is capable of being </w:t>
      </w:r>
      <w:r w:rsidR="00D37890">
        <w:t>harmonised</w:t>
      </w:r>
      <w:r w:rsidR="0012651A">
        <w:t xml:space="preserve"> to achieve an</w:t>
      </w:r>
      <w:r w:rsidR="00D37890">
        <w:t xml:space="preserve"> outcome </w:t>
      </w:r>
      <w:r w:rsidR="0012651A">
        <w:t xml:space="preserve">that </w:t>
      </w:r>
      <w:r w:rsidR="00D37890">
        <w:t>is consistent with the purpose of both instruments.</w:t>
      </w:r>
    </w:p>
    <w:p w14:paraId="4382EEC2" w14:textId="7B0EF5D7" w:rsidR="00CD17E8" w:rsidRDefault="00CD17E8" w:rsidP="00D37890">
      <w:pPr>
        <w:jc w:val="both"/>
      </w:pPr>
    </w:p>
    <w:p w14:paraId="07FA2468" w14:textId="655A0305" w:rsidR="00CD17E8" w:rsidRPr="00B02287" w:rsidRDefault="00DC099C" w:rsidP="00D37890">
      <w:pPr>
        <w:jc w:val="both"/>
      </w:pPr>
      <w:r>
        <w:t>An alternative view is that the centre of main interest (The Netherlands) is in the EU and for that reason EU Regulation would apply to cross-border issues to be resolved.</w:t>
      </w:r>
    </w:p>
    <w:bookmarkEnd w:id="4"/>
    <w:p w14:paraId="2703BC40" w14:textId="55599C1F" w:rsidR="00C61A19" w:rsidRDefault="00C61A19">
      <w:pPr>
        <w:rPr>
          <w:b/>
          <w:bCs/>
        </w:rPr>
      </w:pPr>
    </w:p>
    <w:p w14:paraId="69C725EE" w14:textId="379C8BF0" w:rsidR="00C61A19" w:rsidRDefault="00C61A19">
      <w:pPr>
        <w:rPr>
          <w:b/>
          <w:bCs/>
        </w:rPr>
      </w:pPr>
      <w:r>
        <w:rPr>
          <w:b/>
          <w:bCs/>
        </w:rPr>
        <w:br w:type="page"/>
      </w:r>
    </w:p>
    <w:p w14:paraId="2CED677E" w14:textId="786918D0" w:rsidR="00D37890" w:rsidRPr="0047127C" w:rsidRDefault="00D37890" w:rsidP="00D37890">
      <w:pPr>
        <w:jc w:val="center"/>
        <w:rPr>
          <w:b/>
          <w:bCs/>
          <w:sz w:val="32"/>
        </w:rPr>
      </w:pPr>
      <w:r w:rsidRPr="0047127C">
        <w:rPr>
          <w:b/>
          <w:bCs/>
          <w:sz w:val="32"/>
        </w:rPr>
        <w:lastRenderedPageBreak/>
        <w:t xml:space="preserve">QUESTION </w:t>
      </w:r>
      <w:r>
        <w:rPr>
          <w:b/>
          <w:bCs/>
          <w:sz w:val="32"/>
        </w:rPr>
        <w:t>9</w:t>
      </w:r>
    </w:p>
    <w:p w14:paraId="2AA80FB0" w14:textId="77777777" w:rsidR="00D37890" w:rsidRDefault="00D37890" w:rsidP="00D37890">
      <w:pPr>
        <w:jc w:val="center"/>
        <w:rPr>
          <w:b/>
          <w:bCs/>
        </w:rPr>
      </w:pPr>
    </w:p>
    <w:p w14:paraId="0855349B" w14:textId="0CFC1C29" w:rsidR="00D37890" w:rsidRDefault="001A2F6B" w:rsidP="001A2F6B">
      <w:pPr>
        <w:jc w:val="both"/>
      </w:pPr>
      <w:r>
        <w:t xml:space="preserve">In October 2014 four scenarios have been drawn up. Why </w:t>
      </w:r>
      <w:r w:rsidRPr="001A2F6B">
        <w:rPr>
          <w:i/>
          <w:iCs/>
        </w:rPr>
        <w:t>was</w:t>
      </w:r>
      <w:r>
        <w:t xml:space="preserve"> or </w:t>
      </w:r>
      <w:r w:rsidRPr="001A2F6B">
        <w:rPr>
          <w:i/>
          <w:iCs/>
        </w:rPr>
        <w:t>wasn’t</w:t>
      </w:r>
      <w:r>
        <w:t xml:space="preserve"> calling for a moratorium (see scenario 4) a good option given the situation at that time? [you are allowed to give your opinion based on your own countries Bankruptcy Act; be as detailed as possible]</w:t>
      </w:r>
    </w:p>
    <w:p w14:paraId="2F080276" w14:textId="61533032" w:rsidR="001A2F6B" w:rsidRDefault="001A2F6B" w:rsidP="00D37890"/>
    <w:p w14:paraId="4F6CEB5E" w14:textId="77777777" w:rsidR="001A2F6B" w:rsidRDefault="001A2F6B" w:rsidP="00D37890"/>
    <w:p w14:paraId="47CFC69F" w14:textId="77777777" w:rsidR="00D37890" w:rsidRPr="006D1D7B" w:rsidRDefault="00D37890" w:rsidP="00D37890">
      <w:pPr>
        <w:rPr>
          <w:b/>
          <w:bCs/>
        </w:rPr>
      </w:pPr>
      <w:r w:rsidRPr="006D1D7B">
        <w:rPr>
          <w:b/>
          <w:bCs/>
        </w:rPr>
        <w:t>ANSWER</w:t>
      </w:r>
    </w:p>
    <w:p w14:paraId="15893867" w14:textId="77777777" w:rsidR="00813F1E" w:rsidRDefault="00813F1E" w:rsidP="00CF43F1">
      <w:pPr>
        <w:jc w:val="both"/>
      </w:pPr>
    </w:p>
    <w:p w14:paraId="1FC21DCA" w14:textId="3DAC81E1" w:rsidR="00813F1E" w:rsidRPr="00813F1E" w:rsidRDefault="00813F1E" w:rsidP="00CF43F1">
      <w:pPr>
        <w:jc w:val="both"/>
        <w:rPr>
          <w:b/>
          <w:bCs/>
        </w:rPr>
      </w:pPr>
      <w:r w:rsidRPr="00813F1E">
        <w:rPr>
          <w:b/>
          <w:bCs/>
        </w:rPr>
        <w:t>Voluntary Administration in New Zealand</w:t>
      </w:r>
    </w:p>
    <w:p w14:paraId="28C6F594" w14:textId="2847B256" w:rsidR="00DA3651" w:rsidRDefault="00E918B6" w:rsidP="00CF43F1">
      <w:pPr>
        <w:jc w:val="both"/>
      </w:pPr>
      <w:r>
        <w:t>On 1 November 2007</w:t>
      </w:r>
      <w:r w:rsidR="00EB39CD">
        <w:t>,</w:t>
      </w:r>
      <w:r>
        <w:t xml:space="preserve"> </w:t>
      </w:r>
      <w:r w:rsidRPr="00E918B6">
        <w:t xml:space="preserve">New </w:t>
      </w:r>
      <w:r>
        <w:t>Zealand adopted into its Companies Act 1993</w:t>
      </w:r>
      <w:r w:rsidR="00984CAB">
        <w:t>,</w:t>
      </w:r>
      <w:r>
        <w:t xml:space="preserve"> the Voluntary Administration regime</w:t>
      </w:r>
      <w:r>
        <w:rPr>
          <w:rStyle w:val="FootnoteReference"/>
        </w:rPr>
        <w:footnoteReference w:id="38"/>
      </w:r>
      <w:r>
        <w:t>.</w:t>
      </w:r>
      <w:r w:rsidR="00CF43F1">
        <w:t xml:space="preserve"> Its founding purpose is to provide a formal means of implementing an effective rescue plan for a debtor company that is experiencing </w:t>
      </w:r>
      <w:r w:rsidR="00DA3651">
        <w:t xml:space="preserve">financial </w:t>
      </w:r>
      <w:r w:rsidR="00984CAB">
        <w:t>di</w:t>
      </w:r>
      <w:r w:rsidR="00DA3651">
        <w:t xml:space="preserve">stress. </w:t>
      </w:r>
    </w:p>
    <w:p w14:paraId="57CEC438" w14:textId="77777777" w:rsidR="00DA3651" w:rsidRDefault="00DA3651" w:rsidP="00CF43F1">
      <w:pPr>
        <w:jc w:val="both"/>
      </w:pPr>
    </w:p>
    <w:p w14:paraId="2A2B2C3B" w14:textId="61914403" w:rsidR="00DA3651" w:rsidRDefault="00DA3651" w:rsidP="00CF43F1">
      <w:pPr>
        <w:jc w:val="both"/>
      </w:pPr>
      <w:r>
        <w:t>The new Part introduced into the Act records its objects to be to administer the business, property and affairs of an insolvent company in a way that maximises the chances of the company, or its business, to continue in existence</w:t>
      </w:r>
      <w:r>
        <w:rPr>
          <w:rStyle w:val="FootnoteReference"/>
        </w:rPr>
        <w:footnoteReference w:id="39"/>
      </w:r>
      <w:r>
        <w:t>. In circumstances where that is not possible, to manage the affairs in a way that will result in a better return for creditors and shareholders</w:t>
      </w:r>
      <w:r w:rsidR="00984CAB">
        <w:t>,</w:t>
      </w:r>
      <w:r>
        <w:t xml:space="preserve"> than immediate liquidation</w:t>
      </w:r>
      <w:r>
        <w:rPr>
          <w:rStyle w:val="FootnoteReference"/>
        </w:rPr>
        <w:footnoteReference w:id="40"/>
      </w:r>
      <w:r>
        <w:t>.</w:t>
      </w:r>
    </w:p>
    <w:p w14:paraId="769AF664" w14:textId="77777777" w:rsidR="00DA3651" w:rsidRDefault="00DA3651" w:rsidP="00CF43F1">
      <w:pPr>
        <w:jc w:val="both"/>
      </w:pPr>
    </w:p>
    <w:p w14:paraId="7192107E" w14:textId="7A7C1203" w:rsidR="000B7A2D" w:rsidRDefault="00DA3651" w:rsidP="00CF43F1">
      <w:pPr>
        <w:jc w:val="both"/>
      </w:pPr>
      <w:r>
        <w:t xml:space="preserve">The regime is a formal state of insolvency </w:t>
      </w:r>
      <w:r w:rsidR="000B7A2D">
        <w:t xml:space="preserve">and is </w:t>
      </w:r>
      <w:r w:rsidR="00F82257">
        <w:t>comprised of</w:t>
      </w:r>
      <w:r w:rsidR="000B7A2D">
        <w:t xml:space="preserve"> a template structure that </w:t>
      </w:r>
      <w:r w:rsidR="00EB39CD">
        <w:t>is</w:t>
      </w:r>
      <w:r w:rsidR="000B7A2D">
        <w:t xml:space="preserve"> logic</w:t>
      </w:r>
      <w:r w:rsidR="00EB39CD">
        <w:t>al</w:t>
      </w:r>
      <w:r w:rsidR="000B7A2D">
        <w:t xml:space="preserve"> and </w:t>
      </w:r>
      <w:r w:rsidR="00984CAB">
        <w:t xml:space="preserve">which </w:t>
      </w:r>
      <w:r w:rsidR="000B7A2D">
        <w:t xml:space="preserve">systematically </w:t>
      </w:r>
      <w:r w:rsidR="00EB39CD">
        <w:t xml:space="preserve">frames </w:t>
      </w:r>
      <w:r w:rsidR="00302046">
        <w:t>essential</w:t>
      </w:r>
      <w:r w:rsidR="000B7A2D">
        <w:t xml:space="preserve"> </w:t>
      </w:r>
      <w:r w:rsidR="00EB39CD">
        <w:t xml:space="preserve">limbs of a rescue model for a failing business. </w:t>
      </w:r>
      <w:r w:rsidR="00F82257">
        <w:t xml:space="preserve">The important limbs are </w:t>
      </w:r>
      <w:r w:rsidR="000B7A2D">
        <w:t>instanced below.</w:t>
      </w:r>
    </w:p>
    <w:p w14:paraId="1FB4B7B6" w14:textId="77777777" w:rsidR="000B7A2D" w:rsidRDefault="000B7A2D" w:rsidP="00CF43F1">
      <w:pPr>
        <w:jc w:val="both"/>
      </w:pPr>
    </w:p>
    <w:p w14:paraId="70165C7C" w14:textId="04819F65" w:rsidR="000B7A2D" w:rsidRDefault="000B7A2D" w:rsidP="000B7A2D">
      <w:pPr>
        <w:pStyle w:val="ListParagraph"/>
        <w:numPr>
          <w:ilvl w:val="0"/>
          <w:numId w:val="10"/>
        </w:numPr>
        <w:ind w:left="851" w:hanging="284"/>
        <w:jc w:val="both"/>
      </w:pPr>
      <w:r>
        <w:t xml:space="preserve">The establishment of a moratorium that preserves the interests of all parties while a rescue plan is </w:t>
      </w:r>
      <w:r w:rsidR="00F82257">
        <w:t>developed for submission to affected creditors</w:t>
      </w:r>
      <w:r>
        <w:t>.</w:t>
      </w:r>
    </w:p>
    <w:p w14:paraId="3C0B5A5C" w14:textId="77777777" w:rsidR="00E93D5A" w:rsidRDefault="00E93D5A" w:rsidP="00E93D5A">
      <w:pPr>
        <w:jc w:val="both"/>
      </w:pPr>
    </w:p>
    <w:p w14:paraId="37D639FE" w14:textId="6DF89666" w:rsidR="00E93D5A" w:rsidRDefault="00E93D5A" w:rsidP="000B7A2D">
      <w:pPr>
        <w:pStyle w:val="ListParagraph"/>
        <w:numPr>
          <w:ilvl w:val="0"/>
          <w:numId w:val="10"/>
        </w:numPr>
        <w:ind w:left="851" w:hanging="284"/>
        <w:jc w:val="both"/>
      </w:pPr>
      <w:r>
        <w:t xml:space="preserve">The turnaround activity can be conducted without Court involvement unless required. The parties that are affected elect </w:t>
      </w:r>
      <w:r w:rsidR="0098435A">
        <w:t xml:space="preserve">how recovery will be implemented </w:t>
      </w:r>
      <w:r w:rsidR="00F82257">
        <w:t xml:space="preserve">on the ground that it is their </w:t>
      </w:r>
      <w:r>
        <w:t xml:space="preserve">right to </w:t>
      </w:r>
      <w:r w:rsidR="00F82257">
        <w:t>consider</w:t>
      </w:r>
      <w:r w:rsidR="0098435A">
        <w:t>,</w:t>
      </w:r>
      <w:r w:rsidR="00F82257">
        <w:t xml:space="preserve"> and resolve upon</w:t>
      </w:r>
      <w:r w:rsidR="0098435A">
        <w:t>,</w:t>
      </w:r>
      <w:r w:rsidR="00F82257">
        <w:t xml:space="preserve"> </w:t>
      </w:r>
      <w:r w:rsidR="0098435A">
        <w:t>any proposal</w:t>
      </w:r>
      <w:r w:rsidR="00F82257">
        <w:t xml:space="preserve"> to correct </w:t>
      </w:r>
      <w:r>
        <w:t>the insolvency</w:t>
      </w:r>
      <w:r w:rsidR="00F82257">
        <w:t xml:space="preserve"> that</w:t>
      </w:r>
      <w:r w:rsidR="0098435A">
        <w:t xml:space="preserve"> will ultimately be priced to them unless corrected.</w:t>
      </w:r>
    </w:p>
    <w:p w14:paraId="35362DBB" w14:textId="77777777" w:rsidR="00CC7A47" w:rsidRDefault="00CC7A47" w:rsidP="00CC7A47">
      <w:pPr>
        <w:jc w:val="both"/>
      </w:pPr>
    </w:p>
    <w:p w14:paraId="4C307BD8" w14:textId="33A0EFF4" w:rsidR="0098435A" w:rsidRDefault="000B7A2D" w:rsidP="000B7A2D">
      <w:pPr>
        <w:pStyle w:val="ListParagraph"/>
        <w:numPr>
          <w:ilvl w:val="0"/>
          <w:numId w:val="10"/>
        </w:numPr>
        <w:ind w:left="851" w:hanging="284"/>
        <w:jc w:val="both"/>
      </w:pPr>
      <w:r>
        <w:t xml:space="preserve">The </w:t>
      </w:r>
      <w:r w:rsidR="00CB6709">
        <w:t xml:space="preserve">scheme </w:t>
      </w:r>
      <w:r w:rsidR="002642B9">
        <w:t xml:space="preserve">is </w:t>
      </w:r>
      <w:r w:rsidR="00CB6709">
        <w:t>inclusive</w:t>
      </w:r>
      <w:r w:rsidR="0098435A">
        <w:t>.</w:t>
      </w:r>
      <w:r w:rsidR="00CB6709">
        <w:t xml:space="preserve"> </w:t>
      </w:r>
      <w:r w:rsidR="0098435A">
        <w:t xml:space="preserve">The </w:t>
      </w:r>
      <w:r w:rsidR="00CB6709">
        <w:t xml:space="preserve">focus </w:t>
      </w:r>
      <w:r w:rsidR="0098435A">
        <w:t xml:space="preserve">is </w:t>
      </w:r>
      <w:r w:rsidR="00CB6709">
        <w:t xml:space="preserve">on the business of the company and the ability </w:t>
      </w:r>
      <w:r w:rsidR="0098435A">
        <w:t xml:space="preserve">for it to </w:t>
      </w:r>
      <w:r w:rsidR="00CB6709">
        <w:t xml:space="preserve">rectify </w:t>
      </w:r>
      <w:r w:rsidR="00302046">
        <w:t xml:space="preserve">its affairs </w:t>
      </w:r>
      <w:r w:rsidR="00CB6709">
        <w:t xml:space="preserve">for the purpose of redeeming </w:t>
      </w:r>
      <w:r w:rsidR="002642B9">
        <w:t xml:space="preserve">all </w:t>
      </w:r>
      <w:r w:rsidR="00CB6709">
        <w:t>obligations to claimants in accordance with their rank and priority</w:t>
      </w:r>
      <w:r>
        <w:t>.</w:t>
      </w:r>
      <w:r w:rsidR="0098435A" w:rsidRPr="0098435A">
        <w:t xml:space="preserve"> </w:t>
      </w:r>
    </w:p>
    <w:p w14:paraId="7B0BF7DD" w14:textId="77777777" w:rsidR="0098435A" w:rsidRDefault="0098435A" w:rsidP="0098435A">
      <w:pPr>
        <w:pStyle w:val="ListParagraph"/>
      </w:pPr>
    </w:p>
    <w:p w14:paraId="1CFCAD9B" w14:textId="059F9EDF" w:rsidR="00AD0D6B" w:rsidRDefault="00AD0D6B" w:rsidP="00AD0D6B">
      <w:pPr>
        <w:pStyle w:val="ListParagraph"/>
        <w:numPr>
          <w:ilvl w:val="0"/>
          <w:numId w:val="10"/>
        </w:numPr>
        <w:ind w:left="851" w:hanging="284"/>
        <w:jc w:val="both"/>
      </w:pPr>
      <w:r>
        <w:t xml:space="preserve">The regime </w:t>
      </w:r>
      <w:r w:rsidR="00302046">
        <w:t xml:space="preserve">must be </w:t>
      </w:r>
      <w:r>
        <w:t xml:space="preserve">administered by an independent </w:t>
      </w:r>
      <w:r w:rsidR="00302046">
        <w:t xml:space="preserve">Registered </w:t>
      </w:r>
      <w:r>
        <w:t>Insolvency Practitioner. This should ensure that the necessary knowledge</w:t>
      </w:r>
      <w:r w:rsidR="00302046">
        <w:t>,</w:t>
      </w:r>
      <w:r>
        <w:t xml:space="preserve"> experience and skills </w:t>
      </w:r>
      <w:r w:rsidR="00302046">
        <w:t xml:space="preserve">required are available </w:t>
      </w:r>
      <w:r>
        <w:t>to facilitate the best possible outcome</w:t>
      </w:r>
      <w:r w:rsidR="00302046">
        <w:t>.</w:t>
      </w:r>
      <w:r>
        <w:t xml:space="preserve"> Direct recourse can be had to the Administrator where it is evident that </w:t>
      </w:r>
      <w:r w:rsidR="00302046">
        <w:t>he or she</w:t>
      </w:r>
      <w:r>
        <w:t xml:space="preserve"> has fallen short of </w:t>
      </w:r>
      <w:r w:rsidR="00A83566">
        <w:t>best practice.</w:t>
      </w:r>
    </w:p>
    <w:p w14:paraId="31AAF346" w14:textId="77777777" w:rsidR="00CC7A47" w:rsidRDefault="00CC7A47" w:rsidP="00CC7A47">
      <w:pPr>
        <w:jc w:val="both"/>
      </w:pPr>
    </w:p>
    <w:p w14:paraId="56D3F3C7" w14:textId="07DFF887" w:rsidR="000B7A2D" w:rsidRDefault="000B7A2D" w:rsidP="000B7A2D">
      <w:pPr>
        <w:pStyle w:val="ListParagraph"/>
        <w:numPr>
          <w:ilvl w:val="0"/>
          <w:numId w:val="10"/>
        </w:numPr>
        <w:ind w:left="851" w:hanging="284"/>
        <w:jc w:val="both"/>
      </w:pPr>
      <w:r>
        <w:t>Obligations incurred in the name of the company, during an Administration</w:t>
      </w:r>
      <w:r w:rsidR="002B6B71">
        <w:t>,</w:t>
      </w:r>
      <w:r>
        <w:t xml:space="preserve"> are </w:t>
      </w:r>
      <w:r w:rsidR="003410EC">
        <w:t xml:space="preserve">statutorily </w:t>
      </w:r>
      <w:r w:rsidR="002B6B71">
        <w:t xml:space="preserve">deemed to be </w:t>
      </w:r>
      <w:r>
        <w:t>personal to the Administrator</w:t>
      </w:r>
      <w:r w:rsidR="003410EC">
        <w:t xml:space="preserve"> and cannot be contracted away</w:t>
      </w:r>
      <w:r w:rsidR="00A83566">
        <w:t>.</w:t>
      </w:r>
      <w:r w:rsidR="002B6B71">
        <w:rPr>
          <w:rStyle w:val="FootnoteReference"/>
        </w:rPr>
        <w:footnoteReference w:id="41"/>
      </w:r>
      <w:r>
        <w:t xml:space="preserve"> </w:t>
      </w:r>
      <w:r w:rsidR="00A83566">
        <w:t xml:space="preserve">This </w:t>
      </w:r>
      <w:r w:rsidR="002B6B71">
        <w:t>ensur</w:t>
      </w:r>
      <w:r w:rsidR="00A83566">
        <w:t xml:space="preserve">es </w:t>
      </w:r>
      <w:r w:rsidR="002B6B71">
        <w:t>that accountability guides decisions made.</w:t>
      </w:r>
    </w:p>
    <w:p w14:paraId="15CA7BD6" w14:textId="77777777" w:rsidR="00CC7A47" w:rsidRDefault="00CC7A47" w:rsidP="00CC7A47">
      <w:pPr>
        <w:jc w:val="both"/>
      </w:pPr>
    </w:p>
    <w:p w14:paraId="0211A002" w14:textId="21A6EDA6" w:rsidR="002B6B71" w:rsidRDefault="002B6B71" w:rsidP="000B7A2D">
      <w:pPr>
        <w:pStyle w:val="ListParagraph"/>
        <w:numPr>
          <w:ilvl w:val="0"/>
          <w:numId w:val="10"/>
        </w:numPr>
        <w:ind w:left="851" w:hanging="284"/>
        <w:jc w:val="both"/>
      </w:pPr>
      <w:r>
        <w:lastRenderedPageBreak/>
        <w:t>Appropriately</w:t>
      </w:r>
      <w:r w:rsidR="00984CAB">
        <w:t>,</w:t>
      </w:r>
      <w:r>
        <w:t xml:space="preserve"> t</w:t>
      </w:r>
      <w:r w:rsidR="000B7A2D">
        <w:t xml:space="preserve">he outcome of the Administration is determined by the creditors </w:t>
      </w:r>
      <w:r>
        <w:t xml:space="preserve">– not the shareholders or the directors </w:t>
      </w:r>
      <w:r w:rsidR="002642B9">
        <w:t>of the Company. This is consistent with the notion that those that have governed the affairs of the company</w:t>
      </w:r>
      <w:r w:rsidR="00984CAB">
        <w:t>,</w:t>
      </w:r>
      <w:r w:rsidR="002642B9">
        <w:t xml:space="preserve"> </w:t>
      </w:r>
      <w:r w:rsidR="00A83566">
        <w:t xml:space="preserve">while it has become insolvent, </w:t>
      </w:r>
      <w:r w:rsidR="002642B9">
        <w:t xml:space="preserve">should not have a say </w:t>
      </w:r>
      <w:r w:rsidR="00044D9C">
        <w:t>in how the matter should be finally dealt with</w:t>
      </w:r>
      <w:r>
        <w:t>.</w:t>
      </w:r>
    </w:p>
    <w:p w14:paraId="797E61E2" w14:textId="77777777" w:rsidR="00CC7A47" w:rsidRDefault="00CC7A47" w:rsidP="00CC7A47">
      <w:pPr>
        <w:jc w:val="both"/>
      </w:pPr>
    </w:p>
    <w:p w14:paraId="741CE25F" w14:textId="586654EF" w:rsidR="002B6B71" w:rsidRDefault="002B6B71" w:rsidP="000B7A2D">
      <w:pPr>
        <w:pStyle w:val="ListParagraph"/>
        <w:numPr>
          <w:ilvl w:val="0"/>
          <w:numId w:val="10"/>
        </w:numPr>
        <w:ind w:left="851" w:hanging="284"/>
        <w:jc w:val="both"/>
      </w:pPr>
      <w:r>
        <w:t xml:space="preserve">The scheme is a debtor in possession program but only insofar as the debtor can facilitate a rescue plan that is </w:t>
      </w:r>
      <w:r w:rsidR="00044D9C">
        <w:t xml:space="preserve">agreed to by the general body of </w:t>
      </w:r>
      <w:r>
        <w:t xml:space="preserve">creditor’s </w:t>
      </w:r>
      <w:r w:rsidR="00044D9C">
        <w:t xml:space="preserve">and is in their best </w:t>
      </w:r>
      <w:r>
        <w:t>interests.</w:t>
      </w:r>
    </w:p>
    <w:p w14:paraId="245BB432" w14:textId="4B01EC09" w:rsidR="00CC7A47" w:rsidRDefault="00CC7A47" w:rsidP="00CC7A47">
      <w:pPr>
        <w:jc w:val="both"/>
      </w:pPr>
    </w:p>
    <w:p w14:paraId="23C8E9B7" w14:textId="7C6503D4" w:rsidR="00CC7A47" w:rsidRDefault="00CC7A47" w:rsidP="00CC7A47">
      <w:pPr>
        <w:jc w:val="both"/>
      </w:pPr>
      <w:r w:rsidRPr="000A4807">
        <w:t>The scheme</w:t>
      </w:r>
      <w:r>
        <w:t xml:space="preserve"> suggests that </w:t>
      </w:r>
      <w:r w:rsidR="00044D9C">
        <w:t>it</w:t>
      </w:r>
      <w:r>
        <w:t xml:space="preserve"> can become a bridge away from business failure </w:t>
      </w:r>
      <w:r w:rsidR="00813F1E">
        <w:t xml:space="preserve">toward </w:t>
      </w:r>
      <w:r>
        <w:t xml:space="preserve">a return to viability. The reality </w:t>
      </w:r>
      <w:r w:rsidR="004A5158">
        <w:t xml:space="preserve">though, </w:t>
      </w:r>
      <w:r>
        <w:t xml:space="preserve">is that it is no more, nor less, than </w:t>
      </w:r>
      <w:r w:rsidR="004A5158">
        <w:t xml:space="preserve">a legal </w:t>
      </w:r>
      <w:r>
        <w:t>instrument comprised of tools that, in the hands of knowledge</w:t>
      </w:r>
      <w:r w:rsidR="00724778">
        <w:t>,</w:t>
      </w:r>
      <w:r>
        <w:t xml:space="preserve"> experience and skill</w:t>
      </w:r>
      <w:r w:rsidR="00724778">
        <w:t>,</w:t>
      </w:r>
      <w:r>
        <w:t xml:space="preserve"> can </w:t>
      </w:r>
      <w:r w:rsidR="00A75322">
        <w:t>correct a declining situation</w:t>
      </w:r>
      <w:r w:rsidR="00984CAB">
        <w:t>,</w:t>
      </w:r>
      <w:r w:rsidR="00A75322">
        <w:t xml:space="preserve"> or optimise an outcome if it cannot be corrected. </w:t>
      </w:r>
      <w:r w:rsidR="004A5158">
        <w:t>The requirement for the existence of human actor</w:t>
      </w:r>
      <w:r w:rsidR="00984CAB">
        <w:t>s</w:t>
      </w:r>
      <w:r w:rsidR="00813F1E">
        <w:t>,</w:t>
      </w:r>
      <w:r w:rsidR="004A5158">
        <w:t xml:space="preserve"> that can creatively bring forward solutions</w:t>
      </w:r>
      <w:r w:rsidR="00813F1E">
        <w:t>,</w:t>
      </w:r>
      <w:r w:rsidR="004A5158">
        <w:t xml:space="preserve"> is an essential aspect of the tools and talents relationship.</w:t>
      </w:r>
    </w:p>
    <w:p w14:paraId="5A86D574" w14:textId="01B7B03E" w:rsidR="004A5158" w:rsidRDefault="004A5158" w:rsidP="00CC7A47">
      <w:pPr>
        <w:jc w:val="both"/>
      </w:pPr>
    </w:p>
    <w:p w14:paraId="67D81CC0" w14:textId="511CC621" w:rsidR="00813F1E" w:rsidRPr="00813F1E" w:rsidRDefault="00813F1E" w:rsidP="00CC7A47">
      <w:pPr>
        <w:jc w:val="both"/>
        <w:rPr>
          <w:b/>
          <w:bCs/>
        </w:rPr>
      </w:pPr>
      <w:r w:rsidRPr="00813F1E">
        <w:rPr>
          <w:b/>
          <w:bCs/>
        </w:rPr>
        <w:t>Could a Voluntary Administration model have been successful</w:t>
      </w:r>
      <w:r>
        <w:rPr>
          <w:b/>
          <w:bCs/>
        </w:rPr>
        <w:t>?</w:t>
      </w:r>
    </w:p>
    <w:p w14:paraId="747BA54A" w14:textId="41BE2273" w:rsidR="00354E5B" w:rsidRDefault="00FC5CC0" w:rsidP="00CC7A47">
      <w:pPr>
        <w:jc w:val="both"/>
      </w:pPr>
      <w:r>
        <w:t xml:space="preserve">The </w:t>
      </w:r>
      <w:r w:rsidR="00AB7FAD">
        <w:t>question asks for the merits</w:t>
      </w:r>
      <w:r>
        <w:t xml:space="preserve"> of adopting</w:t>
      </w:r>
      <w:r w:rsidR="00052E58">
        <w:t xml:space="preserve"> a</w:t>
      </w:r>
      <w:r>
        <w:t xml:space="preserve"> turnaround model that included a moratorium</w:t>
      </w:r>
      <w:r w:rsidR="00052E58">
        <w:t>,</w:t>
      </w:r>
      <w:r>
        <w:t xml:space="preserve"> </w:t>
      </w:r>
      <w:r w:rsidR="00AB7FAD">
        <w:t>as at the date that the four options were posited</w:t>
      </w:r>
      <w:r>
        <w:t xml:space="preserve">. </w:t>
      </w:r>
      <w:r w:rsidR="00052E58">
        <w:t xml:space="preserve">From a rescue </w:t>
      </w:r>
      <w:r w:rsidR="00CC15C8">
        <w:t>perspective</w:t>
      </w:r>
      <w:r w:rsidR="00A83ED4">
        <w:t>,</w:t>
      </w:r>
      <w:r w:rsidR="00052E58">
        <w:t xml:space="preserve"> </w:t>
      </w:r>
      <w:r w:rsidR="00A83ED4">
        <w:t xml:space="preserve">the date that the Banks were first informed </w:t>
      </w:r>
      <w:r w:rsidR="00052E58">
        <w:t xml:space="preserve">is as relevant, if not more so, </w:t>
      </w:r>
      <w:r w:rsidR="00A83ED4">
        <w:t>than the date that the option was posited.</w:t>
      </w:r>
      <w:r w:rsidR="00CC15C8">
        <w:t xml:space="preserve"> </w:t>
      </w:r>
      <w:r w:rsidR="00A83ED4">
        <w:t xml:space="preserve">On that ground </w:t>
      </w:r>
      <w:r w:rsidR="00CC15C8">
        <w:t xml:space="preserve">I have provided a point of view that emanates </w:t>
      </w:r>
      <w:r w:rsidR="00A83ED4">
        <w:t>from th</w:t>
      </w:r>
      <w:r w:rsidR="00724778">
        <w:t>e</w:t>
      </w:r>
      <w:r w:rsidR="00A83ED4">
        <w:t xml:space="preserve"> date of first knowledge</w:t>
      </w:r>
      <w:r w:rsidR="00724778">
        <w:t xml:space="preserve"> (13 November 2013)</w:t>
      </w:r>
      <w:r w:rsidR="00354E5B">
        <w:t>.</w:t>
      </w:r>
    </w:p>
    <w:p w14:paraId="5DC9F50D" w14:textId="77777777" w:rsidR="00354E5B" w:rsidRDefault="00354E5B" w:rsidP="00CC7A47">
      <w:pPr>
        <w:jc w:val="both"/>
      </w:pPr>
    </w:p>
    <w:p w14:paraId="481E42C4" w14:textId="1CE06DDE" w:rsidR="00FE258D" w:rsidRDefault="00354E5B" w:rsidP="00CC7A47">
      <w:pPr>
        <w:jc w:val="both"/>
      </w:pPr>
      <w:r>
        <w:t>Arguably</w:t>
      </w:r>
      <w:r w:rsidR="00724778">
        <w:t>,</w:t>
      </w:r>
      <w:r>
        <w:t xml:space="preserve"> this is the date when the parties should have considered </w:t>
      </w:r>
      <w:r w:rsidR="00724778">
        <w:t>an</w:t>
      </w:r>
      <w:r>
        <w:t xml:space="preserve"> option</w:t>
      </w:r>
      <w:r w:rsidR="00724778">
        <w:t xml:space="preserve"> to </w:t>
      </w:r>
      <w:r>
        <w:t>adopt a turnaround model</w:t>
      </w:r>
      <w:r w:rsidR="00C81563">
        <w:t xml:space="preserve"> </w:t>
      </w:r>
      <w:r>
        <w:t>that included a moratorium</w:t>
      </w:r>
      <w:r w:rsidR="00724778">
        <w:t>.</w:t>
      </w:r>
      <w:r w:rsidR="004A5158">
        <w:t xml:space="preserve"> </w:t>
      </w:r>
      <w:r w:rsidR="00724778">
        <w:t>Adoption at this time</w:t>
      </w:r>
      <w:r w:rsidR="007A63AF">
        <w:t>,</w:t>
      </w:r>
      <w:r w:rsidR="00724778">
        <w:t xml:space="preserve"> </w:t>
      </w:r>
      <w:r w:rsidR="00813F1E">
        <w:t>co</w:t>
      </w:r>
      <w:r w:rsidR="004A5158">
        <w:t xml:space="preserve">uld have produced a much better </w:t>
      </w:r>
      <w:r w:rsidR="00813F1E">
        <w:t>re</w:t>
      </w:r>
      <w:r w:rsidR="008D7B15">
        <w:t>sult</w:t>
      </w:r>
      <w:r w:rsidR="004A5158">
        <w:t xml:space="preserve"> tha</w:t>
      </w:r>
      <w:r w:rsidR="00813F1E">
        <w:t>n</w:t>
      </w:r>
      <w:r w:rsidR="00C81563">
        <w:t xml:space="preserve"> was</w:t>
      </w:r>
      <w:r w:rsidR="004A5158">
        <w:t xml:space="preserve"> achieved.</w:t>
      </w:r>
      <w:r w:rsidR="00813F1E">
        <w:t xml:space="preserve"> </w:t>
      </w:r>
      <w:r w:rsidR="00B42AEB">
        <w:t xml:space="preserve">That assertion rests on </w:t>
      </w:r>
      <w:r w:rsidR="00124093">
        <w:t xml:space="preserve">the viewpoint </w:t>
      </w:r>
      <w:r w:rsidR="00ED003D">
        <w:t xml:space="preserve">that </w:t>
      </w:r>
      <w:r w:rsidR="00B42AEB">
        <w:t>the a</w:t>
      </w:r>
      <w:r w:rsidR="00ED003D">
        <w:t xml:space="preserve">natomy of </w:t>
      </w:r>
      <w:r w:rsidR="00B42AEB">
        <w:t>a successful turnaround</w:t>
      </w:r>
      <w:r w:rsidR="00ED003D">
        <w:t xml:space="preserve"> plan</w:t>
      </w:r>
      <w:r w:rsidR="00C81563">
        <w:t xml:space="preserve"> is</w:t>
      </w:r>
      <w:r w:rsidR="00ED003D">
        <w:t xml:space="preserve"> </w:t>
      </w:r>
      <w:r w:rsidR="00723B5D">
        <w:t>ground</w:t>
      </w:r>
      <w:r w:rsidR="00ED003D">
        <w:t xml:space="preserve"> in </w:t>
      </w:r>
      <w:r w:rsidR="00C81563">
        <w:t>rapid response to issues</w:t>
      </w:r>
      <w:r w:rsidR="00ED003D">
        <w:t>, comprehension</w:t>
      </w:r>
      <w:r w:rsidR="00C81563">
        <w:t xml:space="preserve"> of underlying causes</w:t>
      </w:r>
      <w:r w:rsidR="00ED003D">
        <w:t>, sagaci</w:t>
      </w:r>
      <w:r w:rsidR="00C81563">
        <w:t xml:space="preserve">ous attention to workout options </w:t>
      </w:r>
      <w:r w:rsidR="00ED003D">
        <w:t xml:space="preserve">and </w:t>
      </w:r>
      <w:r w:rsidR="008F5188">
        <w:t>precision</w:t>
      </w:r>
      <w:r w:rsidR="00C81563">
        <w:t xml:space="preserve"> </w:t>
      </w:r>
      <w:r w:rsidR="00ED003D">
        <w:t xml:space="preserve">execution. </w:t>
      </w:r>
    </w:p>
    <w:p w14:paraId="7287DC77" w14:textId="77777777" w:rsidR="00FE258D" w:rsidRDefault="00FE258D" w:rsidP="00CC7A47">
      <w:pPr>
        <w:jc w:val="both"/>
      </w:pPr>
    </w:p>
    <w:p w14:paraId="4A13BB14" w14:textId="5652EEDF" w:rsidR="00FE258D" w:rsidRDefault="00723B5D" w:rsidP="00CC7A47">
      <w:pPr>
        <w:jc w:val="both"/>
      </w:pPr>
      <w:r>
        <w:t>All four attributes were lacking in th</w:t>
      </w:r>
      <w:r w:rsidR="002B4A4B">
        <w:t xml:space="preserve">is insolvent </w:t>
      </w:r>
      <w:r w:rsidR="00FE258D">
        <w:t xml:space="preserve">circumstance as </w:t>
      </w:r>
      <w:r w:rsidR="00124093">
        <w:t>discussed</w:t>
      </w:r>
      <w:r w:rsidR="00FE258D">
        <w:t xml:space="preserve"> below.</w:t>
      </w:r>
    </w:p>
    <w:p w14:paraId="07A9FB99" w14:textId="77777777" w:rsidR="00FE258D" w:rsidRDefault="00FE258D" w:rsidP="00CC7A47">
      <w:pPr>
        <w:jc w:val="both"/>
      </w:pPr>
    </w:p>
    <w:p w14:paraId="3347B228" w14:textId="3A5F1272" w:rsidR="003403B0" w:rsidRPr="003403B0" w:rsidRDefault="003403B0" w:rsidP="003403B0">
      <w:pPr>
        <w:jc w:val="both"/>
        <w:rPr>
          <w:b/>
          <w:bCs/>
        </w:rPr>
      </w:pPr>
      <w:r w:rsidRPr="003403B0">
        <w:rPr>
          <w:b/>
          <w:bCs/>
        </w:rPr>
        <w:t>Responsiveness</w:t>
      </w:r>
    </w:p>
    <w:p w14:paraId="14943FA5" w14:textId="770BA921" w:rsidR="008569E0" w:rsidRDefault="00FE258D" w:rsidP="003403B0">
      <w:pPr>
        <w:jc w:val="both"/>
      </w:pPr>
      <w:r>
        <w:t>Both m</w:t>
      </w:r>
      <w:r w:rsidR="002B4A4B">
        <w:t xml:space="preserve">anagement and the banks </w:t>
      </w:r>
      <w:r w:rsidR="005D6E4E">
        <w:t>fell a long way short of exhibiting de</w:t>
      </w:r>
      <w:r w:rsidR="002B4A4B">
        <w:t xml:space="preserve">cisiveness </w:t>
      </w:r>
      <w:r>
        <w:t xml:space="preserve">in the knowledge of the announcement made </w:t>
      </w:r>
      <w:r w:rsidR="005D6E4E">
        <w:t>13 November 2013. Indecision continued through to 4 July 2015. In between these times</w:t>
      </w:r>
      <w:r w:rsidR="007A63AF">
        <w:t>,</w:t>
      </w:r>
      <w:r w:rsidR="005D6E4E">
        <w:t xml:space="preserve"> the inherent value of the business would have depreciated for the lack of any expression </w:t>
      </w:r>
      <w:r w:rsidR="00C81563">
        <w:t xml:space="preserve">that </w:t>
      </w:r>
      <w:r w:rsidR="008569E0">
        <w:t>acknowledg</w:t>
      </w:r>
      <w:r w:rsidR="00C81563">
        <w:t>ed</w:t>
      </w:r>
      <w:r w:rsidR="008569E0">
        <w:t xml:space="preserve"> the </w:t>
      </w:r>
      <w:r w:rsidR="00C81563">
        <w:t>potential for business failure</w:t>
      </w:r>
      <w:r w:rsidR="007A63AF">
        <w:t xml:space="preserve">. Had that occurred, the process of </w:t>
      </w:r>
      <w:r w:rsidR="008569E0">
        <w:t xml:space="preserve">harnessing resources available to </w:t>
      </w:r>
      <w:r w:rsidR="00C81563">
        <w:t xml:space="preserve">prevent </w:t>
      </w:r>
      <w:r w:rsidR="007A63AF">
        <w:t>failure, could have commenced</w:t>
      </w:r>
      <w:r w:rsidR="008569E0">
        <w:t>.</w:t>
      </w:r>
    </w:p>
    <w:p w14:paraId="2B1FE6CC" w14:textId="77777777" w:rsidR="0068556E" w:rsidRDefault="0068556E" w:rsidP="003403B0">
      <w:pPr>
        <w:jc w:val="both"/>
      </w:pPr>
    </w:p>
    <w:p w14:paraId="578259C1" w14:textId="6BA79974" w:rsidR="003403B0" w:rsidRPr="003403B0" w:rsidRDefault="003403B0" w:rsidP="003403B0">
      <w:pPr>
        <w:jc w:val="both"/>
        <w:rPr>
          <w:b/>
          <w:bCs/>
        </w:rPr>
      </w:pPr>
      <w:r w:rsidRPr="003403B0">
        <w:rPr>
          <w:b/>
          <w:bCs/>
        </w:rPr>
        <w:t>Comprehension</w:t>
      </w:r>
    </w:p>
    <w:p w14:paraId="4AB6D7F5" w14:textId="7988BD62" w:rsidR="008569E0" w:rsidRDefault="008569E0" w:rsidP="003403B0">
      <w:pPr>
        <w:jc w:val="both"/>
      </w:pPr>
      <w:r>
        <w:t xml:space="preserve">Management </w:t>
      </w:r>
      <w:r w:rsidR="00C81563">
        <w:t>showed</w:t>
      </w:r>
      <w:r>
        <w:t xml:space="preserve"> a lack of knowledge of its own economic position. An economic condition </w:t>
      </w:r>
      <w:r w:rsidR="0075585F">
        <w:t>is unlikely to</w:t>
      </w:r>
      <w:r>
        <w:t xml:space="preserve"> be rectified unless it is first understood what may have caused it. This knowledge may not be immediately available, or indeed accurate</w:t>
      </w:r>
      <w:r w:rsidR="009B2B34">
        <w:t>,</w:t>
      </w:r>
      <w:r>
        <w:t xml:space="preserve"> but thorough diagnosis is essential to a recovery plan.</w:t>
      </w:r>
      <w:r w:rsidR="00BF5A84">
        <w:t xml:space="preserve"> Unless correcti</w:t>
      </w:r>
      <w:r w:rsidR="009B2B34">
        <w:t>ve</w:t>
      </w:r>
      <w:r w:rsidR="00BF5A84">
        <w:t xml:space="preserve"> action is taken against the causes</w:t>
      </w:r>
      <w:r w:rsidR="009B2B34">
        <w:t>,</w:t>
      </w:r>
      <w:r w:rsidR="00BF5A84">
        <w:t xml:space="preserve"> then more of the same is inevitable</w:t>
      </w:r>
      <w:r w:rsidR="00C6316E">
        <w:t xml:space="preserve"> -</w:t>
      </w:r>
      <w:r w:rsidR="00BF5A84">
        <w:t xml:space="preserve"> which is precisely what occurred.</w:t>
      </w:r>
    </w:p>
    <w:p w14:paraId="5395889E" w14:textId="77777777" w:rsidR="0068556E" w:rsidRDefault="0068556E" w:rsidP="003403B0">
      <w:pPr>
        <w:jc w:val="both"/>
      </w:pPr>
    </w:p>
    <w:p w14:paraId="61559B7A" w14:textId="62D38AEC" w:rsidR="003403B0" w:rsidRPr="003403B0" w:rsidRDefault="003403B0" w:rsidP="003403B0">
      <w:pPr>
        <w:jc w:val="both"/>
        <w:rPr>
          <w:b/>
          <w:bCs/>
        </w:rPr>
      </w:pPr>
      <w:r w:rsidRPr="003403B0">
        <w:rPr>
          <w:b/>
          <w:bCs/>
        </w:rPr>
        <w:t>Sagacity</w:t>
      </w:r>
    </w:p>
    <w:p w14:paraId="0E76DF15" w14:textId="717BDE69" w:rsidR="006C3EF7" w:rsidRDefault="008569E0" w:rsidP="003403B0">
      <w:pPr>
        <w:jc w:val="both"/>
      </w:pPr>
      <w:r>
        <w:t xml:space="preserve">Wisdom is </w:t>
      </w:r>
      <w:r w:rsidR="00EB459A">
        <w:t xml:space="preserve">a </w:t>
      </w:r>
      <w:r w:rsidR="0090729A">
        <w:t>manifestation of</w:t>
      </w:r>
      <w:r w:rsidR="00EB459A">
        <w:t xml:space="preserve"> knowledge </w:t>
      </w:r>
      <w:r w:rsidR="0068556E">
        <w:t xml:space="preserve">applied </w:t>
      </w:r>
      <w:r w:rsidR="00EB459A">
        <w:t xml:space="preserve">and </w:t>
      </w:r>
      <w:r w:rsidR="009B2B34">
        <w:t xml:space="preserve">results </w:t>
      </w:r>
      <w:r w:rsidR="0068556E">
        <w:t>evidence</w:t>
      </w:r>
      <w:r w:rsidR="009B2B34">
        <w:t>d</w:t>
      </w:r>
      <w:r w:rsidR="00AB7FAD">
        <w:t xml:space="preserve">. </w:t>
      </w:r>
      <w:r w:rsidR="009B2B34">
        <w:t>In the case, t</w:t>
      </w:r>
      <w:r w:rsidR="00AB7FAD">
        <w:t xml:space="preserve">here seems </w:t>
      </w:r>
      <w:r w:rsidR="00BF5A84">
        <w:t xml:space="preserve">a distinct lack of insight into how the </w:t>
      </w:r>
      <w:r w:rsidR="009B2B34">
        <w:t xml:space="preserve">trading losses </w:t>
      </w:r>
      <w:r w:rsidR="00BF5A84">
        <w:t xml:space="preserve">can be corrected. Management responded to the economic condition by applying activity along </w:t>
      </w:r>
      <w:r w:rsidR="008F5188">
        <w:t>simple metric lines (sales, cost of sales and expenses)</w:t>
      </w:r>
      <w:r w:rsidR="009B2B34">
        <w:t xml:space="preserve">. The situation called for a </w:t>
      </w:r>
      <w:r w:rsidR="008F5188">
        <w:t xml:space="preserve">more granular analysis and </w:t>
      </w:r>
      <w:r w:rsidR="009B2B34">
        <w:t>the application of</w:t>
      </w:r>
      <w:r w:rsidR="008F5188">
        <w:t xml:space="preserve"> creative responses. Metric lines are used to </w:t>
      </w:r>
      <w:r w:rsidR="006C3EF7">
        <w:t xml:space="preserve">measure and record </w:t>
      </w:r>
      <w:r w:rsidR="008F5188">
        <w:t>historical activity</w:t>
      </w:r>
      <w:r w:rsidR="006C3EF7">
        <w:t xml:space="preserve"> so a picture can be created of what has taken place. It is narrowminded to use those same metric lines as predictors of what may occur in the future</w:t>
      </w:r>
      <w:r w:rsidR="009B2B34">
        <w:t xml:space="preserve">. Business planning, </w:t>
      </w:r>
      <w:r w:rsidR="00BE36CA">
        <w:t xml:space="preserve">from the standpoint of </w:t>
      </w:r>
      <w:r w:rsidR="00BE36CA">
        <w:lastRenderedPageBreak/>
        <w:t xml:space="preserve">whatever economic position the company finds itself in, </w:t>
      </w:r>
      <w:r w:rsidR="006C3EF7">
        <w:t xml:space="preserve">is the </w:t>
      </w:r>
      <w:r w:rsidR="00D172AB">
        <w:t xml:space="preserve">responsibility </w:t>
      </w:r>
      <w:r w:rsidR="006C3EF7">
        <w:t>of thinking person</w:t>
      </w:r>
      <w:r w:rsidR="00C6316E">
        <w:t>s</w:t>
      </w:r>
      <w:r w:rsidR="006C3EF7">
        <w:t xml:space="preserve"> focussed on how available resources can achieve a desired outcome. </w:t>
      </w:r>
    </w:p>
    <w:p w14:paraId="1CA683E3" w14:textId="77777777" w:rsidR="003403B0" w:rsidRDefault="003403B0" w:rsidP="003403B0">
      <w:pPr>
        <w:pStyle w:val="ListParagraph"/>
        <w:ind w:left="0"/>
      </w:pPr>
    </w:p>
    <w:p w14:paraId="60CCB6EC" w14:textId="4D9BCF42" w:rsidR="003403B0" w:rsidRPr="003403B0" w:rsidRDefault="003403B0" w:rsidP="003403B0">
      <w:pPr>
        <w:jc w:val="both"/>
        <w:rPr>
          <w:b/>
          <w:bCs/>
        </w:rPr>
      </w:pPr>
      <w:r w:rsidRPr="003403B0">
        <w:rPr>
          <w:b/>
          <w:bCs/>
        </w:rPr>
        <w:t>Execution</w:t>
      </w:r>
    </w:p>
    <w:p w14:paraId="4B8B1B91" w14:textId="147727DA" w:rsidR="003115B4" w:rsidRDefault="003403B0" w:rsidP="003403B0">
      <w:pPr>
        <w:jc w:val="both"/>
      </w:pPr>
      <w:r>
        <w:t xml:space="preserve">Business is an expression of </w:t>
      </w:r>
      <w:r w:rsidR="00BE36CA">
        <w:t xml:space="preserve">competitive </w:t>
      </w:r>
      <w:r>
        <w:t xml:space="preserve">human endeavour that is both mobile and volatile. Management must engage in this </w:t>
      </w:r>
      <w:r w:rsidR="00BE36CA">
        <w:t xml:space="preserve">melee </w:t>
      </w:r>
      <w:r>
        <w:t>and at the very least stay in the pack if it is to remain successful. In simple terms</w:t>
      </w:r>
      <w:r w:rsidR="00BE36CA">
        <w:t>,</w:t>
      </w:r>
      <w:r>
        <w:t xml:space="preserve"> management must make promises</w:t>
      </w:r>
      <w:r w:rsidR="00C6316E">
        <w:t>,</w:t>
      </w:r>
      <w:r>
        <w:t xml:space="preserve"> and then deliver upon them. </w:t>
      </w:r>
      <w:r w:rsidR="002970CE">
        <w:t xml:space="preserve">This requires execution comparable at least to competitors. </w:t>
      </w:r>
      <w:r w:rsidR="003115B4">
        <w:t>Importantly, the less the economic resources that are available</w:t>
      </w:r>
      <w:r w:rsidR="00C6316E">
        <w:t>,</w:t>
      </w:r>
      <w:r w:rsidR="003115B4">
        <w:t xml:space="preserve"> the speedier and more precise the execution must be. </w:t>
      </w:r>
    </w:p>
    <w:p w14:paraId="403A175A" w14:textId="77777777" w:rsidR="003115B4" w:rsidRDefault="003115B4" w:rsidP="003403B0">
      <w:pPr>
        <w:jc w:val="both"/>
      </w:pPr>
    </w:p>
    <w:p w14:paraId="06C485AC" w14:textId="244096C0" w:rsidR="002970CE" w:rsidRDefault="003115B4" w:rsidP="003403B0">
      <w:pPr>
        <w:jc w:val="both"/>
      </w:pPr>
      <w:r>
        <w:t xml:space="preserve">Management is known and judged by what it did – not what it intends to do. When business is successful it operates </w:t>
      </w:r>
      <w:r w:rsidR="00BE36CA">
        <w:t>mid-</w:t>
      </w:r>
      <w:r>
        <w:t>stream and is judged with toleration. When resources are low</w:t>
      </w:r>
      <w:r w:rsidR="00E97C76">
        <w:t>,</w:t>
      </w:r>
      <w:r>
        <w:t xml:space="preserve"> and third parties are affected</w:t>
      </w:r>
      <w:r w:rsidR="00E97C76">
        <w:t>,</w:t>
      </w:r>
      <w:r>
        <w:t xml:space="preserve"> </w:t>
      </w:r>
      <w:r w:rsidR="00BE36CA">
        <w:t xml:space="preserve">management operates in the margins </w:t>
      </w:r>
      <w:r w:rsidR="00E97C76">
        <w:t>where commercial eddies are the most pronounced. Moreover, execution in the margin</w:t>
      </w:r>
      <w:r w:rsidR="00B71196">
        <w:t>s</w:t>
      </w:r>
      <w:r w:rsidR="00E97C76">
        <w:t xml:space="preserve"> of commerce </w:t>
      </w:r>
      <w:r w:rsidR="00B71196">
        <w:t>are</w:t>
      </w:r>
      <w:r w:rsidR="00E97C76">
        <w:t xml:space="preserve"> more levered, both positively and negatively, laying management bare for harsh criticism if things go wrong.</w:t>
      </w:r>
    </w:p>
    <w:p w14:paraId="4D8E28D6" w14:textId="77777777" w:rsidR="002970CE" w:rsidRDefault="002970CE" w:rsidP="003403B0">
      <w:pPr>
        <w:jc w:val="both"/>
      </w:pPr>
    </w:p>
    <w:p w14:paraId="4710F8D2" w14:textId="77777777" w:rsidR="00ED21C6" w:rsidRDefault="00ED21C6">
      <w:pPr>
        <w:rPr>
          <w:b/>
          <w:bCs/>
        </w:rPr>
      </w:pPr>
      <w:r>
        <w:rPr>
          <w:b/>
          <w:bCs/>
        </w:rPr>
        <w:t>Conclusion</w:t>
      </w:r>
    </w:p>
    <w:p w14:paraId="004D65E7" w14:textId="381049C5" w:rsidR="00CD17E8" w:rsidRPr="00ED21C6" w:rsidRDefault="00ED21C6" w:rsidP="00ED21C6">
      <w:pPr>
        <w:jc w:val="both"/>
      </w:pPr>
      <w:r w:rsidRPr="00ED21C6">
        <w:t>I am</w:t>
      </w:r>
      <w:r>
        <w:t xml:space="preserve"> of the view that the initiation of </w:t>
      </w:r>
      <w:r w:rsidR="00B71196">
        <w:t xml:space="preserve">a </w:t>
      </w:r>
      <w:r>
        <w:t xml:space="preserve">formal turnaround model that included a moratorium would have produced a </w:t>
      </w:r>
      <w:r w:rsidR="00B71196">
        <w:t xml:space="preserve">structure </w:t>
      </w:r>
      <w:r>
        <w:t xml:space="preserve">where management </w:t>
      </w:r>
      <w:r w:rsidR="00B71196">
        <w:t>c</w:t>
      </w:r>
      <w:r>
        <w:t xml:space="preserve">ould have been influenced by independent and competent insolvency practitioners in the process. </w:t>
      </w:r>
      <w:r w:rsidR="00E93D5A">
        <w:t xml:space="preserve">If that model had been </w:t>
      </w:r>
      <w:r w:rsidR="006837AF">
        <w:t>adopted,</w:t>
      </w:r>
      <w:r w:rsidR="00E93D5A">
        <w:t xml:space="preserve"> it most certainly would have been decisive and productive</w:t>
      </w:r>
      <w:r w:rsidR="006837AF">
        <w:t>. On this ground alone</w:t>
      </w:r>
      <w:r w:rsidR="00D172AB">
        <w:t>,</w:t>
      </w:r>
      <w:r w:rsidR="006837AF">
        <w:t xml:space="preserve"> the outcome would likely be much better than the </w:t>
      </w:r>
      <w:r w:rsidR="00C6316E">
        <w:t xml:space="preserve">actual </w:t>
      </w:r>
      <w:r w:rsidR="006837AF">
        <w:t>outcome achieved.</w:t>
      </w:r>
    </w:p>
    <w:p w14:paraId="5F730BD5" w14:textId="090390F7" w:rsidR="00D37890" w:rsidRPr="00B71196" w:rsidRDefault="00D37890">
      <w:pPr>
        <w:rPr>
          <w:b/>
          <w:bCs/>
          <w:u w:val="single"/>
        </w:rPr>
      </w:pPr>
      <w:r>
        <w:rPr>
          <w:b/>
          <w:bCs/>
        </w:rPr>
        <w:br w:type="page"/>
      </w:r>
    </w:p>
    <w:p w14:paraId="68DD06FB" w14:textId="77777777" w:rsidR="00C61A19" w:rsidRDefault="00C61A19">
      <w:pPr>
        <w:rPr>
          <w:b/>
          <w:bCs/>
        </w:rPr>
      </w:pPr>
    </w:p>
    <w:p w14:paraId="4032146B" w14:textId="77777777" w:rsidR="0047127C" w:rsidRDefault="0047127C" w:rsidP="009115BA">
      <w:pPr>
        <w:jc w:val="center"/>
        <w:rPr>
          <w:b/>
          <w:bCs/>
        </w:rPr>
      </w:pPr>
    </w:p>
    <w:p w14:paraId="40BDAF3C" w14:textId="14EE2072" w:rsidR="00AA2FE3" w:rsidRDefault="00AA2FE3" w:rsidP="009115BA">
      <w:pPr>
        <w:jc w:val="center"/>
        <w:rPr>
          <w:b/>
          <w:bCs/>
          <w:sz w:val="32"/>
        </w:rPr>
      </w:pPr>
      <w:r w:rsidRPr="0047127C">
        <w:rPr>
          <w:b/>
          <w:bCs/>
          <w:sz w:val="32"/>
        </w:rPr>
        <w:t>R</w:t>
      </w:r>
      <w:r w:rsidR="0047127C">
        <w:rPr>
          <w:b/>
          <w:bCs/>
          <w:sz w:val="32"/>
        </w:rPr>
        <w:t>EFERENCES</w:t>
      </w:r>
    </w:p>
    <w:p w14:paraId="0E5F727C" w14:textId="77777777" w:rsidR="0047127C" w:rsidRPr="0047127C" w:rsidRDefault="0047127C" w:rsidP="009115BA">
      <w:pPr>
        <w:jc w:val="center"/>
        <w:rPr>
          <w:b/>
          <w:bCs/>
          <w:sz w:val="32"/>
        </w:rPr>
      </w:pPr>
    </w:p>
    <w:p w14:paraId="34A55975" w14:textId="77777777" w:rsidR="0047127C" w:rsidRDefault="0047127C" w:rsidP="00EA3823">
      <w:pPr>
        <w:jc w:val="both"/>
      </w:pPr>
    </w:p>
    <w:p w14:paraId="4665B279" w14:textId="77777777" w:rsidR="0047127C" w:rsidRPr="00C61A19" w:rsidRDefault="0047127C" w:rsidP="00B35130">
      <w:proofErr w:type="spellStart"/>
      <w:r w:rsidRPr="00C61A19">
        <w:t>Adriaanse</w:t>
      </w:r>
      <w:proofErr w:type="spellEnd"/>
      <w:r w:rsidRPr="00C61A19">
        <w:t xml:space="preserve">, J.A.A., &amp; </w:t>
      </w:r>
      <w:proofErr w:type="spellStart"/>
      <w:r w:rsidRPr="00C61A19">
        <w:t>Kuijl</w:t>
      </w:r>
      <w:proofErr w:type="spellEnd"/>
      <w:r w:rsidRPr="00C61A19">
        <w:t xml:space="preserve">, J.G. (2006). Resolving Financial Distress: Informal Reorganisation in The Netherlands as a Beacon for Policy Makers in the CIS and CEE/SEE Regions? </w:t>
      </w:r>
      <w:r w:rsidRPr="00C61A19">
        <w:rPr>
          <w:i/>
          <w:iCs/>
        </w:rPr>
        <w:t>Review of Central and East European Law</w:t>
      </w:r>
      <w:r w:rsidRPr="00C61A19">
        <w:t xml:space="preserve">, 31(2), 135-154 </w:t>
      </w:r>
    </w:p>
    <w:p w14:paraId="3CB6F9E9" w14:textId="77777777" w:rsidR="0047127C" w:rsidRPr="00C61A19" w:rsidRDefault="0047127C" w:rsidP="00B35130"/>
    <w:p w14:paraId="467CA50C" w14:textId="38E177A0" w:rsidR="0047127C" w:rsidRPr="00C61A19" w:rsidRDefault="0047127C" w:rsidP="00B35130">
      <w:r w:rsidRPr="00C61A19">
        <w:t xml:space="preserve">Cameron, K.A., Sutton, R.I. and </w:t>
      </w:r>
      <w:proofErr w:type="spellStart"/>
      <w:r w:rsidRPr="00C61A19">
        <w:t>Whetton</w:t>
      </w:r>
      <w:proofErr w:type="spellEnd"/>
      <w:r w:rsidRPr="00C61A19">
        <w:t xml:space="preserve">, A.D. (1988) </w:t>
      </w:r>
      <w:r w:rsidRPr="00C61A19">
        <w:rPr>
          <w:i/>
          <w:iCs/>
        </w:rPr>
        <w:t>Readings in Organisational Decline; Frameworks, Research and Prescriptions</w:t>
      </w:r>
      <w:r w:rsidRPr="00C61A19">
        <w:t xml:space="preserve">. Cambridge, MA: Ballinger. </w:t>
      </w:r>
    </w:p>
    <w:p w14:paraId="4952B044" w14:textId="77777777" w:rsidR="00FD06A5" w:rsidRPr="00C61A19" w:rsidRDefault="00FD06A5" w:rsidP="00B35130"/>
    <w:p w14:paraId="3AC9FC8C" w14:textId="71EA6C89" w:rsidR="00FD06A5" w:rsidRPr="00C61A19" w:rsidRDefault="00FD06A5" w:rsidP="00B35130">
      <w:pPr>
        <w:rPr>
          <w:i/>
          <w:iCs/>
        </w:rPr>
      </w:pPr>
      <w:r w:rsidRPr="00C61A19">
        <w:t xml:space="preserve">INSOL International. (2017), </w:t>
      </w:r>
      <w:r w:rsidRPr="00C61A19">
        <w:rPr>
          <w:i/>
          <w:iCs/>
        </w:rPr>
        <w:t>Statement of Principles for a Global Approach to Multi-Creditor Workouts II.</w:t>
      </w:r>
    </w:p>
    <w:p w14:paraId="199A6C89" w14:textId="77777777" w:rsidR="0047127C" w:rsidRPr="00C61A19" w:rsidRDefault="0047127C" w:rsidP="00B35130"/>
    <w:p w14:paraId="36D49613" w14:textId="529E2FBE" w:rsidR="0047127C" w:rsidRPr="00C61A19" w:rsidRDefault="0047127C" w:rsidP="00B35130">
      <w:r w:rsidRPr="00C61A19">
        <w:t>Larsen, C.M. and Clute, C.R. (1979). The failure syndrome. American Journal of Small Business. 4(2), 34-43</w:t>
      </w:r>
    </w:p>
    <w:p w14:paraId="14A080AA" w14:textId="77777777" w:rsidR="0047127C" w:rsidRPr="00C61A19" w:rsidRDefault="0047127C" w:rsidP="00B35130"/>
    <w:p w14:paraId="148E3324" w14:textId="54427572" w:rsidR="0047127C" w:rsidRPr="00C61A19" w:rsidRDefault="0047127C" w:rsidP="00B35130">
      <w:proofErr w:type="spellStart"/>
      <w:r w:rsidRPr="00C61A19">
        <w:t>Mellahi</w:t>
      </w:r>
      <w:proofErr w:type="spellEnd"/>
      <w:r w:rsidRPr="00C61A19">
        <w:t xml:space="preserve">, K and Wilkinson, A (2004) </w:t>
      </w:r>
      <w:r w:rsidRPr="00C61A19">
        <w:rPr>
          <w:i/>
          <w:iCs/>
        </w:rPr>
        <w:t xml:space="preserve">Organisational failure: a critique of recent research and a proposed integrative framework. </w:t>
      </w:r>
      <w:r w:rsidRPr="00C61A19">
        <w:t>International Journal of Management Reviews, Volume 5/6 Issue 1 pp 21-41</w:t>
      </w:r>
    </w:p>
    <w:p w14:paraId="566842F7" w14:textId="77777777" w:rsidR="0047127C" w:rsidRPr="00C61A19" w:rsidRDefault="0047127C" w:rsidP="00B35130"/>
    <w:p w14:paraId="2E4CB68F" w14:textId="6C74C2F6" w:rsidR="0047127C" w:rsidRPr="00C61A19" w:rsidRDefault="0047127C" w:rsidP="00B35130">
      <w:r w:rsidRPr="00C61A19">
        <w:t xml:space="preserve">Pajunen, K. (2006). Stakeholder Influences in Organisational Survival. Journal of </w:t>
      </w:r>
      <w:r w:rsidRPr="00C61A19">
        <w:rPr>
          <w:i/>
          <w:iCs/>
        </w:rPr>
        <w:t>Management. Journal of Management Studies</w:t>
      </w:r>
      <w:r w:rsidRPr="00C61A19">
        <w:t xml:space="preserve">, 43(6), 1261-1288. </w:t>
      </w:r>
    </w:p>
    <w:p w14:paraId="70B25892" w14:textId="5A131E81" w:rsidR="0047127C" w:rsidRPr="00C61A19" w:rsidRDefault="0047127C" w:rsidP="00B35130"/>
    <w:p w14:paraId="2A861ECF" w14:textId="02478BA3" w:rsidR="00900A5E" w:rsidRPr="00C61A19" w:rsidRDefault="00900A5E" w:rsidP="00B35130">
      <w:pPr>
        <w:rPr>
          <w:i/>
          <w:iCs/>
        </w:rPr>
      </w:pPr>
      <w:r w:rsidRPr="00C61A19">
        <w:t>Principles for Effective Insolvency and Creditor/Debtor Regimes</w:t>
      </w:r>
      <w:r w:rsidR="00B35130" w:rsidRPr="00C61A19">
        <w:t xml:space="preserve">. </w:t>
      </w:r>
      <w:r w:rsidR="00B35130" w:rsidRPr="00C61A19">
        <w:rPr>
          <w:i/>
          <w:iCs/>
        </w:rPr>
        <w:t>A</w:t>
      </w:r>
      <w:r w:rsidRPr="00C61A19">
        <w:rPr>
          <w:i/>
          <w:iCs/>
        </w:rPr>
        <w:t xml:space="preserve">vailable at </w:t>
      </w:r>
      <w:hyperlink r:id="rId8" w:history="1">
        <w:r w:rsidRPr="00C61A19">
          <w:rPr>
            <w:rStyle w:val="Hyperlink"/>
            <w:rFonts w:ascii="Open Sans" w:hAnsi="Open Sans" w:cs="Open Sans"/>
            <w:i/>
            <w:iCs/>
            <w:color w:val="auto"/>
            <w:sz w:val="21"/>
            <w:szCs w:val="21"/>
            <w:shd w:val="clear" w:color="auto" w:fill="FFFFFF"/>
          </w:rPr>
          <w:t>https://www.worldbank.org/en/topic/financialsector/brief/the-world-bank-principles-for-effective-insolvency-and-creditor-rights</w:t>
        </w:r>
      </w:hyperlink>
    </w:p>
    <w:p w14:paraId="130DDF1F" w14:textId="77777777" w:rsidR="00900A5E" w:rsidRPr="00C61A19" w:rsidRDefault="00900A5E" w:rsidP="00B35130"/>
    <w:p w14:paraId="5004548E" w14:textId="12A9B192" w:rsidR="0047127C" w:rsidRPr="00C61A19" w:rsidRDefault="0047127C" w:rsidP="00B35130">
      <w:pPr>
        <w:rPr>
          <w:i/>
          <w:iCs/>
        </w:rPr>
      </w:pPr>
      <w:r w:rsidRPr="00C61A19">
        <w:t xml:space="preserve">Schmitt, A., </w:t>
      </w:r>
      <w:proofErr w:type="spellStart"/>
      <w:r w:rsidRPr="00C61A19">
        <w:t>Raisch</w:t>
      </w:r>
      <w:proofErr w:type="spellEnd"/>
      <w:r w:rsidRPr="00C61A19">
        <w:t xml:space="preserve">, S. (2013). Corporate Turnarounds: The Duality of Retrenchment and Recovery, </w:t>
      </w:r>
      <w:r w:rsidRPr="00C61A19">
        <w:rPr>
          <w:i/>
          <w:iCs/>
        </w:rPr>
        <w:t>Journal of Management Studies</w:t>
      </w:r>
      <w:r w:rsidRPr="00C61A19">
        <w:t>, 50(7) p. p. 1216-1244</w:t>
      </w:r>
    </w:p>
    <w:p w14:paraId="733DF03C" w14:textId="77777777" w:rsidR="0047127C" w:rsidRPr="00C61A19" w:rsidRDefault="0047127C" w:rsidP="00B35130"/>
    <w:p w14:paraId="512CA5CD" w14:textId="743820DE" w:rsidR="0047127C" w:rsidRPr="00C61A19" w:rsidRDefault="0047127C" w:rsidP="00B35130">
      <w:proofErr w:type="spellStart"/>
      <w:r w:rsidRPr="00C61A19">
        <w:t>Sudersanam</w:t>
      </w:r>
      <w:proofErr w:type="spellEnd"/>
      <w:r w:rsidRPr="00C61A19">
        <w:t xml:space="preserve">, S., Lai, J., (2001), Corporate Financial Distress and Turnaround Strategies: An Empirical Analysis, </w:t>
      </w:r>
      <w:r w:rsidRPr="00C61A19">
        <w:rPr>
          <w:i/>
          <w:iCs/>
        </w:rPr>
        <w:t>British Journal of Management</w:t>
      </w:r>
      <w:r w:rsidRPr="00C61A19">
        <w:t>, Vol. 12, 183-199</w:t>
      </w:r>
    </w:p>
    <w:p w14:paraId="2851E1DB" w14:textId="2410D85F" w:rsidR="00413AED" w:rsidRPr="00C61A19" w:rsidRDefault="00413AED" w:rsidP="00B35130"/>
    <w:p w14:paraId="2711F0CA" w14:textId="77777777" w:rsidR="00B35130" w:rsidRPr="00C61A19" w:rsidRDefault="00E3373C" w:rsidP="00B35130">
      <w:r w:rsidRPr="00C61A19">
        <w:t xml:space="preserve">UNCITRAL Model Law on Cross-Border Insolvency. </w:t>
      </w:r>
      <w:r w:rsidRPr="00C61A19">
        <w:rPr>
          <w:i/>
          <w:iCs/>
        </w:rPr>
        <w:t xml:space="preserve">Available at </w:t>
      </w:r>
      <w:hyperlink r:id="rId9" w:history="1">
        <w:r w:rsidR="00B35130" w:rsidRPr="00C61A19">
          <w:rPr>
            <w:rStyle w:val="Hyperlink"/>
            <w:i/>
            <w:iCs/>
            <w:color w:val="auto"/>
          </w:rPr>
          <w:t>https://uncitral.un.org/en/texts/insolvency/modellaw/cross-border_insolvency</w:t>
        </w:r>
      </w:hyperlink>
      <w:r w:rsidR="00B35130" w:rsidRPr="00C61A19">
        <w:t xml:space="preserve"> </w:t>
      </w:r>
    </w:p>
    <w:p w14:paraId="35496DE8" w14:textId="5A6E5D16" w:rsidR="00E3373C" w:rsidRPr="00C61A19" w:rsidRDefault="00E3373C" w:rsidP="00B35130"/>
    <w:p w14:paraId="032F8279" w14:textId="139DD90D" w:rsidR="00FD06A5" w:rsidRPr="00C61A19" w:rsidRDefault="00FD06A5" w:rsidP="00B35130">
      <w:r w:rsidRPr="00C61A19">
        <w:t>Wessels, B., Boon, Gert-Jan (2019)</w:t>
      </w:r>
      <w:r w:rsidR="00581DD2" w:rsidRPr="00C61A19">
        <w:t>. Soft Law Instruments in Restructuring and Insolvency Law. Exploring its Rise and Impact.</w:t>
      </w:r>
      <w:r w:rsidR="00591357" w:rsidRPr="00C61A19">
        <w:t xml:space="preserve"> </w:t>
      </w:r>
      <w:r w:rsidR="00591357" w:rsidRPr="00C61A19">
        <w:rPr>
          <w:i/>
          <w:iCs/>
        </w:rPr>
        <w:t>Available a</w:t>
      </w:r>
      <w:r w:rsidR="00591357" w:rsidRPr="00C61A19">
        <w:t>t</w:t>
      </w:r>
      <w:r w:rsidR="00581DD2" w:rsidRPr="00C61A19">
        <w:t xml:space="preserve"> </w:t>
      </w:r>
      <w:r w:rsidR="00591357" w:rsidRPr="00C61A19">
        <w:rPr>
          <w:i/>
          <w:iCs/>
        </w:rPr>
        <w:t>https</w:t>
      </w:r>
      <w:r w:rsidR="00591357" w:rsidRPr="00C61A19">
        <w:t>://</w:t>
      </w:r>
      <w:r w:rsidR="00581DD2" w:rsidRPr="00C61A19">
        <w:rPr>
          <w:i/>
          <w:iCs/>
        </w:rPr>
        <w:t>SSRN</w:t>
      </w:r>
      <w:r w:rsidR="00591357" w:rsidRPr="00C61A19">
        <w:rPr>
          <w:i/>
          <w:iCs/>
        </w:rPr>
        <w:t>.com/</w:t>
      </w:r>
      <w:r w:rsidR="00581DD2" w:rsidRPr="00C61A19">
        <w:rPr>
          <w:i/>
          <w:iCs/>
        </w:rPr>
        <w:t>abstract</w:t>
      </w:r>
      <w:r w:rsidR="00591357" w:rsidRPr="00C61A19">
        <w:rPr>
          <w:i/>
          <w:iCs/>
        </w:rPr>
        <w:t>=</w:t>
      </w:r>
      <w:r w:rsidR="00581DD2" w:rsidRPr="00C61A19">
        <w:rPr>
          <w:i/>
          <w:iCs/>
        </w:rPr>
        <w:t>3397874</w:t>
      </w:r>
    </w:p>
    <w:sectPr w:rsidR="00FD06A5" w:rsidRPr="00C61A19" w:rsidSect="00DB04B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1D1" w14:textId="77777777" w:rsidR="00513E1F" w:rsidRDefault="00513E1F" w:rsidP="00921565">
      <w:r>
        <w:separator/>
      </w:r>
    </w:p>
  </w:endnote>
  <w:endnote w:type="continuationSeparator" w:id="0">
    <w:p w14:paraId="7D101D32" w14:textId="77777777" w:rsidR="00513E1F" w:rsidRDefault="00513E1F" w:rsidP="009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D8FC" w14:textId="77777777" w:rsidR="00513E1F" w:rsidRDefault="00513E1F" w:rsidP="00921565">
      <w:r>
        <w:separator/>
      </w:r>
    </w:p>
  </w:footnote>
  <w:footnote w:type="continuationSeparator" w:id="0">
    <w:p w14:paraId="68432BDF" w14:textId="77777777" w:rsidR="00513E1F" w:rsidRDefault="00513E1F" w:rsidP="00921565">
      <w:r>
        <w:continuationSeparator/>
      </w:r>
    </w:p>
  </w:footnote>
  <w:footnote w:id="1">
    <w:p w14:paraId="75F065A4" w14:textId="77777777" w:rsidR="00A46500" w:rsidRPr="003C382E" w:rsidRDefault="00A46500" w:rsidP="006E09E5">
      <w:pPr>
        <w:pStyle w:val="FootnoteText"/>
        <w:jc w:val="both"/>
      </w:pPr>
      <w:r w:rsidRPr="003C382E">
        <w:rPr>
          <w:rStyle w:val="FootnoteReference"/>
        </w:rPr>
        <w:footnoteRef/>
      </w:r>
      <w:r w:rsidRPr="003C382E">
        <w:t xml:space="preserve"> As cited by </w:t>
      </w:r>
      <w:proofErr w:type="spellStart"/>
      <w:r w:rsidRPr="003C382E">
        <w:t>Mellahi</w:t>
      </w:r>
      <w:proofErr w:type="spellEnd"/>
      <w:r w:rsidRPr="003C382E">
        <w:t xml:space="preserve"> and Wilkinson. Organisational failure: a critique of recent research and a proposed integrative framework. International Journal of Management Reviews. Volume 5/6 Issue 1 Page 22</w:t>
      </w:r>
    </w:p>
  </w:footnote>
  <w:footnote w:id="2">
    <w:p w14:paraId="4EEFC6DA" w14:textId="45B9B7F1" w:rsidR="006E09E5" w:rsidRPr="003C382E" w:rsidRDefault="006E09E5">
      <w:pPr>
        <w:pStyle w:val="FootnoteText"/>
      </w:pPr>
      <w:r w:rsidRPr="003C382E">
        <w:rPr>
          <w:rStyle w:val="FootnoteReference"/>
        </w:rPr>
        <w:footnoteRef/>
      </w:r>
      <w:r w:rsidRPr="003C382E">
        <w:t xml:space="preserve"> Organisational failure: a critique of recent research and a proposed integrative framework. International Journal of Management Reviews. Volume 5/6 Issue 1 pp 21-41</w:t>
      </w:r>
    </w:p>
  </w:footnote>
  <w:footnote w:id="3">
    <w:p w14:paraId="7624362B" w14:textId="0011553A" w:rsidR="00A7741F" w:rsidRPr="003C382E" w:rsidRDefault="00A7741F">
      <w:pPr>
        <w:pStyle w:val="FootnoteText"/>
      </w:pPr>
      <w:r w:rsidRPr="003C382E">
        <w:rPr>
          <w:rStyle w:val="FootnoteReference"/>
        </w:rPr>
        <w:footnoteRef/>
      </w:r>
      <w:r w:rsidRPr="003C382E">
        <w:t xml:space="preserve"> Ibid page 21</w:t>
      </w:r>
    </w:p>
  </w:footnote>
  <w:footnote w:id="4">
    <w:p w14:paraId="6DD2A3BB" w14:textId="6FADC3B9" w:rsidR="008B7AA0" w:rsidRPr="003C382E" w:rsidRDefault="008B7AA0">
      <w:pPr>
        <w:pStyle w:val="FootnoteText"/>
      </w:pPr>
      <w:r w:rsidRPr="003C382E">
        <w:rPr>
          <w:rStyle w:val="FootnoteReference"/>
        </w:rPr>
        <w:footnoteRef/>
      </w:r>
      <w:r w:rsidRPr="003C382E">
        <w:t xml:space="preserve"> </w:t>
      </w:r>
      <w:r w:rsidR="009A3D11">
        <w:t>Supra note</w:t>
      </w:r>
      <w:r w:rsidR="000710A9" w:rsidRPr="003C382E">
        <w:t xml:space="preserve"> 2. P</w:t>
      </w:r>
      <w:r w:rsidRPr="003C382E">
        <w:t>age 28</w:t>
      </w:r>
    </w:p>
  </w:footnote>
  <w:footnote w:id="5">
    <w:p w14:paraId="127FB846" w14:textId="44DC551C" w:rsidR="000B251B" w:rsidRPr="003C382E" w:rsidRDefault="000B251B">
      <w:pPr>
        <w:pStyle w:val="FootnoteText"/>
      </w:pPr>
      <w:r w:rsidRPr="003C382E">
        <w:rPr>
          <w:rStyle w:val="FootnoteReference"/>
        </w:rPr>
        <w:footnoteRef/>
      </w:r>
      <w:r w:rsidRPr="003C382E">
        <w:t xml:space="preserve"> Ibid </w:t>
      </w:r>
    </w:p>
  </w:footnote>
  <w:footnote w:id="6">
    <w:p w14:paraId="064F701A" w14:textId="24024194" w:rsidR="00B15C90" w:rsidRPr="003C382E" w:rsidRDefault="00B15C90">
      <w:pPr>
        <w:pStyle w:val="FootnoteText"/>
      </w:pPr>
      <w:r w:rsidRPr="003C382E">
        <w:rPr>
          <w:rStyle w:val="FootnoteReference"/>
        </w:rPr>
        <w:footnoteRef/>
      </w:r>
      <w:r w:rsidRPr="003C382E">
        <w:t xml:space="preserve"> Ibid</w:t>
      </w:r>
    </w:p>
  </w:footnote>
  <w:footnote w:id="7">
    <w:p w14:paraId="4D27C749" w14:textId="72FA0AA6" w:rsidR="00C15E0C" w:rsidRPr="003C382E" w:rsidRDefault="00C15E0C">
      <w:pPr>
        <w:pStyle w:val="FootnoteText"/>
      </w:pPr>
      <w:r w:rsidRPr="003C382E">
        <w:rPr>
          <w:rStyle w:val="FootnoteReference"/>
        </w:rPr>
        <w:footnoteRef/>
      </w:r>
      <w:r w:rsidRPr="003C382E">
        <w:t xml:space="preserve"> The external or Deterministic categories profiled by </w:t>
      </w:r>
      <w:proofErr w:type="spellStart"/>
      <w:r w:rsidRPr="003C382E">
        <w:t>Mellahi</w:t>
      </w:r>
      <w:proofErr w:type="spellEnd"/>
      <w:r w:rsidRPr="003C382E">
        <w:t xml:space="preserve"> and Wilkinson</w:t>
      </w:r>
      <w:r w:rsidR="007057E0">
        <w:t xml:space="preserve"> on page 21</w:t>
      </w:r>
    </w:p>
  </w:footnote>
  <w:footnote w:id="8">
    <w:p w14:paraId="5AD9D533" w14:textId="54F8E5EC" w:rsidR="0057109F" w:rsidRPr="003C382E" w:rsidRDefault="0057109F">
      <w:pPr>
        <w:pStyle w:val="FootnoteText"/>
      </w:pPr>
      <w:r w:rsidRPr="003C382E">
        <w:rPr>
          <w:rStyle w:val="FootnoteReference"/>
        </w:rPr>
        <w:footnoteRef/>
      </w:r>
      <w:r w:rsidRPr="003C382E">
        <w:t xml:space="preserve"> </w:t>
      </w:r>
      <w:r w:rsidR="007057E0">
        <w:t>Supra note</w:t>
      </w:r>
      <w:r w:rsidR="000710A9" w:rsidRPr="003C382E">
        <w:t xml:space="preserve"> 2. Page 28</w:t>
      </w:r>
      <w:r w:rsidR="00F87549" w:rsidRPr="003C382E">
        <w:t xml:space="preserve"> citing </w:t>
      </w:r>
      <w:r w:rsidR="00F87549" w:rsidRPr="003C382E">
        <w:rPr>
          <w:i/>
          <w:iCs/>
        </w:rPr>
        <w:t>S</w:t>
      </w:r>
      <w:r w:rsidR="000710A9" w:rsidRPr="003C382E">
        <w:rPr>
          <w:i/>
          <w:iCs/>
        </w:rPr>
        <w:t>h</w:t>
      </w:r>
      <w:r w:rsidR="00F87549" w:rsidRPr="003C382E">
        <w:rPr>
          <w:i/>
          <w:iCs/>
        </w:rPr>
        <w:t>aw et al</w:t>
      </w:r>
      <w:r w:rsidR="00F87549" w:rsidRPr="003C382E">
        <w:t xml:space="preserve"> where </w:t>
      </w:r>
      <w:r w:rsidR="000710A9" w:rsidRPr="003C382E">
        <w:t>“</w:t>
      </w:r>
      <w:r w:rsidR="00F87549" w:rsidRPr="003C382E">
        <w:t>sticking to the knitting</w:t>
      </w:r>
      <w:r w:rsidR="000710A9" w:rsidRPr="003C382E">
        <w:t>”</w:t>
      </w:r>
      <w:r w:rsidR="00F87549" w:rsidRPr="003C382E">
        <w:t xml:space="preserve"> is referred to as the basis of action</w:t>
      </w:r>
    </w:p>
  </w:footnote>
  <w:footnote w:id="9">
    <w:p w14:paraId="7B8B304A" w14:textId="30506BF3" w:rsidR="004C35FA" w:rsidRDefault="004C35FA">
      <w:pPr>
        <w:pStyle w:val="FootnoteText"/>
      </w:pPr>
      <w:r>
        <w:rPr>
          <w:rStyle w:val="FootnoteReference"/>
        </w:rPr>
        <w:footnoteRef/>
      </w:r>
      <w:r>
        <w:t xml:space="preserve"> </w:t>
      </w:r>
      <w:proofErr w:type="spellStart"/>
      <w:r>
        <w:t>Adriaanse</w:t>
      </w:r>
      <w:proofErr w:type="spellEnd"/>
      <w:r>
        <w:t xml:space="preserve"> and </w:t>
      </w:r>
      <w:proofErr w:type="spellStart"/>
      <w:r>
        <w:t>Kuijl</w:t>
      </w:r>
      <w:proofErr w:type="spellEnd"/>
      <w:r>
        <w:t xml:space="preserve">. </w:t>
      </w:r>
      <w:r w:rsidRPr="004C35FA">
        <w:rPr>
          <w:i/>
          <w:iCs/>
        </w:rPr>
        <w:t>Resolving Financial Distress: Informal Reorganisation in The Netherlands as a Beacon for Policy Makers in the CIS and CEE/SEE Regions?</w:t>
      </w:r>
      <w:r>
        <w:t xml:space="preserve"> Review of Central and East European Law 31 (2006) 135-154</w:t>
      </w:r>
    </w:p>
  </w:footnote>
  <w:footnote w:id="10">
    <w:p w14:paraId="402641D2" w14:textId="0203A7F4" w:rsidR="00BC41FF" w:rsidRDefault="00BC41FF">
      <w:pPr>
        <w:pStyle w:val="FootnoteText"/>
      </w:pPr>
      <w:r>
        <w:rPr>
          <w:rStyle w:val="FootnoteReference"/>
        </w:rPr>
        <w:footnoteRef/>
      </w:r>
      <w:r>
        <w:t xml:space="preserve"> Ibid page 145 </w:t>
      </w:r>
    </w:p>
  </w:footnote>
  <w:footnote w:id="11">
    <w:p w14:paraId="7C7D60B7" w14:textId="18F50D17" w:rsidR="006A3D0A" w:rsidRDefault="006A3D0A">
      <w:pPr>
        <w:pStyle w:val="FootnoteText"/>
      </w:pPr>
      <w:r>
        <w:rPr>
          <w:rStyle w:val="FootnoteReference"/>
        </w:rPr>
        <w:footnoteRef/>
      </w:r>
      <w:r>
        <w:t xml:space="preserve"> Stakeholder Influences in Organisational Survival. Journal of Management Studies, 43(6), 1261-1288.</w:t>
      </w:r>
    </w:p>
  </w:footnote>
  <w:footnote w:id="12">
    <w:p w14:paraId="3F8C96AB" w14:textId="474BADE1" w:rsidR="006A3D0A" w:rsidRDefault="006A3D0A">
      <w:pPr>
        <w:pStyle w:val="FootnoteText"/>
      </w:pPr>
      <w:r>
        <w:rPr>
          <w:rStyle w:val="FootnoteReference"/>
        </w:rPr>
        <w:footnoteRef/>
      </w:r>
      <w:r>
        <w:t xml:space="preserve"> Ibid page 1277</w:t>
      </w:r>
    </w:p>
  </w:footnote>
  <w:footnote w:id="13">
    <w:p w14:paraId="09CF8A35" w14:textId="33424FA1" w:rsidR="0056296B" w:rsidRDefault="0056296B">
      <w:pPr>
        <w:pStyle w:val="FootnoteText"/>
      </w:pPr>
      <w:r>
        <w:rPr>
          <w:rStyle w:val="FootnoteReference"/>
        </w:rPr>
        <w:footnoteRef/>
      </w:r>
      <w:r>
        <w:t xml:space="preserve"> </w:t>
      </w:r>
      <w:r w:rsidR="007057E0">
        <w:t>Supra note 11.</w:t>
      </w:r>
      <w:r>
        <w:t xml:space="preserve"> </w:t>
      </w:r>
      <w:r w:rsidR="007057E0">
        <w:t>P</w:t>
      </w:r>
      <w:r>
        <w:t>age 1263</w:t>
      </w:r>
    </w:p>
  </w:footnote>
  <w:footnote w:id="14">
    <w:p w14:paraId="4AB1C8D3" w14:textId="75D07E56" w:rsidR="00C74619" w:rsidRDefault="00C74619">
      <w:pPr>
        <w:pStyle w:val="FootnoteText"/>
      </w:pPr>
      <w:r>
        <w:rPr>
          <w:rStyle w:val="FootnoteReference"/>
        </w:rPr>
        <w:footnoteRef/>
      </w:r>
      <w:r>
        <w:t xml:space="preserve"> Corporate Turnarounds:</w:t>
      </w:r>
      <w:r w:rsidR="00197173">
        <w:t xml:space="preserve"> The Duality of Retrenchment and Recovery. Journal of Management Studies, 50(7) p. p. 1216-1244 </w:t>
      </w:r>
    </w:p>
  </w:footnote>
  <w:footnote w:id="15">
    <w:p w14:paraId="52CFB5E8" w14:textId="50183EA4" w:rsidR="005E0F2C" w:rsidRDefault="005E0F2C">
      <w:pPr>
        <w:pStyle w:val="FootnoteText"/>
      </w:pPr>
      <w:r>
        <w:rPr>
          <w:rStyle w:val="FootnoteReference"/>
        </w:rPr>
        <w:footnoteRef/>
      </w:r>
      <w:r>
        <w:t xml:space="preserve"> </w:t>
      </w:r>
      <w:r w:rsidR="007057E0">
        <w:t>Supra note 11 P</w:t>
      </w:r>
      <w:r>
        <w:t>age 1222.</w:t>
      </w:r>
    </w:p>
  </w:footnote>
  <w:footnote w:id="16">
    <w:p w14:paraId="51EB1925" w14:textId="148DCA53" w:rsidR="00717E24" w:rsidRDefault="00717E24">
      <w:pPr>
        <w:pStyle w:val="FootnoteText"/>
      </w:pPr>
      <w:r>
        <w:rPr>
          <w:rStyle w:val="FootnoteReference"/>
        </w:rPr>
        <w:footnoteRef/>
      </w:r>
      <w:r>
        <w:t xml:space="preserve"> </w:t>
      </w:r>
      <w:r w:rsidR="007057E0">
        <w:t>Supra note 11. Page</w:t>
      </w:r>
      <w:r>
        <w:t xml:space="preserve"> 1236</w:t>
      </w:r>
    </w:p>
  </w:footnote>
  <w:footnote w:id="17">
    <w:p w14:paraId="7BECF485" w14:textId="6B54776F" w:rsidR="0034786C" w:rsidRDefault="0034786C">
      <w:pPr>
        <w:pStyle w:val="FootnoteText"/>
      </w:pPr>
      <w:r>
        <w:rPr>
          <w:rStyle w:val="FootnoteReference"/>
        </w:rPr>
        <w:footnoteRef/>
      </w:r>
      <w:r>
        <w:t xml:space="preserve"> Corporate Financial Distress and Turnaround Strategies</w:t>
      </w:r>
      <w:r w:rsidR="00887645">
        <w:t xml:space="preserve">: An Empirical Analysis, British Journal of Management, Vol. 12, 183-189. </w:t>
      </w:r>
    </w:p>
  </w:footnote>
  <w:footnote w:id="18">
    <w:p w14:paraId="6924CABE" w14:textId="18428FE2" w:rsidR="005B2E19" w:rsidRDefault="005B2E19">
      <w:pPr>
        <w:pStyle w:val="FootnoteText"/>
      </w:pPr>
      <w:r>
        <w:rPr>
          <w:rStyle w:val="FootnoteReference"/>
        </w:rPr>
        <w:footnoteRef/>
      </w:r>
      <w:r>
        <w:t xml:space="preserve"> Ibid Table 1, Panel B on page 189</w:t>
      </w:r>
    </w:p>
  </w:footnote>
  <w:footnote w:id="19">
    <w:p w14:paraId="7D7432EC" w14:textId="7E50B75E" w:rsidR="00B140C4" w:rsidRDefault="00B140C4">
      <w:pPr>
        <w:pStyle w:val="FootnoteText"/>
      </w:pPr>
      <w:r>
        <w:rPr>
          <w:rStyle w:val="FootnoteReference"/>
        </w:rPr>
        <w:footnoteRef/>
      </w:r>
      <w:r>
        <w:t xml:space="preserve"> Resolving Financial Distress; Informal Reorganisation in The Netherlands as a Beacon for Policy Makers in the CIS and CEE/SEE Regions? Review of Central and East European Law, 31(2), 135-154</w:t>
      </w:r>
    </w:p>
  </w:footnote>
  <w:footnote w:id="20">
    <w:p w14:paraId="5B51FFBE" w14:textId="0894D798" w:rsidR="00782928" w:rsidRDefault="00782928">
      <w:pPr>
        <w:pStyle w:val="FootnoteText"/>
      </w:pPr>
      <w:r>
        <w:rPr>
          <w:rStyle w:val="FootnoteReference"/>
        </w:rPr>
        <w:footnoteRef/>
      </w:r>
      <w:r>
        <w:t xml:space="preserve"> Ibid page 149</w:t>
      </w:r>
    </w:p>
  </w:footnote>
  <w:footnote w:id="21">
    <w:p w14:paraId="4249AD78" w14:textId="6DF00838" w:rsidR="00AD766C" w:rsidRDefault="00AD766C">
      <w:pPr>
        <w:pStyle w:val="FootnoteText"/>
      </w:pPr>
      <w:r>
        <w:rPr>
          <w:rStyle w:val="FootnoteReference"/>
        </w:rPr>
        <w:footnoteRef/>
      </w:r>
      <w:r>
        <w:t xml:space="preserve"> </w:t>
      </w:r>
      <w:r w:rsidR="007E5E0F">
        <w:t>Supra note 19. Page 149</w:t>
      </w:r>
    </w:p>
  </w:footnote>
  <w:footnote w:id="22">
    <w:p w14:paraId="2E33CCA7" w14:textId="429CEB28" w:rsidR="00546C9C" w:rsidRDefault="00546C9C">
      <w:pPr>
        <w:pStyle w:val="FootnoteText"/>
      </w:pPr>
      <w:r>
        <w:rPr>
          <w:rStyle w:val="FootnoteReference"/>
        </w:rPr>
        <w:footnoteRef/>
      </w:r>
      <w:r>
        <w:t xml:space="preserve"> International Association of Restructuring, Insolvency and Bankruptcy Professionals</w:t>
      </w:r>
      <w:r w:rsidR="009C102C">
        <w:t>.</w:t>
      </w:r>
    </w:p>
  </w:footnote>
  <w:footnote w:id="23">
    <w:p w14:paraId="772BA442" w14:textId="66817FF2" w:rsidR="009C102C" w:rsidRDefault="009C102C">
      <w:pPr>
        <w:pStyle w:val="FootnoteText"/>
      </w:pPr>
      <w:r w:rsidRPr="00E108BE">
        <w:rPr>
          <w:rStyle w:val="FootnoteReference"/>
        </w:rPr>
        <w:footnoteRef/>
      </w:r>
      <w:r w:rsidRPr="00E108BE">
        <w:t xml:space="preserve"> </w:t>
      </w:r>
      <w:proofErr w:type="spellStart"/>
      <w:r w:rsidR="00D33F65" w:rsidRPr="00E108BE">
        <w:t>Insol</w:t>
      </w:r>
      <w:proofErr w:type="spellEnd"/>
      <w:r w:rsidR="00D33F65" w:rsidRPr="00E108BE">
        <w:t xml:space="preserve"> International Statement of Principles </w:t>
      </w:r>
      <w:r w:rsidR="00E108BE" w:rsidRPr="00E108BE">
        <w:t>for a Global Approach to Multi-Creditor Workouts II</w:t>
      </w:r>
    </w:p>
  </w:footnote>
  <w:footnote w:id="24">
    <w:p w14:paraId="70D1CE2F" w14:textId="3AB2C553" w:rsidR="00A82F08" w:rsidRDefault="00A82F08" w:rsidP="00A82F08">
      <w:pPr>
        <w:pStyle w:val="FootnoteText"/>
      </w:pPr>
      <w:r>
        <w:rPr>
          <w:rStyle w:val="FootnoteReference"/>
        </w:rPr>
        <w:footnoteRef/>
      </w:r>
      <w:r>
        <w:t xml:space="preserve"> </w:t>
      </w:r>
      <w:r w:rsidR="00E108BE">
        <w:t xml:space="preserve">Supra </w:t>
      </w:r>
      <w:r>
        <w:t>note 22 page 2</w:t>
      </w:r>
    </w:p>
  </w:footnote>
  <w:footnote w:id="25">
    <w:p w14:paraId="21E08B0C" w14:textId="42890D70" w:rsidR="00A82F08" w:rsidRDefault="00A82F08" w:rsidP="00A82F08">
      <w:pPr>
        <w:pStyle w:val="FootnoteText"/>
      </w:pPr>
      <w:r>
        <w:rPr>
          <w:rStyle w:val="FootnoteReference"/>
        </w:rPr>
        <w:footnoteRef/>
      </w:r>
      <w:r>
        <w:t xml:space="preserve"> Ibid</w:t>
      </w:r>
    </w:p>
  </w:footnote>
  <w:footnote w:id="26">
    <w:p w14:paraId="329DB2C4" w14:textId="24604EE2" w:rsidR="00A82F08" w:rsidRDefault="00A82F08" w:rsidP="00A82F08">
      <w:pPr>
        <w:pStyle w:val="FootnoteText"/>
      </w:pPr>
      <w:r>
        <w:rPr>
          <w:rStyle w:val="FootnoteReference"/>
        </w:rPr>
        <w:footnoteRef/>
      </w:r>
      <w:r>
        <w:t xml:space="preserve"> </w:t>
      </w:r>
      <w:r w:rsidR="00A323D1">
        <w:t>Supra note 22</w:t>
      </w:r>
      <w:r>
        <w:t xml:space="preserve"> page 3</w:t>
      </w:r>
    </w:p>
  </w:footnote>
  <w:footnote w:id="27">
    <w:p w14:paraId="65EB3FD6" w14:textId="6B3D4DEF" w:rsidR="00A82F08" w:rsidRDefault="00A82F08" w:rsidP="00A82F08">
      <w:pPr>
        <w:pStyle w:val="FootnoteText"/>
      </w:pPr>
      <w:r>
        <w:rPr>
          <w:rStyle w:val="FootnoteReference"/>
        </w:rPr>
        <w:footnoteRef/>
      </w:r>
      <w:r w:rsidR="00A323D1">
        <w:t xml:space="preserve"> Supra note 22 page 3</w:t>
      </w:r>
    </w:p>
  </w:footnote>
  <w:footnote w:id="28">
    <w:p w14:paraId="75A78408" w14:textId="45C483B5" w:rsidR="00A82F08" w:rsidRDefault="00A82F08" w:rsidP="00A82F08">
      <w:pPr>
        <w:pStyle w:val="FootnoteText"/>
      </w:pPr>
      <w:r>
        <w:rPr>
          <w:rStyle w:val="FootnoteReference"/>
        </w:rPr>
        <w:footnoteRef/>
      </w:r>
      <w:r>
        <w:t xml:space="preserve"> </w:t>
      </w:r>
      <w:r w:rsidR="00A323D1">
        <w:t>Supra note 22 page 3</w:t>
      </w:r>
    </w:p>
  </w:footnote>
  <w:footnote w:id="29">
    <w:p w14:paraId="1665D02B" w14:textId="7FEE5698" w:rsidR="006B5EBE" w:rsidRPr="00591357" w:rsidRDefault="006B5EBE">
      <w:pPr>
        <w:pStyle w:val="FootnoteText"/>
      </w:pPr>
      <w:r>
        <w:rPr>
          <w:rStyle w:val="FootnoteReference"/>
        </w:rPr>
        <w:footnoteRef/>
      </w:r>
      <w:r>
        <w:t xml:space="preserve"> Soft law instruments in restructuring and insolvency law: exploring its rise and impact</w:t>
      </w:r>
      <w:r w:rsidRPr="00591357">
        <w:t xml:space="preserve">. </w:t>
      </w:r>
      <w:r w:rsidR="00591357" w:rsidRPr="00591357">
        <w:t>Available at https://SSRN.com/abstract=3397874</w:t>
      </w:r>
    </w:p>
  </w:footnote>
  <w:footnote w:id="30">
    <w:p w14:paraId="353F7478" w14:textId="40D645DB" w:rsidR="00591357" w:rsidRDefault="00591357">
      <w:pPr>
        <w:pStyle w:val="FootnoteText"/>
      </w:pPr>
      <w:r>
        <w:rPr>
          <w:rStyle w:val="FootnoteReference"/>
        </w:rPr>
        <w:footnoteRef/>
      </w:r>
      <w:r>
        <w:t xml:space="preserve"> Kenneth w. Abbott &amp; Duncan Snidal, Hard and Soft Law in International Governance, 54 International Organisation 3, 2000, p. 422</w:t>
      </w:r>
    </w:p>
  </w:footnote>
  <w:footnote w:id="31">
    <w:p w14:paraId="70F0DC53" w14:textId="446B0121" w:rsidR="00E1101E" w:rsidRDefault="00E1101E">
      <w:pPr>
        <w:pStyle w:val="FootnoteText"/>
      </w:pPr>
      <w:r>
        <w:rPr>
          <w:rStyle w:val="FootnoteReference"/>
        </w:rPr>
        <w:footnoteRef/>
      </w:r>
      <w:r>
        <w:t xml:space="preserve"> </w:t>
      </w:r>
      <w:r w:rsidR="00670456">
        <w:t xml:space="preserve">Supra </w:t>
      </w:r>
      <w:r>
        <w:t>29 at page 2</w:t>
      </w:r>
    </w:p>
  </w:footnote>
  <w:footnote w:id="32">
    <w:p w14:paraId="1CDFE3F3" w14:textId="460C74EA" w:rsidR="00E1101E" w:rsidRDefault="00E1101E">
      <w:pPr>
        <w:pStyle w:val="FootnoteText"/>
      </w:pPr>
      <w:r>
        <w:rPr>
          <w:rStyle w:val="FootnoteReference"/>
        </w:rPr>
        <w:footnoteRef/>
      </w:r>
      <w:r>
        <w:t xml:space="preserve"> Or </w:t>
      </w:r>
      <w:r w:rsidR="00A46B5A">
        <w:t>third-party</w:t>
      </w:r>
      <w:r>
        <w:t xml:space="preserve"> interests.</w:t>
      </w:r>
    </w:p>
  </w:footnote>
  <w:footnote w:id="33">
    <w:p w14:paraId="33488DA3" w14:textId="4A8F5EFA" w:rsidR="009C44CA" w:rsidRDefault="009C44CA">
      <w:pPr>
        <w:pStyle w:val="FootnoteText"/>
      </w:pPr>
      <w:r>
        <w:rPr>
          <w:rStyle w:val="FootnoteReference"/>
        </w:rPr>
        <w:footnoteRef/>
      </w:r>
      <w:r>
        <w:t xml:space="preserve"> At least to the extent t</w:t>
      </w:r>
      <w:r w:rsidR="00A46B5A">
        <w:t xml:space="preserve">hat </w:t>
      </w:r>
      <w:r>
        <w:t>a</w:t>
      </w:r>
      <w:r w:rsidR="00A46B5A">
        <w:t xml:space="preserve"> provider, or group of providers are essential to the recovery plan.</w:t>
      </w:r>
    </w:p>
  </w:footnote>
  <w:footnote w:id="34">
    <w:p w14:paraId="1E765C5E" w14:textId="081F3134" w:rsidR="00062B58" w:rsidRPr="00CB6709" w:rsidRDefault="00062B58">
      <w:pPr>
        <w:pStyle w:val="FootnoteText"/>
      </w:pPr>
      <w:r>
        <w:rPr>
          <w:rStyle w:val="FootnoteReference"/>
        </w:rPr>
        <w:footnoteRef/>
      </w:r>
      <w:r>
        <w:t xml:space="preserve"> </w:t>
      </w:r>
      <w:bookmarkStart w:id="3" w:name="_Hlk86485021"/>
      <w:r>
        <w:t xml:space="preserve">Principles for Effective Insolvency and Creditor/Debtor Regimes available at </w:t>
      </w:r>
      <w:hyperlink r:id="rId1" w:history="1">
        <w:r w:rsidRPr="00CB6709">
          <w:rPr>
            <w:rStyle w:val="Hyperlink"/>
            <w:rFonts w:ascii="Open Sans" w:hAnsi="Open Sans" w:cs="Open Sans"/>
            <w:color w:val="auto"/>
            <w:sz w:val="21"/>
            <w:szCs w:val="21"/>
            <w:shd w:val="clear" w:color="auto" w:fill="FFFFFF"/>
          </w:rPr>
          <w:t>https://www.worldbank.org/en/topic/financialsector/brief/the-world-bank-principles-for-effective-insolvency-and-creditor-rights</w:t>
        </w:r>
      </w:hyperlink>
      <w:bookmarkEnd w:id="3"/>
    </w:p>
  </w:footnote>
  <w:footnote w:id="35">
    <w:p w14:paraId="51B14DDA" w14:textId="77777777" w:rsidR="00711DBD" w:rsidRDefault="00711DBD" w:rsidP="00711DBD">
      <w:pPr>
        <w:pStyle w:val="FootnoteText"/>
      </w:pPr>
      <w:r>
        <w:rPr>
          <w:rStyle w:val="FootnoteReference"/>
        </w:rPr>
        <w:footnoteRef/>
      </w:r>
      <w:r>
        <w:t xml:space="preserve"> Insolvency (Cross-Border) Act 2006 section 3 (a)</w:t>
      </w:r>
    </w:p>
  </w:footnote>
  <w:footnote w:id="36">
    <w:p w14:paraId="5C02D925" w14:textId="1C007F9E" w:rsidR="00DC1C2E" w:rsidRDefault="00DC1C2E">
      <w:pPr>
        <w:pStyle w:val="FootnoteText"/>
      </w:pPr>
      <w:r>
        <w:rPr>
          <w:rStyle w:val="FootnoteReference"/>
        </w:rPr>
        <w:footnoteRef/>
      </w:r>
      <w:r>
        <w:t xml:space="preserve"> Referred to generally as UNICTRAL Model Law</w:t>
      </w:r>
      <w:r w:rsidR="005845CC">
        <w:t xml:space="preserve"> on Cross-Border Insolvency (1997)</w:t>
      </w:r>
      <w:r>
        <w:t xml:space="preserve">. </w:t>
      </w:r>
    </w:p>
  </w:footnote>
  <w:footnote w:id="37">
    <w:p w14:paraId="42DFE6EF" w14:textId="3F327A23" w:rsidR="00757F77" w:rsidRDefault="00757F77">
      <w:pPr>
        <w:pStyle w:val="FootnoteText"/>
      </w:pPr>
      <w:r>
        <w:rPr>
          <w:rStyle w:val="FootnoteReference"/>
        </w:rPr>
        <w:footnoteRef/>
      </w:r>
      <w:r>
        <w:t xml:space="preserve"> Assuming valuable consideration for the shares is provided to FMBV</w:t>
      </w:r>
    </w:p>
  </w:footnote>
  <w:footnote w:id="38">
    <w:p w14:paraId="6A16FF03" w14:textId="14D1CB39" w:rsidR="00E918B6" w:rsidRDefault="00E918B6">
      <w:pPr>
        <w:pStyle w:val="FootnoteText"/>
      </w:pPr>
      <w:r>
        <w:rPr>
          <w:rStyle w:val="FootnoteReference"/>
        </w:rPr>
        <w:footnoteRef/>
      </w:r>
      <w:r>
        <w:t xml:space="preserve"> The regime largely replicates the law adopted by Australia in 1992.The New Zealand Government consider th</w:t>
      </w:r>
      <w:r w:rsidR="007E5E0F">
        <w:t>e</w:t>
      </w:r>
      <w:r>
        <w:t xml:space="preserve"> introduction of the Australian law on the ground of </w:t>
      </w:r>
      <w:r w:rsidR="00CF43F1">
        <w:t xml:space="preserve">the Closer Economic Relations </w:t>
      </w:r>
      <w:r w:rsidR="007E5E0F">
        <w:t xml:space="preserve">(CER) </w:t>
      </w:r>
      <w:r w:rsidR="00CF43F1">
        <w:t xml:space="preserve">Agreement between Australia and New Zealand. </w:t>
      </w:r>
    </w:p>
  </w:footnote>
  <w:footnote w:id="39">
    <w:p w14:paraId="4A6DA3AC" w14:textId="19D634DF" w:rsidR="00DA3651" w:rsidRDefault="00DA3651">
      <w:pPr>
        <w:pStyle w:val="FootnoteText"/>
      </w:pPr>
      <w:r>
        <w:rPr>
          <w:rStyle w:val="FootnoteReference"/>
        </w:rPr>
        <w:footnoteRef/>
      </w:r>
      <w:r>
        <w:t xml:space="preserve"> Section 239A (a) of the Companies Act 1993 (“Act”)</w:t>
      </w:r>
    </w:p>
  </w:footnote>
  <w:footnote w:id="40">
    <w:p w14:paraId="1D994239" w14:textId="47C2375C" w:rsidR="00DA3651" w:rsidRDefault="00DA3651">
      <w:pPr>
        <w:pStyle w:val="FootnoteText"/>
      </w:pPr>
      <w:r>
        <w:rPr>
          <w:rStyle w:val="FootnoteReference"/>
        </w:rPr>
        <w:footnoteRef/>
      </w:r>
      <w:r>
        <w:t xml:space="preserve"> Section 239A (b) of the Act</w:t>
      </w:r>
    </w:p>
  </w:footnote>
  <w:footnote w:id="41">
    <w:p w14:paraId="00B87700" w14:textId="6A88B391" w:rsidR="002B6B71" w:rsidRDefault="002B6B71">
      <w:pPr>
        <w:pStyle w:val="FootnoteText"/>
      </w:pPr>
      <w:r>
        <w:rPr>
          <w:rStyle w:val="FootnoteReference"/>
        </w:rPr>
        <w:footnoteRef/>
      </w:r>
      <w:r>
        <w:t xml:space="preserve"> The Administrator has a right of indemnity in the assets of the company. Refer to subpart 16 of the 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B4F"/>
    <w:multiLevelType w:val="hybridMultilevel"/>
    <w:tmpl w:val="FE2C6830"/>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 w15:restartNumberingAfterBreak="0">
    <w:nsid w:val="04403049"/>
    <w:multiLevelType w:val="hybridMultilevel"/>
    <w:tmpl w:val="52225F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2B56C4"/>
    <w:multiLevelType w:val="hybridMultilevel"/>
    <w:tmpl w:val="D32849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250ABC"/>
    <w:multiLevelType w:val="hybridMultilevel"/>
    <w:tmpl w:val="FBD817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7FA669E"/>
    <w:multiLevelType w:val="multilevel"/>
    <w:tmpl w:val="97563A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44240E"/>
    <w:multiLevelType w:val="hybridMultilevel"/>
    <w:tmpl w:val="DB6EC49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353C705A"/>
    <w:multiLevelType w:val="hybridMultilevel"/>
    <w:tmpl w:val="D36A39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242085"/>
    <w:multiLevelType w:val="hybridMultilevel"/>
    <w:tmpl w:val="7996E540"/>
    <w:lvl w:ilvl="0" w:tplc="1409000F">
      <w:start w:val="1"/>
      <w:numFmt w:val="decimal"/>
      <w:lvlText w:val="%1."/>
      <w:lvlJc w:val="left"/>
      <w:pPr>
        <w:ind w:left="840" w:hanging="360"/>
      </w:pPr>
    </w:lvl>
    <w:lvl w:ilvl="1" w:tplc="14090019" w:tentative="1">
      <w:start w:val="1"/>
      <w:numFmt w:val="lowerLetter"/>
      <w:lvlText w:val="%2."/>
      <w:lvlJc w:val="left"/>
      <w:pPr>
        <w:ind w:left="1560" w:hanging="360"/>
      </w:pPr>
    </w:lvl>
    <w:lvl w:ilvl="2" w:tplc="1409001B" w:tentative="1">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8" w15:restartNumberingAfterBreak="0">
    <w:nsid w:val="5A0248AC"/>
    <w:multiLevelType w:val="hybridMultilevel"/>
    <w:tmpl w:val="83B892C2"/>
    <w:lvl w:ilvl="0" w:tplc="1409000F">
      <w:start w:val="1"/>
      <w:numFmt w:val="decimal"/>
      <w:lvlText w:val="%1."/>
      <w:lvlJc w:val="left"/>
      <w:pPr>
        <w:ind w:left="720" w:hanging="360"/>
      </w:pPr>
    </w:lvl>
    <w:lvl w:ilvl="1" w:tplc="AC9429E0">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2F743A8"/>
    <w:multiLevelType w:val="hybridMultilevel"/>
    <w:tmpl w:val="75DAC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E8A5B6F"/>
    <w:multiLevelType w:val="hybridMultilevel"/>
    <w:tmpl w:val="F6B899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8"/>
  </w:num>
  <w:num w:numId="6">
    <w:abstractNumId w:val="4"/>
  </w:num>
  <w:num w:numId="7">
    <w:abstractNumId w:val="2"/>
  </w:num>
  <w:num w:numId="8">
    <w:abstractNumId w:val="6"/>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32"/>
    <w:rsid w:val="00003311"/>
    <w:rsid w:val="00016F63"/>
    <w:rsid w:val="00017CD3"/>
    <w:rsid w:val="0002348B"/>
    <w:rsid w:val="000313B0"/>
    <w:rsid w:val="000405B9"/>
    <w:rsid w:val="00044D9C"/>
    <w:rsid w:val="00052E58"/>
    <w:rsid w:val="00056276"/>
    <w:rsid w:val="00062B58"/>
    <w:rsid w:val="0006780C"/>
    <w:rsid w:val="000710A9"/>
    <w:rsid w:val="0007381F"/>
    <w:rsid w:val="00083581"/>
    <w:rsid w:val="000924D1"/>
    <w:rsid w:val="00095FAA"/>
    <w:rsid w:val="000960EB"/>
    <w:rsid w:val="000A4807"/>
    <w:rsid w:val="000A6392"/>
    <w:rsid w:val="000A7E02"/>
    <w:rsid w:val="000B0C22"/>
    <w:rsid w:val="000B251B"/>
    <w:rsid w:val="000B5143"/>
    <w:rsid w:val="000B7A2D"/>
    <w:rsid w:val="000E2596"/>
    <w:rsid w:val="000E3AC1"/>
    <w:rsid w:val="000E6893"/>
    <w:rsid w:val="0010009C"/>
    <w:rsid w:val="00103D50"/>
    <w:rsid w:val="00116174"/>
    <w:rsid w:val="00124093"/>
    <w:rsid w:val="0012651A"/>
    <w:rsid w:val="00132E87"/>
    <w:rsid w:val="00137ECD"/>
    <w:rsid w:val="00170F0B"/>
    <w:rsid w:val="00177480"/>
    <w:rsid w:val="00197173"/>
    <w:rsid w:val="001A2F6B"/>
    <w:rsid w:val="001C4DC2"/>
    <w:rsid w:val="001D0C1F"/>
    <w:rsid w:val="001D3B76"/>
    <w:rsid w:val="001D44B4"/>
    <w:rsid w:val="001F7DFF"/>
    <w:rsid w:val="00205BB2"/>
    <w:rsid w:val="00206B5B"/>
    <w:rsid w:val="00214C62"/>
    <w:rsid w:val="00216DC7"/>
    <w:rsid w:val="0023158D"/>
    <w:rsid w:val="002509B6"/>
    <w:rsid w:val="00253B2A"/>
    <w:rsid w:val="002642B9"/>
    <w:rsid w:val="00264CF4"/>
    <w:rsid w:val="002906AA"/>
    <w:rsid w:val="002958EA"/>
    <w:rsid w:val="002970CE"/>
    <w:rsid w:val="002A7395"/>
    <w:rsid w:val="002A789E"/>
    <w:rsid w:val="002B4A4B"/>
    <w:rsid w:val="002B4FA9"/>
    <w:rsid w:val="002B6236"/>
    <w:rsid w:val="002B6B71"/>
    <w:rsid w:val="002B742F"/>
    <w:rsid w:val="002B7720"/>
    <w:rsid w:val="002C1F19"/>
    <w:rsid w:val="002C2158"/>
    <w:rsid w:val="002C670A"/>
    <w:rsid w:val="002C6F0D"/>
    <w:rsid w:val="00302046"/>
    <w:rsid w:val="003115B4"/>
    <w:rsid w:val="00311A92"/>
    <w:rsid w:val="003152DB"/>
    <w:rsid w:val="003162D4"/>
    <w:rsid w:val="00321BD1"/>
    <w:rsid w:val="00322748"/>
    <w:rsid w:val="00333748"/>
    <w:rsid w:val="00335C37"/>
    <w:rsid w:val="003403B0"/>
    <w:rsid w:val="003410EC"/>
    <w:rsid w:val="0034376E"/>
    <w:rsid w:val="0034786C"/>
    <w:rsid w:val="003512EE"/>
    <w:rsid w:val="00354E5B"/>
    <w:rsid w:val="0035530E"/>
    <w:rsid w:val="00363AFF"/>
    <w:rsid w:val="00370AA5"/>
    <w:rsid w:val="00376312"/>
    <w:rsid w:val="003833BA"/>
    <w:rsid w:val="00393752"/>
    <w:rsid w:val="003A00D5"/>
    <w:rsid w:val="003A2B5F"/>
    <w:rsid w:val="003A7B1E"/>
    <w:rsid w:val="003B54FA"/>
    <w:rsid w:val="003C382E"/>
    <w:rsid w:val="003C50EE"/>
    <w:rsid w:val="003D2655"/>
    <w:rsid w:val="003E0753"/>
    <w:rsid w:val="003E3765"/>
    <w:rsid w:val="003F2E92"/>
    <w:rsid w:val="003F7539"/>
    <w:rsid w:val="00404C83"/>
    <w:rsid w:val="00406C82"/>
    <w:rsid w:val="00413AED"/>
    <w:rsid w:val="004233B8"/>
    <w:rsid w:val="004361BA"/>
    <w:rsid w:val="004366FE"/>
    <w:rsid w:val="00442A33"/>
    <w:rsid w:val="00450D88"/>
    <w:rsid w:val="00456994"/>
    <w:rsid w:val="004635E5"/>
    <w:rsid w:val="0047127C"/>
    <w:rsid w:val="00480FD5"/>
    <w:rsid w:val="004878BC"/>
    <w:rsid w:val="00490009"/>
    <w:rsid w:val="00493949"/>
    <w:rsid w:val="00495D0A"/>
    <w:rsid w:val="004A2ABE"/>
    <w:rsid w:val="004A5158"/>
    <w:rsid w:val="004B3379"/>
    <w:rsid w:val="004C35FA"/>
    <w:rsid w:val="004C62B0"/>
    <w:rsid w:val="004D117E"/>
    <w:rsid w:val="00503B55"/>
    <w:rsid w:val="0051037B"/>
    <w:rsid w:val="0051264F"/>
    <w:rsid w:val="00513E1F"/>
    <w:rsid w:val="005206D0"/>
    <w:rsid w:val="0052218F"/>
    <w:rsid w:val="00522191"/>
    <w:rsid w:val="005318C7"/>
    <w:rsid w:val="00535944"/>
    <w:rsid w:val="00546C9C"/>
    <w:rsid w:val="005538F7"/>
    <w:rsid w:val="00554751"/>
    <w:rsid w:val="005572E3"/>
    <w:rsid w:val="0056296B"/>
    <w:rsid w:val="0057109F"/>
    <w:rsid w:val="00572B17"/>
    <w:rsid w:val="00573212"/>
    <w:rsid w:val="00581DD2"/>
    <w:rsid w:val="005845CC"/>
    <w:rsid w:val="005901AE"/>
    <w:rsid w:val="00591240"/>
    <w:rsid w:val="00591357"/>
    <w:rsid w:val="005941C3"/>
    <w:rsid w:val="00596431"/>
    <w:rsid w:val="005B2E19"/>
    <w:rsid w:val="005D3FC9"/>
    <w:rsid w:val="005D6E4E"/>
    <w:rsid w:val="005E0F2C"/>
    <w:rsid w:val="005F1C31"/>
    <w:rsid w:val="005F2650"/>
    <w:rsid w:val="005F7C54"/>
    <w:rsid w:val="00601896"/>
    <w:rsid w:val="006021BF"/>
    <w:rsid w:val="00615178"/>
    <w:rsid w:val="00636493"/>
    <w:rsid w:val="00637DCF"/>
    <w:rsid w:val="00643723"/>
    <w:rsid w:val="006466AD"/>
    <w:rsid w:val="006557DF"/>
    <w:rsid w:val="00664C0B"/>
    <w:rsid w:val="00665B47"/>
    <w:rsid w:val="00670456"/>
    <w:rsid w:val="0067056D"/>
    <w:rsid w:val="006837AF"/>
    <w:rsid w:val="0068556E"/>
    <w:rsid w:val="006865B5"/>
    <w:rsid w:val="006910A0"/>
    <w:rsid w:val="006A3D0A"/>
    <w:rsid w:val="006B056C"/>
    <w:rsid w:val="006B1E1F"/>
    <w:rsid w:val="006B48D5"/>
    <w:rsid w:val="006B5EBE"/>
    <w:rsid w:val="006C3EF7"/>
    <w:rsid w:val="006D1D7B"/>
    <w:rsid w:val="006E09E5"/>
    <w:rsid w:val="006E2C8F"/>
    <w:rsid w:val="006E7606"/>
    <w:rsid w:val="006F04BC"/>
    <w:rsid w:val="007057E0"/>
    <w:rsid w:val="00711DBD"/>
    <w:rsid w:val="00713FA6"/>
    <w:rsid w:val="00714173"/>
    <w:rsid w:val="00717E24"/>
    <w:rsid w:val="00717F8B"/>
    <w:rsid w:val="00723B5D"/>
    <w:rsid w:val="00724778"/>
    <w:rsid w:val="0073421D"/>
    <w:rsid w:val="00754E41"/>
    <w:rsid w:val="0075585F"/>
    <w:rsid w:val="00757F77"/>
    <w:rsid w:val="00774B81"/>
    <w:rsid w:val="007805ED"/>
    <w:rsid w:val="00781B0D"/>
    <w:rsid w:val="00782928"/>
    <w:rsid w:val="007926BD"/>
    <w:rsid w:val="007A0CEE"/>
    <w:rsid w:val="007A5AA1"/>
    <w:rsid w:val="007A63AF"/>
    <w:rsid w:val="007A73D8"/>
    <w:rsid w:val="007B40C3"/>
    <w:rsid w:val="007B6435"/>
    <w:rsid w:val="007C5227"/>
    <w:rsid w:val="007C53E7"/>
    <w:rsid w:val="007D1794"/>
    <w:rsid w:val="007E3340"/>
    <w:rsid w:val="007E41CE"/>
    <w:rsid w:val="007E5E0F"/>
    <w:rsid w:val="007F03ED"/>
    <w:rsid w:val="007F0D51"/>
    <w:rsid w:val="008059AE"/>
    <w:rsid w:val="00813F1E"/>
    <w:rsid w:val="00815163"/>
    <w:rsid w:val="008269F0"/>
    <w:rsid w:val="00835064"/>
    <w:rsid w:val="008569E0"/>
    <w:rsid w:val="00864C1A"/>
    <w:rsid w:val="00877108"/>
    <w:rsid w:val="0088242F"/>
    <w:rsid w:val="008864E9"/>
    <w:rsid w:val="00887645"/>
    <w:rsid w:val="008A1BE4"/>
    <w:rsid w:val="008A268E"/>
    <w:rsid w:val="008B34F9"/>
    <w:rsid w:val="008B5CEC"/>
    <w:rsid w:val="008B7AA0"/>
    <w:rsid w:val="008D7B15"/>
    <w:rsid w:val="008F5188"/>
    <w:rsid w:val="008F69E4"/>
    <w:rsid w:val="008F7D7A"/>
    <w:rsid w:val="00900A5E"/>
    <w:rsid w:val="0090729A"/>
    <w:rsid w:val="009115BA"/>
    <w:rsid w:val="00917234"/>
    <w:rsid w:val="00921565"/>
    <w:rsid w:val="009272DC"/>
    <w:rsid w:val="0093287C"/>
    <w:rsid w:val="00937DD5"/>
    <w:rsid w:val="00953AE1"/>
    <w:rsid w:val="00956D88"/>
    <w:rsid w:val="00962A53"/>
    <w:rsid w:val="009825B7"/>
    <w:rsid w:val="0098435A"/>
    <w:rsid w:val="00984CAB"/>
    <w:rsid w:val="009A3D11"/>
    <w:rsid w:val="009A4F7B"/>
    <w:rsid w:val="009A7ECE"/>
    <w:rsid w:val="009B2B34"/>
    <w:rsid w:val="009B3D7C"/>
    <w:rsid w:val="009B6CE8"/>
    <w:rsid w:val="009B7FA4"/>
    <w:rsid w:val="009C102C"/>
    <w:rsid w:val="009C21C1"/>
    <w:rsid w:val="009C44CA"/>
    <w:rsid w:val="009D6936"/>
    <w:rsid w:val="00A007E7"/>
    <w:rsid w:val="00A039F8"/>
    <w:rsid w:val="00A04E0E"/>
    <w:rsid w:val="00A323D1"/>
    <w:rsid w:val="00A46500"/>
    <w:rsid w:val="00A46B5A"/>
    <w:rsid w:val="00A6651A"/>
    <w:rsid w:val="00A718F0"/>
    <w:rsid w:val="00A74DCD"/>
    <w:rsid w:val="00A75322"/>
    <w:rsid w:val="00A7741F"/>
    <w:rsid w:val="00A82F08"/>
    <w:rsid w:val="00A83566"/>
    <w:rsid w:val="00A83ED4"/>
    <w:rsid w:val="00A97545"/>
    <w:rsid w:val="00AA220B"/>
    <w:rsid w:val="00AA2574"/>
    <w:rsid w:val="00AA2FE3"/>
    <w:rsid w:val="00AB072D"/>
    <w:rsid w:val="00AB1CEA"/>
    <w:rsid w:val="00AB1D4B"/>
    <w:rsid w:val="00AB7FAD"/>
    <w:rsid w:val="00AC045E"/>
    <w:rsid w:val="00AD0D6B"/>
    <w:rsid w:val="00AD740F"/>
    <w:rsid w:val="00AD766C"/>
    <w:rsid w:val="00AE6AF8"/>
    <w:rsid w:val="00B02287"/>
    <w:rsid w:val="00B02D16"/>
    <w:rsid w:val="00B11037"/>
    <w:rsid w:val="00B131D7"/>
    <w:rsid w:val="00B140C4"/>
    <w:rsid w:val="00B15C90"/>
    <w:rsid w:val="00B172C4"/>
    <w:rsid w:val="00B2110A"/>
    <w:rsid w:val="00B35130"/>
    <w:rsid w:val="00B41691"/>
    <w:rsid w:val="00B42AEB"/>
    <w:rsid w:val="00B44745"/>
    <w:rsid w:val="00B460A3"/>
    <w:rsid w:val="00B50C09"/>
    <w:rsid w:val="00B5633E"/>
    <w:rsid w:val="00B71196"/>
    <w:rsid w:val="00B72AD4"/>
    <w:rsid w:val="00B83432"/>
    <w:rsid w:val="00B84592"/>
    <w:rsid w:val="00BA1232"/>
    <w:rsid w:val="00BC41FF"/>
    <w:rsid w:val="00BC51F8"/>
    <w:rsid w:val="00BC67CD"/>
    <w:rsid w:val="00BD35FF"/>
    <w:rsid w:val="00BD4EFD"/>
    <w:rsid w:val="00BE14EB"/>
    <w:rsid w:val="00BE2CA2"/>
    <w:rsid w:val="00BE34D6"/>
    <w:rsid w:val="00BE36CA"/>
    <w:rsid w:val="00BE3828"/>
    <w:rsid w:val="00BF3E2C"/>
    <w:rsid w:val="00BF4309"/>
    <w:rsid w:val="00BF5A84"/>
    <w:rsid w:val="00C0141A"/>
    <w:rsid w:val="00C03973"/>
    <w:rsid w:val="00C10B13"/>
    <w:rsid w:val="00C15E0C"/>
    <w:rsid w:val="00C21FBA"/>
    <w:rsid w:val="00C349B7"/>
    <w:rsid w:val="00C53588"/>
    <w:rsid w:val="00C5793F"/>
    <w:rsid w:val="00C61A19"/>
    <w:rsid w:val="00C6316E"/>
    <w:rsid w:val="00C65BBE"/>
    <w:rsid w:val="00C66E65"/>
    <w:rsid w:val="00C74619"/>
    <w:rsid w:val="00C81563"/>
    <w:rsid w:val="00C81E25"/>
    <w:rsid w:val="00C83338"/>
    <w:rsid w:val="00CB6709"/>
    <w:rsid w:val="00CB6981"/>
    <w:rsid w:val="00CC15C8"/>
    <w:rsid w:val="00CC7A47"/>
    <w:rsid w:val="00CD17E8"/>
    <w:rsid w:val="00CD2130"/>
    <w:rsid w:val="00CD6154"/>
    <w:rsid w:val="00CD63EA"/>
    <w:rsid w:val="00CF1286"/>
    <w:rsid w:val="00CF43F1"/>
    <w:rsid w:val="00D06664"/>
    <w:rsid w:val="00D066A1"/>
    <w:rsid w:val="00D06CEA"/>
    <w:rsid w:val="00D11FEC"/>
    <w:rsid w:val="00D172AB"/>
    <w:rsid w:val="00D251F2"/>
    <w:rsid w:val="00D33F65"/>
    <w:rsid w:val="00D37890"/>
    <w:rsid w:val="00D424F7"/>
    <w:rsid w:val="00D46E9C"/>
    <w:rsid w:val="00D51B5B"/>
    <w:rsid w:val="00D53D0A"/>
    <w:rsid w:val="00D54067"/>
    <w:rsid w:val="00D63525"/>
    <w:rsid w:val="00D6753A"/>
    <w:rsid w:val="00D71EA2"/>
    <w:rsid w:val="00D75416"/>
    <w:rsid w:val="00D75F94"/>
    <w:rsid w:val="00DA3651"/>
    <w:rsid w:val="00DB04B1"/>
    <w:rsid w:val="00DC099C"/>
    <w:rsid w:val="00DC1C2E"/>
    <w:rsid w:val="00DC3D86"/>
    <w:rsid w:val="00DD641F"/>
    <w:rsid w:val="00DE019E"/>
    <w:rsid w:val="00DE4147"/>
    <w:rsid w:val="00E03FCE"/>
    <w:rsid w:val="00E108BE"/>
    <w:rsid w:val="00E1101E"/>
    <w:rsid w:val="00E125A9"/>
    <w:rsid w:val="00E16F10"/>
    <w:rsid w:val="00E22BB9"/>
    <w:rsid w:val="00E26D5C"/>
    <w:rsid w:val="00E31806"/>
    <w:rsid w:val="00E32148"/>
    <w:rsid w:val="00E3373C"/>
    <w:rsid w:val="00E440AF"/>
    <w:rsid w:val="00E479FE"/>
    <w:rsid w:val="00E55FB1"/>
    <w:rsid w:val="00E61718"/>
    <w:rsid w:val="00E62569"/>
    <w:rsid w:val="00E642D0"/>
    <w:rsid w:val="00E67305"/>
    <w:rsid w:val="00E908AA"/>
    <w:rsid w:val="00E918B6"/>
    <w:rsid w:val="00E933F6"/>
    <w:rsid w:val="00E93D5A"/>
    <w:rsid w:val="00E975B2"/>
    <w:rsid w:val="00E97C76"/>
    <w:rsid w:val="00EA3823"/>
    <w:rsid w:val="00EA50E0"/>
    <w:rsid w:val="00EB39CD"/>
    <w:rsid w:val="00EB459A"/>
    <w:rsid w:val="00EC58B8"/>
    <w:rsid w:val="00EC632D"/>
    <w:rsid w:val="00EC72FB"/>
    <w:rsid w:val="00ED003D"/>
    <w:rsid w:val="00ED21C6"/>
    <w:rsid w:val="00ED594C"/>
    <w:rsid w:val="00EE7141"/>
    <w:rsid w:val="00EF1023"/>
    <w:rsid w:val="00EF4182"/>
    <w:rsid w:val="00EF54D1"/>
    <w:rsid w:val="00EF5822"/>
    <w:rsid w:val="00EF6216"/>
    <w:rsid w:val="00F200D4"/>
    <w:rsid w:val="00F22C91"/>
    <w:rsid w:val="00F3074C"/>
    <w:rsid w:val="00F34299"/>
    <w:rsid w:val="00F37E37"/>
    <w:rsid w:val="00F52FFD"/>
    <w:rsid w:val="00F54087"/>
    <w:rsid w:val="00F70156"/>
    <w:rsid w:val="00F74E66"/>
    <w:rsid w:val="00F76974"/>
    <w:rsid w:val="00F82257"/>
    <w:rsid w:val="00F8522B"/>
    <w:rsid w:val="00F857EC"/>
    <w:rsid w:val="00F87549"/>
    <w:rsid w:val="00F90529"/>
    <w:rsid w:val="00FA5745"/>
    <w:rsid w:val="00FB2034"/>
    <w:rsid w:val="00FB3EEA"/>
    <w:rsid w:val="00FC29EF"/>
    <w:rsid w:val="00FC5CC0"/>
    <w:rsid w:val="00FD06A5"/>
    <w:rsid w:val="00FD134C"/>
    <w:rsid w:val="00FD3C6F"/>
    <w:rsid w:val="00FD3DF4"/>
    <w:rsid w:val="00FE258D"/>
    <w:rsid w:val="00FE3521"/>
    <w:rsid w:val="00FF094F"/>
    <w:rsid w:val="00FF10E9"/>
    <w:rsid w:val="00FF433B"/>
    <w:rsid w:val="00FF50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E353"/>
  <w15:chartTrackingRefBased/>
  <w15:docId w15:val="{0680A1E6-E846-4010-8A7B-EFB6608A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3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1565"/>
    <w:rPr>
      <w:sz w:val="20"/>
      <w:szCs w:val="20"/>
    </w:rPr>
  </w:style>
  <w:style w:type="character" w:customStyle="1" w:styleId="FootnoteTextChar">
    <w:name w:val="Footnote Text Char"/>
    <w:basedOn w:val="DefaultParagraphFont"/>
    <w:link w:val="FootnoteText"/>
    <w:uiPriority w:val="99"/>
    <w:semiHidden/>
    <w:rsid w:val="00921565"/>
    <w:rPr>
      <w:sz w:val="20"/>
      <w:szCs w:val="20"/>
    </w:rPr>
  </w:style>
  <w:style w:type="character" w:styleId="FootnoteReference">
    <w:name w:val="footnote reference"/>
    <w:basedOn w:val="DefaultParagraphFont"/>
    <w:uiPriority w:val="99"/>
    <w:semiHidden/>
    <w:unhideWhenUsed/>
    <w:rsid w:val="00921565"/>
    <w:rPr>
      <w:vertAlign w:val="superscript"/>
    </w:rPr>
  </w:style>
  <w:style w:type="paragraph" w:styleId="ListParagraph">
    <w:name w:val="List Paragraph"/>
    <w:basedOn w:val="Normal"/>
    <w:uiPriority w:val="34"/>
    <w:qFormat/>
    <w:rsid w:val="008B5CEC"/>
    <w:pPr>
      <w:ind w:left="720"/>
      <w:contextualSpacing/>
    </w:pPr>
  </w:style>
  <w:style w:type="paragraph" w:styleId="Header">
    <w:name w:val="header"/>
    <w:basedOn w:val="Normal"/>
    <w:link w:val="HeaderChar"/>
    <w:uiPriority w:val="99"/>
    <w:unhideWhenUsed/>
    <w:rsid w:val="00170F0B"/>
    <w:pPr>
      <w:tabs>
        <w:tab w:val="center" w:pos="4513"/>
        <w:tab w:val="right" w:pos="9026"/>
      </w:tabs>
    </w:pPr>
  </w:style>
  <w:style w:type="character" w:customStyle="1" w:styleId="HeaderChar">
    <w:name w:val="Header Char"/>
    <w:basedOn w:val="DefaultParagraphFont"/>
    <w:link w:val="Header"/>
    <w:uiPriority w:val="99"/>
    <w:rsid w:val="00170F0B"/>
  </w:style>
  <w:style w:type="paragraph" w:styleId="Footer">
    <w:name w:val="footer"/>
    <w:basedOn w:val="Normal"/>
    <w:link w:val="FooterChar"/>
    <w:uiPriority w:val="99"/>
    <w:unhideWhenUsed/>
    <w:rsid w:val="00170F0B"/>
    <w:pPr>
      <w:tabs>
        <w:tab w:val="center" w:pos="4513"/>
        <w:tab w:val="right" w:pos="9026"/>
      </w:tabs>
    </w:pPr>
  </w:style>
  <w:style w:type="character" w:customStyle="1" w:styleId="FooterChar">
    <w:name w:val="Footer Char"/>
    <w:basedOn w:val="DefaultParagraphFont"/>
    <w:link w:val="Footer"/>
    <w:uiPriority w:val="99"/>
    <w:rsid w:val="00170F0B"/>
  </w:style>
  <w:style w:type="character" w:styleId="Hyperlink">
    <w:name w:val="Hyperlink"/>
    <w:basedOn w:val="DefaultParagraphFont"/>
    <w:uiPriority w:val="99"/>
    <w:unhideWhenUsed/>
    <w:rsid w:val="00062B58"/>
    <w:rPr>
      <w:color w:val="0000FF"/>
      <w:u w:val="single"/>
    </w:rPr>
  </w:style>
  <w:style w:type="character" w:styleId="FollowedHyperlink">
    <w:name w:val="FollowedHyperlink"/>
    <w:basedOn w:val="DefaultParagraphFont"/>
    <w:uiPriority w:val="99"/>
    <w:semiHidden/>
    <w:unhideWhenUsed/>
    <w:rsid w:val="00062B58"/>
    <w:rPr>
      <w:color w:val="800080" w:themeColor="followedHyperlink"/>
      <w:u w:val="single"/>
    </w:rPr>
  </w:style>
  <w:style w:type="character" w:styleId="UnresolvedMention">
    <w:name w:val="Unresolved Mention"/>
    <w:basedOn w:val="DefaultParagraphFont"/>
    <w:uiPriority w:val="99"/>
    <w:semiHidden/>
    <w:unhideWhenUsed/>
    <w:rsid w:val="00B3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financialsector/brief/the-world-bank-principles-for-effective-insolvency-and-creditor-righ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citral.un.org/en/texts/insolvency/modellaw/cross-border_insolven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topic/financialsector/brief/the-world-bank-principles-for-effective-insolvency-and-credito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8A76-9387-4005-85C4-A7630136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5150</TotalTime>
  <Pages>27</Pages>
  <Words>9131</Words>
  <Characters>52049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Williams</dc:creator>
  <cp:keywords/>
  <dc:description/>
  <cp:lastModifiedBy>Bryan Williams</cp:lastModifiedBy>
  <cp:revision>199</cp:revision>
  <dcterms:created xsi:type="dcterms:W3CDTF">2021-10-15T22:16:00Z</dcterms:created>
  <dcterms:modified xsi:type="dcterms:W3CDTF">2021-11-05T20:55:00Z</dcterms:modified>
</cp:coreProperties>
</file>