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11FF" w14:textId="77777777" w:rsidR="00A82333" w:rsidRDefault="00A82333" w:rsidP="006216F1">
      <w:pPr>
        <w:spacing w:after="0" w:line="240" w:lineRule="auto"/>
        <w:ind w:left="720" w:hanging="360"/>
        <w:jc w:val="both"/>
      </w:pPr>
    </w:p>
    <w:p w14:paraId="4285AE59" w14:textId="7B0023F6" w:rsidR="004A5759" w:rsidRDefault="001A2FF4" w:rsidP="006216F1">
      <w:pPr>
        <w:pStyle w:val="ListParagraph"/>
        <w:numPr>
          <w:ilvl w:val="0"/>
          <w:numId w:val="2"/>
        </w:numPr>
        <w:spacing w:after="0" w:line="240" w:lineRule="auto"/>
        <w:jc w:val="both"/>
        <w:rPr>
          <w:rFonts w:ascii="Arial" w:hAnsi="Arial" w:cs="Arial"/>
          <w:b/>
          <w:bCs/>
        </w:rPr>
      </w:pPr>
      <w:r>
        <w:rPr>
          <w:rFonts w:ascii="Arial" w:hAnsi="Arial" w:cs="Arial"/>
          <w:b/>
          <w:bCs/>
        </w:rPr>
        <w:t xml:space="preserve">What were in your opinion the causes </w:t>
      </w:r>
      <w:r w:rsidR="007330DB">
        <w:rPr>
          <w:rFonts w:ascii="Arial" w:hAnsi="Arial" w:cs="Arial"/>
          <w:b/>
          <w:bCs/>
        </w:rPr>
        <w:t xml:space="preserve">of financial distress at Flow Management (see </w:t>
      </w:r>
      <w:proofErr w:type="gramStart"/>
      <w:r w:rsidR="007330DB">
        <w:rPr>
          <w:rFonts w:ascii="Arial" w:hAnsi="Arial" w:cs="Arial"/>
          <w:b/>
          <w:bCs/>
        </w:rPr>
        <w:t>e.g.</w:t>
      </w:r>
      <w:proofErr w:type="gramEnd"/>
      <w:r w:rsidR="007330DB">
        <w:rPr>
          <w:rFonts w:ascii="Arial" w:hAnsi="Arial" w:cs="Arial"/>
          <w:b/>
          <w:bCs/>
        </w:rPr>
        <w:t xml:space="preserve"> </w:t>
      </w:r>
      <w:proofErr w:type="spellStart"/>
      <w:r w:rsidR="007330DB">
        <w:rPr>
          <w:rFonts w:ascii="Arial" w:hAnsi="Arial" w:cs="Arial"/>
          <w:b/>
          <w:bCs/>
        </w:rPr>
        <w:t>Mellahi</w:t>
      </w:r>
      <w:proofErr w:type="spellEnd"/>
      <w:r w:rsidR="007330DB">
        <w:rPr>
          <w:rFonts w:ascii="Arial" w:hAnsi="Arial" w:cs="Arial"/>
          <w:b/>
          <w:bCs/>
        </w:rPr>
        <w:t xml:space="preserve"> &amp; Wilkinson, 2004)? </w:t>
      </w:r>
      <w:r w:rsidR="004A5759">
        <w:rPr>
          <w:rFonts w:ascii="Arial" w:hAnsi="Arial" w:cs="Arial"/>
          <w:b/>
          <w:bCs/>
        </w:rPr>
        <w:t>Could the financial distress have been prevented? If yes, explain how. If not, why not?</w:t>
      </w:r>
    </w:p>
    <w:p w14:paraId="3DC404E5" w14:textId="77777777" w:rsidR="006216F1" w:rsidRDefault="006216F1" w:rsidP="006216F1">
      <w:pPr>
        <w:spacing w:after="0" w:line="240" w:lineRule="auto"/>
        <w:ind w:left="360"/>
        <w:jc w:val="both"/>
        <w:rPr>
          <w:rFonts w:ascii="Arial" w:hAnsi="Arial" w:cs="Arial"/>
          <w:b/>
          <w:bCs/>
        </w:rPr>
      </w:pPr>
    </w:p>
    <w:p w14:paraId="1BF6CA86" w14:textId="27339A43" w:rsidR="00AE5EB4" w:rsidRDefault="000A353D" w:rsidP="00CC11FB">
      <w:pPr>
        <w:spacing w:after="0" w:line="240" w:lineRule="auto"/>
        <w:jc w:val="both"/>
        <w:rPr>
          <w:rFonts w:ascii="Arial" w:hAnsi="Arial" w:cs="Arial"/>
        </w:rPr>
      </w:pPr>
      <w:r>
        <w:rPr>
          <w:rFonts w:ascii="Arial" w:hAnsi="Arial" w:cs="Arial"/>
        </w:rPr>
        <w:t>From the outset of this case study</w:t>
      </w:r>
      <w:r w:rsidR="00D85A45">
        <w:rPr>
          <w:rFonts w:ascii="Arial" w:hAnsi="Arial" w:cs="Arial"/>
        </w:rPr>
        <w:t>, it is made clear that the</w:t>
      </w:r>
      <w:r w:rsidR="00987781">
        <w:rPr>
          <w:rFonts w:ascii="Arial" w:hAnsi="Arial" w:cs="Arial"/>
        </w:rPr>
        <w:t xml:space="preserve">re is steady </w:t>
      </w:r>
      <w:r w:rsidR="00D85A45">
        <w:rPr>
          <w:rFonts w:ascii="Arial" w:hAnsi="Arial" w:cs="Arial"/>
        </w:rPr>
        <w:t xml:space="preserve">market demand in </w:t>
      </w:r>
      <w:r w:rsidR="008146C8">
        <w:rPr>
          <w:rFonts w:ascii="Arial" w:hAnsi="Arial" w:cs="Arial"/>
        </w:rPr>
        <w:t xml:space="preserve">truck and private car </w:t>
      </w:r>
      <w:r w:rsidR="00720B4F">
        <w:rPr>
          <w:rFonts w:ascii="Arial" w:hAnsi="Arial" w:cs="Arial"/>
        </w:rPr>
        <w:t>hires</w:t>
      </w:r>
      <w:r w:rsidR="0016502E">
        <w:rPr>
          <w:rFonts w:ascii="Arial" w:hAnsi="Arial" w:cs="Arial"/>
        </w:rPr>
        <w:t xml:space="preserve">, that </w:t>
      </w:r>
      <w:r w:rsidR="0098525D">
        <w:rPr>
          <w:rFonts w:ascii="Arial" w:hAnsi="Arial" w:cs="Arial"/>
        </w:rPr>
        <w:t xml:space="preserve">Flow Management operates </w:t>
      </w:r>
      <w:r w:rsidR="001B7C53">
        <w:rPr>
          <w:rFonts w:ascii="Arial" w:hAnsi="Arial" w:cs="Arial"/>
        </w:rPr>
        <w:t>in</w:t>
      </w:r>
      <w:r w:rsidR="000E2B34">
        <w:rPr>
          <w:rFonts w:ascii="Arial" w:hAnsi="Arial" w:cs="Arial"/>
        </w:rPr>
        <w:t>. Then as the case unfolds</w:t>
      </w:r>
      <w:r w:rsidR="0098525D">
        <w:rPr>
          <w:rFonts w:ascii="Arial" w:hAnsi="Arial" w:cs="Arial"/>
        </w:rPr>
        <w:t xml:space="preserve"> </w:t>
      </w:r>
      <w:r w:rsidR="000E2B34">
        <w:rPr>
          <w:rFonts w:ascii="Arial" w:hAnsi="Arial" w:cs="Arial"/>
        </w:rPr>
        <w:t>ther</w:t>
      </w:r>
      <w:r w:rsidR="00E813FF">
        <w:rPr>
          <w:rFonts w:ascii="Arial" w:hAnsi="Arial" w:cs="Arial"/>
        </w:rPr>
        <w:t>e</w:t>
      </w:r>
      <w:r w:rsidR="000E2B34">
        <w:rPr>
          <w:rFonts w:ascii="Arial" w:hAnsi="Arial" w:cs="Arial"/>
        </w:rPr>
        <w:t xml:space="preserve"> appears to be no further reference to </w:t>
      </w:r>
      <w:r w:rsidR="008F49B7">
        <w:rPr>
          <w:rFonts w:ascii="Arial" w:hAnsi="Arial" w:cs="Arial"/>
        </w:rPr>
        <w:t xml:space="preserve">any </w:t>
      </w:r>
      <w:r w:rsidR="00C151DC">
        <w:rPr>
          <w:rFonts w:ascii="Arial" w:hAnsi="Arial" w:cs="Arial"/>
        </w:rPr>
        <w:t xml:space="preserve">external factors affecting Flow Management, such as </w:t>
      </w:r>
      <w:r w:rsidR="0018710A">
        <w:rPr>
          <w:rFonts w:ascii="Arial" w:hAnsi="Arial" w:cs="Arial"/>
        </w:rPr>
        <w:t xml:space="preserve">technological </w:t>
      </w:r>
      <w:r w:rsidR="00C0133D">
        <w:rPr>
          <w:rFonts w:ascii="Arial" w:hAnsi="Arial" w:cs="Arial"/>
        </w:rPr>
        <w:t>or</w:t>
      </w:r>
      <w:r w:rsidR="0018710A">
        <w:rPr>
          <w:rFonts w:ascii="Arial" w:hAnsi="Arial" w:cs="Arial"/>
        </w:rPr>
        <w:t xml:space="preserve"> regulatory changes in the</w:t>
      </w:r>
      <w:r w:rsidR="007C03D1">
        <w:rPr>
          <w:rFonts w:ascii="Arial" w:hAnsi="Arial" w:cs="Arial"/>
        </w:rPr>
        <w:t xml:space="preserve"> car </w:t>
      </w:r>
      <w:r w:rsidR="0018710A">
        <w:rPr>
          <w:rFonts w:ascii="Arial" w:hAnsi="Arial" w:cs="Arial"/>
        </w:rPr>
        <w:t>leas</w:t>
      </w:r>
      <w:r w:rsidR="007C03D1">
        <w:rPr>
          <w:rFonts w:ascii="Arial" w:hAnsi="Arial" w:cs="Arial"/>
        </w:rPr>
        <w:t>ing</w:t>
      </w:r>
      <w:r w:rsidR="0018710A">
        <w:rPr>
          <w:rFonts w:ascii="Arial" w:hAnsi="Arial" w:cs="Arial"/>
        </w:rPr>
        <w:t xml:space="preserve"> industry</w:t>
      </w:r>
      <w:r w:rsidR="002829F3">
        <w:rPr>
          <w:rFonts w:ascii="Arial" w:hAnsi="Arial" w:cs="Arial"/>
        </w:rPr>
        <w:t xml:space="preserve"> or truck repairs</w:t>
      </w:r>
      <w:r w:rsidR="007C03D1">
        <w:rPr>
          <w:rFonts w:ascii="Arial" w:hAnsi="Arial" w:cs="Arial"/>
        </w:rPr>
        <w:t>,</w:t>
      </w:r>
      <w:r w:rsidR="0018710A">
        <w:rPr>
          <w:rFonts w:ascii="Arial" w:hAnsi="Arial" w:cs="Arial"/>
        </w:rPr>
        <w:t xml:space="preserve"> or other </w:t>
      </w:r>
      <w:r w:rsidR="00D41CA3">
        <w:rPr>
          <w:rFonts w:ascii="Arial" w:hAnsi="Arial" w:cs="Arial"/>
        </w:rPr>
        <w:t xml:space="preserve">changes </w:t>
      </w:r>
      <w:r w:rsidR="00166C58">
        <w:rPr>
          <w:rFonts w:ascii="Arial" w:hAnsi="Arial" w:cs="Arial"/>
        </w:rPr>
        <w:t xml:space="preserve">in the economy or the resources </w:t>
      </w:r>
      <w:r w:rsidR="00900874">
        <w:rPr>
          <w:rFonts w:ascii="Arial" w:hAnsi="Arial" w:cs="Arial"/>
        </w:rPr>
        <w:t xml:space="preserve">available </w:t>
      </w:r>
      <w:r w:rsidR="004D54B4">
        <w:rPr>
          <w:rFonts w:ascii="Arial" w:hAnsi="Arial" w:cs="Arial"/>
        </w:rPr>
        <w:t>impacting this market sector at the time</w:t>
      </w:r>
      <w:r w:rsidR="00D41CA3">
        <w:rPr>
          <w:rFonts w:ascii="Arial" w:hAnsi="Arial" w:cs="Arial"/>
        </w:rPr>
        <w:t>.</w:t>
      </w:r>
      <w:r w:rsidR="006151B3">
        <w:rPr>
          <w:rFonts w:ascii="Arial" w:hAnsi="Arial" w:cs="Arial"/>
        </w:rPr>
        <w:t xml:space="preserve"> </w:t>
      </w:r>
    </w:p>
    <w:p w14:paraId="34C26D7A" w14:textId="77777777" w:rsidR="00AE5EB4" w:rsidRDefault="00AE5EB4" w:rsidP="00CC11FB">
      <w:pPr>
        <w:spacing w:after="0" w:line="240" w:lineRule="auto"/>
        <w:jc w:val="both"/>
        <w:rPr>
          <w:rFonts w:ascii="Arial" w:hAnsi="Arial" w:cs="Arial"/>
        </w:rPr>
      </w:pPr>
    </w:p>
    <w:p w14:paraId="37CB9F30" w14:textId="1206856F" w:rsidR="00D822AA" w:rsidRDefault="002575C0" w:rsidP="00CC11FB">
      <w:pPr>
        <w:spacing w:after="0" w:line="240" w:lineRule="auto"/>
        <w:jc w:val="both"/>
        <w:rPr>
          <w:rFonts w:ascii="Arial" w:hAnsi="Arial" w:cs="Arial"/>
        </w:rPr>
      </w:pPr>
      <w:r>
        <w:rPr>
          <w:rFonts w:ascii="Arial" w:hAnsi="Arial" w:cs="Arial"/>
        </w:rPr>
        <w:t>I</w:t>
      </w:r>
      <w:r w:rsidR="00E70690">
        <w:rPr>
          <w:rFonts w:ascii="Arial" w:hAnsi="Arial" w:cs="Arial"/>
        </w:rPr>
        <w:t>n</w:t>
      </w:r>
      <w:r>
        <w:rPr>
          <w:rFonts w:ascii="Arial" w:hAnsi="Arial" w:cs="Arial"/>
        </w:rPr>
        <w:t xml:space="preserve"> this respect, the</w:t>
      </w:r>
      <w:r w:rsidR="00BC1E4F">
        <w:rPr>
          <w:rFonts w:ascii="Arial" w:hAnsi="Arial" w:cs="Arial"/>
        </w:rPr>
        <w:t xml:space="preserve"> financial distress at</w:t>
      </w:r>
      <w:r>
        <w:rPr>
          <w:rFonts w:ascii="Arial" w:hAnsi="Arial" w:cs="Arial"/>
        </w:rPr>
        <w:t xml:space="preserve"> Flow Management is </w:t>
      </w:r>
      <w:r w:rsidR="009C6212">
        <w:rPr>
          <w:rFonts w:ascii="Arial" w:hAnsi="Arial" w:cs="Arial"/>
        </w:rPr>
        <w:t>posing a challenge</w:t>
      </w:r>
      <w:r>
        <w:rPr>
          <w:rFonts w:ascii="Arial" w:hAnsi="Arial" w:cs="Arial"/>
        </w:rPr>
        <w:t xml:space="preserve"> to the </w:t>
      </w:r>
      <w:r w:rsidR="00A94DC8">
        <w:rPr>
          <w:rFonts w:ascii="Arial" w:hAnsi="Arial" w:cs="Arial"/>
        </w:rPr>
        <w:t xml:space="preserve">deterministic view </w:t>
      </w:r>
      <w:r w:rsidR="00863F2F">
        <w:rPr>
          <w:rFonts w:ascii="Arial" w:hAnsi="Arial" w:cs="Arial"/>
        </w:rPr>
        <w:t xml:space="preserve">of classical industrial organization </w:t>
      </w:r>
      <w:r w:rsidR="00E70690">
        <w:rPr>
          <w:rFonts w:ascii="Arial" w:hAnsi="Arial" w:cs="Arial"/>
        </w:rPr>
        <w:t xml:space="preserve">(IO) </w:t>
      </w:r>
      <w:r w:rsidR="00863F2F">
        <w:rPr>
          <w:rFonts w:ascii="Arial" w:hAnsi="Arial" w:cs="Arial"/>
        </w:rPr>
        <w:t>and organization ecology</w:t>
      </w:r>
      <w:r w:rsidR="00E70690">
        <w:rPr>
          <w:rFonts w:ascii="Arial" w:hAnsi="Arial" w:cs="Arial"/>
        </w:rPr>
        <w:t xml:space="preserve"> (OE)</w:t>
      </w:r>
      <w:r w:rsidR="00105340">
        <w:rPr>
          <w:rFonts w:ascii="Arial" w:hAnsi="Arial" w:cs="Arial"/>
        </w:rPr>
        <w:t>, that both support the notion that</w:t>
      </w:r>
      <w:r w:rsidR="000D5DBC">
        <w:rPr>
          <w:rFonts w:ascii="Arial" w:hAnsi="Arial" w:cs="Arial"/>
        </w:rPr>
        <w:t xml:space="preserve"> </w:t>
      </w:r>
      <w:r w:rsidR="000D5DBC" w:rsidRPr="000D5DBC">
        <w:rPr>
          <w:rFonts w:ascii="Arial" w:hAnsi="Arial" w:cs="Arial"/>
          <w:i/>
          <w:iCs/>
        </w:rPr>
        <w:t>“when</w:t>
      </w:r>
      <w:r w:rsidR="009715D1" w:rsidRPr="000D5DBC">
        <w:rPr>
          <w:rFonts w:ascii="Arial" w:hAnsi="Arial" w:cs="Arial"/>
          <w:i/>
          <w:iCs/>
        </w:rPr>
        <w:t xml:space="preserve"> it comes to failure, the industry matters more than the firm</w:t>
      </w:r>
      <w:r w:rsidR="000D5DBC">
        <w:rPr>
          <w:rFonts w:ascii="Arial" w:hAnsi="Arial" w:cs="Arial"/>
        </w:rPr>
        <w:t>”</w:t>
      </w:r>
      <w:r w:rsidR="000D5DBC">
        <w:rPr>
          <w:rStyle w:val="FootnoteReference"/>
          <w:rFonts w:ascii="Arial" w:hAnsi="Arial" w:cs="Arial"/>
        </w:rPr>
        <w:footnoteReference w:id="1"/>
      </w:r>
      <w:r w:rsidR="009715D1">
        <w:rPr>
          <w:rFonts w:ascii="Arial" w:hAnsi="Arial" w:cs="Arial"/>
        </w:rPr>
        <w:t>.</w:t>
      </w:r>
      <w:r w:rsidR="00E70690">
        <w:rPr>
          <w:rFonts w:ascii="Arial" w:hAnsi="Arial" w:cs="Arial"/>
        </w:rPr>
        <w:t xml:space="preserve"> </w:t>
      </w:r>
      <w:r w:rsidR="00D4191D">
        <w:rPr>
          <w:rFonts w:ascii="Arial" w:hAnsi="Arial" w:cs="Arial"/>
        </w:rPr>
        <w:t xml:space="preserve">More specifically, </w:t>
      </w:r>
      <w:r w:rsidR="00B905A2">
        <w:rPr>
          <w:rFonts w:ascii="Arial" w:hAnsi="Arial" w:cs="Arial"/>
        </w:rPr>
        <w:t xml:space="preserve">industrial organization attributes </w:t>
      </w:r>
      <w:r w:rsidR="00506105">
        <w:rPr>
          <w:rFonts w:ascii="Arial" w:hAnsi="Arial" w:cs="Arial"/>
        </w:rPr>
        <w:t xml:space="preserve">corporate failure </w:t>
      </w:r>
      <w:r w:rsidR="00395C83">
        <w:rPr>
          <w:rFonts w:ascii="Arial" w:hAnsi="Arial" w:cs="Arial"/>
        </w:rPr>
        <w:t xml:space="preserve">to dynamic changes in the environment </w:t>
      </w:r>
      <w:r w:rsidR="0040521B">
        <w:rPr>
          <w:rFonts w:ascii="Arial" w:hAnsi="Arial" w:cs="Arial"/>
        </w:rPr>
        <w:t>that the organization operates in, such as shortage in resources</w:t>
      </w:r>
      <w:r w:rsidR="00135465">
        <w:rPr>
          <w:rFonts w:ascii="Arial" w:hAnsi="Arial" w:cs="Arial"/>
        </w:rPr>
        <w:t xml:space="preserve"> and complexities with other stakeholders </w:t>
      </w:r>
      <w:r w:rsidR="00AD5A54">
        <w:rPr>
          <w:rFonts w:ascii="Arial" w:hAnsi="Arial" w:cs="Arial"/>
        </w:rPr>
        <w:t>and competitors</w:t>
      </w:r>
      <w:r w:rsidR="00034337">
        <w:rPr>
          <w:rFonts w:ascii="Arial" w:hAnsi="Arial" w:cs="Arial"/>
        </w:rPr>
        <w:t>;</w:t>
      </w:r>
      <w:r w:rsidR="00AD5A54">
        <w:rPr>
          <w:rFonts w:ascii="Arial" w:hAnsi="Arial" w:cs="Arial"/>
        </w:rPr>
        <w:t xml:space="preserve"> while </w:t>
      </w:r>
      <w:r w:rsidR="0050605C">
        <w:rPr>
          <w:rFonts w:ascii="Arial" w:hAnsi="Arial" w:cs="Arial"/>
        </w:rPr>
        <w:t xml:space="preserve">the </w:t>
      </w:r>
      <w:r w:rsidR="00AD5A54">
        <w:rPr>
          <w:rFonts w:ascii="Arial" w:hAnsi="Arial" w:cs="Arial"/>
        </w:rPr>
        <w:t>organization ecology</w:t>
      </w:r>
      <w:r w:rsidR="0050605C">
        <w:rPr>
          <w:rFonts w:ascii="Arial" w:hAnsi="Arial" w:cs="Arial"/>
        </w:rPr>
        <w:t xml:space="preserve"> approach focuses </w:t>
      </w:r>
      <w:r w:rsidR="00AF0966">
        <w:rPr>
          <w:rFonts w:ascii="Arial" w:hAnsi="Arial" w:cs="Arial"/>
        </w:rPr>
        <w:t>on the effe</w:t>
      </w:r>
      <w:r w:rsidR="00DA7BB3">
        <w:rPr>
          <w:rFonts w:ascii="Arial" w:hAnsi="Arial" w:cs="Arial"/>
        </w:rPr>
        <w:t xml:space="preserve">ct of demographic and regulatory changes </w:t>
      </w:r>
      <w:r w:rsidR="008839E6">
        <w:rPr>
          <w:rFonts w:ascii="Arial" w:hAnsi="Arial" w:cs="Arial"/>
        </w:rPr>
        <w:t>t</w:t>
      </w:r>
      <w:r w:rsidR="00EC408F">
        <w:rPr>
          <w:rFonts w:ascii="Arial" w:hAnsi="Arial" w:cs="Arial"/>
        </w:rPr>
        <w:t xml:space="preserve">o organizations, </w:t>
      </w:r>
      <w:r w:rsidR="00DD1649">
        <w:rPr>
          <w:rFonts w:ascii="Arial" w:hAnsi="Arial" w:cs="Arial"/>
        </w:rPr>
        <w:t>with focus on smaller or newly founded organizations.</w:t>
      </w:r>
      <w:r w:rsidR="00484F4D">
        <w:rPr>
          <w:rStyle w:val="FootnoteReference"/>
          <w:rFonts w:ascii="Arial" w:hAnsi="Arial" w:cs="Arial"/>
        </w:rPr>
        <w:footnoteReference w:id="2"/>
      </w:r>
      <w:r w:rsidR="00863F2F">
        <w:rPr>
          <w:rFonts w:ascii="Arial" w:hAnsi="Arial" w:cs="Arial"/>
        </w:rPr>
        <w:t xml:space="preserve"> </w:t>
      </w:r>
    </w:p>
    <w:p w14:paraId="75AF8093" w14:textId="77777777" w:rsidR="006151B3" w:rsidRDefault="006151B3" w:rsidP="00CC11FB">
      <w:pPr>
        <w:spacing w:after="0" w:line="240" w:lineRule="auto"/>
        <w:jc w:val="both"/>
        <w:rPr>
          <w:rFonts w:ascii="Arial" w:hAnsi="Arial" w:cs="Arial"/>
        </w:rPr>
      </w:pPr>
    </w:p>
    <w:p w14:paraId="444F7F42" w14:textId="77777777" w:rsidR="00EA16D5" w:rsidRDefault="006151B3" w:rsidP="00CC11FB">
      <w:pPr>
        <w:spacing w:after="0" w:line="240" w:lineRule="auto"/>
        <w:jc w:val="both"/>
        <w:rPr>
          <w:rFonts w:ascii="Arial" w:hAnsi="Arial" w:cs="Arial"/>
        </w:rPr>
      </w:pPr>
      <w:r>
        <w:rPr>
          <w:rFonts w:ascii="Arial" w:hAnsi="Arial" w:cs="Arial"/>
        </w:rPr>
        <w:t xml:space="preserve">In the case of Flow Management, </w:t>
      </w:r>
      <w:r w:rsidR="00227325">
        <w:rPr>
          <w:rFonts w:ascii="Arial" w:hAnsi="Arial" w:cs="Arial"/>
        </w:rPr>
        <w:t xml:space="preserve">the financial distress emerges rather from </w:t>
      </w:r>
      <w:r w:rsidR="00677016">
        <w:rPr>
          <w:rFonts w:ascii="Arial" w:hAnsi="Arial" w:cs="Arial"/>
        </w:rPr>
        <w:t xml:space="preserve">faults in the </w:t>
      </w:r>
      <w:r w:rsidR="00B070BF">
        <w:rPr>
          <w:rFonts w:ascii="Arial" w:hAnsi="Arial" w:cs="Arial"/>
        </w:rPr>
        <w:t xml:space="preserve">annual accounts </w:t>
      </w:r>
      <w:r w:rsidR="00E12832">
        <w:rPr>
          <w:rFonts w:ascii="Arial" w:hAnsi="Arial" w:cs="Arial"/>
        </w:rPr>
        <w:t xml:space="preserve">and poor management </w:t>
      </w:r>
      <w:r w:rsidR="006C45B6">
        <w:rPr>
          <w:rFonts w:ascii="Arial" w:hAnsi="Arial" w:cs="Arial"/>
        </w:rPr>
        <w:t xml:space="preserve">of </w:t>
      </w:r>
      <w:r w:rsidR="00C03432">
        <w:rPr>
          <w:rFonts w:ascii="Arial" w:hAnsi="Arial" w:cs="Arial"/>
        </w:rPr>
        <w:t xml:space="preserve">its </w:t>
      </w:r>
      <w:r w:rsidR="00C150D5">
        <w:rPr>
          <w:rFonts w:ascii="Arial" w:hAnsi="Arial" w:cs="Arial"/>
        </w:rPr>
        <w:t>main</w:t>
      </w:r>
      <w:r w:rsidR="00C03432">
        <w:rPr>
          <w:rFonts w:ascii="Arial" w:hAnsi="Arial" w:cs="Arial"/>
        </w:rPr>
        <w:t xml:space="preserve"> subsidiary, Flow Management Work BV (“Subsidiary 1”)</w:t>
      </w:r>
      <w:r w:rsidR="00C377F2">
        <w:rPr>
          <w:rFonts w:ascii="Arial" w:hAnsi="Arial" w:cs="Arial"/>
        </w:rPr>
        <w:t xml:space="preserve">. </w:t>
      </w:r>
      <w:proofErr w:type="gramStart"/>
      <w:r w:rsidR="00C377F2">
        <w:rPr>
          <w:rFonts w:ascii="Arial" w:hAnsi="Arial" w:cs="Arial"/>
        </w:rPr>
        <w:t>In particular</w:t>
      </w:r>
      <w:r w:rsidR="006053D7">
        <w:rPr>
          <w:rFonts w:ascii="Arial" w:hAnsi="Arial" w:cs="Arial"/>
        </w:rPr>
        <w:t>,</w:t>
      </w:r>
      <w:r w:rsidR="00E04D13">
        <w:rPr>
          <w:rFonts w:ascii="Arial" w:hAnsi="Arial" w:cs="Arial"/>
        </w:rPr>
        <w:t xml:space="preserve"> </w:t>
      </w:r>
      <w:r w:rsidR="00666873">
        <w:rPr>
          <w:rFonts w:ascii="Arial" w:hAnsi="Arial" w:cs="Arial"/>
        </w:rPr>
        <w:t>it</w:t>
      </w:r>
      <w:proofErr w:type="gramEnd"/>
      <w:r w:rsidR="00666873">
        <w:rPr>
          <w:rFonts w:ascii="Arial" w:hAnsi="Arial" w:cs="Arial"/>
        </w:rPr>
        <w:t xml:space="preserve"> is </w:t>
      </w:r>
      <w:r w:rsidR="008C159C">
        <w:rPr>
          <w:rFonts w:ascii="Arial" w:hAnsi="Arial" w:cs="Arial"/>
        </w:rPr>
        <w:t>well established</w:t>
      </w:r>
      <w:r w:rsidR="00666873">
        <w:rPr>
          <w:rFonts w:ascii="Arial" w:hAnsi="Arial" w:cs="Arial"/>
        </w:rPr>
        <w:t xml:space="preserve"> that </w:t>
      </w:r>
      <w:r w:rsidR="00E04D13">
        <w:rPr>
          <w:rFonts w:ascii="Arial" w:hAnsi="Arial" w:cs="Arial"/>
        </w:rPr>
        <w:t>these related initially to</w:t>
      </w:r>
      <w:r w:rsidR="00E54A7A">
        <w:rPr>
          <w:rFonts w:ascii="Arial" w:hAnsi="Arial" w:cs="Arial"/>
        </w:rPr>
        <w:t xml:space="preserve"> highly miscalculated profit forecasts that in the end turned out to be a loss</w:t>
      </w:r>
      <w:r w:rsidR="006F33E8">
        <w:rPr>
          <w:rFonts w:ascii="Arial" w:hAnsi="Arial" w:cs="Arial"/>
        </w:rPr>
        <w:t>;</w:t>
      </w:r>
      <w:r w:rsidR="00DC0CD4">
        <w:rPr>
          <w:rFonts w:ascii="Arial" w:hAnsi="Arial" w:cs="Arial"/>
        </w:rPr>
        <w:t xml:space="preserve"> wrongfully </w:t>
      </w:r>
      <w:r w:rsidR="00E04D13">
        <w:rPr>
          <w:rFonts w:ascii="Arial" w:hAnsi="Arial" w:cs="Arial"/>
        </w:rPr>
        <w:t>issued management bonuses</w:t>
      </w:r>
      <w:r w:rsidR="006F33E8">
        <w:rPr>
          <w:rFonts w:ascii="Arial" w:hAnsi="Arial" w:cs="Arial"/>
        </w:rPr>
        <w:t>;</w:t>
      </w:r>
      <w:r w:rsidR="00D921E5">
        <w:rPr>
          <w:rFonts w:ascii="Arial" w:hAnsi="Arial" w:cs="Arial"/>
        </w:rPr>
        <w:t xml:space="preserve"> mistakes in </w:t>
      </w:r>
      <w:r w:rsidR="00321294">
        <w:rPr>
          <w:rFonts w:ascii="Arial" w:hAnsi="Arial" w:cs="Arial"/>
        </w:rPr>
        <w:t xml:space="preserve">contingency gain </w:t>
      </w:r>
      <w:r w:rsidR="00D921E5">
        <w:rPr>
          <w:rFonts w:ascii="Arial" w:hAnsi="Arial" w:cs="Arial"/>
        </w:rPr>
        <w:t>entries in the annual accounts</w:t>
      </w:r>
      <w:r w:rsidR="00627C91">
        <w:rPr>
          <w:rFonts w:ascii="Arial" w:hAnsi="Arial" w:cs="Arial"/>
        </w:rPr>
        <w:t xml:space="preserve"> and ‘formula errors’ </w:t>
      </w:r>
      <w:r w:rsidR="00331232">
        <w:rPr>
          <w:rFonts w:ascii="Arial" w:hAnsi="Arial" w:cs="Arial"/>
        </w:rPr>
        <w:t>affecting</w:t>
      </w:r>
      <w:r w:rsidR="00627C91">
        <w:rPr>
          <w:rFonts w:ascii="Arial" w:hAnsi="Arial" w:cs="Arial"/>
        </w:rPr>
        <w:t xml:space="preserve"> the cost price calculation</w:t>
      </w:r>
      <w:r w:rsidR="00331232">
        <w:rPr>
          <w:rFonts w:ascii="Arial" w:hAnsi="Arial" w:cs="Arial"/>
        </w:rPr>
        <w:t>s</w:t>
      </w:r>
      <w:r w:rsidR="006F33E8">
        <w:rPr>
          <w:rFonts w:ascii="Arial" w:hAnsi="Arial" w:cs="Arial"/>
        </w:rPr>
        <w:t>,</w:t>
      </w:r>
      <w:r w:rsidR="009F30CF">
        <w:rPr>
          <w:rFonts w:ascii="Arial" w:hAnsi="Arial" w:cs="Arial"/>
        </w:rPr>
        <w:t xml:space="preserve"> which resulted in a loss as the prices charged were too low. </w:t>
      </w:r>
      <w:r w:rsidR="00031C55">
        <w:rPr>
          <w:rFonts w:ascii="Arial" w:hAnsi="Arial" w:cs="Arial"/>
        </w:rPr>
        <w:t>Most signific</w:t>
      </w:r>
      <w:r w:rsidR="00331F18">
        <w:rPr>
          <w:rFonts w:ascii="Arial" w:hAnsi="Arial" w:cs="Arial"/>
        </w:rPr>
        <w:t xml:space="preserve">antly, </w:t>
      </w:r>
      <w:r w:rsidR="00C67D72">
        <w:rPr>
          <w:rFonts w:ascii="Arial" w:hAnsi="Arial" w:cs="Arial"/>
        </w:rPr>
        <w:t>the over</w:t>
      </w:r>
      <w:r w:rsidR="00775A1B">
        <w:rPr>
          <w:rFonts w:ascii="Arial" w:hAnsi="Arial" w:cs="Arial"/>
        </w:rPr>
        <w:t xml:space="preserve">estimated profit forecasts extent throughout 2014 and even 2015 </w:t>
      </w:r>
      <w:r w:rsidR="006B6AA9">
        <w:rPr>
          <w:rFonts w:ascii="Arial" w:hAnsi="Arial" w:cs="Arial"/>
        </w:rPr>
        <w:t>to Flow Management</w:t>
      </w:r>
      <w:r w:rsidR="00AD0169">
        <w:rPr>
          <w:rFonts w:ascii="Arial" w:hAnsi="Arial" w:cs="Arial"/>
        </w:rPr>
        <w:t xml:space="preserve">, as the management </w:t>
      </w:r>
      <w:r w:rsidR="00573B4B">
        <w:rPr>
          <w:rFonts w:ascii="Arial" w:hAnsi="Arial" w:cs="Arial"/>
        </w:rPr>
        <w:t xml:space="preserve">seems to be numb </w:t>
      </w:r>
      <w:r w:rsidR="00805C8F">
        <w:rPr>
          <w:rFonts w:ascii="Arial" w:hAnsi="Arial" w:cs="Arial"/>
        </w:rPr>
        <w:t xml:space="preserve">to the financial distress of the </w:t>
      </w:r>
      <w:r w:rsidR="003B47CA">
        <w:rPr>
          <w:rFonts w:ascii="Arial" w:hAnsi="Arial" w:cs="Arial"/>
        </w:rPr>
        <w:t xml:space="preserve">group at first. </w:t>
      </w:r>
    </w:p>
    <w:p w14:paraId="6479FCD0" w14:textId="77777777" w:rsidR="00EA16D5" w:rsidRDefault="00EA16D5" w:rsidP="00CC11FB">
      <w:pPr>
        <w:spacing w:after="0" w:line="240" w:lineRule="auto"/>
        <w:jc w:val="both"/>
        <w:rPr>
          <w:rFonts w:ascii="Arial" w:hAnsi="Arial" w:cs="Arial"/>
        </w:rPr>
      </w:pPr>
    </w:p>
    <w:p w14:paraId="2686986C" w14:textId="72758A6A" w:rsidR="006151B3" w:rsidRDefault="002B79B9" w:rsidP="00CC11FB">
      <w:pPr>
        <w:spacing w:after="0" w:line="240" w:lineRule="auto"/>
        <w:jc w:val="both"/>
        <w:rPr>
          <w:rFonts w:ascii="Arial" w:hAnsi="Arial" w:cs="Arial"/>
        </w:rPr>
      </w:pPr>
      <w:r>
        <w:rPr>
          <w:rFonts w:ascii="Arial" w:hAnsi="Arial" w:cs="Arial"/>
        </w:rPr>
        <w:t xml:space="preserve">This is an indication that </w:t>
      </w:r>
      <w:r w:rsidR="00F75936">
        <w:rPr>
          <w:rFonts w:ascii="Arial" w:hAnsi="Arial" w:cs="Arial"/>
        </w:rPr>
        <w:t xml:space="preserve">perhaps </w:t>
      </w:r>
      <w:r>
        <w:rPr>
          <w:rFonts w:ascii="Arial" w:hAnsi="Arial" w:cs="Arial"/>
        </w:rPr>
        <w:t xml:space="preserve">the numbers that form the basis of these forecasts, as well as annual accounts, </w:t>
      </w:r>
      <w:r w:rsidR="00AA420F">
        <w:rPr>
          <w:rFonts w:ascii="Arial" w:hAnsi="Arial" w:cs="Arial"/>
        </w:rPr>
        <w:t xml:space="preserve">which should be monitored by the management of </w:t>
      </w:r>
      <w:r w:rsidR="00457BF7">
        <w:rPr>
          <w:rFonts w:ascii="Arial" w:hAnsi="Arial" w:cs="Arial"/>
        </w:rPr>
        <w:t>an organization, were not accurate or</w:t>
      </w:r>
      <w:r w:rsidR="00EA16D5">
        <w:rPr>
          <w:rFonts w:ascii="Arial" w:hAnsi="Arial" w:cs="Arial"/>
        </w:rPr>
        <w:t xml:space="preserve"> </w:t>
      </w:r>
      <w:r w:rsidR="005D249F">
        <w:rPr>
          <w:rFonts w:ascii="Arial" w:hAnsi="Arial" w:cs="Arial"/>
        </w:rPr>
        <w:t>were in</w:t>
      </w:r>
      <w:r w:rsidR="00EA16D5">
        <w:rPr>
          <w:rFonts w:ascii="Arial" w:hAnsi="Arial" w:cs="Arial"/>
        </w:rPr>
        <w:t xml:space="preserve">complete. </w:t>
      </w:r>
      <w:r w:rsidR="00DB0C8A">
        <w:rPr>
          <w:rFonts w:ascii="Arial" w:hAnsi="Arial" w:cs="Arial"/>
        </w:rPr>
        <w:t xml:space="preserve">In fact, this is verified </w:t>
      </w:r>
      <w:r w:rsidR="00E4247B">
        <w:rPr>
          <w:rFonts w:ascii="Arial" w:hAnsi="Arial" w:cs="Arial"/>
        </w:rPr>
        <w:t xml:space="preserve">in this case study as it mentions explicitly that </w:t>
      </w:r>
      <w:r w:rsidR="00C0541D">
        <w:rPr>
          <w:rFonts w:ascii="Arial" w:hAnsi="Arial" w:cs="Arial"/>
        </w:rPr>
        <w:t>the</w:t>
      </w:r>
      <w:r w:rsidR="00A62763">
        <w:rPr>
          <w:rFonts w:ascii="Arial" w:hAnsi="Arial" w:cs="Arial"/>
        </w:rPr>
        <w:t xml:space="preserve"> management</w:t>
      </w:r>
      <w:r w:rsidR="00C0541D">
        <w:rPr>
          <w:rFonts w:ascii="Arial" w:hAnsi="Arial" w:cs="Arial"/>
        </w:rPr>
        <w:t xml:space="preserve"> </w:t>
      </w:r>
      <w:r w:rsidR="00C0541D">
        <w:rPr>
          <w:rFonts w:ascii="Arial" w:hAnsi="Arial" w:cs="Arial"/>
          <w:i/>
          <w:iCs/>
        </w:rPr>
        <w:t xml:space="preserve">“failed to periodically check </w:t>
      </w:r>
      <w:r w:rsidR="00B5250F">
        <w:rPr>
          <w:rFonts w:ascii="Arial" w:hAnsi="Arial" w:cs="Arial"/>
          <w:i/>
          <w:iCs/>
        </w:rPr>
        <w:t>the real costs against the results of the cost price calculation”</w:t>
      </w:r>
      <w:r w:rsidR="00B5250F">
        <w:rPr>
          <w:rFonts w:ascii="Arial" w:hAnsi="Arial" w:cs="Arial"/>
        </w:rPr>
        <w:t xml:space="preserve"> and</w:t>
      </w:r>
      <w:r w:rsidR="005D0D24">
        <w:rPr>
          <w:rFonts w:ascii="Arial" w:hAnsi="Arial" w:cs="Arial"/>
        </w:rPr>
        <w:t>,</w:t>
      </w:r>
      <w:r w:rsidR="00B5250F">
        <w:rPr>
          <w:rFonts w:ascii="Arial" w:hAnsi="Arial" w:cs="Arial"/>
        </w:rPr>
        <w:t xml:space="preserve"> </w:t>
      </w:r>
      <w:proofErr w:type="gramStart"/>
      <w:r w:rsidR="00B5250F">
        <w:rPr>
          <w:rFonts w:ascii="Arial" w:hAnsi="Arial" w:cs="Arial"/>
        </w:rPr>
        <w:t>as a result of</w:t>
      </w:r>
      <w:proofErr w:type="gramEnd"/>
      <w:r w:rsidR="00B5250F">
        <w:rPr>
          <w:rFonts w:ascii="Arial" w:hAnsi="Arial" w:cs="Arial"/>
        </w:rPr>
        <w:t xml:space="preserve"> t</w:t>
      </w:r>
      <w:r w:rsidR="005D0D24">
        <w:rPr>
          <w:rFonts w:ascii="Arial" w:hAnsi="Arial" w:cs="Arial"/>
        </w:rPr>
        <w:t>his, they were charging too low prices that</w:t>
      </w:r>
      <w:r w:rsidR="00F75936">
        <w:rPr>
          <w:rFonts w:ascii="Arial" w:hAnsi="Arial" w:cs="Arial"/>
        </w:rPr>
        <w:t xml:space="preserve"> produce</w:t>
      </w:r>
      <w:r w:rsidR="00226B72">
        <w:rPr>
          <w:rFonts w:ascii="Arial" w:hAnsi="Arial" w:cs="Arial"/>
        </w:rPr>
        <w:t>d</w:t>
      </w:r>
      <w:r w:rsidR="00F75936">
        <w:rPr>
          <w:rFonts w:ascii="Arial" w:hAnsi="Arial" w:cs="Arial"/>
        </w:rPr>
        <w:t xml:space="preserve"> </w:t>
      </w:r>
      <w:r w:rsidR="004D4BE1">
        <w:rPr>
          <w:rFonts w:ascii="Arial" w:hAnsi="Arial" w:cs="Arial"/>
        </w:rPr>
        <w:t xml:space="preserve">financial </w:t>
      </w:r>
      <w:r w:rsidR="00F75936">
        <w:rPr>
          <w:rFonts w:ascii="Arial" w:hAnsi="Arial" w:cs="Arial"/>
        </w:rPr>
        <w:t>loss</w:t>
      </w:r>
      <w:r w:rsidR="00226B72">
        <w:rPr>
          <w:rFonts w:ascii="Arial" w:hAnsi="Arial" w:cs="Arial"/>
        </w:rPr>
        <w:t xml:space="preserve"> in the end</w:t>
      </w:r>
      <w:r w:rsidR="00F75936">
        <w:rPr>
          <w:rFonts w:ascii="Arial" w:hAnsi="Arial" w:cs="Arial"/>
        </w:rPr>
        <w:t>.</w:t>
      </w:r>
      <w:r w:rsidR="004D4BE1">
        <w:rPr>
          <w:rFonts w:ascii="Arial" w:hAnsi="Arial" w:cs="Arial"/>
        </w:rPr>
        <w:t xml:space="preserve"> </w:t>
      </w:r>
      <w:r w:rsidR="00F75936">
        <w:rPr>
          <w:rFonts w:ascii="Arial" w:hAnsi="Arial" w:cs="Arial"/>
        </w:rPr>
        <w:t xml:space="preserve"> </w:t>
      </w:r>
      <w:r w:rsidR="004D4BE1">
        <w:rPr>
          <w:rFonts w:ascii="Arial" w:hAnsi="Arial" w:cs="Arial"/>
        </w:rPr>
        <w:t xml:space="preserve">Yet still </w:t>
      </w:r>
      <w:r w:rsidR="003C1A6F">
        <w:rPr>
          <w:rFonts w:ascii="Arial" w:hAnsi="Arial" w:cs="Arial"/>
        </w:rPr>
        <w:t>Lease Group Holding United Kingdom Ltd (the “Shareholder”)</w:t>
      </w:r>
      <w:r w:rsidR="002D4D73">
        <w:rPr>
          <w:rFonts w:ascii="Arial" w:hAnsi="Arial" w:cs="Arial"/>
        </w:rPr>
        <w:t xml:space="preserve"> only </w:t>
      </w:r>
      <w:r w:rsidR="002473B7">
        <w:rPr>
          <w:rFonts w:ascii="Arial" w:hAnsi="Arial" w:cs="Arial"/>
        </w:rPr>
        <w:t xml:space="preserve">proceeded to change </w:t>
      </w:r>
      <w:r w:rsidR="00B41366">
        <w:rPr>
          <w:rFonts w:ascii="Arial" w:hAnsi="Arial" w:cs="Arial"/>
        </w:rPr>
        <w:t>Flow Management’s</w:t>
      </w:r>
      <w:r w:rsidR="0046356E">
        <w:rPr>
          <w:rFonts w:ascii="Arial" w:hAnsi="Arial" w:cs="Arial"/>
        </w:rPr>
        <w:t xml:space="preserve"> CFO in January 2014 and its CEO in </w:t>
      </w:r>
      <w:r w:rsidR="00B41366">
        <w:rPr>
          <w:rFonts w:ascii="Arial" w:hAnsi="Arial" w:cs="Arial"/>
        </w:rPr>
        <w:t xml:space="preserve">April 2014, </w:t>
      </w:r>
      <w:r w:rsidR="00C9119F">
        <w:rPr>
          <w:rFonts w:ascii="Arial" w:hAnsi="Arial" w:cs="Arial"/>
        </w:rPr>
        <w:t xml:space="preserve">that is two and </w:t>
      </w:r>
      <w:r w:rsidR="00C02113">
        <w:rPr>
          <w:rFonts w:ascii="Arial" w:hAnsi="Arial" w:cs="Arial"/>
        </w:rPr>
        <w:t>six months respectively from the time that th</w:t>
      </w:r>
      <w:r w:rsidR="008D33D5">
        <w:rPr>
          <w:rFonts w:ascii="Arial" w:hAnsi="Arial" w:cs="Arial"/>
        </w:rPr>
        <w:t>e</w:t>
      </w:r>
      <w:r w:rsidR="00C02113">
        <w:rPr>
          <w:rFonts w:ascii="Arial" w:hAnsi="Arial" w:cs="Arial"/>
        </w:rPr>
        <w:t>s</w:t>
      </w:r>
      <w:r w:rsidR="008D33D5">
        <w:rPr>
          <w:rFonts w:ascii="Arial" w:hAnsi="Arial" w:cs="Arial"/>
        </w:rPr>
        <w:t>e</w:t>
      </w:r>
      <w:r w:rsidR="00AE51E4">
        <w:rPr>
          <w:rFonts w:ascii="Arial" w:hAnsi="Arial" w:cs="Arial"/>
        </w:rPr>
        <w:t xml:space="preserve"> </w:t>
      </w:r>
      <w:r w:rsidR="00047F08">
        <w:rPr>
          <w:rFonts w:ascii="Arial" w:hAnsi="Arial" w:cs="Arial"/>
        </w:rPr>
        <w:t xml:space="preserve">financial </w:t>
      </w:r>
      <w:r w:rsidR="00C02113">
        <w:rPr>
          <w:rFonts w:ascii="Arial" w:hAnsi="Arial" w:cs="Arial"/>
        </w:rPr>
        <w:t>issue</w:t>
      </w:r>
      <w:r w:rsidR="00AE51E4">
        <w:rPr>
          <w:rFonts w:ascii="Arial" w:hAnsi="Arial" w:cs="Arial"/>
        </w:rPr>
        <w:t>s</w:t>
      </w:r>
      <w:r w:rsidR="00C02113">
        <w:rPr>
          <w:rFonts w:ascii="Arial" w:hAnsi="Arial" w:cs="Arial"/>
        </w:rPr>
        <w:t xml:space="preserve"> w</w:t>
      </w:r>
      <w:r w:rsidR="00047F08">
        <w:rPr>
          <w:rFonts w:ascii="Arial" w:hAnsi="Arial" w:cs="Arial"/>
        </w:rPr>
        <w:t xml:space="preserve">ere </w:t>
      </w:r>
      <w:r w:rsidR="00C02113">
        <w:rPr>
          <w:rFonts w:ascii="Arial" w:hAnsi="Arial" w:cs="Arial"/>
        </w:rPr>
        <w:t xml:space="preserve">first identified. </w:t>
      </w:r>
    </w:p>
    <w:p w14:paraId="41932965" w14:textId="77777777" w:rsidR="007F7CD5" w:rsidRDefault="007F7CD5" w:rsidP="00CC11FB">
      <w:pPr>
        <w:spacing w:after="0" w:line="240" w:lineRule="auto"/>
        <w:jc w:val="both"/>
        <w:rPr>
          <w:rFonts w:ascii="Arial" w:hAnsi="Arial" w:cs="Arial"/>
        </w:rPr>
      </w:pPr>
    </w:p>
    <w:p w14:paraId="79722955" w14:textId="3CFE8D78" w:rsidR="00EA2853" w:rsidRDefault="00C03DD7" w:rsidP="00CC11FB">
      <w:pPr>
        <w:spacing w:after="0" w:line="240" w:lineRule="auto"/>
        <w:jc w:val="both"/>
        <w:rPr>
          <w:rFonts w:ascii="Arial" w:hAnsi="Arial" w:cs="Arial"/>
        </w:rPr>
      </w:pPr>
      <w:r>
        <w:rPr>
          <w:rFonts w:ascii="Arial" w:hAnsi="Arial" w:cs="Arial"/>
        </w:rPr>
        <w:t>The</w:t>
      </w:r>
      <w:r w:rsidR="0035376E">
        <w:rPr>
          <w:rFonts w:ascii="Arial" w:hAnsi="Arial" w:cs="Arial"/>
        </w:rPr>
        <w:t xml:space="preserve">refore, the </w:t>
      </w:r>
      <w:r w:rsidR="005D3CA8">
        <w:rPr>
          <w:rFonts w:ascii="Arial" w:hAnsi="Arial" w:cs="Arial"/>
        </w:rPr>
        <w:t xml:space="preserve">cause of this financial </w:t>
      </w:r>
      <w:r w:rsidR="008546DE">
        <w:rPr>
          <w:rFonts w:ascii="Arial" w:hAnsi="Arial" w:cs="Arial"/>
        </w:rPr>
        <w:t xml:space="preserve">distress </w:t>
      </w:r>
      <w:r w:rsidR="00DD27D5">
        <w:rPr>
          <w:rFonts w:ascii="Arial" w:hAnsi="Arial" w:cs="Arial"/>
        </w:rPr>
        <w:t xml:space="preserve">of Flow Management </w:t>
      </w:r>
      <w:r w:rsidR="008546DE">
        <w:rPr>
          <w:rFonts w:ascii="Arial" w:hAnsi="Arial" w:cs="Arial"/>
        </w:rPr>
        <w:t xml:space="preserve">at its </w:t>
      </w:r>
      <w:r w:rsidR="0035376E">
        <w:rPr>
          <w:rFonts w:ascii="Arial" w:hAnsi="Arial" w:cs="Arial"/>
        </w:rPr>
        <w:t xml:space="preserve">core </w:t>
      </w:r>
      <w:r w:rsidR="008546DE">
        <w:rPr>
          <w:rFonts w:ascii="Arial" w:hAnsi="Arial" w:cs="Arial"/>
        </w:rPr>
        <w:t xml:space="preserve">lies on </w:t>
      </w:r>
      <w:r w:rsidR="001B33E6">
        <w:rPr>
          <w:rFonts w:ascii="Arial" w:hAnsi="Arial" w:cs="Arial"/>
        </w:rPr>
        <w:t>the fault perception</w:t>
      </w:r>
      <w:r w:rsidR="00C034A1">
        <w:rPr>
          <w:rFonts w:ascii="Arial" w:hAnsi="Arial" w:cs="Arial"/>
        </w:rPr>
        <w:t xml:space="preserve">, actions and decision making of its management. </w:t>
      </w:r>
      <w:r w:rsidR="0090194A">
        <w:rPr>
          <w:rFonts w:ascii="Arial" w:hAnsi="Arial" w:cs="Arial"/>
        </w:rPr>
        <w:t xml:space="preserve">One plausible reason for this </w:t>
      </w:r>
      <w:r w:rsidR="0047057D">
        <w:rPr>
          <w:rFonts w:ascii="Arial" w:hAnsi="Arial" w:cs="Arial"/>
        </w:rPr>
        <w:t xml:space="preserve">could be </w:t>
      </w:r>
      <w:r w:rsidR="00264543">
        <w:rPr>
          <w:rFonts w:ascii="Arial" w:hAnsi="Arial" w:cs="Arial"/>
        </w:rPr>
        <w:t>that they</w:t>
      </w:r>
      <w:r w:rsidR="008F298E">
        <w:rPr>
          <w:rFonts w:ascii="Arial" w:hAnsi="Arial" w:cs="Arial"/>
        </w:rPr>
        <w:t xml:space="preserve"> tended to overly rationalise the </w:t>
      </w:r>
      <w:r w:rsidR="00B3185F">
        <w:rPr>
          <w:rFonts w:ascii="Arial" w:hAnsi="Arial" w:cs="Arial"/>
        </w:rPr>
        <w:t xml:space="preserve">extremely low prices that </w:t>
      </w:r>
      <w:r w:rsidR="007738DE">
        <w:rPr>
          <w:rFonts w:ascii="Arial" w:hAnsi="Arial" w:cs="Arial"/>
        </w:rPr>
        <w:t>they charged their clients</w:t>
      </w:r>
      <w:r w:rsidR="009B6D8B">
        <w:rPr>
          <w:rFonts w:ascii="Arial" w:hAnsi="Arial" w:cs="Arial"/>
        </w:rPr>
        <w:t xml:space="preserve"> with</w:t>
      </w:r>
      <w:r w:rsidR="0029446C">
        <w:rPr>
          <w:rFonts w:ascii="Arial" w:hAnsi="Arial" w:cs="Arial"/>
        </w:rPr>
        <w:t xml:space="preserve">, by way of being required to increase the volume of sales or other, to the extent though that they </w:t>
      </w:r>
      <w:r w:rsidR="00CA02E0">
        <w:rPr>
          <w:rFonts w:ascii="Arial" w:hAnsi="Arial" w:cs="Arial"/>
        </w:rPr>
        <w:t xml:space="preserve">gave trust to the cost price calculation produced by their accountants and </w:t>
      </w:r>
      <w:r w:rsidR="0029446C">
        <w:rPr>
          <w:rFonts w:ascii="Arial" w:hAnsi="Arial" w:cs="Arial"/>
        </w:rPr>
        <w:t xml:space="preserve">failed to </w:t>
      </w:r>
      <w:r w:rsidR="00951ED0">
        <w:rPr>
          <w:rFonts w:ascii="Arial" w:hAnsi="Arial" w:cs="Arial"/>
        </w:rPr>
        <w:t xml:space="preserve">ever check the </w:t>
      </w:r>
      <w:r w:rsidR="00CA02E0">
        <w:rPr>
          <w:rFonts w:ascii="Arial" w:hAnsi="Arial" w:cs="Arial"/>
        </w:rPr>
        <w:t>actual costs against results</w:t>
      </w:r>
      <w:r w:rsidR="003C76E9">
        <w:rPr>
          <w:rFonts w:ascii="Arial" w:hAnsi="Arial" w:cs="Arial"/>
        </w:rPr>
        <w:t xml:space="preserve">, that could have indicated </w:t>
      </w:r>
      <w:r w:rsidR="00583F19">
        <w:rPr>
          <w:rFonts w:ascii="Arial" w:hAnsi="Arial" w:cs="Arial"/>
        </w:rPr>
        <w:t>the flawed calculation.</w:t>
      </w:r>
      <w:r w:rsidR="00072454">
        <w:rPr>
          <w:rFonts w:ascii="Arial" w:hAnsi="Arial" w:cs="Arial"/>
        </w:rPr>
        <w:t xml:space="preserve"> </w:t>
      </w:r>
      <w:r w:rsidR="00A76430">
        <w:rPr>
          <w:rFonts w:ascii="Arial" w:hAnsi="Arial" w:cs="Arial"/>
        </w:rPr>
        <w:t xml:space="preserve">Similarly, </w:t>
      </w:r>
      <w:r w:rsidR="00D70BCF">
        <w:rPr>
          <w:rFonts w:ascii="Arial" w:hAnsi="Arial" w:cs="Arial"/>
        </w:rPr>
        <w:t xml:space="preserve">such </w:t>
      </w:r>
      <w:r w:rsidR="00A1109A">
        <w:rPr>
          <w:rFonts w:ascii="Arial" w:hAnsi="Arial" w:cs="Arial"/>
        </w:rPr>
        <w:t xml:space="preserve">rationalization of </w:t>
      </w:r>
      <w:r w:rsidR="00872B81">
        <w:rPr>
          <w:rFonts w:ascii="Arial" w:hAnsi="Arial" w:cs="Arial"/>
        </w:rPr>
        <w:t>accounting mistakes</w:t>
      </w:r>
      <w:r w:rsidR="00D70BCF">
        <w:rPr>
          <w:rFonts w:ascii="Arial" w:hAnsi="Arial" w:cs="Arial"/>
        </w:rPr>
        <w:t xml:space="preserve"> could </w:t>
      </w:r>
      <w:proofErr w:type="gramStart"/>
      <w:r w:rsidR="00D70BCF">
        <w:rPr>
          <w:rFonts w:ascii="Arial" w:hAnsi="Arial" w:cs="Arial"/>
        </w:rPr>
        <w:t>explain</w:t>
      </w:r>
      <w:r w:rsidR="00080239">
        <w:rPr>
          <w:rFonts w:ascii="Arial" w:hAnsi="Arial" w:cs="Arial"/>
        </w:rPr>
        <w:t xml:space="preserve"> </w:t>
      </w:r>
      <w:r w:rsidR="00D70BCF">
        <w:rPr>
          <w:rFonts w:ascii="Arial" w:hAnsi="Arial" w:cs="Arial"/>
        </w:rPr>
        <w:t>also</w:t>
      </w:r>
      <w:proofErr w:type="gramEnd"/>
      <w:r w:rsidR="00D70BCF">
        <w:rPr>
          <w:rFonts w:ascii="Arial" w:hAnsi="Arial" w:cs="Arial"/>
        </w:rPr>
        <w:t xml:space="preserve"> the management’s failure to question the 2012 annual accounts</w:t>
      </w:r>
      <w:r w:rsidR="007054DA">
        <w:rPr>
          <w:rFonts w:ascii="Arial" w:hAnsi="Arial" w:cs="Arial"/>
        </w:rPr>
        <w:t>, as well as the forecasts and other results presented to them by their accountants</w:t>
      </w:r>
      <w:r w:rsidR="00872B81">
        <w:rPr>
          <w:rFonts w:ascii="Arial" w:hAnsi="Arial" w:cs="Arial"/>
        </w:rPr>
        <w:t>.</w:t>
      </w:r>
      <w:r w:rsidR="00F8645F">
        <w:rPr>
          <w:rStyle w:val="FootnoteReference"/>
          <w:rFonts w:ascii="Arial" w:hAnsi="Arial" w:cs="Arial"/>
        </w:rPr>
        <w:footnoteReference w:id="3"/>
      </w:r>
      <w:r w:rsidR="00872B81">
        <w:rPr>
          <w:rFonts w:ascii="Arial" w:hAnsi="Arial" w:cs="Arial"/>
        </w:rPr>
        <w:t xml:space="preserve"> </w:t>
      </w:r>
    </w:p>
    <w:p w14:paraId="7F089540" w14:textId="77777777" w:rsidR="00EA2853" w:rsidRDefault="00EA2853" w:rsidP="00CC11FB">
      <w:pPr>
        <w:spacing w:after="0" w:line="240" w:lineRule="auto"/>
        <w:jc w:val="both"/>
        <w:rPr>
          <w:rFonts w:ascii="Arial" w:hAnsi="Arial" w:cs="Arial"/>
        </w:rPr>
      </w:pPr>
    </w:p>
    <w:p w14:paraId="54AF0E23" w14:textId="7175FBF9" w:rsidR="007F7CD5" w:rsidRDefault="00EA2853" w:rsidP="00CC11FB">
      <w:pPr>
        <w:spacing w:after="0" w:line="240" w:lineRule="auto"/>
        <w:jc w:val="both"/>
        <w:rPr>
          <w:rFonts w:ascii="Arial" w:hAnsi="Arial" w:cs="Arial"/>
        </w:rPr>
      </w:pPr>
      <w:r>
        <w:rPr>
          <w:rFonts w:ascii="Arial" w:hAnsi="Arial" w:cs="Arial"/>
        </w:rPr>
        <w:t>Instead, Flow Management’s managers</w:t>
      </w:r>
      <w:r w:rsidR="00E233C5">
        <w:rPr>
          <w:rFonts w:ascii="Arial" w:hAnsi="Arial" w:cs="Arial"/>
        </w:rPr>
        <w:t xml:space="preserve">, blinded by </w:t>
      </w:r>
      <w:r w:rsidR="00F62F00">
        <w:rPr>
          <w:rFonts w:ascii="Arial" w:hAnsi="Arial" w:cs="Arial"/>
        </w:rPr>
        <w:t>apparent good results</w:t>
      </w:r>
      <w:r w:rsidR="00E233C5">
        <w:rPr>
          <w:rFonts w:ascii="Arial" w:hAnsi="Arial" w:cs="Arial"/>
        </w:rPr>
        <w:t xml:space="preserve">, </w:t>
      </w:r>
      <w:r w:rsidR="00F62F00">
        <w:rPr>
          <w:rFonts w:ascii="Arial" w:hAnsi="Arial" w:cs="Arial"/>
        </w:rPr>
        <w:t xml:space="preserve">they </w:t>
      </w:r>
      <w:r w:rsidR="00F15DE4">
        <w:rPr>
          <w:rFonts w:ascii="Arial" w:hAnsi="Arial" w:cs="Arial"/>
        </w:rPr>
        <w:t>relied on the</w:t>
      </w:r>
      <w:r w:rsidR="006A5A54">
        <w:rPr>
          <w:rFonts w:ascii="Arial" w:hAnsi="Arial" w:cs="Arial"/>
        </w:rPr>
        <w:t xml:space="preserve"> flawed annual accounts</w:t>
      </w:r>
      <w:r w:rsidR="009727EB">
        <w:rPr>
          <w:rFonts w:ascii="Arial" w:hAnsi="Arial" w:cs="Arial"/>
        </w:rPr>
        <w:t xml:space="preserve">, most likely </w:t>
      </w:r>
      <w:r w:rsidR="00C76FE5">
        <w:rPr>
          <w:rFonts w:ascii="Arial" w:hAnsi="Arial" w:cs="Arial"/>
        </w:rPr>
        <w:t>even interpre</w:t>
      </w:r>
      <w:r w:rsidR="009727EB">
        <w:rPr>
          <w:rFonts w:ascii="Arial" w:hAnsi="Arial" w:cs="Arial"/>
        </w:rPr>
        <w:t xml:space="preserve">ted </w:t>
      </w:r>
      <w:r w:rsidR="00C76FE5">
        <w:rPr>
          <w:rFonts w:ascii="Arial" w:hAnsi="Arial" w:cs="Arial"/>
        </w:rPr>
        <w:t>these as t</w:t>
      </w:r>
      <w:r w:rsidR="009727EB">
        <w:rPr>
          <w:rFonts w:ascii="Arial" w:hAnsi="Arial" w:cs="Arial"/>
        </w:rPr>
        <w:t xml:space="preserve">heir </w:t>
      </w:r>
      <w:r w:rsidR="00C76FE5">
        <w:rPr>
          <w:rFonts w:ascii="Arial" w:hAnsi="Arial" w:cs="Arial"/>
        </w:rPr>
        <w:t xml:space="preserve">personal </w:t>
      </w:r>
      <w:r w:rsidR="009727EB">
        <w:rPr>
          <w:rFonts w:ascii="Arial" w:hAnsi="Arial" w:cs="Arial"/>
        </w:rPr>
        <w:t>success,</w:t>
      </w:r>
      <w:r w:rsidR="00C76FE5">
        <w:rPr>
          <w:rFonts w:ascii="Arial" w:hAnsi="Arial" w:cs="Arial"/>
        </w:rPr>
        <w:t xml:space="preserve"> </w:t>
      </w:r>
      <w:r w:rsidR="00F15DE4">
        <w:rPr>
          <w:rFonts w:ascii="Arial" w:hAnsi="Arial" w:cs="Arial"/>
        </w:rPr>
        <w:t xml:space="preserve">and </w:t>
      </w:r>
      <w:r>
        <w:rPr>
          <w:rFonts w:ascii="Arial" w:hAnsi="Arial" w:cs="Arial"/>
        </w:rPr>
        <w:t xml:space="preserve">proceeded to </w:t>
      </w:r>
      <w:r w:rsidR="00797B22">
        <w:rPr>
          <w:rFonts w:ascii="Arial" w:hAnsi="Arial" w:cs="Arial"/>
        </w:rPr>
        <w:t>get their large bonuses</w:t>
      </w:r>
      <w:r w:rsidR="00F15DE4">
        <w:rPr>
          <w:rFonts w:ascii="Arial" w:hAnsi="Arial" w:cs="Arial"/>
        </w:rPr>
        <w:t xml:space="preserve"> in 2013</w:t>
      </w:r>
      <w:r w:rsidR="00C279BB">
        <w:rPr>
          <w:rFonts w:ascii="Arial" w:hAnsi="Arial" w:cs="Arial"/>
        </w:rPr>
        <w:t>.</w:t>
      </w:r>
      <w:r w:rsidR="00243205">
        <w:rPr>
          <w:rFonts w:ascii="Arial" w:hAnsi="Arial" w:cs="Arial"/>
        </w:rPr>
        <w:t xml:space="preserve"> Such failure attributed to over-ambiguity of the </w:t>
      </w:r>
      <w:r w:rsidR="007D5B22">
        <w:rPr>
          <w:rFonts w:ascii="Arial" w:hAnsi="Arial" w:cs="Arial"/>
        </w:rPr>
        <w:t xml:space="preserve">managers </w:t>
      </w:r>
      <w:r w:rsidR="00B94546">
        <w:rPr>
          <w:rFonts w:ascii="Arial" w:hAnsi="Arial" w:cs="Arial"/>
        </w:rPr>
        <w:t xml:space="preserve">supports the notion that ‘success brings failure’ and </w:t>
      </w:r>
      <w:r w:rsidR="002B4264">
        <w:rPr>
          <w:rFonts w:ascii="Arial" w:hAnsi="Arial" w:cs="Arial"/>
        </w:rPr>
        <w:t xml:space="preserve">that </w:t>
      </w:r>
      <w:r w:rsidR="00B94546">
        <w:rPr>
          <w:rFonts w:ascii="Arial" w:hAnsi="Arial" w:cs="Arial"/>
        </w:rPr>
        <w:t>‘failure br</w:t>
      </w:r>
      <w:r w:rsidR="002B4264">
        <w:rPr>
          <w:rFonts w:ascii="Arial" w:hAnsi="Arial" w:cs="Arial"/>
        </w:rPr>
        <w:t>eeds</w:t>
      </w:r>
      <w:r w:rsidR="00B94546">
        <w:rPr>
          <w:rFonts w:ascii="Arial" w:hAnsi="Arial" w:cs="Arial"/>
        </w:rPr>
        <w:t xml:space="preserve"> further failure’</w:t>
      </w:r>
      <w:r w:rsidR="003E20B5">
        <w:rPr>
          <w:rFonts w:ascii="Arial" w:hAnsi="Arial" w:cs="Arial"/>
        </w:rPr>
        <w:t>.</w:t>
      </w:r>
      <w:r w:rsidR="003E20B5">
        <w:rPr>
          <w:rStyle w:val="FootnoteReference"/>
          <w:rFonts w:ascii="Arial" w:hAnsi="Arial" w:cs="Arial"/>
        </w:rPr>
        <w:footnoteReference w:id="4"/>
      </w:r>
      <w:r w:rsidR="00B94546">
        <w:rPr>
          <w:rFonts w:ascii="Arial" w:hAnsi="Arial" w:cs="Arial"/>
        </w:rPr>
        <w:t xml:space="preserve"> </w:t>
      </w:r>
      <w:r w:rsidR="00243205">
        <w:rPr>
          <w:rFonts w:ascii="Arial" w:hAnsi="Arial" w:cs="Arial"/>
        </w:rPr>
        <w:t xml:space="preserve"> </w:t>
      </w:r>
    </w:p>
    <w:p w14:paraId="252CE583" w14:textId="77777777" w:rsidR="003E20B5" w:rsidRDefault="003E20B5" w:rsidP="00CC11FB">
      <w:pPr>
        <w:spacing w:after="0" w:line="240" w:lineRule="auto"/>
        <w:jc w:val="both"/>
        <w:rPr>
          <w:rFonts w:ascii="Arial" w:hAnsi="Arial" w:cs="Arial"/>
        </w:rPr>
      </w:pPr>
    </w:p>
    <w:p w14:paraId="15E08D59" w14:textId="0620893F" w:rsidR="003E20B5" w:rsidRPr="00B6137B" w:rsidRDefault="003E20B5" w:rsidP="00CC11FB">
      <w:pPr>
        <w:spacing w:after="0" w:line="240" w:lineRule="auto"/>
        <w:jc w:val="both"/>
        <w:rPr>
          <w:rFonts w:ascii="Arial" w:hAnsi="Arial" w:cs="Arial"/>
        </w:rPr>
      </w:pPr>
      <w:r>
        <w:rPr>
          <w:rFonts w:ascii="Arial" w:hAnsi="Arial" w:cs="Arial"/>
        </w:rPr>
        <w:t>As to whether this</w:t>
      </w:r>
      <w:r w:rsidR="004036A2">
        <w:rPr>
          <w:rFonts w:ascii="Arial" w:hAnsi="Arial" w:cs="Arial"/>
        </w:rPr>
        <w:t xml:space="preserve"> financial distress in Flow Management </w:t>
      </w:r>
      <w:r>
        <w:rPr>
          <w:rFonts w:ascii="Arial" w:hAnsi="Arial" w:cs="Arial"/>
        </w:rPr>
        <w:t>could have been prevented</w:t>
      </w:r>
      <w:r w:rsidR="000864FA">
        <w:rPr>
          <w:rFonts w:ascii="Arial" w:hAnsi="Arial" w:cs="Arial"/>
        </w:rPr>
        <w:t>,</w:t>
      </w:r>
      <w:r w:rsidR="00B6137B">
        <w:rPr>
          <w:rFonts w:ascii="Arial" w:hAnsi="Arial" w:cs="Arial"/>
        </w:rPr>
        <w:t xml:space="preserve"> based on the </w:t>
      </w:r>
      <w:r w:rsidR="00643518">
        <w:rPr>
          <w:rFonts w:ascii="Arial" w:hAnsi="Arial" w:cs="Arial"/>
        </w:rPr>
        <w:t xml:space="preserve">reasoning provided above, </w:t>
      </w:r>
      <w:r w:rsidR="00B6137B">
        <w:rPr>
          <w:rFonts w:ascii="Arial" w:hAnsi="Arial" w:cs="Arial"/>
        </w:rPr>
        <w:t xml:space="preserve">the answer is </w:t>
      </w:r>
      <w:proofErr w:type="gramStart"/>
      <w:r w:rsidR="00B6137B">
        <w:rPr>
          <w:rFonts w:ascii="Arial" w:hAnsi="Arial" w:cs="Arial"/>
        </w:rPr>
        <w:t>definitely in</w:t>
      </w:r>
      <w:proofErr w:type="gramEnd"/>
      <w:r w:rsidR="00B6137B">
        <w:rPr>
          <w:rFonts w:ascii="Arial" w:hAnsi="Arial" w:cs="Arial"/>
        </w:rPr>
        <w:t xml:space="preserve"> the affirmative, should </w:t>
      </w:r>
      <w:r w:rsidR="00B6137B" w:rsidRPr="00B6137B">
        <w:rPr>
          <w:rFonts w:ascii="Arial" w:hAnsi="Arial" w:cs="Arial"/>
        </w:rPr>
        <w:t>the</w:t>
      </w:r>
      <w:r w:rsidR="004036A2" w:rsidRPr="00B6137B">
        <w:rPr>
          <w:rFonts w:ascii="Arial" w:hAnsi="Arial" w:cs="Arial"/>
        </w:rPr>
        <w:t xml:space="preserve"> management applied more rigorous </w:t>
      </w:r>
      <w:r w:rsidR="003734E6">
        <w:rPr>
          <w:rFonts w:ascii="Arial" w:hAnsi="Arial" w:cs="Arial"/>
        </w:rPr>
        <w:t xml:space="preserve">and regular </w:t>
      </w:r>
      <w:r w:rsidR="00643518">
        <w:rPr>
          <w:rFonts w:ascii="Arial" w:hAnsi="Arial" w:cs="Arial"/>
        </w:rPr>
        <w:t xml:space="preserve">close monitoring </w:t>
      </w:r>
      <w:r w:rsidR="003734E6">
        <w:rPr>
          <w:rFonts w:ascii="Arial" w:hAnsi="Arial" w:cs="Arial"/>
        </w:rPr>
        <w:t>on the company’s results and the calculations that let to these results,</w:t>
      </w:r>
      <w:r w:rsidR="004036A2" w:rsidRPr="00B6137B">
        <w:rPr>
          <w:rFonts w:ascii="Arial" w:hAnsi="Arial" w:cs="Arial"/>
        </w:rPr>
        <w:t xml:space="preserve"> independently from </w:t>
      </w:r>
      <w:r w:rsidR="0096005A">
        <w:rPr>
          <w:rFonts w:ascii="Arial" w:hAnsi="Arial" w:cs="Arial"/>
        </w:rPr>
        <w:t xml:space="preserve">their </w:t>
      </w:r>
      <w:r w:rsidR="004036A2" w:rsidRPr="00B6137B">
        <w:rPr>
          <w:rFonts w:ascii="Arial" w:hAnsi="Arial" w:cs="Arial"/>
        </w:rPr>
        <w:t>accountants</w:t>
      </w:r>
      <w:r w:rsidR="0096005A">
        <w:rPr>
          <w:rFonts w:ascii="Arial" w:hAnsi="Arial" w:cs="Arial"/>
        </w:rPr>
        <w:t>’</w:t>
      </w:r>
      <w:r w:rsidR="004036A2" w:rsidRPr="00B6137B">
        <w:rPr>
          <w:rFonts w:ascii="Arial" w:hAnsi="Arial" w:cs="Arial"/>
        </w:rPr>
        <w:t xml:space="preserve"> </w:t>
      </w:r>
      <w:r w:rsidR="00E12C63">
        <w:rPr>
          <w:rFonts w:ascii="Arial" w:hAnsi="Arial" w:cs="Arial"/>
        </w:rPr>
        <w:t>formula</w:t>
      </w:r>
      <w:r w:rsidR="00CF2053">
        <w:rPr>
          <w:rFonts w:ascii="Arial" w:hAnsi="Arial" w:cs="Arial"/>
        </w:rPr>
        <w:t>-</w:t>
      </w:r>
      <w:r w:rsidR="00E12C63">
        <w:rPr>
          <w:rFonts w:ascii="Arial" w:hAnsi="Arial" w:cs="Arial"/>
        </w:rPr>
        <w:t xml:space="preserve">based analyses. </w:t>
      </w:r>
      <w:r w:rsidR="00CF2053">
        <w:rPr>
          <w:rFonts w:ascii="Arial" w:hAnsi="Arial" w:cs="Arial"/>
        </w:rPr>
        <w:t xml:space="preserve">This issue </w:t>
      </w:r>
      <w:r w:rsidR="004B0B29">
        <w:rPr>
          <w:rFonts w:ascii="Arial" w:hAnsi="Arial" w:cs="Arial"/>
        </w:rPr>
        <w:t>should have been identified</w:t>
      </w:r>
      <w:r w:rsidR="006528D6">
        <w:rPr>
          <w:rFonts w:ascii="Arial" w:hAnsi="Arial" w:cs="Arial"/>
        </w:rPr>
        <w:t xml:space="preserve"> also and addressed</w:t>
      </w:r>
      <w:r w:rsidR="004B0B29">
        <w:rPr>
          <w:rFonts w:ascii="Arial" w:hAnsi="Arial" w:cs="Arial"/>
        </w:rPr>
        <w:t xml:space="preserve"> by the group’s CFO or </w:t>
      </w:r>
      <w:r w:rsidR="006C79D0">
        <w:rPr>
          <w:rFonts w:ascii="Arial" w:hAnsi="Arial" w:cs="Arial"/>
        </w:rPr>
        <w:t xml:space="preserve">an </w:t>
      </w:r>
      <w:r w:rsidR="004B0B29">
        <w:rPr>
          <w:rFonts w:ascii="Arial" w:hAnsi="Arial" w:cs="Arial"/>
        </w:rPr>
        <w:t>external auditor</w:t>
      </w:r>
      <w:r w:rsidR="006C79D0">
        <w:rPr>
          <w:rFonts w:ascii="Arial" w:hAnsi="Arial" w:cs="Arial"/>
        </w:rPr>
        <w:t xml:space="preserve">, if any, since there is </w:t>
      </w:r>
      <w:r w:rsidR="00C22E99">
        <w:rPr>
          <w:rFonts w:ascii="Arial" w:hAnsi="Arial" w:cs="Arial"/>
        </w:rPr>
        <w:t>no explicit reference in the text to audi</w:t>
      </w:r>
      <w:r w:rsidR="00D73DBB">
        <w:rPr>
          <w:rFonts w:ascii="Arial" w:hAnsi="Arial" w:cs="Arial"/>
        </w:rPr>
        <w:t>ted accounts</w:t>
      </w:r>
      <w:r w:rsidR="00C22E99">
        <w:rPr>
          <w:rFonts w:ascii="Arial" w:hAnsi="Arial" w:cs="Arial"/>
        </w:rPr>
        <w:t xml:space="preserve">. </w:t>
      </w:r>
    </w:p>
    <w:p w14:paraId="708E92B5" w14:textId="5779E74A" w:rsidR="006216F1" w:rsidRDefault="00F85268" w:rsidP="00CC11FB">
      <w:pPr>
        <w:spacing w:after="0" w:line="240" w:lineRule="auto"/>
        <w:jc w:val="both"/>
        <w:rPr>
          <w:rFonts w:ascii="Arial" w:hAnsi="Arial" w:cs="Arial"/>
        </w:rPr>
      </w:pPr>
      <w:r w:rsidRPr="00CC11FB">
        <w:rPr>
          <w:rFonts w:ascii="Arial" w:hAnsi="Arial" w:cs="Arial"/>
        </w:rPr>
        <w:t xml:space="preserve"> </w:t>
      </w:r>
    </w:p>
    <w:p w14:paraId="5716AB80" w14:textId="77777777" w:rsidR="00EF64B2" w:rsidRDefault="00EF64B2" w:rsidP="00CC11FB">
      <w:pPr>
        <w:spacing w:after="0" w:line="240" w:lineRule="auto"/>
        <w:jc w:val="both"/>
        <w:rPr>
          <w:rFonts w:ascii="Arial" w:hAnsi="Arial" w:cs="Arial"/>
        </w:rPr>
      </w:pPr>
    </w:p>
    <w:p w14:paraId="48C24241" w14:textId="77777777" w:rsidR="00AD0169" w:rsidRPr="00CC11FB" w:rsidRDefault="00AD0169" w:rsidP="00CC11FB">
      <w:pPr>
        <w:spacing w:after="0" w:line="240" w:lineRule="auto"/>
        <w:jc w:val="both"/>
        <w:rPr>
          <w:rFonts w:ascii="Arial" w:hAnsi="Arial" w:cs="Arial"/>
          <w:b/>
          <w:bCs/>
        </w:rPr>
      </w:pPr>
    </w:p>
    <w:p w14:paraId="0310FD39" w14:textId="1C014C1D" w:rsidR="00CC2595" w:rsidRDefault="00D63D76" w:rsidP="006216F1">
      <w:pPr>
        <w:pStyle w:val="ListParagraph"/>
        <w:numPr>
          <w:ilvl w:val="0"/>
          <w:numId w:val="2"/>
        </w:numPr>
        <w:spacing w:after="0" w:line="240" w:lineRule="auto"/>
        <w:jc w:val="both"/>
        <w:rPr>
          <w:rFonts w:ascii="Arial" w:hAnsi="Arial" w:cs="Arial"/>
          <w:b/>
          <w:bCs/>
        </w:rPr>
      </w:pPr>
      <w:r>
        <w:rPr>
          <w:rFonts w:ascii="Arial" w:hAnsi="Arial" w:cs="Arial"/>
          <w:b/>
          <w:bCs/>
        </w:rPr>
        <w:t>What are in general advantages and disadvantages of an out-of-court restructuring (workout) as compared to a formal bankruptcy procedure? More specific</w:t>
      </w:r>
      <w:r w:rsidR="00CC2595">
        <w:rPr>
          <w:rFonts w:ascii="Arial" w:hAnsi="Arial" w:cs="Arial"/>
          <w:b/>
          <w:bCs/>
        </w:rPr>
        <w:t>, what are the advantages versus disadvantages in your country?</w:t>
      </w:r>
    </w:p>
    <w:p w14:paraId="789BA17A" w14:textId="77777777" w:rsidR="006216F1" w:rsidRDefault="006216F1" w:rsidP="006216F1">
      <w:pPr>
        <w:spacing w:after="0" w:line="240" w:lineRule="auto"/>
        <w:jc w:val="both"/>
        <w:rPr>
          <w:rFonts w:ascii="Arial" w:hAnsi="Arial" w:cs="Arial"/>
          <w:b/>
          <w:bCs/>
        </w:rPr>
      </w:pPr>
    </w:p>
    <w:p w14:paraId="330C2773" w14:textId="4D27D957" w:rsidR="00735A29" w:rsidRDefault="0089531C" w:rsidP="00E8759F">
      <w:pPr>
        <w:jc w:val="both"/>
        <w:rPr>
          <w:rFonts w:ascii="Arial" w:hAnsi="Arial" w:cs="Arial"/>
          <w:lang w:val="en-US"/>
        </w:rPr>
      </w:pPr>
      <w:r>
        <w:rPr>
          <w:rFonts w:ascii="Arial" w:hAnsi="Arial" w:cs="Arial"/>
          <w:lang w:val="en-US"/>
        </w:rPr>
        <w:t>The importance of identifying our major stakeholders and assessing their influence in averting corporate failure has been discussed thoroughly by</w:t>
      </w:r>
      <w:r w:rsidRPr="00F318F4">
        <w:rPr>
          <w:rFonts w:ascii="Arial" w:hAnsi="Arial" w:cs="Arial"/>
        </w:rPr>
        <w:t xml:space="preserve"> </w:t>
      </w:r>
      <w:r>
        <w:rPr>
          <w:rFonts w:ascii="Arial" w:hAnsi="Arial" w:cs="Arial"/>
        </w:rPr>
        <w:t xml:space="preserve">academic research in the past, such as K. </w:t>
      </w:r>
      <w:proofErr w:type="spellStart"/>
      <w:r>
        <w:rPr>
          <w:rFonts w:ascii="Arial" w:hAnsi="Arial" w:cs="Arial"/>
        </w:rPr>
        <w:t>Pajunen’s</w:t>
      </w:r>
      <w:proofErr w:type="spellEnd"/>
      <w:r>
        <w:rPr>
          <w:rFonts w:ascii="Arial" w:hAnsi="Arial" w:cs="Arial"/>
        </w:rPr>
        <w:t xml:space="preserve"> model for stakeholder influence identification and propositions for their management throughout the restructuring process.</w:t>
      </w:r>
      <w:r>
        <w:rPr>
          <w:rStyle w:val="FootnoteReference"/>
          <w:rFonts w:ascii="Arial" w:hAnsi="Arial" w:cs="Arial"/>
        </w:rPr>
        <w:footnoteReference w:id="5"/>
      </w:r>
      <w:r w:rsidR="002E6006">
        <w:rPr>
          <w:rFonts w:ascii="Arial" w:hAnsi="Arial" w:cs="Arial"/>
        </w:rPr>
        <w:t xml:space="preserve"> In my opinion, identifying these stakeholders and </w:t>
      </w:r>
      <w:r w:rsidR="001E6AAF">
        <w:rPr>
          <w:rFonts w:ascii="Arial" w:hAnsi="Arial" w:cs="Arial"/>
        </w:rPr>
        <w:t xml:space="preserve">considering their </w:t>
      </w:r>
      <w:r w:rsidR="00FE74B0">
        <w:rPr>
          <w:rFonts w:ascii="Arial" w:hAnsi="Arial" w:cs="Arial"/>
        </w:rPr>
        <w:t xml:space="preserve">position and intentions </w:t>
      </w:r>
      <w:r w:rsidR="001E6AAF">
        <w:rPr>
          <w:rFonts w:ascii="Arial" w:hAnsi="Arial" w:cs="Arial"/>
        </w:rPr>
        <w:t xml:space="preserve">right before deciding upon </w:t>
      </w:r>
      <w:r w:rsidR="003834EE">
        <w:rPr>
          <w:rFonts w:ascii="Arial" w:hAnsi="Arial" w:cs="Arial"/>
        </w:rPr>
        <w:t xml:space="preserve">the preferred </w:t>
      </w:r>
      <w:r w:rsidR="001E6AAF">
        <w:rPr>
          <w:rFonts w:ascii="Arial" w:hAnsi="Arial" w:cs="Arial"/>
        </w:rPr>
        <w:t xml:space="preserve">restructuring tool, is </w:t>
      </w:r>
      <w:r w:rsidR="006F0BD4">
        <w:rPr>
          <w:rFonts w:ascii="Arial" w:hAnsi="Arial" w:cs="Arial"/>
        </w:rPr>
        <w:t xml:space="preserve">crucial to </w:t>
      </w:r>
      <w:r w:rsidR="00383FAE">
        <w:rPr>
          <w:rFonts w:ascii="Arial" w:hAnsi="Arial" w:cs="Arial"/>
        </w:rPr>
        <w:t>the latter’s success</w:t>
      </w:r>
      <w:r w:rsidR="00567881">
        <w:rPr>
          <w:rFonts w:ascii="Arial" w:hAnsi="Arial" w:cs="Arial"/>
        </w:rPr>
        <w:t xml:space="preserve">, as it can turn out to be </w:t>
      </w:r>
      <w:r w:rsidR="00735A29">
        <w:rPr>
          <w:rFonts w:ascii="Arial" w:hAnsi="Arial" w:cs="Arial"/>
        </w:rPr>
        <w:t>both an advantage or a disadvantage in out-of-court restructurings</w:t>
      </w:r>
      <w:r w:rsidR="00E90EA2">
        <w:rPr>
          <w:rFonts w:ascii="Arial" w:hAnsi="Arial" w:cs="Arial"/>
        </w:rPr>
        <w:t xml:space="preserve">, where their collaboration </w:t>
      </w:r>
      <w:r w:rsidR="00237E98">
        <w:rPr>
          <w:rFonts w:ascii="Arial" w:hAnsi="Arial" w:cs="Arial"/>
        </w:rPr>
        <w:t>is required</w:t>
      </w:r>
      <w:r w:rsidR="00383FAE">
        <w:rPr>
          <w:rFonts w:ascii="Arial" w:hAnsi="Arial" w:cs="Arial"/>
        </w:rPr>
        <w:t>.</w:t>
      </w:r>
      <w:r w:rsidR="006F0BD4">
        <w:rPr>
          <w:rFonts w:ascii="Arial" w:hAnsi="Arial" w:cs="Arial"/>
        </w:rPr>
        <w:t xml:space="preserve">  </w:t>
      </w:r>
      <w:r>
        <w:rPr>
          <w:rFonts w:ascii="Arial" w:hAnsi="Arial" w:cs="Arial"/>
          <w:lang w:val="en-US"/>
        </w:rPr>
        <w:t xml:space="preserve">  </w:t>
      </w:r>
    </w:p>
    <w:p w14:paraId="5B6843C8" w14:textId="5B46C0AC" w:rsidR="00F4599B" w:rsidRDefault="00735A29" w:rsidP="00E8759F">
      <w:pPr>
        <w:jc w:val="both"/>
        <w:rPr>
          <w:rFonts w:ascii="Arial" w:hAnsi="Arial" w:cs="Arial"/>
          <w:lang w:val="en-US"/>
        </w:rPr>
      </w:pPr>
      <w:r>
        <w:rPr>
          <w:rFonts w:ascii="Arial" w:hAnsi="Arial" w:cs="Arial"/>
          <w:lang w:val="en-US"/>
        </w:rPr>
        <w:t xml:space="preserve">Therefore, </w:t>
      </w:r>
      <w:proofErr w:type="gramStart"/>
      <w:r>
        <w:rPr>
          <w:rFonts w:ascii="Arial" w:hAnsi="Arial" w:cs="Arial"/>
          <w:lang w:val="en-US"/>
        </w:rPr>
        <w:t>in</w:t>
      </w:r>
      <w:r w:rsidR="006E5998">
        <w:rPr>
          <w:rFonts w:ascii="Arial" w:hAnsi="Arial" w:cs="Arial"/>
          <w:lang w:val="en-US"/>
        </w:rPr>
        <w:t xml:space="preserve"> </w:t>
      </w:r>
      <w:r w:rsidR="00E8759F" w:rsidRPr="005D4163">
        <w:rPr>
          <w:rFonts w:ascii="Arial" w:hAnsi="Arial" w:cs="Arial"/>
          <w:lang w:val="en-US"/>
        </w:rPr>
        <w:t>order to</w:t>
      </w:r>
      <w:proofErr w:type="gramEnd"/>
      <w:r w:rsidR="00E8759F" w:rsidRPr="005D4163">
        <w:rPr>
          <w:rFonts w:ascii="Arial" w:hAnsi="Arial" w:cs="Arial"/>
          <w:lang w:val="en-US"/>
        </w:rPr>
        <w:t xml:space="preserve"> determine which </w:t>
      </w:r>
      <w:r>
        <w:rPr>
          <w:rFonts w:ascii="Arial" w:hAnsi="Arial" w:cs="Arial"/>
          <w:lang w:val="en-US"/>
        </w:rPr>
        <w:t xml:space="preserve">type of </w:t>
      </w:r>
      <w:r w:rsidR="00E8759F" w:rsidRPr="005D4163">
        <w:rPr>
          <w:rFonts w:ascii="Arial" w:hAnsi="Arial" w:cs="Arial"/>
          <w:lang w:val="en-US"/>
        </w:rPr>
        <w:t xml:space="preserve">restructuring best suits </w:t>
      </w:r>
      <w:r w:rsidR="000675D7">
        <w:rPr>
          <w:rFonts w:ascii="Arial" w:hAnsi="Arial" w:cs="Arial"/>
          <w:lang w:val="en-US"/>
        </w:rPr>
        <w:t>an organization in financial distress</w:t>
      </w:r>
      <w:r w:rsidR="00E8759F" w:rsidRPr="005D4163">
        <w:rPr>
          <w:rFonts w:ascii="Arial" w:hAnsi="Arial" w:cs="Arial"/>
          <w:lang w:val="en-US"/>
        </w:rPr>
        <w:t xml:space="preserve">, there are two critical questions that should be </w:t>
      </w:r>
      <w:r w:rsidR="00F4599B">
        <w:rPr>
          <w:rFonts w:ascii="Arial" w:hAnsi="Arial" w:cs="Arial"/>
          <w:lang w:val="en-US"/>
        </w:rPr>
        <w:t xml:space="preserve">set </w:t>
      </w:r>
      <w:r w:rsidR="00E8759F" w:rsidRPr="005D4163">
        <w:rPr>
          <w:rFonts w:ascii="Arial" w:hAnsi="Arial" w:cs="Arial"/>
          <w:lang w:val="en-US"/>
        </w:rPr>
        <w:t>up front: (1) Wh</w:t>
      </w:r>
      <w:r w:rsidR="00530EFC">
        <w:rPr>
          <w:rFonts w:ascii="Arial" w:hAnsi="Arial" w:cs="Arial"/>
          <w:lang w:val="en-US"/>
        </w:rPr>
        <w:t>ich stakeholders</w:t>
      </w:r>
      <w:r w:rsidR="00E8759F" w:rsidRPr="005D4163">
        <w:rPr>
          <w:rFonts w:ascii="Arial" w:hAnsi="Arial" w:cs="Arial"/>
          <w:lang w:val="en-US"/>
        </w:rPr>
        <w:t xml:space="preserve"> </w:t>
      </w:r>
      <w:r w:rsidR="00530EFC">
        <w:rPr>
          <w:rFonts w:ascii="Arial" w:hAnsi="Arial" w:cs="Arial"/>
          <w:lang w:val="en-US"/>
        </w:rPr>
        <w:t>are</w:t>
      </w:r>
      <w:r w:rsidR="00E8759F" w:rsidRPr="005D4163">
        <w:rPr>
          <w:rFonts w:ascii="Arial" w:hAnsi="Arial" w:cs="Arial"/>
          <w:lang w:val="en-US"/>
        </w:rPr>
        <w:t xml:space="preserve"> </w:t>
      </w:r>
      <w:r w:rsidR="00530EFC">
        <w:rPr>
          <w:rFonts w:ascii="Arial" w:hAnsi="Arial" w:cs="Arial"/>
          <w:lang w:val="en-US"/>
        </w:rPr>
        <w:t>pursuing</w:t>
      </w:r>
      <w:r w:rsidR="00E8759F" w:rsidRPr="005D4163">
        <w:rPr>
          <w:rFonts w:ascii="Arial" w:hAnsi="Arial" w:cs="Arial"/>
          <w:lang w:val="en-US"/>
        </w:rPr>
        <w:t xml:space="preserve"> the restructuring? (2) Which stakeholder interests are likely to be impacted</w:t>
      </w:r>
      <w:r w:rsidR="00530EFC">
        <w:rPr>
          <w:rFonts w:ascii="Arial" w:hAnsi="Arial" w:cs="Arial"/>
          <w:lang w:val="en-US"/>
        </w:rPr>
        <w:t xml:space="preserve"> by the restructuring</w:t>
      </w:r>
      <w:r w:rsidR="00E8759F" w:rsidRPr="005D4163">
        <w:rPr>
          <w:rFonts w:ascii="Arial" w:hAnsi="Arial" w:cs="Arial"/>
          <w:lang w:val="en-US"/>
        </w:rPr>
        <w:t xml:space="preserve">? The answer to this will determine whether </w:t>
      </w:r>
      <w:r w:rsidR="00D063E6">
        <w:rPr>
          <w:rFonts w:ascii="Arial" w:hAnsi="Arial" w:cs="Arial"/>
          <w:lang w:val="en-US"/>
        </w:rPr>
        <w:t>an</w:t>
      </w:r>
      <w:r w:rsidR="00E8759F" w:rsidRPr="005D4163">
        <w:rPr>
          <w:rFonts w:ascii="Arial" w:hAnsi="Arial" w:cs="Arial"/>
          <w:lang w:val="en-US"/>
        </w:rPr>
        <w:t xml:space="preserve"> out-of-court restructuring </w:t>
      </w:r>
      <w:r w:rsidR="00D063E6">
        <w:rPr>
          <w:rFonts w:ascii="Arial" w:hAnsi="Arial" w:cs="Arial"/>
          <w:lang w:val="en-US"/>
        </w:rPr>
        <w:t>is a feasible option</w:t>
      </w:r>
      <w:r w:rsidR="00E8759F" w:rsidRPr="005D4163">
        <w:rPr>
          <w:rFonts w:ascii="Arial" w:hAnsi="Arial" w:cs="Arial"/>
          <w:lang w:val="en-US"/>
        </w:rPr>
        <w:t>, or whether it is likely that the scheme would have to be imposed on certain stakeholders, in which case a court order</w:t>
      </w:r>
      <w:r w:rsidR="00017C2D">
        <w:rPr>
          <w:rFonts w:ascii="Arial" w:hAnsi="Arial" w:cs="Arial"/>
          <w:lang w:val="en-US"/>
        </w:rPr>
        <w:t xml:space="preserve"> affirming t</w:t>
      </w:r>
      <w:r w:rsidR="00E8759F" w:rsidRPr="005D4163">
        <w:rPr>
          <w:rFonts w:ascii="Arial" w:hAnsi="Arial" w:cs="Arial"/>
          <w:lang w:val="en-US"/>
        </w:rPr>
        <w:t>he restructuring will be required.</w:t>
      </w:r>
      <w:r w:rsidR="00A230D5">
        <w:rPr>
          <w:rFonts w:ascii="Arial" w:hAnsi="Arial" w:cs="Arial"/>
          <w:lang w:val="en-US"/>
        </w:rPr>
        <w:t xml:space="preserve"> </w:t>
      </w:r>
    </w:p>
    <w:p w14:paraId="777F63B8" w14:textId="5DC7FC80" w:rsidR="00E8759F" w:rsidRPr="00AE0843" w:rsidRDefault="00143FF4" w:rsidP="00E8759F">
      <w:pPr>
        <w:jc w:val="both"/>
        <w:rPr>
          <w:rFonts w:ascii="Arial" w:hAnsi="Arial" w:cs="Arial"/>
          <w:lang w:val="en-US"/>
        </w:rPr>
      </w:pPr>
      <w:r>
        <w:rPr>
          <w:rFonts w:ascii="Arial" w:hAnsi="Arial" w:cs="Arial"/>
          <w:lang w:val="en-US"/>
        </w:rPr>
        <w:t>Usually, t</w:t>
      </w:r>
      <w:r w:rsidR="00E8759F" w:rsidRPr="00AE0843">
        <w:rPr>
          <w:rFonts w:ascii="Arial" w:hAnsi="Arial" w:cs="Arial"/>
          <w:lang w:val="en-US"/>
        </w:rPr>
        <w:t xml:space="preserve">he first to identify </w:t>
      </w:r>
      <w:r w:rsidR="00667E0E">
        <w:rPr>
          <w:rFonts w:ascii="Arial" w:hAnsi="Arial" w:cs="Arial"/>
          <w:lang w:val="en-US"/>
        </w:rPr>
        <w:t>the financial distress situation</w:t>
      </w:r>
      <w:r w:rsidR="00E8759F" w:rsidRPr="00AE0843">
        <w:rPr>
          <w:rFonts w:ascii="Arial" w:hAnsi="Arial" w:cs="Arial"/>
          <w:lang w:val="en-US"/>
        </w:rPr>
        <w:t xml:space="preserve"> would be the </w:t>
      </w:r>
      <w:r w:rsidR="002F6DEC">
        <w:rPr>
          <w:rFonts w:ascii="Arial" w:hAnsi="Arial" w:cs="Arial"/>
          <w:lang w:val="en-US"/>
        </w:rPr>
        <w:t>organization’s own management,</w:t>
      </w:r>
      <w:r w:rsidR="00E8759F" w:rsidRPr="00AE0843">
        <w:rPr>
          <w:rFonts w:ascii="Arial" w:hAnsi="Arial" w:cs="Arial"/>
          <w:lang w:val="en-US"/>
        </w:rPr>
        <w:t xml:space="preserve"> </w:t>
      </w:r>
      <w:r w:rsidR="002F6DEC">
        <w:rPr>
          <w:rFonts w:ascii="Arial" w:hAnsi="Arial" w:cs="Arial"/>
          <w:lang w:val="en-US"/>
        </w:rPr>
        <w:t>that</w:t>
      </w:r>
      <w:r w:rsidR="00E8759F" w:rsidRPr="00AE0843">
        <w:rPr>
          <w:rFonts w:ascii="Arial" w:hAnsi="Arial" w:cs="Arial"/>
          <w:lang w:val="en-US"/>
        </w:rPr>
        <w:t>’s engaged with its day</w:t>
      </w:r>
      <w:r w:rsidR="00006896">
        <w:rPr>
          <w:rFonts w:ascii="Arial" w:hAnsi="Arial" w:cs="Arial"/>
          <w:lang w:val="en-US"/>
        </w:rPr>
        <w:t>-</w:t>
      </w:r>
      <w:r w:rsidR="00E8759F" w:rsidRPr="00AE0843">
        <w:rPr>
          <w:rFonts w:ascii="Arial" w:hAnsi="Arial" w:cs="Arial"/>
          <w:lang w:val="en-US"/>
        </w:rPr>
        <w:t>to</w:t>
      </w:r>
      <w:r w:rsidR="00006896">
        <w:rPr>
          <w:rFonts w:ascii="Arial" w:hAnsi="Arial" w:cs="Arial"/>
          <w:lang w:val="en-US"/>
        </w:rPr>
        <w:t>-</w:t>
      </w:r>
      <w:r w:rsidR="00E8759F" w:rsidRPr="00AE0843">
        <w:rPr>
          <w:rFonts w:ascii="Arial" w:hAnsi="Arial" w:cs="Arial"/>
          <w:lang w:val="en-US"/>
        </w:rPr>
        <w:t xml:space="preserve">day management and financials. If the issue at hand is </w:t>
      </w:r>
      <w:r w:rsidR="000E6822">
        <w:rPr>
          <w:rFonts w:ascii="Arial" w:hAnsi="Arial" w:cs="Arial"/>
          <w:lang w:val="en-US"/>
        </w:rPr>
        <w:t>some</w:t>
      </w:r>
      <w:r w:rsidR="00E8759F" w:rsidRPr="00AE0843">
        <w:rPr>
          <w:rFonts w:ascii="Arial" w:hAnsi="Arial" w:cs="Arial"/>
          <w:lang w:val="en-US"/>
        </w:rPr>
        <w:t xml:space="preserve"> temporary cash flow constraint, </w:t>
      </w:r>
      <w:r w:rsidR="00B86645">
        <w:rPr>
          <w:rFonts w:ascii="Arial" w:hAnsi="Arial" w:cs="Arial"/>
          <w:lang w:val="en-US"/>
        </w:rPr>
        <w:t>d</w:t>
      </w:r>
      <w:r w:rsidR="00863710">
        <w:rPr>
          <w:rFonts w:ascii="Arial" w:hAnsi="Arial" w:cs="Arial"/>
          <w:lang w:val="en-US"/>
        </w:rPr>
        <w:t xml:space="preserve">eriving from </w:t>
      </w:r>
      <w:r w:rsidR="00AA3C16">
        <w:rPr>
          <w:rFonts w:ascii="Arial" w:hAnsi="Arial" w:cs="Arial"/>
          <w:lang w:val="en-US"/>
        </w:rPr>
        <w:t>some unexpected expenses,</w:t>
      </w:r>
      <w:r w:rsidR="00B86645">
        <w:rPr>
          <w:rFonts w:ascii="Arial" w:hAnsi="Arial" w:cs="Arial"/>
          <w:lang w:val="en-US"/>
        </w:rPr>
        <w:t xml:space="preserve"> loss of </w:t>
      </w:r>
      <w:r w:rsidR="00AA3C16">
        <w:rPr>
          <w:rFonts w:ascii="Arial" w:hAnsi="Arial" w:cs="Arial"/>
          <w:lang w:val="en-US"/>
        </w:rPr>
        <w:t xml:space="preserve">major </w:t>
      </w:r>
      <w:r w:rsidR="00B86645">
        <w:rPr>
          <w:rFonts w:ascii="Arial" w:hAnsi="Arial" w:cs="Arial"/>
          <w:lang w:val="en-US"/>
        </w:rPr>
        <w:t xml:space="preserve">contract or resources, or rather of minor financial extent </w:t>
      </w:r>
      <w:r w:rsidR="00A65342">
        <w:rPr>
          <w:rFonts w:ascii="Arial" w:hAnsi="Arial" w:cs="Arial"/>
          <w:lang w:val="en-US"/>
        </w:rPr>
        <w:t>compared to the overall organization’s turnover and budget</w:t>
      </w:r>
      <w:r w:rsidR="00E8759F" w:rsidRPr="00AE0843">
        <w:rPr>
          <w:rFonts w:ascii="Arial" w:hAnsi="Arial" w:cs="Arial"/>
          <w:lang w:val="en-US"/>
        </w:rPr>
        <w:t xml:space="preserve">, then </w:t>
      </w:r>
      <w:r w:rsidR="00D509A2">
        <w:rPr>
          <w:rFonts w:ascii="Arial" w:hAnsi="Arial" w:cs="Arial"/>
          <w:lang w:val="en-US"/>
        </w:rPr>
        <w:t>it is most definitely more advantageous to pursue ou</w:t>
      </w:r>
      <w:r w:rsidR="00E8759F" w:rsidRPr="00AE0843">
        <w:rPr>
          <w:rFonts w:ascii="Arial" w:hAnsi="Arial" w:cs="Arial"/>
          <w:lang w:val="en-US"/>
        </w:rPr>
        <w:t xml:space="preserve">t-of-court restructuring. </w:t>
      </w:r>
    </w:p>
    <w:p w14:paraId="6D04D2CB" w14:textId="77777777" w:rsidR="00A61C4C" w:rsidRDefault="00FD4A5E" w:rsidP="00BE2DB5">
      <w:pPr>
        <w:jc w:val="both"/>
        <w:rPr>
          <w:rFonts w:ascii="Arial" w:hAnsi="Arial" w:cs="Arial"/>
          <w:lang w:val="en-US"/>
        </w:rPr>
      </w:pPr>
      <w:r>
        <w:rPr>
          <w:rFonts w:ascii="Arial" w:hAnsi="Arial" w:cs="Arial"/>
          <w:lang w:val="en-US"/>
        </w:rPr>
        <w:t>The reason is that s</w:t>
      </w:r>
      <w:r w:rsidR="00B93A62">
        <w:rPr>
          <w:rFonts w:ascii="Arial" w:hAnsi="Arial" w:cs="Arial"/>
          <w:lang w:val="en-US"/>
        </w:rPr>
        <w:t xml:space="preserve">uch financial restraints of minor extent </w:t>
      </w:r>
      <w:r w:rsidR="00E8759F" w:rsidRPr="00832C93">
        <w:rPr>
          <w:rFonts w:ascii="Arial" w:hAnsi="Arial" w:cs="Arial"/>
          <w:lang w:val="en-US"/>
        </w:rPr>
        <w:t>can be</w:t>
      </w:r>
      <w:r w:rsidR="00B93A62">
        <w:rPr>
          <w:rFonts w:ascii="Arial" w:hAnsi="Arial" w:cs="Arial"/>
          <w:lang w:val="en-US"/>
        </w:rPr>
        <w:t xml:space="preserve"> averted </w:t>
      </w:r>
      <w:r>
        <w:rPr>
          <w:rFonts w:ascii="Arial" w:hAnsi="Arial" w:cs="Arial"/>
          <w:lang w:val="en-US"/>
        </w:rPr>
        <w:t>by involving less stakeholders</w:t>
      </w:r>
      <w:r w:rsidR="0074032D">
        <w:rPr>
          <w:rFonts w:ascii="Arial" w:hAnsi="Arial" w:cs="Arial"/>
          <w:lang w:val="en-US"/>
        </w:rPr>
        <w:t xml:space="preserve"> in number, that could be just the company’s management </w:t>
      </w:r>
      <w:r w:rsidR="00CB0A7E">
        <w:rPr>
          <w:rFonts w:ascii="Arial" w:hAnsi="Arial" w:cs="Arial"/>
          <w:lang w:val="en-US"/>
        </w:rPr>
        <w:t xml:space="preserve">and a couple of the main financial institutions </w:t>
      </w:r>
      <w:r w:rsidR="00DE5A2E">
        <w:rPr>
          <w:rFonts w:ascii="Arial" w:hAnsi="Arial" w:cs="Arial"/>
          <w:lang w:val="en-US"/>
        </w:rPr>
        <w:t>it collaborates with</w:t>
      </w:r>
      <w:r w:rsidR="00210C09">
        <w:rPr>
          <w:rFonts w:ascii="Arial" w:hAnsi="Arial" w:cs="Arial"/>
          <w:lang w:val="en-US"/>
        </w:rPr>
        <w:t xml:space="preserve"> in providing</w:t>
      </w:r>
      <w:r w:rsidR="00E8759F" w:rsidRPr="00832C93">
        <w:rPr>
          <w:rFonts w:ascii="Arial" w:hAnsi="Arial" w:cs="Arial"/>
          <w:lang w:val="en-US"/>
        </w:rPr>
        <w:t xml:space="preserve"> short-term financing. </w:t>
      </w:r>
      <w:r w:rsidR="00B509C5" w:rsidRPr="00832C93">
        <w:rPr>
          <w:rFonts w:ascii="Arial" w:hAnsi="Arial" w:cs="Arial"/>
          <w:lang w:val="en-US"/>
        </w:rPr>
        <w:t>The</w:t>
      </w:r>
      <w:r w:rsidR="00B509C5">
        <w:rPr>
          <w:rFonts w:ascii="Arial" w:hAnsi="Arial" w:cs="Arial"/>
          <w:lang w:val="en-US"/>
        </w:rPr>
        <w:t xml:space="preserve"> reason is </w:t>
      </w:r>
      <w:r w:rsidR="00B509C5">
        <w:rPr>
          <w:rFonts w:ascii="Arial" w:hAnsi="Arial" w:cs="Arial"/>
          <w:lang w:val="en-US"/>
        </w:rPr>
        <w:lastRenderedPageBreak/>
        <w:t xml:space="preserve">that such measures are informal, </w:t>
      </w:r>
      <w:proofErr w:type="gramStart"/>
      <w:r w:rsidR="00B509C5">
        <w:rPr>
          <w:rFonts w:ascii="Arial" w:hAnsi="Arial" w:cs="Arial"/>
          <w:lang w:val="en-US"/>
        </w:rPr>
        <w:t>s</w:t>
      </w:r>
      <w:r w:rsidR="00B509C5" w:rsidRPr="00832C93">
        <w:rPr>
          <w:rFonts w:ascii="Arial" w:hAnsi="Arial" w:cs="Arial"/>
          <w:lang w:val="en-US"/>
        </w:rPr>
        <w:t>imple</w:t>
      </w:r>
      <w:proofErr w:type="gramEnd"/>
      <w:r w:rsidR="00B509C5" w:rsidRPr="00832C93">
        <w:rPr>
          <w:rFonts w:ascii="Arial" w:hAnsi="Arial" w:cs="Arial"/>
          <w:lang w:val="en-US"/>
        </w:rPr>
        <w:t xml:space="preserve"> and swift</w:t>
      </w:r>
      <w:r w:rsidR="0067601A">
        <w:rPr>
          <w:rFonts w:ascii="Arial" w:hAnsi="Arial" w:cs="Arial"/>
          <w:lang w:val="en-US"/>
        </w:rPr>
        <w:t xml:space="preserve"> and they allow </w:t>
      </w:r>
      <w:r w:rsidR="00B509C5">
        <w:rPr>
          <w:rFonts w:ascii="Arial" w:hAnsi="Arial" w:cs="Arial"/>
          <w:lang w:val="en-US"/>
        </w:rPr>
        <w:t xml:space="preserve">the debtor </w:t>
      </w:r>
      <w:r w:rsidR="0067601A">
        <w:rPr>
          <w:rFonts w:ascii="Arial" w:hAnsi="Arial" w:cs="Arial"/>
          <w:lang w:val="en-US"/>
        </w:rPr>
        <w:t xml:space="preserve">to </w:t>
      </w:r>
      <w:r w:rsidR="00B509C5">
        <w:rPr>
          <w:rFonts w:ascii="Arial" w:hAnsi="Arial" w:cs="Arial"/>
          <w:lang w:val="en-US"/>
        </w:rPr>
        <w:t>remain in control throughout their negotiation, adoption and implementation</w:t>
      </w:r>
      <w:r w:rsidR="00B509C5" w:rsidRPr="00832C93">
        <w:rPr>
          <w:rFonts w:ascii="Arial" w:hAnsi="Arial" w:cs="Arial"/>
          <w:lang w:val="en-US"/>
        </w:rPr>
        <w:t>.</w:t>
      </w:r>
      <w:r w:rsidR="0067601A">
        <w:rPr>
          <w:rFonts w:ascii="Arial" w:hAnsi="Arial" w:cs="Arial"/>
          <w:lang w:val="en-US"/>
        </w:rPr>
        <w:t xml:space="preserve"> </w:t>
      </w:r>
    </w:p>
    <w:p w14:paraId="28B5026B" w14:textId="77777777" w:rsidR="00630212" w:rsidRDefault="00F309BF" w:rsidP="005A24F6">
      <w:pPr>
        <w:jc w:val="both"/>
        <w:rPr>
          <w:rFonts w:ascii="Arial" w:hAnsi="Arial" w:cs="Arial"/>
          <w:lang w:val="en-US"/>
        </w:rPr>
      </w:pPr>
      <w:r>
        <w:rPr>
          <w:rFonts w:ascii="Arial" w:hAnsi="Arial" w:cs="Arial"/>
          <w:lang w:val="en-US"/>
        </w:rPr>
        <w:t xml:space="preserve">In Cyprus though, </w:t>
      </w:r>
      <w:r w:rsidR="006806BF">
        <w:rPr>
          <w:rFonts w:ascii="Arial" w:hAnsi="Arial" w:cs="Arial"/>
          <w:lang w:val="en-US"/>
        </w:rPr>
        <w:t xml:space="preserve">such a debt restructuring can </w:t>
      </w:r>
      <w:r w:rsidRPr="00832C93">
        <w:rPr>
          <w:rFonts w:ascii="Arial" w:hAnsi="Arial" w:cs="Arial"/>
          <w:lang w:val="en-US"/>
        </w:rPr>
        <w:t xml:space="preserve">be initiated conversely by the financial institution against the </w:t>
      </w:r>
      <w:r w:rsidR="006806BF">
        <w:rPr>
          <w:rFonts w:ascii="Arial" w:hAnsi="Arial" w:cs="Arial"/>
          <w:lang w:val="en-US"/>
        </w:rPr>
        <w:t>organization</w:t>
      </w:r>
      <w:r w:rsidRPr="00832C93">
        <w:rPr>
          <w:rFonts w:ascii="Arial" w:hAnsi="Arial" w:cs="Arial"/>
          <w:lang w:val="en-US"/>
        </w:rPr>
        <w:t>,</w:t>
      </w:r>
      <w:r w:rsidR="00665ED2">
        <w:rPr>
          <w:rFonts w:ascii="Arial" w:hAnsi="Arial" w:cs="Arial"/>
          <w:lang w:val="en-US"/>
        </w:rPr>
        <w:t xml:space="preserve"> </w:t>
      </w:r>
      <w:r w:rsidRPr="00832C93">
        <w:rPr>
          <w:rFonts w:ascii="Arial" w:hAnsi="Arial" w:cs="Arial"/>
          <w:lang w:val="en-US"/>
        </w:rPr>
        <w:t xml:space="preserve">had it identified that the business’ overdraft or a loan is in arrears. </w:t>
      </w:r>
      <w:r w:rsidR="004E68CB">
        <w:rPr>
          <w:rFonts w:ascii="Arial" w:hAnsi="Arial" w:cs="Arial"/>
          <w:lang w:val="en-US"/>
        </w:rPr>
        <w:t xml:space="preserve">This can be </w:t>
      </w:r>
      <w:r>
        <w:rPr>
          <w:rFonts w:ascii="Arial" w:hAnsi="Arial" w:cs="Arial"/>
          <w:lang w:val="en-US"/>
        </w:rPr>
        <w:t xml:space="preserve">pursuit </w:t>
      </w:r>
      <w:r w:rsidR="00A45B81">
        <w:rPr>
          <w:rFonts w:ascii="Arial" w:hAnsi="Arial" w:cs="Arial"/>
          <w:lang w:val="en-US"/>
        </w:rPr>
        <w:t xml:space="preserve">through a formal </w:t>
      </w:r>
      <w:r w:rsidR="00DF210B">
        <w:rPr>
          <w:rFonts w:ascii="Arial" w:hAnsi="Arial" w:cs="Arial"/>
          <w:lang w:val="en-US"/>
        </w:rPr>
        <w:t xml:space="preserve">debt </w:t>
      </w:r>
      <w:r w:rsidR="00A45B81">
        <w:rPr>
          <w:rFonts w:ascii="Arial" w:hAnsi="Arial" w:cs="Arial"/>
          <w:lang w:val="en-US"/>
        </w:rPr>
        <w:t xml:space="preserve">restructuring </w:t>
      </w:r>
      <w:r w:rsidR="00DF210B">
        <w:rPr>
          <w:rFonts w:ascii="Arial" w:hAnsi="Arial" w:cs="Arial"/>
          <w:lang w:val="en-US"/>
        </w:rPr>
        <w:t>procedure</w:t>
      </w:r>
      <w:r w:rsidRPr="005A4EB8">
        <w:rPr>
          <w:rFonts w:ascii="Arial" w:hAnsi="Arial" w:cs="Arial"/>
          <w:lang w:val="en-US"/>
        </w:rPr>
        <w:t xml:space="preserve"> </w:t>
      </w:r>
      <w:r>
        <w:rPr>
          <w:rFonts w:ascii="Arial" w:hAnsi="Arial" w:cs="Arial"/>
          <w:lang w:val="en-US"/>
        </w:rPr>
        <w:t>under the Arrears Management Directive</w:t>
      </w:r>
      <w:r>
        <w:rPr>
          <w:rStyle w:val="FootnoteReference"/>
          <w:rFonts w:ascii="Arial" w:hAnsi="Arial" w:cs="Arial"/>
          <w:lang w:val="en-US"/>
        </w:rPr>
        <w:footnoteReference w:id="6"/>
      </w:r>
      <w:r>
        <w:rPr>
          <w:rFonts w:ascii="Arial" w:hAnsi="Arial" w:cs="Arial"/>
          <w:lang w:val="en-US"/>
        </w:rPr>
        <w:t xml:space="preserve">. </w:t>
      </w:r>
      <w:r w:rsidR="005A24F6">
        <w:rPr>
          <w:rFonts w:ascii="Arial" w:hAnsi="Arial" w:cs="Arial"/>
          <w:lang w:val="en-US"/>
        </w:rPr>
        <w:t>Since</w:t>
      </w:r>
      <w:r w:rsidR="005A24F6" w:rsidRPr="00E62DE4">
        <w:rPr>
          <w:rFonts w:ascii="Arial" w:hAnsi="Arial" w:cs="Arial"/>
          <w:lang w:val="en-US"/>
        </w:rPr>
        <w:t xml:space="preserve"> the enforcement of the Arrears Management Directive by the Central Bank of Cyprus in 2015, the major financial institutions </w:t>
      </w:r>
      <w:r w:rsidR="005A24F6">
        <w:rPr>
          <w:rFonts w:ascii="Arial" w:hAnsi="Arial" w:cs="Arial"/>
          <w:lang w:val="en-US"/>
        </w:rPr>
        <w:t xml:space="preserve">in Cyprus </w:t>
      </w:r>
      <w:r w:rsidR="005A24F6" w:rsidRPr="00E62DE4">
        <w:rPr>
          <w:rFonts w:ascii="Arial" w:hAnsi="Arial" w:cs="Arial"/>
          <w:lang w:val="en-US"/>
        </w:rPr>
        <w:t>have utilized immensely th</w:t>
      </w:r>
      <w:r w:rsidR="005C3CD6">
        <w:rPr>
          <w:rFonts w:ascii="Arial" w:hAnsi="Arial" w:cs="Arial"/>
          <w:lang w:val="en-US"/>
        </w:rPr>
        <w:t>i</w:t>
      </w:r>
      <w:r w:rsidR="005A24F6" w:rsidRPr="00E62DE4">
        <w:rPr>
          <w:rFonts w:ascii="Arial" w:hAnsi="Arial" w:cs="Arial"/>
          <w:lang w:val="en-US"/>
        </w:rPr>
        <w:t>s</w:t>
      </w:r>
      <w:r w:rsidR="005C3CD6">
        <w:rPr>
          <w:rFonts w:ascii="Arial" w:hAnsi="Arial" w:cs="Arial"/>
          <w:lang w:val="en-US"/>
        </w:rPr>
        <w:t xml:space="preserve"> toll</w:t>
      </w:r>
      <w:r w:rsidR="005A24F6" w:rsidRPr="00E62DE4">
        <w:rPr>
          <w:rFonts w:ascii="Arial" w:hAnsi="Arial" w:cs="Arial"/>
          <w:lang w:val="en-US"/>
        </w:rPr>
        <w:t>. Judging though by the re-default rate following such debt restructurings</w:t>
      </w:r>
      <w:r w:rsidR="002571ED">
        <w:rPr>
          <w:rStyle w:val="FootnoteReference"/>
          <w:rFonts w:ascii="Arial" w:hAnsi="Arial" w:cs="Arial"/>
          <w:lang w:val="en-US"/>
        </w:rPr>
        <w:footnoteReference w:id="7"/>
      </w:r>
      <w:r w:rsidR="005A24F6" w:rsidRPr="00E62DE4">
        <w:rPr>
          <w:rFonts w:ascii="Arial" w:hAnsi="Arial" w:cs="Arial"/>
          <w:lang w:val="en-US"/>
        </w:rPr>
        <w:t xml:space="preserve">, it has become apparent that this solution was not best suited in most cases. </w:t>
      </w:r>
    </w:p>
    <w:p w14:paraId="0AE908A9" w14:textId="41609E2D" w:rsidR="005A24F6" w:rsidRPr="00231886" w:rsidRDefault="005A24F6" w:rsidP="005A24F6">
      <w:pPr>
        <w:jc w:val="both"/>
        <w:rPr>
          <w:rFonts w:ascii="Arial" w:hAnsi="Arial" w:cs="Arial"/>
          <w:lang w:val="en-US"/>
        </w:rPr>
      </w:pPr>
      <w:r w:rsidRPr="00E62DE4">
        <w:rPr>
          <w:rFonts w:ascii="Arial" w:hAnsi="Arial" w:cs="Arial"/>
          <w:lang w:val="en-US"/>
        </w:rPr>
        <w:t xml:space="preserve">The reason is simple; it </w:t>
      </w:r>
      <w:r w:rsidRPr="00E62DE4">
        <w:rPr>
          <w:rFonts w:ascii="Arial" w:hAnsi="Arial" w:cs="Arial"/>
        </w:rPr>
        <w:t xml:space="preserve">relates only to the debt owed to that financial institution, while all other debts of the business -taxes, contractors, service providers and so on- are not </w:t>
      </w:r>
      <w:r w:rsidR="00A609B4">
        <w:rPr>
          <w:rFonts w:ascii="Arial" w:hAnsi="Arial" w:cs="Arial"/>
        </w:rPr>
        <w:t xml:space="preserve">necessarily </w:t>
      </w:r>
      <w:r w:rsidRPr="00E62DE4">
        <w:rPr>
          <w:rFonts w:ascii="Arial" w:hAnsi="Arial" w:cs="Arial"/>
        </w:rPr>
        <w:t>being restructured</w:t>
      </w:r>
      <w:r w:rsidR="00A609B4">
        <w:rPr>
          <w:rFonts w:ascii="Arial" w:hAnsi="Arial" w:cs="Arial"/>
        </w:rPr>
        <w:t xml:space="preserve"> respectively</w:t>
      </w:r>
      <w:r w:rsidRPr="00E62DE4">
        <w:rPr>
          <w:rFonts w:ascii="Arial" w:hAnsi="Arial" w:cs="Arial"/>
        </w:rPr>
        <w:t>.</w:t>
      </w:r>
      <w:r w:rsidR="001810B9">
        <w:rPr>
          <w:rFonts w:ascii="Arial" w:hAnsi="Arial" w:cs="Arial"/>
        </w:rPr>
        <w:t xml:space="preserve"> </w:t>
      </w:r>
      <w:r w:rsidR="00382A33">
        <w:rPr>
          <w:rFonts w:ascii="Arial" w:hAnsi="Arial" w:cs="Arial"/>
        </w:rPr>
        <w:t xml:space="preserve">This </w:t>
      </w:r>
      <w:r w:rsidR="00E436C1">
        <w:rPr>
          <w:rFonts w:ascii="Arial" w:hAnsi="Arial" w:cs="Arial"/>
        </w:rPr>
        <w:t xml:space="preserve">is </w:t>
      </w:r>
      <w:r w:rsidR="00630212">
        <w:rPr>
          <w:rFonts w:ascii="Arial" w:hAnsi="Arial" w:cs="Arial"/>
        </w:rPr>
        <w:t xml:space="preserve">the </w:t>
      </w:r>
      <w:r w:rsidR="00A609B4">
        <w:rPr>
          <w:rFonts w:ascii="Arial" w:hAnsi="Arial" w:cs="Arial"/>
        </w:rPr>
        <w:t xml:space="preserve">main </w:t>
      </w:r>
      <w:r w:rsidR="00630212">
        <w:rPr>
          <w:rFonts w:ascii="Arial" w:hAnsi="Arial" w:cs="Arial"/>
        </w:rPr>
        <w:t xml:space="preserve">disadvantage of </w:t>
      </w:r>
      <w:r w:rsidR="00B473C2">
        <w:rPr>
          <w:rFonts w:ascii="Arial" w:hAnsi="Arial" w:cs="Arial"/>
        </w:rPr>
        <w:t xml:space="preserve">such informal debt restructuring procedures, as it’s on the organization management’s appetite </w:t>
      </w:r>
      <w:r w:rsidR="00B85D2E">
        <w:rPr>
          <w:rFonts w:ascii="Arial" w:hAnsi="Arial" w:cs="Arial"/>
        </w:rPr>
        <w:t xml:space="preserve">alone </w:t>
      </w:r>
      <w:r w:rsidR="001B32AB">
        <w:rPr>
          <w:rFonts w:ascii="Arial" w:hAnsi="Arial" w:cs="Arial"/>
        </w:rPr>
        <w:t>how to</w:t>
      </w:r>
      <w:r w:rsidR="00D3799D">
        <w:rPr>
          <w:rFonts w:ascii="Arial" w:hAnsi="Arial" w:cs="Arial"/>
        </w:rPr>
        <w:t xml:space="preserve"> use or</w:t>
      </w:r>
      <w:r w:rsidR="001B32AB">
        <w:rPr>
          <w:rFonts w:ascii="Arial" w:hAnsi="Arial" w:cs="Arial"/>
        </w:rPr>
        <w:t xml:space="preserve"> distribute the funds from such a re-financing</w:t>
      </w:r>
      <w:proofErr w:type="gramStart"/>
      <w:r w:rsidR="001B32AB">
        <w:rPr>
          <w:rFonts w:ascii="Arial" w:hAnsi="Arial" w:cs="Arial"/>
        </w:rPr>
        <w:t xml:space="preserve">. </w:t>
      </w:r>
      <w:r w:rsidRPr="00E62DE4">
        <w:rPr>
          <w:rFonts w:ascii="Arial" w:hAnsi="Arial" w:cs="Arial"/>
        </w:rPr>
        <w:t xml:space="preserve"> </w:t>
      </w:r>
      <w:proofErr w:type="gramEnd"/>
      <w:r w:rsidRPr="00E62DE4">
        <w:rPr>
          <w:rFonts w:ascii="Arial" w:hAnsi="Arial" w:cs="Arial"/>
        </w:rPr>
        <w:t xml:space="preserve"> </w:t>
      </w:r>
    </w:p>
    <w:p w14:paraId="22A3221D" w14:textId="6D17A743" w:rsidR="00DC20F8" w:rsidRDefault="00E61283" w:rsidP="00BE2DB5">
      <w:pPr>
        <w:jc w:val="both"/>
        <w:rPr>
          <w:rFonts w:ascii="Arial" w:hAnsi="Arial" w:cs="Arial"/>
          <w:lang w:val="en-US"/>
        </w:rPr>
      </w:pPr>
      <w:r>
        <w:rPr>
          <w:rFonts w:ascii="Arial" w:hAnsi="Arial" w:cs="Arial"/>
          <w:lang w:val="en-US"/>
        </w:rPr>
        <w:t xml:space="preserve">Other </w:t>
      </w:r>
      <w:r w:rsidR="00296B37">
        <w:rPr>
          <w:rFonts w:ascii="Arial" w:hAnsi="Arial" w:cs="Arial"/>
          <w:lang w:val="en-US"/>
        </w:rPr>
        <w:t>i</w:t>
      </w:r>
      <w:r w:rsidR="00BE2DB5" w:rsidRPr="005A4EB8">
        <w:rPr>
          <w:rFonts w:ascii="Arial" w:hAnsi="Arial" w:cs="Arial"/>
          <w:lang w:val="en-US"/>
        </w:rPr>
        <w:t>mmediate relief solutions</w:t>
      </w:r>
      <w:r w:rsidR="0066654D">
        <w:rPr>
          <w:rFonts w:ascii="Arial" w:hAnsi="Arial" w:cs="Arial"/>
          <w:lang w:val="en-US"/>
        </w:rPr>
        <w:t xml:space="preserve"> that are popular in out-of-court restructuring</w:t>
      </w:r>
      <w:r w:rsidR="002732E0">
        <w:rPr>
          <w:rFonts w:ascii="Arial" w:hAnsi="Arial" w:cs="Arial"/>
          <w:lang w:val="en-US"/>
        </w:rPr>
        <w:t>s</w:t>
      </w:r>
      <w:r w:rsidR="0066654D">
        <w:rPr>
          <w:rFonts w:ascii="Arial" w:hAnsi="Arial" w:cs="Arial"/>
          <w:lang w:val="en-US"/>
        </w:rPr>
        <w:t xml:space="preserve"> are</w:t>
      </w:r>
      <w:r w:rsidR="00685757">
        <w:rPr>
          <w:rFonts w:ascii="Arial" w:hAnsi="Arial" w:cs="Arial"/>
          <w:lang w:val="en-US"/>
        </w:rPr>
        <w:t xml:space="preserve"> </w:t>
      </w:r>
      <w:r w:rsidR="0066654D">
        <w:rPr>
          <w:rFonts w:ascii="Arial" w:hAnsi="Arial" w:cs="Arial"/>
          <w:lang w:val="en-US"/>
        </w:rPr>
        <w:t>cost cuts</w:t>
      </w:r>
      <w:r w:rsidR="00040F00">
        <w:rPr>
          <w:rFonts w:ascii="Arial" w:hAnsi="Arial" w:cs="Arial"/>
          <w:lang w:val="en-US"/>
        </w:rPr>
        <w:t>, collecti</w:t>
      </w:r>
      <w:r w:rsidR="0066654D">
        <w:rPr>
          <w:rFonts w:ascii="Arial" w:hAnsi="Arial" w:cs="Arial"/>
          <w:lang w:val="en-US"/>
        </w:rPr>
        <w:t>on of</w:t>
      </w:r>
      <w:r w:rsidR="00040F00">
        <w:rPr>
          <w:rFonts w:ascii="Arial" w:hAnsi="Arial" w:cs="Arial"/>
          <w:lang w:val="en-US"/>
        </w:rPr>
        <w:t xml:space="preserve"> receivables and </w:t>
      </w:r>
      <w:r w:rsidR="0014738A">
        <w:rPr>
          <w:rFonts w:ascii="Arial" w:hAnsi="Arial" w:cs="Arial"/>
          <w:lang w:val="en-US"/>
        </w:rPr>
        <w:t>collaborating with long-time business partners to create economies of scale</w:t>
      </w:r>
      <w:r w:rsidR="00FF3DEE">
        <w:rPr>
          <w:rFonts w:ascii="Arial" w:hAnsi="Arial" w:cs="Arial"/>
          <w:lang w:val="en-US"/>
        </w:rPr>
        <w:t xml:space="preserve"> (</w:t>
      </w:r>
      <w:proofErr w:type="spellStart"/>
      <w:proofErr w:type="gramStart"/>
      <w:r w:rsidR="00FF3DEE">
        <w:rPr>
          <w:rFonts w:ascii="Arial" w:hAnsi="Arial" w:cs="Arial"/>
          <w:lang w:val="en-US"/>
        </w:rPr>
        <w:t>ie</w:t>
      </w:r>
      <w:proofErr w:type="spellEnd"/>
      <w:proofErr w:type="gramEnd"/>
      <w:r w:rsidR="00FF3DEE">
        <w:rPr>
          <w:rFonts w:ascii="Arial" w:hAnsi="Arial" w:cs="Arial"/>
          <w:lang w:val="en-US"/>
        </w:rPr>
        <w:t xml:space="preserve"> </w:t>
      </w:r>
      <w:r w:rsidR="00E12BE8">
        <w:rPr>
          <w:rFonts w:ascii="Arial" w:hAnsi="Arial" w:cs="Arial"/>
          <w:lang w:val="en-US"/>
        </w:rPr>
        <w:t>on a shared distribution line)</w:t>
      </w:r>
      <w:r w:rsidR="006E323F">
        <w:rPr>
          <w:rFonts w:ascii="Arial" w:hAnsi="Arial" w:cs="Arial"/>
          <w:lang w:val="en-US"/>
        </w:rPr>
        <w:t xml:space="preserve">. </w:t>
      </w:r>
      <w:proofErr w:type="gramStart"/>
      <w:r w:rsidR="006E323F">
        <w:rPr>
          <w:rFonts w:ascii="Arial" w:hAnsi="Arial" w:cs="Arial"/>
          <w:lang w:val="en-US"/>
        </w:rPr>
        <w:t>All of</w:t>
      </w:r>
      <w:proofErr w:type="gramEnd"/>
      <w:r w:rsidR="006E323F">
        <w:rPr>
          <w:rFonts w:ascii="Arial" w:hAnsi="Arial" w:cs="Arial"/>
          <w:lang w:val="en-US"/>
        </w:rPr>
        <w:t xml:space="preserve"> these measures can </w:t>
      </w:r>
      <w:r w:rsidR="002D4E34">
        <w:rPr>
          <w:rFonts w:ascii="Arial" w:hAnsi="Arial" w:cs="Arial"/>
          <w:lang w:val="en-US"/>
        </w:rPr>
        <w:t>be implemented without delay by t</w:t>
      </w:r>
      <w:r w:rsidR="000A5BD6">
        <w:rPr>
          <w:rFonts w:ascii="Arial" w:hAnsi="Arial" w:cs="Arial"/>
          <w:lang w:val="en-US"/>
        </w:rPr>
        <w:t>he</w:t>
      </w:r>
      <w:r w:rsidR="006E323F">
        <w:rPr>
          <w:rFonts w:ascii="Arial" w:hAnsi="Arial" w:cs="Arial"/>
          <w:lang w:val="en-US"/>
        </w:rPr>
        <w:t xml:space="preserve"> organization’s</w:t>
      </w:r>
      <w:r w:rsidR="000A5BD6">
        <w:rPr>
          <w:rFonts w:ascii="Arial" w:hAnsi="Arial" w:cs="Arial"/>
          <w:lang w:val="en-US"/>
        </w:rPr>
        <w:t xml:space="preserve"> management</w:t>
      </w:r>
      <w:r w:rsidR="006E323F">
        <w:rPr>
          <w:rFonts w:ascii="Arial" w:hAnsi="Arial" w:cs="Arial"/>
          <w:lang w:val="en-US"/>
        </w:rPr>
        <w:t xml:space="preserve"> alone and they are beneficial in that t</w:t>
      </w:r>
      <w:r w:rsidR="00F03E46">
        <w:rPr>
          <w:rFonts w:ascii="Arial" w:hAnsi="Arial" w:cs="Arial"/>
          <w:lang w:val="en-US"/>
        </w:rPr>
        <w:t xml:space="preserve">hey increase </w:t>
      </w:r>
      <w:r w:rsidR="009B259B">
        <w:rPr>
          <w:rFonts w:ascii="Arial" w:hAnsi="Arial" w:cs="Arial"/>
          <w:lang w:val="en-US"/>
        </w:rPr>
        <w:t>the cash flow</w:t>
      </w:r>
      <w:r w:rsidR="000A5BD6">
        <w:rPr>
          <w:rFonts w:ascii="Arial" w:hAnsi="Arial" w:cs="Arial"/>
          <w:lang w:val="en-US"/>
        </w:rPr>
        <w:t xml:space="preserve"> and </w:t>
      </w:r>
      <w:r w:rsidR="00FF4E24">
        <w:rPr>
          <w:rFonts w:ascii="Arial" w:hAnsi="Arial" w:cs="Arial"/>
          <w:lang w:val="en-US"/>
        </w:rPr>
        <w:t xml:space="preserve">can </w:t>
      </w:r>
      <w:r w:rsidR="009B259B">
        <w:rPr>
          <w:rFonts w:ascii="Arial" w:hAnsi="Arial" w:cs="Arial"/>
          <w:lang w:val="en-US"/>
        </w:rPr>
        <w:t xml:space="preserve">facilitate valuable </w:t>
      </w:r>
      <w:r w:rsidR="00FF4E24">
        <w:rPr>
          <w:rFonts w:ascii="Arial" w:hAnsi="Arial" w:cs="Arial"/>
          <w:lang w:val="en-US"/>
        </w:rPr>
        <w:t>‘</w:t>
      </w:r>
      <w:r w:rsidR="009B259B">
        <w:rPr>
          <w:rFonts w:ascii="Arial" w:hAnsi="Arial" w:cs="Arial"/>
          <w:lang w:val="en-US"/>
        </w:rPr>
        <w:t>breathing space</w:t>
      </w:r>
      <w:r w:rsidR="00FF4E24">
        <w:rPr>
          <w:rFonts w:ascii="Arial" w:hAnsi="Arial" w:cs="Arial"/>
          <w:lang w:val="en-US"/>
        </w:rPr>
        <w:t>’</w:t>
      </w:r>
      <w:r w:rsidR="009B259B">
        <w:rPr>
          <w:rFonts w:ascii="Arial" w:hAnsi="Arial" w:cs="Arial"/>
          <w:lang w:val="en-US"/>
        </w:rPr>
        <w:t xml:space="preserve"> </w:t>
      </w:r>
      <w:r w:rsidR="00FF4E24">
        <w:rPr>
          <w:rFonts w:ascii="Arial" w:hAnsi="Arial" w:cs="Arial"/>
          <w:lang w:val="en-US"/>
        </w:rPr>
        <w:t>in a financial distress situation.</w:t>
      </w:r>
      <w:r w:rsidR="007D42B7">
        <w:rPr>
          <w:rStyle w:val="FootnoteReference"/>
          <w:rFonts w:ascii="Arial" w:hAnsi="Arial" w:cs="Arial"/>
          <w:lang w:val="en-US"/>
        </w:rPr>
        <w:footnoteReference w:id="8"/>
      </w:r>
      <w:r w:rsidR="00FF4E24">
        <w:rPr>
          <w:rFonts w:ascii="Arial" w:hAnsi="Arial" w:cs="Arial"/>
          <w:lang w:val="en-US"/>
        </w:rPr>
        <w:t xml:space="preserve"> </w:t>
      </w:r>
      <w:r w:rsidR="00BE2DB5" w:rsidRPr="005A4EB8">
        <w:rPr>
          <w:rFonts w:ascii="Arial" w:hAnsi="Arial" w:cs="Arial"/>
          <w:lang w:val="en-US"/>
        </w:rPr>
        <w:t xml:space="preserve"> </w:t>
      </w:r>
    </w:p>
    <w:p w14:paraId="668CC9B7" w14:textId="159B5E4D" w:rsidR="00BE2DB5" w:rsidRDefault="00BF5A9B" w:rsidP="00BE2DB5">
      <w:pPr>
        <w:jc w:val="both"/>
        <w:rPr>
          <w:rFonts w:ascii="Arial" w:hAnsi="Arial" w:cs="Arial"/>
          <w:u w:val="single"/>
          <w:lang w:val="en-US"/>
        </w:rPr>
      </w:pPr>
      <w:r>
        <w:rPr>
          <w:rFonts w:ascii="Arial" w:hAnsi="Arial" w:cs="Arial"/>
        </w:rPr>
        <w:t>However, such informal arrangement</w:t>
      </w:r>
      <w:r w:rsidR="00A07FC4">
        <w:rPr>
          <w:rFonts w:ascii="Arial" w:hAnsi="Arial" w:cs="Arial"/>
        </w:rPr>
        <w:t>s</w:t>
      </w:r>
      <w:r>
        <w:rPr>
          <w:rFonts w:ascii="Arial" w:hAnsi="Arial" w:cs="Arial"/>
        </w:rPr>
        <w:t xml:space="preserve"> may </w:t>
      </w:r>
      <w:r w:rsidR="00BE2DB5" w:rsidRPr="00E62DE4">
        <w:rPr>
          <w:rFonts w:ascii="Arial" w:hAnsi="Arial" w:cs="Arial"/>
        </w:rPr>
        <w:t xml:space="preserve">not </w:t>
      </w:r>
      <w:r>
        <w:rPr>
          <w:rFonts w:ascii="Arial" w:hAnsi="Arial" w:cs="Arial"/>
        </w:rPr>
        <w:t xml:space="preserve">be </w:t>
      </w:r>
      <w:r w:rsidR="00A07FC4">
        <w:rPr>
          <w:rFonts w:ascii="Arial" w:hAnsi="Arial" w:cs="Arial"/>
        </w:rPr>
        <w:t>adequate for</w:t>
      </w:r>
      <w:r w:rsidR="00BE2DB5" w:rsidRPr="00E62DE4">
        <w:rPr>
          <w:rFonts w:ascii="Arial" w:hAnsi="Arial" w:cs="Arial"/>
        </w:rPr>
        <w:t xml:space="preserve"> businesses with long term financial constraints, such that could be deriving from market</w:t>
      </w:r>
      <w:r w:rsidR="00BE2DB5">
        <w:rPr>
          <w:rFonts w:ascii="Arial" w:hAnsi="Arial" w:cs="Arial"/>
        </w:rPr>
        <w:t xml:space="preserve"> instability; credit constraints </w:t>
      </w:r>
      <w:r w:rsidR="001048B3">
        <w:rPr>
          <w:rFonts w:ascii="Arial" w:hAnsi="Arial" w:cs="Arial"/>
        </w:rPr>
        <w:t>imposed by financial institutions</w:t>
      </w:r>
      <w:r w:rsidR="00416F87">
        <w:rPr>
          <w:rFonts w:ascii="Arial" w:hAnsi="Arial" w:cs="Arial"/>
        </w:rPr>
        <w:t xml:space="preserve"> </w:t>
      </w:r>
      <w:r w:rsidR="00BE2DB5">
        <w:rPr>
          <w:rFonts w:ascii="Arial" w:hAnsi="Arial" w:cs="Arial"/>
        </w:rPr>
        <w:t xml:space="preserve">or currency fluctuations. </w:t>
      </w:r>
      <w:r w:rsidR="005C0197">
        <w:rPr>
          <w:rFonts w:ascii="Arial" w:hAnsi="Arial" w:cs="Arial"/>
        </w:rPr>
        <w:t>Informal restructurings may not be the</w:t>
      </w:r>
      <w:r w:rsidR="00BE2DB5">
        <w:rPr>
          <w:rFonts w:ascii="Arial" w:hAnsi="Arial" w:cs="Arial"/>
        </w:rPr>
        <w:t xml:space="preserve"> solution either for businesses that may be facing additionally certain operational issues, such as </w:t>
      </w:r>
      <w:r w:rsidR="00BE2DB5" w:rsidRPr="00E62DE4">
        <w:rPr>
          <w:rFonts w:ascii="Arial" w:hAnsi="Arial" w:cs="Arial"/>
        </w:rPr>
        <w:t>shareholder disagreement</w:t>
      </w:r>
      <w:r w:rsidR="00BE2DB5">
        <w:rPr>
          <w:rFonts w:ascii="Arial" w:hAnsi="Arial" w:cs="Arial"/>
        </w:rPr>
        <w:t>s</w:t>
      </w:r>
      <w:r w:rsidR="00BE2DB5" w:rsidRPr="00E62DE4">
        <w:rPr>
          <w:rFonts w:ascii="Arial" w:hAnsi="Arial" w:cs="Arial"/>
        </w:rPr>
        <w:t xml:space="preserve">; </w:t>
      </w:r>
      <w:r w:rsidR="00BE2DB5">
        <w:rPr>
          <w:rFonts w:ascii="Arial" w:hAnsi="Arial" w:cs="Arial"/>
        </w:rPr>
        <w:t>succession constraints; or creditors with conflicting interests, such as franchisors whose goodwill is at stake or contractors with competitive advantages</w:t>
      </w:r>
      <w:r w:rsidR="00BE2DB5" w:rsidRPr="00E62DE4">
        <w:rPr>
          <w:rFonts w:ascii="Arial" w:hAnsi="Arial" w:cs="Arial"/>
        </w:rPr>
        <w:t xml:space="preserve">. </w:t>
      </w:r>
      <w:r w:rsidR="00BE2DB5" w:rsidRPr="001465FD">
        <w:rPr>
          <w:rFonts w:ascii="Arial" w:hAnsi="Arial" w:cs="Arial"/>
        </w:rPr>
        <w:t xml:space="preserve">Which brings us to the second question to be addressed: which stakeholder interests are likely to be impacted? If these vary, as described above, then a more integrated </w:t>
      </w:r>
      <w:r w:rsidR="00DD626D">
        <w:rPr>
          <w:rFonts w:ascii="Arial" w:hAnsi="Arial" w:cs="Arial"/>
        </w:rPr>
        <w:t xml:space="preserve">formal restructuring </w:t>
      </w:r>
      <w:r w:rsidR="00D26353">
        <w:rPr>
          <w:rFonts w:ascii="Arial" w:hAnsi="Arial" w:cs="Arial"/>
        </w:rPr>
        <w:t>may have better chances of success</w:t>
      </w:r>
      <w:r w:rsidR="00BE2DB5" w:rsidRPr="001465FD">
        <w:rPr>
          <w:rFonts w:ascii="Arial" w:hAnsi="Arial" w:cs="Arial"/>
        </w:rPr>
        <w:t xml:space="preserve">. </w:t>
      </w:r>
    </w:p>
    <w:p w14:paraId="60FBC437" w14:textId="77777777" w:rsidR="00BE2DB5" w:rsidRDefault="00BE2DB5" w:rsidP="00BE2DB5">
      <w:pPr>
        <w:jc w:val="both"/>
        <w:rPr>
          <w:rFonts w:ascii="Arial" w:hAnsi="Arial" w:cs="Arial"/>
        </w:rPr>
      </w:pPr>
      <w:r w:rsidRPr="00EC6AB2">
        <w:rPr>
          <w:rFonts w:ascii="Arial" w:hAnsi="Arial" w:cs="Arial"/>
        </w:rPr>
        <w:t xml:space="preserve">There are two </w:t>
      </w:r>
      <w:r>
        <w:rPr>
          <w:rFonts w:ascii="Arial" w:hAnsi="Arial" w:cs="Arial"/>
        </w:rPr>
        <w:t>schemes</w:t>
      </w:r>
      <w:r w:rsidRPr="00EC6AB2">
        <w:rPr>
          <w:rFonts w:ascii="Arial" w:hAnsi="Arial" w:cs="Arial"/>
        </w:rPr>
        <w:t xml:space="preserve"> by which Cypriot companies may </w:t>
      </w:r>
      <w:r>
        <w:rPr>
          <w:rFonts w:ascii="Arial" w:hAnsi="Arial" w:cs="Arial"/>
        </w:rPr>
        <w:t>be put under restructuring</w:t>
      </w:r>
      <w:r w:rsidRPr="00EC6AB2">
        <w:rPr>
          <w:rFonts w:ascii="Arial" w:hAnsi="Arial" w:cs="Arial"/>
        </w:rPr>
        <w:t xml:space="preserve"> by Court order</w:t>
      </w:r>
      <w:r>
        <w:rPr>
          <w:rFonts w:ascii="Arial" w:hAnsi="Arial" w:cs="Arial"/>
        </w:rPr>
        <w:t>:</w:t>
      </w:r>
      <w:r w:rsidRPr="00EC6AB2">
        <w:rPr>
          <w:rFonts w:ascii="Arial" w:hAnsi="Arial" w:cs="Arial"/>
        </w:rPr>
        <w:t xml:space="preserve"> Reorganization, provided in section 198 of the Companies Law, and Examinership, provided in Part IVA of the same legislation. </w:t>
      </w:r>
      <w:proofErr w:type="gramStart"/>
      <w:r>
        <w:rPr>
          <w:rFonts w:ascii="Arial" w:hAnsi="Arial" w:cs="Arial"/>
        </w:rPr>
        <w:t>Both of them</w:t>
      </w:r>
      <w:proofErr w:type="gramEnd"/>
      <w:r>
        <w:rPr>
          <w:rFonts w:ascii="Arial" w:hAnsi="Arial" w:cs="Arial"/>
        </w:rPr>
        <w:t xml:space="preserve"> may be initiated by the company, or any of its creditors or shareholders and, once approved by the majority at the creditors’ meeting or shareholders meeting or meetings of the different classes of creditors, the restructuring plan shall then be affirmed by Court order and be binding against all stakeholders. </w:t>
      </w:r>
    </w:p>
    <w:p w14:paraId="35A35F74" w14:textId="23D6BCA8" w:rsidR="00BE2DB5" w:rsidRPr="0028584A" w:rsidRDefault="00BE2DB5" w:rsidP="00BE2DB5">
      <w:pPr>
        <w:jc w:val="both"/>
        <w:rPr>
          <w:rFonts w:ascii="Arial" w:hAnsi="Arial" w:cs="Arial"/>
        </w:rPr>
      </w:pPr>
      <w:r>
        <w:rPr>
          <w:rFonts w:ascii="Arial" w:hAnsi="Arial" w:cs="Arial"/>
        </w:rPr>
        <w:t xml:space="preserve">The main difference between the two is that with Examinership the company will also benefit from a 4-month-long moratorium on all claims against the company by its creditors, which may be extended for a further 2 months. This is so provided to facilitate a period of negotiations between the company and its stakeholders, without undue pressure from creditors. </w:t>
      </w:r>
      <w:r w:rsidRPr="0028584A">
        <w:rPr>
          <w:rFonts w:ascii="Arial" w:hAnsi="Arial" w:cs="Arial"/>
        </w:rPr>
        <w:t xml:space="preserve">For the </w:t>
      </w:r>
      <w:r w:rsidRPr="0028584A">
        <w:rPr>
          <w:rFonts w:ascii="Arial" w:hAnsi="Arial" w:cs="Arial"/>
        </w:rPr>
        <w:lastRenderedPageBreak/>
        <w:t xml:space="preserve">duration of this protection period, an insolvency practitioner will be appointed as Examiner of the company and will work, in collaboration with its board of directors, to examine the company’s affairs for the purpose of forming a restructuring plan and getting it approved by its shareholders and creditors. </w:t>
      </w:r>
      <w:r w:rsidR="005803FC">
        <w:rPr>
          <w:rFonts w:ascii="Arial" w:hAnsi="Arial" w:cs="Arial"/>
        </w:rPr>
        <w:t xml:space="preserve">Once approved this restructuring plan can be affirmed by the Court and be binding </w:t>
      </w:r>
      <w:r w:rsidR="009D0900">
        <w:rPr>
          <w:rFonts w:ascii="Arial" w:hAnsi="Arial" w:cs="Arial"/>
        </w:rPr>
        <w:t xml:space="preserve">to </w:t>
      </w:r>
      <w:proofErr w:type="gramStart"/>
      <w:r w:rsidR="009D0900">
        <w:rPr>
          <w:rFonts w:ascii="Arial" w:hAnsi="Arial" w:cs="Arial"/>
        </w:rPr>
        <w:t>all of</w:t>
      </w:r>
      <w:proofErr w:type="gramEnd"/>
      <w:r w:rsidR="009D0900">
        <w:rPr>
          <w:rFonts w:ascii="Arial" w:hAnsi="Arial" w:cs="Arial"/>
        </w:rPr>
        <w:t xml:space="preserve"> the stakeholders involved.</w:t>
      </w:r>
    </w:p>
    <w:p w14:paraId="1AD9A819" w14:textId="77777777" w:rsidR="003416E9" w:rsidRDefault="00F23424" w:rsidP="00BE2DB5">
      <w:pPr>
        <w:jc w:val="both"/>
        <w:rPr>
          <w:rFonts w:ascii="Arial" w:hAnsi="Arial" w:cs="Arial"/>
        </w:rPr>
      </w:pPr>
      <w:r>
        <w:rPr>
          <w:rFonts w:ascii="Arial" w:hAnsi="Arial" w:cs="Arial"/>
        </w:rPr>
        <w:t xml:space="preserve">The advantages of </w:t>
      </w:r>
      <w:r w:rsidR="009D0900">
        <w:rPr>
          <w:rFonts w:ascii="Arial" w:hAnsi="Arial" w:cs="Arial"/>
        </w:rPr>
        <w:t xml:space="preserve">such formal restructuring procedures </w:t>
      </w:r>
      <w:r w:rsidR="00DD126D">
        <w:rPr>
          <w:rFonts w:ascii="Arial" w:hAnsi="Arial" w:cs="Arial"/>
        </w:rPr>
        <w:t xml:space="preserve">as opposed to out-of-court restructuring are </w:t>
      </w:r>
      <w:r w:rsidR="00D9460D">
        <w:rPr>
          <w:rFonts w:ascii="Arial" w:hAnsi="Arial" w:cs="Arial"/>
        </w:rPr>
        <w:t xml:space="preserve">as follows: </w:t>
      </w:r>
      <w:r w:rsidR="00DD126D">
        <w:rPr>
          <w:rFonts w:ascii="Arial" w:hAnsi="Arial" w:cs="Arial"/>
        </w:rPr>
        <w:t>a standstill can be imposed on all creditors, to facilitate</w:t>
      </w:r>
      <w:r w:rsidR="00384611">
        <w:rPr>
          <w:rFonts w:ascii="Arial" w:hAnsi="Arial" w:cs="Arial"/>
        </w:rPr>
        <w:t xml:space="preserve"> negotiations</w:t>
      </w:r>
      <w:r w:rsidR="00F36EED">
        <w:rPr>
          <w:rFonts w:ascii="Arial" w:hAnsi="Arial" w:cs="Arial"/>
        </w:rPr>
        <w:t>;</w:t>
      </w:r>
      <w:r w:rsidR="00384611">
        <w:rPr>
          <w:rFonts w:ascii="Arial" w:hAnsi="Arial" w:cs="Arial"/>
        </w:rPr>
        <w:t xml:space="preserve"> </w:t>
      </w:r>
      <w:r w:rsidR="00570EB2">
        <w:rPr>
          <w:rFonts w:ascii="Arial" w:hAnsi="Arial" w:cs="Arial"/>
        </w:rPr>
        <w:t xml:space="preserve">and </w:t>
      </w:r>
      <w:proofErr w:type="gramStart"/>
      <w:r w:rsidR="00570EB2">
        <w:rPr>
          <w:rFonts w:ascii="Arial" w:hAnsi="Arial" w:cs="Arial"/>
        </w:rPr>
        <w:t>a</w:t>
      </w:r>
      <w:proofErr w:type="gramEnd"/>
      <w:r w:rsidR="00570EB2">
        <w:rPr>
          <w:rFonts w:ascii="Arial" w:hAnsi="Arial" w:cs="Arial"/>
        </w:rPr>
        <w:t xml:space="preserve"> </w:t>
      </w:r>
      <w:r w:rsidR="00FA0BD0">
        <w:rPr>
          <w:rFonts w:ascii="Arial" w:hAnsi="Arial" w:cs="Arial"/>
        </w:rPr>
        <w:t>insolvency practitioner</w:t>
      </w:r>
      <w:r w:rsidR="00660E8F">
        <w:rPr>
          <w:rFonts w:ascii="Arial" w:hAnsi="Arial" w:cs="Arial"/>
        </w:rPr>
        <w:t>, who will add value to the restructuring process with his/ her expert</w:t>
      </w:r>
      <w:r w:rsidR="00CB2B7A">
        <w:rPr>
          <w:rFonts w:ascii="Arial" w:hAnsi="Arial" w:cs="Arial"/>
        </w:rPr>
        <w:t xml:space="preserve"> </w:t>
      </w:r>
      <w:proofErr w:type="spellStart"/>
      <w:r w:rsidR="00CB2B7A">
        <w:rPr>
          <w:rFonts w:ascii="Arial" w:hAnsi="Arial" w:cs="Arial"/>
        </w:rPr>
        <w:t>advise</w:t>
      </w:r>
      <w:proofErr w:type="spellEnd"/>
      <w:r w:rsidR="00CB2B7A">
        <w:rPr>
          <w:rFonts w:ascii="Arial" w:hAnsi="Arial" w:cs="Arial"/>
        </w:rPr>
        <w:t xml:space="preserve"> and independent monitoring</w:t>
      </w:r>
      <w:r w:rsidR="00660E8F">
        <w:rPr>
          <w:rFonts w:ascii="Arial" w:hAnsi="Arial" w:cs="Arial"/>
        </w:rPr>
        <w:t xml:space="preserve">, </w:t>
      </w:r>
      <w:r w:rsidR="00F36EED">
        <w:rPr>
          <w:rFonts w:ascii="Arial" w:hAnsi="Arial" w:cs="Arial"/>
        </w:rPr>
        <w:t>must always be appointed</w:t>
      </w:r>
      <w:r w:rsidR="00BE2DB5">
        <w:rPr>
          <w:rFonts w:ascii="Arial" w:hAnsi="Arial" w:cs="Arial"/>
        </w:rPr>
        <w:t>.</w:t>
      </w:r>
      <w:r w:rsidR="002F3F35">
        <w:rPr>
          <w:rFonts w:ascii="Arial" w:hAnsi="Arial" w:cs="Arial"/>
        </w:rPr>
        <w:t xml:space="preserve"> </w:t>
      </w:r>
    </w:p>
    <w:p w14:paraId="5791A714" w14:textId="1786F6B3" w:rsidR="00BE2DB5" w:rsidRPr="004F75B8" w:rsidRDefault="003416E9" w:rsidP="00BE2DB5">
      <w:pPr>
        <w:jc w:val="both"/>
        <w:rPr>
          <w:rFonts w:ascii="Arial" w:hAnsi="Arial" w:cs="Arial"/>
        </w:rPr>
      </w:pPr>
      <w:r>
        <w:rPr>
          <w:rFonts w:ascii="Arial" w:hAnsi="Arial" w:cs="Arial"/>
        </w:rPr>
        <w:t xml:space="preserve">In conclusion, it can be argued that while </w:t>
      </w:r>
      <w:r w:rsidR="00FD6DFE">
        <w:rPr>
          <w:rFonts w:ascii="Arial" w:hAnsi="Arial" w:cs="Arial"/>
        </w:rPr>
        <w:t xml:space="preserve">out-of-court restructurings can </w:t>
      </w:r>
      <w:r w:rsidR="00692A53">
        <w:rPr>
          <w:rFonts w:ascii="Arial" w:hAnsi="Arial" w:cs="Arial"/>
        </w:rPr>
        <w:t>offer immediate relief and more confidentiality</w:t>
      </w:r>
      <w:r w:rsidR="00FD6DFE">
        <w:rPr>
          <w:rFonts w:ascii="Arial" w:hAnsi="Arial" w:cs="Arial"/>
        </w:rPr>
        <w:t xml:space="preserve">, </w:t>
      </w:r>
      <w:r w:rsidR="002F3F35">
        <w:rPr>
          <w:rFonts w:ascii="Arial" w:hAnsi="Arial" w:cs="Arial"/>
        </w:rPr>
        <w:t xml:space="preserve">formal restructurings </w:t>
      </w:r>
      <w:r w:rsidR="00FD6DFE">
        <w:rPr>
          <w:rFonts w:ascii="Arial" w:hAnsi="Arial" w:cs="Arial"/>
        </w:rPr>
        <w:t>can be more</w:t>
      </w:r>
      <w:r w:rsidR="002F3F35">
        <w:rPr>
          <w:rFonts w:ascii="Arial" w:hAnsi="Arial" w:cs="Arial"/>
        </w:rPr>
        <w:t xml:space="preserve"> efficient</w:t>
      </w:r>
      <w:r w:rsidR="009D4D43">
        <w:rPr>
          <w:rFonts w:ascii="Arial" w:hAnsi="Arial" w:cs="Arial"/>
        </w:rPr>
        <w:t xml:space="preserve"> in the long run</w:t>
      </w:r>
      <w:proofErr w:type="gramStart"/>
      <w:r w:rsidR="009D4D43">
        <w:rPr>
          <w:rFonts w:ascii="Arial" w:hAnsi="Arial" w:cs="Arial"/>
        </w:rPr>
        <w:t>.</w:t>
      </w:r>
      <w:r w:rsidR="002F3F35">
        <w:rPr>
          <w:rFonts w:ascii="Arial" w:hAnsi="Arial" w:cs="Arial"/>
        </w:rPr>
        <w:t xml:space="preserve"> </w:t>
      </w:r>
      <w:r w:rsidR="00BE2DB5">
        <w:rPr>
          <w:rFonts w:ascii="Arial" w:hAnsi="Arial" w:cs="Arial"/>
        </w:rPr>
        <w:t xml:space="preserve"> </w:t>
      </w:r>
      <w:proofErr w:type="gramEnd"/>
    </w:p>
    <w:p w14:paraId="30B0A675" w14:textId="77777777" w:rsidR="00C3284B" w:rsidRDefault="00C3284B" w:rsidP="006216F1">
      <w:pPr>
        <w:spacing w:after="0" w:line="240" w:lineRule="auto"/>
        <w:jc w:val="both"/>
        <w:rPr>
          <w:rFonts w:ascii="Arial" w:hAnsi="Arial" w:cs="Arial"/>
          <w:b/>
          <w:bCs/>
          <w:color w:val="4472C4" w:themeColor="accent1"/>
        </w:rPr>
      </w:pPr>
    </w:p>
    <w:p w14:paraId="733B5C51" w14:textId="77777777" w:rsidR="00C3284B" w:rsidRPr="00C3284B" w:rsidRDefault="00C3284B" w:rsidP="006216F1">
      <w:pPr>
        <w:spacing w:after="0" w:line="240" w:lineRule="auto"/>
        <w:jc w:val="both"/>
        <w:rPr>
          <w:rFonts w:ascii="Arial" w:hAnsi="Arial" w:cs="Arial"/>
          <w:b/>
          <w:bCs/>
          <w:color w:val="4472C4" w:themeColor="accent1"/>
        </w:rPr>
      </w:pPr>
    </w:p>
    <w:p w14:paraId="5F0AFEA2" w14:textId="77777777" w:rsidR="001F208A" w:rsidRDefault="00850590" w:rsidP="006216F1">
      <w:pPr>
        <w:pStyle w:val="ListParagraph"/>
        <w:numPr>
          <w:ilvl w:val="0"/>
          <w:numId w:val="2"/>
        </w:numPr>
        <w:spacing w:after="0" w:line="240" w:lineRule="auto"/>
        <w:jc w:val="both"/>
        <w:rPr>
          <w:rFonts w:ascii="Arial" w:hAnsi="Arial" w:cs="Arial"/>
          <w:b/>
          <w:bCs/>
        </w:rPr>
      </w:pPr>
      <w:r>
        <w:rPr>
          <w:rFonts w:ascii="Arial" w:hAnsi="Arial" w:cs="Arial"/>
          <w:b/>
          <w:bCs/>
        </w:rPr>
        <w:t xml:space="preserve">Were the turnaround/ reorganization approaches as presented in the reading material (see </w:t>
      </w:r>
      <w:proofErr w:type="gramStart"/>
      <w:r>
        <w:rPr>
          <w:rFonts w:ascii="Arial" w:hAnsi="Arial" w:cs="Arial"/>
          <w:b/>
          <w:bCs/>
        </w:rPr>
        <w:t>e.g.</w:t>
      </w:r>
      <w:proofErr w:type="gramEnd"/>
      <w:r w:rsidR="00305740">
        <w:rPr>
          <w:rFonts w:ascii="Arial" w:hAnsi="Arial" w:cs="Arial"/>
          <w:b/>
          <w:bCs/>
        </w:rPr>
        <w:t xml:space="preserve"> </w:t>
      </w:r>
      <w:proofErr w:type="spellStart"/>
      <w:r w:rsidR="0084061C">
        <w:rPr>
          <w:rFonts w:ascii="Arial" w:hAnsi="Arial" w:cs="Arial"/>
          <w:b/>
          <w:bCs/>
        </w:rPr>
        <w:t>Adriaanse</w:t>
      </w:r>
      <w:proofErr w:type="spellEnd"/>
      <w:r w:rsidR="0084061C">
        <w:rPr>
          <w:rFonts w:ascii="Arial" w:hAnsi="Arial" w:cs="Arial"/>
          <w:b/>
          <w:bCs/>
        </w:rPr>
        <w:t xml:space="preserve"> &amp; </w:t>
      </w:r>
      <w:proofErr w:type="spellStart"/>
      <w:r w:rsidR="0084061C">
        <w:rPr>
          <w:rFonts w:ascii="Arial" w:hAnsi="Arial" w:cs="Arial"/>
          <w:b/>
          <w:bCs/>
        </w:rPr>
        <w:t>Kui</w:t>
      </w:r>
      <w:r w:rsidR="000F6C42">
        <w:rPr>
          <w:rFonts w:ascii="Arial" w:hAnsi="Arial" w:cs="Arial"/>
          <w:b/>
          <w:bCs/>
        </w:rPr>
        <w:t>jl</w:t>
      </w:r>
      <w:proofErr w:type="spellEnd"/>
      <w:r w:rsidR="000F6C42">
        <w:rPr>
          <w:rFonts w:ascii="Arial" w:hAnsi="Arial" w:cs="Arial"/>
          <w:b/>
          <w:bCs/>
        </w:rPr>
        <w:t xml:space="preserve">, 2006, </w:t>
      </w:r>
      <w:proofErr w:type="spellStart"/>
      <w:r w:rsidR="000F6C42">
        <w:rPr>
          <w:rFonts w:ascii="Arial" w:hAnsi="Arial" w:cs="Arial"/>
          <w:b/>
          <w:bCs/>
        </w:rPr>
        <w:t>Sudarsanam</w:t>
      </w:r>
      <w:proofErr w:type="spellEnd"/>
      <w:r w:rsidR="000F6C42">
        <w:rPr>
          <w:rFonts w:ascii="Arial" w:hAnsi="Arial" w:cs="Arial"/>
          <w:b/>
          <w:bCs/>
        </w:rPr>
        <w:t>, s, Lai, J., 2001, Schmi</w:t>
      </w:r>
      <w:r w:rsidR="00393269">
        <w:rPr>
          <w:rFonts w:ascii="Arial" w:hAnsi="Arial" w:cs="Arial"/>
          <w:b/>
          <w:bCs/>
        </w:rPr>
        <w:t xml:space="preserve">tt, A., </w:t>
      </w:r>
      <w:proofErr w:type="spellStart"/>
      <w:r w:rsidR="00393269">
        <w:rPr>
          <w:rFonts w:ascii="Arial" w:hAnsi="Arial" w:cs="Arial"/>
          <w:b/>
          <w:bCs/>
        </w:rPr>
        <w:t>Raisch</w:t>
      </w:r>
      <w:proofErr w:type="spellEnd"/>
      <w:r w:rsidR="00393269">
        <w:rPr>
          <w:rFonts w:ascii="Arial" w:hAnsi="Arial" w:cs="Arial"/>
          <w:b/>
          <w:bCs/>
        </w:rPr>
        <w:t>, S., 2013) applied in this case?</w:t>
      </w:r>
      <w:r w:rsidR="00305740">
        <w:rPr>
          <w:rFonts w:ascii="Arial" w:hAnsi="Arial" w:cs="Arial"/>
          <w:b/>
          <w:bCs/>
        </w:rPr>
        <w:t xml:space="preserve"> </w:t>
      </w:r>
      <w:r w:rsidR="001F208A">
        <w:rPr>
          <w:rFonts w:ascii="Arial" w:hAnsi="Arial" w:cs="Arial"/>
          <w:b/>
          <w:bCs/>
        </w:rPr>
        <w:t xml:space="preserve">If yes, explain in what way. If no, detail what in your opinion should have been done differently. </w:t>
      </w:r>
    </w:p>
    <w:p w14:paraId="68D6A08D" w14:textId="77777777" w:rsidR="006216F1" w:rsidRDefault="006216F1" w:rsidP="006216F1">
      <w:pPr>
        <w:spacing w:after="0" w:line="240" w:lineRule="auto"/>
        <w:jc w:val="both"/>
        <w:rPr>
          <w:rFonts w:ascii="Arial" w:hAnsi="Arial" w:cs="Arial"/>
          <w:b/>
          <w:bCs/>
        </w:rPr>
      </w:pPr>
    </w:p>
    <w:p w14:paraId="20C8C45A" w14:textId="3A394033" w:rsidR="00EA6001" w:rsidRDefault="00D62012" w:rsidP="006216F1">
      <w:pPr>
        <w:spacing w:after="0" w:line="240" w:lineRule="auto"/>
        <w:jc w:val="both"/>
        <w:rPr>
          <w:rFonts w:ascii="Arial" w:hAnsi="Arial" w:cs="Arial"/>
        </w:rPr>
      </w:pPr>
      <w:r>
        <w:rPr>
          <w:rFonts w:ascii="Arial" w:hAnsi="Arial" w:cs="Arial"/>
        </w:rPr>
        <w:t xml:space="preserve">The first reaction </w:t>
      </w:r>
      <w:r w:rsidR="0076691D">
        <w:rPr>
          <w:rFonts w:ascii="Arial" w:hAnsi="Arial" w:cs="Arial"/>
        </w:rPr>
        <w:t xml:space="preserve">by the management of </w:t>
      </w:r>
      <w:r>
        <w:rPr>
          <w:rFonts w:ascii="Arial" w:hAnsi="Arial" w:cs="Arial"/>
        </w:rPr>
        <w:t>Flow Management</w:t>
      </w:r>
      <w:r w:rsidR="007D465E">
        <w:rPr>
          <w:rFonts w:ascii="Arial" w:hAnsi="Arial" w:cs="Arial"/>
        </w:rPr>
        <w:t xml:space="preserve"> after having identified the critical problems that caused the </w:t>
      </w:r>
      <w:r w:rsidR="00E278D3">
        <w:rPr>
          <w:rFonts w:ascii="Arial" w:hAnsi="Arial" w:cs="Arial"/>
        </w:rPr>
        <w:t xml:space="preserve">financial </w:t>
      </w:r>
      <w:r w:rsidR="007D465E">
        <w:rPr>
          <w:rFonts w:ascii="Arial" w:hAnsi="Arial" w:cs="Arial"/>
        </w:rPr>
        <w:t>distress</w:t>
      </w:r>
      <w:r w:rsidR="00E278D3">
        <w:rPr>
          <w:rFonts w:ascii="Arial" w:hAnsi="Arial" w:cs="Arial"/>
        </w:rPr>
        <w:t xml:space="preserve"> was to </w:t>
      </w:r>
      <w:r w:rsidR="00975F49">
        <w:rPr>
          <w:rFonts w:ascii="Arial" w:hAnsi="Arial" w:cs="Arial"/>
        </w:rPr>
        <w:t xml:space="preserve">adopt </w:t>
      </w:r>
      <w:r w:rsidR="00A81B90">
        <w:rPr>
          <w:rFonts w:ascii="Arial" w:hAnsi="Arial" w:cs="Arial"/>
        </w:rPr>
        <w:t>immediate relief solutions to ‘stop the bleeding’. In particular</w:t>
      </w:r>
      <w:r w:rsidR="00106FB1">
        <w:rPr>
          <w:rFonts w:ascii="Arial" w:hAnsi="Arial" w:cs="Arial"/>
        </w:rPr>
        <w:t>,</w:t>
      </w:r>
      <w:r w:rsidR="00A81B90">
        <w:rPr>
          <w:rFonts w:ascii="Arial" w:hAnsi="Arial" w:cs="Arial"/>
        </w:rPr>
        <w:t xml:space="preserve"> the</w:t>
      </w:r>
      <w:r w:rsidR="002C6D83">
        <w:rPr>
          <w:rFonts w:ascii="Arial" w:hAnsi="Arial" w:cs="Arial"/>
        </w:rPr>
        <w:t xml:space="preserve"> plan adopted was to negotiate with </w:t>
      </w:r>
      <w:r w:rsidR="00D04653">
        <w:rPr>
          <w:rFonts w:ascii="Arial" w:hAnsi="Arial" w:cs="Arial"/>
        </w:rPr>
        <w:t>their main clients on price increases and to implement spending cuts</w:t>
      </w:r>
      <w:r w:rsidR="00EA6001">
        <w:rPr>
          <w:rFonts w:ascii="Arial" w:hAnsi="Arial" w:cs="Arial"/>
        </w:rPr>
        <w:t xml:space="preserve"> to stabilize the situation</w:t>
      </w:r>
      <w:r w:rsidR="00D04653">
        <w:rPr>
          <w:rFonts w:ascii="Arial" w:hAnsi="Arial" w:cs="Arial"/>
        </w:rPr>
        <w:t>.</w:t>
      </w:r>
      <w:r w:rsidR="00EA6001">
        <w:rPr>
          <w:rFonts w:ascii="Arial" w:hAnsi="Arial" w:cs="Arial"/>
        </w:rPr>
        <w:t xml:space="preserve"> </w:t>
      </w:r>
      <w:r w:rsidR="001D5C6F">
        <w:rPr>
          <w:rFonts w:ascii="Arial" w:hAnsi="Arial" w:cs="Arial"/>
        </w:rPr>
        <w:t>This was then implemented within just one month</w:t>
      </w:r>
      <w:r w:rsidR="00106FB1">
        <w:rPr>
          <w:rFonts w:ascii="Arial" w:hAnsi="Arial" w:cs="Arial"/>
        </w:rPr>
        <w:t xml:space="preserve">, </w:t>
      </w:r>
      <w:proofErr w:type="gramStart"/>
      <w:r w:rsidR="00106FB1">
        <w:rPr>
          <w:rFonts w:ascii="Arial" w:hAnsi="Arial" w:cs="Arial"/>
        </w:rPr>
        <w:t>including also</w:t>
      </w:r>
      <w:proofErr w:type="gramEnd"/>
      <w:r w:rsidR="00106FB1">
        <w:rPr>
          <w:rFonts w:ascii="Arial" w:hAnsi="Arial" w:cs="Arial"/>
        </w:rPr>
        <w:t xml:space="preserve"> </w:t>
      </w:r>
      <w:r w:rsidR="00ED4426">
        <w:rPr>
          <w:rFonts w:ascii="Arial" w:hAnsi="Arial" w:cs="Arial"/>
        </w:rPr>
        <w:t>some job cuts</w:t>
      </w:r>
      <w:r w:rsidR="006760EA">
        <w:rPr>
          <w:rFonts w:ascii="Arial" w:hAnsi="Arial" w:cs="Arial"/>
        </w:rPr>
        <w:t xml:space="preserve">, </w:t>
      </w:r>
      <w:r w:rsidR="00EF197C">
        <w:rPr>
          <w:rFonts w:ascii="Arial" w:hAnsi="Arial" w:cs="Arial"/>
        </w:rPr>
        <w:t>higher excess premiums</w:t>
      </w:r>
      <w:r w:rsidR="006760EA">
        <w:rPr>
          <w:rFonts w:ascii="Arial" w:hAnsi="Arial" w:cs="Arial"/>
        </w:rPr>
        <w:t>, saving on car repairs.</w:t>
      </w:r>
      <w:r w:rsidR="002E45A0">
        <w:rPr>
          <w:rFonts w:ascii="Arial" w:hAnsi="Arial" w:cs="Arial"/>
        </w:rPr>
        <w:t xml:space="preserve"> </w:t>
      </w:r>
      <w:r w:rsidR="00F04448">
        <w:rPr>
          <w:rFonts w:ascii="Arial" w:hAnsi="Arial" w:cs="Arial"/>
        </w:rPr>
        <w:t xml:space="preserve">This is consistent </w:t>
      </w:r>
      <w:r w:rsidR="00863BBF">
        <w:rPr>
          <w:rFonts w:ascii="Arial" w:hAnsi="Arial" w:cs="Arial"/>
        </w:rPr>
        <w:t>w</w:t>
      </w:r>
      <w:r w:rsidR="00951F43">
        <w:rPr>
          <w:rFonts w:ascii="Arial" w:hAnsi="Arial" w:cs="Arial"/>
        </w:rPr>
        <w:t xml:space="preserve">ith the sequential perspective analysed by </w:t>
      </w:r>
      <w:r w:rsidR="00863BBF" w:rsidRPr="00C50673">
        <w:rPr>
          <w:rFonts w:ascii="Arial" w:hAnsi="Arial" w:cs="Arial"/>
        </w:rPr>
        <w:t xml:space="preserve">Schmitt, A., </w:t>
      </w:r>
      <w:proofErr w:type="spellStart"/>
      <w:r w:rsidR="00863BBF" w:rsidRPr="00C50673">
        <w:rPr>
          <w:rFonts w:ascii="Arial" w:hAnsi="Arial" w:cs="Arial"/>
        </w:rPr>
        <w:t>Raisch</w:t>
      </w:r>
      <w:proofErr w:type="spellEnd"/>
      <w:r w:rsidR="00863BBF" w:rsidRPr="00C50673">
        <w:rPr>
          <w:rFonts w:ascii="Arial" w:hAnsi="Arial" w:cs="Arial"/>
        </w:rPr>
        <w:t xml:space="preserve">, S., 2013 </w:t>
      </w:r>
      <w:r w:rsidR="00863BBF" w:rsidRPr="00C50673">
        <w:rPr>
          <w:rStyle w:val="FootnoteReference"/>
          <w:rFonts w:ascii="Arial" w:hAnsi="Arial" w:cs="Arial"/>
        </w:rPr>
        <w:footnoteReference w:id="9"/>
      </w:r>
      <w:r w:rsidR="00863BBF" w:rsidRPr="00C50673">
        <w:rPr>
          <w:rFonts w:ascii="Arial" w:hAnsi="Arial" w:cs="Arial"/>
        </w:rPr>
        <w:t xml:space="preserve"> </w:t>
      </w:r>
      <w:r w:rsidR="00863BBF">
        <w:rPr>
          <w:rFonts w:ascii="Arial" w:hAnsi="Arial" w:cs="Arial"/>
        </w:rPr>
        <w:t>suggesting that</w:t>
      </w:r>
      <w:r w:rsidR="0036501C">
        <w:rPr>
          <w:rFonts w:ascii="Arial" w:hAnsi="Arial" w:cs="Arial"/>
        </w:rPr>
        <w:t xml:space="preserve"> turnarounds start with retrenchment activities, while recovery measures follow </w:t>
      </w:r>
      <w:r w:rsidR="00AB1151">
        <w:rPr>
          <w:rFonts w:ascii="Arial" w:hAnsi="Arial" w:cs="Arial"/>
        </w:rPr>
        <w:t xml:space="preserve">right after. At the same time, it is evident that </w:t>
      </w:r>
      <w:r w:rsidR="000274D1" w:rsidRPr="00C50673">
        <w:rPr>
          <w:rFonts w:ascii="Arial" w:hAnsi="Arial" w:cs="Arial"/>
        </w:rPr>
        <w:t xml:space="preserve">the </w:t>
      </w:r>
      <w:r w:rsidR="00F01133">
        <w:rPr>
          <w:rFonts w:ascii="Arial" w:hAnsi="Arial" w:cs="Arial"/>
        </w:rPr>
        <w:t xml:space="preserve">Dutch model to </w:t>
      </w:r>
      <w:r w:rsidR="00FA35E4">
        <w:rPr>
          <w:rFonts w:ascii="Arial" w:hAnsi="Arial" w:cs="Arial"/>
        </w:rPr>
        <w:t xml:space="preserve">informal </w:t>
      </w:r>
      <w:r w:rsidR="00F01133">
        <w:rPr>
          <w:rFonts w:ascii="Arial" w:hAnsi="Arial" w:cs="Arial"/>
        </w:rPr>
        <w:t xml:space="preserve">reorganisation </w:t>
      </w:r>
      <w:r w:rsidR="00A95799">
        <w:rPr>
          <w:rFonts w:ascii="Arial" w:hAnsi="Arial" w:cs="Arial"/>
        </w:rPr>
        <w:t>set forth by</w:t>
      </w:r>
      <w:r w:rsidR="000274D1" w:rsidRPr="00C50673">
        <w:rPr>
          <w:rFonts w:ascii="Arial" w:hAnsi="Arial" w:cs="Arial"/>
        </w:rPr>
        <w:t xml:space="preserve"> </w:t>
      </w:r>
      <w:proofErr w:type="spellStart"/>
      <w:r w:rsidR="000274D1" w:rsidRPr="00C50673">
        <w:rPr>
          <w:rFonts w:ascii="Arial" w:hAnsi="Arial" w:cs="Arial"/>
        </w:rPr>
        <w:t>Adriaanse</w:t>
      </w:r>
      <w:proofErr w:type="spellEnd"/>
      <w:r w:rsidR="000274D1" w:rsidRPr="00C50673">
        <w:rPr>
          <w:rFonts w:ascii="Arial" w:hAnsi="Arial" w:cs="Arial"/>
        </w:rPr>
        <w:t xml:space="preserve"> &amp; </w:t>
      </w:r>
      <w:proofErr w:type="spellStart"/>
      <w:r w:rsidR="000274D1" w:rsidRPr="00C50673">
        <w:rPr>
          <w:rFonts w:ascii="Arial" w:hAnsi="Arial" w:cs="Arial"/>
        </w:rPr>
        <w:t>Kuijl</w:t>
      </w:r>
      <w:proofErr w:type="spellEnd"/>
      <w:r w:rsidR="000274D1" w:rsidRPr="00C50673">
        <w:rPr>
          <w:rFonts w:ascii="Arial" w:hAnsi="Arial" w:cs="Arial"/>
        </w:rPr>
        <w:t xml:space="preserve">, 2006 </w:t>
      </w:r>
      <w:r w:rsidR="000274D1">
        <w:rPr>
          <w:rStyle w:val="FootnoteReference"/>
          <w:rFonts w:ascii="Arial" w:hAnsi="Arial" w:cs="Arial"/>
        </w:rPr>
        <w:footnoteReference w:id="10"/>
      </w:r>
      <w:r w:rsidR="000274D1">
        <w:rPr>
          <w:rFonts w:ascii="Arial" w:hAnsi="Arial" w:cs="Arial"/>
        </w:rPr>
        <w:t xml:space="preserve"> </w:t>
      </w:r>
      <w:r w:rsidR="00A95799">
        <w:rPr>
          <w:rFonts w:ascii="Arial" w:hAnsi="Arial" w:cs="Arial"/>
        </w:rPr>
        <w:t xml:space="preserve">was also followed </w:t>
      </w:r>
      <w:r w:rsidR="00FA35E4">
        <w:rPr>
          <w:rFonts w:ascii="Arial" w:hAnsi="Arial" w:cs="Arial"/>
        </w:rPr>
        <w:t>as these</w:t>
      </w:r>
      <w:r w:rsidR="001C469A">
        <w:rPr>
          <w:rFonts w:ascii="Arial" w:hAnsi="Arial" w:cs="Arial"/>
        </w:rPr>
        <w:t xml:space="preserve"> initial measures </w:t>
      </w:r>
      <w:r w:rsidR="00D911C2">
        <w:rPr>
          <w:rFonts w:ascii="Arial" w:hAnsi="Arial" w:cs="Arial"/>
        </w:rPr>
        <w:t>were aimed</w:t>
      </w:r>
      <w:r w:rsidR="001C469A">
        <w:rPr>
          <w:rFonts w:ascii="Arial" w:hAnsi="Arial" w:cs="Arial"/>
        </w:rPr>
        <w:t xml:space="preserve"> </w:t>
      </w:r>
      <w:r w:rsidR="00D911C2">
        <w:rPr>
          <w:rFonts w:ascii="Arial" w:hAnsi="Arial" w:cs="Arial"/>
        </w:rPr>
        <w:t xml:space="preserve">to </w:t>
      </w:r>
      <w:r w:rsidR="001C469A">
        <w:rPr>
          <w:rFonts w:ascii="Arial" w:hAnsi="Arial" w:cs="Arial"/>
        </w:rPr>
        <w:t xml:space="preserve">stabilize the </w:t>
      </w:r>
      <w:r w:rsidR="000274D1">
        <w:rPr>
          <w:rFonts w:ascii="Arial" w:hAnsi="Arial" w:cs="Arial"/>
        </w:rPr>
        <w:t>situation</w:t>
      </w:r>
      <w:r w:rsidR="00D911C2">
        <w:rPr>
          <w:rFonts w:ascii="Arial" w:hAnsi="Arial" w:cs="Arial"/>
        </w:rPr>
        <w:t>.</w:t>
      </w:r>
      <w:r w:rsidR="005D0A72">
        <w:rPr>
          <w:rFonts w:ascii="Arial" w:hAnsi="Arial" w:cs="Arial"/>
        </w:rPr>
        <w:t xml:space="preserve"> </w:t>
      </w:r>
    </w:p>
    <w:p w14:paraId="220E71E7" w14:textId="77777777" w:rsidR="000C206E" w:rsidRDefault="000C206E" w:rsidP="006216F1">
      <w:pPr>
        <w:spacing w:after="0" w:line="240" w:lineRule="auto"/>
        <w:jc w:val="both"/>
        <w:rPr>
          <w:rFonts w:ascii="Arial" w:hAnsi="Arial" w:cs="Arial"/>
        </w:rPr>
      </w:pPr>
    </w:p>
    <w:p w14:paraId="327269A7" w14:textId="607E65F0" w:rsidR="006216F1" w:rsidRDefault="00827AAC" w:rsidP="006216F1">
      <w:pPr>
        <w:spacing w:after="0" w:line="240" w:lineRule="auto"/>
        <w:jc w:val="both"/>
        <w:rPr>
          <w:rFonts w:ascii="Arial" w:hAnsi="Arial" w:cs="Arial"/>
        </w:rPr>
      </w:pPr>
      <w:r>
        <w:rPr>
          <w:rFonts w:ascii="Arial" w:hAnsi="Arial" w:cs="Arial"/>
        </w:rPr>
        <w:t>S</w:t>
      </w:r>
      <w:r w:rsidR="003343E9">
        <w:rPr>
          <w:rFonts w:ascii="Arial" w:hAnsi="Arial" w:cs="Arial"/>
        </w:rPr>
        <w:t>imultaneously</w:t>
      </w:r>
      <w:r>
        <w:rPr>
          <w:rFonts w:ascii="Arial" w:hAnsi="Arial" w:cs="Arial"/>
        </w:rPr>
        <w:t xml:space="preserve"> with </w:t>
      </w:r>
      <w:r w:rsidR="0035651D">
        <w:rPr>
          <w:rFonts w:ascii="Arial" w:hAnsi="Arial" w:cs="Arial"/>
        </w:rPr>
        <w:t xml:space="preserve">adopting these immediate relief solutions, </w:t>
      </w:r>
      <w:r>
        <w:rPr>
          <w:rFonts w:ascii="Arial" w:hAnsi="Arial" w:cs="Arial"/>
        </w:rPr>
        <w:t>Flow Management hired a</w:t>
      </w:r>
      <w:r w:rsidR="0035651D">
        <w:rPr>
          <w:rFonts w:ascii="Arial" w:hAnsi="Arial" w:cs="Arial"/>
        </w:rPr>
        <w:t>n independent turnaround consulta</w:t>
      </w:r>
      <w:r w:rsidR="009313FB">
        <w:rPr>
          <w:rFonts w:ascii="Arial" w:hAnsi="Arial" w:cs="Arial"/>
        </w:rPr>
        <w:t xml:space="preserve">ncy agency </w:t>
      </w:r>
      <w:r w:rsidR="001576EC">
        <w:rPr>
          <w:rFonts w:ascii="Arial" w:hAnsi="Arial" w:cs="Arial"/>
        </w:rPr>
        <w:t xml:space="preserve">that proceeded to analyse and assess the situation and concluded </w:t>
      </w:r>
      <w:r w:rsidR="00AD157F">
        <w:rPr>
          <w:rFonts w:ascii="Arial" w:hAnsi="Arial" w:cs="Arial"/>
        </w:rPr>
        <w:t xml:space="preserve">that the company is viable. </w:t>
      </w:r>
      <w:r w:rsidR="00763DC3">
        <w:rPr>
          <w:rFonts w:ascii="Arial" w:hAnsi="Arial" w:cs="Arial"/>
        </w:rPr>
        <w:t xml:space="preserve">This </w:t>
      </w:r>
      <w:r w:rsidR="00E6043C">
        <w:rPr>
          <w:rFonts w:ascii="Arial" w:hAnsi="Arial" w:cs="Arial"/>
        </w:rPr>
        <w:t>is in fact the second step to be pursuit in an informal reorganisation</w:t>
      </w:r>
      <w:r w:rsidR="00C74690">
        <w:rPr>
          <w:rFonts w:ascii="Arial" w:hAnsi="Arial" w:cs="Arial"/>
        </w:rPr>
        <w:t xml:space="preserve"> according to </w:t>
      </w:r>
      <w:proofErr w:type="spellStart"/>
      <w:r w:rsidR="00C74690">
        <w:rPr>
          <w:rFonts w:ascii="Arial" w:hAnsi="Arial" w:cs="Arial"/>
        </w:rPr>
        <w:t>Adriaanse</w:t>
      </w:r>
      <w:proofErr w:type="spellEnd"/>
      <w:r w:rsidR="00C74690">
        <w:rPr>
          <w:rFonts w:ascii="Arial" w:hAnsi="Arial" w:cs="Arial"/>
        </w:rPr>
        <w:t xml:space="preserve"> &amp; </w:t>
      </w:r>
      <w:proofErr w:type="spellStart"/>
      <w:r w:rsidR="00C74690">
        <w:rPr>
          <w:rFonts w:ascii="Arial" w:hAnsi="Arial" w:cs="Arial"/>
        </w:rPr>
        <w:t>Kuijil</w:t>
      </w:r>
      <w:proofErr w:type="spellEnd"/>
      <w:r w:rsidR="00C74690">
        <w:rPr>
          <w:rFonts w:ascii="Arial" w:hAnsi="Arial" w:cs="Arial"/>
        </w:rPr>
        <w:t>, 2006</w:t>
      </w:r>
      <w:r w:rsidR="00A14213">
        <w:rPr>
          <w:rStyle w:val="FootnoteReference"/>
          <w:rFonts w:ascii="Arial" w:hAnsi="Arial" w:cs="Arial"/>
        </w:rPr>
        <w:footnoteReference w:id="11"/>
      </w:r>
      <w:r w:rsidR="00876D27">
        <w:rPr>
          <w:rFonts w:ascii="Arial" w:hAnsi="Arial" w:cs="Arial"/>
        </w:rPr>
        <w:t xml:space="preserve">. At the same time, recruiting an </w:t>
      </w:r>
      <w:r w:rsidR="00642D5E">
        <w:rPr>
          <w:rFonts w:ascii="Arial" w:hAnsi="Arial" w:cs="Arial"/>
        </w:rPr>
        <w:t>independent expert to consult on the recovery</w:t>
      </w:r>
      <w:r w:rsidR="00D14DD9">
        <w:rPr>
          <w:rFonts w:ascii="Arial" w:hAnsi="Arial" w:cs="Arial"/>
        </w:rPr>
        <w:t xml:space="preserve"> in</w:t>
      </w:r>
      <w:r w:rsidR="00A64E06">
        <w:rPr>
          <w:rFonts w:ascii="Arial" w:hAnsi="Arial" w:cs="Arial"/>
        </w:rPr>
        <w:t>dicates</w:t>
      </w:r>
      <w:r w:rsidR="00642D5E">
        <w:rPr>
          <w:rFonts w:ascii="Arial" w:hAnsi="Arial" w:cs="Arial"/>
        </w:rPr>
        <w:t xml:space="preserve"> </w:t>
      </w:r>
      <w:r w:rsidR="008815FD">
        <w:rPr>
          <w:rFonts w:ascii="Arial" w:hAnsi="Arial" w:cs="Arial"/>
        </w:rPr>
        <w:t>using a recovery technique to drive retrenchment</w:t>
      </w:r>
      <w:r w:rsidR="00A64E06">
        <w:rPr>
          <w:rFonts w:ascii="Arial" w:hAnsi="Arial" w:cs="Arial"/>
        </w:rPr>
        <w:t xml:space="preserve"> activities</w:t>
      </w:r>
      <w:r w:rsidR="008815FD">
        <w:rPr>
          <w:rFonts w:ascii="Arial" w:hAnsi="Arial" w:cs="Arial"/>
        </w:rPr>
        <w:t xml:space="preserve">, which is consistent with </w:t>
      </w:r>
      <w:r w:rsidR="00A14213" w:rsidRPr="00C50673">
        <w:rPr>
          <w:rFonts w:ascii="Arial" w:hAnsi="Arial" w:cs="Arial"/>
        </w:rPr>
        <w:t xml:space="preserve">Schmitt, A., </w:t>
      </w:r>
      <w:proofErr w:type="spellStart"/>
      <w:r w:rsidR="00A14213" w:rsidRPr="00C50673">
        <w:rPr>
          <w:rFonts w:ascii="Arial" w:hAnsi="Arial" w:cs="Arial"/>
        </w:rPr>
        <w:t>Raisch</w:t>
      </w:r>
      <w:proofErr w:type="spellEnd"/>
      <w:r w:rsidR="00A14213" w:rsidRPr="00C50673">
        <w:rPr>
          <w:rFonts w:ascii="Arial" w:hAnsi="Arial" w:cs="Arial"/>
        </w:rPr>
        <w:t>, S., 2013</w:t>
      </w:r>
      <w:r w:rsidR="00A14213">
        <w:rPr>
          <w:rStyle w:val="FootnoteReference"/>
          <w:rFonts w:ascii="Arial" w:hAnsi="Arial" w:cs="Arial"/>
        </w:rPr>
        <w:footnoteReference w:id="12"/>
      </w:r>
      <w:r w:rsidR="006B579B">
        <w:rPr>
          <w:rFonts w:ascii="Arial" w:hAnsi="Arial" w:cs="Arial"/>
        </w:rPr>
        <w:t xml:space="preserve"> theory o</w:t>
      </w:r>
      <w:r w:rsidR="006469D5">
        <w:rPr>
          <w:rFonts w:ascii="Arial" w:hAnsi="Arial" w:cs="Arial"/>
        </w:rPr>
        <w:t>n the duality of retrenchment and recovery.</w:t>
      </w:r>
    </w:p>
    <w:p w14:paraId="2CB77486" w14:textId="77777777" w:rsidR="006469D5" w:rsidRDefault="006469D5" w:rsidP="006216F1">
      <w:pPr>
        <w:spacing w:after="0" w:line="240" w:lineRule="auto"/>
        <w:jc w:val="both"/>
        <w:rPr>
          <w:rFonts w:ascii="Arial" w:hAnsi="Arial" w:cs="Arial"/>
        </w:rPr>
      </w:pPr>
    </w:p>
    <w:p w14:paraId="569A1AE3" w14:textId="77777777" w:rsidR="00CC6397" w:rsidRDefault="00825BC8" w:rsidP="00DD12F4">
      <w:pPr>
        <w:spacing w:after="0" w:line="240" w:lineRule="auto"/>
        <w:jc w:val="both"/>
        <w:rPr>
          <w:rFonts w:ascii="Arial" w:hAnsi="Arial" w:cs="Arial"/>
        </w:rPr>
      </w:pPr>
      <w:r>
        <w:rPr>
          <w:rFonts w:ascii="Arial" w:hAnsi="Arial" w:cs="Arial"/>
        </w:rPr>
        <w:t xml:space="preserve">This pattern is then repeated by </w:t>
      </w:r>
      <w:r w:rsidR="00DD12F4">
        <w:rPr>
          <w:rFonts w:ascii="Arial" w:hAnsi="Arial" w:cs="Arial"/>
        </w:rPr>
        <w:t xml:space="preserve">the Shareholder that responds with </w:t>
      </w:r>
      <w:r w:rsidR="00B6429F">
        <w:rPr>
          <w:rFonts w:ascii="Arial" w:hAnsi="Arial" w:cs="Arial"/>
        </w:rPr>
        <w:t xml:space="preserve">concurrent </w:t>
      </w:r>
      <w:r w:rsidR="000962AF">
        <w:rPr>
          <w:rFonts w:ascii="Arial" w:hAnsi="Arial" w:cs="Arial"/>
        </w:rPr>
        <w:t>changes</w:t>
      </w:r>
      <w:r w:rsidR="00DD12F4">
        <w:rPr>
          <w:rFonts w:ascii="Arial" w:hAnsi="Arial" w:cs="Arial"/>
        </w:rPr>
        <w:t xml:space="preserve"> in </w:t>
      </w:r>
      <w:r w:rsidR="000962AF">
        <w:rPr>
          <w:rFonts w:ascii="Arial" w:hAnsi="Arial" w:cs="Arial"/>
        </w:rPr>
        <w:t xml:space="preserve">the </w:t>
      </w:r>
      <w:r w:rsidR="00DD12F4">
        <w:rPr>
          <w:rFonts w:ascii="Arial" w:hAnsi="Arial" w:cs="Arial"/>
        </w:rPr>
        <w:t xml:space="preserve">management </w:t>
      </w:r>
      <w:r w:rsidR="000962AF">
        <w:rPr>
          <w:rFonts w:ascii="Arial" w:hAnsi="Arial" w:cs="Arial"/>
        </w:rPr>
        <w:t>of the company</w:t>
      </w:r>
      <w:r w:rsidR="00B6429F">
        <w:rPr>
          <w:rFonts w:ascii="Arial" w:hAnsi="Arial" w:cs="Arial"/>
        </w:rPr>
        <w:t>, namely replacing the CFO followed by the CEO,</w:t>
      </w:r>
      <w:r w:rsidR="000962AF">
        <w:rPr>
          <w:rFonts w:ascii="Arial" w:hAnsi="Arial" w:cs="Arial"/>
        </w:rPr>
        <w:t xml:space="preserve"> and </w:t>
      </w:r>
      <w:r w:rsidR="00280A0D">
        <w:rPr>
          <w:rFonts w:ascii="Arial" w:hAnsi="Arial" w:cs="Arial"/>
        </w:rPr>
        <w:t>injections of risk-bearing capital</w:t>
      </w:r>
      <w:r w:rsidR="00F35181">
        <w:rPr>
          <w:rFonts w:ascii="Arial" w:hAnsi="Arial" w:cs="Arial"/>
        </w:rPr>
        <w:t>, which illustrates an intent to reposition the company.</w:t>
      </w:r>
      <w:r w:rsidR="00AE0277">
        <w:rPr>
          <w:rStyle w:val="FootnoteReference"/>
          <w:rFonts w:ascii="Arial" w:hAnsi="Arial" w:cs="Arial"/>
        </w:rPr>
        <w:footnoteReference w:id="13"/>
      </w:r>
      <w:r w:rsidR="00DD12F4">
        <w:rPr>
          <w:rFonts w:ascii="Arial" w:hAnsi="Arial" w:cs="Arial"/>
        </w:rPr>
        <w:t xml:space="preserve">  </w:t>
      </w:r>
    </w:p>
    <w:p w14:paraId="7ADB3398" w14:textId="77777777" w:rsidR="00D727CF" w:rsidRDefault="00D727CF" w:rsidP="00DD12F4">
      <w:pPr>
        <w:spacing w:after="0" w:line="240" w:lineRule="auto"/>
        <w:jc w:val="both"/>
        <w:rPr>
          <w:rFonts w:ascii="Arial" w:hAnsi="Arial" w:cs="Arial"/>
        </w:rPr>
      </w:pPr>
    </w:p>
    <w:p w14:paraId="7C307A73" w14:textId="3B1F649D" w:rsidR="004F6D98" w:rsidRPr="00266720" w:rsidRDefault="00CC6397" w:rsidP="006216F1">
      <w:pPr>
        <w:spacing w:after="0" w:line="240" w:lineRule="auto"/>
        <w:jc w:val="both"/>
        <w:rPr>
          <w:rFonts w:ascii="Arial" w:hAnsi="Arial" w:cs="Arial"/>
        </w:rPr>
      </w:pPr>
      <w:r>
        <w:rPr>
          <w:rFonts w:ascii="Arial" w:hAnsi="Arial" w:cs="Arial"/>
        </w:rPr>
        <w:t xml:space="preserve">By June 2014 that the </w:t>
      </w:r>
      <w:r w:rsidR="00870A61">
        <w:rPr>
          <w:rFonts w:ascii="Arial" w:hAnsi="Arial" w:cs="Arial"/>
        </w:rPr>
        <w:t xml:space="preserve">Flow Management presents to the banks its proposal on the </w:t>
      </w:r>
      <w:r w:rsidR="00CA43C3">
        <w:rPr>
          <w:rFonts w:ascii="Arial" w:hAnsi="Arial" w:cs="Arial"/>
        </w:rPr>
        <w:t xml:space="preserve">turnaround of the Subsidiary, the </w:t>
      </w:r>
      <w:r w:rsidR="00D727CF">
        <w:rPr>
          <w:rFonts w:ascii="Arial" w:hAnsi="Arial" w:cs="Arial"/>
        </w:rPr>
        <w:t xml:space="preserve">CRO announces </w:t>
      </w:r>
      <w:r w:rsidR="00D508FF">
        <w:rPr>
          <w:rFonts w:ascii="Arial" w:hAnsi="Arial" w:cs="Arial"/>
        </w:rPr>
        <w:t xml:space="preserve">further expected losses, yet it is established that the banks are nevertheless </w:t>
      </w:r>
      <w:r w:rsidR="00216D3B" w:rsidRPr="008114B2">
        <w:rPr>
          <w:rFonts w:ascii="Arial" w:hAnsi="Arial" w:cs="Arial"/>
          <w:i/>
          <w:iCs/>
        </w:rPr>
        <w:t>“content about Flow Management Holding BV’s new management (including the CRO)</w:t>
      </w:r>
      <w:r w:rsidR="00DC17DC" w:rsidRPr="008114B2">
        <w:rPr>
          <w:rFonts w:ascii="Arial" w:hAnsi="Arial" w:cs="Arial"/>
          <w:i/>
          <w:iCs/>
        </w:rPr>
        <w:t xml:space="preserve"> and they notice a slight result improvement </w:t>
      </w:r>
      <w:r w:rsidR="00171335" w:rsidRPr="008114B2">
        <w:rPr>
          <w:rFonts w:ascii="Arial" w:hAnsi="Arial" w:cs="Arial"/>
          <w:i/>
          <w:iCs/>
        </w:rPr>
        <w:t>due to the reorganisation</w:t>
      </w:r>
      <w:r w:rsidR="008114B2">
        <w:rPr>
          <w:rFonts w:ascii="Arial" w:hAnsi="Arial" w:cs="Arial"/>
        </w:rPr>
        <w:t>”</w:t>
      </w:r>
      <w:r w:rsidR="00171335">
        <w:rPr>
          <w:rFonts w:ascii="Arial" w:hAnsi="Arial" w:cs="Arial"/>
        </w:rPr>
        <w:t>. Now this evidences that the ma</w:t>
      </w:r>
      <w:r w:rsidR="00E20C27">
        <w:rPr>
          <w:rFonts w:ascii="Arial" w:hAnsi="Arial" w:cs="Arial"/>
        </w:rPr>
        <w:t xml:space="preserve">nagerial and </w:t>
      </w:r>
      <w:r w:rsidR="00DD12F4" w:rsidRPr="00297794">
        <w:rPr>
          <w:rFonts w:ascii="Arial" w:hAnsi="Arial" w:cs="Arial"/>
        </w:rPr>
        <w:t xml:space="preserve">financial restructuring </w:t>
      </w:r>
      <w:r w:rsidR="00E20C27" w:rsidRPr="00297794">
        <w:rPr>
          <w:rFonts w:ascii="Arial" w:hAnsi="Arial" w:cs="Arial"/>
        </w:rPr>
        <w:t>pursuit</w:t>
      </w:r>
      <w:r w:rsidR="00DD12F4" w:rsidRPr="00297794">
        <w:rPr>
          <w:rFonts w:ascii="Arial" w:hAnsi="Arial" w:cs="Arial"/>
        </w:rPr>
        <w:t xml:space="preserve"> </w:t>
      </w:r>
      <w:r w:rsidR="00590E30" w:rsidRPr="00297794">
        <w:rPr>
          <w:rFonts w:ascii="Arial" w:hAnsi="Arial" w:cs="Arial"/>
        </w:rPr>
        <w:t xml:space="preserve">has </w:t>
      </w:r>
      <w:r w:rsidR="00396460" w:rsidRPr="00297794">
        <w:rPr>
          <w:rFonts w:ascii="Arial" w:hAnsi="Arial" w:cs="Arial"/>
        </w:rPr>
        <w:t>succeeded in regaining the trust of creditors and banks</w:t>
      </w:r>
      <w:r w:rsidR="001A3815" w:rsidRPr="00297794">
        <w:rPr>
          <w:rFonts w:ascii="Arial" w:hAnsi="Arial" w:cs="Arial"/>
        </w:rPr>
        <w:t xml:space="preserve">, as suggested </w:t>
      </w:r>
      <w:r w:rsidR="00B23580">
        <w:rPr>
          <w:rFonts w:ascii="Arial" w:hAnsi="Arial" w:cs="Arial"/>
        </w:rPr>
        <w:t>in fact by the</w:t>
      </w:r>
      <w:r w:rsidR="00681FA8">
        <w:rPr>
          <w:rFonts w:ascii="Arial" w:hAnsi="Arial" w:cs="Arial"/>
        </w:rPr>
        <w:t xml:space="preserve"> 6</w:t>
      </w:r>
      <w:r w:rsidR="00681FA8" w:rsidRPr="00681FA8">
        <w:rPr>
          <w:rFonts w:ascii="Arial" w:hAnsi="Arial" w:cs="Arial"/>
          <w:vertAlign w:val="superscript"/>
        </w:rPr>
        <w:t>th</w:t>
      </w:r>
      <w:r w:rsidR="00681FA8">
        <w:rPr>
          <w:rFonts w:ascii="Arial" w:hAnsi="Arial" w:cs="Arial"/>
        </w:rPr>
        <w:t xml:space="preserve"> </w:t>
      </w:r>
      <w:r w:rsidR="00B23580">
        <w:rPr>
          <w:rFonts w:ascii="Arial" w:hAnsi="Arial" w:cs="Arial"/>
        </w:rPr>
        <w:t xml:space="preserve">proposition of </w:t>
      </w:r>
      <w:proofErr w:type="spellStart"/>
      <w:r w:rsidR="00185FC8">
        <w:rPr>
          <w:rFonts w:ascii="Arial" w:hAnsi="Arial" w:cs="Arial"/>
        </w:rPr>
        <w:t>Pajunen</w:t>
      </w:r>
      <w:proofErr w:type="spellEnd"/>
      <w:r w:rsidR="00185FC8">
        <w:rPr>
          <w:rFonts w:ascii="Arial" w:hAnsi="Arial" w:cs="Arial"/>
        </w:rPr>
        <w:t xml:space="preserve"> K.</w:t>
      </w:r>
      <w:r w:rsidR="00DA7669">
        <w:rPr>
          <w:rFonts w:ascii="Arial" w:hAnsi="Arial" w:cs="Arial"/>
        </w:rPr>
        <w:t>, 2006</w:t>
      </w:r>
      <w:r w:rsidR="00754AB6">
        <w:rPr>
          <w:rFonts w:ascii="Arial" w:hAnsi="Arial" w:cs="Arial"/>
        </w:rPr>
        <w:t xml:space="preserve"> establishing that </w:t>
      </w:r>
      <w:r w:rsidR="00754AB6">
        <w:rPr>
          <w:rFonts w:ascii="Arial" w:hAnsi="Arial" w:cs="Arial"/>
          <w:i/>
          <w:iCs/>
        </w:rPr>
        <w:t>“In an existence-threatening crisis</w:t>
      </w:r>
      <w:r w:rsidR="003C73A0">
        <w:rPr>
          <w:rFonts w:ascii="Arial" w:hAnsi="Arial" w:cs="Arial"/>
          <w:i/>
          <w:iCs/>
        </w:rPr>
        <w:t xml:space="preserve">, governing </w:t>
      </w:r>
      <w:proofErr w:type="gramStart"/>
      <w:r w:rsidR="003C73A0">
        <w:rPr>
          <w:rFonts w:ascii="Arial" w:hAnsi="Arial" w:cs="Arial"/>
          <w:i/>
          <w:iCs/>
        </w:rPr>
        <w:t>stakeholders</w:t>
      </w:r>
      <w:proofErr w:type="gramEnd"/>
      <w:r w:rsidR="003C73A0">
        <w:rPr>
          <w:rFonts w:ascii="Arial" w:hAnsi="Arial" w:cs="Arial"/>
          <w:i/>
          <w:iCs/>
        </w:rPr>
        <w:t xml:space="preserve"> association of management with good firm performance is positively related to the continuing </w:t>
      </w:r>
      <w:r w:rsidR="00BC4774">
        <w:rPr>
          <w:rFonts w:ascii="Arial" w:hAnsi="Arial" w:cs="Arial"/>
          <w:i/>
          <w:iCs/>
        </w:rPr>
        <w:t>support of those stakeholders and increase the probability of organizational survival</w:t>
      </w:r>
      <w:r w:rsidR="00974D0C">
        <w:rPr>
          <w:rFonts w:ascii="Arial" w:hAnsi="Arial" w:cs="Arial"/>
          <w:i/>
          <w:iCs/>
        </w:rPr>
        <w:t>”</w:t>
      </w:r>
      <w:r w:rsidR="00974D0C">
        <w:rPr>
          <w:rStyle w:val="FootnoteReference"/>
          <w:rFonts w:ascii="Arial" w:hAnsi="Arial" w:cs="Arial"/>
          <w:i/>
          <w:iCs/>
        </w:rPr>
        <w:footnoteReference w:id="14"/>
      </w:r>
      <w:r w:rsidR="00974D0C">
        <w:rPr>
          <w:rFonts w:ascii="Arial" w:hAnsi="Arial" w:cs="Arial"/>
          <w:i/>
          <w:iCs/>
        </w:rPr>
        <w:t>.</w:t>
      </w:r>
      <w:r w:rsidR="00501501">
        <w:rPr>
          <w:rFonts w:ascii="Arial" w:hAnsi="Arial" w:cs="Arial"/>
          <w:i/>
          <w:iCs/>
        </w:rPr>
        <w:t xml:space="preserve"> </w:t>
      </w:r>
    </w:p>
    <w:p w14:paraId="42F234DD" w14:textId="77777777" w:rsidR="004F6D98" w:rsidRDefault="004F6D98" w:rsidP="006216F1">
      <w:pPr>
        <w:spacing w:after="0" w:line="240" w:lineRule="auto"/>
        <w:jc w:val="both"/>
        <w:rPr>
          <w:rFonts w:ascii="Arial" w:hAnsi="Arial" w:cs="Arial"/>
          <w:i/>
          <w:iCs/>
        </w:rPr>
      </w:pPr>
    </w:p>
    <w:p w14:paraId="029420A1" w14:textId="37FEB873" w:rsidR="006216F1" w:rsidRPr="00754AB6" w:rsidRDefault="00501501" w:rsidP="006216F1">
      <w:pPr>
        <w:spacing w:after="0" w:line="240" w:lineRule="auto"/>
        <w:jc w:val="both"/>
        <w:rPr>
          <w:rFonts w:ascii="Arial" w:hAnsi="Arial" w:cs="Arial"/>
          <w:i/>
          <w:iCs/>
        </w:rPr>
      </w:pPr>
      <w:r>
        <w:rPr>
          <w:rFonts w:ascii="Arial" w:hAnsi="Arial" w:cs="Arial"/>
        </w:rPr>
        <w:t xml:space="preserve">Nevertheless, it should be pointed </w:t>
      </w:r>
      <w:r w:rsidR="00634C1B">
        <w:rPr>
          <w:rFonts w:ascii="Arial" w:hAnsi="Arial" w:cs="Arial"/>
        </w:rPr>
        <w:t xml:space="preserve">out </w:t>
      </w:r>
      <w:r>
        <w:rPr>
          <w:rFonts w:ascii="Arial" w:hAnsi="Arial" w:cs="Arial"/>
        </w:rPr>
        <w:t>at this stage that</w:t>
      </w:r>
      <w:r w:rsidR="00844236">
        <w:rPr>
          <w:rFonts w:ascii="Arial" w:hAnsi="Arial" w:cs="Arial"/>
        </w:rPr>
        <w:t>,</w:t>
      </w:r>
      <w:r>
        <w:rPr>
          <w:rFonts w:ascii="Arial" w:hAnsi="Arial" w:cs="Arial"/>
        </w:rPr>
        <w:t xml:space="preserve"> </w:t>
      </w:r>
      <w:r w:rsidR="00FE4220">
        <w:rPr>
          <w:rFonts w:ascii="Arial" w:hAnsi="Arial" w:cs="Arial"/>
        </w:rPr>
        <w:t xml:space="preserve">although </w:t>
      </w:r>
      <w:r w:rsidR="00EC72B6">
        <w:rPr>
          <w:rFonts w:ascii="Arial" w:hAnsi="Arial" w:cs="Arial"/>
        </w:rPr>
        <w:t xml:space="preserve">Flow Management called in the banks to talks </w:t>
      </w:r>
      <w:r w:rsidR="004F6D98">
        <w:rPr>
          <w:rFonts w:ascii="Arial" w:hAnsi="Arial" w:cs="Arial"/>
        </w:rPr>
        <w:t>and has since improved its reporting to them on the financial position of the companies within the group</w:t>
      </w:r>
      <w:r w:rsidR="009F3DE0">
        <w:rPr>
          <w:rFonts w:ascii="Arial" w:hAnsi="Arial" w:cs="Arial"/>
        </w:rPr>
        <w:t xml:space="preserve">, there is no reference throughout this case study on any measures </w:t>
      </w:r>
      <w:r w:rsidR="00244AFE">
        <w:rPr>
          <w:rFonts w:ascii="Arial" w:hAnsi="Arial" w:cs="Arial"/>
        </w:rPr>
        <w:t xml:space="preserve">taken </w:t>
      </w:r>
      <w:r w:rsidR="009F3DE0">
        <w:rPr>
          <w:rFonts w:ascii="Arial" w:hAnsi="Arial" w:cs="Arial"/>
        </w:rPr>
        <w:t xml:space="preserve">to </w:t>
      </w:r>
      <w:r w:rsidR="00B14E74">
        <w:rPr>
          <w:rFonts w:ascii="Arial" w:hAnsi="Arial" w:cs="Arial"/>
        </w:rPr>
        <w:t xml:space="preserve">improve </w:t>
      </w:r>
      <w:r w:rsidR="001005A4">
        <w:rPr>
          <w:rFonts w:ascii="Arial" w:hAnsi="Arial" w:cs="Arial"/>
        </w:rPr>
        <w:t>management information systems</w:t>
      </w:r>
      <w:r w:rsidR="00C21B99">
        <w:rPr>
          <w:rFonts w:ascii="Arial" w:hAnsi="Arial" w:cs="Arial"/>
        </w:rPr>
        <w:t xml:space="preserve"> and the overall communication among stakeholders</w:t>
      </w:r>
      <w:r w:rsidR="00B14E74">
        <w:rPr>
          <w:rFonts w:ascii="Arial" w:hAnsi="Arial" w:cs="Arial"/>
        </w:rPr>
        <w:t>.</w:t>
      </w:r>
      <w:r w:rsidR="00974D0C">
        <w:rPr>
          <w:rFonts w:ascii="Arial" w:hAnsi="Arial" w:cs="Arial"/>
          <w:i/>
          <w:iCs/>
        </w:rPr>
        <w:t xml:space="preserve"> </w:t>
      </w:r>
    </w:p>
    <w:p w14:paraId="4728B551" w14:textId="77777777" w:rsidR="006D4BC2" w:rsidRDefault="006D4BC2" w:rsidP="006216F1">
      <w:pPr>
        <w:spacing w:after="0" w:line="240" w:lineRule="auto"/>
        <w:jc w:val="both"/>
        <w:rPr>
          <w:rFonts w:ascii="Arial" w:hAnsi="Arial" w:cs="Arial"/>
        </w:rPr>
      </w:pPr>
    </w:p>
    <w:p w14:paraId="20D1628F" w14:textId="1AED0EF7" w:rsidR="006D4BC2" w:rsidRDefault="00AE2E47" w:rsidP="006216F1">
      <w:pPr>
        <w:spacing w:after="0" w:line="240" w:lineRule="auto"/>
        <w:jc w:val="both"/>
        <w:rPr>
          <w:rFonts w:ascii="Arial" w:hAnsi="Arial" w:cs="Arial"/>
        </w:rPr>
      </w:pPr>
      <w:r>
        <w:rPr>
          <w:rFonts w:ascii="Arial" w:hAnsi="Arial" w:cs="Arial"/>
        </w:rPr>
        <w:t xml:space="preserve">In the final stage of </w:t>
      </w:r>
      <w:r w:rsidR="00291C6C">
        <w:rPr>
          <w:rFonts w:ascii="Arial" w:hAnsi="Arial" w:cs="Arial"/>
        </w:rPr>
        <w:t xml:space="preserve">Flow Management’s restructuring </w:t>
      </w:r>
      <w:r w:rsidR="001E78E1">
        <w:rPr>
          <w:rFonts w:ascii="Arial" w:hAnsi="Arial" w:cs="Arial"/>
        </w:rPr>
        <w:t xml:space="preserve">all operating subsidiaries are </w:t>
      </w:r>
      <w:r w:rsidR="0024738F">
        <w:rPr>
          <w:rFonts w:ascii="Arial" w:hAnsi="Arial" w:cs="Arial"/>
        </w:rPr>
        <w:t xml:space="preserve">transferred to a new </w:t>
      </w:r>
      <w:r w:rsidR="00AB2EF5">
        <w:rPr>
          <w:rFonts w:ascii="Arial" w:hAnsi="Arial" w:cs="Arial"/>
        </w:rPr>
        <w:t>healthy</w:t>
      </w:r>
      <w:r w:rsidR="0024738F">
        <w:rPr>
          <w:rFonts w:ascii="Arial" w:hAnsi="Arial" w:cs="Arial"/>
        </w:rPr>
        <w:t xml:space="preserve"> subsidiary to reinforce the restructuring</w:t>
      </w:r>
      <w:r w:rsidR="00EC580F">
        <w:rPr>
          <w:rFonts w:ascii="Arial" w:hAnsi="Arial" w:cs="Arial"/>
        </w:rPr>
        <w:t xml:space="preserve">, that is the final stage in informal reorganization as suggested by </w:t>
      </w:r>
      <w:proofErr w:type="spellStart"/>
      <w:r w:rsidR="00EC580F">
        <w:rPr>
          <w:rFonts w:ascii="Arial" w:hAnsi="Arial" w:cs="Arial"/>
        </w:rPr>
        <w:t>Adriaanse</w:t>
      </w:r>
      <w:proofErr w:type="spellEnd"/>
      <w:r w:rsidR="00EC580F">
        <w:rPr>
          <w:rFonts w:ascii="Arial" w:hAnsi="Arial" w:cs="Arial"/>
        </w:rPr>
        <w:t xml:space="preserve"> &amp; </w:t>
      </w:r>
      <w:proofErr w:type="spellStart"/>
      <w:r w:rsidR="00EC580F">
        <w:rPr>
          <w:rFonts w:ascii="Arial" w:hAnsi="Arial" w:cs="Arial"/>
        </w:rPr>
        <w:t>Kuijil</w:t>
      </w:r>
      <w:proofErr w:type="spellEnd"/>
      <w:r w:rsidR="00EC580F">
        <w:rPr>
          <w:rFonts w:ascii="Arial" w:hAnsi="Arial" w:cs="Arial"/>
        </w:rPr>
        <w:t>, 2006</w:t>
      </w:r>
      <w:r w:rsidR="00EC580F">
        <w:rPr>
          <w:rStyle w:val="FootnoteReference"/>
          <w:rFonts w:ascii="Arial" w:hAnsi="Arial" w:cs="Arial"/>
        </w:rPr>
        <w:footnoteReference w:id="15"/>
      </w:r>
      <w:r w:rsidR="00EC580F">
        <w:rPr>
          <w:rFonts w:ascii="Arial" w:hAnsi="Arial" w:cs="Arial"/>
        </w:rPr>
        <w:t>.</w:t>
      </w:r>
      <w:r w:rsidR="00E75ADD">
        <w:rPr>
          <w:rFonts w:ascii="Arial" w:hAnsi="Arial" w:cs="Arial"/>
        </w:rPr>
        <w:t xml:space="preserve"> </w:t>
      </w:r>
    </w:p>
    <w:p w14:paraId="78176CAA" w14:textId="77777777" w:rsidR="00E75ADD" w:rsidRDefault="00E75ADD" w:rsidP="006216F1">
      <w:pPr>
        <w:spacing w:after="0" w:line="240" w:lineRule="auto"/>
        <w:jc w:val="both"/>
        <w:rPr>
          <w:rFonts w:ascii="Arial" w:hAnsi="Arial" w:cs="Arial"/>
        </w:rPr>
      </w:pPr>
    </w:p>
    <w:p w14:paraId="534D9DA3" w14:textId="619A5821" w:rsidR="00E75ADD" w:rsidRDefault="0029257E" w:rsidP="006216F1">
      <w:pPr>
        <w:spacing w:after="0" w:line="240" w:lineRule="auto"/>
        <w:jc w:val="both"/>
        <w:rPr>
          <w:rFonts w:ascii="Arial" w:hAnsi="Arial" w:cs="Arial"/>
        </w:rPr>
      </w:pPr>
      <w:proofErr w:type="gramStart"/>
      <w:r>
        <w:rPr>
          <w:rFonts w:ascii="Arial" w:hAnsi="Arial" w:cs="Arial"/>
        </w:rPr>
        <w:t>Overall</w:t>
      </w:r>
      <w:proofErr w:type="gramEnd"/>
      <w:r>
        <w:rPr>
          <w:rFonts w:ascii="Arial" w:hAnsi="Arial" w:cs="Arial"/>
        </w:rPr>
        <w:t xml:space="preserve"> this case study seem to be </w:t>
      </w:r>
      <w:r w:rsidR="009B3853">
        <w:rPr>
          <w:rFonts w:ascii="Arial" w:hAnsi="Arial" w:cs="Arial"/>
        </w:rPr>
        <w:t xml:space="preserve">more </w:t>
      </w:r>
      <w:r>
        <w:rPr>
          <w:rFonts w:ascii="Arial" w:hAnsi="Arial" w:cs="Arial"/>
        </w:rPr>
        <w:t xml:space="preserve">in line with the exact analysis and results presented by </w:t>
      </w:r>
      <w:proofErr w:type="spellStart"/>
      <w:r>
        <w:rPr>
          <w:rFonts w:ascii="Arial" w:hAnsi="Arial" w:cs="Arial"/>
        </w:rPr>
        <w:t>Adriaanse</w:t>
      </w:r>
      <w:proofErr w:type="spellEnd"/>
      <w:r>
        <w:rPr>
          <w:rFonts w:ascii="Arial" w:hAnsi="Arial" w:cs="Arial"/>
        </w:rPr>
        <w:t xml:space="preserve"> &amp; </w:t>
      </w:r>
      <w:proofErr w:type="spellStart"/>
      <w:r>
        <w:rPr>
          <w:rFonts w:ascii="Arial" w:hAnsi="Arial" w:cs="Arial"/>
        </w:rPr>
        <w:t>Kuijil</w:t>
      </w:r>
      <w:proofErr w:type="spellEnd"/>
      <w:r>
        <w:rPr>
          <w:rFonts w:ascii="Arial" w:hAnsi="Arial" w:cs="Arial"/>
        </w:rPr>
        <w:t>, 2006</w:t>
      </w:r>
      <w:r>
        <w:rPr>
          <w:rStyle w:val="FootnoteReference"/>
          <w:rFonts w:ascii="Arial" w:hAnsi="Arial" w:cs="Arial"/>
        </w:rPr>
        <w:footnoteReference w:id="16"/>
      </w:r>
      <w:r w:rsidR="004B6704">
        <w:rPr>
          <w:rFonts w:ascii="Arial" w:hAnsi="Arial" w:cs="Arial"/>
        </w:rPr>
        <w:t xml:space="preserve">. Namely Flow Management’s </w:t>
      </w:r>
      <w:r w:rsidR="0064453C">
        <w:rPr>
          <w:rFonts w:ascii="Arial" w:hAnsi="Arial" w:cs="Arial"/>
        </w:rPr>
        <w:t xml:space="preserve">corporate decline was an immediate cause of </w:t>
      </w:r>
      <w:r w:rsidR="003E5444">
        <w:rPr>
          <w:rFonts w:ascii="Arial" w:hAnsi="Arial" w:cs="Arial"/>
        </w:rPr>
        <w:t xml:space="preserve">poor management, </w:t>
      </w:r>
      <w:r w:rsidR="00C405E7">
        <w:rPr>
          <w:rFonts w:ascii="Arial" w:hAnsi="Arial" w:cs="Arial"/>
        </w:rPr>
        <w:t xml:space="preserve">most evidently in the Subsidiary, </w:t>
      </w:r>
      <w:r w:rsidR="003E5444">
        <w:rPr>
          <w:rFonts w:ascii="Arial" w:hAnsi="Arial" w:cs="Arial"/>
        </w:rPr>
        <w:t>that seemed non-responsive</w:t>
      </w:r>
      <w:r w:rsidR="00C405E7">
        <w:rPr>
          <w:rFonts w:ascii="Arial" w:hAnsi="Arial" w:cs="Arial"/>
        </w:rPr>
        <w:t xml:space="preserve"> to threats</w:t>
      </w:r>
      <w:r w:rsidR="0068107C">
        <w:rPr>
          <w:rFonts w:ascii="Arial" w:hAnsi="Arial" w:cs="Arial"/>
        </w:rPr>
        <w:t xml:space="preserve">; then for the restructuring they’ve used turnaround consultants </w:t>
      </w:r>
      <w:r w:rsidR="00AC1023">
        <w:rPr>
          <w:rFonts w:ascii="Arial" w:hAnsi="Arial" w:cs="Arial"/>
        </w:rPr>
        <w:t>and taken measures to improve efficiency</w:t>
      </w:r>
      <w:r w:rsidR="001005E2">
        <w:rPr>
          <w:rFonts w:ascii="Arial" w:hAnsi="Arial" w:cs="Arial"/>
        </w:rPr>
        <w:t xml:space="preserve">; while the banks were also inclined to provide new financing to improve the chances of success. </w:t>
      </w:r>
      <w:r w:rsidR="00A438AE">
        <w:rPr>
          <w:rFonts w:ascii="Arial" w:hAnsi="Arial" w:cs="Arial"/>
        </w:rPr>
        <w:t xml:space="preserve">All of these </w:t>
      </w:r>
      <w:r w:rsidR="00D10780">
        <w:rPr>
          <w:rFonts w:ascii="Arial" w:hAnsi="Arial" w:cs="Arial"/>
        </w:rPr>
        <w:t xml:space="preserve">are included in the analysis by </w:t>
      </w:r>
      <w:proofErr w:type="spellStart"/>
      <w:r w:rsidR="00D10780">
        <w:rPr>
          <w:rFonts w:ascii="Arial" w:hAnsi="Arial" w:cs="Arial"/>
        </w:rPr>
        <w:t>Adriaanse</w:t>
      </w:r>
      <w:proofErr w:type="spellEnd"/>
      <w:r w:rsidR="00D10780">
        <w:rPr>
          <w:rFonts w:ascii="Arial" w:hAnsi="Arial" w:cs="Arial"/>
        </w:rPr>
        <w:t xml:space="preserve"> &amp; </w:t>
      </w:r>
      <w:proofErr w:type="spellStart"/>
      <w:r w:rsidR="00D10780">
        <w:rPr>
          <w:rFonts w:ascii="Arial" w:hAnsi="Arial" w:cs="Arial"/>
        </w:rPr>
        <w:t>Kuijil</w:t>
      </w:r>
      <w:proofErr w:type="spellEnd"/>
      <w:r w:rsidR="00D10780">
        <w:rPr>
          <w:rFonts w:ascii="Arial" w:hAnsi="Arial" w:cs="Arial"/>
        </w:rPr>
        <w:t>, 2006</w:t>
      </w:r>
      <w:r w:rsidR="00D10780">
        <w:rPr>
          <w:rStyle w:val="FootnoteReference"/>
          <w:rFonts w:ascii="Arial" w:hAnsi="Arial" w:cs="Arial"/>
        </w:rPr>
        <w:footnoteReference w:id="17"/>
      </w:r>
      <w:r w:rsidR="00D10780">
        <w:rPr>
          <w:rFonts w:ascii="Arial" w:hAnsi="Arial" w:cs="Arial"/>
        </w:rPr>
        <w:t xml:space="preserve"> of the evidence from the Dutch practise</w:t>
      </w:r>
      <w:r w:rsidR="009B3853">
        <w:rPr>
          <w:rFonts w:ascii="Arial" w:hAnsi="Arial" w:cs="Arial"/>
        </w:rPr>
        <w:t xml:space="preserve"> and the success factors identified therein</w:t>
      </w:r>
      <w:proofErr w:type="gramStart"/>
      <w:r w:rsidR="009B3853">
        <w:rPr>
          <w:rFonts w:ascii="Arial" w:hAnsi="Arial" w:cs="Arial"/>
        </w:rPr>
        <w:t xml:space="preserve">. </w:t>
      </w:r>
      <w:r>
        <w:rPr>
          <w:rFonts w:ascii="Arial" w:hAnsi="Arial" w:cs="Arial"/>
        </w:rPr>
        <w:t xml:space="preserve"> </w:t>
      </w:r>
      <w:proofErr w:type="gramEnd"/>
    </w:p>
    <w:p w14:paraId="000F0BED" w14:textId="77777777" w:rsidR="006D4BC2" w:rsidRDefault="006D4BC2" w:rsidP="006216F1">
      <w:pPr>
        <w:spacing w:after="0" w:line="240" w:lineRule="auto"/>
        <w:jc w:val="both"/>
        <w:rPr>
          <w:rFonts w:ascii="Arial" w:hAnsi="Arial" w:cs="Arial"/>
        </w:rPr>
      </w:pPr>
    </w:p>
    <w:p w14:paraId="68AA69C4" w14:textId="77777777" w:rsidR="00EF64B2" w:rsidRDefault="00EF64B2" w:rsidP="006216F1">
      <w:pPr>
        <w:spacing w:after="0" w:line="240" w:lineRule="auto"/>
        <w:jc w:val="both"/>
        <w:rPr>
          <w:rFonts w:ascii="Arial" w:hAnsi="Arial" w:cs="Arial"/>
        </w:rPr>
      </w:pPr>
    </w:p>
    <w:p w14:paraId="02041CF5" w14:textId="77777777" w:rsidR="006D4BC2" w:rsidRPr="006216F1" w:rsidRDefault="006D4BC2" w:rsidP="006216F1">
      <w:pPr>
        <w:spacing w:after="0" w:line="240" w:lineRule="auto"/>
        <w:jc w:val="both"/>
        <w:rPr>
          <w:rFonts w:ascii="Arial" w:hAnsi="Arial" w:cs="Arial"/>
          <w:b/>
          <w:bCs/>
        </w:rPr>
      </w:pPr>
    </w:p>
    <w:p w14:paraId="5ECF765E" w14:textId="7A6F0606" w:rsidR="00FB3F46" w:rsidRDefault="001F208A" w:rsidP="006216F1">
      <w:pPr>
        <w:pStyle w:val="ListParagraph"/>
        <w:numPr>
          <w:ilvl w:val="0"/>
          <w:numId w:val="2"/>
        </w:numPr>
        <w:spacing w:after="0" w:line="240" w:lineRule="auto"/>
        <w:jc w:val="both"/>
        <w:rPr>
          <w:rFonts w:ascii="Arial" w:hAnsi="Arial" w:cs="Arial"/>
          <w:b/>
          <w:bCs/>
        </w:rPr>
      </w:pPr>
      <w:r>
        <w:rPr>
          <w:rFonts w:ascii="Arial" w:hAnsi="Arial" w:cs="Arial"/>
          <w:b/>
          <w:bCs/>
        </w:rPr>
        <w:t>Banks C and D</w:t>
      </w:r>
      <w:r w:rsidR="00F91221">
        <w:rPr>
          <w:rFonts w:ascii="Arial" w:hAnsi="Arial" w:cs="Arial"/>
          <w:b/>
          <w:bCs/>
        </w:rPr>
        <w:t xml:space="preserve"> seem to frustrate the process</w:t>
      </w:r>
      <w:r w:rsidR="00D63D76">
        <w:rPr>
          <w:rFonts w:ascii="Arial" w:hAnsi="Arial" w:cs="Arial"/>
          <w:b/>
          <w:bCs/>
        </w:rPr>
        <w:t xml:space="preserve"> </w:t>
      </w:r>
      <w:r w:rsidR="00F91221">
        <w:rPr>
          <w:rFonts w:ascii="Arial" w:hAnsi="Arial" w:cs="Arial"/>
          <w:b/>
          <w:bCs/>
        </w:rPr>
        <w:t xml:space="preserve">at a certain point. What could have been the </w:t>
      </w:r>
      <w:r w:rsidR="008B1AC6">
        <w:rPr>
          <w:rFonts w:ascii="Arial" w:hAnsi="Arial" w:cs="Arial"/>
          <w:b/>
          <w:bCs/>
        </w:rPr>
        <w:t>(rational and/or opportunistic) reason(s) for them to behave like that? What would you have done in that situation</w:t>
      </w:r>
      <w:r w:rsidR="004F7CE8">
        <w:rPr>
          <w:rFonts w:ascii="Arial" w:hAnsi="Arial" w:cs="Arial"/>
          <w:b/>
          <w:bCs/>
        </w:rPr>
        <w:t xml:space="preserve"> in your role as advisor of the other two banks?</w:t>
      </w:r>
    </w:p>
    <w:p w14:paraId="018D0127" w14:textId="77777777" w:rsidR="006216F1" w:rsidRDefault="006216F1" w:rsidP="006216F1">
      <w:pPr>
        <w:spacing w:after="0" w:line="240" w:lineRule="auto"/>
        <w:jc w:val="both"/>
        <w:rPr>
          <w:rFonts w:ascii="Arial" w:hAnsi="Arial" w:cs="Arial"/>
          <w:b/>
          <w:bCs/>
        </w:rPr>
      </w:pPr>
    </w:p>
    <w:p w14:paraId="4F17D5C2" w14:textId="6BED532D" w:rsidR="006216F1" w:rsidRDefault="00735317" w:rsidP="006216F1">
      <w:pPr>
        <w:spacing w:after="0" w:line="240" w:lineRule="auto"/>
        <w:jc w:val="both"/>
        <w:rPr>
          <w:rFonts w:ascii="Arial" w:hAnsi="Arial" w:cs="Arial"/>
          <w:i/>
          <w:iCs/>
        </w:rPr>
      </w:pPr>
      <w:r>
        <w:rPr>
          <w:rFonts w:ascii="Arial" w:hAnsi="Arial" w:cs="Arial"/>
        </w:rPr>
        <w:t>In late 2013</w:t>
      </w:r>
      <w:r w:rsidR="009626AA">
        <w:rPr>
          <w:rFonts w:ascii="Arial" w:hAnsi="Arial" w:cs="Arial"/>
        </w:rPr>
        <w:t>,</w:t>
      </w:r>
      <w:r>
        <w:rPr>
          <w:rFonts w:ascii="Arial" w:hAnsi="Arial" w:cs="Arial"/>
        </w:rPr>
        <w:t xml:space="preserve"> that the </w:t>
      </w:r>
      <w:r w:rsidR="009626AA">
        <w:rPr>
          <w:rFonts w:ascii="Arial" w:hAnsi="Arial" w:cs="Arial"/>
        </w:rPr>
        <w:t xml:space="preserve">financial distress in Flow Management surfaced, banks C and D were positively inclined towards </w:t>
      </w:r>
      <w:r w:rsidR="000968AD">
        <w:rPr>
          <w:rFonts w:ascii="Arial" w:hAnsi="Arial" w:cs="Arial"/>
        </w:rPr>
        <w:t xml:space="preserve">the suggested discussions for the restructuring of the </w:t>
      </w:r>
      <w:r w:rsidR="00CA28F9">
        <w:rPr>
          <w:rFonts w:ascii="Arial" w:hAnsi="Arial" w:cs="Arial"/>
        </w:rPr>
        <w:t xml:space="preserve">Subsidiary at the time. </w:t>
      </w:r>
      <w:r w:rsidR="004E184A">
        <w:rPr>
          <w:rFonts w:ascii="Arial" w:hAnsi="Arial" w:cs="Arial"/>
        </w:rPr>
        <w:t xml:space="preserve">The common view of all banks at the time was ‘not to panic’. </w:t>
      </w:r>
      <w:r w:rsidR="00A81E3F">
        <w:rPr>
          <w:rFonts w:ascii="Arial" w:hAnsi="Arial" w:cs="Arial"/>
        </w:rPr>
        <w:t xml:space="preserve">This notion that the </w:t>
      </w:r>
      <w:r w:rsidR="008C01CF">
        <w:rPr>
          <w:rFonts w:ascii="Arial" w:hAnsi="Arial" w:cs="Arial"/>
        </w:rPr>
        <w:t>financial institutions should be supportive of restructurings of viable companies</w:t>
      </w:r>
      <w:r w:rsidR="007035AF">
        <w:rPr>
          <w:rFonts w:ascii="Arial" w:hAnsi="Arial" w:cs="Arial"/>
        </w:rPr>
        <w:t xml:space="preserve">, as this is crucial to the success of the restructuring is not new. As stated by the Bank of Finland in the </w:t>
      </w:r>
      <w:proofErr w:type="spellStart"/>
      <w:r w:rsidR="007035AF">
        <w:rPr>
          <w:rFonts w:ascii="Arial" w:hAnsi="Arial" w:cs="Arial"/>
        </w:rPr>
        <w:t>Kymi</w:t>
      </w:r>
      <w:proofErr w:type="spellEnd"/>
      <w:r w:rsidR="007035AF">
        <w:rPr>
          <w:rFonts w:ascii="Arial" w:hAnsi="Arial" w:cs="Arial"/>
        </w:rPr>
        <w:t xml:space="preserve"> case</w:t>
      </w:r>
      <w:r w:rsidR="00457216">
        <w:rPr>
          <w:rFonts w:ascii="Arial" w:hAnsi="Arial" w:cs="Arial"/>
        </w:rPr>
        <w:t xml:space="preserve"> back in 1908</w:t>
      </w:r>
      <w:r w:rsidR="00DD17E5">
        <w:rPr>
          <w:rFonts w:ascii="Arial" w:hAnsi="Arial" w:cs="Arial"/>
        </w:rPr>
        <w:t xml:space="preserve">, </w:t>
      </w:r>
      <w:r w:rsidR="006C2BFE">
        <w:rPr>
          <w:rFonts w:ascii="Arial" w:hAnsi="Arial" w:cs="Arial"/>
        </w:rPr>
        <w:t>a situation where the banks retreat from the restructuring negoti</w:t>
      </w:r>
      <w:r w:rsidR="00103EE2">
        <w:rPr>
          <w:rFonts w:ascii="Arial" w:hAnsi="Arial" w:cs="Arial"/>
        </w:rPr>
        <w:t xml:space="preserve">ations and </w:t>
      </w:r>
      <w:r w:rsidR="00BF5213">
        <w:rPr>
          <w:rFonts w:ascii="Arial" w:hAnsi="Arial" w:cs="Arial"/>
        </w:rPr>
        <w:t xml:space="preserve">the credit </w:t>
      </w:r>
      <w:r w:rsidR="00103EE2">
        <w:rPr>
          <w:rFonts w:ascii="Arial" w:hAnsi="Arial" w:cs="Arial"/>
        </w:rPr>
        <w:t>agreements</w:t>
      </w:r>
      <w:r w:rsidR="000968AD">
        <w:rPr>
          <w:rFonts w:ascii="Arial" w:hAnsi="Arial" w:cs="Arial"/>
        </w:rPr>
        <w:t xml:space="preserve"> </w:t>
      </w:r>
      <w:r w:rsidR="007035AF">
        <w:rPr>
          <w:rFonts w:ascii="Arial" w:hAnsi="Arial" w:cs="Arial"/>
          <w:i/>
          <w:iCs/>
        </w:rPr>
        <w:t>“</w:t>
      </w:r>
      <w:r w:rsidR="00DD17E5">
        <w:rPr>
          <w:rFonts w:ascii="Arial" w:hAnsi="Arial" w:cs="Arial"/>
          <w:i/>
          <w:iCs/>
        </w:rPr>
        <w:t>might endanger the existence of the organisation</w:t>
      </w:r>
      <w:r w:rsidR="00A75465">
        <w:rPr>
          <w:rFonts w:ascii="Arial" w:hAnsi="Arial" w:cs="Arial"/>
          <w:i/>
          <w:iCs/>
        </w:rPr>
        <w:t>… and lead to severe social and economic conflicts”.</w:t>
      </w:r>
      <w:r w:rsidR="00A75465">
        <w:rPr>
          <w:rStyle w:val="FootnoteReference"/>
          <w:rFonts w:ascii="Arial" w:hAnsi="Arial" w:cs="Arial"/>
          <w:i/>
          <w:iCs/>
        </w:rPr>
        <w:footnoteReference w:id="18"/>
      </w:r>
      <w:r w:rsidR="00A75465">
        <w:rPr>
          <w:rFonts w:ascii="Arial" w:hAnsi="Arial" w:cs="Arial"/>
          <w:i/>
          <w:iCs/>
        </w:rPr>
        <w:t xml:space="preserve"> </w:t>
      </w:r>
      <w:r w:rsidR="00DD17E5">
        <w:rPr>
          <w:rFonts w:ascii="Arial" w:hAnsi="Arial" w:cs="Arial"/>
          <w:i/>
          <w:iCs/>
        </w:rPr>
        <w:t xml:space="preserve"> </w:t>
      </w:r>
    </w:p>
    <w:p w14:paraId="7B2AD3D9" w14:textId="3F6030C3" w:rsidR="00103EE2" w:rsidRDefault="004017E7" w:rsidP="006216F1">
      <w:pPr>
        <w:spacing w:after="0" w:line="240" w:lineRule="auto"/>
        <w:jc w:val="both"/>
        <w:rPr>
          <w:rFonts w:ascii="Arial" w:hAnsi="Arial" w:cs="Arial"/>
        </w:rPr>
      </w:pPr>
      <w:r>
        <w:rPr>
          <w:rFonts w:ascii="Arial" w:hAnsi="Arial" w:cs="Arial"/>
        </w:rPr>
        <w:lastRenderedPageBreak/>
        <w:t xml:space="preserve">This decision by the banks at that time was taken </w:t>
      </w:r>
      <w:proofErr w:type="gramStart"/>
      <w:r>
        <w:rPr>
          <w:rFonts w:ascii="Arial" w:hAnsi="Arial" w:cs="Arial"/>
        </w:rPr>
        <w:t>despite the fact</w:t>
      </w:r>
      <w:r w:rsidR="000F4665">
        <w:rPr>
          <w:rFonts w:ascii="Arial" w:hAnsi="Arial" w:cs="Arial"/>
        </w:rPr>
        <w:t xml:space="preserve"> that</w:t>
      </w:r>
      <w:proofErr w:type="gramEnd"/>
      <w:r w:rsidR="000F4665">
        <w:rPr>
          <w:rFonts w:ascii="Arial" w:hAnsi="Arial" w:cs="Arial"/>
        </w:rPr>
        <w:t xml:space="preserve"> there seem</w:t>
      </w:r>
      <w:r>
        <w:rPr>
          <w:rFonts w:ascii="Arial" w:hAnsi="Arial" w:cs="Arial"/>
        </w:rPr>
        <w:t>ed</w:t>
      </w:r>
      <w:r w:rsidR="000F4665">
        <w:rPr>
          <w:rFonts w:ascii="Arial" w:hAnsi="Arial" w:cs="Arial"/>
        </w:rPr>
        <w:t xml:space="preserve"> to </w:t>
      </w:r>
      <w:r w:rsidR="0085056B">
        <w:rPr>
          <w:rFonts w:ascii="Arial" w:hAnsi="Arial" w:cs="Arial"/>
        </w:rPr>
        <w:t xml:space="preserve">be </w:t>
      </w:r>
      <w:r w:rsidR="000F4665">
        <w:rPr>
          <w:rFonts w:ascii="Arial" w:hAnsi="Arial" w:cs="Arial"/>
        </w:rPr>
        <w:t xml:space="preserve">some problem with the securities </w:t>
      </w:r>
      <w:r w:rsidR="00AC07B1">
        <w:rPr>
          <w:rFonts w:ascii="Arial" w:hAnsi="Arial" w:cs="Arial"/>
        </w:rPr>
        <w:t>on the company’s assets established by the banks</w:t>
      </w:r>
      <w:r w:rsidR="00366B25">
        <w:rPr>
          <w:rFonts w:ascii="Arial" w:hAnsi="Arial" w:cs="Arial"/>
        </w:rPr>
        <w:t xml:space="preserve">. </w:t>
      </w:r>
      <w:r w:rsidR="00F13BC6">
        <w:rPr>
          <w:rFonts w:ascii="Arial" w:hAnsi="Arial" w:cs="Arial"/>
        </w:rPr>
        <w:t>I</w:t>
      </w:r>
      <w:r w:rsidR="00695FAA">
        <w:rPr>
          <w:rFonts w:ascii="Arial" w:hAnsi="Arial" w:cs="Arial"/>
        </w:rPr>
        <w:t>n</w:t>
      </w:r>
      <w:r w:rsidR="00F13BC6">
        <w:rPr>
          <w:rFonts w:ascii="Arial" w:hAnsi="Arial" w:cs="Arial"/>
        </w:rPr>
        <w:t xml:space="preserve"> particular, this related to</w:t>
      </w:r>
      <w:r w:rsidR="00366B25">
        <w:rPr>
          <w:rFonts w:ascii="Arial" w:hAnsi="Arial" w:cs="Arial"/>
        </w:rPr>
        <w:t xml:space="preserve"> </w:t>
      </w:r>
      <w:r w:rsidR="003A0D7E">
        <w:rPr>
          <w:rFonts w:ascii="Arial" w:hAnsi="Arial" w:cs="Arial"/>
        </w:rPr>
        <w:t xml:space="preserve">the respective security contracts and </w:t>
      </w:r>
      <w:r w:rsidR="00375149">
        <w:rPr>
          <w:rFonts w:ascii="Arial" w:hAnsi="Arial" w:cs="Arial"/>
        </w:rPr>
        <w:t xml:space="preserve">there </w:t>
      </w:r>
      <w:proofErr w:type="gramStart"/>
      <w:r w:rsidR="00375149">
        <w:rPr>
          <w:rFonts w:ascii="Arial" w:hAnsi="Arial" w:cs="Arial"/>
        </w:rPr>
        <w:t>are</w:t>
      </w:r>
      <w:proofErr w:type="gramEnd"/>
      <w:r w:rsidR="00375149">
        <w:rPr>
          <w:rFonts w:ascii="Arial" w:hAnsi="Arial" w:cs="Arial"/>
        </w:rPr>
        <w:t xml:space="preserve"> implication that </w:t>
      </w:r>
      <w:r w:rsidR="00133845">
        <w:rPr>
          <w:rFonts w:ascii="Arial" w:hAnsi="Arial" w:cs="Arial"/>
        </w:rPr>
        <w:t xml:space="preserve">in the event of liquidation of </w:t>
      </w:r>
      <w:r w:rsidR="006E7D87">
        <w:rPr>
          <w:rFonts w:ascii="Arial" w:hAnsi="Arial" w:cs="Arial"/>
        </w:rPr>
        <w:t>the company</w:t>
      </w:r>
      <w:r w:rsidR="004D693B">
        <w:rPr>
          <w:rFonts w:ascii="Arial" w:hAnsi="Arial" w:cs="Arial"/>
        </w:rPr>
        <w:t xml:space="preserve"> </w:t>
      </w:r>
      <w:r w:rsidR="00375149">
        <w:rPr>
          <w:rFonts w:ascii="Arial" w:hAnsi="Arial" w:cs="Arial"/>
        </w:rPr>
        <w:t>the companies may be exposed to lower</w:t>
      </w:r>
      <w:r w:rsidR="00A80247">
        <w:rPr>
          <w:rFonts w:ascii="Arial" w:hAnsi="Arial" w:cs="Arial"/>
        </w:rPr>
        <w:t xml:space="preserve"> to zero</w:t>
      </w:r>
      <w:r w:rsidR="00375149">
        <w:rPr>
          <w:rFonts w:ascii="Arial" w:hAnsi="Arial" w:cs="Arial"/>
        </w:rPr>
        <w:t xml:space="preserve"> </w:t>
      </w:r>
      <w:r w:rsidR="004D693B">
        <w:rPr>
          <w:rFonts w:ascii="Arial" w:hAnsi="Arial" w:cs="Arial"/>
        </w:rPr>
        <w:t>proceeds.</w:t>
      </w:r>
    </w:p>
    <w:p w14:paraId="18E6B73F" w14:textId="77777777" w:rsidR="00F13BC6" w:rsidRDefault="00F13BC6" w:rsidP="006216F1">
      <w:pPr>
        <w:spacing w:after="0" w:line="240" w:lineRule="auto"/>
        <w:jc w:val="both"/>
        <w:rPr>
          <w:rFonts w:ascii="Arial" w:hAnsi="Arial" w:cs="Arial"/>
        </w:rPr>
      </w:pPr>
    </w:p>
    <w:p w14:paraId="546F7268" w14:textId="77777777" w:rsidR="00C6592B" w:rsidRDefault="0051713F" w:rsidP="006216F1">
      <w:pPr>
        <w:spacing w:after="0" w:line="240" w:lineRule="auto"/>
        <w:jc w:val="both"/>
        <w:rPr>
          <w:rFonts w:ascii="Arial" w:hAnsi="Arial" w:cs="Arial"/>
        </w:rPr>
      </w:pPr>
      <w:r>
        <w:rPr>
          <w:rFonts w:ascii="Arial" w:hAnsi="Arial" w:cs="Arial"/>
        </w:rPr>
        <w:t>The</w:t>
      </w:r>
      <w:r w:rsidR="00235E9C">
        <w:rPr>
          <w:rFonts w:ascii="Arial" w:hAnsi="Arial" w:cs="Arial"/>
        </w:rPr>
        <w:t xml:space="preserve">n just a couple of months in the discussions, </w:t>
      </w:r>
      <w:r w:rsidR="00076501">
        <w:rPr>
          <w:rFonts w:ascii="Arial" w:hAnsi="Arial" w:cs="Arial"/>
        </w:rPr>
        <w:t xml:space="preserve">Banks C and D </w:t>
      </w:r>
      <w:r w:rsidR="00235E9C">
        <w:rPr>
          <w:rFonts w:ascii="Arial" w:hAnsi="Arial" w:cs="Arial"/>
        </w:rPr>
        <w:t xml:space="preserve">are </w:t>
      </w:r>
      <w:proofErr w:type="gramStart"/>
      <w:r w:rsidR="00235E9C">
        <w:rPr>
          <w:rFonts w:ascii="Arial" w:hAnsi="Arial" w:cs="Arial"/>
        </w:rPr>
        <w:t>all of a sudden</w:t>
      </w:r>
      <w:proofErr w:type="gramEnd"/>
      <w:r w:rsidR="00235E9C">
        <w:rPr>
          <w:rFonts w:ascii="Arial" w:hAnsi="Arial" w:cs="Arial"/>
        </w:rPr>
        <w:t xml:space="preserve"> not cooperating. </w:t>
      </w:r>
      <w:r w:rsidR="0075316B">
        <w:rPr>
          <w:rFonts w:ascii="Arial" w:hAnsi="Arial" w:cs="Arial"/>
        </w:rPr>
        <w:t xml:space="preserve">At the time </w:t>
      </w:r>
      <w:r w:rsidR="00866E99">
        <w:rPr>
          <w:rFonts w:ascii="Arial" w:hAnsi="Arial" w:cs="Arial"/>
        </w:rPr>
        <w:t xml:space="preserve">there were ongoing negotiations between the consortium of banks on the one hand, and the company on the other hand, for the banks to agree on a standstill. </w:t>
      </w:r>
      <w:r w:rsidR="00B73ED4">
        <w:rPr>
          <w:rFonts w:ascii="Arial" w:hAnsi="Arial" w:cs="Arial"/>
        </w:rPr>
        <w:t xml:space="preserve">Therefore, Banks C and D were called to commit </w:t>
      </w:r>
      <w:r w:rsidR="003B2323">
        <w:rPr>
          <w:rFonts w:ascii="Arial" w:hAnsi="Arial" w:cs="Arial"/>
        </w:rPr>
        <w:t xml:space="preserve">on not taking any action against the company for quite some time, yet </w:t>
      </w:r>
      <w:r w:rsidR="002A15D9">
        <w:rPr>
          <w:rFonts w:ascii="Arial" w:hAnsi="Arial" w:cs="Arial"/>
        </w:rPr>
        <w:t xml:space="preserve">at that stage the company </w:t>
      </w:r>
      <w:r w:rsidR="002E25E9">
        <w:rPr>
          <w:rFonts w:ascii="Arial" w:hAnsi="Arial" w:cs="Arial"/>
        </w:rPr>
        <w:t xml:space="preserve">had </w:t>
      </w:r>
      <w:r w:rsidR="00AD3641">
        <w:rPr>
          <w:rFonts w:ascii="Arial" w:hAnsi="Arial" w:cs="Arial"/>
        </w:rPr>
        <w:t xml:space="preserve">not committed yet neither on the </w:t>
      </w:r>
      <w:r w:rsidR="00466F8C">
        <w:rPr>
          <w:rFonts w:ascii="Arial" w:hAnsi="Arial" w:cs="Arial"/>
        </w:rPr>
        <w:t xml:space="preserve">strategy to be followed for Flow Management’s restructuring, nor on the required </w:t>
      </w:r>
      <w:r w:rsidR="004236CC">
        <w:rPr>
          <w:rFonts w:ascii="Arial" w:hAnsi="Arial" w:cs="Arial"/>
        </w:rPr>
        <w:t>risk-nearing capital injections.</w:t>
      </w:r>
      <w:r w:rsidR="00203AE6">
        <w:rPr>
          <w:rFonts w:ascii="Arial" w:hAnsi="Arial" w:cs="Arial"/>
        </w:rPr>
        <w:t xml:space="preserve"> In </w:t>
      </w:r>
      <w:proofErr w:type="gramStart"/>
      <w:r w:rsidR="00203AE6">
        <w:rPr>
          <w:rFonts w:ascii="Arial" w:hAnsi="Arial" w:cs="Arial"/>
        </w:rPr>
        <w:t>fact</w:t>
      </w:r>
      <w:proofErr w:type="gramEnd"/>
      <w:r w:rsidR="00203AE6">
        <w:rPr>
          <w:rFonts w:ascii="Arial" w:hAnsi="Arial" w:cs="Arial"/>
        </w:rPr>
        <w:t xml:space="preserve"> the Shareholder has not even proceeded yet wit</w:t>
      </w:r>
      <w:r w:rsidR="00377376">
        <w:rPr>
          <w:rFonts w:ascii="Arial" w:hAnsi="Arial" w:cs="Arial"/>
        </w:rPr>
        <w:t>h the discussed changes in the company’s management</w:t>
      </w:r>
      <w:r w:rsidR="006D2B76">
        <w:rPr>
          <w:rFonts w:ascii="Arial" w:hAnsi="Arial" w:cs="Arial"/>
        </w:rPr>
        <w:t xml:space="preserve">, which is crucial to </w:t>
      </w:r>
      <w:r w:rsidR="00FA0A1A">
        <w:rPr>
          <w:rFonts w:ascii="Arial" w:hAnsi="Arial" w:cs="Arial"/>
        </w:rPr>
        <w:t xml:space="preserve">gain the creditors’ trust. </w:t>
      </w:r>
    </w:p>
    <w:p w14:paraId="51606F1C" w14:textId="77777777" w:rsidR="00C6592B" w:rsidRDefault="00C6592B" w:rsidP="006216F1">
      <w:pPr>
        <w:spacing w:after="0" w:line="240" w:lineRule="auto"/>
        <w:jc w:val="both"/>
        <w:rPr>
          <w:rFonts w:ascii="Arial" w:hAnsi="Arial" w:cs="Arial"/>
        </w:rPr>
      </w:pPr>
    </w:p>
    <w:p w14:paraId="2DCD42FC" w14:textId="617CADA3" w:rsidR="00061939" w:rsidRDefault="008A40E6" w:rsidP="006216F1">
      <w:pPr>
        <w:spacing w:after="0" w:line="240" w:lineRule="auto"/>
        <w:jc w:val="both"/>
        <w:rPr>
          <w:rFonts w:ascii="Arial" w:hAnsi="Arial" w:cs="Arial"/>
        </w:rPr>
      </w:pPr>
      <w:r>
        <w:rPr>
          <w:rFonts w:ascii="Arial" w:hAnsi="Arial" w:cs="Arial"/>
          <w:i/>
          <w:iCs/>
        </w:rPr>
        <w:t>“</w:t>
      </w:r>
      <w:r w:rsidR="00321955">
        <w:rPr>
          <w:rFonts w:ascii="Arial" w:hAnsi="Arial" w:cs="Arial"/>
          <w:i/>
          <w:iCs/>
        </w:rPr>
        <w:t xml:space="preserve">Often, banks and creditors, will continue </w:t>
      </w:r>
      <w:r w:rsidR="009D7628">
        <w:rPr>
          <w:rFonts w:ascii="Arial" w:hAnsi="Arial" w:cs="Arial"/>
          <w:i/>
          <w:iCs/>
        </w:rPr>
        <w:t xml:space="preserve">financial support only if they are confident that the management </w:t>
      </w:r>
      <w:r w:rsidR="00983E2F">
        <w:rPr>
          <w:rFonts w:ascii="Arial" w:hAnsi="Arial" w:cs="Arial"/>
          <w:i/>
          <w:iCs/>
        </w:rPr>
        <w:t>team can manage the crisis in hand”</w:t>
      </w:r>
      <w:r w:rsidR="00B30BBA">
        <w:rPr>
          <w:rStyle w:val="FootnoteReference"/>
          <w:rFonts w:ascii="Arial" w:hAnsi="Arial" w:cs="Arial"/>
          <w:i/>
          <w:iCs/>
        </w:rPr>
        <w:footnoteReference w:id="19"/>
      </w:r>
      <w:r w:rsidR="00983E2F">
        <w:rPr>
          <w:rFonts w:ascii="Arial" w:hAnsi="Arial" w:cs="Arial"/>
          <w:i/>
          <w:iCs/>
        </w:rPr>
        <w:t xml:space="preserve"> </w:t>
      </w:r>
      <w:r w:rsidR="00983E2F">
        <w:rPr>
          <w:rFonts w:ascii="Arial" w:hAnsi="Arial" w:cs="Arial"/>
        </w:rPr>
        <w:t xml:space="preserve">and it has become </w:t>
      </w:r>
      <w:proofErr w:type="gramStart"/>
      <w:r w:rsidR="00983E2F">
        <w:rPr>
          <w:rFonts w:ascii="Arial" w:hAnsi="Arial" w:cs="Arial"/>
        </w:rPr>
        <w:t>quite obvious</w:t>
      </w:r>
      <w:proofErr w:type="gramEnd"/>
      <w:r w:rsidR="00983E2F">
        <w:rPr>
          <w:rFonts w:ascii="Arial" w:hAnsi="Arial" w:cs="Arial"/>
        </w:rPr>
        <w:t xml:space="preserve"> by now that this </w:t>
      </w:r>
      <w:r w:rsidR="00B30BBA">
        <w:rPr>
          <w:rFonts w:ascii="Arial" w:hAnsi="Arial" w:cs="Arial"/>
        </w:rPr>
        <w:t xml:space="preserve">is not the case with the management of the company at the time. </w:t>
      </w:r>
      <w:proofErr w:type="gramStart"/>
      <w:r w:rsidR="007441C4">
        <w:rPr>
          <w:rFonts w:ascii="Arial" w:hAnsi="Arial" w:cs="Arial"/>
        </w:rPr>
        <w:t>With this in mind, I</w:t>
      </w:r>
      <w:proofErr w:type="gramEnd"/>
      <w:r w:rsidR="007441C4">
        <w:rPr>
          <w:rFonts w:ascii="Arial" w:hAnsi="Arial" w:cs="Arial"/>
        </w:rPr>
        <w:t xml:space="preserve"> believe it is rational at this stage that Banks C and D</w:t>
      </w:r>
      <w:r w:rsidR="00FD6392">
        <w:rPr>
          <w:rFonts w:ascii="Arial" w:hAnsi="Arial" w:cs="Arial"/>
        </w:rPr>
        <w:t xml:space="preserve"> took a more passive approach. They were after all</w:t>
      </w:r>
      <w:r w:rsidR="000E52C7">
        <w:rPr>
          <w:rFonts w:ascii="Arial" w:hAnsi="Arial" w:cs="Arial"/>
        </w:rPr>
        <w:t xml:space="preserve"> </w:t>
      </w:r>
      <w:r w:rsidR="00C26D45">
        <w:rPr>
          <w:rFonts w:ascii="Arial" w:hAnsi="Arial" w:cs="Arial"/>
        </w:rPr>
        <w:t xml:space="preserve">primary </w:t>
      </w:r>
      <w:proofErr w:type="gramStart"/>
      <w:r w:rsidR="00C26D45">
        <w:rPr>
          <w:rFonts w:ascii="Arial" w:hAnsi="Arial" w:cs="Arial"/>
        </w:rPr>
        <w:t xml:space="preserve">stakeholders, </w:t>
      </w:r>
      <w:r w:rsidR="00C76200">
        <w:rPr>
          <w:rFonts w:ascii="Arial" w:hAnsi="Arial" w:cs="Arial"/>
        </w:rPr>
        <w:t>since</w:t>
      </w:r>
      <w:proofErr w:type="gramEnd"/>
      <w:r w:rsidR="00C76200">
        <w:rPr>
          <w:rFonts w:ascii="Arial" w:hAnsi="Arial" w:cs="Arial"/>
        </w:rPr>
        <w:t xml:space="preserve"> </w:t>
      </w:r>
      <w:r w:rsidR="00C26D45">
        <w:rPr>
          <w:rFonts w:ascii="Arial" w:hAnsi="Arial" w:cs="Arial"/>
        </w:rPr>
        <w:t>their securities over assets of the company</w:t>
      </w:r>
      <w:r w:rsidR="00642CD5">
        <w:rPr>
          <w:rFonts w:ascii="Arial" w:hAnsi="Arial" w:cs="Arial"/>
        </w:rPr>
        <w:t xml:space="preserve"> indicates high direct resource dependency of the company with these banks</w:t>
      </w:r>
      <w:r w:rsidR="003F1C3F">
        <w:rPr>
          <w:rStyle w:val="FootnoteReference"/>
          <w:rFonts w:ascii="Arial" w:hAnsi="Arial" w:cs="Arial"/>
        </w:rPr>
        <w:footnoteReference w:id="20"/>
      </w:r>
      <w:r w:rsidR="00A8693B">
        <w:rPr>
          <w:rFonts w:ascii="Arial" w:hAnsi="Arial" w:cs="Arial"/>
        </w:rPr>
        <w:t>. As</w:t>
      </w:r>
      <w:r w:rsidR="00901415">
        <w:rPr>
          <w:rFonts w:ascii="Arial" w:hAnsi="Arial" w:cs="Arial"/>
        </w:rPr>
        <w:t xml:space="preserve"> such, they were also aware of their power to influence</w:t>
      </w:r>
      <w:r w:rsidR="00A57A21">
        <w:rPr>
          <w:rFonts w:ascii="Arial" w:hAnsi="Arial" w:cs="Arial"/>
        </w:rPr>
        <w:t xml:space="preserve">, or rather </w:t>
      </w:r>
      <w:r w:rsidR="00257FE5">
        <w:rPr>
          <w:rFonts w:ascii="Arial" w:hAnsi="Arial" w:cs="Arial"/>
        </w:rPr>
        <w:t>exert pressure, on the company’s management and the Shareholder</w:t>
      </w:r>
      <w:r w:rsidR="00A8693B">
        <w:rPr>
          <w:rFonts w:ascii="Arial" w:hAnsi="Arial" w:cs="Arial"/>
        </w:rPr>
        <w:t xml:space="preserve"> by showing their </w:t>
      </w:r>
      <w:r w:rsidR="00DD74F2">
        <w:rPr>
          <w:rFonts w:ascii="Arial" w:hAnsi="Arial" w:cs="Arial"/>
        </w:rPr>
        <w:t>dissatisfaction on the progress of the negotiations at that point in time</w:t>
      </w:r>
      <w:r w:rsidR="00257FE5">
        <w:rPr>
          <w:rFonts w:ascii="Arial" w:hAnsi="Arial" w:cs="Arial"/>
        </w:rPr>
        <w:t>.</w:t>
      </w:r>
      <w:r w:rsidR="00377376">
        <w:rPr>
          <w:rFonts w:ascii="Arial" w:hAnsi="Arial" w:cs="Arial"/>
        </w:rPr>
        <w:t xml:space="preserve"> </w:t>
      </w:r>
    </w:p>
    <w:p w14:paraId="3C005609" w14:textId="77777777" w:rsidR="00061939" w:rsidRDefault="00061939" w:rsidP="006216F1">
      <w:pPr>
        <w:spacing w:after="0" w:line="240" w:lineRule="auto"/>
        <w:jc w:val="both"/>
        <w:rPr>
          <w:rFonts w:ascii="Arial" w:hAnsi="Arial" w:cs="Arial"/>
        </w:rPr>
      </w:pPr>
    </w:p>
    <w:p w14:paraId="2839F363" w14:textId="5047BA45" w:rsidR="00F13BC6" w:rsidRDefault="008E3B84" w:rsidP="006216F1">
      <w:pPr>
        <w:spacing w:after="0" w:line="240" w:lineRule="auto"/>
        <w:jc w:val="both"/>
        <w:rPr>
          <w:rFonts w:ascii="Arial" w:hAnsi="Arial" w:cs="Arial"/>
        </w:rPr>
      </w:pPr>
      <w:r>
        <w:rPr>
          <w:rFonts w:ascii="Arial" w:hAnsi="Arial" w:cs="Arial"/>
        </w:rPr>
        <w:t xml:space="preserve">Then in June 2014, that the </w:t>
      </w:r>
      <w:r w:rsidR="00404C7C">
        <w:rPr>
          <w:rFonts w:ascii="Arial" w:hAnsi="Arial" w:cs="Arial"/>
        </w:rPr>
        <w:t>company comes up with a proposal for the financial restructuring of the Subsidiary, the newly appointed CRO announced</w:t>
      </w:r>
      <w:r w:rsidR="007D39DE">
        <w:rPr>
          <w:rFonts w:ascii="Arial" w:hAnsi="Arial" w:cs="Arial"/>
        </w:rPr>
        <w:t xml:space="preserve"> increased expected losses and </w:t>
      </w:r>
      <w:r w:rsidR="00EB646F">
        <w:rPr>
          <w:rFonts w:ascii="Arial" w:hAnsi="Arial" w:cs="Arial"/>
        </w:rPr>
        <w:t xml:space="preserve">imminent liquidity shortage, all attributed to the </w:t>
      </w:r>
      <w:r w:rsidR="004832C0">
        <w:rPr>
          <w:rFonts w:ascii="Arial" w:hAnsi="Arial" w:cs="Arial"/>
        </w:rPr>
        <w:t>delay in the sought reorganisation.</w:t>
      </w:r>
      <w:r w:rsidR="00466F8C">
        <w:rPr>
          <w:rFonts w:ascii="Arial" w:hAnsi="Arial" w:cs="Arial"/>
        </w:rPr>
        <w:t xml:space="preserve"> </w:t>
      </w:r>
      <w:r w:rsidR="004832C0">
        <w:rPr>
          <w:rFonts w:ascii="Arial" w:hAnsi="Arial" w:cs="Arial"/>
        </w:rPr>
        <w:t>It is at this point that</w:t>
      </w:r>
      <w:r w:rsidR="00D364C1">
        <w:rPr>
          <w:rFonts w:ascii="Arial" w:hAnsi="Arial" w:cs="Arial"/>
        </w:rPr>
        <w:t xml:space="preserve">, </w:t>
      </w:r>
      <w:r w:rsidR="00526496">
        <w:rPr>
          <w:rFonts w:ascii="Arial" w:hAnsi="Arial" w:cs="Arial"/>
        </w:rPr>
        <w:t>to the discouragement of bank</w:t>
      </w:r>
      <w:r w:rsidR="00C33C3E">
        <w:rPr>
          <w:rFonts w:ascii="Arial" w:hAnsi="Arial" w:cs="Arial"/>
        </w:rPr>
        <w:t>s</w:t>
      </w:r>
      <w:r w:rsidR="00526496">
        <w:rPr>
          <w:rFonts w:ascii="Arial" w:hAnsi="Arial" w:cs="Arial"/>
        </w:rPr>
        <w:t xml:space="preserve"> A and B,</w:t>
      </w:r>
      <w:r w:rsidR="004832C0">
        <w:rPr>
          <w:rFonts w:ascii="Arial" w:hAnsi="Arial" w:cs="Arial"/>
        </w:rPr>
        <w:t xml:space="preserve"> banks C and D threaten to even </w:t>
      </w:r>
      <w:r w:rsidR="00C1309E">
        <w:rPr>
          <w:rFonts w:ascii="Arial" w:hAnsi="Arial" w:cs="Arial"/>
        </w:rPr>
        <w:t>cancel credit.</w:t>
      </w:r>
      <w:r w:rsidR="00866E99">
        <w:rPr>
          <w:rFonts w:ascii="Arial" w:hAnsi="Arial" w:cs="Arial"/>
        </w:rPr>
        <w:t xml:space="preserve"> </w:t>
      </w:r>
    </w:p>
    <w:p w14:paraId="742DABCA" w14:textId="77777777" w:rsidR="00E05C9A" w:rsidRDefault="00E05C9A" w:rsidP="006216F1">
      <w:pPr>
        <w:spacing w:after="0" w:line="240" w:lineRule="auto"/>
        <w:jc w:val="both"/>
        <w:rPr>
          <w:rFonts w:ascii="Arial" w:hAnsi="Arial" w:cs="Arial"/>
        </w:rPr>
      </w:pPr>
    </w:p>
    <w:p w14:paraId="66EF25CC" w14:textId="7EA5B2C4" w:rsidR="00E05C9A" w:rsidRDefault="00593861" w:rsidP="006216F1">
      <w:pPr>
        <w:spacing w:after="0" w:line="240" w:lineRule="auto"/>
        <w:jc w:val="both"/>
        <w:rPr>
          <w:rFonts w:ascii="Arial" w:hAnsi="Arial" w:cs="Arial"/>
        </w:rPr>
      </w:pPr>
      <w:r>
        <w:rPr>
          <w:rFonts w:ascii="Arial" w:hAnsi="Arial" w:cs="Arial"/>
        </w:rPr>
        <w:t xml:space="preserve">By now, banks A and B have already </w:t>
      </w:r>
      <w:r w:rsidR="004B3FC9">
        <w:rPr>
          <w:rFonts w:ascii="Arial" w:hAnsi="Arial" w:cs="Arial"/>
        </w:rPr>
        <w:t>considered the possibility of buying out banks C and D with 15% - 20% discount</w:t>
      </w:r>
      <w:r w:rsidR="007A7A9E">
        <w:rPr>
          <w:rFonts w:ascii="Arial" w:hAnsi="Arial" w:cs="Arial"/>
        </w:rPr>
        <w:t xml:space="preserve">. </w:t>
      </w:r>
      <w:r w:rsidR="00D83BBA">
        <w:rPr>
          <w:rFonts w:ascii="Arial" w:hAnsi="Arial" w:cs="Arial"/>
        </w:rPr>
        <w:t xml:space="preserve">However, considering their relatively </w:t>
      </w:r>
      <w:r w:rsidR="009B2E03">
        <w:rPr>
          <w:rFonts w:ascii="Arial" w:hAnsi="Arial" w:cs="Arial"/>
        </w:rPr>
        <w:t>easy</w:t>
      </w:r>
      <w:r w:rsidR="00903A36">
        <w:rPr>
          <w:rFonts w:ascii="Arial" w:hAnsi="Arial" w:cs="Arial"/>
        </w:rPr>
        <w:t>-</w:t>
      </w:r>
      <w:r w:rsidR="009B2E03">
        <w:rPr>
          <w:rFonts w:ascii="Arial" w:hAnsi="Arial" w:cs="Arial"/>
        </w:rPr>
        <w:t xml:space="preserve">going </w:t>
      </w:r>
      <w:r w:rsidR="004842F8">
        <w:rPr>
          <w:rFonts w:ascii="Arial" w:hAnsi="Arial" w:cs="Arial"/>
        </w:rPr>
        <w:t xml:space="preserve">approach to the restructuring negotiations, </w:t>
      </w:r>
      <w:r w:rsidR="00D51F2C">
        <w:rPr>
          <w:rFonts w:ascii="Arial" w:hAnsi="Arial" w:cs="Arial"/>
        </w:rPr>
        <w:t xml:space="preserve">this would not necessarily strengthen their negotiating power. </w:t>
      </w:r>
      <w:r w:rsidR="001469A9">
        <w:rPr>
          <w:rFonts w:ascii="Arial" w:hAnsi="Arial" w:cs="Arial"/>
        </w:rPr>
        <w:t xml:space="preserve">Personally, I would advise them </w:t>
      </w:r>
      <w:r w:rsidR="004F6E5F">
        <w:rPr>
          <w:rFonts w:ascii="Arial" w:hAnsi="Arial" w:cs="Arial"/>
        </w:rPr>
        <w:t>instead to</w:t>
      </w:r>
      <w:r w:rsidR="00801EEB">
        <w:rPr>
          <w:rFonts w:ascii="Arial" w:hAnsi="Arial" w:cs="Arial"/>
        </w:rPr>
        <w:t xml:space="preserve"> embark on </w:t>
      </w:r>
      <w:r w:rsidR="00B924C4">
        <w:rPr>
          <w:rFonts w:ascii="Arial" w:hAnsi="Arial" w:cs="Arial"/>
        </w:rPr>
        <w:t>becoming the</w:t>
      </w:r>
      <w:r w:rsidR="00D85664">
        <w:rPr>
          <w:rFonts w:ascii="Arial" w:hAnsi="Arial" w:cs="Arial"/>
        </w:rPr>
        <w:t xml:space="preserve"> </w:t>
      </w:r>
      <w:r w:rsidR="00B924C4">
        <w:rPr>
          <w:rFonts w:ascii="Arial" w:hAnsi="Arial" w:cs="Arial"/>
        </w:rPr>
        <w:t>‘</w:t>
      </w:r>
      <w:r w:rsidR="00D85664">
        <w:rPr>
          <w:rFonts w:ascii="Arial" w:hAnsi="Arial" w:cs="Arial"/>
        </w:rPr>
        <w:t>mediator</w:t>
      </w:r>
      <w:r w:rsidR="00B924C4">
        <w:rPr>
          <w:rFonts w:ascii="Arial" w:hAnsi="Arial" w:cs="Arial"/>
        </w:rPr>
        <w:t>’</w:t>
      </w:r>
      <w:r w:rsidR="00D85664">
        <w:rPr>
          <w:rFonts w:ascii="Arial" w:hAnsi="Arial" w:cs="Arial"/>
        </w:rPr>
        <w:t xml:space="preserve"> between Flow Management and </w:t>
      </w:r>
      <w:r w:rsidR="00B924C4">
        <w:rPr>
          <w:rFonts w:ascii="Arial" w:hAnsi="Arial" w:cs="Arial"/>
        </w:rPr>
        <w:t xml:space="preserve">banks C and D. </w:t>
      </w:r>
      <w:r w:rsidR="00674FCD">
        <w:rPr>
          <w:rFonts w:ascii="Arial" w:hAnsi="Arial" w:cs="Arial"/>
        </w:rPr>
        <w:t>Achieving this would have improved their network position</w:t>
      </w:r>
      <w:r w:rsidR="00BC1CFA">
        <w:rPr>
          <w:rFonts w:ascii="Arial" w:hAnsi="Arial" w:cs="Arial"/>
        </w:rPr>
        <w:t>, as a direct effect of the betweenness centrality power they’d gain</w:t>
      </w:r>
      <w:r w:rsidR="004148AB">
        <w:rPr>
          <w:rFonts w:ascii="Arial" w:hAnsi="Arial" w:cs="Arial"/>
        </w:rPr>
        <w:t xml:space="preserve">, just like the role that Bank of Finland asserted in the restructuring of </w:t>
      </w:r>
      <w:proofErr w:type="spellStart"/>
      <w:r w:rsidR="00DF0B3F">
        <w:rPr>
          <w:rFonts w:ascii="Arial" w:hAnsi="Arial" w:cs="Arial"/>
        </w:rPr>
        <w:t>Kymi</w:t>
      </w:r>
      <w:proofErr w:type="spellEnd"/>
      <w:r w:rsidR="00DF0B3F">
        <w:rPr>
          <w:rFonts w:ascii="Arial" w:hAnsi="Arial" w:cs="Arial"/>
        </w:rPr>
        <w:t xml:space="preserve"> Corporation</w:t>
      </w:r>
      <w:r w:rsidR="00DF0B3F">
        <w:rPr>
          <w:rStyle w:val="FootnoteReference"/>
          <w:rFonts w:ascii="Arial" w:hAnsi="Arial" w:cs="Arial"/>
        </w:rPr>
        <w:footnoteReference w:id="21"/>
      </w:r>
      <w:r w:rsidR="00DF0B3F">
        <w:rPr>
          <w:rFonts w:ascii="Arial" w:hAnsi="Arial" w:cs="Arial"/>
        </w:rPr>
        <w:t xml:space="preserve">. </w:t>
      </w:r>
    </w:p>
    <w:p w14:paraId="5396E9B3" w14:textId="77777777" w:rsidR="009B0029" w:rsidRDefault="009B0029" w:rsidP="006216F1">
      <w:pPr>
        <w:spacing w:after="0" w:line="240" w:lineRule="auto"/>
        <w:jc w:val="both"/>
        <w:rPr>
          <w:rFonts w:ascii="Arial" w:hAnsi="Arial" w:cs="Arial"/>
        </w:rPr>
      </w:pPr>
    </w:p>
    <w:p w14:paraId="41A100CA" w14:textId="68FC1467" w:rsidR="009B0029" w:rsidRPr="00A2635C" w:rsidRDefault="006B0821" w:rsidP="006216F1">
      <w:pPr>
        <w:spacing w:after="0" w:line="240" w:lineRule="auto"/>
        <w:jc w:val="both"/>
        <w:rPr>
          <w:rFonts w:ascii="Arial" w:hAnsi="Arial" w:cs="Arial"/>
          <w:b/>
          <w:bCs/>
        </w:rPr>
      </w:pPr>
      <w:r>
        <w:rPr>
          <w:rFonts w:ascii="Arial" w:hAnsi="Arial" w:cs="Arial"/>
        </w:rPr>
        <w:t xml:space="preserve">In the end, the </w:t>
      </w:r>
      <w:r w:rsidR="002B4D8A">
        <w:rPr>
          <w:rFonts w:ascii="Arial" w:hAnsi="Arial" w:cs="Arial"/>
        </w:rPr>
        <w:t xml:space="preserve">retreating tactic of banks C and D seems to have paid on, since </w:t>
      </w:r>
      <w:r w:rsidR="00515E8A">
        <w:rPr>
          <w:rFonts w:ascii="Arial" w:hAnsi="Arial" w:cs="Arial"/>
        </w:rPr>
        <w:t xml:space="preserve">the Shareholder proceeded with the </w:t>
      </w:r>
      <w:proofErr w:type="gramStart"/>
      <w:r w:rsidR="00515E8A">
        <w:rPr>
          <w:rFonts w:ascii="Arial" w:hAnsi="Arial" w:cs="Arial"/>
        </w:rPr>
        <w:t>sought after</w:t>
      </w:r>
      <w:proofErr w:type="gramEnd"/>
      <w:r w:rsidR="00515E8A">
        <w:rPr>
          <w:rFonts w:ascii="Arial" w:hAnsi="Arial" w:cs="Arial"/>
        </w:rPr>
        <w:t xml:space="preserve"> changes in the management of the company</w:t>
      </w:r>
      <w:r w:rsidR="001D7D23">
        <w:rPr>
          <w:rFonts w:ascii="Arial" w:hAnsi="Arial" w:cs="Arial"/>
        </w:rPr>
        <w:t xml:space="preserve"> and agreed to proceed with he required cash injections</w:t>
      </w:r>
      <w:r w:rsidR="000946E3">
        <w:rPr>
          <w:rFonts w:ascii="Arial" w:hAnsi="Arial" w:cs="Arial"/>
        </w:rPr>
        <w:t xml:space="preserve">, so by August 2014 a standstill agreement is achieved. Nevertheless, </w:t>
      </w:r>
      <w:r w:rsidR="00527297">
        <w:rPr>
          <w:rFonts w:ascii="Arial" w:hAnsi="Arial" w:cs="Arial"/>
        </w:rPr>
        <w:t xml:space="preserve">judging from the result of the July 2015 restructuring agreement which favoured the consortium of banks in general, </w:t>
      </w:r>
      <w:r w:rsidR="00281DB1">
        <w:rPr>
          <w:rFonts w:ascii="Arial" w:hAnsi="Arial" w:cs="Arial"/>
        </w:rPr>
        <w:t xml:space="preserve">it’s implied that </w:t>
      </w:r>
      <w:r w:rsidR="007A4025">
        <w:rPr>
          <w:rFonts w:ascii="Arial" w:hAnsi="Arial" w:cs="Arial"/>
        </w:rPr>
        <w:t xml:space="preserve">banks </w:t>
      </w:r>
      <w:r w:rsidR="000946E3">
        <w:rPr>
          <w:rFonts w:ascii="Arial" w:hAnsi="Arial" w:cs="Arial"/>
        </w:rPr>
        <w:t xml:space="preserve">A and B </w:t>
      </w:r>
      <w:proofErr w:type="gramStart"/>
      <w:r w:rsidR="000946E3">
        <w:rPr>
          <w:rFonts w:ascii="Arial" w:hAnsi="Arial" w:cs="Arial"/>
        </w:rPr>
        <w:t xml:space="preserve">did not </w:t>
      </w:r>
      <w:r w:rsidR="00281DB1">
        <w:rPr>
          <w:rFonts w:ascii="Arial" w:hAnsi="Arial" w:cs="Arial"/>
        </w:rPr>
        <w:t>succeed</w:t>
      </w:r>
      <w:proofErr w:type="gramEnd"/>
      <w:r w:rsidR="00281DB1">
        <w:rPr>
          <w:rFonts w:ascii="Arial" w:hAnsi="Arial" w:cs="Arial"/>
        </w:rPr>
        <w:t xml:space="preserve"> in using this situation </w:t>
      </w:r>
      <w:r w:rsidR="00B2005A">
        <w:rPr>
          <w:rFonts w:ascii="Arial" w:hAnsi="Arial" w:cs="Arial"/>
        </w:rPr>
        <w:t xml:space="preserve">with the passive attitude of banks C and D to their advantage. This is another indication that they should have perhaps </w:t>
      </w:r>
      <w:r w:rsidR="00FB5133">
        <w:rPr>
          <w:rFonts w:ascii="Arial" w:hAnsi="Arial" w:cs="Arial"/>
        </w:rPr>
        <w:t xml:space="preserve">pursuit a more active role in the negotiations at that stage. </w:t>
      </w:r>
    </w:p>
    <w:p w14:paraId="4F334F85" w14:textId="77777777" w:rsidR="006216F1" w:rsidRPr="006216F1" w:rsidRDefault="006216F1" w:rsidP="006216F1">
      <w:pPr>
        <w:spacing w:after="0" w:line="240" w:lineRule="auto"/>
        <w:jc w:val="both"/>
        <w:rPr>
          <w:rFonts w:ascii="Arial" w:hAnsi="Arial" w:cs="Arial"/>
          <w:b/>
          <w:bCs/>
        </w:rPr>
      </w:pPr>
    </w:p>
    <w:p w14:paraId="2A634AB6" w14:textId="7B9D8F2E" w:rsidR="004F7CE8" w:rsidRDefault="004F7CE8" w:rsidP="006216F1">
      <w:pPr>
        <w:pStyle w:val="ListParagraph"/>
        <w:numPr>
          <w:ilvl w:val="0"/>
          <w:numId w:val="2"/>
        </w:numPr>
        <w:spacing w:after="0" w:line="240" w:lineRule="auto"/>
        <w:jc w:val="both"/>
        <w:rPr>
          <w:rFonts w:ascii="Arial" w:hAnsi="Arial" w:cs="Arial"/>
          <w:b/>
          <w:bCs/>
        </w:rPr>
      </w:pPr>
      <w:r>
        <w:rPr>
          <w:rFonts w:ascii="Arial" w:hAnsi="Arial" w:cs="Arial"/>
          <w:b/>
          <w:bCs/>
        </w:rPr>
        <w:lastRenderedPageBreak/>
        <w:t>Which of the eight principles of the ‘Statement</w:t>
      </w:r>
      <w:r w:rsidR="00E5753D">
        <w:rPr>
          <w:rFonts w:ascii="Arial" w:hAnsi="Arial" w:cs="Arial"/>
          <w:b/>
          <w:bCs/>
        </w:rPr>
        <w:t xml:space="preserve"> of Principles for a Global Approach to Multi-Creditor Workouts II’ can be found in the workout process of the Flow Management (explicit or implicit)?</w:t>
      </w:r>
    </w:p>
    <w:p w14:paraId="564193F3" w14:textId="77777777" w:rsidR="006216F1" w:rsidRDefault="006216F1" w:rsidP="006216F1">
      <w:pPr>
        <w:spacing w:after="0" w:line="240" w:lineRule="auto"/>
        <w:jc w:val="both"/>
        <w:rPr>
          <w:rFonts w:ascii="Arial" w:hAnsi="Arial" w:cs="Arial"/>
          <w:b/>
          <w:bCs/>
        </w:rPr>
      </w:pPr>
    </w:p>
    <w:p w14:paraId="137F6A8E" w14:textId="23877EE8" w:rsidR="00C02FB6" w:rsidRDefault="006F0FF8" w:rsidP="006216F1">
      <w:pPr>
        <w:spacing w:after="0" w:line="240" w:lineRule="auto"/>
        <w:jc w:val="both"/>
        <w:rPr>
          <w:rFonts w:ascii="Arial" w:hAnsi="Arial" w:cs="Arial"/>
        </w:rPr>
      </w:pPr>
      <w:r>
        <w:rPr>
          <w:rFonts w:ascii="Arial" w:hAnsi="Arial" w:cs="Arial"/>
        </w:rPr>
        <w:t xml:space="preserve">From the outset of </w:t>
      </w:r>
      <w:r w:rsidR="00975DCE">
        <w:rPr>
          <w:rFonts w:ascii="Arial" w:hAnsi="Arial" w:cs="Arial"/>
        </w:rPr>
        <w:t>the</w:t>
      </w:r>
      <w:r>
        <w:rPr>
          <w:rFonts w:ascii="Arial" w:hAnsi="Arial" w:cs="Arial"/>
        </w:rPr>
        <w:t xml:space="preserve"> financial distress</w:t>
      </w:r>
      <w:r w:rsidR="00975DCE">
        <w:rPr>
          <w:rFonts w:ascii="Arial" w:hAnsi="Arial" w:cs="Arial"/>
        </w:rPr>
        <w:t xml:space="preserve"> </w:t>
      </w:r>
      <w:r w:rsidR="00261CF5">
        <w:rPr>
          <w:rFonts w:ascii="Arial" w:hAnsi="Arial" w:cs="Arial"/>
        </w:rPr>
        <w:t>identified at the Subsidiary</w:t>
      </w:r>
      <w:r>
        <w:rPr>
          <w:rFonts w:ascii="Arial" w:hAnsi="Arial" w:cs="Arial"/>
        </w:rPr>
        <w:t>, Flow Management has</w:t>
      </w:r>
      <w:r w:rsidR="003134C0">
        <w:rPr>
          <w:rFonts w:ascii="Arial" w:hAnsi="Arial" w:cs="Arial"/>
        </w:rPr>
        <w:t xml:space="preserve"> indeed called in all the banks it’s been working with to inform them about the situation and </w:t>
      </w:r>
      <w:r w:rsidR="00014759">
        <w:rPr>
          <w:rFonts w:ascii="Arial" w:hAnsi="Arial" w:cs="Arial"/>
        </w:rPr>
        <w:t xml:space="preserve">request their cooperation in facilitating a standstill period. </w:t>
      </w:r>
      <w:r w:rsidR="005B2E2C">
        <w:rPr>
          <w:rFonts w:ascii="Arial" w:hAnsi="Arial" w:cs="Arial"/>
        </w:rPr>
        <w:t xml:space="preserve">At about the same time they’ve appointed an independent accountancy firm and an independent turnaround consultancy firm to </w:t>
      </w:r>
      <w:r w:rsidR="00D535DB">
        <w:rPr>
          <w:rFonts w:ascii="Arial" w:hAnsi="Arial" w:cs="Arial"/>
        </w:rPr>
        <w:t xml:space="preserve">investigate on the </w:t>
      </w:r>
      <w:r w:rsidR="001D5FE5">
        <w:rPr>
          <w:rFonts w:ascii="Arial" w:hAnsi="Arial" w:cs="Arial"/>
        </w:rPr>
        <w:t xml:space="preserve">procedures followed by the company and </w:t>
      </w:r>
      <w:r w:rsidR="00C02FB6">
        <w:rPr>
          <w:rFonts w:ascii="Arial" w:hAnsi="Arial" w:cs="Arial"/>
        </w:rPr>
        <w:t>come up with the current and prospect financial position of the company.</w:t>
      </w:r>
      <w:r w:rsidR="009A31E2">
        <w:rPr>
          <w:rFonts w:ascii="Arial" w:hAnsi="Arial" w:cs="Arial"/>
        </w:rPr>
        <w:t xml:space="preserve"> It should be </w:t>
      </w:r>
      <w:r w:rsidR="00052E29">
        <w:rPr>
          <w:rFonts w:ascii="Arial" w:hAnsi="Arial" w:cs="Arial"/>
        </w:rPr>
        <w:t>not</w:t>
      </w:r>
      <w:r w:rsidR="009A31E2">
        <w:rPr>
          <w:rFonts w:ascii="Arial" w:hAnsi="Arial" w:cs="Arial"/>
        </w:rPr>
        <w:t xml:space="preserve">ed at this stage that </w:t>
      </w:r>
      <w:r w:rsidR="00DE5840">
        <w:rPr>
          <w:rFonts w:ascii="Arial" w:hAnsi="Arial" w:cs="Arial"/>
        </w:rPr>
        <w:t xml:space="preserve">this sharing of information was </w:t>
      </w:r>
      <w:proofErr w:type="gramStart"/>
      <w:r w:rsidR="00DE5840">
        <w:rPr>
          <w:rFonts w:ascii="Arial" w:hAnsi="Arial" w:cs="Arial"/>
        </w:rPr>
        <w:t>effected</w:t>
      </w:r>
      <w:proofErr w:type="gramEnd"/>
      <w:r w:rsidR="00DE5840">
        <w:rPr>
          <w:rFonts w:ascii="Arial" w:hAnsi="Arial" w:cs="Arial"/>
        </w:rPr>
        <w:t xml:space="preserve"> at this early stage, that is before any standstill agreement was achieved. </w:t>
      </w:r>
      <w:r w:rsidR="00C02FB6">
        <w:rPr>
          <w:rFonts w:ascii="Arial" w:hAnsi="Arial" w:cs="Arial"/>
        </w:rPr>
        <w:t xml:space="preserve"> </w:t>
      </w:r>
    </w:p>
    <w:p w14:paraId="798AEE3F" w14:textId="77777777" w:rsidR="00C02FB6" w:rsidRDefault="00C02FB6" w:rsidP="006216F1">
      <w:pPr>
        <w:spacing w:after="0" w:line="240" w:lineRule="auto"/>
        <w:jc w:val="both"/>
        <w:rPr>
          <w:rFonts w:ascii="Arial" w:hAnsi="Arial" w:cs="Arial"/>
        </w:rPr>
      </w:pPr>
    </w:p>
    <w:p w14:paraId="4A39484B" w14:textId="77777777" w:rsidR="00893682" w:rsidRDefault="00C02FB6" w:rsidP="006216F1">
      <w:pPr>
        <w:spacing w:after="0" w:line="240" w:lineRule="auto"/>
        <w:jc w:val="both"/>
        <w:rPr>
          <w:rFonts w:ascii="Arial" w:hAnsi="Arial" w:cs="Arial"/>
        </w:rPr>
      </w:pPr>
      <w:r>
        <w:rPr>
          <w:rFonts w:ascii="Arial" w:hAnsi="Arial" w:cs="Arial"/>
        </w:rPr>
        <w:t xml:space="preserve">All these </w:t>
      </w:r>
      <w:r w:rsidR="007A72AF">
        <w:rPr>
          <w:rFonts w:ascii="Arial" w:hAnsi="Arial" w:cs="Arial"/>
        </w:rPr>
        <w:t xml:space="preserve">actions of Flow Management indicate their willingness to </w:t>
      </w:r>
      <w:r w:rsidR="00423C5D">
        <w:rPr>
          <w:rFonts w:ascii="Arial" w:hAnsi="Arial" w:cs="Arial"/>
        </w:rPr>
        <w:t>gather and facilitate</w:t>
      </w:r>
      <w:r w:rsidR="009005BA">
        <w:rPr>
          <w:rFonts w:ascii="Arial" w:hAnsi="Arial" w:cs="Arial"/>
        </w:rPr>
        <w:t xml:space="preserve"> relevant</w:t>
      </w:r>
      <w:r w:rsidR="00423C5D">
        <w:rPr>
          <w:rFonts w:ascii="Arial" w:hAnsi="Arial" w:cs="Arial"/>
        </w:rPr>
        <w:t xml:space="preserve"> information to the creditors. This is in fact mastered throughout the restructuring process in relation to the consortium of banks that were regularly informed </w:t>
      </w:r>
      <w:r w:rsidR="001868B2">
        <w:rPr>
          <w:rFonts w:ascii="Arial" w:hAnsi="Arial" w:cs="Arial"/>
        </w:rPr>
        <w:t xml:space="preserve">on the financial position and forecasted results of Flow Management, which confirms adherence to the </w:t>
      </w:r>
      <w:r w:rsidR="00396B29">
        <w:rPr>
          <w:rFonts w:ascii="Arial" w:hAnsi="Arial" w:cs="Arial"/>
        </w:rPr>
        <w:t>5</w:t>
      </w:r>
      <w:r w:rsidR="007F456E" w:rsidRPr="00396B29">
        <w:rPr>
          <w:rFonts w:ascii="Arial" w:hAnsi="Arial" w:cs="Arial"/>
          <w:vertAlign w:val="superscript"/>
        </w:rPr>
        <w:t>th</w:t>
      </w:r>
      <w:r w:rsidR="00396B29">
        <w:rPr>
          <w:rFonts w:ascii="Arial" w:hAnsi="Arial" w:cs="Arial"/>
        </w:rPr>
        <w:t xml:space="preserve"> </w:t>
      </w:r>
      <w:r w:rsidR="007F456E">
        <w:rPr>
          <w:rFonts w:ascii="Arial" w:hAnsi="Arial" w:cs="Arial"/>
        </w:rPr>
        <w:t xml:space="preserve">principle of </w:t>
      </w:r>
      <w:r w:rsidR="007B7E33">
        <w:rPr>
          <w:rFonts w:ascii="Arial" w:hAnsi="Arial" w:cs="Arial"/>
        </w:rPr>
        <w:t>INSOL’s International Statement of Principles</w:t>
      </w:r>
      <w:r w:rsidR="00E10989">
        <w:rPr>
          <w:rFonts w:ascii="Arial" w:hAnsi="Arial" w:cs="Arial"/>
        </w:rPr>
        <w:t>.</w:t>
      </w:r>
      <w:r w:rsidR="00E10989">
        <w:rPr>
          <w:rStyle w:val="FootnoteReference"/>
          <w:rFonts w:ascii="Arial" w:hAnsi="Arial" w:cs="Arial"/>
        </w:rPr>
        <w:footnoteReference w:id="22"/>
      </w:r>
      <w:r w:rsidR="007B7E33">
        <w:rPr>
          <w:rFonts w:ascii="Arial" w:hAnsi="Arial" w:cs="Arial"/>
        </w:rPr>
        <w:t xml:space="preserve"> </w:t>
      </w:r>
    </w:p>
    <w:p w14:paraId="47BC74AE" w14:textId="77777777" w:rsidR="00B334AB" w:rsidRDefault="00B334AB" w:rsidP="006216F1">
      <w:pPr>
        <w:spacing w:after="0" w:line="240" w:lineRule="auto"/>
        <w:jc w:val="both"/>
        <w:rPr>
          <w:rFonts w:ascii="Arial" w:hAnsi="Arial" w:cs="Arial"/>
        </w:rPr>
      </w:pPr>
    </w:p>
    <w:p w14:paraId="7E2CB695" w14:textId="77777777" w:rsidR="000A4530" w:rsidRDefault="00B334AB" w:rsidP="006216F1">
      <w:pPr>
        <w:spacing w:after="0" w:line="240" w:lineRule="auto"/>
        <w:jc w:val="both"/>
        <w:rPr>
          <w:rFonts w:ascii="Arial" w:hAnsi="Arial" w:cs="Arial"/>
        </w:rPr>
      </w:pPr>
      <w:r>
        <w:rPr>
          <w:rFonts w:ascii="Arial" w:hAnsi="Arial" w:cs="Arial"/>
        </w:rPr>
        <w:t xml:space="preserve">At the same time, the consortium of banks </w:t>
      </w:r>
      <w:r w:rsidR="002C4EE2">
        <w:rPr>
          <w:rFonts w:ascii="Arial" w:hAnsi="Arial" w:cs="Arial"/>
        </w:rPr>
        <w:t xml:space="preserve">cooperates in the end in facilitating a standstill period to formulate proposals and refrain from taking any enforcement measures </w:t>
      </w:r>
      <w:r w:rsidR="000047FD">
        <w:rPr>
          <w:rFonts w:ascii="Arial" w:hAnsi="Arial" w:cs="Arial"/>
        </w:rPr>
        <w:t>during this standstill period</w:t>
      </w:r>
      <w:r w:rsidR="001E12AD">
        <w:rPr>
          <w:rFonts w:ascii="Arial" w:hAnsi="Arial" w:cs="Arial"/>
        </w:rPr>
        <w:t>, as provided by the 1</w:t>
      </w:r>
      <w:r w:rsidR="001E12AD" w:rsidRPr="001E12AD">
        <w:rPr>
          <w:rFonts w:ascii="Arial" w:hAnsi="Arial" w:cs="Arial"/>
          <w:vertAlign w:val="superscript"/>
        </w:rPr>
        <w:t>st</w:t>
      </w:r>
      <w:r w:rsidR="001E12AD">
        <w:rPr>
          <w:rFonts w:ascii="Arial" w:hAnsi="Arial" w:cs="Arial"/>
        </w:rPr>
        <w:t xml:space="preserve"> and 2</w:t>
      </w:r>
      <w:r w:rsidR="001E12AD" w:rsidRPr="001E12AD">
        <w:rPr>
          <w:rFonts w:ascii="Arial" w:hAnsi="Arial" w:cs="Arial"/>
          <w:vertAlign w:val="superscript"/>
        </w:rPr>
        <w:t>nd</w:t>
      </w:r>
      <w:r w:rsidR="001E12AD">
        <w:rPr>
          <w:rFonts w:ascii="Arial" w:hAnsi="Arial" w:cs="Arial"/>
        </w:rPr>
        <w:t xml:space="preserve"> principles</w:t>
      </w:r>
      <w:r w:rsidR="001E12AD" w:rsidRPr="001E12AD">
        <w:rPr>
          <w:rFonts w:ascii="Arial" w:hAnsi="Arial" w:cs="Arial"/>
        </w:rPr>
        <w:t xml:space="preserve"> </w:t>
      </w:r>
      <w:r w:rsidR="001E12AD">
        <w:rPr>
          <w:rFonts w:ascii="Arial" w:hAnsi="Arial" w:cs="Arial"/>
        </w:rPr>
        <w:t>of INSOL’s International Statement of Principles</w:t>
      </w:r>
      <w:r w:rsidR="001E12AD">
        <w:rPr>
          <w:rFonts w:ascii="Arial" w:hAnsi="Arial" w:cs="Arial"/>
        </w:rPr>
        <w:t>.</w:t>
      </w:r>
      <w:r w:rsidR="000047FD">
        <w:rPr>
          <w:rFonts w:ascii="Arial" w:hAnsi="Arial" w:cs="Arial"/>
        </w:rPr>
        <w:t xml:space="preserve"> </w:t>
      </w:r>
      <w:r w:rsidR="001E12AD">
        <w:rPr>
          <w:rStyle w:val="FootnoteReference"/>
          <w:rFonts w:ascii="Arial" w:hAnsi="Arial" w:cs="Arial"/>
        </w:rPr>
        <w:footnoteReference w:id="23"/>
      </w:r>
      <w:r w:rsidR="00EF27FE">
        <w:rPr>
          <w:rFonts w:ascii="Arial" w:hAnsi="Arial" w:cs="Arial"/>
        </w:rPr>
        <w:t xml:space="preserve"> </w:t>
      </w:r>
    </w:p>
    <w:p w14:paraId="10A1127E" w14:textId="77777777" w:rsidR="000A4530" w:rsidRDefault="000A4530" w:rsidP="006216F1">
      <w:pPr>
        <w:spacing w:after="0" w:line="240" w:lineRule="auto"/>
        <w:jc w:val="both"/>
        <w:rPr>
          <w:rFonts w:ascii="Arial" w:hAnsi="Arial" w:cs="Arial"/>
        </w:rPr>
      </w:pPr>
    </w:p>
    <w:p w14:paraId="4D1A3AA8" w14:textId="43F012D2" w:rsidR="00893682" w:rsidRDefault="000A4530" w:rsidP="006216F1">
      <w:pPr>
        <w:spacing w:after="0" w:line="240" w:lineRule="auto"/>
        <w:jc w:val="both"/>
        <w:rPr>
          <w:rFonts w:ascii="Arial" w:hAnsi="Arial" w:cs="Arial"/>
        </w:rPr>
      </w:pPr>
      <w:r>
        <w:rPr>
          <w:rFonts w:ascii="Arial" w:hAnsi="Arial" w:cs="Arial"/>
        </w:rPr>
        <w:t>Conversely</w:t>
      </w:r>
      <w:r w:rsidR="00A90F94">
        <w:rPr>
          <w:rFonts w:ascii="Arial" w:hAnsi="Arial" w:cs="Arial"/>
        </w:rPr>
        <w:t xml:space="preserve">, Flow Management </w:t>
      </w:r>
      <w:r w:rsidR="004E167C">
        <w:rPr>
          <w:rFonts w:ascii="Arial" w:hAnsi="Arial" w:cs="Arial"/>
        </w:rPr>
        <w:t>is in breach of</w:t>
      </w:r>
      <w:r w:rsidR="00A90F94">
        <w:rPr>
          <w:rFonts w:ascii="Arial" w:hAnsi="Arial" w:cs="Arial"/>
        </w:rPr>
        <w:t xml:space="preserve"> the 3</w:t>
      </w:r>
      <w:r w:rsidR="00A90F94" w:rsidRPr="00A90F94">
        <w:rPr>
          <w:rFonts w:ascii="Arial" w:hAnsi="Arial" w:cs="Arial"/>
          <w:vertAlign w:val="superscript"/>
        </w:rPr>
        <w:t>rd</w:t>
      </w:r>
      <w:r w:rsidR="00A90F94">
        <w:rPr>
          <w:rFonts w:ascii="Arial" w:hAnsi="Arial" w:cs="Arial"/>
        </w:rPr>
        <w:t xml:space="preserve"> principle </w:t>
      </w:r>
      <w:r w:rsidR="00A90F94">
        <w:rPr>
          <w:rFonts w:ascii="Arial" w:hAnsi="Arial" w:cs="Arial"/>
        </w:rPr>
        <w:t>of INSOL’s International Statement of Principles</w:t>
      </w:r>
      <w:r w:rsidR="00A90F94">
        <w:rPr>
          <w:rFonts w:ascii="Arial" w:hAnsi="Arial" w:cs="Arial"/>
        </w:rPr>
        <w:t xml:space="preserve"> </w:t>
      </w:r>
      <w:r w:rsidR="00AE5C75">
        <w:rPr>
          <w:rFonts w:ascii="Arial" w:hAnsi="Arial" w:cs="Arial"/>
        </w:rPr>
        <w:t xml:space="preserve">stating that </w:t>
      </w:r>
      <w:r w:rsidR="00AE5C75">
        <w:rPr>
          <w:rFonts w:ascii="Arial" w:hAnsi="Arial" w:cs="Arial"/>
          <w:i/>
          <w:iCs/>
        </w:rPr>
        <w:t>“</w:t>
      </w:r>
      <w:r w:rsidR="003F76AA">
        <w:rPr>
          <w:rFonts w:ascii="Arial" w:hAnsi="Arial" w:cs="Arial"/>
          <w:i/>
          <w:iCs/>
        </w:rPr>
        <w:t xml:space="preserve">the debtor should not take any action which might adversely affect the prospective return to relevant creditors (either collectively or individually) </w:t>
      </w:r>
      <w:r w:rsidR="008A6FC9">
        <w:rPr>
          <w:rFonts w:ascii="Arial" w:hAnsi="Arial" w:cs="Arial"/>
          <w:i/>
          <w:iCs/>
        </w:rPr>
        <w:t>as compared with the position at the Standstill Commence Date”</w:t>
      </w:r>
      <w:r w:rsidR="00404F96">
        <w:rPr>
          <w:rFonts w:ascii="Arial" w:hAnsi="Arial" w:cs="Arial"/>
        </w:rPr>
        <w:t xml:space="preserve"> </w:t>
      </w:r>
      <w:r w:rsidR="00404F96">
        <w:rPr>
          <w:rStyle w:val="FootnoteReference"/>
          <w:rFonts w:ascii="Arial" w:hAnsi="Arial" w:cs="Arial"/>
        </w:rPr>
        <w:footnoteReference w:id="24"/>
      </w:r>
      <w:r w:rsidR="001974B9">
        <w:rPr>
          <w:rFonts w:ascii="Arial" w:hAnsi="Arial" w:cs="Arial"/>
        </w:rPr>
        <w:t>.</w:t>
      </w:r>
      <w:r w:rsidR="008A6FC9">
        <w:rPr>
          <w:rFonts w:ascii="Arial" w:hAnsi="Arial" w:cs="Arial"/>
        </w:rPr>
        <w:t xml:space="preserve"> </w:t>
      </w:r>
      <w:r w:rsidR="001974B9">
        <w:rPr>
          <w:rFonts w:ascii="Arial" w:hAnsi="Arial" w:cs="Arial"/>
        </w:rPr>
        <w:t>T</w:t>
      </w:r>
      <w:r w:rsidR="008A6FC9">
        <w:rPr>
          <w:rFonts w:ascii="Arial" w:hAnsi="Arial" w:cs="Arial"/>
        </w:rPr>
        <w:t xml:space="preserve">he reason is that </w:t>
      </w:r>
      <w:r w:rsidR="00EA564B">
        <w:rPr>
          <w:rFonts w:ascii="Arial" w:hAnsi="Arial" w:cs="Arial"/>
        </w:rPr>
        <w:t xml:space="preserve">in October 2014, that is </w:t>
      </w:r>
      <w:r w:rsidR="00C92FB5">
        <w:rPr>
          <w:rFonts w:ascii="Arial" w:hAnsi="Arial" w:cs="Arial"/>
        </w:rPr>
        <w:t>just 2 months after signing the standstill agreement,</w:t>
      </w:r>
      <w:r w:rsidR="001974B9">
        <w:rPr>
          <w:rFonts w:ascii="Arial" w:hAnsi="Arial" w:cs="Arial"/>
        </w:rPr>
        <w:t xml:space="preserve"> Flow Management </w:t>
      </w:r>
      <w:r w:rsidR="009A1632">
        <w:rPr>
          <w:rFonts w:ascii="Arial" w:hAnsi="Arial" w:cs="Arial"/>
        </w:rPr>
        <w:t xml:space="preserve">provides </w:t>
      </w:r>
      <w:r w:rsidR="00D03B05">
        <w:rPr>
          <w:rFonts w:ascii="Arial" w:hAnsi="Arial" w:cs="Arial"/>
        </w:rPr>
        <w:t xml:space="preserve">€10 million if tax refunds as additional security to the banks. </w:t>
      </w:r>
    </w:p>
    <w:p w14:paraId="4CA1AE46" w14:textId="77777777" w:rsidR="00893682" w:rsidRDefault="00893682" w:rsidP="006216F1">
      <w:pPr>
        <w:spacing w:after="0" w:line="240" w:lineRule="auto"/>
        <w:jc w:val="both"/>
        <w:rPr>
          <w:rFonts w:ascii="Arial" w:hAnsi="Arial" w:cs="Arial"/>
        </w:rPr>
      </w:pPr>
    </w:p>
    <w:p w14:paraId="22E3A471" w14:textId="30D28C9D" w:rsidR="00163A08" w:rsidRDefault="00693438" w:rsidP="006216F1">
      <w:pPr>
        <w:spacing w:after="0" w:line="240" w:lineRule="auto"/>
        <w:jc w:val="both"/>
        <w:rPr>
          <w:rFonts w:ascii="Arial" w:hAnsi="Arial" w:cs="Arial"/>
        </w:rPr>
      </w:pPr>
      <w:r>
        <w:rPr>
          <w:rFonts w:ascii="Arial" w:hAnsi="Arial" w:cs="Arial"/>
        </w:rPr>
        <w:t>Further</w:t>
      </w:r>
      <w:r w:rsidR="00046169">
        <w:rPr>
          <w:rFonts w:ascii="Arial" w:hAnsi="Arial" w:cs="Arial"/>
        </w:rPr>
        <w:t>, compliance to th</w:t>
      </w:r>
      <w:r w:rsidR="00893682">
        <w:rPr>
          <w:rFonts w:ascii="Arial" w:hAnsi="Arial" w:cs="Arial"/>
        </w:rPr>
        <w:t>e</w:t>
      </w:r>
      <w:r w:rsidR="00046169">
        <w:rPr>
          <w:rFonts w:ascii="Arial" w:hAnsi="Arial" w:cs="Arial"/>
        </w:rPr>
        <w:t xml:space="preserve"> </w:t>
      </w:r>
      <w:r w:rsidR="00893682">
        <w:rPr>
          <w:rFonts w:ascii="Arial" w:hAnsi="Arial" w:cs="Arial"/>
        </w:rPr>
        <w:t>5</w:t>
      </w:r>
      <w:r w:rsidR="00893682" w:rsidRPr="00893682">
        <w:rPr>
          <w:rFonts w:ascii="Arial" w:hAnsi="Arial" w:cs="Arial"/>
          <w:vertAlign w:val="superscript"/>
        </w:rPr>
        <w:t>th</w:t>
      </w:r>
      <w:r w:rsidR="00893682">
        <w:rPr>
          <w:rFonts w:ascii="Arial" w:hAnsi="Arial" w:cs="Arial"/>
        </w:rPr>
        <w:t xml:space="preserve"> </w:t>
      </w:r>
      <w:r w:rsidR="00046169">
        <w:rPr>
          <w:rFonts w:ascii="Arial" w:hAnsi="Arial" w:cs="Arial"/>
        </w:rPr>
        <w:t xml:space="preserve">principle </w:t>
      </w:r>
      <w:r w:rsidR="00893682">
        <w:rPr>
          <w:rFonts w:ascii="Arial" w:hAnsi="Arial" w:cs="Arial"/>
        </w:rPr>
        <w:t xml:space="preserve">mentioned above </w:t>
      </w:r>
      <w:r w:rsidR="00046169">
        <w:rPr>
          <w:rFonts w:ascii="Arial" w:hAnsi="Arial" w:cs="Arial"/>
        </w:rPr>
        <w:t>is limited to just certain class</w:t>
      </w:r>
      <w:r w:rsidR="002D31D6">
        <w:rPr>
          <w:rFonts w:ascii="Arial" w:hAnsi="Arial" w:cs="Arial"/>
        </w:rPr>
        <w:t>es</w:t>
      </w:r>
      <w:r w:rsidR="00046169">
        <w:rPr>
          <w:rFonts w:ascii="Arial" w:hAnsi="Arial" w:cs="Arial"/>
        </w:rPr>
        <w:t xml:space="preserve"> of creditors, that is the consortium of banks</w:t>
      </w:r>
      <w:r w:rsidR="002D31D6">
        <w:rPr>
          <w:rFonts w:ascii="Arial" w:hAnsi="Arial" w:cs="Arial"/>
        </w:rPr>
        <w:t xml:space="preserve">, the company’s </w:t>
      </w:r>
      <w:proofErr w:type="gramStart"/>
      <w:r w:rsidR="002D31D6">
        <w:rPr>
          <w:rFonts w:ascii="Arial" w:hAnsi="Arial" w:cs="Arial"/>
        </w:rPr>
        <w:t>management</w:t>
      </w:r>
      <w:proofErr w:type="gramEnd"/>
      <w:r w:rsidR="002D31D6">
        <w:rPr>
          <w:rFonts w:ascii="Arial" w:hAnsi="Arial" w:cs="Arial"/>
        </w:rPr>
        <w:t xml:space="preserve"> and the Shareholder</w:t>
      </w:r>
      <w:r w:rsidR="00046169">
        <w:rPr>
          <w:rFonts w:ascii="Arial" w:hAnsi="Arial" w:cs="Arial"/>
        </w:rPr>
        <w:t xml:space="preserve">. There isn’t any reference to </w:t>
      </w:r>
      <w:r w:rsidR="00644FF4">
        <w:rPr>
          <w:rFonts w:ascii="Arial" w:hAnsi="Arial" w:cs="Arial"/>
        </w:rPr>
        <w:t xml:space="preserve">providing this information or getting involved in the restructuring process in any other way, any other creditors </w:t>
      </w:r>
      <w:r w:rsidR="00073ACA">
        <w:rPr>
          <w:rFonts w:ascii="Arial" w:hAnsi="Arial" w:cs="Arial"/>
        </w:rPr>
        <w:t xml:space="preserve">such as governmental or local authorities in respect of any taxes due </w:t>
      </w:r>
      <w:r w:rsidR="00A1653D">
        <w:rPr>
          <w:rFonts w:ascii="Arial" w:hAnsi="Arial" w:cs="Arial"/>
        </w:rPr>
        <w:t>or suppliers of car</w:t>
      </w:r>
      <w:r w:rsidR="002B4B9A">
        <w:rPr>
          <w:rFonts w:ascii="Arial" w:hAnsi="Arial" w:cs="Arial"/>
        </w:rPr>
        <w:t xml:space="preserve"> components or other. </w:t>
      </w:r>
      <w:r w:rsidR="006872CE">
        <w:rPr>
          <w:rFonts w:ascii="Arial" w:hAnsi="Arial" w:cs="Arial"/>
        </w:rPr>
        <w:t>This confirms also that neither the 4</w:t>
      </w:r>
      <w:r w:rsidR="006872CE" w:rsidRPr="006872CE">
        <w:rPr>
          <w:rFonts w:ascii="Arial" w:hAnsi="Arial" w:cs="Arial"/>
          <w:vertAlign w:val="superscript"/>
        </w:rPr>
        <w:t>th</w:t>
      </w:r>
      <w:r w:rsidR="006872CE">
        <w:rPr>
          <w:rFonts w:ascii="Arial" w:hAnsi="Arial" w:cs="Arial"/>
        </w:rPr>
        <w:t xml:space="preserve"> principle </w:t>
      </w:r>
      <w:r w:rsidR="006872CE">
        <w:rPr>
          <w:rFonts w:ascii="Arial" w:hAnsi="Arial" w:cs="Arial"/>
        </w:rPr>
        <w:t>of INSOL’s International Statement of Principles</w:t>
      </w:r>
      <w:r w:rsidR="00587938">
        <w:rPr>
          <w:rFonts w:ascii="Arial" w:hAnsi="Arial" w:cs="Arial"/>
        </w:rPr>
        <w:t xml:space="preserve"> on a co-ordinated response </w:t>
      </w:r>
      <w:r w:rsidR="002F5AE2">
        <w:rPr>
          <w:rFonts w:ascii="Arial" w:hAnsi="Arial" w:cs="Arial"/>
        </w:rPr>
        <w:t>by the creditors, through committees and professional advisors,</w:t>
      </w:r>
      <w:r w:rsidR="006872CE">
        <w:rPr>
          <w:rFonts w:ascii="Arial" w:hAnsi="Arial" w:cs="Arial"/>
        </w:rPr>
        <w:t xml:space="preserve"> was followed</w:t>
      </w:r>
      <w:r w:rsidR="00587938">
        <w:rPr>
          <w:rFonts w:ascii="Arial" w:hAnsi="Arial" w:cs="Arial"/>
        </w:rPr>
        <w:t>.</w:t>
      </w:r>
      <w:r w:rsidR="00587938">
        <w:rPr>
          <w:rStyle w:val="FootnoteReference"/>
          <w:rFonts w:ascii="Arial" w:hAnsi="Arial" w:cs="Arial"/>
        </w:rPr>
        <w:footnoteReference w:id="25"/>
      </w:r>
    </w:p>
    <w:p w14:paraId="308EF35D" w14:textId="77777777" w:rsidR="00163A08" w:rsidRDefault="00163A08" w:rsidP="006216F1">
      <w:pPr>
        <w:spacing w:after="0" w:line="240" w:lineRule="auto"/>
        <w:jc w:val="both"/>
        <w:rPr>
          <w:rFonts w:ascii="Arial" w:hAnsi="Arial" w:cs="Arial"/>
        </w:rPr>
      </w:pPr>
    </w:p>
    <w:p w14:paraId="5AEF2372" w14:textId="5DCEF6DF" w:rsidR="00BD20F9" w:rsidRDefault="0044364C" w:rsidP="006216F1">
      <w:pPr>
        <w:spacing w:after="0" w:line="240" w:lineRule="auto"/>
        <w:jc w:val="both"/>
        <w:rPr>
          <w:rFonts w:ascii="Arial" w:hAnsi="Arial" w:cs="Arial"/>
        </w:rPr>
      </w:pPr>
      <w:r>
        <w:rPr>
          <w:rFonts w:ascii="Arial" w:hAnsi="Arial" w:cs="Arial"/>
        </w:rPr>
        <w:t>Similarly, compliance to the 7</w:t>
      </w:r>
      <w:r w:rsidRPr="0044364C">
        <w:rPr>
          <w:rFonts w:ascii="Arial" w:hAnsi="Arial" w:cs="Arial"/>
          <w:vertAlign w:val="superscript"/>
        </w:rPr>
        <w:t>th</w:t>
      </w:r>
      <w:r>
        <w:rPr>
          <w:rFonts w:ascii="Arial" w:hAnsi="Arial" w:cs="Arial"/>
        </w:rPr>
        <w:t xml:space="preserve"> </w:t>
      </w:r>
      <w:r w:rsidR="00396B29">
        <w:rPr>
          <w:rFonts w:ascii="Arial" w:hAnsi="Arial" w:cs="Arial"/>
        </w:rPr>
        <w:t xml:space="preserve">principle of </w:t>
      </w:r>
      <w:r w:rsidR="00396B29">
        <w:rPr>
          <w:rFonts w:ascii="Arial" w:hAnsi="Arial" w:cs="Arial"/>
        </w:rPr>
        <w:t>INSOL’s International Statement of Principles</w:t>
      </w:r>
      <w:r w:rsidR="00CE4E9C">
        <w:rPr>
          <w:rFonts w:ascii="Arial" w:hAnsi="Arial" w:cs="Arial"/>
        </w:rPr>
        <w:t xml:space="preserve">, which explicitly provides that </w:t>
      </w:r>
      <w:r w:rsidR="00611231">
        <w:rPr>
          <w:rFonts w:ascii="Arial" w:hAnsi="Arial" w:cs="Arial"/>
        </w:rPr>
        <w:t xml:space="preserve">information on </w:t>
      </w:r>
      <w:r w:rsidR="0018334A">
        <w:rPr>
          <w:rFonts w:ascii="Arial" w:hAnsi="Arial" w:cs="Arial"/>
          <w:i/>
          <w:iCs/>
        </w:rPr>
        <w:t xml:space="preserve">“any proposals for resolving (the company’s) difficulties should be made available to all creditors and </w:t>
      </w:r>
      <w:r w:rsidR="006E763D">
        <w:rPr>
          <w:rFonts w:ascii="Arial" w:hAnsi="Arial" w:cs="Arial"/>
          <w:i/>
          <w:iCs/>
        </w:rPr>
        <w:t xml:space="preserve">should, unless already publicly available, be treated </w:t>
      </w:r>
      <w:r w:rsidR="00D869DE">
        <w:rPr>
          <w:rFonts w:ascii="Arial" w:hAnsi="Arial" w:cs="Arial"/>
          <w:i/>
          <w:iCs/>
        </w:rPr>
        <w:t>as confidential”</w:t>
      </w:r>
      <w:r w:rsidR="00D869DE">
        <w:rPr>
          <w:rStyle w:val="FootnoteReference"/>
          <w:rFonts w:ascii="Arial" w:hAnsi="Arial" w:cs="Arial"/>
          <w:i/>
          <w:iCs/>
        </w:rPr>
        <w:footnoteReference w:id="26"/>
      </w:r>
      <w:r w:rsidR="0018334A">
        <w:rPr>
          <w:rFonts w:ascii="Arial" w:hAnsi="Arial" w:cs="Arial"/>
          <w:i/>
          <w:iCs/>
        </w:rPr>
        <w:t xml:space="preserve"> </w:t>
      </w:r>
      <w:r w:rsidR="00163A08">
        <w:rPr>
          <w:rFonts w:ascii="Arial" w:hAnsi="Arial" w:cs="Arial"/>
        </w:rPr>
        <w:t xml:space="preserve"> is hindered by the fact that </w:t>
      </w:r>
      <w:r w:rsidR="008347E1">
        <w:rPr>
          <w:rFonts w:ascii="Arial" w:hAnsi="Arial" w:cs="Arial"/>
        </w:rPr>
        <w:t xml:space="preserve">the Restructuring agreement </w:t>
      </w:r>
      <w:r w:rsidR="009163D2">
        <w:rPr>
          <w:rFonts w:ascii="Arial" w:hAnsi="Arial" w:cs="Arial"/>
        </w:rPr>
        <w:t>o</w:t>
      </w:r>
      <w:r w:rsidR="008347E1">
        <w:rPr>
          <w:rFonts w:ascii="Arial" w:hAnsi="Arial" w:cs="Arial"/>
        </w:rPr>
        <w:t xml:space="preserve">f July 2015 provides that </w:t>
      </w:r>
      <w:r w:rsidR="008E1350">
        <w:rPr>
          <w:rFonts w:ascii="Arial" w:hAnsi="Arial" w:cs="Arial"/>
        </w:rPr>
        <w:t xml:space="preserve">Flow Management shall be liquidated in an undisclosed manner. </w:t>
      </w:r>
      <w:r w:rsidR="002E2A7B">
        <w:rPr>
          <w:rFonts w:ascii="Arial" w:hAnsi="Arial" w:cs="Arial"/>
        </w:rPr>
        <w:t xml:space="preserve">Furthermore, there is no reference to any confidentiality agreement </w:t>
      </w:r>
      <w:r w:rsidR="0010456E">
        <w:rPr>
          <w:rFonts w:ascii="Arial" w:hAnsi="Arial" w:cs="Arial"/>
        </w:rPr>
        <w:t xml:space="preserve">being adopted throughout this case study. </w:t>
      </w:r>
    </w:p>
    <w:p w14:paraId="7A2E8D90" w14:textId="77777777" w:rsidR="00BD20F9" w:rsidRDefault="00BD20F9" w:rsidP="006216F1">
      <w:pPr>
        <w:spacing w:after="0" w:line="240" w:lineRule="auto"/>
        <w:jc w:val="both"/>
        <w:rPr>
          <w:rFonts w:ascii="Arial" w:hAnsi="Arial" w:cs="Arial"/>
        </w:rPr>
      </w:pPr>
    </w:p>
    <w:p w14:paraId="599BE0FE" w14:textId="77777777" w:rsidR="007503B0" w:rsidRDefault="008C6395" w:rsidP="006216F1">
      <w:pPr>
        <w:spacing w:after="0" w:line="240" w:lineRule="auto"/>
        <w:jc w:val="both"/>
        <w:rPr>
          <w:rFonts w:ascii="Arial" w:hAnsi="Arial" w:cs="Arial"/>
          <w:i/>
          <w:iCs/>
        </w:rPr>
      </w:pPr>
      <w:r>
        <w:rPr>
          <w:rFonts w:ascii="Arial" w:hAnsi="Arial" w:cs="Arial"/>
        </w:rPr>
        <w:lastRenderedPageBreak/>
        <w:t xml:space="preserve">The fact that Flow </w:t>
      </w:r>
      <w:r>
        <w:rPr>
          <w:rFonts w:ascii="Arial" w:hAnsi="Arial" w:cs="Arial"/>
        </w:rPr>
        <w:t>Management shall be liquidated in an undisclosed manner</w:t>
      </w:r>
      <w:r>
        <w:rPr>
          <w:rFonts w:ascii="Arial" w:hAnsi="Arial" w:cs="Arial"/>
        </w:rPr>
        <w:t xml:space="preserve"> further implies non-compliance with the 6</w:t>
      </w:r>
      <w:r w:rsidRPr="008C6395">
        <w:rPr>
          <w:rFonts w:ascii="Arial" w:hAnsi="Arial" w:cs="Arial"/>
          <w:vertAlign w:val="superscript"/>
        </w:rPr>
        <w:t>th</w:t>
      </w:r>
      <w:r>
        <w:rPr>
          <w:rFonts w:ascii="Arial" w:hAnsi="Arial" w:cs="Arial"/>
        </w:rPr>
        <w:t xml:space="preserve"> principle of </w:t>
      </w:r>
      <w:r w:rsidR="00DB6F4A">
        <w:rPr>
          <w:rFonts w:ascii="Arial" w:hAnsi="Arial" w:cs="Arial"/>
        </w:rPr>
        <w:t xml:space="preserve">INSOL’s International Statement of Principles, </w:t>
      </w:r>
      <w:r w:rsidR="00D621B7">
        <w:rPr>
          <w:rFonts w:ascii="Arial" w:hAnsi="Arial" w:cs="Arial"/>
        </w:rPr>
        <w:t xml:space="preserve">stating that </w:t>
      </w:r>
      <w:r w:rsidR="00D621B7">
        <w:rPr>
          <w:rFonts w:ascii="Arial" w:hAnsi="Arial" w:cs="Arial"/>
          <w:i/>
          <w:iCs/>
        </w:rPr>
        <w:t xml:space="preserve">“Proposals </w:t>
      </w:r>
      <w:r w:rsidR="00D03801">
        <w:rPr>
          <w:rFonts w:ascii="Arial" w:hAnsi="Arial" w:cs="Arial"/>
          <w:i/>
          <w:iCs/>
        </w:rPr>
        <w:t>for resolving the financial difficulties of the debtor (…) should reflect applicable law</w:t>
      </w:r>
      <w:r w:rsidR="00FC271E">
        <w:rPr>
          <w:rFonts w:ascii="Arial" w:hAnsi="Arial" w:cs="Arial"/>
          <w:i/>
          <w:iCs/>
        </w:rPr>
        <w:t>”</w:t>
      </w:r>
      <w:r w:rsidR="00FA7D6A">
        <w:rPr>
          <w:rFonts w:ascii="Arial" w:hAnsi="Arial" w:cs="Arial"/>
          <w:i/>
          <w:iCs/>
        </w:rPr>
        <w:t xml:space="preserve"> </w:t>
      </w:r>
      <w:r w:rsidR="007247C0">
        <w:rPr>
          <w:rFonts w:ascii="Arial" w:hAnsi="Arial" w:cs="Arial"/>
        </w:rPr>
        <w:t>a</w:t>
      </w:r>
      <w:r w:rsidR="000E1B5E">
        <w:rPr>
          <w:rFonts w:ascii="Arial" w:hAnsi="Arial" w:cs="Arial"/>
        </w:rPr>
        <w:t>nd that</w:t>
      </w:r>
      <w:r w:rsidR="007247C0">
        <w:rPr>
          <w:rFonts w:ascii="Arial" w:hAnsi="Arial" w:cs="Arial"/>
        </w:rPr>
        <w:t xml:space="preserve"> creditors should be </w:t>
      </w:r>
      <w:proofErr w:type="gramStart"/>
      <w:r w:rsidR="007247C0">
        <w:rPr>
          <w:rFonts w:ascii="Arial" w:hAnsi="Arial" w:cs="Arial"/>
        </w:rPr>
        <w:t>in a position</w:t>
      </w:r>
      <w:proofErr w:type="gramEnd"/>
      <w:r w:rsidR="007247C0">
        <w:rPr>
          <w:rFonts w:ascii="Arial" w:hAnsi="Arial" w:cs="Arial"/>
        </w:rPr>
        <w:t xml:space="preserve"> to compare the likely outcome of such proposals to that of </w:t>
      </w:r>
      <w:r w:rsidR="006A5A66">
        <w:rPr>
          <w:rFonts w:ascii="Arial" w:hAnsi="Arial" w:cs="Arial"/>
        </w:rPr>
        <w:t xml:space="preserve">an imminent </w:t>
      </w:r>
      <w:r w:rsidR="001D5AE8">
        <w:rPr>
          <w:rFonts w:ascii="Arial" w:hAnsi="Arial" w:cs="Arial"/>
        </w:rPr>
        <w:t xml:space="preserve">formal </w:t>
      </w:r>
      <w:r w:rsidR="006A5A66">
        <w:rPr>
          <w:rFonts w:ascii="Arial" w:hAnsi="Arial" w:cs="Arial"/>
        </w:rPr>
        <w:t xml:space="preserve">liquidation process or other formal restructuring arrangement perhaps </w:t>
      </w:r>
      <w:r w:rsidR="00FC271E">
        <w:rPr>
          <w:rStyle w:val="FootnoteReference"/>
          <w:rFonts w:ascii="Arial" w:hAnsi="Arial" w:cs="Arial"/>
          <w:i/>
          <w:iCs/>
        </w:rPr>
        <w:footnoteReference w:id="27"/>
      </w:r>
      <w:r w:rsidR="00FC271E">
        <w:rPr>
          <w:rFonts w:ascii="Arial" w:hAnsi="Arial" w:cs="Arial"/>
          <w:i/>
          <w:iCs/>
        </w:rPr>
        <w:t>.</w:t>
      </w:r>
      <w:r w:rsidR="00711730">
        <w:rPr>
          <w:rFonts w:ascii="Arial" w:hAnsi="Arial" w:cs="Arial"/>
          <w:i/>
          <w:iCs/>
        </w:rPr>
        <w:t xml:space="preserve"> </w:t>
      </w:r>
    </w:p>
    <w:p w14:paraId="1E480718" w14:textId="77777777" w:rsidR="007503B0" w:rsidRDefault="007503B0" w:rsidP="006216F1">
      <w:pPr>
        <w:spacing w:after="0" w:line="240" w:lineRule="auto"/>
        <w:jc w:val="both"/>
        <w:rPr>
          <w:rFonts w:ascii="Arial" w:hAnsi="Arial" w:cs="Arial"/>
          <w:i/>
          <w:iCs/>
        </w:rPr>
      </w:pPr>
    </w:p>
    <w:p w14:paraId="0144D401" w14:textId="04A52FE9" w:rsidR="00851504" w:rsidRDefault="004E7C2C" w:rsidP="006216F1">
      <w:pPr>
        <w:spacing w:after="0" w:line="240" w:lineRule="auto"/>
        <w:jc w:val="both"/>
        <w:rPr>
          <w:rFonts w:ascii="Arial" w:hAnsi="Arial" w:cs="Arial"/>
        </w:rPr>
      </w:pPr>
      <w:r>
        <w:rPr>
          <w:rFonts w:ascii="Arial" w:hAnsi="Arial" w:cs="Arial"/>
        </w:rPr>
        <w:t>Also</w:t>
      </w:r>
      <w:r w:rsidR="00693438">
        <w:rPr>
          <w:rFonts w:ascii="Arial" w:hAnsi="Arial" w:cs="Arial"/>
        </w:rPr>
        <w:t>,</w:t>
      </w:r>
      <w:r>
        <w:rPr>
          <w:rFonts w:ascii="Arial" w:hAnsi="Arial" w:cs="Arial"/>
        </w:rPr>
        <w:t xml:space="preserve"> the fact that, as provided in the Restructuring agreement, Flow Management will </w:t>
      </w:r>
      <w:r w:rsidR="001849E1">
        <w:rPr>
          <w:rFonts w:ascii="Arial" w:hAnsi="Arial" w:cs="Arial"/>
        </w:rPr>
        <w:t xml:space="preserve">cancel all claims against Flow Management II BV that will acquire </w:t>
      </w:r>
      <w:proofErr w:type="gramStart"/>
      <w:r w:rsidR="001849E1">
        <w:rPr>
          <w:rFonts w:ascii="Arial" w:hAnsi="Arial" w:cs="Arial"/>
        </w:rPr>
        <w:t>all of</w:t>
      </w:r>
      <w:proofErr w:type="gramEnd"/>
      <w:r w:rsidR="001849E1">
        <w:rPr>
          <w:rFonts w:ascii="Arial" w:hAnsi="Arial" w:cs="Arial"/>
        </w:rPr>
        <w:t xml:space="preserve"> </w:t>
      </w:r>
      <w:r w:rsidR="00142815">
        <w:rPr>
          <w:rFonts w:ascii="Arial" w:hAnsi="Arial" w:cs="Arial"/>
        </w:rPr>
        <w:t>the assets of the former</w:t>
      </w:r>
      <w:r w:rsidR="003419BD">
        <w:rPr>
          <w:rFonts w:ascii="Arial" w:hAnsi="Arial" w:cs="Arial"/>
        </w:rPr>
        <w:t xml:space="preserve">, </w:t>
      </w:r>
      <w:r w:rsidR="003A77E1">
        <w:rPr>
          <w:rFonts w:ascii="Arial" w:hAnsi="Arial" w:cs="Arial"/>
        </w:rPr>
        <w:t>may constitute alienation of assets in the imminent undisclosed liquidation process of Flow Management</w:t>
      </w:r>
      <w:r w:rsidR="00432247">
        <w:rPr>
          <w:rFonts w:ascii="Arial" w:hAnsi="Arial" w:cs="Arial"/>
        </w:rPr>
        <w:t>, which again hinders compliance with applicable law</w:t>
      </w:r>
      <w:r w:rsidR="003A77E1">
        <w:rPr>
          <w:rFonts w:ascii="Arial" w:hAnsi="Arial" w:cs="Arial"/>
        </w:rPr>
        <w:t>.</w:t>
      </w:r>
      <w:r w:rsidR="00D81252">
        <w:rPr>
          <w:rFonts w:ascii="Arial" w:hAnsi="Arial" w:cs="Arial"/>
        </w:rPr>
        <w:t xml:space="preserve"> Although </w:t>
      </w:r>
      <w:r w:rsidR="0008491A">
        <w:rPr>
          <w:rFonts w:ascii="Arial" w:hAnsi="Arial" w:cs="Arial"/>
        </w:rPr>
        <w:t>transferring</w:t>
      </w:r>
      <w:r w:rsidR="00D81252">
        <w:rPr>
          <w:rFonts w:ascii="Arial" w:hAnsi="Arial" w:cs="Arial"/>
        </w:rPr>
        <w:t xml:space="preserve"> of its assets to </w:t>
      </w:r>
      <w:r w:rsidR="00D81252">
        <w:rPr>
          <w:rFonts w:ascii="Arial" w:hAnsi="Arial" w:cs="Arial"/>
        </w:rPr>
        <w:t>Flow Management II BV</w:t>
      </w:r>
      <w:r w:rsidR="0067695A">
        <w:rPr>
          <w:rFonts w:ascii="Arial" w:hAnsi="Arial" w:cs="Arial"/>
        </w:rPr>
        <w:t>, which will be owned by the banks, that is its creditors,</w:t>
      </w:r>
      <w:r w:rsidR="00D81252">
        <w:rPr>
          <w:rFonts w:ascii="Arial" w:hAnsi="Arial" w:cs="Arial"/>
        </w:rPr>
        <w:t xml:space="preserve"> c</w:t>
      </w:r>
      <w:r w:rsidR="00430421">
        <w:rPr>
          <w:rFonts w:ascii="Arial" w:hAnsi="Arial" w:cs="Arial"/>
        </w:rPr>
        <w:t xml:space="preserve">an be reasoned as part of a debt for asset swap </w:t>
      </w:r>
      <w:r w:rsidR="0008491A">
        <w:rPr>
          <w:rFonts w:ascii="Arial" w:hAnsi="Arial" w:cs="Arial"/>
        </w:rPr>
        <w:t xml:space="preserve">implemented through the Restructuring agreement, it’s doubtful whether </w:t>
      </w:r>
      <w:r w:rsidR="00851504">
        <w:rPr>
          <w:rFonts w:ascii="Arial" w:hAnsi="Arial" w:cs="Arial"/>
        </w:rPr>
        <w:t xml:space="preserve">rights to a claim </w:t>
      </w:r>
      <w:r w:rsidR="009953D7">
        <w:rPr>
          <w:rFonts w:ascii="Arial" w:hAnsi="Arial" w:cs="Arial"/>
        </w:rPr>
        <w:t xml:space="preserve">against this new company, that may not be </w:t>
      </w:r>
      <w:r w:rsidR="001E3CDA">
        <w:rPr>
          <w:rFonts w:ascii="Arial" w:hAnsi="Arial" w:cs="Arial"/>
        </w:rPr>
        <w:t xml:space="preserve">directly </w:t>
      </w:r>
      <w:r w:rsidR="009953D7">
        <w:rPr>
          <w:rFonts w:ascii="Arial" w:hAnsi="Arial" w:cs="Arial"/>
        </w:rPr>
        <w:t xml:space="preserve">related to the debt </w:t>
      </w:r>
      <w:r w:rsidR="00135672">
        <w:rPr>
          <w:rFonts w:ascii="Arial" w:hAnsi="Arial" w:cs="Arial"/>
        </w:rPr>
        <w:t xml:space="preserve">owed to the banks, </w:t>
      </w:r>
      <w:r w:rsidR="00851504">
        <w:rPr>
          <w:rFonts w:ascii="Arial" w:hAnsi="Arial" w:cs="Arial"/>
        </w:rPr>
        <w:t xml:space="preserve">can be </w:t>
      </w:r>
      <w:r w:rsidR="00B13B05">
        <w:rPr>
          <w:rFonts w:ascii="Arial" w:hAnsi="Arial" w:cs="Arial"/>
        </w:rPr>
        <w:t xml:space="preserve">adequately reasoned as part of the </w:t>
      </w:r>
      <w:r w:rsidR="00851504">
        <w:rPr>
          <w:rFonts w:ascii="Arial" w:hAnsi="Arial" w:cs="Arial"/>
        </w:rPr>
        <w:t xml:space="preserve">debt for asset swap agreement under </w:t>
      </w:r>
      <w:r w:rsidR="0008491A">
        <w:rPr>
          <w:rFonts w:ascii="Arial" w:hAnsi="Arial" w:cs="Arial"/>
        </w:rPr>
        <w:t>applicable law</w:t>
      </w:r>
      <w:r w:rsidR="00851504">
        <w:rPr>
          <w:rFonts w:ascii="Arial" w:hAnsi="Arial" w:cs="Arial"/>
        </w:rPr>
        <w:t xml:space="preserve">. </w:t>
      </w:r>
    </w:p>
    <w:p w14:paraId="4F85ED57" w14:textId="77777777" w:rsidR="00851504" w:rsidRDefault="00851504" w:rsidP="006216F1">
      <w:pPr>
        <w:spacing w:after="0" w:line="240" w:lineRule="auto"/>
        <w:jc w:val="both"/>
        <w:rPr>
          <w:rFonts w:ascii="Arial" w:hAnsi="Arial" w:cs="Arial"/>
        </w:rPr>
      </w:pPr>
    </w:p>
    <w:p w14:paraId="6523741E" w14:textId="77777777" w:rsidR="00E367FB" w:rsidRDefault="00D905DE" w:rsidP="006216F1">
      <w:pPr>
        <w:spacing w:after="0" w:line="240" w:lineRule="auto"/>
        <w:jc w:val="both"/>
        <w:rPr>
          <w:rFonts w:ascii="Arial" w:hAnsi="Arial" w:cs="Arial"/>
        </w:rPr>
      </w:pPr>
      <w:r>
        <w:rPr>
          <w:rFonts w:ascii="Arial" w:hAnsi="Arial" w:cs="Arial"/>
        </w:rPr>
        <w:t xml:space="preserve">Another </w:t>
      </w:r>
      <w:r w:rsidR="009D2FBD">
        <w:rPr>
          <w:rFonts w:ascii="Arial" w:hAnsi="Arial" w:cs="Arial"/>
        </w:rPr>
        <w:t>proposition of the Restructuring agreement</w:t>
      </w:r>
      <w:r w:rsidR="00850D2F">
        <w:rPr>
          <w:rFonts w:ascii="Arial" w:hAnsi="Arial" w:cs="Arial"/>
        </w:rPr>
        <w:t>,</w:t>
      </w:r>
      <w:r w:rsidR="009D2FBD">
        <w:rPr>
          <w:rFonts w:ascii="Arial" w:hAnsi="Arial" w:cs="Arial"/>
        </w:rPr>
        <w:t xml:space="preserve"> that’s not being adequately explained and could be in breach of</w:t>
      </w:r>
      <w:r w:rsidR="00E8148C">
        <w:rPr>
          <w:rFonts w:ascii="Arial" w:hAnsi="Arial" w:cs="Arial"/>
        </w:rPr>
        <w:t xml:space="preserve"> the 2</w:t>
      </w:r>
      <w:r w:rsidR="00E8148C" w:rsidRPr="00E8148C">
        <w:rPr>
          <w:rFonts w:ascii="Arial" w:hAnsi="Arial" w:cs="Arial"/>
          <w:vertAlign w:val="superscript"/>
        </w:rPr>
        <w:t>nd</w:t>
      </w:r>
      <w:r w:rsidR="00E8148C">
        <w:rPr>
          <w:rFonts w:ascii="Arial" w:hAnsi="Arial" w:cs="Arial"/>
        </w:rPr>
        <w:t xml:space="preserve"> principle </w:t>
      </w:r>
      <w:r w:rsidR="00E8148C">
        <w:rPr>
          <w:rFonts w:ascii="Arial" w:hAnsi="Arial" w:cs="Arial"/>
        </w:rPr>
        <w:t>of INSOL’s International Statement of Principles</w:t>
      </w:r>
      <w:r w:rsidR="00E8148C">
        <w:rPr>
          <w:rFonts w:ascii="Arial" w:hAnsi="Arial" w:cs="Arial"/>
        </w:rPr>
        <w:t xml:space="preserve"> </w:t>
      </w:r>
      <w:r w:rsidR="00850D2F">
        <w:rPr>
          <w:rFonts w:ascii="Arial" w:hAnsi="Arial" w:cs="Arial"/>
        </w:rPr>
        <w:t>relating to conflicts of interest arising in the restructuring process,</w:t>
      </w:r>
      <w:r w:rsidR="00850D2F">
        <w:rPr>
          <w:rStyle w:val="FootnoteReference"/>
          <w:rFonts w:ascii="Arial" w:hAnsi="Arial" w:cs="Arial"/>
        </w:rPr>
        <w:footnoteReference w:id="28"/>
      </w:r>
      <w:r w:rsidR="00850D2F">
        <w:rPr>
          <w:rFonts w:ascii="Arial" w:hAnsi="Arial" w:cs="Arial"/>
        </w:rPr>
        <w:t xml:space="preserve"> </w:t>
      </w:r>
      <w:r w:rsidR="00E8148C">
        <w:rPr>
          <w:rFonts w:ascii="Arial" w:hAnsi="Arial" w:cs="Arial"/>
        </w:rPr>
        <w:t xml:space="preserve">is </w:t>
      </w:r>
      <w:r w:rsidR="00D4601E">
        <w:rPr>
          <w:rFonts w:ascii="Arial" w:hAnsi="Arial" w:cs="Arial"/>
        </w:rPr>
        <w:t xml:space="preserve">the reason that </w:t>
      </w:r>
      <w:proofErr w:type="gramStart"/>
      <w:r w:rsidR="008D36E4">
        <w:rPr>
          <w:rFonts w:ascii="Arial" w:hAnsi="Arial" w:cs="Arial"/>
        </w:rPr>
        <w:t>a number of</w:t>
      </w:r>
      <w:proofErr w:type="gramEnd"/>
      <w:r w:rsidR="008D36E4">
        <w:rPr>
          <w:rFonts w:ascii="Arial" w:hAnsi="Arial" w:cs="Arial"/>
        </w:rPr>
        <w:t xml:space="preserve"> board members of </w:t>
      </w:r>
      <w:r w:rsidR="00136DE3">
        <w:rPr>
          <w:rFonts w:ascii="Arial" w:hAnsi="Arial" w:cs="Arial"/>
        </w:rPr>
        <w:t>Flow Management</w:t>
      </w:r>
      <w:r w:rsidR="008D36E4">
        <w:rPr>
          <w:rFonts w:ascii="Arial" w:hAnsi="Arial" w:cs="Arial"/>
        </w:rPr>
        <w:t xml:space="preserve"> </w:t>
      </w:r>
      <w:r w:rsidR="00136DE3">
        <w:rPr>
          <w:rFonts w:ascii="Arial" w:hAnsi="Arial" w:cs="Arial"/>
        </w:rPr>
        <w:t xml:space="preserve">during the restructuring period, including the CRO that developed the Restructuring agreement, shall receive shares in the </w:t>
      </w:r>
      <w:r w:rsidR="0095228C">
        <w:rPr>
          <w:rFonts w:ascii="Arial" w:hAnsi="Arial" w:cs="Arial"/>
        </w:rPr>
        <w:t xml:space="preserve">newly founded Flow Management II BV. </w:t>
      </w:r>
    </w:p>
    <w:p w14:paraId="551ABFFC" w14:textId="4E2E669D" w:rsidR="00D61757" w:rsidRPr="004E7C2C" w:rsidRDefault="0095228C" w:rsidP="006216F1">
      <w:pPr>
        <w:spacing w:after="0" w:line="240" w:lineRule="auto"/>
        <w:jc w:val="both"/>
        <w:rPr>
          <w:rFonts w:ascii="Arial" w:hAnsi="Arial" w:cs="Arial"/>
        </w:rPr>
      </w:pPr>
      <w:r>
        <w:rPr>
          <w:rFonts w:ascii="Arial" w:hAnsi="Arial" w:cs="Arial"/>
        </w:rPr>
        <w:t xml:space="preserve"> </w:t>
      </w:r>
      <w:r w:rsidR="00432247">
        <w:rPr>
          <w:rFonts w:ascii="Arial" w:hAnsi="Arial" w:cs="Arial"/>
        </w:rPr>
        <w:t xml:space="preserve"> </w:t>
      </w:r>
      <w:r w:rsidR="003A77E1">
        <w:rPr>
          <w:rFonts w:ascii="Arial" w:hAnsi="Arial" w:cs="Arial"/>
        </w:rPr>
        <w:t xml:space="preserve"> </w:t>
      </w:r>
      <w:r w:rsidR="00142815">
        <w:rPr>
          <w:rFonts w:ascii="Arial" w:hAnsi="Arial" w:cs="Arial"/>
        </w:rPr>
        <w:t xml:space="preserve"> </w:t>
      </w:r>
    </w:p>
    <w:p w14:paraId="112EAEE2" w14:textId="77777777" w:rsidR="00D61757" w:rsidRDefault="00D61757" w:rsidP="006216F1">
      <w:pPr>
        <w:spacing w:after="0" w:line="240" w:lineRule="auto"/>
        <w:jc w:val="both"/>
        <w:rPr>
          <w:rFonts w:ascii="Arial" w:hAnsi="Arial" w:cs="Arial"/>
        </w:rPr>
      </w:pPr>
    </w:p>
    <w:p w14:paraId="3A82B4BE" w14:textId="77777777" w:rsidR="00EF64B2" w:rsidRDefault="00EF64B2" w:rsidP="006216F1">
      <w:pPr>
        <w:spacing w:after="0" w:line="240" w:lineRule="auto"/>
        <w:jc w:val="both"/>
        <w:rPr>
          <w:rFonts w:ascii="Arial" w:hAnsi="Arial" w:cs="Arial"/>
        </w:rPr>
      </w:pPr>
    </w:p>
    <w:p w14:paraId="7928020E" w14:textId="68C68C6E" w:rsidR="00E5753D" w:rsidRDefault="00CA19E9" w:rsidP="006216F1">
      <w:pPr>
        <w:pStyle w:val="ListParagraph"/>
        <w:numPr>
          <w:ilvl w:val="0"/>
          <w:numId w:val="2"/>
        </w:numPr>
        <w:spacing w:after="0" w:line="240" w:lineRule="auto"/>
        <w:jc w:val="both"/>
        <w:rPr>
          <w:rFonts w:ascii="Arial" w:hAnsi="Arial" w:cs="Arial"/>
          <w:b/>
          <w:bCs/>
        </w:rPr>
      </w:pPr>
      <w:r>
        <w:rPr>
          <w:rFonts w:ascii="Arial" w:hAnsi="Arial" w:cs="Arial"/>
          <w:b/>
          <w:bCs/>
        </w:rPr>
        <w:t xml:space="preserve">Suppose it is not possible to convince other creditors to adopt the Statement of Principles </w:t>
      </w:r>
      <w:proofErr w:type="gramStart"/>
      <w:r>
        <w:rPr>
          <w:rFonts w:ascii="Arial" w:hAnsi="Arial" w:cs="Arial"/>
          <w:b/>
          <w:bCs/>
        </w:rPr>
        <w:t>in a given</w:t>
      </w:r>
      <w:proofErr w:type="gramEnd"/>
      <w:r>
        <w:rPr>
          <w:rFonts w:ascii="Arial" w:hAnsi="Arial" w:cs="Arial"/>
          <w:b/>
          <w:bCs/>
        </w:rPr>
        <w:t xml:space="preserve"> situation, are there any other </w:t>
      </w:r>
      <w:r w:rsidR="005C2351">
        <w:rPr>
          <w:rFonts w:ascii="Arial" w:hAnsi="Arial" w:cs="Arial"/>
          <w:b/>
          <w:bCs/>
        </w:rPr>
        <w:t>possibilities for “soft law” to use (perhaps specifically in your country/ region)?</w:t>
      </w:r>
      <w:r w:rsidR="00262BAB">
        <w:rPr>
          <w:rFonts w:ascii="Arial" w:hAnsi="Arial" w:cs="Arial"/>
          <w:b/>
          <w:bCs/>
        </w:rPr>
        <w:t xml:space="preserve"> If yes, explain in what way. If not, do you see any alternative (informal possibilities)?</w:t>
      </w:r>
    </w:p>
    <w:p w14:paraId="5FF6C754" w14:textId="77777777" w:rsidR="006216F1" w:rsidRDefault="006216F1" w:rsidP="006216F1">
      <w:pPr>
        <w:spacing w:after="0" w:line="240" w:lineRule="auto"/>
        <w:jc w:val="both"/>
        <w:rPr>
          <w:rFonts w:ascii="Arial" w:hAnsi="Arial" w:cs="Arial"/>
          <w:b/>
          <w:bCs/>
        </w:rPr>
      </w:pPr>
    </w:p>
    <w:p w14:paraId="17FF8293" w14:textId="77777777" w:rsidR="00BA72EF" w:rsidRDefault="00BA72EF" w:rsidP="006216F1">
      <w:pPr>
        <w:spacing w:after="0" w:line="240" w:lineRule="auto"/>
        <w:jc w:val="both"/>
        <w:rPr>
          <w:rFonts w:ascii="Arial" w:hAnsi="Arial" w:cs="Arial"/>
        </w:rPr>
      </w:pPr>
    </w:p>
    <w:p w14:paraId="6FD89D64" w14:textId="77777777" w:rsidR="00AB7045" w:rsidRDefault="00367E74" w:rsidP="006216F1">
      <w:pPr>
        <w:spacing w:after="0" w:line="240" w:lineRule="auto"/>
        <w:jc w:val="both"/>
        <w:rPr>
          <w:rFonts w:ascii="Arial" w:hAnsi="Arial" w:cs="Arial"/>
        </w:rPr>
      </w:pPr>
      <w:r>
        <w:rPr>
          <w:rFonts w:ascii="Arial" w:hAnsi="Arial" w:cs="Arial"/>
        </w:rPr>
        <w:t xml:space="preserve">Unfortunately, in Cyprus </w:t>
      </w:r>
      <w:r w:rsidR="007A516A">
        <w:rPr>
          <w:rFonts w:ascii="Arial" w:hAnsi="Arial" w:cs="Arial"/>
        </w:rPr>
        <w:t xml:space="preserve">there isn’t any ‘soft law’ </w:t>
      </w:r>
      <w:r w:rsidR="009142CE">
        <w:rPr>
          <w:rFonts w:ascii="Arial" w:hAnsi="Arial" w:cs="Arial"/>
        </w:rPr>
        <w:t xml:space="preserve">to provide guidance on out-of-court restructuring proceedings. </w:t>
      </w:r>
    </w:p>
    <w:p w14:paraId="76F01AC8" w14:textId="77777777" w:rsidR="00AB7045" w:rsidRDefault="00AB7045" w:rsidP="006216F1">
      <w:pPr>
        <w:spacing w:after="0" w:line="240" w:lineRule="auto"/>
        <w:jc w:val="both"/>
        <w:rPr>
          <w:rFonts w:ascii="Arial" w:hAnsi="Arial" w:cs="Arial"/>
        </w:rPr>
      </w:pPr>
    </w:p>
    <w:p w14:paraId="77C92BA6" w14:textId="77777777" w:rsidR="00C05CC1" w:rsidRDefault="009142CE" w:rsidP="006216F1">
      <w:pPr>
        <w:spacing w:after="0" w:line="240" w:lineRule="auto"/>
        <w:jc w:val="both"/>
        <w:rPr>
          <w:rFonts w:ascii="Arial" w:hAnsi="Arial" w:cs="Arial"/>
        </w:rPr>
      </w:pPr>
      <w:r>
        <w:rPr>
          <w:rFonts w:ascii="Arial" w:hAnsi="Arial" w:cs="Arial"/>
        </w:rPr>
        <w:t xml:space="preserve">Therefore, </w:t>
      </w:r>
      <w:r w:rsidR="00823CB4">
        <w:rPr>
          <w:rFonts w:ascii="Arial" w:hAnsi="Arial" w:cs="Arial"/>
        </w:rPr>
        <w:t xml:space="preserve">the only route </w:t>
      </w:r>
      <w:r w:rsidR="00C3088D">
        <w:rPr>
          <w:rFonts w:ascii="Arial" w:hAnsi="Arial" w:cs="Arial"/>
        </w:rPr>
        <w:t>t</w:t>
      </w:r>
      <w:r w:rsidR="00AB7045">
        <w:rPr>
          <w:rFonts w:ascii="Arial" w:hAnsi="Arial" w:cs="Arial"/>
        </w:rPr>
        <w:t>here it</w:t>
      </w:r>
      <w:r w:rsidR="00C3088D">
        <w:rPr>
          <w:rFonts w:ascii="Arial" w:hAnsi="Arial" w:cs="Arial"/>
        </w:rPr>
        <w:t xml:space="preserve"> </w:t>
      </w:r>
      <w:r w:rsidR="00823CB4">
        <w:rPr>
          <w:rFonts w:ascii="Arial" w:hAnsi="Arial" w:cs="Arial"/>
        </w:rPr>
        <w:t xml:space="preserve">may be to establish a </w:t>
      </w:r>
      <w:r w:rsidR="003B1F89">
        <w:rPr>
          <w:rFonts w:ascii="Arial" w:hAnsi="Arial" w:cs="Arial"/>
        </w:rPr>
        <w:t xml:space="preserve">memorandum of understanding as to the process and </w:t>
      </w:r>
      <w:r w:rsidR="00C12894">
        <w:rPr>
          <w:rFonts w:ascii="Arial" w:hAnsi="Arial" w:cs="Arial"/>
        </w:rPr>
        <w:t xml:space="preserve">the principles to be followed </w:t>
      </w:r>
      <w:r w:rsidR="00144D6A">
        <w:rPr>
          <w:rFonts w:ascii="Arial" w:hAnsi="Arial" w:cs="Arial"/>
        </w:rPr>
        <w:t xml:space="preserve">and </w:t>
      </w:r>
      <w:r w:rsidR="003B1F89">
        <w:rPr>
          <w:rFonts w:ascii="Arial" w:hAnsi="Arial" w:cs="Arial"/>
        </w:rPr>
        <w:t xml:space="preserve">encompass therein perhaps </w:t>
      </w:r>
      <w:r w:rsidR="006C54BD">
        <w:rPr>
          <w:rFonts w:ascii="Arial" w:hAnsi="Arial" w:cs="Arial"/>
        </w:rPr>
        <w:t>c</w:t>
      </w:r>
      <w:r w:rsidR="00C22EE5">
        <w:rPr>
          <w:rFonts w:ascii="Arial" w:hAnsi="Arial" w:cs="Arial"/>
        </w:rPr>
        <w:t>ertain</w:t>
      </w:r>
      <w:r w:rsidR="006C54BD">
        <w:rPr>
          <w:rFonts w:ascii="Arial" w:hAnsi="Arial" w:cs="Arial"/>
        </w:rPr>
        <w:t xml:space="preserve"> principles </w:t>
      </w:r>
      <w:r w:rsidR="008606CD">
        <w:rPr>
          <w:rFonts w:ascii="Arial" w:hAnsi="Arial" w:cs="Arial"/>
        </w:rPr>
        <w:t xml:space="preserve">to be found in legislation applicable to formal restructuring procedures </w:t>
      </w:r>
      <w:r w:rsidR="00C05CC1">
        <w:rPr>
          <w:rFonts w:ascii="Arial" w:hAnsi="Arial" w:cs="Arial"/>
        </w:rPr>
        <w:t xml:space="preserve">in Cyprus or abroad or in any ‘soft law’ applicable abroad. </w:t>
      </w:r>
    </w:p>
    <w:p w14:paraId="3EFF6286" w14:textId="77777777" w:rsidR="00C05CC1" w:rsidRDefault="00C05CC1" w:rsidP="006216F1">
      <w:pPr>
        <w:spacing w:after="0" w:line="240" w:lineRule="auto"/>
        <w:jc w:val="both"/>
        <w:rPr>
          <w:rFonts w:ascii="Arial" w:hAnsi="Arial" w:cs="Arial"/>
        </w:rPr>
      </w:pPr>
    </w:p>
    <w:p w14:paraId="6276E057" w14:textId="77777777" w:rsidR="006B611E" w:rsidRDefault="00211E64" w:rsidP="006216F1">
      <w:pPr>
        <w:spacing w:after="0" w:line="240" w:lineRule="auto"/>
        <w:jc w:val="both"/>
        <w:rPr>
          <w:rFonts w:ascii="Arial" w:hAnsi="Arial" w:cs="Arial"/>
        </w:rPr>
      </w:pPr>
      <w:r>
        <w:rPr>
          <w:rFonts w:ascii="Arial" w:hAnsi="Arial" w:cs="Arial"/>
        </w:rPr>
        <w:t>S</w:t>
      </w:r>
      <w:r w:rsidR="00750507">
        <w:rPr>
          <w:rFonts w:ascii="Arial" w:hAnsi="Arial" w:cs="Arial"/>
        </w:rPr>
        <w:t>uch</w:t>
      </w:r>
      <w:r>
        <w:rPr>
          <w:rFonts w:ascii="Arial" w:hAnsi="Arial" w:cs="Arial"/>
        </w:rPr>
        <w:t xml:space="preserve"> formal reorganization proceedings </w:t>
      </w:r>
      <w:r w:rsidR="00234D6B">
        <w:rPr>
          <w:rFonts w:ascii="Arial" w:hAnsi="Arial" w:cs="Arial"/>
        </w:rPr>
        <w:t xml:space="preserve">provided by legislation in Cyprus that include proceedings and principles related to restructurings </w:t>
      </w:r>
      <w:r w:rsidR="004116BE">
        <w:rPr>
          <w:rFonts w:ascii="Arial" w:hAnsi="Arial" w:cs="Arial"/>
        </w:rPr>
        <w:t xml:space="preserve">is the </w:t>
      </w:r>
      <w:r w:rsidR="00750507">
        <w:rPr>
          <w:rFonts w:ascii="Arial" w:hAnsi="Arial" w:cs="Arial"/>
        </w:rPr>
        <w:t>companies’ reorganization</w:t>
      </w:r>
      <w:r w:rsidR="00750507">
        <w:rPr>
          <w:rStyle w:val="FootnoteReference"/>
          <w:rFonts w:ascii="Arial" w:hAnsi="Arial" w:cs="Arial"/>
        </w:rPr>
        <w:footnoteReference w:id="29"/>
      </w:r>
      <w:r w:rsidR="00750507">
        <w:rPr>
          <w:rFonts w:ascii="Arial" w:hAnsi="Arial" w:cs="Arial"/>
        </w:rPr>
        <w:t xml:space="preserve"> </w:t>
      </w:r>
      <w:r w:rsidR="000134D7">
        <w:rPr>
          <w:rFonts w:ascii="Arial" w:hAnsi="Arial" w:cs="Arial"/>
        </w:rPr>
        <w:t>and the examinership</w:t>
      </w:r>
      <w:r w:rsidR="000134D7">
        <w:rPr>
          <w:rStyle w:val="FootnoteReference"/>
          <w:rFonts w:ascii="Arial" w:hAnsi="Arial" w:cs="Arial"/>
        </w:rPr>
        <w:footnoteReference w:id="30"/>
      </w:r>
      <w:r w:rsidR="000134D7">
        <w:rPr>
          <w:rFonts w:ascii="Arial" w:hAnsi="Arial" w:cs="Arial"/>
        </w:rPr>
        <w:t xml:space="preserve">. </w:t>
      </w:r>
      <w:r w:rsidR="00B47C8F">
        <w:rPr>
          <w:rFonts w:ascii="Arial" w:hAnsi="Arial" w:cs="Arial"/>
        </w:rPr>
        <w:t>Companies</w:t>
      </w:r>
      <w:r w:rsidR="00251DFD">
        <w:rPr>
          <w:rFonts w:ascii="Arial" w:hAnsi="Arial" w:cs="Arial"/>
        </w:rPr>
        <w:t>’</w:t>
      </w:r>
      <w:r w:rsidR="00B47C8F">
        <w:rPr>
          <w:rFonts w:ascii="Arial" w:hAnsi="Arial" w:cs="Arial"/>
        </w:rPr>
        <w:t xml:space="preserve"> reorganization is a summary procedure </w:t>
      </w:r>
      <w:r w:rsidR="00B17A75">
        <w:rPr>
          <w:rFonts w:ascii="Arial" w:hAnsi="Arial" w:cs="Arial"/>
        </w:rPr>
        <w:t>with</w:t>
      </w:r>
      <w:r w:rsidR="00B47C8F">
        <w:rPr>
          <w:rFonts w:ascii="Arial" w:hAnsi="Arial" w:cs="Arial"/>
        </w:rPr>
        <w:t xml:space="preserve"> minimum Court </w:t>
      </w:r>
      <w:r w:rsidR="00B17A75">
        <w:rPr>
          <w:rFonts w:ascii="Arial" w:hAnsi="Arial" w:cs="Arial"/>
        </w:rPr>
        <w:t xml:space="preserve">involvement, simply to ensure the notification of all stakeholders </w:t>
      </w:r>
      <w:r w:rsidR="00636BDA">
        <w:rPr>
          <w:rFonts w:ascii="Arial" w:hAnsi="Arial" w:cs="Arial"/>
        </w:rPr>
        <w:t xml:space="preserve">whose rights may be impaired by the restructuring plan and </w:t>
      </w:r>
      <w:proofErr w:type="gramStart"/>
      <w:r w:rsidR="00636BDA">
        <w:rPr>
          <w:rFonts w:ascii="Arial" w:hAnsi="Arial" w:cs="Arial"/>
        </w:rPr>
        <w:t>ensure also</w:t>
      </w:r>
      <w:proofErr w:type="gramEnd"/>
      <w:r w:rsidR="00636BDA">
        <w:rPr>
          <w:rFonts w:ascii="Arial" w:hAnsi="Arial" w:cs="Arial"/>
        </w:rPr>
        <w:t xml:space="preserve"> enforcement </w:t>
      </w:r>
      <w:r w:rsidR="00131CDE">
        <w:rPr>
          <w:rFonts w:ascii="Arial" w:hAnsi="Arial" w:cs="Arial"/>
        </w:rPr>
        <w:t xml:space="preserve">by all stakeholders </w:t>
      </w:r>
      <w:r w:rsidR="00636BDA">
        <w:rPr>
          <w:rFonts w:ascii="Arial" w:hAnsi="Arial" w:cs="Arial"/>
        </w:rPr>
        <w:t xml:space="preserve">of the plan to be approved by </w:t>
      </w:r>
      <w:r w:rsidR="00251DFD">
        <w:rPr>
          <w:rFonts w:ascii="Arial" w:hAnsi="Arial" w:cs="Arial"/>
        </w:rPr>
        <w:t>them in the end</w:t>
      </w:r>
      <w:r w:rsidR="00131CDE">
        <w:rPr>
          <w:rFonts w:ascii="Arial" w:hAnsi="Arial" w:cs="Arial"/>
        </w:rPr>
        <w:t xml:space="preserve">. </w:t>
      </w:r>
      <w:r w:rsidR="00251DFD">
        <w:rPr>
          <w:rFonts w:ascii="Arial" w:hAnsi="Arial" w:cs="Arial"/>
        </w:rPr>
        <w:t xml:space="preserve">As such </w:t>
      </w:r>
      <w:r w:rsidR="00AF7C18">
        <w:rPr>
          <w:rFonts w:ascii="Arial" w:hAnsi="Arial" w:cs="Arial"/>
        </w:rPr>
        <w:t xml:space="preserve">it doesn’t provide any detailed set of rules </w:t>
      </w:r>
      <w:r w:rsidR="006B611E">
        <w:rPr>
          <w:rFonts w:ascii="Arial" w:hAnsi="Arial" w:cs="Arial"/>
        </w:rPr>
        <w:t xml:space="preserve">and may not be of much assistance to this end. </w:t>
      </w:r>
    </w:p>
    <w:p w14:paraId="02B00741" w14:textId="77777777" w:rsidR="006B611E" w:rsidRDefault="006B611E" w:rsidP="006216F1">
      <w:pPr>
        <w:spacing w:after="0" w:line="240" w:lineRule="auto"/>
        <w:jc w:val="both"/>
        <w:rPr>
          <w:rFonts w:ascii="Arial" w:hAnsi="Arial" w:cs="Arial"/>
        </w:rPr>
      </w:pPr>
    </w:p>
    <w:p w14:paraId="7889793C" w14:textId="7C704A32" w:rsidR="004116BE" w:rsidRDefault="006B611E" w:rsidP="006216F1">
      <w:pPr>
        <w:spacing w:after="0" w:line="240" w:lineRule="auto"/>
        <w:jc w:val="both"/>
        <w:rPr>
          <w:rFonts w:ascii="Arial" w:hAnsi="Arial" w:cs="Arial"/>
        </w:rPr>
      </w:pPr>
      <w:r>
        <w:rPr>
          <w:rFonts w:ascii="Arial" w:hAnsi="Arial" w:cs="Arial"/>
        </w:rPr>
        <w:lastRenderedPageBreak/>
        <w:t xml:space="preserve">The examinership, on the other hand, provides for a much more detailed and integrated restructuring </w:t>
      </w:r>
      <w:r w:rsidR="00C71FE4">
        <w:rPr>
          <w:rFonts w:ascii="Arial" w:hAnsi="Arial" w:cs="Arial"/>
        </w:rPr>
        <w:t xml:space="preserve">procedure and includes provisions on moratorium of payments, </w:t>
      </w:r>
      <w:r w:rsidR="00466205">
        <w:rPr>
          <w:rFonts w:ascii="Arial" w:hAnsi="Arial" w:cs="Arial"/>
        </w:rPr>
        <w:t>stay of proceedings against the company, debtor in control, creditors’ voting rights</w:t>
      </w:r>
      <w:r w:rsidR="00C217FA">
        <w:rPr>
          <w:rFonts w:ascii="Arial" w:hAnsi="Arial" w:cs="Arial"/>
        </w:rPr>
        <w:t xml:space="preserve">, protection of new financing and so on. In this respect, </w:t>
      </w:r>
      <w:r w:rsidR="00295026">
        <w:rPr>
          <w:rFonts w:ascii="Arial" w:hAnsi="Arial" w:cs="Arial"/>
        </w:rPr>
        <w:t xml:space="preserve">this legislation can provide the required guidance in </w:t>
      </w:r>
      <w:r w:rsidR="00315C4E">
        <w:rPr>
          <w:rFonts w:ascii="Arial" w:hAnsi="Arial" w:cs="Arial"/>
        </w:rPr>
        <w:t>drafting a memorandum of understanding on the process and principles to be followed in an out of court restructuring.</w:t>
      </w:r>
      <w:r w:rsidR="00636BDA">
        <w:rPr>
          <w:rFonts w:ascii="Arial" w:hAnsi="Arial" w:cs="Arial"/>
        </w:rPr>
        <w:t xml:space="preserve"> </w:t>
      </w:r>
    </w:p>
    <w:p w14:paraId="1C5705EA" w14:textId="77777777" w:rsidR="004116BE" w:rsidRDefault="004116BE" w:rsidP="006216F1">
      <w:pPr>
        <w:spacing w:after="0" w:line="240" w:lineRule="auto"/>
        <w:jc w:val="both"/>
        <w:rPr>
          <w:rFonts w:ascii="Arial" w:hAnsi="Arial" w:cs="Arial"/>
        </w:rPr>
      </w:pPr>
    </w:p>
    <w:p w14:paraId="0450B9D4" w14:textId="295B9A7B" w:rsidR="00367E74" w:rsidRDefault="00315C4E" w:rsidP="006216F1">
      <w:pPr>
        <w:spacing w:after="0" w:line="240" w:lineRule="auto"/>
        <w:jc w:val="both"/>
        <w:rPr>
          <w:rFonts w:ascii="Arial" w:hAnsi="Arial" w:cs="Arial"/>
        </w:rPr>
      </w:pPr>
      <w:r>
        <w:rPr>
          <w:rFonts w:ascii="Arial" w:hAnsi="Arial" w:cs="Arial"/>
        </w:rPr>
        <w:t>Similarly</w:t>
      </w:r>
      <w:r w:rsidR="00BE7C84">
        <w:rPr>
          <w:rFonts w:ascii="Arial" w:hAnsi="Arial" w:cs="Arial"/>
        </w:rPr>
        <w:t xml:space="preserve">, </w:t>
      </w:r>
      <w:r w:rsidR="00D234DB">
        <w:rPr>
          <w:rFonts w:ascii="Arial" w:hAnsi="Arial" w:cs="Arial"/>
        </w:rPr>
        <w:t xml:space="preserve">certain principles laid out in </w:t>
      </w:r>
      <w:r w:rsidR="00BE7C84">
        <w:rPr>
          <w:rFonts w:ascii="Arial" w:hAnsi="Arial" w:cs="Arial"/>
        </w:rPr>
        <w:t>UNCITRAL Model Law on Cross-Border Insolvency (1997)</w:t>
      </w:r>
      <w:r w:rsidR="00BE7C84">
        <w:rPr>
          <w:rStyle w:val="FootnoteReference"/>
          <w:rFonts w:ascii="Arial" w:hAnsi="Arial" w:cs="Arial"/>
        </w:rPr>
        <w:footnoteReference w:id="31"/>
      </w:r>
      <w:r w:rsidR="00BE7C84">
        <w:rPr>
          <w:rFonts w:ascii="Arial" w:hAnsi="Arial" w:cs="Arial"/>
        </w:rPr>
        <w:t xml:space="preserve"> could be </w:t>
      </w:r>
      <w:r w:rsidR="00932CD2">
        <w:rPr>
          <w:rFonts w:ascii="Arial" w:hAnsi="Arial" w:cs="Arial"/>
        </w:rPr>
        <w:t xml:space="preserve">adopted to provide </w:t>
      </w:r>
      <w:r w:rsidR="00BE7C84">
        <w:rPr>
          <w:rFonts w:ascii="Arial" w:hAnsi="Arial" w:cs="Arial"/>
        </w:rPr>
        <w:t xml:space="preserve">guidance on </w:t>
      </w:r>
      <w:r w:rsidR="00932CD2">
        <w:rPr>
          <w:rFonts w:ascii="Arial" w:hAnsi="Arial" w:cs="Arial"/>
        </w:rPr>
        <w:t xml:space="preserve">an informal reorganisation procedure. </w:t>
      </w:r>
      <w:r w:rsidR="00FD1B24">
        <w:rPr>
          <w:rFonts w:ascii="Arial" w:hAnsi="Arial" w:cs="Arial"/>
        </w:rPr>
        <w:t xml:space="preserve">It’s important to mention here </w:t>
      </w:r>
      <w:r w:rsidR="00932CD2">
        <w:rPr>
          <w:rFonts w:ascii="Arial" w:hAnsi="Arial" w:cs="Arial"/>
        </w:rPr>
        <w:t xml:space="preserve">though </w:t>
      </w:r>
      <w:r w:rsidR="00FD1B24">
        <w:rPr>
          <w:rFonts w:ascii="Arial" w:hAnsi="Arial" w:cs="Arial"/>
        </w:rPr>
        <w:t>that Cyprus has not adopted the UNCITRAL Model Law on Cross-Border Insolvency (1997)</w:t>
      </w:r>
      <w:r w:rsidR="00FD1B24">
        <w:rPr>
          <w:rStyle w:val="FootnoteReference"/>
          <w:rFonts w:ascii="Arial" w:hAnsi="Arial" w:cs="Arial"/>
        </w:rPr>
        <w:footnoteReference w:id="32"/>
      </w:r>
      <w:r w:rsidR="007D256C">
        <w:rPr>
          <w:rFonts w:ascii="Arial" w:hAnsi="Arial" w:cs="Arial"/>
        </w:rPr>
        <w:t xml:space="preserve"> in national legislation</w:t>
      </w:r>
      <w:r w:rsidR="00C3088D">
        <w:rPr>
          <w:rFonts w:ascii="Arial" w:hAnsi="Arial" w:cs="Arial"/>
        </w:rPr>
        <w:t xml:space="preserve">. </w:t>
      </w:r>
    </w:p>
    <w:p w14:paraId="7C700803" w14:textId="77777777" w:rsidR="00EF64B2" w:rsidRDefault="00EF64B2" w:rsidP="006216F1">
      <w:pPr>
        <w:spacing w:after="0" w:line="240" w:lineRule="auto"/>
        <w:jc w:val="both"/>
        <w:rPr>
          <w:rFonts w:ascii="Arial" w:hAnsi="Arial" w:cs="Arial"/>
        </w:rPr>
      </w:pPr>
    </w:p>
    <w:p w14:paraId="27601789" w14:textId="77777777" w:rsidR="007D256C" w:rsidRDefault="007D256C" w:rsidP="006216F1">
      <w:pPr>
        <w:spacing w:after="0" w:line="240" w:lineRule="auto"/>
        <w:jc w:val="both"/>
        <w:rPr>
          <w:rFonts w:ascii="Arial" w:hAnsi="Arial" w:cs="Arial"/>
        </w:rPr>
      </w:pPr>
    </w:p>
    <w:p w14:paraId="77AA4719" w14:textId="77777777" w:rsidR="006216F1" w:rsidRPr="006216F1" w:rsidRDefault="006216F1" w:rsidP="006216F1">
      <w:pPr>
        <w:spacing w:after="0" w:line="240" w:lineRule="auto"/>
        <w:jc w:val="both"/>
        <w:rPr>
          <w:rFonts w:ascii="Arial" w:hAnsi="Arial" w:cs="Arial"/>
          <w:b/>
          <w:bCs/>
        </w:rPr>
      </w:pPr>
    </w:p>
    <w:p w14:paraId="20408E27" w14:textId="53226A8B" w:rsidR="00262BAB" w:rsidRDefault="00262BAB" w:rsidP="006216F1">
      <w:pPr>
        <w:pStyle w:val="ListParagraph"/>
        <w:numPr>
          <w:ilvl w:val="0"/>
          <w:numId w:val="2"/>
        </w:numPr>
        <w:spacing w:after="0" w:line="240" w:lineRule="auto"/>
        <w:jc w:val="both"/>
        <w:rPr>
          <w:rFonts w:ascii="Arial" w:hAnsi="Arial" w:cs="Arial"/>
          <w:b/>
          <w:bCs/>
        </w:rPr>
      </w:pPr>
      <w:r>
        <w:rPr>
          <w:rFonts w:ascii="Arial" w:hAnsi="Arial" w:cs="Arial"/>
          <w:b/>
          <w:bCs/>
        </w:rPr>
        <w:t>Explain in detail the essence and result</w:t>
      </w:r>
      <w:r w:rsidR="00BC6138">
        <w:rPr>
          <w:rFonts w:ascii="Arial" w:hAnsi="Arial" w:cs="Arial"/>
          <w:b/>
          <w:bCs/>
        </w:rPr>
        <w:t xml:space="preserve"> of the restructuring agreement as signed on the 4</w:t>
      </w:r>
      <w:r w:rsidR="00BC6138" w:rsidRPr="00BC6138">
        <w:rPr>
          <w:rFonts w:ascii="Arial" w:hAnsi="Arial" w:cs="Arial"/>
          <w:b/>
          <w:bCs/>
          <w:vertAlign w:val="superscript"/>
        </w:rPr>
        <w:t>th</w:t>
      </w:r>
      <w:r w:rsidR="00BC6138">
        <w:rPr>
          <w:rFonts w:ascii="Arial" w:hAnsi="Arial" w:cs="Arial"/>
          <w:b/>
          <w:bCs/>
        </w:rPr>
        <w:t xml:space="preserve"> of July 2015.</w:t>
      </w:r>
    </w:p>
    <w:p w14:paraId="120E13F9" w14:textId="77777777" w:rsidR="006216F1" w:rsidRDefault="006216F1" w:rsidP="006216F1">
      <w:pPr>
        <w:spacing w:after="0" w:line="240" w:lineRule="auto"/>
        <w:jc w:val="both"/>
        <w:rPr>
          <w:rFonts w:ascii="Arial" w:hAnsi="Arial" w:cs="Arial"/>
          <w:b/>
          <w:bCs/>
        </w:rPr>
      </w:pPr>
    </w:p>
    <w:p w14:paraId="186B66EF" w14:textId="574DA5EB" w:rsidR="00FA0FD8" w:rsidRDefault="005355F7" w:rsidP="006216F1">
      <w:pPr>
        <w:spacing w:after="0" w:line="240" w:lineRule="auto"/>
        <w:jc w:val="both"/>
        <w:rPr>
          <w:rFonts w:ascii="Arial" w:hAnsi="Arial" w:cs="Arial"/>
        </w:rPr>
      </w:pPr>
      <w:r>
        <w:rPr>
          <w:rFonts w:ascii="Arial" w:hAnsi="Arial" w:cs="Arial"/>
        </w:rPr>
        <w:t>I</w:t>
      </w:r>
      <w:r w:rsidR="00B36100">
        <w:rPr>
          <w:rFonts w:ascii="Arial" w:hAnsi="Arial" w:cs="Arial"/>
        </w:rPr>
        <w:t xml:space="preserve">n </w:t>
      </w:r>
      <w:r w:rsidR="00CE654A">
        <w:rPr>
          <w:rFonts w:ascii="Arial" w:hAnsi="Arial" w:cs="Arial"/>
        </w:rPr>
        <w:t xml:space="preserve">situations of </w:t>
      </w:r>
      <w:r>
        <w:rPr>
          <w:rFonts w:ascii="Arial" w:hAnsi="Arial" w:cs="Arial"/>
        </w:rPr>
        <w:t xml:space="preserve">severe </w:t>
      </w:r>
      <w:r w:rsidR="00CE654A">
        <w:rPr>
          <w:rFonts w:ascii="Arial" w:hAnsi="Arial" w:cs="Arial"/>
        </w:rPr>
        <w:t>financial distress</w:t>
      </w:r>
      <w:r w:rsidR="00483368">
        <w:rPr>
          <w:rFonts w:ascii="Arial" w:hAnsi="Arial" w:cs="Arial"/>
        </w:rPr>
        <w:t xml:space="preserve"> of the organization, such as that </w:t>
      </w:r>
      <w:r w:rsidR="00CE654A">
        <w:rPr>
          <w:rFonts w:ascii="Arial" w:hAnsi="Arial" w:cs="Arial"/>
        </w:rPr>
        <w:t>experienced by Flow Manag</w:t>
      </w:r>
      <w:r w:rsidR="003733F1">
        <w:rPr>
          <w:rFonts w:ascii="Arial" w:hAnsi="Arial" w:cs="Arial"/>
        </w:rPr>
        <w:t xml:space="preserve">ement, </w:t>
      </w:r>
      <w:r>
        <w:rPr>
          <w:rFonts w:ascii="Arial" w:hAnsi="Arial" w:cs="Arial"/>
        </w:rPr>
        <w:t>secured creditors</w:t>
      </w:r>
      <w:r w:rsidR="00483368">
        <w:rPr>
          <w:rFonts w:ascii="Arial" w:hAnsi="Arial" w:cs="Arial"/>
        </w:rPr>
        <w:t xml:space="preserve"> will always consider </w:t>
      </w:r>
      <w:r w:rsidR="00076DF8">
        <w:rPr>
          <w:rFonts w:ascii="Arial" w:hAnsi="Arial" w:cs="Arial"/>
        </w:rPr>
        <w:t xml:space="preserve">liquidation of the company as an option, since it </w:t>
      </w:r>
      <w:r w:rsidR="004D405B">
        <w:rPr>
          <w:rFonts w:ascii="Arial" w:hAnsi="Arial" w:cs="Arial"/>
        </w:rPr>
        <w:t>involves</w:t>
      </w:r>
      <w:r w:rsidR="00076DF8">
        <w:rPr>
          <w:rFonts w:ascii="Arial" w:hAnsi="Arial" w:cs="Arial"/>
        </w:rPr>
        <w:t xml:space="preserve"> </w:t>
      </w:r>
      <w:r w:rsidR="004F11B4">
        <w:rPr>
          <w:rFonts w:ascii="Arial" w:hAnsi="Arial" w:cs="Arial"/>
        </w:rPr>
        <w:t xml:space="preserve">realisation of collaterals </w:t>
      </w:r>
      <w:r w:rsidR="004D405B">
        <w:rPr>
          <w:rFonts w:ascii="Arial" w:hAnsi="Arial" w:cs="Arial"/>
        </w:rPr>
        <w:t xml:space="preserve">that will at least mitigate their losses, or even cover </w:t>
      </w:r>
      <w:r w:rsidR="009811E6">
        <w:rPr>
          <w:rFonts w:ascii="Arial" w:hAnsi="Arial" w:cs="Arial"/>
        </w:rPr>
        <w:t xml:space="preserve">them in total in some cases. However, in the case of Flow Management </w:t>
      </w:r>
      <w:r w:rsidR="008E161F">
        <w:rPr>
          <w:rFonts w:ascii="Arial" w:hAnsi="Arial" w:cs="Arial"/>
        </w:rPr>
        <w:t xml:space="preserve">the consortium of banks is not positively inclined towards liquidation </w:t>
      </w:r>
      <w:r w:rsidR="003D7CD7">
        <w:rPr>
          <w:rFonts w:ascii="Arial" w:hAnsi="Arial" w:cs="Arial"/>
        </w:rPr>
        <w:t>for two reasons: (</w:t>
      </w:r>
      <w:proofErr w:type="spellStart"/>
      <w:r w:rsidR="003D7CD7">
        <w:rPr>
          <w:rFonts w:ascii="Arial" w:hAnsi="Arial" w:cs="Arial"/>
        </w:rPr>
        <w:t>i</w:t>
      </w:r>
      <w:proofErr w:type="spellEnd"/>
      <w:r w:rsidR="003D7CD7">
        <w:rPr>
          <w:rFonts w:ascii="Arial" w:hAnsi="Arial" w:cs="Arial"/>
        </w:rPr>
        <w:t xml:space="preserve">) the liquidation </w:t>
      </w:r>
      <w:r w:rsidR="00840BED">
        <w:rPr>
          <w:rFonts w:ascii="Arial" w:hAnsi="Arial" w:cs="Arial"/>
        </w:rPr>
        <w:t xml:space="preserve">as such </w:t>
      </w:r>
      <w:r w:rsidR="003D7CD7">
        <w:rPr>
          <w:rFonts w:ascii="Arial" w:hAnsi="Arial" w:cs="Arial"/>
        </w:rPr>
        <w:t xml:space="preserve">will affect the value </w:t>
      </w:r>
      <w:r w:rsidR="00840BED">
        <w:rPr>
          <w:rFonts w:ascii="Arial" w:hAnsi="Arial" w:cs="Arial"/>
        </w:rPr>
        <w:t xml:space="preserve">of the assets of the company that form their collateral in this case and, therefore, diminish their proceeds (ii) </w:t>
      </w:r>
      <w:r w:rsidR="00D6147C">
        <w:rPr>
          <w:rFonts w:ascii="Arial" w:hAnsi="Arial" w:cs="Arial"/>
        </w:rPr>
        <w:t xml:space="preserve">a liquidation scenario will trigger certain provisions in </w:t>
      </w:r>
      <w:r w:rsidR="00C46482">
        <w:rPr>
          <w:rFonts w:ascii="Arial" w:hAnsi="Arial" w:cs="Arial"/>
        </w:rPr>
        <w:t xml:space="preserve">the </w:t>
      </w:r>
      <w:r w:rsidR="00F764C6">
        <w:rPr>
          <w:rFonts w:ascii="Arial" w:hAnsi="Arial" w:cs="Arial"/>
        </w:rPr>
        <w:t xml:space="preserve">security agreements (pledges) </w:t>
      </w:r>
      <w:r w:rsidR="00EE5064">
        <w:rPr>
          <w:rFonts w:ascii="Arial" w:hAnsi="Arial" w:cs="Arial"/>
        </w:rPr>
        <w:t>rendering the proceeds substantially lower (or even zero)</w:t>
      </w:r>
      <w:r w:rsidR="004F11B4">
        <w:rPr>
          <w:rFonts w:ascii="Arial" w:hAnsi="Arial" w:cs="Arial"/>
        </w:rPr>
        <w:t xml:space="preserve">. </w:t>
      </w:r>
      <w:r w:rsidR="00235743">
        <w:rPr>
          <w:rFonts w:ascii="Arial" w:hAnsi="Arial" w:cs="Arial"/>
        </w:rPr>
        <w:t xml:space="preserve">In line with this, the consortium of banks </w:t>
      </w:r>
      <w:r w:rsidR="00DB31C7">
        <w:rPr>
          <w:rFonts w:ascii="Arial" w:hAnsi="Arial" w:cs="Arial"/>
        </w:rPr>
        <w:t xml:space="preserve">wouldn’t </w:t>
      </w:r>
      <w:r w:rsidR="006E23FF">
        <w:rPr>
          <w:rFonts w:ascii="Arial" w:hAnsi="Arial" w:cs="Arial"/>
        </w:rPr>
        <w:t xml:space="preserve">entertain the liquidation option. </w:t>
      </w:r>
    </w:p>
    <w:p w14:paraId="1734CAAA" w14:textId="77777777" w:rsidR="006E23FF" w:rsidRDefault="006E23FF" w:rsidP="006216F1">
      <w:pPr>
        <w:spacing w:after="0" w:line="240" w:lineRule="auto"/>
        <w:jc w:val="both"/>
        <w:rPr>
          <w:rFonts w:ascii="Arial" w:hAnsi="Arial" w:cs="Arial"/>
        </w:rPr>
      </w:pPr>
    </w:p>
    <w:p w14:paraId="0ADA9B1A" w14:textId="3F526CA9" w:rsidR="006E23FF" w:rsidRDefault="005760D8" w:rsidP="006216F1">
      <w:pPr>
        <w:spacing w:after="0" w:line="240" w:lineRule="auto"/>
        <w:jc w:val="both"/>
        <w:rPr>
          <w:rFonts w:ascii="Arial" w:hAnsi="Arial" w:cs="Arial"/>
        </w:rPr>
      </w:pPr>
      <w:proofErr w:type="gramStart"/>
      <w:r>
        <w:rPr>
          <w:rFonts w:ascii="Arial" w:hAnsi="Arial" w:cs="Arial"/>
        </w:rPr>
        <w:t>With this in mind and</w:t>
      </w:r>
      <w:proofErr w:type="gramEnd"/>
      <w:r>
        <w:rPr>
          <w:rFonts w:ascii="Arial" w:hAnsi="Arial" w:cs="Arial"/>
        </w:rPr>
        <w:t xml:space="preserve"> the going concern option </w:t>
      </w:r>
      <w:r w:rsidR="007A3085">
        <w:rPr>
          <w:rFonts w:ascii="Arial" w:hAnsi="Arial" w:cs="Arial"/>
        </w:rPr>
        <w:t xml:space="preserve">vanishing as </w:t>
      </w:r>
      <w:r w:rsidR="00C477E5">
        <w:rPr>
          <w:rFonts w:ascii="Arial" w:hAnsi="Arial" w:cs="Arial"/>
        </w:rPr>
        <w:t xml:space="preserve">both </w:t>
      </w:r>
      <w:r w:rsidR="007A3085">
        <w:rPr>
          <w:rFonts w:ascii="Arial" w:hAnsi="Arial" w:cs="Arial"/>
        </w:rPr>
        <w:t xml:space="preserve">the reorganization </w:t>
      </w:r>
      <w:r w:rsidR="00C477E5">
        <w:rPr>
          <w:rFonts w:ascii="Arial" w:hAnsi="Arial" w:cs="Arial"/>
        </w:rPr>
        <w:t>and the much</w:t>
      </w:r>
      <w:r w:rsidR="00AC1DB1">
        <w:rPr>
          <w:rFonts w:ascii="Arial" w:hAnsi="Arial" w:cs="Arial"/>
        </w:rPr>
        <w:t>-</w:t>
      </w:r>
      <w:r w:rsidR="00C477E5">
        <w:rPr>
          <w:rFonts w:ascii="Arial" w:hAnsi="Arial" w:cs="Arial"/>
        </w:rPr>
        <w:t xml:space="preserve">needed working capital injections </w:t>
      </w:r>
      <w:r w:rsidR="00B01342">
        <w:rPr>
          <w:rFonts w:ascii="Arial" w:hAnsi="Arial" w:cs="Arial"/>
        </w:rPr>
        <w:t>promised at times b</w:t>
      </w:r>
      <w:r w:rsidR="00AE4B92">
        <w:rPr>
          <w:rFonts w:ascii="Arial" w:hAnsi="Arial" w:cs="Arial"/>
        </w:rPr>
        <w:t>y</w:t>
      </w:r>
      <w:r w:rsidR="00B01342">
        <w:rPr>
          <w:rFonts w:ascii="Arial" w:hAnsi="Arial" w:cs="Arial"/>
        </w:rPr>
        <w:t xml:space="preserve"> the shareholder delayed</w:t>
      </w:r>
      <w:r w:rsidR="00AE4B92">
        <w:rPr>
          <w:rFonts w:ascii="Arial" w:hAnsi="Arial" w:cs="Arial"/>
        </w:rPr>
        <w:t xml:space="preserve">, </w:t>
      </w:r>
      <w:r w:rsidR="00E1691D">
        <w:rPr>
          <w:rFonts w:ascii="Arial" w:hAnsi="Arial" w:cs="Arial"/>
        </w:rPr>
        <w:t xml:space="preserve">which resulted in the increasing losses of Flow Management, it does not come as a surprise that the </w:t>
      </w:r>
      <w:r w:rsidR="00ED1417">
        <w:rPr>
          <w:rFonts w:ascii="Arial" w:hAnsi="Arial" w:cs="Arial"/>
        </w:rPr>
        <w:t xml:space="preserve">Restructuring agreement adopted </w:t>
      </w:r>
      <w:r w:rsidR="00AC1DB1">
        <w:rPr>
          <w:rFonts w:ascii="Arial" w:hAnsi="Arial" w:cs="Arial"/>
        </w:rPr>
        <w:t xml:space="preserve">is based on Debt equity swap. </w:t>
      </w:r>
      <w:r w:rsidR="000D41B1">
        <w:rPr>
          <w:rFonts w:ascii="Arial" w:hAnsi="Arial" w:cs="Arial"/>
        </w:rPr>
        <w:t xml:space="preserve">Therefore, in essence, with the July 2015 </w:t>
      </w:r>
      <w:r w:rsidR="00205723">
        <w:rPr>
          <w:rFonts w:ascii="Arial" w:hAnsi="Arial" w:cs="Arial"/>
        </w:rPr>
        <w:t xml:space="preserve">Restructuring agreement all the assets of Flow Management, that is </w:t>
      </w:r>
      <w:proofErr w:type="gramStart"/>
      <w:r w:rsidR="00205723">
        <w:rPr>
          <w:rFonts w:ascii="Arial" w:hAnsi="Arial" w:cs="Arial"/>
        </w:rPr>
        <w:t>all of</w:t>
      </w:r>
      <w:proofErr w:type="gramEnd"/>
      <w:r w:rsidR="00205723">
        <w:rPr>
          <w:rFonts w:ascii="Arial" w:hAnsi="Arial" w:cs="Arial"/>
        </w:rPr>
        <w:t xml:space="preserve"> its subsidiaries, are </w:t>
      </w:r>
      <w:r w:rsidR="003C4B83">
        <w:rPr>
          <w:rFonts w:ascii="Arial" w:hAnsi="Arial" w:cs="Arial"/>
        </w:rPr>
        <w:t xml:space="preserve">transferred to the consortium of banks, through Flow Management II BV, that serves as </w:t>
      </w:r>
      <w:r w:rsidR="00803E98">
        <w:rPr>
          <w:rFonts w:ascii="Arial" w:hAnsi="Arial" w:cs="Arial"/>
        </w:rPr>
        <w:t xml:space="preserve">a special purpose vehicle to that extent. </w:t>
      </w:r>
    </w:p>
    <w:p w14:paraId="479F19C5" w14:textId="77777777" w:rsidR="00803E98" w:rsidRDefault="00803E98" w:rsidP="006216F1">
      <w:pPr>
        <w:spacing w:after="0" w:line="240" w:lineRule="auto"/>
        <w:jc w:val="both"/>
        <w:rPr>
          <w:rFonts w:ascii="Arial" w:hAnsi="Arial" w:cs="Arial"/>
        </w:rPr>
      </w:pPr>
    </w:p>
    <w:p w14:paraId="1E3C5176" w14:textId="3B392C9B" w:rsidR="00803E98" w:rsidRDefault="0033135B" w:rsidP="006216F1">
      <w:pPr>
        <w:spacing w:after="0" w:line="240" w:lineRule="auto"/>
        <w:jc w:val="both"/>
        <w:rPr>
          <w:rFonts w:ascii="Arial" w:hAnsi="Arial" w:cs="Arial"/>
        </w:rPr>
      </w:pPr>
      <w:r>
        <w:rPr>
          <w:rFonts w:ascii="Arial" w:hAnsi="Arial" w:cs="Arial"/>
        </w:rPr>
        <w:t xml:space="preserve">The </w:t>
      </w:r>
      <w:r w:rsidR="00056007">
        <w:rPr>
          <w:rFonts w:ascii="Arial" w:hAnsi="Arial" w:cs="Arial"/>
        </w:rPr>
        <w:t xml:space="preserve">possible </w:t>
      </w:r>
      <w:r>
        <w:rPr>
          <w:rFonts w:ascii="Arial" w:hAnsi="Arial" w:cs="Arial"/>
        </w:rPr>
        <w:t xml:space="preserve">reasons that this special purpose vehicle </w:t>
      </w:r>
      <w:r w:rsidR="00E468DA">
        <w:rPr>
          <w:rFonts w:ascii="Arial" w:hAnsi="Arial" w:cs="Arial"/>
        </w:rPr>
        <w:t xml:space="preserve">is required in implementing the debt equity swap can be summarised as follows: </w:t>
      </w:r>
    </w:p>
    <w:p w14:paraId="3A1DD535" w14:textId="77777777" w:rsidR="00E468DA" w:rsidRDefault="00E468DA" w:rsidP="006216F1">
      <w:pPr>
        <w:spacing w:after="0" w:line="240" w:lineRule="auto"/>
        <w:jc w:val="both"/>
        <w:rPr>
          <w:rFonts w:ascii="Arial" w:hAnsi="Arial" w:cs="Arial"/>
        </w:rPr>
      </w:pPr>
    </w:p>
    <w:p w14:paraId="4936FB1B" w14:textId="021856AB" w:rsidR="005C6353" w:rsidRDefault="005C6353" w:rsidP="0057515B">
      <w:pPr>
        <w:pStyle w:val="ListParagraph"/>
        <w:numPr>
          <w:ilvl w:val="0"/>
          <w:numId w:val="5"/>
        </w:numPr>
        <w:spacing w:after="0" w:line="240" w:lineRule="auto"/>
        <w:jc w:val="both"/>
        <w:rPr>
          <w:rFonts w:ascii="Arial" w:hAnsi="Arial" w:cs="Arial"/>
        </w:rPr>
      </w:pPr>
      <w:r>
        <w:rPr>
          <w:rFonts w:ascii="Arial" w:hAnsi="Arial" w:cs="Arial"/>
        </w:rPr>
        <w:t xml:space="preserve">Legislative or regulatory restrictions </w:t>
      </w:r>
      <w:r w:rsidR="00BB17BA">
        <w:rPr>
          <w:rFonts w:ascii="Arial" w:hAnsi="Arial" w:cs="Arial"/>
        </w:rPr>
        <w:t xml:space="preserve">applicable to </w:t>
      </w:r>
      <w:r w:rsidR="00266A38">
        <w:rPr>
          <w:rFonts w:ascii="Arial" w:hAnsi="Arial" w:cs="Arial"/>
        </w:rPr>
        <w:t xml:space="preserve">the consortium of banks, that are </w:t>
      </w:r>
      <w:r w:rsidR="005F0019">
        <w:rPr>
          <w:rFonts w:ascii="Arial" w:hAnsi="Arial" w:cs="Arial"/>
        </w:rPr>
        <w:t>regulated</w:t>
      </w:r>
      <w:r w:rsidR="00266A38">
        <w:rPr>
          <w:rFonts w:ascii="Arial" w:hAnsi="Arial" w:cs="Arial"/>
        </w:rPr>
        <w:t xml:space="preserve"> financial</w:t>
      </w:r>
      <w:r w:rsidR="00BB17BA">
        <w:rPr>
          <w:rFonts w:ascii="Arial" w:hAnsi="Arial" w:cs="Arial"/>
        </w:rPr>
        <w:t xml:space="preserve"> institutions, </w:t>
      </w:r>
      <w:r w:rsidR="00266A38">
        <w:rPr>
          <w:rFonts w:ascii="Arial" w:hAnsi="Arial" w:cs="Arial"/>
        </w:rPr>
        <w:t xml:space="preserve">in acquiring shares of </w:t>
      </w:r>
      <w:r w:rsidR="006672EE">
        <w:rPr>
          <w:rFonts w:ascii="Arial" w:hAnsi="Arial" w:cs="Arial"/>
        </w:rPr>
        <w:t xml:space="preserve">companies registered abroad, since </w:t>
      </w:r>
      <w:r w:rsidR="00775575">
        <w:rPr>
          <w:rFonts w:ascii="Arial" w:hAnsi="Arial" w:cs="Arial"/>
        </w:rPr>
        <w:t>each one</w:t>
      </w:r>
      <w:r w:rsidR="006672EE">
        <w:rPr>
          <w:rFonts w:ascii="Arial" w:hAnsi="Arial" w:cs="Arial"/>
        </w:rPr>
        <w:t xml:space="preserve"> of the six</w:t>
      </w:r>
      <w:r w:rsidR="00A74852">
        <w:rPr>
          <w:rFonts w:ascii="Arial" w:hAnsi="Arial" w:cs="Arial"/>
        </w:rPr>
        <w:t xml:space="preserve"> s</w:t>
      </w:r>
      <w:r w:rsidR="00E73BF9">
        <w:rPr>
          <w:rFonts w:ascii="Arial" w:hAnsi="Arial" w:cs="Arial"/>
        </w:rPr>
        <w:t>ubsidiaries</w:t>
      </w:r>
      <w:r w:rsidR="00A74852">
        <w:rPr>
          <w:rFonts w:ascii="Arial" w:hAnsi="Arial" w:cs="Arial"/>
        </w:rPr>
        <w:t xml:space="preserve"> of Flow Management </w:t>
      </w:r>
      <w:r w:rsidR="00E73BF9">
        <w:rPr>
          <w:rFonts w:ascii="Arial" w:hAnsi="Arial" w:cs="Arial"/>
        </w:rPr>
        <w:t>to be</w:t>
      </w:r>
      <w:r w:rsidR="00A74852">
        <w:rPr>
          <w:rFonts w:ascii="Arial" w:hAnsi="Arial" w:cs="Arial"/>
        </w:rPr>
        <w:t xml:space="preserve"> transferred through this </w:t>
      </w:r>
      <w:r w:rsidR="004375DE">
        <w:rPr>
          <w:rFonts w:ascii="Arial" w:hAnsi="Arial" w:cs="Arial"/>
        </w:rPr>
        <w:t>D</w:t>
      </w:r>
      <w:r w:rsidR="00A74852">
        <w:rPr>
          <w:rFonts w:ascii="Arial" w:hAnsi="Arial" w:cs="Arial"/>
        </w:rPr>
        <w:t xml:space="preserve">ebt equity swap </w:t>
      </w:r>
      <w:r w:rsidR="00E73BF9">
        <w:rPr>
          <w:rFonts w:ascii="Arial" w:hAnsi="Arial" w:cs="Arial"/>
        </w:rPr>
        <w:t>is</w:t>
      </w:r>
      <w:r w:rsidR="00A74852">
        <w:rPr>
          <w:rFonts w:ascii="Arial" w:hAnsi="Arial" w:cs="Arial"/>
        </w:rPr>
        <w:t xml:space="preserve"> </w:t>
      </w:r>
      <w:r w:rsidR="004375DE">
        <w:rPr>
          <w:rFonts w:ascii="Arial" w:hAnsi="Arial" w:cs="Arial"/>
        </w:rPr>
        <w:t xml:space="preserve">based </w:t>
      </w:r>
      <w:r w:rsidR="00E73BF9">
        <w:rPr>
          <w:rFonts w:ascii="Arial" w:hAnsi="Arial" w:cs="Arial"/>
        </w:rPr>
        <w:t>in a different jurisdiction.</w:t>
      </w:r>
      <w:r w:rsidR="00BB17BA">
        <w:rPr>
          <w:rFonts w:ascii="Arial" w:hAnsi="Arial" w:cs="Arial"/>
        </w:rPr>
        <w:t xml:space="preserve"> </w:t>
      </w:r>
    </w:p>
    <w:p w14:paraId="16CA104C" w14:textId="202ED4F1" w:rsidR="00E468DA" w:rsidRDefault="00F5589E" w:rsidP="0057515B">
      <w:pPr>
        <w:pStyle w:val="ListParagraph"/>
        <w:numPr>
          <w:ilvl w:val="0"/>
          <w:numId w:val="5"/>
        </w:numPr>
        <w:spacing w:after="0" w:line="240" w:lineRule="auto"/>
        <w:jc w:val="both"/>
        <w:rPr>
          <w:rFonts w:ascii="Arial" w:hAnsi="Arial" w:cs="Arial"/>
        </w:rPr>
      </w:pPr>
      <w:r>
        <w:rPr>
          <w:rFonts w:ascii="Arial" w:hAnsi="Arial" w:cs="Arial"/>
        </w:rPr>
        <w:t>Legislative r</w:t>
      </w:r>
      <w:r w:rsidR="00A0675C">
        <w:rPr>
          <w:rFonts w:ascii="Arial" w:hAnsi="Arial" w:cs="Arial"/>
        </w:rPr>
        <w:t>estrictions in</w:t>
      </w:r>
      <w:r>
        <w:rPr>
          <w:rFonts w:ascii="Arial" w:hAnsi="Arial" w:cs="Arial"/>
        </w:rPr>
        <w:t xml:space="preserve"> </w:t>
      </w:r>
      <w:r w:rsidR="007F5CDB">
        <w:rPr>
          <w:rFonts w:ascii="Arial" w:hAnsi="Arial" w:cs="Arial"/>
        </w:rPr>
        <w:t xml:space="preserve">any of </w:t>
      </w:r>
      <w:r>
        <w:rPr>
          <w:rFonts w:ascii="Arial" w:hAnsi="Arial" w:cs="Arial"/>
        </w:rPr>
        <w:t xml:space="preserve">the jurisdictions that the subsidiaries of Flow Management </w:t>
      </w:r>
      <w:r w:rsidR="007F5CDB">
        <w:rPr>
          <w:rFonts w:ascii="Arial" w:hAnsi="Arial" w:cs="Arial"/>
        </w:rPr>
        <w:t xml:space="preserve">are based </w:t>
      </w:r>
      <w:r w:rsidR="00A0675C">
        <w:rPr>
          <w:rFonts w:ascii="Arial" w:hAnsi="Arial" w:cs="Arial"/>
        </w:rPr>
        <w:t xml:space="preserve">in transferring </w:t>
      </w:r>
      <w:r w:rsidR="007F5CDB">
        <w:rPr>
          <w:rFonts w:ascii="Arial" w:hAnsi="Arial" w:cs="Arial"/>
        </w:rPr>
        <w:t xml:space="preserve">their shares </w:t>
      </w:r>
      <w:r w:rsidR="005C6353">
        <w:rPr>
          <w:rFonts w:ascii="Arial" w:hAnsi="Arial" w:cs="Arial"/>
        </w:rPr>
        <w:t>to</w:t>
      </w:r>
      <w:r w:rsidR="00A95974">
        <w:rPr>
          <w:rFonts w:ascii="Arial" w:hAnsi="Arial" w:cs="Arial"/>
        </w:rPr>
        <w:t xml:space="preserve"> financial institutions</w:t>
      </w:r>
      <w:r w:rsidR="005C6353">
        <w:rPr>
          <w:rFonts w:ascii="Arial" w:hAnsi="Arial" w:cs="Arial"/>
        </w:rPr>
        <w:t xml:space="preserve"> in the Netherlands</w:t>
      </w:r>
      <w:r w:rsidR="0037325D">
        <w:rPr>
          <w:rFonts w:ascii="Arial" w:hAnsi="Arial" w:cs="Arial"/>
        </w:rPr>
        <w:t>.</w:t>
      </w:r>
    </w:p>
    <w:p w14:paraId="542D87E2" w14:textId="3770A7A3" w:rsidR="006C52B5" w:rsidRDefault="00912EE7" w:rsidP="0057515B">
      <w:pPr>
        <w:pStyle w:val="ListParagraph"/>
        <w:numPr>
          <w:ilvl w:val="0"/>
          <w:numId w:val="5"/>
        </w:numPr>
        <w:spacing w:after="0" w:line="240" w:lineRule="auto"/>
        <w:jc w:val="both"/>
        <w:rPr>
          <w:rFonts w:ascii="Arial" w:hAnsi="Arial" w:cs="Arial"/>
        </w:rPr>
      </w:pPr>
      <w:r>
        <w:rPr>
          <w:rFonts w:ascii="Arial" w:hAnsi="Arial" w:cs="Arial"/>
        </w:rPr>
        <w:t xml:space="preserve">To avoid </w:t>
      </w:r>
      <w:proofErr w:type="gramStart"/>
      <w:r w:rsidR="00FB52EC">
        <w:rPr>
          <w:rFonts w:ascii="Arial" w:hAnsi="Arial" w:cs="Arial"/>
        </w:rPr>
        <w:t xml:space="preserve">transferring </w:t>
      </w:r>
      <w:r w:rsidR="00277F31">
        <w:rPr>
          <w:rFonts w:ascii="Arial" w:hAnsi="Arial" w:cs="Arial"/>
        </w:rPr>
        <w:t>al</w:t>
      </w:r>
      <w:r w:rsidR="00D20BAE">
        <w:rPr>
          <w:rFonts w:ascii="Arial" w:hAnsi="Arial" w:cs="Arial"/>
        </w:rPr>
        <w:t>so</w:t>
      </w:r>
      <w:proofErr w:type="gramEnd"/>
      <w:r w:rsidR="00FB52EC">
        <w:rPr>
          <w:rFonts w:ascii="Arial" w:hAnsi="Arial" w:cs="Arial"/>
        </w:rPr>
        <w:t xml:space="preserve"> any</w:t>
      </w:r>
      <w:r>
        <w:rPr>
          <w:rFonts w:ascii="Arial" w:hAnsi="Arial" w:cs="Arial"/>
        </w:rPr>
        <w:t xml:space="preserve"> t</w:t>
      </w:r>
      <w:r w:rsidR="000A68C4">
        <w:rPr>
          <w:rFonts w:ascii="Arial" w:hAnsi="Arial" w:cs="Arial"/>
        </w:rPr>
        <w:t>ax</w:t>
      </w:r>
      <w:r>
        <w:rPr>
          <w:rFonts w:ascii="Arial" w:hAnsi="Arial" w:cs="Arial"/>
        </w:rPr>
        <w:t>es</w:t>
      </w:r>
      <w:r w:rsidR="000A68C4">
        <w:rPr>
          <w:rFonts w:ascii="Arial" w:hAnsi="Arial" w:cs="Arial"/>
        </w:rPr>
        <w:t xml:space="preserve"> and other governmental and municipal charges </w:t>
      </w:r>
      <w:r w:rsidR="00E118B5">
        <w:rPr>
          <w:rFonts w:ascii="Arial" w:hAnsi="Arial" w:cs="Arial"/>
        </w:rPr>
        <w:t>payable</w:t>
      </w:r>
      <w:r>
        <w:rPr>
          <w:rFonts w:ascii="Arial" w:hAnsi="Arial" w:cs="Arial"/>
        </w:rPr>
        <w:t xml:space="preserve"> by Flow Management</w:t>
      </w:r>
      <w:r w:rsidR="00C45810">
        <w:rPr>
          <w:rFonts w:ascii="Arial" w:hAnsi="Arial" w:cs="Arial"/>
        </w:rPr>
        <w:t xml:space="preserve">, </w:t>
      </w:r>
      <w:r w:rsidR="00526526">
        <w:rPr>
          <w:rFonts w:ascii="Arial" w:hAnsi="Arial" w:cs="Arial"/>
        </w:rPr>
        <w:t xml:space="preserve">that would </w:t>
      </w:r>
      <w:r w:rsidR="00BD22B0">
        <w:rPr>
          <w:rFonts w:ascii="Arial" w:hAnsi="Arial" w:cs="Arial"/>
        </w:rPr>
        <w:t>diminish the proceeds of the consortium of banks in the event of</w:t>
      </w:r>
      <w:r w:rsidR="00BD22B0" w:rsidRPr="00BD22B0">
        <w:rPr>
          <w:rFonts w:ascii="Arial" w:hAnsi="Arial" w:cs="Arial"/>
        </w:rPr>
        <w:t xml:space="preserve"> </w:t>
      </w:r>
      <w:r w:rsidR="00BD22B0">
        <w:rPr>
          <w:rFonts w:ascii="Arial" w:hAnsi="Arial" w:cs="Arial"/>
        </w:rPr>
        <w:t>direct transfer of Flow Management to the</w:t>
      </w:r>
      <w:r w:rsidR="00BD22B0">
        <w:rPr>
          <w:rFonts w:ascii="Arial" w:hAnsi="Arial" w:cs="Arial"/>
        </w:rPr>
        <w:t>m</w:t>
      </w:r>
      <w:r w:rsidR="00CD26F2">
        <w:rPr>
          <w:rFonts w:ascii="Arial" w:hAnsi="Arial" w:cs="Arial"/>
        </w:rPr>
        <w:t>; or in the event of liquidation of Flow Management as such taxes and charges usually enjoy p</w:t>
      </w:r>
      <w:r w:rsidR="005A63AC">
        <w:rPr>
          <w:rFonts w:ascii="Arial" w:hAnsi="Arial" w:cs="Arial"/>
        </w:rPr>
        <w:t xml:space="preserve">riority </w:t>
      </w:r>
      <w:r w:rsidR="003B596B">
        <w:rPr>
          <w:rFonts w:ascii="Arial" w:hAnsi="Arial" w:cs="Arial"/>
        </w:rPr>
        <w:t>to other creditors in liquidation proceedings</w:t>
      </w:r>
      <w:r w:rsidR="0037325D">
        <w:rPr>
          <w:rFonts w:ascii="Arial" w:hAnsi="Arial" w:cs="Arial"/>
        </w:rPr>
        <w:t>.</w:t>
      </w:r>
      <w:r w:rsidR="005A63AC">
        <w:rPr>
          <w:rFonts w:ascii="Arial" w:hAnsi="Arial" w:cs="Arial"/>
        </w:rPr>
        <w:t xml:space="preserve"> </w:t>
      </w:r>
      <w:r w:rsidR="00461625">
        <w:rPr>
          <w:rFonts w:ascii="Arial" w:hAnsi="Arial" w:cs="Arial"/>
        </w:rPr>
        <w:t xml:space="preserve"> </w:t>
      </w:r>
    </w:p>
    <w:p w14:paraId="23708675" w14:textId="3C658957" w:rsidR="00684F28" w:rsidRDefault="00684F28" w:rsidP="0057515B">
      <w:pPr>
        <w:pStyle w:val="ListParagraph"/>
        <w:numPr>
          <w:ilvl w:val="0"/>
          <w:numId w:val="5"/>
        </w:numPr>
        <w:spacing w:after="0" w:line="240" w:lineRule="auto"/>
        <w:jc w:val="both"/>
        <w:rPr>
          <w:rFonts w:ascii="Arial" w:hAnsi="Arial" w:cs="Arial"/>
        </w:rPr>
      </w:pPr>
      <w:r>
        <w:rPr>
          <w:rFonts w:ascii="Arial" w:hAnsi="Arial" w:cs="Arial"/>
        </w:rPr>
        <w:t xml:space="preserve">To enable the liquidation of Flow Management at the minimum expense to the </w:t>
      </w:r>
      <w:r w:rsidR="0003732A">
        <w:rPr>
          <w:rFonts w:ascii="Arial" w:hAnsi="Arial" w:cs="Arial"/>
        </w:rPr>
        <w:t>consortium of banks</w:t>
      </w:r>
    </w:p>
    <w:p w14:paraId="789AA002" w14:textId="08DB4D70" w:rsidR="00E75934" w:rsidRDefault="007626E7" w:rsidP="0057515B">
      <w:pPr>
        <w:pStyle w:val="ListParagraph"/>
        <w:numPr>
          <w:ilvl w:val="0"/>
          <w:numId w:val="5"/>
        </w:numPr>
        <w:spacing w:after="0" w:line="240" w:lineRule="auto"/>
        <w:jc w:val="both"/>
        <w:rPr>
          <w:rFonts w:ascii="Arial" w:hAnsi="Arial" w:cs="Arial"/>
        </w:rPr>
      </w:pPr>
      <w:r>
        <w:rPr>
          <w:rFonts w:ascii="Arial" w:hAnsi="Arial" w:cs="Arial"/>
        </w:rPr>
        <w:lastRenderedPageBreak/>
        <w:t>To</w:t>
      </w:r>
      <w:r w:rsidR="00BC7B93">
        <w:rPr>
          <w:rFonts w:ascii="Arial" w:hAnsi="Arial" w:cs="Arial"/>
        </w:rPr>
        <w:t xml:space="preserve"> enable cancellation </w:t>
      </w:r>
      <w:r w:rsidR="00477F55">
        <w:rPr>
          <w:rFonts w:ascii="Arial" w:hAnsi="Arial" w:cs="Arial"/>
        </w:rPr>
        <w:t xml:space="preserve">of all claims of Flow Management and its Shareholder against the </w:t>
      </w:r>
      <w:r w:rsidR="00B10753">
        <w:rPr>
          <w:rFonts w:ascii="Arial" w:hAnsi="Arial" w:cs="Arial"/>
        </w:rPr>
        <w:t xml:space="preserve">subsidiaries (Flow Management II BV that is) </w:t>
      </w:r>
      <w:r w:rsidR="001F64D2">
        <w:rPr>
          <w:rFonts w:ascii="Arial" w:hAnsi="Arial" w:cs="Arial"/>
        </w:rPr>
        <w:t>and thus facilitate maximum return to the consortium of banks</w:t>
      </w:r>
    </w:p>
    <w:p w14:paraId="4C3ED871" w14:textId="136F69D7" w:rsidR="000C6BF5" w:rsidRPr="0057515B" w:rsidRDefault="000C6BF5" w:rsidP="0057515B">
      <w:pPr>
        <w:pStyle w:val="ListParagraph"/>
        <w:numPr>
          <w:ilvl w:val="0"/>
          <w:numId w:val="5"/>
        </w:numPr>
        <w:spacing w:after="0" w:line="240" w:lineRule="auto"/>
        <w:jc w:val="both"/>
        <w:rPr>
          <w:rFonts w:ascii="Arial" w:hAnsi="Arial" w:cs="Arial"/>
        </w:rPr>
      </w:pPr>
      <w:r>
        <w:rPr>
          <w:rFonts w:ascii="Arial" w:hAnsi="Arial" w:cs="Arial"/>
        </w:rPr>
        <w:t>To secure ‘clean’ title to the shares</w:t>
      </w:r>
      <w:r w:rsidR="00F11155">
        <w:rPr>
          <w:rFonts w:ascii="Arial" w:hAnsi="Arial" w:cs="Arial"/>
        </w:rPr>
        <w:t>, that is free of any charges or liens,</w:t>
      </w:r>
      <w:r>
        <w:rPr>
          <w:rFonts w:ascii="Arial" w:hAnsi="Arial" w:cs="Arial"/>
        </w:rPr>
        <w:t xml:space="preserve"> by the consortium of banks and th</w:t>
      </w:r>
      <w:r w:rsidR="00F11155">
        <w:rPr>
          <w:rFonts w:ascii="Arial" w:hAnsi="Arial" w:cs="Arial"/>
        </w:rPr>
        <w:t xml:space="preserve">ose board members that </w:t>
      </w:r>
      <w:r w:rsidR="00714E36">
        <w:rPr>
          <w:rFonts w:ascii="Arial" w:hAnsi="Arial" w:cs="Arial"/>
        </w:rPr>
        <w:t xml:space="preserve">have become the </w:t>
      </w:r>
      <w:proofErr w:type="gramStart"/>
      <w:r w:rsidR="00714E36">
        <w:rPr>
          <w:rFonts w:ascii="Arial" w:hAnsi="Arial" w:cs="Arial"/>
        </w:rPr>
        <w:t xml:space="preserve">new </w:t>
      </w:r>
      <w:r w:rsidR="00F11155">
        <w:rPr>
          <w:rFonts w:ascii="Arial" w:hAnsi="Arial" w:cs="Arial"/>
        </w:rPr>
        <w:t xml:space="preserve"> shareholders</w:t>
      </w:r>
      <w:proofErr w:type="gramEnd"/>
      <w:r w:rsidR="00F11155">
        <w:rPr>
          <w:rFonts w:ascii="Arial" w:hAnsi="Arial" w:cs="Arial"/>
        </w:rPr>
        <w:t xml:space="preserve"> of Flow Management II BV</w:t>
      </w:r>
      <w:r w:rsidR="00714E36">
        <w:rPr>
          <w:rFonts w:ascii="Arial" w:hAnsi="Arial" w:cs="Arial"/>
        </w:rPr>
        <w:t xml:space="preserve">; as opposed to the scenario of transferring to them directly the existing shares of Flow Management. </w:t>
      </w:r>
    </w:p>
    <w:p w14:paraId="37BE7F1D" w14:textId="77777777" w:rsidR="007D3FEB" w:rsidRDefault="007D3FEB" w:rsidP="006216F1">
      <w:pPr>
        <w:spacing w:after="0" w:line="240" w:lineRule="auto"/>
        <w:jc w:val="both"/>
        <w:rPr>
          <w:rFonts w:ascii="Arial" w:hAnsi="Arial" w:cs="Arial"/>
        </w:rPr>
      </w:pPr>
    </w:p>
    <w:p w14:paraId="23833EEF" w14:textId="79045E69" w:rsidR="007D3FEB" w:rsidRDefault="007D3FEB" w:rsidP="006216F1">
      <w:pPr>
        <w:spacing w:after="0" w:line="240" w:lineRule="auto"/>
        <w:jc w:val="both"/>
        <w:rPr>
          <w:rFonts w:ascii="Arial" w:hAnsi="Arial" w:cs="Arial"/>
        </w:rPr>
      </w:pPr>
      <w:r>
        <w:rPr>
          <w:rFonts w:ascii="Arial" w:hAnsi="Arial" w:cs="Arial"/>
        </w:rPr>
        <w:t xml:space="preserve">Further, the </w:t>
      </w:r>
      <w:r w:rsidR="00C31F2B">
        <w:rPr>
          <w:rFonts w:ascii="Arial" w:hAnsi="Arial" w:cs="Arial"/>
        </w:rPr>
        <w:t>Debt equity swap</w:t>
      </w:r>
      <w:r w:rsidR="00F8585E">
        <w:rPr>
          <w:rFonts w:ascii="Arial" w:hAnsi="Arial" w:cs="Arial"/>
        </w:rPr>
        <w:t xml:space="preserve">, together with the liquidation of </w:t>
      </w:r>
      <w:r w:rsidR="00D0485D">
        <w:rPr>
          <w:rFonts w:ascii="Arial" w:hAnsi="Arial" w:cs="Arial"/>
        </w:rPr>
        <w:t xml:space="preserve">Flow Management that will follow, </w:t>
      </w:r>
      <w:r w:rsidR="00C31F2B">
        <w:rPr>
          <w:rFonts w:ascii="Arial" w:hAnsi="Arial" w:cs="Arial"/>
        </w:rPr>
        <w:t xml:space="preserve">facilitates all the claims’ cancellations </w:t>
      </w:r>
      <w:r w:rsidR="00D0485D">
        <w:rPr>
          <w:rFonts w:ascii="Arial" w:hAnsi="Arial" w:cs="Arial"/>
        </w:rPr>
        <w:t>and debt</w:t>
      </w:r>
      <w:r w:rsidR="00E54EC1">
        <w:rPr>
          <w:rFonts w:ascii="Arial" w:hAnsi="Arial" w:cs="Arial"/>
        </w:rPr>
        <w:t>s</w:t>
      </w:r>
      <w:r w:rsidR="00D0485D">
        <w:rPr>
          <w:rFonts w:ascii="Arial" w:hAnsi="Arial" w:cs="Arial"/>
        </w:rPr>
        <w:t xml:space="preserve"> wr</w:t>
      </w:r>
      <w:r w:rsidR="00E54EC1">
        <w:rPr>
          <w:rFonts w:ascii="Arial" w:hAnsi="Arial" w:cs="Arial"/>
        </w:rPr>
        <w:t>i</w:t>
      </w:r>
      <w:r w:rsidR="00D0485D">
        <w:rPr>
          <w:rFonts w:ascii="Arial" w:hAnsi="Arial" w:cs="Arial"/>
        </w:rPr>
        <w:t>te off</w:t>
      </w:r>
      <w:r w:rsidR="00E54EC1">
        <w:rPr>
          <w:rFonts w:ascii="Arial" w:hAnsi="Arial" w:cs="Arial"/>
        </w:rPr>
        <w:t xml:space="preserve">, </w:t>
      </w:r>
      <w:r w:rsidR="00C31F2B">
        <w:rPr>
          <w:rFonts w:ascii="Arial" w:hAnsi="Arial" w:cs="Arial"/>
        </w:rPr>
        <w:t xml:space="preserve">that the consortium of banks </w:t>
      </w:r>
      <w:r w:rsidR="00B45A6A">
        <w:rPr>
          <w:rFonts w:ascii="Arial" w:hAnsi="Arial" w:cs="Arial"/>
        </w:rPr>
        <w:t xml:space="preserve">will need to implement </w:t>
      </w:r>
      <w:r w:rsidR="00D0485D">
        <w:rPr>
          <w:rFonts w:ascii="Arial" w:hAnsi="Arial" w:cs="Arial"/>
        </w:rPr>
        <w:t xml:space="preserve">within this </w:t>
      </w:r>
      <w:r w:rsidR="00116E2C">
        <w:rPr>
          <w:rFonts w:ascii="Arial" w:hAnsi="Arial" w:cs="Arial"/>
        </w:rPr>
        <w:t xml:space="preserve">restructuring </w:t>
      </w:r>
      <w:r w:rsidR="001A03EC">
        <w:rPr>
          <w:rFonts w:ascii="Arial" w:hAnsi="Arial" w:cs="Arial"/>
        </w:rPr>
        <w:t>and</w:t>
      </w:r>
      <w:r w:rsidR="001A03EC" w:rsidRPr="001A03EC">
        <w:rPr>
          <w:rFonts w:ascii="Arial" w:hAnsi="Arial" w:cs="Arial"/>
        </w:rPr>
        <w:t xml:space="preserve"> </w:t>
      </w:r>
      <w:r w:rsidR="001A03EC">
        <w:rPr>
          <w:rFonts w:ascii="Arial" w:hAnsi="Arial" w:cs="Arial"/>
        </w:rPr>
        <w:t xml:space="preserve">amounts to several millions of </w:t>
      </w:r>
      <w:proofErr w:type="gramStart"/>
      <w:r w:rsidR="001A03EC">
        <w:rPr>
          <w:rFonts w:ascii="Arial" w:hAnsi="Arial" w:cs="Arial"/>
        </w:rPr>
        <w:t>euro</w:t>
      </w:r>
      <w:proofErr w:type="gramEnd"/>
      <w:r w:rsidR="001A03EC">
        <w:rPr>
          <w:rFonts w:ascii="Arial" w:hAnsi="Arial" w:cs="Arial"/>
        </w:rPr>
        <w:t xml:space="preserve">, </w:t>
      </w:r>
      <w:r w:rsidR="00B45A6A">
        <w:rPr>
          <w:rFonts w:ascii="Arial" w:hAnsi="Arial" w:cs="Arial"/>
        </w:rPr>
        <w:t>and th</w:t>
      </w:r>
      <w:r w:rsidR="00116E2C">
        <w:rPr>
          <w:rFonts w:ascii="Arial" w:hAnsi="Arial" w:cs="Arial"/>
        </w:rPr>
        <w:t xml:space="preserve">at </w:t>
      </w:r>
      <w:r w:rsidR="001A03EC">
        <w:rPr>
          <w:rFonts w:ascii="Arial" w:hAnsi="Arial" w:cs="Arial"/>
        </w:rPr>
        <w:t xml:space="preserve">the banks </w:t>
      </w:r>
      <w:r w:rsidR="00116E2C">
        <w:rPr>
          <w:rFonts w:ascii="Arial" w:hAnsi="Arial" w:cs="Arial"/>
        </w:rPr>
        <w:t xml:space="preserve">will also </w:t>
      </w:r>
      <w:r w:rsidR="001A03EC">
        <w:rPr>
          <w:rFonts w:ascii="Arial" w:hAnsi="Arial" w:cs="Arial"/>
        </w:rPr>
        <w:t>have</w:t>
      </w:r>
      <w:r w:rsidR="00116E2C">
        <w:rPr>
          <w:rFonts w:ascii="Arial" w:hAnsi="Arial" w:cs="Arial"/>
        </w:rPr>
        <w:t xml:space="preserve"> to</w:t>
      </w:r>
      <w:r w:rsidR="00B45A6A">
        <w:rPr>
          <w:rFonts w:ascii="Arial" w:hAnsi="Arial" w:cs="Arial"/>
        </w:rPr>
        <w:t xml:space="preserve"> explain </w:t>
      </w:r>
      <w:r w:rsidR="001A03EC">
        <w:rPr>
          <w:rFonts w:ascii="Arial" w:hAnsi="Arial" w:cs="Arial"/>
        </w:rPr>
        <w:t>afterwards</w:t>
      </w:r>
      <w:r w:rsidR="00116E2C">
        <w:rPr>
          <w:rFonts w:ascii="Arial" w:hAnsi="Arial" w:cs="Arial"/>
        </w:rPr>
        <w:t xml:space="preserve"> </w:t>
      </w:r>
      <w:r w:rsidR="00B45A6A">
        <w:rPr>
          <w:rFonts w:ascii="Arial" w:hAnsi="Arial" w:cs="Arial"/>
        </w:rPr>
        <w:t>to their regulatory bodies respectively</w:t>
      </w:r>
      <w:r w:rsidR="00116E2C">
        <w:rPr>
          <w:rFonts w:ascii="Arial" w:hAnsi="Arial" w:cs="Arial"/>
        </w:rPr>
        <w:t>.</w:t>
      </w:r>
      <w:r w:rsidR="001A03EC">
        <w:rPr>
          <w:rFonts w:ascii="Arial" w:hAnsi="Arial" w:cs="Arial"/>
        </w:rPr>
        <w:t xml:space="preserve"> </w:t>
      </w:r>
      <w:r w:rsidR="00116E2C">
        <w:rPr>
          <w:rFonts w:ascii="Arial" w:hAnsi="Arial" w:cs="Arial"/>
        </w:rPr>
        <w:t xml:space="preserve"> </w:t>
      </w:r>
    </w:p>
    <w:p w14:paraId="470ACBD9" w14:textId="77777777" w:rsidR="00D0485D" w:rsidRDefault="00D0485D" w:rsidP="006216F1">
      <w:pPr>
        <w:spacing w:after="0" w:line="240" w:lineRule="auto"/>
        <w:jc w:val="both"/>
        <w:rPr>
          <w:rFonts w:ascii="Arial" w:hAnsi="Arial" w:cs="Arial"/>
        </w:rPr>
      </w:pPr>
    </w:p>
    <w:p w14:paraId="77A6B28F" w14:textId="042A179D" w:rsidR="000C7070" w:rsidRDefault="00C03831" w:rsidP="006216F1">
      <w:pPr>
        <w:spacing w:after="0" w:line="240" w:lineRule="auto"/>
        <w:jc w:val="both"/>
        <w:rPr>
          <w:rFonts w:ascii="Arial" w:hAnsi="Arial" w:cs="Arial"/>
        </w:rPr>
      </w:pPr>
      <w:r>
        <w:rPr>
          <w:rFonts w:ascii="Arial" w:hAnsi="Arial" w:cs="Arial"/>
        </w:rPr>
        <w:t xml:space="preserve">Most importantly though, debt equity swaps of this scale </w:t>
      </w:r>
      <w:r w:rsidR="00957B08">
        <w:rPr>
          <w:rFonts w:ascii="Arial" w:hAnsi="Arial" w:cs="Arial"/>
        </w:rPr>
        <w:t>enable</w:t>
      </w:r>
      <w:r w:rsidR="004812F3">
        <w:rPr>
          <w:rFonts w:ascii="Arial" w:hAnsi="Arial" w:cs="Arial"/>
        </w:rPr>
        <w:t xml:space="preserve"> </w:t>
      </w:r>
      <w:r w:rsidR="00DB6007">
        <w:rPr>
          <w:rFonts w:ascii="Arial" w:hAnsi="Arial" w:cs="Arial"/>
        </w:rPr>
        <w:t xml:space="preserve">swift and </w:t>
      </w:r>
      <w:r w:rsidR="004812F3">
        <w:rPr>
          <w:rFonts w:ascii="Arial" w:hAnsi="Arial" w:cs="Arial"/>
        </w:rPr>
        <w:t>effective</w:t>
      </w:r>
      <w:r w:rsidR="00957B08">
        <w:rPr>
          <w:rFonts w:ascii="Arial" w:hAnsi="Arial" w:cs="Arial"/>
        </w:rPr>
        <w:t xml:space="preserve"> asset</w:t>
      </w:r>
      <w:r>
        <w:rPr>
          <w:rFonts w:ascii="Arial" w:hAnsi="Arial" w:cs="Arial"/>
        </w:rPr>
        <w:t>,</w:t>
      </w:r>
      <w:r w:rsidR="004812F3">
        <w:rPr>
          <w:rFonts w:ascii="Arial" w:hAnsi="Arial" w:cs="Arial"/>
        </w:rPr>
        <w:t xml:space="preserve"> </w:t>
      </w:r>
      <w:r w:rsidR="001D1CC8">
        <w:rPr>
          <w:rFonts w:ascii="Arial" w:hAnsi="Arial" w:cs="Arial"/>
        </w:rPr>
        <w:t xml:space="preserve">financial </w:t>
      </w:r>
      <w:r w:rsidR="001D25E3">
        <w:rPr>
          <w:rFonts w:ascii="Arial" w:hAnsi="Arial" w:cs="Arial"/>
        </w:rPr>
        <w:t xml:space="preserve">and managerial restructuring </w:t>
      </w:r>
      <w:r w:rsidR="00DB6007">
        <w:rPr>
          <w:rFonts w:ascii="Arial" w:hAnsi="Arial" w:cs="Arial"/>
        </w:rPr>
        <w:t xml:space="preserve">of </w:t>
      </w:r>
      <w:r w:rsidR="00F94A32">
        <w:rPr>
          <w:rFonts w:ascii="Arial" w:hAnsi="Arial" w:cs="Arial"/>
        </w:rPr>
        <w:t>the entire</w:t>
      </w:r>
      <w:r w:rsidR="00DB6007">
        <w:rPr>
          <w:rFonts w:ascii="Arial" w:hAnsi="Arial" w:cs="Arial"/>
        </w:rPr>
        <w:t xml:space="preserve"> group of companies</w:t>
      </w:r>
      <w:r w:rsidR="00F94A32">
        <w:rPr>
          <w:rFonts w:ascii="Arial" w:hAnsi="Arial" w:cs="Arial"/>
        </w:rPr>
        <w:t>, that in effect will re-start under new shareholders and managers</w:t>
      </w:r>
      <w:r w:rsidR="00157127">
        <w:rPr>
          <w:rFonts w:ascii="Arial" w:hAnsi="Arial" w:cs="Arial"/>
        </w:rPr>
        <w:t xml:space="preserve">. </w:t>
      </w:r>
      <w:r w:rsidR="009E39E8">
        <w:rPr>
          <w:rFonts w:ascii="Arial" w:hAnsi="Arial" w:cs="Arial"/>
        </w:rPr>
        <w:t>At the same time</w:t>
      </w:r>
      <w:r w:rsidR="003260B6">
        <w:rPr>
          <w:rFonts w:ascii="Arial" w:hAnsi="Arial" w:cs="Arial"/>
        </w:rPr>
        <w:t xml:space="preserve">, </w:t>
      </w:r>
      <w:r w:rsidR="00D95DCD">
        <w:rPr>
          <w:rFonts w:ascii="Arial" w:hAnsi="Arial" w:cs="Arial"/>
        </w:rPr>
        <w:t>organizational changes of this scale should be closely monitored since</w:t>
      </w:r>
      <w:r w:rsidR="009E39E8">
        <w:rPr>
          <w:rFonts w:ascii="Arial" w:hAnsi="Arial" w:cs="Arial"/>
        </w:rPr>
        <w:t xml:space="preserve"> </w:t>
      </w:r>
      <w:r w:rsidR="003260B6" w:rsidRPr="003260B6">
        <w:rPr>
          <w:rFonts w:ascii="Arial" w:hAnsi="Arial" w:cs="Arial"/>
          <w:i/>
          <w:iCs/>
        </w:rPr>
        <w:t>“</w:t>
      </w:r>
      <w:r w:rsidR="007A7000" w:rsidRPr="003260B6">
        <w:rPr>
          <w:rFonts w:ascii="Arial" w:hAnsi="Arial" w:cs="Arial"/>
          <w:i/>
          <w:iCs/>
        </w:rPr>
        <w:t xml:space="preserve">organization ecology suggest </w:t>
      </w:r>
      <w:r w:rsidR="003260B6" w:rsidRPr="003260B6">
        <w:rPr>
          <w:rFonts w:ascii="Arial" w:hAnsi="Arial" w:cs="Arial"/>
          <w:i/>
          <w:iCs/>
        </w:rPr>
        <w:t>that,</w:t>
      </w:r>
      <w:r w:rsidR="00AB5A68">
        <w:rPr>
          <w:rFonts w:ascii="Arial" w:hAnsi="Arial" w:cs="Arial"/>
          <w:i/>
          <w:iCs/>
        </w:rPr>
        <w:t xml:space="preserve"> because of structural inertia, organizations tend not to change</w:t>
      </w:r>
      <w:r w:rsidR="00037338">
        <w:rPr>
          <w:rFonts w:ascii="Arial" w:hAnsi="Arial" w:cs="Arial"/>
          <w:i/>
          <w:iCs/>
        </w:rPr>
        <w:t xml:space="preserve"> and, when they do, they respond slowly to environmental threats</w:t>
      </w:r>
      <w:r w:rsidR="00A96AF6">
        <w:rPr>
          <w:rFonts w:ascii="Arial" w:hAnsi="Arial" w:cs="Arial"/>
          <w:i/>
          <w:iCs/>
        </w:rPr>
        <w:t xml:space="preserve"> and opportunities</w:t>
      </w:r>
      <w:r w:rsidR="00096B2B">
        <w:rPr>
          <w:rFonts w:ascii="Arial" w:hAnsi="Arial" w:cs="Arial"/>
          <w:i/>
          <w:iCs/>
        </w:rPr>
        <w:t>, and they are more likely to disband than adapt. Simply put</w:t>
      </w:r>
      <w:r w:rsidR="00192983">
        <w:rPr>
          <w:rFonts w:ascii="Arial" w:hAnsi="Arial" w:cs="Arial"/>
          <w:i/>
          <w:iCs/>
        </w:rPr>
        <w:t>, change often leads to failure”.</w:t>
      </w:r>
      <w:r w:rsidR="00E0496F">
        <w:rPr>
          <w:rStyle w:val="FootnoteReference"/>
          <w:rFonts w:ascii="Arial" w:hAnsi="Arial" w:cs="Arial"/>
          <w:i/>
          <w:iCs/>
        </w:rPr>
        <w:footnoteReference w:id="33"/>
      </w:r>
      <w:r w:rsidR="00192983">
        <w:rPr>
          <w:rFonts w:ascii="Arial" w:hAnsi="Arial" w:cs="Arial"/>
        </w:rPr>
        <w:t xml:space="preserve"> </w:t>
      </w:r>
      <w:r w:rsidR="00444075">
        <w:rPr>
          <w:rFonts w:ascii="Arial" w:hAnsi="Arial" w:cs="Arial"/>
        </w:rPr>
        <w:t xml:space="preserve">This is perhaps the only reasonable explanation to </w:t>
      </w:r>
      <w:r w:rsidR="0033216E">
        <w:rPr>
          <w:rFonts w:ascii="Arial" w:hAnsi="Arial" w:cs="Arial"/>
        </w:rPr>
        <w:t xml:space="preserve">the </w:t>
      </w:r>
      <w:r w:rsidR="0051792F">
        <w:rPr>
          <w:rFonts w:ascii="Arial" w:hAnsi="Arial" w:cs="Arial"/>
        </w:rPr>
        <w:t>transfer of shares of Flow Management II BV to certain board members</w:t>
      </w:r>
      <w:r w:rsidR="00E854B8">
        <w:rPr>
          <w:rFonts w:ascii="Arial" w:hAnsi="Arial" w:cs="Arial"/>
        </w:rPr>
        <w:t xml:space="preserve">, including the CRO, of </w:t>
      </w:r>
      <w:r w:rsidR="002B5F34">
        <w:rPr>
          <w:rFonts w:ascii="Arial" w:hAnsi="Arial" w:cs="Arial"/>
        </w:rPr>
        <w:t>Flow Management</w:t>
      </w:r>
      <w:r w:rsidR="00444075">
        <w:rPr>
          <w:rFonts w:ascii="Arial" w:hAnsi="Arial" w:cs="Arial"/>
        </w:rPr>
        <w:t>, which left me puzzled otherwise</w:t>
      </w:r>
      <w:r w:rsidR="00124454">
        <w:rPr>
          <w:rFonts w:ascii="Arial" w:hAnsi="Arial" w:cs="Arial"/>
        </w:rPr>
        <w:t xml:space="preserve">, as </w:t>
      </w:r>
      <w:r w:rsidR="002D3BBB">
        <w:rPr>
          <w:rFonts w:ascii="Arial" w:hAnsi="Arial" w:cs="Arial"/>
        </w:rPr>
        <w:t>it involves inherent conflict of interest</w:t>
      </w:r>
      <w:r w:rsidR="00444075">
        <w:rPr>
          <w:rFonts w:ascii="Arial" w:hAnsi="Arial" w:cs="Arial"/>
        </w:rPr>
        <w:t xml:space="preserve">; to ascertain stabilization following the changes implemented through the </w:t>
      </w:r>
      <w:r w:rsidR="000C7070">
        <w:rPr>
          <w:rFonts w:ascii="Arial" w:hAnsi="Arial" w:cs="Arial"/>
        </w:rPr>
        <w:t xml:space="preserve">July 2015 Restructuring agreement. </w:t>
      </w:r>
    </w:p>
    <w:p w14:paraId="634B8C77" w14:textId="77777777" w:rsidR="000C7070" w:rsidRDefault="000C7070" w:rsidP="006216F1">
      <w:pPr>
        <w:spacing w:after="0" w:line="240" w:lineRule="auto"/>
        <w:jc w:val="both"/>
        <w:rPr>
          <w:rFonts w:ascii="Arial" w:hAnsi="Arial" w:cs="Arial"/>
        </w:rPr>
      </w:pPr>
    </w:p>
    <w:p w14:paraId="00755A80" w14:textId="511D1215" w:rsidR="0033216E" w:rsidRPr="006216F1" w:rsidRDefault="0051792F" w:rsidP="006216F1">
      <w:pPr>
        <w:spacing w:after="0" w:line="240" w:lineRule="auto"/>
        <w:jc w:val="both"/>
        <w:rPr>
          <w:rFonts w:ascii="Arial" w:hAnsi="Arial" w:cs="Arial"/>
        </w:rPr>
      </w:pPr>
      <w:r>
        <w:rPr>
          <w:rFonts w:ascii="Arial" w:hAnsi="Arial" w:cs="Arial"/>
        </w:rPr>
        <w:t xml:space="preserve"> </w:t>
      </w:r>
    </w:p>
    <w:p w14:paraId="35FEE907" w14:textId="77777777" w:rsidR="006216F1" w:rsidRPr="006216F1" w:rsidRDefault="006216F1" w:rsidP="006216F1">
      <w:pPr>
        <w:spacing w:after="0" w:line="240" w:lineRule="auto"/>
        <w:jc w:val="both"/>
        <w:rPr>
          <w:rFonts w:ascii="Arial" w:hAnsi="Arial" w:cs="Arial"/>
          <w:b/>
          <w:bCs/>
        </w:rPr>
      </w:pPr>
    </w:p>
    <w:p w14:paraId="59B1157F" w14:textId="77777777" w:rsidR="009747AC" w:rsidRDefault="00BC6138" w:rsidP="006216F1">
      <w:pPr>
        <w:pStyle w:val="ListParagraph"/>
        <w:numPr>
          <w:ilvl w:val="0"/>
          <w:numId w:val="2"/>
        </w:numPr>
        <w:spacing w:after="0" w:line="240" w:lineRule="auto"/>
        <w:jc w:val="both"/>
        <w:rPr>
          <w:rFonts w:ascii="Arial" w:hAnsi="Arial" w:cs="Arial"/>
          <w:b/>
          <w:bCs/>
        </w:rPr>
      </w:pPr>
      <w:r>
        <w:rPr>
          <w:rFonts w:ascii="Arial" w:hAnsi="Arial" w:cs="Arial"/>
          <w:b/>
          <w:bCs/>
        </w:rPr>
        <w:t xml:space="preserve">Which (potential) legal </w:t>
      </w:r>
      <w:r w:rsidR="008837A2">
        <w:rPr>
          <w:rFonts w:ascii="Arial" w:hAnsi="Arial" w:cs="Arial"/>
          <w:b/>
          <w:bCs/>
        </w:rPr>
        <w:t xml:space="preserve">and/or non-legal cross border issues – if any – do you recognise in the Flow Management </w:t>
      </w:r>
      <w:r w:rsidR="009747AC">
        <w:rPr>
          <w:rFonts w:ascii="Arial" w:hAnsi="Arial" w:cs="Arial"/>
          <w:b/>
          <w:bCs/>
        </w:rPr>
        <w:t>restructuring process?</w:t>
      </w:r>
    </w:p>
    <w:p w14:paraId="6D3C82DC" w14:textId="77777777" w:rsidR="006216F1" w:rsidRDefault="006216F1" w:rsidP="006216F1">
      <w:pPr>
        <w:spacing w:after="0" w:line="240" w:lineRule="auto"/>
        <w:jc w:val="both"/>
        <w:rPr>
          <w:rFonts w:ascii="Arial" w:hAnsi="Arial" w:cs="Arial"/>
          <w:b/>
          <w:bCs/>
        </w:rPr>
      </w:pPr>
    </w:p>
    <w:p w14:paraId="54D09D7E" w14:textId="2E318175" w:rsidR="00EB7ED4" w:rsidRDefault="00005497" w:rsidP="006216F1">
      <w:pPr>
        <w:spacing w:after="0" w:line="240" w:lineRule="auto"/>
        <w:jc w:val="both"/>
        <w:rPr>
          <w:rFonts w:ascii="Arial" w:hAnsi="Arial" w:cs="Arial"/>
        </w:rPr>
      </w:pPr>
      <w:r>
        <w:rPr>
          <w:rFonts w:ascii="Arial" w:hAnsi="Arial" w:cs="Arial"/>
        </w:rPr>
        <w:t xml:space="preserve">As mentioned above, the most important </w:t>
      </w:r>
      <w:r w:rsidR="00C006CB">
        <w:rPr>
          <w:rFonts w:ascii="Arial" w:hAnsi="Arial" w:cs="Arial"/>
        </w:rPr>
        <w:t>legal cross border issue to consider would have been the transfer of shares of subsidiaries set up in six different jurisdictions, to the heavily regulated fi</w:t>
      </w:r>
      <w:r w:rsidR="00881902">
        <w:rPr>
          <w:rFonts w:ascii="Arial" w:hAnsi="Arial" w:cs="Arial"/>
        </w:rPr>
        <w:t xml:space="preserve">nancial institutions that form the consortium of banks. </w:t>
      </w:r>
      <w:r w:rsidR="005254C4">
        <w:rPr>
          <w:rFonts w:ascii="Arial" w:hAnsi="Arial" w:cs="Arial"/>
        </w:rPr>
        <w:t>However</w:t>
      </w:r>
      <w:r w:rsidR="002B6486">
        <w:rPr>
          <w:rFonts w:ascii="Arial" w:hAnsi="Arial" w:cs="Arial"/>
        </w:rPr>
        <w:t xml:space="preserve">, this issue is surpassed by </w:t>
      </w:r>
      <w:r w:rsidR="004003F1">
        <w:rPr>
          <w:rFonts w:ascii="Arial" w:hAnsi="Arial" w:cs="Arial"/>
        </w:rPr>
        <w:t>transferring them first to Flow Management II BV, a special purpose vehicle</w:t>
      </w:r>
      <w:r w:rsidR="00D40884">
        <w:rPr>
          <w:rFonts w:ascii="Arial" w:hAnsi="Arial" w:cs="Arial"/>
        </w:rPr>
        <w:t xml:space="preserve"> set up especially</w:t>
      </w:r>
      <w:r w:rsidR="004003F1">
        <w:rPr>
          <w:rFonts w:ascii="Arial" w:hAnsi="Arial" w:cs="Arial"/>
        </w:rPr>
        <w:t xml:space="preserve"> </w:t>
      </w:r>
      <w:r w:rsidR="003E45B9">
        <w:rPr>
          <w:rFonts w:ascii="Arial" w:hAnsi="Arial" w:cs="Arial"/>
        </w:rPr>
        <w:t xml:space="preserve">for this cause, and then transferring the shares of this company alone to the consortium of banks and </w:t>
      </w:r>
      <w:r w:rsidR="003C4E86">
        <w:rPr>
          <w:rFonts w:ascii="Arial" w:hAnsi="Arial" w:cs="Arial"/>
        </w:rPr>
        <w:t>certain</w:t>
      </w:r>
      <w:r w:rsidR="003E45B9">
        <w:rPr>
          <w:rFonts w:ascii="Arial" w:hAnsi="Arial" w:cs="Arial"/>
        </w:rPr>
        <w:t xml:space="preserve"> </w:t>
      </w:r>
      <w:r w:rsidR="003C4E86">
        <w:rPr>
          <w:rFonts w:ascii="Arial" w:hAnsi="Arial" w:cs="Arial"/>
        </w:rPr>
        <w:t>board members.</w:t>
      </w:r>
      <w:r w:rsidR="00881902">
        <w:rPr>
          <w:rFonts w:ascii="Arial" w:hAnsi="Arial" w:cs="Arial"/>
        </w:rPr>
        <w:t xml:space="preserve"> </w:t>
      </w:r>
      <w:r w:rsidR="00EB7ED4">
        <w:rPr>
          <w:rFonts w:ascii="Arial" w:hAnsi="Arial" w:cs="Arial"/>
        </w:rPr>
        <w:t>At the same time this</w:t>
      </w:r>
      <w:r w:rsidR="00E36F2C">
        <w:rPr>
          <w:rFonts w:ascii="Arial" w:hAnsi="Arial" w:cs="Arial"/>
        </w:rPr>
        <w:t xml:space="preserve"> solution ensures also that no other purely legal jurisdictional issues will arise in the subsidiaries, whose shareholder will change from one Dutch company to another</w:t>
      </w:r>
      <w:r w:rsidR="00C741CD">
        <w:rPr>
          <w:rStyle w:val="FootnoteReference"/>
          <w:rFonts w:ascii="Arial" w:hAnsi="Arial" w:cs="Arial"/>
        </w:rPr>
        <w:footnoteReference w:id="34"/>
      </w:r>
      <w:r w:rsidR="00E36F2C">
        <w:rPr>
          <w:rFonts w:ascii="Arial" w:hAnsi="Arial" w:cs="Arial"/>
        </w:rPr>
        <w:t xml:space="preserve">. </w:t>
      </w:r>
    </w:p>
    <w:p w14:paraId="027E291E" w14:textId="77777777" w:rsidR="008A19AA" w:rsidRDefault="008A19AA" w:rsidP="006216F1">
      <w:pPr>
        <w:spacing w:after="0" w:line="240" w:lineRule="auto"/>
        <w:jc w:val="both"/>
        <w:rPr>
          <w:rFonts w:ascii="Arial" w:hAnsi="Arial" w:cs="Arial"/>
        </w:rPr>
      </w:pPr>
    </w:p>
    <w:p w14:paraId="03E58028" w14:textId="77777777" w:rsidR="000A290E" w:rsidRDefault="008A19AA" w:rsidP="006216F1">
      <w:pPr>
        <w:spacing w:after="0" w:line="240" w:lineRule="auto"/>
        <w:jc w:val="both"/>
        <w:rPr>
          <w:rFonts w:ascii="Arial" w:hAnsi="Arial" w:cs="Arial"/>
        </w:rPr>
      </w:pPr>
      <w:r>
        <w:rPr>
          <w:rFonts w:ascii="Arial" w:hAnsi="Arial" w:cs="Arial"/>
        </w:rPr>
        <w:t xml:space="preserve">This same model ensures also that </w:t>
      </w:r>
      <w:r w:rsidR="006D7583">
        <w:rPr>
          <w:rFonts w:ascii="Arial" w:hAnsi="Arial" w:cs="Arial"/>
        </w:rPr>
        <w:t xml:space="preserve">most likely there won’t be </w:t>
      </w:r>
      <w:r w:rsidR="00E079BF">
        <w:rPr>
          <w:rFonts w:ascii="Arial" w:hAnsi="Arial" w:cs="Arial"/>
        </w:rPr>
        <w:t>any corporate</w:t>
      </w:r>
      <w:r w:rsidR="006D7583">
        <w:rPr>
          <w:rFonts w:ascii="Arial" w:hAnsi="Arial" w:cs="Arial"/>
        </w:rPr>
        <w:t xml:space="preserve"> tax</w:t>
      </w:r>
      <w:r w:rsidR="00EE038F">
        <w:rPr>
          <w:rFonts w:ascii="Arial" w:hAnsi="Arial" w:cs="Arial"/>
        </w:rPr>
        <w:t xml:space="preserve"> cross border</w:t>
      </w:r>
      <w:r w:rsidR="006D7583">
        <w:rPr>
          <w:rFonts w:ascii="Arial" w:hAnsi="Arial" w:cs="Arial"/>
        </w:rPr>
        <w:t xml:space="preserve"> implications either</w:t>
      </w:r>
      <w:r w:rsidR="00E079BF">
        <w:rPr>
          <w:rFonts w:ascii="Arial" w:hAnsi="Arial" w:cs="Arial"/>
        </w:rPr>
        <w:t xml:space="preserve">, </w:t>
      </w:r>
      <w:r w:rsidR="00006C69">
        <w:rPr>
          <w:rFonts w:ascii="Arial" w:hAnsi="Arial" w:cs="Arial"/>
        </w:rPr>
        <w:t xml:space="preserve">other than those related to the </w:t>
      </w:r>
      <w:r w:rsidR="002D08F4">
        <w:rPr>
          <w:rFonts w:ascii="Arial" w:hAnsi="Arial" w:cs="Arial"/>
        </w:rPr>
        <w:t>shares acquisition transaction as such.</w:t>
      </w:r>
      <w:r w:rsidR="005E569C">
        <w:rPr>
          <w:rFonts w:ascii="Arial" w:hAnsi="Arial" w:cs="Arial"/>
        </w:rPr>
        <w:t xml:space="preserve"> It should be noted at this point that </w:t>
      </w:r>
      <w:r w:rsidR="00E31382">
        <w:rPr>
          <w:rFonts w:ascii="Arial" w:hAnsi="Arial" w:cs="Arial"/>
        </w:rPr>
        <w:t>this case study does not mention the country of registration and operation of the four banks, neither does it mention the nationality of those board members that have become the new shareholders of the company</w:t>
      </w:r>
      <w:r w:rsidR="004C4636">
        <w:rPr>
          <w:rFonts w:ascii="Arial" w:hAnsi="Arial" w:cs="Arial"/>
        </w:rPr>
        <w:t xml:space="preserve">. </w:t>
      </w:r>
    </w:p>
    <w:p w14:paraId="3617C6D9" w14:textId="77777777" w:rsidR="000A290E" w:rsidRDefault="000A290E" w:rsidP="006216F1">
      <w:pPr>
        <w:spacing w:after="0" w:line="240" w:lineRule="auto"/>
        <w:jc w:val="both"/>
        <w:rPr>
          <w:rFonts w:ascii="Arial" w:hAnsi="Arial" w:cs="Arial"/>
        </w:rPr>
      </w:pPr>
    </w:p>
    <w:p w14:paraId="1E6FD46D" w14:textId="66B445F9" w:rsidR="007723E4" w:rsidRDefault="004C4636" w:rsidP="006216F1">
      <w:pPr>
        <w:spacing w:after="0" w:line="240" w:lineRule="auto"/>
        <w:jc w:val="both"/>
        <w:rPr>
          <w:rFonts w:ascii="Arial" w:hAnsi="Arial" w:cs="Arial"/>
        </w:rPr>
      </w:pPr>
      <w:r>
        <w:rPr>
          <w:rFonts w:ascii="Arial" w:hAnsi="Arial" w:cs="Arial"/>
        </w:rPr>
        <w:t xml:space="preserve">As concerns the banks especially there may be tax implications also in relation to the claims cancellation and </w:t>
      </w:r>
      <w:r w:rsidR="0013613A">
        <w:rPr>
          <w:rFonts w:ascii="Arial" w:hAnsi="Arial" w:cs="Arial"/>
        </w:rPr>
        <w:t xml:space="preserve">the debt write off. </w:t>
      </w:r>
      <w:r w:rsidR="000A290E">
        <w:rPr>
          <w:rFonts w:ascii="Arial" w:hAnsi="Arial" w:cs="Arial"/>
        </w:rPr>
        <w:t xml:space="preserve">Similar tax implications should also be considered on behalf of the shareholder </w:t>
      </w:r>
      <w:r w:rsidR="00F2665B">
        <w:rPr>
          <w:rFonts w:ascii="Arial" w:hAnsi="Arial" w:cs="Arial"/>
        </w:rPr>
        <w:t xml:space="preserve">of Flow Management that will also be called to cancel claims and write off debts. </w:t>
      </w:r>
      <w:r w:rsidR="0013613A">
        <w:rPr>
          <w:rFonts w:ascii="Arial" w:hAnsi="Arial" w:cs="Arial"/>
        </w:rPr>
        <w:t xml:space="preserve">In any case, it is advisable to seek professional </w:t>
      </w:r>
      <w:proofErr w:type="gramStart"/>
      <w:r w:rsidR="0013613A">
        <w:rPr>
          <w:rFonts w:ascii="Arial" w:hAnsi="Arial" w:cs="Arial"/>
        </w:rPr>
        <w:t>advise</w:t>
      </w:r>
      <w:proofErr w:type="gramEnd"/>
      <w:r w:rsidR="0013613A">
        <w:rPr>
          <w:rFonts w:ascii="Arial" w:hAnsi="Arial" w:cs="Arial"/>
        </w:rPr>
        <w:t xml:space="preserve"> by an international </w:t>
      </w:r>
      <w:r w:rsidR="00AF4BFE">
        <w:rPr>
          <w:rFonts w:ascii="Arial" w:hAnsi="Arial" w:cs="Arial"/>
        </w:rPr>
        <w:t>tax</w:t>
      </w:r>
      <w:r w:rsidR="0013613A">
        <w:rPr>
          <w:rFonts w:ascii="Arial" w:hAnsi="Arial" w:cs="Arial"/>
        </w:rPr>
        <w:t xml:space="preserve"> expert on cross border tax implications. </w:t>
      </w:r>
      <w:r w:rsidR="002D08F4">
        <w:rPr>
          <w:rFonts w:ascii="Arial" w:hAnsi="Arial" w:cs="Arial"/>
        </w:rPr>
        <w:t xml:space="preserve"> </w:t>
      </w:r>
    </w:p>
    <w:p w14:paraId="0C6FE6B5" w14:textId="77777777" w:rsidR="00172465" w:rsidRDefault="00172465" w:rsidP="006216F1">
      <w:pPr>
        <w:spacing w:after="0" w:line="240" w:lineRule="auto"/>
        <w:jc w:val="both"/>
        <w:rPr>
          <w:rFonts w:ascii="Arial" w:hAnsi="Arial" w:cs="Arial"/>
        </w:rPr>
      </w:pPr>
    </w:p>
    <w:p w14:paraId="674BAC2A" w14:textId="6C556C34" w:rsidR="007723E4" w:rsidRDefault="00315894" w:rsidP="006216F1">
      <w:pPr>
        <w:spacing w:after="0" w:line="240" w:lineRule="auto"/>
        <w:jc w:val="both"/>
        <w:rPr>
          <w:rFonts w:ascii="Arial" w:hAnsi="Arial" w:cs="Arial"/>
        </w:rPr>
      </w:pPr>
      <w:r>
        <w:rPr>
          <w:rFonts w:ascii="Arial" w:hAnsi="Arial" w:cs="Arial"/>
        </w:rPr>
        <w:t xml:space="preserve">Another </w:t>
      </w:r>
      <w:proofErr w:type="gramStart"/>
      <w:r>
        <w:rPr>
          <w:rFonts w:ascii="Arial" w:hAnsi="Arial" w:cs="Arial"/>
        </w:rPr>
        <w:t>cross border</w:t>
      </w:r>
      <w:proofErr w:type="gramEnd"/>
      <w:r>
        <w:rPr>
          <w:rFonts w:ascii="Arial" w:hAnsi="Arial" w:cs="Arial"/>
        </w:rPr>
        <w:t xml:space="preserve"> consideration</w:t>
      </w:r>
      <w:r w:rsidR="002659F1">
        <w:rPr>
          <w:rFonts w:ascii="Arial" w:hAnsi="Arial" w:cs="Arial"/>
        </w:rPr>
        <w:t xml:space="preserve"> when transferring shares is the registration of any pledges attached to them </w:t>
      </w:r>
      <w:r w:rsidR="0070228E">
        <w:rPr>
          <w:rFonts w:ascii="Arial" w:hAnsi="Arial" w:cs="Arial"/>
        </w:rPr>
        <w:t xml:space="preserve">to the new shareholder, as well as any impairment to the </w:t>
      </w:r>
      <w:r w:rsidR="00857396">
        <w:rPr>
          <w:rFonts w:ascii="Arial" w:hAnsi="Arial" w:cs="Arial"/>
        </w:rPr>
        <w:t xml:space="preserve">right </w:t>
      </w:r>
      <w:r w:rsidR="00D23178">
        <w:rPr>
          <w:rFonts w:ascii="Arial" w:hAnsi="Arial" w:cs="Arial"/>
        </w:rPr>
        <w:t>of</w:t>
      </w:r>
      <w:r w:rsidR="00857396">
        <w:rPr>
          <w:rFonts w:ascii="Arial" w:hAnsi="Arial" w:cs="Arial"/>
        </w:rPr>
        <w:t xml:space="preserve"> enforcement</w:t>
      </w:r>
      <w:r w:rsidR="009F6EB1">
        <w:rPr>
          <w:rFonts w:ascii="Arial" w:hAnsi="Arial" w:cs="Arial"/>
        </w:rPr>
        <w:t xml:space="preserve"> of these pledges. Once again, since in this case the </w:t>
      </w:r>
      <w:r w:rsidR="00632F85">
        <w:rPr>
          <w:rFonts w:ascii="Arial" w:hAnsi="Arial" w:cs="Arial"/>
        </w:rPr>
        <w:t xml:space="preserve">shares are transferred from one Dutch company to another, I can’t see any potential cross border </w:t>
      </w:r>
      <w:r w:rsidR="00F129C2">
        <w:rPr>
          <w:rFonts w:ascii="Arial" w:hAnsi="Arial" w:cs="Arial"/>
        </w:rPr>
        <w:t xml:space="preserve">issue arising there either. </w:t>
      </w:r>
    </w:p>
    <w:p w14:paraId="2658C9A4" w14:textId="77777777" w:rsidR="00AF4BFE" w:rsidRPr="006216F1" w:rsidRDefault="00AF4BFE" w:rsidP="006216F1">
      <w:pPr>
        <w:spacing w:after="0" w:line="240" w:lineRule="auto"/>
        <w:jc w:val="both"/>
        <w:rPr>
          <w:rFonts w:ascii="Arial" w:hAnsi="Arial" w:cs="Arial"/>
        </w:rPr>
      </w:pPr>
    </w:p>
    <w:p w14:paraId="06D534E9" w14:textId="77777777" w:rsidR="006216F1" w:rsidRDefault="006216F1" w:rsidP="006216F1">
      <w:pPr>
        <w:spacing w:after="0" w:line="240" w:lineRule="auto"/>
        <w:jc w:val="both"/>
        <w:rPr>
          <w:rFonts w:ascii="Arial" w:hAnsi="Arial" w:cs="Arial"/>
          <w:b/>
          <w:bCs/>
        </w:rPr>
      </w:pPr>
    </w:p>
    <w:p w14:paraId="5547A64B" w14:textId="77777777" w:rsidR="00EF64B2" w:rsidRPr="006216F1" w:rsidRDefault="00EF64B2" w:rsidP="006216F1">
      <w:pPr>
        <w:spacing w:after="0" w:line="240" w:lineRule="auto"/>
        <w:jc w:val="both"/>
        <w:rPr>
          <w:rFonts w:ascii="Arial" w:hAnsi="Arial" w:cs="Arial"/>
          <w:b/>
          <w:bCs/>
        </w:rPr>
      </w:pPr>
    </w:p>
    <w:p w14:paraId="46AF5DA3" w14:textId="77777777" w:rsidR="00076AA2" w:rsidRDefault="009747AC" w:rsidP="006216F1">
      <w:pPr>
        <w:pStyle w:val="ListParagraph"/>
        <w:numPr>
          <w:ilvl w:val="0"/>
          <w:numId w:val="2"/>
        </w:numPr>
        <w:spacing w:after="0" w:line="240" w:lineRule="auto"/>
        <w:jc w:val="both"/>
        <w:rPr>
          <w:rFonts w:ascii="Arial" w:hAnsi="Arial" w:cs="Arial"/>
          <w:b/>
          <w:bCs/>
        </w:rPr>
      </w:pPr>
      <w:r>
        <w:rPr>
          <w:rFonts w:ascii="Arial" w:hAnsi="Arial" w:cs="Arial"/>
          <w:b/>
          <w:bCs/>
        </w:rPr>
        <w:t xml:space="preserve">In October 2014 four </w:t>
      </w:r>
      <w:r w:rsidR="0016303F">
        <w:rPr>
          <w:rFonts w:ascii="Arial" w:hAnsi="Arial" w:cs="Arial"/>
          <w:b/>
          <w:bCs/>
        </w:rPr>
        <w:t>s</w:t>
      </w:r>
      <w:r>
        <w:rPr>
          <w:rFonts w:ascii="Arial" w:hAnsi="Arial" w:cs="Arial"/>
          <w:b/>
          <w:bCs/>
        </w:rPr>
        <w:t xml:space="preserve">cenarios </w:t>
      </w:r>
      <w:r w:rsidR="0016303F">
        <w:rPr>
          <w:rFonts w:ascii="Arial" w:hAnsi="Arial" w:cs="Arial"/>
          <w:b/>
          <w:bCs/>
        </w:rPr>
        <w:t xml:space="preserve">have been drawn up. Why was or wasn’t calling for a moratorium </w:t>
      </w:r>
      <w:r w:rsidR="00263598">
        <w:rPr>
          <w:rFonts w:ascii="Arial" w:hAnsi="Arial" w:cs="Arial"/>
          <w:b/>
          <w:bCs/>
        </w:rPr>
        <w:t>(see scenario 4) a good option given the situation at that time? [you are allowed to give your opinion based on your own count</w:t>
      </w:r>
      <w:r w:rsidR="006216F1">
        <w:rPr>
          <w:rFonts w:ascii="Arial" w:hAnsi="Arial" w:cs="Arial"/>
          <w:b/>
          <w:bCs/>
        </w:rPr>
        <w:t>ries’ Bankruptcy Act; be as detailed as possible]</w:t>
      </w:r>
    </w:p>
    <w:p w14:paraId="3B6859CB" w14:textId="122F968D" w:rsidR="00BC6138" w:rsidRDefault="008837A2" w:rsidP="00076AA2">
      <w:pPr>
        <w:pStyle w:val="ListParagraph"/>
        <w:spacing w:after="0" w:line="240" w:lineRule="auto"/>
        <w:jc w:val="both"/>
        <w:rPr>
          <w:rFonts w:ascii="Arial" w:hAnsi="Arial" w:cs="Arial"/>
          <w:b/>
          <w:bCs/>
        </w:rPr>
      </w:pPr>
      <w:r>
        <w:rPr>
          <w:rFonts w:ascii="Arial" w:hAnsi="Arial" w:cs="Arial"/>
          <w:b/>
          <w:bCs/>
        </w:rPr>
        <w:t xml:space="preserve"> </w:t>
      </w:r>
    </w:p>
    <w:p w14:paraId="10FF2299" w14:textId="3631A8BF" w:rsidR="00166629" w:rsidRDefault="00BC499B" w:rsidP="00174053">
      <w:pPr>
        <w:spacing w:after="0" w:line="240" w:lineRule="auto"/>
        <w:jc w:val="both"/>
        <w:rPr>
          <w:rFonts w:ascii="Arial" w:hAnsi="Arial" w:cs="Arial"/>
        </w:rPr>
      </w:pPr>
      <w:r>
        <w:rPr>
          <w:rFonts w:ascii="Arial" w:hAnsi="Arial" w:cs="Arial"/>
        </w:rPr>
        <w:t>By October 2014 that the</w:t>
      </w:r>
      <w:r w:rsidR="00E44673">
        <w:rPr>
          <w:rFonts w:ascii="Arial" w:hAnsi="Arial" w:cs="Arial"/>
        </w:rPr>
        <w:t xml:space="preserve">se scenarios were drawn up, Flow Management was already in financial distress </w:t>
      </w:r>
      <w:r w:rsidR="00056136">
        <w:rPr>
          <w:rFonts w:ascii="Arial" w:hAnsi="Arial" w:cs="Arial"/>
        </w:rPr>
        <w:t>for about a year, while its management has not presented yet any complete reorganization plan. Admittedly</w:t>
      </w:r>
      <w:r w:rsidR="00274D90">
        <w:rPr>
          <w:rFonts w:ascii="Arial" w:hAnsi="Arial" w:cs="Arial"/>
        </w:rPr>
        <w:t>,</w:t>
      </w:r>
      <w:r w:rsidR="00056136">
        <w:rPr>
          <w:rFonts w:ascii="Arial" w:hAnsi="Arial" w:cs="Arial"/>
        </w:rPr>
        <w:t xml:space="preserve"> this delay in reorganising the group </w:t>
      </w:r>
      <w:r w:rsidR="00CA6A12">
        <w:rPr>
          <w:rFonts w:ascii="Arial" w:hAnsi="Arial" w:cs="Arial"/>
        </w:rPr>
        <w:t>led</w:t>
      </w:r>
      <w:r w:rsidR="00274D90">
        <w:rPr>
          <w:rFonts w:ascii="Arial" w:hAnsi="Arial" w:cs="Arial"/>
        </w:rPr>
        <w:t xml:space="preserve"> in increasing losses, </w:t>
      </w:r>
      <w:r w:rsidR="00896CCE">
        <w:rPr>
          <w:rFonts w:ascii="Arial" w:hAnsi="Arial" w:cs="Arial"/>
        </w:rPr>
        <w:t>both recorded and forecasted</w:t>
      </w:r>
      <w:r w:rsidR="008766AE">
        <w:rPr>
          <w:rFonts w:ascii="Arial" w:hAnsi="Arial" w:cs="Arial"/>
        </w:rPr>
        <w:t>, and to an imminent liquidity shortage</w:t>
      </w:r>
      <w:r w:rsidR="00896CCE">
        <w:rPr>
          <w:rFonts w:ascii="Arial" w:hAnsi="Arial" w:cs="Arial"/>
        </w:rPr>
        <w:t>.</w:t>
      </w:r>
      <w:r w:rsidR="009E754F">
        <w:rPr>
          <w:rFonts w:ascii="Arial" w:hAnsi="Arial" w:cs="Arial"/>
        </w:rPr>
        <w:t xml:space="preserve"> At the same time the consortium banks, </w:t>
      </w:r>
      <w:r w:rsidR="00580B45">
        <w:rPr>
          <w:rFonts w:ascii="Arial" w:hAnsi="Arial" w:cs="Arial"/>
        </w:rPr>
        <w:t xml:space="preserve">and most likely all other creditors by that time, were disappointed </w:t>
      </w:r>
      <w:r w:rsidR="003F7872">
        <w:rPr>
          <w:rFonts w:ascii="Arial" w:hAnsi="Arial" w:cs="Arial"/>
        </w:rPr>
        <w:t xml:space="preserve">with the progress of the reorganisation. </w:t>
      </w:r>
    </w:p>
    <w:p w14:paraId="5549497D" w14:textId="77777777" w:rsidR="00166629" w:rsidRDefault="00166629" w:rsidP="00174053">
      <w:pPr>
        <w:spacing w:after="0" w:line="240" w:lineRule="auto"/>
        <w:jc w:val="both"/>
        <w:rPr>
          <w:rFonts w:ascii="Arial" w:hAnsi="Arial" w:cs="Arial"/>
        </w:rPr>
      </w:pPr>
    </w:p>
    <w:p w14:paraId="70A58E87" w14:textId="7920724D" w:rsidR="006D7F12" w:rsidRDefault="00DB22AF" w:rsidP="00174053">
      <w:pPr>
        <w:spacing w:after="0" w:line="240" w:lineRule="auto"/>
        <w:jc w:val="both"/>
        <w:rPr>
          <w:rFonts w:ascii="Arial" w:hAnsi="Arial" w:cs="Arial"/>
        </w:rPr>
      </w:pPr>
      <w:r>
        <w:rPr>
          <w:rFonts w:ascii="Arial" w:hAnsi="Arial" w:cs="Arial"/>
        </w:rPr>
        <w:t xml:space="preserve">The advantages of </w:t>
      </w:r>
      <w:r w:rsidR="00450154">
        <w:rPr>
          <w:rFonts w:ascii="Arial" w:hAnsi="Arial" w:cs="Arial"/>
        </w:rPr>
        <w:t>a</w:t>
      </w:r>
      <w:r w:rsidR="00D56987">
        <w:rPr>
          <w:rFonts w:ascii="Arial" w:hAnsi="Arial" w:cs="Arial"/>
        </w:rPr>
        <w:t xml:space="preserve"> moratorium </w:t>
      </w:r>
      <w:r>
        <w:rPr>
          <w:rFonts w:ascii="Arial" w:hAnsi="Arial" w:cs="Arial"/>
        </w:rPr>
        <w:t xml:space="preserve">for Flow Management at that stage, and in general when applied </w:t>
      </w:r>
      <w:r w:rsidR="00450154">
        <w:rPr>
          <w:rFonts w:ascii="Arial" w:hAnsi="Arial" w:cs="Arial"/>
        </w:rPr>
        <w:t xml:space="preserve">right before issuing restructuring proposals to creditors and </w:t>
      </w:r>
      <w:r w:rsidR="00747692">
        <w:rPr>
          <w:rFonts w:ascii="Arial" w:hAnsi="Arial" w:cs="Arial"/>
        </w:rPr>
        <w:t>other stakeholders</w:t>
      </w:r>
      <w:r w:rsidR="000D5CAD">
        <w:rPr>
          <w:rFonts w:ascii="Arial" w:hAnsi="Arial" w:cs="Arial"/>
        </w:rPr>
        <w:t>, are as follows</w:t>
      </w:r>
      <w:r w:rsidR="006D7F12">
        <w:rPr>
          <w:rFonts w:ascii="Arial" w:hAnsi="Arial" w:cs="Arial"/>
        </w:rPr>
        <w:t>:</w:t>
      </w:r>
    </w:p>
    <w:p w14:paraId="7F9E1395" w14:textId="77777777" w:rsidR="006D7F12" w:rsidRDefault="006D7F12" w:rsidP="00174053">
      <w:pPr>
        <w:spacing w:after="0" w:line="240" w:lineRule="auto"/>
        <w:jc w:val="both"/>
        <w:rPr>
          <w:rFonts w:ascii="Arial" w:hAnsi="Arial" w:cs="Arial"/>
        </w:rPr>
      </w:pPr>
    </w:p>
    <w:p w14:paraId="2D10778A" w14:textId="5BFFDE3D" w:rsidR="008766AE" w:rsidRDefault="008766AE" w:rsidP="006D7F12">
      <w:pPr>
        <w:pStyle w:val="ListParagraph"/>
        <w:numPr>
          <w:ilvl w:val="0"/>
          <w:numId w:val="5"/>
        </w:numPr>
        <w:spacing w:after="0" w:line="240" w:lineRule="auto"/>
        <w:jc w:val="both"/>
        <w:rPr>
          <w:rFonts w:ascii="Arial" w:hAnsi="Arial" w:cs="Arial"/>
        </w:rPr>
      </w:pPr>
      <w:r>
        <w:rPr>
          <w:rFonts w:ascii="Arial" w:hAnsi="Arial" w:cs="Arial"/>
        </w:rPr>
        <w:t xml:space="preserve">To prevent </w:t>
      </w:r>
      <w:r w:rsidR="001051B5">
        <w:rPr>
          <w:rFonts w:ascii="Arial" w:hAnsi="Arial" w:cs="Arial"/>
        </w:rPr>
        <w:t xml:space="preserve">an imminent liquidity shortage that can lead to cessation of all commercial </w:t>
      </w:r>
      <w:proofErr w:type="gramStart"/>
      <w:r w:rsidR="001051B5">
        <w:rPr>
          <w:rFonts w:ascii="Arial" w:hAnsi="Arial" w:cs="Arial"/>
        </w:rPr>
        <w:t>activity;</w:t>
      </w:r>
      <w:proofErr w:type="gramEnd"/>
    </w:p>
    <w:p w14:paraId="1A683B24" w14:textId="28DAEECE" w:rsidR="00FB1923" w:rsidRDefault="006D7F12" w:rsidP="006D7F12">
      <w:pPr>
        <w:pStyle w:val="ListParagraph"/>
        <w:numPr>
          <w:ilvl w:val="0"/>
          <w:numId w:val="5"/>
        </w:numPr>
        <w:spacing w:after="0" w:line="240" w:lineRule="auto"/>
        <w:jc w:val="both"/>
        <w:rPr>
          <w:rFonts w:ascii="Arial" w:hAnsi="Arial" w:cs="Arial"/>
        </w:rPr>
      </w:pPr>
      <w:r>
        <w:rPr>
          <w:rFonts w:ascii="Arial" w:hAnsi="Arial" w:cs="Arial"/>
        </w:rPr>
        <w:t xml:space="preserve">To increase cash flow </w:t>
      </w:r>
      <w:r w:rsidR="001C115A">
        <w:rPr>
          <w:rFonts w:ascii="Arial" w:hAnsi="Arial" w:cs="Arial"/>
        </w:rPr>
        <w:t xml:space="preserve">and savings that can be used </w:t>
      </w:r>
      <w:r w:rsidR="00FB1923">
        <w:rPr>
          <w:rFonts w:ascii="Arial" w:hAnsi="Arial" w:cs="Arial"/>
        </w:rPr>
        <w:t xml:space="preserve">to re-finance in part or in </w:t>
      </w:r>
      <w:r w:rsidR="003B2C51">
        <w:rPr>
          <w:rFonts w:ascii="Arial" w:hAnsi="Arial" w:cs="Arial"/>
        </w:rPr>
        <w:t>w</w:t>
      </w:r>
      <w:r w:rsidR="00FB1923">
        <w:rPr>
          <w:rFonts w:ascii="Arial" w:hAnsi="Arial" w:cs="Arial"/>
        </w:rPr>
        <w:t xml:space="preserve">hole from the company’s own </w:t>
      </w:r>
      <w:proofErr w:type="gramStart"/>
      <w:r w:rsidR="00FB1923">
        <w:rPr>
          <w:rFonts w:ascii="Arial" w:hAnsi="Arial" w:cs="Arial"/>
        </w:rPr>
        <w:t>funds</w:t>
      </w:r>
      <w:r w:rsidR="00BE1F3D">
        <w:rPr>
          <w:rFonts w:ascii="Arial" w:hAnsi="Arial" w:cs="Arial"/>
        </w:rPr>
        <w:t>;</w:t>
      </w:r>
      <w:proofErr w:type="gramEnd"/>
    </w:p>
    <w:p w14:paraId="5C399AA1" w14:textId="4FEBE964" w:rsidR="003D1877" w:rsidRDefault="00D917C6" w:rsidP="006D7F12">
      <w:pPr>
        <w:pStyle w:val="ListParagraph"/>
        <w:numPr>
          <w:ilvl w:val="0"/>
          <w:numId w:val="5"/>
        </w:numPr>
        <w:spacing w:after="0" w:line="240" w:lineRule="auto"/>
        <w:jc w:val="both"/>
        <w:rPr>
          <w:rFonts w:ascii="Arial" w:hAnsi="Arial" w:cs="Arial"/>
        </w:rPr>
      </w:pPr>
      <w:r w:rsidRPr="0063497A">
        <w:rPr>
          <w:rFonts w:ascii="Arial" w:hAnsi="Arial" w:cs="Arial"/>
        </w:rPr>
        <w:t xml:space="preserve">To </w:t>
      </w:r>
      <w:r w:rsidR="0051336A" w:rsidRPr="0063497A">
        <w:rPr>
          <w:rFonts w:ascii="Arial" w:hAnsi="Arial" w:cs="Arial"/>
        </w:rPr>
        <w:t xml:space="preserve">calculate more accurately the </w:t>
      </w:r>
      <w:proofErr w:type="gramStart"/>
      <w:r w:rsidR="0051336A" w:rsidRPr="0063497A">
        <w:rPr>
          <w:rFonts w:ascii="Arial" w:hAnsi="Arial" w:cs="Arial"/>
        </w:rPr>
        <w:t>amount</w:t>
      </w:r>
      <w:proofErr w:type="gramEnd"/>
      <w:r w:rsidR="0051336A" w:rsidRPr="0063497A">
        <w:rPr>
          <w:rFonts w:ascii="Arial" w:hAnsi="Arial" w:cs="Arial"/>
        </w:rPr>
        <w:t xml:space="preserve"> of historic debts of the company</w:t>
      </w:r>
      <w:r w:rsidR="00237BD5" w:rsidRPr="0063497A">
        <w:rPr>
          <w:rFonts w:ascii="Arial" w:hAnsi="Arial" w:cs="Arial"/>
        </w:rPr>
        <w:t xml:space="preserve"> and </w:t>
      </w:r>
      <w:r w:rsidR="003D1877">
        <w:rPr>
          <w:rFonts w:ascii="Arial" w:hAnsi="Arial" w:cs="Arial"/>
        </w:rPr>
        <w:t>to use this analysis to formulate debt restructuring plans</w:t>
      </w:r>
      <w:r w:rsidR="0001371F">
        <w:rPr>
          <w:rFonts w:ascii="Arial" w:hAnsi="Arial" w:cs="Arial"/>
        </w:rPr>
        <w:t>;</w:t>
      </w:r>
    </w:p>
    <w:p w14:paraId="0B2A2922" w14:textId="31E50AB5" w:rsidR="00034B38" w:rsidRDefault="003D1877" w:rsidP="006D7F12">
      <w:pPr>
        <w:pStyle w:val="ListParagraph"/>
        <w:numPr>
          <w:ilvl w:val="0"/>
          <w:numId w:val="5"/>
        </w:numPr>
        <w:spacing w:after="0" w:line="240" w:lineRule="auto"/>
        <w:jc w:val="both"/>
        <w:rPr>
          <w:rFonts w:ascii="Arial" w:hAnsi="Arial" w:cs="Arial"/>
        </w:rPr>
      </w:pPr>
      <w:r>
        <w:rPr>
          <w:rFonts w:ascii="Arial" w:hAnsi="Arial" w:cs="Arial"/>
        </w:rPr>
        <w:t xml:space="preserve">To calculate the </w:t>
      </w:r>
      <w:r w:rsidR="00237BD5" w:rsidRPr="0063497A">
        <w:rPr>
          <w:rFonts w:ascii="Arial" w:hAnsi="Arial" w:cs="Arial"/>
        </w:rPr>
        <w:t>value of debt of each creditor</w:t>
      </w:r>
      <w:r w:rsidR="00364B69">
        <w:rPr>
          <w:rFonts w:ascii="Arial" w:hAnsi="Arial" w:cs="Arial"/>
        </w:rPr>
        <w:t xml:space="preserve"> on the same specific point in time (the commencement of the morato</w:t>
      </w:r>
      <w:r w:rsidR="00737C3D">
        <w:rPr>
          <w:rFonts w:ascii="Arial" w:hAnsi="Arial" w:cs="Arial"/>
        </w:rPr>
        <w:t>r</w:t>
      </w:r>
      <w:r w:rsidR="00364B69">
        <w:rPr>
          <w:rFonts w:ascii="Arial" w:hAnsi="Arial" w:cs="Arial"/>
        </w:rPr>
        <w:t>ium)</w:t>
      </w:r>
      <w:r w:rsidR="00237BD5" w:rsidRPr="0063497A">
        <w:rPr>
          <w:rFonts w:ascii="Arial" w:hAnsi="Arial" w:cs="Arial"/>
        </w:rPr>
        <w:t xml:space="preserve">, so as to </w:t>
      </w:r>
      <w:r w:rsidR="00A638D5" w:rsidRPr="0063497A">
        <w:rPr>
          <w:rFonts w:ascii="Arial" w:hAnsi="Arial" w:cs="Arial"/>
        </w:rPr>
        <w:t xml:space="preserve">identify the most influential creditors in an imminent vote of the creditors’ committee for the adoption of a restructuring </w:t>
      </w:r>
      <w:proofErr w:type="gramStart"/>
      <w:r w:rsidR="00A638D5" w:rsidRPr="0063497A">
        <w:rPr>
          <w:rFonts w:ascii="Arial" w:hAnsi="Arial" w:cs="Arial"/>
        </w:rPr>
        <w:t>plan</w:t>
      </w:r>
      <w:r w:rsidR="00D34D7C">
        <w:rPr>
          <w:rFonts w:ascii="Arial" w:hAnsi="Arial" w:cs="Arial"/>
        </w:rPr>
        <w:t>;</w:t>
      </w:r>
      <w:proofErr w:type="gramEnd"/>
      <w:r w:rsidR="00A638D5" w:rsidRPr="0063497A">
        <w:rPr>
          <w:rFonts w:ascii="Arial" w:hAnsi="Arial" w:cs="Arial"/>
        </w:rPr>
        <w:t xml:space="preserve"> </w:t>
      </w:r>
    </w:p>
    <w:p w14:paraId="4560F202" w14:textId="46833069" w:rsidR="00737C3D" w:rsidRDefault="0001371F" w:rsidP="006D7F12">
      <w:pPr>
        <w:pStyle w:val="ListParagraph"/>
        <w:numPr>
          <w:ilvl w:val="0"/>
          <w:numId w:val="5"/>
        </w:numPr>
        <w:spacing w:after="0" w:line="240" w:lineRule="auto"/>
        <w:jc w:val="both"/>
        <w:rPr>
          <w:rFonts w:ascii="Arial" w:hAnsi="Arial" w:cs="Arial"/>
        </w:rPr>
      </w:pPr>
      <w:r>
        <w:rPr>
          <w:rFonts w:ascii="Arial" w:hAnsi="Arial" w:cs="Arial"/>
        </w:rPr>
        <w:t xml:space="preserve">To facilitate time for </w:t>
      </w:r>
      <w:r w:rsidR="00D04299">
        <w:rPr>
          <w:rFonts w:ascii="Arial" w:hAnsi="Arial" w:cs="Arial"/>
        </w:rPr>
        <w:t xml:space="preserve">negotiating with creditors without </w:t>
      </w:r>
      <w:r w:rsidR="00A05B93">
        <w:rPr>
          <w:rFonts w:ascii="Arial" w:hAnsi="Arial" w:cs="Arial"/>
        </w:rPr>
        <w:t xml:space="preserve">any one of them exerting pressure for repayment of their debt specifically in advance of all </w:t>
      </w:r>
      <w:proofErr w:type="gramStart"/>
      <w:r w:rsidR="00A05B93">
        <w:rPr>
          <w:rFonts w:ascii="Arial" w:hAnsi="Arial" w:cs="Arial"/>
        </w:rPr>
        <w:t>other</w:t>
      </w:r>
      <w:r w:rsidR="00D34D7C">
        <w:rPr>
          <w:rFonts w:ascii="Arial" w:hAnsi="Arial" w:cs="Arial"/>
        </w:rPr>
        <w:t>;</w:t>
      </w:r>
      <w:proofErr w:type="gramEnd"/>
    </w:p>
    <w:p w14:paraId="1E695AD9" w14:textId="0EF89D3E" w:rsidR="00D34D7C" w:rsidRDefault="00D34D7C" w:rsidP="006D7F12">
      <w:pPr>
        <w:pStyle w:val="ListParagraph"/>
        <w:numPr>
          <w:ilvl w:val="0"/>
          <w:numId w:val="5"/>
        </w:numPr>
        <w:spacing w:after="0" w:line="240" w:lineRule="auto"/>
        <w:jc w:val="both"/>
        <w:rPr>
          <w:rFonts w:ascii="Arial" w:hAnsi="Arial" w:cs="Arial"/>
        </w:rPr>
      </w:pPr>
      <w:r>
        <w:rPr>
          <w:rFonts w:ascii="Arial" w:hAnsi="Arial" w:cs="Arial"/>
        </w:rPr>
        <w:t>To prevent</w:t>
      </w:r>
      <w:r w:rsidR="00D0445D">
        <w:rPr>
          <w:rFonts w:ascii="Arial" w:hAnsi="Arial" w:cs="Arial"/>
        </w:rPr>
        <w:t xml:space="preserve"> effecting any transactions, wither by the debtor or the creditors, that would constitute voidable transactions in a </w:t>
      </w:r>
      <w:r w:rsidR="001C0684">
        <w:rPr>
          <w:rFonts w:ascii="Arial" w:hAnsi="Arial" w:cs="Arial"/>
        </w:rPr>
        <w:t xml:space="preserve">liquidation scenario that might follow. </w:t>
      </w:r>
    </w:p>
    <w:p w14:paraId="26C8F1F1" w14:textId="77777777" w:rsidR="001C0684" w:rsidRDefault="001C0684" w:rsidP="001C0684">
      <w:pPr>
        <w:spacing w:after="0" w:line="240" w:lineRule="auto"/>
        <w:jc w:val="both"/>
        <w:rPr>
          <w:rFonts w:ascii="Arial" w:hAnsi="Arial" w:cs="Arial"/>
        </w:rPr>
      </w:pPr>
    </w:p>
    <w:p w14:paraId="1FFF6CCD" w14:textId="270BB693" w:rsidR="001C0684" w:rsidRDefault="001C0684" w:rsidP="001C0684">
      <w:pPr>
        <w:spacing w:after="0" w:line="240" w:lineRule="auto"/>
        <w:jc w:val="both"/>
        <w:rPr>
          <w:rFonts w:ascii="Arial" w:hAnsi="Arial" w:cs="Arial"/>
        </w:rPr>
      </w:pPr>
      <w:r>
        <w:rPr>
          <w:rFonts w:ascii="Arial" w:hAnsi="Arial" w:cs="Arial"/>
        </w:rPr>
        <w:t xml:space="preserve">At the same time, since a moratorium is </w:t>
      </w:r>
      <w:proofErr w:type="gramStart"/>
      <w:r>
        <w:rPr>
          <w:rFonts w:ascii="Arial" w:hAnsi="Arial" w:cs="Arial"/>
        </w:rPr>
        <w:t>considered</w:t>
      </w:r>
      <w:proofErr w:type="gramEnd"/>
      <w:r>
        <w:rPr>
          <w:rFonts w:ascii="Arial" w:hAnsi="Arial" w:cs="Arial"/>
        </w:rPr>
        <w:t xml:space="preserve"> an extreme measure imposed on all creditors, it</w:t>
      </w:r>
      <w:r w:rsidR="00C73242">
        <w:rPr>
          <w:rFonts w:ascii="Arial" w:hAnsi="Arial" w:cs="Arial"/>
        </w:rPr>
        <w:t xml:space="preserve"> bears certain risks attributed mainly to the reaction of the varying stakeholders working with the company</w:t>
      </w:r>
      <w:r w:rsidR="00954486">
        <w:rPr>
          <w:rFonts w:ascii="Arial" w:hAnsi="Arial" w:cs="Arial"/>
        </w:rPr>
        <w:t xml:space="preserve">, that can be summarised as follows: </w:t>
      </w:r>
    </w:p>
    <w:p w14:paraId="4B22351C" w14:textId="77777777" w:rsidR="00954486" w:rsidRDefault="00954486" w:rsidP="001C0684">
      <w:pPr>
        <w:spacing w:after="0" w:line="240" w:lineRule="auto"/>
        <w:jc w:val="both"/>
        <w:rPr>
          <w:rFonts w:ascii="Arial" w:hAnsi="Arial" w:cs="Arial"/>
        </w:rPr>
      </w:pPr>
    </w:p>
    <w:p w14:paraId="0FE82968" w14:textId="2DAB2F22" w:rsidR="00034B38" w:rsidRDefault="000047C7" w:rsidP="000E3D79">
      <w:pPr>
        <w:pStyle w:val="ListParagraph"/>
        <w:numPr>
          <w:ilvl w:val="0"/>
          <w:numId w:val="5"/>
        </w:numPr>
        <w:spacing w:after="0" w:line="240" w:lineRule="auto"/>
        <w:jc w:val="both"/>
        <w:rPr>
          <w:rFonts w:ascii="Arial" w:hAnsi="Arial" w:cs="Arial"/>
        </w:rPr>
      </w:pPr>
      <w:r>
        <w:rPr>
          <w:rFonts w:ascii="Arial" w:hAnsi="Arial" w:cs="Arial"/>
        </w:rPr>
        <w:t>judgement c</w:t>
      </w:r>
      <w:r w:rsidR="000E3D79">
        <w:rPr>
          <w:rFonts w:ascii="Arial" w:hAnsi="Arial" w:cs="Arial"/>
        </w:rPr>
        <w:t>reditors</w:t>
      </w:r>
      <w:r>
        <w:rPr>
          <w:rFonts w:ascii="Arial" w:hAnsi="Arial" w:cs="Arial"/>
        </w:rPr>
        <w:t xml:space="preserve">, </w:t>
      </w:r>
      <w:proofErr w:type="gramStart"/>
      <w:r>
        <w:rPr>
          <w:rFonts w:ascii="Arial" w:hAnsi="Arial" w:cs="Arial"/>
        </w:rPr>
        <w:t>in an attempt to</w:t>
      </w:r>
      <w:proofErr w:type="gramEnd"/>
      <w:r>
        <w:rPr>
          <w:rFonts w:ascii="Arial" w:hAnsi="Arial" w:cs="Arial"/>
        </w:rPr>
        <w:t xml:space="preserve"> secure their debts, </w:t>
      </w:r>
      <w:r w:rsidR="0049602C">
        <w:rPr>
          <w:rFonts w:ascii="Arial" w:hAnsi="Arial" w:cs="Arial"/>
        </w:rPr>
        <w:t>may</w:t>
      </w:r>
      <w:r w:rsidR="00C52900">
        <w:rPr>
          <w:rFonts w:ascii="Arial" w:hAnsi="Arial" w:cs="Arial"/>
        </w:rPr>
        <w:t xml:space="preserve"> look to enforce their </w:t>
      </w:r>
      <w:r>
        <w:rPr>
          <w:rFonts w:ascii="Arial" w:hAnsi="Arial" w:cs="Arial"/>
        </w:rPr>
        <w:t xml:space="preserve">collateral </w:t>
      </w:r>
      <w:r w:rsidR="0012003F">
        <w:rPr>
          <w:rFonts w:ascii="Arial" w:hAnsi="Arial" w:cs="Arial"/>
        </w:rPr>
        <w:t xml:space="preserve">on movable and immovable property of the company </w:t>
      </w:r>
      <w:r w:rsidR="00B60B74">
        <w:rPr>
          <w:rFonts w:ascii="Arial" w:hAnsi="Arial" w:cs="Arial"/>
        </w:rPr>
        <w:t>(</w:t>
      </w:r>
      <w:r w:rsidR="00444AD9">
        <w:rPr>
          <w:rFonts w:ascii="Arial" w:hAnsi="Arial" w:cs="Arial"/>
        </w:rPr>
        <w:t xml:space="preserve">issue writ of movables </w:t>
      </w:r>
      <w:r w:rsidR="006F486F">
        <w:rPr>
          <w:rFonts w:ascii="Arial" w:hAnsi="Arial" w:cs="Arial"/>
        </w:rPr>
        <w:t xml:space="preserve">and/ or writ of </w:t>
      </w:r>
      <w:r w:rsidR="00444AD9">
        <w:rPr>
          <w:rFonts w:ascii="Arial" w:hAnsi="Arial" w:cs="Arial"/>
        </w:rPr>
        <w:t xml:space="preserve">possession </w:t>
      </w:r>
      <w:r w:rsidR="006F486F">
        <w:rPr>
          <w:rFonts w:ascii="Arial" w:hAnsi="Arial" w:cs="Arial"/>
        </w:rPr>
        <w:t>for any judgement debt and move in to enforce it; issue</w:t>
      </w:r>
      <w:r w:rsidR="00444AD9">
        <w:rPr>
          <w:rFonts w:ascii="Arial" w:hAnsi="Arial" w:cs="Arial"/>
        </w:rPr>
        <w:t xml:space="preserve"> confiscation orders</w:t>
      </w:r>
      <w:r w:rsidR="00EE630B">
        <w:rPr>
          <w:rFonts w:ascii="Arial" w:hAnsi="Arial" w:cs="Arial"/>
        </w:rPr>
        <w:t>)</w:t>
      </w:r>
      <w:r w:rsidR="00B768EB">
        <w:rPr>
          <w:rFonts w:ascii="Arial" w:hAnsi="Arial" w:cs="Arial"/>
        </w:rPr>
        <w:t>, with the</w:t>
      </w:r>
      <w:r w:rsidR="005650CF">
        <w:rPr>
          <w:rFonts w:ascii="Arial" w:hAnsi="Arial" w:cs="Arial"/>
        </w:rPr>
        <w:t xml:space="preserve"> risk of depriving the company of core assets for its operations </w:t>
      </w:r>
      <w:r w:rsidR="00794F4F">
        <w:rPr>
          <w:rFonts w:ascii="Arial" w:hAnsi="Arial" w:cs="Arial"/>
        </w:rPr>
        <w:t xml:space="preserve">and frustrating </w:t>
      </w:r>
      <w:r w:rsidR="00B768EB">
        <w:rPr>
          <w:rFonts w:ascii="Arial" w:hAnsi="Arial" w:cs="Arial"/>
        </w:rPr>
        <w:t xml:space="preserve">its </w:t>
      </w:r>
      <w:r w:rsidR="00794F4F">
        <w:rPr>
          <w:rFonts w:ascii="Arial" w:hAnsi="Arial" w:cs="Arial"/>
        </w:rPr>
        <w:t>commercial activities</w:t>
      </w:r>
      <w:r w:rsidR="00DE41FB">
        <w:rPr>
          <w:rFonts w:ascii="Arial" w:hAnsi="Arial" w:cs="Arial"/>
        </w:rPr>
        <w:t xml:space="preserve">. Depending on the </w:t>
      </w:r>
      <w:r w:rsidR="00370155">
        <w:rPr>
          <w:rFonts w:ascii="Arial" w:hAnsi="Arial" w:cs="Arial"/>
        </w:rPr>
        <w:t xml:space="preserve">jurisdiction and the procedure encompassing this moratorium, such enforcement of claims against the company’s assets may or may not be legal at that time. </w:t>
      </w:r>
      <w:r w:rsidR="00F74A81">
        <w:rPr>
          <w:rFonts w:ascii="Arial" w:hAnsi="Arial" w:cs="Arial"/>
        </w:rPr>
        <w:t>For example</w:t>
      </w:r>
      <w:r w:rsidR="004B2D55">
        <w:rPr>
          <w:rFonts w:ascii="Arial" w:hAnsi="Arial" w:cs="Arial"/>
        </w:rPr>
        <w:t>,</w:t>
      </w:r>
      <w:r w:rsidR="00F74A81">
        <w:rPr>
          <w:rFonts w:ascii="Arial" w:hAnsi="Arial" w:cs="Arial"/>
        </w:rPr>
        <w:t xml:space="preserve"> in </w:t>
      </w:r>
      <w:r w:rsidR="00BF4CB3">
        <w:rPr>
          <w:rFonts w:ascii="Arial" w:hAnsi="Arial" w:cs="Arial"/>
        </w:rPr>
        <w:t>a liqu</w:t>
      </w:r>
      <w:r w:rsidR="007260C3">
        <w:rPr>
          <w:rFonts w:ascii="Arial" w:hAnsi="Arial" w:cs="Arial"/>
        </w:rPr>
        <w:t>i</w:t>
      </w:r>
      <w:r w:rsidR="00BF4CB3">
        <w:rPr>
          <w:rFonts w:ascii="Arial" w:hAnsi="Arial" w:cs="Arial"/>
        </w:rPr>
        <w:t>dat</w:t>
      </w:r>
      <w:r w:rsidR="007260C3">
        <w:rPr>
          <w:rFonts w:ascii="Arial" w:hAnsi="Arial" w:cs="Arial"/>
        </w:rPr>
        <w:t>i</w:t>
      </w:r>
      <w:r w:rsidR="00BF4CB3">
        <w:rPr>
          <w:rFonts w:ascii="Arial" w:hAnsi="Arial" w:cs="Arial"/>
        </w:rPr>
        <w:t xml:space="preserve">on scenario in </w:t>
      </w:r>
      <w:r w:rsidR="00F74A81">
        <w:rPr>
          <w:rFonts w:ascii="Arial" w:hAnsi="Arial" w:cs="Arial"/>
        </w:rPr>
        <w:t xml:space="preserve">Cyprus, </w:t>
      </w:r>
      <w:r w:rsidR="000378B1">
        <w:rPr>
          <w:rFonts w:ascii="Arial" w:hAnsi="Arial" w:cs="Arial"/>
        </w:rPr>
        <w:t xml:space="preserve">that </w:t>
      </w:r>
      <w:r w:rsidR="004B2D55">
        <w:rPr>
          <w:rFonts w:ascii="Arial" w:hAnsi="Arial" w:cs="Arial"/>
        </w:rPr>
        <w:t xml:space="preserve">naturally </w:t>
      </w:r>
      <w:r w:rsidR="000378B1">
        <w:rPr>
          <w:rFonts w:ascii="Arial" w:hAnsi="Arial" w:cs="Arial"/>
        </w:rPr>
        <w:t xml:space="preserve">a moratorium on payments applies, </w:t>
      </w:r>
      <w:r w:rsidR="00651E2A">
        <w:rPr>
          <w:rFonts w:ascii="Arial" w:hAnsi="Arial" w:cs="Arial"/>
        </w:rPr>
        <w:t xml:space="preserve">any acts or omissions of the debtor or any creditors </w:t>
      </w:r>
      <w:r w:rsidR="00EC6D54">
        <w:rPr>
          <w:rFonts w:ascii="Arial" w:hAnsi="Arial" w:cs="Arial"/>
        </w:rPr>
        <w:t xml:space="preserve">that alienate company property, whether by transfer, sale or the registration of securities, </w:t>
      </w:r>
      <w:r w:rsidR="00531BB1">
        <w:rPr>
          <w:rFonts w:ascii="Arial" w:hAnsi="Arial" w:cs="Arial"/>
        </w:rPr>
        <w:t xml:space="preserve">are voidable </w:t>
      </w:r>
      <w:r w:rsidR="0028353A">
        <w:rPr>
          <w:rFonts w:ascii="Arial" w:hAnsi="Arial" w:cs="Arial"/>
        </w:rPr>
        <w:t>once the liquidation of the company has commence</w:t>
      </w:r>
      <w:r w:rsidR="00531BB1">
        <w:rPr>
          <w:rFonts w:ascii="Arial" w:hAnsi="Arial" w:cs="Arial"/>
        </w:rPr>
        <w:t>d</w:t>
      </w:r>
      <w:r w:rsidR="0028353A">
        <w:rPr>
          <w:rFonts w:ascii="Arial" w:hAnsi="Arial" w:cs="Arial"/>
        </w:rPr>
        <w:t xml:space="preserve"> (that is </w:t>
      </w:r>
      <w:r w:rsidR="00936433">
        <w:rPr>
          <w:rFonts w:ascii="Arial" w:hAnsi="Arial" w:cs="Arial"/>
        </w:rPr>
        <w:t xml:space="preserve">retrospectively from the date of </w:t>
      </w:r>
      <w:r w:rsidR="0028353A">
        <w:rPr>
          <w:rFonts w:ascii="Arial" w:hAnsi="Arial" w:cs="Arial"/>
        </w:rPr>
        <w:t>filing the liquidation petition</w:t>
      </w:r>
      <w:r w:rsidR="00936433">
        <w:rPr>
          <w:rFonts w:ascii="Arial" w:hAnsi="Arial" w:cs="Arial"/>
        </w:rPr>
        <w:t xml:space="preserve"> at Court, rather than the date of the liquidation order</w:t>
      </w:r>
      <w:r w:rsidR="0028353A">
        <w:rPr>
          <w:rFonts w:ascii="Arial" w:hAnsi="Arial" w:cs="Arial"/>
        </w:rPr>
        <w:t>)</w:t>
      </w:r>
      <w:r w:rsidR="00531BB1">
        <w:rPr>
          <w:rFonts w:ascii="Arial" w:hAnsi="Arial" w:cs="Arial"/>
        </w:rPr>
        <w:t>. However, in examinerships, that is a formal in-court restructuring proced</w:t>
      </w:r>
      <w:r w:rsidR="00832D73">
        <w:rPr>
          <w:rFonts w:ascii="Arial" w:hAnsi="Arial" w:cs="Arial"/>
        </w:rPr>
        <w:t xml:space="preserve">ure, a moratorium on </w:t>
      </w:r>
      <w:r w:rsidR="00832D73">
        <w:rPr>
          <w:rFonts w:ascii="Arial" w:hAnsi="Arial" w:cs="Arial"/>
        </w:rPr>
        <w:lastRenderedPageBreak/>
        <w:t>payments against historic debts apply from the date that the examinership petition is filed</w:t>
      </w:r>
      <w:r w:rsidR="00D24BF7">
        <w:rPr>
          <w:rFonts w:ascii="Arial" w:hAnsi="Arial" w:cs="Arial"/>
        </w:rPr>
        <w:t xml:space="preserve"> at Court</w:t>
      </w:r>
      <w:r w:rsidR="00832D73">
        <w:rPr>
          <w:rFonts w:ascii="Arial" w:hAnsi="Arial" w:cs="Arial"/>
        </w:rPr>
        <w:t xml:space="preserve">, yet </w:t>
      </w:r>
      <w:r w:rsidR="00522EF9">
        <w:rPr>
          <w:rFonts w:ascii="Arial" w:hAnsi="Arial" w:cs="Arial"/>
        </w:rPr>
        <w:t xml:space="preserve">a judgement creditor may still proceed to create a new security </w:t>
      </w:r>
      <w:r w:rsidR="002071E0">
        <w:rPr>
          <w:rFonts w:ascii="Arial" w:hAnsi="Arial" w:cs="Arial"/>
        </w:rPr>
        <w:t>against certain company property</w:t>
      </w:r>
      <w:r w:rsidR="00907878">
        <w:rPr>
          <w:rFonts w:ascii="Arial" w:hAnsi="Arial" w:cs="Arial"/>
        </w:rPr>
        <w:t xml:space="preserve">, or enforce the collateral </w:t>
      </w:r>
      <w:r w:rsidR="0057631B">
        <w:rPr>
          <w:rFonts w:ascii="Arial" w:hAnsi="Arial" w:cs="Arial"/>
        </w:rPr>
        <w:t>they already have</w:t>
      </w:r>
      <w:r w:rsidR="00907878">
        <w:rPr>
          <w:rFonts w:ascii="Arial" w:hAnsi="Arial" w:cs="Arial"/>
        </w:rPr>
        <w:t>,</w:t>
      </w:r>
      <w:r w:rsidR="002071E0">
        <w:rPr>
          <w:rFonts w:ascii="Arial" w:hAnsi="Arial" w:cs="Arial"/>
        </w:rPr>
        <w:t xml:space="preserve"> between the date of the </w:t>
      </w:r>
      <w:r w:rsidR="0056784A">
        <w:rPr>
          <w:rFonts w:ascii="Arial" w:hAnsi="Arial" w:cs="Arial"/>
        </w:rPr>
        <w:t>filing of the examinership petition and the issuance of a court order for the protection of the company against such actions, which may in fact</w:t>
      </w:r>
      <w:r w:rsidR="008F4FBA">
        <w:rPr>
          <w:rFonts w:ascii="Arial" w:hAnsi="Arial" w:cs="Arial"/>
        </w:rPr>
        <w:t xml:space="preserve"> delay for some days, mainly due to delays in court </w:t>
      </w:r>
      <w:r w:rsidR="0057631B">
        <w:rPr>
          <w:rFonts w:ascii="Arial" w:hAnsi="Arial" w:cs="Arial"/>
        </w:rPr>
        <w:t xml:space="preserve">hearing </w:t>
      </w:r>
      <w:r w:rsidR="008F4FBA">
        <w:rPr>
          <w:rFonts w:ascii="Arial" w:hAnsi="Arial" w:cs="Arial"/>
        </w:rPr>
        <w:t xml:space="preserve">procedures. </w:t>
      </w:r>
      <w:r w:rsidR="00832D73">
        <w:rPr>
          <w:rFonts w:ascii="Arial" w:hAnsi="Arial" w:cs="Arial"/>
        </w:rPr>
        <w:t xml:space="preserve"> </w:t>
      </w:r>
      <w:r w:rsidR="0028353A">
        <w:rPr>
          <w:rFonts w:ascii="Arial" w:hAnsi="Arial" w:cs="Arial"/>
        </w:rPr>
        <w:t xml:space="preserve"> </w:t>
      </w:r>
    </w:p>
    <w:p w14:paraId="03E88DCF" w14:textId="6A7CD7AE" w:rsidR="001505FA" w:rsidRDefault="00C3703B" w:rsidP="000E3D79">
      <w:pPr>
        <w:pStyle w:val="ListParagraph"/>
        <w:numPr>
          <w:ilvl w:val="0"/>
          <w:numId w:val="5"/>
        </w:numPr>
        <w:spacing w:after="0" w:line="240" w:lineRule="auto"/>
        <w:jc w:val="both"/>
        <w:rPr>
          <w:rFonts w:ascii="Arial" w:hAnsi="Arial" w:cs="Arial"/>
        </w:rPr>
      </w:pPr>
      <w:r>
        <w:rPr>
          <w:rFonts w:ascii="Arial" w:hAnsi="Arial" w:cs="Arial"/>
        </w:rPr>
        <w:t xml:space="preserve">A moratorium may also </w:t>
      </w:r>
      <w:r w:rsidR="00BF4D1D">
        <w:rPr>
          <w:rFonts w:ascii="Arial" w:hAnsi="Arial" w:cs="Arial"/>
        </w:rPr>
        <w:t>trigger enforcement by s</w:t>
      </w:r>
      <w:r w:rsidR="001505FA">
        <w:rPr>
          <w:rFonts w:ascii="Arial" w:hAnsi="Arial" w:cs="Arial"/>
        </w:rPr>
        <w:t>uppliers with retention of title rights</w:t>
      </w:r>
      <w:r w:rsidR="00BF4D1D">
        <w:rPr>
          <w:rFonts w:ascii="Arial" w:hAnsi="Arial" w:cs="Arial"/>
        </w:rPr>
        <w:t>, which wil</w:t>
      </w:r>
      <w:r w:rsidR="001505FA">
        <w:rPr>
          <w:rFonts w:ascii="Arial" w:hAnsi="Arial" w:cs="Arial"/>
        </w:rPr>
        <w:t>l</w:t>
      </w:r>
      <w:r w:rsidR="00220E9E">
        <w:rPr>
          <w:rFonts w:ascii="Arial" w:hAnsi="Arial" w:cs="Arial"/>
        </w:rPr>
        <w:t xml:space="preserve"> show up </w:t>
      </w:r>
      <w:r w:rsidR="00BF4D1D">
        <w:rPr>
          <w:rFonts w:ascii="Arial" w:hAnsi="Arial" w:cs="Arial"/>
        </w:rPr>
        <w:t xml:space="preserve">at the company’s premises </w:t>
      </w:r>
      <w:r w:rsidR="00220E9E">
        <w:rPr>
          <w:rFonts w:ascii="Arial" w:hAnsi="Arial" w:cs="Arial"/>
        </w:rPr>
        <w:t>to collect their assets, likely frustrating trade</w:t>
      </w:r>
      <w:r w:rsidR="00A42D09">
        <w:rPr>
          <w:rFonts w:ascii="Arial" w:hAnsi="Arial" w:cs="Arial"/>
        </w:rPr>
        <w:t>.</w:t>
      </w:r>
    </w:p>
    <w:p w14:paraId="47E9FE44" w14:textId="002FD19F" w:rsidR="00220E9E" w:rsidRPr="00A504FF" w:rsidRDefault="00A42D09" w:rsidP="000E3D79">
      <w:pPr>
        <w:pStyle w:val="ListParagraph"/>
        <w:numPr>
          <w:ilvl w:val="0"/>
          <w:numId w:val="5"/>
        </w:numPr>
        <w:spacing w:after="0" w:line="240" w:lineRule="auto"/>
        <w:jc w:val="both"/>
        <w:rPr>
          <w:rFonts w:ascii="Arial" w:hAnsi="Arial" w:cs="Arial"/>
        </w:rPr>
      </w:pPr>
      <w:r w:rsidRPr="00A504FF">
        <w:rPr>
          <w:rFonts w:ascii="Arial" w:hAnsi="Arial" w:cs="Arial"/>
        </w:rPr>
        <w:t>In this specific case of Flow Management there a</w:t>
      </w:r>
      <w:r w:rsidR="00682DDC" w:rsidRPr="00A504FF">
        <w:rPr>
          <w:rFonts w:ascii="Arial" w:hAnsi="Arial" w:cs="Arial"/>
        </w:rPr>
        <w:t>r</w:t>
      </w:r>
      <w:r w:rsidRPr="00A504FF">
        <w:rPr>
          <w:rFonts w:ascii="Arial" w:hAnsi="Arial" w:cs="Arial"/>
        </w:rPr>
        <w:t xml:space="preserve">e also cross border issues to be considered in a moratorium scenario. </w:t>
      </w:r>
      <w:r w:rsidR="007103F2" w:rsidRPr="00A504FF">
        <w:rPr>
          <w:rFonts w:ascii="Arial" w:hAnsi="Arial" w:cs="Arial"/>
        </w:rPr>
        <w:t xml:space="preserve">More specifically, </w:t>
      </w:r>
      <w:r w:rsidR="00A95646" w:rsidRPr="00A504FF">
        <w:rPr>
          <w:rFonts w:ascii="Arial" w:hAnsi="Arial" w:cs="Arial"/>
        </w:rPr>
        <w:t xml:space="preserve">the moratorium and any protection against collateral enforcement by creditors encompassed therein, will not be automatically </w:t>
      </w:r>
      <w:r w:rsidR="00295BBB" w:rsidRPr="00A504FF">
        <w:rPr>
          <w:rFonts w:ascii="Arial" w:hAnsi="Arial" w:cs="Arial"/>
        </w:rPr>
        <w:t xml:space="preserve">recognised nor enforced in </w:t>
      </w:r>
      <w:proofErr w:type="gramStart"/>
      <w:r w:rsidR="00295BBB" w:rsidRPr="00A504FF">
        <w:rPr>
          <w:rFonts w:ascii="Arial" w:hAnsi="Arial" w:cs="Arial"/>
        </w:rPr>
        <w:t>all</w:t>
      </w:r>
      <w:r w:rsidR="00CA4B7F" w:rsidRPr="00A504FF">
        <w:rPr>
          <w:rFonts w:ascii="Arial" w:hAnsi="Arial" w:cs="Arial"/>
        </w:rPr>
        <w:t xml:space="preserve"> </w:t>
      </w:r>
      <w:r w:rsidR="00295BBB" w:rsidRPr="00A504FF">
        <w:rPr>
          <w:rFonts w:ascii="Arial" w:hAnsi="Arial" w:cs="Arial"/>
        </w:rPr>
        <w:t>of</w:t>
      </w:r>
      <w:proofErr w:type="gramEnd"/>
      <w:r w:rsidR="00295BBB" w:rsidRPr="00A504FF">
        <w:rPr>
          <w:rFonts w:ascii="Arial" w:hAnsi="Arial" w:cs="Arial"/>
        </w:rPr>
        <w:t xml:space="preserve"> the 6 jurisdictions that the subsidiaries of Flow Management are operating. </w:t>
      </w:r>
      <w:r w:rsidR="005A683E" w:rsidRPr="00A504FF">
        <w:rPr>
          <w:rFonts w:ascii="Arial" w:hAnsi="Arial" w:cs="Arial"/>
        </w:rPr>
        <w:t xml:space="preserve">Now as concerns the subsidiaries in the Netherlands, </w:t>
      </w:r>
      <w:proofErr w:type="gramStart"/>
      <w:r w:rsidR="005A683E" w:rsidRPr="00A504FF">
        <w:rPr>
          <w:rFonts w:ascii="Arial" w:hAnsi="Arial" w:cs="Arial"/>
        </w:rPr>
        <w:t>Spain</w:t>
      </w:r>
      <w:proofErr w:type="gramEnd"/>
      <w:r w:rsidR="005A683E" w:rsidRPr="00A504FF">
        <w:rPr>
          <w:rFonts w:ascii="Arial" w:hAnsi="Arial" w:cs="Arial"/>
        </w:rPr>
        <w:t xml:space="preserve"> and France</w:t>
      </w:r>
      <w:r w:rsidR="002A633C" w:rsidRPr="00A504FF">
        <w:rPr>
          <w:rFonts w:ascii="Arial" w:hAnsi="Arial" w:cs="Arial"/>
        </w:rPr>
        <w:t xml:space="preserve">, such </w:t>
      </w:r>
      <w:proofErr w:type="spellStart"/>
      <w:r w:rsidR="002A633C" w:rsidRPr="00A504FF">
        <w:rPr>
          <w:rFonts w:ascii="Arial" w:hAnsi="Arial" w:cs="Arial"/>
        </w:rPr>
        <w:t>a</w:t>
      </w:r>
      <w:proofErr w:type="spellEnd"/>
      <w:r w:rsidR="002A633C" w:rsidRPr="00A504FF">
        <w:rPr>
          <w:rFonts w:ascii="Arial" w:hAnsi="Arial" w:cs="Arial"/>
        </w:rPr>
        <w:t xml:space="preserve"> moratorium could be recognised and enforced </w:t>
      </w:r>
      <w:r w:rsidR="00413885" w:rsidRPr="00A504FF">
        <w:rPr>
          <w:rFonts w:ascii="Arial" w:hAnsi="Arial" w:cs="Arial"/>
        </w:rPr>
        <w:t xml:space="preserve">by application of the recast insolvency regulation </w:t>
      </w:r>
      <w:r w:rsidR="00502516" w:rsidRPr="00A504FF">
        <w:rPr>
          <w:rFonts w:ascii="Arial" w:hAnsi="Arial" w:cs="Arial"/>
        </w:rPr>
        <w:t>(EU)2015/848.</w:t>
      </w:r>
      <w:r w:rsidR="0034243F" w:rsidRPr="00A504FF">
        <w:rPr>
          <w:rFonts w:ascii="Arial" w:hAnsi="Arial" w:cs="Arial"/>
        </w:rPr>
        <w:t xml:space="preserve"> </w:t>
      </w:r>
      <w:r w:rsidR="00502516" w:rsidRPr="00A504FF">
        <w:rPr>
          <w:rFonts w:ascii="Arial" w:hAnsi="Arial" w:cs="Arial"/>
        </w:rPr>
        <w:t>However, as c</w:t>
      </w:r>
      <w:r w:rsidR="00C3703B" w:rsidRPr="00A504FF">
        <w:rPr>
          <w:rFonts w:ascii="Arial" w:hAnsi="Arial" w:cs="Arial"/>
        </w:rPr>
        <w:t xml:space="preserve">oncerns the subsidiaries in the USA, </w:t>
      </w:r>
      <w:proofErr w:type="gramStart"/>
      <w:r w:rsidR="00C3703B" w:rsidRPr="00A504FF">
        <w:rPr>
          <w:rFonts w:ascii="Arial" w:hAnsi="Arial" w:cs="Arial"/>
        </w:rPr>
        <w:t>Australia</w:t>
      </w:r>
      <w:proofErr w:type="gramEnd"/>
      <w:r w:rsidR="00C3703B" w:rsidRPr="00A504FF">
        <w:rPr>
          <w:rFonts w:ascii="Arial" w:hAnsi="Arial" w:cs="Arial"/>
        </w:rPr>
        <w:t xml:space="preserve"> and South Africa</w:t>
      </w:r>
      <w:r w:rsidR="00440C98" w:rsidRPr="00A504FF">
        <w:rPr>
          <w:rFonts w:ascii="Arial" w:hAnsi="Arial" w:cs="Arial"/>
        </w:rPr>
        <w:t>,</w:t>
      </w:r>
      <w:r w:rsidR="00C3703B" w:rsidRPr="00A504FF">
        <w:rPr>
          <w:rFonts w:ascii="Arial" w:hAnsi="Arial" w:cs="Arial"/>
        </w:rPr>
        <w:t xml:space="preserve"> that are outside the European Union</w:t>
      </w:r>
      <w:r w:rsidR="00440C98" w:rsidRPr="00A504FF">
        <w:rPr>
          <w:rFonts w:ascii="Arial" w:hAnsi="Arial" w:cs="Arial"/>
        </w:rPr>
        <w:t xml:space="preserve">, </w:t>
      </w:r>
      <w:r w:rsidR="004C2868">
        <w:rPr>
          <w:rFonts w:ascii="Arial" w:hAnsi="Arial" w:cs="Arial"/>
        </w:rPr>
        <w:t>one would have to look at their respective legislation</w:t>
      </w:r>
      <w:r w:rsidR="00C47167">
        <w:rPr>
          <w:rFonts w:ascii="Arial" w:hAnsi="Arial" w:cs="Arial"/>
        </w:rPr>
        <w:t>s adopting the UNCITRAL Model Law on Cross-Border Insolvency (1997)</w:t>
      </w:r>
      <w:r w:rsidR="00302FA9">
        <w:rPr>
          <w:rFonts w:ascii="Arial" w:hAnsi="Arial" w:cs="Arial"/>
        </w:rPr>
        <w:t xml:space="preserve"> and related provisions therein on the recognition </w:t>
      </w:r>
      <w:r w:rsidR="0011341C">
        <w:rPr>
          <w:rFonts w:ascii="Arial" w:hAnsi="Arial" w:cs="Arial"/>
        </w:rPr>
        <w:t>of foreign insolvency proceedings</w:t>
      </w:r>
      <w:r w:rsidR="00A504FF" w:rsidRPr="00A504FF">
        <w:rPr>
          <w:rFonts w:ascii="Arial" w:hAnsi="Arial" w:cs="Arial"/>
        </w:rPr>
        <w:t xml:space="preserve">. </w:t>
      </w:r>
    </w:p>
    <w:p w14:paraId="232A9B5B" w14:textId="77777777" w:rsidR="00034B38" w:rsidRDefault="00034B38" w:rsidP="00692D2C">
      <w:pPr>
        <w:spacing w:after="0" w:line="240" w:lineRule="auto"/>
        <w:ind w:left="360"/>
        <w:jc w:val="both"/>
        <w:rPr>
          <w:rFonts w:ascii="Arial" w:hAnsi="Arial" w:cs="Arial"/>
        </w:rPr>
      </w:pPr>
    </w:p>
    <w:p w14:paraId="14F42C71" w14:textId="77777777" w:rsidR="00034B38" w:rsidRDefault="00034B38" w:rsidP="00692D2C">
      <w:pPr>
        <w:spacing w:after="0" w:line="240" w:lineRule="auto"/>
        <w:ind w:left="360"/>
        <w:jc w:val="both"/>
        <w:rPr>
          <w:rFonts w:ascii="Arial" w:hAnsi="Arial" w:cs="Arial"/>
        </w:rPr>
      </w:pPr>
    </w:p>
    <w:p w14:paraId="6E61F157" w14:textId="77777777" w:rsidR="00692D2C" w:rsidRDefault="00692D2C" w:rsidP="00692D2C">
      <w:pPr>
        <w:spacing w:after="0" w:line="240" w:lineRule="auto"/>
        <w:jc w:val="both"/>
        <w:rPr>
          <w:rFonts w:ascii="Arial" w:hAnsi="Arial" w:cs="Arial"/>
        </w:rPr>
      </w:pPr>
    </w:p>
    <w:p w14:paraId="2077CB01" w14:textId="77777777" w:rsidR="00692D2C" w:rsidRPr="00692D2C" w:rsidRDefault="00692D2C" w:rsidP="00692D2C">
      <w:pPr>
        <w:spacing w:after="0" w:line="240" w:lineRule="auto"/>
        <w:jc w:val="both"/>
        <w:rPr>
          <w:rFonts w:ascii="Arial" w:hAnsi="Arial" w:cs="Arial"/>
          <w:b/>
          <w:bCs/>
        </w:rPr>
      </w:pPr>
    </w:p>
    <w:sectPr w:rsidR="00692D2C" w:rsidRPr="00692D2C" w:rsidSect="00B265E8">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80AD" w14:textId="77777777" w:rsidR="006126D2" w:rsidRDefault="006126D2" w:rsidP="000D5DBC">
      <w:pPr>
        <w:spacing w:after="0" w:line="240" w:lineRule="auto"/>
      </w:pPr>
      <w:r>
        <w:separator/>
      </w:r>
    </w:p>
  </w:endnote>
  <w:endnote w:type="continuationSeparator" w:id="0">
    <w:p w14:paraId="33C19630" w14:textId="77777777" w:rsidR="006126D2" w:rsidRDefault="006126D2" w:rsidP="000D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451536"/>
      <w:docPartObj>
        <w:docPartGallery w:val="Page Numbers (Bottom of Page)"/>
        <w:docPartUnique/>
      </w:docPartObj>
    </w:sdtPr>
    <w:sdtEndPr>
      <w:rPr>
        <w:noProof/>
      </w:rPr>
    </w:sdtEndPr>
    <w:sdtContent>
      <w:p w14:paraId="281F9497" w14:textId="7339BDC1" w:rsidR="000677C7" w:rsidRDefault="000677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BD722" w14:textId="77777777" w:rsidR="000677C7" w:rsidRDefault="0006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235F" w14:textId="77777777" w:rsidR="006126D2" w:rsidRDefault="006126D2" w:rsidP="000D5DBC">
      <w:pPr>
        <w:spacing w:after="0" w:line="240" w:lineRule="auto"/>
      </w:pPr>
      <w:r>
        <w:separator/>
      </w:r>
    </w:p>
  </w:footnote>
  <w:footnote w:type="continuationSeparator" w:id="0">
    <w:p w14:paraId="092DAD95" w14:textId="77777777" w:rsidR="006126D2" w:rsidRDefault="006126D2" w:rsidP="000D5DBC">
      <w:pPr>
        <w:spacing w:after="0" w:line="240" w:lineRule="auto"/>
      </w:pPr>
      <w:r>
        <w:continuationSeparator/>
      </w:r>
    </w:p>
  </w:footnote>
  <w:footnote w:id="1">
    <w:p w14:paraId="4A529832" w14:textId="45E02CF6" w:rsidR="000D5DBC" w:rsidRPr="00CD213D" w:rsidRDefault="000D5DBC" w:rsidP="00F66A59">
      <w:pPr>
        <w:spacing w:after="0" w:line="276" w:lineRule="auto"/>
        <w:rPr>
          <w:rFonts w:cs="Times New Roman"/>
          <w:sz w:val="20"/>
          <w:szCs w:val="20"/>
        </w:rPr>
      </w:pPr>
      <w:r w:rsidRPr="00F82599">
        <w:rPr>
          <w:rStyle w:val="FootnoteReference"/>
          <w:rFonts w:ascii="Arial" w:hAnsi="Arial" w:cs="Arial"/>
          <w:sz w:val="18"/>
          <w:szCs w:val="18"/>
        </w:rPr>
        <w:footnoteRef/>
      </w:r>
      <w:r w:rsidRPr="00F82599">
        <w:rPr>
          <w:rFonts w:ascii="Arial" w:hAnsi="Arial" w:cs="Arial"/>
          <w:sz w:val="18"/>
          <w:szCs w:val="18"/>
        </w:rPr>
        <w:t xml:space="preserve"> </w:t>
      </w:r>
      <w:proofErr w:type="spellStart"/>
      <w:r w:rsidR="00F82599" w:rsidRPr="00CD213D">
        <w:rPr>
          <w:rFonts w:cs="Times New Roman"/>
          <w:sz w:val="20"/>
          <w:szCs w:val="20"/>
        </w:rPr>
        <w:t>Mellahi</w:t>
      </w:r>
      <w:proofErr w:type="spellEnd"/>
      <w:r w:rsidR="00F82599" w:rsidRPr="00CD213D">
        <w:rPr>
          <w:rFonts w:cs="Times New Roman"/>
          <w:sz w:val="20"/>
          <w:szCs w:val="20"/>
        </w:rPr>
        <w:t xml:space="preserve"> </w:t>
      </w:r>
      <w:r w:rsidR="001F04AE">
        <w:rPr>
          <w:rFonts w:cs="Times New Roman"/>
          <w:sz w:val="20"/>
          <w:szCs w:val="20"/>
        </w:rPr>
        <w:t xml:space="preserve">K. </w:t>
      </w:r>
      <w:r w:rsidR="00F82599" w:rsidRPr="00CD213D">
        <w:rPr>
          <w:rFonts w:cs="Times New Roman"/>
          <w:sz w:val="20"/>
          <w:szCs w:val="20"/>
        </w:rPr>
        <w:t>&amp; Wilkinson</w:t>
      </w:r>
      <w:r w:rsidR="008776B2">
        <w:rPr>
          <w:rFonts w:cs="Times New Roman"/>
          <w:sz w:val="20"/>
          <w:szCs w:val="20"/>
        </w:rPr>
        <w:t xml:space="preserve"> a. (2004)</w:t>
      </w:r>
      <w:r w:rsidR="00F82599" w:rsidRPr="00CD213D">
        <w:rPr>
          <w:rFonts w:cs="Times New Roman"/>
          <w:sz w:val="20"/>
          <w:szCs w:val="20"/>
        </w:rPr>
        <w:t xml:space="preserve">, </w:t>
      </w:r>
      <w:r w:rsidR="00F82599" w:rsidRPr="00CD213D">
        <w:rPr>
          <w:rFonts w:cs="Times New Roman"/>
          <w:i/>
          <w:iCs/>
          <w:sz w:val="20"/>
          <w:szCs w:val="20"/>
        </w:rPr>
        <w:t xml:space="preserve">Organizational Failure: a critique of recent research and a proposed integrative framework, </w:t>
      </w:r>
      <w:r w:rsidR="00F82599" w:rsidRPr="00CD213D">
        <w:rPr>
          <w:rFonts w:cs="Times New Roman"/>
          <w:sz w:val="20"/>
          <w:szCs w:val="20"/>
        </w:rPr>
        <w:t>International Journal of Management Reviews,</w:t>
      </w:r>
      <w:r w:rsidR="00C64BA4" w:rsidRPr="00CD213D">
        <w:rPr>
          <w:rFonts w:cs="Times New Roman"/>
          <w:sz w:val="20"/>
          <w:szCs w:val="20"/>
        </w:rPr>
        <w:t xml:space="preserve"> </w:t>
      </w:r>
      <w:r w:rsidR="002D090F">
        <w:rPr>
          <w:rFonts w:cs="Times New Roman"/>
          <w:sz w:val="20"/>
          <w:szCs w:val="20"/>
        </w:rPr>
        <w:t xml:space="preserve">5(1), </w:t>
      </w:r>
      <w:r w:rsidR="00C64BA4" w:rsidRPr="00CD213D">
        <w:rPr>
          <w:rFonts w:cs="Times New Roman"/>
          <w:sz w:val="20"/>
          <w:szCs w:val="20"/>
        </w:rPr>
        <w:t>p</w:t>
      </w:r>
      <w:r w:rsidR="00B474FF" w:rsidRPr="00CD213D">
        <w:rPr>
          <w:rFonts w:cs="Times New Roman"/>
          <w:sz w:val="20"/>
          <w:szCs w:val="20"/>
        </w:rPr>
        <w:t>. 22</w:t>
      </w:r>
    </w:p>
  </w:footnote>
  <w:footnote w:id="2">
    <w:p w14:paraId="1F39A288" w14:textId="3450B98D" w:rsidR="00484F4D" w:rsidRPr="00CD213D" w:rsidRDefault="00484F4D">
      <w:pPr>
        <w:pStyle w:val="FootnoteText"/>
        <w:rPr>
          <w:rFonts w:cs="Times New Roman"/>
        </w:rPr>
      </w:pPr>
      <w:r w:rsidRPr="00CD213D">
        <w:rPr>
          <w:rStyle w:val="FootnoteReference"/>
          <w:rFonts w:cs="Times New Roman"/>
        </w:rPr>
        <w:footnoteRef/>
      </w:r>
      <w:r w:rsidRPr="00CD213D">
        <w:rPr>
          <w:rFonts w:cs="Times New Roman"/>
        </w:rPr>
        <w:t xml:space="preserve"> </w:t>
      </w:r>
      <w:r w:rsidR="00740C87" w:rsidRPr="00CD213D">
        <w:rPr>
          <w:rFonts w:cs="Times New Roman"/>
        </w:rPr>
        <w:t>Ibid.</w:t>
      </w:r>
      <w:r w:rsidR="00F32CDE" w:rsidRPr="00CD213D">
        <w:rPr>
          <w:rFonts w:cs="Times New Roman"/>
        </w:rPr>
        <w:t xml:space="preserve"> </w:t>
      </w:r>
    </w:p>
  </w:footnote>
  <w:footnote w:id="3">
    <w:p w14:paraId="3D1AE3FF" w14:textId="4B271936" w:rsidR="00F8645F" w:rsidRPr="00CD213D" w:rsidRDefault="00F8645F">
      <w:pPr>
        <w:pStyle w:val="FootnoteText"/>
        <w:rPr>
          <w:rFonts w:cs="Times New Roman"/>
        </w:rPr>
      </w:pPr>
      <w:r w:rsidRPr="00CD213D">
        <w:rPr>
          <w:rStyle w:val="FootnoteReference"/>
          <w:rFonts w:cs="Times New Roman"/>
        </w:rPr>
        <w:footnoteRef/>
      </w:r>
      <w:r w:rsidRPr="00CD213D">
        <w:rPr>
          <w:rFonts w:cs="Times New Roman"/>
        </w:rPr>
        <w:t xml:space="preserve"> </w:t>
      </w:r>
      <w:r w:rsidR="00F66A59" w:rsidRPr="00CD213D">
        <w:rPr>
          <w:rFonts w:cs="Times New Roman"/>
        </w:rPr>
        <w:t xml:space="preserve">Ibid. </w:t>
      </w:r>
      <w:r w:rsidR="00922D84" w:rsidRPr="00CD213D">
        <w:rPr>
          <w:rFonts w:cs="Times New Roman"/>
        </w:rPr>
        <w:t xml:space="preserve">This article </w:t>
      </w:r>
      <w:proofErr w:type="gramStart"/>
      <w:r w:rsidR="00922D84" w:rsidRPr="00CD213D">
        <w:rPr>
          <w:rFonts w:cs="Times New Roman"/>
        </w:rPr>
        <w:t>provides</w:t>
      </w:r>
      <w:r w:rsidR="00766785" w:rsidRPr="00CD213D">
        <w:rPr>
          <w:rFonts w:cs="Times New Roman"/>
        </w:rPr>
        <w:t xml:space="preserve"> also</w:t>
      </w:r>
      <w:proofErr w:type="gramEnd"/>
      <w:r w:rsidR="00766785" w:rsidRPr="00CD213D">
        <w:rPr>
          <w:rFonts w:cs="Times New Roman"/>
        </w:rPr>
        <w:t xml:space="preserve"> </w:t>
      </w:r>
      <w:r w:rsidR="00922D84" w:rsidRPr="00CD213D">
        <w:rPr>
          <w:rFonts w:cs="Times New Roman"/>
        </w:rPr>
        <w:t xml:space="preserve">a </w:t>
      </w:r>
      <w:r w:rsidR="00766785" w:rsidRPr="00CD213D">
        <w:rPr>
          <w:rFonts w:cs="Times New Roman"/>
        </w:rPr>
        <w:t>good analysis of the voluntaristic view to organizational failure</w:t>
      </w:r>
      <w:r w:rsidR="008069B4" w:rsidRPr="00CD213D">
        <w:rPr>
          <w:rFonts w:cs="Times New Roman"/>
        </w:rPr>
        <w:t xml:space="preserve"> and organizational </w:t>
      </w:r>
      <w:r w:rsidR="00F24F1C" w:rsidRPr="00CD213D">
        <w:rPr>
          <w:rFonts w:cs="Times New Roman"/>
        </w:rPr>
        <w:t>psychology in particular, attributing such failure to the perception and reactions of the</w:t>
      </w:r>
      <w:r w:rsidR="00F24F1C">
        <w:t xml:space="preserve"> </w:t>
      </w:r>
      <w:r w:rsidR="00F24F1C" w:rsidRPr="00CD213D">
        <w:rPr>
          <w:rFonts w:cs="Times New Roman"/>
        </w:rPr>
        <w:t>organization’s management</w:t>
      </w:r>
      <w:r w:rsidR="00314AFB" w:rsidRPr="00CD213D">
        <w:rPr>
          <w:rFonts w:cs="Times New Roman"/>
        </w:rPr>
        <w:t>. It should be noted, however, th</w:t>
      </w:r>
      <w:r w:rsidR="00F82F56" w:rsidRPr="00CD213D">
        <w:rPr>
          <w:rFonts w:cs="Times New Roman"/>
        </w:rPr>
        <w:t xml:space="preserve">at </w:t>
      </w:r>
      <w:r w:rsidR="00CA0CCA" w:rsidRPr="00CD213D">
        <w:rPr>
          <w:rFonts w:cs="Times New Roman"/>
        </w:rPr>
        <w:t xml:space="preserve">the voluntaristic view has been criticised at times </w:t>
      </w:r>
      <w:r w:rsidR="00C77831" w:rsidRPr="00CD213D">
        <w:rPr>
          <w:rFonts w:cs="Times New Roman"/>
        </w:rPr>
        <w:t xml:space="preserve">on its over-reliance </w:t>
      </w:r>
      <w:r w:rsidR="00A02953" w:rsidRPr="00CD213D">
        <w:rPr>
          <w:rFonts w:cs="Times New Roman"/>
        </w:rPr>
        <w:t>on internal factors</w:t>
      </w:r>
      <w:proofErr w:type="gramStart"/>
      <w:r w:rsidR="008D5DAE" w:rsidRPr="00CD213D">
        <w:rPr>
          <w:rFonts w:cs="Times New Roman"/>
        </w:rPr>
        <w:t xml:space="preserve">. </w:t>
      </w:r>
      <w:r w:rsidR="00766785" w:rsidRPr="00CD213D">
        <w:rPr>
          <w:rFonts w:cs="Times New Roman"/>
        </w:rPr>
        <w:t xml:space="preserve"> </w:t>
      </w:r>
      <w:proofErr w:type="gramEnd"/>
    </w:p>
  </w:footnote>
  <w:footnote w:id="4">
    <w:p w14:paraId="5650649C" w14:textId="69F859D7" w:rsidR="003E20B5" w:rsidRPr="00CD213D" w:rsidRDefault="003E20B5">
      <w:pPr>
        <w:pStyle w:val="FootnoteText"/>
        <w:rPr>
          <w:rFonts w:cs="Times New Roman"/>
        </w:rPr>
      </w:pPr>
      <w:r w:rsidRPr="00CD213D">
        <w:rPr>
          <w:rStyle w:val="FootnoteReference"/>
          <w:rFonts w:cs="Times New Roman"/>
        </w:rPr>
        <w:footnoteRef/>
      </w:r>
      <w:r w:rsidRPr="00CD213D">
        <w:rPr>
          <w:rFonts w:cs="Times New Roman"/>
        </w:rPr>
        <w:t xml:space="preserve"> Ibid. page.30</w:t>
      </w:r>
    </w:p>
  </w:footnote>
  <w:footnote w:id="5">
    <w:p w14:paraId="3E27B5F8" w14:textId="17564002" w:rsidR="0089531C" w:rsidRPr="005B33FE" w:rsidRDefault="0089531C" w:rsidP="0089531C">
      <w:pPr>
        <w:spacing w:after="0" w:line="276" w:lineRule="auto"/>
        <w:rPr>
          <w:rFonts w:ascii="Arial" w:hAnsi="Arial" w:cs="Arial"/>
          <w:b/>
          <w:bCs/>
        </w:rPr>
      </w:pPr>
      <w:r>
        <w:rPr>
          <w:rStyle w:val="FootnoteReference"/>
        </w:rPr>
        <w:footnoteRef/>
      </w:r>
      <w:r>
        <w:t xml:space="preserve"> </w:t>
      </w:r>
      <w:proofErr w:type="spellStart"/>
      <w:r w:rsidRPr="002A4646">
        <w:rPr>
          <w:rFonts w:cs="Times New Roman"/>
          <w:sz w:val="20"/>
          <w:szCs w:val="20"/>
        </w:rPr>
        <w:t>Pajunen</w:t>
      </w:r>
      <w:proofErr w:type="spellEnd"/>
      <w:r w:rsidR="00730C57">
        <w:rPr>
          <w:rFonts w:cs="Times New Roman"/>
          <w:sz w:val="20"/>
          <w:szCs w:val="20"/>
        </w:rPr>
        <w:t>,</w:t>
      </w:r>
      <w:r w:rsidR="003D624F">
        <w:rPr>
          <w:rFonts w:cs="Times New Roman"/>
          <w:sz w:val="20"/>
          <w:szCs w:val="20"/>
        </w:rPr>
        <w:t xml:space="preserve"> K. (2006)</w:t>
      </w:r>
      <w:r w:rsidRPr="002A4646">
        <w:rPr>
          <w:rFonts w:cs="Times New Roman"/>
          <w:sz w:val="20"/>
          <w:szCs w:val="20"/>
        </w:rPr>
        <w:t xml:space="preserve">, </w:t>
      </w:r>
      <w:r w:rsidRPr="002A4646">
        <w:rPr>
          <w:rFonts w:cs="Times New Roman"/>
          <w:i/>
          <w:iCs/>
          <w:sz w:val="20"/>
          <w:szCs w:val="20"/>
        </w:rPr>
        <w:t xml:space="preserve">Stakeholder influences in Organizational Survival, </w:t>
      </w:r>
      <w:r w:rsidRPr="002A4646">
        <w:rPr>
          <w:rFonts w:cs="Times New Roman"/>
          <w:sz w:val="20"/>
          <w:szCs w:val="20"/>
        </w:rPr>
        <w:t>Journal of Management Studies</w:t>
      </w:r>
      <w:r w:rsidR="002D090F">
        <w:rPr>
          <w:rFonts w:cs="Times New Roman"/>
          <w:sz w:val="20"/>
          <w:szCs w:val="20"/>
        </w:rPr>
        <w:t xml:space="preserve">, 43(6), </w:t>
      </w:r>
    </w:p>
    <w:p w14:paraId="147CC22A" w14:textId="77777777" w:rsidR="0089531C" w:rsidRDefault="0089531C" w:rsidP="0089531C">
      <w:pPr>
        <w:pStyle w:val="FootnoteText"/>
      </w:pPr>
    </w:p>
  </w:footnote>
  <w:footnote w:id="6">
    <w:p w14:paraId="17D3065C" w14:textId="14461585" w:rsidR="00F309BF" w:rsidRPr="00CD213D" w:rsidRDefault="00F309BF" w:rsidP="00F309BF">
      <w:pPr>
        <w:pStyle w:val="FootnoteText"/>
        <w:rPr>
          <w:rFonts w:cs="Times New Roman"/>
        </w:rPr>
      </w:pPr>
      <w:r w:rsidRPr="00CD213D">
        <w:rPr>
          <w:rStyle w:val="FootnoteReference"/>
          <w:rFonts w:cs="Times New Roman"/>
        </w:rPr>
        <w:footnoteRef/>
      </w:r>
      <w:r w:rsidRPr="00CD213D">
        <w:rPr>
          <w:rFonts w:cs="Times New Roman"/>
        </w:rPr>
        <w:t xml:space="preserve"> The Arrears Management Directive </w:t>
      </w:r>
      <w:r w:rsidR="008D2108">
        <w:rPr>
          <w:rFonts w:cs="Times New Roman"/>
        </w:rPr>
        <w:t>(</w:t>
      </w:r>
      <w:r w:rsidRPr="00CD213D">
        <w:rPr>
          <w:rFonts w:cs="Times New Roman"/>
        </w:rPr>
        <w:t>2015</w:t>
      </w:r>
      <w:r w:rsidR="008D2108">
        <w:rPr>
          <w:rFonts w:cs="Times New Roman"/>
        </w:rPr>
        <w:t>)</w:t>
      </w:r>
      <w:r w:rsidRPr="00CD213D">
        <w:rPr>
          <w:rFonts w:cs="Times New Roman"/>
        </w:rPr>
        <w:t>, Central Bank of Cyprus</w:t>
      </w:r>
      <w:r w:rsidR="008D2108">
        <w:rPr>
          <w:rFonts w:cs="Times New Roman"/>
        </w:rPr>
        <w:t>.</w:t>
      </w:r>
      <w:r w:rsidRPr="00CD213D">
        <w:rPr>
          <w:rFonts w:cs="Times New Roman"/>
        </w:rPr>
        <w:t xml:space="preserve"> https://www.centralbank.cy/en/legal-framework/licensing-supervision/regulations-directives/directives-regulations-and-guidelines-which-govern-the-operation-of-banks/directive-on-arrears-management</w:t>
      </w:r>
    </w:p>
  </w:footnote>
  <w:footnote w:id="7">
    <w:p w14:paraId="4C63F6EF" w14:textId="73AB10D1" w:rsidR="002571ED" w:rsidRDefault="002571ED">
      <w:pPr>
        <w:pStyle w:val="FootnoteText"/>
      </w:pPr>
      <w:r>
        <w:rPr>
          <w:rStyle w:val="FootnoteReference"/>
        </w:rPr>
        <w:footnoteRef/>
      </w:r>
      <w:r>
        <w:t xml:space="preserve"> </w:t>
      </w:r>
      <w:r w:rsidRPr="002571ED">
        <w:t>https://www.centralbank.cy/en/statistics</w:t>
      </w:r>
    </w:p>
  </w:footnote>
  <w:footnote w:id="8">
    <w:p w14:paraId="0630D404" w14:textId="2222F6D3" w:rsidR="007D42B7" w:rsidRPr="00CD213D" w:rsidRDefault="007D42B7">
      <w:pPr>
        <w:pStyle w:val="FootnoteText"/>
        <w:rPr>
          <w:rFonts w:cs="Times New Roman"/>
        </w:rPr>
      </w:pPr>
      <w:r w:rsidRPr="00CD213D">
        <w:rPr>
          <w:rStyle w:val="FootnoteReference"/>
          <w:rFonts w:cs="Times New Roman"/>
        </w:rPr>
        <w:footnoteRef/>
      </w:r>
      <w:r w:rsidRPr="00CD213D">
        <w:rPr>
          <w:rFonts w:cs="Times New Roman"/>
        </w:rPr>
        <w:t xml:space="preserve"> </w:t>
      </w:r>
      <w:proofErr w:type="spellStart"/>
      <w:r w:rsidR="00CD213D" w:rsidRPr="00CD213D">
        <w:rPr>
          <w:rFonts w:cs="Times New Roman"/>
        </w:rPr>
        <w:t>Andriaanse</w:t>
      </w:r>
      <w:proofErr w:type="spellEnd"/>
      <w:r w:rsidR="00394EE6">
        <w:rPr>
          <w:rFonts w:cs="Times New Roman"/>
        </w:rPr>
        <w:t>, J.A.A.,</w:t>
      </w:r>
      <w:r w:rsidR="00CD213D" w:rsidRPr="00CD213D">
        <w:rPr>
          <w:rFonts w:cs="Times New Roman"/>
        </w:rPr>
        <w:t xml:space="preserve"> &amp; </w:t>
      </w:r>
      <w:proofErr w:type="spellStart"/>
      <w:r w:rsidR="00CD213D" w:rsidRPr="00CD213D">
        <w:rPr>
          <w:rFonts w:cs="Times New Roman"/>
        </w:rPr>
        <w:t>Kuijl</w:t>
      </w:r>
      <w:proofErr w:type="spellEnd"/>
      <w:r w:rsidR="00394EE6">
        <w:rPr>
          <w:rFonts w:cs="Times New Roman"/>
        </w:rPr>
        <w:t>, J.G. (2006)</w:t>
      </w:r>
      <w:r w:rsidR="00CD213D" w:rsidRPr="00CD213D">
        <w:rPr>
          <w:rFonts w:cs="Times New Roman"/>
        </w:rPr>
        <w:t xml:space="preserve">, </w:t>
      </w:r>
      <w:r w:rsidR="00CD213D" w:rsidRPr="00CD213D">
        <w:rPr>
          <w:rFonts w:cs="Times New Roman"/>
          <w:i/>
          <w:iCs/>
        </w:rPr>
        <w:t xml:space="preserve">Resolving Fictional Distress: Informal Reorganization in the Netherlands as a Beacon for Policy Makers in the CIS and CEE/SEE </w:t>
      </w:r>
      <w:proofErr w:type="gramStart"/>
      <w:r w:rsidR="00CD213D" w:rsidRPr="00CD213D">
        <w:rPr>
          <w:rFonts w:cs="Times New Roman"/>
          <w:i/>
          <w:iCs/>
        </w:rPr>
        <w:t>Regions?</w:t>
      </w:r>
      <w:r w:rsidR="00CD213D" w:rsidRPr="00CD213D">
        <w:rPr>
          <w:rFonts w:cs="Times New Roman"/>
        </w:rPr>
        <w:t>,</w:t>
      </w:r>
      <w:proofErr w:type="gramEnd"/>
      <w:r w:rsidR="00CD213D" w:rsidRPr="00CD213D">
        <w:rPr>
          <w:rFonts w:cs="Times New Roman"/>
        </w:rPr>
        <w:t xml:space="preserve"> Review of Central and East European Law</w:t>
      </w:r>
      <w:r w:rsidR="003E041F">
        <w:rPr>
          <w:rFonts w:cs="Times New Roman"/>
        </w:rPr>
        <w:t>, 31(2), p.</w:t>
      </w:r>
    </w:p>
  </w:footnote>
  <w:footnote w:id="9">
    <w:p w14:paraId="3145DD1F" w14:textId="13DA65DC" w:rsidR="00863BBF" w:rsidRDefault="00863BBF" w:rsidP="00863BBF">
      <w:pPr>
        <w:pStyle w:val="FootnoteText"/>
      </w:pPr>
      <w:r>
        <w:rPr>
          <w:rStyle w:val="FootnoteReference"/>
        </w:rPr>
        <w:footnoteRef/>
      </w:r>
      <w:r>
        <w:t xml:space="preserve"> </w:t>
      </w:r>
      <w:r w:rsidRPr="008C295A">
        <w:rPr>
          <w:rFonts w:cs="Times New Roman"/>
        </w:rPr>
        <w:t>Schmitt</w:t>
      </w:r>
      <w:r w:rsidR="003E041F">
        <w:rPr>
          <w:rFonts w:cs="Times New Roman"/>
        </w:rPr>
        <w:t>,</w:t>
      </w:r>
      <w:r w:rsidRPr="008C295A">
        <w:rPr>
          <w:rFonts w:cs="Times New Roman"/>
        </w:rPr>
        <w:t xml:space="preserve"> </w:t>
      </w:r>
      <w:r w:rsidR="003E041F">
        <w:rPr>
          <w:rFonts w:cs="Times New Roman"/>
        </w:rPr>
        <w:t xml:space="preserve">A., </w:t>
      </w:r>
      <w:proofErr w:type="spellStart"/>
      <w:r w:rsidRPr="008C295A">
        <w:rPr>
          <w:rFonts w:cs="Times New Roman"/>
        </w:rPr>
        <w:t>Raisch</w:t>
      </w:r>
      <w:proofErr w:type="spellEnd"/>
      <w:r w:rsidRPr="008C295A">
        <w:rPr>
          <w:rFonts w:cs="Times New Roman"/>
        </w:rPr>
        <w:t xml:space="preserve">, </w:t>
      </w:r>
      <w:r w:rsidR="003E041F">
        <w:rPr>
          <w:rFonts w:cs="Times New Roman"/>
        </w:rPr>
        <w:t>S.</w:t>
      </w:r>
      <w:r w:rsidR="002F345F">
        <w:rPr>
          <w:rFonts w:cs="Times New Roman"/>
        </w:rPr>
        <w:t xml:space="preserve"> (2013) </w:t>
      </w:r>
      <w:r w:rsidRPr="008C295A">
        <w:rPr>
          <w:rFonts w:cs="Times New Roman"/>
          <w:i/>
          <w:iCs/>
        </w:rPr>
        <w:t xml:space="preserve">Corporate Turnarounds: The Duality of Retrenchment and Recovery, </w:t>
      </w:r>
      <w:r w:rsidRPr="008C295A">
        <w:rPr>
          <w:rFonts w:cs="Times New Roman"/>
        </w:rPr>
        <w:t xml:space="preserve">Journal of Management Studies, </w:t>
      </w:r>
      <w:r w:rsidR="002F345F">
        <w:rPr>
          <w:rFonts w:cs="Times New Roman"/>
        </w:rPr>
        <w:t>50(7)</w:t>
      </w:r>
      <w:r w:rsidR="00B23D33">
        <w:rPr>
          <w:rFonts w:cs="Times New Roman"/>
        </w:rPr>
        <w:t xml:space="preserve"> p</w:t>
      </w:r>
      <w:r w:rsidR="002F345F">
        <w:rPr>
          <w:rFonts w:cs="Times New Roman"/>
        </w:rPr>
        <w:t>.</w:t>
      </w:r>
      <w:r w:rsidR="00B23D33">
        <w:rPr>
          <w:rFonts w:cs="Times New Roman"/>
        </w:rPr>
        <w:t xml:space="preserve"> 1218.</w:t>
      </w:r>
    </w:p>
  </w:footnote>
  <w:footnote w:id="10">
    <w:p w14:paraId="260300FC" w14:textId="76E91E3C" w:rsidR="000274D1" w:rsidRPr="002F345F" w:rsidRDefault="000274D1" w:rsidP="00A14213">
      <w:pPr>
        <w:spacing w:after="0" w:line="276" w:lineRule="auto"/>
        <w:rPr>
          <w:sz w:val="20"/>
          <w:szCs w:val="20"/>
        </w:rPr>
      </w:pPr>
      <w:r>
        <w:rPr>
          <w:rStyle w:val="FootnoteReference"/>
        </w:rPr>
        <w:footnoteRef/>
      </w:r>
      <w:r>
        <w:t xml:space="preserve"> </w:t>
      </w:r>
      <w:proofErr w:type="spellStart"/>
      <w:r w:rsidR="002F345F" w:rsidRPr="002F345F">
        <w:rPr>
          <w:rFonts w:cs="Times New Roman"/>
          <w:sz w:val="20"/>
          <w:szCs w:val="20"/>
        </w:rPr>
        <w:t>Andriaanse</w:t>
      </w:r>
      <w:proofErr w:type="spellEnd"/>
      <w:r w:rsidR="002F345F" w:rsidRPr="002F345F">
        <w:rPr>
          <w:rFonts w:cs="Times New Roman"/>
          <w:sz w:val="20"/>
          <w:szCs w:val="20"/>
        </w:rPr>
        <w:t xml:space="preserve">, J.A.A., &amp; </w:t>
      </w:r>
      <w:proofErr w:type="spellStart"/>
      <w:r w:rsidR="002F345F" w:rsidRPr="002F345F">
        <w:rPr>
          <w:rFonts w:cs="Times New Roman"/>
          <w:sz w:val="20"/>
          <w:szCs w:val="20"/>
        </w:rPr>
        <w:t>Kuijl</w:t>
      </w:r>
      <w:proofErr w:type="spellEnd"/>
      <w:r w:rsidR="002F345F" w:rsidRPr="002F345F">
        <w:rPr>
          <w:rFonts w:cs="Times New Roman"/>
          <w:sz w:val="20"/>
          <w:szCs w:val="20"/>
        </w:rPr>
        <w:t xml:space="preserve">, J.G. (2006), </w:t>
      </w:r>
      <w:r w:rsidR="002F345F" w:rsidRPr="002F345F">
        <w:rPr>
          <w:rFonts w:cs="Times New Roman"/>
          <w:i/>
          <w:iCs/>
          <w:sz w:val="20"/>
          <w:szCs w:val="20"/>
        </w:rPr>
        <w:t xml:space="preserve">Resolving Fictional Distress: Informal Reorganization in the Netherlands as a Beacon for Policy Makers in the CIS and CEE/SEE </w:t>
      </w:r>
      <w:proofErr w:type="gramStart"/>
      <w:r w:rsidR="002F345F" w:rsidRPr="002F345F">
        <w:rPr>
          <w:rFonts w:cs="Times New Roman"/>
          <w:i/>
          <w:iCs/>
          <w:sz w:val="20"/>
          <w:szCs w:val="20"/>
        </w:rPr>
        <w:t>Regions?</w:t>
      </w:r>
      <w:r w:rsidR="002F345F" w:rsidRPr="002F345F">
        <w:rPr>
          <w:rFonts w:cs="Times New Roman"/>
          <w:sz w:val="20"/>
          <w:szCs w:val="20"/>
        </w:rPr>
        <w:t>,</w:t>
      </w:r>
      <w:proofErr w:type="gramEnd"/>
      <w:r w:rsidR="002F345F" w:rsidRPr="002F345F">
        <w:rPr>
          <w:rFonts w:cs="Times New Roman"/>
          <w:sz w:val="20"/>
          <w:szCs w:val="20"/>
        </w:rPr>
        <w:t xml:space="preserve"> Review of Central and East European Law, 31(2), </w:t>
      </w:r>
      <w:r w:rsidR="00BC03E3" w:rsidRPr="002F345F">
        <w:rPr>
          <w:rFonts w:ascii="Arial" w:hAnsi="Arial" w:cs="Arial"/>
          <w:b/>
          <w:bCs/>
          <w:i/>
          <w:iCs/>
          <w:sz w:val="20"/>
          <w:szCs w:val="20"/>
        </w:rPr>
        <w:t xml:space="preserve">  </w:t>
      </w:r>
    </w:p>
  </w:footnote>
  <w:footnote w:id="11">
    <w:p w14:paraId="6F69EEE0" w14:textId="01EAEB2B" w:rsidR="00A14213" w:rsidRDefault="00A14213">
      <w:pPr>
        <w:pStyle w:val="FootnoteText"/>
      </w:pPr>
      <w:r>
        <w:rPr>
          <w:rStyle w:val="FootnoteReference"/>
        </w:rPr>
        <w:footnoteRef/>
      </w:r>
      <w:r>
        <w:t xml:space="preserve"> Ibid.</w:t>
      </w:r>
    </w:p>
  </w:footnote>
  <w:footnote w:id="12">
    <w:p w14:paraId="144FE64D" w14:textId="5505B317" w:rsidR="00A14213" w:rsidRDefault="00A14213">
      <w:pPr>
        <w:pStyle w:val="FootnoteText"/>
      </w:pPr>
      <w:r>
        <w:rPr>
          <w:rStyle w:val="FootnoteReference"/>
        </w:rPr>
        <w:footnoteRef/>
      </w:r>
      <w:r>
        <w:t xml:space="preserve"> </w:t>
      </w:r>
      <w:r w:rsidR="002F345F" w:rsidRPr="008C295A">
        <w:rPr>
          <w:rFonts w:cs="Times New Roman"/>
        </w:rPr>
        <w:t>Schmitt</w:t>
      </w:r>
      <w:r w:rsidR="002F345F">
        <w:rPr>
          <w:rFonts w:cs="Times New Roman"/>
        </w:rPr>
        <w:t>,</w:t>
      </w:r>
      <w:r w:rsidR="002F345F" w:rsidRPr="008C295A">
        <w:rPr>
          <w:rFonts w:cs="Times New Roman"/>
        </w:rPr>
        <w:t xml:space="preserve"> </w:t>
      </w:r>
      <w:r w:rsidR="002F345F">
        <w:rPr>
          <w:rFonts w:cs="Times New Roman"/>
        </w:rPr>
        <w:t xml:space="preserve">A., </w:t>
      </w:r>
      <w:proofErr w:type="spellStart"/>
      <w:r w:rsidR="002F345F" w:rsidRPr="008C295A">
        <w:rPr>
          <w:rFonts w:cs="Times New Roman"/>
        </w:rPr>
        <w:t>Raisch</w:t>
      </w:r>
      <w:proofErr w:type="spellEnd"/>
      <w:r w:rsidR="002F345F" w:rsidRPr="008C295A">
        <w:rPr>
          <w:rFonts w:cs="Times New Roman"/>
        </w:rPr>
        <w:t xml:space="preserve">, </w:t>
      </w:r>
      <w:r w:rsidR="002F345F">
        <w:rPr>
          <w:rFonts w:cs="Times New Roman"/>
        </w:rPr>
        <w:t xml:space="preserve">S. (2013) </w:t>
      </w:r>
      <w:r w:rsidR="002F345F" w:rsidRPr="008C295A">
        <w:rPr>
          <w:rFonts w:cs="Times New Roman"/>
          <w:i/>
          <w:iCs/>
        </w:rPr>
        <w:t xml:space="preserve">Corporate Turnarounds: The Duality of Retrenchment and Recovery, </w:t>
      </w:r>
      <w:r w:rsidR="002F345F" w:rsidRPr="008C295A">
        <w:rPr>
          <w:rFonts w:cs="Times New Roman"/>
        </w:rPr>
        <w:t xml:space="preserve">Journal of Management Studies, </w:t>
      </w:r>
      <w:r w:rsidR="002F345F">
        <w:rPr>
          <w:rFonts w:cs="Times New Roman"/>
        </w:rPr>
        <w:t>50(7)</w:t>
      </w:r>
      <w:r w:rsidR="00804E7E">
        <w:rPr>
          <w:rFonts w:cs="Times New Roman"/>
        </w:rPr>
        <w:t>, p</w:t>
      </w:r>
      <w:r w:rsidR="002F345F">
        <w:rPr>
          <w:rFonts w:cs="Times New Roman"/>
        </w:rPr>
        <w:t>.</w:t>
      </w:r>
      <w:r w:rsidR="00804E7E">
        <w:rPr>
          <w:rFonts w:cs="Times New Roman"/>
        </w:rPr>
        <w:t xml:space="preserve"> 1237.</w:t>
      </w:r>
    </w:p>
  </w:footnote>
  <w:footnote w:id="13">
    <w:p w14:paraId="777DC08B" w14:textId="7CD154FA" w:rsidR="00AE0277" w:rsidRDefault="00AE0277">
      <w:pPr>
        <w:pStyle w:val="FootnoteText"/>
      </w:pPr>
      <w:r>
        <w:rPr>
          <w:rStyle w:val="FootnoteReference"/>
        </w:rPr>
        <w:footnoteRef/>
      </w:r>
      <w:r>
        <w:t xml:space="preserve"> </w:t>
      </w:r>
      <w:proofErr w:type="spellStart"/>
      <w:r w:rsidR="002F345F" w:rsidRPr="002F345F">
        <w:rPr>
          <w:rFonts w:cs="Times New Roman"/>
        </w:rPr>
        <w:t>Andriaanse</w:t>
      </w:r>
      <w:proofErr w:type="spellEnd"/>
      <w:r w:rsidR="002F345F" w:rsidRPr="002F345F">
        <w:rPr>
          <w:rFonts w:cs="Times New Roman"/>
        </w:rPr>
        <w:t xml:space="preserve">, J.A.A., &amp; </w:t>
      </w:r>
      <w:proofErr w:type="spellStart"/>
      <w:r w:rsidR="002F345F" w:rsidRPr="002F345F">
        <w:rPr>
          <w:rFonts w:cs="Times New Roman"/>
        </w:rPr>
        <w:t>Kuijl</w:t>
      </w:r>
      <w:proofErr w:type="spellEnd"/>
      <w:r w:rsidR="002F345F" w:rsidRPr="002F345F">
        <w:rPr>
          <w:rFonts w:cs="Times New Roman"/>
        </w:rPr>
        <w:t xml:space="preserve">, J.G. (2006), </w:t>
      </w:r>
      <w:r w:rsidR="002F345F" w:rsidRPr="002F345F">
        <w:rPr>
          <w:rFonts w:cs="Times New Roman"/>
          <w:i/>
          <w:iCs/>
        </w:rPr>
        <w:t xml:space="preserve">Resolving Fictional Distress: Informal Reorganization in the Netherlands as a Beacon for Policy Makers in the CIS and CEE/SEE </w:t>
      </w:r>
      <w:proofErr w:type="gramStart"/>
      <w:r w:rsidR="002F345F" w:rsidRPr="002F345F">
        <w:rPr>
          <w:rFonts w:cs="Times New Roman"/>
          <w:i/>
          <w:iCs/>
        </w:rPr>
        <w:t>Regions?</w:t>
      </w:r>
      <w:r w:rsidR="002F345F" w:rsidRPr="002F345F">
        <w:rPr>
          <w:rFonts w:cs="Times New Roman"/>
        </w:rPr>
        <w:t>,</w:t>
      </w:r>
      <w:proofErr w:type="gramEnd"/>
      <w:r w:rsidR="002F345F" w:rsidRPr="002F345F">
        <w:rPr>
          <w:rFonts w:cs="Times New Roman"/>
        </w:rPr>
        <w:t xml:space="preserve"> Review of Central and East European Law, 31(2), </w:t>
      </w:r>
      <w:r w:rsidR="002F345F" w:rsidRPr="002F345F">
        <w:rPr>
          <w:rFonts w:ascii="Arial" w:hAnsi="Arial" w:cs="Arial"/>
          <w:b/>
          <w:bCs/>
          <w:i/>
          <w:iCs/>
        </w:rPr>
        <w:t xml:space="preserve">  </w:t>
      </w:r>
    </w:p>
  </w:footnote>
  <w:footnote w:id="14">
    <w:p w14:paraId="358BCCF5" w14:textId="396FF58F" w:rsidR="00974D0C" w:rsidRDefault="00974D0C">
      <w:pPr>
        <w:pStyle w:val="FootnoteText"/>
      </w:pPr>
      <w:r>
        <w:rPr>
          <w:rStyle w:val="FootnoteReference"/>
        </w:rPr>
        <w:footnoteRef/>
      </w:r>
      <w:r>
        <w:t xml:space="preserve"> </w:t>
      </w:r>
      <w:proofErr w:type="spellStart"/>
      <w:r w:rsidR="00EF322B" w:rsidRPr="002A4646">
        <w:rPr>
          <w:rFonts w:cs="Times New Roman"/>
        </w:rPr>
        <w:t>Pajunen</w:t>
      </w:r>
      <w:proofErr w:type="spellEnd"/>
      <w:r w:rsidR="00EF322B">
        <w:rPr>
          <w:rFonts w:cs="Times New Roman"/>
        </w:rPr>
        <w:t>, K. (2006)</w:t>
      </w:r>
      <w:r w:rsidR="00EF322B" w:rsidRPr="002A4646">
        <w:rPr>
          <w:rFonts w:cs="Times New Roman"/>
        </w:rPr>
        <w:t xml:space="preserve">, </w:t>
      </w:r>
      <w:r w:rsidR="00EF322B" w:rsidRPr="002A4646">
        <w:rPr>
          <w:rFonts w:cs="Times New Roman"/>
          <w:i/>
          <w:iCs/>
        </w:rPr>
        <w:t xml:space="preserve">Stakeholder influences in Organizational Survival, </w:t>
      </w:r>
      <w:r w:rsidR="00EF322B" w:rsidRPr="002A4646">
        <w:rPr>
          <w:rFonts w:cs="Times New Roman"/>
        </w:rPr>
        <w:t>Journal of Management Studies</w:t>
      </w:r>
      <w:r w:rsidR="00EF322B">
        <w:rPr>
          <w:rFonts w:cs="Times New Roman"/>
        </w:rPr>
        <w:t>, 43(6),</w:t>
      </w:r>
      <w:r>
        <w:t xml:space="preserve"> </w:t>
      </w:r>
      <w:r w:rsidR="00B25F15">
        <w:t>p.</w:t>
      </w:r>
      <w:r w:rsidR="00A211D9">
        <w:t xml:space="preserve"> 1283.</w:t>
      </w:r>
    </w:p>
  </w:footnote>
  <w:footnote w:id="15">
    <w:p w14:paraId="60DF80CA" w14:textId="68F16211" w:rsidR="00EC580F" w:rsidRDefault="00EC580F" w:rsidP="00EC580F">
      <w:pPr>
        <w:pStyle w:val="FootnoteText"/>
      </w:pPr>
      <w:r>
        <w:rPr>
          <w:rStyle w:val="FootnoteReference"/>
        </w:rPr>
        <w:footnoteRef/>
      </w:r>
      <w:r>
        <w:t xml:space="preserve"> </w:t>
      </w:r>
      <w:proofErr w:type="spellStart"/>
      <w:r w:rsidR="00730C57" w:rsidRPr="002F345F">
        <w:rPr>
          <w:rFonts w:cs="Times New Roman"/>
        </w:rPr>
        <w:t>Andriaanse</w:t>
      </w:r>
      <w:proofErr w:type="spellEnd"/>
      <w:r w:rsidR="00730C57" w:rsidRPr="002F345F">
        <w:rPr>
          <w:rFonts w:cs="Times New Roman"/>
        </w:rPr>
        <w:t xml:space="preserve">, J.A.A., &amp; </w:t>
      </w:r>
      <w:proofErr w:type="spellStart"/>
      <w:r w:rsidR="00730C57" w:rsidRPr="002F345F">
        <w:rPr>
          <w:rFonts w:cs="Times New Roman"/>
        </w:rPr>
        <w:t>Kuijl</w:t>
      </w:r>
      <w:proofErr w:type="spellEnd"/>
      <w:r w:rsidR="00730C57" w:rsidRPr="002F345F">
        <w:rPr>
          <w:rFonts w:cs="Times New Roman"/>
        </w:rPr>
        <w:t xml:space="preserve">, J.G. (2006), </w:t>
      </w:r>
      <w:r w:rsidR="00730C57" w:rsidRPr="002F345F">
        <w:rPr>
          <w:rFonts w:cs="Times New Roman"/>
          <w:i/>
          <w:iCs/>
        </w:rPr>
        <w:t xml:space="preserve">Resolving Fictional Distress: Informal Reorganization in the Netherlands as a Beacon for Policy Makers in the CIS and CEE/SEE </w:t>
      </w:r>
      <w:proofErr w:type="gramStart"/>
      <w:r w:rsidR="00730C57" w:rsidRPr="002F345F">
        <w:rPr>
          <w:rFonts w:cs="Times New Roman"/>
          <w:i/>
          <w:iCs/>
        </w:rPr>
        <w:t>Regions?</w:t>
      </w:r>
      <w:r w:rsidR="00730C57" w:rsidRPr="002F345F">
        <w:rPr>
          <w:rFonts w:cs="Times New Roman"/>
        </w:rPr>
        <w:t>,</w:t>
      </w:r>
      <w:proofErr w:type="gramEnd"/>
      <w:r w:rsidR="00730C57" w:rsidRPr="002F345F">
        <w:rPr>
          <w:rFonts w:cs="Times New Roman"/>
        </w:rPr>
        <w:t xml:space="preserve"> Review of Central and East European Law, 31(2), </w:t>
      </w:r>
      <w:r w:rsidR="00730C57" w:rsidRPr="002F345F">
        <w:rPr>
          <w:rFonts w:ascii="Arial" w:hAnsi="Arial" w:cs="Arial"/>
          <w:b/>
          <w:bCs/>
          <w:i/>
          <w:iCs/>
        </w:rPr>
        <w:t xml:space="preserve">  </w:t>
      </w:r>
    </w:p>
  </w:footnote>
  <w:footnote w:id="16">
    <w:p w14:paraId="3BD3FD33" w14:textId="19AED67B" w:rsidR="0029257E" w:rsidRDefault="0029257E" w:rsidP="0029257E">
      <w:pPr>
        <w:pStyle w:val="FootnoteText"/>
      </w:pPr>
      <w:r>
        <w:rPr>
          <w:rStyle w:val="FootnoteReference"/>
        </w:rPr>
        <w:footnoteRef/>
      </w:r>
      <w:r>
        <w:t xml:space="preserve"> </w:t>
      </w:r>
      <w:r w:rsidR="00DD4CDE">
        <w:rPr>
          <w:rFonts w:cs="Times New Roman"/>
        </w:rPr>
        <w:t>Ibid.</w:t>
      </w:r>
    </w:p>
  </w:footnote>
  <w:footnote w:id="17">
    <w:p w14:paraId="1C30F9FE" w14:textId="76FDC616" w:rsidR="00D10780" w:rsidRDefault="00D10780" w:rsidP="00D10780">
      <w:pPr>
        <w:pStyle w:val="FootnoteText"/>
      </w:pPr>
      <w:r>
        <w:rPr>
          <w:rStyle w:val="FootnoteReference"/>
        </w:rPr>
        <w:footnoteRef/>
      </w:r>
      <w:r>
        <w:t xml:space="preserve"> </w:t>
      </w:r>
      <w:r w:rsidR="00DD4CDE">
        <w:t xml:space="preserve">Ibid. </w:t>
      </w:r>
    </w:p>
  </w:footnote>
  <w:footnote w:id="18">
    <w:p w14:paraId="34403DAB" w14:textId="37B5C638" w:rsidR="008D1DA3" w:rsidRPr="003A5C19" w:rsidRDefault="00A75465" w:rsidP="008D1DA3">
      <w:pPr>
        <w:spacing w:after="0" w:line="276" w:lineRule="auto"/>
        <w:rPr>
          <w:rFonts w:cs="Times New Roman"/>
          <w:sz w:val="20"/>
          <w:szCs w:val="20"/>
        </w:rPr>
      </w:pPr>
      <w:r>
        <w:rPr>
          <w:rStyle w:val="FootnoteReference"/>
        </w:rPr>
        <w:footnoteRef/>
      </w:r>
      <w:r>
        <w:t xml:space="preserve"> </w:t>
      </w:r>
      <w:proofErr w:type="spellStart"/>
      <w:r w:rsidR="008D1DA3" w:rsidRPr="002A4646">
        <w:rPr>
          <w:rFonts w:cs="Times New Roman"/>
          <w:sz w:val="20"/>
          <w:szCs w:val="20"/>
        </w:rPr>
        <w:t>Pajunen</w:t>
      </w:r>
      <w:proofErr w:type="spellEnd"/>
      <w:r w:rsidR="008D1DA3">
        <w:rPr>
          <w:rFonts w:cs="Times New Roman"/>
          <w:sz w:val="20"/>
          <w:szCs w:val="20"/>
        </w:rPr>
        <w:t>, K. (2006)</w:t>
      </w:r>
      <w:r w:rsidR="008D1DA3" w:rsidRPr="002A4646">
        <w:rPr>
          <w:rFonts w:cs="Times New Roman"/>
          <w:sz w:val="20"/>
          <w:szCs w:val="20"/>
        </w:rPr>
        <w:t xml:space="preserve">, </w:t>
      </w:r>
      <w:r w:rsidR="008D1DA3" w:rsidRPr="002A4646">
        <w:rPr>
          <w:rFonts w:cs="Times New Roman"/>
          <w:i/>
          <w:iCs/>
          <w:sz w:val="20"/>
          <w:szCs w:val="20"/>
        </w:rPr>
        <w:t xml:space="preserve">Stakeholder influences in Organizational Survival, </w:t>
      </w:r>
      <w:r w:rsidR="008D1DA3" w:rsidRPr="002A4646">
        <w:rPr>
          <w:rFonts w:cs="Times New Roman"/>
          <w:sz w:val="20"/>
          <w:szCs w:val="20"/>
        </w:rPr>
        <w:t>Journal of Management Studies</w:t>
      </w:r>
      <w:r w:rsidR="008D1DA3">
        <w:rPr>
          <w:rFonts w:cs="Times New Roman"/>
          <w:sz w:val="20"/>
          <w:szCs w:val="20"/>
        </w:rPr>
        <w:t>, 43(6),</w:t>
      </w:r>
      <w:r w:rsidR="00457216">
        <w:rPr>
          <w:rFonts w:cs="Times New Roman"/>
          <w:sz w:val="20"/>
          <w:szCs w:val="20"/>
        </w:rPr>
        <w:t xml:space="preserve"> p.1269.</w:t>
      </w:r>
    </w:p>
    <w:p w14:paraId="30CE7620" w14:textId="1F8A8EE2" w:rsidR="00A75465" w:rsidRDefault="00A75465">
      <w:pPr>
        <w:pStyle w:val="FootnoteText"/>
      </w:pPr>
    </w:p>
  </w:footnote>
  <w:footnote w:id="19">
    <w:p w14:paraId="6C4D98FD" w14:textId="2E5606D3" w:rsidR="00B30BBA" w:rsidRDefault="00B30BBA">
      <w:pPr>
        <w:pStyle w:val="FootnoteText"/>
      </w:pPr>
      <w:r>
        <w:rPr>
          <w:rStyle w:val="FootnoteReference"/>
        </w:rPr>
        <w:footnoteRef/>
      </w:r>
      <w:r>
        <w:t xml:space="preserve"> </w:t>
      </w:r>
      <w:proofErr w:type="spellStart"/>
      <w:r w:rsidR="003E269D">
        <w:t>Sudarsanam</w:t>
      </w:r>
      <w:proofErr w:type="spellEnd"/>
      <w:r w:rsidR="003E269D">
        <w:t>, S., Lai, J., (2001)</w:t>
      </w:r>
      <w:r w:rsidR="009859F6">
        <w:t xml:space="preserve">, </w:t>
      </w:r>
      <w:r w:rsidR="009859F6">
        <w:rPr>
          <w:i/>
          <w:iCs/>
        </w:rPr>
        <w:t xml:space="preserve">Corporate Financial Distress and Turnaround </w:t>
      </w:r>
      <w:proofErr w:type="spellStart"/>
      <w:proofErr w:type="gramStart"/>
      <w:r w:rsidR="009859F6">
        <w:rPr>
          <w:i/>
          <w:iCs/>
        </w:rPr>
        <w:t>Strategies</w:t>
      </w:r>
      <w:r w:rsidR="00C47EAB">
        <w:rPr>
          <w:i/>
          <w:iCs/>
        </w:rPr>
        <w:t>:An</w:t>
      </w:r>
      <w:proofErr w:type="spellEnd"/>
      <w:proofErr w:type="gramEnd"/>
      <w:r w:rsidR="00C47EAB">
        <w:rPr>
          <w:i/>
          <w:iCs/>
        </w:rPr>
        <w:t xml:space="preserve"> Empirical Analysis”, </w:t>
      </w:r>
      <w:r w:rsidR="00C47EAB">
        <w:t>British Journal of Managem</w:t>
      </w:r>
      <w:r w:rsidR="00E36963">
        <w:t xml:space="preserve">ent, Vol. 12, p. 184. </w:t>
      </w:r>
      <w:r w:rsidR="003E269D">
        <w:t xml:space="preserve"> </w:t>
      </w:r>
    </w:p>
  </w:footnote>
  <w:footnote w:id="20">
    <w:p w14:paraId="071E418D" w14:textId="145EF7E3" w:rsidR="003F1C3F" w:rsidRDefault="003F1C3F">
      <w:pPr>
        <w:pStyle w:val="FootnoteText"/>
      </w:pPr>
      <w:r>
        <w:rPr>
          <w:rStyle w:val="FootnoteReference"/>
        </w:rPr>
        <w:footnoteRef/>
      </w:r>
      <w:r>
        <w:t xml:space="preserve"> </w:t>
      </w:r>
      <w:proofErr w:type="spellStart"/>
      <w:r w:rsidRPr="002A4646">
        <w:rPr>
          <w:rFonts w:cs="Times New Roman"/>
        </w:rPr>
        <w:t>Pajunen</w:t>
      </w:r>
      <w:proofErr w:type="spellEnd"/>
      <w:r>
        <w:rPr>
          <w:rFonts w:cs="Times New Roman"/>
        </w:rPr>
        <w:t>, K. (2006)</w:t>
      </w:r>
      <w:r w:rsidRPr="002A4646">
        <w:rPr>
          <w:rFonts w:cs="Times New Roman"/>
        </w:rPr>
        <w:t xml:space="preserve">, </w:t>
      </w:r>
      <w:r w:rsidRPr="002A4646">
        <w:rPr>
          <w:rFonts w:cs="Times New Roman"/>
          <w:i/>
          <w:iCs/>
        </w:rPr>
        <w:t xml:space="preserve">Stakeholder influences in Organizational Survival, </w:t>
      </w:r>
      <w:r w:rsidRPr="002A4646">
        <w:rPr>
          <w:rFonts w:cs="Times New Roman"/>
        </w:rPr>
        <w:t>Journal of Management Studies</w:t>
      </w:r>
      <w:r>
        <w:rPr>
          <w:rFonts w:cs="Times New Roman"/>
        </w:rPr>
        <w:t>, 43(6),</w:t>
      </w:r>
      <w:r>
        <w:rPr>
          <w:rFonts w:cs="Times New Roman"/>
        </w:rPr>
        <w:t xml:space="preserve"> p.</w:t>
      </w:r>
      <w:r w:rsidR="00A2635C">
        <w:rPr>
          <w:rFonts w:cs="Times New Roman"/>
        </w:rPr>
        <w:t xml:space="preserve">1264 – 1265. </w:t>
      </w:r>
    </w:p>
  </w:footnote>
  <w:footnote w:id="21">
    <w:p w14:paraId="748AE15C" w14:textId="115FA4BF" w:rsidR="00DF0B3F" w:rsidRDefault="00DF0B3F">
      <w:pPr>
        <w:pStyle w:val="FootnoteText"/>
      </w:pPr>
      <w:r>
        <w:rPr>
          <w:rStyle w:val="FootnoteReference"/>
        </w:rPr>
        <w:footnoteRef/>
      </w:r>
      <w:r>
        <w:t xml:space="preserve"> Ibid. </w:t>
      </w:r>
      <w:r w:rsidR="003262AE">
        <w:t>p. 1274 - 1275</w:t>
      </w:r>
    </w:p>
  </w:footnote>
  <w:footnote w:id="22">
    <w:p w14:paraId="1254055C" w14:textId="51CDC4D8" w:rsidR="00E10989" w:rsidRPr="00A96CD6" w:rsidRDefault="00E10989">
      <w:pPr>
        <w:pStyle w:val="FootnoteText"/>
      </w:pPr>
      <w:r>
        <w:rPr>
          <w:rStyle w:val="FootnoteReference"/>
        </w:rPr>
        <w:footnoteRef/>
      </w:r>
      <w:r>
        <w:t xml:space="preserve"> INSOL International (2017)</w:t>
      </w:r>
      <w:r w:rsidR="00A96CD6">
        <w:t xml:space="preserve">, </w:t>
      </w:r>
      <w:r w:rsidR="00A96CD6">
        <w:rPr>
          <w:i/>
          <w:iCs/>
        </w:rPr>
        <w:t xml:space="preserve">Statement of Principles for a Global Approach to Multi-Creditor Workouts II, </w:t>
      </w:r>
      <w:r w:rsidR="00A96CD6">
        <w:t>P.P. 24-25</w:t>
      </w:r>
      <w:r w:rsidR="00DA3415">
        <w:t>.</w:t>
      </w:r>
    </w:p>
  </w:footnote>
  <w:footnote w:id="23">
    <w:p w14:paraId="2CB9F49C" w14:textId="4EDC0F6A" w:rsidR="001E12AD" w:rsidRDefault="001E12AD">
      <w:pPr>
        <w:pStyle w:val="FootnoteText"/>
      </w:pPr>
      <w:r>
        <w:rPr>
          <w:rStyle w:val="FootnoteReference"/>
        </w:rPr>
        <w:footnoteRef/>
      </w:r>
      <w:r>
        <w:t xml:space="preserve"> Ibid. p.p. </w:t>
      </w:r>
      <w:r w:rsidR="00E419AC">
        <w:t>6 – 13.</w:t>
      </w:r>
    </w:p>
  </w:footnote>
  <w:footnote w:id="24">
    <w:p w14:paraId="0A93A57C" w14:textId="19FF4C7E" w:rsidR="00404F96" w:rsidRDefault="00404F96">
      <w:pPr>
        <w:pStyle w:val="FootnoteText"/>
      </w:pPr>
      <w:r>
        <w:rPr>
          <w:rStyle w:val="FootnoteReference"/>
        </w:rPr>
        <w:footnoteRef/>
      </w:r>
      <w:r>
        <w:t xml:space="preserve"> Ibid. </w:t>
      </w:r>
      <w:r w:rsidR="00E42E34">
        <w:t>17.</w:t>
      </w:r>
    </w:p>
  </w:footnote>
  <w:footnote w:id="25">
    <w:p w14:paraId="4B823C9D" w14:textId="40F63ADB" w:rsidR="00587938" w:rsidRDefault="00587938">
      <w:pPr>
        <w:pStyle w:val="FootnoteText"/>
      </w:pPr>
      <w:r>
        <w:rPr>
          <w:rStyle w:val="FootnoteReference"/>
        </w:rPr>
        <w:footnoteRef/>
      </w:r>
      <w:r>
        <w:t xml:space="preserve"> Ibid. </w:t>
      </w:r>
      <w:r w:rsidR="00E42E34">
        <w:t>18.</w:t>
      </w:r>
    </w:p>
  </w:footnote>
  <w:footnote w:id="26">
    <w:p w14:paraId="4C4EC174" w14:textId="5E05705A" w:rsidR="00D869DE" w:rsidRDefault="00D869DE">
      <w:pPr>
        <w:pStyle w:val="FootnoteText"/>
      </w:pPr>
      <w:r>
        <w:rPr>
          <w:rStyle w:val="FootnoteReference"/>
        </w:rPr>
        <w:footnoteRef/>
      </w:r>
      <w:r>
        <w:t xml:space="preserve"> </w:t>
      </w:r>
      <w:proofErr w:type="spellStart"/>
      <w:r>
        <w:t>Iidd</w:t>
      </w:r>
      <w:proofErr w:type="spellEnd"/>
      <w:r>
        <w:t xml:space="preserve">. p.p. </w:t>
      </w:r>
      <w:r w:rsidR="008347E1">
        <w:t>29</w:t>
      </w:r>
      <w:r w:rsidR="00DA3415">
        <w:t>.</w:t>
      </w:r>
    </w:p>
  </w:footnote>
  <w:footnote w:id="27">
    <w:p w14:paraId="2871CDDC" w14:textId="11B41D64" w:rsidR="00FC271E" w:rsidRDefault="00FC271E">
      <w:pPr>
        <w:pStyle w:val="FootnoteText"/>
      </w:pPr>
      <w:r>
        <w:rPr>
          <w:rStyle w:val="FootnoteReference"/>
        </w:rPr>
        <w:footnoteRef/>
      </w:r>
      <w:r>
        <w:t xml:space="preserve"> Ibid. p.p. 26</w:t>
      </w:r>
      <w:r w:rsidR="00DA3415">
        <w:t>.</w:t>
      </w:r>
    </w:p>
  </w:footnote>
  <w:footnote w:id="28">
    <w:p w14:paraId="21CB53A8" w14:textId="0817A482" w:rsidR="00850D2F" w:rsidRPr="00E367FB" w:rsidRDefault="00850D2F">
      <w:pPr>
        <w:pStyle w:val="FootnoteText"/>
        <w:rPr>
          <w:lang w:val="el-GR"/>
        </w:rPr>
      </w:pPr>
      <w:r>
        <w:rPr>
          <w:rStyle w:val="FootnoteReference"/>
        </w:rPr>
        <w:footnoteRef/>
      </w:r>
      <w:r>
        <w:t xml:space="preserve"> Ibid. p. </w:t>
      </w:r>
      <w:r w:rsidR="005E5AAA">
        <w:t>16.</w:t>
      </w:r>
    </w:p>
  </w:footnote>
  <w:footnote w:id="29">
    <w:p w14:paraId="4C886670" w14:textId="42E221FC" w:rsidR="00750507" w:rsidRPr="00403B1D" w:rsidRDefault="00750507">
      <w:pPr>
        <w:pStyle w:val="FootnoteText"/>
      </w:pPr>
      <w:r>
        <w:rPr>
          <w:rStyle w:val="FootnoteReference"/>
        </w:rPr>
        <w:footnoteRef/>
      </w:r>
      <w:r w:rsidRPr="00750507">
        <w:t xml:space="preserve"> </w:t>
      </w:r>
      <w:r>
        <w:t xml:space="preserve">Companies Law, </w:t>
      </w:r>
      <w:r w:rsidR="00DF2739">
        <w:t>Cap. 113 of the Laws of Cyprus, sections 198-200</w:t>
      </w:r>
      <w:r w:rsidR="008B1B05" w:rsidRPr="008B1B05">
        <w:t xml:space="preserve"> </w:t>
      </w:r>
      <w:r w:rsidR="00DF2739">
        <w:t>(</w:t>
      </w:r>
      <w:hyperlink r:id="rId1" w:history="1">
        <w:r w:rsidR="008B1B05" w:rsidRPr="008B4A36">
          <w:rPr>
            <w:rStyle w:val="Hyperlink"/>
          </w:rPr>
          <w:t>https://uncitral.un.org/en/texts/insolvency/modellaw/cross-border_insolvency</w:t>
        </w:r>
      </w:hyperlink>
      <w:r w:rsidR="008B1B05" w:rsidRPr="008B1B05">
        <w:t xml:space="preserve"> </w:t>
      </w:r>
      <w:r w:rsidR="00403B1D" w:rsidRPr="00403B1D">
        <w:t>)</w:t>
      </w:r>
    </w:p>
  </w:footnote>
  <w:footnote w:id="30">
    <w:p w14:paraId="6DE22946" w14:textId="037A6A5F" w:rsidR="000134D7" w:rsidRDefault="000134D7">
      <w:pPr>
        <w:pStyle w:val="FootnoteText"/>
      </w:pPr>
      <w:r>
        <w:rPr>
          <w:rStyle w:val="FootnoteReference"/>
        </w:rPr>
        <w:footnoteRef/>
      </w:r>
      <w:r>
        <w:t xml:space="preserve"> </w:t>
      </w:r>
      <w:r>
        <w:t xml:space="preserve">Companies Law, Cap. 113 of the Laws of Cyprus, </w:t>
      </w:r>
      <w:r w:rsidR="00C81C02">
        <w:t>Part IVA,</w:t>
      </w:r>
      <w:r w:rsidRPr="008B1B05">
        <w:t xml:space="preserve"> </w:t>
      </w:r>
      <w:r>
        <w:t>(</w:t>
      </w:r>
      <w:hyperlink r:id="rId2" w:history="1">
        <w:r w:rsidRPr="008B4A36">
          <w:rPr>
            <w:rStyle w:val="Hyperlink"/>
          </w:rPr>
          <w:t>https://uncitral.un.org/en/texts/insolvency/modellaw/cross-border_insolvency</w:t>
        </w:r>
      </w:hyperlink>
      <w:r w:rsidRPr="008B1B05">
        <w:t xml:space="preserve"> </w:t>
      </w:r>
      <w:r w:rsidRPr="00403B1D">
        <w:t>)</w:t>
      </w:r>
    </w:p>
  </w:footnote>
  <w:footnote w:id="31">
    <w:p w14:paraId="56523D4C" w14:textId="77777777" w:rsidR="00BE7C84" w:rsidRPr="00750507" w:rsidRDefault="00BE7C84" w:rsidP="00BE7C84">
      <w:pPr>
        <w:pStyle w:val="FootnoteText"/>
      </w:pPr>
      <w:r>
        <w:rPr>
          <w:rStyle w:val="FootnoteReference"/>
        </w:rPr>
        <w:footnoteRef/>
      </w:r>
      <w:r w:rsidRPr="00750507">
        <w:t xml:space="preserve"> </w:t>
      </w:r>
      <w:r w:rsidRPr="00394BEB">
        <w:t>https</w:t>
      </w:r>
      <w:r w:rsidRPr="00750507">
        <w:t>://</w:t>
      </w:r>
      <w:r w:rsidRPr="00394BEB">
        <w:t>uncitral</w:t>
      </w:r>
      <w:r w:rsidRPr="00750507">
        <w:t>.</w:t>
      </w:r>
      <w:r w:rsidRPr="00394BEB">
        <w:t>un</w:t>
      </w:r>
      <w:r w:rsidRPr="00750507">
        <w:t>.</w:t>
      </w:r>
      <w:r w:rsidRPr="00394BEB">
        <w:t>org</w:t>
      </w:r>
      <w:r w:rsidRPr="00750507">
        <w:t>/</w:t>
      </w:r>
      <w:r w:rsidRPr="00394BEB">
        <w:t>en</w:t>
      </w:r>
      <w:r w:rsidRPr="00750507">
        <w:t>/</w:t>
      </w:r>
      <w:r w:rsidRPr="00394BEB">
        <w:t>texts</w:t>
      </w:r>
      <w:r w:rsidRPr="00750507">
        <w:t>/</w:t>
      </w:r>
      <w:r w:rsidRPr="00394BEB">
        <w:t>insolvency</w:t>
      </w:r>
      <w:r w:rsidRPr="00750507">
        <w:t>/</w:t>
      </w:r>
      <w:r w:rsidRPr="00394BEB">
        <w:t>modellaw</w:t>
      </w:r>
      <w:r w:rsidRPr="00750507">
        <w:t>/</w:t>
      </w:r>
      <w:r w:rsidRPr="00394BEB">
        <w:t>cross</w:t>
      </w:r>
      <w:r w:rsidRPr="00750507">
        <w:t>-</w:t>
      </w:r>
      <w:r w:rsidRPr="00394BEB">
        <w:t>border</w:t>
      </w:r>
      <w:r w:rsidRPr="00750507">
        <w:t>_</w:t>
      </w:r>
      <w:r w:rsidRPr="00394BEB">
        <w:t>insolvency</w:t>
      </w:r>
    </w:p>
  </w:footnote>
  <w:footnote w:id="32">
    <w:p w14:paraId="42594342" w14:textId="28A80768" w:rsidR="00FD1B24" w:rsidRPr="00750507" w:rsidRDefault="00FD1B24">
      <w:pPr>
        <w:pStyle w:val="FootnoteText"/>
      </w:pPr>
      <w:r>
        <w:rPr>
          <w:rStyle w:val="FootnoteReference"/>
        </w:rPr>
        <w:footnoteRef/>
      </w:r>
      <w:r w:rsidRPr="00750507">
        <w:t xml:space="preserve"> </w:t>
      </w:r>
      <w:r w:rsidR="00394BEB" w:rsidRPr="00394BEB">
        <w:t>https</w:t>
      </w:r>
      <w:r w:rsidR="00394BEB" w:rsidRPr="00750507">
        <w:t>://</w:t>
      </w:r>
      <w:r w:rsidR="00394BEB" w:rsidRPr="00394BEB">
        <w:t>uncitral</w:t>
      </w:r>
      <w:r w:rsidR="00394BEB" w:rsidRPr="00750507">
        <w:t>.</w:t>
      </w:r>
      <w:r w:rsidR="00394BEB" w:rsidRPr="00394BEB">
        <w:t>un</w:t>
      </w:r>
      <w:r w:rsidR="00394BEB" w:rsidRPr="00750507">
        <w:t>.</w:t>
      </w:r>
      <w:r w:rsidR="00394BEB" w:rsidRPr="00394BEB">
        <w:t>org</w:t>
      </w:r>
      <w:r w:rsidR="00394BEB" w:rsidRPr="00750507">
        <w:t>/</w:t>
      </w:r>
      <w:r w:rsidR="00394BEB" w:rsidRPr="00394BEB">
        <w:t>en</w:t>
      </w:r>
      <w:r w:rsidR="00394BEB" w:rsidRPr="00750507">
        <w:t>/</w:t>
      </w:r>
      <w:r w:rsidR="00394BEB" w:rsidRPr="00394BEB">
        <w:t>texts</w:t>
      </w:r>
      <w:r w:rsidR="00394BEB" w:rsidRPr="00750507">
        <w:t>/</w:t>
      </w:r>
      <w:r w:rsidR="00394BEB" w:rsidRPr="00394BEB">
        <w:t>insolvency</w:t>
      </w:r>
      <w:r w:rsidR="00394BEB" w:rsidRPr="00750507">
        <w:t>/</w:t>
      </w:r>
      <w:r w:rsidR="00394BEB" w:rsidRPr="00394BEB">
        <w:t>modellaw</w:t>
      </w:r>
      <w:r w:rsidR="00394BEB" w:rsidRPr="00750507">
        <w:t>/</w:t>
      </w:r>
      <w:r w:rsidR="00394BEB" w:rsidRPr="00394BEB">
        <w:t>cross</w:t>
      </w:r>
      <w:r w:rsidR="00394BEB" w:rsidRPr="00750507">
        <w:t>-</w:t>
      </w:r>
      <w:r w:rsidR="00394BEB" w:rsidRPr="00394BEB">
        <w:t>border</w:t>
      </w:r>
      <w:r w:rsidR="00394BEB" w:rsidRPr="00750507">
        <w:t>_</w:t>
      </w:r>
      <w:r w:rsidR="00394BEB" w:rsidRPr="00394BEB">
        <w:t>insolvency</w:t>
      </w:r>
    </w:p>
  </w:footnote>
  <w:footnote w:id="33">
    <w:p w14:paraId="047AFB26" w14:textId="39D2239C" w:rsidR="00E0496F" w:rsidRDefault="00E0496F">
      <w:pPr>
        <w:pStyle w:val="FootnoteText"/>
      </w:pPr>
      <w:r>
        <w:rPr>
          <w:rStyle w:val="FootnoteReference"/>
        </w:rPr>
        <w:footnoteRef/>
      </w:r>
      <w:r>
        <w:t xml:space="preserve"> </w:t>
      </w:r>
      <w:proofErr w:type="spellStart"/>
      <w:r w:rsidR="004356F2" w:rsidRPr="00CD213D">
        <w:rPr>
          <w:rFonts w:cs="Times New Roman"/>
        </w:rPr>
        <w:t>Mellahi</w:t>
      </w:r>
      <w:proofErr w:type="spellEnd"/>
      <w:r w:rsidR="004356F2" w:rsidRPr="00CD213D">
        <w:rPr>
          <w:rFonts w:cs="Times New Roman"/>
        </w:rPr>
        <w:t xml:space="preserve"> </w:t>
      </w:r>
      <w:r w:rsidR="004356F2">
        <w:rPr>
          <w:rFonts w:cs="Times New Roman"/>
        </w:rPr>
        <w:t xml:space="preserve">K. </w:t>
      </w:r>
      <w:r w:rsidR="004356F2" w:rsidRPr="00CD213D">
        <w:rPr>
          <w:rFonts w:cs="Times New Roman"/>
        </w:rPr>
        <w:t>&amp; Wilkinson</w:t>
      </w:r>
      <w:r w:rsidR="004356F2">
        <w:rPr>
          <w:rFonts w:cs="Times New Roman"/>
        </w:rPr>
        <w:t xml:space="preserve"> a. (2004)</w:t>
      </w:r>
      <w:r w:rsidR="004356F2" w:rsidRPr="00CD213D">
        <w:rPr>
          <w:rFonts w:cs="Times New Roman"/>
        </w:rPr>
        <w:t xml:space="preserve">, </w:t>
      </w:r>
      <w:r w:rsidR="004356F2" w:rsidRPr="00CD213D">
        <w:rPr>
          <w:rFonts w:cs="Times New Roman"/>
          <w:i/>
          <w:iCs/>
        </w:rPr>
        <w:t xml:space="preserve">Organizational Failure: a critique of recent research and a proposed integrative framework, </w:t>
      </w:r>
      <w:r w:rsidR="004356F2" w:rsidRPr="00CD213D">
        <w:rPr>
          <w:rFonts w:cs="Times New Roman"/>
        </w:rPr>
        <w:t xml:space="preserve">International Journal of Management Reviews, </w:t>
      </w:r>
      <w:r w:rsidR="004356F2">
        <w:rPr>
          <w:rFonts w:cs="Times New Roman"/>
        </w:rPr>
        <w:t>5(1),</w:t>
      </w:r>
      <w:r w:rsidR="004356F2">
        <w:rPr>
          <w:rFonts w:cs="Times New Roman"/>
        </w:rPr>
        <w:t xml:space="preserve"> </w:t>
      </w:r>
      <w:r w:rsidR="00EE6DAD">
        <w:rPr>
          <w:rFonts w:cs="Times New Roman"/>
        </w:rPr>
        <w:t>p.26.</w:t>
      </w:r>
    </w:p>
  </w:footnote>
  <w:footnote w:id="34">
    <w:p w14:paraId="3C4038D3" w14:textId="1AD256F3" w:rsidR="00C741CD" w:rsidRDefault="00C741CD">
      <w:pPr>
        <w:pStyle w:val="FootnoteText"/>
      </w:pPr>
      <w:r>
        <w:rPr>
          <w:rStyle w:val="FootnoteReference"/>
        </w:rPr>
        <w:footnoteRef/>
      </w:r>
      <w:r>
        <w:t xml:space="preserve"> Although </w:t>
      </w:r>
      <w:r w:rsidR="00696B4B">
        <w:t xml:space="preserve">the </w:t>
      </w:r>
      <w:r w:rsidR="008910FD">
        <w:t xml:space="preserve">country of registration of Flow Management II BV is not explicitly mentioned in the case study, it </w:t>
      </w:r>
      <w:r w:rsidR="006057C7">
        <w:t xml:space="preserve">is implied by the initial ‘BV’ in its title.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C7E"/>
    <w:multiLevelType w:val="hybridMultilevel"/>
    <w:tmpl w:val="3D4E2C7C"/>
    <w:lvl w:ilvl="0" w:tplc="BCF6A2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44670"/>
    <w:multiLevelType w:val="hybridMultilevel"/>
    <w:tmpl w:val="32EC0C80"/>
    <w:lvl w:ilvl="0" w:tplc="DA2EAB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A44FD"/>
    <w:multiLevelType w:val="hybridMultilevel"/>
    <w:tmpl w:val="2A30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A0665B"/>
    <w:multiLevelType w:val="hybridMultilevel"/>
    <w:tmpl w:val="B0065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93AF4"/>
    <w:multiLevelType w:val="hybridMultilevel"/>
    <w:tmpl w:val="5B64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03"/>
    <w:rsid w:val="000037AC"/>
    <w:rsid w:val="000047C7"/>
    <w:rsid w:val="000047FD"/>
    <w:rsid w:val="00005497"/>
    <w:rsid w:val="00006896"/>
    <w:rsid w:val="00006C69"/>
    <w:rsid w:val="000134D7"/>
    <w:rsid w:val="0001371F"/>
    <w:rsid w:val="00014759"/>
    <w:rsid w:val="00017C2D"/>
    <w:rsid w:val="0002631A"/>
    <w:rsid w:val="000274D1"/>
    <w:rsid w:val="00031C55"/>
    <w:rsid w:val="00034337"/>
    <w:rsid w:val="00034B38"/>
    <w:rsid w:val="0003732A"/>
    <w:rsid w:val="00037338"/>
    <w:rsid w:val="000378B1"/>
    <w:rsid w:val="00037C5A"/>
    <w:rsid w:val="00040F00"/>
    <w:rsid w:val="0004553F"/>
    <w:rsid w:val="00046169"/>
    <w:rsid w:val="000471CF"/>
    <w:rsid w:val="00047F08"/>
    <w:rsid w:val="00052E29"/>
    <w:rsid w:val="00056007"/>
    <w:rsid w:val="00056136"/>
    <w:rsid w:val="00061595"/>
    <w:rsid w:val="00061939"/>
    <w:rsid w:val="000675D7"/>
    <w:rsid w:val="000677C7"/>
    <w:rsid w:val="00072454"/>
    <w:rsid w:val="00073ACA"/>
    <w:rsid w:val="00076501"/>
    <w:rsid w:val="00076AA2"/>
    <w:rsid w:val="00076DF8"/>
    <w:rsid w:val="00080239"/>
    <w:rsid w:val="00083B66"/>
    <w:rsid w:val="0008491A"/>
    <w:rsid w:val="00084CC5"/>
    <w:rsid w:val="000858B3"/>
    <w:rsid w:val="000864FA"/>
    <w:rsid w:val="000946E3"/>
    <w:rsid w:val="00095BBD"/>
    <w:rsid w:val="000962AF"/>
    <w:rsid w:val="000968AD"/>
    <w:rsid w:val="00096B2B"/>
    <w:rsid w:val="000A290E"/>
    <w:rsid w:val="000A353D"/>
    <w:rsid w:val="000A4530"/>
    <w:rsid w:val="000A5BD6"/>
    <w:rsid w:val="000A68C4"/>
    <w:rsid w:val="000B36B1"/>
    <w:rsid w:val="000B54A9"/>
    <w:rsid w:val="000C206E"/>
    <w:rsid w:val="000C4D1E"/>
    <w:rsid w:val="000C50C7"/>
    <w:rsid w:val="000C5FCE"/>
    <w:rsid w:val="000C6BF5"/>
    <w:rsid w:val="000C7070"/>
    <w:rsid w:val="000C78C6"/>
    <w:rsid w:val="000D400B"/>
    <w:rsid w:val="000D41B1"/>
    <w:rsid w:val="000D5CAD"/>
    <w:rsid w:val="000D5DBC"/>
    <w:rsid w:val="000E06EC"/>
    <w:rsid w:val="000E0E7F"/>
    <w:rsid w:val="000E1B5E"/>
    <w:rsid w:val="000E2B34"/>
    <w:rsid w:val="000E3D79"/>
    <w:rsid w:val="000E52C7"/>
    <w:rsid w:val="000E6822"/>
    <w:rsid w:val="000F166E"/>
    <w:rsid w:val="000F4665"/>
    <w:rsid w:val="000F6C42"/>
    <w:rsid w:val="001005A4"/>
    <w:rsid w:val="001005E2"/>
    <w:rsid w:val="00103EE2"/>
    <w:rsid w:val="0010456E"/>
    <w:rsid w:val="001048B3"/>
    <w:rsid w:val="001051B5"/>
    <w:rsid w:val="00105340"/>
    <w:rsid w:val="00106FB1"/>
    <w:rsid w:val="0011341C"/>
    <w:rsid w:val="00116E2C"/>
    <w:rsid w:val="00117FF2"/>
    <w:rsid w:val="0012003F"/>
    <w:rsid w:val="00124454"/>
    <w:rsid w:val="00131CDE"/>
    <w:rsid w:val="00133845"/>
    <w:rsid w:val="00135465"/>
    <w:rsid w:val="00135672"/>
    <w:rsid w:val="0013613A"/>
    <w:rsid w:val="00136DE3"/>
    <w:rsid w:val="00142815"/>
    <w:rsid w:val="00143FF4"/>
    <w:rsid w:val="00144D6A"/>
    <w:rsid w:val="001469A9"/>
    <w:rsid w:val="0014738A"/>
    <w:rsid w:val="001505FA"/>
    <w:rsid w:val="001512D1"/>
    <w:rsid w:val="0015151E"/>
    <w:rsid w:val="00157127"/>
    <w:rsid w:val="001576EC"/>
    <w:rsid w:val="0016303F"/>
    <w:rsid w:val="00163A08"/>
    <w:rsid w:val="0016502E"/>
    <w:rsid w:val="00166629"/>
    <w:rsid w:val="00166C58"/>
    <w:rsid w:val="001703DC"/>
    <w:rsid w:val="00171335"/>
    <w:rsid w:val="00172465"/>
    <w:rsid w:val="00174053"/>
    <w:rsid w:val="0017518A"/>
    <w:rsid w:val="001810B9"/>
    <w:rsid w:val="0018334A"/>
    <w:rsid w:val="001849E1"/>
    <w:rsid w:val="00185FC8"/>
    <w:rsid w:val="00186726"/>
    <w:rsid w:val="001868B2"/>
    <w:rsid w:val="0018710A"/>
    <w:rsid w:val="001905B8"/>
    <w:rsid w:val="001920FC"/>
    <w:rsid w:val="00192983"/>
    <w:rsid w:val="0019356E"/>
    <w:rsid w:val="001974B9"/>
    <w:rsid w:val="001A03EC"/>
    <w:rsid w:val="001A2786"/>
    <w:rsid w:val="001A2FF4"/>
    <w:rsid w:val="001A3815"/>
    <w:rsid w:val="001A5A19"/>
    <w:rsid w:val="001A6436"/>
    <w:rsid w:val="001B32AB"/>
    <w:rsid w:val="001B33E6"/>
    <w:rsid w:val="001B518D"/>
    <w:rsid w:val="001B6E4E"/>
    <w:rsid w:val="001B7C53"/>
    <w:rsid w:val="001C0684"/>
    <w:rsid w:val="001C115A"/>
    <w:rsid w:val="001C3716"/>
    <w:rsid w:val="001C469A"/>
    <w:rsid w:val="001D1CC8"/>
    <w:rsid w:val="001D25E3"/>
    <w:rsid w:val="001D5AE8"/>
    <w:rsid w:val="001D5C6F"/>
    <w:rsid w:val="001D5FE5"/>
    <w:rsid w:val="001D7D23"/>
    <w:rsid w:val="001E0ACB"/>
    <w:rsid w:val="001E12AD"/>
    <w:rsid w:val="001E2712"/>
    <w:rsid w:val="001E3CDA"/>
    <w:rsid w:val="001E6AAF"/>
    <w:rsid w:val="001E78E1"/>
    <w:rsid w:val="001F04AE"/>
    <w:rsid w:val="001F208A"/>
    <w:rsid w:val="001F225C"/>
    <w:rsid w:val="001F64D2"/>
    <w:rsid w:val="001F6CFC"/>
    <w:rsid w:val="001F7A53"/>
    <w:rsid w:val="00203AE6"/>
    <w:rsid w:val="00205723"/>
    <w:rsid w:val="002071E0"/>
    <w:rsid w:val="00210BD5"/>
    <w:rsid w:val="00210C09"/>
    <w:rsid w:val="00211E64"/>
    <w:rsid w:val="00216D3B"/>
    <w:rsid w:val="00220E9E"/>
    <w:rsid w:val="00226B72"/>
    <w:rsid w:val="00227325"/>
    <w:rsid w:val="00231886"/>
    <w:rsid w:val="00234D6B"/>
    <w:rsid w:val="00235743"/>
    <w:rsid w:val="00235E9C"/>
    <w:rsid w:val="00237BD5"/>
    <w:rsid w:val="00237E98"/>
    <w:rsid w:val="00240F90"/>
    <w:rsid w:val="00243205"/>
    <w:rsid w:val="00244AFE"/>
    <w:rsid w:val="0024738F"/>
    <w:rsid w:val="002473B7"/>
    <w:rsid w:val="002500C8"/>
    <w:rsid w:val="00251521"/>
    <w:rsid w:val="00251DFD"/>
    <w:rsid w:val="002571ED"/>
    <w:rsid w:val="002575C0"/>
    <w:rsid w:val="00257FE5"/>
    <w:rsid w:val="00261CF5"/>
    <w:rsid w:val="00262BAB"/>
    <w:rsid w:val="00263598"/>
    <w:rsid w:val="00264543"/>
    <w:rsid w:val="002659F1"/>
    <w:rsid w:val="00266720"/>
    <w:rsid w:val="00266A38"/>
    <w:rsid w:val="002732E0"/>
    <w:rsid w:val="00274D90"/>
    <w:rsid w:val="0027540C"/>
    <w:rsid w:val="00277F31"/>
    <w:rsid w:val="00280A0D"/>
    <w:rsid w:val="00281DB1"/>
    <w:rsid w:val="00282456"/>
    <w:rsid w:val="002829F3"/>
    <w:rsid w:val="0028353A"/>
    <w:rsid w:val="00291C6C"/>
    <w:rsid w:val="0029257E"/>
    <w:rsid w:val="0029446C"/>
    <w:rsid w:val="00295026"/>
    <w:rsid w:val="00295BBB"/>
    <w:rsid w:val="00296B37"/>
    <w:rsid w:val="00297794"/>
    <w:rsid w:val="002A15D9"/>
    <w:rsid w:val="002A1C3E"/>
    <w:rsid w:val="002A4646"/>
    <w:rsid w:val="002A633C"/>
    <w:rsid w:val="002A77F0"/>
    <w:rsid w:val="002B4264"/>
    <w:rsid w:val="002B4605"/>
    <w:rsid w:val="002B4B9A"/>
    <w:rsid w:val="002B4D8A"/>
    <w:rsid w:val="002B59D2"/>
    <w:rsid w:val="002B5F34"/>
    <w:rsid w:val="002B6486"/>
    <w:rsid w:val="002B79B9"/>
    <w:rsid w:val="002C4329"/>
    <w:rsid w:val="002C4EE2"/>
    <w:rsid w:val="002C6D83"/>
    <w:rsid w:val="002D08F4"/>
    <w:rsid w:val="002D090F"/>
    <w:rsid w:val="002D31D6"/>
    <w:rsid w:val="002D3BBB"/>
    <w:rsid w:val="002D4D73"/>
    <w:rsid w:val="002D4E34"/>
    <w:rsid w:val="002E1E68"/>
    <w:rsid w:val="002E25E9"/>
    <w:rsid w:val="002E2A7B"/>
    <w:rsid w:val="002E3724"/>
    <w:rsid w:val="002E45A0"/>
    <w:rsid w:val="002E6006"/>
    <w:rsid w:val="002F345F"/>
    <w:rsid w:val="002F3F35"/>
    <w:rsid w:val="002F5AE2"/>
    <w:rsid w:val="002F6DEC"/>
    <w:rsid w:val="00302FA9"/>
    <w:rsid w:val="00305740"/>
    <w:rsid w:val="00307028"/>
    <w:rsid w:val="003134C0"/>
    <w:rsid w:val="00314AFB"/>
    <w:rsid w:val="00315894"/>
    <w:rsid w:val="00315C4E"/>
    <w:rsid w:val="00321294"/>
    <w:rsid w:val="00321955"/>
    <w:rsid w:val="003260B6"/>
    <w:rsid w:val="003262AE"/>
    <w:rsid w:val="00331104"/>
    <w:rsid w:val="00331232"/>
    <w:rsid w:val="0033135B"/>
    <w:rsid w:val="00331F18"/>
    <w:rsid w:val="0033216E"/>
    <w:rsid w:val="00333D1E"/>
    <w:rsid w:val="003343E9"/>
    <w:rsid w:val="003416E9"/>
    <w:rsid w:val="003419BD"/>
    <w:rsid w:val="0034243F"/>
    <w:rsid w:val="0035376E"/>
    <w:rsid w:val="0035651D"/>
    <w:rsid w:val="00356E1B"/>
    <w:rsid w:val="00360EEC"/>
    <w:rsid w:val="00364AAD"/>
    <w:rsid w:val="00364B69"/>
    <w:rsid w:val="0036501C"/>
    <w:rsid w:val="00366B25"/>
    <w:rsid w:val="00367B5D"/>
    <w:rsid w:val="00367E74"/>
    <w:rsid w:val="00370155"/>
    <w:rsid w:val="0037325D"/>
    <w:rsid w:val="003733F1"/>
    <w:rsid w:val="003734E6"/>
    <w:rsid w:val="00375149"/>
    <w:rsid w:val="00377376"/>
    <w:rsid w:val="00382A33"/>
    <w:rsid w:val="003834EE"/>
    <w:rsid w:val="00383FAE"/>
    <w:rsid w:val="00384611"/>
    <w:rsid w:val="00393269"/>
    <w:rsid w:val="00394BEB"/>
    <w:rsid w:val="00394EE6"/>
    <w:rsid w:val="00395C83"/>
    <w:rsid w:val="00396460"/>
    <w:rsid w:val="00396B29"/>
    <w:rsid w:val="003A0D7E"/>
    <w:rsid w:val="003A5C19"/>
    <w:rsid w:val="003A77E1"/>
    <w:rsid w:val="003B1F89"/>
    <w:rsid w:val="003B2323"/>
    <w:rsid w:val="003B2C51"/>
    <w:rsid w:val="003B47CA"/>
    <w:rsid w:val="003B589C"/>
    <w:rsid w:val="003B596B"/>
    <w:rsid w:val="003C1A6F"/>
    <w:rsid w:val="003C4B83"/>
    <w:rsid w:val="003C4E86"/>
    <w:rsid w:val="003C73A0"/>
    <w:rsid w:val="003C76E9"/>
    <w:rsid w:val="003D1877"/>
    <w:rsid w:val="003D624F"/>
    <w:rsid w:val="003D7CD7"/>
    <w:rsid w:val="003E041F"/>
    <w:rsid w:val="003E20B5"/>
    <w:rsid w:val="003E269D"/>
    <w:rsid w:val="003E45B9"/>
    <w:rsid w:val="003E5444"/>
    <w:rsid w:val="003E6535"/>
    <w:rsid w:val="003F1263"/>
    <w:rsid w:val="003F1799"/>
    <w:rsid w:val="003F1C3F"/>
    <w:rsid w:val="003F68F0"/>
    <w:rsid w:val="003F76AA"/>
    <w:rsid w:val="003F7872"/>
    <w:rsid w:val="004003F1"/>
    <w:rsid w:val="004017E7"/>
    <w:rsid w:val="004036A2"/>
    <w:rsid w:val="00403B1D"/>
    <w:rsid w:val="00404C7C"/>
    <w:rsid w:val="00404F96"/>
    <w:rsid w:val="0040521B"/>
    <w:rsid w:val="004116BE"/>
    <w:rsid w:val="00413885"/>
    <w:rsid w:val="004148AB"/>
    <w:rsid w:val="00416F87"/>
    <w:rsid w:val="004236CC"/>
    <w:rsid w:val="00423C5D"/>
    <w:rsid w:val="00430421"/>
    <w:rsid w:val="00432247"/>
    <w:rsid w:val="00434545"/>
    <w:rsid w:val="004356F2"/>
    <w:rsid w:val="004375DE"/>
    <w:rsid w:val="00440C98"/>
    <w:rsid w:val="0044364C"/>
    <w:rsid w:val="00444075"/>
    <w:rsid w:val="00444AD9"/>
    <w:rsid w:val="00450154"/>
    <w:rsid w:val="00451734"/>
    <w:rsid w:val="00457216"/>
    <w:rsid w:val="00457BF7"/>
    <w:rsid w:val="00461625"/>
    <w:rsid w:val="0046356E"/>
    <w:rsid w:val="00466205"/>
    <w:rsid w:val="00466F8C"/>
    <w:rsid w:val="0047057D"/>
    <w:rsid w:val="00471E07"/>
    <w:rsid w:val="00475225"/>
    <w:rsid w:val="00477859"/>
    <w:rsid w:val="00477F55"/>
    <w:rsid w:val="004812F3"/>
    <w:rsid w:val="004832C0"/>
    <w:rsid w:val="00483368"/>
    <w:rsid w:val="004842F8"/>
    <w:rsid w:val="00484F4D"/>
    <w:rsid w:val="00493B59"/>
    <w:rsid w:val="0049602C"/>
    <w:rsid w:val="004A3039"/>
    <w:rsid w:val="004A47E1"/>
    <w:rsid w:val="004A5759"/>
    <w:rsid w:val="004B0B29"/>
    <w:rsid w:val="004B2D55"/>
    <w:rsid w:val="004B3FC9"/>
    <w:rsid w:val="004B6704"/>
    <w:rsid w:val="004C2868"/>
    <w:rsid w:val="004C4636"/>
    <w:rsid w:val="004D405B"/>
    <w:rsid w:val="004D40A2"/>
    <w:rsid w:val="004D4BE1"/>
    <w:rsid w:val="004D54B4"/>
    <w:rsid w:val="004D67CE"/>
    <w:rsid w:val="004D693B"/>
    <w:rsid w:val="004D6F5E"/>
    <w:rsid w:val="004E167C"/>
    <w:rsid w:val="004E184A"/>
    <w:rsid w:val="004E1B8F"/>
    <w:rsid w:val="004E1CB9"/>
    <w:rsid w:val="004E68CB"/>
    <w:rsid w:val="004E7C2C"/>
    <w:rsid w:val="004F11B4"/>
    <w:rsid w:val="004F6D98"/>
    <w:rsid w:val="004F6E5F"/>
    <w:rsid w:val="004F7CE8"/>
    <w:rsid w:val="00501501"/>
    <w:rsid w:val="00502516"/>
    <w:rsid w:val="00503AA1"/>
    <w:rsid w:val="00504C1C"/>
    <w:rsid w:val="0050605C"/>
    <w:rsid w:val="00506105"/>
    <w:rsid w:val="005100C7"/>
    <w:rsid w:val="005128F3"/>
    <w:rsid w:val="0051336A"/>
    <w:rsid w:val="00515E8A"/>
    <w:rsid w:val="0051713F"/>
    <w:rsid w:val="0051792F"/>
    <w:rsid w:val="00522EF9"/>
    <w:rsid w:val="005254C4"/>
    <w:rsid w:val="00526496"/>
    <w:rsid w:val="00526526"/>
    <w:rsid w:val="00527297"/>
    <w:rsid w:val="00530EFC"/>
    <w:rsid w:val="00531BB1"/>
    <w:rsid w:val="005355F7"/>
    <w:rsid w:val="00541208"/>
    <w:rsid w:val="00557769"/>
    <w:rsid w:val="00557EFD"/>
    <w:rsid w:val="00565097"/>
    <w:rsid w:val="005650CF"/>
    <w:rsid w:val="0056784A"/>
    <w:rsid w:val="00567881"/>
    <w:rsid w:val="00570EB2"/>
    <w:rsid w:val="00573B4B"/>
    <w:rsid w:val="0057515B"/>
    <w:rsid w:val="005760D8"/>
    <w:rsid w:val="0057631B"/>
    <w:rsid w:val="00577C5D"/>
    <w:rsid w:val="005803FC"/>
    <w:rsid w:val="00580B45"/>
    <w:rsid w:val="00582990"/>
    <w:rsid w:val="00583F19"/>
    <w:rsid w:val="00583FEA"/>
    <w:rsid w:val="00585D6D"/>
    <w:rsid w:val="0058770D"/>
    <w:rsid w:val="00587938"/>
    <w:rsid w:val="00590E30"/>
    <w:rsid w:val="00592A32"/>
    <w:rsid w:val="00593861"/>
    <w:rsid w:val="005A24F6"/>
    <w:rsid w:val="005A63AC"/>
    <w:rsid w:val="005A683E"/>
    <w:rsid w:val="005B2E2C"/>
    <w:rsid w:val="005B33FE"/>
    <w:rsid w:val="005C0197"/>
    <w:rsid w:val="005C181C"/>
    <w:rsid w:val="005C2351"/>
    <w:rsid w:val="005C29E9"/>
    <w:rsid w:val="005C3CD6"/>
    <w:rsid w:val="005C6353"/>
    <w:rsid w:val="005D0A72"/>
    <w:rsid w:val="005D0D24"/>
    <w:rsid w:val="005D2021"/>
    <w:rsid w:val="005D249F"/>
    <w:rsid w:val="005D2613"/>
    <w:rsid w:val="005D3CA8"/>
    <w:rsid w:val="005D7AA0"/>
    <w:rsid w:val="005E569C"/>
    <w:rsid w:val="005E5AAA"/>
    <w:rsid w:val="005F0019"/>
    <w:rsid w:val="005F6425"/>
    <w:rsid w:val="005F79F5"/>
    <w:rsid w:val="006053D7"/>
    <w:rsid w:val="006057C7"/>
    <w:rsid w:val="00611231"/>
    <w:rsid w:val="006126D2"/>
    <w:rsid w:val="006151B3"/>
    <w:rsid w:val="006216F1"/>
    <w:rsid w:val="0062602B"/>
    <w:rsid w:val="00627C91"/>
    <w:rsid w:val="00630212"/>
    <w:rsid w:val="00632F85"/>
    <w:rsid w:val="0063497A"/>
    <w:rsid w:val="00634C1B"/>
    <w:rsid w:val="00635FEE"/>
    <w:rsid w:val="00636BDA"/>
    <w:rsid w:val="00642CD5"/>
    <w:rsid w:val="00642D5E"/>
    <w:rsid w:val="00643518"/>
    <w:rsid w:val="0064453C"/>
    <w:rsid w:val="00644FF4"/>
    <w:rsid w:val="006469D5"/>
    <w:rsid w:val="00651E2A"/>
    <w:rsid w:val="006528D6"/>
    <w:rsid w:val="00660E8F"/>
    <w:rsid w:val="0066223A"/>
    <w:rsid w:val="00665ED2"/>
    <w:rsid w:val="0066654D"/>
    <w:rsid w:val="00666873"/>
    <w:rsid w:val="006672EE"/>
    <w:rsid w:val="00667B1D"/>
    <w:rsid w:val="00667E0E"/>
    <w:rsid w:val="00671BDA"/>
    <w:rsid w:val="00673F68"/>
    <w:rsid w:val="00674FCD"/>
    <w:rsid w:val="0067601A"/>
    <w:rsid w:val="006760EA"/>
    <w:rsid w:val="0067695A"/>
    <w:rsid w:val="00677016"/>
    <w:rsid w:val="006806BF"/>
    <w:rsid w:val="0068107C"/>
    <w:rsid w:val="00681FA8"/>
    <w:rsid w:val="006829B7"/>
    <w:rsid w:val="00682DDC"/>
    <w:rsid w:val="00684F28"/>
    <w:rsid w:val="00685757"/>
    <w:rsid w:val="006872CE"/>
    <w:rsid w:val="00692A53"/>
    <w:rsid w:val="00692D2C"/>
    <w:rsid w:val="00693438"/>
    <w:rsid w:val="00695FAA"/>
    <w:rsid w:val="00696B4B"/>
    <w:rsid w:val="00697F3F"/>
    <w:rsid w:val="006A5A54"/>
    <w:rsid w:val="006A5A66"/>
    <w:rsid w:val="006B0821"/>
    <w:rsid w:val="006B4E9F"/>
    <w:rsid w:val="006B579B"/>
    <w:rsid w:val="006B611E"/>
    <w:rsid w:val="006B6AA9"/>
    <w:rsid w:val="006C2BFE"/>
    <w:rsid w:val="006C45B6"/>
    <w:rsid w:val="006C52B5"/>
    <w:rsid w:val="006C54BD"/>
    <w:rsid w:val="006C79D0"/>
    <w:rsid w:val="006D03C2"/>
    <w:rsid w:val="006D047F"/>
    <w:rsid w:val="006D2B76"/>
    <w:rsid w:val="006D45EB"/>
    <w:rsid w:val="006D4BC2"/>
    <w:rsid w:val="006D7583"/>
    <w:rsid w:val="006D7F12"/>
    <w:rsid w:val="006E23FF"/>
    <w:rsid w:val="006E323F"/>
    <w:rsid w:val="006E5998"/>
    <w:rsid w:val="006E763D"/>
    <w:rsid w:val="006E7D87"/>
    <w:rsid w:val="006F0BD4"/>
    <w:rsid w:val="006F0FF8"/>
    <w:rsid w:val="006F14C2"/>
    <w:rsid w:val="006F33E8"/>
    <w:rsid w:val="006F486F"/>
    <w:rsid w:val="00701036"/>
    <w:rsid w:val="0070228E"/>
    <w:rsid w:val="007035AF"/>
    <w:rsid w:val="007054DA"/>
    <w:rsid w:val="007103F2"/>
    <w:rsid w:val="00711730"/>
    <w:rsid w:val="007128CC"/>
    <w:rsid w:val="007135E3"/>
    <w:rsid w:val="00714E36"/>
    <w:rsid w:val="0071673E"/>
    <w:rsid w:val="00720B4F"/>
    <w:rsid w:val="007247C0"/>
    <w:rsid w:val="007260C3"/>
    <w:rsid w:val="00730830"/>
    <w:rsid w:val="00730C57"/>
    <w:rsid w:val="007330DB"/>
    <w:rsid w:val="00735317"/>
    <w:rsid w:val="00735A29"/>
    <w:rsid w:val="00737C3D"/>
    <w:rsid w:val="0074032D"/>
    <w:rsid w:val="0074098D"/>
    <w:rsid w:val="00740C87"/>
    <w:rsid w:val="007441C4"/>
    <w:rsid w:val="00746714"/>
    <w:rsid w:val="00747692"/>
    <w:rsid w:val="007503B0"/>
    <w:rsid w:val="00750507"/>
    <w:rsid w:val="0075316B"/>
    <w:rsid w:val="0075470A"/>
    <w:rsid w:val="00754AB6"/>
    <w:rsid w:val="007626E7"/>
    <w:rsid w:val="00763DC3"/>
    <w:rsid w:val="00766785"/>
    <w:rsid w:val="0076691D"/>
    <w:rsid w:val="007723E4"/>
    <w:rsid w:val="007738DE"/>
    <w:rsid w:val="00775575"/>
    <w:rsid w:val="00775A1B"/>
    <w:rsid w:val="00777FAE"/>
    <w:rsid w:val="00784132"/>
    <w:rsid w:val="00791E60"/>
    <w:rsid w:val="00792C6C"/>
    <w:rsid w:val="007934C4"/>
    <w:rsid w:val="00794E3F"/>
    <w:rsid w:val="00794F4F"/>
    <w:rsid w:val="00795855"/>
    <w:rsid w:val="00797B22"/>
    <w:rsid w:val="007A03A3"/>
    <w:rsid w:val="007A1639"/>
    <w:rsid w:val="007A3085"/>
    <w:rsid w:val="007A4025"/>
    <w:rsid w:val="007A516A"/>
    <w:rsid w:val="007A7000"/>
    <w:rsid w:val="007A72AF"/>
    <w:rsid w:val="007A7A9E"/>
    <w:rsid w:val="007B7E33"/>
    <w:rsid w:val="007C03D1"/>
    <w:rsid w:val="007C0EFB"/>
    <w:rsid w:val="007C3081"/>
    <w:rsid w:val="007C36E1"/>
    <w:rsid w:val="007D139B"/>
    <w:rsid w:val="007D256C"/>
    <w:rsid w:val="007D39DE"/>
    <w:rsid w:val="007D3FEB"/>
    <w:rsid w:val="007D42B7"/>
    <w:rsid w:val="007D465E"/>
    <w:rsid w:val="007D5B22"/>
    <w:rsid w:val="007F1509"/>
    <w:rsid w:val="007F456E"/>
    <w:rsid w:val="007F5CDB"/>
    <w:rsid w:val="007F7CD5"/>
    <w:rsid w:val="00801EEB"/>
    <w:rsid w:val="00803E98"/>
    <w:rsid w:val="00804E7E"/>
    <w:rsid w:val="00805C8F"/>
    <w:rsid w:val="008069B4"/>
    <w:rsid w:val="00807588"/>
    <w:rsid w:val="008114B2"/>
    <w:rsid w:val="008146C8"/>
    <w:rsid w:val="00823B8F"/>
    <w:rsid w:val="00823CB4"/>
    <w:rsid w:val="008255C7"/>
    <w:rsid w:val="00825BC8"/>
    <w:rsid w:val="00827AAC"/>
    <w:rsid w:val="008319F5"/>
    <w:rsid w:val="00832D73"/>
    <w:rsid w:val="008347E1"/>
    <w:rsid w:val="00835E41"/>
    <w:rsid w:val="0084061C"/>
    <w:rsid w:val="00840BED"/>
    <w:rsid w:val="00844236"/>
    <w:rsid w:val="0084461E"/>
    <w:rsid w:val="0085056B"/>
    <w:rsid w:val="00850590"/>
    <w:rsid w:val="00850D2F"/>
    <w:rsid w:val="00851504"/>
    <w:rsid w:val="008546DE"/>
    <w:rsid w:val="00857396"/>
    <w:rsid w:val="008606CD"/>
    <w:rsid w:val="00863710"/>
    <w:rsid w:val="00863BBF"/>
    <w:rsid w:val="00863F2F"/>
    <w:rsid w:val="00863FE5"/>
    <w:rsid w:val="0086591E"/>
    <w:rsid w:val="00866E99"/>
    <w:rsid w:val="00870A61"/>
    <w:rsid w:val="00872B81"/>
    <w:rsid w:val="008766AE"/>
    <w:rsid w:val="00876D27"/>
    <w:rsid w:val="008776B2"/>
    <w:rsid w:val="008815FD"/>
    <w:rsid w:val="00881902"/>
    <w:rsid w:val="008837A2"/>
    <w:rsid w:val="008839E6"/>
    <w:rsid w:val="008910FD"/>
    <w:rsid w:val="00892684"/>
    <w:rsid w:val="00893682"/>
    <w:rsid w:val="00893F6F"/>
    <w:rsid w:val="0089531C"/>
    <w:rsid w:val="00896CCE"/>
    <w:rsid w:val="008A19AA"/>
    <w:rsid w:val="008A3AF6"/>
    <w:rsid w:val="008A40E6"/>
    <w:rsid w:val="008A4731"/>
    <w:rsid w:val="008A535A"/>
    <w:rsid w:val="008A6FC9"/>
    <w:rsid w:val="008A7E15"/>
    <w:rsid w:val="008B0BC6"/>
    <w:rsid w:val="008B1AC6"/>
    <w:rsid w:val="008B1B05"/>
    <w:rsid w:val="008B5922"/>
    <w:rsid w:val="008C01CF"/>
    <w:rsid w:val="008C159C"/>
    <w:rsid w:val="008C295A"/>
    <w:rsid w:val="008C6395"/>
    <w:rsid w:val="008D0E3C"/>
    <w:rsid w:val="008D1DA3"/>
    <w:rsid w:val="008D2108"/>
    <w:rsid w:val="008D33D5"/>
    <w:rsid w:val="008D36E4"/>
    <w:rsid w:val="008D5721"/>
    <w:rsid w:val="008D5DAE"/>
    <w:rsid w:val="008E1350"/>
    <w:rsid w:val="008E161F"/>
    <w:rsid w:val="008E3B84"/>
    <w:rsid w:val="008F298E"/>
    <w:rsid w:val="008F427A"/>
    <w:rsid w:val="008F49B7"/>
    <w:rsid w:val="008F49FB"/>
    <w:rsid w:val="008F4FBA"/>
    <w:rsid w:val="00900288"/>
    <w:rsid w:val="009005BA"/>
    <w:rsid w:val="00900874"/>
    <w:rsid w:val="00901415"/>
    <w:rsid w:val="0090194A"/>
    <w:rsid w:val="00903A36"/>
    <w:rsid w:val="00907878"/>
    <w:rsid w:val="00911F6A"/>
    <w:rsid w:val="00912EE7"/>
    <w:rsid w:val="009142CE"/>
    <w:rsid w:val="00914E3A"/>
    <w:rsid w:val="009163D2"/>
    <w:rsid w:val="00921A01"/>
    <w:rsid w:val="00922D84"/>
    <w:rsid w:val="009313FB"/>
    <w:rsid w:val="00932CD2"/>
    <w:rsid w:val="00936433"/>
    <w:rsid w:val="009441BF"/>
    <w:rsid w:val="00951E72"/>
    <w:rsid w:val="00951ED0"/>
    <w:rsid w:val="00951F43"/>
    <w:rsid w:val="0095228C"/>
    <w:rsid w:val="00954486"/>
    <w:rsid w:val="00957B08"/>
    <w:rsid w:val="0096005A"/>
    <w:rsid w:val="009626AA"/>
    <w:rsid w:val="00970B5C"/>
    <w:rsid w:val="009715D1"/>
    <w:rsid w:val="009727EB"/>
    <w:rsid w:val="009747AC"/>
    <w:rsid w:val="00974D0C"/>
    <w:rsid w:val="00975DCE"/>
    <w:rsid w:val="00975F49"/>
    <w:rsid w:val="009811E6"/>
    <w:rsid w:val="00981F3C"/>
    <w:rsid w:val="00983E2F"/>
    <w:rsid w:val="0098525D"/>
    <w:rsid w:val="009859F6"/>
    <w:rsid w:val="00987781"/>
    <w:rsid w:val="009877E3"/>
    <w:rsid w:val="009953D7"/>
    <w:rsid w:val="009A1632"/>
    <w:rsid w:val="009A31E2"/>
    <w:rsid w:val="009B0029"/>
    <w:rsid w:val="009B259B"/>
    <w:rsid w:val="009B2E03"/>
    <w:rsid w:val="009B3853"/>
    <w:rsid w:val="009B6D8B"/>
    <w:rsid w:val="009B6F15"/>
    <w:rsid w:val="009B76D9"/>
    <w:rsid w:val="009C6212"/>
    <w:rsid w:val="009D0900"/>
    <w:rsid w:val="009D09BA"/>
    <w:rsid w:val="009D2419"/>
    <w:rsid w:val="009D272F"/>
    <w:rsid w:val="009D2FBD"/>
    <w:rsid w:val="009D4D43"/>
    <w:rsid w:val="009D7628"/>
    <w:rsid w:val="009E39E8"/>
    <w:rsid w:val="009E754F"/>
    <w:rsid w:val="009F097B"/>
    <w:rsid w:val="009F30CF"/>
    <w:rsid w:val="009F33FD"/>
    <w:rsid w:val="009F3DE0"/>
    <w:rsid w:val="009F6EB1"/>
    <w:rsid w:val="00A02953"/>
    <w:rsid w:val="00A03464"/>
    <w:rsid w:val="00A05B93"/>
    <w:rsid w:val="00A0675C"/>
    <w:rsid w:val="00A07FC4"/>
    <w:rsid w:val="00A1109A"/>
    <w:rsid w:val="00A14213"/>
    <w:rsid w:val="00A15FD1"/>
    <w:rsid w:val="00A1653D"/>
    <w:rsid w:val="00A211D9"/>
    <w:rsid w:val="00A230D5"/>
    <w:rsid w:val="00A2614E"/>
    <w:rsid w:val="00A2635C"/>
    <w:rsid w:val="00A330D6"/>
    <w:rsid w:val="00A42D09"/>
    <w:rsid w:val="00A438AE"/>
    <w:rsid w:val="00A44F86"/>
    <w:rsid w:val="00A45B81"/>
    <w:rsid w:val="00A504FF"/>
    <w:rsid w:val="00A566F3"/>
    <w:rsid w:val="00A57A21"/>
    <w:rsid w:val="00A609B4"/>
    <w:rsid w:val="00A61C4C"/>
    <w:rsid w:val="00A62763"/>
    <w:rsid w:val="00A638D5"/>
    <w:rsid w:val="00A64E06"/>
    <w:rsid w:val="00A65342"/>
    <w:rsid w:val="00A74852"/>
    <w:rsid w:val="00A75465"/>
    <w:rsid w:val="00A76430"/>
    <w:rsid w:val="00A80247"/>
    <w:rsid w:val="00A81B90"/>
    <w:rsid w:val="00A81E3F"/>
    <w:rsid w:val="00A82333"/>
    <w:rsid w:val="00A836B4"/>
    <w:rsid w:val="00A8572B"/>
    <w:rsid w:val="00A8693B"/>
    <w:rsid w:val="00A90F94"/>
    <w:rsid w:val="00A91328"/>
    <w:rsid w:val="00A94DC8"/>
    <w:rsid w:val="00A95646"/>
    <w:rsid w:val="00A95799"/>
    <w:rsid w:val="00A95974"/>
    <w:rsid w:val="00A96AF6"/>
    <w:rsid w:val="00A96CD6"/>
    <w:rsid w:val="00AA3C16"/>
    <w:rsid w:val="00AA420F"/>
    <w:rsid w:val="00AB1151"/>
    <w:rsid w:val="00AB2EF5"/>
    <w:rsid w:val="00AB5A68"/>
    <w:rsid w:val="00AB7045"/>
    <w:rsid w:val="00AC07B1"/>
    <w:rsid w:val="00AC1023"/>
    <w:rsid w:val="00AC1480"/>
    <w:rsid w:val="00AC1DB1"/>
    <w:rsid w:val="00AC1F2B"/>
    <w:rsid w:val="00AD0169"/>
    <w:rsid w:val="00AD157F"/>
    <w:rsid w:val="00AD3641"/>
    <w:rsid w:val="00AD3CE6"/>
    <w:rsid w:val="00AD4D1E"/>
    <w:rsid w:val="00AD5191"/>
    <w:rsid w:val="00AD5A54"/>
    <w:rsid w:val="00AE0277"/>
    <w:rsid w:val="00AE2E47"/>
    <w:rsid w:val="00AE4B92"/>
    <w:rsid w:val="00AE51E4"/>
    <w:rsid w:val="00AE5C75"/>
    <w:rsid w:val="00AE5EB4"/>
    <w:rsid w:val="00AF0966"/>
    <w:rsid w:val="00AF25BD"/>
    <w:rsid w:val="00AF4BFE"/>
    <w:rsid w:val="00AF5FA3"/>
    <w:rsid w:val="00AF7C18"/>
    <w:rsid w:val="00B00C09"/>
    <w:rsid w:val="00B01342"/>
    <w:rsid w:val="00B070BF"/>
    <w:rsid w:val="00B10753"/>
    <w:rsid w:val="00B13B05"/>
    <w:rsid w:val="00B14E74"/>
    <w:rsid w:val="00B177AC"/>
    <w:rsid w:val="00B17A75"/>
    <w:rsid w:val="00B2005A"/>
    <w:rsid w:val="00B23580"/>
    <w:rsid w:val="00B23D33"/>
    <w:rsid w:val="00B24A1B"/>
    <w:rsid w:val="00B25F15"/>
    <w:rsid w:val="00B265E8"/>
    <w:rsid w:val="00B30BBA"/>
    <w:rsid w:val="00B30DA5"/>
    <w:rsid w:val="00B3185F"/>
    <w:rsid w:val="00B334AB"/>
    <w:rsid w:val="00B36100"/>
    <w:rsid w:val="00B405FB"/>
    <w:rsid w:val="00B41366"/>
    <w:rsid w:val="00B4558C"/>
    <w:rsid w:val="00B45A6A"/>
    <w:rsid w:val="00B473C2"/>
    <w:rsid w:val="00B474FF"/>
    <w:rsid w:val="00B47C8F"/>
    <w:rsid w:val="00B509C5"/>
    <w:rsid w:val="00B5250F"/>
    <w:rsid w:val="00B60B74"/>
    <w:rsid w:val="00B6137B"/>
    <w:rsid w:val="00B6429F"/>
    <w:rsid w:val="00B677EE"/>
    <w:rsid w:val="00B73ED4"/>
    <w:rsid w:val="00B768EB"/>
    <w:rsid w:val="00B77DEE"/>
    <w:rsid w:val="00B801B4"/>
    <w:rsid w:val="00B85D2E"/>
    <w:rsid w:val="00B86645"/>
    <w:rsid w:val="00B905A2"/>
    <w:rsid w:val="00B924C4"/>
    <w:rsid w:val="00B93469"/>
    <w:rsid w:val="00B93A62"/>
    <w:rsid w:val="00B94461"/>
    <w:rsid w:val="00B94546"/>
    <w:rsid w:val="00BA72EF"/>
    <w:rsid w:val="00BB04A9"/>
    <w:rsid w:val="00BB17BA"/>
    <w:rsid w:val="00BB4939"/>
    <w:rsid w:val="00BB6D9B"/>
    <w:rsid w:val="00BC03E3"/>
    <w:rsid w:val="00BC1CFA"/>
    <w:rsid w:val="00BC1E4F"/>
    <w:rsid w:val="00BC4774"/>
    <w:rsid w:val="00BC499B"/>
    <w:rsid w:val="00BC6138"/>
    <w:rsid w:val="00BC7567"/>
    <w:rsid w:val="00BC7B93"/>
    <w:rsid w:val="00BD19EF"/>
    <w:rsid w:val="00BD20F9"/>
    <w:rsid w:val="00BD22B0"/>
    <w:rsid w:val="00BD4020"/>
    <w:rsid w:val="00BD7C99"/>
    <w:rsid w:val="00BE1F3D"/>
    <w:rsid w:val="00BE2DB5"/>
    <w:rsid w:val="00BE7C84"/>
    <w:rsid w:val="00BF0ADC"/>
    <w:rsid w:val="00BF4CB3"/>
    <w:rsid w:val="00BF4D1D"/>
    <w:rsid w:val="00BF5213"/>
    <w:rsid w:val="00BF5A9B"/>
    <w:rsid w:val="00BF72BF"/>
    <w:rsid w:val="00C006CB"/>
    <w:rsid w:val="00C00784"/>
    <w:rsid w:val="00C0133D"/>
    <w:rsid w:val="00C02113"/>
    <w:rsid w:val="00C02FB6"/>
    <w:rsid w:val="00C03432"/>
    <w:rsid w:val="00C034A1"/>
    <w:rsid w:val="00C03831"/>
    <w:rsid w:val="00C03DD7"/>
    <w:rsid w:val="00C0541D"/>
    <w:rsid w:val="00C05CC1"/>
    <w:rsid w:val="00C07D88"/>
    <w:rsid w:val="00C11FC0"/>
    <w:rsid w:val="00C12894"/>
    <w:rsid w:val="00C1309E"/>
    <w:rsid w:val="00C150D5"/>
    <w:rsid w:val="00C151DC"/>
    <w:rsid w:val="00C17A57"/>
    <w:rsid w:val="00C20663"/>
    <w:rsid w:val="00C2173E"/>
    <w:rsid w:val="00C217FA"/>
    <w:rsid w:val="00C21B99"/>
    <w:rsid w:val="00C22E99"/>
    <w:rsid w:val="00C22EE5"/>
    <w:rsid w:val="00C24ECE"/>
    <w:rsid w:val="00C26D45"/>
    <w:rsid w:val="00C279BB"/>
    <w:rsid w:val="00C3088D"/>
    <w:rsid w:val="00C31622"/>
    <w:rsid w:val="00C31F2B"/>
    <w:rsid w:val="00C3284B"/>
    <w:rsid w:val="00C33C3E"/>
    <w:rsid w:val="00C3703B"/>
    <w:rsid w:val="00C377F2"/>
    <w:rsid w:val="00C405E7"/>
    <w:rsid w:val="00C45810"/>
    <w:rsid w:val="00C46482"/>
    <w:rsid w:val="00C47167"/>
    <w:rsid w:val="00C477E5"/>
    <w:rsid w:val="00C47EAB"/>
    <w:rsid w:val="00C50673"/>
    <w:rsid w:val="00C52900"/>
    <w:rsid w:val="00C55A3E"/>
    <w:rsid w:val="00C63C10"/>
    <w:rsid w:val="00C64BA4"/>
    <w:rsid w:val="00C6592B"/>
    <w:rsid w:val="00C67D72"/>
    <w:rsid w:val="00C707DF"/>
    <w:rsid w:val="00C71E13"/>
    <w:rsid w:val="00C71FE4"/>
    <w:rsid w:val="00C73242"/>
    <w:rsid w:val="00C741CD"/>
    <w:rsid w:val="00C74690"/>
    <w:rsid w:val="00C76200"/>
    <w:rsid w:val="00C76FE5"/>
    <w:rsid w:val="00C77831"/>
    <w:rsid w:val="00C7792C"/>
    <w:rsid w:val="00C81A1F"/>
    <w:rsid w:val="00C81C02"/>
    <w:rsid w:val="00C82AEA"/>
    <w:rsid w:val="00C900CA"/>
    <w:rsid w:val="00C9119F"/>
    <w:rsid w:val="00C92FB5"/>
    <w:rsid w:val="00CA02E0"/>
    <w:rsid w:val="00CA0CCA"/>
    <w:rsid w:val="00CA19E9"/>
    <w:rsid w:val="00CA28F9"/>
    <w:rsid w:val="00CA43C3"/>
    <w:rsid w:val="00CA4B7F"/>
    <w:rsid w:val="00CA6A12"/>
    <w:rsid w:val="00CB0A7E"/>
    <w:rsid w:val="00CB2B7A"/>
    <w:rsid w:val="00CC11FB"/>
    <w:rsid w:val="00CC2595"/>
    <w:rsid w:val="00CC3E64"/>
    <w:rsid w:val="00CC6397"/>
    <w:rsid w:val="00CC7459"/>
    <w:rsid w:val="00CD213D"/>
    <w:rsid w:val="00CD26F2"/>
    <w:rsid w:val="00CE2BC3"/>
    <w:rsid w:val="00CE4E9C"/>
    <w:rsid w:val="00CE654A"/>
    <w:rsid w:val="00CE78F5"/>
    <w:rsid w:val="00CF2053"/>
    <w:rsid w:val="00D03801"/>
    <w:rsid w:val="00D03B05"/>
    <w:rsid w:val="00D04299"/>
    <w:rsid w:val="00D0445D"/>
    <w:rsid w:val="00D04653"/>
    <w:rsid w:val="00D0485D"/>
    <w:rsid w:val="00D05A1D"/>
    <w:rsid w:val="00D063E6"/>
    <w:rsid w:val="00D10780"/>
    <w:rsid w:val="00D14DD9"/>
    <w:rsid w:val="00D20BAE"/>
    <w:rsid w:val="00D21919"/>
    <w:rsid w:val="00D23178"/>
    <w:rsid w:val="00D234DB"/>
    <w:rsid w:val="00D2408F"/>
    <w:rsid w:val="00D24BF7"/>
    <w:rsid w:val="00D26353"/>
    <w:rsid w:val="00D27AE5"/>
    <w:rsid w:val="00D27DE4"/>
    <w:rsid w:val="00D34D7C"/>
    <w:rsid w:val="00D3594D"/>
    <w:rsid w:val="00D36161"/>
    <w:rsid w:val="00D364C1"/>
    <w:rsid w:val="00D3799D"/>
    <w:rsid w:val="00D40884"/>
    <w:rsid w:val="00D4191D"/>
    <w:rsid w:val="00D41CA3"/>
    <w:rsid w:val="00D4601E"/>
    <w:rsid w:val="00D47423"/>
    <w:rsid w:val="00D508FF"/>
    <w:rsid w:val="00D509A2"/>
    <w:rsid w:val="00D50C82"/>
    <w:rsid w:val="00D51F2C"/>
    <w:rsid w:val="00D5246D"/>
    <w:rsid w:val="00D535DB"/>
    <w:rsid w:val="00D559D4"/>
    <w:rsid w:val="00D56987"/>
    <w:rsid w:val="00D6147C"/>
    <w:rsid w:val="00D61757"/>
    <w:rsid w:val="00D62012"/>
    <w:rsid w:val="00D621B7"/>
    <w:rsid w:val="00D63D76"/>
    <w:rsid w:val="00D70BCF"/>
    <w:rsid w:val="00D718D4"/>
    <w:rsid w:val="00D727CF"/>
    <w:rsid w:val="00D73DBB"/>
    <w:rsid w:val="00D81252"/>
    <w:rsid w:val="00D81773"/>
    <w:rsid w:val="00D822AA"/>
    <w:rsid w:val="00D83BBA"/>
    <w:rsid w:val="00D85664"/>
    <w:rsid w:val="00D85A45"/>
    <w:rsid w:val="00D869DE"/>
    <w:rsid w:val="00D905DE"/>
    <w:rsid w:val="00D911C2"/>
    <w:rsid w:val="00D917C6"/>
    <w:rsid w:val="00D921E5"/>
    <w:rsid w:val="00D9460D"/>
    <w:rsid w:val="00D95DCD"/>
    <w:rsid w:val="00D97B03"/>
    <w:rsid w:val="00DA1E3F"/>
    <w:rsid w:val="00DA3415"/>
    <w:rsid w:val="00DA7669"/>
    <w:rsid w:val="00DA7BB3"/>
    <w:rsid w:val="00DB0C8A"/>
    <w:rsid w:val="00DB22AF"/>
    <w:rsid w:val="00DB31C7"/>
    <w:rsid w:val="00DB58F3"/>
    <w:rsid w:val="00DB6007"/>
    <w:rsid w:val="00DB6F4A"/>
    <w:rsid w:val="00DC0CD4"/>
    <w:rsid w:val="00DC17DC"/>
    <w:rsid w:val="00DC20F8"/>
    <w:rsid w:val="00DC2506"/>
    <w:rsid w:val="00DC49A8"/>
    <w:rsid w:val="00DC50B9"/>
    <w:rsid w:val="00DC527D"/>
    <w:rsid w:val="00DD126D"/>
    <w:rsid w:val="00DD12F4"/>
    <w:rsid w:val="00DD1649"/>
    <w:rsid w:val="00DD17E5"/>
    <w:rsid w:val="00DD25BC"/>
    <w:rsid w:val="00DD27D5"/>
    <w:rsid w:val="00DD4CDE"/>
    <w:rsid w:val="00DD5D9D"/>
    <w:rsid w:val="00DD626D"/>
    <w:rsid w:val="00DD74F2"/>
    <w:rsid w:val="00DE1183"/>
    <w:rsid w:val="00DE41FB"/>
    <w:rsid w:val="00DE5840"/>
    <w:rsid w:val="00DE5A2E"/>
    <w:rsid w:val="00DF0B3F"/>
    <w:rsid w:val="00DF210B"/>
    <w:rsid w:val="00DF2739"/>
    <w:rsid w:val="00E0496F"/>
    <w:rsid w:val="00E04D13"/>
    <w:rsid w:val="00E05C9A"/>
    <w:rsid w:val="00E079BF"/>
    <w:rsid w:val="00E10989"/>
    <w:rsid w:val="00E118B5"/>
    <w:rsid w:val="00E12832"/>
    <w:rsid w:val="00E12BE8"/>
    <w:rsid w:val="00E12C63"/>
    <w:rsid w:val="00E1691D"/>
    <w:rsid w:val="00E20C27"/>
    <w:rsid w:val="00E210CE"/>
    <w:rsid w:val="00E233C5"/>
    <w:rsid w:val="00E278D3"/>
    <w:rsid w:val="00E31382"/>
    <w:rsid w:val="00E33273"/>
    <w:rsid w:val="00E34B16"/>
    <w:rsid w:val="00E367FB"/>
    <w:rsid w:val="00E36963"/>
    <w:rsid w:val="00E36F2C"/>
    <w:rsid w:val="00E415AD"/>
    <w:rsid w:val="00E419AC"/>
    <w:rsid w:val="00E4247B"/>
    <w:rsid w:val="00E4281A"/>
    <w:rsid w:val="00E42E34"/>
    <w:rsid w:val="00E436C1"/>
    <w:rsid w:val="00E44673"/>
    <w:rsid w:val="00E468DA"/>
    <w:rsid w:val="00E47942"/>
    <w:rsid w:val="00E5225B"/>
    <w:rsid w:val="00E54A7A"/>
    <w:rsid w:val="00E54EC1"/>
    <w:rsid w:val="00E5753D"/>
    <w:rsid w:val="00E6043C"/>
    <w:rsid w:val="00E61283"/>
    <w:rsid w:val="00E70690"/>
    <w:rsid w:val="00E72802"/>
    <w:rsid w:val="00E73BF9"/>
    <w:rsid w:val="00E75934"/>
    <w:rsid w:val="00E75ADD"/>
    <w:rsid w:val="00E813FF"/>
    <w:rsid w:val="00E8148C"/>
    <w:rsid w:val="00E85373"/>
    <w:rsid w:val="00E854B8"/>
    <w:rsid w:val="00E8759F"/>
    <w:rsid w:val="00E90EA2"/>
    <w:rsid w:val="00EA16D5"/>
    <w:rsid w:val="00EA2853"/>
    <w:rsid w:val="00EA4C57"/>
    <w:rsid w:val="00EA564B"/>
    <w:rsid w:val="00EA6001"/>
    <w:rsid w:val="00EB514A"/>
    <w:rsid w:val="00EB646F"/>
    <w:rsid w:val="00EB7ED4"/>
    <w:rsid w:val="00EC408F"/>
    <w:rsid w:val="00EC580F"/>
    <w:rsid w:val="00EC6D54"/>
    <w:rsid w:val="00EC72B6"/>
    <w:rsid w:val="00ED1417"/>
    <w:rsid w:val="00ED4426"/>
    <w:rsid w:val="00EE038F"/>
    <w:rsid w:val="00EE5064"/>
    <w:rsid w:val="00EE630B"/>
    <w:rsid w:val="00EE6DAD"/>
    <w:rsid w:val="00EE736D"/>
    <w:rsid w:val="00EF197C"/>
    <w:rsid w:val="00EF27FE"/>
    <w:rsid w:val="00EF322B"/>
    <w:rsid w:val="00EF64B2"/>
    <w:rsid w:val="00F01133"/>
    <w:rsid w:val="00F03E46"/>
    <w:rsid w:val="00F04448"/>
    <w:rsid w:val="00F05F74"/>
    <w:rsid w:val="00F11155"/>
    <w:rsid w:val="00F129C2"/>
    <w:rsid w:val="00F13BC6"/>
    <w:rsid w:val="00F15DE4"/>
    <w:rsid w:val="00F2256E"/>
    <w:rsid w:val="00F22F24"/>
    <w:rsid w:val="00F23424"/>
    <w:rsid w:val="00F24D93"/>
    <w:rsid w:val="00F24F1C"/>
    <w:rsid w:val="00F2665B"/>
    <w:rsid w:val="00F27452"/>
    <w:rsid w:val="00F27EF6"/>
    <w:rsid w:val="00F309BF"/>
    <w:rsid w:val="00F318F4"/>
    <w:rsid w:val="00F32707"/>
    <w:rsid w:val="00F32CDE"/>
    <w:rsid w:val="00F33F48"/>
    <w:rsid w:val="00F35181"/>
    <w:rsid w:val="00F36EED"/>
    <w:rsid w:val="00F4599B"/>
    <w:rsid w:val="00F45DBB"/>
    <w:rsid w:val="00F5210E"/>
    <w:rsid w:val="00F5589E"/>
    <w:rsid w:val="00F570AB"/>
    <w:rsid w:val="00F62146"/>
    <w:rsid w:val="00F62F00"/>
    <w:rsid w:val="00F63DBA"/>
    <w:rsid w:val="00F66A59"/>
    <w:rsid w:val="00F74A81"/>
    <w:rsid w:val="00F75936"/>
    <w:rsid w:val="00F764C6"/>
    <w:rsid w:val="00F82599"/>
    <w:rsid w:val="00F82F56"/>
    <w:rsid w:val="00F85268"/>
    <w:rsid w:val="00F8585E"/>
    <w:rsid w:val="00F8645F"/>
    <w:rsid w:val="00F9027C"/>
    <w:rsid w:val="00F91221"/>
    <w:rsid w:val="00F94682"/>
    <w:rsid w:val="00F94A32"/>
    <w:rsid w:val="00FA0A1A"/>
    <w:rsid w:val="00FA0BD0"/>
    <w:rsid w:val="00FA0FD8"/>
    <w:rsid w:val="00FA35E4"/>
    <w:rsid w:val="00FA66E8"/>
    <w:rsid w:val="00FA7D6A"/>
    <w:rsid w:val="00FB1923"/>
    <w:rsid w:val="00FB3F46"/>
    <w:rsid w:val="00FB5133"/>
    <w:rsid w:val="00FB52EC"/>
    <w:rsid w:val="00FC0FE6"/>
    <w:rsid w:val="00FC1B03"/>
    <w:rsid w:val="00FC271E"/>
    <w:rsid w:val="00FD083A"/>
    <w:rsid w:val="00FD1B24"/>
    <w:rsid w:val="00FD4A5E"/>
    <w:rsid w:val="00FD6392"/>
    <w:rsid w:val="00FD6DFE"/>
    <w:rsid w:val="00FE2A68"/>
    <w:rsid w:val="00FE4220"/>
    <w:rsid w:val="00FE74B0"/>
    <w:rsid w:val="00FF332A"/>
    <w:rsid w:val="00FF3DEE"/>
    <w:rsid w:val="00FF4E24"/>
    <w:rsid w:val="00FF5939"/>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3E17"/>
  <w15:chartTrackingRefBased/>
  <w15:docId w15:val="{86CA4DEB-6B04-4887-9906-2010F9F9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3C"/>
    <w:pPr>
      <w:ind w:left="720"/>
      <w:contextualSpacing/>
    </w:pPr>
  </w:style>
  <w:style w:type="paragraph" w:styleId="FootnoteText">
    <w:name w:val="footnote text"/>
    <w:basedOn w:val="Normal"/>
    <w:link w:val="FootnoteTextChar"/>
    <w:uiPriority w:val="99"/>
    <w:semiHidden/>
    <w:unhideWhenUsed/>
    <w:rsid w:val="000D5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DBC"/>
    <w:rPr>
      <w:sz w:val="20"/>
      <w:szCs w:val="20"/>
    </w:rPr>
  </w:style>
  <w:style w:type="character" w:styleId="FootnoteReference">
    <w:name w:val="footnote reference"/>
    <w:basedOn w:val="DefaultParagraphFont"/>
    <w:uiPriority w:val="99"/>
    <w:semiHidden/>
    <w:unhideWhenUsed/>
    <w:rsid w:val="000D5DBC"/>
    <w:rPr>
      <w:vertAlign w:val="superscript"/>
    </w:rPr>
  </w:style>
  <w:style w:type="paragraph" w:styleId="Header">
    <w:name w:val="header"/>
    <w:basedOn w:val="Normal"/>
    <w:link w:val="HeaderChar"/>
    <w:uiPriority w:val="99"/>
    <w:unhideWhenUsed/>
    <w:rsid w:val="00067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C7"/>
  </w:style>
  <w:style w:type="paragraph" w:styleId="Footer">
    <w:name w:val="footer"/>
    <w:basedOn w:val="Normal"/>
    <w:link w:val="FooterChar"/>
    <w:uiPriority w:val="99"/>
    <w:unhideWhenUsed/>
    <w:rsid w:val="00067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C7"/>
  </w:style>
  <w:style w:type="character" w:styleId="Hyperlink">
    <w:name w:val="Hyperlink"/>
    <w:basedOn w:val="DefaultParagraphFont"/>
    <w:uiPriority w:val="99"/>
    <w:unhideWhenUsed/>
    <w:rsid w:val="008B1B05"/>
    <w:rPr>
      <w:color w:val="0563C1" w:themeColor="hyperlink"/>
      <w:u w:val="single"/>
    </w:rPr>
  </w:style>
  <w:style w:type="character" w:styleId="UnresolvedMention">
    <w:name w:val="Unresolved Mention"/>
    <w:basedOn w:val="DefaultParagraphFont"/>
    <w:uiPriority w:val="99"/>
    <w:semiHidden/>
    <w:unhideWhenUsed/>
    <w:rsid w:val="008B1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citral.un.org/en/texts/insolvency/modellaw/cross-border_insolvency" TargetMode="External"/><Relationship Id="rId1" Type="http://schemas.openxmlformats.org/officeDocument/2006/relationships/hyperlink" Target="https://uncitral.un.org/en/texts/insolvency/modellaw/cross-border_insolv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A96A-3E34-489C-8836-3A4DBC26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12</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 Kypridemou</dc:creator>
  <cp:keywords/>
  <dc:description/>
  <cp:lastModifiedBy>Andrie Kypridemou</cp:lastModifiedBy>
  <cp:revision>1216</cp:revision>
  <dcterms:created xsi:type="dcterms:W3CDTF">2021-11-02T12:00:00Z</dcterms:created>
  <dcterms:modified xsi:type="dcterms:W3CDTF">2021-11-05T17:00:00Z</dcterms:modified>
</cp:coreProperties>
</file>