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A0D7" w14:textId="77777777" w:rsidR="0024089A" w:rsidRPr="007033A3" w:rsidRDefault="0024089A" w:rsidP="007033A3">
      <w:pPr>
        <w:pBdr>
          <w:top w:val="single" w:sz="4" w:space="1" w:color="auto"/>
        </w:pBdr>
        <w:spacing w:line="360" w:lineRule="auto"/>
        <w:jc w:val="center"/>
        <w:rPr>
          <w:rFonts w:ascii="Arial" w:hAnsi="Arial" w:cs="Arial"/>
          <w:smallCaps/>
          <w:sz w:val="22"/>
          <w:szCs w:val="22"/>
        </w:rPr>
      </w:pPr>
      <w:r w:rsidRPr="007033A3">
        <w:rPr>
          <w:rFonts w:ascii="Arial" w:hAnsi="Arial" w:cs="Arial"/>
          <w:noProof/>
          <w:sz w:val="22"/>
          <w:szCs w:val="22"/>
          <w:lang w:val="en-US"/>
        </w:rPr>
        <mc:AlternateContent>
          <mc:Choice Requires="wps">
            <w:drawing>
              <wp:anchor distT="0" distB="0" distL="114935" distR="114935" simplePos="0" relativeHeight="251659264" behindDoc="0" locked="0" layoutInCell="1" allowOverlap="1" wp14:anchorId="50612F7D" wp14:editId="5201270D">
                <wp:simplePos x="0" y="0"/>
                <wp:positionH relativeFrom="margin">
                  <wp:posOffset>2513965</wp:posOffset>
                </wp:positionH>
                <wp:positionV relativeFrom="page">
                  <wp:posOffset>796452</wp:posOffset>
                </wp:positionV>
                <wp:extent cx="1257935" cy="216535"/>
                <wp:effectExtent l="0" t="0" r="1206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16535"/>
                        </a:xfrm>
                        <a:prstGeom prst="rect">
                          <a:avLst/>
                        </a:prstGeom>
                        <a:solidFill>
                          <a:srgbClr val="FFFFFF"/>
                        </a:solidFill>
                        <a:ln w="6350">
                          <a:solidFill>
                            <a:sysClr val="window" lastClr="FFFFFF"/>
                          </a:solidFill>
                          <a:miter lim="800000"/>
                          <a:headEnd/>
                          <a:tailEnd/>
                        </a:ln>
                      </wps:spPr>
                      <wps:txbx>
                        <w:txbxContent>
                          <w:p w14:paraId="1526D479" w14:textId="3F2A85DA" w:rsidR="00CF5CA9" w:rsidRPr="00276584" w:rsidRDefault="00CE0499" w:rsidP="0024089A">
                            <w:pPr>
                              <w:jc w:val="center"/>
                              <w:rPr>
                                <w:rFonts w:ascii="Cambria" w:hAnsi="Cambria" w:cs="Arial"/>
                                <w:smallCaps/>
                                <w:spacing w:val="24"/>
                              </w:rPr>
                            </w:pPr>
                            <w:r w:rsidRPr="00276584">
                              <w:rPr>
                                <w:rFonts w:ascii="Cambria" w:hAnsi="Cambria" w:cs="Arial"/>
                                <w:smallCaps/>
                                <w:spacing w:val="24"/>
                              </w:rPr>
                              <w:t xml:space="preserve">Case </w:t>
                            </w:r>
                            <w:proofErr w:type="spellStart"/>
                            <w:r w:rsidRPr="00276584">
                              <w:rPr>
                                <w:rFonts w:ascii="Cambria" w:hAnsi="Cambria" w:cs="Arial"/>
                                <w:smallCaps/>
                                <w:spacing w:val="24"/>
                              </w:rPr>
                              <w:t>Study</w:t>
                            </w:r>
                            <w:proofErr w:type="spellEnd"/>
                            <w:r w:rsidRPr="00276584">
                              <w:rPr>
                                <w:rFonts w:ascii="Cambria" w:hAnsi="Cambria" w:cs="Arial"/>
                                <w:smallCaps/>
                                <w:spacing w:val="24"/>
                              </w:rPr>
                              <w:t xml:space="preserve"> I</w:t>
                            </w:r>
                          </w:p>
                        </w:txbxContent>
                      </wps:txbx>
                      <wps:bodyPr rot="0" vert="horz" wrap="square" lIns="33655" tIns="22860" rIns="1270" bIns="228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2F7D" id="_x0000_t202" coordsize="21600,21600" o:spt="202" path="m,l,21600r21600,l21600,xe">
                <v:stroke joinstyle="miter"/>
                <v:path gradientshapeok="t" o:connecttype="rect"/>
              </v:shapetype>
              <v:shape id="Caixa de texto 1" o:spid="_x0000_s1026" type="#_x0000_t202" style="position:absolute;left:0;text-align:left;margin-left:197.95pt;margin-top:62.7pt;width:99.05pt;height:17.0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" strokecolor="window" strokeweight=".5pt">
                <v:textbox inset="2.65pt,1.8pt,.1pt,1.8pt">
                  <w:txbxContent>
                    <w:p w14:paraId="1526D479" w14:textId="3F2A85DA" w:rsidR="00CF5CA9" w:rsidRPr="00276584" w:rsidRDefault="00CE0499" w:rsidP="0024089A">
                      <w:pPr>
                        <w:jc w:val="center"/>
                        <w:rPr>
                          <w:rFonts w:ascii="Cambria" w:hAnsi="Cambria" w:cs="Arial"/>
                          <w:smallCaps/>
                          <w:spacing w:val="24"/>
                        </w:rPr>
                      </w:pPr>
                      <w:r w:rsidRPr="00276584">
                        <w:rPr>
                          <w:rFonts w:ascii="Cambria" w:hAnsi="Cambria" w:cs="Arial"/>
                          <w:smallCaps/>
                          <w:spacing w:val="24"/>
                        </w:rPr>
                        <w:t xml:space="preserve">Case </w:t>
                      </w:r>
                      <w:proofErr w:type="spellStart"/>
                      <w:r w:rsidRPr="00276584">
                        <w:rPr>
                          <w:rFonts w:ascii="Cambria" w:hAnsi="Cambria" w:cs="Arial"/>
                          <w:smallCaps/>
                          <w:spacing w:val="24"/>
                        </w:rPr>
                        <w:t>Study</w:t>
                      </w:r>
                      <w:proofErr w:type="spellEnd"/>
                      <w:r w:rsidRPr="00276584">
                        <w:rPr>
                          <w:rFonts w:ascii="Cambria" w:hAnsi="Cambria" w:cs="Arial"/>
                          <w:smallCaps/>
                          <w:spacing w:val="24"/>
                        </w:rPr>
                        <w:t xml:space="preserve"> I</w:t>
                      </w:r>
                    </w:p>
                  </w:txbxContent>
                </v:textbox>
                <w10:wrap anchorx="margin" anchory="page"/>
              </v:shape>
            </w:pict>
          </mc:Fallback>
        </mc:AlternateContent>
      </w:r>
    </w:p>
    <w:p w14:paraId="209EC5FA" w14:textId="3ABC9A77" w:rsidR="00513A19" w:rsidRPr="00276584" w:rsidRDefault="00CE0499" w:rsidP="007033A3">
      <w:pPr>
        <w:spacing w:after="160"/>
        <w:jc w:val="both"/>
        <w:rPr>
          <w:rFonts w:ascii="Cambria" w:hAnsi="Cambria" w:cs="Arial"/>
          <w:lang w:val="en-US"/>
        </w:rPr>
      </w:pPr>
      <w:r w:rsidRPr="00276584">
        <w:rPr>
          <w:rFonts w:ascii="Cambria" w:hAnsi="Cambria" w:cs="Arial"/>
          <w:smallCaps/>
          <w:lang w:val="en-US"/>
        </w:rPr>
        <w:t>INSOL Global Insolvency Practice Course 2021/2022</w:t>
      </w:r>
    </w:p>
    <w:p w14:paraId="518851C9" w14:textId="14B33D2D" w:rsidR="00513A19" w:rsidRPr="00276584" w:rsidRDefault="00CE0499" w:rsidP="007033A3">
      <w:pPr>
        <w:spacing w:after="160"/>
        <w:jc w:val="both"/>
        <w:rPr>
          <w:rFonts w:ascii="Cambria" w:hAnsi="Cambria" w:cs="Arial"/>
          <w:smallCaps/>
          <w:u w:val="single"/>
        </w:rPr>
      </w:pPr>
      <w:r w:rsidRPr="00276584">
        <w:rPr>
          <w:rFonts w:ascii="Cambria" w:hAnsi="Cambria" w:cs="Arial"/>
          <w:smallCaps/>
          <w:u w:val="single"/>
        </w:rPr>
        <w:t>Module A</w:t>
      </w:r>
      <w:r w:rsidRPr="00276584">
        <w:rPr>
          <w:rFonts w:ascii="Cambria" w:hAnsi="Cambria" w:cs="Arial"/>
          <w:smallCaps/>
        </w:rPr>
        <w:t xml:space="preserve">: </w:t>
      </w:r>
      <w:r w:rsidRPr="00276584">
        <w:rPr>
          <w:rFonts w:ascii="Cambria" w:hAnsi="Cambria" w:cs="Arial"/>
        </w:rPr>
        <w:t xml:space="preserve">Case </w:t>
      </w:r>
      <w:proofErr w:type="spellStart"/>
      <w:r w:rsidRPr="00276584">
        <w:rPr>
          <w:rFonts w:ascii="Cambria" w:hAnsi="Cambria" w:cs="Arial"/>
        </w:rPr>
        <w:t>Study</w:t>
      </w:r>
      <w:proofErr w:type="spellEnd"/>
      <w:r w:rsidRPr="00276584">
        <w:rPr>
          <w:rFonts w:ascii="Cambria" w:hAnsi="Cambria" w:cs="Arial"/>
        </w:rPr>
        <w:t xml:space="preserve"> I</w:t>
      </w:r>
    </w:p>
    <w:p w14:paraId="350927A8" w14:textId="7D7F7C0E" w:rsidR="00AE7CD3" w:rsidRPr="00276584" w:rsidRDefault="00CE0499" w:rsidP="007033A3">
      <w:pPr>
        <w:spacing w:after="160"/>
        <w:jc w:val="both"/>
        <w:rPr>
          <w:rFonts w:ascii="Cambria" w:hAnsi="Cambria" w:cs="Arial"/>
        </w:rPr>
      </w:pPr>
      <w:proofErr w:type="spellStart"/>
      <w:r w:rsidRPr="00276584">
        <w:rPr>
          <w:rFonts w:ascii="Cambria" w:hAnsi="Cambria" w:cs="Arial"/>
          <w:smallCaps/>
          <w:u w:val="single"/>
        </w:rPr>
        <w:t>Student</w:t>
      </w:r>
      <w:proofErr w:type="spellEnd"/>
      <w:r w:rsidRPr="00276584">
        <w:rPr>
          <w:rFonts w:ascii="Cambria" w:hAnsi="Cambria" w:cs="Arial"/>
          <w:smallCaps/>
          <w:u w:val="single"/>
        </w:rPr>
        <w:t>:</w:t>
      </w:r>
      <w:r w:rsidRPr="00276584">
        <w:rPr>
          <w:rFonts w:ascii="Cambria" w:hAnsi="Cambria" w:cs="Arial"/>
          <w:smallCaps/>
        </w:rPr>
        <w:t xml:space="preserve"> </w:t>
      </w:r>
      <w:r w:rsidRPr="00276584">
        <w:rPr>
          <w:rFonts w:ascii="Cambria" w:hAnsi="Cambria" w:cs="Arial"/>
        </w:rPr>
        <w:t>Rodrigo Saraiva Porto Garcia</w:t>
      </w:r>
    </w:p>
    <w:p w14:paraId="5CBDE8D4" w14:textId="77777777" w:rsidR="0024089A" w:rsidRPr="007033A3" w:rsidRDefault="0024089A" w:rsidP="007033A3">
      <w:pPr>
        <w:jc w:val="center"/>
        <w:rPr>
          <w:rFonts w:ascii="Arial" w:hAnsi="Arial" w:cs="Arial"/>
          <w:smallCaps/>
          <w:sz w:val="22"/>
          <w:szCs w:val="22"/>
        </w:rPr>
      </w:pPr>
    </w:p>
    <w:p w14:paraId="7C99EA13" w14:textId="77777777" w:rsidR="00B04A6D" w:rsidRPr="007033A3" w:rsidRDefault="00B04A6D" w:rsidP="007033A3">
      <w:pPr>
        <w:pBdr>
          <w:top w:val="single" w:sz="4" w:space="1" w:color="auto"/>
        </w:pBdr>
        <w:jc w:val="both"/>
        <w:rPr>
          <w:rFonts w:ascii="Arial" w:hAnsi="Arial" w:cs="Arial"/>
          <w:sz w:val="22"/>
          <w:szCs w:val="22"/>
        </w:rPr>
      </w:pPr>
    </w:p>
    <w:p w14:paraId="4DF2B49E" w14:textId="77777777" w:rsidR="00CE0499" w:rsidRPr="007033A3" w:rsidRDefault="00CE0499" w:rsidP="007033A3">
      <w:pPr>
        <w:pStyle w:val="PargrafodaLista"/>
        <w:snapToGrid w:val="0"/>
        <w:spacing w:after="120"/>
        <w:ind w:left="0"/>
        <w:contextualSpacing w:val="0"/>
        <w:rPr>
          <w:rFonts w:ascii="Arial" w:hAnsi="Arial" w:cs="Arial"/>
          <w:smallCaps/>
          <w:sz w:val="22"/>
          <w:szCs w:val="22"/>
        </w:rPr>
      </w:pPr>
      <w:r w:rsidRPr="007033A3">
        <w:rPr>
          <w:rFonts w:ascii="Arial" w:hAnsi="Arial" w:cs="Arial"/>
          <w:smallCaps/>
          <w:noProof/>
          <w:sz w:val="22"/>
          <w:szCs w:val="22"/>
          <w:lang w:eastAsia="pt-BR"/>
        </w:rPr>
        <mc:AlternateContent>
          <mc:Choice Requires="wps">
            <w:drawing>
              <wp:anchor distT="0" distB="0" distL="114300" distR="114300" simplePos="0" relativeHeight="251661312" behindDoc="0" locked="0" layoutInCell="1" allowOverlap="1" wp14:anchorId="52C18FD4" wp14:editId="527A6E36">
                <wp:simplePos x="0" y="0"/>
                <wp:positionH relativeFrom="column">
                  <wp:posOffset>-5694</wp:posOffset>
                </wp:positionH>
                <wp:positionV relativeFrom="paragraph">
                  <wp:posOffset>44327</wp:posOffset>
                </wp:positionV>
                <wp:extent cx="5781368" cy="619432"/>
                <wp:effectExtent l="0" t="0" r="10160" b="15875"/>
                <wp:wrapNone/>
                <wp:docPr id="3" name="Text Box 3"/>
                <wp:cNvGraphicFramePr/>
                <a:graphic xmlns:a="http://schemas.openxmlformats.org/drawingml/2006/main">
                  <a:graphicData uri="http://schemas.microsoft.com/office/word/2010/wordprocessingShape">
                    <wps:wsp>
                      <wps:cNvSpPr txBox="1"/>
                      <wps:spPr>
                        <a:xfrm>
                          <a:off x="0" y="0"/>
                          <a:ext cx="5781368" cy="619432"/>
                        </a:xfrm>
                        <a:prstGeom prst="rect">
                          <a:avLst/>
                        </a:prstGeom>
                        <a:solidFill>
                          <a:schemeClr val="lt1"/>
                        </a:solidFill>
                        <a:ln w="6350">
                          <a:solidFill>
                            <a:prstClr val="black"/>
                          </a:solidFill>
                        </a:ln>
                      </wps:spPr>
                      <wps:txbx>
                        <w:txbxContent>
                          <w:p w14:paraId="6B810FF4" w14:textId="3CBF9FEC"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rPr>
                            </w:pPr>
                            <w:r w:rsidRPr="007033A3">
                              <w:rPr>
                                <w:rFonts w:ascii="Arial" w:hAnsi="Arial" w:cs="Arial"/>
                                <w:i/>
                                <w:sz w:val="22"/>
                                <w:szCs w:val="22"/>
                                <w:lang w:val="en-US"/>
                              </w:rPr>
                              <w:t xml:space="preserve">What were in your opinion the causes of financial distress at Flow Management (see </w:t>
                            </w:r>
                            <w:proofErr w:type="gramStart"/>
                            <w:r w:rsidRPr="007033A3">
                              <w:rPr>
                                <w:rFonts w:ascii="Arial" w:hAnsi="Arial" w:cs="Arial"/>
                                <w:i/>
                                <w:sz w:val="22"/>
                                <w:szCs w:val="22"/>
                                <w:lang w:val="en-US"/>
                              </w:rPr>
                              <w:t>e.g.</w:t>
                            </w:r>
                            <w:proofErr w:type="gramEnd"/>
                            <w:r w:rsidRPr="007033A3">
                              <w:rPr>
                                <w:rFonts w:ascii="Arial" w:hAnsi="Arial" w:cs="Arial"/>
                                <w:i/>
                                <w:sz w:val="22"/>
                                <w:szCs w:val="22"/>
                                <w:lang w:val="en-US"/>
                              </w:rPr>
                              <w:t xml:space="preserve"> </w:t>
                            </w:r>
                            <w:proofErr w:type="spellStart"/>
                            <w:r w:rsidRPr="007033A3">
                              <w:rPr>
                                <w:rFonts w:ascii="Arial" w:hAnsi="Arial" w:cs="Arial"/>
                                <w:i/>
                                <w:sz w:val="22"/>
                                <w:szCs w:val="22"/>
                                <w:lang w:val="en-US"/>
                              </w:rPr>
                              <w:t>Mellahi</w:t>
                            </w:r>
                            <w:proofErr w:type="spellEnd"/>
                            <w:r w:rsidRPr="007033A3">
                              <w:rPr>
                                <w:rFonts w:ascii="Arial" w:hAnsi="Arial" w:cs="Arial"/>
                                <w:i/>
                                <w:sz w:val="22"/>
                                <w:szCs w:val="22"/>
                                <w:lang w:val="en-US"/>
                              </w:rPr>
                              <w:t xml:space="preserve"> &amp; Wilkinson, 2004)? Could the financial distress have been prevented? If yes, explain how. If no, why not?</w:t>
                            </w:r>
                          </w:p>
                          <w:p w14:paraId="514DF681" w14:textId="77777777" w:rsidR="00CE0499" w:rsidRDefault="00CE0499" w:rsidP="00CE0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8FD4" id="Text Box 3" o:spid="_x0000_s1027" type="#_x0000_t202" style="position:absolute;margin-left:-.45pt;margin-top:3.5pt;width:455.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" fillcolor="white [3201]" strokeweight=".5pt">
                <v:textbox>
                  <w:txbxContent>
                    <w:p w14:paraId="6B810FF4" w14:textId="3CBF9FEC"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rPr>
                      </w:pPr>
                      <w:r w:rsidRPr="007033A3">
                        <w:rPr>
                          <w:rFonts w:ascii="Arial" w:hAnsi="Arial" w:cs="Arial"/>
                          <w:i/>
                          <w:sz w:val="22"/>
                          <w:szCs w:val="22"/>
                          <w:lang w:val="en-US"/>
                        </w:rPr>
                        <w:t xml:space="preserve">What were in your opinion the causes of financial distress at Flow Management (see </w:t>
                      </w:r>
                      <w:proofErr w:type="gramStart"/>
                      <w:r w:rsidRPr="007033A3">
                        <w:rPr>
                          <w:rFonts w:ascii="Arial" w:hAnsi="Arial" w:cs="Arial"/>
                          <w:i/>
                          <w:sz w:val="22"/>
                          <w:szCs w:val="22"/>
                          <w:lang w:val="en-US"/>
                        </w:rPr>
                        <w:t>e.g.</w:t>
                      </w:r>
                      <w:proofErr w:type="gramEnd"/>
                      <w:r w:rsidRPr="007033A3">
                        <w:rPr>
                          <w:rFonts w:ascii="Arial" w:hAnsi="Arial" w:cs="Arial"/>
                          <w:i/>
                          <w:sz w:val="22"/>
                          <w:szCs w:val="22"/>
                          <w:lang w:val="en-US"/>
                        </w:rPr>
                        <w:t xml:space="preserve"> </w:t>
                      </w:r>
                      <w:proofErr w:type="spellStart"/>
                      <w:r w:rsidRPr="007033A3">
                        <w:rPr>
                          <w:rFonts w:ascii="Arial" w:hAnsi="Arial" w:cs="Arial"/>
                          <w:i/>
                          <w:sz w:val="22"/>
                          <w:szCs w:val="22"/>
                          <w:lang w:val="en-US"/>
                        </w:rPr>
                        <w:t>Mellahi</w:t>
                      </w:r>
                      <w:proofErr w:type="spellEnd"/>
                      <w:r w:rsidRPr="007033A3">
                        <w:rPr>
                          <w:rFonts w:ascii="Arial" w:hAnsi="Arial" w:cs="Arial"/>
                          <w:i/>
                          <w:sz w:val="22"/>
                          <w:szCs w:val="22"/>
                          <w:lang w:val="en-US"/>
                        </w:rPr>
                        <w:t xml:space="preserve"> &amp; Wilkinson, 2004)? Could the financial distress have been prevented? If yes, explain how. If no, why not?</w:t>
                      </w:r>
                    </w:p>
                    <w:p w14:paraId="514DF681" w14:textId="77777777" w:rsidR="00CE0499" w:rsidRDefault="00CE0499" w:rsidP="00CE0499"/>
                  </w:txbxContent>
                </v:textbox>
              </v:shape>
            </w:pict>
          </mc:Fallback>
        </mc:AlternateContent>
      </w:r>
    </w:p>
    <w:p w14:paraId="7307EA8F" w14:textId="77777777" w:rsidR="00CE0499" w:rsidRPr="007033A3" w:rsidRDefault="00CE0499" w:rsidP="007033A3">
      <w:pPr>
        <w:pStyle w:val="PargrafodaLista"/>
        <w:snapToGrid w:val="0"/>
        <w:spacing w:after="120"/>
        <w:ind w:left="0"/>
        <w:contextualSpacing w:val="0"/>
        <w:rPr>
          <w:rFonts w:ascii="Arial" w:hAnsi="Arial" w:cs="Arial"/>
          <w:smallCaps/>
          <w:sz w:val="22"/>
          <w:szCs w:val="22"/>
        </w:rPr>
      </w:pPr>
    </w:p>
    <w:p w14:paraId="11BE7600" w14:textId="77777777" w:rsidR="00CE0499" w:rsidRPr="007033A3" w:rsidRDefault="00CE0499" w:rsidP="007033A3">
      <w:pPr>
        <w:tabs>
          <w:tab w:val="left" w:pos="1134"/>
        </w:tabs>
        <w:snapToGrid w:val="0"/>
        <w:spacing w:after="120"/>
        <w:rPr>
          <w:rFonts w:ascii="Arial" w:hAnsi="Arial" w:cs="Arial"/>
          <w:sz w:val="22"/>
          <w:szCs w:val="22"/>
        </w:rPr>
      </w:pPr>
    </w:p>
    <w:p w14:paraId="24AF51E7" w14:textId="77777777" w:rsidR="001D26B2" w:rsidRPr="007033A3" w:rsidRDefault="001D26B2" w:rsidP="007033A3">
      <w:pPr>
        <w:pStyle w:val="PargrafodaLista"/>
        <w:tabs>
          <w:tab w:val="left" w:pos="1134"/>
        </w:tabs>
        <w:ind w:left="0"/>
        <w:jc w:val="both"/>
        <w:rPr>
          <w:rFonts w:ascii="Arial" w:hAnsi="Arial" w:cs="Arial"/>
          <w:sz w:val="22"/>
          <w:szCs w:val="22"/>
        </w:rPr>
      </w:pPr>
    </w:p>
    <w:p w14:paraId="399EE4DF" w14:textId="1ACB0317" w:rsidR="00053FD8" w:rsidRPr="007033A3" w:rsidRDefault="00053FD8"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According to </w:t>
      </w:r>
      <w:r w:rsidR="00E70D16" w:rsidRPr="007033A3">
        <w:rPr>
          <w:rFonts w:ascii="Arial" w:hAnsi="Arial" w:cs="Arial"/>
          <w:sz w:val="22"/>
          <w:szCs w:val="22"/>
          <w:lang w:val="en-US"/>
        </w:rPr>
        <w:t xml:space="preserve">Kamel </w:t>
      </w:r>
      <w:proofErr w:type="spellStart"/>
      <w:r w:rsidR="00E70D16" w:rsidRPr="007033A3">
        <w:rPr>
          <w:rFonts w:ascii="Arial" w:hAnsi="Arial" w:cs="Arial"/>
          <w:sz w:val="22"/>
          <w:szCs w:val="22"/>
          <w:lang w:val="en-US"/>
        </w:rPr>
        <w:t>Mellahi</w:t>
      </w:r>
      <w:proofErr w:type="spellEnd"/>
      <w:r w:rsidR="00E70D16" w:rsidRPr="007033A3">
        <w:rPr>
          <w:rFonts w:ascii="Arial" w:hAnsi="Arial" w:cs="Arial"/>
          <w:sz w:val="22"/>
          <w:szCs w:val="22"/>
          <w:lang w:val="en-US"/>
        </w:rPr>
        <w:t xml:space="preserve"> and Adrian Wilkinson</w:t>
      </w:r>
      <w:r w:rsidRPr="007033A3">
        <w:rPr>
          <w:rFonts w:ascii="Arial" w:hAnsi="Arial" w:cs="Arial"/>
          <w:sz w:val="22"/>
          <w:szCs w:val="22"/>
          <w:lang w:val="en-US"/>
        </w:rPr>
        <w:t>,</w:t>
      </w:r>
      <w:r w:rsidR="00E5125B" w:rsidRPr="007033A3">
        <w:rPr>
          <w:rStyle w:val="Refdenotaderodap"/>
          <w:rFonts w:ascii="Arial" w:hAnsi="Arial" w:cs="Arial"/>
          <w:sz w:val="22"/>
          <w:szCs w:val="22"/>
        </w:rPr>
        <w:footnoteReference w:id="1"/>
      </w:r>
      <w:r w:rsidR="00E70D16" w:rsidRPr="007033A3">
        <w:rPr>
          <w:rFonts w:ascii="Arial" w:hAnsi="Arial" w:cs="Arial"/>
          <w:sz w:val="22"/>
          <w:szCs w:val="22"/>
          <w:lang w:val="en-US"/>
        </w:rPr>
        <w:t xml:space="preserve"> </w:t>
      </w:r>
      <w:r w:rsidRPr="007033A3">
        <w:rPr>
          <w:rFonts w:ascii="Arial" w:hAnsi="Arial" w:cs="Arial"/>
          <w:sz w:val="22"/>
          <w:szCs w:val="22"/>
          <w:lang w:val="en-US"/>
        </w:rPr>
        <w:t>“</w:t>
      </w:r>
      <w:r w:rsidRPr="007033A3">
        <w:rPr>
          <w:rFonts w:ascii="Arial" w:hAnsi="Arial" w:cs="Arial"/>
          <w:i/>
          <w:iCs/>
          <w:sz w:val="22"/>
          <w:szCs w:val="22"/>
          <w:lang w:val="en-US"/>
        </w:rPr>
        <w:t>[d]</w:t>
      </w:r>
      <w:proofErr w:type="spellStart"/>
      <w:r w:rsidRPr="007033A3">
        <w:rPr>
          <w:rFonts w:ascii="Arial" w:hAnsi="Arial" w:cs="Arial"/>
          <w:i/>
          <w:iCs/>
          <w:sz w:val="22"/>
          <w:szCs w:val="22"/>
          <w:lang w:val="en-US"/>
        </w:rPr>
        <w:t>espite</w:t>
      </w:r>
      <w:proofErr w:type="spellEnd"/>
      <w:r w:rsidRPr="007033A3">
        <w:rPr>
          <w:rFonts w:ascii="Arial" w:hAnsi="Arial" w:cs="Arial"/>
          <w:i/>
          <w:iCs/>
          <w:sz w:val="22"/>
          <w:szCs w:val="22"/>
          <w:lang w:val="en-US"/>
        </w:rPr>
        <w:t xml:space="preserve"> the lack of a precise definition of failure, there is a broad consensus on the meaning of failure. Cameron et al. (1988, 9) define it ‘as a deterioration in an organization’s adaptation to its </w:t>
      </w:r>
      <w:proofErr w:type="spellStart"/>
      <w:r w:rsidRPr="007033A3">
        <w:rPr>
          <w:rFonts w:ascii="Arial" w:hAnsi="Arial" w:cs="Arial"/>
          <w:i/>
          <w:iCs/>
          <w:sz w:val="22"/>
          <w:szCs w:val="22"/>
          <w:lang w:val="en-US"/>
        </w:rPr>
        <w:t>microniche</w:t>
      </w:r>
      <w:proofErr w:type="spellEnd"/>
      <w:r w:rsidRPr="007033A3">
        <w:rPr>
          <w:rFonts w:ascii="Arial" w:hAnsi="Arial" w:cs="Arial"/>
          <w:i/>
          <w:iCs/>
          <w:sz w:val="22"/>
          <w:szCs w:val="22"/>
          <w:lang w:val="en-US"/>
        </w:rPr>
        <w:t xml:space="preserve"> and the associated reduction of resources within the organization’</w:t>
      </w:r>
      <w:r w:rsidRPr="007033A3">
        <w:rPr>
          <w:rFonts w:ascii="Arial" w:hAnsi="Arial" w:cs="Arial"/>
          <w:sz w:val="22"/>
          <w:szCs w:val="22"/>
          <w:lang w:val="en-US"/>
        </w:rPr>
        <w:t>”.</w:t>
      </w:r>
      <w:r w:rsidRPr="007033A3">
        <w:rPr>
          <w:rStyle w:val="Refdenotaderodap"/>
          <w:rFonts w:ascii="Arial" w:hAnsi="Arial" w:cs="Arial"/>
          <w:sz w:val="22"/>
          <w:szCs w:val="22"/>
        </w:rPr>
        <w:footnoteReference w:id="2"/>
      </w:r>
      <w:r w:rsidR="00E70D16" w:rsidRPr="007033A3">
        <w:rPr>
          <w:rFonts w:ascii="Arial" w:hAnsi="Arial" w:cs="Arial"/>
          <w:sz w:val="22"/>
          <w:szCs w:val="22"/>
          <w:lang w:val="en-US"/>
        </w:rPr>
        <w:t xml:space="preserve"> </w:t>
      </w:r>
      <w:r w:rsidRPr="007033A3">
        <w:rPr>
          <w:rFonts w:ascii="Arial" w:hAnsi="Arial" w:cs="Arial"/>
          <w:sz w:val="22"/>
          <w:szCs w:val="22"/>
          <w:lang w:val="en-US"/>
        </w:rPr>
        <w:t>Certain signs point to an organization’s failure, such as diminishing financial resources (in Flow Management Group’s case, solvency reached 0.1%) and negative profitability (the group incurs losses in the years 2012, 2013, 2014 and 2015).</w:t>
      </w:r>
      <w:r w:rsidRPr="007033A3">
        <w:rPr>
          <w:rStyle w:val="Refdenotaderodap"/>
          <w:rFonts w:ascii="Arial" w:hAnsi="Arial" w:cs="Arial"/>
          <w:sz w:val="22"/>
          <w:szCs w:val="22"/>
        </w:rPr>
        <w:footnoteReference w:id="3"/>
      </w:r>
      <w:r w:rsidRPr="007033A3">
        <w:rPr>
          <w:rFonts w:ascii="Arial" w:hAnsi="Arial" w:cs="Arial"/>
          <w:sz w:val="22"/>
          <w:szCs w:val="22"/>
          <w:lang w:val="en-US"/>
        </w:rPr>
        <w:t xml:space="preserve"> The authors </w:t>
      </w:r>
      <w:r w:rsidRPr="007033A3">
        <w:rPr>
          <w:rFonts w:ascii="Arial" w:hAnsi="Arial" w:cs="Arial"/>
          <w:sz w:val="22"/>
          <w:szCs w:val="22"/>
          <w:lang w:val="en-US"/>
        </w:rPr>
        <w:t xml:space="preserve">introduce the different causes of organizational failure according to diverse </w:t>
      </w:r>
      <w:r w:rsidR="00566332" w:rsidRPr="007033A3">
        <w:rPr>
          <w:rFonts w:ascii="Arial" w:hAnsi="Arial" w:cs="Arial"/>
          <w:sz w:val="22"/>
          <w:szCs w:val="22"/>
          <w:lang w:val="en-US"/>
        </w:rPr>
        <w:t>schools</w:t>
      </w:r>
      <w:r w:rsidRPr="007033A3">
        <w:rPr>
          <w:rFonts w:ascii="Arial" w:hAnsi="Arial" w:cs="Arial"/>
          <w:sz w:val="22"/>
          <w:szCs w:val="22"/>
          <w:lang w:val="en-US"/>
        </w:rPr>
        <w:t xml:space="preserve"> of thought</w:t>
      </w:r>
      <w:r w:rsidRPr="007033A3">
        <w:rPr>
          <w:rFonts w:ascii="Arial" w:hAnsi="Arial" w:cs="Arial"/>
          <w:sz w:val="22"/>
          <w:szCs w:val="22"/>
          <w:lang w:val="en-US"/>
        </w:rPr>
        <w:t xml:space="preserve">: </w:t>
      </w:r>
    </w:p>
    <w:p w14:paraId="000F818C" w14:textId="77777777" w:rsidR="00053FD8" w:rsidRPr="007033A3" w:rsidRDefault="00053FD8" w:rsidP="007033A3">
      <w:pPr>
        <w:pStyle w:val="PargrafodaLista"/>
        <w:tabs>
          <w:tab w:val="left" w:pos="1134"/>
        </w:tabs>
        <w:ind w:left="0"/>
        <w:jc w:val="both"/>
        <w:rPr>
          <w:rFonts w:ascii="Arial" w:hAnsi="Arial" w:cs="Arial"/>
          <w:sz w:val="22"/>
          <w:szCs w:val="22"/>
          <w:lang w:val="en-US"/>
        </w:rPr>
      </w:pPr>
    </w:p>
    <w:p w14:paraId="1E7B57CD" w14:textId="2709D964" w:rsidR="00B01F21" w:rsidRPr="007033A3" w:rsidRDefault="00B01F21" w:rsidP="000519CE">
      <w:pPr>
        <w:pStyle w:val="PargrafodaLista"/>
        <w:numPr>
          <w:ilvl w:val="0"/>
          <w:numId w:val="29"/>
        </w:numPr>
        <w:tabs>
          <w:tab w:val="left" w:pos="1134"/>
        </w:tabs>
        <w:ind w:left="567" w:firstLine="0"/>
        <w:jc w:val="both"/>
        <w:rPr>
          <w:rFonts w:ascii="Arial" w:hAnsi="Arial" w:cs="Arial"/>
          <w:sz w:val="22"/>
          <w:szCs w:val="22"/>
          <w:lang w:val="en-US"/>
        </w:rPr>
      </w:pPr>
      <w:r w:rsidRPr="007033A3">
        <w:rPr>
          <w:rFonts w:ascii="Arial" w:hAnsi="Arial" w:cs="Arial"/>
          <w:sz w:val="22"/>
          <w:szCs w:val="22"/>
          <w:u w:val="single"/>
          <w:lang w:val="en-US"/>
        </w:rPr>
        <w:t>The D</w:t>
      </w:r>
      <w:r w:rsidR="00053FD8" w:rsidRPr="007033A3">
        <w:rPr>
          <w:rFonts w:ascii="Arial" w:hAnsi="Arial" w:cs="Arial"/>
          <w:sz w:val="22"/>
          <w:szCs w:val="22"/>
          <w:u w:val="single"/>
          <w:lang w:val="en-US"/>
        </w:rPr>
        <w:t xml:space="preserve">eterministic </w:t>
      </w:r>
      <w:r w:rsidRPr="007033A3">
        <w:rPr>
          <w:rFonts w:ascii="Arial" w:hAnsi="Arial" w:cs="Arial"/>
          <w:sz w:val="22"/>
          <w:szCs w:val="22"/>
          <w:u w:val="single"/>
          <w:lang w:val="en-US"/>
        </w:rPr>
        <w:t>V</w:t>
      </w:r>
      <w:r w:rsidR="00053FD8" w:rsidRPr="007033A3">
        <w:rPr>
          <w:rFonts w:ascii="Arial" w:hAnsi="Arial" w:cs="Arial"/>
          <w:sz w:val="22"/>
          <w:szCs w:val="22"/>
          <w:u w:val="single"/>
          <w:lang w:val="en-US"/>
        </w:rPr>
        <w:t>iew</w:t>
      </w:r>
      <w:r w:rsidRPr="007033A3">
        <w:rPr>
          <w:rFonts w:ascii="Arial" w:hAnsi="Arial" w:cs="Arial"/>
          <w:sz w:val="22"/>
          <w:szCs w:val="22"/>
          <w:lang w:val="en-US"/>
        </w:rPr>
        <w:t>.</w:t>
      </w:r>
      <w:r w:rsidR="00053FD8" w:rsidRPr="007033A3">
        <w:rPr>
          <w:rFonts w:ascii="Arial" w:hAnsi="Arial" w:cs="Arial"/>
          <w:sz w:val="22"/>
          <w:szCs w:val="22"/>
          <w:lang w:val="en-US"/>
        </w:rPr>
        <w:t xml:space="preserve"> </w:t>
      </w:r>
      <w:r w:rsidRPr="007033A3">
        <w:rPr>
          <w:rFonts w:ascii="Arial" w:hAnsi="Arial" w:cs="Arial"/>
          <w:sz w:val="22"/>
          <w:szCs w:val="22"/>
          <w:lang w:val="en-US"/>
        </w:rPr>
        <w:t xml:space="preserve">For this perspective of organizational failure, </w:t>
      </w:r>
      <w:r w:rsidR="00053FD8" w:rsidRPr="007033A3">
        <w:rPr>
          <w:rFonts w:ascii="Arial" w:hAnsi="Arial" w:cs="Arial"/>
          <w:sz w:val="22"/>
          <w:szCs w:val="22"/>
          <w:lang w:val="en-US"/>
        </w:rPr>
        <w:t xml:space="preserve">environmental </w:t>
      </w:r>
      <w:r w:rsidRPr="007033A3">
        <w:rPr>
          <w:rFonts w:ascii="Arial" w:hAnsi="Arial" w:cs="Arial"/>
          <w:sz w:val="22"/>
          <w:szCs w:val="22"/>
          <w:lang w:val="en-US"/>
        </w:rPr>
        <w:t xml:space="preserve">and external </w:t>
      </w:r>
      <w:r w:rsidR="00053FD8" w:rsidRPr="007033A3">
        <w:rPr>
          <w:rFonts w:ascii="Arial" w:hAnsi="Arial" w:cs="Arial"/>
          <w:sz w:val="22"/>
          <w:szCs w:val="22"/>
          <w:lang w:val="en-US"/>
        </w:rPr>
        <w:t>factors play a more important role in explaining the organization’s failure, meaning that “</w:t>
      </w:r>
      <w:r w:rsidR="00053FD8" w:rsidRPr="007033A3">
        <w:rPr>
          <w:rFonts w:ascii="Arial" w:hAnsi="Arial" w:cs="Arial"/>
          <w:i/>
          <w:iCs/>
          <w:sz w:val="22"/>
          <w:szCs w:val="22"/>
          <w:lang w:val="en-US"/>
        </w:rPr>
        <w:t>failure is caused by external factors over which management has little or no control</w:t>
      </w:r>
      <w:r w:rsidR="00053FD8" w:rsidRPr="007033A3">
        <w:rPr>
          <w:rFonts w:ascii="Arial" w:hAnsi="Arial" w:cs="Arial"/>
          <w:sz w:val="22"/>
          <w:szCs w:val="22"/>
          <w:lang w:val="en-US"/>
        </w:rPr>
        <w:t>”.</w:t>
      </w:r>
      <w:r w:rsidR="00053FD8" w:rsidRPr="007033A3">
        <w:rPr>
          <w:rStyle w:val="Refdenotaderodap"/>
          <w:rFonts w:ascii="Arial" w:hAnsi="Arial" w:cs="Arial"/>
          <w:sz w:val="22"/>
          <w:szCs w:val="22"/>
        </w:rPr>
        <w:footnoteReference w:id="4"/>
      </w:r>
      <w:r w:rsidR="00053FD8" w:rsidRPr="007033A3">
        <w:rPr>
          <w:rFonts w:ascii="Arial" w:hAnsi="Arial" w:cs="Arial"/>
          <w:sz w:val="22"/>
          <w:szCs w:val="22"/>
          <w:lang w:val="en-US"/>
        </w:rPr>
        <w:t xml:space="preserve"> </w:t>
      </w:r>
      <w:r w:rsidRPr="007033A3">
        <w:rPr>
          <w:rFonts w:ascii="Arial" w:hAnsi="Arial" w:cs="Arial"/>
          <w:sz w:val="22"/>
          <w:szCs w:val="22"/>
          <w:lang w:val="en-US"/>
        </w:rPr>
        <w:t xml:space="preserve">There are two </w:t>
      </w:r>
      <w:r w:rsidR="00566332" w:rsidRPr="007033A3">
        <w:rPr>
          <w:rFonts w:ascii="Arial" w:hAnsi="Arial" w:cs="Arial"/>
          <w:sz w:val="22"/>
          <w:szCs w:val="22"/>
          <w:lang w:val="en-US"/>
        </w:rPr>
        <w:t xml:space="preserve">theories </w:t>
      </w:r>
      <w:r w:rsidRPr="007033A3">
        <w:rPr>
          <w:rFonts w:ascii="Arial" w:hAnsi="Arial" w:cs="Arial"/>
          <w:sz w:val="22"/>
          <w:szCs w:val="22"/>
          <w:lang w:val="en-US"/>
        </w:rPr>
        <w:t>within the deterministic view:</w:t>
      </w:r>
    </w:p>
    <w:p w14:paraId="068D04F5" w14:textId="77777777" w:rsidR="00622FEA" w:rsidRPr="007033A3" w:rsidRDefault="00622FEA" w:rsidP="007033A3">
      <w:pPr>
        <w:pStyle w:val="PargrafodaLista"/>
        <w:tabs>
          <w:tab w:val="left" w:pos="1701"/>
        </w:tabs>
        <w:ind w:left="1134"/>
        <w:jc w:val="both"/>
        <w:rPr>
          <w:rFonts w:ascii="Arial" w:hAnsi="Arial" w:cs="Arial"/>
          <w:sz w:val="22"/>
          <w:szCs w:val="22"/>
          <w:lang w:val="en-US"/>
        </w:rPr>
      </w:pPr>
    </w:p>
    <w:p w14:paraId="628B5BA2" w14:textId="2C2157A4" w:rsidR="00B01F21" w:rsidRPr="007033A3" w:rsidRDefault="00B01F21" w:rsidP="000519CE">
      <w:pPr>
        <w:pStyle w:val="PargrafodaLista"/>
        <w:numPr>
          <w:ilvl w:val="1"/>
          <w:numId w:val="29"/>
        </w:numPr>
        <w:tabs>
          <w:tab w:val="left" w:pos="1701"/>
        </w:tabs>
        <w:ind w:left="1134" w:firstLine="0"/>
        <w:jc w:val="both"/>
        <w:rPr>
          <w:rFonts w:ascii="Arial" w:hAnsi="Arial" w:cs="Arial"/>
          <w:sz w:val="22"/>
          <w:szCs w:val="22"/>
          <w:lang w:val="en-US"/>
        </w:rPr>
      </w:pPr>
      <w:r w:rsidRPr="007033A3">
        <w:rPr>
          <w:rFonts w:ascii="Arial" w:hAnsi="Arial" w:cs="Arial"/>
          <w:sz w:val="22"/>
          <w:szCs w:val="22"/>
          <w:u w:val="single"/>
          <w:lang w:val="en-US"/>
        </w:rPr>
        <w:t>industrial organization</w:t>
      </w:r>
      <w:r w:rsidRPr="007033A3">
        <w:rPr>
          <w:rFonts w:ascii="Arial" w:hAnsi="Arial" w:cs="Arial"/>
          <w:sz w:val="22"/>
          <w:szCs w:val="22"/>
          <w:lang w:val="en-US"/>
        </w:rPr>
        <w:t xml:space="preserve"> (“</w:t>
      </w:r>
      <w:r w:rsidRPr="007033A3">
        <w:rPr>
          <w:rFonts w:ascii="Arial" w:hAnsi="Arial" w:cs="Arial"/>
          <w:sz w:val="22"/>
          <w:szCs w:val="22"/>
          <w:u w:val="single"/>
          <w:lang w:val="en-US"/>
        </w:rPr>
        <w:t>IO</w:t>
      </w:r>
      <w:r w:rsidRPr="007033A3">
        <w:rPr>
          <w:rFonts w:ascii="Arial" w:hAnsi="Arial" w:cs="Arial"/>
          <w:sz w:val="22"/>
          <w:szCs w:val="22"/>
          <w:lang w:val="en-US"/>
        </w:rPr>
        <w:t>”)</w:t>
      </w:r>
      <w:r w:rsidRPr="007033A3">
        <w:rPr>
          <w:rFonts w:ascii="Arial" w:hAnsi="Arial" w:cs="Arial"/>
          <w:sz w:val="22"/>
          <w:szCs w:val="22"/>
          <w:lang w:val="en-US"/>
        </w:rPr>
        <w:t xml:space="preserve"> </w:t>
      </w:r>
      <w:r w:rsidR="00A82CDE" w:rsidRPr="007033A3">
        <w:rPr>
          <w:rFonts w:ascii="Arial" w:hAnsi="Arial" w:cs="Arial"/>
          <w:sz w:val="22"/>
          <w:szCs w:val="22"/>
          <w:lang w:val="en-US"/>
        </w:rPr>
        <w:t xml:space="preserve">assumes that (1) the external and environmental factors put pressure on the organization that leads it to fail, (2) organizations in the same industry adopt similar business strategies, and (3) decision-makers (i.e., management) are rational and act on the organization’s best interests, meaning that the burden of failure does not befall on them. </w:t>
      </w:r>
      <w:r w:rsidR="008E3A5B" w:rsidRPr="007033A3">
        <w:rPr>
          <w:rFonts w:ascii="Arial" w:hAnsi="Arial" w:cs="Arial"/>
          <w:sz w:val="22"/>
          <w:szCs w:val="22"/>
          <w:lang w:val="en-US"/>
        </w:rPr>
        <w:t>For this school of thought, c</w:t>
      </w:r>
      <w:r w:rsidR="00A82CDE" w:rsidRPr="007033A3">
        <w:rPr>
          <w:rFonts w:ascii="Arial" w:hAnsi="Arial" w:cs="Arial"/>
          <w:sz w:val="22"/>
          <w:szCs w:val="22"/>
          <w:lang w:val="en-US"/>
        </w:rPr>
        <w:t>auses that lead to organizational failure include “</w:t>
      </w:r>
      <w:r w:rsidR="00A82CDE" w:rsidRPr="007033A3">
        <w:rPr>
          <w:rFonts w:ascii="Arial" w:hAnsi="Arial" w:cs="Arial"/>
          <w:i/>
          <w:iCs/>
          <w:sz w:val="22"/>
          <w:szCs w:val="22"/>
          <w:lang w:val="en-US"/>
        </w:rPr>
        <w:t>turbulent demand structure due to brand switching by core customers, changes in consumer tastes, cyclical decline in demand, strategic competition due to rivalry among existing competitors or new entrants</w:t>
      </w:r>
      <w:r w:rsidR="00A82CDE" w:rsidRPr="007033A3">
        <w:rPr>
          <w:rFonts w:ascii="Arial" w:hAnsi="Arial" w:cs="Arial"/>
          <w:sz w:val="22"/>
          <w:szCs w:val="22"/>
          <w:lang w:val="en-US"/>
        </w:rPr>
        <w:t xml:space="preserve"> (…)”, as well as “</w:t>
      </w:r>
      <w:r w:rsidR="00A82CDE" w:rsidRPr="007033A3">
        <w:rPr>
          <w:rFonts w:ascii="Arial" w:hAnsi="Arial" w:cs="Arial"/>
          <w:i/>
          <w:iCs/>
          <w:sz w:val="22"/>
          <w:szCs w:val="22"/>
          <w:lang w:val="en-US"/>
        </w:rPr>
        <w:t>technological uncertainty due to product innovations and or process innovations</w:t>
      </w:r>
      <w:r w:rsidR="00A82CDE" w:rsidRPr="007033A3">
        <w:rPr>
          <w:rFonts w:ascii="Arial" w:hAnsi="Arial" w:cs="Arial"/>
          <w:sz w:val="22"/>
          <w:szCs w:val="22"/>
          <w:lang w:val="en-US"/>
        </w:rPr>
        <w:t>”</w:t>
      </w:r>
      <w:r w:rsidR="00E70D16" w:rsidRPr="007033A3">
        <w:rPr>
          <w:rFonts w:ascii="Arial" w:hAnsi="Arial" w:cs="Arial"/>
          <w:sz w:val="22"/>
          <w:szCs w:val="22"/>
          <w:lang w:val="en-US"/>
        </w:rPr>
        <w:t>;</w:t>
      </w:r>
      <w:r w:rsidR="006423B4" w:rsidRPr="007033A3">
        <w:rPr>
          <w:rStyle w:val="Refdenotaderodap"/>
          <w:rFonts w:ascii="Arial" w:hAnsi="Arial" w:cs="Arial"/>
          <w:sz w:val="22"/>
          <w:szCs w:val="22"/>
          <w:lang w:val="en-US"/>
        </w:rPr>
        <w:footnoteReference w:id="5"/>
      </w:r>
      <w:r w:rsidR="00E70D16" w:rsidRPr="007033A3">
        <w:rPr>
          <w:rFonts w:ascii="Arial" w:hAnsi="Arial" w:cs="Arial"/>
          <w:sz w:val="22"/>
          <w:szCs w:val="22"/>
          <w:lang w:val="en-US"/>
        </w:rPr>
        <w:t xml:space="preserve"> </w:t>
      </w:r>
    </w:p>
    <w:p w14:paraId="0D8C5118" w14:textId="77777777" w:rsidR="00622FEA" w:rsidRPr="007033A3" w:rsidRDefault="00622FEA" w:rsidP="000519CE">
      <w:pPr>
        <w:pStyle w:val="PargrafodaLista"/>
        <w:tabs>
          <w:tab w:val="left" w:pos="1701"/>
        </w:tabs>
        <w:ind w:left="1134"/>
        <w:jc w:val="both"/>
        <w:rPr>
          <w:rFonts w:ascii="Arial" w:hAnsi="Arial" w:cs="Arial"/>
          <w:sz w:val="22"/>
          <w:szCs w:val="22"/>
          <w:lang w:val="en-US"/>
        </w:rPr>
      </w:pPr>
    </w:p>
    <w:p w14:paraId="7EE4FE3C" w14:textId="6B6D5519" w:rsidR="00053FD8" w:rsidRPr="007033A3" w:rsidRDefault="00E70D16" w:rsidP="000519CE">
      <w:pPr>
        <w:pStyle w:val="PargrafodaLista"/>
        <w:numPr>
          <w:ilvl w:val="1"/>
          <w:numId w:val="29"/>
        </w:numPr>
        <w:tabs>
          <w:tab w:val="left" w:pos="1701"/>
        </w:tabs>
        <w:ind w:left="1134" w:firstLine="0"/>
        <w:jc w:val="both"/>
        <w:rPr>
          <w:rFonts w:ascii="Arial" w:hAnsi="Arial" w:cs="Arial"/>
          <w:sz w:val="22"/>
          <w:szCs w:val="22"/>
          <w:lang w:val="en-US"/>
        </w:rPr>
      </w:pPr>
      <w:r w:rsidRPr="007033A3">
        <w:rPr>
          <w:rFonts w:ascii="Arial" w:hAnsi="Arial" w:cs="Arial"/>
          <w:sz w:val="22"/>
          <w:szCs w:val="22"/>
          <w:u w:val="single"/>
          <w:lang w:val="en-US"/>
        </w:rPr>
        <w:t>organization ecology</w:t>
      </w:r>
      <w:r w:rsidRPr="007033A3">
        <w:rPr>
          <w:rFonts w:ascii="Arial" w:hAnsi="Arial" w:cs="Arial"/>
          <w:sz w:val="22"/>
          <w:szCs w:val="22"/>
          <w:lang w:val="en-US"/>
        </w:rPr>
        <w:t xml:space="preserve"> (“</w:t>
      </w:r>
      <w:r w:rsidRPr="007033A3">
        <w:rPr>
          <w:rFonts w:ascii="Arial" w:hAnsi="Arial" w:cs="Arial"/>
          <w:sz w:val="22"/>
          <w:szCs w:val="22"/>
          <w:u w:val="single"/>
          <w:lang w:val="en-US"/>
        </w:rPr>
        <w:t>OE</w:t>
      </w:r>
      <w:r w:rsidRPr="007033A3">
        <w:rPr>
          <w:rFonts w:ascii="Arial" w:hAnsi="Arial" w:cs="Arial"/>
          <w:sz w:val="22"/>
          <w:szCs w:val="22"/>
          <w:lang w:val="en-US"/>
        </w:rPr>
        <w:t xml:space="preserve">”), </w:t>
      </w:r>
      <w:r w:rsidR="00B40DEE" w:rsidRPr="007033A3">
        <w:rPr>
          <w:rFonts w:ascii="Arial" w:hAnsi="Arial" w:cs="Arial"/>
          <w:sz w:val="22"/>
          <w:szCs w:val="22"/>
          <w:lang w:val="en-US"/>
        </w:rPr>
        <w:t>according to which the failure of the organization is evidenced by its dissolution, a “</w:t>
      </w:r>
      <w:r w:rsidR="00B40DEE" w:rsidRPr="007033A3">
        <w:rPr>
          <w:rFonts w:ascii="Arial" w:hAnsi="Arial" w:cs="Arial"/>
          <w:i/>
          <w:iCs/>
          <w:sz w:val="22"/>
          <w:szCs w:val="22"/>
          <w:lang w:val="en-US"/>
        </w:rPr>
        <w:t>state at which an organization ‘ceases to carry out the routine actions that sustain its structure, maintain flows of resources, and retain the allegiance of its members’</w:t>
      </w:r>
      <w:r w:rsidR="00B40DEE" w:rsidRPr="007033A3">
        <w:rPr>
          <w:rFonts w:ascii="Arial" w:hAnsi="Arial" w:cs="Arial"/>
          <w:sz w:val="22"/>
          <w:szCs w:val="22"/>
          <w:lang w:val="en-US"/>
        </w:rPr>
        <w:t>”.</w:t>
      </w:r>
      <w:r w:rsidR="00B40DEE" w:rsidRPr="007033A3">
        <w:rPr>
          <w:rStyle w:val="Refdenotaderodap"/>
          <w:rFonts w:ascii="Arial" w:hAnsi="Arial" w:cs="Arial"/>
          <w:sz w:val="22"/>
          <w:szCs w:val="22"/>
          <w:lang w:val="en-US"/>
        </w:rPr>
        <w:footnoteReference w:id="6"/>
      </w:r>
      <w:r w:rsidR="00B40DEE" w:rsidRPr="007033A3">
        <w:rPr>
          <w:rFonts w:ascii="Arial" w:hAnsi="Arial" w:cs="Arial"/>
          <w:sz w:val="22"/>
          <w:szCs w:val="22"/>
          <w:lang w:val="en-US"/>
        </w:rPr>
        <w:t xml:space="preserve"> T</w:t>
      </w:r>
      <w:r w:rsidR="00EE3A66" w:rsidRPr="007033A3">
        <w:rPr>
          <w:rFonts w:ascii="Arial" w:hAnsi="Arial" w:cs="Arial"/>
          <w:sz w:val="22"/>
          <w:szCs w:val="22"/>
          <w:lang w:val="en-US"/>
        </w:rPr>
        <w:t xml:space="preserve">his </w:t>
      </w:r>
      <w:r w:rsidR="008E3A5B" w:rsidRPr="007033A3">
        <w:rPr>
          <w:rFonts w:ascii="Arial" w:hAnsi="Arial" w:cs="Arial"/>
          <w:sz w:val="22"/>
          <w:szCs w:val="22"/>
          <w:lang w:val="en-US"/>
        </w:rPr>
        <w:t>school</w:t>
      </w:r>
      <w:r w:rsidR="00EE3A66" w:rsidRPr="007033A3">
        <w:rPr>
          <w:rFonts w:ascii="Arial" w:hAnsi="Arial" w:cs="Arial"/>
          <w:sz w:val="22"/>
          <w:szCs w:val="22"/>
          <w:lang w:val="en-US"/>
        </w:rPr>
        <w:t xml:space="preserve"> of thought suggests that t</w:t>
      </w:r>
      <w:r w:rsidR="00B40DEE" w:rsidRPr="007033A3">
        <w:rPr>
          <w:rFonts w:ascii="Arial" w:hAnsi="Arial" w:cs="Arial"/>
          <w:sz w:val="22"/>
          <w:szCs w:val="22"/>
          <w:lang w:val="en-US"/>
        </w:rPr>
        <w:t>here are four factors that account for the success or demise of a firm: (1) population density</w:t>
      </w:r>
      <w:r w:rsidR="00F746DB" w:rsidRPr="007033A3">
        <w:rPr>
          <w:rFonts w:ascii="Arial" w:hAnsi="Arial" w:cs="Arial"/>
          <w:sz w:val="22"/>
          <w:szCs w:val="22"/>
          <w:lang w:val="en-US"/>
        </w:rPr>
        <w:t xml:space="preserve"> (i.e., the number of organizations within a certain population)</w:t>
      </w:r>
      <w:r w:rsidR="00B40DEE" w:rsidRPr="007033A3">
        <w:rPr>
          <w:rFonts w:ascii="Arial" w:hAnsi="Arial" w:cs="Arial"/>
          <w:sz w:val="22"/>
          <w:szCs w:val="22"/>
          <w:lang w:val="en-US"/>
        </w:rPr>
        <w:t>, (2)</w:t>
      </w:r>
      <w:r w:rsidR="008A6B73" w:rsidRPr="007033A3">
        <w:rPr>
          <w:rFonts w:ascii="Arial" w:hAnsi="Arial" w:cs="Arial"/>
          <w:sz w:val="22"/>
          <w:szCs w:val="22"/>
          <w:lang w:val="en-US"/>
        </w:rPr>
        <w:t xml:space="preserve"> </w:t>
      </w:r>
      <w:r w:rsidR="00B40DEE" w:rsidRPr="007033A3">
        <w:rPr>
          <w:rFonts w:ascii="Arial" w:hAnsi="Arial" w:cs="Arial"/>
          <w:sz w:val="22"/>
          <w:szCs w:val="22"/>
          <w:lang w:val="en-US"/>
        </w:rPr>
        <w:t>industry life cycle</w:t>
      </w:r>
      <w:r w:rsidR="00861494" w:rsidRPr="007033A3">
        <w:rPr>
          <w:rFonts w:ascii="Arial" w:hAnsi="Arial" w:cs="Arial"/>
          <w:sz w:val="22"/>
          <w:szCs w:val="22"/>
          <w:lang w:val="en-US"/>
        </w:rPr>
        <w:t xml:space="preserve"> (i.e., </w:t>
      </w:r>
      <w:r w:rsidR="008A6B73" w:rsidRPr="007033A3">
        <w:rPr>
          <w:rFonts w:ascii="Arial" w:hAnsi="Arial" w:cs="Arial"/>
          <w:sz w:val="22"/>
          <w:szCs w:val="22"/>
          <w:lang w:val="en-US"/>
        </w:rPr>
        <w:t xml:space="preserve">failure caused by demand saturation, supply </w:t>
      </w:r>
      <w:r w:rsidR="008A6B73" w:rsidRPr="007033A3">
        <w:rPr>
          <w:rFonts w:ascii="Arial" w:hAnsi="Arial" w:cs="Arial"/>
          <w:sz w:val="22"/>
          <w:szCs w:val="22"/>
          <w:lang w:val="en-US"/>
        </w:rPr>
        <w:lastRenderedPageBreak/>
        <w:t>issues or new technologies</w:t>
      </w:r>
      <w:r w:rsidR="00861494" w:rsidRPr="007033A3">
        <w:rPr>
          <w:rFonts w:ascii="Arial" w:hAnsi="Arial" w:cs="Arial"/>
          <w:sz w:val="22"/>
          <w:szCs w:val="22"/>
          <w:lang w:val="en-US"/>
        </w:rPr>
        <w:t>)</w:t>
      </w:r>
      <w:r w:rsidR="00B40DEE" w:rsidRPr="007033A3">
        <w:rPr>
          <w:rFonts w:ascii="Arial" w:hAnsi="Arial" w:cs="Arial"/>
          <w:sz w:val="22"/>
          <w:szCs w:val="22"/>
          <w:lang w:val="en-US"/>
        </w:rPr>
        <w:t>, (3) organization age</w:t>
      </w:r>
      <w:r w:rsidR="00861494" w:rsidRPr="007033A3">
        <w:rPr>
          <w:rFonts w:ascii="Arial" w:hAnsi="Arial" w:cs="Arial"/>
          <w:sz w:val="22"/>
          <w:szCs w:val="22"/>
          <w:lang w:val="en-US"/>
        </w:rPr>
        <w:t xml:space="preserve"> </w:t>
      </w:r>
      <w:r w:rsidR="00861494" w:rsidRPr="007033A3">
        <w:rPr>
          <w:rFonts w:ascii="Arial" w:hAnsi="Arial" w:cs="Arial"/>
          <w:sz w:val="22"/>
          <w:szCs w:val="22"/>
          <w:lang w:val="en-US"/>
        </w:rPr>
        <w:t xml:space="preserve">(i.e., </w:t>
      </w:r>
      <w:r w:rsidR="008A6B73" w:rsidRPr="007033A3">
        <w:rPr>
          <w:rFonts w:ascii="Arial" w:hAnsi="Arial" w:cs="Arial"/>
          <w:sz w:val="22"/>
          <w:szCs w:val="22"/>
          <w:lang w:val="en-US"/>
        </w:rPr>
        <w:t>younger firms are more likely to fail</w:t>
      </w:r>
      <w:r w:rsidR="00861494" w:rsidRPr="007033A3">
        <w:rPr>
          <w:rFonts w:ascii="Arial" w:hAnsi="Arial" w:cs="Arial"/>
          <w:sz w:val="22"/>
          <w:szCs w:val="22"/>
          <w:lang w:val="en-US"/>
        </w:rPr>
        <w:t>)</w:t>
      </w:r>
      <w:r w:rsidR="00B40DEE" w:rsidRPr="007033A3">
        <w:rPr>
          <w:rFonts w:ascii="Arial" w:hAnsi="Arial" w:cs="Arial"/>
          <w:sz w:val="22"/>
          <w:szCs w:val="22"/>
          <w:lang w:val="en-US"/>
        </w:rPr>
        <w:t>, and (4)</w:t>
      </w:r>
      <w:r w:rsidR="008E3A5B" w:rsidRPr="007033A3">
        <w:rPr>
          <w:rFonts w:ascii="Arial" w:hAnsi="Arial" w:cs="Arial"/>
          <w:sz w:val="22"/>
          <w:szCs w:val="22"/>
          <w:lang w:val="en-US"/>
        </w:rPr>
        <w:t xml:space="preserve"> </w:t>
      </w:r>
      <w:r w:rsidR="00B40DEE" w:rsidRPr="007033A3">
        <w:rPr>
          <w:rFonts w:ascii="Arial" w:hAnsi="Arial" w:cs="Arial"/>
          <w:sz w:val="22"/>
          <w:szCs w:val="22"/>
          <w:lang w:val="en-US"/>
        </w:rPr>
        <w:t>organization size</w:t>
      </w:r>
      <w:r w:rsidR="00861494" w:rsidRPr="007033A3">
        <w:rPr>
          <w:rFonts w:ascii="Arial" w:hAnsi="Arial" w:cs="Arial"/>
          <w:sz w:val="22"/>
          <w:szCs w:val="22"/>
          <w:lang w:val="en-US"/>
        </w:rPr>
        <w:t xml:space="preserve"> </w:t>
      </w:r>
      <w:r w:rsidR="00861494" w:rsidRPr="007033A3">
        <w:rPr>
          <w:rFonts w:ascii="Arial" w:hAnsi="Arial" w:cs="Arial"/>
          <w:sz w:val="22"/>
          <w:szCs w:val="22"/>
          <w:lang w:val="en-US"/>
        </w:rPr>
        <w:t xml:space="preserve">(i.e., </w:t>
      </w:r>
      <w:r w:rsidR="008A6B73" w:rsidRPr="007033A3">
        <w:rPr>
          <w:rFonts w:ascii="Arial" w:hAnsi="Arial" w:cs="Arial"/>
          <w:sz w:val="22"/>
          <w:szCs w:val="22"/>
          <w:lang w:val="en-US"/>
        </w:rPr>
        <w:t>smaller firms are more likely to fail</w:t>
      </w:r>
      <w:r w:rsidR="00861494" w:rsidRPr="007033A3">
        <w:rPr>
          <w:rFonts w:ascii="Arial" w:hAnsi="Arial" w:cs="Arial"/>
          <w:sz w:val="22"/>
          <w:szCs w:val="22"/>
          <w:lang w:val="en-US"/>
        </w:rPr>
        <w:t>)</w:t>
      </w:r>
      <w:r w:rsidRPr="007033A3">
        <w:rPr>
          <w:rFonts w:ascii="Arial" w:hAnsi="Arial" w:cs="Arial"/>
          <w:sz w:val="22"/>
          <w:szCs w:val="22"/>
          <w:lang w:val="en-US"/>
        </w:rPr>
        <w:t>;</w:t>
      </w:r>
      <w:r w:rsidR="008A6B73" w:rsidRPr="007033A3">
        <w:rPr>
          <w:rStyle w:val="Refdenotaderodap"/>
          <w:rFonts w:ascii="Arial" w:hAnsi="Arial" w:cs="Arial"/>
          <w:sz w:val="22"/>
          <w:szCs w:val="22"/>
          <w:lang w:val="en-US"/>
        </w:rPr>
        <w:footnoteReference w:id="7"/>
      </w:r>
      <w:r w:rsidRPr="007033A3">
        <w:rPr>
          <w:rFonts w:ascii="Arial" w:hAnsi="Arial" w:cs="Arial"/>
          <w:sz w:val="22"/>
          <w:szCs w:val="22"/>
          <w:lang w:val="en-US"/>
        </w:rPr>
        <w:t xml:space="preserve"> </w:t>
      </w:r>
    </w:p>
    <w:p w14:paraId="017060CF" w14:textId="77777777" w:rsidR="00053FD8" w:rsidRPr="007033A3" w:rsidRDefault="00053FD8" w:rsidP="007033A3">
      <w:pPr>
        <w:tabs>
          <w:tab w:val="left" w:pos="1701"/>
        </w:tabs>
        <w:jc w:val="both"/>
        <w:rPr>
          <w:rFonts w:ascii="Arial" w:hAnsi="Arial" w:cs="Arial"/>
          <w:sz w:val="22"/>
          <w:szCs w:val="22"/>
          <w:lang w:val="en-US"/>
        </w:rPr>
      </w:pPr>
    </w:p>
    <w:p w14:paraId="181318B7" w14:textId="5FF5E43A" w:rsidR="00B01F21" w:rsidRPr="007033A3" w:rsidRDefault="00B01F21" w:rsidP="000519CE">
      <w:pPr>
        <w:pStyle w:val="PargrafodaLista"/>
        <w:numPr>
          <w:ilvl w:val="0"/>
          <w:numId w:val="29"/>
        </w:numPr>
        <w:tabs>
          <w:tab w:val="left" w:pos="1134"/>
        </w:tabs>
        <w:ind w:left="567" w:firstLine="0"/>
        <w:jc w:val="both"/>
        <w:rPr>
          <w:rFonts w:ascii="Arial" w:hAnsi="Arial" w:cs="Arial"/>
          <w:sz w:val="22"/>
          <w:szCs w:val="22"/>
          <w:lang w:val="en-US"/>
        </w:rPr>
      </w:pPr>
      <w:r w:rsidRPr="007033A3">
        <w:rPr>
          <w:rFonts w:ascii="Arial" w:hAnsi="Arial" w:cs="Arial"/>
          <w:sz w:val="22"/>
          <w:szCs w:val="22"/>
          <w:u w:val="single"/>
          <w:lang w:val="en-US"/>
        </w:rPr>
        <w:t>The Voluntaristic View</w:t>
      </w:r>
      <w:r w:rsidRPr="007033A3">
        <w:rPr>
          <w:rFonts w:ascii="Arial" w:hAnsi="Arial" w:cs="Arial"/>
          <w:sz w:val="22"/>
          <w:szCs w:val="22"/>
          <w:lang w:val="en-US"/>
        </w:rPr>
        <w:t xml:space="preserve">. </w:t>
      </w:r>
      <w:r w:rsidR="003F7095" w:rsidRPr="007033A3">
        <w:rPr>
          <w:rFonts w:ascii="Arial" w:hAnsi="Arial" w:cs="Arial"/>
          <w:sz w:val="22"/>
          <w:szCs w:val="22"/>
          <w:lang w:val="en-US"/>
        </w:rPr>
        <w:t>For this perspective of organizational failure, “</w:t>
      </w:r>
      <w:r w:rsidR="003F7095" w:rsidRPr="007033A3">
        <w:rPr>
          <w:rFonts w:ascii="Arial" w:hAnsi="Arial" w:cs="Arial"/>
          <w:i/>
          <w:iCs/>
          <w:sz w:val="22"/>
          <w:szCs w:val="22"/>
          <w:lang w:val="en-US"/>
        </w:rPr>
        <w:t>managers are the principal decision makers of the firm (…), and their perceptions of the external environment have a strong effect on how they (mis)manage the firm</w:t>
      </w:r>
      <w:r w:rsidR="003F7095" w:rsidRPr="007033A3">
        <w:rPr>
          <w:rFonts w:ascii="Arial" w:hAnsi="Arial" w:cs="Arial"/>
          <w:sz w:val="22"/>
          <w:szCs w:val="22"/>
          <w:lang w:val="en-US"/>
        </w:rPr>
        <w:t>”</w:t>
      </w:r>
      <w:r w:rsidR="008132DF" w:rsidRPr="007033A3">
        <w:rPr>
          <w:rFonts w:ascii="Arial" w:hAnsi="Arial" w:cs="Arial"/>
          <w:sz w:val="22"/>
          <w:szCs w:val="22"/>
          <w:lang w:val="en-US"/>
        </w:rPr>
        <w:t>.</w:t>
      </w:r>
      <w:r w:rsidR="003F7095" w:rsidRPr="007033A3">
        <w:rPr>
          <w:rStyle w:val="Refdenotaderodap"/>
          <w:rFonts w:ascii="Arial" w:hAnsi="Arial" w:cs="Arial"/>
          <w:sz w:val="22"/>
          <w:szCs w:val="22"/>
          <w:lang w:val="en-US"/>
        </w:rPr>
        <w:footnoteReference w:id="8"/>
      </w:r>
      <w:r w:rsidR="0066134F" w:rsidRPr="007033A3">
        <w:rPr>
          <w:rFonts w:ascii="Arial" w:hAnsi="Arial" w:cs="Arial"/>
          <w:sz w:val="22"/>
          <w:szCs w:val="22"/>
          <w:lang w:val="en-US"/>
        </w:rPr>
        <w:t xml:space="preserve"> </w:t>
      </w:r>
      <w:r w:rsidR="008132DF" w:rsidRPr="007033A3">
        <w:rPr>
          <w:rFonts w:ascii="Arial" w:hAnsi="Arial" w:cs="Arial"/>
          <w:sz w:val="22"/>
          <w:szCs w:val="22"/>
          <w:lang w:val="en-US"/>
        </w:rPr>
        <w:t>F</w:t>
      </w:r>
      <w:r w:rsidR="0066134F" w:rsidRPr="007033A3">
        <w:rPr>
          <w:rFonts w:ascii="Arial" w:hAnsi="Arial" w:cs="Arial"/>
          <w:sz w:val="22"/>
          <w:szCs w:val="22"/>
          <w:lang w:val="en-US"/>
        </w:rPr>
        <w:t>ailure of the organization is</w:t>
      </w:r>
      <w:r w:rsidR="008132DF" w:rsidRPr="007033A3">
        <w:rPr>
          <w:rFonts w:ascii="Arial" w:hAnsi="Arial" w:cs="Arial"/>
          <w:sz w:val="22"/>
          <w:szCs w:val="22"/>
          <w:lang w:val="en-US"/>
        </w:rPr>
        <w:t>, therefore,</w:t>
      </w:r>
      <w:r w:rsidR="0066134F" w:rsidRPr="007033A3">
        <w:rPr>
          <w:rFonts w:ascii="Arial" w:hAnsi="Arial" w:cs="Arial"/>
          <w:sz w:val="22"/>
          <w:szCs w:val="22"/>
          <w:lang w:val="en-US"/>
        </w:rPr>
        <w:t xml:space="preserve"> caused by internal inadequacies and </w:t>
      </w:r>
      <w:r w:rsidR="008132DF" w:rsidRPr="007033A3">
        <w:rPr>
          <w:rFonts w:ascii="Arial" w:hAnsi="Arial" w:cs="Arial"/>
          <w:sz w:val="22"/>
          <w:szCs w:val="22"/>
          <w:lang w:val="en-US"/>
        </w:rPr>
        <w:t xml:space="preserve">poor </w:t>
      </w:r>
      <w:r w:rsidR="0066134F" w:rsidRPr="007033A3">
        <w:rPr>
          <w:rFonts w:ascii="Arial" w:hAnsi="Arial" w:cs="Arial"/>
          <w:sz w:val="22"/>
          <w:szCs w:val="22"/>
          <w:lang w:val="en-US"/>
        </w:rPr>
        <w:t>decision making</w:t>
      </w:r>
      <w:r w:rsidR="00A51436" w:rsidRPr="007033A3">
        <w:rPr>
          <w:rFonts w:ascii="Arial" w:hAnsi="Arial" w:cs="Arial"/>
          <w:sz w:val="22"/>
          <w:szCs w:val="22"/>
          <w:lang w:val="en-US"/>
        </w:rPr>
        <w:t xml:space="preserve"> by management, in light of “</w:t>
      </w:r>
      <w:r w:rsidR="00A51436" w:rsidRPr="007033A3">
        <w:rPr>
          <w:rFonts w:ascii="Arial" w:hAnsi="Arial" w:cs="Arial"/>
          <w:i/>
          <w:iCs/>
          <w:sz w:val="22"/>
          <w:szCs w:val="22"/>
          <w:lang w:val="en-US"/>
        </w:rPr>
        <w:t>external</w:t>
      </w:r>
      <w:r w:rsidR="00A51436" w:rsidRPr="007033A3">
        <w:rPr>
          <w:rFonts w:ascii="Arial" w:hAnsi="Arial" w:cs="Arial"/>
          <w:sz w:val="22"/>
          <w:szCs w:val="22"/>
          <w:lang w:val="en-US"/>
        </w:rPr>
        <w:t xml:space="preserve"> </w:t>
      </w:r>
      <w:r w:rsidR="00A51436" w:rsidRPr="007033A3">
        <w:rPr>
          <w:rFonts w:ascii="Arial" w:hAnsi="Arial" w:cs="Arial"/>
          <w:i/>
          <w:iCs/>
          <w:sz w:val="22"/>
          <w:szCs w:val="22"/>
          <w:lang w:val="en-US"/>
        </w:rPr>
        <w:t>threats</w:t>
      </w:r>
      <w:r w:rsidR="00A51436" w:rsidRPr="007033A3">
        <w:rPr>
          <w:rFonts w:ascii="Arial" w:hAnsi="Arial" w:cs="Arial"/>
          <w:sz w:val="22"/>
          <w:szCs w:val="22"/>
          <w:lang w:val="en-US"/>
        </w:rPr>
        <w:t>”</w:t>
      </w:r>
      <w:r w:rsidR="008132DF" w:rsidRPr="007033A3">
        <w:rPr>
          <w:rFonts w:ascii="Arial" w:hAnsi="Arial" w:cs="Arial"/>
          <w:sz w:val="22"/>
          <w:szCs w:val="22"/>
          <w:lang w:val="en-US"/>
        </w:rPr>
        <w:t>, such as impulsive decisions, difficulty adapting to change, bad information, and unnecessary risk-taking</w:t>
      </w:r>
      <w:r w:rsidR="0066134F" w:rsidRPr="007033A3">
        <w:rPr>
          <w:rFonts w:ascii="Arial" w:hAnsi="Arial" w:cs="Arial"/>
          <w:sz w:val="22"/>
          <w:szCs w:val="22"/>
          <w:lang w:val="en-US"/>
        </w:rPr>
        <w:t>.</w:t>
      </w:r>
      <w:r w:rsidR="008132DF" w:rsidRPr="007033A3">
        <w:rPr>
          <w:rFonts w:ascii="Arial" w:hAnsi="Arial" w:cs="Arial"/>
          <w:sz w:val="22"/>
          <w:szCs w:val="22"/>
          <w:lang w:val="en-US"/>
        </w:rPr>
        <w:t xml:space="preserve"> </w:t>
      </w:r>
      <w:r w:rsidR="007575B7" w:rsidRPr="007033A3">
        <w:rPr>
          <w:rFonts w:ascii="Arial" w:hAnsi="Arial" w:cs="Arial"/>
          <w:sz w:val="22"/>
          <w:szCs w:val="22"/>
          <w:lang w:val="en-US"/>
        </w:rPr>
        <w:t xml:space="preserve">There are two </w:t>
      </w:r>
      <w:r w:rsidR="00566332" w:rsidRPr="007033A3">
        <w:rPr>
          <w:rFonts w:ascii="Arial" w:hAnsi="Arial" w:cs="Arial"/>
          <w:sz w:val="22"/>
          <w:szCs w:val="22"/>
          <w:lang w:val="en-US"/>
        </w:rPr>
        <w:t xml:space="preserve">theories </w:t>
      </w:r>
      <w:r w:rsidR="007575B7" w:rsidRPr="007033A3">
        <w:rPr>
          <w:rFonts w:ascii="Arial" w:hAnsi="Arial" w:cs="Arial"/>
          <w:sz w:val="22"/>
          <w:szCs w:val="22"/>
          <w:lang w:val="en-US"/>
        </w:rPr>
        <w:t xml:space="preserve">within the </w:t>
      </w:r>
      <w:r w:rsidR="007575B7" w:rsidRPr="007033A3">
        <w:rPr>
          <w:rFonts w:ascii="Arial" w:hAnsi="Arial" w:cs="Arial"/>
          <w:sz w:val="22"/>
          <w:szCs w:val="22"/>
          <w:lang w:val="en-US"/>
        </w:rPr>
        <w:t>voluntaristic</w:t>
      </w:r>
      <w:r w:rsidR="007575B7" w:rsidRPr="007033A3">
        <w:rPr>
          <w:rFonts w:ascii="Arial" w:hAnsi="Arial" w:cs="Arial"/>
          <w:sz w:val="22"/>
          <w:szCs w:val="22"/>
          <w:lang w:val="en-US"/>
        </w:rPr>
        <w:t xml:space="preserve"> view:</w:t>
      </w:r>
    </w:p>
    <w:p w14:paraId="04B68B0C" w14:textId="77777777" w:rsidR="00622FEA" w:rsidRPr="007033A3" w:rsidRDefault="00622FEA" w:rsidP="007033A3">
      <w:pPr>
        <w:pStyle w:val="PargrafodaLista"/>
        <w:tabs>
          <w:tab w:val="left" w:pos="1701"/>
        </w:tabs>
        <w:ind w:left="1134"/>
        <w:jc w:val="both"/>
        <w:rPr>
          <w:rFonts w:ascii="Arial" w:hAnsi="Arial" w:cs="Arial"/>
          <w:sz w:val="22"/>
          <w:szCs w:val="22"/>
          <w:lang w:val="en-US"/>
        </w:rPr>
      </w:pPr>
    </w:p>
    <w:p w14:paraId="2D7B0A49" w14:textId="1430D1F2" w:rsidR="00B01F21" w:rsidRPr="007033A3" w:rsidRDefault="00E70D16" w:rsidP="000519CE">
      <w:pPr>
        <w:pStyle w:val="PargrafodaLista"/>
        <w:numPr>
          <w:ilvl w:val="1"/>
          <w:numId w:val="29"/>
        </w:numPr>
        <w:tabs>
          <w:tab w:val="left" w:pos="1701"/>
        </w:tabs>
        <w:ind w:left="1134" w:firstLine="0"/>
        <w:jc w:val="both"/>
        <w:rPr>
          <w:rFonts w:ascii="Arial" w:hAnsi="Arial" w:cs="Arial"/>
          <w:sz w:val="22"/>
          <w:szCs w:val="22"/>
          <w:lang w:val="en-US"/>
        </w:rPr>
      </w:pPr>
      <w:r w:rsidRPr="007033A3">
        <w:rPr>
          <w:rFonts w:ascii="Arial" w:hAnsi="Arial" w:cs="Arial"/>
          <w:sz w:val="22"/>
          <w:szCs w:val="22"/>
          <w:u w:val="single"/>
          <w:lang w:val="en-US"/>
        </w:rPr>
        <w:t>organization studies</w:t>
      </w:r>
      <w:r w:rsidRPr="007033A3">
        <w:rPr>
          <w:rFonts w:ascii="Arial" w:hAnsi="Arial" w:cs="Arial"/>
          <w:sz w:val="22"/>
          <w:szCs w:val="22"/>
          <w:lang w:val="en-US"/>
        </w:rPr>
        <w:t xml:space="preserve"> (“</w:t>
      </w:r>
      <w:r w:rsidRPr="007033A3">
        <w:rPr>
          <w:rFonts w:ascii="Arial" w:hAnsi="Arial" w:cs="Arial"/>
          <w:sz w:val="22"/>
          <w:szCs w:val="22"/>
          <w:u w:val="single"/>
          <w:lang w:val="en-US"/>
        </w:rPr>
        <w:t>OS</w:t>
      </w:r>
      <w:r w:rsidRPr="007033A3">
        <w:rPr>
          <w:rFonts w:ascii="Arial" w:hAnsi="Arial" w:cs="Arial"/>
          <w:sz w:val="22"/>
          <w:szCs w:val="22"/>
          <w:lang w:val="en-US"/>
        </w:rPr>
        <w:t xml:space="preserve">”), </w:t>
      </w:r>
      <w:r w:rsidR="007575B7" w:rsidRPr="007033A3">
        <w:rPr>
          <w:rFonts w:ascii="Arial" w:hAnsi="Arial" w:cs="Arial"/>
          <w:sz w:val="22"/>
          <w:szCs w:val="22"/>
          <w:lang w:val="en-US"/>
        </w:rPr>
        <w:t>which suggest</w:t>
      </w:r>
      <w:r w:rsidR="00903FD3" w:rsidRPr="007033A3">
        <w:rPr>
          <w:rFonts w:ascii="Arial" w:hAnsi="Arial" w:cs="Arial"/>
          <w:sz w:val="22"/>
          <w:szCs w:val="22"/>
          <w:lang w:val="en-US"/>
        </w:rPr>
        <w:t xml:space="preserve">, </w:t>
      </w:r>
      <w:r w:rsidR="004104C4" w:rsidRPr="007033A3">
        <w:rPr>
          <w:rFonts w:ascii="Arial" w:hAnsi="Arial" w:cs="Arial"/>
          <w:sz w:val="22"/>
          <w:szCs w:val="22"/>
          <w:lang w:val="en-US"/>
        </w:rPr>
        <w:t>in addition to the aforementioned item (ii)</w:t>
      </w:r>
      <w:r w:rsidR="00903FD3" w:rsidRPr="007033A3">
        <w:rPr>
          <w:rFonts w:ascii="Arial" w:hAnsi="Arial" w:cs="Arial"/>
          <w:sz w:val="22"/>
          <w:szCs w:val="22"/>
          <w:lang w:val="en-US"/>
        </w:rPr>
        <w:t>,</w:t>
      </w:r>
      <w:r w:rsidR="007575B7" w:rsidRPr="007033A3">
        <w:rPr>
          <w:rFonts w:ascii="Arial" w:hAnsi="Arial" w:cs="Arial"/>
          <w:sz w:val="22"/>
          <w:szCs w:val="22"/>
          <w:lang w:val="en-US"/>
        </w:rPr>
        <w:t xml:space="preserve"> that successful firms may fail due to over confidence and arrogance, because, over time, successful routines may become embedded in an organization and make it more difficult for management to change its ways and adapt in light of internal shortcomings and inadequacies, as well as external and environmental changes</w:t>
      </w:r>
      <w:r w:rsidR="005F353A" w:rsidRPr="007033A3">
        <w:rPr>
          <w:rFonts w:ascii="Arial" w:hAnsi="Arial" w:cs="Arial"/>
          <w:sz w:val="22"/>
          <w:szCs w:val="22"/>
          <w:lang w:val="en-US"/>
        </w:rPr>
        <w:t>. Top management tenure, top management homogeneity, management successions and past performance are all factors that may lead to a firm’s demise</w:t>
      </w:r>
      <w:r w:rsidRPr="007033A3">
        <w:rPr>
          <w:rFonts w:ascii="Arial" w:hAnsi="Arial" w:cs="Arial"/>
          <w:sz w:val="22"/>
          <w:szCs w:val="22"/>
          <w:lang w:val="en-US"/>
        </w:rPr>
        <w:t>;</w:t>
      </w:r>
      <w:r w:rsidR="007575B7" w:rsidRPr="007033A3">
        <w:rPr>
          <w:rStyle w:val="Refdenotaderodap"/>
          <w:rFonts w:ascii="Arial" w:hAnsi="Arial" w:cs="Arial"/>
          <w:sz w:val="22"/>
          <w:szCs w:val="22"/>
          <w:lang w:val="en-US"/>
        </w:rPr>
        <w:footnoteReference w:id="9"/>
      </w:r>
      <w:r w:rsidRPr="007033A3">
        <w:rPr>
          <w:rFonts w:ascii="Arial" w:hAnsi="Arial" w:cs="Arial"/>
          <w:sz w:val="22"/>
          <w:szCs w:val="22"/>
          <w:lang w:val="en-US"/>
        </w:rPr>
        <w:t xml:space="preserve"> and </w:t>
      </w:r>
    </w:p>
    <w:p w14:paraId="4411DFD8" w14:textId="77777777" w:rsidR="00622FEA" w:rsidRPr="007033A3" w:rsidRDefault="00622FEA" w:rsidP="000519CE">
      <w:pPr>
        <w:pStyle w:val="PargrafodaLista"/>
        <w:tabs>
          <w:tab w:val="left" w:pos="1701"/>
        </w:tabs>
        <w:ind w:left="1134"/>
        <w:jc w:val="both"/>
        <w:rPr>
          <w:rFonts w:ascii="Arial" w:hAnsi="Arial" w:cs="Arial"/>
          <w:sz w:val="22"/>
          <w:szCs w:val="22"/>
          <w:lang w:val="en-US"/>
        </w:rPr>
      </w:pPr>
    </w:p>
    <w:p w14:paraId="25A8780D" w14:textId="340FEDFF" w:rsidR="00CE0499" w:rsidRPr="007033A3" w:rsidRDefault="00E70D16" w:rsidP="000519CE">
      <w:pPr>
        <w:pStyle w:val="PargrafodaLista"/>
        <w:numPr>
          <w:ilvl w:val="1"/>
          <w:numId w:val="29"/>
        </w:numPr>
        <w:tabs>
          <w:tab w:val="left" w:pos="1701"/>
        </w:tabs>
        <w:ind w:left="1134" w:firstLine="0"/>
        <w:jc w:val="both"/>
        <w:rPr>
          <w:rFonts w:ascii="Arial" w:hAnsi="Arial" w:cs="Arial"/>
          <w:sz w:val="22"/>
          <w:szCs w:val="22"/>
          <w:lang w:val="en-US"/>
        </w:rPr>
      </w:pPr>
      <w:r w:rsidRPr="007033A3">
        <w:rPr>
          <w:rFonts w:ascii="Arial" w:hAnsi="Arial" w:cs="Arial"/>
          <w:sz w:val="22"/>
          <w:szCs w:val="22"/>
          <w:u w:val="single"/>
          <w:lang w:val="en-US"/>
        </w:rPr>
        <w:t>organizational psychology</w:t>
      </w:r>
      <w:r w:rsidRPr="007033A3">
        <w:rPr>
          <w:rFonts w:ascii="Arial" w:hAnsi="Arial" w:cs="Arial"/>
          <w:sz w:val="22"/>
          <w:szCs w:val="22"/>
          <w:lang w:val="en-US"/>
        </w:rPr>
        <w:t xml:space="preserve"> (“</w:t>
      </w:r>
      <w:r w:rsidRPr="007033A3">
        <w:rPr>
          <w:rFonts w:ascii="Arial" w:hAnsi="Arial" w:cs="Arial"/>
          <w:sz w:val="22"/>
          <w:szCs w:val="22"/>
          <w:u w:val="single"/>
          <w:lang w:val="en-US"/>
        </w:rPr>
        <w:t>OP</w:t>
      </w:r>
      <w:r w:rsidRPr="007033A3">
        <w:rPr>
          <w:rFonts w:ascii="Arial" w:hAnsi="Arial" w:cs="Arial"/>
          <w:sz w:val="22"/>
          <w:szCs w:val="22"/>
          <w:lang w:val="en-US"/>
        </w:rPr>
        <w:t>”)</w:t>
      </w:r>
      <w:r w:rsidR="004104C4" w:rsidRPr="007033A3">
        <w:rPr>
          <w:rFonts w:ascii="Arial" w:hAnsi="Arial" w:cs="Arial"/>
          <w:sz w:val="22"/>
          <w:szCs w:val="22"/>
          <w:lang w:val="en-US"/>
        </w:rPr>
        <w:t xml:space="preserve"> argues, among other things, that managers faced with external threats to the organization will not shift their focus to respond to such a crisis and will act as if it does not exist</w:t>
      </w:r>
      <w:r w:rsidR="00A25C49" w:rsidRPr="007033A3">
        <w:rPr>
          <w:rFonts w:ascii="Arial" w:hAnsi="Arial" w:cs="Arial"/>
          <w:sz w:val="22"/>
          <w:szCs w:val="22"/>
          <w:lang w:val="en-US"/>
        </w:rPr>
        <w:t>, due to their managerial perceptions/cognitions</w:t>
      </w:r>
      <w:r w:rsidRPr="007033A3">
        <w:rPr>
          <w:rFonts w:ascii="Arial" w:hAnsi="Arial" w:cs="Arial"/>
          <w:sz w:val="22"/>
          <w:szCs w:val="22"/>
          <w:lang w:val="en-US"/>
        </w:rPr>
        <w:t>.</w:t>
      </w:r>
      <w:r w:rsidR="004104C4" w:rsidRPr="007033A3">
        <w:rPr>
          <w:rFonts w:ascii="Arial" w:hAnsi="Arial" w:cs="Arial"/>
          <w:sz w:val="22"/>
          <w:szCs w:val="22"/>
          <w:lang w:val="en-US"/>
        </w:rPr>
        <w:t xml:space="preserve"> Psychologically speaking, the “</w:t>
      </w:r>
      <w:r w:rsidR="004104C4" w:rsidRPr="007033A3">
        <w:rPr>
          <w:rFonts w:ascii="Arial" w:hAnsi="Arial" w:cs="Arial"/>
          <w:i/>
          <w:iCs/>
          <w:sz w:val="22"/>
          <w:szCs w:val="22"/>
          <w:lang w:val="en-US"/>
        </w:rPr>
        <w:t>(mis)</w:t>
      </w:r>
      <w:proofErr w:type="spellStart"/>
      <w:r w:rsidR="004104C4" w:rsidRPr="007033A3">
        <w:rPr>
          <w:rFonts w:ascii="Arial" w:hAnsi="Arial" w:cs="Arial"/>
          <w:i/>
          <w:iCs/>
          <w:sz w:val="22"/>
          <w:szCs w:val="22"/>
          <w:lang w:val="en-US"/>
        </w:rPr>
        <w:t>behaviour</w:t>
      </w:r>
      <w:proofErr w:type="spellEnd"/>
      <w:r w:rsidR="004104C4" w:rsidRPr="007033A3">
        <w:rPr>
          <w:rFonts w:ascii="Arial" w:hAnsi="Arial" w:cs="Arial"/>
          <w:i/>
          <w:iCs/>
          <w:sz w:val="22"/>
          <w:szCs w:val="22"/>
          <w:lang w:val="en-US"/>
        </w:rPr>
        <w:t xml:space="preserve"> of managers</w:t>
      </w:r>
      <w:r w:rsidR="004104C4" w:rsidRPr="007033A3">
        <w:rPr>
          <w:rFonts w:ascii="Arial" w:hAnsi="Arial" w:cs="Arial"/>
          <w:sz w:val="22"/>
          <w:szCs w:val="22"/>
          <w:lang w:val="en-US"/>
        </w:rPr>
        <w:t>”</w:t>
      </w:r>
      <w:r w:rsidR="004104C4" w:rsidRPr="007033A3">
        <w:rPr>
          <w:rFonts w:ascii="Arial" w:hAnsi="Arial" w:cs="Arial"/>
          <w:sz w:val="22"/>
          <w:szCs w:val="22"/>
          <w:lang w:val="en-US"/>
        </w:rPr>
        <w:t xml:space="preserve"> </w:t>
      </w:r>
      <w:r w:rsidR="004104C4" w:rsidRPr="007033A3">
        <w:rPr>
          <w:rFonts w:ascii="Arial" w:hAnsi="Arial" w:cs="Arial"/>
          <w:sz w:val="22"/>
          <w:szCs w:val="22"/>
          <w:lang w:val="en-US"/>
        </w:rPr>
        <w:t>might be explained “</w:t>
      </w:r>
      <w:r w:rsidR="004104C4" w:rsidRPr="007033A3">
        <w:rPr>
          <w:rFonts w:ascii="Arial" w:hAnsi="Arial" w:cs="Arial"/>
          <w:i/>
          <w:iCs/>
          <w:sz w:val="22"/>
          <w:szCs w:val="22"/>
          <w:lang w:val="en-US"/>
        </w:rPr>
        <w:t xml:space="preserve">by ego </w:t>
      </w:r>
      <w:proofErr w:type="spellStart"/>
      <w:r w:rsidR="004104C4" w:rsidRPr="007033A3">
        <w:rPr>
          <w:rFonts w:ascii="Arial" w:hAnsi="Arial" w:cs="Arial"/>
          <w:i/>
          <w:iCs/>
          <w:sz w:val="22"/>
          <w:szCs w:val="22"/>
          <w:lang w:val="en-US"/>
        </w:rPr>
        <w:t>defences</w:t>
      </w:r>
      <w:proofErr w:type="spellEnd"/>
      <w:r w:rsidR="004104C4" w:rsidRPr="007033A3">
        <w:rPr>
          <w:rFonts w:ascii="Arial" w:hAnsi="Arial" w:cs="Arial"/>
          <w:i/>
          <w:iCs/>
          <w:sz w:val="22"/>
          <w:szCs w:val="22"/>
          <w:lang w:val="en-US"/>
        </w:rPr>
        <w:t xml:space="preserve"> that tend to push managers toward a regressive retreat from a changing reality</w:t>
      </w:r>
      <w:r w:rsidR="004104C4" w:rsidRPr="007033A3">
        <w:rPr>
          <w:rFonts w:ascii="Arial" w:hAnsi="Arial" w:cs="Arial"/>
          <w:sz w:val="22"/>
          <w:szCs w:val="22"/>
          <w:lang w:val="en-US"/>
        </w:rPr>
        <w:t>”</w:t>
      </w:r>
      <w:r w:rsidR="00ED15D5" w:rsidRPr="007033A3">
        <w:rPr>
          <w:rFonts w:ascii="Arial" w:hAnsi="Arial" w:cs="Arial"/>
          <w:sz w:val="22"/>
          <w:szCs w:val="22"/>
          <w:lang w:val="en-US"/>
        </w:rPr>
        <w:t xml:space="preserve">, what is called </w:t>
      </w:r>
      <w:r w:rsidR="00ED15D5" w:rsidRPr="007033A3">
        <w:rPr>
          <w:rFonts w:ascii="Arial" w:hAnsi="Arial" w:cs="Arial"/>
          <w:i/>
          <w:iCs/>
          <w:sz w:val="22"/>
          <w:szCs w:val="22"/>
          <w:lang w:val="en-US"/>
        </w:rPr>
        <w:t>cognitive inertia</w:t>
      </w:r>
      <w:r w:rsidR="004104C4" w:rsidRPr="007033A3">
        <w:rPr>
          <w:rFonts w:ascii="Arial" w:hAnsi="Arial" w:cs="Arial"/>
          <w:sz w:val="22"/>
          <w:szCs w:val="22"/>
          <w:lang w:val="en-US"/>
        </w:rPr>
        <w:t>.</w:t>
      </w:r>
      <w:r w:rsidR="004104C4" w:rsidRPr="007033A3">
        <w:rPr>
          <w:rStyle w:val="Refdenotaderodap"/>
          <w:rFonts w:ascii="Arial" w:hAnsi="Arial" w:cs="Arial"/>
          <w:sz w:val="22"/>
          <w:szCs w:val="22"/>
          <w:lang w:val="en-US"/>
        </w:rPr>
        <w:footnoteReference w:id="10"/>
      </w:r>
      <w:r w:rsidR="00ED15D5" w:rsidRPr="007033A3">
        <w:rPr>
          <w:rFonts w:ascii="Arial" w:hAnsi="Arial" w:cs="Arial"/>
          <w:sz w:val="22"/>
          <w:szCs w:val="22"/>
          <w:lang w:val="en-US"/>
        </w:rPr>
        <w:t xml:space="preserve"> Once managers are able to overcome such cognitive inertia and actually notice the changes to the business, it may be too late to avoid the organization’s failure.</w:t>
      </w:r>
    </w:p>
    <w:p w14:paraId="0B7688D1" w14:textId="507359AB" w:rsidR="00E70D16" w:rsidRPr="007033A3" w:rsidRDefault="00E70D16" w:rsidP="007033A3">
      <w:pPr>
        <w:pStyle w:val="PargrafodaLista"/>
        <w:tabs>
          <w:tab w:val="left" w:pos="1134"/>
        </w:tabs>
        <w:ind w:left="0"/>
        <w:jc w:val="both"/>
        <w:rPr>
          <w:rFonts w:ascii="Arial" w:hAnsi="Arial" w:cs="Arial"/>
          <w:sz w:val="22"/>
          <w:szCs w:val="22"/>
          <w:lang w:val="en-US"/>
        </w:rPr>
      </w:pPr>
    </w:p>
    <w:p w14:paraId="63ACF13D" w14:textId="018C15D5" w:rsidR="00E70D16" w:rsidRPr="007033A3" w:rsidRDefault="00E70D16"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After examining these different views, </w:t>
      </w:r>
      <w:proofErr w:type="spellStart"/>
      <w:r w:rsidRPr="007033A3">
        <w:rPr>
          <w:rFonts w:ascii="Arial" w:hAnsi="Arial" w:cs="Arial"/>
          <w:sz w:val="22"/>
          <w:szCs w:val="22"/>
          <w:lang w:val="en-US"/>
        </w:rPr>
        <w:t>Mellahi</w:t>
      </w:r>
      <w:proofErr w:type="spellEnd"/>
      <w:r w:rsidRPr="007033A3">
        <w:rPr>
          <w:rFonts w:ascii="Arial" w:hAnsi="Arial" w:cs="Arial"/>
          <w:sz w:val="22"/>
          <w:szCs w:val="22"/>
          <w:lang w:val="en-US"/>
        </w:rPr>
        <w:t xml:space="preserve"> and Wilkinson</w:t>
      </w:r>
      <w:r w:rsidR="00566332" w:rsidRPr="007033A3">
        <w:rPr>
          <w:rFonts w:ascii="Arial" w:hAnsi="Arial" w:cs="Arial"/>
          <w:sz w:val="22"/>
          <w:szCs w:val="22"/>
          <w:lang w:val="en-US"/>
        </w:rPr>
        <w:t xml:space="preserve"> conclude that “</w:t>
      </w:r>
      <w:r w:rsidR="00566332" w:rsidRPr="007033A3">
        <w:rPr>
          <w:rFonts w:ascii="Arial" w:hAnsi="Arial" w:cs="Arial"/>
          <w:i/>
          <w:iCs/>
          <w:sz w:val="22"/>
          <w:szCs w:val="22"/>
          <w:lang w:val="en-US"/>
        </w:rPr>
        <w:t>any attempt to explain organizational failure will not be complete unless the interplay between contextual forces and organizational dynamics is taken into account</w:t>
      </w:r>
      <w:r w:rsidR="00566332" w:rsidRPr="007033A3">
        <w:rPr>
          <w:rFonts w:ascii="Arial" w:hAnsi="Arial" w:cs="Arial"/>
          <w:sz w:val="22"/>
          <w:szCs w:val="22"/>
          <w:lang w:val="en-US"/>
        </w:rPr>
        <w:t>”. In other words, the reasons why organizations fail range from external and environmental factors, as proposed by the IO and OE theories, as well as internal and managerial factors, as proposed by the OS and OP theories.</w:t>
      </w:r>
    </w:p>
    <w:p w14:paraId="4B52404A" w14:textId="5AAE5AD6" w:rsidR="008A0C26" w:rsidRPr="007033A3" w:rsidRDefault="008A0C26" w:rsidP="000519CE">
      <w:pPr>
        <w:pStyle w:val="PargrafodaLista"/>
        <w:tabs>
          <w:tab w:val="left" w:pos="567"/>
        </w:tabs>
        <w:ind w:left="0"/>
        <w:jc w:val="both"/>
        <w:rPr>
          <w:rFonts w:ascii="Arial" w:hAnsi="Arial" w:cs="Arial"/>
          <w:sz w:val="22"/>
          <w:szCs w:val="22"/>
          <w:lang w:val="en-US"/>
        </w:rPr>
      </w:pPr>
    </w:p>
    <w:p w14:paraId="6454E7C8" w14:textId="25A441E3" w:rsidR="008A0C26" w:rsidRPr="007033A3" w:rsidRDefault="0074010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In Flow Management Group’s case, a few causes of financial distress may be singled out, though others have certainly played its part in the group’s decline. These causes were made apparent in November 2013, the beginning of the group’s financial distress, and throughout the following years during negotiations for a workout agreement with Banks A, B, C and D (</w:t>
      </w:r>
      <w:r w:rsidR="00166904" w:rsidRPr="007033A3">
        <w:rPr>
          <w:rFonts w:ascii="Arial" w:hAnsi="Arial" w:cs="Arial"/>
          <w:sz w:val="22"/>
          <w:szCs w:val="22"/>
          <w:lang w:val="en-US"/>
        </w:rPr>
        <w:t xml:space="preserve">henceforth, </w:t>
      </w:r>
      <w:r w:rsidRPr="007033A3">
        <w:rPr>
          <w:rFonts w:ascii="Arial" w:hAnsi="Arial" w:cs="Arial"/>
          <w:sz w:val="22"/>
          <w:szCs w:val="22"/>
          <w:lang w:val="en-US"/>
        </w:rPr>
        <w:t>the “</w:t>
      </w:r>
      <w:r w:rsidRPr="007033A3">
        <w:rPr>
          <w:rFonts w:ascii="Arial" w:hAnsi="Arial" w:cs="Arial"/>
          <w:sz w:val="22"/>
          <w:szCs w:val="22"/>
          <w:u w:val="single"/>
          <w:lang w:val="en-US"/>
        </w:rPr>
        <w:t>Group of Banks</w:t>
      </w:r>
      <w:r w:rsidRPr="007033A3">
        <w:rPr>
          <w:rFonts w:ascii="Arial" w:hAnsi="Arial" w:cs="Arial"/>
          <w:sz w:val="22"/>
          <w:szCs w:val="22"/>
          <w:lang w:val="en-US"/>
        </w:rPr>
        <w:t>”):</w:t>
      </w:r>
    </w:p>
    <w:p w14:paraId="1BFA98B7" w14:textId="77777777" w:rsidR="00740100" w:rsidRPr="007033A3" w:rsidRDefault="00740100" w:rsidP="007033A3">
      <w:pPr>
        <w:pStyle w:val="PargrafodaLista"/>
        <w:rPr>
          <w:rFonts w:ascii="Arial" w:hAnsi="Arial" w:cs="Arial"/>
          <w:sz w:val="22"/>
          <w:szCs w:val="22"/>
          <w:lang w:val="en-US"/>
        </w:rPr>
      </w:pPr>
    </w:p>
    <w:p w14:paraId="32A5C16F" w14:textId="2C7D5CBB" w:rsidR="00740100" w:rsidRPr="007033A3" w:rsidRDefault="00740100" w:rsidP="000519CE">
      <w:pPr>
        <w:pStyle w:val="PargrafodaLista"/>
        <w:numPr>
          <w:ilvl w:val="0"/>
          <w:numId w:val="27"/>
        </w:numPr>
        <w:tabs>
          <w:tab w:val="left" w:pos="1134"/>
        </w:tabs>
        <w:ind w:left="567" w:firstLine="0"/>
        <w:jc w:val="both"/>
        <w:rPr>
          <w:rFonts w:ascii="Arial" w:hAnsi="Arial" w:cs="Arial"/>
          <w:sz w:val="22"/>
          <w:szCs w:val="22"/>
          <w:lang w:val="en-US"/>
        </w:rPr>
      </w:pPr>
      <w:r w:rsidRPr="007033A3">
        <w:rPr>
          <w:rFonts w:ascii="Arial" w:hAnsi="Arial" w:cs="Arial"/>
          <w:sz w:val="22"/>
          <w:szCs w:val="22"/>
          <w:u w:val="single"/>
          <w:lang w:val="en-US"/>
        </w:rPr>
        <w:t>November 2013</w:t>
      </w:r>
      <w:r w:rsidRPr="007033A3">
        <w:rPr>
          <w:rFonts w:ascii="Arial" w:hAnsi="Arial" w:cs="Arial"/>
          <w:sz w:val="22"/>
          <w:szCs w:val="22"/>
          <w:lang w:val="en-US"/>
        </w:rPr>
        <w:t>. Faults in the annual accounts of 2012 that reversed a €</w:t>
      </w:r>
      <w:r w:rsidR="00391CFA" w:rsidRPr="007033A3">
        <w:rPr>
          <w:rFonts w:ascii="Arial" w:hAnsi="Arial" w:cs="Arial"/>
          <w:sz w:val="22"/>
          <w:szCs w:val="22"/>
          <w:lang w:val="en-US"/>
        </w:rPr>
        <w:t> </w:t>
      </w:r>
      <w:r w:rsidRPr="007033A3">
        <w:rPr>
          <w:rFonts w:ascii="Arial" w:hAnsi="Arial" w:cs="Arial"/>
          <w:sz w:val="22"/>
          <w:szCs w:val="22"/>
          <w:lang w:val="en-US"/>
        </w:rPr>
        <w:t>3</w:t>
      </w:r>
      <w:r w:rsidR="00391CFA" w:rsidRPr="007033A3">
        <w:rPr>
          <w:rFonts w:ascii="Arial" w:hAnsi="Arial" w:cs="Arial"/>
          <w:sz w:val="22"/>
          <w:szCs w:val="22"/>
          <w:lang w:val="en-US"/>
        </w:rPr>
        <w:t> </w:t>
      </w:r>
      <w:r w:rsidRPr="007033A3">
        <w:rPr>
          <w:rFonts w:ascii="Arial" w:hAnsi="Arial" w:cs="Arial"/>
          <w:sz w:val="22"/>
          <w:szCs w:val="22"/>
          <w:lang w:val="en-US"/>
        </w:rPr>
        <w:t xml:space="preserve">million profit to a € 5 million loss, and a reported pre-tax profit of € 8 million in September 2013 that actually turned out to be a € </w:t>
      </w:r>
      <w:r w:rsidR="00504173" w:rsidRPr="007033A3">
        <w:rPr>
          <w:rFonts w:ascii="Arial" w:hAnsi="Arial" w:cs="Arial"/>
          <w:sz w:val="22"/>
          <w:szCs w:val="22"/>
          <w:lang w:val="en-US"/>
        </w:rPr>
        <w:t>23.1</w:t>
      </w:r>
      <w:r w:rsidRPr="007033A3">
        <w:rPr>
          <w:rFonts w:ascii="Arial" w:hAnsi="Arial" w:cs="Arial"/>
          <w:sz w:val="22"/>
          <w:szCs w:val="22"/>
          <w:lang w:val="en-US"/>
        </w:rPr>
        <w:t xml:space="preserve"> million loss. These losses and negative corrections were caused by (a) large management bonuses of € 3 million that were wrongfully awarded to Flow Management Holding BV’s Chief Executive Officer (“</w:t>
      </w:r>
      <w:r w:rsidRPr="007033A3">
        <w:rPr>
          <w:rFonts w:ascii="Arial" w:hAnsi="Arial" w:cs="Arial"/>
          <w:sz w:val="22"/>
          <w:szCs w:val="22"/>
          <w:u w:val="single"/>
          <w:lang w:val="en-US"/>
        </w:rPr>
        <w:t>CEO</w:t>
      </w:r>
      <w:r w:rsidRPr="007033A3">
        <w:rPr>
          <w:rFonts w:ascii="Arial" w:hAnsi="Arial" w:cs="Arial"/>
          <w:sz w:val="22"/>
          <w:szCs w:val="22"/>
          <w:lang w:val="en-US"/>
        </w:rPr>
        <w:t>”) and Chief Financial Officer (“</w:t>
      </w:r>
      <w:r w:rsidRPr="007033A3">
        <w:rPr>
          <w:rFonts w:ascii="Arial" w:hAnsi="Arial" w:cs="Arial"/>
          <w:sz w:val="22"/>
          <w:szCs w:val="22"/>
          <w:u w:val="single"/>
          <w:lang w:val="en-US"/>
        </w:rPr>
        <w:t>CFO</w:t>
      </w:r>
      <w:r w:rsidRPr="007033A3">
        <w:rPr>
          <w:rFonts w:ascii="Arial" w:hAnsi="Arial" w:cs="Arial"/>
          <w:sz w:val="22"/>
          <w:szCs w:val="22"/>
          <w:lang w:val="en-US"/>
        </w:rPr>
        <w:t xml:space="preserve">”), (b) a contingency gain received in 2012 was wrongfully booked as a result </w:t>
      </w:r>
      <w:r w:rsidR="00826257" w:rsidRPr="007033A3">
        <w:rPr>
          <w:rFonts w:ascii="Arial" w:hAnsi="Arial" w:cs="Arial"/>
          <w:sz w:val="22"/>
          <w:szCs w:val="22"/>
          <w:lang w:val="en-US"/>
        </w:rPr>
        <w:t xml:space="preserve">in 2012, which required a negative correction of € 1.6 million, (c) an expected </w:t>
      </w:r>
      <w:r w:rsidR="00826257" w:rsidRPr="007033A3">
        <w:rPr>
          <w:rFonts w:ascii="Arial" w:hAnsi="Arial" w:cs="Arial"/>
          <w:sz w:val="22"/>
          <w:szCs w:val="22"/>
          <w:lang w:val="en-US"/>
        </w:rPr>
        <w:lastRenderedPageBreak/>
        <w:t>€ 2.8 million book profit was not realized in 2012 or 2013, and, what may be the gravest of all mistakes, (d) the group charged prices that were lower than their costs, due to a failure to periodically check the cost</w:t>
      </w:r>
      <w:r w:rsidR="00B74D98" w:rsidRPr="007033A3">
        <w:rPr>
          <w:rFonts w:ascii="Arial" w:hAnsi="Arial" w:cs="Arial"/>
          <w:sz w:val="22"/>
          <w:szCs w:val="22"/>
          <w:lang w:val="en-US"/>
        </w:rPr>
        <w:t>-</w:t>
      </w:r>
      <w:r w:rsidR="00826257" w:rsidRPr="007033A3">
        <w:rPr>
          <w:rFonts w:ascii="Arial" w:hAnsi="Arial" w:cs="Arial"/>
          <w:sz w:val="22"/>
          <w:szCs w:val="22"/>
          <w:lang w:val="en-US"/>
        </w:rPr>
        <w:t>price calculation – which was later attributed to a formula error in a spreadsheet (!).</w:t>
      </w:r>
    </w:p>
    <w:p w14:paraId="237A4DEE" w14:textId="77777777" w:rsidR="00391CFA" w:rsidRPr="007033A3" w:rsidRDefault="00391CFA" w:rsidP="007033A3">
      <w:pPr>
        <w:pStyle w:val="PargrafodaLista"/>
        <w:tabs>
          <w:tab w:val="left" w:pos="1701"/>
        </w:tabs>
        <w:ind w:left="1134"/>
        <w:jc w:val="both"/>
        <w:rPr>
          <w:rFonts w:ascii="Arial" w:hAnsi="Arial" w:cs="Arial"/>
          <w:sz w:val="22"/>
          <w:szCs w:val="22"/>
          <w:lang w:val="en-US"/>
        </w:rPr>
      </w:pPr>
    </w:p>
    <w:p w14:paraId="787A022F" w14:textId="527ECFDC" w:rsidR="00391CFA" w:rsidRPr="007033A3" w:rsidRDefault="00391CFA" w:rsidP="000519CE">
      <w:pPr>
        <w:tabs>
          <w:tab w:val="left" w:pos="1134"/>
        </w:tabs>
        <w:ind w:left="567"/>
        <w:jc w:val="both"/>
        <w:rPr>
          <w:rFonts w:ascii="Arial" w:hAnsi="Arial" w:cs="Arial"/>
          <w:sz w:val="22"/>
          <w:szCs w:val="22"/>
          <w:lang w:val="en-US"/>
        </w:rPr>
      </w:pPr>
      <w:r w:rsidRPr="007033A3">
        <w:rPr>
          <w:rFonts w:ascii="Arial" w:hAnsi="Arial" w:cs="Arial"/>
          <w:sz w:val="22"/>
          <w:szCs w:val="22"/>
          <w:lang w:val="en-US"/>
        </w:rPr>
        <w:t xml:space="preserve">The incorrect </w:t>
      </w:r>
      <w:r w:rsidR="00A30C88" w:rsidRPr="007033A3">
        <w:rPr>
          <w:rFonts w:ascii="Arial" w:hAnsi="Arial" w:cs="Arial"/>
          <w:sz w:val="22"/>
          <w:szCs w:val="22"/>
          <w:lang w:val="en-US"/>
        </w:rPr>
        <w:t xml:space="preserve">financial </w:t>
      </w:r>
      <w:r w:rsidRPr="007033A3">
        <w:rPr>
          <w:rFonts w:ascii="Arial" w:hAnsi="Arial" w:cs="Arial"/>
          <w:sz w:val="22"/>
          <w:szCs w:val="22"/>
          <w:lang w:val="en-US"/>
        </w:rPr>
        <w:t xml:space="preserve">information provided to the group’s management could have also led them to take unnecessary risks, such as </w:t>
      </w:r>
      <w:r w:rsidR="00A30C88" w:rsidRPr="007033A3">
        <w:rPr>
          <w:rFonts w:ascii="Arial" w:hAnsi="Arial" w:cs="Arial"/>
          <w:sz w:val="22"/>
          <w:szCs w:val="22"/>
          <w:lang w:val="en-US"/>
        </w:rPr>
        <w:t>investing in different lines of business (non-core) and increasing the group’s indebtedness. The lack of trustworthy information may have also prevented management from detecting early warning signs of financial decline.</w:t>
      </w:r>
      <w:r w:rsidR="00106332">
        <w:rPr>
          <w:rStyle w:val="Refdenotaderodap"/>
          <w:rFonts w:ascii="Arial" w:hAnsi="Arial" w:cs="Arial"/>
          <w:sz w:val="22"/>
          <w:szCs w:val="22"/>
          <w:lang w:val="en-US"/>
        </w:rPr>
        <w:footnoteReference w:id="11"/>
      </w:r>
    </w:p>
    <w:p w14:paraId="1189A619" w14:textId="77777777" w:rsidR="00391CFA" w:rsidRPr="007033A3" w:rsidRDefault="00391CFA" w:rsidP="000519CE">
      <w:pPr>
        <w:tabs>
          <w:tab w:val="left" w:pos="1134"/>
        </w:tabs>
        <w:ind w:left="567"/>
        <w:jc w:val="both"/>
        <w:rPr>
          <w:rFonts w:ascii="Arial" w:hAnsi="Arial" w:cs="Arial"/>
          <w:sz w:val="22"/>
          <w:szCs w:val="22"/>
          <w:lang w:val="en-US"/>
        </w:rPr>
      </w:pPr>
    </w:p>
    <w:p w14:paraId="080AF4D5" w14:textId="2DDA55FC" w:rsidR="00391CFA" w:rsidRPr="007033A3" w:rsidRDefault="00391CFA" w:rsidP="000519CE">
      <w:pPr>
        <w:tabs>
          <w:tab w:val="left" w:pos="1134"/>
        </w:tabs>
        <w:ind w:left="567"/>
        <w:jc w:val="both"/>
        <w:rPr>
          <w:rFonts w:ascii="Arial" w:hAnsi="Arial" w:cs="Arial"/>
          <w:sz w:val="22"/>
          <w:szCs w:val="22"/>
          <w:lang w:val="en-US"/>
        </w:rPr>
      </w:pPr>
      <w:r w:rsidRPr="007033A3">
        <w:rPr>
          <w:rFonts w:ascii="Arial" w:hAnsi="Arial" w:cs="Arial"/>
          <w:sz w:val="22"/>
          <w:szCs w:val="22"/>
          <w:lang w:val="en-US"/>
        </w:rPr>
        <w:t>The mistakes that sparked Flow Management Group’s decline into financial distress may</w:t>
      </w:r>
      <w:r w:rsidR="00A30C88" w:rsidRPr="007033A3">
        <w:rPr>
          <w:rFonts w:ascii="Arial" w:hAnsi="Arial" w:cs="Arial"/>
          <w:sz w:val="22"/>
          <w:szCs w:val="22"/>
          <w:lang w:val="en-US"/>
        </w:rPr>
        <w:t xml:space="preserve"> have</w:t>
      </w:r>
      <w:r w:rsidRPr="007033A3">
        <w:rPr>
          <w:rFonts w:ascii="Arial" w:hAnsi="Arial" w:cs="Arial"/>
          <w:sz w:val="22"/>
          <w:szCs w:val="22"/>
          <w:lang w:val="en-US"/>
        </w:rPr>
        <w:t xml:space="preserve"> also be</w:t>
      </w:r>
      <w:r w:rsidR="00A30C88" w:rsidRPr="007033A3">
        <w:rPr>
          <w:rFonts w:ascii="Arial" w:hAnsi="Arial" w:cs="Arial"/>
          <w:sz w:val="22"/>
          <w:szCs w:val="22"/>
          <w:lang w:val="en-US"/>
        </w:rPr>
        <w:t>en</w:t>
      </w:r>
      <w:r w:rsidRPr="007033A3">
        <w:rPr>
          <w:rFonts w:ascii="Arial" w:hAnsi="Arial" w:cs="Arial"/>
          <w:sz w:val="22"/>
          <w:szCs w:val="22"/>
          <w:lang w:val="en-US"/>
        </w:rPr>
        <w:t xml:space="preserve"> caused by poor management, both at the top levels (i.e., CEO, CFO) and at the middle and lower management levels, which failed to take the necessary steps to avoid such mistakes in the first place (i.e., audit financial statements and projections, periodical checks on the cost</w:t>
      </w:r>
      <w:r w:rsidR="00B74D98" w:rsidRPr="007033A3">
        <w:rPr>
          <w:rFonts w:ascii="Arial" w:hAnsi="Arial" w:cs="Arial"/>
          <w:sz w:val="22"/>
          <w:szCs w:val="22"/>
          <w:lang w:val="en-US"/>
        </w:rPr>
        <w:t>-price</w:t>
      </w:r>
      <w:r w:rsidRPr="007033A3">
        <w:rPr>
          <w:rFonts w:ascii="Arial" w:hAnsi="Arial" w:cs="Arial"/>
          <w:sz w:val="22"/>
          <w:szCs w:val="22"/>
          <w:lang w:val="en-US"/>
        </w:rPr>
        <w:t xml:space="preserve"> calculation).</w:t>
      </w:r>
    </w:p>
    <w:p w14:paraId="0D2456C4" w14:textId="77777777" w:rsidR="00391CFA" w:rsidRPr="007033A3" w:rsidRDefault="00391CFA" w:rsidP="000519CE">
      <w:pPr>
        <w:tabs>
          <w:tab w:val="left" w:pos="1134"/>
        </w:tabs>
        <w:ind w:left="567"/>
        <w:jc w:val="both"/>
        <w:rPr>
          <w:rFonts w:ascii="Arial" w:hAnsi="Arial" w:cs="Arial"/>
          <w:sz w:val="22"/>
          <w:szCs w:val="22"/>
          <w:lang w:val="en-US"/>
        </w:rPr>
      </w:pPr>
    </w:p>
    <w:p w14:paraId="4DBCFC1F" w14:textId="77777777" w:rsidR="00432A01" w:rsidRPr="007033A3" w:rsidRDefault="00391CFA" w:rsidP="000519CE">
      <w:pPr>
        <w:tabs>
          <w:tab w:val="left" w:pos="1134"/>
        </w:tabs>
        <w:ind w:left="567"/>
        <w:jc w:val="both"/>
        <w:rPr>
          <w:rFonts w:ascii="Arial" w:hAnsi="Arial" w:cs="Arial"/>
          <w:sz w:val="22"/>
          <w:szCs w:val="22"/>
          <w:lang w:val="en-US"/>
        </w:rPr>
      </w:pPr>
      <w:r w:rsidRPr="007033A3">
        <w:rPr>
          <w:rFonts w:ascii="Arial" w:hAnsi="Arial" w:cs="Arial"/>
          <w:sz w:val="22"/>
          <w:szCs w:val="22"/>
          <w:lang w:val="en-US"/>
        </w:rPr>
        <w:t xml:space="preserve">This </w:t>
      </w:r>
      <w:r w:rsidR="001C3672" w:rsidRPr="007033A3">
        <w:rPr>
          <w:rFonts w:ascii="Arial" w:hAnsi="Arial" w:cs="Arial"/>
          <w:sz w:val="22"/>
          <w:szCs w:val="22"/>
          <w:lang w:val="en-US"/>
        </w:rPr>
        <w:t xml:space="preserve">could </w:t>
      </w:r>
      <w:r w:rsidRPr="007033A3">
        <w:rPr>
          <w:rFonts w:ascii="Arial" w:hAnsi="Arial" w:cs="Arial"/>
          <w:sz w:val="22"/>
          <w:szCs w:val="22"/>
          <w:lang w:val="en-US"/>
        </w:rPr>
        <w:t xml:space="preserve">be due to the fact that the Flow Management Group may be family-run, as it is indirectly owned by the Johnson Family, perhaps without the adequate expertise to identify and address </w:t>
      </w:r>
      <w:r w:rsidR="001C3672" w:rsidRPr="007033A3">
        <w:rPr>
          <w:rFonts w:ascii="Arial" w:hAnsi="Arial" w:cs="Arial"/>
          <w:sz w:val="22"/>
          <w:szCs w:val="22"/>
          <w:lang w:val="en-US"/>
        </w:rPr>
        <w:t xml:space="preserve">relevant </w:t>
      </w:r>
      <w:r w:rsidRPr="007033A3">
        <w:rPr>
          <w:rFonts w:ascii="Arial" w:hAnsi="Arial" w:cs="Arial"/>
          <w:sz w:val="22"/>
          <w:szCs w:val="22"/>
          <w:lang w:val="en-US"/>
        </w:rPr>
        <w:t>issues that arise in the day-to-day business.</w:t>
      </w:r>
      <w:r w:rsidR="00432A01" w:rsidRPr="007033A3">
        <w:rPr>
          <w:rFonts w:ascii="Arial" w:hAnsi="Arial" w:cs="Arial"/>
          <w:sz w:val="22"/>
          <w:szCs w:val="22"/>
          <w:lang w:val="en-US"/>
        </w:rPr>
        <w:t xml:space="preserve"> </w:t>
      </w:r>
    </w:p>
    <w:p w14:paraId="1DB0AABD" w14:textId="77777777" w:rsidR="00432A01" w:rsidRPr="007033A3" w:rsidRDefault="00432A01" w:rsidP="000519CE">
      <w:pPr>
        <w:tabs>
          <w:tab w:val="left" w:pos="1134"/>
        </w:tabs>
        <w:ind w:left="567"/>
        <w:jc w:val="both"/>
        <w:rPr>
          <w:rFonts w:ascii="Arial" w:hAnsi="Arial" w:cs="Arial"/>
          <w:sz w:val="22"/>
          <w:szCs w:val="22"/>
          <w:lang w:val="en-US"/>
        </w:rPr>
      </w:pPr>
    </w:p>
    <w:p w14:paraId="72187381" w14:textId="43247ACC" w:rsidR="00391CFA" w:rsidRPr="007033A3" w:rsidRDefault="00432A01" w:rsidP="000519CE">
      <w:pPr>
        <w:tabs>
          <w:tab w:val="left" w:pos="1134"/>
        </w:tabs>
        <w:ind w:left="567"/>
        <w:jc w:val="both"/>
        <w:rPr>
          <w:rFonts w:ascii="Arial" w:hAnsi="Arial" w:cs="Arial"/>
          <w:sz w:val="22"/>
          <w:szCs w:val="22"/>
          <w:lang w:val="en-US"/>
        </w:rPr>
      </w:pPr>
      <w:r w:rsidRPr="007033A3">
        <w:rPr>
          <w:rFonts w:ascii="Arial" w:hAnsi="Arial" w:cs="Arial"/>
          <w:sz w:val="22"/>
          <w:szCs w:val="22"/>
          <w:lang w:val="en-US"/>
        </w:rPr>
        <w:t>Therefore, organizational factors (as posited by the OS theory), such as top management tenure, top management homogeneity, management succession and past performance, may have clouded the managers’ judgment and made it more difficult for relevant changes to be implemented in the group’s internal controls and business in general. Cognitive inertia (postulated by the OP theory) may have also played a role in delaying the managers’ reaction to the incoming financial distress.</w:t>
      </w:r>
    </w:p>
    <w:p w14:paraId="2F6CB9D8" w14:textId="7B679A76" w:rsidR="00740100" w:rsidRPr="007033A3" w:rsidRDefault="00740100" w:rsidP="000519CE">
      <w:pPr>
        <w:pStyle w:val="PargrafodaLista"/>
        <w:tabs>
          <w:tab w:val="left" w:pos="1134"/>
        </w:tabs>
        <w:ind w:left="567"/>
        <w:jc w:val="both"/>
        <w:rPr>
          <w:rFonts w:ascii="Arial" w:hAnsi="Arial" w:cs="Arial"/>
          <w:sz w:val="22"/>
          <w:szCs w:val="22"/>
          <w:lang w:val="en-US"/>
        </w:rPr>
      </w:pPr>
    </w:p>
    <w:p w14:paraId="5927FD22" w14:textId="577AF48D" w:rsidR="00525356" w:rsidRPr="007033A3" w:rsidRDefault="00826257" w:rsidP="000519CE">
      <w:pPr>
        <w:pStyle w:val="PargrafodaLista"/>
        <w:numPr>
          <w:ilvl w:val="0"/>
          <w:numId w:val="27"/>
        </w:numPr>
        <w:tabs>
          <w:tab w:val="left" w:pos="1134"/>
        </w:tabs>
        <w:ind w:left="567" w:firstLine="0"/>
        <w:jc w:val="both"/>
        <w:rPr>
          <w:rFonts w:ascii="Arial" w:hAnsi="Arial" w:cs="Arial"/>
          <w:sz w:val="22"/>
          <w:szCs w:val="22"/>
          <w:lang w:val="en-US"/>
        </w:rPr>
      </w:pPr>
      <w:r w:rsidRPr="007033A3">
        <w:rPr>
          <w:rFonts w:ascii="Arial" w:hAnsi="Arial" w:cs="Arial"/>
          <w:sz w:val="22"/>
          <w:szCs w:val="22"/>
          <w:u w:val="single"/>
          <w:lang w:val="en-US"/>
        </w:rPr>
        <w:t>Post-November 2013</w:t>
      </w:r>
      <w:r w:rsidRPr="007033A3">
        <w:rPr>
          <w:rFonts w:ascii="Arial" w:hAnsi="Arial" w:cs="Arial"/>
          <w:sz w:val="22"/>
          <w:szCs w:val="22"/>
          <w:lang w:val="en-US"/>
        </w:rPr>
        <w:t>.</w:t>
      </w:r>
      <w:r w:rsidR="000C16DD" w:rsidRPr="007033A3">
        <w:rPr>
          <w:rFonts w:ascii="Arial" w:hAnsi="Arial" w:cs="Arial"/>
          <w:sz w:val="22"/>
          <w:szCs w:val="22"/>
          <w:lang w:val="en-US"/>
        </w:rPr>
        <w:t xml:space="preserve"> </w:t>
      </w:r>
      <w:r w:rsidR="00391CFA" w:rsidRPr="007033A3">
        <w:rPr>
          <w:rFonts w:ascii="Arial" w:hAnsi="Arial" w:cs="Arial"/>
          <w:sz w:val="22"/>
          <w:szCs w:val="22"/>
          <w:lang w:val="en-US"/>
        </w:rPr>
        <w:t>After the initial shock and the first talks with the Group of Banks, Flow Management Group’s financial distress only worsened</w:t>
      </w:r>
      <w:r w:rsidR="00E87133" w:rsidRPr="007033A3">
        <w:rPr>
          <w:rFonts w:ascii="Arial" w:hAnsi="Arial" w:cs="Arial"/>
          <w:sz w:val="22"/>
          <w:szCs w:val="22"/>
          <w:lang w:val="en-US"/>
        </w:rPr>
        <w:t>, which could be attributed to the poor quality of control over the group’s financials: (a) the 2013 results vary wildly from a</w:t>
      </w:r>
      <w:r w:rsidR="0029421C" w:rsidRPr="007033A3">
        <w:rPr>
          <w:rFonts w:ascii="Arial" w:hAnsi="Arial" w:cs="Arial"/>
          <w:sz w:val="22"/>
          <w:szCs w:val="22"/>
          <w:lang w:val="en-US"/>
        </w:rPr>
        <w:t>n expected</w:t>
      </w:r>
      <w:r w:rsidR="00E87133" w:rsidRPr="007033A3">
        <w:rPr>
          <w:rFonts w:ascii="Arial" w:hAnsi="Arial" w:cs="Arial"/>
          <w:sz w:val="22"/>
          <w:szCs w:val="22"/>
          <w:lang w:val="en-US"/>
        </w:rPr>
        <w:t xml:space="preserve"> profit of € 3 million to a</w:t>
      </w:r>
      <w:r w:rsidR="0029421C" w:rsidRPr="007033A3">
        <w:rPr>
          <w:rFonts w:ascii="Arial" w:hAnsi="Arial" w:cs="Arial"/>
          <w:sz w:val="22"/>
          <w:szCs w:val="22"/>
          <w:lang w:val="en-US"/>
        </w:rPr>
        <w:t>n actual</w:t>
      </w:r>
      <w:r w:rsidR="00E87133" w:rsidRPr="007033A3">
        <w:rPr>
          <w:rFonts w:ascii="Arial" w:hAnsi="Arial" w:cs="Arial"/>
          <w:sz w:val="22"/>
          <w:szCs w:val="22"/>
          <w:lang w:val="en-US"/>
        </w:rPr>
        <w:t xml:space="preserve"> loss of € 36.4 million, with 2012’s result once again adjusted from a loss of € 5 million to a loss of € 6.1 million</w:t>
      </w:r>
      <w:r w:rsidR="0029421C" w:rsidRPr="007033A3">
        <w:rPr>
          <w:rFonts w:ascii="Arial" w:hAnsi="Arial" w:cs="Arial"/>
          <w:sz w:val="22"/>
          <w:szCs w:val="22"/>
          <w:lang w:val="en-US"/>
        </w:rPr>
        <w:t>, (b) the forecast for 2014 initially points to a € 5.7 million loss, which was later revised to a € 39 million loss (as of October 2014)</w:t>
      </w:r>
      <w:r w:rsidR="00525356" w:rsidRPr="007033A3">
        <w:rPr>
          <w:rFonts w:ascii="Arial" w:hAnsi="Arial" w:cs="Arial"/>
          <w:sz w:val="22"/>
          <w:szCs w:val="22"/>
          <w:lang w:val="en-US"/>
        </w:rPr>
        <w:t xml:space="preserve">, and (c) the forecast for 2015 initially suggested a € </w:t>
      </w:r>
      <w:r w:rsidR="0045584B" w:rsidRPr="007033A3">
        <w:rPr>
          <w:rFonts w:ascii="Arial" w:hAnsi="Arial" w:cs="Arial"/>
          <w:sz w:val="22"/>
          <w:szCs w:val="22"/>
          <w:lang w:val="en-US"/>
        </w:rPr>
        <w:t>3</w:t>
      </w:r>
      <w:r w:rsidR="00525356" w:rsidRPr="007033A3">
        <w:rPr>
          <w:rFonts w:ascii="Arial" w:hAnsi="Arial" w:cs="Arial"/>
          <w:sz w:val="22"/>
          <w:szCs w:val="22"/>
          <w:lang w:val="en-US"/>
        </w:rPr>
        <w:t>0 million profit, while it actually turned out to be a €</w:t>
      </w:r>
      <w:r w:rsidR="00030B92" w:rsidRPr="007033A3">
        <w:rPr>
          <w:rFonts w:ascii="Arial" w:hAnsi="Arial" w:cs="Arial"/>
          <w:sz w:val="22"/>
          <w:szCs w:val="22"/>
          <w:lang w:val="en-US"/>
        </w:rPr>
        <w:t> </w:t>
      </w:r>
      <w:r w:rsidR="00525356" w:rsidRPr="007033A3">
        <w:rPr>
          <w:rFonts w:ascii="Arial" w:hAnsi="Arial" w:cs="Arial"/>
          <w:sz w:val="22"/>
          <w:szCs w:val="22"/>
          <w:lang w:val="en-US"/>
        </w:rPr>
        <w:t>9</w:t>
      </w:r>
      <w:r w:rsidR="00030B92" w:rsidRPr="007033A3">
        <w:rPr>
          <w:rFonts w:ascii="Arial" w:hAnsi="Arial" w:cs="Arial"/>
          <w:sz w:val="22"/>
          <w:szCs w:val="22"/>
          <w:lang w:val="en-US"/>
        </w:rPr>
        <w:t> </w:t>
      </w:r>
      <w:r w:rsidR="00525356" w:rsidRPr="007033A3">
        <w:rPr>
          <w:rFonts w:ascii="Arial" w:hAnsi="Arial" w:cs="Arial"/>
          <w:sz w:val="22"/>
          <w:szCs w:val="22"/>
          <w:lang w:val="en-US"/>
        </w:rPr>
        <w:t xml:space="preserve">million loss. </w:t>
      </w:r>
    </w:p>
    <w:p w14:paraId="6599829D" w14:textId="77777777" w:rsidR="00525356" w:rsidRPr="007033A3" w:rsidRDefault="00525356" w:rsidP="000519CE">
      <w:pPr>
        <w:pStyle w:val="PargrafodaLista"/>
        <w:tabs>
          <w:tab w:val="left" w:pos="1134"/>
        </w:tabs>
        <w:ind w:left="567"/>
        <w:jc w:val="both"/>
        <w:rPr>
          <w:rFonts w:ascii="Arial" w:hAnsi="Arial" w:cs="Arial"/>
          <w:sz w:val="22"/>
          <w:szCs w:val="22"/>
          <w:lang w:val="en-US"/>
        </w:rPr>
      </w:pPr>
    </w:p>
    <w:p w14:paraId="2E0D2081" w14:textId="2E5294AB" w:rsidR="00740100" w:rsidRPr="007033A3" w:rsidRDefault="00525356" w:rsidP="000519CE">
      <w:pPr>
        <w:pStyle w:val="PargrafodaLista"/>
        <w:tabs>
          <w:tab w:val="left" w:pos="1134"/>
        </w:tabs>
        <w:ind w:left="567"/>
        <w:jc w:val="both"/>
        <w:rPr>
          <w:rFonts w:ascii="Arial" w:hAnsi="Arial" w:cs="Arial"/>
          <w:sz w:val="22"/>
          <w:szCs w:val="22"/>
          <w:lang w:val="en-US"/>
        </w:rPr>
      </w:pPr>
      <w:r w:rsidRPr="007033A3">
        <w:rPr>
          <w:rFonts w:ascii="Arial" w:hAnsi="Arial" w:cs="Arial"/>
          <w:sz w:val="22"/>
          <w:szCs w:val="22"/>
          <w:lang w:val="en-US"/>
        </w:rPr>
        <w:t>The case description does not provide any environmental factors (i.e., technological uncertainty, regulatory, demographic or economic changes</w:t>
      </w:r>
      <w:r w:rsidR="00030B92" w:rsidRPr="007033A3">
        <w:rPr>
          <w:rFonts w:ascii="Arial" w:hAnsi="Arial" w:cs="Arial"/>
          <w:sz w:val="22"/>
          <w:szCs w:val="22"/>
          <w:lang w:val="en-US"/>
        </w:rPr>
        <w:t>, as formulated by the IO theory</w:t>
      </w:r>
      <w:r w:rsidRPr="007033A3">
        <w:rPr>
          <w:rFonts w:ascii="Arial" w:hAnsi="Arial" w:cs="Arial"/>
          <w:sz w:val="22"/>
          <w:szCs w:val="22"/>
          <w:lang w:val="en-US"/>
        </w:rPr>
        <w:t xml:space="preserve">) for such decline in the Flow Management Group’s financials, which would indicate that internal factors such as poor management, </w:t>
      </w:r>
      <w:r w:rsidR="00F30166" w:rsidRPr="007033A3">
        <w:rPr>
          <w:rFonts w:ascii="Arial" w:hAnsi="Arial" w:cs="Arial"/>
          <w:sz w:val="22"/>
          <w:szCs w:val="22"/>
          <w:lang w:val="en-US"/>
        </w:rPr>
        <w:t xml:space="preserve">incorrect </w:t>
      </w:r>
      <w:r w:rsidRPr="007033A3">
        <w:rPr>
          <w:rFonts w:ascii="Arial" w:hAnsi="Arial" w:cs="Arial"/>
          <w:sz w:val="22"/>
          <w:szCs w:val="22"/>
          <w:lang w:val="en-US"/>
        </w:rPr>
        <w:t>managerial perception, operating inefficiencies</w:t>
      </w:r>
      <w:r w:rsidR="00846E44" w:rsidRPr="007033A3">
        <w:rPr>
          <w:rFonts w:ascii="Arial" w:hAnsi="Arial" w:cs="Arial"/>
          <w:sz w:val="22"/>
          <w:szCs w:val="22"/>
          <w:lang w:val="en-US"/>
        </w:rPr>
        <w:t>, high operating costs</w:t>
      </w:r>
      <w:r w:rsidRPr="007033A3">
        <w:rPr>
          <w:rFonts w:ascii="Arial" w:hAnsi="Arial" w:cs="Arial"/>
          <w:sz w:val="22"/>
          <w:szCs w:val="22"/>
          <w:lang w:val="en-US"/>
        </w:rPr>
        <w:t xml:space="preserve"> and inadequate financial control may have had a greater role in the group’s downfall.</w:t>
      </w:r>
    </w:p>
    <w:p w14:paraId="4C4FD317" w14:textId="2D61E901" w:rsidR="00525356" w:rsidRPr="007033A3" w:rsidRDefault="00525356" w:rsidP="000519CE">
      <w:pPr>
        <w:pStyle w:val="PargrafodaLista"/>
        <w:tabs>
          <w:tab w:val="left" w:pos="1134"/>
        </w:tabs>
        <w:ind w:left="567"/>
        <w:jc w:val="both"/>
        <w:rPr>
          <w:rFonts w:ascii="Arial" w:hAnsi="Arial" w:cs="Arial"/>
          <w:sz w:val="22"/>
          <w:szCs w:val="22"/>
          <w:u w:val="single"/>
          <w:lang w:val="en-US"/>
        </w:rPr>
      </w:pPr>
    </w:p>
    <w:p w14:paraId="2034A86D" w14:textId="75134CF8" w:rsidR="00525356" w:rsidRPr="007033A3" w:rsidRDefault="00525356" w:rsidP="000519CE">
      <w:pPr>
        <w:pStyle w:val="PargrafodaLista"/>
        <w:tabs>
          <w:tab w:val="left" w:pos="1134"/>
        </w:tabs>
        <w:ind w:left="567"/>
        <w:jc w:val="both"/>
        <w:rPr>
          <w:rFonts w:ascii="Arial" w:hAnsi="Arial" w:cs="Arial"/>
          <w:sz w:val="22"/>
          <w:szCs w:val="22"/>
          <w:lang w:val="en-US"/>
        </w:rPr>
      </w:pPr>
      <w:r w:rsidRPr="007033A3">
        <w:rPr>
          <w:rFonts w:ascii="Arial" w:hAnsi="Arial" w:cs="Arial"/>
          <w:sz w:val="22"/>
          <w:szCs w:val="22"/>
          <w:lang w:val="en-US"/>
        </w:rPr>
        <w:t xml:space="preserve">The lack of reliable financial information also made it more difficult for </w:t>
      </w:r>
      <w:r w:rsidR="00D41C09" w:rsidRPr="007033A3">
        <w:rPr>
          <w:rFonts w:ascii="Arial" w:hAnsi="Arial" w:cs="Arial"/>
          <w:sz w:val="22"/>
          <w:szCs w:val="22"/>
          <w:lang w:val="en-US"/>
        </w:rPr>
        <w:t xml:space="preserve">top </w:t>
      </w:r>
      <w:r w:rsidRPr="007033A3">
        <w:rPr>
          <w:rFonts w:ascii="Arial" w:hAnsi="Arial" w:cs="Arial"/>
          <w:sz w:val="22"/>
          <w:szCs w:val="22"/>
          <w:lang w:val="en-US"/>
        </w:rPr>
        <w:t xml:space="preserve">management to implement restructuring measures throughout 2014 and 2015. </w:t>
      </w:r>
      <w:r w:rsidR="00AA332F" w:rsidRPr="007033A3">
        <w:rPr>
          <w:rFonts w:ascii="Arial" w:hAnsi="Arial" w:cs="Arial"/>
          <w:sz w:val="22"/>
          <w:szCs w:val="22"/>
          <w:lang w:val="en-US"/>
        </w:rPr>
        <w:t xml:space="preserve">And the apparent low level of specialization and professionalization of the top management, and perhaps the controlling shareholder’s </w:t>
      </w:r>
      <w:r w:rsidR="00506617" w:rsidRPr="007033A3">
        <w:rPr>
          <w:rFonts w:ascii="Arial" w:hAnsi="Arial" w:cs="Arial"/>
          <w:sz w:val="22"/>
          <w:szCs w:val="22"/>
          <w:lang w:val="en-US"/>
        </w:rPr>
        <w:t xml:space="preserve">(indirectly, the Johnson Family) </w:t>
      </w:r>
      <w:r w:rsidR="00AA332F" w:rsidRPr="007033A3">
        <w:rPr>
          <w:rFonts w:ascii="Arial" w:hAnsi="Arial" w:cs="Arial"/>
          <w:sz w:val="22"/>
          <w:szCs w:val="22"/>
          <w:lang w:val="en-US"/>
        </w:rPr>
        <w:t xml:space="preserve">stubbornness, led to a sluggish response in </w:t>
      </w:r>
      <w:r w:rsidR="00636A08" w:rsidRPr="007033A3">
        <w:rPr>
          <w:rFonts w:ascii="Arial" w:hAnsi="Arial" w:cs="Arial"/>
          <w:sz w:val="22"/>
          <w:szCs w:val="22"/>
          <w:lang w:val="en-US"/>
        </w:rPr>
        <w:t xml:space="preserve">replacing the CEO and the </w:t>
      </w:r>
      <w:r w:rsidR="00AA332F" w:rsidRPr="007033A3">
        <w:rPr>
          <w:rFonts w:ascii="Arial" w:hAnsi="Arial" w:cs="Arial"/>
          <w:sz w:val="22"/>
          <w:szCs w:val="22"/>
          <w:lang w:val="en-US"/>
        </w:rPr>
        <w:t xml:space="preserve">CFO and </w:t>
      </w:r>
      <w:r w:rsidR="00636A08" w:rsidRPr="007033A3">
        <w:rPr>
          <w:rFonts w:ascii="Arial" w:hAnsi="Arial" w:cs="Arial"/>
          <w:sz w:val="22"/>
          <w:szCs w:val="22"/>
          <w:lang w:val="en-US"/>
        </w:rPr>
        <w:t xml:space="preserve">in appointing </w:t>
      </w:r>
      <w:r w:rsidR="00AA332F" w:rsidRPr="007033A3">
        <w:rPr>
          <w:rFonts w:ascii="Arial" w:hAnsi="Arial" w:cs="Arial"/>
          <w:sz w:val="22"/>
          <w:szCs w:val="22"/>
          <w:lang w:val="en-US"/>
        </w:rPr>
        <w:t xml:space="preserve">a </w:t>
      </w:r>
      <w:r w:rsidR="00AA332F" w:rsidRPr="007033A3">
        <w:rPr>
          <w:rFonts w:ascii="Arial" w:hAnsi="Arial" w:cs="Arial"/>
          <w:sz w:val="22"/>
          <w:szCs w:val="22"/>
          <w:lang w:val="en-US"/>
        </w:rPr>
        <w:t>Chief Restructuring Officer (“</w:t>
      </w:r>
      <w:r w:rsidR="00AA332F" w:rsidRPr="007033A3">
        <w:rPr>
          <w:rFonts w:ascii="Arial" w:hAnsi="Arial" w:cs="Arial"/>
          <w:sz w:val="22"/>
          <w:szCs w:val="22"/>
          <w:u w:val="single"/>
          <w:lang w:val="en-US"/>
        </w:rPr>
        <w:t>CRO</w:t>
      </w:r>
      <w:r w:rsidR="00AA332F" w:rsidRPr="007033A3">
        <w:rPr>
          <w:rFonts w:ascii="Arial" w:hAnsi="Arial" w:cs="Arial"/>
          <w:sz w:val="22"/>
          <w:szCs w:val="22"/>
          <w:lang w:val="en-US"/>
        </w:rPr>
        <w:t>”)</w:t>
      </w:r>
      <w:r w:rsidR="00CA10C8" w:rsidRPr="007033A3">
        <w:rPr>
          <w:rFonts w:ascii="Arial" w:hAnsi="Arial" w:cs="Arial"/>
          <w:sz w:val="22"/>
          <w:szCs w:val="22"/>
          <w:lang w:val="en-US"/>
        </w:rPr>
        <w:t>.</w:t>
      </w:r>
    </w:p>
    <w:p w14:paraId="500BAF5B" w14:textId="6B530568" w:rsidR="00CA10C8" w:rsidRPr="007033A3" w:rsidRDefault="00CA10C8" w:rsidP="000519CE">
      <w:pPr>
        <w:pStyle w:val="PargrafodaLista"/>
        <w:tabs>
          <w:tab w:val="left" w:pos="1134"/>
        </w:tabs>
        <w:ind w:left="567"/>
        <w:jc w:val="both"/>
        <w:rPr>
          <w:rFonts w:ascii="Arial" w:hAnsi="Arial" w:cs="Arial"/>
          <w:sz w:val="22"/>
          <w:szCs w:val="22"/>
          <w:lang w:val="en-US"/>
        </w:rPr>
      </w:pPr>
    </w:p>
    <w:p w14:paraId="6B034E54" w14:textId="0650F390" w:rsidR="00CA10C8" w:rsidRPr="007033A3" w:rsidRDefault="00CA10C8" w:rsidP="000519CE">
      <w:pPr>
        <w:pStyle w:val="PargrafodaLista"/>
        <w:tabs>
          <w:tab w:val="left" w:pos="1134"/>
        </w:tabs>
        <w:ind w:left="567"/>
        <w:jc w:val="both"/>
        <w:rPr>
          <w:rFonts w:ascii="Arial" w:hAnsi="Arial" w:cs="Arial"/>
          <w:sz w:val="22"/>
          <w:szCs w:val="22"/>
          <w:lang w:val="en-US"/>
        </w:rPr>
      </w:pPr>
      <w:r w:rsidRPr="007033A3">
        <w:rPr>
          <w:rFonts w:ascii="Arial" w:hAnsi="Arial" w:cs="Arial"/>
          <w:sz w:val="22"/>
          <w:szCs w:val="22"/>
          <w:lang w:val="en-US"/>
        </w:rPr>
        <w:t>Once the issues began piling up and the Group of Banks started negotiations for a workout, another cause to the group’s financial decline may have been the delayed capital contribution by the controlling shareholder, and in a smaller amount than requested by the Group of Banks.</w:t>
      </w:r>
    </w:p>
    <w:p w14:paraId="6A9C9814" w14:textId="14831D05" w:rsidR="00CA10C8" w:rsidRPr="007033A3" w:rsidRDefault="00CA10C8" w:rsidP="000519CE">
      <w:pPr>
        <w:pStyle w:val="PargrafodaLista"/>
        <w:tabs>
          <w:tab w:val="left" w:pos="1134"/>
        </w:tabs>
        <w:ind w:left="567"/>
        <w:jc w:val="both"/>
        <w:rPr>
          <w:rFonts w:ascii="Arial" w:hAnsi="Arial" w:cs="Arial"/>
          <w:sz w:val="22"/>
          <w:szCs w:val="22"/>
          <w:lang w:val="en-US"/>
        </w:rPr>
      </w:pPr>
    </w:p>
    <w:p w14:paraId="04FD15EC" w14:textId="5B40C750" w:rsidR="00CA10C8" w:rsidRPr="007033A3" w:rsidRDefault="00CA10C8" w:rsidP="000519CE">
      <w:pPr>
        <w:pStyle w:val="PargrafodaLista"/>
        <w:tabs>
          <w:tab w:val="left" w:pos="1134"/>
        </w:tabs>
        <w:ind w:left="567"/>
        <w:jc w:val="both"/>
        <w:rPr>
          <w:rFonts w:ascii="Arial" w:hAnsi="Arial" w:cs="Arial"/>
          <w:sz w:val="22"/>
          <w:szCs w:val="22"/>
          <w:lang w:val="en-US"/>
        </w:rPr>
      </w:pPr>
      <w:r w:rsidRPr="007033A3">
        <w:rPr>
          <w:rFonts w:ascii="Arial" w:hAnsi="Arial" w:cs="Arial"/>
          <w:sz w:val="22"/>
          <w:szCs w:val="22"/>
          <w:lang w:val="en-US"/>
        </w:rPr>
        <w:t>Overall, due to the bad and unreliable information provided to the Group of Banks, as well as the group’s slow response time to address pressing matters</w:t>
      </w:r>
      <w:r w:rsidR="00D25E94" w:rsidRPr="007033A3">
        <w:rPr>
          <w:rFonts w:ascii="Arial" w:hAnsi="Arial" w:cs="Arial"/>
          <w:sz w:val="22"/>
          <w:szCs w:val="22"/>
          <w:lang w:val="en-US"/>
        </w:rPr>
        <w:t xml:space="preserve"> (i.e., the management’s cognitive inertia)</w:t>
      </w:r>
      <w:r w:rsidRPr="007033A3">
        <w:rPr>
          <w:rFonts w:ascii="Arial" w:hAnsi="Arial" w:cs="Arial"/>
          <w:sz w:val="22"/>
          <w:szCs w:val="22"/>
          <w:lang w:val="en-US"/>
        </w:rPr>
        <w:t>, negotiations for a workout agreement may have taken longer than in a scenario of real-time access to reasonable and trustworthy information, thus reducing the parties’ informational asymmetries.</w:t>
      </w:r>
    </w:p>
    <w:p w14:paraId="3F763BC8" w14:textId="77777777" w:rsidR="008A0C26" w:rsidRPr="007033A3" w:rsidRDefault="008A0C26" w:rsidP="007033A3">
      <w:pPr>
        <w:pStyle w:val="PargrafodaLista"/>
        <w:rPr>
          <w:rFonts w:ascii="Arial" w:hAnsi="Arial" w:cs="Arial"/>
          <w:sz w:val="22"/>
          <w:szCs w:val="22"/>
          <w:lang w:val="en-US"/>
        </w:rPr>
      </w:pPr>
    </w:p>
    <w:p w14:paraId="0B651228" w14:textId="72B0CA73" w:rsidR="008A0C26" w:rsidRPr="007033A3" w:rsidRDefault="00166904"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These are a few of the causes that may have led to Flow Management Group’s financial distress,</w:t>
      </w:r>
      <w:r w:rsidR="00EF6927" w:rsidRPr="007033A3">
        <w:rPr>
          <w:rFonts w:ascii="Arial" w:hAnsi="Arial" w:cs="Arial"/>
          <w:sz w:val="22"/>
          <w:szCs w:val="22"/>
          <w:lang w:val="en-US"/>
        </w:rPr>
        <w:t xml:space="preserve"> as surmised from the case description, but could the group’s financial distress have been prevented</w:t>
      </w:r>
      <w:r w:rsidR="00996FAA" w:rsidRPr="007033A3">
        <w:rPr>
          <w:rFonts w:ascii="Arial" w:hAnsi="Arial" w:cs="Arial"/>
          <w:sz w:val="22"/>
          <w:szCs w:val="22"/>
          <w:lang w:val="en-US"/>
        </w:rPr>
        <w:t xml:space="preserve"> (or at least swiftly resolved)</w:t>
      </w:r>
      <w:r w:rsidR="00EF6927" w:rsidRPr="007033A3">
        <w:rPr>
          <w:rFonts w:ascii="Arial" w:hAnsi="Arial" w:cs="Arial"/>
          <w:sz w:val="22"/>
          <w:szCs w:val="22"/>
          <w:lang w:val="en-US"/>
        </w:rPr>
        <w:t xml:space="preserve">? The answer is </w:t>
      </w:r>
      <w:r w:rsidR="00EF6927" w:rsidRPr="007033A3">
        <w:rPr>
          <w:rFonts w:ascii="Arial" w:hAnsi="Arial" w:cs="Arial"/>
          <w:i/>
          <w:iCs/>
          <w:sz w:val="22"/>
          <w:szCs w:val="22"/>
          <w:lang w:val="en-US"/>
        </w:rPr>
        <w:t>possibly</w:t>
      </w:r>
      <w:r w:rsidR="00EF6927" w:rsidRPr="007033A3">
        <w:rPr>
          <w:rFonts w:ascii="Arial" w:hAnsi="Arial" w:cs="Arial"/>
          <w:sz w:val="22"/>
          <w:szCs w:val="22"/>
          <w:lang w:val="en-US"/>
        </w:rPr>
        <w:t xml:space="preserve"> yes, and for the following reasons:</w:t>
      </w:r>
    </w:p>
    <w:p w14:paraId="52241A6E" w14:textId="77760B59" w:rsidR="00EF6927" w:rsidRPr="007033A3" w:rsidRDefault="00EF6927" w:rsidP="007033A3">
      <w:pPr>
        <w:pStyle w:val="PargrafodaLista"/>
        <w:tabs>
          <w:tab w:val="left" w:pos="1134"/>
        </w:tabs>
        <w:ind w:left="0"/>
        <w:jc w:val="both"/>
        <w:rPr>
          <w:rFonts w:ascii="Arial" w:hAnsi="Arial" w:cs="Arial"/>
          <w:sz w:val="22"/>
          <w:szCs w:val="22"/>
          <w:lang w:val="en-US"/>
        </w:rPr>
      </w:pPr>
    </w:p>
    <w:p w14:paraId="069E53F7" w14:textId="2AAB59F1" w:rsidR="00EF6927" w:rsidRPr="007033A3" w:rsidRDefault="00996FAA" w:rsidP="000519CE">
      <w:pPr>
        <w:pStyle w:val="PargrafodaLista"/>
        <w:numPr>
          <w:ilvl w:val="0"/>
          <w:numId w:val="28"/>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u w:val="single"/>
          <w:lang w:val="en-US"/>
        </w:rPr>
        <w:t>Preemptive measures</w:t>
      </w:r>
      <w:r w:rsidRPr="007033A3">
        <w:rPr>
          <w:rFonts w:ascii="Arial" w:hAnsi="Arial" w:cs="Arial"/>
          <w:sz w:val="22"/>
          <w:szCs w:val="22"/>
          <w:lang w:val="en-US"/>
        </w:rPr>
        <w:t xml:space="preserve">. </w:t>
      </w:r>
      <w:r w:rsidR="009620E0" w:rsidRPr="007033A3">
        <w:rPr>
          <w:rFonts w:ascii="Arial" w:hAnsi="Arial" w:cs="Arial"/>
          <w:sz w:val="22"/>
          <w:szCs w:val="22"/>
          <w:lang w:val="en-US"/>
        </w:rPr>
        <w:t xml:space="preserve">It is very clear that one of Flow Management Group’s main issues is the </w:t>
      </w:r>
      <w:r w:rsidR="009620E0" w:rsidRPr="007033A3">
        <w:rPr>
          <w:rFonts w:ascii="Arial" w:hAnsi="Arial" w:cs="Arial"/>
          <w:i/>
          <w:iCs/>
          <w:sz w:val="22"/>
          <w:szCs w:val="22"/>
          <w:lang w:val="en-US"/>
        </w:rPr>
        <w:t>quality</w:t>
      </w:r>
      <w:r w:rsidR="009620E0" w:rsidRPr="007033A3">
        <w:rPr>
          <w:rFonts w:ascii="Arial" w:hAnsi="Arial" w:cs="Arial"/>
          <w:sz w:val="22"/>
          <w:szCs w:val="22"/>
          <w:lang w:val="en-US"/>
        </w:rPr>
        <w:t xml:space="preserve"> of information that is provided to its management. The investment in a better accounting system, as well as more robust audit and internal controls, could have provided managers with better information regarding the group’s financials. Access to up-to-date </w:t>
      </w:r>
      <w:r w:rsidR="002E4EEE" w:rsidRPr="007033A3">
        <w:rPr>
          <w:rFonts w:ascii="Arial" w:hAnsi="Arial" w:cs="Arial"/>
          <w:sz w:val="22"/>
          <w:szCs w:val="22"/>
          <w:lang w:val="en-US"/>
        </w:rPr>
        <w:t xml:space="preserve">and reliable </w:t>
      </w:r>
      <w:r w:rsidR="009620E0" w:rsidRPr="007033A3">
        <w:rPr>
          <w:rFonts w:ascii="Arial" w:hAnsi="Arial" w:cs="Arial"/>
          <w:sz w:val="22"/>
          <w:szCs w:val="22"/>
          <w:lang w:val="en-US"/>
        </w:rPr>
        <w:t>info</w:t>
      </w:r>
      <w:r w:rsidR="002E4EEE" w:rsidRPr="007033A3">
        <w:rPr>
          <w:rFonts w:ascii="Arial" w:hAnsi="Arial" w:cs="Arial"/>
          <w:sz w:val="22"/>
          <w:szCs w:val="22"/>
          <w:lang w:val="en-US"/>
        </w:rPr>
        <w:t>r</w:t>
      </w:r>
      <w:r w:rsidR="009620E0" w:rsidRPr="007033A3">
        <w:rPr>
          <w:rFonts w:ascii="Arial" w:hAnsi="Arial" w:cs="Arial"/>
          <w:sz w:val="22"/>
          <w:szCs w:val="22"/>
          <w:lang w:val="en-US"/>
        </w:rPr>
        <w:t>mation in real</w:t>
      </w:r>
      <w:r w:rsidR="00BC7A6B" w:rsidRPr="007033A3">
        <w:rPr>
          <w:rFonts w:ascii="Arial" w:hAnsi="Arial" w:cs="Arial"/>
          <w:sz w:val="22"/>
          <w:szCs w:val="22"/>
          <w:lang w:val="en-US"/>
        </w:rPr>
        <w:t>-</w:t>
      </w:r>
      <w:r w:rsidR="009620E0" w:rsidRPr="007033A3">
        <w:rPr>
          <w:rFonts w:ascii="Arial" w:hAnsi="Arial" w:cs="Arial"/>
          <w:sz w:val="22"/>
          <w:szCs w:val="22"/>
          <w:lang w:val="en-US"/>
        </w:rPr>
        <w:t xml:space="preserve">time </w:t>
      </w:r>
      <w:r w:rsidR="002E4EEE" w:rsidRPr="007033A3">
        <w:rPr>
          <w:rFonts w:ascii="Arial" w:hAnsi="Arial" w:cs="Arial"/>
          <w:sz w:val="22"/>
          <w:szCs w:val="22"/>
          <w:lang w:val="en-US"/>
        </w:rPr>
        <w:t>could have allowed managers to take swift actions to address any solvency issues, divest in non-core businesses, downsize, among other measures.</w:t>
      </w:r>
    </w:p>
    <w:p w14:paraId="458EF5F5" w14:textId="6D942FD9" w:rsidR="00EF6927" w:rsidRPr="007033A3" w:rsidRDefault="00EF6927" w:rsidP="000519CE">
      <w:pPr>
        <w:pStyle w:val="PargrafodaLista"/>
        <w:tabs>
          <w:tab w:val="left" w:pos="1134"/>
          <w:tab w:val="left" w:pos="1701"/>
        </w:tabs>
        <w:ind w:left="567"/>
        <w:jc w:val="both"/>
        <w:rPr>
          <w:rFonts w:ascii="Arial" w:hAnsi="Arial" w:cs="Arial"/>
          <w:sz w:val="22"/>
          <w:szCs w:val="22"/>
          <w:lang w:val="en-US"/>
        </w:rPr>
      </w:pPr>
    </w:p>
    <w:p w14:paraId="4126B999" w14:textId="22C2DF2A" w:rsidR="00B74D98" w:rsidRPr="007033A3" w:rsidRDefault="002E4EEE" w:rsidP="000519CE">
      <w:pPr>
        <w:pStyle w:val="PargrafodaLista"/>
        <w:tabs>
          <w:tab w:val="left" w:pos="1134"/>
          <w:tab w:val="left" w:pos="1701"/>
        </w:tabs>
        <w:ind w:left="567"/>
        <w:jc w:val="both"/>
        <w:rPr>
          <w:rFonts w:ascii="Arial" w:hAnsi="Arial" w:cs="Arial"/>
          <w:sz w:val="22"/>
          <w:szCs w:val="22"/>
          <w:lang w:val="en-US"/>
        </w:rPr>
      </w:pPr>
      <w:r w:rsidRPr="007033A3">
        <w:rPr>
          <w:rFonts w:ascii="Arial" w:hAnsi="Arial" w:cs="Arial"/>
          <w:sz w:val="22"/>
          <w:szCs w:val="22"/>
          <w:lang w:val="en-US"/>
        </w:rPr>
        <w:t xml:space="preserve">The </w:t>
      </w:r>
      <w:r w:rsidRPr="007033A3">
        <w:rPr>
          <w:rFonts w:ascii="Arial" w:hAnsi="Arial" w:cs="Arial"/>
          <w:i/>
          <w:iCs/>
          <w:sz w:val="22"/>
          <w:szCs w:val="22"/>
          <w:lang w:val="en-US"/>
        </w:rPr>
        <w:t xml:space="preserve">quality </w:t>
      </w:r>
      <w:r w:rsidRPr="007033A3">
        <w:rPr>
          <w:rFonts w:ascii="Arial" w:hAnsi="Arial" w:cs="Arial"/>
          <w:sz w:val="22"/>
          <w:szCs w:val="22"/>
          <w:lang w:val="en-US"/>
        </w:rPr>
        <w:t>of management also seemed to be a problem in the present case, possibly due to unskilled and unspecialized managers appointed by the Johnson Family, one of the indirect shareholders</w:t>
      </w:r>
      <w:r w:rsidR="00B74D98" w:rsidRPr="007033A3">
        <w:rPr>
          <w:rFonts w:ascii="Arial" w:hAnsi="Arial" w:cs="Arial"/>
          <w:sz w:val="22"/>
          <w:szCs w:val="22"/>
          <w:lang w:val="en-US"/>
        </w:rPr>
        <w:t xml:space="preserve">. Management training (or even the replacement of managers) to better understand the business and process the financial information may have allowed them to quickly </w:t>
      </w:r>
      <w:r w:rsidR="00AC4B05" w:rsidRPr="007033A3">
        <w:rPr>
          <w:rFonts w:ascii="Arial" w:hAnsi="Arial" w:cs="Arial"/>
          <w:sz w:val="22"/>
          <w:szCs w:val="22"/>
          <w:lang w:val="en-US"/>
        </w:rPr>
        <w:t>pinpoint</w:t>
      </w:r>
      <w:r w:rsidR="00B74D98" w:rsidRPr="007033A3">
        <w:rPr>
          <w:rFonts w:ascii="Arial" w:hAnsi="Arial" w:cs="Arial"/>
          <w:sz w:val="22"/>
          <w:szCs w:val="22"/>
          <w:lang w:val="en-US"/>
        </w:rPr>
        <w:t xml:space="preserve"> the issues with the business and promptly remedy them. It could also have prevented the grave error in the cost-price calculation, with periodical checks on the numbers that could have identified the formula error in the spreadsheet very early on. </w:t>
      </w:r>
    </w:p>
    <w:p w14:paraId="05AAF9A7" w14:textId="77777777" w:rsidR="00B74D98" w:rsidRPr="007033A3" w:rsidRDefault="00B74D98" w:rsidP="000519CE">
      <w:pPr>
        <w:pStyle w:val="PargrafodaLista"/>
        <w:tabs>
          <w:tab w:val="left" w:pos="1134"/>
        </w:tabs>
        <w:ind w:left="567"/>
        <w:rPr>
          <w:rFonts w:ascii="Arial" w:hAnsi="Arial" w:cs="Arial"/>
          <w:sz w:val="22"/>
          <w:szCs w:val="22"/>
          <w:lang w:val="en-US"/>
        </w:rPr>
      </w:pPr>
    </w:p>
    <w:p w14:paraId="16517434" w14:textId="05A133CA" w:rsidR="000614B3" w:rsidRPr="007033A3" w:rsidRDefault="00996FAA" w:rsidP="000519CE">
      <w:pPr>
        <w:pStyle w:val="PargrafodaLista"/>
        <w:numPr>
          <w:ilvl w:val="0"/>
          <w:numId w:val="28"/>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u w:val="single"/>
          <w:lang w:val="en-US"/>
        </w:rPr>
        <w:t>Restructuring measures</w:t>
      </w:r>
      <w:r w:rsidRPr="007033A3">
        <w:rPr>
          <w:rFonts w:ascii="Arial" w:hAnsi="Arial" w:cs="Arial"/>
          <w:sz w:val="22"/>
          <w:szCs w:val="22"/>
          <w:lang w:val="en-US"/>
        </w:rPr>
        <w:t>.</w:t>
      </w:r>
      <w:r w:rsidR="00BC7A6B" w:rsidRPr="007033A3">
        <w:rPr>
          <w:rFonts w:ascii="Arial" w:hAnsi="Arial" w:cs="Arial"/>
          <w:sz w:val="22"/>
          <w:szCs w:val="22"/>
          <w:lang w:val="en-US"/>
        </w:rPr>
        <w:t xml:space="preserve"> Once the signs of financial distress were identified by the Flow Management Group and the Group of Banks was made aware of the group’s situation, management could have quickly reacted and implemented certain measures, such as (a) the replacement of the CFO and the adoption of more strict financial controls, aimed at improving the quality of information, (b) establishing a direct line of communication with the Group of Banks to provide reasonable and reliable information in real-time, to </w:t>
      </w:r>
      <w:r w:rsidR="00177B1D" w:rsidRPr="007033A3">
        <w:rPr>
          <w:rFonts w:ascii="Arial" w:hAnsi="Arial" w:cs="Arial"/>
          <w:sz w:val="22"/>
          <w:szCs w:val="22"/>
          <w:lang w:val="en-US"/>
        </w:rPr>
        <w:t xml:space="preserve">minimize informational asymmetries and </w:t>
      </w:r>
      <w:r w:rsidR="00BC7A6B" w:rsidRPr="007033A3">
        <w:rPr>
          <w:rFonts w:ascii="Arial" w:hAnsi="Arial" w:cs="Arial"/>
          <w:sz w:val="22"/>
          <w:szCs w:val="22"/>
          <w:lang w:val="en-US"/>
        </w:rPr>
        <w:t>aid in the negotiations for a workout agreement,</w:t>
      </w:r>
      <w:r w:rsidR="00347A69">
        <w:rPr>
          <w:rStyle w:val="Refdenotaderodap"/>
          <w:rFonts w:ascii="Arial" w:hAnsi="Arial" w:cs="Arial"/>
          <w:sz w:val="22"/>
          <w:szCs w:val="22"/>
          <w:lang w:val="en-US"/>
        </w:rPr>
        <w:footnoteReference w:id="12"/>
      </w:r>
      <w:r w:rsidR="00BC7A6B" w:rsidRPr="007033A3">
        <w:rPr>
          <w:rFonts w:ascii="Arial" w:hAnsi="Arial" w:cs="Arial"/>
          <w:sz w:val="22"/>
          <w:szCs w:val="22"/>
          <w:lang w:val="en-US"/>
        </w:rPr>
        <w:t xml:space="preserve"> (c) t</w:t>
      </w:r>
      <w:r w:rsidRPr="007033A3">
        <w:rPr>
          <w:rFonts w:ascii="Arial" w:hAnsi="Arial" w:cs="Arial"/>
          <w:sz w:val="22"/>
          <w:szCs w:val="22"/>
          <w:lang w:val="en-US"/>
        </w:rPr>
        <w:t>he appointment of a CRO in November-December 2013 (instead of May-June 2014) might have helped in gaining the Group of Banks’ confidence in the top management’s goal of effectively turning the group around</w:t>
      </w:r>
      <w:r w:rsidR="00177B1D" w:rsidRPr="007033A3">
        <w:rPr>
          <w:rFonts w:ascii="Arial" w:hAnsi="Arial" w:cs="Arial"/>
          <w:sz w:val="22"/>
          <w:szCs w:val="22"/>
          <w:lang w:val="en-US"/>
        </w:rPr>
        <w:t>, (d) the controlling shareholder engaging in a more active role and injecting new money into the business to address the solvency issues early on, and (e) reaching a standstill agreement in the beginning of negotiations</w:t>
      </w:r>
      <w:r w:rsidR="000614B3" w:rsidRPr="007033A3">
        <w:rPr>
          <w:rFonts w:ascii="Arial" w:hAnsi="Arial" w:cs="Arial"/>
          <w:sz w:val="22"/>
          <w:szCs w:val="22"/>
          <w:lang w:val="en-US"/>
        </w:rPr>
        <w:t xml:space="preserve"> and the quick proposal of deep-cutting restructuring measures, with a clearly defined schedule to implement such measures</w:t>
      </w:r>
      <w:r w:rsidRPr="007033A3">
        <w:rPr>
          <w:rFonts w:ascii="Arial" w:hAnsi="Arial" w:cs="Arial"/>
          <w:sz w:val="22"/>
          <w:szCs w:val="22"/>
          <w:lang w:val="en-US"/>
        </w:rPr>
        <w:t>.</w:t>
      </w:r>
    </w:p>
    <w:p w14:paraId="5FC1EA7A" w14:textId="77777777" w:rsidR="00EF6927" w:rsidRPr="007033A3" w:rsidRDefault="00EF6927" w:rsidP="000519CE">
      <w:pPr>
        <w:pStyle w:val="PargrafodaLista"/>
        <w:tabs>
          <w:tab w:val="left" w:pos="1134"/>
        </w:tabs>
        <w:ind w:left="567"/>
        <w:jc w:val="both"/>
        <w:rPr>
          <w:rFonts w:ascii="Arial" w:hAnsi="Arial" w:cs="Arial"/>
          <w:sz w:val="22"/>
          <w:szCs w:val="22"/>
          <w:lang w:val="en-US"/>
        </w:rPr>
      </w:pPr>
    </w:p>
    <w:p w14:paraId="3D91C134" w14:textId="1FEF2831" w:rsidR="00EF6927" w:rsidRPr="007033A3" w:rsidRDefault="007605C8"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lastRenderedPageBreak/>
        <w:t>These actions</w:t>
      </w:r>
      <w:r w:rsidRPr="007033A3">
        <w:rPr>
          <w:rFonts w:ascii="Arial" w:hAnsi="Arial" w:cs="Arial"/>
          <w:sz w:val="22"/>
          <w:szCs w:val="22"/>
          <w:lang w:val="en-US"/>
        </w:rPr>
        <w:t xml:space="preserve"> </w:t>
      </w:r>
      <w:r w:rsidRPr="007033A3">
        <w:rPr>
          <w:rFonts w:ascii="Arial" w:hAnsi="Arial" w:cs="Arial"/>
          <w:sz w:val="22"/>
          <w:szCs w:val="22"/>
          <w:lang w:val="en-US"/>
        </w:rPr>
        <w:t>might have reduced the lengthy period of negotiations until a workout agreement was finally reached by the parties and possibly allowed a quicker turnaround of the business.</w:t>
      </w:r>
      <w:r w:rsidRPr="007033A3">
        <w:rPr>
          <w:rFonts w:ascii="Arial" w:hAnsi="Arial" w:cs="Arial"/>
          <w:sz w:val="22"/>
          <w:szCs w:val="22"/>
          <w:lang w:val="en-US"/>
        </w:rPr>
        <w:t xml:space="preserve"> </w:t>
      </w:r>
      <w:r w:rsidR="00B3592C">
        <w:rPr>
          <w:rFonts w:ascii="Arial" w:hAnsi="Arial" w:cs="Arial"/>
          <w:sz w:val="22"/>
          <w:szCs w:val="22"/>
          <w:lang w:val="en-US"/>
        </w:rPr>
        <w:t xml:space="preserve">And according to Jan </w:t>
      </w:r>
      <w:proofErr w:type="spellStart"/>
      <w:r w:rsidR="00B3592C">
        <w:rPr>
          <w:rFonts w:ascii="Arial" w:hAnsi="Arial" w:cs="Arial"/>
          <w:sz w:val="22"/>
          <w:szCs w:val="22"/>
          <w:lang w:val="en-US"/>
        </w:rPr>
        <w:t>Adriaanse</w:t>
      </w:r>
      <w:proofErr w:type="spellEnd"/>
      <w:r w:rsidR="00B3592C">
        <w:rPr>
          <w:rFonts w:ascii="Arial" w:hAnsi="Arial" w:cs="Arial"/>
          <w:sz w:val="22"/>
          <w:szCs w:val="22"/>
          <w:lang w:val="en-US"/>
        </w:rPr>
        <w:t xml:space="preserve"> and Hans </w:t>
      </w:r>
      <w:proofErr w:type="spellStart"/>
      <w:r w:rsidR="00B3592C">
        <w:rPr>
          <w:rFonts w:ascii="Arial" w:hAnsi="Arial" w:cs="Arial"/>
          <w:sz w:val="22"/>
          <w:szCs w:val="22"/>
          <w:lang w:val="en-US"/>
        </w:rPr>
        <w:t>Kuijl</w:t>
      </w:r>
      <w:proofErr w:type="spellEnd"/>
      <w:r w:rsidR="00B3592C">
        <w:rPr>
          <w:rFonts w:ascii="Arial" w:hAnsi="Arial" w:cs="Arial"/>
          <w:sz w:val="22"/>
          <w:szCs w:val="22"/>
          <w:lang w:val="en-US"/>
        </w:rPr>
        <w:t>, “</w:t>
      </w:r>
      <w:r w:rsidR="00B3592C" w:rsidRPr="00B3592C">
        <w:rPr>
          <w:rFonts w:ascii="Arial" w:hAnsi="Arial" w:cs="Arial"/>
          <w:i/>
          <w:iCs/>
          <w:sz w:val="22"/>
          <w:szCs w:val="22"/>
          <w:lang w:val="en-US"/>
        </w:rPr>
        <w:t>informal reorganizations are especially successful when the company is able to reorganize its business operations quickly and adequately and, thereby, to restore profitability</w:t>
      </w:r>
      <w:r w:rsidR="00B3592C">
        <w:rPr>
          <w:rFonts w:ascii="Arial" w:hAnsi="Arial" w:cs="Arial"/>
          <w:sz w:val="22"/>
          <w:szCs w:val="22"/>
          <w:lang w:val="en-US"/>
        </w:rPr>
        <w:t>”.</w:t>
      </w:r>
      <w:r w:rsidR="00B3592C">
        <w:rPr>
          <w:rStyle w:val="Refdenotaderodap"/>
          <w:rFonts w:ascii="Arial" w:hAnsi="Arial" w:cs="Arial"/>
          <w:sz w:val="22"/>
          <w:szCs w:val="22"/>
          <w:lang w:val="en-US"/>
        </w:rPr>
        <w:footnoteReference w:id="13"/>
      </w:r>
    </w:p>
    <w:p w14:paraId="20A7D5D2" w14:textId="77777777" w:rsidR="00812F3F" w:rsidRPr="007033A3" w:rsidRDefault="00812F3F" w:rsidP="007033A3">
      <w:pPr>
        <w:pStyle w:val="PargrafodaLista"/>
        <w:tabs>
          <w:tab w:val="left" w:pos="1134"/>
        </w:tabs>
        <w:ind w:left="0"/>
        <w:jc w:val="both"/>
        <w:rPr>
          <w:rFonts w:ascii="Arial" w:hAnsi="Arial" w:cs="Arial"/>
          <w:sz w:val="22"/>
          <w:szCs w:val="22"/>
          <w:lang w:val="en-US"/>
        </w:rPr>
      </w:pPr>
    </w:p>
    <w:p w14:paraId="4B125F8B" w14:textId="77777777" w:rsidR="00CE0499" w:rsidRPr="007033A3" w:rsidRDefault="00CE0499"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mc:AlternateContent>
          <mc:Choice Requires="wps">
            <w:drawing>
              <wp:anchor distT="0" distB="0" distL="114300" distR="114300" simplePos="0" relativeHeight="251663360" behindDoc="0" locked="0" layoutInCell="1" allowOverlap="1" wp14:anchorId="56594B96" wp14:editId="1E05B593">
                <wp:simplePos x="0" y="0"/>
                <wp:positionH relativeFrom="column">
                  <wp:posOffset>-5695</wp:posOffset>
                </wp:positionH>
                <wp:positionV relativeFrom="paragraph">
                  <wp:posOffset>39945</wp:posOffset>
                </wp:positionV>
                <wp:extent cx="5820697" cy="619432"/>
                <wp:effectExtent l="0" t="0" r="8890" b="15875"/>
                <wp:wrapNone/>
                <wp:docPr id="2" name="Text Box 3"/>
                <wp:cNvGraphicFramePr/>
                <a:graphic xmlns:a="http://schemas.openxmlformats.org/drawingml/2006/main">
                  <a:graphicData uri="http://schemas.microsoft.com/office/word/2010/wordprocessingShape">
                    <wps:wsp>
                      <wps:cNvSpPr txBox="1"/>
                      <wps:spPr>
                        <a:xfrm>
                          <a:off x="0" y="0"/>
                          <a:ext cx="5820697" cy="619432"/>
                        </a:xfrm>
                        <a:prstGeom prst="rect">
                          <a:avLst/>
                        </a:prstGeom>
                        <a:solidFill>
                          <a:schemeClr val="lt1"/>
                        </a:solidFill>
                        <a:ln w="6350">
                          <a:solidFill>
                            <a:prstClr val="black"/>
                          </a:solidFill>
                        </a:ln>
                      </wps:spPr>
                      <wps:txbx>
                        <w:txbxContent>
                          <w:p w14:paraId="32B7FF1A" w14:textId="3DC7486F"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What are in general advantages and disadvantages of an out-of-court restructuring (workout) as compared to a formal bankruptcy procedure? More specific, what are the advantages versus disadvantages in your country?</w:t>
                            </w:r>
                          </w:p>
                          <w:p w14:paraId="57C244E9" w14:textId="77777777" w:rsidR="00CE0499" w:rsidRPr="00CE0499" w:rsidRDefault="00CE0499" w:rsidP="00CE049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4B96" id="_x0000_s1028" type="#_x0000_t202" style="position:absolute;margin-left:-.45pt;margin-top:3.15pt;width:458.3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" fillcolor="white [3201]" strokeweight=".5pt">
                <v:textbox>
                  <w:txbxContent>
                    <w:p w14:paraId="32B7FF1A" w14:textId="3DC7486F"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What are in general advantages and disadvantages of an out-of-court restructuring (workout) as compared to a formal bankruptcy procedure? More specific, what are the advantages versus disadvantages in your country?</w:t>
                      </w:r>
                    </w:p>
                    <w:p w14:paraId="57C244E9" w14:textId="77777777" w:rsidR="00CE0499" w:rsidRPr="00CE0499" w:rsidRDefault="00CE0499" w:rsidP="00CE0499">
                      <w:pPr>
                        <w:rPr>
                          <w:lang w:val="en-US"/>
                        </w:rPr>
                      </w:pPr>
                    </w:p>
                  </w:txbxContent>
                </v:textbox>
              </v:shape>
            </w:pict>
          </mc:Fallback>
        </mc:AlternateContent>
      </w:r>
    </w:p>
    <w:p w14:paraId="1AE822A7" w14:textId="77777777" w:rsidR="00CE0499" w:rsidRPr="007033A3" w:rsidRDefault="00CE0499" w:rsidP="007033A3">
      <w:pPr>
        <w:pStyle w:val="PargrafodaLista"/>
        <w:snapToGrid w:val="0"/>
        <w:spacing w:after="120"/>
        <w:ind w:left="0"/>
        <w:contextualSpacing w:val="0"/>
        <w:rPr>
          <w:rFonts w:ascii="Arial" w:hAnsi="Arial" w:cs="Arial"/>
          <w:smallCaps/>
          <w:sz w:val="22"/>
          <w:szCs w:val="22"/>
          <w:lang w:val="en-US"/>
        </w:rPr>
      </w:pPr>
    </w:p>
    <w:p w14:paraId="56861B43" w14:textId="77777777" w:rsidR="00CE0499" w:rsidRPr="007033A3" w:rsidRDefault="00CE0499" w:rsidP="007033A3">
      <w:pPr>
        <w:tabs>
          <w:tab w:val="left" w:pos="1134"/>
        </w:tabs>
        <w:snapToGrid w:val="0"/>
        <w:spacing w:after="120"/>
        <w:rPr>
          <w:rFonts w:ascii="Arial" w:hAnsi="Arial" w:cs="Arial"/>
          <w:sz w:val="22"/>
          <w:szCs w:val="22"/>
          <w:lang w:val="en-US"/>
        </w:rPr>
      </w:pPr>
    </w:p>
    <w:p w14:paraId="51B636C0" w14:textId="77777777" w:rsidR="001D26B2" w:rsidRPr="007033A3" w:rsidRDefault="001D26B2" w:rsidP="007033A3">
      <w:pPr>
        <w:tabs>
          <w:tab w:val="left" w:pos="1134"/>
        </w:tabs>
        <w:jc w:val="both"/>
        <w:rPr>
          <w:rFonts w:ascii="Arial" w:hAnsi="Arial" w:cs="Arial"/>
          <w:sz w:val="22"/>
          <w:szCs w:val="22"/>
          <w:lang w:val="en-US"/>
        </w:rPr>
      </w:pPr>
    </w:p>
    <w:p w14:paraId="6EB5FA89" w14:textId="68419D1E" w:rsidR="00CE0499" w:rsidRPr="007033A3" w:rsidRDefault="00CD31FC"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According to Jan </w:t>
      </w:r>
      <w:proofErr w:type="spellStart"/>
      <w:r w:rsidRPr="007033A3">
        <w:rPr>
          <w:rFonts w:ascii="Arial" w:hAnsi="Arial" w:cs="Arial"/>
          <w:sz w:val="22"/>
          <w:szCs w:val="22"/>
          <w:lang w:val="en-US"/>
        </w:rPr>
        <w:t>Adriaanse</w:t>
      </w:r>
      <w:proofErr w:type="spellEnd"/>
      <w:r w:rsidRPr="007033A3">
        <w:rPr>
          <w:rFonts w:ascii="Arial" w:hAnsi="Arial" w:cs="Arial"/>
          <w:sz w:val="22"/>
          <w:szCs w:val="22"/>
          <w:lang w:val="en-US"/>
        </w:rPr>
        <w:t xml:space="preserve"> and Hans </w:t>
      </w:r>
      <w:proofErr w:type="spellStart"/>
      <w:r w:rsidRPr="007033A3">
        <w:rPr>
          <w:rFonts w:ascii="Arial" w:hAnsi="Arial" w:cs="Arial"/>
          <w:sz w:val="22"/>
          <w:szCs w:val="22"/>
          <w:lang w:val="en-US"/>
        </w:rPr>
        <w:t>Kuijl</w:t>
      </w:r>
      <w:proofErr w:type="spellEnd"/>
      <w:r w:rsidRPr="007033A3">
        <w:rPr>
          <w:rFonts w:ascii="Arial" w:hAnsi="Arial" w:cs="Arial"/>
          <w:sz w:val="22"/>
          <w:szCs w:val="22"/>
          <w:lang w:val="en-US"/>
        </w:rPr>
        <w:t>,</w:t>
      </w:r>
      <w:r w:rsidR="00056DA6" w:rsidRPr="007033A3">
        <w:rPr>
          <w:rFonts w:ascii="Arial" w:hAnsi="Arial" w:cs="Arial"/>
          <w:sz w:val="22"/>
          <w:szCs w:val="22"/>
          <w:lang w:val="en-US"/>
        </w:rPr>
        <w:t xml:space="preserve"> important advantages of informal reorganizations “</w:t>
      </w:r>
      <w:r w:rsidR="00056DA6" w:rsidRPr="007033A3">
        <w:rPr>
          <w:rFonts w:ascii="Arial" w:hAnsi="Arial" w:cs="Arial"/>
          <w:i/>
          <w:iCs/>
          <w:sz w:val="22"/>
          <w:szCs w:val="22"/>
          <w:lang w:val="en-US"/>
        </w:rPr>
        <w:t>can be summed up with the terms flexibility, silence, and control</w:t>
      </w:r>
      <w:r w:rsidR="00056DA6" w:rsidRPr="007033A3">
        <w:rPr>
          <w:rFonts w:ascii="Arial" w:hAnsi="Arial" w:cs="Arial"/>
          <w:sz w:val="22"/>
          <w:szCs w:val="22"/>
          <w:lang w:val="en-US"/>
        </w:rPr>
        <w:t>”.</w:t>
      </w:r>
      <w:r w:rsidR="00056DA6" w:rsidRPr="007033A3">
        <w:rPr>
          <w:rStyle w:val="Refdenotaderodap"/>
          <w:rFonts w:ascii="Arial" w:hAnsi="Arial" w:cs="Arial"/>
          <w:sz w:val="22"/>
          <w:szCs w:val="22"/>
          <w:lang w:val="en-US"/>
        </w:rPr>
        <w:footnoteReference w:id="14"/>
      </w:r>
      <w:r w:rsidRPr="007033A3">
        <w:rPr>
          <w:rFonts w:ascii="Arial" w:hAnsi="Arial" w:cs="Arial"/>
          <w:sz w:val="22"/>
          <w:szCs w:val="22"/>
          <w:lang w:val="en-US"/>
        </w:rPr>
        <w:t xml:space="preserve"> </w:t>
      </w:r>
      <w:r w:rsidR="00056DA6" w:rsidRPr="007033A3">
        <w:rPr>
          <w:rFonts w:ascii="Arial" w:hAnsi="Arial" w:cs="Arial"/>
          <w:sz w:val="22"/>
          <w:szCs w:val="22"/>
          <w:lang w:val="en-US"/>
        </w:rPr>
        <w:t>Notwithstanding, o</w:t>
      </w:r>
      <w:r w:rsidR="0074142B" w:rsidRPr="007033A3">
        <w:rPr>
          <w:rFonts w:ascii="Arial" w:hAnsi="Arial" w:cs="Arial"/>
          <w:sz w:val="22"/>
          <w:szCs w:val="22"/>
          <w:lang w:val="en-US"/>
        </w:rPr>
        <w:t>ut-of-court restructurings and formal bankruptcy proceedings both have its advantages and disadvantages, and usually one’s advantage is the other’s disadvantage, as can be seen in the table below:</w:t>
      </w:r>
    </w:p>
    <w:p w14:paraId="3D4BEE92" w14:textId="6CFFB1FC" w:rsidR="0074142B" w:rsidRPr="007033A3" w:rsidRDefault="0074142B" w:rsidP="007033A3">
      <w:pPr>
        <w:pStyle w:val="PargrafodaLista"/>
        <w:tabs>
          <w:tab w:val="left" w:pos="1134"/>
        </w:tabs>
        <w:ind w:left="0"/>
        <w:jc w:val="center"/>
        <w:rPr>
          <w:rFonts w:ascii="Arial" w:hAnsi="Arial" w:cs="Arial"/>
          <w:smallCaps/>
          <w:sz w:val="22"/>
          <w:szCs w:val="22"/>
          <w:lang w:val="en-US"/>
        </w:rPr>
      </w:pPr>
    </w:p>
    <w:tbl>
      <w:tblPr>
        <w:tblStyle w:val="Tabelacomgrade"/>
        <w:tblW w:w="0" w:type="auto"/>
        <w:tblLook w:val="04A0" w:firstRow="1" w:lastRow="0" w:firstColumn="1" w:lastColumn="0" w:noHBand="0" w:noVBand="1"/>
      </w:tblPr>
      <w:tblGrid>
        <w:gridCol w:w="4534"/>
        <w:gridCol w:w="4520"/>
      </w:tblGrid>
      <w:tr w:rsidR="0074142B" w:rsidRPr="007033A3" w14:paraId="7667FC82" w14:textId="77777777" w:rsidTr="0074142B">
        <w:tc>
          <w:tcPr>
            <w:tcW w:w="4865" w:type="dxa"/>
            <w:shd w:val="clear" w:color="auto" w:fill="7F7F7F" w:themeFill="text1" w:themeFillTint="80"/>
          </w:tcPr>
          <w:p w14:paraId="74B63033" w14:textId="566440AE" w:rsidR="0074142B" w:rsidRPr="007033A3" w:rsidRDefault="0074142B" w:rsidP="007033A3">
            <w:pPr>
              <w:pStyle w:val="PargrafodaLista"/>
              <w:tabs>
                <w:tab w:val="left" w:pos="1750"/>
              </w:tabs>
              <w:ind w:left="0"/>
              <w:jc w:val="center"/>
              <w:rPr>
                <w:rFonts w:ascii="Arial" w:hAnsi="Arial" w:cs="Arial"/>
                <w:smallCaps/>
                <w:color w:val="FFFFFF" w:themeColor="background1"/>
                <w:sz w:val="22"/>
                <w:szCs w:val="22"/>
                <w:lang w:val="en-US"/>
              </w:rPr>
            </w:pPr>
            <w:r w:rsidRPr="007033A3">
              <w:rPr>
                <w:rFonts w:ascii="Arial" w:hAnsi="Arial" w:cs="Arial"/>
                <w:smallCaps/>
                <w:color w:val="FFFFFF" w:themeColor="background1"/>
                <w:sz w:val="22"/>
                <w:szCs w:val="22"/>
                <w:lang w:val="en-US"/>
              </w:rPr>
              <w:t>Out-of-court restructuring</w:t>
            </w:r>
          </w:p>
        </w:tc>
        <w:tc>
          <w:tcPr>
            <w:tcW w:w="4865" w:type="dxa"/>
            <w:shd w:val="clear" w:color="auto" w:fill="7F7F7F" w:themeFill="text1" w:themeFillTint="80"/>
          </w:tcPr>
          <w:p w14:paraId="0C641435" w14:textId="33967301" w:rsidR="0074142B" w:rsidRPr="007033A3" w:rsidRDefault="0074142B" w:rsidP="007033A3">
            <w:pPr>
              <w:pStyle w:val="PargrafodaLista"/>
              <w:tabs>
                <w:tab w:val="left" w:pos="1134"/>
              </w:tabs>
              <w:ind w:left="0"/>
              <w:jc w:val="center"/>
              <w:rPr>
                <w:rFonts w:ascii="Arial" w:hAnsi="Arial" w:cs="Arial"/>
                <w:smallCaps/>
                <w:color w:val="FFFFFF" w:themeColor="background1"/>
                <w:sz w:val="22"/>
                <w:szCs w:val="22"/>
                <w:lang w:val="en-US"/>
              </w:rPr>
            </w:pPr>
            <w:r w:rsidRPr="007033A3">
              <w:rPr>
                <w:rFonts w:ascii="Arial" w:hAnsi="Arial" w:cs="Arial"/>
                <w:smallCaps/>
                <w:color w:val="FFFFFF" w:themeColor="background1"/>
                <w:sz w:val="22"/>
                <w:szCs w:val="22"/>
                <w:lang w:val="en-US"/>
              </w:rPr>
              <w:t>Formal insolvency proceeding</w:t>
            </w:r>
          </w:p>
        </w:tc>
      </w:tr>
      <w:tr w:rsidR="0074142B" w:rsidRPr="007033A3" w14:paraId="50E05486" w14:textId="77777777" w:rsidTr="0074142B">
        <w:tc>
          <w:tcPr>
            <w:tcW w:w="4865" w:type="dxa"/>
          </w:tcPr>
          <w:p w14:paraId="1B518845" w14:textId="3F124C4F" w:rsidR="0074142B" w:rsidRPr="007033A3" w:rsidRDefault="0074142B"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Advantage</w:t>
            </w:r>
            <w:r w:rsidRPr="007033A3">
              <w:rPr>
                <w:rFonts w:ascii="Arial" w:hAnsi="Arial" w:cs="Arial"/>
                <w:sz w:val="22"/>
                <w:szCs w:val="22"/>
                <w:lang w:val="en-US"/>
              </w:rPr>
              <w:t>: A</w:t>
            </w:r>
            <w:r w:rsidR="00003319" w:rsidRPr="007033A3">
              <w:rPr>
                <w:rFonts w:ascii="Arial" w:hAnsi="Arial" w:cs="Arial"/>
                <w:sz w:val="22"/>
                <w:szCs w:val="22"/>
                <w:lang w:val="en-US"/>
              </w:rPr>
              <w:t>n</w:t>
            </w:r>
            <w:r w:rsidRPr="007033A3">
              <w:rPr>
                <w:rFonts w:ascii="Arial" w:hAnsi="Arial" w:cs="Arial"/>
                <w:sz w:val="22"/>
                <w:szCs w:val="22"/>
                <w:lang w:val="en-US"/>
              </w:rPr>
              <w:t xml:space="preserve"> </w:t>
            </w:r>
            <w:r w:rsidR="00003319" w:rsidRPr="007033A3">
              <w:rPr>
                <w:rFonts w:ascii="Arial" w:hAnsi="Arial" w:cs="Arial"/>
                <w:sz w:val="22"/>
                <w:szCs w:val="22"/>
                <w:lang w:val="en-US"/>
              </w:rPr>
              <w:t xml:space="preserve">informal reorganization </w:t>
            </w:r>
            <w:r w:rsidRPr="007033A3">
              <w:rPr>
                <w:rFonts w:ascii="Arial" w:hAnsi="Arial" w:cs="Arial"/>
                <w:sz w:val="22"/>
                <w:szCs w:val="22"/>
                <w:lang w:val="en-US"/>
              </w:rPr>
              <w:t>allows the debtor and creditors more flexibility when drafting restructuring proposals and reaching an agreement.</w:t>
            </w:r>
            <w:r w:rsidR="00444728" w:rsidRPr="007033A3">
              <w:rPr>
                <w:rFonts w:ascii="Arial" w:hAnsi="Arial" w:cs="Arial"/>
                <w:sz w:val="22"/>
                <w:szCs w:val="22"/>
                <w:lang w:val="en-US"/>
              </w:rPr>
              <w:t xml:space="preserve"> According to Jan </w:t>
            </w:r>
            <w:proofErr w:type="spellStart"/>
            <w:r w:rsidR="00444728" w:rsidRPr="007033A3">
              <w:rPr>
                <w:rFonts w:ascii="Arial" w:hAnsi="Arial" w:cs="Arial"/>
                <w:sz w:val="22"/>
                <w:szCs w:val="22"/>
                <w:lang w:val="en-US"/>
              </w:rPr>
              <w:t>Adriaanse</w:t>
            </w:r>
            <w:proofErr w:type="spellEnd"/>
            <w:r w:rsidR="00444728" w:rsidRPr="007033A3">
              <w:rPr>
                <w:rFonts w:ascii="Arial" w:hAnsi="Arial" w:cs="Arial"/>
                <w:sz w:val="22"/>
                <w:szCs w:val="22"/>
                <w:lang w:val="en-US"/>
              </w:rPr>
              <w:t xml:space="preserve"> and Hans </w:t>
            </w:r>
            <w:proofErr w:type="spellStart"/>
            <w:r w:rsidR="00444728" w:rsidRPr="007033A3">
              <w:rPr>
                <w:rFonts w:ascii="Arial" w:hAnsi="Arial" w:cs="Arial"/>
                <w:sz w:val="22"/>
                <w:szCs w:val="22"/>
                <w:lang w:val="en-US"/>
              </w:rPr>
              <w:t>Kuijl</w:t>
            </w:r>
            <w:proofErr w:type="spellEnd"/>
            <w:r w:rsidR="00444728" w:rsidRPr="007033A3">
              <w:rPr>
                <w:rFonts w:ascii="Arial" w:hAnsi="Arial" w:cs="Arial"/>
                <w:sz w:val="22"/>
                <w:szCs w:val="22"/>
                <w:lang w:val="en-US"/>
              </w:rPr>
              <w:t>, the informal “</w:t>
            </w:r>
            <w:r w:rsidR="00444728" w:rsidRPr="007033A3">
              <w:rPr>
                <w:rFonts w:ascii="Arial" w:hAnsi="Arial" w:cs="Arial"/>
                <w:i/>
                <w:iCs/>
                <w:sz w:val="22"/>
                <w:szCs w:val="22"/>
                <w:lang w:val="en-US"/>
              </w:rPr>
              <w:t>reorganization process is less rigid than is the case with(in) formal procedures</w:t>
            </w:r>
            <w:r w:rsidR="00444728" w:rsidRPr="007033A3">
              <w:rPr>
                <w:rFonts w:ascii="Arial" w:hAnsi="Arial" w:cs="Arial"/>
                <w:sz w:val="22"/>
                <w:szCs w:val="22"/>
                <w:lang w:val="en-US"/>
              </w:rPr>
              <w:t>”.</w:t>
            </w:r>
            <w:r w:rsidR="00444728" w:rsidRPr="007033A3">
              <w:rPr>
                <w:rStyle w:val="Refdenotaderodap"/>
                <w:rFonts w:ascii="Arial" w:hAnsi="Arial" w:cs="Arial"/>
                <w:sz w:val="22"/>
                <w:szCs w:val="22"/>
                <w:lang w:val="en-US"/>
              </w:rPr>
              <w:footnoteReference w:id="15"/>
            </w:r>
            <w:r w:rsidRPr="007033A3">
              <w:rPr>
                <w:rFonts w:ascii="Arial" w:hAnsi="Arial" w:cs="Arial"/>
                <w:sz w:val="22"/>
                <w:szCs w:val="22"/>
                <w:lang w:val="en-US"/>
              </w:rPr>
              <w:t xml:space="preserve"> The parties have a greater array of possible solutions at their disposal, which would better suit their needs, without (</w:t>
            </w:r>
            <w:proofErr w:type="spellStart"/>
            <w:r w:rsidRPr="007033A3">
              <w:rPr>
                <w:rFonts w:ascii="Arial" w:hAnsi="Arial" w:cs="Arial"/>
                <w:sz w:val="22"/>
                <w:szCs w:val="22"/>
                <w:lang w:val="en-US"/>
              </w:rPr>
              <w:t>i</w:t>
            </w:r>
            <w:proofErr w:type="spellEnd"/>
            <w:r w:rsidRPr="007033A3">
              <w:rPr>
                <w:rFonts w:ascii="Arial" w:hAnsi="Arial" w:cs="Arial"/>
                <w:sz w:val="22"/>
                <w:szCs w:val="22"/>
                <w:lang w:val="en-US"/>
              </w:rPr>
              <w:t>) being bound to the legal constraints of bankruptcy law and the legal framework, (ii) court supervision, (iii) legal deadlines, and (iv) overall legal formalities.</w:t>
            </w:r>
          </w:p>
          <w:p w14:paraId="7CE35395" w14:textId="77777777" w:rsidR="00F7798A" w:rsidRPr="007033A3" w:rsidRDefault="00F7798A" w:rsidP="007033A3">
            <w:pPr>
              <w:pStyle w:val="PargrafodaLista"/>
              <w:tabs>
                <w:tab w:val="left" w:pos="1134"/>
              </w:tabs>
              <w:ind w:left="0"/>
              <w:jc w:val="both"/>
              <w:rPr>
                <w:rFonts w:ascii="Arial" w:hAnsi="Arial" w:cs="Arial"/>
                <w:sz w:val="22"/>
                <w:szCs w:val="22"/>
                <w:lang w:val="en-US"/>
              </w:rPr>
            </w:pPr>
          </w:p>
          <w:p w14:paraId="5AEDBEC7" w14:textId="6C55977B" w:rsidR="008D635C" w:rsidRPr="007033A3" w:rsidRDefault="00F7798A"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 xml:space="preserve">An unsuccessful negotiation for a workout agreement does not end in the </w:t>
            </w:r>
            <w:r w:rsidR="002E0F18" w:rsidRPr="007033A3">
              <w:rPr>
                <w:rFonts w:ascii="Arial" w:hAnsi="Arial" w:cs="Arial"/>
                <w:sz w:val="22"/>
                <w:szCs w:val="22"/>
                <w:lang w:val="en-US"/>
              </w:rPr>
              <w:t>debtor’s liquidation</w:t>
            </w:r>
            <w:r w:rsidR="00967DF1" w:rsidRPr="007033A3">
              <w:rPr>
                <w:rFonts w:ascii="Arial" w:hAnsi="Arial" w:cs="Arial"/>
                <w:sz w:val="22"/>
                <w:szCs w:val="22"/>
                <w:lang w:val="en-US"/>
              </w:rPr>
              <w:t>.</w:t>
            </w:r>
            <w:r w:rsidR="002E0F18" w:rsidRPr="007033A3">
              <w:rPr>
                <w:rFonts w:ascii="Arial" w:hAnsi="Arial" w:cs="Arial"/>
                <w:sz w:val="22"/>
                <w:szCs w:val="22"/>
                <w:lang w:val="en-US"/>
              </w:rPr>
              <w:t xml:space="preserve"> </w:t>
            </w:r>
            <w:r w:rsidR="00967DF1" w:rsidRPr="007033A3">
              <w:rPr>
                <w:rFonts w:ascii="Arial" w:hAnsi="Arial" w:cs="Arial"/>
                <w:sz w:val="22"/>
                <w:szCs w:val="22"/>
                <w:lang w:val="en-US"/>
              </w:rPr>
              <w:t>R</w:t>
            </w:r>
            <w:r w:rsidR="002E0F18" w:rsidRPr="007033A3">
              <w:rPr>
                <w:rFonts w:ascii="Arial" w:hAnsi="Arial" w:cs="Arial"/>
                <w:sz w:val="22"/>
                <w:szCs w:val="22"/>
                <w:lang w:val="en-US"/>
              </w:rPr>
              <w:t>ather</w:t>
            </w:r>
            <w:r w:rsidR="00967DF1" w:rsidRPr="007033A3">
              <w:rPr>
                <w:rFonts w:ascii="Arial" w:hAnsi="Arial" w:cs="Arial"/>
                <w:sz w:val="22"/>
                <w:szCs w:val="22"/>
                <w:lang w:val="en-US"/>
              </w:rPr>
              <w:t>,</w:t>
            </w:r>
            <w:r w:rsidR="002E0F18" w:rsidRPr="007033A3">
              <w:rPr>
                <w:rFonts w:ascii="Arial" w:hAnsi="Arial" w:cs="Arial"/>
                <w:sz w:val="22"/>
                <w:szCs w:val="22"/>
                <w:lang w:val="en-US"/>
              </w:rPr>
              <w:t xml:space="preserve"> there is still the option of a formal insolvency proceeding to try to restructure the company’s indebtedness.</w:t>
            </w:r>
          </w:p>
          <w:p w14:paraId="2AA14458" w14:textId="07C7A4C9" w:rsidR="001D1215" w:rsidRPr="007033A3" w:rsidRDefault="001D1215" w:rsidP="007033A3">
            <w:pPr>
              <w:pStyle w:val="PargrafodaLista"/>
              <w:tabs>
                <w:tab w:val="left" w:pos="1134"/>
              </w:tabs>
              <w:ind w:left="0"/>
              <w:jc w:val="both"/>
              <w:rPr>
                <w:rFonts w:ascii="Arial" w:hAnsi="Arial" w:cs="Arial"/>
                <w:sz w:val="22"/>
                <w:szCs w:val="22"/>
                <w:lang w:val="en-US"/>
              </w:rPr>
            </w:pPr>
          </w:p>
          <w:p w14:paraId="11096B12" w14:textId="2B89CA1F" w:rsidR="001D1215" w:rsidRPr="007033A3" w:rsidRDefault="001D1215"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Although Brazil does not have a specific legal framework regulating out-of-court restructurings, article 167 of the Brazilian Bankruptcy Law (Federal Law No. 11,101/2005) allows workout agreements outside of formal insolvency proceedings.</w:t>
            </w:r>
          </w:p>
          <w:p w14:paraId="0E4EFD77" w14:textId="1A6A3D41" w:rsidR="008D635C" w:rsidRPr="007033A3" w:rsidRDefault="008D635C" w:rsidP="007033A3">
            <w:pPr>
              <w:pStyle w:val="PargrafodaLista"/>
              <w:tabs>
                <w:tab w:val="left" w:pos="1134"/>
              </w:tabs>
              <w:ind w:left="0"/>
              <w:jc w:val="both"/>
              <w:rPr>
                <w:rFonts w:ascii="Arial" w:hAnsi="Arial" w:cs="Arial"/>
                <w:sz w:val="22"/>
                <w:szCs w:val="22"/>
                <w:lang w:val="en-US"/>
              </w:rPr>
            </w:pPr>
          </w:p>
        </w:tc>
        <w:tc>
          <w:tcPr>
            <w:tcW w:w="4865" w:type="dxa"/>
          </w:tcPr>
          <w:p w14:paraId="26812883" w14:textId="77777777" w:rsidR="002E0F18" w:rsidRPr="007033A3" w:rsidRDefault="0074142B"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Disadvantage</w:t>
            </w:r>
            <w:r w:rsidRPr="007033A3">
              <w:rPr>
                <w:rFonts w:ascii="Arial" w:hAnsi="Arial" w:cs="Arial"/>
                <w:sz w:val="22"/>
                <w:szCs w:val="22"/>
                <w:lang w:val="en-US"/>
              </w:rPr>
              <w:t>:</w:t>
            </w:r>
            <w:r w:rsidR="00C76752" w:rsidRPr="007033A3">
              <w:rPr>
                <w:rFonts w:ascii="Arial" w:hAnsi="Arial" w:cs="Arial"/>
                <w:sz w:val="22"/>
                <w:szCs w:val="22"/>
                <w:lang w:val="en-US"/>
              </w:rPr>
              <w:t xml:space="preserve"> A formal insolvency proceeding (reorganization, </w:t>
            </w:r>
            <w:r w:rsidR="00F7798A" w:rsidRPr="007033A3">
              <w:rPr>
                <w:rFonts w:ascii="Arial" w:hAnsi="Arial" w:cs="Arial"/>
                <w:sz w:val="22"/>
                <w:szCs w:val="22"/>
                <w:lang w:val="en-US"/>
              </w:rPr>
              <w:t>restructuring</w:t>
            </w:r>
            <w:r w:rsidR="00C76752" w:rsidRPr="007033A3">
              <w:rPr>
                <w:rFonts w:ascii="Arial" w:hAnsi="Arial" w:cs="Arial"/>
                <w:sz w:val="22"/>
                <w:szCs w:val="22"/>
                <w:lang w:val="en-US"/>
              </w:rPr>
              <w:t>, or any other</w:t>
            </w:r>
            <w:r w:rsidR="00F7798A" w:rsidRPr="007033A3">
              <w:rPr>
                <w:rFonts w:ascii="Arial" w:hAnsi="Arial" w:cs="Arial"/>
                <w:sz w:val="22"/>
                <w:szCs w:val="22"/>
                <w:lang w:val="en-US"/>
              </w:rPr>
              <w:t xml:space="preserve"> in which a viable company is restructured</w:t>
            </w:r>
            <w:r w:rsidR="00C76752" w:rsidRPr="007033A3">
              <w:rPr>
                <w:rFonts w:ascii="Arial" w:hAnsi="Arial" w:cs="Arial"/>
                <w:sz w:val="22"/>
                <w:szCs w:val="22"/>
                <w:lang w:val="en-US"/>
              </w:rPr>
              <w:t>) is (</w:t>
            </w:r>
            <w:proofErr w:type="spellStart"/>
            <w:r w:rsidR="00C76752" w:rsidRPr="007033A3">
              <w:rPr>
                <w:rFonts w:ascii="Arial" w:hAnsi="Arial" w:cs="Arial"/>
                <w:sz w:val="22"/>
                <w:szCs w:val="22"/>
                <w:lang w:val="en-US"/>
              </w:rPr>
              <w:t>i</w:t>
            </w:r>
            <w:proofErr w:type="spellEnd"/>
            <w:r w:rsidR="00C76752" w:rsidRPr="007033A3">
              <w:rPr>
                <w:rFonts w:ascii="Arial" w:hAnsi="Arial" w:cs="Arial"/>
                <w:sz w:val="22"/>
                <w:szCs w:val="22"/>
                <w:lang w:val="en-US"/>
              </w:rPr>
              <w:t>) bound by the legal constraints and legal framework provided by the insolvency legislation, (ii) overseen by the court and a court appointed examiner (or trustee), (iii) subject to legal deadlines, (iv) subject to an order of priority of claims (e.g., absolute priority rule), (v) subject to a specific set of proceedings, among other formalities.</w:t>
            </w:r>
            <w:r w:rsidR="00F7798A" w:rsidRPr="007033A3">
              <w:rPr>
                <w:rFonts w:ascii="Arial" w:hAnsi="Arial" w:cs="Arial"/>
                <w:sz w:val="22"/>
                <w:szCs w:val="22"/>
                <w:lang w:val="en-US"/>
              </w:rPr>
              <w:t xml:space="preserve"> </w:t>
            </w:r>
          </w:p>
          <w:p w14:paraId="3184B987" w14:textId="77777777" w:rsidR="002E0F18" w:rsidRPr="007033A3" w:rsidRDefault="002E0F18" w:rsidP="007033A3">
            <w:pPr>
              <w:pStyle w:val="PargrafodaLista"/>
              <w:tabs>
                <w:tab w:val="left" w:pos="1134"/>
              </w:tabs>
              <w:ind w:left="0"/>
              <w:jc w:val="both"/>
              <w:rPr>
                <w:rFonts w:ascii="Arial" w:hAnsi="Arial" w:cs="Arial"/>
                <w:sz w:val="22"/>
                <w:szCs w:val="22"/>
                <w:lang w:val="en-US"/>
              </w:rPr>
            </w:pPr>
          </w:p>
          <w:p w14:paraId="078DCBB1" w14:textId="0E181855" w:rsidR="00F7798A" w:rsidRPr="007033A3" w:rsidRDefault="00F7798A"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And if the restructuring attempt is unsuccessful, the debtor may be declared bankrupt and subsequently liquidated.</w:t>
            </w:r>
          </w:p>
          <w:p w14:paraId="4D6A3012" w14:textId="7DC30F68" w:rsidR="00684BA2" w:rsidRPr="007033A3" w:rsidRDefault="00684BA2" w:rsidP="007033A3">
            <w:pPr>
              <w:pStyle w:val="PargrafodaLista"/>
              <w:tabs>
                <w:tab w:val="left" w:pos="1134"/>
              </w:tabs>
              <w:ind w:left="0"/>
              <w:jc w:val="both"/>
              <w:rPr>
                <w:rFonts w:ascii="Arial" w:hAnsi="Arial" w:cs="Arial"/>
                <w:sz w:val="22"/>
                <w:szCs w:val="22"/>
                <w:lang w:val="en-US"/>
              </w:rPr>
            </w:pPr>
          </w:p>
          <w:p w14:paraId="075E89FD" w14:textId="406797A4" w:rsidR="008D635C" w:rsidRPr="007033A3" w:rsidRDefault="00684BA2"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Specifically in Brazil, in a judicial reorganization proceeding (</w:t>
            </w:r>
            <w:proofErr w:type="spellStart"/>
            <w:r w:rsidRPr="007033A3">
              <w:rPr>
                <w:rFonts w:ascii="Arial" w:hAnsi="Arial" w:cs="Arial"/>
                <w:i/>
                <w:iCs/>
                <w:sz w:val="22"/>
                <w:szCs w:val="22"/>
                <w:lang w:val="en-US"/>
              </w:rPr>
              <w:t>recuperação</w:t>
            </w:r>
            <w:proofErr w:type="spellEnd"/>
            <w:r w:rsidRPr="007033A3">
              <w:rPr>
                <w:rFonts w:ascii="Arial" w:hAnsi="Arial" w:cs="Arial"/>
                <w:i/>
                <w:iCs/>
                <w:sz w:val="22"/>
                <w:szCs w:val="22"/>
                <w:lang w:val="en-US"/>
              </w:rPr>
              <w:t xml:space="preserve"> judicial</w:t>
            </w:r>
            <w:r w:rsidR="00635073">
              <w:rPr>
                <w:rFonts w:ascii="Arial" w:hAnsi="Arial" w:cs="Arial"/>
                <w:sz w:val="22"/>
                <w:szCs w:val="22"/>
                <w:lang w:val="en-US"/>
              </w:rPr>
              <w:t>, in Portuguese</w:t>
            </w:r>
            <w:r w:rsidRPr="007033A3">
              <w:rPr>
                <w:rFonts w:ascii="Arial" w:hAnsi="Arial" w:cs="Arial"/>
                <w:sz w:val="22"/>
                <w:szCs w:val="22"/>
                <w:lang w:val="en-US"/>
              </w:rPr>
              <w:t>), the Public Prosecutor’s Office is called to oversee and participate in the proceedings (and may even challenge court orders). A judicial administrator (</w:t>
            </w:r>
            <w:proofErr w:type="spellStart"/>
            <w:r w:rsidRPr="007033A3">
              <w:rPr>
                <w:rFonts w:ascii="Arial" w:hAnsi="Arial" w:cs="Arial"/>
                <w:i/>
                <w:iCs/>
                <w:sz w:val="22"/>
                <w:szCs w:val="22"/>
                <w:lang w:val="en-US"/>
              </w:rPr>
              <w:t>administrador</w:t>
            </w:r>
            <w:proofErr w:type="spellEnd"/>
            <w:r w:rsidRPr="007033A3">
              <w:rPr>
                <w:rFonts w:ascii="Arial" w:hAnsi="Arial" w:cs="Arial"/>
                <w:i/>
                <w:iCs/>
                <w:sz w:val="22"/>
                <w:szCs w:val="22"/>
                <w:lang w:val="en-US"/>
              </w:rPr>
              <w:t xml:space="preserve"> judicial</w:t>
            </w:r>
            <w:r w:rsidRPr="007033A3">
              <w:rPr>
                <w:rFonts w:ascii="Arial" w:hAnsi="Arial" w:cs="Arial"/>
                <w:sz w:val="22"/>
                <w:szCs w:val="22"/>
                <w:lang w:val="en-US"/>
              </w:rPr>
              <w:t>)</w:t>
            </w:r>
            <w:r w:rsidRPr="007033A3">
              <w:rPr>
                <w:rFonts w:ascii="Arial" w:hAnsi="Arial" w:cs="Arial"/>
                <w:i/>
                <w:iCs/>
                <w:sz w:val="22"/>
                <w:szCs w:val="22"/>
                <w:lang w:val="en-US"/>
              </w:rPr>
              <w:t xml:space="preserve"> </w:t>
            </w:r>
            <w:r w:rsidRPr="007033A3">
              <w:rPr>
                <w:rFonts w:ascii="Arial" w:hAnsi="Arial" w:cs="Arial"/>
                <w:sz w:val="22"/>
                <w:szCs w:val="22"/>
                <w:lang w:val="en-US"/>
              </w:rPr>
              <w:t>is also appointed to supervise the proceedings and aid the court by giving opinions on certain matters, although the debtor remains in possession.</w:t>
            </w:r>
          </w:p>
        </w:tc>
      </w:tr>
      <w:tr w:rsidR="003B2061" w:rsidRPr="007033A3" w14:paraId="10975C26" w14:textId="77777777" w:rsidTr="0074142B">
        <w:tc>
          <w:tcPr>
            <w:tcW w:w="4865" w:type="dxa"/>
            <w:shd w:val="clear" w:color="auto" w:fill="F2F2F2" w:themeFill="background1" w:themeFillShade="F2"/>
          </w:tcPr>
          <w:p w14:paraId="406396B7" w14:textId="77777777" w:rsidR="00725FB8" w:rsidRPr="007033A3" w:rsidRDefault="003B2061"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Disadvantage</w:t>
            </w:r>
            <w:r w:rsidRPr="007033A3">
              <w:rPr>
                <w:rFonts w:ascii="Arial" w:hAnsi="Arial" w:cs="Arial"/>
                <w:sz w:val="22"/>
                <w:szCs w:val="22"/>
                <w:lang w:val="en-US"/>
              </w:rPr>
              <w:t xml:space="preserve">: </w:t>
            </w:r>
            <w:r w:rsidR="00725FB8" w:rsidRPr="007033A3">
              <w:rPr>
                <w:rFonts w:ascii="Arial" w:hAnsi="Arial" w:cs="Arial"/>
                <w:sz w:val="22"/>
                <w:szCs w:val="22"/>
                <w:lang w:val="en-US"/>
              </w:rPr>
              <w:t xml:space="preserve">An out-of-court restructuring may be the way to go when there is a small, concentrated and homogenous group of </w:t>
            </w:r>
            <w:r w:rsidR="00725FB8" w:rsidRPr="007033A3">
              <w:rPr>
                <w:rFonts w:ascii="Arial" w:hAnsi="Arial" w:cs="Arial"/>
                <w:sz w:val="22"/>
                <w:szCs w:val="22"/>
                <w:lang w:val="en-US"/>
              </w:rPr>
              <w:lastRenderedPageBreak/>
              <w:t xml:space="preserve">relevant creditors (such as the Group of Banks in the Flow Management Group’s case), but it does not work as well with large numbers of creditors that are heterogeneous and spread across different jurisdictions. </w:t>
            </w:r>
          </w:p>
          <w:p w14:paraId="6E0AF21E" w14:textId="34F7608F" w:rsidR="00725FB8" w:rsidRPr="007033A3" w:rsidRDefault="00725FB8" w:rsidP="007033A3">
            <w:pPr>
              <w:pStyle w:val="PargrafodaLista"/>
              <w:tabs>
                <w:tab w:val="left" w:pos="1134"/>
              </w:tabs>
              <w:ind w:left="0"/>
              <w:jc w:val="both"/>
              <w:rPr>
                <w:rFonts w:ascii="Arial" w:hAnsi="Arial" w:cs="Arial"/>
                <w:sz w:val="22"/>
                <w:szCs w:val="22"/>
                <w:lang w:val="en-US"/>
              </w:rPr>
            </w:pPr>
          </w:p>
          <w:p w14:paraId="5F0C23DF" w14:textId="12B4E02E" w:rsidR="003B2061" w:rsidRPr="007033A3" w:rsidRDefault="00725FB8"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Notwithstanding, even with a small group of creditors that are privy to the negotiations, if just one of the creditors does not agree with the terms and conditions of the workout agreement (a holdout), negotiations may break down and all may be for naught. A workout agreement cannot bind a dissenting creditor.</w:t>
            </w:r>
          </w:p>
        </w:tc>
        <w:tc>
          <w:tcPr>
            <w:tcW w:w="4865" w:type="dxa"/>
            <w:shd w:val="clear" w:color="auto" w:fill="F2F2F2" w:themeFill="background1" w:themeFillShade="F2"/>
          </w:tcPr>
          <w:p w14:paraId="5D962C1A" w14:textId="082E1B2A" w:rsidR="00725FB8" w:rsidRPr="007033A3" w:rsidRDefault="003B2061"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lastRenderedPageBreak/>
              <w:t>Advantage</w:t>
            </w:r>
            <w:r w:rsidRPr="007033A3">
              <w:rPr>
                <w:rFonts w:ascii="Arial" w:hAnsi="Arial" w:cs="Arial"/>
                <w:sz w:val="22"/>
                <w:szCs w:val="22"/>
                <w:lang w:val="en-US"/>
              </w:rPr>
              <w:t xml:space="preserve">: </w:t>
            </w:r>
            <w:r w:rsidR="00725FB8" w:rsidRPr="007033A3">
              <w:rPr>
                <w:rFonts w:ascii="Arial" w:hAnsi="Arial" w:cs="Arial"/>
                <w:sz w:val="22"/>
                <w:szCs w:val="22"/>
                <w:lang w:val="en-US"/>
              </w:rPr>
              <w:t xml:space="preserve">Unlike a workout, a formal restructuring proceeding is designed to work with any number of creditors, whatever the </w:t>
            </w:r>
            <w:r w:rsidR="00725FB8" w:rsidRPr="007033A3">
              <w:rPr>
                <w:rFonts w:ascii="Arial" w:hAnsi="Arial" w:cs="Arial"/>
                <w:sz w:val="22"/>
                <w:szCs w:val="22"/>
                <w:lang w:val="en-US"/>
              </w:rPr>
              <w:lastRenderedPageBreak/>
              <w:t xml:space="preserve">nature of their claims and wherever they may be situated. </w:t>
            </w:r>
          </w:p>
          <w:p w14:paraId="1C9D9228" w14:textId="5741EB00" w:rsidR="00725FB8" w:rsidRPr="007033A3" w:rsidRDefault="00725FB8" w:rsidP="007033A3">
            <w:pPr>
              <w:pStyle w:val="PargrafodaLista"/>
              <w:tabs>
                <w:tab w:val="left" w:pos="1134"/>
              </w:tabs>
              <w:ind w:left="0"/>
              <w:jc w:val="both"/>
              <w:rPr>
                <w:rFonts w:ascii="Arial" w:hAnsi="Arial" w:cs="Arial"/>
                <w:sz w:val="22"/>
                <w:szCs w:val="22"/>
                <w:highlight w:val="yellow"/>
                <w:lang w:val="en-US"/>
              </w:rPr>
            </w:pPr>
          </w:p>
          <w:p w14:paraId="6EDDEE9C" w14:textId="77777777" w:rsidR="003B2061" w:rsidRPr="007033A3" w:rsidRDefault="00725FB8"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In case one creditor or a group of creditors do not agree with the restructuring proposal, insolvency laws usually have ways to bind the dissenting creditors (according to the majority rule) and even cramdown classes of claims that have not fulfilled the requisite quorum for approving the restructuring proposal.</w:t>
            </w:r>
          </w:p>
          <w:p w14:paraId="52003F20" w14:textId="77777777" w:rsidR="00725FB8" w:rsidRPr="007033A3" w:rsidRDefault="00725FB8" w:rsidP="007033A3">
            <w:pPr>
              <w:pStyle w:val="PargrafodaLista"/>
              <w:tabs>
                <w:tab w:val="left" w:pos="1134"/>
              </w:tabs>
              <w:ind w:left="0"/>
              <w:jc w:val="both"/>
              <w:rPr>
                <w:rFonts w:ascii="Arial" w:hAnsi="Arial" w:cs="Arial"/>
                <w:sz w:val="22"/>
                <w:szCs w:val="22"/>
                <w:lang w:val="en-US"/>
              </w:rPr>
            </w:pPr>
          </w:p>
          <w:p w14:paraId="6FC9177F" w14:textId="79D3C333" w:rsidR="00725FB8" w:rsidRPr="007033A3" w:rsidRDefault="00725FB8"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 xml:space="preserve">Brazil is one such jurisdiction, wherein the majority rule applies and, if need be, a cross-class cramdown may be </w:t>
            </w:r>
            <w:r w:rsidR="007B612D" w:rsidRPr="007033A3">
              <w:rPr>
                <w:rFonts w:ascii="Arial" w:hAnsi="Arial" w:cs="Arial"/>
                <w:sz w:val="22"/>
                <w:szCs w:val="22"/>
                <w:lang w:val="en-US"/>
              </w:rPr>
              <w:t>used by the court to confirm the judicial reorganization plan, as long as the legal requirements are met.</w:t>
            </w:r>
          </w:p>
        </w:tc>
      </w:tr>
      <w:tr w:rsidR="0074142B" w:rsidRPr="007033A3" w14:paraId="10DF8A06" w14:textId="77777777" w:rsidTr="003B2061">
        <w:tc>
          <w:tcPr>
            <w:tcW w:w="4865" w:type="dxa"/>
            <w:shd w:val="clear" w:color="auto" w:fill="FFFFFF" w:themeFill="background1"/>
          </w:tcPr>
          <w:p w14:paraId="438519D1" w14:textId="6DE4FBEC" w:rsidR="002E0F18" w:rsidRPr="007033A3" w:rsidRDefault="00C76752"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lastRenderedPageBreak/>
              <w:t>Advantage</w:t>
            </w:r>
            <w:r w:rsidRPr="007033A3">
              <w:rPr>
                <w:rFonts w:ascii="Arial" w:hAnsi="Arial" w:cs="Arial"/>
                <w:sz w:val="22"/>
                <w:szCs w:val="22"/>
                <w:lang w:val="en-US"/>
              </w:rPr>
              <w:t>: A</w:t>
            </w:r>
            <w:r w:rsidR="00003319" w:rsidRPr="007033A3">
              <w:rPr>
                <w:rFonts w:ascii="Arial" w:hAnsi="Arial" w:cs="Arial"/>
                <w:sz w:val="22"/>
                <w:szCs w:val="22"/>
                <w:lang w:val="en-US"/>
              </w:rPr>
              <w:t>n informal reorganization</w:t>
            </w:r>
            <w:r w:rsidRPr="007033A3">
              <w:rPr>
                <w:rFonts w:ascii="Arial" w:hAnsi="Arial" w:cs="Arial"/>
                <w:sz w:val="22"/>
                <w:szCs w:val="22"/>
                <w:lang w:val="en-US"/>
              </w:rPr>
              <w:t xml:space="preserve"> </w:t>
            </w:r>
            <w:r w:rsidR="00F7798A" w:rsidRPr="007033A3">
              <w:rPr>
                <w:rFonts w:ascii="Arial" w:hAnsi="Arial" w:cs="Arial"/>
                <w:sz w:val="22"/>
                <w:szCs w:val="22"/>
                <w:lang w:val="en-US"/>
              </w:rPr>
              <w:t>causes</w:t>
            </w:r>
            <w:r w:rsidRPr="007033A3">
              <w:rPr>
                <w:rFonts w:ascii="Arial" w:hAnsi="Arial" w:cs="Arial"/>
                <w:sz w:val="22"/>
                <w:szCs w:val="22"/>
                <w:lang w:val="en-US"/>
              </w:rPr>
              <w:t xml:space="preserve"> less reputational damage on the debtor. Although the debtor’s financial distress </w:t>
            </w:r>
            <w:r w:rsidR="00F7798A" w:rsidRPr="007033A3">
              <w:rPr>
                <w:rFonts w:ascii="Arial" w:hAnsi="Arial" w:cs="Arial"/>
                <w:sz w:val="22"/>
                <w:szCs w:val="22"/>
                <w:lang w:val="en-US"/>
              </w:rPr>
              <w:t>will</w:t>
            </w:r>
            <w:r w:rsidRPr="007033A3">
              <w:rPr>
                <w:rFonts w:ascii="Arial" w:hAnsi="Arial" w:cs="Arial"/>
                <w:sz w:val="22"/>
                <w:szCs w:val="22"/>
                <w:lang w:val="en-US"/>
              </w:rPr>
              <w:t xml:space="preserve"> </w:t>
            </w:r>
            <w:r w:rsidR="00F7798A" w:rsidRPr="007033A3">
              <w:rPr>
                <w:rFonts w:ascii="Arial" w:hAnsi="Arial" w:cs="Arial"/>
                <w:sz w:val="22"/>
                <w:szCs w:val="22"/>
                <w:lang w:val="en-US"/>
              </w:rPr>
              <w:t xml:space="preserve">be </w:t>
            </w:r>
            <w:r w:rsidRPr="007033A3">
              <w:rPr>
                <w:rFonts w:ascii="Arial" w:hAnsi="Arial" w:cs="Arial"/>
                <w:sz w:val="22"/>
                <w:szCs w:val="22"/>
                <w:lang w:val="en-US"/>
              </w:rPr>
              <w:t xml:space="preserve">known by the relevant creditors that are invited to the negotiations, the parties </w:t>
            </w:r>
            <w:r w:rsidR="00F7798A" w:rsidRPr="007033A3">
              <w:rPr>
                <w:rFonts w:ascii="Arial" w:hAnsi="Arial" w:cs="Arial"/>
                <w:sz w:val="22"/>
                <w:szCs w:val="22"/>
                <w:lang w:val="en-US"/>
              </w:rPr>
              <w:t xml:space="preserve">often </w:t>
            </w:r>
            <w:r w:rsidRPr="007033A3">
              <w:rPr>
                <w:rFonts w:ascii="Arial" w:hAnsi="Arial" w:cs="Arial"/>
                <w:sz w:val="22"/>
                <w:szCs w:val="22"/>
                <w:lang w:val="en-US"/>
              </w:rPr>
              <w:t>sign a non-disclosure agreement.</w:t>
            </w:r>
            <w:r w:rsidR="00F7798A" w:rsidRPr="007033A3">
              <w:rPr>
                <w:rFonts w:ascii="Arial" w:hAnsi="Arial" w:cs="Arial"/>
                <w:sz w:val="22"/>
                <w:szCs w:val="22"/>
                <w:lang w:val="en-US"/>
              </w:rPr>
              <w:t xml:space="preserve"> </w:t>
            </w:r>
            <w:r w:rsidR="00BF5366" w:rsidRPr="007033A3">
              <w:rPr>
                <w:rFonts w:ascii="Arial" w:hAnsi="Arial" w:cs="Arial"/>
                <w:sz w:val="22"/>
                <w:szCs w:val="22"/>
                <w:lang w:val="en-US"/>
              </w:rPr>
              <w:t>“</w:t>
            </w:r>
            <w:r w:rsidR="00BF5366" w:rsidRPr="007033A3">
              <w:rPr>
                <w:rFonts w:ascii="Arial" w:hAnsi="Arial" w:cs="Arial"/>
                <w:i/>
                <w:iCs/>
                <w:sz w:val="22"/>
                <w:szCs w:val="22"/>
                <w:lang w:val="en-US"/>
              </w:rPr>
              <w:t xml:space="preserve">Furthermore, </w:t>
            </w:r>
            <w:r w:rsidR="00BF5366" w:rsidRPr="007033A3">
              <w:rPr>
                <w:rFonts w:ascii="Arial" w:hAnsi="Arial" w:cs="Arial"/>
                <w:i/>
                <w:iCs/>
                <w:sz w:val="22"/>
                <w:szCs w:val="22"/>
                <w:lang w:val="en-US"/>
              </w:rPr>
              <w:t>informal reorganizations take place in relative silence. That is to say, the procedure is not made public; this is opposed to formal reorganizations, which are public</w:t>
            </w:r>
            <w:r w:rsidR="00BF5366" w:rsidRPr="007033A3">
              <w:rPr>
                <w:rFonts w:ascii="Arial" w:hAnsi="Arial" w:cs="Arial"/>
                <w:i/>
                <w:iCs/>
                <w:sz w:val="22"/>
                <w:szCs w:val="22"/>
                <w:lang w:val="en-US"/>
              </w:rPr>
              <w:t>.”</w:t>
            </w:r>
            <w:r w:rsidR="00BF5366" w:rsidRPr="007033A3">
              <w:rPr>
                <w:rStyle w:val="Refdenotaderodap"/>
                <w:rFonts w:ascii="Arial" w:hAnsi="Arial" w:cs="Arial"/>
                <w:i/>
                <w:iCs/>
                <w:sz w:val="22"/>
                <w:szCs w:val="22"/>
                <w:lang w:val="en-US"/>
              </w:rPr>
              <w:footnoteReference w:id="16"/>
            </w:r>
          </w:p>
          <w:p w14:paraId="7793051A" w14:textId="77777777" w:rsidR="002E0F18" w:rsidRPr="007033A3" w:rsidRDefault="002E0F18" w:rsidP="007033A3">
            <w:pPr>
              <w:pStyle w:val="PargrafodaLista"/>
              <w:tabs>
                <w:tab w:val="left" w:pos="1134"/>
              </w:tabs>
              <w:ind w:left="0"/>
              <w:jc w:val="both"/>
              <w:rPr>
                <w:rFonts w:ascii="Arial" w:hAnsi="Arial" w:cs="Arial"/>
                <w:sz w:val="22"/>
                <w:szCs w:val="22"/>
                <w:lang w:val="en-US"/>
              </w:rPr>
            </w:pPr>
          </w:p>
          <w:p w14:paraId="53ED9198" w14:textId="0906D851" w:rsidR="008D635C" w:rsidRPr="007033A3" w:rsidRDefault="00F7798A"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The debtor’s stakeholders (consumers, suppliers, employees etc.) and even competitors may remain unaware of the debtor’s financial distress.</w:t>
            </w:r>
          </w:p>
          <w:p w14:paraId="66A55651" w14:textId="77777777" w:rsidR="00A20DE0" w:rsidRPr="007033A3" w:rsidRDefault="00A20DE0" w:rsidP="007033A3">
            <w:pPr>
              <w:pStyle w:val="PargrafodaLista"/>
              <w:tabs>
                <w:tab w:val="left" w:pos="1134"/>
              </w:tabs>
              <w:ind w:left="0"/>
              <w:jc w:val="both"/>
              <w:rPr>
                <w:rFonts w:ascii="Arial" w:hAnsi="Arial" w:cs="Arial"/>
                <w:sz w:val="22"/>
                <w:szCs w:val="22"/>
                <w:lang w:val="en-US"/>
              </w:rPr>
            </w:pPr>
          </w:p>
          <w:p w14:paraId="7F73FE6B" w14:textId="77777777" w:rsidR="008D635C" w:rsidRPr="007033A3" w:rsidRDefault="008D635C"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The debtor may continue to seek financing in the market</w:t>
            </w:r>
            <w:r w:rsidR="00D4410D" w:rsidRPr="007033A3">
              <w:rPr>
                <w:rFonts w:ascii="Arial" w:hAnsi="Arial" w:cs="Arial"/>
                <w:sz w:val="22"/>
                <w:szCs w:val="22"/>
                <w:lang w:val="en-US"/>
              </w:rPr>
              <w:t>, without the hurdles imposed by a formal insolvency proceeding – although a poor credit score due to the worsening financials might affect the terms and conditions of any loan agreement.</w:t>
            </w:r>
          </w:p>
          <w:p w14:paraId="1B632623" w14:textId="77777777" w:rsidR="00A20DE0" w:rsidRPr="007033A3" w:rsidRDefault="00A20DE0" w:rsidP="007033A3">
            <w:pPr>
              <w:pStyle w:val="PargrafodaLista"/>
              <w:tabs>
                <w:tab w:val="left" w:pos="1134"/>
              </w:tabs>
              <w:ind w:left="0"/>
              <w:jc w:val="both"/>
              <w:rPr>
                <w:rFonts w:ascii="Arial" w:hAnsi="Arial" w:cs="Arial"/>
                <w:sz w:val="22"/>
                <w:szCs w:val="22"/>
                <w:lang w:val="en-US"/>
              </w:rPr>
            </w:pPr>
          </w:p>
          <w:p w14:paraId="49177990" w14:textId="6E771D0B" w:rsidR="00A20DE0" w:rsidRPr="007033A3" w:rsidRDefault="00A20DE0"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Furthermore, the less people know of the restructuring talks, the lower the chances that enforcement proceedings or collection suits may be filed to start a race for the debtor’s assets.</w:t>
            </w:r>
            <w:r w:rsidR="00BF5366" w:rsidRPr="007033A3">
              <w:rPr>
                <w:rStyle w:val="Refdenotaderodap"/>
                <w:rFonts w:ascii="Arial" w:hAnsi="Arial" w:cs="Arial"/>
                <w:sz w:val="22"/>
                <w:szCs w:val="22"/>
                <w:lang w:val="en-US"/>
              </w:rPr>
              <w:footnoteReference w:id="17"/>
            </w:r>
          </w:p>
        </w:tc>
        <w:tc>
          <w:tcPr>
            <w:tcW w:w="4865" w:type="dxa"/>
            <w:shd w:val="clear" w:color="auto" w:fill="FFFFFF" w:themeFill="background1"/>
          </w:tcPr>
          <w:p w14:paraId="71644845" w14:textId="77777777" w:rsidR="00967DF1" w:rsidRPr="007033A3" w:rsidRDefault="00F7798A"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Disadvantage</w:t>
            </w:r>
            <w:r w:rsidRPr="007033A3">
              <w:rPr>
                <w:rFonts w:ascii="Arial" w:hAnsi="Arial" w:cs="Arial"/>
                <w:sz w:val="22"/>
                <w:szCs w:val="22"/>
                <w:lang w:val="en-US"/>
              </w:rPr>
              <w:t xml:space="preserve">: The filing for a formal insolvency proceeding usually sends shockwaves across the market in general and, specifically, the debtor’s stakeholders. </w:t>
            </w:r>
          </w:p>
          <w:p w14:paraId="30E1FD17" w14:textId="77777777" w:rsidR="00967DF1" w:rsidRPr="007033A3" w:rsidRDefault="00967DF1" w:rsidP="007033A3">
            <w:pPr>
              <w:pStyle w:val="PargrafodaLista"/>
              <w:tabs>
                <w:tab w:val="left" w:pos="1134"/>
              </w:tabs>
              <w:ind w:left="0"/>
              <w:jc w:val="both"/>
              <w:rPr>
                <w:rFonts w:ascii="Arial" w:hAnsi="Arial" w:cs="Arial"/>
                <w:sz w:val="22"/>
                <w:szCs w:val="22"/>
                <w:lang w:val="en-US"/>
              </w:rPr>
            </w:pPr>
          </w:p>
          <w:p w14:paraId="6C8A3050" w14:textId="2F35754E" w:rsidR="0074142B" w:rsidRPr="007033A3" w:rsidRDefault="00F7798A"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Consumers may become wary of the quality of goods and services and may flee to competitors (or may be outright poached by the competition). Suppliers may stop offering credit and may demand upfront payments for goods and services, or even take their business elsewhere.</w:t>
            </w:r>
          </w:p>
          <w:p w14:paraId="351BED4C" w14:textId="77777777" w:rsidR="008D635C" w:rsidRPr="007033A3" w:rsidRDefault="008D635C" w:rsidP="007033A3">
            <w:pPr>
              <w:pStyle w:val="PargrafodaLista"/>
              <w:tabs>
                <w:tab w:val="left" w:pos="1134"/>
              </w:tabs>
              <w:ind w:left="0"/>
              <w:jc w:val="both"/>
              <w:rPr>
                <w:rFonts w:ascii="Arial" w:hAnsi="Arial" w:cs="Arial"/>
                <w:sz w:val="22"/>
                <w:szCs w:val="22"/>
                <w:lang w:val="en-US"/>
              </w:rPr>
            </w:pPr>
          </w:p>
          <w:p w14:paraId="249F5DD5" w14:textId="0BB48BF4" w:rsidR="008D635C" w:rsidRPr="007033A3" w:rsidRDefault="008D635C"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Specifically in Brazil, due to Central Bank regulations, any lenders to debtors undergoing judicial reorganization must provision 100% of the balance owed, and any future loans also require 100% of the amount to be provisioned, which means that credit from regulated financial institutions dries up.</w:t>
            </w:r>
          </w:p>
        </w:tc>
      </w:tr>
      <w:tr w:rsidR="003B2061" w:rsidRPr="007033A3" w14:paraId="7B45E0CE" w14:textId="77777777" w:rsidTr="003B2061">
        <w:tc>
          <w:tcPr>
            <w:tcW w:w="4865" w:type="dxa"/>
            <w:shd w:val="clear" w:color="auto" w:fill="F2F2F2" w:themeFill="background1" w:themeFillShade="F2"/>
          </w:tcPr>
          <w:p w14:paraId="7671EC59" w14:textId="00286051" w:rsidR="003B2061" w:rsidRPr="007033A3" w:rsidRDefault="003B2061"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lastRenderedPageBreak/>
              <w:t>Disadvantage</w:t>
            </w:r>
            <w:r w:rsidRPr="007033A3">
              <w:rPr>
                <w:rFonts w:ascii="Arial" w:hAnsi="Arial" w:cs="Arial"/>
                <w:sz w:val="22"/>
                <w:szCs w:val="22"/>
                <w:lang w:val="en-US"/>
              </w:rPr>
              <w:t xml:space="preserve">: </w:t>
            </w:r>
            <w:r w:rsidR="0016582E" w:rsidRPr="007033A3">
              <w:rPr>
                <w:rFonts w:ascii="Arial" w:hAnsi="Arial" w:cs="Arial"/>
                <w:sz w:val="22"/>
                <w:szCs w:val="22"/>
                <w:lang w:val="en-US"/>
              </w:rPr>
              <w:t>The negotiations toward a</w:t>
            </w:r>
            <w:r w:rsidR="00003319" w:rsidRPr="007033A3">
              <w:rPr>
                <w:rFonts w:ascii="Arial" w:hAnsi="Arial" w:cs="Arial"/>
                <w:sz w:val="22"/>
                <w:szCs w:val="22"/>
                <w:lang w:val="en-US"/>
              </w:rPr>
              <w:t>n</w:t>
            </w:r>
            <w:r w:rsidR="0016582E" w:rsidRPr="007033A3">
              <w:rPr>
                <w:rFonts w:ascii="Arial" w:hAnsi="Arial" w:cs="Arial"/>
                <w:sz w:val="22"/>
                <w:szCs w:val="22"/>
                <w:lang w:val="en-US"/>
              </w:rPr>
              <w:t xml:space="preserve"> </w:t>
            </w:r>
            <w:r w:rsidR="00003319" w:rsidRPr="007033A3">
              <w:rPr>
                <w:rFonts w:ascii="Arial" w:hAnsi="Arial" w:cs="Arial"/>
                <w:sz w:val="22"/>
                <w:szCs w:val="22"/>
                <w:lang w:val="en-US"/>
              </w:rPr>
              <w:t xml:space="preserve">informal reorganization </w:t>
            </w:r>
            <w:r w:rsidR="00BA7C33" w:rsidRPr="007033A3">
              <w:rPr>
                <w:rFonts w:ascii="Arial" w:hAnsi="Arial" w:cs="Arial"/>
                <w:sz w:val="22"/>
                <w:szCs w:val="22"/>
                <w:lang w:val="en-US"/>
              </w:rPr>
              <w:t>may sometimes reach a standoff, by which certain creditors may not budge and accept the debtor’s restructuring proposal. To stop these creditors from accelerating their contracts and filing enforcement or collection suits, it is important for the negotiating parties to agree to a standstill for a specific period of time, during which the parties cannot enforce or collect their claims.</w:t>
            </w:r>
          </w:p>
          <w:p w14:paraId="07CF2A01" w14:textId="77777777" w:rsidR="00BA7C33" w:rsidRPr="007033A3" w:rsidRDefault="00BA7C33" w:rsidP="007033A3">
            <w:pPr>
              <w:pStyle w:val="PargrafodaLista"/>
              <w:tabs>
                <w:tab w:val="left" w:pos="1134"/>
              </w:tabs>
              <w:ind w:left="0"/>
              <w:jc w:val="both"/>
              <w:rPr>
                <w:rFonts w:ascii="Arial" w:hAnsi="Arial" w:cs="Arial"/>
                <w:sz w:val="22"/>
                <w:szCs w:val="22"/>
                <w:u w:val="single"/>
                <w:lang w:val="en-US"/>
              </w:rPr>
            </w:pPr>
          </w:p>
          <w:p w14:paraId="4052AC0C" w14:textId="66D34887" w:rsidR="00BA7C33" w:rsidRPr="007033A3" w:rsidRDefault="00BA7C33"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Without a standstill agreement, if negotiations break down, any of the participating creditors may race for the debtor’s assets to satisfy their claims.</w:t>
            </w:r>
          </w:p>
        </w:tc>
        <w:tc>
          <w:tcPr>
            <w:tcW w:w="4865" w:type="dxa"/>
            <w:shd w:val="clear" w:color="auto" w:fill="F2F2F2" w:themeFill="background1" w:themeFillShade="F2"/>
          </w:tcPr>
          <w:p w14:paraId="0A3BDAE7" w14:textId="5006923D" w:rsidR="003B2061" w:rsidRPr="007033A3" w:rsidRDefault="003B2061"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Advantage</w:t>
            </w:r>
            <w:r w:rsidRPr="007033A3">
              <w:rPr>
                <w:rFonts w:ascii="Arial" w:hAnsi="Arial" w:cs="Arial"/>
                <w:sz w:val="22"/>
                <w:szCs w:val="22"/>
                <w:lang w:val="en-US"/>
              </w:rPr>
              <w:t xml:space="preserve">: </w:t>
            </w:r>
            <w:r w:rsidR="00BA7C33" w:rsidRPr="007033A3">
              <w:rPr>
                <w:rFonts w:ascii="Arial" w:hAnsi="Arial" w:cs="Arial"/>
                <w:sz w:val="22"/>
                <w:szCs w:val="22"/>
                <w:lang w:val="en-US"/>
              </w:rPr>
              <w:t>A formal restructuring proceeding usually provides for a stay of proceedings, contingent upon a court order, or simply automatic from the moment the debtor files their petition.</w:t>
            </w:r>
          </w:p>
          <w:p w14:paraId="60342C02" w14:textId="77777777" w:rsidR="00BA7C33" w:rsidRPr="007033A3" w:rsidRDefault="00BA7C33" w:rsidP="007033A3">
            <w:pPr>
              <w:pStyle w:val="PargrafodaLista"/>
              <w:tabs>
                <w:tab w:val="left" w:pos="1134"/>
              </w:tabs>
              <w:ind w:left="0"/>
              <w:jc w:val="both"/>
              <w:rPr>
                <w:rFonts w:ascii="Arial" w:hAnsi="Arial" w:cs="Arial"/>
                <w:sz w:val="22"/>
                <w:szCs w:val="22"/>
                <w:u w:val="single"/>
                <w:lang w:val="en-US"/>
              </w:rPr>
            </w:pPr>
          </w:p>
          <w:p w14:paraId="4D071884" w14:textId="77777777" w:rsidR="00BA7C33" w:rsidRPr="007033A3" w:rsidRDefault="00BA7C33"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During the stay period, creditors are not allowed to initiate enforcement proceedings or file collection suits.</w:t>
            </w:r>
          </w:p>
          <w:p w14:paraId="6EE79EE3" w14:textId="77777777" w:rsidR="00BA7C33" w:rsidRPr="007033A3" w:rsidRDefault="00BA7C33" w:rsidP="007033A3">
            <w:pPr>
              <w:pStyle w:val="PargrafodaLista"/>
              <w:tabs>
                <w:tab w:val="left" w:pos="1134"/>
              </w:tabs>
              <w:ind w:left="0"/>
              <w:jc w:val="both"/>
              <w:rPr>
                <w:rFonts w:ascii="Arial" w:hAnsi="Arial" w:cs="Arial"/>
                <w:sz w:val="22"/>
                <w:szCs w:val="22"/>
                <w:lang w:val="en-US"/>
              </w:rPr>
            </w:pPr>
          </w:p>
          <w:p w14:paraId="39213760" w14:textId="77777777" w:rsidR="00BA7C33" w:rsidRPr="007033A3" w:rsidRDefault="00BA7C33"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Due to this legal impediment, creditors are “forced” to sit at the negotiating table and discuss the terms and conditions of a restructuring proposal that is acceptable to all parties involved.</w:t>
            </w:r>
          </w:p>
          <w:p w14:paraId="65B5FAE8" w14:textId="77777777" w:rsidR="00BA7C33" w:rsidRPr="007033A3" w:rsidRDefault="00BA7C33" w:rsidP="007033A3">
            <w:pPr>
              <w:pStyle w:val="PargrafodaLista"/>
              <w:tabs>
                <w:tab w:val="left" w:pos="1134"/>
              </w:tabs>
              <w:ind w:left="0"/>
              <w:jc w:val="both"/>
              <w:rPr>
                <w:rFonts w:ascii="Arial" w:hAnsi="Arial" w:cs="Arial"/>
                <w:sz w:val="22"/>
                <w:szCs w:val="22"/>
                <w:lang w:val="en-US"/>
              </w:rPr>
            </w:pPr>
          </w:p>
          <w:p w14:paraId="3E9F2B1E" w14:textId="5DA04941" w:rsidR="00BA7C33" w:rsidRPr="007033A3" w:rsidRDefault="00BA7C33"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 xml:space="preserve">In Brazil, the stay period is not automatic and depends on the court’s acceptance order of the judicial reorganization proceeding and lasts initially for 180 days. The stay may be extended for another 180-day </w:t>
            </w:r>
            <w:r w:rsidR="00483469" w:rsidRPr="007033A3">
              <w:rPr>
                <w:rFonts w:ascii="Arial" w:hAnsi="Arial" w:cs="Arial"/>
                <w:sz w:val="22"/>
                <w:szCs w:val="22"/>
                <w:lang w:val="en-US"/>
              </w:rPr>
              <w:t>period if</w:t>
            </w:r>
            <w:r w:rsidRPr="007033A3">
              <w:rPr>
                <w:rFonts w:ascii="Arial" w:hAnsi="Arial" w:cs="Arial"/>
                <w:sz w:val="22"/>
                <w:szCs w:val="22"/>
                <w:lang w:val="en-US"/>
              </w:rPr>
              <w:t xml:space="preserve"> the debtor </w:t>
            </w:r>
            <w:r w:rsidR="00483469" w:rsidRPr="007033A3">
              <w:rPr>
                <w:rFonts w:ascii="Arial" w:hAnsi="Arial" w:cs="Arial"/>
                <w:sz w:val="22"/>
                <w:szCs w:val="22"/>
                <w:lang w:val="en-US"/>
              </w:rPr>
              <w:t>has not contributed to delay the proceeding. If creditors reject the debtor’s reorganization plan and decide to submit an alternate plan, the court may extend the stay for another 180 days, in a total of 540 days.</w:t>
            </w:r>
          </w:p>
        </w:tc>
      </w:tr>
      <w:tr w:rsidR="0074142B" w:rsidRPr="007033A3" w14:paraId="711D3756" w14:textId="77777777" w:rsidTr="0074142B">
        <w:tc>
          <w:tcPr>
            <w:tcW w:w="4865" w:type="dxa"/>
          </w:tcPr>
          <w:p w14:paraId="7D6BB9F6" w14:textId="66241670" w:rsidR="0074142B" w:rsidRPr="007033A3" w:rsidRDefault="008D635C"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Advantage</w:t>
            </w:r>
            <w:r w:rsidRPr="007033A3">
              <w:rPr>
                <w:rFonts w:ascii="Arial" w:hAnsi="Arial" w:cs="Arial"/>
                <w:sz w:val="22"/>
                <w:szCs w:val="22"/>
                <w:lang w:val="en-US"/>
              </w:rPr>
              <w:t>: The debtor’s management remains in charge and in control of negotiations for the out-of-court restructuring agreement</w:t>
            </w:r>
            <w:r w:rsidR="00AE52C1" w:rsidRPr="007033A3">
              <w:rPr>
                <w:rFonts w:ascii="Arial" w:hAnsi="Arial" w:cs="Arial"/>
                <w:sz w:val="22"/>
                <w:szCs w:val="22"/>
                <w:lang w:val="en-US"/>
              </w:rPr>
              <w:t>, as “</w:t>
            </w:r>
            <w:r w:rsidR="00AE52C1" w:rsidRPr="007033A3">
              <w:rPr>
                <w:rFonts w:ascii="Arial" w:hAnsi="Arial" w:cs="Arial"/>
                <w:i/>
                <w:iCs/>
                <w:sz w:val="22"/>
                <w:szCs w:val="22"/>
                <w:lang w:val="en-US"/>
              </w:rPr>
              <w:t>they can continue to fully run the company independently</w:t>
            </w:r>
            <w:r w:rsidR="00AE52C1" w:rsidRPr="007033A3">
              <w:rPr>
                <w:rFonts w:ascii="Arial" w:hAnsi="Arial" w:cs="Arial"/>
                <w:sz w:val="22"/>
                <w:szCs w:val="22"/>
                <w:lang w:val="en-US"/>
              </w:rPr>
              <w:t>”</w:t>
            </w:r>
            <w:r w:rsidRPr="007033A3">
              <w:rPr>
                <w:rFonts w:ascii="Arial" w:hAnsi="Arial" w:cs="Arial"/>
                <w:sz w:val="22"/>
                <w:szCs w:val="22"/>
                <w:lang w:val="en-US"/>
              </w:rPr>
              <w:t>.</w:t>
            </w:r>
            <w:r w:rsidR="00AE52C1" w:rsidRPr="007033A3">
              <w:rPr>
                <w:rStyle w:val="Refdenotaderodap"/>
                <w:rFonts w:ascii="Arial" w:hAnsi="Arial" w:cs="Arial"/>
                <w:sz w:val="22"/>
                <w:szCs w:val="22"/>
                <w:lang w:val="en-US"/>
              </w:rPr>
              <w:footnoteReference w:id="18"/>
            </w:r>
          </w:p>
          <w:p w14:paraId="6862DD60" w14:textId="77777777" w:rsidR="00684BA2" w:rsidRPr="007033A3" w:rsidRDefault="00684BA2" w:rsidP="007033A3">
            <w:pPr>
              <w:pStyle w:val="PargrafodaLista"/>
              <w:tabs>
                <w:tab w:val="left" w:pos="1134"/>
              </w:tabs>
              <w:ind w:left="0"/>
              <w:jc w:val="both"/>
              <w:rPr>
                <w:rFonts w:ascii="Arial" w:hAnsi="Arial" w:cs="Arial"/>
                <w:sz w:val="22"/>
                <w:szCs w:val="22"/>
                <w:lang w:val="en-US"/>
              </w:rPr>
            </w:pPr>
          </w:p>
          <w:p w14:paraId="556CC8C3" w14:textId="5C38FFC8" w:rsidR="00684BA2" w:rsidRPr="007033A3" w:rsidRDefault="00684BA2"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 xml:space="preserve">Though relevant creditors might pressure for a change in the top management, or the appointment of a </w:t>
            </w:r>
            <w:r w:rsidR="00AA332F" w:rsidRPr="007033A3">
              <w:rPr>
                <w:rFonts w:ascii="Arial" w:hAnsi="Arial" w:cs="Arial"/>
                <w:sz w:val="22"/>
                <w:szCs w:val="22"/>
                <w:lang w:val="en-US"/>
              </w:rPr>
              <w:t>CRO</w:t>
            </w:r>
            <w:r w:rsidRPr="007033A3">
              <w:rPr>
                <w:rFonts w:ascii="Arial" w:hAnsi="Arial" w:cs="Arial"/>
                <w:sz w:val="22"/>
                <w:szCs w:val="22"/>
                <w:lang w:val="en-US"/>
              </w:rPr>
              <w:t>, the debtor’s management is still calling the shots.</w:t>
            </w:r>
          </w:p>
          <w:p w14:paraId="51606010" w14:textId="77777777" w:rsidR="00967DF1" w:rsidRPr="007033A3" w:rsidRDefault="00967DF1" w:rsidP="007033A3">
            <w:pPr>
              <w:pStyle w:val="PargrafodaLista"/>
              <w:tabs>
                <w:tab w:val="left" w:pos="1134"/>
              </w:tabs>
              <w:ind w:left="0"/>
              <w:jc w:val="both"/>
              <w:rPr>
                <w:rFonts w:ascii="Arial" w:hAnsi="Arial" w:cs="Arial"/>
                <w:sz w:val="22"/>
                <w:szCs w:val="22"/>
                <w:lang w:val="en-US"/>
              </w:rPr>
            </w:pPr>
          </w:p>
          <w:p w14:paraId="6ABED341" w14:textId="0D2B1135" w:rsidR="00967DF1" w:rsidRPr="007033A3" w:rsidRDefault="00967DF1"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 xml:space="preserve">The debtor’s management may also decide to sell assets or divest as part of </w:t>
            </w:r>
            <w:r w:rsidR="004B4856" w:rsidRPr="007033A3">
              <w:rPr>
                <w:rFonts w:ascii="Arial" w:hAnsi="Arial" w:cs="Arial"/>
                <w:sz w:val="22"/>
                <w:szCs w:val="22"/>
                <w:lang w:val="en-US"/>
              </w:rPr>
              <w:t>the workout agreement, without the need for outside confirmation (except as provided by security, pledge or collateral agreements).</w:t>
            </w:r>
          </w:p>
        </w:tc>
        <w:tc>
          <w:tcPr>
            <w:tcW w:w="4865" w:type="dxa"/>
          </w:tcPr>
          <w:p w14:paraId="692B8152" w14:textId="03BA667D" w:rsidR="008D635C" w:rsidRPr="007033A3" w:rsidRDefault="008D635C"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Disadvantage</w:t>
            </w:r>
            <w:r w:rsidRPr="007033A3">
              <w:rPr>
                <w:rFonts w:ascii="Arial" w:hAnsi="Arial" w:cs="Arial"/>
                <w:sz w:val="22"/>
                <w:szCs w:val="22"/>
                <w:lang w:val="en-US"/>
              </w:rPr>
              <w:t xml:space="preserve">: </w:t>
            </w:r>
            <w:r w:rsidR="00684BA2" w:rsidRPr="007033A3">
              <w:rPr>
                <w:rFonts w:ascii="Arial" w:hAnsi="Arial" w:cs="Arial"/>
                <w:sz w:val="22"/>
                <w:szCs w:val="22"/>
                <w:lang w:val="en-US"/>
              </w:rPr>
              <w:t>In certain jurisdictions, the debtor remains in possession (like a judicial reorganization in Brazil), but other jurisdictions may appoint an examiner, trustee or administrator to run the debtor’s affairs, or at the very least co-manage the debtor alongside its management (like a suspension of payments, in the Netherlands).</w:t>
            </w:r>
          </w:p>
          <w:p w14:paraId="23C619A6" w14:textId="77777777" w:rsidR="008D635C" w:rsidRPr="007033A3" w:rsidRDefault="008D635C" w:rsidP="007033A3">
            <w:pPr>
              <w:pStyle w:val="PargrafodaLista"/>
              <w:tabs>
                <w:tab w:val="left" w:pos="1134"/>
              </w:tabs>
              <w:ind w:left="0"/>
              <w:jc w:val="both"/>
              <w:rPr>
                <w:rFonts w:ascii="Arial" w:hAnsi="Arial" w:cs="Arial"/>
                <w:sz w:val="22"/>
                <w:szCs w:val="22"/>
                <w:lang w:val="en-US"/>
              </w:rPr>
            </w:pPr>
          </w:p>
          <w:p w14:paraId="35BB64F7" w14:textId="15685A13" w:rsidR="0074142B" w:rsidRPr="007033A3" w:rsidRDefault="008D635C"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Specifically in Brazil, after filing for judicial reorganization, though the debtor remains in possession, the company’s management is restricted from selling noncurrent assets without court authorization</w:t>
            </w:r>
            <w:r w:rsidR="00684BA2" w:rsidRPr="007033A3">
              <w:rPr>
                <w:rFonts w:ascii="Arial" w:hAnsi="Arial" w:cs="Arial"/>
                <w:sz w:val="22"/>
                <w:szCs w:val="22"/>
                <w:lang w:val="en-US"/>
              </w:rPr>
              <w:t>.</w:t>
            </w:r>
          </w:p>
        </w:tc>
      </w:tr>
      <w:tr w:rsidR="0074142B" w:rsidRPr="007033A3" w14:paraId="0BC642F0" w14:textId="77777777" w:rsidTr="0074142B">
        <w:tc>
          <w:tcPr>
            <w:tcW w:w="4865" w:type="dxa"/>
            <w:shd w:val="clear" w:color="auto" w:fill="F2F2F2" w:themeFill="background1" w:themeFillShade="F2"/>
          </w:tcPr>
          <w:p w14:paraId="207D4446" w14:textId="77777777" w:rsidR="003704AD" w:rsidRPr="007033A3" w:rsidRDefault="004A7306"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t>Advantage</w:t>
            </w:r>
            <w:r w:rsidRPr="007033A3">
              <w:rPr>
                <w:rFonts w:ascii="Arial" w:hAnsi="Arial" w:cs="Arial"/>
                <w:sz w:val="22"/>
                <w:szCs w:val="22"/>
                <w:lang w:val="en-US"/>
              </w:rPr>
              <w:t xml:space="preserve">: </w:t>
            </w:r>
            <w:r w:rsidR="00A20DE0" w:rsidRPr="007033A3">
              <w:rPr>
                <w:rFonts w:ascii="Arial" w:hAnsi="Arial" w:cs="Arial"/>
                <w:sz w:val="22"/>
                <w:szCs w:val="22"/>
                <w:lang w:val="en-US"/>
              </w:rPr>
              <w:t xml:space="preserve">An out-of-court restructuring may represent lower costs when compared to formal insolvency proceeding. </w:t>
            </w:r>
          </w:p>
          <w:p w14:paraId="1EF9968E" w14:textId="77777777" w:rsidR="003704AD" w:rsidRPr="007033A3" w:rsidRDefault="003704AD" w:rsidP="007033A3">
            <w:pPr>
              <w:pStyle w:val="PargrafodaLista"/>
              <w:tabs>
                <w:tab w:val="left" w:pos="1134"/>
              </w:tabs>
              <w:ind w:left="0"/>
              <w:jc w:val="both"/>
              <w:rPr>
                <w:rFonts w:ascii="Arial" w:hAnsi="Arial" w:cs="Arial"/>
                <w:sz w:val="22"/>
                <w:szCs w:val="22"/>
                <w:lang w:val="en-US"/>
              </w:rPr>
            </w:pPr>
          </w:p>
          <w:p w14:paraId="08E0D5C2" w14:textId="30264E0F" w:rsidR="0074142B" w:rsidRPr="007033A3" w:rsidRDefault="00A20DE0"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Such costs are limited to the financial, accounting and legal advisors to all parties in the negotiation</w:t>
            </w:r>
            <w:r w:rsidR="003704AD" w:rsidRPr="007033A3">
              <w:rPr>
                <w:rFonts w:ascii="Arial" w:hAnsi="Arial" w:cs="Arial"/>
                <w:sz w:val="22"/>
                <w:szCs w:val="22"/>
                <w:lang w:val="en-US"/>
              </w:rPr>
              <w:t>s</w:t>
            </w:r>
            <w:r w:rsidRPr="007033A3">
              <w:rPr>
                <w:rFonts w:ascii="Arial" w:hAnsi="Arial" w:cs="Arial"/>
                <w:sz w:val="22"/>
                <w:szCs w:val="22"/>
                <w:lang w:val="en-US"/>
              </w:rPr>
              <w:t>, often times even expert opinions</w:t>
            </w:r>
            <w:r w:rsidR="003704AD" w:rsidRPr="007033A3">
              <w:rPr>
                <w:rFonts w:ascii="Arial" w:hAnsi="Arial" w:cs="Arial"/>
                <w:sz w:val="22"/>
                <w:szCs w:val="22"/>
                <w:lang w:val="en-US"/>
              </w:rPr>
              <w:t xml:space="preserve">, and any fees and costs necessary </w:t>
            </w:r>
            <w:r w:rsidR="003704AD" w:rsidRPr="007033A3">
              <w:rPr>
                <w:rFonts w:ascii="Arial" w:hAnsi="Arial" w:cs="Arial"/>
                <w:sz w:val="22"/>
                <w:szCs w:val="22"/>
                <w:lang w:val="en-US"/>
              </w:rPr>
              <w:lastRenderedPageBreak/>
              <w:t>to implement the restructuring measures agreed by the parties</w:t>
            </w:r>
            <w:r w:rsidRPr="007033A3">
              <w:rPr>
                <w:rFonts w:ascii="Arial" w:hAnsi="Arial" w:cs="Arial"/>
                <w:sz w:val="22"/>
                <w:szCs w:val="22"/>
                <w:lang w:val="en-US"/>
              </w:rPr>
              <w:t>.</w:t>
            </w:r>
          </w:p>
        </w:tc>
        <w:tc>
          <w:tcPr>
            <w:tcW w:w="4865" w:type="dxa"/>
            <w:shd w:val="clear" w:color="auto" w:fill="F2F2F2" w:themeFill="background1" w:themeFillShade="F2"/>
          </w:tcPr>
          <w:p w14:paraId="3A59FC63" w14:textId="05D35CAF" w:rsidR="00A20DE0" w:rsidRPr="007033A3" w:rsidRDefault="004A7306"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u w:val="single"/>
                <w:lang w:val="en-US"/>
              </w:rPr>
              <w:lastRenderedPageBreak/>
              <w:t>Disadvantage</w:t>
            </w:r>
            <w:r w:rsidRPr="007033A3">
              <w:rPr>
                <w:rFonts w:ascii="Arial" w:hAnsi="Arial" w:cs="Arial"/>
                <w:sz w:val="22"/>
                <w:szCs w:val="22"/>
                <w:lang w:val="en-US"/>
              </w:rPr>
              <w:t xml:space="preserve">: </w:t>
            </w:r>
            <w:r w:rsidR="00A20DE0" w:rsidRPr="007033A3">
              <w:rPr>
                <w:rFonts w:ascii="Arial" w:hAnsi="Arial" w:cs="Arial"/>
                <w:sz w:val="22"/>
                <w:szCs w:val="22"/>
                <w:lang w:val="en-US"/>
              </w:rPr>
              <w:t>Besides the same costs with financial, accounting and legal advisors that are present when negotiating a</w:t>
            </w:r>
            <w:r w:rsidR="00003319" w:rsidRPr="007033A3">
              <w:rPr>
                <w:rFonts w:ascii="Arial" w:hAnsi="Arial" w:cs="Arial"/>
                <w:sz w:val="22"/>
                <w:szCs w:val="22"/>
                <w:lang w:val="en-US"/>
              </w:rPr>
              <w:t>n</w:t>
            </w:r>
            <w:r w:rsidR="00A20DE0" w:rsidRPr="007033A3">
              <w:rPr>
                <w:rFonts w:ascii="Arial" w:hAnsi="Arial" w:cs="Arial"/>
                <w:sz w:val="22"/>
                <w:szCs w:val="22"/>
                <w:lang w:val="en-US"/>
              </w:rPr>
              <w:t xml:space="preserve"> </w:t>
            </w:r>
            <w:r w:rsidR="00003319" w:rsidRPr="007033A3">
              <w:rPr>
                <w:rFonts w:ascii="Arial" w:hAnsi="Arial" w:cs="Arial"/>
                <w:sz w:val="22"/>
                <w:szCs w:val="22"/>
                <w:lang w:val="en-US"/>
              </w:rPr>
              <w:t>informal reorganization</w:t>
            </w:r>
            <w:r w:rsidR="00A20DE0" w:rsidRPr="007033A3">
              <w:rPr>
                <w:rFonts w:ascii="Arial" w:hAnsi="Arial" w:cs="Arial"/>
                <w:sz w:val="22"/>
                <w:szCs w:val="22"/>
                <w:lang w:val="en-US"/>
              </w:rPr>
              <w:t xml:space="preserve">, a formal insolvency proceeding also requires the payment of court fees and costs, any expert fees and costs, as well as any fees and costs from the </w:t>
            </w:r>
            <w:r w:rsidR="00A20DE0" w:rsidRPr="007033A3">
              <w:rPr>
                <w:rFonts w:ascii="Arial" w:hAnsi="Arial" w:cs="Arial"/>
                <w:sz w:val="22"/>
                <w:szCs w:val="22"/>
                <w:lang w:val="en-US"/>
              </w:rPr>
              <w:lastRenderedPageBreak/>
              <w:t>court appointed examiner, trustee or administrator.</w:t>
            </w:r>
          </w:p>
          <w:p w14:paraId="68E521B1" w14:textId="394A6708" w:rsidR="00EC37DC" w:rsidRPr="007033A3" w:rsidRDefault="00EC37DC" w:rsidP="007033A3">
            <w:pPr>
              <w:pStyle w:val="PargrafodaLista"/>
              <w:tabs>
                <w:tab w:val="left" w:pos="1134"/>
              </w:tabs>
              <w:ind w:left="0"/>
              <w:jc w:val="both"/>
              <w:rPr>
                <w:rFonts w:ascii="Arial" w:hAnsi="Arial" w:cs="Arial"/>
                <w:sz w:val="22"/>
                <w:szCs w:val="22"/>
                <w:lang w:val="en-US"/>
              </w:rPr>
            </w:pPr>
          </w:p>
          <w:p w14:paraId="765F6EAD" w14:textId="4901E00F" w:rsidR="00EC37DC" w:rsidRPr="007033A3" w:rsidRDefault="00EC37DC"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There is also the opportunity cost of all business the debtor may miss out</w:t>
            </w:r>
            <w:r w:rsidR="003B2061" w:rsidRPr="007033A3">
              <w:rPr>
                <w:rFonts w:ascii="Arial" w:hAnsi="Arial" w:cs="Arial"/>
                <w:sz w:val="22"/>
                <w:szCs w:val="22"/>
                <w:lang w:val="en-US"/>
              </w:rPr>
              <w:t>,</w:t>
            </w:r>
            <w:r w:rsidRPr="007033A3">
              <w:rPr>
                <w:rFonts w:ascii="Arial" w:hAnsi="Arial" w:cs="Arial"/>
                <w:sz w:val="22"/>
                <w:szCs w:val="22"/>
                <w:lang w:val="en-US"/>
              </w:rPr>
              <w:t xml:space="preserve"> due to the fact that it is undergoing a formal restructuring proceeding.</w:t>
            </w:r>
            <w:r w:rsidR="00BF5366" w:rsidRPr="007033A3">
              <w:rPr>
                <w:rStyle w:val="Refdenotaderodap"/>
                <w:rFonts w:ascii="Arial" w:hAnsi="Arial" w:cs="Arial"/>
                <w:sz w:val="22"/>
                <w:szCs w:val="22"/>
                <w:lang w:val="en-US"/>
              </w:rPr>
              <w:footnoteReference w:id="19"/>
            </w:r>
          </w:p>
          <w:p w14:paraId="555CCEB2" w14:textId="77777777" w:rsidR="00A20DE0" w:rsidRPr="007033A3" w:rsidRDefault="00A20DE0" w:rsidP="007033A3">
            <w:pPr>
              <w:pStyle w:val="PargrafodaLista"/>
              <w:tabs>
                <w:tab w:val="left" w:pos="1134"/>
              </w:tabs>
              <w:ind w:left="0"/>
              <w:jc w:val="both"/>
              <w:rPr>
                <w:rFonts w:ascii="Arial" w:hAnsi="Arial" w:cs="Arial"/>
                <w:sz w:val="22"/>
                <w:szCs w:val="22"/>
                <w:lang w:val="en-US"/>
              </w:rPr>
            </w:pPr>
          </w:p>
          <w:p w14:paraId="34751C2A" w14:textId="5479A385" w:rsidR="0074142B" w:rsidRPr="007033A3" w:rsidRDefault="00A20DE0" w:rsidP="007033A3">
            <w:pPr>
              <w:pStyle w:val="PargrafodaLista"/>
              <w:tabs>
                <w:tab w:val="left" w:pos="1134"/>
              </w:tabs>
              <w:ind w:left="0"/>
              <w:jc w:val="both"/>
              <w:rPr>
                <w:rFonts w:ascii="Arial" w:hAnsi="Arial" w:cs="Arial"/>
                <w:sz w:val="22"/>
                <w:szCs w:val="22"/>
                <w:lang w:val="en-US"/>
              </w:rPr>
            </w:pPr>
            <w:r w:rsidRPr="007033A3">
              <w:rPr>
                <w:rFonts w:ascii="Arial" w:hAnsi="Arial" w:cs="Arial"/>
                <w:sz w:val="22"/>
                <w:szCs w:val="22"/>
                <w:lang w:val="en-US"/>
              </w:rPr>
              <w:t>Specifically in Brazil, the court appointed judicial administrator, who performs a supervisory role and aids the court in the verification of claims, among other matters, is paid up to five per cent (5%) of the company’s indebtedness that is subject to the judicial reorganization proceeding.</w:t>
            </w:r>
          </w:p>
        </w:tc>
      </w:tr>
    </w:tbl>
    <w:p w14:paraId="7F782032" w14:textId="77777777" w:rsidR="00CE0499" w:rsidRPr="007033A3" w:rsidRDefault="00CE0499" w:rsidP="007033A3">
      <w:pPr>
        <w:pStyle w:val="PargrafodaLista"/>
        <w:tabs>
          <w:tab w:val="left" w:pos="1134"/>
        </w:tabs>
        <w:ind w:left="0"/>
        <w:jc w:val="both"/>
        <w:rPr>
          <w:rFonts w:ascii="Arial" w:hAnsi="Arial" w:cs="Arial"/>
          <w:sz w:val="22"/>
          <w:szCs w:val="22"/>
          <w:lang w:val="en-US"/>
        </w:rPr>
      </w:pPr>
    </w:p>
    <w:p w14:paraId="3E781214" w14:textId="77777777" w:rsidR="00CE0499" w:rsidRPr="007033A3" w:rsidRDefault="00CE0499"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mc:AlternateContent>
          <mc:Choice Requires="wps">
            <w:drawing>
              <wp:anchor distT="0" distB="0" distL="114300" distR="114300" simplePos="0" relativeHeight="251665408" behindDoc="0" locked="0" layoutInCell="1" allowOverlap="1" wp14:anchorId="7C2B88FF" wp14:editId="419B3B90">
                <wp:simplePos x="0" y="0"/>
                <wp:positionH relativeFrom="column">
                  <wp:posOffset>-5695</wp:posOffset>
                </wp:positionH>
                <wp:positionV relativeFrom="paragraph">
                  <wp:posOffset>36523</wp:posOffset>
                </wp:positionV>
                <wp:extent cx="5771536" cy="766916"/>
                <wp:effectExtent l="0" t="0" r="6985" b="8255"/>
                <wp:wrapNone/>
                <wp:docPr id="4" name="Text Box 3"/>
                <wp:cNvGraphicFramePr/>
                <a:graphic xmlns:a="http://schemas.openxmlformats.org/drawingml/2006/main">
                  <a:graphicData uri="http://schemas.microsoft.com/office/word/2010/wordprocessingShape">
                    <wps:wsp>
                      <wps:cNvSpPr txBox="1"/>
                      <wps:spPr>
                        <a:xfrm>
                          <a:off x="0" y="0"/>
                          <a:ext cx="5771536" cy="766916"/>
                        </a:xfrm>
                        <a:prstGeom prst="rect">
                          <a:avLst/>
                        </a:prstGeom>
                        <a:solidFill>
                          <a:schemeClr val="lt1"/>
                        </a:solidFill>
                        <a:ln w="6350">
                          <a:solidFill>
                            <a:prstClr val="black"/>
                          </a:solidFill>
                        </a:ln>
                      </wps:spPr>
                      <wps:txbx>
                        <w:txbxContent>
                          <w:p w14:paraId="3D2A47BF" w14:textId="2D1CE21D"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 xml:space="preserve">Were the turnaround/reorganization approaches as presented in the reading material (see </w:t>
                            </w:r>
                            <w:proofErr w:type="gramStart"/>
                            <w:r w:rsidRPr="007033A3">
                              <w:rPr>
                                <w:rFonts w:ascii="Arial" w:hAnsi="Arial" w:cs="Arial"/>
                                <w:i/>
                                <w:sz w:val="22"/>
                                <w:szCs w:val="22"/>
                                <w:lang w:val="en-US"/>
                              </w:rPr>
                              <w:t>e.g.</w:t>
                            </w:r>
                            <w:proofErr w:type="gramEnd"/>
                            <w:r w:rsidRPr="007033A3">
                              <w:rPr>
                                <w:rFonts w:ascii="Arial" w:hAnsi="Arial" w:cs="Arial"/>
                                <w:i/>
                                <w:sz w:val="22"/>
                                <w:szCs w:val="22"/>
                                <w:lang w:val="en-US"/>
                              </w:rPr>
                              <w:t xml:space="preserve"> </w:t>
                            </w:r>
                            <w:proofErr w:type="spellStart"/>
                            <w:r w:rsidRPr="007033A3">
                              <w:rPr>
                                <w:rFonts w:ascii="Arial" w:hAnsi="Arial" w:cs="Arial"/>
                                <w:i/>
                                <w:sz w:val="22"/>
                                <w:szCs w:val="22"/>
                                <w:lang w:val="en-US"/>
                              </w:rPr>
                              <w:t>Adriaanse</w:t>
                            </w:r>
                            <w:proofErr w:type="spellEnd"/>
                            <w:r w:rsidRPr="007033A3">
                              <w:rPr>
                                <w:rFonts w:ascii="Arial" w:hAnsi="Arial" w:cs="Arial"/>
                                <w:i/>
                                <w:sz w:val="22"/>
                                <w:szCs w:val="22"/>
                                <w:lang w:val="en-US"/>
                              </w:rPr>
                              <w:t xml:space="preserve"> &amp; </w:t>
                            </w:r>
                            <w:proofErr w:type="spellStart"/>
                            <w:r w:rsidRPr="007033A3">
                              <w:rPr>
                                <w:rFonts w:ascii="Arial" w:hAnsi="Arial" w:cs="Arial"/>
                                <w:i/>
                                <w:sz w:val="22"/>
                                <w:szCs w:val="22"/>
                                <w:lang w:val="en-US"/>
                              </w:rPr>
                              <w:t>Kuijl</w:t>
                            </w:r>
                            <w:proofErr w:type="spellEnd"/>
                            <w:r w:rsidRPr="007033A3">
                              <w:rPr>
                                <w:rFonts w:ascii="Arial" w:hAnsi="Arial" w:cs="Arial"/>
                                <w:i/>
                                <w:sz w:val="22"/>
                                <w:szCs w:val="22"/>
                                <w:lang w:val="en-US"/>
                              </w:rPr>
                              <w:t xml:space="preserve">, 2006, </w:t>
                            </w:r>
                            <w:proofErr w:type="spellStart"/>
                            <w:r w:rsidRPr="007033A3">
                              <w:rPr>
                                <w:rFonts w:ascii="Arial" w:hAnsi="Arial" w:cs="Arial"/>
                                <w:i/>
                                <w:sz w:val="22"/>
                                <w:szCs w:val="22"/>
                                <w:lang w:val="en-US"/>
                              </w:rPr>
                              <w:t>Pajunen</w:t>
                            </w:r>
                            <w:proofErr w:type="spellEnd"/>
                            <w:r w:rsidRPr="007033A3">
                              <w:rPr>
                                <w:rFonts w:ascii="Arial" w:hAnsi="Arial" w:cs="Arial"/>
                                <w:i/>
                                <w:sz w:val="22"/>
                                <w:szCs w:val="22"/>
                                <w:lang w:val="en-US"/>
                              </w:rPr>
                              <w:t xml:space="preserve">, 2006, </w:t>
                            </w:r>
                            <w:proofErr w:type="spellStart"/>
                            <w:r w:rsidRPr="007033A3">
                              <w:rPr>
                                <w:rFonts w:ascii="Arial" w:hAnsi="Arial" w:cs="Arial"/>
                                <w:i/>
                                <w:sz w:val="22"/>
                                <w:szCs w:val="22"/>
                                <w:lang w:val="en-US"/>
                              </w:rPr>
                              <w:t>Sudarsanam</w:t>
                            </w:r>
                            <w:proofErr w:type="spellEnd"/>
                            <w:r w:rsidRPr="007033A3">
                              <w:rPr>
                                <w:rFonts w:ascii="Arial" w:hAnsi="Arial" w:cs="Arial"/>
                                <w:i/>
                                <w:sz w:val="22"/>
                                <w:szCs w:val="22"/>
                                <w:lang w:val="en-US"/>
                              </w:rPr>
                              <w:t xml:space="preserve">, S, Lai, J., 2001, Schmitt, A., </w:t>
                            </w:r>
                            <w:proofErr w:type="spellStart"/>
                            <w:r w:rsidRPr="007033A3">
                              <w:rPr>
                                <w:rFonts w:ascii="Arial" w:hAnsi="Arial" w:cs="Arial"/>
                                <w:i/>
                                <w:sz w:val="22"/>
                                <w:szCs w:val="22"/>
                                <w:lang w:val="en-US"/>
                              </w:rPr>
                              <w:t>Raisch</w:t>
                            </w:r>
                            <w:proofErr w:type="spellEnd"/>
                            <w:r w:rsidRPr="007033A3">
                              <w:rPr>
                                <w:rFonts w:ascii="Arial" w:hAnsi="Arial" w:cs="Arial"/>
                                <w:i/>
                                <w:sz w:val="22"/>
                                <w:szCs w:val="22"/>
                                <w:lang w:val="en-US"/>
                              </w:rPr>
                              <w:t>, S., 2013) applied in this case? If yes, explain in what way. If no, detail what in your opinion should have been done differently.</w:t>
                            </w:r>
                          </w:p>
                          <w:p w14:paraId="1A0F2D13" w14:textId="77777777" w:rsidR="00CE0499" w:rsidRPr="00CE0499" w:rsidRDefault="00CE0499" w:rsidP="00CE049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88FF" id="_x0000_s1029" type="#_x0000_t202" style="position:absolute;margin-left:-.45pt;margin-top:2.9pt;width:454.4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" fillcolor="white [3201]" strokeweight=".5pt">
                <v:textbox>
                  <w:txbxContent>
                    <w:p w14:paraId="3D2A47BF" w14:textId="2D1CE21D"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 xml:space="preserve">Were the turnaround/reorganization approaches as presented in the reading material (see </w:t>
                      </w:r>
                      <w:proofErr w:type="gramStart"/>
                      <w:r w:rsidRPr="007033A3">
                        <w:rPr>
                          <w:rFonts w:ascii="Arial" w:hAnsi="Arial" w:cs="Arial"/>
                          <w:i/>
                          <w:sz w:val="22"/>
                          <w:szCs w:val="22"/>
                          <w:lang w:val="en-US"/>
                        </w:rPr>
                        <w:t>e.g.</w:t>
                      </w:r>
                      <w:proofErr w:type="gramEnd"/>
                      <w:r w:rsidRPr="007033A3">
                        <w:rPr>
                          <w:rFonts w:ascii="Arial" w:hAnsi="Arial" w:cs="Arial"/>
                          <w:i/>
                          <w:sz w:val="22"/>
                          <w:szCs w:val="22"/>
                          <w:lang w:val="en-US"/>
                        </w:rPr>
                        <w:t xml:space="preserve"> </w:t>
                      </w:r>
                      <w:proofErr w:type="spellStart"/>
                      <w:r w:rsidRPr="007033A3">
                        <w:rPr>
                          <w:rFonts w:ascii="Arial" w:hAnsi="Arial" w:cs="Arial"/>
                          <w:i/>
                          <w:sz w:val="22"/>
                          <w:szCs w:val="22"/>
                          <w:lang w:val="en-US"/>
                        </w:rPr>
                        <w:t>Adriaanse</w:t>
                      </w:r>
                      <w:proofErr w:type="spellEnd"/>
                      <w:r w:rsidRPr="007033A3">
                        <w:rPr>
                          <w:rFonts w:ascii="Arial" w:hAnsi="Arial" w:cs="Arial"/>
                          <w:i/>
                          <w:sz w:val="22"/>
                          <w:szCs w:val="22"/>
                          <w:lang w:val="en-US"/>
                        </w:rPr>
                        <w:t xml:space="preserve"> &amp; </w:t>
                      </w:r>
                      <w:proofErr w:type="spellStart"/>
                      <w:r w:rsidRPr="007033A3">
                        <w:rPr>
                          <w:rFonts w:ascii="Arial" w:hAnsi="Arial" w:cs="Arial"/>
                          <w:i/>
                          <w:sz w:val="22"/>
                          <w:szCs w:val="22"/>
                          <w:lang w:val="en-US"/>
                        </w:rPr>
                        <w:t>Kuijl</w:t>
                      </w:r>
                      <w:proofErr w:type="spellEnd"/>
                      <w:r w:rsidRPr="007033A3">
                        <w:rPr>
                          <w:rFonts w:ascii="Arial" w:hAnsi="Arial" w:cs="Arial"/>
                          <w:i/>
                          <w:sz w:val="22"/>
                          <w:szCs w:val="22"/>
                          <w:lang w:val="en-US"/>
                        </w:rPr>
                        <w:t xml:space="preserve">, 2006, </w:t>
                      </w:r>
                      <w:proofErr w:type="spellStart"/>
                      <w:r w:rsidRPr="007033A3">
                        <w:rPr>
                          <w:rFonts w:ascii="Arial" w:hAnsi="Arial" w:cs="Arial"/>
                          <w:i/>
                          <w:sz w:val="22"/>
                          <w:szCs w:val="22"/>
                          <w:lang w:val="en-US"/>
                        </w:rPr>
                        <w:t>Pajunen</w:t>
                      </w:r>
                      <w:proofErr w:type="spellEnd"/>
                      <w:r w:rsidRPr="007033A3">
                        <w:rPr>
                          <w:rFonts w:ascii="Arial" w:hAnsi="Arial" w:cs="Arial"/>
                          <w:i/>
                          <w:sz w:val="22"/>
                          <w:szCs w:val="22"/>
                          <w:lang w:val="en-US"/>
                        </w:rPr>
                        <w:t xml:space="preserve">, 2006, </w:t>
                      </w:r>
                      <w:proofErr w:type="spellStart"/>
                      <w:r w:rsidRPr="007033A3">
                        <w:rPr>
                          <w:rFonts w:ascii="Arial" w:hAnsi="Arial" w:cs="Arial"/>
                          <w:i/>
                          <w:sz w:val="22"/>
                          <w:szCs w:val="22"/>
                          <w:lang w:val="en-US"/>
                        </w:rPr>
                        <w:t>Sudarsanam</w:t>
                      </w:r>
                      <w:proofErr w:type="spellEnd"/>
                      <w:r w:rsidRPr="007033A3">
                        <w:rPr>
                          <w:rFonts w:ascii="Arial" w:hAnsi="Arial" w:cs="Arial"/>
                          <w:i/>
                          <w:sz w:val="22"/>
                          <w:szCs w:val="22"/>
                          <w:lang w:val="en-US"/>
                        </w:rPr>
                        <w:t xml:space="preserve">, S, Lai, J., 2001, Schmitt, A., </w:t>
                      </w:r>
                      <w:proofErr w:type="spellStart"/>
                      <w:r w:rsidRPr="007033A3">
                        <w:rPr>
                          <w:rFonts w:ascii="Arial" w:hAnsi="Arial" w:cs="Arial"/>
                          <w:i/>
                          <w:sz w:val="22"/>
                          <w:szCs w:val="22"/>
                          <w:lang w:val="en-US"/>
                        </w:rPr>
                        <w:t>Raisch</w:t>
                      </w:r>
                      <w:proofErr w:type="spellEnd"/>
                      <w:r w:rsidRPr="007033A3">
                        <w:rPr>
                          <w:rFonts w:ascii="Arial" w:hAnsi="Arial" w:cs="Arial"/>
                          <w:i/>
                          <w:sz w:val="22"/>
                          <w:szCs w:val="22"/>
                          <w:lang w:val="en-US"/>
                        </w:rPr>
                        <w:t>, S., 2013) applied in this case? If yes, explain in what way. If no, detail what in your opinion should have been done differently.</w:t>
                      </w:r>
                    </w:p>
                    <w:p w14:paraId="1A0F2D13" w14:textId="77777777" w:rsidR="00CE0499" w:rsidRPr="00CE0499" w:rsidRDefault="00CE0499" w:rsidP="00CE0499">
                      <w:pPr>
                        <w:rPr>
                          <w:lang w:val="en-US"/>
                        </w:rPr>
                      </w:pPr>
                    </w:p>
                  </w:txbxContent>
                </v:textbox>
              </v:shape>
            </w:pict>
          </mc:Fallback>
        </mc:AlternateContent>
      </w:r>
    </w:p>
    <w:p w14:paraId="1F5A631B" w14:textId="77777777" w:rsidR="00CE0499" w:rsidRPr="007033A3" w:rsidRDefault="00CE0499" w:rsidP="007033A3">
      <w:pPr>
        <w:pStyle w:val="PargrafodaLista"/>
        <w:snapToGrid w:val="0"/>
        <w:spacing w:after="120"/>
        <w:ind w:left="0"/>
        <w:contextualSpacing w:val="0"/>
        <w:rPr>
          <w:rFonts w:ascii="Arial" w:hAnsi="Arial" w:cs="Arial"/>
          <w:smallCaps/>
          <w:sz w:val="22"/>
          <w:szCs w:val="22"/>
          <w:lang w:val="en-US"/>
        </w:rPr>
      </w:pPr>
    </w:p>
    <w:p w14:paraId="6998D47A" w14:textId="77777777" w:rsidR="00CE0499" w:rsidRPr="007033A3" w:rsidRDefault="00CE0499" w:rsidP="007033A3">
      <w:pPr>
        <w:tabs>
          <w:tab w:val="left" w:pos="1134"/>
        </w:tabs>
        <w:snapToGrid w:val="0"/>
        <w:spacing w:after="120"/>
        <w:rPr>
          <w:rFonts w:ascii="Arial" w:hAnsi="Arial" w:cs="Arial"/>
          <w:sz w:val="22"/>
          <w:szCs w:val="22"/>
          <w:lang w:val="en-US"/>
        </w:rPr>
      </w:pPr>
    </w:p>
    <w:p w14:paraId="271C4C13" w14:textId="76BD74E0" w:rsidR="00CE0499" w:rsidRPr="007033A3" w:rsidRDefault="00CE0499" w:rsidP="007033A3">
      <w:pPr>
        <w:tabs>
          <w:tab w:val="left" w:pos="1134"/>
        </w:tabs>
        <w:jc w:val="both"/>
        <w:rPr>
          <w:rFonts w:ascii="Arial" w:hAnsi="Arial" w:cs="Arial"/>
          <w:sz w:val="22"/>
          <w:szCs w:val="22"/>
          <w:lang w:val="en-US"/>
        </w:rPr>
      </w:pPr>
    </w:p>
    <w:p w14:paraId="12F0DAF1" w14:textId="77777777" w:rsidR="001D26B2" w:rsidRPr="007033A3" w:rsidRDefault="001D26B2" w:rsidP="007033A3">
      <w:pPr>
        <w:tabs>
          <w:tab w:val="left" w:pos="1134"/>
        </w:tabs>
        <w:jc w:val="both"/>
        <w:rPr>
          <w:rFonts w:ascii="Arial" w:hAnsi="Arial" w:cs="Arial"/>
          <w:sz w:val="22"/>
          <w:szCs w:val="22"/>
          <w:lang w:val="en-US"/>
        </w:rPr>
      </w:pPr>
    </w:p>
    <w:p w14:paraId="08193A3C" w14:textId="77777777" w:rsidR="00A06EBF" w:rsidRDefault="00C51088"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A few of the turnaround and reorganization approaches presented in the supporting materials were applied in the Flow Management Group’s restructuring</w:t>
      </w:r>
      <w:r w:rsidR="00D701B7">
        <w:rPr>
          <w:rFonts w:ascii="Arial" w:hAnsi="Arial" w:cs="Arial"/>
          <w:sz w:val="22"/>
          <w:szCs w:val="22"/>
          <w:lang w:val="en-US"/>
        </w:rPr>
        <w:t>. The following analysis uses as a starting point</w:t>
      </w:r>
      <w:r w:rsidRPr="00D701B7">
        <w:rPr>
          <w:rFonts w:ascii="Arial" w:hAnsi="Arial" w:cs="Arial"/>
          <w:sz w:val="22"/>
          <w:szCs w:val="22"/>
          <w:lang w:val="en-US"/>
        </w:rPr>
        <w:t xml:space="preserve"> </w:t>
      </w:r>
      <w:r w:rsidR="00D701B7">
        <w:rPr>
          <w:rFonts w:ascii="Arial" w:hAnsi="Arial" w:cs="Arial"/>
          <w:sz w:val="22"/>
          <w:szCs w:val="22"/>
          <w:lang w:val="en-US"/>
        </w:rPr>
        <w:t xml:space="preserve">the seminal paper </w:t>
      </w:r>
      <w:r w:rsidRPr="00D701B7">
        <w:rPr>
          <w:rFonts w:ascii="Arial" w:hAnsi="Arial" w:cs="Arial"/>
          <w:sz w:val="22"/>
          <w:szCs w:val="22"/>
          <w:lang w:val="en-US"/>
        </w:rPr>
        <w:t>“</w:t>
      </w:r>
      <w:r w:rsidRPr="00D701B7">
        <w:rPr>
          <w:rFonts w:ascii="Arial" w:hAnsi="Arial" w:cs="Arial"/>
          <w:i/>
          <w:iCs/>
          <w:sz w:val="22"/>
          <w:szCs w:val="22"/>
          <w:lang w:val="en-US"/>
        </w:rPr>
        <w:t>Resolving financial distress: informal reorganization in the Netherlands as a beacon for policy makers in the CIS and CEE/SEE regions?</w:t>
      </w:r>
      <w:r w:rsidRPr="00D701B7">
        <w:rPr>
          <w:rFonts w:ascii="Arial" w:hAnsi="Arial" w:cs="Arial"/>
          <w:sz w:val="22"/>
          <w:szCs w:val="22"/>
          <w:lang w:val="en-US"/>
        </w:rPr>
        <w:t>”,</w:t>
      </w:r>
      <w:r w:rsidRPr="007033A3">
        <w:rPr>
          <w:rStyle w:val="Refdenotaderodap"/>
          <w:rFonts w:ascii="Arial" w:hAnsi="Arial" w:cs="Arial"/>
          <w:sz w:val="22"/>
          <w:szCs w:val="22"/>
        </w:rPr>
        <w:footnoteReference w:id="20"/>
      </w:r>
      <w:r w:rsidRPr="00D701B7">
        <w:rPr>
          <w:rFonts w:ascii="Arial" w:hAnsi="Arial" w:cs="Arial"/>
          <w:sz w:val="22"/>
          <w:szCs w:val="22"/>
          <w:lang w:val="en-US"/>
        </w:rPr>
        <w:t xml:space="preserve"> </w:t>
      </w:r>
      <w:r w:rsidR="00D701B7">
        <w:rPr>
          <w:rFonts w:ascii="Arial" w:hAnsi="Arial" w:cs="Arial"/>
          <w:sz w:val="22"/>
          <w:szCs w:val="22"/>
          <w:lang w:val="en-US"/>
        </w:rPr>
        <w:t xml:space="preserve">by </w:t>
      </w:r>
      <w:r w:rsidRPr="00D701B7">
        <w:rPr>
          <w:rFonts w:ascii="Arial" w:hAnsi="Arial" w:cs="Arial"/>
          <w:sz w:val="22"/>
          <w:szCs w:val="22"/>
          <w:lang w:val="en-US"/>
        </w:rPr>
        <w:t xml:space="preserve">Jan </w:t>
      </w:r>
      <w:proofErr w:type="spellStart"/>
      <w:r w:rsidRPr="00D701B7">
        <w:rPr>
          <w:rFonts w:ascii="Arial" w:hAnsi="Arial" w:cs="Arial"/>
          <w:sz w:val="22"/>
          <w:szCs w:val="22"/>
          <w:lang w:val="en-US"/>
        </w:rPr>
        <w:t>Adriaanse</w:t>
      </w:r>
      <w:proofErr w:type="spellEnd"/>
      <w:r w:rsidRPr="00D701B7">
        <w:rPr>
          <w:rFonts w:ascii="Arial" w:hAnsi="Arial" w:cs="Arial"/>
          <w:sz w:val="22"/>
          <w:szCs w:val="22"/>
          <w:lang w:val="en-US"/>
        </w:rPr>
        <w:t xml:space="preserve"> and Hans </w:t>
      </w:r>
      <w:proofErr w:type="spellStart"/>
      <w:r w:rsidRPr="00D701B7">
        <w:rPr>
          <w:rFonts w:ascii="Arial" w:hAnsi="Arial" w:cs="Arial"/>
          <w:sz w:val="22"/>
          <w:szCs w:val="22"/>
          <w:lang w:val="en-US"/>
        </w:rPr>
        <w:t>Kuijl</w:t>
      </w:r>
      <w:proofErr w:type="spellEnd"/>
      <w:r w:rsidR="00A06EBF">
        <w:rPr>
          <w:rFonts w:ascii="Arial" w:hAnsi="Arial" w:cs="Arial"/>
          <w:sz w:val="22"/>
          <w:szCs w:val="22"/>
          <w:lang w:val="en-US"/>
        </w:rPr>
        <w:t xml:space="preserve">, and works from there to incorporate reorganization approaches offered by </w:t>
      </w:r>
      <w:proofErr w:type="spellStart"/>
      <w:r w:rsidR="00A06EBF">
        <w:rPr>
          <w:rFonts w:ascii="Arial" w:hAnsi="Arial" w:cs="Arial"/>
          <w:sz w:val="22"/>
          <w:szCs w:val="22"/>
          <w:lang w:val="en-US"/>
        </w:rPr>
        <w:t>Kalle</w:t>
      </w:r>
      <w:proofErr w:type="spellEnd"/>
      <w:r w:rsidR="00A06EBF">
        <w:rPr>
          <w:rFonts w:ascii="Arial" w:hAnsi="Arial" w:cs="Arial"/>
          <w:sz w:val="22"/>
          <w:szCs w:val="22"/>
          <w:lang w:val="en-US"/>
        </w:rPr>
        <w:t xml:space="preserve"> </w:t>
      </w:r>
      <w:proofErr w:type="spellStart"/>
      <w:r w:rsidR="00A06EBF">
        <w:rPr>
          <w:rFonts w:ascii="Arial" w:hAnsi="Arial" w:cs="Arial"/>
          <w:sz w:val="22"/>
          <w:szCs w:val="22"/>
          <w:lang w:val="en-US"/>
        </w:rPr>
        <w:t>Pajunen</w:t>
      </w:r>
      <w:proofErr w:type="spellEnd"/>
      <w:r w:rsidR="00A06EBF">
        <w:rPr>
          <w:rFonts w:ascii="Arial" w:hAnsi="Arial" w:cs="Arial"/>
          <w:sz w:val="22"/>
          <w:szCs w:val="22"/>
          <w:lang w:val="en-US"/>
        </w:rPr>
        <w:t>,</w:t>
      </w:r>
      <w:r w:rsidR="00A06EBF">
        <w:rPr>
          <w:rStyle w:val="Refdenotaderodap"/>
          <w:rFonts w:ascii="Arial" w:hAnsi="Arial" w:cs="Arial"/>
          <w:sz w:val="22"/>
          <w:szCs w:val="22"/>
          <w:lang w:val="en-US"/>
        </w:rPr>
        <w:footnoteReference w:id="21"/>
      </w:r>
      <w:r w:rsidR="00A06EBF">
        <w:rPr>
          <w:rFonts w:ascii="Arial" w:hAnsi="Arial" w:cs="Arial"/>
          <w:sz w:val="22"/>
          <w:szCs w:val="22"/>
          <w:lang w:val="en-US"/>
        </w:rPr>
        <w:t xml:space="preserve"> </w:t>
      </w:r>
      <w:proofErr w:type="spellStart"/>
      <w:r w:rsidR="00A06EBF">
        <w:rPr>
          <w:rFonts w:ascii="Arial" w:hAnsi="Arial" w:cs="Arial"/>
          <w:sz w:val="22"/>
          <w:szCs w:val="22"/>
          <w:lang w:val="en-US"/>
        </w:rPr>
        <w:t>Sudi</w:t>
      </w:r>
      <w:proofErr w:type="spellEnd"/>
      <w:r w:rsidR="00A06EBF">
        <w:rPr>
          <w:rFonts w:ascii="Arial" w:hAnsi="Arial" w:cs="Arial"/>
          <w:sz w:val="22"/>
          <w:szCs w:val="22"/>
          <w:lang w:val="en-US"/>
        </w:rPr>
        <w:t xml:space="preserve"> </w:t>
      </w:r>
      <w:proofErr w:type="spellStart"/>
      <w:r w:rsidR="00A06EBF">
        <w:rPr>
          <w:rFonts w:ascii="Arial" w:hAnsi="Arial" w:cs="Arial"/>
          <w:sz w:val="22"/>
          <w:szCs w:val="22"/>
          <w:lang w:val="en-US"/>
        </w:rPr>
        <w:t>Sudarsanam</w:t>
      </w:r>
      <w:proofErr w:type="spellEnd"/>
      <w:r w:rsidR="00A06EBF">
        <w:rPr>
          <w:rFonts w:ascii="Arial" w:hAnsi="Arial" w:cs="Arial"/>
          <w:sz w:val="22"/>
          <w:szCs w:val="22"/>
          <w:lang w:val="en-US"/>
        </w:rPr>
        <w:t xml:space="preserve"> and Jim Lai,</w:t>
      </w:r>
      <w:r w:rsidR="00A06EBF">
        <w:rPr>
          <w:rStyle w:val="Refdenotaderodap"/>
          <w:rFonts w:ascii="Arial" w:hAnsi="Arial" w:cs="Arial"/>
          <w:sz w:val="22"/>
          <w:szCs w:val="22"/>
          <w:lang w:val="en-US"/>
        </w:rPr>
        <w:footnoteReference w:id="22"/>
      </w:r>
      <w:r w:rsidR="00A06EBF">
        <w:rPr>
          <w:rFonts w:ascii="Arial" w:hAnsi="Arial" w:cs="Arial"/>
          <w:sz w:val="22"/>
          <w:szCs w:val="22"/>
          <w:lang w:val="en-US"/>
        </w:rPr>
        <w:t xml:space="preserve"> and Achim Schmitt and Sebastian </w:t>
      </w:r>
      <w:proofErr w:type="spellStart"/>
      <w:r w:rsidR="00A06EBF">
        <w:rPr>
          <w:rFonts w:ascii="Arial" w:hAnsi="Arial" w:cs="Arial"/>
          <w:sz w:val="22"/>
          <w:szCs w:val="22"/>
          <w:lang w:val="en-US"/>
        </w:rPr>
        <w:t>Raisch</w:t>
      </w:r>
      <w:proofErr w:type="spellEnd"/>
      <w:r w:rsidR="00D701B7">
        <w:rPr>
          <w:rFonts w:ascii="Arial" w:hAnsi="Arial" w:cs="Arial"/>
          <w:sz w:val="22"/>
          <w:szCs w:val="22"/>
          <w:lang w:val="en-US"/>
        </w:rPr>
        <w:t>.</w:t>
      </w:r>
      <w:r w:rsidR="00A06EBF">
        <w:rPr>
          <w:rStyle w:val="Refdenotaderodap"/>
          <w:rFonts w:ascii="Arial" w:hAnsi="Arial" w:cs="Arial"/>
          <w:sz w:val="22"/>
          <w:szCs w:val="22"/>
          <w:lang w:val="en-US"/>
        </w:rPr>
        <w:footnoteReference w:id="23"/>
      </w:r>
      <w:r w:rsidR="001F5E61" w:rsidRPr="00D701B7">
        <w:rPr>
          <w:rFonts w:ascii="Arial" w:hAnsi="Arial" w:cs="Arial"/>
          <w:sz w:val="22"/>
          <w:szCs w:val="22"/>
          <w:lang w:val="en-US"/>
        </w:rPr>
        <w:t xml:space="preserve"> </w:t>
      </w:r>
    </w:p>
    <w:p w14:paraId="6B2FCDFD" w14:textId="77777777" w:rsidR="00A06EBF" w:rsidRDefault="00A06EBF" w:rsidP="000519CE">
      <w:pPr>
        <w:pStyle w:val="PargrafodaLista"/>
        <w:tabs>
          <w:tab w:val="left" w:pos="567"/>
        </w:tabs>
        <w:ind w:left="0"/>
        <w:jc w:val="both"/>
        <w:rPr>
          <w:rFonts w:ascii="Arial" w:hAnsi="Arial" w:cs="Arial"/>
          <w:sz w:val="22"/>
          <w:szCs w:val="22"/>
          <w:lang w:val="en-US"/>
        </w:rPr>
      </w:pPr>
    </w:p>
    <w:p w14:paraId="73E7878A" w14:textId="78AA412C" w:rsidR="00051C79" w:rsidRPr="00D701B7" w:rsidRDefault="00D701B7" w:rsidP="000519CE">
      <w:pPr>
        <w:pStyle w:val="PargrafodaLista"/>
        <w:numPr>
          <w:ilvl w:val="0"/>
          <w:numId w:val="19"/>
        </w:numPr>
        <w:tabs>
          <w:tab w:val="left" w:pos="567"/>
        </w:tabs>
        <w:ind w:left="0" w:firstLine="0"/>
        <w:jc w:val="both"/>
        <w:rPr>
          <w:rFonts w:ascii="Arial" w:hAnsi="Arial" w:cs="Arial"/>
          <w:sz w:val="22"/>
          <w:szCs w:val="22"/>
          <w:lang w:val="en-US"/>
        </w:rPr>
      </w:pPr>
      <w:r>
        <w:rPr>
          <w:rFonts w:ascii="Arial" w:hAnsi="Arial" w:cs="Arial"/>
          <w:sz w:val="22"/>
          <w:szCs w:val="22"/>
          <w:lang w:val="en-US"/>
        </w:rPr>
        <w:t xml:space="preserve">The </w:t>
      </w:r>
      <w:r w:rsidR="00A06EBF">
        <w:rPr>
          <w:rFonts w:ascii="Arial" w:hAnsi="Arial" w:cs="Arial"/>
          <w:sz w:val="22"/>
          <w:szCs w:val="22"/>
          <w:lang w:val="en-US"/>
        </w:rPr>
        <w:t xml:space="preserve">aforementioned paper </w:t>
      </w:r>
      <w:r w:rsidR="001F5E61" w:rsidRPr="00D701B7">
        <w:rPr>
          <w:rFonts w:ascii="Arial" w:hAnsi="Arial" w:cs="Arial"/>
          <w:sz w:val="22"/>
          <w:szCs w:val="22"/>
          <w:lang w:val="en-US"/>
        </w:rPr>
        <w:t>focus</w:t>
      </w:r>
      <w:r w:rsidR="00A06EBF">
        <w:rPr>
          <w:rFonts w:ascii="Arial" w:hAnsi="Arial" w:cs="Arial"/>
          <w:sz w:val="22"/>
          <w:szCs w:val="22"/>
          <w:lang w:val="en-US"/>
        </w:rPr>
        <w:t>es</w:t>
      </w:r>
      <w:r w:rsidR="001F5E61" w:rsidRPr="00D701B7">
        <w:rPr>
          <w:rFonts w:ascii="Arial" w:hAnsi="Arial" w:cs="Arial"/>
          <w:sz w:val="22"/>
          <w:szCs w:val="22"/>
          <w:lang w:val="en-US"/>
        </w:rPr>
        <w:t xml:space="preserve"> on informal </w:t>
      </w:r>
      <w:r w:rsidR="00003319" w:rsidRPr="00D701B7">
        <w:rPr>
          <w:rFonts w:ascii="Arial" w:hAnsi="Arial" w:cs="Arial"/>
          <w:sz w:val="22"/>
          <w:szCs w:val="22"/>
          <w:lang w:val="en-US"/>
        </w:rPr>
        <w:t>reorganizations</w:t>
      </w:r>
      <w:r w:rsidR="001F5E61" w:rsidRPr="00D701B7">
        <w:rPr>
          <w:rFonts w:ascii="Arial" w:hAnsi="Arial" w:cs="Arial"/>
          <w:sz w:val="22"/>
          <w:szCs w:val="22"/>
          <w:lang w:val="en-US"/>
        </w:rPr>
        <w:t xml:space="preserve">, </w:t>
      </w:r>
      <w:r w:rsidR="00003319" w:rsidRPr="00D701B7">
        <w:rPr>
          <w:rFonts w:ascii="Arial" w:hAnsi="Arial" w:cs="Arial"/>
          <w:sz w:val="22"/>
          <w:szCs w:val="22"/>
          <w:lang w:val="en-US"/>
        </w:rPr>
        <w:t>which</w:t>
      </w:r>
      <w:r w:rsidR="001F5E61" w:rsidRPr="00D701B7">
        <w:rPr>
          <w:rFonts w:ascii="Arial" w:hAnsi="Arial" w:cs="Arial"/>
          <w:sz w:val="22"/>
          <w:szCs w:val="22"/>
          <w:lang w:val="en-US"/>
        </w:rPr>
        <w:t xml:space="preserve"> are not bound by </w:t>
      </w:r>
      <w:r w:rsidR="00BC40E5" w:rsidRPr="00D701B7">
        <w:rPr>
          <w:rFonts w:ascii="Arial" w:hAnsi="Arial" w:cs="Arial"/>
          <w:sz w:val="22"/>
          <w:szCs w:val="22"/>
          <w:lang w:val="en-US"/>
        </w:rPr>
        <w:t>statutory</w:t>
      </w:r>
      <w:r w:rsidR="001F5E61" w:rsidRPr="00D701B7">
        <w:rPr>
          <w:rFonts w:ascii="Arial" w:hAnsi="Arial" w:cs="Arial"/>
          <w:sz w:val="22"/>
          <w:szCs w:val="22"/>
          <w:lang w:val="en-US"/>
        </w:rPr>
        <w:t xml:space="preserve"> </w:t>
      </w:r>
      <w:r w:rsidR="003B72E8" w:rsidRPr="00D701B7">
        <w:rPr>
          <w:rFonts w:ascii="Arial" w:hAnsi="Arial" w:cs="Arial"/>
          <w:sz w:val="22"/>
          <w:szCs w:val="22"/>
          <w:lang w:val="en-US"/>
        </w:rPr>
        <w:t xml:space="preserve">insolvency </w:t>
      </w:r>
      <w:r w:rsidR="001F5E61" w:rsidRPr="00D701B7">
        <w:rPr>
          <w:rFonts w:ascii="Arial" w:hAnsi="Arial" w:cs="Arial"/>
          <w:sz w:val="22"/>
          <w:szCs w:val="22"/>
          <w:lang w:val="en-US"/>
        </w:rPr>
        <w:t>legislation</w:t>
      </w:r>
      <w:r w:rsidR="003B72E8" w:rsidRPr="00D701B7">
        <w:rPr>
          <w:rFonts w:ascii="Arial" w:hAnsi="Arial" w:cs="Arial"/>
          <w:sz w:val="22"/>
          <w:szCs w:val="22"/>
          <w:lang w:val="en-US"/>
        </w:rPr>
        <w:t xml:space="preserve"> (</w:t>
      </w:r>
      <w:r w:rsidR="003B72E8" w:rsidRPr="00D701B7">
        <w:rPr>
          <w:rFonts w:ascii="Arial" w:hAnsi="Arial" w:cs="Arial"/>
          <w:i/>
          <w:iCs/>
          <w:sz w:val="22"/>
          <w:szCs w:val="22"/>
          <w:lang w:val="en-US"/>
        </w:rPr>
        <w:t>in the shadow of the law</w:t>
      </w:r>
      <w:r w:rsidR="003B72E8" w:rsidRPr="00D701B7">
        <w:rPr>
          <w:rFonts w:ascii="Arial" w:hAnsi="Arial" w:cs="Arial"/>
          <w:sz w:val="22"/>
          <w:szCs w:val="22"/>
          <w:lang w:val="en-US"/>
        </w:rPr>
        <w:t>, as the authors put it)</w:t>
      </w:r>
      <w:r w:rsidR="001F5E61" w:rsidRPr="00D701B7">
        <w:rPr>
          <w:rFonts w:ascii="Arial" w:hAnsi="Arial" w:cs="Arial"/>
          <w:sz w:val="22"/>
          <w:szCs w:val="22"/>
          <w:lang w:val="en-US"/>
        </w:rPr>
        <w:t>,</w:t>
      </w:r>
      <w:r w:rsidR="00F0006D" w:rsidRPr="00D701B7">
        <w:rPr>
          <w:rFonts w:ascii="Arial" w:hAnsi="Arial" w:cs="Arial"/>
          <w:sz w:val="22"/>
          <w:szCs w:val="22"/>
          <w:lang w:val="en-US"/>
        </w:rPr>
        <w:t xml:space="preserve"> that are aimed at rescuing the debtor from financial distress.</w:t>
      </w:r>
      <w:r w:rsidR="001F5E61" w:rsidRPr="00D701B7">
        <w:rPr>
          <w:rFonts w:ascii="Arial" w:hAnsi="Arial" w:cs="Arial"/>
          <w:sz w:val="22"/>
          <w:szCs w:val="22"/>
          <w:lang w:val="en-US"/>
        </w:rPr>
        <w:t xml:space="preserve"> </w:t>
      </w:r>
      <w:r w:rsidR="00F0006D" w:rsidRPr="00D701B7">
        <w:rPr>
          <w:rFonts w:ascii="Arial" w:hAnsi="Arial" w:cs="Arial"/>
          <w:sz w:val="22"/>
          <w:szCs w:val="22"/>
          <w:lang w:val="en-US"/>
        </w:rPr>
        <w:t>Informal reorganizations</w:t>
      </w:r>
      <w:r>
        <w:rPr>
          <w:rFonts w:ascii="Arial" w:hAnsi="Arial" w:cs="Arial"/>
          <w:sz w:val="22"/>
          <w:szCs w:val="22"/>
          <w:lang w:val="en-US"/>
        </w:rPr>
        <w:t>, therefore,</w:t>
      </w:r>
      <w:r w:rsidR="00F0006D" w:rsidRPr="00D701B7">
        <w:rPr>
          <w:rFonts w:ascii="Arial" w:hAnsi="Arial" w:cs="Arial"/>
          <w:sz w:val="22"/>
          <w:szCs w:val="22"/>
          <w:lang w:val="en-US"/>
        </w:rPr>
        <w:t xml:space="preserve"> </w:t>
      </w:r>
      <w:r>
        <w:rPr>
          <w:rFonts w:ascii="Arial" w:hAnsi="Arial" w:cs="Arial"/>
          <w:sz w:val="22"/>
          <w:szCs w:val="22"/>
          <w:lang w:val="en-US"/>
        </w:rPr>
        <w:t xml:space="preserve">may </w:t>
      </w:r>
      <w:r w:rsidR="00995003" w:rsidRPr="00D701B7">
        <w:rPr>
          <w:rFonts w:ascii="Arial" w:hAnsi="Arial" w:cs="Arial"/>
          <w:sz w:val="22"/>
          <w:szCs w:val="22"/>
          <w:lang w:val="en-US"/>
        </w:rPr>
        <w:t xml:space="preserve">consist of a </w:t>
      </w:r>
      <w:r w:rsidR="00694CE5" w:rsidRPr="00D701B7">
        <w:rPr>
          <w:rFonts w:ascii="Arial" w:hAnsi="Arial" w:cs="Arial"/>
          <w:sz w:val="22"/>
          <w:szCs w:val="22"/>
          <w:lang w:val="en-US"/>
        </w:rPr>
        <w:t>business restructuring and a financial restructuring</w:t>
      </w:r>
      <w:r w:rsidR="00F0006D" w:rsidRPr="00D701B7">
        <w:rPr>
          <w:rFonts w:ascii="Arial" w:hAnsi="Arial" w:cs="Arial"/>
          <w:sz w:val="22"/>
          <w:szCs w:val="22"/>
          <w:lang w:val="en-US"/>
        </w:rPr>
        <w:t>:</w:t>
      </w:r>
    </w:p>
    <w:p w14:paraId="0E3AF524" w14:textId="235361CE" w:rsidR="00F0006D" w:rsidRPr="007033A3" w:rsidRDefault="00F0006D" w:rsidP="007033A3">
      <w:pPr>
        <w:pStyle w:val="PargrafodaLista"/>
        <w:rPr>
          <w:rFonts w:ascii="Arial" w:hAnsi="Arial" w:cs="Arial"/>
          <w:sz w:val="22"/>
          <w:szCs w:val="22"/>
          <w:lang w:val="en-US"/>
        </w:rPr>
      </w:pPr>
    </w:p>
    <w:p w14:paraId="601ACF73" w14:textId="77777777" w:rsidR="0088102B" w:rsidRPr="007033A3" w:rsidRDefault="00F0006D" w:rsidP="000519CE">
      <w:pPr>
        <w:pStyle w:val="PargrafodaLista"/>
        <w:numPr>
          <w:ilvl w:val="0"/>
          <w:numId w:val="30"/>
        </w:numPr>
        <w:tabs>
          <w:tab w:val="left" w:pos="1134"/>
        </w:tabs>
        <w:ind w:left="567" w:firstLine="0"/>
        <w:jc w:val="both"/>
        <w:rPr>
          <w:rFonts w:ascii="Arial" w:hAnsi="Arial" w:cs="Arial"/>
          <w:sz w:val="22"/>
          <w:szCs w:val="22"/>
          <w:lang w:val="en-US"/>
        </w:rPr>
      </w:pPr>
      <w:r w:rsidRPr="007033A3">
        <w:rPr>
          <w:rFonts w:ascii="Arial" w:hAnsi="Arial" w:cs="Arial"/>
          <w:sz w:val="22"/>
          <w:szCs w:val="22"/>
          <w:u w:val="single"/>
          <w:lang w:val="en-US"/>
        </w:rPr>
        <w:t>Business restructuring</w:t>
      </w:r>
      <w:r w:rsidRPr="007033A3">
        <w:rPr>
          <w:rFonts w:ascii="Arial" w:hAnsi="Arial" w:cs="Arial"/>
          <w:sz w:val="22"/>
          <w:szCs w:val="22"/>
          <w:lang w:val="en-US"/>
        </w:rPr>
        <w:t>.</w:t>
      </w:r>
      <w:r w:rsidR="0088102B" w:rsidRPr="007033A3">
        <w:rPr>
          <w:rFonts w:ascii="Arial" w:hAnsi="Arial" w:cs="Arial"/>
          <w:sz w:val="22"/>
          <w:szCs w:val="22"/>
          <w:lang w:val="en-US"/>
        </w:rPr>
        <w:t xml:space="preserve"> Also known as turnaround, a business restructuring is “</w:t>
      </w:r>
      <w:r w:rsidR="0088102B" w:rsidRPr="007033A3">
        <w:rPr>
          <w:rFonts w:ascii="Arial" w:hAnsi="Arial" w:cs="Arial"/>
          <w:i/>
          <w:iCs/>
          <w:sz w:val="22"/>
          <w:szCs w:val="22"/>
          <w:lang w:val="en-US"/>
        </w:rPr>
        <w:t>a comprehensive plan the aim of which is to restore the (operational) profitability of a company in financial difficulties</w:t>
      </w:r>
      <w:r w:rsidR="0088102B" w:rsidRPr="007033A3">
        <w:rPr>
          <w:rFonts w:ascii="Arial" w:hAnsi="Arial" w:cs="Arial"/>
          <w:sz w:val="22"/>
          <w:szCs w:val="22"/>
          <w:lang w:val="en-US"/>
        </w:rPr>
        <w:t>”,</w:t>
      </w:r>
      <w:r w:rsidR="0088102B" w:rsidRPr="007033A3">
        <w:rPr>
          <w:rStyle w:val="Refdenotaderodap"/>
          <w:rFonts w:ascii="Arial" w:hAnsi="Arial" w:cs="Arial"/>
          <w:sz w:val="22"/>
          <w:szCs w:val="22"/>
        </w:rPr>
        <w:footnoteReference w:id="24"/>
      </w:r>
      <w:r w:rsidR="0088102B" w:rsidRPr="007033A3">
        <w:rPr>
          <w:rFonts w:ascii="Arial" w:hAnsi="Arial" w:cs="Arial"/>
          <w:sz w:val="22"/>
          <w:szCs w:val="22"/>
          <w:lang w:val="en-US"/>
        </w:rPr>
        <w:t xml:space="preserve"> and can be divided into four (4) phases: </w:t>
      </w:r>
    </w:p>
    <w:p w14:paraId="40ED7275" w14:textId="77777777" w:rsidR="0088102B" w:rsidRPr="007033A3" w:rsidRDefault="0088102B" w:rsidP="007033A3">
      <w:pPr>
        <w:pStyle w:val="PargrafodaLista"/>
        <w:tabs>
          <w:tab w:val="left" w:pos="1701"/>
        </w:tabs>
        <w:ind w:left="1800"/>
        <w:jc w:val="both"/>
        <w:rPr>
          <w:rFonts w:ascii="Arial" w:hAnsi="Arial" w:cs="Arial"/>
          <w:sz w:val="22"/>
          <w:szCs w:val="22"/>
          <w:lang w:val="en-US"/>
        </w:rPr>
      </w:pPr>
    </w:p>
    <w:p w14:paraId="5AF11D7E" w14:textId="08D05B27" w:rsidR="0088102B" w:rsidRPr="007033A3" w:rsidRDefault="0088102B" w:rsidP="000519CE">
      <w:pPr>
        <w:pStyle w:val="PargrafodaLista"/>
        <w:numPr>
          <w:ilvl w:val="1"/>
          <w:numId w:val="30"/>
        </w:numPr>
        <w:tabs>
          <w:tab w:val="left" w:pos="1701"/>
          <w:tab w:val="left" w:pos="2268"/>
        </w:tabs>
        <w:ind w:left="1134" w:firstLine="0"/>
        <w:jc w:val="both"/>
        <w:rPr>
          <w:rFonts w:ascii="Arial" w:hAnsi="Arial" w:cs="Arial"/>
          <w:sz w:val="22"/>
          <w:szCs w:val="22"/>
          <w:lang w:val="en-US"/>
        </w:rPr>
      </w:pPr>
      <w:r w:rsidRPr="007033A3">
        <w:rPr>
          <w:rFonts w:ascii="Arial" w:hAnsi="Arial" w:cs="Arial"/>
          <w:sz w:val="22"/>
          <w:szCs w:val="22"/>
          <w:u w:val="single"/>
          <w:lang w:val="en-US"/>
        </w:rPr>
        <w:t>Stabilizing</w:t>
      </w:r>
      <w:r w:rsidRPr="007033A3">
        <w:rPr>
          <w:rFonts w:ascii="Arial" w:hAnsi="Arial" w:cs="Arial"/>
          <w:sz w:val="22"/>
          <w:szCs w:val="22"/>
          <w:lang w:val="en-US"/>
        </w:rPr>
        <w:t xml:space="preserve">, whereby management is tasked at identifying the crucial issues and critical problems that need to be immediately resolved to stabilize the debtor’s situation, to promote an increase in their cash flow and consequently allow the debtor to satisfy impending financial obligations. A few actions may be carried out by management to further this end, such as (1) cutbacks in expenditure, (2) </w:t>
      </w:r>
      <w:r w:rsidRPr="007033A3">
        <w:rPr>
          <w:rFonts w:ascii="Arial" w:hAnsi="Arial" w:cs="Arial"/>
          <w:sz w:val="22"/>
          <w:szCs w:val="22"/>
          <w:lang w:val="en-US"/>
        </w:rPr>
        <w:lastRenderedPageBreak/>
        <w:t>optimizing the stock situation (i.e., selling off excessive stock), (3) optimizing turnover times of the accounts receivable, (4) divestment of excessive assets and (5) optimizing financing arrangements (i.e., extending payment schedules).</w:t>
      </w:r>
      <w:r w:rsidRPr="007033A3">
        <w:rPr>
          <w:rStyle w:val="Refdenotaderodap"/>
          <w:rFonts w:ascii="Arial" w:hAnsi="Arial" w:cs="Arial"/>
          <w:sz w:val="22"/>
          <w:szCs w:val="22"/>
        </w:rPr>
        <w:footnoteReference w:id="25"/>
      </w:r>
      <w:r w:rsidR="00AA5B8F" w:rsidRPr="00B16D89">
        <w:rPr>
          <w:rFonts w:ascii="Arial" w:hAnsi="Arial" w:cs="Arial"/>
          <w:sz w:val="22"/>
          <w:szCs w:val="22"/>
          <w:vertAlign w:val="superscript"/>
          <w:lang w:val="en-US"/>
        </w:rPr>
        <w:t>-</w:t>
      </w:r>
      <w:r w:rsidR="00AA5B8F">
        <w:rPr>
          <w:rStyle w:val="Refdenotaderodap"/>
          <w:rFonts w:ascii="Arial" w:hAnsi="Arial" w:cs="Arial"/>
          <w:sz w:val="22"/>
          <w:szCs w:val="22"/>
          <w:lang w:val="en-US"/>
        </w:rPr>
        <w:footnoteReference w:id="26"/>
      </w:r>
    </w:p>
    <w:p w14:paraId="02ACEBB5" w14:textId="3EDB214C" w:rsidR="00AD1DAB" w:rsidRPr="007033A3" w:rsidRDefault="00AD1DAB" w:rsidP="000519CE">
      <w:pPr>
        <w:pStyle w:val="PargrafodaLista"/>
        <w:tabs>
          <w:tab w:val="left" w:pos="1701"/>
          <w:tab w:val="left" w:pos="2268"/>
        </w:tabs>
        <w:ind w:left="1134"/>
        <w:jc w:val="both"/>
        <w:rPr>
          <w:rFonts w:ascii="Arial" w:hAnsi="Arial" w:cs="Arial"/>
          <w:sz w:val="22"/>
          <w:szCs w:val="22"/>
          <w:u w:val="single"/>
          <w:lang w:val="en-US"/>
        </w:rPr>
      </w:pPr>
    </w:p>
    <w:p w14:paraId="77993055" w14:textId="5BD538DF" w:rsidR="00AD1DAB" w:rsidRDefault="00AD1DAB" w:rsidP="000519CE">
      <w:pPr>
        <w:pStyle w:val="PargrafodaLista"/>
        <w:tabs>
          <w:tab w:val="left" w:pos="1701"/>
          <w:tab w:val="left" w:pos="2268"/>
        </w:tabs>
        <w:ind w:left="1134"/>
        <w:jc w:val="both"/>
        <w:rPr>
          <w:rFonts w:ascii="Arial" w:hAnsi="Arial" w:cs="Arial"/>
          <w:sz w:val="22"/>
          <w:szCs w:val="22"/>
          <w:lang w:val="en-US"/>
        </w:rPr>
      </w:pPr>
      <w:r w:rsidRPr="007033A3">
        <w:rPr>
          <w:rFonts w:ascii="Arial" w:hAnsi="Arial" w:cs="Arial"/>
          <w:sz w:val="22"/>
          <w:szCs w:val="22"/>
          <w:lang w:val="en-US"/>
        </w:rPr>
        <w:t xml:space="preserve">In the Flow Management Group’s case, </w:t>
      </w:r>
      <w:r w:rsidR="00B17E66" w:rsidRPr="007033A3">
        <w:rPr>
          <w:rFonts w:ascii="Arial" w:hAnsi="Arial" w:cs="Arial"/>
          <w:sz w:val="22"/>
          <w:szCs w:val="22"/>
          <w:lang w:val="en-US"/>
        </w:rPr>
        <w:t>in December 2013, shortly after the first indications of financial distress in November 2013, the debtor carrie</w:t>
      </w:r>
      <w:r w:rsidR="009903AC" w:rsidRPr="007033A3">
        <w:rPr>
          <w:rFonts w:ascii="Arial" w:hAnsi="Arial" w:cs="Arial"/>
          <w:sz w:val="22"/>
          <w:szCs w:val="22"/>
          <w:lang w:val="en-US"/>
        </w:rPr>
        <w:t>d</w:t>
      </w:r>
      <w:r w:rsidR="00B17E66" w:rsidRPr="007033A3">
        <w:rPr>
          <w:rFonts w:ascii="Arial" w:hAnsi="Arial" w:cs="Arial"/>
          <w:sz w:val="22"/>
          <w:szCs w:val="22"/>
          <w:lang w:val="en-US"/>
        </w:rPr>
        <w:t xml:space="preserve"> out cutbacks in expenditures, la</w:t>
      </w:r>
      <w:r w:rsidR="00871EEB" w:rsidRPr="007033A3">
        <w:rPr>
          <w:rFonts w:ascii="Arial" w:hAnsi="Arial" w:cs="Arial"/>
          <w:sz w:val="22"/>
          <w:szCs w:val="22"/>
          <w:lang w:val="en-US"/>
        </w:rPr>
        <w:t>id</w:t>
      </w:r>
      <w:r w:rsidR="00B17E66" w:rsidRPr="007033A3">
        <w:rPr>
          <w:rFonts w:ascii="Arial" w:hAnsi="Arial" w:cs="Arial"/>
          <w:sz w:val="22"/>
          <w:szCs w:val="22"/>
          <w:lang w:val="en-US"/>
        </w:rPr>
        <w:t xml:space="preserve"> off 130 employees and independent contractors</w:t>
      </w:r>
      <w:r w:rsidR="00871EEB" w:rsidRPr="007033A3">
        <w:rPr>
          <w:rFonts w:ascii="Arial" w:hAnsi="Arial" w:cs="Arial"/>
          <w:sz w:val="22"/>
          <w:szCs w:val="22"/>
          <w:lang w:val="en-US"/>
        </w:rPr>
        <w:t xml:space="preserve">, </w:t>
      </w:r>
      <w:r w:rsidR="00B17E66" w:rsidRPr="007033A3">
        <w:rPr>
          <w:rFonts w:ascii="Arial" w:hAnsi="Arial" w:cs="Arial"/>
          <w:sz w:val="22"/>
          <w:szCs w:val="22"/>
          <w:lang w:val="en-US"/>
        </w:rPr>
        <w:t>implement</w:t>
      </w:r>
      <w:r w:rsidR="00871EEB" w:rsidRPr="007033A3">
        <w:rPr>
          <w:rFonts w:ascii="Arial" w:hAnsi="Arial" w:cs="Arial"/>
          <w:sz w:val="22"/>
          <w:szCs w:val="22"/>
          <w:lang w:val="en-US"/>
        </w:rPr>
        <w:t>ed</w:t>
      </w:r>
      <w:r w:rsidR="00B17E66" w:rsidRPr="007033A3">
        <w:rPr>
          <w:rFonts w:ascii="Arial" w:hAnsi="Arial" w:cs="Arial"/>
          <w:sz w:val="22"/>
          <w:szCs w:val="22"/>
          <w:lang w:val="en-US"/>
        </w:rPr>
        <w:t xml:space="preserve"> extra savings</w:t>
      </w:r>
      <w:r w:rsidR="00871EEB" w:rsidRPr="007033A3">
        <w:rPr>
          <w:rFonts w:ascii="Arial" w:hAnsi="Arial" w:cs="Arial"/>
          <w:sz w:val="22"/>
          <w:szCs w:val="22"/>
          <w:lang w:val="en-US"/>
        </w:rPr>
        <w:t xml:space="preserve"> and </w:t>
      </w:r>
      <w:r w:rsidR="00871EEB" w:rsidRPr="007033A3">
        <w:rPr>
          <w:rFonts w:ascii="Arial" w:hAnsi="Arial" w:cs="Arial"/>
          <w:sz w:val="22"/>
          <w:szCs w:val="22"/>
          <w:lang w:val="en-US"/>
        </w:rPr>
        <w:t>raised prices</w:t>
      </w:r>
      <w:r w:rsidR="00871EEB" w:rsidRPr="007033A3">
        <w:rPr>
          <w:rFonts w:ascii="Arial" w:hAnsi="Arial" w:cs="Arial"/>
          <w:sz w:val="22"/>
          <w:szCs w:val="22"/>
          <w:lang w:val="en-US"/>
        </w:rPr>
        <w:t>,</w:t>
      </w:r>
      <w:r w:rsidR="00871EEB" w:rsidRPr="007033A3">
        <w:rPr>
          <w:rFonts w:ascii="Arial" w:hAnsi="Arial" w:cs="Arial"/>
          <w:sz w:val="22"/>
          <w:szCs w:val="22"/>
          <w:lang w:val="en-US"/>
        </w:rPr>
        <w:t xml:space="preserve"> to reflect a correct cost-price calculation</w:t>
      </w:r>
      <w:r w:rsidR="00B17E66" w:rsidRPr="007033A3">
        <w:rPr>
          <w:rFonts w:ascii="Arial" w:hAnsi="Arial" w:cs="Arial"/>
          <w:sz w:val="22"/>
          <w:szCs w:val="22"/>
          <w:lang w:val="en-US"/>
        </w:rPr>
        <w:t>.</w:t>
      </w:r>
      <w:r w:rsidR="009903AC" w:rsidRPr="007033A3">
        <w:rPr>
          <w:rFonts w:ascii="Arial" w:hAnsi="Arial" w:cs="Arial"/>
          <w:sz w:val="22"/>
          <w:szCs w:val="22"/>
          <w:lang w:val="en-US"/>
        </w:rPr>
        <w:t xml:space="preserve"> The Group of Banks have also implicitly agreed to allow the debtor to miss a scheduled repayment of € 35 million on 31</w:t>
      </w:r>
      <w:r w:rsidR="00871EEB" w:rsidRPr="007033A3">
        <w:rPr>
          <w:rFonts w:ascii="Arial" w:hAnsi="Arial" w:cs="Arial"/>
          <w:sz w:val="22"/>
          <w:szCs w:val="22"/>
          <w:lang w:val="en-US"/>
        </w:rPr>
        <w:t> </w:t>
      </w:r>
      <w:r w:rsidR="009903AC" w:rsidRPr="007033A3">
        <w:rPr>
          <w:rFonts w:ascii="Arial" w:hAnsi="Arial" w:cs="Arial"/>
          <w:sz w:val="22"/>
          <w:szCs w:val="22"/>
          <w:lang w:val="en-US"/>
        </w:rPr>
        <w:t>December 2013</w:t>
      </w:r>
      <w:r w:rsidR="00433112">
        <w:rPr>
          <w:rFonts w:ascii="Arial" w:hAnsi="Arial" w:cs="Arial"/>
          <w:sz w:val="22"/>
          <w:szCs w:val="22"/>
          <w:lang w:val="en-US"/>
        </w:rPr>
        <w:t xml:space="preserve"> – as governing stakeholders,</w:t>
      </w:r>
      <w:r w:rsidR="00433112">
        <w:rPr>
          <w:rStyle w:val="Refdenotaderodap"/>
          <w:rFonts w:ascii="Arial" w:hAnsi="Arial" w:cs="Arial"/>
          <w:sz w:val="22"/>
          <w:szCs w:val="22"/>
          <w:lang w:val="en-US"/>
        </w:rPr>
        <w:footnoteReference w:id="27"/>
      </w:r>
      <w:r w:rsidR="00433112">
        <w:rPr>
          <w:rFonts w:ascii="Arial" w:hAnsi="Arial" w:cs="Arial"/>
          <w:sz w:val="22"/>
          <w:szCs w:val="22"/>
          <w:lang w:val="en-US"/>
        </w:rPr>
        <w:t xml:space="preserve"> as defined by </w:t>
      </w:r>
      <w:proofErr w:type="spellStart"/>
      <w:r w:rsidR="00433112">
        <w:rPr>
          <w:rFonts w:ascii="Arial" w:hAnsi="Arial" w:cs="Arial"/>
          <w:sz w:val="22"/>
          <w:szCs w:val="22"/>
          <w:lang w:val="en-US"/>
        </w:rPr>
        <w:t>Kalle</w:t>
      </w:r>
      <w:proofErr w:type="spellEnd"/>
      <w:r w:rsidR="00433112">
        <w:rPr>
          <w:rFonts w:ascii="Arial" w:hAnsi="Arial" w:cs="Arial"/>
          <w:sz w:val="22"/>
          <w:szCs w:val="22"/>
          <w:lang w:val="en-US"/>
        </w:rPr>
        <w:t xml:space="preserve"> </w:t>
      </w:r>
      <w:proofErr w:type="spellStart"/>
      <w:r w:rsidR="00433112">
        <w:rPr>
          <w:rFonts w:ascii="Arial" w:hAnsi="Arial" w:cs="Arial"/>
          <w:sz w:val="22"/>
          <w:szCs w:val="22"/>
          <w:lang w:val="en-US"/>
        </w:rPr>
        <w:t>Pajunen</w:t>
      </w:r>
      <w:proofErr w:type="spellEnd"/>
      <w:r w:rsidR="00433112">
        <w:rPr>
          <w:rFonts w:ascii="Arial" w:hAnsi="Arial" w:cs="Arial"/>
          <w:sz w:val="22"/>
          <w:szCs w:val="22"/>
          <w:lang w:val="en-US"/>
        </w:rPr>
        <w:t>, the more secure their continuing support “</w:t>
      </w:r>
      <w:r w:rsidR="00433112" w:rsidRPr="00433112">
        <w:rPr>
          <w:rFonts w:ascii="Arial" w:hAnsi="Arial" w:cs="Arial"/>
          <w:i/>
          <w:iCs/>
          <w:sz w:val="22"/>
          <w:szCs w:val="22"/>
          <w:lang w:val="en-US"/>
        </w:rPr>
        <w:t>in an existence-threatening crisis, the more probable is organizational survival</w:t>
      </w:r>
      <w:r w:rsidR="00433112">
        <w:rPr>
          <w:rFonts w:ascii="Arial" w:hAnsi="Arial" w:cs="Arial"/>
          <w:sz w:val="22"/>
          <w:szCs w:val="22"/>
          <w:lang w:val="en-US"/>
        </w:rPr>
        <w:t>”</w:t>
      </w:r>
      <w:r w:rsidR="009903AC" w:rsidRPr="007033A3">
        <w:rPr>
          <w:rFonts w:ascii="Arial" w:hAnsi="Arial" w:cs="Arial"/>
          <w:sz w:val="22"/>
          <w:szCs w:val="22"/>
          <w:lang w:val="en-US"/>
        </w:rPr>
        <w:t>.</w:t>
      </w:r>
      <w:r w:rsidR="00433112">
        <w:rPr>
          <w:rStyle w:val="Refdenotaderodap"/>
          <w:rFonts w:ascii="Arial" w:hAnsi="Arial" w:cs="Arial"/>
          <w:sz w:val="22"/>
          <w:szCs w:val="22"/>
          <w:lang w:val="en-US"/>
        </w:rPr>
        <w:footnoteReference w:id="28"/>
      </w:r>
    </w:p>
    <w:p w14:paraId="1DF3AC23" w14:textId="281F8E7D" w:rsidR="00A972F1" w:rsidRDefault="00A972F1" w:rsidP="000519CE">
      <w:pPr>
        <w:pStyle w:val="PargrafodaLista"/>
        <w:tabs>
          <w:tab w:val="left" w:pos="1701"/>
          <w:tab w:val="left" w:pos="2268"/>
        </w:tabs>
        <w:ind w:left="1134"/>
        <w:jc w:val="both"/>
        <w:rPr>
          <w:rFonts w:ascii="Arial" w:hAnsi="Arial" w:cs="Arial"/>
          <w:sz w:val="22"/>
          <w:szCs w:val="22"/>
          <w:lang w:val="en-US"/>
        </w:rPr>
      </w:pPr>
    </w:p>
    <w:p w14:paraId="5DAA07BB" w14:textId="724ECF99" w:rsidR="00A972F1" w:rsidRPr="007033A3" w:rsidRDefault="00A972F1" w:rsidP="000519CE">
      <w:pPr>
        <w:pStyle w:val="PargrafodaLista"/>
        <w:tabs>
          <w:tab w:val="left" w:pos="1701"/>
          <w:tab w:val="left" w:pos="2268"/>
        </w:tabs>
        <w:ind w:left="1134"/>
        <w:jc w:val="both"/>
        <w:rPr>
          <w:rFonts w:ascii="Arial" w:hAnsi="Arial" w:cs="Arial"/>
          <w:sz w:val="22"/>
          <w:szCs w:val="22"/>
          <w:lang w:val="en-US"/>
        </w:rPr>
      </w:pPr>
      <w:r>
        <w:rPr>
          <w:rFonts w:ascii="Arial" w:hAnsi="Arial" w:cs="Arial"/>
          <w:sz w:val="22"/>
          <w:szCs w:val="22"/>
          <w:lang w:val="en-US"/>
        </w:rPr>
        <w:t xml:space="preserve">These seem to be retrenchment strategies, as defined by Achim Schmitt and Sebastian </w:t>
      </w:r>
      <w:proofErr w:type="spellStart"/>
      <w:r>
        <w:rPr>
          <w:rFonts w:ascii="Arial" w:hAnsi="Arial" w:cs="Arial"/>
          <w:sz w:val="22"/>
          <w:szCs w:val="22"/>
          <w:lang w:val="en-US"/>
        </w:rPr>
        <w:t>Raisch</w:t>
      </w:r>
      <w:proofErr w:type="spellEnd"/>
      <w:r>
        <w:rPr>
          <w:rFonts w:ascii="Arial" w:hAnsi="Arial" w:cs="Arial"/>
          <w:sz w:val="22"/>
          <w:szCs w:val="22"/>
          <w:lang w:val="en-US"/>
        </w:rPr>
        <w:t>,</w:t>
      </w:r>
      <w:r>
        <w:rPr>
          <w:rStyle w:val="Refdenotaderodap"/>
          <w:rFonts w:ascii="Arial" w:hAnsi="Arial" w:cs="Arial"/>
          <w:sz w:val="22"/>
          <w:szCs w:val="22"/>
          <w:lang w:val="en-US"/>
        </w:rPr>
        <w:footnoteReference w:id="29"/>
      </w:r>
      <w:r>
        <w:rPr>
          <w:rFonts w:ascii="Arial" w:hAnsi="Arial" w:cs="Arial"/>
          <w:sz w:val="22"/>
          <w:szCs w:val="22"/>
          <w:lang w:val="en-US"/>
        </w:rPr>
        <w:t xml:space="preserve"> through which the debtor sets out to improve operational efficiencies by reducing operational costs through layoffs and process improvements.</w:t>
      </w:r>
    </w:p>
    <w:p w14:paraId="61A7D14A" w14:textId="15AD64C4" w:rsidR="003C52A1" w:rsidRPr="007033A3" w:rsidRDefault="003C52A1" w:rsidP="000519CE">
      <w:pPr>
        <w:pStyle w:val="PargrafodaLista"/>
        <w:tabs>
          <w:tab w:val="left" w:pos="1701"/>
          <w:tab w:val="left" w:pos="2268"/>
        </w:tabs>
        <w:ind w:left="1134"/>
        <w:jc w:val="both"/>
        <w:rPr>
          <w:rFonts w:ascii="Arial" w:hAnsi="Arial" w:cs="Arial"/>
          <w:sz w:val="22"/>
          <w:szCs w:val="22"/>
          <w:lang w:val="en-US"/>
        </w:rPr>
      </w:pPr>
    </w:p>
    <w:p w14:paraId="1A624383" w14:textId="0E8F2577" w:rsidR="0041483A" w:rsidRPr="007033A3" w:rsidRDefault="003C52A1" w:rsidP="000519CE">
      <w:pPr>
        <w:pStyle w:val="PargrafodaLista"/>
        <w:numPr>
          <w:ilvl w:val="1"/>
          <w:numId w:val="30"/>
        </w:numPr>
        <w:tabs>
          <w:tab w:val="left" w:pos="1701"/>
          <w:tab w:val="left" w:pos="2268"/>
        </w:tabs>
        <w:ind w:left="1134" w:firstLine="0"/>
        <w:jc w:val="both"/>
        <w:rPr>
          <w:rFonts w:ascii="Arial" w:hAnsi="Arial" w:cs="Arial"/>
          <w:sz w:val="22"/>
          <w:szCs w:val="22"/>
          <w:lang w:val="en-US"/>
        </w:rPr>
      </w:pPr>
      <w:r w:rsidRPr="007033A3">
        <w:rPr>
          <w:rFonts w:ascii="Arial" w:hAnsi="Arial" w:cs="Arial"/>
          <w:sz w:val="22"/>
          <w:szCs w:val="22"/>
          <w:u w:val="single"/>
          <w:lang w:val="en-US"/>
        </w:rPr>
        <w:t>Analyzing</w:t>
      </w:r>
      <w:r w:rsidRPr="007033A3">
        <w:rPr>
          <w:rFonts w:ascii="Arial" w:hAnsi="Arial" w:cs="Arial"/>
          <w:sz w:val="22"/>
          <w:szCs w:val="22"/>
          <w:lang w:val="en-US"/>
        </w:rPr>
        <w:t xml:space="preserve">, through which management shall draft a </w:t>
      </w:r>
      <w:r w:rsidR="00AD1DAB" w:rsidRPr="007033A3">
        <w:rPr>
          <w:rFonts w:ascii="Arial" w:hAnsi="Arial" w:cs="Arial"/>
          <w:sz w:val="22"/>
          <w:szCs w:val="22"/>
          <w:lang w:val="en-US"/>
        </w:rPr>
        <w:t xml:space="preserve">reorganization </w:t>
      </w:r>
      <w:r w:rsidRPr="007033A3">
        <w:rPr>
          <w:rFonts w:ascii="Arial" w:hAnsi="Arial" w:cs="Arial"/>
          <w:sz w:val="22"/>
          <w:szCs w:val="22"/>
          <w:lang w:val="en-US"/>
        </w:rPr>
        <w:t>plan</w:t>
      </w:r>
      <w:r w:rsidR="00871EEB" w:rsidRPr="007033A3">
        <w:rPr>
          <w:rFonts w:ascii="Arial" w:hAnsi="Arial" w:cs="Arial"/>
          <w:sz w:val="22"/>
          <w:szCs w:val="22"/>
          <w:lang w:val="en-US"/>
        </w:rPr>
        <w:t xml:space="preserve"> </w:t>
      </w:r>
      <w:r w:rsidR="0041483A" w:rsidRPr="007033A3">
        <w:rPr>
          <w:rFonts w:ascii="Arial" w:hAnsi="Arial" w:cs="Arial"/>
          <w:sz w:val="22"/>
          <w:szCs w:val="22"/>
          <w:lang w:val="en-US"/>
        </w:rPr>
        <w:t xml:space="preserve">indicating the debtor’s short and long-term objectives in order to reorganize the company, </w:t>
      </w:r>
      <w:r w:rsidR="006D26C7" w:rsidRPr="007033A3">
        <w:rPr>
          <w:rFonts w:ascii="Arial" w:hAnsi="Arial" w:cs="Arial"/>
          <w:sz w:val="22"/>
          <w:szCs w:val="22"/>
          <w:lang w:val="en-US"/>
        </w:rPr>
        <w:t xml:space="preserve">with </w:t>
      </w:r>
      <w:r w:rsidR="00871EEB" w:rsidRPr="007033A3">
        <w:rPr>
          <w:rFonts w:ascii="Arial" w:hAnsi="Arial" w:cs="Arial"/>
          <w:sz w:val="22"/>
          <w:szCs w:val="22"/>
          <w:lang w:val="en-US"/>
        </w:rPr>
        <w:t>(1) a strategic and financial analysis tracing the causes of financial distress, (2) an examination of the actual financial position and an assessment of the company’s viability, (3)</w:t>
      </w:r>
      <w:r w:rsidR="006D26C7" w:rsidRPr="007033A3">
        <w:rPr>
          <w:rFonts w:ascii="Arial" w:hAnsi="Arial" w:cs="Arial"/>
          <w:sz w:val="22"/>
          <w:szCs w:val="22"/>
          <w:lang w:val="en-US"/>
        </w:rPr>
        <w:t xml:space="preserve"> proposed restructuring measures and long-term projections, (4) short and long-term cash flow projections showing that the debtor can perform their obligations, and (5) cash flow projections showing a future improvement on liquid assets.</w:t>
      </w:r>
      <w:r w:rsidR="006D26C7" w:rsidRPr="007033A3">
        <w:rPr>
          <w:rStyle w:val="Refdenotaderodap"/>
          <w:rFonts w:ascii="Arial" w:hAnsi="Arial" w:cs="Arial"/>
          <w:sz w:val="22"/>
          <w:szCs w:val="22"/>
        </w:rPr>
        <w:footnoteReference w:id="30"/>
      </w:r>
    </w:p>
    <w:p w14:paraId="019C9EC4" w14:textId="77777777" w:rsidR="0041483A" w:rsidRPr="007033A3" w:rsidRDefault="0041483A" w:rsidP="000519CE">
      <w:pPr>
        <w:pStyle w:val="PargrafodaLista"/>
        <w:tabs>
          <w:tab w:val="left" w:pos="1701"/>
          <w:tab w:val="left" w:pos="2268"/>
        </w:tabs>
        <w:ind w:left="1134"/>
        <w:jc w:val="both"/>
        <w:rPr>
          <w:rFonts w:ascii="Arial" w:hAnsi="Arial" w:cs="Arial"/>
          <w:sz w:val="22"/>
          <w:szCs w:val="22"/>
          <w:u w:val="single"/>
          <w:lang w:val="en-US"/>
        </w:rPr>
      </w:pPr>
    </w:p>
    <w:p w14:paraId="322FA0D9" w14:textId="09585D86" w:rsidR="003C52A1" w:rsidRPr="007033A3" w:rsidRDefault="0041483A" w:rsidP="000519CE">
      <w:pPr>
        <w:pStyle w:val="PargrafodaLista"/>
        <w:tabs>
          <w:tab w:val="left" w:pos="1701"/>
          <w:tab w:val="left" w:pos="2268"/>
        </w:tabs>
        <w:ind w:left="1134"/>
        <w:jc w:val="both"/>
        <w:rPr>
          <w:rFonts w:ascii="Arial" w:hAnsi="Arial" w:cs="Arial"/>
          <w:sz w:val="22"/>
          <w:szCs w:val="22"/>
        </w:rPr>
      </w:pPr>
      <w:r w:rsidRPr="007033A3">
        <w:rPr>
          <w:rFonts w:ascii="Arial" w:hAnsi="Arial" w:cs="Arial"/>
          <w:sz w:val="22"/>
          <w:szCs w:val="22"/>
          <w:lang w:val="en-US"/>
        </w:rPr>
        <w:t>The reorganization plan should also provide the measures the debtor will implement to restore long-term profitability, such as (1) adjusting strategy and marketing, (2) cutting overhead costs, (3) dismissing excessive personnel, (4) rationalizing product assortment, (5) improving purchasing processes, (6) improving management information systems, (7) improving working capital and cash flow management, (8) closing loss-making business units, (9) capitalizing excessive fixed assets, or (10) selling profitable operations that are non-core.</w:t>
      </w:r>
      <w:r w:rsidRPr="007033A3">
        <w:rPr>
          <w:rStyle w:val="Refdenotaderodap"/>
          <w:rFonts w:ascii="Arial" w:hAnsi="Arial" w:cs="Arial"/>
          <w:sz w:val="22"/>
          <w:szCs w:val="22"/>
        </w:rPr>
        <w:footnoteReference w:id="31"/>
      </w:r>
    </w:p>
    <w:p w14:paraId="75E06403" w14:textId="3C69C678" w:rsidR="00927A6A" w:rsidRPr="007033A3" w:rsidRDefault="00927A6A" w:rsidP="000519CE">
      <w:pPr>
        <w:pStyle w:val="PargrafodaLista"/>
        <w:tabs>
          <w:tab w:val="left" w:pos="1701"/>
          <w:tab w:val="left" w:pos="2268"/>
        </w:tabs>
        <w:ind w:left="1134"/>
        <w:jc w:val="both"/>
        <w:rPr>
          <w:rFonts w:ascii="Arial" w:hAnsi="Arial" w:cs="Arial"/>
          <w:sz w:val="22"/>
          <w:szCs w:val="22"/>
        </w:rPr>
      </w:pPr>
    </w:p>
    <w:p w14:paraId="40EFBB57" w14:textId="4533F3DE" w:rsidR="00927A6A" w:rsidRPr="007033A3" w:rsidRDefault="00927A6A" w:rsidP="000519CE">
      <w:pPr>
        <w:pStyle w:val="PargrafodaLista"/>
        <w:tabs>
          <w:tab w:val="left" w:pos="1701"/>
          <w:tab w:val="left" w:pos="2268"/>
        </w:tabs>
        <w:ind w:left="1134"/>
        <w:jc w:val="both"/>
        <w:rPr>
          <w:rFonts w:ascii="Arial" w:hAnsi="Arial" w:cs="Arial"/>
          <w:sz w:val="22"/>
          <w:szCs w:val="22"/>
          <w:lang w:val="en-US"/>
        </w:rPr>
      </w:pPr>
      <w:r w:rsidRPr="007033A3">
        <w:rPr>
          <w:rFonts w:ascii="Arial" w:hAnsi="Arial" w:cs="Arial"/>
          <w:sz w:val="22"/>
          <w:szCs w:val="22"/>
          <w:lang w:val="en-US"/>
        </w:rPr>
        <w:t>All of these measures are necessary to restore the stakeholders’ confidence in the company in distress, and it is also quite common to retain professionals that are specialized in turnaround processes (i.e., an advisor, an accountancy firm, a CRO).</w:t>
      </w:r>
      <w:r w:rsidRPr="007033A3">
        <w:rPr>
          <w:rStyle w:val="Refdenotaderodap"/>
          <w:rFonts w:ascii="Arial" w:hAnsi="Arial" w:cs="Arial"/>
          <w:sz w:val="22"/>
          <w:szCs w:val="22"/>
        </w:rPr>
        <w:footnoteReference w:id="32"/>
      </w:r>
    </w:p>
    <w:p w14:paraId="751F5BAB" w14:textId="4F0CAF06" w:rsidR="00AC50BE" w:rsidRPr="007033A3" w:rsidRDefault="00AC50BE" w:rsidP="000519CE">
      <w:pPr>
        <w:pStyle w:val="PargrafodaLista"/>
        <w:tabs>
          <w:tab w:val="left" w:pos="1701"/>
          <w:tab w:val="left" w:pos="2268"/>
        </w:tabs>
        <w:ind w:left="1134"/>
        <w:jc w:val="both"/>
        <w:rPr>
          <w:rFonts w:ascii="Arial" w:hAnsi="Arial" w:cs="Arial"/>
          <w:sz w:val="22"/>
          <w:szCs w:val="22"/>
          <w:lang w:val="en-US"/>
        </w:rPr>
      </w:pPr>
    </w:p>
    <w:p w14:paraId="08835D39" w14:textId="77777777" w:rsidR="00717B66" w:rsidRDefault="00AC50BE" w:rsidP="000519CE">
      <w:pPr>
        <w:pStyle w:val="PargrafodaLista"/>
        <w:tabs>
          <w:tab w:val="left" w:pos="1701"/>
          <w:tab w:val="left" w:pos="2268"/>
        </w:tabs>
        <w:ind w:left="1134"/>
        <w:jc w:val="both"/>
        <w:rPr>
          <w:rFonts w:ascii="Arial" w:hAnsi="Arial" w:cs="Arial"/>
          <w:sz w:val="22"/>
          <w:szCs w:val="22"/>
          <w:lang w:val="en-US"/>
        </w:rPr>
      </w:pPr>
      <w:r w:rsidRPr="007033A3">
        <w:rPr>
          <w:rFonts w:ascii="Arial" w:hAnsi="Arial" w:cs="Arial"/>
          <w:sz w:val="22"/>
          <w:szCs w:val="22"/>
          <w:lang w:val="en-US"/>
        </w:rPr>
        <w:lastRenderedPageBreak/>
        <w:t xml:space="preserve">That being said, in the Flow Management Group’s case, </w:t>
      </w:r>
      <w:r w:rsidR="00D43FA9" w:rsidRPr="007033A3">
        <w:rPr>
          <w:rFonts w:ascii="Arial" w:hAnsi="Arial" w:cs="Arial"/>
          <w:sz w:val="22"/>
          <w:szCs w:val="22"/>
          <w:lang w:val="en-US"/>
        </w:rPr>
        <w:t xml:space="preserve">any attempt at identifying the causes of distress, the group’s current financial situation, and future cash flow projections is hindered by the poor quality of financial information that the debtor has provided during the negotiations for a workout with the Group of Banks. </w:t>
      </w:r>
    </w:p>
    <w:p w14:paraId="277BBFDC" w14:textId="77777777" w:rsidR="00717B66" w:rsidRDefault="00717B66" w:rsidP="000519CE">
      <w:pPr>
        <w:pStyle w:val="PargrafodaLista"/>
        <w:tabs>
          <w:tab w:val="left" w:pos="1701"/>
          <w:tab w:val="left" w:pos="2268"/>
        </w:tabs>
        <w:ind w:left="1134"/>
        <w:jc w:val="both"/>
        <w:rPr>
          <w:rFonts w:ascii="Arial" w:hAnsi="Arial" w:cs="Arial"/>
          <w:sz w:val="22"/>
          <w:szCs w:val="22"/>
          <w:lang w:val="en-US"/>
        </w:rPr>
      </w:pPr>
    </w:p>
    <w:p w14:paraId="21C233E4" w14:textId="7B75139B" w:rsidR="00717B66" w:rsidRDefault="00347A69" w:rsidP="000519CE">
      <w:pPr>
        <w:pStyle w:val="PargrafodaLista"/>
        <w:tabs>
          <w:tab w:val="left" w:pos="1701"/>
          <w:tab w:val="left" w:pos="2268"/>
        </w:tabs>
        <w:ind w:left="1134"/>
        <w:jc w:val="both"/>
        <w:rPr>
          <w:rFonts w:ascii="Arial" w:hAnsi="Arial" w:cs="Arial"/>
          <w:sz w:val="22"/>
          <w:szCs w:val="22"/>
          <w:lang w:val="en-US"/>
        </w:rPr>
      </w:pPr>
      <w:r>
        <w:rPr>
          <w:rFonts w:ascii="Arial" w:hAnsi="Arial" w:cs="Arial"/>
          <w:sz w:val="22"/>
          <w:szCs w:val="22"/>
          <w:lang w:val="en-US"/>
        </w:rPr>
        <w:t xml:space="preserve">As asserted by </w:t>
      </w:r>
      <w:proofErr w:type="spellStart"/>
      <w:r>
        <w:rPr>
          <w:rFonts w:ascii="Arial" w:hAnsi="Arial" w:cs="Arial"/>
          <w:sz w:val="22"/>
          <w:szCs w:val="22"/>
          <w:lang w:val="en-US"/>
        </w:rPr>
        <w:t>Kalle</w:t>
      </w:r>
      <w:proofErr w:type="spellEnd"/>
      <w:r>
        <w:rPr>
          <w:rFonts w:ascii="Arial" w:hAnsi="Arial" w:cs="Arial"/>
          <w:sz w:val="22"/>
          <w:szCs w:val="22"/>
          <w:lang w:val="en-US"/>
        </w:rPr>
        <w:t xml:space="preserve"> </w:t>
      </w:r>
      <w:proofErr w:type="spellStart"/>
      <w:r>
        <w:rPr>
          <w:rFonts w:ascii="Arial" w:hAnsi="Arial" w:cs="Arial"/>
          <w:sz w:val="22"/>
          <w:szCs w:val="22"/>
          <w:lang w:val="en-US"/>
        </w:rPr>
        <w:t>Pajunen</w:t>
      </w:r>
      <w:proofErr w:type="spellEnd"/>
      <w:r>
        <w:rPr>
          <w:rFonts w:ascii="Arial" w:hAnsi="Arial" w:cs="Arial"/>
          <w:sz w:val="22"/>
          <w:szCs w:val="22"/>
          <w:lang w:val="en-US"/>
        </w:rPr>
        <w:t>, “</w:t>
      </w:r>
      <w:r w:rsidRPr="00347A69">
        <w:rPr>
          <w:rFonts w:ascii="Arial" w:hAnsi="Arial" w:cs="Arial"/>
          <w:i/>
          <w:iCs/>
          <w:sz w:val="22"/>
          <w:szCs w:val="22"/>
          <w:lang w:val="en-US"/>
        </w:rPr>
        <w:t>open and active communication with governing and potential stakeholders has a positive effect on their support for organizational survival</w:t>
      </w:r>
      <w:r>
        <w:rPr>
          <w:rFonts w:ascii="Arial" w:hAnsi="Arial" w:cs="Arial"/>
          <w:sz w:val="22"/>
          <w:szCs w:val="22"/>
          <w:lang w:val="en-US"/>
        </w:rPr>
        <w:t>”,</w:t>
      </w:r>
      <w:r>
        <w:rPr>
          <w:rStyle w:val="Refdenotaderodap"/>
          <w:rFonts w:ascii="Arial" w:hAnsi="Arial" w:cs="Arial"/>
          <w:sz w:val="22"/>
          <w:szCs w:val="22"/>
          <w:lang w:val="en-US"/>
        </w:rPr>
        <w:footnoteReference w:id="33"/>
      </w:r>
      <w:r>
        <w:rPr>
          <w:rFonts w:ascii="Arial" w:hAnsi="Arial" w:cs="Arial"/>
          <w:sz w:val="22"/>
          <w:szCs w:val="22"/>
          <w:lang w:val="en-US"/>
        </w:rPr>
        <w:t xml:space="preserve"> which did not seem to occur with the Flow Management Group. </w:t>
      </w:r>
      <w:r w:rsidR="00717B66">
        <w:rPr>
          <w:rFonts w:ascii="Arial" w:hAnsi="Arial" w:cs="Arial"/>
          <w:sz w:val="22"/>
          <w:szCs w:val="22"/>
          <w:lang w:val="en-US"/>
        </w:rPr>
        <w:t>Had the group employed this strategy after improving its information systems, negotiations with the governing stakeholders (the Group of Banks) might have led to a quicker turnaround.</w:t>
      </w:r>
    </w:p>
    <w:p w14:paraId="5E6510CF" w14:textId="77777777" w:rsidR="00717B66" w:rsidRDefault="00717B66" w:rsidP="000519CE">
      <w:pPr>
        <w:pStyle w:val="PargrafodaLista"/>
        <w:tabs>
          <w:tab w:val="left" w:pos="1701"/>
          <w:tab w:val="left" w:pos="2268"/>
        </w:tabs>
        <w:ind w:left="1134"/>
        <w:jc w:val="both"/>
        <w:rPr>
          <w:rFonts w:ascii="Arial" w:hAnsi="Arial" w:cs="Arial"/>
          <w:sz w:val="22"/>
          <w:szCs w:val="22"/>
          <w:lang w:val="en-US"/>
        </w:rPr>
      </w:pPr>
    </w:p>
    <w:p w14:paraId="34A3556B" w14:textId="365F6E7C" w:rsidR="00AC50BE" w:rsidRDefault="00717B66" w:rsidP="000519CE">
      <w:pPr>
        <w:pStyle w:val="PargrafodaLista"/>
        <w:tabs>
          <w:tab w:val="left" w:pos="1701"/>
          <w:tab w:val="left" w:pos="2268"/>
        </w:tabs>
        <w:ind w:left="1134"/>
        <w:jc w:val="both"/>
        <w:rPr>
          <w:rFonts w:ascii="Arial" w:hAnsi="Arial" w:cs="Arial"/>
          <w:sz w:val="22"/>
          <w:szCs w:val="22"/>
          <w:lang w:val="en-US"/>
        </w:rPr>
      </w:pPr>
      <w:r>
        <w:rPr>
          <w:rFonts w:ascii="Arial" w:hAnsi="Arial" w:cs="Arial"/>
          <w:sz w:val="22"/>
          <w:szCs w:val="22"/>
          <w:lang w:val="en-US"/>
        </w:rPr>
        <w:t>However, i</w:t>
      </w:r>
      <w:r w:rsidR="00D43FA9" w:rsidRPr="007033A3">
        <w:rPr>
          <w:rFonts w:ascii="Arial" w:hAnsi="Arial" w:cs="Arial"/>
          <w:sz w:val="22"/>
          <w:szCs w:val="22"/>
          <w:lang w:val="en-US"/>
        </w:rPr>
        <w:t>naccurate and insufficient information regarding the business and its financials delayed the drafting of a final reorganization plan</w:t>
      </w:r>
      <w:r>
        <w:rPr>
          <w:rFonts w:ascii="Arial" w:hAnsi="Arial" w:cs="Arial"/>
          <w:sz w:val="22"/>
          <w:szCs w:val="22"/>
          <w:lang w:val="en-US"/>
        </w:rPr>
        <w:t xml:space="preserve"> for the Flow Management Group</w:t>
      </w:r>
      <w:r w:rsidR="00D43FA9" w:rsidRPr="007033A3">
        <w:rPr>
          <w:rFonts w:ascii="Arial" w:hAnsi="Arial" w:cs="Arial"/>
          <w:sz w:val="22"/>
          <w:szCs w:val="22"/>
          <w:lang w:val="en-US"/>
        </w:rPr>
        <w:t xml:space="preserve"> – from November 2013 to the conclusion of the restructuring agreement </w:t>
      </w:r>
      <w:r w:rsidR="00891454" w:rsidRPr="007033A3">
        <w:rPr>
          <w:rFonts w:ascii="Arial" w:hAnsi="Arial" w:cs="Arial"/>
          <w:sz w:val="22"/>
          <w:szCs w:val="22"/>
          <w:lang w:val="en-US"/>
        </w:rPr>
        <w:t>in</w:t>
      </w:r>
      <w:r w:rsidR="00D43FA9" w:rsidRPr="007033A3">
        <w:rPr>
          <w:rFonts w:ascii="Arial" w:hAnsi="Arial" w:cs="Arial"/>
          <w:sz w:val="22"/>
          <w:szCs w:val="22"/>
          <w:lang w:val="en-US"/>
        </w:rPr>
        <w:t xml:space="preserve"> July 2015, there were five (5) different proposals (some more extensive than others).</w:t>
      </w:r>
      <w:r w:rsidR="00891454">
        <w:rPr>
          <w:rStyle w:val="Refdenotaderodap"/>
          <w:rFonts w:ascii="Arial" w:hAnsi="Arial" w:cs="Arial"/>
          <w:sz w:val="22"/>
          <w:szCs w:val="22"/>
          <w:lang w:val="en-US"/>
        </w:rPr>
        <w:footnoteReference w:id="34"/>
      </w:r>
      <w:r w:rsidR="00D43FA9" w:rsidRPr="007033A3">
        <w:rPr>
          <w:rFonts w:ascii="Arial" w:hAnsi="Arial" w:cs="Arial"/>
          <w:sz w:val="22"/>
          <w:szCs w:val="22"/>
          <w:lang w:val="en-US"/>
        </w:rPr>
        <w:t xml:space="preserve"> In the end, the main proposals by the debtor involved cutting overhead costs and dismissing personnel, which led to a</w:t>
      </w:r>
      <w:r w:rsidR="00003319" w:rsidRPr="007033A3">
        <w:rPr>
          <w:rFonts w:ascii="Arial" w:hAnsi="Arial" w:cs="Arial"/>
          <w:sz w:val="22"/>
          <w:szCs w:val="22"/>
          <w:lang w:val="en-US"/>
        </w:rPr>
        <w:t xml:space="preserve">n informal reorganization </w:t>
      </w:r>
      <w:r w:rsidR="00D43FA9" w:rsidRPr="007033A3">
        <w:rPr>
          <w:rFonts w:ascii="Arial" w:hAnsi="Arial" w:cs="Arial"/>
          <w:sz w:val="22"/>
          <w:szCs w:val="22"/>
          <w:lang w:val="en-US"/>
        </w:rPr>
        <w:t xml:space="preserve">that ultimately transferred the operating subsidiaries to the Group of Banks and cancelled most of </w:t>
      </w:r>
      <w:r w:rsidR="00DE6390" w:rsidRPr="007033A3">
        <w:rPr>
          <w:rFonts w:ascii="Arial" w:hAnsi="Arial" w:cs="Arial"/>
          <w:sz w:val="22"/>
          <w:szCs w:val="22"/>
          <w:lang w:val="en-US"/>
        </w:rPr>
        <w:t>Flow Management Group’s indebtedness</w:t>
      </w:r>
      <w:r w:rsidR="00D43FA9" w:rsidRPr="007033A3">
        <w:rPr>
          <w:rFonts w:ascii="Arial" w:hAnsi="Arial" w:cs="Arial"/>
          <w:sz w:val="22"/>
          <w:szCs w:val="22"/>
          <w:lang w:val="en-US"/>
        </w:rPr>
        <w:t>.</w:t>
      </w:r>
    </w:p>
    <w:p w14:paraId="5A6980CC" w14:textId="56474D4D" w:rsidR="00AD1DAB" w:rsidRPr="007033A3" w:rsidRDefault="00AD1DAB" w:rsidP="000519CE">
      <w:pPr>
        <w:pStyle w:val="PargrafodaLista"/>
        <w:tabs>
          <w:tab w:val="left" w:pos="1701"/>
          <w:tab w:val="left" w:pos="2268"/>
        </w:tabs>
        <w:ind w:left="1134"/>
        <w:jc w:val="both"/>
        <w:rPr>
          <w:rFonts w:ascii="Arial" w:hAnsi="Arial" w:cs="Arial"/>
          <w:sz w:val="22"/>
          <w:szCs w:val="22"/>
          <w:lang w:val="en-US"/>
        </w:rPr>
      </w:pPr>
    </w:p>
    <w:p w14:paraId="6DFBC14A" w14:textId="4F940AE0" w:rsidR="00AD1DAB" w:rsidRPr="007033A3" w:rsidRDefault="00AD1DAB" w:rsidP="000519CE">
      <w:pPr>
        <w:pStyle w:val="PargrafodaLista"/>
        <w:numPr>
          <w:ilvl w:val="1"/>
          <w:numId w:val="30"/>
        </w:numPr>
        <w:tabs>
          <w:tab w:val="left" w:pos="1701"/>
          <w:tab w:val="left" w:pos="2268"/>
        </w:tabs>
        <w:ind w:left="1134" w:firstLine="0"/>
        <w:jc w:val="both"/>
        <w:rPr>
          <w:rFonts w:ascii="Arial" w:hAnsi="Arial" w:cs="Arial"/>
          <w:sz w:val="22"/>
          <w:szCs w:val="22"/>
          <w:lang w:val="en-US"/>
        </w:rPr>
      </w:pPr>
      <w:r w:rsidRPr="007033A3">
        <w:rPr>
          <w:rFonts w:ascii="Arial" w:hAnsi="Arial" w:cs="Arial"/>
          <w:sz w:val="22"/>
          <w:szCs w:val="22"/>
          <w:u w:val="single"/>
          <w:lang w:val="en-US"/>
        </w:rPr>
        <w:t>Repositioning</w:t>
      </w:r>
      <w:r w:rsidRPr="007033A3">
        <w:rPr>
          <w:rFonts w:ascii="Arial" w:hAnsi="Arial" w:cs="Arial"/>
          <w:sz w:val="22"/>
          <w:szCs w:val="22"/>
          <w:lang w:val="en-US"/>
        </w:rPr>
        <w:t>,</w:t>
      </w:r>
      <w:r w:rsidR="005959B7" w:rsidRPr="007033A3">
        <w:rPr>
          <w:rFonts w:ascii="Arial" w:hAnsi="Arial" w:cs="Arial"/>
          <w:sz w:val="22"/>
          <w:szCs w:val="22"/>
          <w:lang w:val="en-US"/>
        </w:rPr>
        <w:t xml:space="preserve"> according to which the debtor’s management implements the measures outlined in the reorganization plan – what is called by the authors as the “</w:t>
      </w:r>
      <w:r w:rsidR="005959B7" w:rsidRPr="007033A3">
        <w:rPr>
          <w:rFonts w:ascii="Arial" w:hAnsi="Arial" w:cs="Arial"/>
          <w:i/>
          <w:iCs/>
          <w:sz w:val="22"/>
          <w:szCs w:val="22"/>
          <w:lang w:val="en-US"/>
        </w:rPr>
        <w:t>value recovery process</w:t>
      </w:r>
      <w:r w:rsidR="005959B7" w:rsidRPr="007033A3">
        <w:rPr>
          <w:rFonts w:ascii="Arial" w:hAnsi="Arial" w:cs="Arial"/>
          <w:sz w:val="22"/>
          <w:szCs w:val="22"/>
          <w:lang w:val="en-US"/>
        </w:rPr>
        <w:t>”.</w:t>
      </w:r>
      <w:r w:rsidR="005959B7" w:rsidRPr="007033A3">
        <w:rPr>
          <w:rStyle w:val="Refdenotaderodap"/>
          <w:rFonts w:ascii="Arial" w:hAnsi="Arial" w:cs="Arial"/>
          <w:sz w:val="22"/>
          <w:szCs w:val="22"/>
        </w:rPr>
        <w:footnoteReference w:id="35"/>
      </w:r>
      <w:r w:rsidR="00563A52" w:rsidRPr="007033A3">
        <w:rPr>
          <w:rFonts w:ascii="Arial" w:hAnsi="Arial" w:cs="Arial"/>
          <w:sz w:val="22"/>
          <w:szCs w:val="22"/>
          <w:lang w:val="en-US"/>
        </w:rPr>
        <w:t xml:space="preserve"> Management must also report the progress of the restructuring process to the interested parties “</w:t>
      </w:r>
      <w:r w:rsidR="00563A52" w:rsidRPr="007033A3">
        <w:rPr>
          <w:rFonts w:ascii="Arial" w:hAnsi="Arial" w:cs="Arial"/>
          <w:i/>
          <w:iCs/>
          <w:sz w:val="22"/>
          <w:szCs w:val="22"/>
          <w:lang w:val="en-US"/>
        </w:rPr>
        <w:t>in an open and timely manner</w:t>
      </w:r>
      <w:r w:rsidR="00563A52" w:rsidRPr="007033A3">
        <w:rPr>
          <w:rFonts w:ascii="Arial" w:hAnsi="Arial" w:cs="Arial"/>
          <w:sz w:val="22"/>
          <w:szCs w:val="22"/>
          <w:lang w:val="en-US"/>
        </w:rPr>
        <w:t>”.</w:t>
      </w:r>
      <w:r w:rsidR="00563A52" w:rsidRPr="007033A3">
        <w:rPr>
          <w:rStyle w:val="Refdenotaderodap"/>
          <w:rFonts w:ascii="Arial" w:hAnsi="Arial" w:cs="Arial"/>
          <w:sz w:val="22"/>
          <w:szCs w:val="22"/>
        </w:rPr>
        <w:footnoteReference w:id="36"/>
      </w:r>
    </w:p>
    <w:p w14:paraId="7D720E1C" w14:textId="1B94471A" w:rsidR="009B1D72" w:rsidRPr="007033A3" w:rsidRDefault="009B1D72" w:rsidP="000519CE">
      <w:pPr>
        <w:pStyle w:val="PargrafodaLista"/>
        <w:tabs>
          <w:tab w:val="left" w:pos="1701"/>
          <w:tab w:val="left" w:pos="2268"/>
        </w:tabs>
        <w:ind w:left="1134"/>
        <w:jc w:val="both"/>
        <w:rPr>
          <w:rFonts w:ascii="Arial" w:hAnsi="Arial" w:cs="Arial"/>
          <w:sz w:val="22"/>
          <w:szCs w:val="22"/>
          <w:u w:val="single"/>
          <w:lang w:val="en-US"/>
        </w:rPr>
      </w:pPr>
    </w:p>
    <w:p w14:paraId="22787EE6" w14:textId="4E622EF0" w:rsidR="009B1D72" w:rsidRPr="007033A3" w:rsidRDefault="009B1D72" w:rsidP="000519CE">
      <w:pPr>
        <w:pStyle w:val="PargrafodaLista"/>
        <w:tabs>
          <w:tab w:val="left" w:pos="1701"/>
          <w:tab w:val="left" w:pos="2268"/>
        </w:tabs>
        <w:ind w:left="1134"/>
        <w:jc w:val="both"/>
        <w:rPr>
          <w:rFonts w:ascii="Arial" w:hAnsi="Arial" w:cs="Arial"/>
          <w:sz w:val="22"/>
          <w:szCs w:val="22"/>
          <w:lang w:val="en-US"/>
        </w:rPr>
      </w:pPr>
      <w:r w:rsidRPr="007033A3">
        <w:rPr>
          <w:rFonts w:ascii="Arial" w:hAnsi="Arial" w:cs="Arial"/>
          <w:sz w:val="22"/>
          <w:szCs w:val="22"/>
          <w:lang w:val="en-US"/>
        </w:rPr>
        <w:t>In the present case, the relevant creditors (the Group of Banks) ended up as the shareholders of the new entity holding the operating subsidiaries</w:t>
      </w:r>
      <w:r w:rsidR="00B95EC4" w:rsidRPr="007033A3">
        <w:rPr>
          <w:rFonts w:ascii="Arial" w:hAnsi="Arial" w:cs="Arial"/>
          <w:sz w:val="22"/>
          <w:szCs w:val="22"/>
          <w:lang w:val="en-US"/>
        </w:rPr>
        <w:t xml:space="preserve"> (alongside a few board members)</w:t>
      </w:r>
      <w:r w:rsidRPr="007033A3">
        <w:rPr>
          <w:rFonts w:ascii="Arial" w:hAnsi="Arial" w:cs="Arial"/>
          <w:sz w:val="22"/>
          <w:szCs w:val="22"/>
          <w:lang w:val="en-US"/>
        </w:rPr>
        <w:t>, while the old controlling shareholder gave up any interest in the new entity. After this change in control, the case description mentions that the new and reorganized company has had losses of nearly € 9 million in 2015 and expect a slightly negative or a break-even result in 2016, and although there seem to be no interested parties in purchasing the new company from the Group of Banks (at least no one seriously interested), “</w:t>
      </w:r>
      <w:r w:rsidRPr="007033A3">
        <w:rPr>
          <w:rFonts w:ascii="Arial" w:hAnsi="Arial" w:cs="Arial"/>
          <w:i/>
          <w:iCs/>
          <w:sz w:val="22"/>
          <w:szCs w:val="22"/>
          <w:lang w:val="en-US"/>
        </w:rPr>
        <w:t xml:space="preserve">a better future is </w:t>
      </w:r>
      <w:proofErr w:type="gramStart"/>
      <w:r w:rsidRPr="007033A3">
        <w:rPr>
          <w:rFonts w:ascii="Arial" w:hAnsi="Arial" w:cs="Arial"/>
          <w:i/>
          <w:iCs/>
          <w:sz w:val="22"/>
          <w:szCs w:val="22"/>
          <w:lang w:val="en-US"/>
        </w:rPr>
        <w:t>forecast</w:t>
      </w:r>
      <w:proofErr w:type="gramEnd"/>
      <w:r w:rsidRPr="007033A3">
        <w:rPr>
          <w:rFonts w:ascii="Arial" w:hAnsi="Arial" w:cs="Arial"/>
          <w:i/>
          <w:iCs/>
          <w:sz w:val="22"/>
          <w:szCs w:val="22"/>
          <w:lang w:val="en-US"/>
        </w:rPr>
        <w:t xml:space="preserve"> and the parties are carefully optimistic about a good result</w:t>
      </w:r>
      <w:r w:rsidRPr="007033A3">
        <w:rPr>
          <w:rFonts w:ascii="Arial" w:hAnsi="Arial" w:cs="Arial"/>
          <w:sz w:val="22"/>
          <w:szCs w:val="22"/>
          <w:lang w:val="en-US"/>
        </w:rPr>
        <w:t>”.</w:t>
      </w:r>
    </w:p>
    <w:p w14:paraId="6CC3A34F" w14:textId="77777777" w:rsidR="00AD1DAB" w:rsidRPr="007033A3" w:rsidRDefault="00AD1DAB" w:rsidP="000519CE">
      <w:pPr>
        <w:pStyle w:val="PargrafodaLista"/>
        <w:tabs>
          <w:tab w:val="left" w:pos="1701"/>
        </w:tabs>
        <w:ind w:left="1134"/>
        <w:rPr>
          <w:rFonts w:ascii="Arial" w:hAnsi="Arial" w:cs="Arial"/>
          <w:sz w:val="22"/>
          <w:szCs w:val="22"/>
          <w:lang w:val="en-US"/>
        </w:rPr>
      </w:pPr>
    </w:p>
    <w:p w14:paraId="7CABFADB" w14:textId="7A45E5E5" w:rsidR="00AD1DAB" w:rsidRPr="007033A3" w:rsidRDefault="00AD1DAB" w:rsidP="000519CE">
      <w:pPr>
        <w:pStyle w:val="PargrafodaLista"/>
        <w:numPr>
          <w:ilvl w:val="1"/>
          <w:numId w:val="30"/>
        </w:numPr>
        <w:tabs>
          <w:tab w:val="left" w:pos="1701"/>
          <w:tab w:val="left" w:pos="2268"/>
        </w:tabs>
        <w:ind w:left="1134" w:firstLine="0"/>
        <w:jc w:val="both"/>
        <w:rPr>
          <w:rFonts w:ascii="Arial" w:hAnsi="Arial" w:cs="Arial"/>
          <w:sz w:val="22"/>
          <w:szCs w:val="22"/>
          <w:lang w:val="en-US"/>
        </w:rPr>
      </w:pPr>
      <w:r w:rsidRPr="007033A3">
        <w:rPr>
          <w:rFonts w:ascii="Arial" w:hAnsi="Arial" w:cs="Arial"/>
          <w:sz w:val="22"/>
          <w:szCs w:val="22"/>
          <w:u w:val="single"/>
          <w:lang w:val="en-US"/>
        </w:rPr>
        <w:t>Reinforcin</w:t>
      </w:r>
      <w:r w:rsidR="00F02282" w:rsidRPr="007033A3">
        <w:rPr>
          <w:rFonts w:ascii="Arial" w:hAnsi="Arial" w:cs="Arial"/>
          <w:sz w:val="22"/>
          <w:szCs w:val="22"/>
          <w:u w:val="single"/>
          <w:lang w:val="en-US"/>
        </w:rPr>
        <w:t>g</w:t>
      </w:r>
      <w:r w:rsidR="00F02282" w:rsidRPr="007033A3">
        <w:rPr>
          <w:rFonts w:ascii="Arial" w:hAnsi="Arial" w:cs="Arial"/>
          <w:sz w:val="22"/>
          <w:szCs w:val="22"/>
          <w:lang w:val="en-US"/>
        </w:rPr>
        <w:t>, according to the authors, means that management will be reinforced</w:t>
      </w:r>
      <w:r w:rsidR="0023344C" w:rsidRPr="007033A3">
        <w:rPr>
          <w:rFonts w:ascii="Arial" w:hAnsi="Arial" w:cs="Arial"/>
          <w:sz w:val="22"/>
          <w:szCs w:val="22"/>
          <w:lang w:val="en-US"/>
        </w:rPr>
        <w:t xml:space="preserve"> (i.e., replacing old managers, changing management positions)</w:t>
      </w:r>
      <w:r w:rsidR="00F02282" w:rsidRPr="007033A3">
        <w:rPr>
          <w:rFonts w:ascii="Arial" w:hAnsi="Arial" w:cs="Arial"/>
          <w:sz w:val="22"/>
          <w:szCs w:val="22"/>
          <w:lang w:val="en-US"/>
        </w:rPr>
        <w:t xml:space="preserve"> as well as the debtor’s balance sheet, which can be achieved by the transfer of the company to a new owner that would be able to </w:t>
      </w:r>
      <w:r w:rsidR="0023344C" w:rsidRPr="007033A3">
        <w:rPr>
          <w:rFonts w:ascii="Arial" w:hAnsi="Arial" w:cs="Arial"/>
          <w:sz w:val="22"/>
          <w:szCs w:val="22"/>
          <w:lang w:val="en-US"/>
        </w:rPr>
        <w:t>meet any future obligations</w:t>
      </w:r>
      <w:r w:rsidR="00B95EC4" w:rsidRPr="007033A3">
        <w:rPr>
          <w:rFonts w:ascii="Arial" w:hAnsi="Arial" w:cs="Arial"/>
          <w:sz w:val="22"/>
          <w:szCs w:val="22"/>
          <w:lang w:val="en-US"/>
        </w:rPr>
        <w:t xml:space="preserve"> (this is closely linked to the financial restructuring)</w:t>
      </w:r>
      <w:r w:rsidR="0023344C" w:rsidRPr="007033A3">
        <w:rPr>
          <w:rFonts w:ascii="Arial" w:hAnsi="Arial" w:cs="Arial"/>
          <w:sz w:val="22"/>
          <w:szCs w:val="22"/>
          <w:lang w:val="en-US"/>
        </w:rPr>
        <w:t>.</w:t>
      </w:r>
      <w:r w:rsidR="0023344C" w:rsidRPr="007033A3">
        <w:rPr>
          <w:rStyle w:val="Refdenotaderodap"/>
          <w:rFonts w:ascii="Arial" w:hAnsi="Arial" w:cs="Arial"/>
          <w:sz w:val="22"/>
          <w:szCs w:val="22"/>
        </w:rPr>
        <w:footnoteReference w:id="37"/>
      </w:r>
    </w:p>
    <w:p w14:paraId="66917069" w14:textId="74924D79" w:rsidR="00B95EC4" w:rsidRPr="007033A3" w:rsidRDefault="00B95EC4" w:rsidP="000519CE">
      <w:pPr>
        <w:pStyle w:val="PargrafodaLista"/>
        <w:tabs>
          <w:tab w:val="left" w:pos="1701"/>
          <w:tab w:val="left" w:pos="2268"/>
        </w:tabs>
        <w:ind w:left="1134"/>
        <w:jc w:val="both"/>
        <w:rPr>
          <w:rFonts w:ascii="Arial" w:hAnsi="Arial" w:cs="Arial"/>
          <w:sz w:val="22"/>
          <w:szCs w:val="22"/>
          <w:u w:val="single"/>
          <w:lang w:val="en-US"/>
        </w:rPr>
      </w:pPr>
    </w:p>
    <w:p w14:paraId="52A93F86" w14:textId="011D63CD" w:rsidR="00D66B94" w:rsidRDefault="00B95EC4" w:rsidP="000519CE">
      <w:pPr>
        <w:pStyle w:val="PargrafodaLista"/>
        <w:tabs>
          <w:tab w:val="left" w:pos="1701"/>
          <w:tab w:val="left" w:pos="2268"/>
        </w:tabs>
        <w:ind w:left="1134"/>
        <w:jc w:val="both"/>
        <w:rPr>
          <w:rFonts w:ascii="Arial" w:hAnsi="Arial" w:cs="Arial"/>
          <w:sz w:val="22"/>
          <w:szCs w:val="22"/>
          <w:lang w:val="en-US"/>
        </w:rPr>
      </w:pPr>
      <w:r w:rsidRPr="007033A3">
        <w:rPr>
          <w:rFonts w:ascii="Arial" w:hAnsi="Arial" w:cs="Arial"/>
          <w:sz w:val="22"/>
          <w:szCs w:val="22"/>
          <w:lang w:val="en-US"/>
        </w:rPr>
        <w:lastRenderedPageBreak/>
        <w:t xml:space="preserve">In the Flow Management Group’s case, the CEO and the CFO were replaced and a CRO was appointed prior to the signing of the restructuring agreement. </w:t>
      </w:r>
      <w:r w:rsidR="00D66B94">
        <w:rPr>
          <w:rFonts w:ascii="Arial" w:hAnsi="Arial" w:cs="Arial"/>
          <w:sz w:val="22"/>
          <w:szCs w:val="22"/>
          <w:lang w:val="en-US"/>
        </w:rPr>
        <w:t xml:space="preserve">Though the change in top management (a </w:t>
      </w:r>
      <w:r w:rsidR="00996676">
        <w:rPr>
          <w:rFonts w:ascii="Arial" w:hAnsi="Arial" w:cs="Arial"/>
          <w:sz w:val="22"/>
          <w:szCs w:val="22"/>
          <w:lang w:val="en-US"/>
        </w:rPr>
        <w:t>managerial</w:t>
      </w:r>
      <w:r w:rsidR="00D66B94">
        <w:rPr>
          <w:rFonts w:ascii="Arial" w:hAnsi="Arial" w:cs="Arial"/>
          <w:sz w:val="22"/>
          <w:szCs w:val="22"/>
          <w:lang w:val="en-US"/>
        </w:rPr>
        <w:t xml:space="preserve"> restructuring, according to </w:t>
      </w:r>
      <w:proofErr w:type="spellStart"/>
      <w:r w:rsidR="00D66B94">
        <w:rPr>
          <w:rFonts w:ascii="Arial" w:hAnsi="Arial" w:cs="Arial"/>
          <w:sz w:val="22"/>
          <w:szCs w:val="22"/>
          <w:lang w:val="en-US"/>
        </w:rPr>
        <w:t>Sudi</w:t>
      </w:r>
      <w:proofErr w:type="spellEnd"/>
      <w:r w:rsidR="00D66B94">
        <w:rPr>
          <w:rFonts w:ascii="Arial" w:hAnsi="Arial" w:cs="Arial"/>
          <w:sz w:val="22"/>
          <w:szCs w:val="22"/>
          <w:lang w:val="en-US"/>
        </w:rPr>
        <w:t xml:space="preserve"> </w:t>
      </w:r>
      <w:proofErr w:type="spellStart"/>
      <w:r w:rsidR="00D66B94">
        <w:rPr>
          <w:rFonts w:ascii="Arial" w:hAnsi="Arial" w:cs="Arial"/>
          <w:sz w:val="22"/>
          <w:szCs w:val="22"/>
          <w:lang w:val="en-US"/>
        </w:rPr>
        <w:t>Sudarsanam</w:t>
      </w:r>
      <w:proofErr w:type="spellEnd"/>
      <w:r w:rsidR="00D66B94">
        <w:rPr>
          <w:rFonts w:ascii="Arial" w:hAnsi="Arial" w:cs="Arial"/>
          <w:sz w:val="22"/>
          <w:szCs w:val="22"/>
          <w:lang w:val="en-US"/>
        </w:rPr>
        <w:t xml:space="preserve"> and Jim Lai</w:t>
      </w:r>
      <w:r w:rsidR="007F6CEA" w:rsidRPr="007033A3">
        <w:rPr>
          <w:rStyle w:val="Refdenotaderodap"/>
          <w:rFonts w:ascii="Arial" w:hAnsi="Arial" w:cs="Arial"/>
          <w:sz w:val="22"/>
          <w:szCs w:val="22"/>
          <w:lang w:val="en-US"/>
        </w:rPr>
        <w:footnoteReference w:id="38"/>
      </w:r>
      <w:r w:rsidR="00D66B94">
        <w:rPr>
          <w:rFonts w:ascii="Arial" w:hAnsi="Arial" w:cs="Arial"/>
          <w:sz w:val="22"/>
          <w:szCs w:val="22"/>
          <w:lang w:val="en-US"/>
        </w:rPr>
        <w:t>) represented a breath of fresh air, and helped overcome the previous management’s cognitive inertia,</w:t>
      </w:r>
      <w:r w:rsidR="00D66B94">
        <w:rPr>
          <w:rStyle w:val="Refdenotaderodap"/>
          <w:rFonts w:ascii="Arial" w:hAnsi="Arial" w:cs="Arial"/>
          <w:sz w:val="22"/>
          <w:szCs w:val="22"/>
          <w:lang w:val="en-US"/>
        </w:rPr>
        <w:footnoteReference w:id="39"/>
      </w:r>
      <w:r w:rsidR="00D66B94">
        <w:rPr>
          <w:rFonts w:ascii="Arial" w:hAnsi="Arial" w:cs="Arial"/>
          <w:sz w:val="22"/>
          <w:szCs w:val="22"/>
          <w:lang w:val="en-US"/>
        </w:rPr>
        <w:t xml:space="preserve"> it could have been carried out much earlier in the negotiation process in order to show the controlling shareholder’s commitment to the turnaround process and bolster the governing stakeholders’ confidence in the debtor.</w:t>
      </w:r>
    </w:p>
    <w:p w14:paraId="353B0834" w14:textId="77777777" w:rsidR="00D66B94" w:rsidRDefault="00D66B94" w:rsidP="000519CE">
      <w:pPr>
        <w:pStyle w:val="PargrafodaLista"/>
        <w:tabs>
          <w:tab w:val="left" w:pos="1701"/>
          <w:tab w:val="left" w:pos="2268"/>
        </w:tabs>
        <w:ind w:left="1134"/>
        <w:jc w:val="both"/>
        <w:rPr>
          <w:rFonts w:ascii="Arial" w:hAnsi="Arial" w:cs="Arial"/>
          <w:sz w:val="22"/>
          <w:szCs w:val="22"/>
          <w:lang w:val="en-US"/>
        </w:rPr>
      </w:pPr>
    </w:p>
    <w:p w14:paraId="2BB3194A" w14:textId="39EF4D74" w:rsidR="00B95EC4" w:rsidRPr="007033A3" w:rsidRDefault="00B95EC4" w:rsidP="000519CE">
      <w:pPr>
        <w:pStyle w:val="PargrafodaLista"/>
        <w:tabs>
          <w:tab w:val="left" w:pos="1701"/>
          <w:tab w:val="left" w:pos="2268"/>
        </w:tabs>
        <w:ind w:left="1134"/>
        <w:jc w:val="both"/>
        <w:rPr>
          <w:rFonts w:ascii="Arial" w:hAnsi="Arial" w:cs="Arial"/>
          <w:sz w:val="22"/>
          <w:szCs w:val="22"/>
          <w:lang w:val="en-US"/>
        </w:rPr>
      </w:pPr>
      <w:r w:rsidRPr="007033A3">
        <w:rPr>
          <w:rFonts w:ascii="Arial" w:hAnsi="Arial" w:cs="Arial"/>
          <w:sz w:val="22"/>
          <w:szCs w:val="22"/>
          <w:lang w:val="en-US"/>
        </w:rPr>
        <w:t>Furthermore, the new and reorganized company was transferred to the Group of Banks and a few board members, which ought to ensure the payment of future obligations.</w:t>
      </w:r>
      <w:r w:rsidR="00D66B94">
        <w:rPr>
          <w:rFonts w:ascii="Arial" w:hAnsi="Arial" w:cs="Arial"/>
          <w:sz w:val="22"/>
          <w:szCs w:val="22"/>
          <w:lang w:val="en-US"/>
        </w:rPr>
        <w:t xml:space="preserve"> Although it might have been less traumatic if the old controlling shareholder had made capital contributions early in the negotiations, to ensure that the group could meet its obligations, thus reducing the tensions and stress surrounding the negotiations for the group’s informal reorganization.</w:t>
      </w:r>
    </w:p>
    <w:p w14:paraId="01B50243" w14:textId="489EF930" w:rsidR="00F0006D" w:rsidRPr="007033A3" w:rsidRDefault="00F0006D" w:rsidP="007033A3">
      <w:pPr>
        <w:pStyle w:val="PargrafodaLista"/>
        <w:tabs>
          <w:tab w:val="left" w:pos="1701"/>
        </w:tabs>
        <w:ind w:left="1134"/>
        <w:jc w:val="both"/>
        <w:rPr>
          <w:rFonts w:ascii="Arial" w:hAnsi="Arial" w:cs="Arial"/>
          <w:sz w:val="22"/>
          <w:szCs w:val="22"/>
          <w:lang w:val="en-US"/>
        </w:rPr>
      </w:pPr>
    </w:p>
    <w:p w14:paraId="7AEDD116" w14:textId="53A06569" w:rsidR="00F0006D" w:rsidRPr="007033A3" w:rsidRDefault="00F0006D" w:rsidP="000519CE">
      <w:pPr>
        <w:pStyle w:val="PargrafodaLista"/>
        <w:numPr>
          <w:ilvl w:val="0"/>
          <w:numId w:val="30"/>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u w:val="single"/>
          <w:lang w:val="en-US"/>
        </w:rPr>
        <w:t>Financial restructuring</w:t>
      </w:r>
      <w:r w:rsidRPr="007033A3">
        <w:rPr>
          <w:rFonts w:ascii="Arial" w:hAnsi="Arial" w:cs="Arial"/>
          <w:sz w:val="22"/>
          <w:szCs w:val="22"/>
          <w:lang w:val="en-US"/>
        </w:rPr>
        <w:t>.</w:t>
      </w:r>
      <w:r w:rsidR="00B34D1A" w:rsidRPr="007033A3">
        <w:rPr>
          <w:rFonts w:ascii="Arial" w:hAnsi="Arial" w:cs="Arial"/>
          <w:sz w:val="22"/>
          <w:szCs w:val="22"/>
          <w:lang w:val="en-US"/>
        </w:rPr>
        <w:t xml:space="preserve"> An informal reorganization often requires financial restructuring, which can mean that, “</w:t>
      </w:r>
      <w:r w:rsidR="00B34D1A" w:rsidRPr="007033A3">
        <w:rPr>
          <w:rFonts w:ascii="Arial" w:hAnsi="Arial" w:cs="Arial"/>
          <w:i/>
          <w:iCs/>
          <w:sz w:val="22"/>
          <w:szCs w:val="22"/>
          <w:lang w:val="en-US"/>
        </w:rPr>
        <w:t>on the one hand, the relevant creditors voluntarily commit to revised terms with regard to the funding they made available (</w:t>
      </w:r>
      <w:r w:rsidR="00B34D1A" w:rsidRPr="007033A3">
        <w:rPr>
          <w:rFonts w:ascii="Arial" w:hAnsi="Arial" w:cs="Arial"/>
          <w:i/>
          <w:iCs/>
          <w:sz w:val="22"/>
          <w:szCs w:val="22"/>
          <w:lang w:val="en-US"/>
        </w:rPr>
        <w:t>…</w:t>
      </w:r>
      <w:r w:rsidR="00B34D1A" w:rsidRPr="007033A3">
        <w:rPr>
          <w:rFonts w:ascii="Arial" w:hAnsi="Arial" w:cs="Arial"/>
          <w:i/>
          <w:iCs/>
          <w:sz w:val="22"/>
          <w:szCs w:val="22"/>
          <w:lang w:val="en-US"/>
        </w:rPr>
        <w:t>) and, on the other, if so required, new funding is made available by providers of risk-avoiding capital (debt) and/or risk-bearing capital (equity)</w:t>
      </w:r>
      <w:r w:rsidR="00B34D1A" w:rsidRPr="007033A3">
        <w:rPr>
          <w:rFonts w:ascii="Arial" w:hAnsi="Arial" w:cs="Arial"/>
          <w:sz w:val="22"/>
          <w:szCs w:val="22"/>
          <w:lang w:val="en-US"/>
        </w:rPr>
        <w:t>”</w:t>
      </w:r>
      <w:r w:rsidR="00B34D1A" w:rsidRPr="007033A3">
        <w:rPr>
          <w:rFonts w:ascii="Arial" w:hAnsi="Arial" w:cs="Arial"/>
          <w:sz w:val="22"/>
          <w:szCs w:val="22"/>
          <w:lang w:val="en-US"/>
        </w:rPr>
        <w:t>.</w:t>
      </w:r>
      <w:r w:rsidR="00B34D1A" w:rsidRPr="007033A3">
        <w:rPr>
          <w:rStyle w:val="Refdenotaderodap"/>
          <w:rFonts w:ascii="Arial" w:hAnsi="Arial" w:cs="Arial"/>
          <w:sz w:val="22"/>
          <w:szCs w:val="22"/>
        </w:rPr>
        <w:footnoteReference w:id="40"/>
      </w:r>
      <w:r w:rsidR="00300535" w:rsidRPr="00300535">
        <w:rPr>
          <w:rFonts w:ascii="Arial" w:hAnsi="Arial" w:cs="Arial"/>
          <w:sz w:val="22"/>
          <w:szCs w:val="22"/>
          <w:vertAlign w:val="superscript"/>
          <w:lang w:val="en-US"/>
        </w:rPr>
        <w:t>-</w:t>
      </w:r>
      <w:r w:rsidR="00300535">
        <w:rPr>
          <w:rStyle w:val="Refdenotaderodap"/>
          <w:rFonts w:ascii="Arial" w:hAnsi="Arial" w:cs="Arial"/>
          <w:sz w:val="22"/>
          <w:szCs w:val="22"/>
          <w:lang w:val="en-US"/>
        </w:rPr>
        <w:footnoteReference w:id="41"/>
      </w:r>
      <w:r w:rsidR="00A34F6F" w:rsidRPr="007033A3">
        <w:rPr>
          <w:rFonts w:ascii="Arial" w:hAnsi="Arial" w:cs="Arial"/>
          <w:sz w:val="22"/>
          <w:szCs w:val="22"/>
          <w:lang w:val="en-US"/>
        </w:rPr>
        <w:t xml:space="preserve"> Some examples of financial restructuring measures are (a) reducing the repayment obligations and/or reducing current debts, (b) reducing interest obligations, (c)</w:t>
      </w:r>
      <w:r w:rsidR="00B16D89">
        <w:rPr>
          <w:rFonts w:ascii="Arial" w:hAnsi="Arial" w:cs="Arial"/>
          <w:sz w:val="22"/>
          <w:szCs w:val="22"/>
          <w:lang w:val="en-US"/>
        </w:rPr>
        <w:t> </w:t>
      </w:r>
      <w:r w:rsidR="00A34F6F" w:rsidRPr="007033A3">
        <w:rPr>
          <w:rFonts w:ascii="Arial" w:hAnsi="Arial" w:cs="Arial"/>
          <w:sz w:val="22"/>
          <w:szCs w:val="22"/>
          <w:lang w:val="en-US"/>
        </w:rPr>
        <w:t>deferring repayments, (d) deferring interest obligations, (e) debt-to-equity swap, (f) generating new-risk avoiding financing, and (g) generating new risk-bearing financing</w:t>
      </w:r>
      <w:r w:rsidR="005174F2" w:rsidRPr="007033A3">
        <w:rPr>
          <w:rFonts w:ascii="Arial" w:hAnsi="Arial" w:cs="Arial"/>
          <w:sz w:val="22"/>
          <w:szCs w:val="22"/>
          <w:lang w:val="en-US"/>
        </w:rPr>
        <w:t>.</w:t>
      </w:r>
      <w:r w:rsidR="005174F2" w:rsidRPr="007033A3">
        <w:rPr>
          <w:rStyle w:val="Refdenotaderodap"/>
          <w:rFonts w:ascii="Arial" w:hAnsi="Arial" w:cs="Arial"/>
          <w:sz w:val="22"/>
          <w:szCs w:val="22"/>
        </w:rPr>
        <w:footnoteReference w:id="42"/>
      </w:r>
      <w:r w:rsidR="00A4022B" w:rsidRPr="00F33013">
        <w:rPr>
          <w:rFonts w:ascii="Arial" w:hAnsi="Arial" w:cs="Arial"/>
          <w:sz w:val="22"/>
          <w:szCs w:val="22"/>
          <w:vertAlign w:val="superscript"/>
          <w:lang w:val="en-US"/>
        </w:rPr>
        <w:t>-</w:t>
      </w:r>
      <w:r w:rsidR="00A4022B">
        <w:rPr>
          <w:rStyle w:val="Refdenotaderodap"/>
          <w:rFonts w:ascii="Arial" w:hAnsi="Arial" w:cs="Arial"/>
          <w:sz w:val="22"/>
          <w:szCs w:val="22"/>
          <w:lang w:val="en-US"/>
        </w:rPr>
        <w:footnoteReference w:id="43"/>
      </w:r>
    </w:p>
    <w:p w14:paraId="29EBB392" w14:textId="5254B690" w:rsidR="00C2443F" w:rsidRPr="007033A3" w:rsidRDefault="00C2443F" w:rsidP="000519CE">
      <w:pPr>
        <w:pStyle w:val="PargrafodaLista"/>
        <w:tabs>
          <w:tab w:val="left" w:pos="1134"/>
          <w:tab w:val="left" w:pos="1701"/>
        </w:tabs>
        <w:ind w:left="567"/>
        <w:jc w:val="both"/>
        <w:rPr>
          <w:rFonts w:ascii="Arial" w:hAnsi="Arial" w:cs="Arial"/>
          <w:sz w:val="22"/>
          <w:szCs w:val="22"/>
          <w:u w:val="single"/>
          <w:lang w:val="en-US"/>
        </w:rPr>
      </w:pPr>
    </w:p>
    <w:p w14:paraId="16EC99F1" w14:textId="6E41E383" w:rsidR="00C2443F" w:rsidRPr="007033A3" w:rsidRDefault="003B28B2" w:rsidP="000519CE">
      <w:pPr>
        <w:pStyle w:val="PargrafodaLista"/>
        <w:tabs>
          <w:tab w:val="left" w:pos="1134"/>
          <w:tab w:val="left" w:pos="1701"/>
        </w:tabs>
        <w:ind w:left="567"/>
        <w:jc w:val="both"/>
        <w:rPr>
          <w:rFonts w:ascii="Arial" w:hAnsi="Arial" w:cs="Arial"/>
          <w:sz w:val="22"/>
          <w:szCs w:val="22"/>
          <w:lang w:val="en-US"/>
        </w:rPr>
      </w:pPr>
      <w:r w:rsidRPr="007033A3">
        <w:rPr>
          <w:rFonts w:ascii="Arial" w:hAnsi="Arial" w:cs="Arial"/>
          <w:sz w:val="22"/>
          <w:szCs w:val="22"/>
          <w:lang w:val="en-US"/>
        </w:rPr>
        <w:t>In the present case, the final restructuring agreement provided for a debt-to-equity swap through which the Group of Banks and a few board members exchanged their debts for shares in the new and reorganized company, to which the shares of the operating subsidiaries were transferred, and cancelled a substantial portion of their indebtedness, thus strengthening the new company’s balance sheet.</w:t>
      </w:r>
    </w:p>
    <w:p w14:paraId="0FDE227B" w14:textId="77777777" w:rsidR="00051C79" w:rsidRPr="007033A3" w:rsidRDefault="00051C79" w:rsidP="007033A3">
      <w:pPr>
        <w:pStyle w:val="PargrafodaLista"/>
        <w:rPr>
          <w:rFonts w:ascii="Arial" w:hAnsi="Arial" w:cs="Arial"/>
          <w:sz w:val="22"/>
          <w:szCs w:val="22"/>
          <w:lang w:val="en-US"/>
        </w:rPr>
      </w:pPr>
    </w:p>
    <w:p w14:paraId="67451E57" w14:textId="56A87FBA" w:rsidR="00051C79" w:rsidRPr="007829A9" w:rsidRDefault="007829A9" w:rsidP="000519CE">
      <w:pPr>
        <w:pStyle w:val="PargrafodaLista"/>
        <w:numPr>
          <w:ilvl w:val="0"/>
          <w:numId w:val="19"/>
        </w:numPr>
        <w:tabs>
          <w:tab w:val="left" w:pos="567"/>
        </w:tabs>
        <w:ind w:left="0" w:firstLine="0"/>
        <w:jc w:val="both"/>
        <w:rPr>
          <w:rFonts w:ascii="Arial" w:hAnsi="Arial" w:cs="Arial"/>
          <w:sz w:val="22"/>
          <w:szCs w:val="22"/>
          <w:lang w:val="en-US"/>
        </w:rPr>
      </w:pPr>
      <w:r w:rsidRPr="007829A9">
        <w:rPr>
          <w:rFonts w:ascii="Arial" w:hAnsi="Arial" w:cs="Arial"/>
          <w:sz w:val="22"/>
          <w:szCs w:val="22"/>
          <w:lang w:val="en-US"/>
        </w:rPr>
        <w:t xml:space="preserve">Furthermore, in the Flow Management Group’s case, it is possible to </w:t>
      </w:r>
      <w:r>
        <w:rPr>
          <w:rFonts w:ascii="Arial" w:hAnsi="Arial" w:cs="Arial"/>
          <w:sz w:val="22"/>
          <w:szCs w:val="22"/>
          <w:lang w:val="en-US"/>
        </w:rPr>
        <w:t xml:space="preserve">visualize how the management employed a retrenchment strategy (i.e., reducing expenditures, layoffs, increasing internal process efficiencies) followed by a recovery strategy (i.e., structural change to the firm via the transfer of ownership), in a sequential manner, instead of attempting to implement both short-term and long-term strategies in a complementary manner, as suggested by Achim Schmitt and Sebastian </w:t>
      </w:r>
      <w:proofErr w:type="spellStart"/>
      <w:r>
        <w:rPr>
          <w:rFonts w:ascii="Arial" w:hAnsi="Arial" w:cs="Arial"/>
          <w:sz w:val="22"/>
          <w:szCs w:val="22"/>
          <w:lang w:val="en-US"/>
        </w:rPr>
        <w:t>Raisch</w:t>
      </w:r>
      <w:proofErr w:type="spellEnd"/>
      <w:r>
        <w:rPr>
          <w:rFonts w:ascii="Arial" w:hAnsi="Arial" w:cs="Arial"/>
          <w:sz w:val="22"/>
          <w:szCs w:val="22"/>
          <w:lang w:val="en-US"/>
        </w:rPr>
        <w:t>.</w:t>
      </w:r>
      <w:r w:rsidR="000060AE">
        <w:rPr>
          <w:rStyle w:val="Refdenotaderodap"/>
          <w:rFonts w:ascii="Arial" w:hAnsi="Arial" w:cs="Arial"/>
          <w:sz w:val="22"/>
          <w:szCs w:val="22"/>
        </w:rPr>
        <w:footnoteReference w:id="44"/>
      </w:r>
      <w:r>
        <w:rPr>
          <w:rFonts w:ascii="Arial" w:hAnsi="Arial" w:cs="Arial"/>
          <w:sz w:val="22"/>
          <w:szCs w:val="22"/>
          <w:lang w:val="en-US"/>
        </w:rPr>
        <w:t xml:space="preserve"> This could have contributed to a quicker turnaround </w:t>
      </w:r>
      <w:r>
        <w:rPr>
          <w:rFonts w:ascii="Arial" w:hAnsi="Arial" w:cs="Arial"/>
          <w:sz w:val="22"/>
          <w:szCs w:val="22"/>
          <w:lang w:val="en-US"/>
        </w:rPr>
        <w:lastRenderedPageBreak/>
        <w:t>process, perhaps even with a different outcome, with the controlling shareholder retaining a piece of the new and reorganized company.</w:t>
      </w:r>
    </w:p>
    <w:p w14:paraId="58BF0546" w14:textId="77777777" w:rsidR="00CE0499" w:rsidRPr="007829A9" w:rsidRDefault="00CE0499" w:rsidP="007033A3">
      <w:pPr>
        <w:pStyle w:val="PargrafodaLista"/>
        <w:tabs>
          <w:tab w:val="left" w:pos="1134"/>
        </w:tabs>
        <w:ind w:left="0"/>
        <w:jc w:val="both"/>
        <w:rPr>
          <w:rFonts w:ascii="Arial" w:hAnsi="Arial" w:cs="Arial"/>
          <w:sz w:val="22"/>
          <w:szCs w:val="22"/>
          <w:lang w:val="en-US"/>
        </w:rPr>
      </w:pPr>
    </w:p>
    <w:p w14:paraId="333A2F50" w14:textId="77777777" w:rsidR="00CE0499" w:rsidRPr="007829A9" w:rsidRDefault="00CE0499"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mc:AlternateContent>
          <mc:Choice Requires="wps">
            <w:drawing>
              <wp:anchor distT="0" distB="0" distL="114300" distR="114300" simplePos="0" relativeHeight="251667456" behindDoc="0" locked="0" layoutInCell="1" allowOverlap="1" wp14:anchorId="06B09582" wp14:editId="6D38D949">
                <wp:simplePos x="0" y="0"/>
                <wp:positionH relativeFrom="column">
                  <wp:posOffset>-5695</wp:posOffset>
                </wp:positionH>
                <wp:positionV relativeFrom="paragraph">
                  <wp:posOffset>40128</wp:posOffset>
                </wp:positionV>
                <wp:extent cx="5781368" cy="619432"/>
                <wp:effectExtent l="0" t="0" r="10160" b="15875"/>
                <wp:wrapNone/>
                <wp:docPr id="5" name="Text Box 3"/>
                <wp:cNvGraphicFramePr/>
                <a:graphic xmlns:a="http://schemas.openxmlformats.org/drawingml/2006/main">
                  <a:graphicData uri="http://schemas.microsoft.com/office/word/2010/wordprocessingShape">
                    <wps:wsp>
                      <wps:cNvSpPr txBox="1"/>
                      <wps:spPr>
                        <a:xfrm>
                          <a:off x="0" y="0"/>
                          <a:ext cx="5781368" cy="619432"/>
                        </a:xfrm>
                        <a:prstGeom prst="rect">
                          <a:avLst/>
                        </a:prstGeom>
                        <a:solidFill>
                          <a:schemeClr val="lt1"/>
                        </a:solidFill>
                        <a:ln w="6350">
                          <a:solidFill>
                            <a:prstClr val="black"/>
                          </a:solidFill>
                        </a:ln>
                      </wps:spPr>
                      <wps:txbx>
                        <w:txbxContent>
                          <w:p w14:paraId="6A226820" w14:textId="37D64CEB"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Banks C and D seem to frustrate the process at a certain point. What could have been the (rational and/or opportunistic) reason(s) for them to behave like that? What would you have done in that situation in your role as advisor of the other two banks?</w:t>
                            </w:r>
                          </w:p>
                          <w:p w14:paraId="45018837" w14:textId="77777777" w:rsidR="00CE0499" w:rsidRPr="00CE0499" w:rsidRDefault="00CE0499" w:rsidP="00CE049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9582" id="_x0000_s1030" type="#_x0000_t202" style="position:absolute;margin-left:-.45pt;margin-top:3.15pt;width:455.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" fillcolor="white [3201]" strokeweight=".5pt">
                <v:textbox>
                  <w:txbxContent>
                    <w:p w14:paraId="6A226820" w14:textId="37D64CEB" w:rsidR="00CE0499" w:rsidRPr="007033A3" w:rsidRDefault="00CE0499"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Banks C and D seem to frustrate the process at a certain point. What could have been the (rational and/or opportunistic) reason(s) for them to behave like that? What would you have done in that situation in your role as advisor of the other two banks?</w:t>
                      </w:r>
                    </w:p>
                    <w:p w14:paraId="45018837" w14:textId="77777777" w:rsidR="00CE0499" w:rsidRPr="00CE0499" w:rsidRDefault="00CE0499" w:rsidP="00CE0499">
                      <w:pPr>
                        <w:rPr>
                          <w:lang w:val="en-US"/>
                        </w:rPr>
                      </w:pPr>
                    </w:p>
                  </w:txbxContent>
                </v:textbox>
              </v:shape>
            </w:pict>
          </mc:Fallback>
        </mc:AlternateContent>
      </w:r>
    </w:p>
    <w:p w14:paraId="5A35E495" w14:textId="77777777" w:rsidR="00CE0499" w:rsidRPr="007829A9" w:rsidRDefault="00CE0499" w:rsidP="007033A3">
      <w:pPr>
        <w:pStyle w:val="PargrafodaLista"/>
        <w:snapToGrid w:val="0"/>
        <w:spacing w:after="120"/>
        <w:ind w:left="0"/>
        <w:contextualSpacing w:val="0"/>
        <w:rPr>
          <w:rFonts w:ascii="Arial" w:hAnsi="Arial" w:cs="Arial"/>
          <w:smallCaps/>
          <w:sz w:val="22"/>
          <w:szCs w:val="22"/>
          <w:lang w:val="en-US"/>
        </w:rPr>
      </w:pPr>
    </w:p>
    <w:p w14:paraId="608EFDC5" w14:textId="77777777" w:rsidR="00CE0499" w:rsidRPr="007829A9" w:rsidRDefault="00CE0499" w:rsidP="007033A3">
      <w:pPr>
        <w:tabs>
          <w:tab w:val="left" w:pos="1134"/>
        </w:tabs>
        <w:snapToGrid w:val="0"/>
        <w:spacing w:after="120"/>
        <w:rPr>
          <w:rFonts w:ascii="Arial" w:hAnsi="Arial" w:cs="Arial"/>
          <w:sz w:val="22"/>
          <w:szCs w:val="22"/>
          <w:lang w:val="en-US"/>
        </w:rPr>
      </w:pPr>
    </w:p>
    <w:p w14:paraId="683E3E97" w14:textId="77777777" w:rsidR="001D26B2" w:rsidRPr="007829A9" w:rsidRDefault="001D26B2" w:rsidP="007033A3">
      <w:pPr>
        <w:tabs>
          <w:tab w:val="left" w:pos="1134"/>
        </w:tabs>
        <w:jc w:val="both"/>
        <w:rPr>
          <w:rFonts w:ascii="Arial" w:hAnsi="Arial" w:cs="Arial"/>
          <w:sz w:val="22"/>
          <w:szCs w:val="22"/>
          <w:lang w:val="en-US"/>
        </w:rPr>
      </w:pPr>
    </w:p>
    <w:p w14:paraId="4268CF2D" w14:textId="77777777" w:rsidR="00F13B61" w:rsidRPr="007033A3" w:rsidRDefault="00F13B61"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There may be a few reasons for Banks C and D to walk away from negotiations in mid-February 2014, which are summarized as follows: </w:t>
      </w:r>
    </w:p>
    <w:p w14:paraId="49E0C019" w14:textId="77777777" w:rsidR="00F13B61" w:rsidRPr="007033A3" w:rsidRDefault="00F13B61" w:rsidP="007033A3">
      <w:pPr>
        <w:pStyle w:val="PargrafodaLista"/>
        <w:tabs>
          <w:tab w:val="left" w:pos="1134"/>
        </w:tabs>
        <w:ind w:left="0"/>
        <w:jc w:val="both"/>
        <w:rPr>
          <w:rFonts w:ascii="Arial" w:hAnsi="Arial" w:cs="Arial"/>
          <w:sz w:val="22"/>
          <w:szCs w:val="22"/>
          <w:lang w:val="en-US"/>
        </w:rPr>
      </w:pPr>
    </w:p>
    <w:p w14:paraId="6B3206B7" w14:textId="03C0D9D4" w:rsidR="00CE0499" w:rsidRPr="007033A3" w:rsidRDefault="00F13B61" w:rsidP="000519CE">
      <w:pPr>
        <w:pStyle w:val="PargrafodaLista"/>
        <w:numPr>
          <w:ilvl w:val="0"/>
          <w:numId w:val="20"/>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From the beginning of the conversations between the Group of Banks and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although the debtor attempted to keep an open channel of communication regarding its financials, most, if not all, the information passed on to the Group of Banks was inaccurate and/or insufficient to allow them to properly assess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xml:space="preserve">’s situation of distress. </w:t>
      </w:r>
      <w:r w:rsidR="00ED18A4" w:rsidRPr="007033A3">
        <w:rPr>
          <w:rFonts w:ascii="Arial" w:hAnsi="Arial" w:cs="Arial"/>
          <w:sz w:val="22"/>
          <w:szCs w:val="22"/>
          <w:lang w:val="en-US"/>
        </w:rPr>
        <w:t xml:space="preserve">The </w:t>
      </w:r>
      <w:r w:rsidR="00ED18A4" w:rsidRPr="007033A3">
        <w:rPr>
          <w:rFonts w:ascii="Arial" w:hAnsi="Arial" w:cs="Arial"/>
          <w:i/>
          <w:iCs/>
          <w:sz w:val="22"/>
          <w:szCs w:val="22"/>
          <w:lang w:val="en-US"/>
        </w:rPr>
        <w:t xml:space="preserve">poor quality </w:t>
      </w:r>
      <w:r w:rsidR="00ED18A4" w:rsidRPr="007033A3">
        <w:rPr>
          <w:rFonts w:ascii="Arial" w:hAnsi="Arial" w:cs="Arial"/>
          <w:sz w:val="22"/>
          <w:szCs w:val="22"/>
          <w:lang w:val="en-US"/>
        </w:rPr>
        <w:t xml:space="preserve">of information made it more difficult to </w:t>
      </w:r>
      <w:r w:rsidRPr="007033A3">
        <w:rPr>
          <w:rFonts w:ascii="Arial" w:hAnsi="Arial" w:cs="Arial"/>
          <w:sz w:val="22"/>
          <w:szCs w:val="22"/>
          <w:lang w:val="en-US"/>
        </w:rPr>
        <w:t xml:space="preserve">draft an adequate restructuring proposal, </w:t>
      </w:r>
      <w:r w:rsidR="00ED18A4" w:rsidRPr="007033A3">
        <w:rPr>
          <w:rFonts w:ascii="Arial" w:hAnsi="Arial" w:cs="Arial"/>
          <w:sz w:val="22"/>
          <w:szCs w:val="22"/>
          <w:lang w:val="en-US"/>
        </w:rPr>
        <w:t>and this might be the reason Banks C and D decided to take a step back in the hopes that the debtor might see this as a threat and start providing more reliable information</w:t>
      </w:r>
      <w:r w:rsidR="00735185" w:rsidRPr="007033A3">
        <w:rPr>
          <w:rFonts w:ascii="Arial" w:hAnsi="Arial" w:cs="Arial"/>
          <w:sz w:val="22"/>
          <w:szCs w:val="22"/>
          <w:lang w:val="en-US"/>
        </w:rPr>
        <w:t>.</w:t>
      </w:r>
    </w:p>
    <w:p w14:paraId="5F90D92B" w14:textId="2FE9ECC1" w:rsidR="00F13B61" w:rsidRPr="007033A3" w:rsidRDefault="00F13B61" w:rsidP="000519CE">
      <w:pPr>
        <w:pStyle w:val="PargrafodaLista"/>
        <w:tabs>
          <w:tab w:val="left" w:pos="1134"/>
          <w:tab w:val="left" w:pos="1701"/>
        </w:tabs>
        <w:ind w:left="567"/>
        <w:jc w:val="both"/>
        <w:rPr>
          <w:rFonts w:ascii="Arial" w:hAnsi="Arial" w:cs="Arial"/>
          <w:sz w:val="22"/>
          <w:szCs w:val="22"/>
          <w:lang w:val="en-US"/>
        </w:rPr>
      </w:pPr>
    </w:p>
    <w:p w14:paraId="2B55C45D" w14:textId="6E75A81E" w:rsidR="008F3A4D" w:rsidRPr="007033A3" w:rsidRDefault="00ED18A4" w:rsidP="000519CE">
      <w:pPr>
        <w:pStyle w:val="PargrafodaLista"/>
        <w:numPr>
          <w:ilvl w:val="0"/>
          <w:numId w:val="20"/>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Another reason for Banks C and D to stop cooperating might be the sluggish </w:t>
      </w:r>
      <w:r w:rsidR="006E4BDC" w:rsidRPr="007033A3">
        <w:rPr>
          <w:rFonts w:ascii="Arial" w:hAnsi="Arial" w:cs="Arial"/>
          <w:sz w:val="22"/>
          <w:szCs w:val="22"/>
          <w:lang w:val="en-US"/>
        </w:rPr>
        <w:t>attitude</w:t>
      </w:r>
      <w:r w:rsidRPr="007033A3">
        <w:rPr>
          <w:rFonts w:ascii="Arial" w:hAnsi="Arial" w:cs="Arial"/>
          <w:sz w:val="22"/>
          <w:szCs w:val="22"/>
          <w:lang w:val="en-US"/>
        </w:rPr>
        <w:t xml:space="preserve"> assumed by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xml:space="preserve"> and its controlling shareholder when taking measures to address the debtor’s financial distress. From the start, </w:t>
      </w:r>
      <w:r w:rsidR="008F3A4D" w:rsidRPr="007033A3">
        <w:rPr>
          <w:rFonts w:ascii="Arial" w:hAnsi="Arial" w:cs="Arial"/>
          <w:sz w:val="22"/>
          <w:szCs w:val="22"/>
          <w:lang w:val="en-US"/>
        </w:rPr>
        <w:t xml:space="preserve">some </w:t>
      </w:r>
      <w:r w:rsidRPr="007033A3">
        <w:rPr>
          <w:rFonts w:ascii="Arial" w:hAnsi="Arial" w:cs="Arial"/>
          <w:sz w:val="22"/>
          <w:szCs w:val="22"/>
          <w:lang w:val="en-US"/>
        </w:rPr>
        <w:t>problems are clearly noticeable in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’s business, such as (a) poor management overall, (b) wrongful issuance of management bonuses, (c) incorrectly booked profits, (d) formula error in a spreadsheet regarding cost-price calculations, (e) solvency issues that are not remedied by the controlling shareholder</w:t>
      </w:r>
      <w:r w:rsidR="008F3A4D" w:rsidRPr="007033A3">
        <w:rPr>
          <w:rFonts w:ascii="Arial" w:hAnsi="Arial" w:cs="Arial"/>
          <w:sz w:val="22"/>
          <w:szCs w:val="22"/>
          <w:lang w:val="en-US"/>
        </w:rPr>
        <w:t xml:space="preserve">, to name a few. </w:t>
      </w:r>
    </w:p>
    <w:p w14:paraId="145AEA5F" w14:textId="77777777" w:rsidR="008F3A4D" w:rsidRPr="007033A3" w:rsidRDefault="008F3A4D" w:rsidP="000519CE">
      <w:pPr>
        <w:pStyle w:val="PargrafodaLista"/>
        <w:tabs>
          <w:tab w:val="left" w:pos="1134"/>
        </w:tabs>
        <w:ind w:left="567"/>
        <w:rPr>
          <w:rFonts w:ascii="Arial" w:hAnsi="Arial" w:cs="Arial"/>
          <w:sz w:val="22"/>
          <w:szCs w:val="22"/>
          <w:lang w:val="en-US"/>
        </w:rPr>
      </w:pPr>
    </w:p>
    <w:p w14:paraId="386379A5" w14:textId="142659E0" w:rsidR="008F3A4D" w:rsidRPr="007033A3" w:rsidRDefault="008F3A4D" w:rsidP="000519CE">
      <w:pPr>
        <w:pStyle w:val="PargrafodaLista"/>
        <w:tabs>
          <w:tab w:val="left" w:pos="1134"/>
          <w:tab w:val="left" w:pos="1701"/>
        </w:tabs>
        <w:ind w:left="567"/>
        <w:jc w:val="both"/>
        <w:rPr>
          <w:rFonts w:ascii="Arial" w:hAnsi="Arial" w:cs="Arial"/>
          <w:sz w:val="22"/>
          <w:szCs w:val="22"/>
          <w:lang w:val="en-US"/>
        </w:rPr>
      </w:pPr>
      <w:r w:rsidRPr="007033A3">
        <w:rPr>
          <w:rFonts w:ascii="Arial" w:hAnsi="Arial" w:cs="Arial"/>
          <w:sz w:val="22"/>
          <w:szCs w:val="22"/>
          <w:lang w:val="en-US"/>
        </w:rPr>
        <w:t xml:space="preserve">To address these issues, Flow Management </w:t>
      </w:r>
      <w:r w:rsidR="00210826" w:rsidRPr="007033A3">
        <w:rPr>
          <w:rFonts w:ascii="Arial" w:hAnsi="Arial" w:cs="Arial"/>
          <w:sz w:val="22"/>
          <w:szCs w:val="22"/>
          <w:lang w:val="en-US"/>
        </w:rPr>
        <w:t xml:space="preserve">Group </w:t>
      </w:r>
      <w:r w:rsidRPr="007033A3">
        <w:rPr>
          <w:rFonts w:ascii="Arial" w:hAnsi="Arial" w:cs="Arial"/>
          <w:sz w:val="22"/>
          <w:szCs w:val="22"/>
          <w:lang w:val="en-US"/>
        </w:rPr>
        <w:t xml:space="preserve">raised its prices, laid off 130 employees and independent contractors and implemented savings in certain areas, such as car repairs, but nothing was done to improve the debtor’s solvency (the controlling shareholder proposed selling 350 cars instead of making a capital contribution, though the case description does not confirm this ever happened) and by December 2013, the debtor’s solvency reached 0.1% and it would only have enough cash to fulfill its obligations until April 2014, without taking into account a € 35 million repayment by the end of December 2013 that the Group of Banks implicitly postponed. </w:t>
      </w:r>
    </w:p>
    <w:p w14:paraId="07A522C2" w14:textId="77777777" w:rsidR="008F3A4D" w:rsidRPr="007033A3" w:rsidRDefault="008F3A4D" w:rsidP="000519CE">
      <w:pPr>
        <w:pStyle w:val="PargrafodaLista"/>
        <w:tabs>
          <w:tab w:val="left" w:pos="1134"/>
          <w:tab w:val="left" w:pos="1701"/>
        </w:tabs>
        <w:ind w:left="567"/>
        <w:jc w:val="both"/>
        <w:rPr>
          <w:rFonts w:ascii="Arial" w:hAnsi="Arial" w:cs="Arial"/>
          <w:sz w:val="22"/>
          <w:szCs w:val="22"/>
          <w:lang w:val="en-US"/>
        </w:rPr>
      </w:pPr>
    </w:p>
    <w:p w14:paraId="5930A598" w14:textId="5BA5C0C7" w:rsidR="00F13B61" w:rsidRPr="007033A3" w:rsidRDefault="008F3A4D" w:rsidP="000519CE">
      <w:pPr>
        <w:pStyle w:val="PargrafodaLista"/>
        <w:tabs>
          <w:tab w:val="left" w:pos="1134"/>
          <w:tab w:val="left" w:pos="1701"/>
        </w:tabs>
        <w:ind w:left="567"/>
        <w:jc w:val="both"/>
        <w:rPr>
          <w:rFonts w:ascii="Arial" w:hAnsi="Arial" w:cs="Arial"/>
          <w:sz w:val="22"/>
          <w:szCs w:val="22"/>
          <w:lang w:val="en-US"/>
        </w:rPr>
      </w:pPr>
      <w:r w:rsidRPr="007033A3">
        <w:rPr>
          <w:rFonts w:ascii="Arial" w:hAnsi="Arial" w:cs="Arial"/>
          <w:sz w:val="22"/>
          <w:szCs w:val="22"/>
          <w:lang w:val="en-US"/>
        </w:rPr>
        <w:t>The measures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xml:space="preserve"> undertook thus far may have been seen by Banks C and D as not enough to address the debtor’s level of distress, especially the lack of a capital contribution by the controlling shareholder.</w:t>
      </w:r>
    </w:p>
    <w:p w14:paraId="0F91CFA0" w14:textId="77777777" w:rsidR="008F3A4D" w:rsidRPr="007033A3" w:rsidRDefault="008F3A4D" w:rsidP="000519CE">
      <w:pPr>
        <w:pStyle w:val="PargrafodaLista"/>
        <w:tabs>
          <w:tab w:val="left" w:pos="1134"/>
        </w:tabs>
        <w:ind w:left="567"/>
        <w:rPr>
          <w:rFonts w:ascii="Arial" w:hAnsi="Arial" w:cs="Arial"/>
          <w:sz w:val="22"/>
          <w:szCs w:val="22"/>
          <w:lang w:val="en-US"/>
        </w:rPr>
      </w:pPr>
    </w:p>
    <w:p w14:paraId="3BE9B356" w14:textId="5DB2B0CE" w:rsidR="008F3A4D" w:rsidRPr="007033A3" w:rsidRDefault="00D84C34" w:rsidP="000519CE">
      <w:pPr>
        <w:pStyle w:val="PargrafodaLista"/>
        <w:numPr>
          <w:ilvl w:val="0"/>
          <w:numId w:val="20"/>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It may also be inferred that Banks C and D walked away from negotiations to try to ascertain the weakness of their pledges and </w:t>
      </w:r>
      <w:r w:rsidR="00F730D6" w:rsidRPr="007033A3">
        <w:rPr>
          <w:rFonts w:ascii="Arial" w:hAnsi="Arial" w:cs="Arial"/>
          <w:sz w:val="22"/>
          <w:szCs w:val="22"/>
          <w:lang w:val="en-US"/>
        </w:rPr>
        <w:t>sort out any problems that would lead a lower-than-expected recovery in case of Flow Management</w:t>
      </w:r>
      <w:r w:rsidR="00210826" w:rsidRPr="007033A3">
        <w:rPr>
          <w:rFonts w:ascii="Arial" w:hAnsi="Arial" w:cs="Arial"/>
          <w:sz w:val="22"/>
          <w:szCs w:val="22"/>
          <w:lang w:val="en-US"/>
        </w:rPr>
        <w:t xml:space="preserve"> Group</w:t>
      </w:r>
      <w:r w:rsidR="00F730D6" w:rsidRPr="007033A3">
        <w:rPr>
          <w:rFonts w:ascii="Arial" w:hAnsi="Arial" w:cs="Arial"/>
          <w:sz w:val="22"/>
          <w:szCs w:val="22"/>
          <w:lang w:val="en-US"/>
        </w:rPr>
        <w:t>’s liquidation. The case description points out that the contracts providing the pledges are not foolproof, which could have led Banks C and D to confer with their attorneys and look for ways to improve their position and gain leverage in the negotiations with the debtor and the other banks.</w:t>
      </w:r>
    </w:p>
    <w:p w14:paraId="6DE7A0DC" w14:textId="664CF993" w:rsidR="006E4BDC" w:rsidRPr="007033A3" w:rsidRDefault="006E4BDC" w:rsidP="000519CE">
      <w:pPr>
        <w:pStyle w:val="PargrafodaLista"/>
        <w:tabs>
          <w:tab w:val="left" w:pos="1134"/>
          <w:tab w:val="left" w:pos="1701"/>
        </w:tabs>
        <w:ind w:left="567"/>
        <w:jc w:val="both"/>
        <w:rPr>
          <w:rFonts w:ascii="Arial" w:hAnsi="Arial" w:cs="Arial"/>
          <w:sz w:val="22"/>
          <w:szCs w:val="22"/>
          <w:lang w:val="en-US"/>
        </w:rPr>
      </w:pPr>
    </w:p>
    <w:p w14:paraId="6DE627DA" w14:textId="03E21E7B" w:rsidR="006E4BDC" w:rsidRPr="007033A3" w:rsidRDefault="006E4BDC" w:rsidP="000519CE">
      <w:pPr>
        <w:pStyle w:val="PargrafodaLista"/>
        <w:numPr>
          <w:ilvl w:val="0"/>
          <w:numId w:val="20"/>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lastRenderedPageBreak/>
        <w:t>Furthermore, Banks C and D could have tried to halt conversations to pressure Banks A and B to buy out their claims, which was actually considered at the end of March 2014, but did not move forward.</w:t>
      </w:r>
    </w:p>
    <w:p w14:paraId="4E365540" w14:textId="77777777" w:rsidR="00F13B61" w:rsidRPr="007033A3" w:rsidRDefault="00F13B61" w:rsidP="007033A3">
      <w:pPr>
        <w:tabs>
          <w:tab w:val="left" w:pos="1134"/>
        </w:tabs>
        <w:jc w:val="both"/>
        <w:rPr>
          <w:rFonts w:ascii="Arial" w:hAnsi="Arial" w:cs="Arial"/>
          <w:sz w:val="22"/>
          <w:szCs w:val="22"/>
          <w:lang w:val="en-US"/>
        </w:rPr>
      </w:pPr>
    </w:p>
    <w:p w14:paraId="15714DBF" w14:textId="151FC25D" w:rsidR="00F13B61" w:rsidRPr="007033A3" w:rsidRDefault="00765D93"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In light of Banks C and D’s reluctance to cooperate to a consensual solution to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’s financial distress, an advisor to Banks A and B may take a few steps to continue negotiations aiming at a satisfactory conclusion for the banks they represent, which are described below</w:t>
      </w:r>
      <w:r w:rsidR="007C41C4" w:rsidRPr="007033A3">
        <w:rPr>
          <w:rFonts w:ascii="Arial" w:hAnsi="Arial" w:cs="Arial"/>
          <w:sz w:val="22"/>
          <w:szCs w:val="22"/>
          <w:lang w:val="en-US"/>
        </w:rPr>
        <w:t>, in order</w:t>
      </w:r>
      <w:r w:rsidRPr="007033A3">
        <w:rPr>
          <w:rFonts w:ascii="Arial" w:hAnsi="Arial" w:cs="Arial"/>
          <w:sz w:val="22"/>
          <w:szCs w:val="22"/>
          <w:lang w:val="en-US"/>
        </w:rPr>
        <w:t>:</w:t>
      </w:r>
    </w:p>
    <w:p w14:paraId="69EF8420" w14:textId="0D7EC4EE" w:rsidR="00765D93" w:rsidRPr="007033A3" w:rsidRDefault="00765D93" w:rsidP="007033A3">
      <w:pPr>
        <w:pStyle w:val="PargrafodaLista"/>
        <w:tabs>
          <w:tab w:val="left" w:pos="1134"/>
        </w:tabs>
        <w:ind w:left="0"/>
        <w:jc w:val="both"/>
        <w:rPr>
          <w:rFonts w:ascii="Arial" w:hAnsi="Arial" w:cs="Arial"/>
          <w:sz w:val="22"/>
          <w:szCs w:val="22"/>
          <w:lang w:val="en-US"/>
        </w:rPr>
      </w:pPr>
    </w:p>
    <w:p w14:paraId="5355A711" w14:textId="525C2776" w:rsidR="00765D93" w:rsidRPr="007033A3" w:rsidRDefault="007C41C4" w:rsidP="000519CE">
      <w:pPr>
        <w:pStyle w:val="PargrafodaLista"/>
        <w:numPr>
          <w:ilvl w:val="0"/>
          <w:numId w:val="21"/>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First, it would be advised that Banks A and B attempt to reach an inter-creditor agreement with Banks C and D, which would regulate how the Group of Banks would approach the debtor and </w:t>
      </w:r>
      <w:proofErr w:type="gramStart"/>
      <w:r w:rsidRPr="007033A3">
        <w:rPr>
          <w:rFonts w:ascii="Arial" w:hAnsi="Arial" w:cs="Arial"/>
          <w:sz w:val="22"/>
          <w:szCs w:val="22"/>
          <w:lang w:val="en-US"/>
        </w:rPr>
        <w:t>carry on</w:t>
      </w:r>
      <w:proofErr w:type="gramEnd"/>
      <w:r w:rsidRPr="007033A3">
        <w:rPr>
          <w:rFonts w:ascii="Arial" w:hAnsi="Arial" w:cs="Arial"/>
          <w:sz w:val="22"/>
          <w:szCs w:val="22"/>
          <w:lang w:val="en-US"/>
        </w:rPr>
        <w:t xml:space="preserve"> negotiations. This inter-creditor agreement </w:t>
      </w:r>
      <w:r w:rsidR="009D11D2" w:rsidRPr="007033A3">
        <w:rPr>
          <w:rFonts w:ascii="Arial" w:hAnsi="Arial" w:cs="Arial"/>
          <w:sz w:val="22"/>
          <w:szCs w:val="22"/>
          <w:lang w:val="en-US"/>
        </w:rPr>
        <w:t>would provide for a voting mechanism, risk sharing, and ensure that the banks’ original credit agreements be observed when proposing restructuring measures.</w:t>
      </w:r>
      <w:r w:rsidR="00BE77CE" w:rsidRPr="007033A3">
        <w:rPr>
          <w:rFonts w:ascii="Arial" w:hAnsi="Arial" w:cs="Arial"/>
          <w:sz w:val="22"/>
          <w:szCs w:val="22"/>
          <w:lang w:val="en-US"/>
        </w:rPr>
        <w:t xml:space="preserve"> A third-party coordinator may be appointed, one of the banks could be chosen as coordinator or a committee could be formed, serving as a focal point for negotiations with Flow Management </w:t>
      </w:r>
      <w:r w:rsidR="00210826" w:rsidRPr="007033A3">
        <w:rPr>
          <w:rFonts w:ascii="Arial" w:hAnsi="Arial" w:cs="Arial"/>
          <w:sz w:val="22"/>
          <w:szCs w:val="22"/>
          <w:lang w:val="en-US"/>
        </w:rPr>
        <w:t>Group</w:t>
      </w:r>
      <w:r w:rsidR="0055006F">
        <w:rPr>
          <w:rFonts w:ascii="Arial" w:hAnsi="Arial" w:cs="Arial"/>
          <w:sz w:val="22"/>
          <w:szCs w:val="22"/>
          <w:lang w:val="en-US"/>
        </w:rPr>
        <w:t xml:space="preserve"> </w:t>
      </w:r>
      <w:r w:rsidR="00BE77CE" w:rsidRPr="007033A3">
        <w:rPr>
          <w:rFonts w:ascii="Arial" w:hAnsi="Arial" w:cs="Arial"/>
          <w:sz w:val="22"/>
          <w:szCs w:val="22"/>
          <w:lang w:val="en-US"/>
        </w:rPr>
        <w:t>and showing a united front – this is actually suggested by the Fourth Principle provided by INSOL International’s Statement of Principles for a Global Approach to Multi-Creditor Workouts II.</w:t>
      </w:r>
      <w:r w:rsidR="00BE77CE" w:rsidRPr="007033A3">
        <w:rPr>
          <w:rStyle w:val="Refdenotaderodap"/>
          <w:rFonts w:ascii="Arial" w:hAnsi="Arial" w:cs="Arial"/>
          <w:sz w:val="22"/>
          <w:szCs w:val="22"/>
          <w:lang w:val="en-US"/>
        </w:rPr>
        <w:footnoteReference w:id="45"/>
      </w:r>
    </w:p>
    <w:p w14:paraId="1396012E" w14:textId="6CF203E9" w:rsidR="00735185" w:rsidRPr="007033A3" w:rsidRDefault="00735185" w:rsidP="000519CE">
      <w:pPr>
        <w:pStyle w:val="PargrafodaLista"/>
        <w:tabs>
          <w:tab w:val="left" w:pos="1134"/>
          <w:tab w:val="left" w:pos="1701"/>
        </w:tabs>
        <w:ind w:left="567"/>
        <w:jc w:val="both"/>
        <w:rPr>
          <w:rFonts w:ascii="Arial" w:hAnsi="Arial" w:cs="Arial"/>
          <w:sz w:val="22"/>
          <w:szCs w:val="22"/>
          <w:lang w:val="en-US"/>
        </w:rPr>
      </w:pPr>
    </w:p>
    <w:p w14:paraId="458F6AE1" w14:textId="61440B3D" w:rsidR="00735185" w:rsidRPr="007033A3" w:rsidRDefault="00735185" w:rsidP="000519CE">
      <w:pPr>
        <w:pStyle w:val="PargrafodaLista"/>
        <w:numPr>
          <w:ilvl w:val="0"/>
          <w:numId w:val="21"/>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Second, if an inter-creditor agreement cannot be signed, and Banks C and D decide to remain uncooperative, it would be advised for Banks A and B to continue negotiating with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Restructuring proposals could be drafted that would best suit Banks A and B’s best interests, whilst ensuring that Banks C and D would be treated equally and without prejudice. Furthermore, ongoing negotiations with Banks A and B could pressure Banks C and D to come back to the negotiating table to try to avoid a less-than-optimal recovery given the debtor’s circumstances and Banks A and B’s interests.</w:t>
      </w:r>
    </w:p>
    <w:p w14:paraId="7AE934A7" w14:textId="77777777" w:rsidR="00735185" w:rsidRPr="007033A3" w:rsidRDefault="00735185" w:rsidP="000519CE">
      <w:pPr>
        <w:pStyle w:val="PargrafodaLista"/>
        <w:tabs>
          <w:tab w:val="left" w:pos="1134"/>
        </w:tabs>
        <w:ind w:left="567"/>
        <w:rPr>
          <w:rFonts w:ascii="Arial" w:hAnsi="Arial" w:cs="Arial"/>
          <w:sz w:val="22"/>
          <w:szCs w:val="22"/>
          <w:lang w:val="en-US"/>
        </w:rPr>
      </w:pPr>
    </w:p>
    <w:p w14:paraId="7EB18285" w14:textId="50D5DF9F" w:rsidR="00735185" w:rsidRPr="007033A3" w:rsidRDefault="00735185" w:rsidP="000519CE">
      <w:pPr>
        <w:pStyle w:val="PargrafodaLista"/>
        <w:numPr>
          <w:ilvl w:val="0"/>
          <w:numId w:val="21"/>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Third, if a consensual workout solution cannot be reached due to Banks C and D acting as </w:t>
      </w:r>
      <w:r w:rsidR="006E4BDC" w:rsidRPr="007033A3">
        <w:rPr>
          <w:rFonts w:ascii="Arial" w:hAnsi="Arial" w:cs="Arial"/>
          <w:sz w:val="22"/>
          <w:szCs w:val="22"/>
          <w:lang w:val="en-US"/>
        </w:rPr>
        <w:t>holdouts, Banks A and B could consider (a) buying out Banks C and D with a discount (according to the case description, this was actually considered, with a 15-20% discount), (b) financing a third-party specialized in debt trading to buy out Banks C and D, and subsequently signing an inter-creditor agreement with the successor, or (c) financing Flow Management</w:t>
      </w:r>
      <w:r w:rsidR="00210826" w:rsidRPr="007033A3">
        <w:rPr>
          <w:rFonts w:ascii="Arial" w:hAnsi="Arial" w:cs="Arial"/>
          <w:sz w:val="22"/>
          <w:szCs w:val="22"/>
          <w:lang w:val="en-US"/>
        </w:rPr>
        <w:t xml:space="preserve"> Group</w:t>
      </w:r>
      <w:r w:rsidR="006E4BDC" w:rsidRPr="007033A3">
        <w:rPr>
          <w:rFonts w:ascii="Arial" w:hAnsi="Arial" w:cs="Arial"/>
          <w:sz w:val="22"/>
          <w:szCs w:val="22"/>
          <w:lang w:val="en-US"/>
        </w:rPr>
        <w:t>’s repayment of Banks C and D’s debt.</w:t>
      </w:r>
    </w:p>
    <w:p w14:paraId="558C9953" w14:textId="77777777" w:rsidR="00CE0499" w:rsidRPr="007033A3" w:rsidRDefault="00CE0499" w:rsidP="007033A3">
      <w:pPr>
        <w:pStyle w:val="PargrafodaLista"/>
        <w:tabs>
          <w:tab w:val="left" w:pos="1134"/>
        </w:tabs>
        <w:ind w:left="0"/>
        <w:jc w:val="both"/>
        <w:rPr>
          <w:rFonts w:ascii="Arial" w:hAnsi="Arial" w:cs="Arial"/>
          <w:sz w:val="22"/>
          <w:szCs w:val="22"/>
          <w:lang w:val="en-US"/>
        </w:rPr>
      </w:pPr>
    </w:p>
    <w:p w14:paraId="0DE2D6FA" w14:textId="77777777" w:rsidR="00CE0499" w:rsidRPr="007033A3" w:rsidRDefault="00CE0499"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mc:AlternateContent>
          <mc:Choice Requires="wps">
            <w:drawing>
              <wp:anchor distT="0" distB="0" distL="114300" distR="114300" simplePos="0" relativeHeight="251669504" behindDoc="0" locked="0" layoutInCell="1" allowOverlap="1" wp14:anchorId="1AB9486B" wp14:editId="66400AB9">
                <wp:simplePos x="0" y="0"/>
                <wp:positionH relativeFrom="column">
                  <wp:posOffset>-5695</wp:posOffset>
                </wp:positionH>
                <wp:positionV relativeFrom="paragraph">
                  <wp:posOffset>42074</wp:posOffset>
                </wp:positionV>
                <wp:extent cx="5801033" cy="589935"/>
                <wp:effectExtent l="0" t="0" r="15875" b="6985"/>
                <wp:wrapNone/>
                <wp:docPr id="6" name="Text Box 3"/>
                <wp:cNvGraphicFramePr/>
                <a:graphic xmlns:a="http://schemas.openxmlformats.org/drawingml/2006/main">
                  <a:graphicData uri="http://schemas.microsoft.com/office/word/2010/wordprocessingShape">
                    <wps:wsp>
                      <wps:cNvSpPr txBox="1"/>
                      <wps:spPr>
                        <a:xfrm>
                          <a:off x="0" y="0"/>
                          <a:ext cx="5801033" cy="589935"/>
                        </a:xfrm>
                        <a:prstGeom prst="rect">
                          <a:avLst/>
                        </a:prstGeom>
                        <a:solidFill>
                          <a:schemeClr val="lt1"/>
                        </a:solidFill>
                        <a:ln w="6350">
                          <a:solidFill>
                            <a:prstClr val="black"/>
                          </a:solidFill>
                        </a:ln>
                      </wps:spPr>
                      <wps:txbx>
                        <w:txbxContent>
                          <w:p w14:paraId="237118C8" w14:textId="79CA6783" w:rsidR="00CE0499" w:rsidRPr="007033A3" w:rsidRDefault="00CE0499" w:rsidP="007033A3">
                            <w:pPr>
                              <w:pStyle w:val="NormalWeb"/>
                              <w:numPr>
                                <w:ilvl w:val="0"/>
                                <w:numId w:val="18"/>
                              </w:numPr>
                              <w:tabs>
                                <w:tab w:val="num" w:pos="1134"/>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Which of the eight principles of the ‘Statement of Principles for a Global Approach to Multi-Creditor Workouts II’ can be found in the workout process of Flow Management (explicit or implicit)?</w:t>
                            </w:r>
                          </w:p>
                          <w:p w14:paraId="44D06C86" w14:textId="77777777" w:rsidR="00CE0499" w:rsidRPr="00CE0499" w:rsidRDefault="00CE0499" w:rsidP="00CE049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486B" id="_x0000_s1031" type="#_x0000_t202" style="position:absolute;margin-left:-.45pt;margin-top:3.3pt;width:456.75pt;height:4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" fillcolor="white [3201]" strokeweight=".5pt">
                <v:textbox>
                  <w:txbxContent>
                    <w:p w14:paraId="237118C8" w14:textId="79CA6783" w:rsidR="00CE0499" w:rsidRPr="007033A3" w:rsidRDefault="00CE0499" w:rsidP="007033A3">
                      <w:pPr>
                        <w:pStyle w:val="NormalWeb"/>
                        <w:numPr>
                          <w:ilvl w:val="0"/>
                          <w:numId w:val="18"/>
                        </w:numPr>
                        <w:tabs>
                          <w:tab w:val="num" w:pos="1134"/>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Which of the eight principles of the ‘Statement of Principles for a Global Approach to Multi-Creditor Workouts II’ can be found in the workout process of Flow Management (explicit or implicit)?</w:t>
                      </w:r>
                    </w:p>
                    <w:p w14:paraId="44D06C86" w14:textId="77777777" w:rsidR="00CE0499" w:rsidRPr="00CE0499" w:rsidRDefault="00CE0499" w:rsidP="00CE0499">
                      <w:pPr>
                        <w:rPr>
                          <w:lang w:val="en-US"/>
                        </w:rPr>
                      </w:pPr>
                    </w:p>
                  </w:txbxContent>
                </v:textbox>
              </v:shape>
            </w:pict>
          </mc:Fallback>
        </mc:AlternateContent>
      </w:r>
    </w:p>
    <w:p w14:paraId="525DF5C8" w14:textId="77777777" w:rsidR="00CE0499" w:rsidRPr="007033A3" w:rsidRDefault="00CE0499" w:rsidP="007033A3">
      <w:pPr>
        <w:pStyle w:val="PargrafodaLista"/>
        <w:snapToGrid w:val="0"/>
        <w:spacing w:after="120"/>
        <w:ind w:left="0"/>
        <w:contextualSpacing w:val="0"/>
        <w:rPr>
          <w:rFonts w:ascii="Arial" w:hAnsi="Arial" w:cs="Arial"/>
          <w:smallCaps/>
          <w:sz w:val="22"/>
          <w:szCs w:val="22"/>
          <w:lang w:val="en-US"/>
        </w:rPr>
      </w:pPr>
    </w:p>
    <w:p w14:paraId="2C4680DE" w14:textId="2CF48C1B" w:rsidR="00CE0499" w:rsidRPr="007033A3" w:rsidRDefault="00CE0499" w:rsidP="007033A3">
      <w:pPr>
        <w:tabs>
          <w:tab w:val="left" w:pos="1134"/>
        </w:tabs>
        <w:jc w:val="both"/>
        <w:rPr>
          <w:rFonts w:ascii="Arial" w:hAnsi="Arial" w:cs="Arial"/>
          <w:sz w:val="22"/>
          <w:szCs w:val="22"/>
          <w:lang w:val="en-US"/>
        </w:rPr>
      </w:pPr>
    </w:p>
    <w:p w14:paraId="0A64BD7E" w14:textId="77777777" w:rsidR="00E52423" w:rsidRPr="007033A3" w:rsidRDefault="00E52423" w:rsidP="007033A3">
      <w:pPr>
        <w:tabs>
          <w:tab w:val="left" w:pos="1134"/>
        </w:tabs>
        <w:jc w:val="both"/>
        <w:rPr>
          <w:rFonts w:ascii="Arial" w:hAnsi="Arial" w:cs="Arial"/>
          <w:sz w:val="22"/>
          <w:szCs w:val="22"/>
          <w:lang w:val="en-US"/>
        </w:rPr>
      </w:pPr>
    </w:p>
    <w:p w14:paraId="3D841606" w14:textId="294ACA90" w:rsidR="00DD087E" w:rsidRPr="007033A3" w:rsidRDefault="00DD087E"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INSOL International’s Statement of Principles for a Global Approach to Multi-Creditor Workouts II </w:t>
      </w:r>
      <w:r w:rsidR="00E5668A" w:rsidRPr="007033A3">
        <w:rPr>
          <w:rFonts w:ascii="Arial" w:hAnsi="Arial" w:cs="Arial"/>
          <w:sz w:val="22"/>
          <w:szCs w:val="22"/>
          <w:lang w:val="en-US"/>
        </w:rPr>
        <w:t>(henceforth, “</w:t>
      </w:r>
      <w:r w:rsidR="00E5668A" w:rsidRPr="007033A3">
        <w:rPr>
          <w:rFonts w:ascii="Arial" w:hAnsi="Arial" w:cs="Arial"/>
          <w:sz w:val="22"/>
          <w:szCs w:val="22"/>
          <w:u w:val="single"/>
          <w:lang w:val="en-US"/>
        </w:rPr>
        <w:t>Statement of Principles II</w:t>
      </w:r>
      <w:r w:rsidR="00E5668A" w:rsidRPr="007033A3">
        <w:rPr>
          <w:rFonts w:ascii="Arial" w:hAnsi="Arial" w:cs="Arial"/>
          <w:sz w:val="22"/>
          <w:szCs w:val="22"/>
          <w:lang w:val="en-US"/>
        </w:rPr>
        <w:t xml:space="preserve">”) </w:t>
      </w:r>
      <w:r w:rsidRPr="007033A3">
        <w:rPr>
          <w:rFonts w:ascii="Arial" w:hAnsi="Arial" w:cs="Arial"/>
          <w:sz w:val="22"/>
          <w:szCs w:val="22"/>
          <w:lang w:val="en-US"/>
        </w:rPr>
        <w:t>may be regarded as a “soft law”, i.e., a body of guidelines, principles or declarations that are not legally binding, such as “hard law”. Andrew T. Guzman and Timothy L. Meyer define “</w:t>
      </w:r>
      <w:r w:rsidRPr="007033A3">
        <w:rPr>
          <w:rFonts w:ascii="Arial" w:hAnsi="Arial" w:cs="Arial"/>
          <w:i/>
          <w:iCs/>
          <w:sz w:val="22"/>
          <w:szCs w:val="22"/>
          <w:lang w:val="en-US"/>
        </w:rPr>
        <w:t>soft law as those nonbinding rules or instruments that interpret or inform our understanding of binding legal rules or represent promises that in turn create expectations about future conduct</w:t>
      </w:r>
      <w:r w:rsidRPr="007033A3">
        <w:rPr>
          <w:rFonts w:ascii="Arial" w:hAnsi="Arial" w:cs="Arial"/>
          <w:sz w:val="22"/>
          <w:szCs w:val="22"/>
          <w:lang w:val="en-US"/>
        </w:rPr>
        <w:t>”.</w:t>
      </w:r>
      <w:r w:rsidRPr="007033A3">
        <w:rPr>
          <w:rStyle w:val="Refdenotaderodap"/>
          <w:rFonts w:ascii="Arial" w:hAnsi="Arial" w:cs="Arial"/>
          <w:sz w:val="22"/>
          <w:szCs w:val="22"/>
          <w:lang w:val="en-US"/>
        </w:rPr>
        <w:footnoteReference w:id="46"/>
      </w:r>
    </w:p>
    <w:p w14:paraId="74D12862" w14:textId="4DF4FD86" w:rsidR="00E5668A" w:rsidRPr="007033A3" w:rsidRDefault="00E5668A" w:rsidP="000519CE">
      <w:pPr>
        <w:pStyle w:val="PargrafodaLista"/>
        <w:tabs>
          <w:tab w:val="left" w:pos="567"/>
        </w:tabs>
        <w:ind w:left="0"/>
        <w:jc w:val="both"/>
        <w:rPr>
          <w:rFonts w:ascii="Arial" w:hAnsi="Arial" w:cs="Arial"/>
          <w:sz w:val="22"/>
          <w:szCs w:val="22"/>
          <w:lang w:val="en-US"/>
        </w:rPr>
      </w:pPr>
    </w:p>
    <w:p w14:paraId="378EA868" w14:textId="49CEE25E" w:rsidR="00E5668A" w:rsidRPr="007033A3" w:rsidRDefault="00E5668A"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Considering that formal insolvency proceedings are not always expeditious or cost-effective, and considering that it may somewhat tarnish a firm’s reputation with its suppliers, consumers and the market in general, informal workouts may be the best alternative when the </w:t>
      </w:r>
      <w:r w:rsidRPr="007033A3">
        <w:rPr>
          <w:rFonts w:ascii="Arial" w:hAnsi="Arial" w:cs="Arial"/>
          <w:sz w:val="22"/>
          <w:szCs w:val="22"/>
          <w:lang w:val="en-US"/>
        </w:rPr>
        <w:lastRenderedPageBreak/>
        <w:t>conditions are right – that is, when a group of relevant creditors, such as financial institutions, are willing to negotiate “</w:t>
      </w:r>
      <w:r w:rsidRPr="007033A3">
        <w:rPr>
          <w:rFonts w:ascii="Arial" w:hAnsi="Arial" w:cs="Arial"/>
          <w:i/>
          <w:iCs/>
          <w:sz w:val="22"/>
          <w:szCs w:val="22"/>
          <w:lang w:val="en-US"/>
        </w:rPr>
        <w:t>an orderly and expeditious rescue or workout</w:t>
      </w:r>
      <w:r w:rsidRPr="007033A3">
        <w:rPr>
          <w:rFonts w:ascii="Arial" w:hAnsi="Arial" w:cs="Arial"/>
          <w:sz w:val="22"/>
          <w:szCs w:val="22"/>
          <w:lang w:val="en-US"/>
        </w:rPr>
        <w:t>” in order “</w:t>
      </w:r>
      <w:r w:rsidRPr="007033A3">
        <w:rPr>
          <w:rFonts w:ascii="Arial" w:hAnsi="Arial" w:cs="Arial"/>
          <w:i/>
          <w:iCs/>
          <w:sz w:val="22"/>
          <w:szCs w:val="22"/>
          <w:lang w:val="en-US"/>
        </w:rPr>
        <w:t>to avoid the social and economic impact of major business failures where viable alternatives exist</w:t>
      </w:r>
      <w:r w:rsidRPr="007033A3">
        <w:rPr>
          <w:rFonts w:ascii="Arial" w:hAnsi="Arial" w:cs="Arial"/>
          <w:sz w:val="22"/>
          <w:szCs w:val="22"/>
          <w:lang w:val="en-US"/>
        </w:rPr>
        <w:t>”, as expressed in the Commentaries to the Statement of Principles II.</w:t>
      </w:r>
      <w:r w:rsidRPr="007033A3">
        <w:rPr>
          <w:rStyle w:val="Refdenotaderodap"/>
          <w:rFonts w:ascii="Arial" w:hAnsi="Arial" w:cs="Arial"/>
          <w:sz w:val="22"/>
          <w:szCs w:val="22"/>
          <w:lang w:val="en-US"/>
        </w:rPr>
        <w:footnoteReference w:id="47"/>
      </w:r>
    </w:p>
    <w:p w14:paraId="4276F84E" w14:textId="77777777" w:rsidR="0018480C" w:rsidRPr="007033A3" w:rsidRDefault="0018480C" w:rsidP="000519CE">
      <w:pPr>
        <w:pStyle w:val="PargrafodaLista"/>
        <w:tabs>
          <w:tab w:val="left" w:pos="567"/>
        </w:tabs>
        <w:rPr>
          <w:rFonts w:ascii="Arial" w:hAnsi="Arial" w:cs="Arial"/>
          <w:sz w:val="22"/>
          <w:szCs w:val="22"/>
          <w:lang w:val="en-US"/>
        </w:rPr>
      </w:pPr>
    </w:p>
    <w:p w14:paraId="20CF0EC9" w14:textId="613139CE" w:rsidR="0018480C" w:rsidRPr="007033A3" w:rsidRDefault="0018480C"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And an important tool to guide informal workouts is precisely a soft law that embodies principles the parties can agree to abide by throughout their negotiations, such as the Statement of Principles II, which provide eight (8) principles that have been thought to encourage discussions in a safe environment and directed toward a common goal, the rescue of the business in distress. If the consensual approach does not bear fruit (e.g., due to a hold-out), a formal insolvency proceeding may be the solution, perhaps even with a restructuring support agreement outlining the principal measures to be undertaken during the formal proceeding, or even a prepackaged bankruptcy, which is quite common in the United States and is starting to gain traction in Brazilian judicial reorganizations.</w:t>
      </w:r>
    </w:p>
    <w:p w14:paraId="05BB467F" w14:textId="77777777" w:rsidR="0018480C" w:rsidRPr="007033A3" w:rsidRDefault="0018480C" w:rsidP="000519CE">
      <w:pPr>
        <w:pStyle w:val="PargrafodaLista"/>
        <w:tabs>
          <w:tab w:val="left" w:pos="567"/>
        </w:tabs>
        <w:rPr>
          <w:rFonts w:ascii="Arial" w:hAnsi="Arial" w:cs="Arial"/>
          <w:sz w:val="22"/>
          <w:szCs w:val="22"/>
          <w:lang w:val="en-US"/>
        </w:rPr>
      </w:pPr>
    </w:p>
    <w:p w14:paraId="3406D8E3" w14:textId="6179EDF1" w:rsidR="0018480C" w:rsidRPr="007033A3" w:rsidRDefault="0034181D"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That being said, in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’s case, the principles set forth by INSOL’s Statement of Principles II may be observed throughout the negotiations carried out by the debtors and the Group of Banks, which will be discussed as follows.</w:t>
      </w:r>
    </w:p>
    <w:p w14:paraId="5CDA747D" w14:textId="77777777" w:rsidR="00CB37A0" w:rsidRPr="007033A3" w:rsidRDefault="00CB37A0" w:rsidP="000519CE">
      <w:pPr>
        <w:pStyle w:val="PargrafodaLista"/>
        <w:tabs>
          <w:tab w:val="left" w:pos="567"/>
        </w:tabs>
        <w:rPr>
          <w:rFonts w:ascii="Arial" w:hAnsi="Arial" w:cs="Arial"/>
          <w:sz w:val="22"/>
          <w:szCs w:val="22"/>
          <w:lang w:val="en-US"/>
        </w:rPr>
      </w:pPr>
    </w:p>
    <w:p w14:paraId="5895D984" w14:textId="77777777" w:rsidR="00D97418"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First principle</w:t>
      </w:r>
      <w:r w:rsidRPr="007033A3">
        <w:rPr>
          <w:rFonts w:ascii="Arial" w:hAnsi="Arial" w:cs="Arial"/>
          <w:sz w:val="22"/>
          <w:szCs w:val="22"/>
          <w:lang w:val="en-US"/>
        </w:rPr>
        <w:t xml:space="preserve">. </w:t>
      </w:r>
      <w:r w:rsidR="00124CA9" w:rsidRPr="007033A3">
        <w:rPr>
          <w:rFonts w:ascii="Arial" w:hAnsi="Arial" w:cs="Arial"/>
          <w:sz w:val="22"/>
          <w:szCs w:val="22"/>
          <w:lang w:val="en-US"/>
        </w:rPr>
        <w:t xml:space="preserve">At first sight of the debtor’s financial difficulties, relevant creditors (usually financial institutions, but bondholders and any other important creditors may be included herein) should come together and cooperate toward a satisfactory solution that would avoid a formal insolvency proceeding, and the first step to do so would be to reach a standstill agreement, whereby creditors halt their enforcement actions, in exchange for information from the debtor that would allow for restructuring proposals to be drawn up considering the debtor’s specific situation. </w:t>
      </w:r>
    </w:p>
    <w:p w14:paraId="07C68076" w14:textId="77777777" w:rsidR="00D97418" w:rsidRPr="007033A3" w:rsidRDefault="00D97418" w:rsidP="000519CE">
      <w:pPr>
        <w:pStyle w:val="PargrafodaLista"/>
        <w:tabs>
          <w:tab w:val="left" w:pos="567"/>
        </w:tabs>
        <w:rPr>
          <w:rFonts w:ascii="Arial" w:hAnsi="Arial" w:cs="Arial"/>
          <w:sz w:val="22"/>
          <w:szCs w:val="22"/>
          <w:lang w:val="en-US"/>
        </w:rPr>
      </w:pPr>
    </w:p>
    <w:p w14:paraId="7D951F30" w14:textId="72D7A2EA" w:rsidR="00CB37A0" w:rsidRPr="007033A3" w:rsidRDefault="00124CA9"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The standstill period, although for a limited time, is important to avoid the common pool problem, as explained by Thomas Jackson</w:t>
      </w:r>
      <w:r w:rsidR="00D97418" w:rsidRPr="007033A3">
        <w:rPr>
          <w:rStyle w:val="Refdenotaderodap"/>
          <w:rFonts w:ascii="Arial" w:hAnsi="Arial" w:cs="Arial"/>
          <w:sz w:val="22"/>
          <w:szCs w:val="22"/>
          <w:lang w:val="en-US"/>
        </w:rPr>
        <w:footnoteReference w:id="48"/>
      </w:r>
      <w:r w:rsidR="00D97418" w:rsidRPr="007033A3">
        <w:rPr>
          <w:rFonts w:ascii="Arial" w:hAnsi="Arial" w:cs="Arial"/>
          <w:sz w:val="22"/>
          <w:szCs w:val="22"/>
          <w:lang w:val="en-US"/>
        </w:rPr>
        <w:t xml:space="preserve">, in which each individual creditor of a debtor in financial distress tries to collect their claims through the “grab” rules of </w:t>
      </w:r>
      <w:proofErr w:type="spellStart"/>
      <w:r w:rsidR="00D97418" w:rsidRPr="007033A3">
        <w:rPr>
          <w:rFonts w:ascii="Arial" w:hAnsi="Arial" w:cs="Arial"/>
          <w:sz w:val="22"/>
          <w:szCs w:val="22"/>
          <w:lang w:val="en-US"/>
        </w:rPr>
        <w:t>nonbankruptcy</w:t>
      </w:r>
      <w:proofErr w:type="spellEnd"/>
      <w:r w:rsidR="00D97418" w:rsidRPr="007033A3">
        <w:rPr>
          <w:rFonts w:ascii="Arial" w:hAnsi="Arial" w:cs="Arial"/>
          <w:sz w:val="22"/>
          <w:szCs w:val="22"/>
          <w:lang w:val="en-US"/>
        </w:rPr>
        <w:t xml:space="preserve"> law and the debtor’s assets are allocated on a first-come, first-served basis, thereby hindering a global solution to the debtor’s crisis. Rather than using a formal insolvency proceeding to solve this collective action problem, a standstill agreement among relevant creditors may have the same effect as an automatic stay period, allowing all the relevant creditors to assess the situation and formulate proposals for an out-of-court workout</w:t>
      </w:r>
      <w:r w:rsidR="007428C7" w:rsidRPr="007033A3">
        <w:rPr>
          <w:rFonts w:ascii="Arial" w:hAnsi="Arial" w:cs="Arial"/>
          <w:sz w:val="22"/>
          <w:szCs w:val="22"/>
          <w:lang w:val="en-US"/>
        </w:rPr>
        <w:t>, as well as avoiding a formal insolvency proceeding</w:t>
      </w:r>
      <w:r w:rsidR="00D97418" w:rsidRPr="007033A3">
        <w:rPr>
          <w:rFonts w:ascii="Arial" w:hAnsi="Arial" w:cs="Arial"/>
          <w:sz w:val="22"/>
          <w:szCs w:val="22"/>
          <w:lang w:val="en-US"/>
        </w:rPr>
        <w:t>.</w:t>
      </w:r>
    </w:p>
    <w:p w14:paraId="273A3028" w14:textId="77777777" w:rsidR="006A6D76" w:rsidRPr="007033A3" w:rsidRDefault="006A6D76" w:rsidP="000519CE">
      <w:pPr>
        <w:pStyle w:val="PargrafodaLista"/>
        <w:tabs>
          <w:tab w:val="left" w:pos="567"/>
        </w:tabs>
        <w:rPr>
          <w:rFonts w:ascii="Arial" w:hAnsi="Arial" w:cs="Arial"/>
          <w:sz w:val="22"/>
          <w:szCs w:val="22"/>
          <w:lang w:val="en-US"/>
        </w:rPr>
      </w:pPr>
    </w:p>
    <w:p w14:paraId="1862F413" w14:textId="04ED5907" w:rsidR="006A6D76" w:rsidRPr="007033A3" w:rsidRDefault="006A6D76"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In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’s case</w:t>
      </w:r>
      <w:r w:rsidR="00385B22" w:rsidRPr="007033A3">
        <w:rPr>
          <w:rFonts w:ascii="Arial" w:hAnsi="Arial" w:cs="Arial"/>
          <w:sz w:val="22"/>
          <w:szCs w:val="22"/>
          <w:lang w:val="en-US"/>
        </w:rPr>
        <w:t xml:space="preserve">, in January 2014, the Group of Banks realize that they should cooperate toward a global solution to the debtor’s financial distress and suggest a standstill agreement may be important to reach this goal. However, </w:t>
      </w:r>
      <w:r w:rsidR="00CD791C" w:rsidRPr="007033A3">
        <w:rPr>
          <w:rFonts w:ascii="Arial" w:hAnsi="Arial" w:cs="Arial"/>
          <w:sz w:val="22"/>
          <w:szCs w:val="22"/>
          <w:lang w:val="en-US"/>
        </w:rPr>
        <w:t xml:space="preserve">months went by before the Group of Banks and Flow Management </w:t>
      </w:r>
      <w:r w:rsidR="00210826" w:rsidRPr="007033A3">
        <w:rPr>
          <w:rFonts w:ascii="Arial" w:hAnsi="Arial" w:cs="Arial"/>
          <w:sz w:val="22"/>
          <w:szCs w:val="22"/>
          <w:lang w:val="en-US"/>
        </w:rPr>
        <w:t xml:space="preserve">Group </w:t>
      </w:r>
      <w:r w:rsidR="00CD791C" w:rsidRPr="007033A3">
        <w:rPr>
          <w:rFonts w:ascii="Arial" w:hAnsi="Arial" w:cs="Arial"/>
          <w:sz w:val="22"/>
          <w:szCs w:val="22"/>
          <w:lang w:val="en-US"/>
        </w:rPr>
        <w:t>actually reached a standstill agreement for 120 days, signed in the middle of August 2014 – approximately nine (9) months after the first signs of financial trouble.</w:t>
      </w:r>
    </w:p>
    <w:p w14:paraId="71CF18F0" w14:textId="77777777" w:rsidR="009F1450" w:rsidRPr="007033A3" w:rsidRDefault="009F1450" w:rsidP="000519CE">
      <w:pPr>
        <w:pStyle w:val="PargrafodaLista"/>
        <w:tabs>
          <w:tab w:val="left" w:pos="567"/>
        </w:tabs>
        <w:rPr>
          <w:rFonts w:ascii="Arial" w:hAnsi="Arial" w:cs="Arial"/>
          <w:sz w:val="22"/>
          <w:szCs w:val="22"/>
          <w:lang w:val="en-US"/>
        </w:rPr>
      </w:pPr>
    </w:p>
    <w:p w14:paraId="43D231D9" w14:textId="15B3BC03" w:rsidR="009F1450" w:rsidRPr="007033A3" w:rsidRDefault="009F145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Although </w:t>
      </w:r>
      <w:r w:rsidR="002E39AD" w:rsidRPr="007033A3">
        <w:rPr>
          <w:rFonts w:ascii="Arial" w:hAnsi="Arial" w:cs="Arial"/>
          <w:sz w:val="22"/>
          <w:szCs w:val="22"/>
          <w:lang w:val="en-US"/>
        </w:rPr>
        <w:t xml:space="preserve">it took </w:t>
      </w:r>
      <w:r w:rsidRPr="007033A3">
        <w:rPr>
          <w:rFonts w:ascii="Arial" w:hAnsi="Arial" w:cs="Arial"/>
          <w:sz w:val="22"/>
          <w:szCs w:val="22"/>
          <w:lang w:val="en-US"/>
        </w:rPr>
        <w:t xml:space="preserve">a while to </w:t>
      </w:r>
      <w:r w:rsidR="002E39AD" w:rsidRPr="007033A3">
        <w:rPr>
          <w:rFonts w:ascii="Arial" w:hAnsi="Arial" w:cs="Arial"/>
          <w:sz w:val="22"/>
          <w:szCs w:val="22"/>
          <w:lang w:val="en-US"/>
        </w:rPr>
        <w:t>agree on a standstill</w:t>
      </w:r>
      <w:r w:rsidRPr="007033A3">
        <w:rPr>
          <w:rFonts w:ascii="Arial" w:hAnsi="Arial" w:cs="Arial"/>
          <w:sz w:val="22"/>
          <w:szCs w:val="22"/>
          <w:lang w:val="en-US"/>
        </w:rPr>
        <w:t xml:space="preserve">, from November 2013, Flow Management </w:t>
      </w:r>
      <w:r w:rsidR="00210826" w:rsidRPr="007033A3">
        <w:rPr>
          <w:rFonts w:ascii="Arial" w:hAnsi="Arial" w:cs="Arial"/>
          <w:sz w:val="22"/>
          <w:szCs w:val="22"/>
          <w:lang w:val="en-US"/>
        </w:rPr>
        <w:t xml:space="preserve">Group </w:t>
      </w:r>
      <w:r w:rsidRPr="007033A3">
        <w:rPr>
          <w:rFonts w:ascii="Arial" w:hAnsi="Arial" w:cs="Arial"/>
          <w:sz w:val="22"/>
          <w:szCs w:val="22"/>
          <w:lang w:val="en-US"/>
        </w:rPr>
        <w:t xml:space="preserve">initiated conversations with the Group of Banks to communicate their situation of distress and provide information on the business, even if at times such information was incorrect. The Group of Banks also seemed to cooperate and try to coordinate in search of a restructuring proposal from the outset, in December 2013, though Banks C and D </w:t>
      </w:r>
      <w:r w:rsidR="00B822B4" w:rsidRPr="007033A3">
        <w:rPr>
          <w:rFonts w:ascii="Arial" w:hAnsi="Arial" w:cs="Arial"/>
          <w:sz w:val="22"/>
          <w:szCs w:val="22"/>
          <w:lang w:val="en-US"/>
        </w:rPr>
        <w:t xml:space="preserve">had their moments of disbelief in the debtor’s management (and shareholders) and its ability to </w:t>
      </w:r>
      <w:r w:rsidR="00B822B4" w:rsidRPr="007033A3">
        <w:rPr>
          <w:rFonts w:ascii="Arial" w:hAnsi="Arial" w:cs="Arial"/>
          <w:sz w:val="22"/>
          <w:szCs w:val="22"/>
          <w:lang w:val="en-US"/>
        </w:rPr>
        <w:lastRenderedPageBreak/>
        <w:t>effectuate the necessary turnaround measures, causing them to momentarily leave the negotiations.</w:t>
      </w:r>
    </w:p>
    <w:p w14:paraId="6573828A" w14:textId="77777777" w:rsidR="00CB37A0" w:rsidRPr="007033A3" w:rsidRDefault="00CB37A0" w:rsidP="000519CE">
      <w:pPr>
        <w:pStyle w:val="PargrafodaLista"/>
        <w:tabs>
          <w:tab w:val="left" w:pos="567"/>
        </w:tabs>
        <w:rPr>
          <w:rFonts w:ascii="Arial" w:hAnsi="Arial" w:cs="Arial"/>
          <w:sz w:val="22"/>
          <w:szCs w:val="22"/>
          <w:lang w:val="en-US"/>
        </w:rPr>
      </w:pPr>
    </w:p>
    <w:p w14:paraId="5B83AC3D" w14:textId="58D1B80E" w:rsidR="00CB37A0"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Second principle</w:t>
      </w:r>
      <w:r w:rsidRPr="007033A3">
        <w:rPr>
          <w:rFonts w:ascii="Arial" w:hAnsi="Arial" w:cs="Arial"/>
          <w:sz w:val="22"/>
          <w:szCs w:val="22"/>
          <w:lang w:val="en-US"/>
        </w:rPr>
        <w:t xml:space="preserve">. </w:t>
      </w:r>
      <w:r w:rsidR="00E94C32" w:rsidRPr="007033A3">
        <w:rPr>
          <w:rFonts w:ascii="Arial" w:hAnsi="Arial" w:cs="Arial"/>
          <w:sz w:val="22"/>
          <w:szCs w:val="22"/>
          <w:lang w:val="en-US"/>
        </w:rPr>
        <w:t>For the standstill agreement to actually be effective, creditors must not initiate collection suits or enforcement proceedings seeking the repayment or the improvement of their positions against the debtor. On the other hand, creditors are encouraged to “</w:t>
      </w:r>
      <w:r w:rsidR="00E94C32" w:rsidRPr="007033A3">
        <w:rPr>
          <w:rFonts w:ascii="Arial" w:hAnsi="Arial" w:cs="Arial"/>
          <w:i/>
          <w:iCs/>
          <w:sz w:val="22"/>
          <w:szCs w:val="22"/>
          <w:lang w:val="en-US"/>
        </w:rPr>
        <w:t xml:space="preserve">allow </w:t>
      </w:r>
      <w:proofErr w:type="spellStart"/>
      <w:r w:rsidR="00E94C32" w:rsidRPr="007033A3">
        <w:rPr>
          <w:rFonts w:ascii="Arial" w:hAnsi="Arial" w:cs="Arial"/>
          <w:i/>
          <w:iCs/>
          <w:sz w:val="22"/>
          <w:szCs w:val="22"/>
          <w:lang w:val="en-US"/>
        </w:rPr>
        <w:t>utilisation</w:t>
      </w:r>
      <w:proofErr w:type="spellEnd"/>
      <w:r w:rsidR="00E94C32" w:rsidRPr="007033A3">
        <w:rPr>
          <w:rFonts w:ascii="Arial" w:hAnsi="Arial" w:cs="Arial"/>
          <w:i/>
          <w:iCs/>
          <w:sz w:val="22"/>
          <w:szCs w:val="22"/>
          <w:lang w:val="en-US"/>
        </w:rPr>
        <w:t xml:space="preserve"> of existing credit lines and facilities</w:t>
      </w:r>
      <w:r w:rsidR="00E94C32" w:rsidRPr="007033A3">
        <w:rPr>
          <w:rFonts w:ascii="Arial" w:hAnsi="Arial" w:cs="Arial"/>
          <w:sz w:val="22"/>
          <w:szCs w:val="22"/>
          <w:lang w:val="en-US"/>
        </w:rPr>
        <w:t>”.</w:t>
      </w:r>
      <w:r w:rsidR="00E94C32" w:rsidRPr="007033A3">
        <w:rPr>
          <w:rStyle w:val="Refdenotaderodap"/>
          <w:rFonts w:ascii="Arial" w:hAnsi="Arial" w:cs="Arial"/>
          <w:sz w:val="22"/>
          <w:szCs w:val="22"/>
          <w:lang w:val="en-US"/>
        </w:rPr>
        <w:footnoteReference w:id="49"/>
      </w:r>
      <w:r w:rsidR="00E94C32" w:rsidRPr="007033A3">
        <w:rPr>
          <w:rFonts w:ascii="Arial" w:hAnsi="Arial" w:cs="Arial"/>
          <w:sz w:val="22"/>
          <w:szCs w:val="22"/>
          <w:lang w:val="en-US"/>
        </w:rPr>
        <w:t xml:space="preserve"> The objective of the first and second principles is to achieve the stability needed to negotiate restructuring proposals without the threat of imminent bankruptcy. In Flow Management</w:t>
      </w:r>
      <w:r w:rsidR="00210826" w:rsidRPr="007033A3">
        <w:rPr>
          <w:rFonts w:ascii="Arial" w:hAnsi="Arial" w:cs="Arial"/>
          <w:sz w:val="22"/>
          <w:szCs w:val="22"/>
          <w:lang w:val="en-US"/>
        </w:rPr>
        <w:t xml:space="preserve"> Group</w:t>
      </w:r>
      <w:r w:rsidR="00E94C32" w:rsidRPr="007033A3">
        <w:rPr>
          <w:rFonts w:ascii="Arial" w:hAnsi="Arial" w:cs="Arial"/>
          <w:sz w:val="22"/>
          <w:szCs w:val="22"/>
          <w:lang w:val="en-US"/>
        </w:rPr>
        <w:t xml:space="preserve">’s case, it is not clear if the standstill agreement disallowed such actions by the Group of Banks, but it is possible to infer that the creditors agreed to not press for repayment or to try to improve their individual positions, considering there is no information regarding such actions. </w:t>
      </w:r>
    </w:p>
    <w:p w14:paraId="08D0CA2B" w14:textId="77777777" w:rsidR="00CB37A0" w:rsidRPr="007033A3" w:rsidRDefault="00CB37A0" w:rsidP="000519CE">
      <w:pPr>
        <w:pStyle w:val="PargrafodaLista"/>
        <w:tabs>
          <w:tab w:val="left" w:pos="567"/>
        </w:tabs>
        <w:rPr>
          <w:rFonts w:ascii="Arial" w:hAnsi="Arial" w:cs="Arial"/>
          <w:sz w:val="22"/>
          <w:szCs w:val="22"/>
          <w:lang w:val="en-US"/>
        </w:rPr>
      </w:pPr>
    </w:p>
    <w:p w14:paraId="0EFDC5DB" w14:textId="4A0546C1" w:rsidR="00CB37A0"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Third principle</w:t>
      </w:r>
      <w:r w:rsidRPr="007033A3">
        <w:rPr>
          <w:rFonts w:ascii="Arial" w:hAnsi="Arial" w:cs="Arial"/>
          <w:sz w:val="22"/>
          <w:szCs w:val="22"/>
          <w:lang w:val="en-US"/>
        </w:rPr>
        <w:t xml:space="preserve">. </w:t>
      </w:r>
      <w:r w:rsidR="001F1449" w:rsidRPr="007033A3">
        <w:rPr>
          <w:rFonts w:ascii="Arial" w:hAnsi="Arial" w:cs="Arial"/>
          <w:sz w:val="22"/>
          <w:szCs w:val="22"/>
          <w:lang w:val="en-US"/>
        </w:rPr>
        <w:t>In exchange for the creditors’ cooperation and the standstill of collection and enforcement actions against the debtor, “</w:t>
      </w:r>
      <w:r w:rsidR="001F1449" w:rsidRPr="007033A3">
        <w:rPr>
          <w:rFonts w:ascii="Arial" w:hAnsi="Arial" w:cs="Arial"/>
          <w:i/>
          <w:iCs/>
          <w:sz w:val="22"/>
          <w:szCs w:val="22"/>
          <w:lang w:val="en-US"/>
        </w:rPr>
        <w:t>the debtor should agree not to take any action which will disadvantage relevant creditors during the Standstill Period, apart from paying employees and trade and other (non-relevant) creditors in the ordinary course of business</w:t>
      </w:r>
      <w:r w:rsidR="001F1449" w:rsidRPr="007033A3">
        <w:rPr>
          <w:rFonts w:ascii="Arial" w:hAnsi="Arial" w:cs="Arial"/>
          <w:iCs/>
          <w:sz w:val="22"/>
          <w:szCs w:val="22"/>
          <w:lang w:val="en-US"/>
        </w:rPr>
        <w:t>”.</w:t>
      </w:r>
      <w:r w:rsidR="001F1449" w:rsidRPr="007033A3">
        <w:rPr>
          <w:rStyle w:val="Refdenotaderodap"/>
          <w:rFonts w:ascii="Arial" w:hAnsi="Arial" w:cs="Arial"/>
          <w:iCs/>
          <w:sz w:val="22"/>
          <w:szCs w:val="22"/>
          <w:lang w:val="en-US"/>
        </w:rPr>
        <w:footnoteReference w:id="50"/>
      </w:r>
      <w:r w:rsidR="004C118C" w:rsidRPr="007033A3">
        <w:rPr>
          <w:rFonts w:ascii="Arial" w:hAnsi="Arial" w:cs="Arial"/>
          <w:iCs/>
          <w:sz w:val="22"/>
          <w:szCs w:val="22"/>
          <w:lang w:val="en-US"/>
        </w:rPr>
        <w:t xml:space="preserve"> This means that the debtor should not offer security to non-participating creditors, transfer assets or value away from the company or undertake any action that might adversely impact the prospective return of the participating creditors. </w:t>
      </w:r>
      <w:r w:rsidR="008F3429" w:rsidRPr="007033A3">
        <w:rPr>
          <w:rFonts w:ascii="Arial" w:hAnsi="Arial" w:cs="Arial"/>
          <w:iCs/>
          <w:sz w:val="22"/>
          <w:szCs w:val="22"/>
          <w:lang w:val="en-US"/>
        </w:rPr>
        <w:t>This seems to be the case with Flow Management</w:t>
      </w:r>
      <w:r w:rsidR="00210826" w:rsidRPr="007033A3">
        <w:rPr>
          <w:rFonts w:ascii="Arial" w:hAnsi="Arial" w:cs="Arial"/>
          <w:iCs/>
          <w:sz w:val="22"/>
          <w:szCs w:val="22"/>
          <w:lang w:val="en-US"/>
        </w:rPr>
        <w:t xml:space="preserve"> Group</w:t>
      </w:r>
      <w:r w:rsidR="008F3429" w:rsidRPr="007033A3">
        <w:rPr>
          <w:rFonts w:ascii="Arial" w:hAnsi="Arial" w:cs="Arial"/>
          <w:iCs/>
          <w:sz w:val="22"/>
          <w:szCs w:val="22"/>
          <w:lang w:val="en-US"/>
        </w:rPr>
        <w:t>, as the debtor did not perpetrate any such action, apart from the payment of € 25 million, in January 2015, to the providers of the additional working capital (Banks C and D, it would seem), apparently after the end of the 120-day standstill.</w:t>
      </w:r>
    </w:p>
    <w:p w14:paraId="0492A501" w14:textId="37527E82" w:rsidR="00CB37A0" w:rsidRPr="007033A3" w:rsidRDefault="00CB37A0" w:rsidP="000519CE">
      <w:pPr>
        <w:pStyle w:val="PargrafodaLista"/>
        <w:tabs>
          <w:tab w:val="left" w:pos="567"/>
        </w:tabs>
        <w:ind w:left="0"/>
        <w:jc w:val="both"/>
        <w:rPr>
          <w:rFonts w:ascii="Arial" w:hAnsi="Arial" w:cs="Arial"/>
          <w:sz w:val="22"/>
          <w:szCs w:val="22"/>
          <w:lang w:val="en-US"/>
        </w:rPr>
      </w:pPr>
    </w:p>
    <w:p w14:paraId="2A60B506" w14:textId="77777777" w:rsidR="00035E36"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Fourth principle</w:t>
      </w:r>
      <w:r w:rsidRPr="007033A3">
        <w:rPr>
          <w:rFonts w:ascii="Arial" w:hAnsi="Arial" w:cs="Arial"/>
          <w:sz w:val="22"/>
          <w:szCs w:val="22"/>
          <w:lang w:val="en-US"/>
        </w:rPr>
        <w:t xml:space="preserve">. </w:t>
      </w:r>
      <w:r w:rsidR="00035E36" w:rsidRPr="007033A3">
        <w:rPr>
          <w:rFonts w:ascii="Arial" w:hAnsi="Arial" w:cs="Arial"/>
          <w:sz w:val="22"/>
          <w:szCs w:val="22"/>
          <w:lang w:val="en-US"/>
        </w:rPr>
        <w:t xml:space="preserve">Alongside a standstill agreement, it is important for relevant creditors to come together and coordinate their efforts toward a consensual solution for the debtor’s financial distress. This coordination may be done through a committee or the appointment of a main coordinator, to take on the role of facilitating the negotiation with the debtor, as well as mediating discussions among relevant creditors. </w:t>
      </w:r>
    </w:p>
    <w:p w14:paraId="5B0D6B97" w14:textId="77777777" w:rsidR="00035E36" w:rsidRPr="007033A3" w:rsidRDefault="00035E36" w:rsidP="000519CE">
      <w:pPr>
        <w:pStyle w:val="PargrafodaLista"/>
        <w:tabs>
          <w:tab w:val="left" w:pos="567"/>
        </w:tabs>
        <w:rPr>
          <w:rFonts w:ascii="Arial" w:hAnsi="Arial" w:cs="Arial"/>
          <w:sz w:val="22"/>
          <w:szCs w:val="22"/>
          <w:lang w:val="en-US"/>
        </w:rPr>
      </w:pPr>
    </w:p>
    <w:p w14:paraId="72CC0F73" w14:textId="34E06CB5" w:rsidR="00CB37A0" w:rsidRPr="007033A3" w:rsidRDefault="00035E36"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In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’s case, it does not look like the Group of Banks appointed a coordinator or a coordination committee, but it seems as though the Banks have tried to coordinate their approach to the debtor’s restructuring, at least until Banks C and D decided to step away from an active role in the negotiations. Perhaps if a coordination committee had been appointed in this case, then any disagreements among the Banks and between the Banks and the debtor could have been more easily resolved.</w:t>
      </w:r>
    </w:p>
    <w:p w14:paraId="7F2C69CF" w14:textId="77777777" w:rsidR="00CB37A0" w:rsidRPr="007033A3" w:rsidRDefault="00CB37A0" w:rsidP="000519CE">
      <w:pPr>
        <w:pStyle w:val="PargrafodaLista"/>
        <w:tabs>
          <w:tab w:val="left" w:pos="567"/>
        </w:tabs>
        <w:rPr>
          <w:rFonts w:ascii="Arial" w:hAnsi="Arial" w:cs="Arial"/>
          <w:sz w:val="22"/>
          <w:szCs w:val="22"/>
          <w:lang w:val="en-US"/>
        </w:rPr>
      </w:pPr>
    </w:p>
    <w:p w14:paraId="3A3ADC91" w14:textId="05E21261" w:rsidR="00CB37A0"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Fifth principle</w:t>
      </w:r>
      <w:r w:rsidRPr="007033A3">
        <w:rPr>
          <w:rFonts w:ascii="Arial" w:hAnsi="Arial" w:cs="Arial"/>
          <w:sz w:val="22"/>
          <w:szCs w:val="22"/>
          <w:lang w:val="en-US"/>
        </w:rPr>
        <w:t xml:space="preserve">. </w:t>
      </w:r>
      <w:r w:rsidR="00C55C73" w:rsidRPr="007033A3">
        <w:rPr>
          <w:rFonts w:ascii="Arial" w:hAnsi="Arial" w:cs="Arial"/>
          <w:sz w:val="22"/>
          <w:szCs w:val="22"/>
          <w:lang w:val="en-US"/>
        </w:rPr>
        <w:t xml:space="preserve">Any attempt at an out-of-court restructuring requires high quality information from the debtor and transparency regarding its operation and business. Informational asymmetries only make negotiations </w:t>
      </w:r>
      <w:r w:rsidR="00FC10AF" w:rsidRPr="007033A3">
        <w:rPr>
          <w:rFonts w:ascii="Arial" w:hAnsi="Arial" w:cs="Arial"/>
          <w:sz w:val="22"/>
          <w:szCs w:val="22"/>
          <w:lang w:val="en-US"/>
        </w:rPr>
        <w:t>more difficult</w:t>
      </w:r>
      <w:r w:rsidR="00C55C73" w:rsidRPr="007033A3">
        <w:rPr>
          <w:rFonts w:ascii="Arial" w:hAnsi="Arial" w:cs="Arial"/>
          <w:sz w:val="22"/>
          <w:szCs w:val="22"/>
          <w:lang w:val="en-US"/>
        </w:rPr>
        <w:t>, considering the relevant creditors will not be able to properly assess the debtor’s condition and draft proposals to remedy the situation.</w:t>
      </w:r>
      <w:r w:rsidR="001F47D5" w:rsidRPr="007033A3">
        <w:rPr>
          <w:rStyle w:val="Refdenotaderodap"/>
          <w:rFonts w:ascii="Arial" w:hAnsi="Arial" w:cs="Arial"/>
          <w:sz w:val="22"/>
          <w:szCs w:val="22"/>
          <w:lang w:val="en-US"/>
        </w:rPr>
        <w:footnoteReference w:id="51"/>
      </w:r>
      <w:r w:rsidR="00C55C73" w:rsidRPr="007033A3">
        <w:rPr>
          <w:rFonts w:ascii="Arial" w:hAnsi="Arial" w:cs="Arial"/>
          <w:sz w:val="22"/>
          <w:szCs w:val="22"/>
          <w:lang w:val="en-US"/>
        </w:rPr>
        <w:t xml:space="preserve"> Reasonable and timely access to relevant information, therefore, is the foundation upon which a workout agreement is built. If the relevant creditors do not have access to the debtor’s information, or if the information that has been provided is not accurate, such unreliable information may delay negotiations and may even push creditors away from the negotiating table.</w:t>
      </w:r>
    </w:p>
    <w:p w14:paraId="3E8EA868" w14:textId="77777777" w:rsidR="00233912" w:rsidRPr="007033A3" w:rsidRDefault="00233912" w:rsidP="000519CE">
      <w:pPr>
        <w:pStyle w:val="PargrafodaLista"/>
        <w:tabs>
          <w:tab w:val="left" w:pos="567"/>
        </w:tabs>
        <w:rPr>
          <w:rFonts w:ascii="Arial" w:hAnsi="Arial" w:cs="Arial"/>
          <w:sz w:val="22"/>
          <w:szCs w:val="22"/>
          <w:lang w:val="en-US"/>
        </w:rPr>
      </w:pPr>
    </w:p>
    <w:p w14:paraId="5E6BD9D8" w14:textId="70E212ED" w:rsidR="00FC10AF" w:rsidRPr="007033A3" w:rsidRDefault="00233912"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lastRenderedPageBreak/>
        <w:t>In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xml:space="preserve">’s case, </w:t>
      </w:r>
      <w:r w:rsidR="00FC10AF" w:rsidRPr="007033A3">
        <w:rPr>
          <w:rFonts w:ascii="Arial" w:hAnsi="Arial" w:cs="Arial"/>
          <w:sz w:val="22"/>
          <w:szCs w:val="22"/>
          <w:lang w:val="en-US"/>
        </w:rPr>
        <w:t>although the debtor and its principals have tried to maintain an open channel of communications with the Group of Banks, much of the information that has been passed to the relevant creditors has proven to be incorrect assessments of the debtor’s financial situation, have been based on inadequate premises and, ultimately, has shown to be untrustworthy. This may very well be the reason why Banks C and D, at a certain point, decided to walk away from the negotiations, after subsequent misrepresentations of the debtor’s financials and projections.</w:t>
      </w:r>
      <w:r w:rsidR="001F47D5" w:rsidRPr="007033A3">
        <w:rPr>
          <w:rStyle w:val="Refdenotaderodap"/>
          <w:rFonts w:ascii="Arial" w:hAnsi="Arial" w:cs="Arial"/>
          <w:sz w:val="22"/>
          <w:szCs w:val="22"/>
          <w:lang w:val="en-US"/>
        </w:rPr>
        <w:footnoteReference w:id="52"/>
      </w:r>
    </w:p>
    <w:p w14:paraId="6A911972" w14:textId="77777777" w:rsidR="00FC10AF" w:rsidRPr="007033A3" w:rsidRDefault="00FC10AF" w:rsidP="000519CE">
      <w:pPr>
        <w:pStyle w:val="PargrafodaLista"/>
        <w:tabs>
          <w:tab w:val="left" w:pos="567"/>
        </w:tabs>
        <w:rPr>
          <w:rFonts w:ascii="Arial" w:hAnsi="Arial" w:cs="Arial"/>
          <w:sz w:val="22"/>
          <w:szCs w:val="22"/>
          <w:lang w:val="en-US"/>
        </w:rPr>
      </w:pPr>
    </w:p>
    <w:p w14:paraId="1EF8818C" w14:textId="44A1A4E4" w:rsidR="00233912" w:rsidRPr="007033A3" w:rsidRDefault="00FC10AF"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Despite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xml:space="preserve">’s efforts, it seems that reasonable and timely access to all relevant information was hampered by the </w:t>
      </w:r>
      <w:r w:rsidRPr="007033A3">
        <w:rPr>
          <w:rFonts w:ascii="Arial" w:hAnsi="Arial" w:cs="Arial"/>
          <w:i/>
          <w:iCs/>
          <w:sz w:val="22"/>
          <w:szCs w:val="22"/>
          <w:lang w:val="en-US"/>
        </w:rPr>
        <w:t>quality</w:t>
      </w:r>
      <w:r w:rsidRPr="007033A3">
        <w:rPr>
          <w:rFonts w:ascii="Arial" w:hAnsi="Arial" w:cs="Arial"/>
          <w:sz w:val="22"/>
          <w:szCs w:val="22"/>
          <w:lang w:val="en-US"/>
        </w:rPr>
        <w:t xml:space="preserve"> of such information, which, in turn, made it more difficult for the parties to draft adequate restructuring proposals.</w:t>
      </w:r>
    </w:p>
    <w:p w14:paraId="30197A56" w14:textId="7FD013BA" w:rsidR="00DD087E" w:rsidRPr="007033A3" w:rsidRDefault="00DD087E" w:rsidP="000519CE">
      <w:pPr>
        <w:pStyle w:val="PargrafodaLista"/>
        <w:tabs>
          <w:tab w:val="left" w:pos="567"/>
        </w:tabs>
        <w:ind w:left="0"/>
        <w:jc w:val="both"/>
        <w:rPr>
          <w:rFonts w:ascii="Arial" w:hAnsi="Arial" w:cs="Arial"/>
          <w:sz w:val="22"/>
          <w:szCs w:val="22"/>
          <w:lang w:val="en-US"/>
        </w:rPr>
      </w:pPr>
    </w:p>
    <w:p w14:paraId="6C91BAC8" w14:textId="0E8BC2EC" w:rsidR="00CB37A0"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Sixth principle</w:t>
      </w:r>
      <w:r w:rsidRPr="007033A3">
        <w:rPr>
          <w:rFonts w:ascii="Arial" w:hAnsi="Arial" w:cs="Arial"/>
          <w:sz w:val="22"/>
          <w:szCs w:val="22"/>
          <w:lang w:val="en-US"/>
        </w:rPr>
        <w:t xml:space="preserve">. </w:t>
      </w:r>
      <w:r w:rsidR="00197D0E" w:rsidRPr="007033A3">
        <w:rPr>
          <w:rFonts w:ascii="Arial" w:hAnsi="Arial" w:cs="Arial"/>
          <w:sz w:val="22"/>
          <w:szCs w:val="22"/>
          <w:lang w:val="en-US"/>
        </w:rPr>
        <w:t>The objective of sharing all of the debtor’s relevant information with its principal creditors is to allow them to evaluate the debtor’s financial position and assess any restructuring proposals submitted by the debtor, or draft counterproposals, which would entail equitable treatment to all relevant creditors. When assessing or drafting these proposals “</w:t>
      </w:r>
      <w:r w:rsidR="00197D0E" w:rsidRPr="007033A3">
        <w:rPr>
          <w:rFonts w:ascii="Arial" w:hAnsi="Arial" w:cs="Arial"/>
          <w:i/>
          <w:iCs/>
          <w:sz w:val="22"/>
          <w:szCs w:val="22"/>
          <w:lang w:val="en-US"/>
        </w:rPr>
        <w:t>creditors will need to compare the outcome they could expect from any proposals made to them against the returns they might expect to achieve in a formal insolvency process or from other options available to them</w:t>
      </w:r>
      <w:r w:rsidR="00197D0E" w:rsidRPr="007033A3">
        <w:rPr>
          <w:rFonts w:ascii="Arial" w:hAnsi="Arial" w:cs="Arial"/>
          <w:sz w:val="22"/>
          <w:szCs w:val="22"/>
          <w:lang w:val="en-US"/>
        </w:rPr>
        <w:t>”.</w:t>
      </w:r>
      <w:r w:rsidR="00197D0E" w:rsidRPr="007033A3">
        <w:rPr>
          <w:rStyle w:val="Refdenotaderodap"/>
          <w:rFonts w:ascii="Arial" w:hAnsi="Arial" w:cs="Arial"/>
          <w:sz w:val="22"/>
          <w:szCs w:val="22"/>
          <w:lang w:val="en-US"/>
        </w:rPr>
        <w:footnoteReference w:id="53"/>
      </w:r>
    </w:p>
    <w:p w14:paraId="75A1CCD0" w14:textId="77777777" w:rsidR="00197D0E" w:rsidRPr="007033A3" w:rsidRDefault="00197D0E" w:rsidP="000519CE">
      <w:pPr>
        <w:pStyle w:val="PargrafodaLista"/>
        <w:tabs>
          <w:tab w:val="left" w:pos="567"/>
        </w:tabs>
        <w:rPr>
          <w:rFonts w:ascii="Arial" w:hAnsi="Arial" w:cs="Arial"/>
          <w:sz w:val="22"/>
          <w:szCs w:val="22"/>
          <w:lang w:val="en-US"/>
        </w:rPr>
      </w:pPr>
    </w:p>
    <w:p w14:paraId="22C18897" w14:textId="6E7056E2" w:rsidR="00197D0E" w:rsidRPr="007033A3" w:rsidRDefault="00197D0E"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The Group of Banks made such a comparison in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’s case when drafting the restructuring proposals, and found that a formal insolvency proceeding (i.e., bankruptcy) would negatively affect their recovery, particularly due to an issue with the pledges that would cause a substantially lower return than expected in an out-of-court workout.</w:t>
      </w:r>
    </w:p>
    <w:p w14:paraId="73C47DC5" w14:textId="62BAFFCA" w:rsidR="00CB37A0" w:rsidRPr="007033A3" w:rsidRDefault="00CB37A0" w:rsidP="000519CE">
      <w:pPr>
        <w:pStyle w:val="PargrafodaLista"/>
        <w:tabs>
          <w:tab w:val="left" w:pos="567"/>
        </w:tabs>
        <w:ind w:left="0"/>
        <w:jc w:val="both"/>
        <w:rPr>
          <w:rFonts w:ascii="Arial" w:hAnsi="Arial" w:cs="Arial"/>
          <w:sz w:val="22"/>
          <w:szCs w:val="22"/>
          <w:lang w:val="en-US"/>
        </w:rPr>
      </w:pPr>
    </w:p>
    <w:p w14:paraId="6C8C60A6" w14:textId="77777777" w:rsidR="00DB6FFD"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Seventh principle</w:t>
      </w:r>
      <w:r w:rsidRPr="007033A3">
        <w:rPr>
          <w:rFonts w:ascii="Arial" w:hAnsi="Arial" w:cs="Arial"/>
          <w:sz w:val="22"/>
          <w:szCs w:val="22"/>
          <w:lang w:val="en-US"/>
        </w:rPr>
        <w:t xml:space="preserve">. </w:t>
      </w:r>
      <w:r w:rsidR="00D51358" w:rsidRPr="007033A3">
        <w:rPr>
          <w:rFonts w:ascii="Arial" w:hAnsi="Arial" w:cs="Arial"/>
          <w:sz w:val="22"/>
          <w:szCs w:val="22"/>
          <w:lang w:val="en-US"/>
        </w:rPr>
        <w:t xml:space="preserve">Pursuant to the seventh principle, all relevant information exchanged between debtor and creditors should be treated as confidential, and any successors to the original creditors (due to debt trading) should receive the same information as all other relevant creditors. </w:t>
      </w:r>
    </w:p>
    <w:p w14:paraId="6064AB27" w14:textId="77777777" w:rsidR="00DB6FFD" w:rsidRPr="007033A3" w:rsidRDefault="00DB6FFD" w:rsidP="000519CE">
      <w:pPr>
        <w:pStyle w:val="PargrafodaLista"/>
        <w:tabs>
          <w:tab w:val="left" w:pos="567"/>
        </w:tabs>
        <w:rPr>
          <w:rFonts w:ascii="Arial" w:hAnsi="Arial" w:cs="Arial"/>
          <w:sz w:val="22"/>
          <w:szCs w:val="22"/>
          <w:lang w:val="en-US"/>
        </w:rPr>
      </w:pPr>
    </w:p>
    <w:p w14:paraId="35D34658" w14:textId="0995DA7E" w:rsidR="00CB37A0" w:rsidRPr="007033A3" w:rsidRDefault="00D51358"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From the description of the Flow Management </w:t>
      </w:r>
      <w:r w:rsidR="00210826" w:rsidRPr="007033A3">
        <w:rPr>
          <w:rFonts w:ascii="Arial" w:hAnsi="Arial" w:cs="Arial"/>
          <w:sz w:val="22"/>
          <w:szCs w:val="22"/>
          <w:lang w:val="en-US"/>
        </w:rPr>
        <w:t xml:space="preserve">Group </w:t>
      </w:r>
      <w:r w:rsidRPr="007033A3">
        <w:rPr>
          <w:rFonts w:ascii="Arial" w:hAnsi="Arial" w:cs="Arial"/>
          <w:sz w:val="22"/>
          <w:szCs w:val="22"/>
          <w:lang w:val="en-US"/>
        </w:rPr>
        <w:t xml:space="preserve">case, it is not possible to conclude that the parties agreed to confidentiality or signed a non-disclosure agreement, although it may be inferred that the information was transmitted in confidentiality. The case did not involve debt trading, though Banks A and B </w:t>
      </w:r>
      <w:r w:rsidR="00DB6FFD" w:rsidRPr="007033A3">
        <w:rPr>
          <w:rFonts w:ascii="Arial" w:hAnsi="Arial" w:cs="Arial"/>
          <w:sz w:val="22"/>
          <w:szCs w:val="22"/>
          <w:lang w:val="en-US"/>
        </w:rPr>
        <w:t>considered buying out Banks C and D in order to better carry on the negotiations – in which case the successors would already be on par with all relevant information.</w:t>
      </w:r>
    </w:p>
    <w:p w14:paraId="3AF3CB83" w14:textId="1C4BAB75" w:rsidR="00CB37A0" w:rsidRPr="007033A3" w:rsidRDefault="00CB37A0" w:rsidP="000519CE">
      <w:pPr>
        <w:pStyle w:val="PargrafodaLista"/>
        <w:tabs>
          <w:tab w:val="left" w:pos="567"/>
        </w:tabs>
        <w:ind w:left="0"/>
        <w:jc w:val="both"/>
        <w:rPr>
          <w:rFonts w:ascii="Arial" w:hAnsi="Arial" w:cs="Arial"/>
          <w:sz w:val="22"/>
          <w:szCs w:val="22"/>
          <w:lang w:val="en-US"/>
        </w:rPr>
      </w:pPr>
    </w:p>
    <w:p w14:paraId="3904DCE7" w14:textId="77777777" w:rsidR="00595D8E" w:rsidRPr="007033A3" w:rsidRDefault="00CB37A0"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u w:val="single"/>
          <w:lang w:val="en-US"/>
        </w:rPr>
        <w:t>Eighth principle</w:t>
      </w:r>
      <w:r w:rsidRPr="007033A3">
        <w:rPr>
          <w:rFonts w:ascii="Arial" w:hAnsi="Arial" w:cs="Arial"/>
          <w:sz w:val="22"/>
          <w:szCs w:val="22"/>
          <w:lang w:val="en-US"/>
        </w:rPr>
        <w:t xml:space="preserve">. </w:t>
      </w:r>
      <w:r w:rsidR="00D71185" w:rsidRPr="007033A3">
        <w:rPr>
          <w:rFonts w:ascii="Arial" w:hAnsi="Arial" w:cs="Arial"/>
          <w:sz w:val="22"/>
          <w:szCs w:val="22"/>
          <w:lang w:val="en-US"/>
        </w:rPr>
        <w:t xml:space="preserve">New money is fundamental for firms in distress to emerge from the depths of financial crisis and </w:t>
      </w:r>
      <w:r w:rsidR="00595D8E" w:rsidRPr="007033A3">
        <w:rPr>
          <w:rFonts w:ascii="Arial" w:hAnsi="Arial" w:cs="Arial"/>
          <w:sz w:val="22"/>
          <w:szCs w:val="22"/>
          <w:lang w:val="en-US"/>
        </w:rPr>
        <w:t xml:space="preserve">reorganize/restructure its business. Therefore, any attempt at an informal workout should consider the influx of new money to the debtor as a crucial element to the restructuring efforts. </w:t>
      </w:r>
    </w:p>
    <w:p w14:paraId="0A9B4A6F" w14:textId="77777777" w:rsidR="00595D8E" w:rsidRPr="007033A3" w:rsidRDefault="00595D8E" w:rsidP="000519CE">
      <w:pPr>
        <w:pStyle w:val="PargrafodaLista"/>
        <w:tabs>
          <w:tab w:val="left" w:pos="567"/>
        </w:tabs>
        <w:rPr>
          <w:rFonts w:ascii="Arial" w:hAnsi="Arial" w:cs="Arial"/>
          <w:sz w:val="22"/>
          <w:szCs w:val="22"/>
          <w:lang w:val="en-US"/>
        </w:rPr>
      </w:pPr>
    </w:p>
    <w:p w14:paraId="1BBD7F2D" w14:textId="04120F0E" w:rsidR="00CB37A0" w:rsidRPr="007033A3" w:rsidRDefault="00595D8E"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However, unlike debtor-in-possession financing provided during a formal insolvency proceeding (e.g., Chapter 11), any new money provided during the negotiations for an out-of-court workout should specify that the lender shall have priority over other claims of relevant creditors. This priority of repayment could be achieved through security or, if all of the debtor’s </w:t>
      </w:r>
      <w:r w:rsidRPr="007033A3">
        <w:rPr>
          <w:rFonts w:ascii="Arial" w:hAnsi="Arial" w:cs="Arial"/>
          <w:sz w:val="22"/>
          <w:szCs w:val="22"/>
          <w:lang w:val="en-US"/>
        </w:rPr>
        <w:lastRenderedPageBreak/>
        <w:t>assets are encumbered or subject to negative pledges, through loss-sharing arrangements between the relevant creditors.</w:t>
      </w:r>
    </w:p>
    <w:p w14:paraId="586A7BBC" w14:textId="77777777" w:rsidR="00595D8E" w:rsidRPr="007033A3" w:rsidRDefault="00595D8E" w:rsidP="000519CE">
      <w:pPr>
        <w:pStyle w:val="PargrafodaLista"/>
        <w:tabs>
          <w:tab w:val="left" w:pos="567"/>
        </w:tabs>
        <w:rPr>
          <w:rFonts w:ascii="Arial" w:hAnsi="Arial" w:cs="Arial"/>
          <w:sz w:val="22"/>
          <w:szCs w:val="22"/>
          <w:lang w:val="en-US"/>
        </w:rPr>
      </w:pPr>
    </w:p>
    <w:p w14:paraId="105E1217" w14:textId="3AB7817A" w:rsidR="00601EF3" w:rsidRPr="007033A3" w:rsidRDefault="00595D8E"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In Flow Management</w:t>
      </w:r>
      <w:r w:rsidR="00210826" w:rsidRPr="007033A3">
        <w:rPr>
          <w:rFonts w:ascii="Arial" w:hAnsi="Arial" w:cs="Arial"/>
          <w:sz w:val="22"/>
          <w:szCs w:val="22"/>
          <w:lang w:val="en-US"/>
        </w:rPr>
        <w:t xml:space="preserve"> Group</w:t>
      </w:r>
      <w:r w:rsidRPr="007033A3">
        <w:rPr>
          <w:rFonts w:ascii="Arial" w:hAnsi="Arial" w:cs="Arial"/>
          <w:sz w:val="22"/>
          <w:szCs w:val="22"/>
          <w:lang w:val="en-US"/>
        </w:rPr>
        <w:t xml:space="preserve">’s case, although it mentions an additional working capital facility by Banks C and D in the amount of </w:t>
      </w:r>
      <w:r w:rsidRPr="007033A3">
        <w:rPr>
          <w:rFonts w:ascii="Arial" w:hAnsi="Arial" w:cs="Arial"/>
          <w:iCs/>
          <w:sz w:val="22"/>
          <w:szCs w:val="22"/>
          <w:lang w:val="en-US"/>
        </w:rPr>
        <w:t xml:space="preserve">€ 35 million, the case description indicates that such amount should have been repaid by the end of 2013, shortly after the first signs of distress, in mid-November 2013.Thus, from the available information, it is not possible to affirm that the Group of Banks, or any other relevant creditors, provided new money in the out-of-court workout, or that it was afforded priority in case of a future formal insolvency proceeding. </w:t>
      </w:r>
    </w:p>
    <w:p w14:paraId="03E8C5DD" w14:textId="77777777" w:rsidR="00601EF3" w:rsidRPr="007033A3" w:rsidRDefault="00601EF3" w:rsidP="000519CE">
      <w:pPr>
        <w:pStyle w:val="PargrafodaLista"/>
        <w:tabs>
          <w:tab w:val="left" w:pos="567"/>
        </w:tabs>
        <w:rPr>
          <w:rFonts w:ascii="Arial" w:hAnsi="Arial" w:cs="Arial"/>
          <w:iCs/>
          <w:sz w:val="22"/>
          <w:szCs w:val="22"/>
          <w:lang w:val="en-US"/>
        </w:rPr>
      </w:pPr>
    </w:p>
    <w:p w14:paraId="43D834B2" w14:textId="41B5E742" w:rsidR="00595D8E" w:rsidRPr="007033A3" w:rsidRDefault="00595D8E" w:rsidP="000519CE">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iCs/>
          <w:sz w:val="22"/>
          <w:szCs w:val="22"/>
          <w:lang w:val="en-US"/>
        </w:rPr>
        <w:t>Notwithstanding, it should be mentioned that Flow Management</w:t>
      </w:r>
      <w:r w:rsidR="00210826" w:rsidRPr="007033A3">
        <w:rPr>
          <w:rFonts w:ascii="Arial" w:hAnsi="Arial" w:cs="Arial"/>
          <w:iCs/>
          <w:sz w:val="22"/>
          <w:szCs w:val="22"/>
          <w:lang w:val="en-US"/>
        </w:rPr>
        <w:t xml:space="preserve"> Group</w:t>
      </w:r>
      <w:r w:rsidRPr="007033A3">
        <w:rPr>
          <w:rFonts w:ascii="Arial" w:hAnsi="Arial" w:cs="Arial"/>
          <w:iCs/>
          <w:sz w:val="22"/>
          <w:szCs w:val="22"/>
          <w:lang w:val="en-US"/>
        </w:rPr>
        <w:t>’s controlling shareholder</w:t>
      </w:r>
      <w:r w:rsidR="00601EF3" w:rsidRPr="007033A3">
        <w:rPr>
          <w:rFonts w:ascii="Arial" w:hAnsi="Arial" w:cs="Arial"/>
          <w:iCs/>
          <w:sz w:val="22"/>
          <w:szCs w:val="22"/>
          <w:lang w:val="en-US"/>
        </w:rPr>
        <w:t xml:space="preserve"> provided € 10 million in an unsecured loan in mid-April 2014. In early June 2014, the shareholder proposes a € 27.5 million contribution, and by the end of June 2014 the shareholder proposes a € 10 million contribution in the short term, followed by a € 25 million contribution in September/October 2014, but there is no evidence that such capital contributions were actually carried out. However, this is not new money provided by the relevant creditors, but capital contributions from a shareholder that is not afforded priority.</w:t>
      </w:r>
    </w:p>
    <w:p w14:paraId="724DA40F" w14:textId="77777777" w:rsidR="00153268" w:rsidRPr="007033A3" w:rsidRDefault="00153268" w:rsidP="007033A3">
      <w:pPr>
        <w:pStyle w:val="PargrafodaLista"/>
        <w:tabs>
          <w:tab w:val="left" w:pos="1134"/>
        </w:tabs>
        <w:ind w:left="0"/>
        <w:jc w:val="both"/>
        <w:rPr>
          <w:rFonts w:ascii="Arial" w:hAnsi="Arial" w:cs="Arial"/>
          <w:sz w:val="22"/>
          <w:szCs w:val="22"/>
          <w:lang w:val="en-US"/>
        </w:rPr>
      </w:pPr>
    </w:p>
    <w:p w14:paraId="279BB7EE"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mc:AlternateContent>
          <mc:Choice Requires="wps">
            <w:drawing>
              <wp:anchor distT="0" distB="0" distL="114300" distR="114300" simplePos="0" relativeHeight="251671552" behindDoc="0" locked="0" layoutInCell="1" allowOverlap="1" wp14:anchorId="142DED51" wp14:editId="462EA90B">
                <wp:simplePos x="0" y="0"/>
                <wp:positionH relativeFrom="column">
                  <wp:posOffset>-5695</wp:posOffset>
                </wp:positionH>
                <wp:positionV relativeFrom="paragraph">
                  <wp:posOffset>42361</wp:posOffset>
                </wp:positionV>
                <wp:extent cx="5791200" cy="757084"/>
                <wp:effectExtent l="0" t="0" r="12700" b="17780"/>
                <wp:wrapNone/>
                <wp:docPr id="7" name="Text Box 3"/>
                <wp:cNvGraphicFramePr/>
                <a:graphic xmlns:a="http://schemas.openxmlformats.org/drawingml/2006/main">
                  <a:graphicData uri="http://schemas.microsoft.com/office/word/2010/wordprocessingShape">
                    <wps:wsp>
                      <wps:cNvSpPr txBox="1"/>
                      <wps:spPr>
                        <a:xfrm>
                          <a:off x="0" y="0"/>
                          <a:ext cx="5791200" cy="757084"/>
                        </a:xfrm>
                        <a:prstGeom prst="rect">
                          <a:avLst/>
                        </a:prstGeom>
                        <a:solidFill>
                          <a:schemeClr val="lt1"/>
                        </a:solidFill>
                        <a:ln w="6350">
                          <a:solidFill>
                            <a:prstClr val="black"/>
                          </a:solidFill>
                        </a:ln>
                      </wps:spPr>
                      <wps:txbx>
                        <w:txbxContent>
                          <w:p w14:paraId="7644BBAA" w14:textId="7261BC7A" w:rsidR="00153268" w:rsidRPr="007033A3" w:rsidRDefault="00153268" w:rsidP="007033A3">
                            <w:pPr>
                              <w:pStyle w:val="NormalWeb"/>
                              <w:numPr>
                                <w:ilvl w:val="0"/>
                                <w:numId w:val="18"/>
                              </w:numPr>
                              <w:tabs>
                                <w:tab w:val="num" w:pos="1134"/>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45E06763" w14:textId="77777777" w:rsidR="00153268" w:rsidRPr="00CE0499" w:rsidRDefault="00153268" w:rsidP="0015326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ED51" id="_x0000_s1032" type="#_x0000_t202" style="position:absolute;margin-left:-.45pt;margin-top:3.35pt;width:456pt;height:5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" fillcolor="white [3201]" strokeweight=".5pt">
                <v:textbox>
                  <w:txbxContent>
                    <w:p w14:paraId="7644BBAA" w14:textId="7261BC7A" w:rsidR="00153268" w:rsidRPr="007033A3" w:rsidRDefault="00153268" w:rsidP="007033A3">
                      <w:pPr>
                        <w:pStyle w:val="NormalWeb"/>
                        <w:numPr>
                          <w:ilvl w:val="0"/>
                          <w:numId w:val="18"/>
                        </w:numPr>
                        <w:tabs>
                          <w:tab w:val="num" w:pos="1134"/>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45E06763" w14:textId="77777777" w:rsidR="00153268" w:rsidRPr="00CE0499" w:rsidRDefault="00153268" w:rsidP="00153268">
                      <w:pPr>
                        <w:rPr>
                          <w:lang w:val="en-US"/>
                        </w:rPr>
                      </w:pPr>
                    </w:p>
                  </w:txbxContent>
                </v:textbox>
              </v:shape>
            </w:pict>
          </mc:Fallback>
        </mc:AlternateContent>
      </w:r>
    </w:p>
    <w:p w14:paraId="1BEBEF45"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p>
    <w:p w14:paraId="4A3254BB" w14:textId="77777777" w:rsidR="00153268" w:rsidRPr="007033A3" w:rsidRDefault="00153268" w:rsidP="007033A3">
      <w:pPr>
        <w:tabs>
          <w:tab w:val="left" w:pos="1134"/>
        </w:tabs>
        <w:jc w:val="both"/>
        <w:rPr>
          <w:rFonts w:ascii="Arial" w:hAnsi="Arial" w:cs="Arial"/>
          <w:sz w:val="22"/>
          <w:szCs w:val="22"/>
          <w:lang w:val="en-US"/>
        </w:rPr>
      </w:pPr>
    </w:p>
    <w:p w14:paraId="37CE1A87" w14:textId="734A3620" w:rsidR="00F774CC" w:rsidRPr="007033A3" w:rsidRDefault="00F774CC" w:rsidP="007033A3">
      <w:pPr>
        <w:pStyle w:val="PargrafodaLista"/>
        <w:tabs>
          <w:tab w:val="left" w:pos="1134"/>
        </w:tabs>
        <w:ind w:left="0"/>
        <w:jc w:val="both"/>
        <w:rPr>
          <w:rFonts w:ascii="Arial" w:hAnsi="Arial" w:cs="Arial"/>
          <w:sz w:val="22"/>
          <w:szCs w:val="22"/>
          <w:lang w:val="en-US"/>
        </w:rPr>
      </w:pPr>
    </w:p>
    <w:p w14:paraId="1C808F33" w14:textId="77777777" w:rsidR="00E52423" w:rsidRPr="007033A3" w:rsidRDefault="00E52423" w:rsidP="007033A3">
      <w:pPr>
        <w:pStyle w:val="PargrafodaLista"/>
        <w:tabs>
          <w:tab w:val="left" w:pos="1134"/>
        </w:tabs>
        <w:ind w:left="0"/>
        <w:jc w:val="both"/>
        <w:rPr>
          <w:rFonts w:ascii="Arial" w:hAnsi="Arial" w:cs="Arial"/>
          <w:sz w:val="22"/>
          <w:szCs w:val="22"/>
          <w:lang w:val="en-US"/>
        </w:rPr>
      </w:pPr>
    </w:p>
    <w:p w14:paraId="50085DCC" w14:textId="77777777" w:rsidR="00CD7043" w:rsidRPr="007033A3" w:rsidRDefault="00850A5F" w:rsidP="007033A3">
      <w:pPr>
        <w:pStyle w:val="PargrafodaLista"/>
        <w:numPr>
          <w:ilvl w:val="0"/>
          <w:numId w:val="19"/>
        </w:numPr>
        <w:tabs>
          <w:tab w:val="left" w:pos="1134"/>
        </w:tabs>
        <w:ind w:left="0" w:firstLine="0"/>
        <w:jc w:val="both"/>
        <w:rPr>
          <w:rFonts w:ascii="Arial" w:hAnsi="Arial" w:cs="Arial"/>
          <w:sz w:val="22"/>
          <w:szCs w:val="22"/>
          <w:lang w:val="en-US"/>
        </w:rPr>
      </w:pPr>
      <w:r w:rsidRPr="007033A3">
        <w:rPr>
          <w:rFonts w:ascii="Arial" w:hAnsi="Arial" w:cs="Arial"/>
          <w:sz w:val="22"/>
          <w:szCs w:val="22"/>
          <w:lang w:val="en-US"/>
        </w:rPr>
        <w:t xml:space="preserve">If creditors do not agree to follow the guidelines set forth by the Statement of Principles II, there are other soft laws that could help steer the negotiations toward an out-of-court workout agreement, such as </w:t>
      </w:r>
    </w:p>
    <w:p w14:paraId="36BDDF79" w14:textId="77777777" w:rsidR="00CD7043" w:rsidRPr="007033A3" w:rsidRDefault="00CD7043" w:rsidP="007033A3">
      <w:pPr>
        <w:pStyle w:val="PargrafodaLista"/>
        <w:tabs>
          <w:tab w:val="left" w:pos="1134"/>
        </w:tabs>
        <w:ind w:left="0"/>
        <w:jc w:val="both"/>
        <w:rPr>
          <w:rFonts w:ascii="Arial" w:hAnsi="Arial" w:cs="Arial"/>
          <w:sz w:val="22"/>
          <w:szCs w:val="22"/>
          <w:lang w:val="en-US"/>
        </w:rPr>
      </w:pPr>
    </w:p>
    <w:p w14:paraId="00428E17" w14:textId="58C2C50C" w:rsidR="00850A5F" w:rsidRPr="007033A3" w:rsidRDefault="00CD7043" w:rsidP="007033A3">
      <w:pPr>
        <w:pStyle w:val="PargrafodaLista"/>
        <w:numPr>
          <w:ilvl w:val="0"/>
          <w:numId w:val="22"/>
        </w:numPr>
        <w:tabs>
          <w:tab w:val="left" w:pos="1701"/>
        </w:tabs>
        <w:ind w:left="1134" w:firstLine="0"/>
        <w:jc w:val="both"/>
        <w:rPr>
          <w:rFonts w:ascii="Arial" w:hAnsi="Arial" w:cs="Arial"/>
          <w:sz w:val="22"/>
          <w:szCs w:val="22"/>
          <w:lang w:val="en-US"/>
        </w:rPr>
      </w:pPr>
      <w:r w:rsidRPr="007033A3">
        <w:rPr>
          <w:rFonts w:ascii="Arial" w:hAnsi="Arial" w:cs="Arial"/>
          <w:sz w:val="22"/>
          <w:szCs w:val="22"/>
          <w:u w:val="single"/>
          <w:lang w:val="en-US"/>
        </w:rPr>
        <w:t>The UNCITRAL Legislative Guide on Insolvency Law</w:t>
      </w:r>
      <w:r w:rsidRPr="007033A3">
        <w:rPr>
          <w:rFonts w:ascii="Arial" w:hAnsi="Arial" w:cs="Arial"/>
          <w:sz w:val="22"/>
          <w:szCs w:val="22"/>
          <w:lang w:val="en-US"/>
        </w:rPr>
        <w:t>.</w:t>
      </w:r>
      <w:r w:rsidRPr="007033A3">
        <w:rPr>
          <w:rStyle w:val="Refdenotaderodap"/>
          <w:rFonts w:ascii="Arial" w:hAnsi="Arial" w:cs="Arial"/>
          <w:sz w:val="22"/>
          <w:szCs w:val="22"/>
          <w:lang w:val="en-US"/>
        </w:rPr>
        <w:footnoteReference w:id="54"/>
      </w:r>
      <w:r w:rsidR="00A61378" w:rsidRPr="007033A3">
        <w:rPr>
          <w:rFonts w:ascii="Arial" w:hAnsi="Arial" w:cs="Arial"/>
          <w:sz w:val="22"/>
          <w:szCs w:val="22"/>
          <w:lang w:val="en-US"/>
        </w:rPr>
        <w:t xml:space="preserve"> Item II of Part One of the UNCITRAL Legislative Guide on Insolvency Law provides guidelines for a voluntary restructuring without (or before) resorting to a formal insolvency proceeding</w:t>
      </w:r>
      <w:r w:rsidR="0089485E" w:rsidRPr="007033A3">
        <w:rPr>
          <w:rFonts w:ascii="Arial" w:hAnsi="Arial" w:cs="Arial"/>
          <w:sz w:val="22"/>
          <w:szCs w:val="22"/>
          <w:lang w:val="en-US"/>
        </w:rPr>
        <w:t>, such as (a) commencement of negotiations, either by initiative of the debtor or any of their relevant creditors, (b) coordination between creditors, through a committee or the appointment of a coordinator, (c) a standstill agreement, to “</w:t>
      </w:r>
      <w:r w:rsidR="0089485E" w:rsidRPr="007033A3">
        <w:rPr>
          <w:rFonts w:ascii="Arial" w:hAnsi="Arial" w:cs="Arial"/>
          <w:i/>
          <w:iCs/>
          <w:sz w:val="22"/>
          <w:szCs w:val="22"/>
          <w:lang w:val="en-US"/>
        </w:rPr>
        <w:t>allow business operations to continue and to ensure sufficient time is available to obtain and evaluate information about the debtor and formulate and assess proposals to  resolve the debtor’s financial difficulties</w:t>
      </w:r>
      <w:r w:rsidR="0089485E" w:rsidRPr="007033A3">
        <w:rPr>
          <w:rFonts w:ascii="Arial" w:hAnsi="Arial" w:cs="Arial"/>
          <w:sz w:val="22"/>
          <w:szCs w:val="22"/>
          <w:lang w:val="en-US"/>
        </w:rPr>
        <w:t>”,</w:t>
      </w:r>
      <w:r w:rsidR="0089485E" w:rsidRPr="007033A3">
        <w:rPr>
          <w:rStyle w:val="Refdenotaderodap"/>
          <w:rFonts w:ascii="Arial" w:hAnsi="Arial" w:cs="Arial"/>
          <w:sz w:val="22"/>
          <w:szCs w:val="22"/>
          <w:lang w:val="en-US"/>
        </w:rPr>
        <w:footnoteReference w:id="55"/>
      </w:r>
      <w:r w:rsidR="0089485E" w:rsidRPr="007033A3">
        <w:rPr>
          <w:rFonts w:ascii="Arial" w:hAnsi="Arial" w:cs="Arial"/>
          <w:sz w:val="22"/>
          <w:szCs w:val="22"/>
          <w:lang w:val="en-US"/>
        </w:rPr>
        <w:t xml:space="preserve"> (d) hiring of independent experts and advisors, (e) the provision of new money to ensure adequate cash flow and liquidity, (f) access to “</w:t>
      </w:r>
      <w:r w:rsidR="0089485E" w:rsidRPr="007033A3">
        <w:rPr>
          <w:rFonts w:ascii="Arial" w:hAnsi="Arial" w:cs="Arial"/>
          <w:i/>
          <w:iCs/>
          <w:sz w:val="22"/>
          <w:szCs w:val="22"/>
          <w:lang w:val="en-US"/>
        </w:rPr>
        <w:t>complete, adequate information on the debtor</w:t>
      </w:r>
      <w:r w:rsidR="0089485E" w:rsidRPr="007033A3">
        <w:rPr>
          <w:rFonts w:ascii="Arial" w:hAnsi="Arial" w:cs="Arial"/>
          <w:sz w:val="22"/>
          <w:szCs w:val="22"/>
          <w:lang w:val="en-US"/>
        </w:rPr>
        <w:t>”,</w:t>
      </w:r>
      <w:r w:rsidR="0089485E" w:rsidRPr="007033A3">
        <w:rPr>
          <w:rStyle w:val="Refdenotaderodap"/>
          <w:rFonts w:ascii="Arial" w:hAnsi="Arial" w:cs="Arial"/>
          <w:sz w:val="22"/>
          <w:szCs w:val="22"/>
          <w:lang w:val="en-US"/>
        </w:rPr>
        <w:footnoteReference w:id="56"/>
      </w:r>
      <w:r w:rsidR="0089485E" w:rsidRPr="007033A3">
        <w:rPr>
          <w:rFonts w:ascii="Arial" w:hAnsi="Arial" w:cs="Arial"/>
          <w:sz w:val="22"/>
          <w:szCs w:val="22"/>
          <w:lang w:val="en-US"/>
        </w:rPr>
        <w:t xml:space="preserve"> for creditors to properly evaluate the debtor’s financial positions and structure adequate proposals for </w:t>
      </w:r>
      <w:r w:rsidR="001C25CA" w:rsidRPr="007033A3">
        <w:rPr>
          <w:rFonts w:ascii="Arial" w:hAnsi="Arial" w:cs="Arial"/>
          <w:sz w:val="22"/>
          <w:szCs w:val="22"/>
          <w:lang w:val="en-US"/>
        </w:rPr>
        <w:t>an out-of-court workout agreement, and (g) the debtor should try to involve relevant creditors in the negotiations for a voluntary restructuring agreement, and, if not possible, a formal reorganization proceeding could be used to bind dissenting creditors using the workout agreement as a pre-packaged plan or a plan support agreement).</w:t>
      </w:r>
    </w:p>
    <w:p w14:paraId="34B4778F" w14:textId="11AB323B" w:rsidR="00CD7043" w:rsidRPr="007033A3" w:rsidRDefault="00CD7043" w:rsidP="007033A3">
      <w:pPr>
        <w:pStyle w:val="PargrafodaLista"/>
        <w:tabs>
          <w:tab w:val="left" w:pos="1701"/>
        </w:tabs>
        <w:ind w:left="1134"/>
        <w:jc w:val="both"/>
        <w:rPr>
          <w:rFonts w:ascii="Arial" w:hAnsi="Arial" w:cs="Arial"/>
          <w:sz w:val="22"/>
          <w:szCs w:val="22"/>
          <w:lang w:val="en-US"/>
        </w:rPr>
      </w:pPr>
    </w:p>
    <w:p w14:paraId="5F1C62D8" w14:textId="7F7F38D9" w:rsidR="00CD7043" w:rsidRPr="007033A3" w:rsidRDefault="00CD7043" w:rsidP="007033A3">
      <w:pPr>
        <w:pStyle w:val="PargrafodaLista"/>
        <w:numPr>
          <w:ilvl w:val="0"/>
          <w:numId w:val="22"/>
        </w:numPr>
        <w:tabs>
          <w:tab w:val="left" w:pos="1701"/>
        </w:tabs>
        <w:ind w:left="1134" w:firstLine="0"/>
        <w:jc w:val="both"/>
        <w:rPr>
          <w:rFonts w:ascii="Arial" w:hAnsi="Arial" w:cs="Arial"/>
          <w:sz w:val="22"/>
          <w:szCs w:val="22"/>
          <w:lang w:val="en-US"/>
        </w:rPr>
      </w:pPr>
      <w:r w:rsidRPr="007033A3">
        <w:rPr>
          <w:rFonts w:ascii="Arial" w:hAnsi="Arial" w:cs="Arial"/>
          <w:sz w:val="22"/>
          <w:szCs w:val="22"/>
          <w:u w:val="single"/>
          <w:lang w:val="en-US"/>
        </w:rPr>
        <w:t>The World Bank Principles for Effective Insolvency and Creditor/Debtor Regimes</w:t>
      </w:r>
      <w:r w:rsidRPr="007033A3">
        <w:rPr>
          <w:rFonts w:ascii="Arial" w:hAnsi="Arial" w:cs="Arial"/>
          <w:sz w:val="22"/>
          <w:szCs w:val="22"/>
          <w:lang w:val="en-US"/>
        </w:rPr>
        <w:t>.</w:t>
      </w:r>
      <w:r w:rsidR="00B634B3" w:rsidRPr="007033A3">
        <w:rPr>
          <w:rStyle w:val="Refdenotaderodap"/>
          <w:rFonts w:ascii="Arial" w:hAnsi="Arial" w:cs="Arial"/>
          <w:sz w:val="22"/>
          <w:szCs w:val="22"/>
          <w:lang w:val="en-US"/>
        </w:rPr>
        <w:footnoteReference w:id="57"/>
      </w:r>
      <w:r w:rsidR="004274D8" w:rsidRPr="007033A3">
        <w:rPr>
          <w:rFonts w:ascii="Arial" w:hAnsi="Arial" w:cs="Arial"/>
          <w:sz w:val="22"/>
          <w:szCs w:val="22"/>
          <w:lang w:val="en-US"/>
        </w:rPr>
        <w:t xml:space="preserve"> </w:t>
      </w:r>
      <w:r w:rsidR="00EF0CA2" w:rsidRPr="007033A3">
        <w:rPr>
          <w:rFonts w:ascii="Arial" w:hAnsi="Arial" w:cs="Arial"/>
          <w:sz w:val="22"/>
          <w:szCs w:val="22"/>
          <w:lang w:val="en-US"/>
        </w:rPr>
        <w:t>“</w:t>
      </w:r>
      <w:r w:rsidR="00EF0CA2" w:rsidRPr="007033A3">
        <w:rPr>
          <w:rFonts w:ascii="Arial" w:hAnsi="Arial" w:cs="Arial"/>
          <w:i/>
          <w:iCs/>
          <w:sz w:val="22"/>
          <w:szCs w:val="22"/>
          <w:lang w:val="en-US"/>
        </w:rPr>
        <w:t xml:space="preserve">Corporate workouts should be supported by an environment that </w:t>
      </w:r>
      <w:r w:rsidR="00EF0CA2" w:rsidRPr="007033A3">
        <w:rPr>
          <w:rFonts w:ascii="Arial" w:hAnsi="Arial" w:cs="Arial"/>
          <w:i/>
          <w:iCs/>
          <w:sz w:val="22"/>
          <w:szCs w:val="22"/>
          <w:lang w:val="en-US"/>
        </w:rPr>
        <w:lastRenderedPageBreak/>
        <w:t>encourages participants to restore an enterprise to financial viability.</w:t>
      </w:r>
      <w:r w:rsidR="00EF0CA2" w:rsidRPr="007033A3">
        <w:rPr>
          <w:rFonts w:ascii="Arial" w:hAnsi="Arial" w:cs="Arial"/>
          <w:sz w:val="22"/>
          <w:szCs w:val="22"/>
          <w:lang w:val="en-US"/>
        </w:rPr>
        <w:t>”</w:t>
      </w:r>
      <w:r w:rsidR="00EF0CA2" w:rsidRPr="007033A3">
        <w:rPr>
          <w:rStyle w:val="Refdenotaderodap"/>
          <w:rFonts w:ascii="Arial" w:hAnsi="Arial" w:cs="Arial"/>
          <w:sz w:val="22"/>
          <w:szCs w:val="22"/>
          <w:lang w:val="en-US"/>
        </w:rPr>
        <w:footnoteReference w:id="58"/>
      </w:r>
      <w:r w:rsidR="00EF0CA2" w:rsidRPr="007033A3">
        <w:rPr>
          <w:rFonts w:ascii="Arial" w:hAnsi="Arial" w:cs="Arial"/>
          <w:sz w:val="22"/>
          <w:szCs w:val="22"/>
          <w:lang w:val="en-US"/>
        </w:rPr>
        <w:t xml:space="preserve"> The World Bank Principles for Effective Insolvency and Creditor/Debtor Regimes (“</w:t>
      </w:r>
      <w:r w:rsidR="00EF0CA2" w:rsidRPr="007033A3">
        <w:rPr>
          <w:rFonts w:ascii="Arial" w:hAnsi="Arial" w:cs="Arial"/>
          <w:sz w:val="22"/>
          <w:szCs w:val="22"/>
          <w:u w:val="single"/>
          <w:lang w:val="en-US"/>
        </w:rPr>
        <w:t>World Bank Principles</w:t>
      </w:r>
      <w:r w:rsidR="00EF0CA2" w:rsidRPr="007033A3">
        <w:rPr>
          <w:rFonts w:ascii="Arial" w:hAnsi="Arial" w:cs="Arial"/>
          <w:sz w:val="22"/>
          <w:szCs w:val="22"/>
          <w:lang w:val="en-US"/>
        </w:rPr>
        <w:t>”) suggest that jurisdictions should create a framework to enable informal workouts as a means for resolving financial distress.</w:t>
      </w:r>
    </w:p>
    <w:p w14:paraId="6FFBE1F5" w14:textId="77777777" w:rsidR="00EF0CA2" w:rsidRPr="007033A3" w:rsidRDefault="00EF0CA2" w:rsidP="007033A3">
      <w:pPr>
        <w:pStyle w:val="PargrafodaLista"/>
        <w:rPr>
          <w:rFonts w:ascii="Arial" w:hAnsi="Arial" w:cs="Arial"/>
          <w:sz w:val="22"/>
          <w:szCs w:val="22"/>
          <w:lang w:val="en-US"/>
        </w:rPr>
      </w:pPr>
    </w:p>
    <w:p w14:paraId="60EFF0F5" w14:textId="66E4F748" w:rsidR="00EF0CA2" w:rsidRPr="007033A3" w:rsidRDefault="00EF0CA2" w:rsidP="007033A3">
      <w:pPr>
        <w:pStyle w:val="PargrafodaLista"/>
        <w:tabs>
          <w:tab w:val="left" w:pos="1701"/>
        </w:tabs>
        <w:ind w:left="1134"/>
        <w:jc w:val="both"/>
        <w:rPr>
          <w:rFonts w:ascii="Arial" w:hAnsi="Arial" w:cs="Arial"/>
          <w:sz w:val="22"/>
          <w:szCs w:val="22"/>
          <w:lang w:val="en-US"/>
        </w:rPr>
      </w:pPr>
      <w:r w:rsidRPr="007033A3">
        <w:rPr>
          <w:rFonts w:ascii="Arial" w:hAnsi="Arial" w:cs="Arial"/>
          <w:sz w:val="22"/>
          <w:szCs w:val="22"/>
          <w:lang w:val="en-US"/>
        </w:rPr>
        <w:t>According to the World Bank Principles, and similarly to the Statement of Principles II, a framework enabling an informal workout should encourage, for instance, (a) the disclosure of reliable and accurate information in timely manner, (b) the lending of new money, (c) any number of restructuring alternatives, such as asset sales, divestment, debt write-offs, debt rescheduling, discounted debt sales, and exchange offers, (d) allow creditors the ability to enforce their claims, utilize a formal reorganization or resort to liquidation, if an out-of-court workout proves unsuccessful.</w:t>
      </w:r>
      <w:r w:rsidR="003335C2" w:rsidRPr="007033A3">
        <w:rPr>
          <w:rStyle w:val="Refdenotaderodap"/>
          <w:rFonts w:ascii="Arial" w:hAnsi="Arial" w:cs="Arial"/>
          <w:sz w:val="22"/>
          <w:szCs w:val="22"/>
          <w:lang w:val="en-US"/>
        </w:rPr>
        <w:footnoteReference w:id="59"/>
      </w:r>
    </w:p>
    <w:p w14:paraId="7BBE9468" w14:textId="77777777" w:rsidR="00A97126" w:rsidRPr="007033A3" w:rsidRDefault="00A97126" w:rsidP="007033A3">
      <w:pPr>
        <w:pStyle w:val="PargrafodaLista"/>
        <w:rPr>
          <w:rFonts w:ascii="Arial" w:hAnsi="Arial" w:cs="Arial"/>
          <w:sz w:val="22"/>
          <w:szCs w:val="22"/>
          <w:lang w:val="en-US"/>
        </w:rPr>
      </w:pPr>
    </w:p>
    <w:p w14:paraId="2DDE377C" w14:textId="63AFB5F9" w:rsidR="002528CD" w:rsidRPr="007033A3" w:rsidRDefault="00A97126" w:rsidP="007033A3">
      <w:pPr>
        <w:pStyle w:val="PargrafodaLista"/>
        <w:numPr>
          <w:ilvl w:val="0"/>
          <w:numId w:val="22"/>
        </w:numPr>
        <w:tabs>
          <w:tab w:val="left" w:pos="1701"/>
        </w:tabs>
        <w:ind w:left="1134" w:firstLine="0"/>
        <w:jc w:val="both"/>
        <w:rPr>
          <w:rFonts w:ascii="Arial" w:hAnsi="Arial" w:cs="Arial"/>
          <w:sz w:val="22"/>
          <w:szCs w:val="22"/>
          <w:lang w:val="en-US"/>
        </w:rPr>
      </w:pPr>
      <w:r w:rsidRPr="007033A3">
        <w:rPr>
          <w:rFonts w:ascii="Arial" w:hAnsi="Arial" w:cs="Arial"/>
          <w:sz w:val="22"/>
          <w:szCs w:val="22"/>
          <w:u w:val="single"/>
          <w:lang w:val="en-US"/>
        </w:rPr>
        <w:t>The Insolvency and Creditor Rights Standard</w:t>
      </w:r>
      <w:r w:rsidRPr="007033A3">
        <w:rPr>
          <w:rFonts w:ascii="Arial" w:hAnsi="Arial" w:cs="Arial"/>
          <w:sz w:val="22"/>
          <w:szCs w:val="22"/>
          <w:lang w:val="en-US"/>
        </w:rPr>
        <w:t>.</w:t>
      </w:r>
      <w:r w:rsidRPr="007033A3">
        <w:rPr>
          <w:rStyle w:val="Refdenotaderodap"/>
          <w:rFonts w:ascii="Arial" w:hAnsi="Arial" w:cs="Arial"/>
          <w:sz w:val="22"/>
          <w:szCs w:val="22"/>
          <w:lang w:val="en-US"/>
        </w:rPr>
        <w:footnoteReference w:id="60"/>
      </w:r>
      <w:r w:rsidRPr="007033A3">
        <w:rPr>
          <w:rFonts w:ascii="Arial" w:hAnsi="Arial" w:cs="Arial"/>
          <w:sz w:val="22"/>
          <w:szCs w:val="22"/>
          <w:lang w:val="en-US"/>
        </w:rPr>
        <w:t xml:space="preserve"> The World Bank and UNCITRAL, with comments from the International Monetary Fund (“</w:t>
      </w:r>
      <w:r w:rsidRPr="007033A3">
        <w:rPr>
          <w:rFonts w:ascii="Arial" w:hAnsi="Arial" w:cs="Arial"/>
          <w:sz w:val="22"/>
          <w:szCs w:val="22"/>
          <w:u w:val="single"/>
          <w:lang w:val="en-US"/>
        </w:rPr>
        <w:t>IMF</w:t>
      </w:r>
      <w:r w:rsidRPr="007033A3">
        <w:rPr>
          <w:rFonts w:ascii="Arial" w:hAnsi="Arial" w:cs="Arial"/>
          <w:sz w:val="22"/>
          <w:szCs w:val="22"/>
          <w:lang w:val="en-US"/>
        </w:rPr>
        <w:t>”), devised the Insolvency and Creditor Rights Standard (“</w:t>
      </w:r>
      <w:r w:rsidRPr="007033A3">
        <w:rPr>
          <w:rFonts w:ascii="Arial" w:hAnsi="Arial" w:cs="Arial"/>
          <w:sz w:val="22"/>
          <w:szCs w:val="22"/>
          <w:u w:val="single"/>
          <w:lang w:val="en-US"/>
        </w:rPr>
        <w:t>ICR Standard</w:t>
      </w:r>
      <w:r w:rsidRPr="007033A3">
        <w:rPr>
          <w:rFonts w:ascii="Arial" w:hAnsi="Arial" w:cs="Arial"/>
          <w:sz w:val="22"/>
          <w:szCs w:val="22"/>
          <w:lang w:val="en-US"/>
        </w:rPr>
        <w:t>”) “</w:t>
      </w:r>
      <w:r w:rsidRPr="007033A3">
        <w:rPr>
          <w:rFonts w:ascii="Arial" w:hAnsi="Arial" w:cs="Arial"/>
          <w:i/>
          <w:iCs/>
          <w:sz w:val="22"/>
          <w:szCs w:val="22"/>
          <w:lang w:val="en-US"/>
        </w:rPr>
        <w:t>to represent the international consensus on best practices for evaluating and strengthening national insolvency and creditor rights systems</w:t>
      </w:r>
      <w:r w:rsidRPr="007033A3">
        <w:rPr>
          <w:rFonts w:ascii="Arial" w:hAnsi="Arial" w:cs="Arial"/>
          <w:sz w:val="22"/>
          <w:szCs w:val="22"/>
          <w:lang w:val="en-US"/>
        </w:rPr>
        <w:t>”</w:t>
      </w:r>
      <w:r w:rsidR="00563C07" w:rsidRPr="007033A3">
        <w:rPr>
          <w:rFonts w:ascii="Arial" w:hAnsi="Arial" w:cs="Arial"/>
          <w:sz w:val="22"/>
          <w:szCs w:val="22"/>
          <w:lang w:val="en-US"/>
        </w:rPr>
        <w:t>.</w:t>
      </w:r>
      <w:r w:rsidRPr="007033A3">
        <w:rPr>
          <w:rStyle w:val="Refdenotaderodap"/>
          <w:rFonts w:ascii="Arial" w:hAnsi="Arial" w:cs="Arial"/>
          <w:sz w:val="22"/>
          <w:szCs w:val="22"/>
          <w:lang w:val="en-US"/>
        </w:rPr>
        <w:footnoteReference w:id="61"/>
      </w:r>
      <w:r w:rsidRPr="007033A3">
        <w:rPr>
          <w:rFonts w:ascii="Arial" w:hAnsi="Arial" w:cs="Arial"/>
          <w:sz w:val="22"/>
          <w:szCs w:val="22"/>
          <w:lang w:val="en-US"/>
        </w:rPr>
        <w:t xml:space="preserve"> </w:t>
      </w:r>
      <w:r w:rsidR="003335C2" w:rsidRPr="007033A3">
        <w:rPr>
          <w:rFonts w:ascii="Arial" w:hAnsi="Arial" w:cs="Arial"/>
          <w:sz w:val="22"/>
          <w:szCs w:val="22"/>
          <w:lang w:val="en-US"/>
        </w:rPr>
        <w:t>In this regard, the ICR Standard reproduces the World Bank Principles when it comes to addressing informal workouts, as mentioned above in item (ii).</w:t>
      </w:r>
    </w:p>
    <w:p w14:paraId="41035415" w14:textId="77777777" w:rsidR="002528CD" w:rsidRPr="007033A3" w:rsidRDefault="002528CD" w:rsidP="007033A3">
      <w:pPr>
        <w:pStyle w:val="PargrafodaLista"/>
        <w:rPr>
          <w:rFonts w:ascii="Arial" w:hAnsi="Arial" w:cs="Arial"/>
          <w:sz w:val="22"/>
          <w:szCs w:val="22"/>
          <w:lang w:val="en-US"/>
        </w:rPr>
      </w:pPr>
    </w:p>
    <w:p w14:paraId="1D63AE99" w14:textId="0EA47FE4" w:rsidR="00153268" w:rsidRPr="007033A3" w:rsidRDefault="003335C2" w:rsidP="007033A3">
      <w:pPr>
        <w:pStyle w:val="PargrafodaLista"/>
        <w:numPr>
          <w:ilvl w:val="0"/>
          <w:numId w:val="19"/>
        </w:numPr>
        <w:tabs>
          <w:tab w:val="left" w:pos="1134"/>
        </w:tabs>
        <w:ind w:left="0" w:firstLine="0"/>
        <w:jc w:val="both"/>
        <w:rPr>
          <w:rFonts w:ascii="Arial" w:hAnsi="Arial" w:cs="Arial"/>
          <w:sz w:val="22"/>
          <w:szCs w:val="22"/>
          <w:lang w:val="en-US"/>
        </w:rPr>
      </w:pPr>
      <w:r w:rsidRPr="007033A3">
        <w:rPr>
          <w:rFonts w:ascii="Arial" w:hAnsi="Arial" w:cs="Arial"/>
          <w:sz w:val="22"/>
          <w:szCs w:val="22"/>
          <w:lang w:val="en-US"/>
        </w:rPr>
        <w:t>The aforementioned soft laws may serve as guidance to informal workout negotiations whenever a certain jurisdiction does not have a body of rules (i.e., hard law) to govern out-of-court restructuring agreements.</w:t>
      </w:r>
    </w:p>
    <w:p w14:paraId="37C55C14" w14:textId="7595F176" w:rsidR="00E916BA" w:rsidRPr="007033A3" w:rsidRDefault="00E916BA" w:rsidP="007033A3">
      <w:pPr>
        <w:pStyle w:val="PargrafodaLista"/>
        <w:tabs>
          <w:tab w:val="left" w:pos="1134"/>
        </w:tabs>
        <w:ind w:left="0"/>
        <w:jc w:val="both"/>
        <w:rPr>
          <w:rFonts w:ascii="Arial" w:hAnsi="Arial" w:cs="Arial"/>
          <w:sz w:val="22"/>
          <w:szCs w:val="22"/>
          <w:lang w:val="en-US"/>
        </w:rPr>
      </w:pPr>
    </w:p>
    <w:p w14:paraId="26BF6BE9" w14:textId="322C4239" w:rsidR="00E916BA" w:rsidRPr="007033A3" w:rsidRDefault="00E916BA" w:rsidP="007033A3">
      <w:pPr>
        <w:pStyle w:val="PargrafodaLista"/>
        <w:numPr>
          <w:ilvl w:val="0"/>
          <w:numId w:val="19"/>
        </w:numPr>
        <w:tabs>
          <w:tab w:val="left" w:pos="1134"/>
        </w:tabs>
        <w:ind w:left="0" w:firstLine="0"/>
        <w:jc w:val="both"/>
        <w:rPr>
          <w:rFonts w:ascii="Arial" w:hAnsi="Arial" w:cs="Arial"/>
          <w:sz w:val="22"/>
          <w:szCs w:val="22"/>
          <w:lang w:val="en-US"/>
        </w:rPr>
      </w:pPr>
      <w:r w:rsidRPr="007033A3">
        <w:rPr>
          <w:rFonts w:ascii="Arial" w:hAnsi="Arial" w:cs="Arial"/>
          <w:sz w:val="22"/>
          <w:szCs w:val="22"/>
          <w:lang w:val="en-US"/>
        </w:rPr>
        <w:t>Specifically in Brazil, th</w:t>
      </w:r>
      <w:r w:rsidR="00F00F6E" w:rsidRPr="007033A3">
        <w:rPr>
          <w:rFonts w:ascii="Arial" w:hAnsi="Arial" w:cs="Arial"/>
          <w:sz w:val="22"/>
          <w:szCs w:val="22"/>
          <w:lang w:val="en-US"/>
        </w:rPr>
        <w:t>ere</w:t>
      </w:r>
      <w:r w:rsidRPr="007033A3">
        <w:rPr>
          <w:rFonts w:ascii="Arial" w:hAnsi="Arial" w:cs="Arial"/>
          <w:sz w:val="22"/>
          <w:szCs w:val="22"/>
          <w:lang w:val="en-US"/>
        </w:rPr>
        <w:t xml:space="preserve"> are no soft laws that would give directions or orientations as to how an informal workout restructuring would progress. However, article 167 of the Brazilian Bankruptcy Law (Federal Law No. 11,101/2005) allows for debtors and creditors to reach </w:t>
      </w:r>
      <w:r w:rsidRPr="007033A3">
        <w:rPr>
          <w:rFonts w:ascii="Arial" w:hAnsi="Arial" w:cs="Arial"/>
          <w:i/>
          <w:iCs/>
          <w:sz w:val="22"/>
          <w:szCs w:val="22"/>
          <w:lang w:val="en-US"/>
        </w:rPr>
        <w:t>other</w:t>
      </w:r>
      <w:r w:rsidRPr="007033A3">
        <w:rPr>
          <w:rFonts w:ascii="Arial" w:hAnsi="Arial" w:cs="Arial"/>
          <w:sz w:val="22"/>
          <w:szCs w:val="22"/>
          <w:lang w:val="en-US"/>
        </w:rPr>
        <w:t xml:space="preserve"> restructuring agreements not regulated by the bankruptcy law. This makes way for all sorts of informal solutions to a situation of distress, as long as there is a concentrated group of relevant creditors that are willing to negotiate. </w:t>
      </w:r>
    </w:p>
    <w:p w14:paraId="189B99F8" w14:textId="77777777" w:rsidR="00E916BA" w:rsidRPr="007033A3" w:rsidRDefault="00E916BA" w:rsidP="007033A3">
      <w:pPr>
        <w:pStyle w:val="PargrafodaLista"/>
        <w:rPr>
          <w:rFonts w:ascii="Arial" w:hAnsi="Arial" w:cs="Arial"/>
          <w:sz w:val="22"/>
          <w:szCs w:val="22"/>
          <w:lang w:val="en-US"/>
        </w:rPr>
      </w:pPr>
    </w:p>
    <w:p w14:paraId="5D72E894" w14:textId="77777777" w:rsidR="006C431B" w:rsidRPr="007033A3" w:rsidRDefault="00E916BA" w:rsidP="007033A3">
      <w:pPr>
        <w:pStyle w:val="PargrafodaLista"/>
        <w:numPr>
          <w:ilvl w:val="0"/>
          <w:numId w:val="19"/>
        </w:numPr>
        <w:tabs>
          <w:tab w:val="left" w:pos="1134"/>
        </w:tabs>
        <w:ind w:left="0" w:firstLine="0"/>
        <w:jc w:val="both"/>
        <w:rPr>
          <w:rFonts w:ascii="Arial" w:hAnsi="Arial" w:cs="Arial"/>
          <w:sz w:val="22"/>
          <w:szCs w:val="22"/>
          <w:lang w:val="en-US"/>
        </w:rPr>
      </w:pPr>
      <w:r w:rsidRPr="007033A3">
        <w:rPr>
          <w:rFonts w:ascii="Arial" w:hAnsi="Arial" w:cs="Arial"/>
          <w:sz w:val="22"/>
          <w:szCs w:val="22"/>
          <w:lang w:val="en-US"/>
        </w:rPr>
        <w:t>Due to the underdeveloped nature of Brazil’s capital markets, it is quite common for companies to finance their business through loan facilities from financial institutions. This means that a large portion of a company’s indebtedness is held by banks. In case of default, the longer the debtor takes to repay the bank, the more provisions the bank has to make in order to comply with federal banking regulations. And if the default lasts longer than a period of 180 days, the bank has to make a provision of 100% of the outstanding debt</w:t>
      </w:r>
      <w:r w:rsidR="006C431B" w:rsidRPr="007033A3">
        <w:rPr>
          <w:rFonts w:ascii="Arial" w:hAnsi="Arial" w:cs="Arial"/>
          <w:sz w:val="22"/>
          <w:szCs w:val="22"/>
          <w:lang w:val="en-US"/>
        </w:rPr>
        <w:t xml:space="preserve"> – the same provision is required when the debtor files for judicial reorganization, a formal insolvency proceeding pursuant to the Brazilian Bankruptcy Law</w:t>
      </w:r>
      <w:r w:rsidRPr="007033A3">
        <w:rPr>
          <w:rFonts w:ascii="Arial" w:hAnsi="Arial" w:cs="Arial"/>
          <w:sz w:val="22"/>
          <w:szCs w:val="22"/>
          <w:lang w:val="en-US"/>
        </w:rPr>
        <w:t xml:space="preserve">. </w:t>
      </w:r>
    </w:p>
    <w:p w14:paraId="1C5158C0" w14:textId="77777777" w:rsidR="006C431B" w:rsidRPr="007033A3" w:rsidRDefault="006C431B" w:rsidP="007033A3">
      <w:pPr>
        <w:pStyle w:val="PargrafodaLista"/>
        <w:rPr>
          <w:rFonts w:ascii="Arial" w:hAnsi="Arial" w:cs="Arial"/>
          <w:sz w:val="22"/>
          <w:szCs w:val="22"/>
          <w:lang w:val="en-US"/>
        </w:rPr>
      </w:pPr>
    </w:p>
    <w:p w14:paraId="3624E768" w14:textId="5E1D2142" w:rsidR="00E916BA" w:rsidRPr="007033A3" w:rsidRDefault="006C431B" w:rsidP="007033A3">
      <w:pPr>
        <w:pStyle w:val="PargrafodaLista"/>
        <w:numPr>
          <w:ilvl w:val="0"/>
          <w:numId w:val="19"/>
        </w:numPr>
        <w:tabs>
          <w:tab w:val="left" w:pos="1134"/>
        </w:tabs>
        <w:ind w:left="0" w:firstLine="0"/>
        <w:jc w:val="both"/>
        <w:rPr>
          <w:rFonts w:ascii="Arial" w:hAnsi="Arial" w:cs="Arial"/>
          <w:sz w:val="22"/>
          <w:szCs w:val="22"/>
          <w:lang w:val="en-US"/>
        </w:rPr>
      </w:pPr>
      <w:r w:rsidRPr="007033A3">
        <w:rPr>
          <w:rFonts w:ascii="Arial" w:hAnsi="Arial" w:cs="Arial"/>
          <w:sz w:val="22"/>
          <w:szCs w:val="22"/>
          <w:lang w:val="en-US"/>
        </w:rPr>
        <w:t xml:space="preserve">This indirectly serves as an incentive for financial institutions in Brazil to negotiate with </w:t>
      </w:r>
      <w:r w:rsidR="00E916BA" w:rsidRPr="007033A3">
        <w:rPr>
          <w:rFonts w:ascii="Arial" w:hAnsi="Arial" w:cs="Arial"/>
          <w:sz w:val="22"/>
          <w:szCs w:val="22"/>
          <w:lang w:val="en-US"/>
        </w:rPr>
        <w:t xml:space="preserve">financially distressed companies </w:t>
      </w:r>
      <w:r w:rsidRPr="007033A3">
        <w:rPr>
          <w:rFonts w:ascii="Arial" w:hAnsi="Arial" w:cs="Arial"/>
          <w:sz w:val="22"/>
          <w:szCs w:val="22"/>
          <w:lang w:val="en-US"/>
        </w:rPr>
        <w:t>(</w:t>
      </w:r>
      <w:r w:rsidR="00E916BA" w:rsidRPr="007033A3">
        <w:rPr>
          <w:rFonts w:ascii="Arial" w:hAnsi="Arial" w:cs="Arial"/>
          <w:sz w:val="22"/>
          <w:szCs w:val="22"/>
          <w:lang w:val="en-US"/>
        </w:rPr>
        <w:t xml:space="preserve">with </w:t>
      </w:r>
      <w:r w:rsidRPr="007033A3">
        <w:rPr>
          <w:rFonts w:ascii="Arial" w:hAnsi="Arial" w:cs="Arial"/>
          <w:sz w:val="22"/>
          <w:szCs w:val="22"/>
          <w:lang w:val="en-US"/>
        </w:rPr>
        <w:t>significant</w:t>
      </w:r>
      <w:r w:rsidR="00E916BA" w:rsidRPr="007033A3">
        <w:rPr>
          <w:rFonts w:ascii="Arial" w:hAnsi="Arial" w:cs="Arial"/>
          <w:sz w:val="22"/>
          <w:szCs w:val="22"/>
          <w:lang w:val="en-US"/>
        </w:rPr>
        <w:t xml:space="preserve"> bank </w:t>
      </w:r>
      <w:r w:rsidRPr="007033A3">
        <w:rPr>
          <w:rFonts w:ascii="Arial" w:hAnsi="Arial" w:cs="Arial"/>
          <w:sz w:val="22"/>
          <w:szCs w:val="22"/>
          <w:lang w:val="en-US"/>
        </w:rPr>
        <w:t>in</w:t>
      </w:r>
      <w:r w:rsidR="00E916BA" w:rsidRPr="007033A3">
        <w:rPr>
          <w:rFonts w:ascii="Arial" w:hAnsi="Arial" w:cs="Arial"/>
          <w:sz w:val="22"/>
          <w:szCs w:val="22"/>
          <w:lang w:val="en-US"/>
        </w:rPr>
        <w:t>debt</w:t>
      </w:r>
      <w:r w:rsidRPr="007033A3">
        <w:rPr>
          <w:rFonts w:ascii="Arial" w:hAnsi="Arial" w:cs="Arial"/>
          <w:sz w:val="22"/>
          <w:szCs w:val="22"/>
          <w:lang w:val="en-US"/>
        </w:rPr>
        <w:t xml:space="preserve">edness) and attempt to reach an informal workout agreement, that is, before the debtor is pushed to a judicial reorganization filing by other less relevant creditors. In this sense, even though there is no soft law in Brazil to help guide negotiations toward an informal restructuring, it is somewhat common for debtor and creditors to hire financial and legal advisors to </w:t>
      </w:r>
      <w:r w:rsidR="00850A5F" w:rsidRPr="007033A3">
        <w:rPr>
          <w:rFonts w:ascii="Arial" w:hAnsi="Arial" w:cs="Arial"/>
          <w:sz w:val="22"/>
          <w:szCs w:val="22"/>
          <w:lang w:val="en-US"/>
        </w:rPr>
        <w:t>guide</w:t>
      </w:r>
      <w:r w:rsidRPr="007033A3">
        <w:rPr>
          <w:rFonts w:ascii="Arial" w:hAnsi="Arial" w:cs="Arial"/>
          <w:sz w:val="22"/>
          <w:szCs w:val="22"/>
          <w:lang w:val="en-US"/>
        </w:rPr>
        <w:t xml:space="preserve"> the negotiations under a confidentiality agreement, with the debtor’s relevant information being made available </w:t>
      </w:r>
      <w:r w:rsidRPr="007033A3">
        <w:rPr>
          <w:rFonts w:ascii="Arial" w:hAnsi="Arial" w:cs="Arial"/>
          <w:sz w:val="22"/>
          <w:szCs w:val="22"/>
          <w:lang w:val="en-US"/>
        </w:rPr>
        <w:lastRenderedPageBreak/>
        <w:t>to all parties in pursuit of a consensual solution (e.g., divestment of assets, spin-off and sale of non-core businesses, public offering of securities etc.).</w:t>
      </w:r>
    </w:p>
    <w:p w14:paraId="5E33D512" w14:textId="77777777" w:rsidR="00153268" w:rsidRPr="007033A3" w:rsidRDefault="00153268" w:rsidP="007033A3">
      <w:pPr>
        <w:pStyle w:val="PargrafodaLista"/>
        <w:tabs>
          <w:tab w:val="left" w:pos="1134"/>
        </w:tabs>
        <w:ind w:left="0"/>
        <w:jc w:val="both"/>
        <w:rPr>
          <w:rFonts w:ascii="Arial" w:hAnsi="Arial" w:cs="Arial"/>
          <w:sz w:val="22"/>
          <w:szCs w:val="22"/>
          <w:lang w:val="en-US"/>
        </w:rPr>
      </w:pPr>
    </w:p>
    <w:p w14:paraId="05820027"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mc:AlternateContent>
          <mc:Choice Requires="wps">
            <w:drawing>
              <wp:anchor distT="0" distB="0" distL="114300" distR="114300" simplePos="0" relativeHeight="251673600" behindDoc="0" locked="0" layoutInCell="1" allowOverlap="1" wp14:anchorId="2EA60030" wp14:editId="2AD88674">
                <wp:simplePos x="0" y="0"/>
                <wp:positionH relativeFrom="column">
                  <wp:posOffset>-5695</wp:posOffset>
                </wp:positionH>
                <wp:positionV relativeFrom="paragraph">
                  <wp:posOffset>36420</wp:posOffset>
                </wp:positionV>
                <wp:extent cx="5781368" cy="412955"/>
                <wp:effectExtent l="0" t="0" r="10160" b="19050"/>
                <wp:wrapNone/>
                <wp:docPr id="8" name="Text Box 3"/>
                <wp:cNvGraphicFramePr/>
                <a:graphic xmlns:a="http://schemas.openxmlformats.org/drawingml/2006/main">
                  <a:graphicData uri="http://schemas.microsoft.com/office/word/2010/wordprocessingShape">
                    <wps:wsp>
                      <wps:cNvSpPr txBox="1"/>
                      <wps:spPr>
                        <a:xfrm>
                          <a:off x="0" y="0"/>
                          <a:ext cx="5781368" cy="412955"/>
                        </a:xfrm>
                        <a:prstGeom prst="rect">
                          <a:avLst/>
                        </a:prstGeom>
                        <a:solidFill>
                          <a:schemeClr val="lt1"/>
                        </a:solidFill>
                        <a:ln w="6350">
                          <a:solidFill>
                            <a:prstClr val="black"/>
                          </a:solidFill>
                        </a:ln>
                      </wps:spPr>
                      <wps:txbx>
                        <w:txbxContent>
                          <w:p w14:paraId="445B6124" w14:textId="0002B80C" w:rsidR="00153268" w:rsidRPr="007033A3" w:rsidRDefault="00153268"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Explain in detail the essence and result of the restructuring agreement as signed on the 4th of July 2015</w:t>
                            </w:r>
                          </w:p>
                          <w:p w14:paraId="00AA7806" w14:textId="77777777" w:rsidR="00153268" w:rsidRPr="00CE0499" w:rsidRDefault="00153268" w:rsidP="0015326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0030" id="_x0000_s1033" type="#_x0000_t202" style="position:absolute;margin-left:-.45pt;margin-top:2.85pt;width:455.25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" fillcolor="white [3201]" strokeweight=".5pt">
                <v:textbox>
                  <w:txbxContent>
                    <w:p w14:paraId="445B6124" w14:textId="0002B80C" w:rsidR="00153268" w:rsidRPr="007033A3" w:rsidRDefault="00153268" w:rsidP="000519CE">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Explain in detail the essence and result of the restructuring agreement as signed on the 4th of July 2015</w:t>
                      </w:r>
                    </w:p>
                    <w:p w14:paraId="00AA7806" w14:textId="77777777" w:rsidR="00153268" w:rsidRPr="00CE0499" w:rsidRDefault="00153268" w:rsidP="00153268">
                      <w:pPr>
                        <w:rPr>
                          <w:lang w:val="en-US"/>
                        </w:rPr>
                      </w:pPr>
                    </w:p>
                  </w:txbxContent>
                </v:textbox>
              </v:shape>
            </w:pict>
          </mc:Fallback>
        </mc:AlternateContent>
      </w:r>
    </w:p>
    <w:p w14:paraId="674C8379"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p>
    <w:p w14:paraId="5A1E3B87" w14:textId="77777777" w:rsidR="00E52423" w:rsidRPr="007033A3" w:rsidRDefault="00E52423" w:rsidP="007033A3">
      <w:pPr>
        <w:tabs>
          <w:tab w:val="left" w:pos="1134"/>
        </w:tabs>
        <w:jc w:val="both"/>
        <w:rPr>
          <w:rFonts w:ascii="Arial" w:hAnsi="Arial" w:cs="Arial"/>
          <w:sz w:val="22"/>
          <w:szCs w:val="22"/>
          <w:lang w:val="en-US"/>
        </w:rPr>
      </w:pPr>
    </w:p>
    <w:p w14:paraId="6926EC57" w14:textId="702127E9" w:rsidR="00153268" w:rsidRPr="007033A3" w:rsidRDefault="0055033E" w:rsidP="00811B23">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After a long period of negotiations (and quite a few moments of uncertainty regarding the future of the debtor), Flow Management</w:t>
      </w:r>
      <w:r w:rsidR="00210826" w:rsidRPr="007033A3">
        <w:rPr>
          <w:rFonts w:ascii="Arial" w:hAnsi="Arial" w:cs="Arial"/>
          <w:sz w:val="22"/>
          <w:szCs w:val="22"/>
          <w:lang w:val="en-US"/>
        </w:rPr>
        <w:t xml:space="preserve"> Group </w:t>
      </w:r>
      <w:r w:rsidRPr="007033A3">
        <w:rPr>
          <w:rFonts w:ascii="Arial" w:hAnsi="Arial" w:cs="Arial"/>
          <w:sz w:val="22"/>
          <w:szCs w:val="22"/>
          <w:lang w:val="en-US"/>
        </w:rPr>
        <w:t>and the Group of Banks signed a restructuring agreement on 4 July 2015 that can be divided into two prongs: (</w:t>
      </w:r>
      <w:proofErr w:type="spellStart"/>
      <w:r w:rsidRPr="007033A3">
        <w:rPr>
          <w:rFonts w:ascii="Arial" w:hAnsi="Arial" w:cs="Arial"/>
          <w:sz w:val="22"/>
          <w:szCs w:val="22"/>
          <w:lang w:val="en-US"/>
        </w:rPr>
        <w:t>i</w:t>
      </w:r>
      <w:proofErr w:type="spellEnd"/>
      <w:r w:rsidRPr="007033A3">
        <w:rPr>
          <w:rFonts w:ascii="Arial" w:hAnsi="Arial" w:cs="Arial"/>
          <w:sz w:val="22"/>
          <w:szCs w:val="22"/>
          <w:lang w:val="en-US"/>
        </w:rPr>
        <w:t xml:space="preserve">) a </w:t>
      </w:r>
      <w:r w:rsidR="003B72E8" w:rsidRPr="007033A3">
        <w:rPr>
          <w:rFonts w:ascii="Arial" w:hAnsi="Arial" w:cs="Arial"/>
          <w:sz w:val="22"/>
          <w:szCs w:val="22"/>
          <w:lang w:val="en-US"/>
        </w:rPr>
        <w:t>business</w:t>
      </w:r>
      <w:r w:rsidRPr="007033A3">
        <w:rPr>
          <w:rFonts w:ascii="Arial" w:hAnsi="Arial" w:cs="Arial"/>
          <w:sz w:val="22"/>
          <w:szCs w:val="22"/>
          <w:lang w:val="en-US"/>
        </w:rPr>
        <w:t xml:space="preserve"> restructuring and (ii) a financial restructuring</w:t>
      </w:r>
      <w:r w:rsidR="00B42BF1">
        <w:rPr>
          <w:rFonts w:ascii="Arial" w:hAnsi="Arial" w:cs="Arial"/>
          <w:sz w:val="22"/>
          <w:szCs w:val="22"/>
          <w:lang w:val="en-US"/>
        </w:rPr>
        <w:t xml:space="preserve">, as categorized by Jan </w:t>
      </w:r>
      <w:proofErr w:type="spellStart"/>
      <w:r w:rsidR="00B42BF1">
        <w:rPr>
          <w:rFonts w:ascii="Arial" w:hAnsi="Arial" w:cs="Arial"/>
          <w:sz w:val="22"/>
          <w:szCs w:val="22"/>
          <w:lang w:val="en-US"/>
        </w:rPr>
        <w:t>Adriaanse</w:t>
      </w:r>
      <w:proofErr w:type="spellEnd"/>
      <w:r w:rsidR="00B42BF1">
        <w:rPr>
          <w:rFonts w:ascii="Arial" w:hAnsi="Arial" w:cs="Arial"/>
          <w:sz w:val="22"/>
          <w:szCs w:val="22"/>
          <w:lang w:val="en-US"/>
        </w:rPr>
        <w:t xml:space="preserve"> and Hans </w:t>
      </w:r>
      <w:proofErr w:type="spellStart"/>
      <w:r w:rsidR="00B42BF1">
        <w:rPr>
          <w:rFonts w:ascii="Arial" w:hAnsi="Arial" w:cs="Arial"/>
          <w:sz w:val="22"/>
          <w:szCs w:val="22"/>
          <w:lang w:val="en-US"/>
        </w:rPr>
        <w:t>Kuijl</w:t>
      </w:r>
      <w:proofErr w:type="spellEnd"/>
      <w:r w:rsidR="003B72E8" w:rsidRPr="007033A3">
        <w:rPr>
          <w:rStyle w:val="Refdenotaderodap"/>
          <w:rFonts w:ascii="Arial" w:hAnsi="Arial" w:cs="Arial"/>
          <w:sz w:val="22"/>
          <w:szCs w:val="22"/>
          <w:lang w:val="en-US"/>
        </w:rPr>
        <w:footnoteReference w:id="62"/>
      </w:r>
      <w:r w:rsidR="00893DED" w:rsidRPr="007033A3">
        <w:rPr>
          <w:rFonts w:ascii="Arial" w:hAnsi="Arial" w:cs="Arial"/>
          <w:sz w:val="22"/>
          <w:szCs w:val="22"/>
          <w:lang w:val="en-US"/>
        </w:rPr>
        <w:t xml:space="preserve"> – although both could be considered a financial restructuring through a debt-based strategy</w:t>
      </w:r>
      <w:r w:rsidR="008F5A4D" w:rsidRPr="007033A3">
        <w:rPr>
          <w:rFonts w:ascii="Arial" w:hAnsi="Arial" w:cs="Arial"/>
          <w:sz w:val="22"/>
          <w:szCs w:val="22"/>
          <w:lang w:val="en-US"/>
        </w:rPr>
        <w:t>,</w:t>
      </w:r>
      <w:r w:rsidR="00893DED" w:rsidRPr="007033A3">
        <w:rPr>
          <w:rFonts w:ascii="Arial" w:hAnsi="Arial" w:cs="Arial"/>
          <w:sz w:val="22"/>
          <w:szCs w:val="22"/>
          <w:lang w:val="en-US"/>
        </w:rPr>
        <w:t xml:space="preserve"> according to </w:t>
      </w:r>
      <w:proofErr w:type="spellStart"/>
      <w:r w:rsidR="00893DED" w:rsidRPr="007033A3">
        <w:rPr>
          <w:rFonts w:ascii="Arial" w:hAnsi="Arial" w:cs="Arial"/>
          <w:sz w:val="22"/>
          <w:szCs w:val="22"/>
          <w:lang w:val="en-US"/>
        </w:rPr>
        <w:t>Sudi</w:t>
      </w:r>
      <w:proofErr w:type="spellEnd"/>
      <w:r w:rsidR="00893DED" w:rsidRPr="007033A3">
        <w:rPr>
          <w:rFonts w:ascii="Arial" w:hAnsi="Arial" w:cs="Arial"/>
          <w:sz w:val="22"/>
          <w:szCs w:val="22"/>
          <w:lang w:val="en-US"/>
        </w:rPr>
        <w:t xml:space="preserve"> </w:t>
      </w:r>
      <w:proofErr w:type="spellStart"/>
      <w:r w:rsidR="00893DED" w:rsidRPr="007033A3">
        <w:rPr>
          <w:rFonts w:ascii="Arial" w:hAnsi="Arial" w:cs="Arial"/>
          <w:sz w:val="22"/>
          <w:szCs w:val="22"/>
          <w:lang w:val="en-US"/>
        </w:rPr>
        <w:t>Sudarsanam</w:t>
      </w:r>
      <w:proofErr w:type="spellEnd"/>
      <w:r w:rsidR="00893DED" w:rsidRPr="007033A3">
        <w:rPr>
          <w:rFonts w:ascii="Arial" w:hAnsi="Arial" w:cs="Arial"/>
          <w:sz w:val="22"/>
          <w:szCs w:val="22"/>
          <w:lang w:val="en-US"/>
        </w:rPr>
        <w:t xml:space="preserve"> and Jim Lai.</w:t>
      </w:r>
      <w:r w:rsidR="00893DED" w:rsidRPr="007033A3">
        <w:rPr>
          <w:rStyle w:val="Refdenotaderodap"/>
          <w:rFonts w:ascii="Arial" w:hAnsi="Arial" w:cs="Arial"/>
          <w:sz w:val="22"/>
          <w:szCs w:val="22"/>
          <w:lang w:val="en-US"/>
        </w:rPr>
        <w:footnoteReference w:id="63"/>
      </w:r>
    </w:p>
    <w:p w14:paraId="1F5EDF24" w14:textId="3E830DE0" w:rsidR="0055033E" w:rsidRPr="007033A3" w:rsidRDefault="0055033E" w:rsidP="007033A3">
      <w:pPr>
        <w:pStyle w:val="PargrafodaLista"/>
        <w:tabs>
          <w:tab w:val="left" w:pos="1134"/>
        </w:tabs>
        <w:ind w:left="0"/>
        <w:jc w:val="both"/>
        <w:rPr>
          <w:rFonts w:ascii="Arial" w:hAnsi="Arial" w:cs="Arial"/>
          <w:sz w:val="22"/>
          <w:szCs w:val="22"/>
          <w:lang w:val="en-US"/>
        </w:rPr>
      </w:pPr>
    </w:p>
    <w:p w14:paraId="32898C47" w14:textId="7B8B3575" w:rsidR="00144DD2" w:rsidRPr="007033A3" w:rsidRDefault="0055033E" w:rsidP="00811B23">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On the </w:t>
      </w:r>
      <w:r w:rsidR="003B72E8" w:rsidRPr="007033A3">
        <w:rPr>
          <w:rFonts w:ascii="Arial" w:hAnsi="Arial" w:cs="Arial"/>
          <w:sz w:val="22"/>
          <w:szCs w:val="22"/>
          <w:lang w:val="en-US"/>
        </w:rPr>
        <w:t>business</w:t>
      </w:r>
      <w:r w:rsidRPr="007033A3">
        <w:rPr>
          <w:rFonts w:ascii="Arial" w:hAnsi="Arial" w:cs="Arial"/>
          <w:sz w:val="22"/>
          <w:szCs w:val="22"/>
          <w:lang w:val="en-US"/>
        </w:rPr>
        <w:t xml:space="preserve"> restructuring front, the parties agreed </w:t>
      </w:r>
      <w:r w:rsidR="00144DD2" w:rsidRPr="007033A3">
        <w:rPr>
          <w:rFonts w:ascii="Arial" w:hAnsi="Arial" w:cs="Arial"/>
          <w:sz w:val="22"/>
          <w:szCs w:val="22"/>
          <w:lang w:val="en-US"/>
        </w:rPr>
        <w:t>on the following measures:</w:t>
      </w:r>
      <w:r w:rsidR="00210826" w:rsidRPr="007033A3">
        <w:rPr>
          <w:rFonts w:ascii="Arial" w:hAnsi="Arial" w:cs="Arial"/>
          <w:sz w:val="22"/>
          <w:szCs w:val="22"/>
          <w:lang w:val="en-US"/>
        </w:rPr>
        <w:t xml:space="preserve"> </w:t>
      </w:r>
    </w:p>
    <w:p w14:paraId="61D7519D" w14:textId="77777777" w:rsidR="00144DD2" w:rsidRPr="007033A3" w:rsidRDefault="00144DD2" w:rsidP="007033A3">
      <w:pPr>
        <w:pStyle w:val="PargrafodaLista"/>
        <w:rPr>
          <w:rFonts w:ascii="Arial" w:hAnsi="Arial" w:cs="Arial"/>
          <w:sz w:val="22"/>
          <w:szCs w:val="22"/>
          <w:lang w:val="en-US"/>
        </w:rPr>
      </w:pPr>
    </w:p>
    <w:p w14:paraId="38B63EEC" w14:textId="48CE7E62" w:rsidR="00144DD2" w:rsidRPr="007033A3" w:rsidRDefault="00210826" w:rsidP="00811B23">
      <w:pPr>
        <w:pStyle w:val="PargrafodaLista"/>
        <w:numPr>
          <w:ilvl w:val="0"/>
          <w:numId w:val="23"/>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Flow Management Holding BV </w:t>
      </w:r>
      <w:r w:rsidR="0055033E" w:rsidRPr="007033A3">
        <w:rPr>
          <w:rFonts w:ascii="Arial" w:hAnsi="Arial" w:cs="Arial"/>
          <w:sz w:val="22"/>
          <w:szCs w:val="22"/>
          <w:lang w:val="en-US"/>
        </w:rPr>
        <w:t xml:space="preserve">would consolidate its </w:t>
      </w:r>
      <w:r w:rsidR="00144DD2" w:rsidRPr="007033A3">
        <w:rPr>
          <w:rFonts w:ascii="Arial" w:hAnsi="Arial" w:cs="Arial"/>
          <w:sz w:val="22"/>
          <w:szCs w:val="22"/>
          <w:lang w:val="en-US"/>
        </w:rPr>
        <w:t xml:space="preserve">six </w:t>
      </w:r>
      <w:r w:rsidR="0055033E" w:rsidRPr="007033A3">
        <w:rPr>
          <w:rFonts w:ascii="Arial" w:hAnsi="Arial" w:cs="Arial"/>
          <w:sz w:val="22"/>
          <w:szCs w:val="22"/>
          <w:lang w:val="en-US"/>
        </w:rPr>
        <w:t xml:space="preserve">operating subsidiaries </w:t>
      </w:r>
      <w:r w:rsidR="00144DD2" w:rsidRPr="007033A3">
        <w:rPr>
          <w:rFonts w:ascii="Arial" w:hAnsi="Arial" w:cs="Arial"/>
          <w:sz w:val="22"/>
          <w:szCs w:val="22"/>
          <w:lang w:val="en-US"/>
        </w:rPr>
        <w:t>under</w:t>
      </w:r>
      <w:r w:rsidR="0055033E" w:rsidRPr="007033A3">
        <w:rPr>
          <w:rFonts w:ascii="Arial" w:hAnsi="Arial" w:cs="Arial"/>
          <w:sz w:val="22"/>
          <w:szCs w:val="22"/>
          <w:lang w:val="en-US"/>
        </w:rPr>
        <w:t xml:space="preserve"> a new company</w:t>
      </w:r>
      <w:r w:rsidRPr="007033A3">
        <w:rPr>
          <w:rFonts w:ascii="Arial" w:hAnsi="Arial" w:cs="Arial"/>
          <w:sz w:val="22"/>
          <w:szCs w:val="22"/>
          <w:lang w:val="en-US"/>
        </w:rPr>
        <w:t xml:space="preserve">, called Flow Management II </w:t>
      </w:r>
      <w:proofErr w:type="gramStart"/>
      <w:r w:rsidRPr="007033A3">
        <w:rPr>
          <w:rFonts w:ascii="Arial" w:hAnsi="Arial" w:cs="Arial"/>
          <w:sz w:val="22"/>
          <w:szCs w:val="22"/>
          <w:lang w:val="en-US"/>
        </w:rPr>
        <w:t>BV</w:t>
      </w:r>
      <w:r w:rsidR="00144DD2" w:rsidRPr="007033A3">
        <w:rPr>
          <w:rFonts w:ascii="Arial" w:hAnsi="Arial" w:cs="Arial"/>
          <w:sz w:val="22"/>
          <w:szCs w:val="22"/>
          <w:lang w:val="en-US"/>
        </w:rPr>
        <w:t>;</w:t>
      </w:r>
      <w:proofErr w:type="gramEnd"/>
      <w:r w:rsidRPr="007033A3">
        <w:rPr>
          <w:rFonts w:ascii="Arial" w:hAnsi="Arial" w:cs="Arial"/>
          <w:sz w:val="22"/>
          <w:szCs w:val="22"/>
          <w:lang w:val="en-US"/>
        </w:rPr>
        <w:t xml:space="preserve"> and </w:t>
      </w:r>
    </w:p>
    <w:p w14:paraId="32413FF9" w14:textId="77777777" w:rsidR="00144DD2" w:rsidRPr="007033A3" w:rsidRDefault="00144DD2" w:rsidP="00811B23">
      <w:pPr>
        <w:pStyle w:val="PargrafodaLista"/>
        <w:tabs>
          <w:tab w:val="left" w:pos="1134"/>
          <w:tab w:val="left" w:pos="1701"/>
        </w:tabs>
        <w:ind w:left="567"/>
        <w:jc w:val="both"/>
        <w:rPr>
          <w:rFonts w:ascii="Arial" w:hAnsi="Arial" w:cs="Arial"/>
          <w:sz w:val="22"/>
          <w:szCs w:val="22"/>
          <w:lang w:val="en-US"/>
        </w:rPr>
      </w:pPr>
    </w:p>
    <w:p w14:paraId="01756F43" w14:textId="2276464C" w:rsidR="0055033E" w:rsidRPr="007033A3" w:rsidRDefault="00144DD2" w:rsidP="00811B23">
      <w:pPr>
        <w:pStyle w:val="PargrafodaLista"/>
        <w:numPr>
          <w:ilvl w:val="0"/>
          <w:numId w:val="23"/>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T</w:t>
      </w:r>
      <w:r w:rsidR="00210826" w:rsidRPr="007033A3">
        <w:rPr>
          <w:rFonts w:ascii="Arial" w:hAnsi="Arial" w:cs="Arial"/>
          <w:sz w:val="22"/>
          <w:szCs w:val="22"/>
          <w:lang w:val="en-US"/>
        </w:rPr>
        <w:t>he shares of Flow Management II BV would be transferred to the Group of Banks</w:t>
      </w:r>
      <w:r w:rsidR="000F2EFA" w:rsidRPr="007033A3">
        <w:rPr>
          <w:rFonts w:ascii="Arial" w:hAnsi="Arial" w:cs="Arial"/>
          <w:sz w:val="22"/>
          <w:szCs w:val="22"/>
          <w:lang w:val="en-US"/>
        </w:rPr>
        <w:t>, according to their relative positions,</w:t>
      </w:r>
      <w:r w:rsidR="00210826" w:rsidRPr="007033A3">
        <w:rPr>
          <w:rFonts w:ascii="Arial" w:hAnsi="Arial" w:cs="Arial"/>
          <w:sz w:val="22"/>
          <w:szCs w:val="22"/>
          <w:lang w:val="en-US"/>
        </w:rPr>
        <w:t xml:space="preserve"> and a few board members of Flow Management Holding BV, including the CRO. Through these measures, the company as a going concern was transferred in a similar manner as a </w:t>
      </w:r>
      <w:r w:rsidRPr="007033A3">
        <w:rPr>
          <w:rFonts w:ascii="Arial" w:hAnsi="Arial" w:cs="Arial"/>
          <w:sz w:val="22"/>
          <w:szCs w:val="22"/>
          <w:lang w:val="en-US"/>
        </w:rPr>
        <w:t>debt-to-equity</w:t>
      </w:r>
      <w:r w:rsidR="00210826" w:rsidRPr="007033A3">
        <w:rPr>
          <w:rFonts w:ascii="Arial" w:hAnsi="Arial" w:cs="Arial"/>
          <w:sz w:val="22"/>
          <w:szCs w:val="22"/>
          <w:lang w:val="en-US"/>
        </w:rPr>
        <w:t xml:space="preserve"> exchange offer, wherein the creditors become the new owners of the </w:t>
      </w:r>
      <w:r w:rsidRPr="007033A3">
        <w:rPr>
          <w:rFonts w:ascii="Arial" w:hAnsi="Arial" w:cs="Arial"/>
          <w:sz w:val="22"/>
          <w:szCs w:val="22"/>
          <w:lang w:val="en-US"/>
        </w:rPr>
        <w:t>new</w:t>
      </w:r>
      <w:r w:rsidR="0065295F" w:rsidRPr="007033A3">
        <w:rPr>
          <w:rFonts w:ascii="Arial" w:hAnsi="Arial" w:cs="Arial"/>
          <w:sz w:val="22"/>
          <w:szCs w:val="22"/>
          <w:lang w:val="en-US"/>
        </w:rPr>
        <w:t xml:space="preserve"> and reorganized</w:t>
      </w:r>
      <w:r w:rsidRPr="007033A3">
        <w:rPr>
          <w:rFonts w:ascii="Arial" w:hAnsi="Arial" w:cs="Arial"/>
          <w:sz w:val="22"/>
          <w:szCs w:val="22"/>
          <w:lang w:val="en-US"/>
        </w:rPr>
        <w:t xml:space="preserve"> </w:t>
      </w:r>
      <w:r w:rsidR="00210826" w:rsidRPr="007033A3">
        <w:rPr>
          <w:rFonts w:ascii="Arial" w:hAnsi="Arial" w:cs="Arial"/>
          <w:sz w:val="22"/>
          <w:szCs w:val="22"/>
          <w:lang w:val="en-US"/>
        </w:rPr>
        <w:t xml:space="preserve">company, </w:t>
      </w:r>
      <w:r w:rsidRPr="007033A3">
        <w:rPr>
          <w:rFonts w:ascii="Arial" w:hAnsi="Arial" w:cs="Arial"/>
          <w:sz w:val="22"/>
          <w:szCs w:val="22"/>
          <w:lang w:val="en-US"/>
        </w:rPr>
        <w:t xml:space="preserve">created in order to start anew and </w:t>
      </w:r>
      <w:r w:rsidR="00210826" w:rsidRPr="007033A3">
        <w:rPr>
          <w:rFonts w:ascii="Arial" w:hAnsi="Arial" w:cs="Arial"/>
          <w:sz w:val="22"/>
          <w:szCs w:val="22"/>
          <w:lang w:val="en-US"/>
        </w:rPr>
        <w:t>replac</w:t>
      </w:r>
      <w:r w:rsidRPr="007033A3">
        <w:rPr>
          <w:rFonts w:ascii="Arial" w:hAnsi="Arial" w:cs="Arial"/>
          <w:sz w:val="22"/>
          <w:szCs w:val="22"/>
          <w:lang w:val="en-US"/>
        </w:rPr>
        <w:t>e</w:t>
      </w:r>
      <w:r w:rsidR="00210826" w:rsidRPr="007033A3">
        <w:rPr>
          <w:rFonts w:ascii="Arial" w:hAnsi="Arial" w:cs="Arial"/>
          <w:sz w:val="22"/>
          <w:szCs w:val="22"/>
          <w:lang w:val="en-US"/>
        </w:rPr>
        <w:t xml:space="preserve"> the old equity shareholders (although in some cases the old equity may remain as partial owners or even retain control</w:t>
      </w:r>
      <w:r w:rsidRPr="007033A3">
        <w:rPr>
          <w:rFonts w:ascii="Arial" w:hAnsi="Arial" w:cs="Arial"/>
          <w:sz w:val="22"/>
          <w:szCs w:val="22"/>
          <w:lang w:val="en-US"/>
        </w:rPr>
        <w:t xml:space="preserve"> in the new reorganized company</w:t>
      </w:r>
      <w:r w:rsidR="00210826" w:rsidRPr="007033A3">
        <w:rPr>
          <w:rFonts w:ascii="Arial" w:hAnsi="Arial" w:cs="Arial"/>
          <w:sz w:val="22"/>
          <w:szCs w:val="22"/>
          <w:lang w:val="en-US"/>
        </w:rPr>
        <w:t>)</w:t>
      </w:r>
      <w:r w:rsidR="0065295F" w:rsidRPr="007033A3">
        <w:rPr>
          <w:rFonts w:ascii="Arial" w:hAnsi="Arial" w:cs="Arial"/>
          <w:sz w:val="22"/>
          <w:szCs w:val="22"/>
          <w:lang w:val="en-US"/>
        </w:rPr>
        <w:t xml:space="preserve"> – such are business restructuring measures according to Jan </w:t>
      </w:r>
      <w:proofErr w:type="spellStart"/>
      <w:r w:rsidR="0065295F" w:rsidRPr="007033A3">
        <w:rPr>
          <w:rFonts w:ascii="Arial" w:hAnsi="Arial" w:cs="Arial"/>
          <w:sz w:val="22"/>
          <w:szCs w:val="22"/>
          <w:lang w:val="en-US"/>
        </w:rPr>
        <w:t>Adriaanse</w:t>
      </w:r>
      <w:proofErr w:type="spellEnd"/>
      <w:r w:rsidR="0065295F" w:rsidRPr="007033A3">
        <w:rPr>
          <w:rFonts w:ascii="Arial" w:hAnsi="Arial" w:cs="Arial"/>
          <w:sz w:val="22"/>
          <w:szCs w:val="22"/>
          <w:lang w:val="en-US"/>
        </w:rPr>
        <w:t xml:space="preserve"> and Hans </w:t>
      </w:r>
      <w:proofErr w:type="spellStart"/>
      <w:r w:rsidR="0065295F" w:rsidRPr="007033A3">
        <w:rPr>
          <w:rFonts w:ascii="Arial" w:hAnsi="Arial" w:cs="Arial"/>
          <w:sz w:val="22"/>
          <w:szCs w:val="22"/>
          <w:lang w:val="en-US"/>
        </w:rPr>
        <w:t>Kuijl</w:t>
      </w:r>
      <w:proofErr w:type="spellEnd"/>
      <w:r w:rsidR="0065295F" w:rsidRPr="007033A3">
        <w:rPr>
          <w:rFonts w:ascii="Arial" w:hAnsi="Arial" w:cs="Arial"/>
          <w:sz w:val="22"/>
          <w:szCs w:val="22"/>
          <w:lang w:val="en-US"/>
        </w:rPr>
        <w:t>.</w:t>
      </w:r>
      <w:r w:rsidR="0065295F" w:rsidRPr="007033A3">
        <w:rPr>
          <w:rStyle w:val="Refdenotaderodap"/>
          <w:rFonts w:ascii="Arial" w:hAnsi="Arial" w:cs="Arial"/>
          <w:sz w:val="22"/>
          <w:szCs w:val="22"/>
        </w:rPr>
        <w:footnoteReference w:id="64"/>
      </w:r>
    </w:p>
    <w:p w14:paraId="5A1F9374" w14:textId="77777777" w:rsidR="00210826" w:rsidRPr="007033A3" w:rsidRDefault="00210826" w:rsidP="007033A3">
      <w:pPr>
        <w:pStyle w:val="PargrafodaLista"/>
        <w:rPr>
          <w:rFonts w:ascii="Arial" w:hAnsi="Arial" w:cs="Arial"/>
          <w:sz w:val="22"/>
          <w:szCs w:val="22"/>
          <w:lang w:val="en-US"/>
        </w:rPr>
      </w:pPr>
    </w:p>
    <w:p w14:paraId="41BFFD6E" w14:textId="75B943DE" w:rsidR="009C782F" w:rsidRPr="007033A3" w:rsidRDefault="009C782F" w:rsidP="00811B23">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It should also be noted that even before the restructuring agreement was signed, Flow Management Holding BV’s top management was replaced, with the substitution of the CFO in January 2014, the CEO in mid-April 2014 and the appointment of a CRO still in 2014</w:t>
      </w:r>
      <w:r w:rsidR="00266A9E" w:rsidRPr="007033A3">
        <w:rPr>
          <w:rFonts w:ascii="Arial" w:hAnsi="Arial" w:cs="Arial"/>
          <w:sz w:val="22"/>
          <w:szCs w:val="22"/>
          <w:lang w:val="en-US"/>
        </w:rPr>
        <w:t xml:space="preserve"> – a management restructuring according to </w:t>
      </w:r>
      <w:proofErr w:type="spellStart"/>
      <w:r w:rsidR="00266A9E" w:rsidRPr="007033A3">
        <w:rPr>
          <w:rFonts w:ascii="Arial" w:hAnsi="Arial" w:cs="Arial"/>
          <w:sz w:val="22"/>
          <w:szCs w:val="22"/>
          <w:lang w:val="en-US"/>
        </w:rPr>
        <w:t>Sudi</w:t>
      </w:r>
      <w:proofErr w:type="spellEnd"/>
      <w:r w:rsidR="00266A9E" w:rsidRPr="007033A3">
        <w:rPr>
          <w:rFonts w:ascii="Arial" w:hAnsi="Arial" w:cs="Arial"/>
          <w:sz w:val="22"/>
          <w:szCs w:val="22"/>
          <w:lang w:val="en-US"/>
        </w:rPr>
        <w:t xml:space="preserve"> </w:t>
      </w:r>
      <w:proofErr w:type="spellStart"/>
      <w:r w:rsidR="00266A9E" w:rsidRPr="007033A3">
        <w:rPr>
          <w:rFonts w:ascii="Arial" w:hAnsi="Arial" w:cs="Arial"/>
          <w:sz w:val="22"/>
          <w:szCs w:val="22"/>
          <w:lang w:val="en-US"/>
        </w:rPr>
        <w:t>Sudarsanam</w:t>
      </w:r>
      <w:proofErr w:type="spellEnd"/>
      <w:r w:rsidR="00266A9E" w:rsidRPr="007033A3">
        <w:rPr>
          <w:rFonts w:ascii="Arial" w:hAnsi="Arial" w:cs="Arial"/>
          <w:sz w:val="22"/>
          <w:szCs w:val="22"/>
          <w:lang w:val="en-US"/>
        </w:rPr>
        <w:t xml:space="preserve"> and Jim Lai</w:t>
      </w:r>
      <w:r w:rsidRPr="007033A3">
        <w:rPr>
          <w:rFonts w:ascii="Arial" w:hAnsi="Arial" w:cs="Arial"/>
          <w:sz w:val="22"/>
          <w:szCs w:val="22"/>
          <w:lang w:val="en-US"/>
        </w:rPr>
        <w:t>.</w:t>
      </w:r>
      <w:r w:rsidR="00266A9E" w:rsidRPr="007033A3">
        <w:rPr>
          <w:rStyle w:val="Refdenotaderodap"/>
          <w:rFonts w:ascii="Arial" w:hAnsi="Arial" w:cs="Arial"/>
          <w:sz w:val="22"/>
          <w:szCs w:val="22"/>
          <w:lang w:val="en-US"/>
        </w:rPr>
        <w:footnoteReference w:id="65"/>
      </w:r>
      <w:r w:rsidR="008F5A4D" w:rsidRPr="007033A3">
        <w:rPr>
          <w:rFonts w:ascii="Arial" w:hAnsi="Arial" w:cs="Arial"/>
          <w:sz w:val="22"/>
          <w:szCs w:val="22"/>
          <w:lang w:val="en-US"/>
        </w:rPr>
        <w:t xml:space="preserve"> A few other measures were also put in place during negotiations for a restructuring agreement, such as lay</w:t>
      </w:r>
      <w:r w:rsidR="00266A9E" w:rsidRPr="007033A3">
        <w:rPr>
          <w:rFonts w:ascii="Arial" w:hAnsi="Arial" w:cs="Arial"/>
          <w:sz w:val="22"/>
          <w:szCs w:val="22"/>
          <w:lang w:val="en-US"/>
        </w:rPr>
        <w:t>-</w:t>
      </w:r>
      <w:r w:rsidR="008F5A4D" w:rsidRPr="007033A3">
        <w:rPr>
          <w:rFonts w:ascii="Arial" w:hAnsi="Arial" w:cs="Arial"/>
          <w:sz w:val="22"/>
          <w:szCs w:val="22"/>
          <w:lang w:val="en-US"/>
        </w:rPr>
        <w:t>off</w:t>
      </w:r>
      <w:r w:rsidR="00F8622A" w:rsidRPr="007033A3">
        <w:rPr>
          <w:rFonts w:ascii="Arial" w:hAnsi="Arial" w:cs="Arial"/>
          <w:sz w:val="22"/>
          <w:szCs w:val="22"/>
          <w:lang w:val="en-US"/>
        </w:rPr>
        <w:t>s</w:t>
      </w:r>
      <w:r w:rsidR="008F5A4D" w:rsidRPr="007033A3">
        <w:rPr>
          <w:rFonts w:ascii="Arial" w:hAnsi="Arial" w:cs="Arial"/>
          <w:sz w:val="22"/>
          <w:szCs w:val="22"/>
          <w:lang w:val="en-US"/>
        </w:rPr>
        <w:t>, price raises and cost savings.</w:t>
      </w:r>
    </w:p>
    <w:p w14:paraId="657294DD" w14:textId="77777777" w:rsidR="009C782F" w:rsidRPr="007033A3" w:rsidRDefault="009C782F" w:rsidP="00811B23">
      <w:pPr>
        <w:pStyle w:val="PargrafodaLista"/>
        <w:tabs>
          <w:tab w:val="left" w:pos="567"/>
        </w:tabs>
        <w:ind w:left="0"/>
        <w:jc w:val="both"/>
        <w:rPr>
          <w:rFonts w:ascii="Arial" w:hAnsi="Arial" w:cs="Arial"/>
          <w:sz w:val="22"/>
          <w:szCs w:val="22"/>
          <w:lang w:val="en-US"/>
        </w:rPr>
      </w:pPr>
    </w:p>
    <w:p w14:paraId="2C759E57" w14:textId="349B0C24" w:rsidR="00144DD2" w:rsidRPr="007033A3" w:rsidRDefault="00210826" w:rsidP="00811B23">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On the financial restructuring front, the parties agreed </w:t>
      </w:r>
      <w:r w:rsidR="00144DD2" w:rsidRPr="007033A3">
        <w:rPr>
          <w:rFonts w:ascii="Arial" w:hAnsi="Arial" w:cs="Arial"/>
          <w:sz w:val="22"/>
          <w:szCs w:val="22"/>
          <w:lang w:val="en-US"/>
        </w:rPr>
        <w:t>on the following measures:</w:t>
      </w:r>
    </w:p>
    <w:p w14:paraId="684DED94" w14:textId="77777777" w:rsidR="00144DD2" w:rsidRPr="007033A3" w:rsidRDefault="00144DD2" w:rsidP="007033A3">
      <w:pPr>
        <w:pStyle w:val="PargrafodaLista"/>
        <w:tabs>
          <w:tab w:val="left" w:pos="1134"/>
        </w:tabs>
        <w:ind w:left="0"/>
        <w:jc w:val="both"/>
        <w:rPr>
          <w:rFonts w:ascii="Arial" w:hAnsi="Arial" w:cs="Arial"/>
          <w:sz w:val="22"/>
          <w:szCs w:val="22"/>
          <w:lang w:val="en-US"/>
        </w:rPr>
      </w:pPr>
    </w:p>
    <w:p w14:paraId="6EB8964F" w14:textId="3A6B3E33" w:rsidR="00144DD2" w:rsidRPr="007033A3" w:rsidRDefault="00210826" w:rsidP="00811B23">
      <w:pPr>
        <w:pStyle w:val="PargrafodaLista"/>
        <w:numPr>
          <w:ilvl w:val="0"/>
          <w:numId w:val="24"/>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Flow Management Holding BV would be liquidated in an undisclosed manner, after the transfer of its operating assets to Flow Management II BV, with the cancellation of </w:t>
      </w:r>
      <w:r w:rsidRPr="007033A3">
        <w:rPr>
          <w:rFonts w:ascii="Arial" w:hAnsi="Arial" w:cs="Arial"/>
          <w:sz w:val="22"/>
          <w:szCs w:val="22"/>
          <w:lang w:val="en-US"/>
        </w:rPr>
        <w:lastRenderedPageBreak/>
        <w:t>all claims against the holding</w:t>
      </w:r>
      <w:r w:rsidR="00144DD2" w:rsidRPr="007033A3">
        <w:rPr>
          <w:rFonts w:ascii="Arial" w:hAnsi="Arial" w:cs="Arial"/>
          <w:sz w:val="22"/>
          <w:szCs w:val="22"/>
          <w:lang w:val="en-US"/>
        </w:rPr>
        <w:t xml:space="preserve"> by the Group of Banks and by Lease Group Holding UK Ltd., the controlling </w:t>
      </w:r>
      <w:proofErr w:type="gramStart"/>
      <w:r w:rsidR="00144DD2" w:rsidRPr="007033A3">
        <w:rPr>
          <w:rFonts w:ascii="Arial" w:hAnsi="Arial" w:cs="Arial"/>
          <w:sz w:val="22"/>
          <w:szCs w:val="22"/>
          <w:lang w:val="en-US"/>
        </w:rPr>
        <w:t>shareholder;</w:t>
      </w:r>
      <w:proofErr w:type="gramEnd"/>
      <w:r w:rsidR="00144DD2" w:rsidRPr="007033A3">
        <w:rPr>
          <w:rFonts w:ascii="Arial" w:hAnsi="Arial" w:cs="Arial"/>
          <w:sz w:val="22"/>
          <w:szCs w:val="22"/>
          <w:lang w:val="en-US"/>
        </w:rPr>
        <w:t xml:space="preserve"> </w:t>
      </w:r>
    </w:p>
    <w:p w14:paraId="5BDFBCB0" w14:textId="77777777" w:rsidR="00144DD2" w:rsidRPr="007033A3" w:rsidRDefault="00144DD2" w:rsidP="00811B23">
      <w:pPr>
        <w:pStyle w:val="PargrafodaLista"/>
        <w:tabs>
          <w:tab w:val="left" w:pos="1134"/>
          <w:tab w:val="left" w:pos="1701"/>
        </w:tabs>
        <w:ind w:left="567"/>
        <w:jc w:val="both"/>
        <w:rPr>
          <w:rFonts w:ascii="Arial" w:hAnsi="Arial" w:cs="Arial"/>
          <w:sz w:val="22"/>
          <w:szCs w:val="22"/>
          <w:lang w:val="en-US"/>
        </w:rPr>
      </w:pPr>
    </w:p>
    <w:p w14:paraId="7CDE6C23" w14:textId="3F4F2F8B" w:rsidR="00144DD2" w:rsidRPr="007033A3" w:rsidRDefault="00144DD2" w:rsidP="00811B23">
      <w:pPr>
        <w:pStyle w:val="PargrafodaLista"/>
        <w:numPr>
          <w:ilvl w:val="0"/>
          <w:numId w:val="24"/>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Flow Management Holding BV and the controlling shareholder would cancel their claims against the newly formed Flow Management II BV and the operating </w:t>
      </w:r>
      <w:proofErr w:type="gramStart"/>
      <w:r w:rsidRPr="007033A3">
        <w:rPr>
          <w:rFonts w:ascii="Arial" w:hAnsi="Arial" w:cs="Arial"/>
          <w:sz w:val="22"/>
          <w:szCs w:val="22"/>
          <w:lang w:val="en-US"/>
        </w:rPr>
        <w:t>subsidiaries;</w:t>
      </w:r>
      <w:proofErr w:type="gramEnd"/>
      <w:r w:rsidRPr="007033A3">
        <w:rPr>
          <w:rFonts w:ascii="Arial" w:hAnsi="Arial" w:cs="Arial"/>
          <w:sz w:val="22"/>
          <w:szCs w:val="22"/>
          <w:lang w:val="en-US"/>
        </w:rPr>
        <w:t xml:space="preserve"> </w:t>
      </w:r>
    </w:p>
    <w:p w14:paraId="7835B434" w14:textId="77777777" w:rsidR="00144DD2" w:rsidRPr="007033A3" w:rsidRDefault="00144DD2" w:rsidP="00811B23">
      <w:pPr>
        <w:pStyle w:val="PargrafodaLista"/>
        <w:tabs>
          <w:tab w:val="left" w:pos="1134"/>
          <w:tab w:val="left" w:pos="1701"/>
        </w:tabs>
        <w:ind w:left="567"/>
        <w:jc w:val="both"/>
        <w:rPr>
          <w:rFonts w:ascii="Arial" w:hAnsi="Arial" w:cs="Arial"/>
          <w:sz w:val="22"/>
          <w:szCs w:val="22"/>
          <w:lang w:val="en-US"/>
        </w:rPr>
      </w:pPr>
    </w:p>
    <w:p w14:paraId="625C322D" w14:textId="77777777" w:rsidR="00144DD2" w:rsidRPr="007033A3" w:rsidRDefault="00144DD2" w:rsidP="00811B23">
      <w:pPr>
        <w:pStyle w:val="PargrafodaLista"/>
        <w:numPr>
          <w:ilvl w:val="0"/>
          <w:numId w:val="24"/>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Banks C and D would write-off the € 32.5 million debt arising from the additional working capital facility provided to Flow Management Work BV (one of the six operating subsidiaries transferred to the new company, Flow Management II BV</w:t>
      </w:r>
      <w:proofErr w:type="gramStart"/>
      <w:r w:rsidRPr="007033A3">
        <w:rPr>
          <w:rFonts w:ascii="Arial" w:hAnsi="Arial" w:cs="Arial"/>
          <w:sz w:val="22"/>
          <w:szCs w:val="22"/>
          <w:lang w:val="en-US"/>
        </w:rPr>
        <w:t>);</w:t>
      </w:r>
      <w:proofErr w:type="gramEnd"/>
      <w:r w:rsidRPr="007033A3">
        <w:rPr>
          <w:rFonts w:ascii="Arial" w:hAnsi="Arial" w:cs="Arial"/>
          <w:sz w:val="22"/>
          <w:szCs w:val="22"/>
          <w:lang w:val="en-US"/>
        </w:rPr>
        <w:t xml:space="preserve"> </w:t>
      </w:r>
    </w:p>
    <w:p w14:paraId="05FDC5B6" w14:textId="77777777" w:rsidR="00144DD2" w:rsidRPr="007033A3" w:rsidRDefault="00144DD2" w:rsidP="00811B23">
      <w:pPr>
        <w:pStyle w:val="PargrafodaLista"/>
        <w:tabs>
          <w:tab w:val="left" w:pos="1134"/>
          <w:tab w:val="left" w:pos="1701"/>
        </w:tabs>
        <w:ind w:left="567"/>
        <w:rPr>
          <w:rFonts w:ascii="Arial" w:hAnsi="Arial" w:cs="Arial"/>
          <w:sz w:val="22"/>
          <w:szCs w:val="22"/>
          <w:lang w:val="en-US"/>
        </w:rPr>
      </w:pPr>
    </w:p>
    <w:p w14:paraId="6690BFEB" w14:textId="73FCE0CC" w:rsidR="00210826" w:rsidRPr="007033A3" w:rsidRDefault="00144DD2" w:rsidP="00811B23">
      <w:pPr>
        <w:pStyle w:val="PargrafodaLista"/>
        <w:numPr>
          <w:ilvl w:val="0"/>
          <w:numId w:val="24"/>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 xml:space="preserve">The Group of Banks would waive an amount of € 97.5 million of the debt regarding the working capital facility provided to Flow Management Work BV, while a € 240 million claim against Flow Management Work BV </w:t>
      </w:r>
      <w:r w:rsidR="00591A6B" w:rsidRPr="007033A3">
        <w:rPr>
          <w:rFonts w:ascii="Arial" w:hAnsi="Arial" w:cs="Arial"/>
          <w:sz w:val="22"/>
          <w:szCs w:val="22"/>
          <w:lang w:val="en-US"/>
        </w:rPr>
        <w:t xml:space="preserve">would </w:t>
      </w:r>
      <w:proofErr w:type="gramStart"/>
      <w:r w:rsidRPr="007033A3">
        <w:rPr>
          <w:rFonts w:ascii="Arial" w:hAnsi="Arial" w:cs="Arial"/>
          <w:sz w:val="22"/>
          <w:szCs w:val="22"/>
          <w:lang w:val="en-US"/>
        </w:rPr>
        <w:t>remain;</w:t>
      </w:r>
      <w:proofErr w:type="gramEnd"/>
      <w:r w:rsidRPr="007033A3">
        <w:rPr>
          <w:rFonts w:ascii="Arial" w:hAnsi="Arial" w:cs="Arial"/>
          <w:sz w:val="22"/>
          <w:szCs w:val="22"/>
          <w:lang w:val="en-US"/>
        </w:rPr>
        <w:t xml:space="preserve"> and</w:t>
      </w:r>
    </w:p>
    <w:p w14:paraId="19572C50" w14:textId="77777777" w:rsidR="00144DD2" w:rsidRPr="007033A3" w:rsidRDefault="00144DD2" w:rsidP="00811B23">
      <w:pPr>
        <w:pStyle w:val="PargrafodaLista"/>
        <w:tabs>
          <w:tab w:val="left" w:pos="1134"/>
        </w:tabs>
        <w:ind w:left="567"/>
        <w:rPr>
          <w:rFonts w:ascii="Arial" w:hAnsi="Arial" w:cs="Arial"/>
          <w:sz w:val="22"/>
          <w:szCs w:val="22"/>
          <w:lang w:val="en-US"/>
        </w:rPr>
      </w:pPr>
    </w:p>
    <w:p w14:paraId="06E4F9FE" w14:textId="1509C830" w:rsidR="00144DD2" w:rsidRPr="007033A3" w:rsidRDefault="000F2EFA" w:rsidP="00811B23">
      <w:pPr>
        <w:pStyle w:val="PargrafodaLista"/>
        <w:numPr>
          <w:ilvl w:val="0"/>
          <w:numId w:val="24"/>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lang w:val="en-US"/>
        </w:rPr>
        <w:t>The amount of</w:t>
      </w:r>
      <w:r w:rsidR="00144DD2" w:rsidRPr="007033A3">
        <w:rPr>
          <w:rFonts w:ascii="Arial" w:hAnsi="Arial" w:cs="Arial"/>
          <w:sz w:val="22"/>
          <w:szCs w:val="22"/>
          <w:lang w:val="en-US"/>
        </w:rPr>
        <w:t xml:space="preserve"> € 55 million </w:t>
      </w:r>
      <w:r w:rsidRPr="007033A3">
        <w:rPr>
          <w:rFonts w:ascii="Arial" w:hAnsi="Arial" w:cs="Arial"/>
          <w:sz w:val="22"/>
          <w:szCs w:val="22"/>
          <w:lang w:val="en-US"/>
        </w:rPr>
        <w:t xml:space="preserve">concerning </w:t>
      </w:r>
      <w:r w:rsidR="00144DD2" w:rsidRPr="007033A3">
        <w:rPr>
          <w:rFonts w:ascii="Arial" w:hAnsi="Arial" w:cs="Arial"/>
          <w:sz w:val="22"/>
          <w:szCs w:val="22"/>
          <w:lang w:val="en-US"/>
        </w:rPr>
        <w:t>loan</w:t>
      </w:r>
      <w:r w:rsidRPr="007033A3">
        <w:rPr>
          <w:rFonts w:ascii="Arial" w:hAnsi="Arial" w:cs="Arial"/>
          <w:sz w:val="22"/>
          <w:szCs w:val="22"/>
          <w:lang w:val="en-US"/>
        </w:rPr>
        <w:t>s made by the Group of Banks</w:t>
      </w:r>
      <w:r w:rsidR="00144DD2" w:rsidRPr="007033A3">
        <w:rPr>
          <w:rFonts w:ascii="Arial" w:hAnsi="Arial" w:cs="Arial"/>
          <w:sz w:val="22"/>
          <w:szCs w:val="22"/>
          <w:lang w:val="en-US"/>
        </w:rPr>
        <w:t xml:space="preserve"> to Flow Management Work BV </w:t>
      </w:r>
      <w:r w:rsidR="00591A6B" w:rsidRPr="007033A3">
        <w:rPr>
          <w:rFonts w:ascii="Arial" w:hAnsi="Arial" w:cs="Arial"/>
          <w:sz w:val="22"/>
          <w:szCs w:val="22"/>
          <w:lang w:val="en-US"/>
        </w:rPr>
        <w:t>would be cancelled in full.</w:t>
      </w:r>
    </w:p>
    <w:p w14:paraId="687E94AB" w14:textId="77777777" w:rsidR="000F2EFA" w:rsidRPr="007033A3" w:rsidRDefault="000F2EFA" w:rsidP="007033A3">
      <w:pPr>
        <w:pStyle w:val="PargrafodaLista"/>
        <w:rPr>
          <w:rFonts w:ascii="Arial" w:hAnsi="Arial" w:cs="Arial"/>
          <w:sz w:val="22"/>
          <w:szCs w:val="22"/>
          <w:lang w:val="en-US"/>
        </w:rPr>
      </w:pPr>
    </w:p>
    <w:p w14:paraId="625C6CB2" w14:textId="77777777" w:rsidR="000F2EFA" w:rsidRPr="007033A3" w:rsidRDefault="000F2EFA"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Through these restructuring measures, the operating companies were transferred to a new company and its shares were used to repay Flow Management Holding BV’s debts, with the exception of a € 240 million claim that would remain against Flow Management Work BV (one of the six subsidiaries), which should be refinanced in July 2017 (after an attempt at refinancing in November 2016 did not materialize). </w:t>
      </w:r>
    </w:p>
    <w:p w14:paraId="62840B53" w14:textId="77777777" w:rsidR="000F2EFA" w:rsidRPr="007033A3" w:rsidRDefault="000F2EFA" w:rsidP="00AE2F70">
      <w:pPr>
        <w:pStyle w:val="PargrafodaLista"/>
        <w:tabs>
          <w:tab w:val="left" w:pos="567"/>
        </w:tabs>
        <w:ind w:left="0"/>
        <w:jc w:val="both"/>
        <w:rPr>
          <w:rFonts w:ascii="Arial" w:hAnsi="Arial" w:cs="Arial"/>
          <w:sz w:val="22"/>
          <w:szCs w:val="22"/>
          <w:lang w:val="en-US"/>
        </w:rPr>
      </w:pPr>
    </w:p>
    <w:p w14:paraId="7524B496" w14:textId="1D75B215" w:rsidR="00C36CA3" w:rsidRPr="007033A3" w:rsidRDefault="000F2EFA"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Certainly, the Group of Banks do not intend to remain as shareholders of a company that leases trucks and private cars: the main objective of the corporate and financial restructuring</w:t>
      </w:r>
      <w:r w:rsidR="00C36CA3" w:rsidRPr="007033A3">
        <w:rPr>
          <w:rFonts w:ascii="Arial" w:hAnsi="Arial" w:cs="Arial"/>
          <w:sz w:val="22"/>
          <w:szCs w:val="22"/>
          <w:lang w:val="en-US"/>
        </w:rPr>
        <w:t xml:space="preserve"> carried out by the banks is to sell the new company, Flow Management II BV, as a going concern to interested parties in the same industry. However, according to the case description, the talks with three interested parties “</w:t>
      </w:r>
      <w:r w:rsidR="00C36CA3" w:rsidRPr="007033A3">
        <w:rPr>
          <w:rFonts w:ascii="Arial" w:hAnsi="Arial" w:cs="Arial"/>
          <w:i/>
          <w:iCs/>
          <w:sz w:val="22"/>
          <w:szCs w:val="22"/>
          <w:lang w:val="en-US"/>
        </w:rPr>
        <w:t>pass off with difficulty and management has the impression that the takeover candidates prefer to buy the company following liquidation</w:t>
      </w:r>
      <w:r w:rsidR="00C36CA3" w:rsidRPr="007033A3">
        <w:rPr>
          <w:rFonts w:ascii="Arial" w:hAnsi="Arial" w:cs="Arial"/>
          <w:sz w:val="22"/>
          <w:szCs w:val="22"/>
          <w:lang w:val="en-US"/>
        </w:rPr>
        <w:t xml:space="preserve">”. </w:t>
      </w:r>
      <w:r w:rsidR="005D089D" w:rsidRPr="007033A3">
        <w:rPr>
          <w:rFonts w:ascii="Arial" w:hAnsi="Arial" w:cs="Arial"/>
          <w:sz w:val="22"/>
          <w:szCs w:val="22"/>
          <w:lang w:val="en-US"/>
        </w:rPr>
        <w:t>Although negotiations to take over the new company have not progressed, and it is still not making a profit, “</w:t>
      </w:r>
      <w:r w:rsidR="005D089D" w:rsidRPr="007033A3">
        <w:rPr>
          <w:rFonts w:ascii="Arial" w:hAnsi="Arial" w:cs="Arial"/>
          <w:i/>
          <w:iCs/>
          <w:sz w:val="22"/>
          <w:szCs w:val="22"/>
          <w:lang w:val="en-US"/>
        </w:rPr>
        <w:t xml:space="preserve">a better future is </w:t>
      </w:r>
      <w:proofErr w:type="gramStart"/>
      <w:r w:rsidR="005D089D" w:rsidRPr="007033A3">
        <w:rPr>
          <w:rFonts w:ascii="Arial" w:hAnsi="Arial" w:cs="Arial"/>
          <w:i/>
          <w:iCs/>
          <w:sz w:val="22"/>
          <w:szCs w:val="22"/>
          <w:lang w:val="en-US"/>
        </w:rPr>
        <w:t>forecast</w:t>
      </w:r>
      <w:proofErr w:type="gramEnd"/>
      <w:r w:rsidR="005D089D" w:rsidRPr="007033A3">
        <w:rPr>
          <w:rFonts w:ascii="Arial" w:hAnsi="Arial" w:cs="Arial"/>
          <w:i/>
          <w:iCs/>
          <w:sz w:val="22"/>
          <w:szCs w:val="22"/>
          <w:lang w:val="en-US"/>
        </w:rPr>
        <w:t xml:space="preserve"> and the parties are carefully optimistic about a good result</w:t>
      </w:r>
      <w:r w:rsidR="005D089D" w:rsidRPr="007033A3">
        <w:rPr>
          <w:rFonts w:ascii="Arial" w:hAnsi="Arial" w:cs="Arial"/>
          <w:sz w:val="22"/>
          <w:szCs w:val="22"/>
          <w:lang w:val="en-US"/>
        </w:rPr>
        <w:t>”.</w:t>
      </w:r>
    </w:p>
    <w:p w14:paraId="1C30DE53" w14:textId="77777777" w:rsidR="00C36CA3" w:rsidRPr="007033A3" w:rsidRDefault="00C36CA3" w:rsidP="00AE2F70">
      <w:pPr>
        <w:pStyle w:val="PargrafodaLista"/>
        <w:tabs>
          <w:tab w:val="left" w:pos="567"/>
        </w:tabs>
        <w:rPr>
          <w:rFonts w:ascii="Arial" w:hAnsi="Arial" w:cs="Arial"/>
          <w:sz w:val="22"/>
          <w:szCs w:val="22"/>
          <w:lang w:val="en-US"/>
        </w:rPr>
      </w:pPr>
    </w:p>
    <w:p w14:paraId="5B1A49F3" w14:textId="5EAC4BB4" w:rsidR="000F2EFA" w:rsidRPr="007033A3" w:rsidRDefault="005D089D"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A possible takeaway from the case description is that the restructuring proposal that the parties ultimately agreed upon was not the best outcome for the Group of Banks, that have not recovered their claims through the sale of the new company (as of May 2016) and may not recover any amount in the near future, at least not until the new company makes a profit and attracts the attention of potential buyers.</w:t>
      </w:r>
    </w:p>
    <w:p w14:paraId="1E1DB596" w14:textId="77777777" w:rsidR="00153268" w:rsidRPr="007033A3" w:rsidRDefault="00153268" w:rsidP="007033A3">
      <w:pPr>
        <w:pStyle w:val="PargrafodaLista"/>
        <w:tabs>
          <w:tab w:val="left" w:pos="1134"/>
        </w:tabs>
        <w:ind w:left="0"/>
        <w:jc w:val="both"/>
        <w:rPr>
          <w:rFonts w:ascii="Arial" w:hAnsi="Arial" w:cs="Arial"/>
          <w:sz w:val="22"/>
          <w:szCs w:val="22"/>
          <w:lang w:val="en-US"/>
        </w:rPr>
      </w:pPr>
    </w:p>
    <w:p w14:paraId="74CBF8DB"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mc:AlternateContent>
          <mc:Choice Requires="wps">
            <w:drawing>
              <wp:anchor distT="0" distB="0" distL="114300" distR="114300" simplePos="0" relativeHeight="251675648" behindDoc="0" locked="0" layoutInCell="1" allowOverlap="1" wp14:anchorId="018970A9" wp14:editId="034BD0DA">
                <wp:simplePos x="0" y="0"/>
                <wp:positionH relativeFrom="column">
                  <wp:posOffset>-5695</wp:posOffset>
                </wp:positionH>
                <wp:positionV relativeFrom="paragraph">
                  <wp:posOffset>41152</wp:posOffset>
                </wp:positionV>
                <wp:extent cx="5791200" cy="442452"/>
                <wp:effectExtent l="0" t="0" r="12700" b="15240"/>
                <wp:wrapNone/>
                <wp:docPr id="9" name="Text Box 3"/>
                <wp:cNvGraphicFramePr/>
                <a:graphic xmlns:a="http://schemas.openxmlformats.org/drawingml/2006/main">
                  <a:graphicData uri="http://schemas.microsoft.com/office/word/2010/wordprocessingShape">
                    <wps:wsp>
                      <wps:cNvSpPr txBox="1"/>
                      <wps:spPr>
                        <a:xfrm>
                          <a:off x="0" y="0"/>
                          <a:ext cx="5791200" cy="442452"/>
                        </a:xfrm>
                        <a:prstGeom prst="rect">
                          <a:avLst/>
                        </a:prstGeom>
                        <a:solidFill>
                          <a:schemeClr val="lt1"/>
                        </a:solidFill>
                        <a:ln w="6350">
                          <a:solidFill>
                            <a:prstClr val="black"/>
                          </a:solidFill>
                        </a:ln>
                      </wps:spPr>
                      <wps:txbx>
                        <w:txbxContent>
                          <w:p w14:paraId="4F59F4FF" w14:textId="176B488F" w:rsidR="00153268" w:rsidRPr="007033A3" w:rsidRDefault="00153268" w:rsidP="00AE2F70">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Which (potential) legal and/or non-legal cross-border issues – if any – do you recognize in the Flow Management restructuring process?</w:t>
                            </w:r>
                          </w:p>
                          <w:p w14:paraId="4918B11B" w14:textId="77777777" w:rsidR="00153268" w:rsidRPr="00CE0499" w:rsidRDefault="00153268" w:rsidP="0015326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70A9" id="_x0000_s1034" type="#_x0000_t202" style="position:absolute;margin-left:-.45pt;margin-top:3.25pt;width:456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" fillcolor="white [3201]" strokeweight=".5pt">
                <v:textbox>
                  <w:txbxContent>
                    <w:p w14:paraId="4F59F4FF" w14:textId="176B488F" w:rsidR="00153268" w:rsidRPr="007033A3" w:rsidRDefault="00153268" w:rsidP="00AE2F70">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Which (potential) legal and/or non-legal cross-border issues – if any – do you recognize in the Flow Management restructuring process?</w:t>
                      </w:r>
                    </w:p>
                    <w:p w14:paraId="4918B11B" w14:textId="77777777" w:rsidR="00153268" w:rsidRPr="00CE0499" w:rsidRDefault="00153268" w:rsidP="00153268">
                      <w:pPr>
                        <w:rPr>
                          <w:lang w:val="en-US"/>
                        </w:rPr>
                      </w:pPr>
                    </w:p>
                  </w:txbxContent>
                </v:textbox>
              </v:shape>
            </w:pict>
          </mc:Fallback>
        </mc:AlternateContent>
      </w:r>
    </w:p>
    <w:p w14:paraId="5016E0B2"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p>
    <w:p w14:paraId="67CB2DEF" w14:textId="77777777" w:rsidR="00E52423" w:rsidRPr="007033A3" w:rsidRDefault="00E52423" w:rsidP="007033A3">
      <w:pPr>
        <w:tabs>
          <w:tab w:val="left" w:pos="1134"/>
        </w:tabs>
        <w:jc w:val="both"/>
        <w:rPr>
          <w:rFonts w:ascii="Arial" w:hAnsi="Arial" w:cs="Arial"/>
          <w:sz w:val="22"/>
          <w:szCs w:val="22"/>
          <w:lang w:val="en-US"/>
        </w:rPr>
      </w:pPr>
    </w:p>
    <w:p w14:paraId="2FE8D070" w14:textId="77777777" w:rsidR="00AD46A6" w:rsidRPr="007033A3" w:rsidRDefault="006B0D0D"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The Flow Management Group is comprised of a holding company in the Netherlands (Flow Management Holding BV) and six operating subsidiaries in different jurisdictions: (</w:t>
      </w:r>
      <w:proofErr w:type="spellStart"/>
      <w:r w:rsidRPr="007033A3">
        <w:rPr>
          <w:rFonts w:ascii="Arial" w:hAnsi="Arial" w:cs="Arial"/>
          <w:sz w:val="22"/>
          <w:szCs w:val="22"/>
          <w:lang w:val="en-US"/>
        </w:rPr>
        <w:t>i</w:t>
      </w:r>
      <w:proofErr w:type="spellEnd"/>
      <w:r w:rsidRPr="007033A3">
        <w:rPr>
          <w:rFonts w:ascii="Arial" w:hAnsi="Arial" w:cs="Arial"/>
          <w:sz w:val="22"/>
          <w:szCs w:val="22"/>
          <w:lang w:val="en-US"/>
        </w:rPr>
        <w:t xml:space="preserve">) Flow Management Work BV, in the Netherlands, (ii) Flow Management Work Spain SL, (iii) Flow Management Work France SPRL, (iv) Flow Management Work Australia Ltd., (v) Flow Management Work South Africa Ltd. and (vi) Flow Management Work USA Ltd. </w:t>
      </w:r>
    </w:p>
    <w:p w14:paraId="0A68F56D" w14:textId="77777777" w:rsidR="00AD46A6" w:rsidRPr="007033A3" w:rsidRDefault="00AD46A6" w:rsidP="00AE2F70">
      <w:pPr>
        <w:pStyle w:val="PargrafodaLista"/>
        <w:tabs>
          <w:tab w:val="left" w:pos="567"/>
        </w:tabs>
        <w:ind w:left="0"/>
        <w:jc w:val="both"/>
        <w:rPr>
          <w:rFonts w:ascii="Arial" w:hAnsi="Arial" w:cs="Arial"/>
          <w:sz w:val="22"/>
          <w:szCs w:val="22"/>
          <w:lang w:val="en-US"/>
        </w:rPr>
      </w:pPr>
    </w:p>
    <w:p w14:paraId="017D67B1" w14:textId="46AC4338" w:rsidR="006B0D0D" w:rsidRPr="007033A3" w:rsidRDefault="006B0D0D"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Flow Management Work Holding BV also has a controlling interest in Lease Cayman Real Estate Ltd.</w:t>
      </w:r>
      <w:r w:rsidR="00AD46A6" w:rsidRPr="007033A3">
        <w:rPr>
          <w:rFonts w:ascii="Arial" w:hAnsi="Arial" w:cs="Arial"/>
          <w:sz w:val="22"/>
          <w:szCs w:val="22"/>
          <w:lang w:val="en-US"/>
        </w:rPr>
        <w:t xml:space="preserve"> </w:t>
      </w:r>
      <w:r w:rsidRPr="007033A3">
        <w:rPr>
          <w:rFonts w:ascii="Arial" w:hAnsi="Arial" w:cs="Arial"/>
          <w:sz w:val="22"/>
          <w:szCs w:val="22"/>
          <w:lang w:val="en-US"/>
        </w:rPr>
        <w:t>and Lease and Truck Repair Sweden Holding Ltd.</w:t>
      </w:r>
      <w:r w:rsidR="00AD46A6" w:rsidRPr="007033A3">
        <w:rPr>
          <w:rFonts w:ascii="Arial" w:hAnsi="Arial" w:cs="Arial"/>
          <w:sz w:val="22"/>
          <w:szCs w:val="22"/>
          <w:lang w:val="en-US"/>
        </w:rPr>
        <w:t>, in another two jurisdictions.</w:t>
      </w:r>
    </w:p>
    <w:p w14:paraId="652A6EE9" w14:textId="77777777" w:rsidR="006B0D0D" w:rsidRPr="007033A3" w:rsidRDefault="006B0D0D" w:rsidP="00AE2F70">
      <w:pPr>
        <w:pStyle w:val="PargrafodaLista"/>
        <w:tabs>
          <w:tab w:val="left" w:pos="567"/>
        </w:tabs>
        <w:ind w:left="0"/>
        <w:jc w:val="both"/>
        <w:rPr>
          <w:rFonts w:ascii="Arial" w:hAnsi="Arial" w:cs="Arial"/>
          <w:sz w:val="22"/>
          <w:szCs w:val="22"/>
          <w:lang w:val="en-US"/>
        </w:rPr>
      </w:pPr>
    </w:p>
    <w:p w14:paraId="3C69FD6B" w14:textId="42FFAA06" w:rsidR="006B0D0D" w:rsidRPr="007033A3" w:rsidRDefault="006B0D0D"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The holding company is wholly owned by Lease Group Holding United Kingdom Ltd., which shares are divided among the Johnson Family in the United States (30%), LLS Private </w:t>
      </w:r>
      <w:r w:rsidRPr="007033A3">
        <w:rPr>
          <w:rFonts w:ascii="Arial" w:hAnsi="Arial" w:cs="Arial"/>
          <w:sz w:val="22"/>
          <w:szCs w:val="22"/>
          <w:lang w:val="en-US"/>
        </w:rPr>
        <w:lastRenderedPageBreak/>
        <w:t>Equity Fund Ltd. in the United Kingdom (40%) and Cinderella Investment Ltd. also in the United Kingdom (30%).</w:t>
      </w:r>
    </w:p>
    <w:p w14:paraId="6410839E" w14:textId="0E19306C" w:rsidR="006B0D0D" w:rsidRPr="007033A3" w:rsidRDefault="006B0D0D" w:rsidP="00AE2F70">
      <w:pPr>
        <w:pStyle w:val="PargrafodaLista"/>
        <w:tabs>
          <w:tab w:val="left" w:pos="567"/>
        </w:tabs>
        <w:ind w:left="0"/>
        <w:jc w:val="both"/>
        <w:rPr>
          <w:rFonts w:ascii="Arial" w:hAnsi="Arial" w:cs="Arial"/>
          <w:sz w:val="22"/>
          <w:szCs w:val="22"/>
          <w:lang w:val="en-US"/>
        </w:rPr>
      </w:pPr>
    </w:p>
    <w:p w14:paraId="2B9E28AB" w14:textId="388AFBA4" w:rsidR="006B0D0D" w:rsidRPr="007033A3" w:rsidRDefault="006B0D0D"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A group that has operations spanning over six jurisdictions and is owned by a company in a seventh jurisdiction is bound to face cross-border issues when trying to design a consensual solution to address their financial distress.</w:t>
      </w:r>
      <w:r w:rsidR="00AD46A6" w:rsidRPr="007033A3">
        <w:rPr>
          <w:rFonts w:ascii="Arial" w:hAnsi="Arial" w:cs="Arial"/>
          <w:sz w:val="22"/>
          <w:szCs w:val="22"/>
          <w:lang w:val="en-US"/>
        </w:rPr>
        <w:t xml:space="preserve"> Although the case description does not point out cross-border problems of any kind, it is possible to surmise a few that may stand out in an out-of-court restructuring of this magnitude</w:t>
      </w:r>
      <w:r w:rsidR="00D44757" w:rsidRPr="007033A3">
        <w:rPr>
          <w:rFonts w:ascii="Arial" w:hAnsi="Arial" w:cs="Arial"/>
          <w:sz w:val="22"/>
          <w:szCs w:val="22"/>
          <w:lang w:val="en-US"/>
        </w:rPr>
        <w:t xml:space="preserve"> (the first of which seems to be the most relevant)</w:t>
      </w:r>
      <w:r w:rsidR="00AD46A6" w:rsidRPr="007033A3">
        <w:rPr>
          <w:rFonts w:ascii="Arial" w:hAnsi="Arial" w:cs="Arial"/>
          <w:sz w:val="22"/>
          <w:szCs w:val="22"/>
          <w:lang w:val="en-US"/>
        </w:rPr>
        <w:t>:</w:t>
      </w:r>
    </w:p>
    <w:p w14:paraId="0578692B" w14:textId="7D0DEEFC" w:rsidR="00AD46A6" w:rsidRPr="007033A3" w:rsidRDefault="00AD46A6" w:rsidP="007033A3">
      <w:pPr>
        <w:pStyle w:val="PargrafodaLista"/>
        <w:tabs>
          <w:tab w:val="left" w:pos="1134"/>
        </w:tabs>
        <w:ind w:left="0"/>
        <w:jc w:val="both"/>
        <w:rPr>
          <w:rFonts w:ascii="Arial" w:hAnsi="Arial" w:cs="Arial"/>
          <w:sz w:val="22"/>
          <w:szCs w:val="22"/>
          <w:lang w:val="en-US"/>
        </w:rPr>
      </w:pPr>
    </w:p>
    <w:p w14:paraId="355C797A" w14:textId="77777777" w:rsidR="00CC2137" w:rsidRPr="007033A3" w:rsidRDefault="00C90B43" w:rsidP="00AE2F70">
      <w:pPr>
        <w:pStyle w:val="PargrafodaLista"/>
        <w:numPr>
          <w:ilvl w:val="0"/>
          <w:numId w:val="26"/>
        </w:numPr>
        <w:tabs>
          <w:tab w:val="left" w:pos="1134"/>
        </w:tabs>
        <w:ind w:left="567" w:firstLine="0"/>
        <w:jc w:val="both"/>
        <w:rPr>
          <w:rFonts w:ascii="Arial" w:hAnsi="Arial" w:cs="Arial"/>
          <w:sz w:val="22"/>
          <w:szCs w:val="22"/>
          <w:lang w:val="en-US"/>
        </w:rPr>
      </w:pPr>
      <w:r w:rsidRPr="007033A3">
        <w:rPr>
          <w:rFonts w:ascii="Arial" w:hAnsi="Arial" w:cs="Arial"/>
          <w:sz w:val="22"/>
          <w:szCs w:val="22"/>
          <w:lang w:val="en-US"/>
        </w:rPr>
        <w:t>If Flow Management Holding BV, in the Netherlands, has any creditors with outstanding debts other than the Group of Banks, the transfer of all of its assets to a new company (Flow Management II BV) and the subsequent debt-to-equity exchange, transferring all shares in the new company to the Group of Banks</w:t>
      </w:r>
      <w:r w:rsidR="00CC2137" w:rsidRPr="007033A3">
        <w:rPr>
          <w:rFonts w:ascii="Arial" w:hAnsi="Arial" w:cs="Arial"/>
          <w:sz w:val="22"/>
          <w:szCs w:val="22"/>
          <w:lang w:val="en-US"/>
        </w:rPr>
        <w:t xml:space="preserve"> and certain board members</w:t>
      </w:r>
      <w:r w:rsidRPr="007033A3">
        <w:rPr>
          <w:rFonts w:ascii="Arial" w:hAnsi="Arial" w:cs="Arial"/>
          <w:sz w:val="22"/>
          <w:szCs w:val="22"/>
          <w:lang w:val="en-US"/>
        </w:rPr>
        <w:t xml:space="preserve">, could be perceived as an attempt to defraud Flow Management Holding BV’s creditors. </w:t>
      </w:r>
    </w:p>
    <w:p w14:paraId="062A93E6" w14:textId="77777777" w:rsidR="00CC2137" w:rsidRPr="007033A3" w:rsidRDefault="00CC2137" w:rsidP="00AE2F70">
      <w:pPr>
        <w:pStyle w:val="PargrafodaLista"/>
        <w:tabs>
          <w:tab w:val="left" w:pos="1134"/>
        </w:tabs>
        <w:ind w:left="567"/>
        <w:jc w:val="both"/>
        <w:rPr>
          <w:rFonts w:ascii="Arial" w:hAnsi="Arial" w:cs="Arial"/>
          <w:sz w:val="22"/>
          <w:szCs w:val="22"/>
          <w:lang w:val="en-US"/>
        </w:rPr>
      </w:pPr>
    </w:p>
    <w:p w14:paraId="1A963CE6" w14:textId="3EE9A37E" w:rsidR="00AD46A6" w:rsidRPr="007033A3" w:rsidRDefault="00C90B43" w:rsidP="00AE2F70">
      <w:pPr>
        <w:pStyle w:val="PargrafodaLista"/>
        <w:tabs>
          <w:tab w:val="left" w:pos="1134"/>
        </w:tabs>
        <w:ind w:left="567"/>
        <w:jc w:val="both"/>
        <w:rPr>
          <w:rFonts w:ascii="Arial" w:hAnsi="Arial" w:cs="Arial"/>
          <w:sz w:val="22"/>
          <w:szCs w:val="22"/>
          <w:lang w:val="en-US"/>
        </w:rPr>
      </w:pPr>
      <w:r w:rsidRPr="007033A3">
        <w:rPr>
          <w:rFonts w:ascii="Arial" w:hAnsi="Arial" w:cs="Arial"/>
          <w:sz w:val="22"/>
          <w:szCs w:val="22"/>
          <w:lang w:val="en-US"/>
        </w:rPr>
        <w:t>In the scenario wherein the holding is liquidated in a formal bankruptcy proceeding in the Netherlands (</w:t>
      </w:r>
      <w:proofErr w:type="spellStart"/>
      <w:r w:rsidRPr="007033A3">
        <w:rPr>
          <w:rFonts w:ascii="Arial" w:hAnsi="Arial" w:cs="Arial"/>
          <w:i/>
          <w:iCs/>
          <w:sz w:val="22"/>
          <w:szCs w:val="22"/>
          <w:lang w:val="en-US"/>
        </w:rPr>
        <w:t>faillissement</w:t>
      </w:r>
      <w:proofErr w:type="spellEnd"/>
      <w:r w:rsidRPr="007033A3">
        <w:rPr>
          <w:rFonts w:ascii="Arial" w:hAnsi="Arial" w:cs="Arial"/>
          <w:sz w:val="22"/>
          <w:szCs w:val="22"/>
          <w:lang w:val="en-US"/>
        </w:rPr>
        <w:t xml:space="preserve">), </w:t>
      </w:r>
      <w:proofErr w:type="spellStart"/>
      <w:r w:rsidRPr="007033A3">
        <w:rPr>
          <w:rFonts w:ascii="Arial" w:hAnsi="Arial" w:cs="Arial"/>
          <w:sz w:val="22"/>
          <w:szCs w:val="22"/>
          <w:lang w:val="en-US"/>
        </w:rPr>
        <w:t>clawback</w:t>
      </w:r>
      <w:proofErr w:type="spellEnd"/>
      <w:r w:rsidRPr="007033A3">
        <w:rPr>
          <w:rFonts w:ascii="Arial" w:hAnsi="Arial" w:cs="Arial"/>
          <w:sz w:val="22"/>
          <w:szCs w:val="22"/>
          <w:lang w:val="en-US"/>
        </w:rPr>
        <w:t xml:space="preserve"> actions may be filed by the bankruptcy trustee to invalidate any transactions that were detrimental to the estate, such as the aforementioned debt-to-equity swap and the cancellation of Flow Management Holding BV’s claims against Flow Management Work BV.</w:t>
      </w:r>
      <w:r w:rsidR="00DE0C5F" w:rsidRPr="007033A3">
        <w:rPr>
          <w:rStyle w:val="Refdenotaderodap"/>
          <w:rFonts w:ascii="Arial" w:hAnsi="Arial" w:cs="Arial"/>
          <w:sz w:val="22"/>
          <w:szCs w:val="22"/>
          <w:lang w:val="en-US"/>
        </w:rPr>
        <w:footnoteReference w:id="66"/>
      </w:r>
      <w:r w:rsidRPr="007033A3">
        <w:rPr>
          <w:rFonts w:ascii="Arial" w:hAnsi="Arial" w:cs="Arial"/>
          <w:sz w:val="22"/>
          <w:szCs w:val="22"/>
          <w:lang w:val="en-US"/>
        </w:rPr>
        <w:t xml:space="preserve"> </w:t>
      </w:r>
      <w:r w:rsidR="00216CC4" w:rsidRPr="007033A3">
        <w:rPr>
          <w:rFonts w:ascii="Arial" w:hAnsi="Arial" w:cs="Arial"/>
          <w:sz w:val="22"/>
          <w:szCs w:val="22"/>
          <w:lang w:val="en-US"/>
        </w:rPr>
        <w:t xml:space="preserve">A transaction like this would have been protected if carried out in a formal insolvency proceeding, but not in an out-of-court restructuring (unless otherwise provided by the governing law). </w:t>
      </w:r>
      <w:r w:rsidRPr="007033A3">
        <w:rPr>
          <w:rFonts w:ascii="Arial" w:hAnsi="Arial" w:cs="Arial"/>
          <w:sz w:val="22"/>
          <w:szCs w:val="22"/>
          <w:lang w:val="en-US"/>
        </w:rPr>
        <w:t>This could be an issue before the Dutch court</w:t>
      </w:r>
      <w:r w:rsidR="00CC2137" w:rsidRPr="007033A3">
        <w:rPr>
          <w:rFonts w:ascii="Arial" w:hAnsi="Arial" w:cs="Arial"/>
          <w:sz w:val="22"/>
          <w:szCs w:val="22"/>
          <w:lang w:val="en-US"/>
        </w:rPr>
        <w:t xml:space="preserve"> in a bankruptcy proceeding</w:t>
      </w:r>
      <w:r w:rsidRPr="007033A3">
        <w:rPr>
          <w:rFonts w:ascii="Arial" w:hAnsi="Arial" w:cs="Arial"/>
          <w:sz w:val="22"/>
          <w:szCs w:val="22"/>
          <w:lang w:val="en-US"/>
        </w:rPr>
        <w:t xml:space="preserve">, but </w:t>
      </w:r>
      <w:r w:rsidR="00CC2137" w:rsidRPr="007033A3">
        <w:rPr>
          <w:rFonts w:ascii="Arial" w:hAnsi="Arial" w:cs="Arial"/>
          <w:sz w:val="22"/>
          <w:szCs w:val="22"/>
          <w:lang w:val="en-US"/>
        </w:rPr>
        <w:t xml:space="preserve">it is also possible for foreign creditors to file the </w:t>
      </w:r>
      <w:proofErr w:type="spellStart"/>
      <w:r w:rsidR="00CC2137" w:rsidRPr="007033A3">
        <w:rPr>
          <w:rFonts w:ascii="Arial" w:hAnsi="Arial" w:cs="Arial"/>
          <w:i/>
          <w:iCs/>
          <w:sz w:val="22"/>
          <w:szCs w:val="22"/>
          <w:lang w:val="en-US"/>
        </w:rPr>
        <w:t>actio</w:t>
      </w:r>
      <w:proofErr w:type="spellEnd"/>
      <w:r w:rsidR="00CC2137" w:rsidRPr="007033A3">
        <w:rPr>
          <w:rFonts w:ascii="Arial" w:hAnsi="Arial" w:cs="Arial"/>
          <w:i/>
          <w:iCs/>
          <w:sz w:val="22"/>
          <w:szCs w:val="22"/>
          <w:lang w:val="en-US"/>
        </w:rPr>
        <w:t xml:space="preserve"> </w:t>
      </w:r>
      <w:proofErr w:type="spellStart"/>
      <w:r w:rsidR="00CC2137" w:rsidRPr="007033A3">
        <w:rPr>
          <w:rFonts w:ascii="Arial" w:hAnsi="Arial" w:cs="Arial"/>
          <w:i/>
          <w:iCs/>
          <w:sz w:val="22"/>
          <w:szCs w:val="22"/>
          <w:lang w:val="en-US"/>
        </w:rPr>
        <w:t>pauliana</w:t>
      </w:r>
      <w:proofErr w:type="spellEnd"/>
      <w:r w:rsidR="00CC2137" w:rsidRPr="007033A3">
        <w:rPr>
          <w:rFonts w:ascii="Arial" w:hAnsi="Arial" w:cs="Arial"/>
          <w:sz w:val="22"/>
          <w:szCs w:val="22"/>
          <w:lang w:val="en-US"/>
        </w:rPr>
        <w:t xml:space="preserve"> before their own respective jurisdictions, if their contracts allow them.</w:t>
      </w:r>
    </w:p>
    <w:p w14:paraId="6E1413C0" w14:textId="13469188" w:rsidR="00CC2137" w:rsidRPr="007033A3" w:rsidRDefault="00CC2137" w:rsidP="00AE2F70">
      <w:pPr>
        <w:pStyle w:val="PargrafodaLista"/>
        <w:tabs>
          <w:tab w:val="left" w:pos="1134"/>
        </w:tabs>
        <w:ind w:left="567"/>
        <w:jc w:val="both"/>
        <w:rPr>
          <w:rFonts w:ascii="Arial" w:hAnsi="Arial" w:cs="Arial"/>
          <w:sz w:val="22"/>
          <w:szCs w:val="22"/>
          <w:lang w:val="en-US"/>
        </w:rPr>
      </w:pPr>
    </w:p>
    <w:p w14:paraId="1549CDB9" w14:textId="179D7745" w:rsidR="00CC2137" w:rsidRPr="007033A3" w:rsidRDefault="00CC2137" w:rsidP="00AE2F70">
      <w:pPr>
        <w:pStyle w:val="PargrafodaLista"/>
        <w:tabs>
          <w:tab w:val="left" w:pos="1134"/>
        </w:tabs>
        <w:ind w:left="567"/>
        <w:jc w:val="both"/>
        <w:rPr>
          <w:rFonts w:ascii="Arial" w:hAnsi="Arial" w:cs="Arial"/>
          <w:sz w:val="22"/>
          <w:szCs w:val="22"/>
          <w:lang w:val="en-US"/>
        </w:rPr>
      </w:pPr>
      <w:r w:rsidRPr="007033A3">
        <w:rPr>
          <w:rFonts w:ascii="Arial" w:hAnsi="Arial" w:cs="Arial"/>
          <w:sz w:val="22"/>
          <w:szCs w:val="22"/>
          <w:lang w:val="en-US"/>
        </w:rPr>
        <w:t xml:space="preserve">If a </w:t>
      </w:r>
      <w:proofErr w:type="spellStart"/>
      <w:r w:rsidRPr="007033A3">
        <w:rPr>
          <w:rFonts w:ascii="Arial" w:hAnsi="Arial" w:cs="Arial"/>
          <w:sz w:val="22"/>
          <w:szCs w:val="22"/>
          <w:lang w:val="en-US"/>
        </w:rPr>
        <w:t>clawback</w:t>
      </w:r>
      <w:proofErr w:type="spellEnd"/>
      <w:r w:rsidRPr="007033A3">
        <w:rPr>
          <w:rFonts w:ascii="Arial" w:hAnsi="Arial" w:cs="Arial"/>
          <w:sz w:val="22"/>
          <w:szCs w:val="22"/>
          <w:lang w:val="en-US"/>
        </w:rPr>
        <w:t xml:space="preserve"> action filed by the bankruptcy trustee in the Netherlands is successful, then all six operating subsidiaries spread across six jurisdictions could be affected by the Dutch bankruptcy. In this situation, </w:t>
      </w:r>
      <w:r w:rsidR="00D7166B" w:rsidRPr="007033A3">
        <w:rPr>
          <w:rFonts w:ascii="Arial" w:hAnsi="Arial" w:cs="Arial"/>
          <w:sz w:val="22"/>
          <w:szCs w:val="22"/>
          <w:lang w:val="en-US"/>
        </w:rPr>
        <w:t xml:space="preserve">an assessment of the companies’ </w:t>
      </w:r>
      <w:r w:rsidR="00CE2E48" w:rsidRPr="007033A3">
        <w:rPr>
          <w:rFonts w:ascii="Arial" w:hAnsi="Arial" w:cs="Arial"/>
          <w:sz w:val="22"/>
          <w:szCs w:val="22"/>
          <w:lang w:val="en-US"/>
        </w:rPr>
        <w:t>centers of main interest (“</w:t>
      </w:r>
      <w:r w:rsidR="00CE2E48" w:rsidRPr="007033A3">
        <w:rPr>
          <w:rFonts w:ascii="Arial" w:hAnsi="Arial" w:cs="Arial"/>
          <w:sz w:val="22"/>
          <w:szCs w:val="22"/>
          <w:u w:val="single"/>
          <w:lang w:val="en-US"/>
        </w:rPr>
        <w:t>COMI</w:t>
      </w:r>
      <w:r w:rsidR="00CE2E48" w:rsidRPr="007033A3">
        <w:rPr>
          <w:rFonts w:ascii="Arial" w:hAnsi="Arial" w:cs="Arial"/>
          <w:sz w:val="22"/>
          <w:szCs w:val="22"/>
          <w:lang w:val="en-US"/>
        </w:rPr>
        <w:t xml:space="preserve">”) might be needed for the recognition of foreign main and non-main proceedings before each jurisdiction (if their respective legislation allows it) and the Flow Management Group’s restructuring would dive into a multi-jurisdictional bankruptcy proceeding. </w:t>
      </w:r>
    </w:p>
    <w:p w14:paraId="7B75DB4A" w14:textId="47D9C22B" w:rsidR="00AD46A6" w:rsidRPr="007033A3" w:rsidRDefault="00AD46A6" w:rsidP="00AE2F70">
      <w:pPr>
        <w:pStyle w:val="PargrafodaLista"/>
        <w:tabs>
          <w:tab w:val="left" w:pos="1134"/>
        </w:tabs>
        <w:ind w:left="567"/>
        <w:jc w:val="both"/>
        <w:rPr>
          <w:rFonts w:ascii="Arial" w:hAnsi="Arial" w:cs="Arial"/>
          <w:sz w:val="22"/>
          <w:szCs w:val="22"/>
          <w:lang w:val="en-US"/>
        </w:rPr>
      </w:pPr>
    </w:p>
    <w:p w14:paraId="380EC9A2" w14:textId="508ADEB9" w:rsidR="00CB5E90" w:rsidRPr="007033A3" w:rsidRDefault="00CE2E48" w:rsidP="00AE2F70">
      <w:pPr>
        <w:pStyle w:val="PargrafodaLista"/>
        <w:numPr>
          <w:ilvl w:val="0"/>
          <w:numId w:val="26"/>
        </w:numPr>
        <w:tabs>
          <w:tab w:val="left" w:pos="1134"/>
        </w:tabs>
        <w:ind w:left="567" w:firstLine="0"/>
        <w:jc w:val="both"/>
        <w:rPr>
          <w:rFonts w:ascii="Arial" w:hAnsi="Arial" w:cs="Arial"/>
          <w:sz w:val="22"/>
          <w:szCs w:val="22"/>
          <w:lang w:val="en-US"/>
        </w:rPr>
      </w:pPr>
      <w:r w:rsidRPr="007033A3">
        <w:rPr>
          <w:rFonts w:ascii="Arial" w:hAnsi="Arial" w:cs="Arial"/>
          <w:sz w:val="22"/>
          <w:szCs w:val="22"/>
          <w:lang w:val="en-US"/>
        </w:rPr>
        <w:t>The change in ownership control in the six operational subsidiaries may also affect some of their relevant contracts</w:t>
      </w:r>
      <w:r w:rsidR="00CB5E90" w:rsidRPr="007033A3">
        <w:rPr>
          <w:rFonts w:ascii="Arial" w:hAnsi="Arial" w:cs="Arial"/>
          <w:sz w:val="22"/>
          <w:szCs w:val="22"/>
          <w:lang w:val="en-US"/>
        </w:rPr>
        <w:t>, governed by different laws,</w:t>
      </w:r>
      <w:r w:rsidRPr="007033A3">
        <w:rPr>
          <w:rFonts w:ascii="Arial" w:hAnsi="Arial" w:cs="Arial"/>
          <w:sz w:val="22"/>
          <w:szCs w:val="22"/>
          <w:lang w:val="en-US"/>
        </w:rPr>
        <w:t xml:space="preserve"> and would need to be addressed before the restructuring agreement is complete, especially if Flow Management Holding BV and their controlling shareholder</w:t>
      </w:r>
      <w:r w:rsidR="00CB5E90" w:rsidRPr="007033A3">
        <w:rPr>
          <w:rFonts w:ascii="Arial" w:hAnsi="Arial" w:cs="Arial"/>
          <w:sz w:val="22"/>
          <w:szCs w:val="22"/>
          <w:lang w:val="en-US"/>
        </w:rPr>
        <w:t xml:space="preserve"> have offered collateral or are in any way guarantors of subsidiaries’ obligations. </w:t>
      </w:r>
    </w:p>
    <w:p w14:paraId="5FC68493" w14:textId="77777777" w:rsidR="00CB5E90" w:rsidRPr="007033A3" w:rsidRDefault="00CB5E90" w:rsidP="00AE2F70">
      <w:pPr>
        <w:pStyle w:val="PargrafodaLista"/>
        <w:tabs>
          <w:tab w:val="left" w:pos="1134"/>
        </w:tabs>
        <w:ind w:left="567"/>
        <w:jc w:val="both"/>
        <w:rPr>
          <w:rFonts w:ascii="Arial" w:hAnsi="Arial" w:cs="Arial"/>
          <w:sz w:val="22"/>
          <w:szCs w:val="22"/>
          <w:lang w:val="en-US"/>
        </w:rPr>
      </w:pPr>
    </w:p>
    <w:p w14:paraId="6554045A" w14:textId="1317FBAF" w:rsidR="00AD46A6" w:rsidRPr="007033A3" w:rsidRDefault="00CB5E90" w:rsidP="00AE2F70">
      <w:pPr>
        <w:pStyle w:val="PargrafodaLista"/>
        <w:numPr>
          <w:ilvl w:val="0"/>
          <w:numId w:val="26"/>
        </w:numPr>
        <w:tabs>
          <w:tab w:val="left" w:pos="1134"/>
        </w:tabs>
        <w:ind w:left="567" w:firstLine="0"/>
        <w:jc w:val="both"/>
        <w:rPr>
          <w:rFonts w:ascii="Arial" w:hAnsi="Arial" w:cs="Arial"/>
          <w:sz w:val="22"/>
          <w:szCs w:val="22"/>
          <w:lang w:val="en-US"/>
        </w:rPr>
      </w:pPr>
      <w:r w:rsidRPr="007033A3">
        <w:rPr>
          <w:rFonts w:ascii="Arial" w:hAnsi="Arial" w:cs="Arial"/>
          <w:sz w:val="22"/>
          <w:szCs w:val="22"/>
          <w:lang w:val="en-US"/>
        </w:rPr>
        <w:t>The change in ownership may also have an impact on the relationship with certain clients, most notably if they era in any way connected (or loyal) to the Johnson Family, wherever they may be, affecting contracts governed by different laws.</w:t>
      </w:r>
    </w:p>
    <w:p w14:paraId="2D1587CB" w14:textId="77777777" w:rsidR="006B0D0D" w:rsidRPr="007033A3" w:rsidRDefault="006B0D0D" w:rsidP="007033A3">
      <w:pPr>
        <w:pStyle w:val="PargrafodaLista"/>
        <w:tabs>
          <w:tab w:val="left" w:pos="1134"/>
        </w:tabs>
        <w:ind w:left="0"/>
        <w:jc w:val="both"/>
        <w:rPr>
          <w:rFonts w:ascii="Arial" w:hAnsi="Arial" w:cs="Arial"/>
          <w:sz w:val="22"/>
          <w:szCs w:val="22"/>
          <w:lang w:val="en-US"/>
        </w:rPr>
      </w:pPr>
    </w:p>
    <w:p w14:paraId="3AA1C0F3" w14:textId="5B645562" w:rsidR="00153268" w:rsidRPr="007033A3" w:rsidRDefault="00145FAD"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These are just a few cross-border issues that may come up in an informal workout like the one executed by Flow Management Group and the Group of Banks. Despite the lack of information in the case description, it is likely that the restructuring agreement foresaw these problems and took steps to avoid them.</w:t>
      </w:r>
    </w:p>
    <w:p w14:paraId="585D2E83" w14:textId="17166540" w:rsidR="00153268" w:rsidRDefault="00153268" w:rsidP="007033A3">
      <w:pPr>
        <w:pStyle w:val="PargrafodaLista"/>
        <w:tabs>
          <w:tab w:val="left" w:pos="1134"/>
        </w:tabs>
        <w:ind w:left="0"/>
        <w:jc w:val="both"/>
        <w:rPr>
          <w:rFonts w:ascii="Arial" w:hAnsi="Arial" w:cs="Arial"/>
          <w:sz w:val="22"/>
          <w:szCs w:val="22"/>
          <w:lang w:val="en-US"/>
        </w:rPr>
      </w:pPr>
    </w:p>
    <w:p w14:paraId="5136F68E" w14:textId="77777777" w:rsidR="00AE2F70" w:rsidRPr="007033A3" w:rsidRDefault="00AE2F70" w:rsidP="007033A3">
      <w:pPr>
        <w:pStyle w:val="PargrafodaLista"/>
        <w:tabs>
          <w:tab w:val="left" w:pos="1134"/>
        </w:tabs>
        <w:ind w:left="0"/>
        <w:jc w:val="both"/>
        <w:rPr>
          <w:rFonts w:ascii="Arial" w:hAnsi="Arial" w:cs="Arial"/>
          <w:sz w:val="22"/>
          <w:szCs w:val="22"/>
          <w:lang w:val="en-US"/>
        </w:rPr>
      </w:pPr>
    </w:p>
    <w:p w14:paraId="09CE412B"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r w:rsidRPr="007033A3">
        <w:rPr>
          <w:rFonts w:ascii="Arial" w:hAnsi="Arial" w:cs="Arial"/>
          <w:smallCaps/>
          <w:noProof/>
          <w:sz w:val="22"/>
          <w:szCs w:val="22"/>
          <w:lang w:eastAsia="pt-BR"/>
        </w:rPr>
        <w:lastRenderedPageBreak/>
        <mc:AlternateContent>
          <mc:Choice Requires="wps">
            <w:drawing>
              <wp:anchor distT="0" distB="0" distL="114300" distR="114300" simplePos="0" relativeHeight="251677696" behindDoc="0" locked="0" layoutInCell="1" allowOverlap="1" wp14:anchorId="48336231" wp14:editId="25B03EDC">
                <wp:simplePos x="0" y="0"/>
                <wp:positionH relativeFrom="column">
                  <wp:posOffset>-5695</wp:posOffset>
                </wp:positionH>
                <wp:positionV relativeFrom="paragraph">
                  <wp:posOffset>39575</wp:posOffset>
                </wp:positionV>
                <wp:extent cx="5761704" cy="737419"/>
                <wp:effectExtent l="0" t="0" r="17145" b="12065"/>
                <wp:wrapNone/>
                <wp:docPr id="10" name="Text Box 3"/>
                <wp:cNvGraphicFramePr/>
                <a:graphic xmlns:a="http://schemas.openxmlformats.org/drawingml/2006/main">
                  <a:graphicData uri="http://schemas.microsoft.com/office/word/2010/wordprocessingShape">
                    <wps:wsp>
                      <wps:cNvSpPr txBox="1"/>
                      <wps:spPr>
                        <a:xfrm>
                          <a:off x="0" y="0"/>
                          <a:ext cx="5761704" cy="737419"/>
                        </a:xfrm>
                        <a:prstGeom prst="rect">
                          <a:avLst/>
                        </a:prstGeom>
                        <a:solidFill>
                          <a:schemeClr val="lt1"/>
                        </a:solidFill>
                        <a:ln w="6350">
                          <a:solidFill>
                            <a:prstClr val="black"/>
                          </a:solidFill>
                        </a:ln>
                      </wps:spPr>
                      <wps:txbx>
                        <w:txbxContent>
                          <w:p w14:paraId="27C00891" w14:textId="4C0B6CFB" w:rsidR="00153268" w:rsidRPr="007033A3" w:rsidRDefault="00153268" w:rsidP="00AE2F70">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0D155BA0" w14:textId="77777777" w:rsidR="00153268" w:rsidRPr="00CE0499" w:rsidRDefault="00153268" w:rsidP="0015326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6231" id="_x0000_s1035" type="#_x0000_t202" style="position:absolute;margin-left:-.45pt;margin-top:3.1pt;width:453.7pt;height:5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" fillcolor="white [3201]" strokeweight=".5pt">
                <v:textbox>
                  <w:txbxContent>
                    <w:p w14:paraId="27C00891" w14:textId="4C0B6CFB" w:rsidR="00153268" w:rsidRPr="007033A3" w:rsidRDefault="00153268" w:rsidP="00AE2F70">
                      <w:pPr>
                        <w:pStyle w:val="NormalWeb"/>
                        <w:numPr>
                          <w:ilvl w:val="0"/>
                          <w:numId w:val="18"/>
                        </w:numPr>
                        <w:tabs>
                          <w:tab w:val="num" w:pos="567"/>
                        </w:tabs>
                        <w:snapToGrid w:val="0"/>
                        <w:spacing w:after="120"/>
                        <w:ind w:left="0" w:firstLine="0"/>
                        <w:jc w:val="both"/>
                        <w:rPr>
                          <w:rFonts w:ascii="Arial" w:hAnsi="Arial" w:cs="Arial"/>
                          <w:i/>
                          <w:sz w:val="22"/>
                          <w:szCs w:val="22"/>
                          <w:lang w:val="en-US"/>
                        </w:rPr>
                      </w:pPr>
                      <w:r w:rsidRPr="007033A3">
                        <w:rPr>
                          <w:rFonts w:ascii="Arial" w:hAnsi="Arial" w:cs="Arial"/>
                          <w:i/>
                          <w:sz w:val="22"/>
                          <w:szCs w:val="22"/>
                          <w:lang w:val="en-US"/>
                        </w:rPr>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0D155BA0" w14:textId="77777777" w:rsidR="00153268" w:rsidRPr="00CE0499" w:rsidRDefault="00153268" w:rsidP="00153268">
                      <w:pPr>
                        <w:rPr>
                          <w:lang w:val="en-US"/>
                        </w:rPr>
                      </w:pPr>
                    </w:p>
                  </w:txbxContent>
                </v:textbox>
              </v:shape>
            </w:pict>
          </mc:Fallback>
        </mc:AlternateContent>
      </w:r>
    </w:p>
    <w:p w14:paraId="48A6BF79" w14:textId="77777777" w:rsidR="00153268" w:rsidRPr="007033A3" w:rsidRDefault="00153268" w:rsidP="007033A3">
      <w:pPr>
        <w:pStyle w:val="PargrafodaLista"/>
        <w:snapToGrid w:val="0"/>
        <w:spacing w:after="120"/>
        <w:ind w:left="0"/>
        <w:contextualSpacing w:val="0"/>
        <w:rPr>
          <w:rFonts w:ascii="Arial" w:hAnsi="Arial" w:cs="Arial"/>
          <w:smallCaps/>
          <w:sz w:val="22"/>
          <w:szCs w:val="22"/>
          <w:lang w:val="en-US"/>
        </w:rPr>
      </w:pPr>
    </w:p>
    <w:p w14:paraId="400C6F48" w14:textId="09299143" w:rsidR="00153268" w:rsidRPr="007033A3" w:rsidRDefault="00153268" w:rsidP="007033A3">
      <w:pPr>
        <w:tabs>
          <w:tab w:val="left" w:pos="1134"/>
        </w:tabs>
        <w:jc w:val="both"/>
        <w:rPr>
          <w:rFonts w:ascii="Arial" w:hAnsi="Arial" w:cs="Arial"/>
          <w:sz w:val="22"/>
          <w:szCs w:val="22"/>
          <w:lang w:val="en-US"/>
        </w:rPr>
      </w:pPr>
    </w:p>
    <w:p w14:paraId="1AB65A7C" w14:textId="507308D7" w:rsidR="00153268" w:rsidRPr="007033A3" w:rsidRDefault="00153268" w:rsidP="007033A3">
      <w:pPr>
        <w:tabs>
          <w:tab w:val="left" w:pos="1134"/>
        </w:tabs>
        <w:jc w:val="both"/>
        <w:rPr>
          <w:rFonts w:ascii="Arial" w:hAnsi="Arial" w:cs="Arial"/>
          <w:sz w:val="22"/>
          <w:szCs w:val="22"/>
          <w:lang w:val="en-US"/>
        </w:rPr>
      </w:pPr>
    </w:p>
    <w:p w14:paraId="68270C3A" w14:textId="77777777" w:rsidR="00E52423" w:rsidRPr="007033A3" w:rsidRDefault="00E52423" w:rsidP="007033A3">
      <w:pPr>
        <w:tabs>
          <w:tab w:val="left" w:pos="1134"/>
        </w:tabs>
        <w:jc w:val="both"/>
        <w:rPr>
          <w:rFonts w:ascii="Arial" w:hAnsi="Arial" w:cs="Arial"/>
          <w:sz w:val="22"/>
          <w:szCs w:val="22"/>
          <w:lang w:val="en-US"/>
        </w:rPr>
      </w:pPr>
    </w:p>
    <w:p w14:paraId="1545B7B9" w14:textId="6B583D5D" w:rsidR="00153268" w:rsidRPr="007033A3" w:rsidRDefault="00B274E6"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Flow Management Holding BV is a company incorporated in the Netherlands and, therefore, subject to Dutch Law. When drafting the four different scenarios in October 2014, the Group of Banks and the debtor considered three (3) scenarios involving out-of-court restructuring measures (i.e., going concern with a new standstill or refinancing of the debt, along with a capital contribution by the controlling shareholder; sale of the company; or a debt-to-equity swap) and one (1) scenario in which a formal insolvency proceeding would be initiated, i.e., a moratorium followed by the sale of the company.</w:t>
      </w:r>
    </w:p>
    <w:p w14:paraId="6703F410" w14:textId="7C767D05" w:rsidR="00B274E6" w:rsidRPr="007033A3" w:rsidRDefault="00B274E6" w:rsidP="00AE2F70">
      <w:pPr>
        <w:pStyle w:val="PargrafodaLista"/>
        <w:tabs>
          <w:tab w:val="left" w:pos="567"/>
        </w:tabs>
        <w:ind w:left="0"/>
        <w:jc w:val="both"/>
        <w:rPr>
          <w:rFonts w:ascii="Arial" w:hAnsi="Arial" w:cs="Arial"/>
          <w:sz w:val="22"/>
          <w:szCs w:val="22"/>
          <w:lang w:val="en-US"/>
        </w:rPr>
      </w:pPr>
    </w:p>
    <w:p w14:paraId="48CE5970" w14:textId="24DDEC67" w:rsidR="00B274E6" w:rsidRPr="007033A3" w:rsidRDefault="00B274E6"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Under Dutch Law, a moratorium (</w:t>
      </w:r>
      <w:proofErr w:type="spellStart"/>
      <w:r w:rsidRPr="007033A3">
        <w:rPr>
          <w:rFonts w:ascii="Arial" w:hAnsi="Arial" w:cs="Arial"/>
          <w:i/>
          <w:iCs/>
          <w:sz w:val="22"/>
          <w:szCs w:val="22"/>
          <w:lang w:val="en-US"/>
        </w:rPr>
        <w:t>surseance</w:t>
      </w:r>
      <w:proofErr w:type="spellEnd"/>
      <w:r w:rsidRPr="007033A3">
        <w:rPr>
          <w:rFonts w:ascii="Arial" w:hAnsi="Arial" w:cs="Arial"/>
          <w:i/>
          <w:iCs/>
          <w:sz w:val="22"/>
          <w:szCs w:val="22"/>
          <w:lang w:val="en-US"/>
        </w:rPr>
        <w:t xml:space="preserve"> van </w:t>
      </w:r>
      <w:proofErr w:type="spellStart"/>
      <w:r w:rsidRPr="007033A3">
        <w:rPr>
          <w:rFonts w:ascii="Arial" w:hAnsi="Arial" w:cs="Arial"/>
          <w:i/>
          <w:iCs/>
          <w:sz w:val="22"/>
          <w:szCs w:val="22"/>
          <w:lang w:val="en-US"/>
        </w:rPr>
        <w:t>betaling</w:t>
      </w:r>
      <w:proofErr w:type="spellEnd"/>
      <w:r w:rsidRPr="007033A3">
        <w:rPr>
          <w:rFonts w:ascii="Arial" w:hAnsi="Arial" w:cs="Arial"/>
          <w:sz w:val="22"/>
          <w:szCs w:val="22"/>
          <w:lang w:val="en-US"/>
        </w:rPr>
        <w:t>) is a suspension of payments that</w:t>
      </w:r>
      <w:r w:rsidR="009422E6" w:rsidRPr="007033A3">
        <w:rPr>
          <w:rFonts w:ascii="Arial" w:hAnsi="Arial" w:cs="Arial"/>
          <w:sz w:val="22"/>
          <w:szCs w:val="22"/>
          <w:lang w:val="en-US"/>
        </w:rPr>
        <w:t xml:space="preserve"> should</w:t>
      </w:r>
      <w:r w:rsidRPr="007033A3">
        <w:rPr>
          <w:rFonts w:ascii="Arial" w:hAnsi="Arial" w:cs="Arial"/>
          <w:sz w:val="22"/>
          <w:szCs w:val="22"/>
          <w:lang w:val="en-US"/>
        </w:rPr>
        <w:t xml:space="preserve"> </w:t>
      </w:r>
      <w:r w:rsidR="009422E6" w:rsidRPr="007033A3">
        <w:rPr>
          <w:rFonts w:ascii="Arial" w:hAnsi="Arial" w:cs="Arial"/>
          <w:sz w:val="22"/>
          <w:szCs w:val="22"/>
          <w:lang w:val="en-US"/>
        </w:rPr>
        <w:t>provide an environment inducive to negotiations and that would ultimately allow the debtor to restructure their indebtedness, rather than resort to a liquidation. Such a moratorium may last as long as four (4) months and an administrator is appointed</w:t>
      </w:r>
      <w:r w:rsidR="00ED6235" w:rsidRPr="007033A3">
        <w:rPr>
          <w:rFonts w:ascii="Arial" w:hAnsi="Arial" w:cs="Arial"/>
          <w:sz w:val="22"/>
          <w:szCs w:val="22"/>
          <w:lang w:val="en-US"/>
        </w:rPr>
        <w:t xml:space="preserve"> (</w:t>
      </w:r>
      <w:proofErr w:type="spellStart"/>
      <w:r w:rsidR="00ED6235" w:rsidRPr="007033A3">
        <w:rPr>
          <w:rFonts w:ascii="Arial" w:hAnsi="Arial" w:cs="Arial"/>
          <w:i/>
          <w:iCs/>
          <w:sz w:val="22"/>
          <w:szCs w:val="22"/>
          <w:lang w:val="en-US"/>
        </w:rPr>
        <w:t>bewindvoerder</w:t>
      </w:r>
      <w:proofErr w:type="spellEnd"/>
      <w:r w:rsidR="00ED6235" w:rsidRPr="007033A3">
        <w:rPr>
          <w:rFonts w:ascii="Arial" w:hAnsi="Arial" w:cs="Arial"/>
          <w:sz w:val="22"/>
          <w:szCs w:val="22"/>
          <w:lang w:val="en-US"/>
        </w:rPr>
        <w:t>) that shall jointly run the debtor’s affairs alongside their management. Any and all acts must be carried out jointly by the court appointed administrator and the debtor’s management, which makes it all the more difficult to reach a negotiated restructuring arrangement and may lead to a bankruptcy liquidation (</w:t>
      </w:r>
      <w:proofErr w:type="spellStart"/>
      <w:r w:rsidR="00ED6235" w:rsidRPr="007033A3">
        <w:rPr>
          <w:rFonts w:ascii="Arial" w:hAnsi="Arial" w:cs="Arial"/>
          <w:i/>
          <w:iCs/>
          <w:sz w:val="22"/>
          <w:szCs w:val="22"/>
          <w:lang w:val="en-US"/>
        </w:rPr>
        <w:t>faillissement</w:t>
      </w:r>
      <w:proofErr w:type="spellEnd"/>
      <w:r w:rsidR="00ED6235" w:rsidRPr="007033A3">
        <w:rPr>
          <w:rFonts w:ascii="Arial" w:hAnsi="Arial" w:cs="Arial"/>
          <w:sz w:val="22"/>
          <w:szCs w:val="22"/>
          <w:lang w:val="en-US"/>
        </w:rPr>
        <w:t>).</w:t>
      </w:r>
      <w:r w:rsidR="00ED075A" w:rsidRPr="007033A3">
        <w:rPr>
          <w:rStyle w:val="Refdenotaderodap"/>
          <w:rFonts w:ascii="Arial" w:hAnsi="Arial" w:cs="Arial"/>
          <w:sz w:val="22"/>
          <w:szCs w:val="22"/>
          <w:lang w:val="en-US"/>
        </w:rPr>
        <w:footnoteReference w:id="67"/>
      </w:r>
    </w:p>
    <w:p w14:paraId="4A068809" w14:textId="77777777" w:rsidR="00ED6235" w:rsidRPr="007033A3" w:rsidRDefault="00ED6235" w:rsidP="00AE2F70">
      <w:pPr>
        <w:pStyle w:val="PargrafodaLista"/>
        <w:tabs>
          <w:tab w:val="left" w:pos="567"/>
        </w:tabs>
        <w:rPr>
          <w:rFonts w:ascii="Arial" w:hAnsi="Arial" w:cs="Arial"/>
          <w:sz w:val="22"/>
          <w:szCs w:val="22"/>
          <w:lang w:val="en-US"/>
        </w:rPr>
      </w:pPr>
    </w:p>
    <w:p w14:paraId="7922E05F" w14:textId="2B80F2D9" w:rsidR="00ED6235" w:rsidRPr="007033A3" w:rsidRDefault="00ED6235"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Recently, on 1 January 2021, the Dutch Bankruptcy Act was amended to provide for a Dutch Scheme, through which the debtor may </w:t>
      </w:r>
      <w:r w:rsidR="00AE5F12" w:rsidRPr="007033A3">
        <w:rPr>
          <w:rFonts w:ascii="Arial" w:hAnsi="Arial" w:cs="Arial"/>
          <w:sz w:val="22"/>
          <w:szCs w:val="22"/>
          <w:lang w:val="en-US"/>
        </w:rPr>
        <w:t xml:space="preserve">request a stay of proceedings and may </w:t>
      </w:r>
      <w:r w:rsidRPr="007033A3">
        <w:rPr>
          <w:rFonts w:ascii="Arial" w:hAnsi="Arial" w:cs="Arial"/>
          <w:sz w:val="22"/>
          <w:szCs w:val="22"/>
          <w:lang w:val="en-US"/>
        </w:rPr>
        <w:t>restructure their debts by any means available (e.g., debt-to-equity swap, debt rescheduling, debt write-offs, asset sales etc.),</w:t>
      </w:r>
      <w:r w:rsidR="00AE5F12" w:rsidRPr="007033A3">
        <w:rPr>
          <w:rFonts w:ascii="Arial" w:hAnsi="Arial" w:cs="Arial"/>
          <w:sz w:val="22"/>
          <w:szCs w:val="22"/>
          <w:lang w:val="en-US"/>
        </w:rPr>
        <w:t xml:space="preserve"> </w:t>
      </w:r>
      <w:r w:rsidRPr="007033A3">
        <w:rPr>
          <w:rFonts w:ascii="Arial" w:hAnsi="Arial" w:cs="Arial"/>
          <w:sz w:val="22"/>
          <w:szCs w:val="22"/>
          <w:lang w:val="en-US"/>
        </w:rPr>
        <w:t>subject to a confirmation hearing before the court.</w:t>
      </w:r>
      <w:r w:rsidR="00DE0C5F" w:rsidRPr="007033A3">
        <w:rPr>
          <w:rStyle w:val="Refdenotaderodap"/>
          <w:rFonts w:ascii="Arial" w:hAnsi="Arial" w:cs="Arial"/>
          <w:sz w:val="22"/>
          <w:szCs w:val="22"/>
          <w:lang w:val="en-US"/>
        </w:rPr>
        <w:footnoteReference w:id="68"/>
      </w:r>
    </w:p>
    <w:p w14:paraId="2E2573FA" w14:textId="77777777" w:rsidR="00ED6235" w:rsidRPr="007033A3" w:rsidRDefault="00ED6235" w:rsidP="00AE2F70">
      <w:pPr>
        <w:pStyle w:val="PargrafodaLista"/>
        <w:tabs>
          <w:tab w:val="left" w:pos="567"/>
        </w:tabs>
        <w:rPr>
          <w:rFonts w:ascii="Arial" w:hAnsi="Arial" w:cs="Arial"/>
          <w:sz w:val="22"/>
          <w:szCs w:val="22"/>
          <w:lang w:val="en-US"/>
        </w:rPr>
      </w:pPr>
    </w:p>
    <w:p w14:paraId="3C6E5BD6" w14:textId="77777777" w:rsidR="00AB3296" w:rsidRPr="007033A3" w:rsidRDefault="00ED6235"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Considering the Flow Management Group’s case transpired before this </w:t>
      </w:r>
      <w:r w:rsidR="00542322" w:rsidRPr="007033A3">
        <w:rPr>
          <w:rFonts w:ascii="Arial" w:hAnsi="Arial" w:cs="Arial"/>
          <w:sz w:val="22"/>
          <w:szCs w:val="22"/>
          <w:lang w:val="en-US"/>
        </w:rPr>
        <w:t xml:space="preserve">recent change in Dutch Law, the debtor would only be able to utilize a suspension of payments, wherein the management and the Group of Banks would have a hard time negotiating a consensual solution that would be amenable to the court appointed administrator – at least a harder time than the parties would have outside of a formal insolvency proceeding. </w:t>
      </w:r>
    </w:p>
    <w:p w14:paraId="70C5EE37" w14:textId="77777777" w:rsidR="00AB3296" w:rsidRPr="007033A3" w:rsidRDefault="00AB3296" w:rsidP="00AE2F70">
      <w:pPr>
        <w:pStyle w:val="PargrafodaLista"/>
        <w:tabs>
          <w:tab w:val="left" w:pos="567"/>
        </w:tabs>
        <w:rPr>
          <w:rFonts w:ascii="Arial" w:hAnsi="Arial" w:cs="Arial"/>
          <w:sz w:val="22"/>
          <w:szCs w:val="22"/>
          <w:lang w:val="en-US"/>
        </w:rPr>
      </w:pPr>
    </w:p>
    <w:p w14:paraId="29B7B249" w14:textId="51FAD14A" w:rsidR="00994EC2" w:rsidRPr="007033A3" w:rsidRDefault="00542322"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Because of this, it is possible to deduce that a moratorium according to Dutch Law was always a last case scenario for the restructuring of the Flow Management Group’s indebtedness, considering it would take things out of the debtor’s control, and into the administrator’s hands, thus making it more difficult for the Group of Banks to reach an agreement that would avoid liquidation – the next step after a failed arrangement in a suspension of payments.</w:t>
      </w:r>
      <w:r w:rsidR="004D5601" w:rsidRPr="007033A3">
        <w:rPr>
          <w:rFonts w:ascii="Arial" w:hAnsi="Arial" w:cs="Arial"/>
          <w:sz w:val="22"/>
          <w:szCs w:val="22"/>
          <w:lang w:val="en-US"/>
        </w:rPr>
        <w:t xml:space="preserve"> In this case, an out-of-court restructuring agreement that provided for a debt-to-equity swap, with debt cancellations and write-offs, followed by a sale of the new reorganized company surely seems like a better alternative</w:t>
      </w:r>
      <w:r w:rsidR="00AB3296" w:rsidRPr="007033A3">
        <w:rPr>
          <w:rFonts w:ascii="Arial" w:hAnsi="Arial" w:cs="Arial"/>
          <w:sz w:val="22"/>
          <w:szCs w:val="22"/>
          <w:lang w:val="en-US"/>
        </w:rPr>
        <w:t xml:space="preserve"> – even if it was rushed due to the end of the 120-day standstill agreement in mid-December 2014</w:t>
      </w:r>
      <w:r w:rsidR="00853EE2" w:rsidRPr="007033A3">
        <w:rPr>
          <w:rFonts w:ascii="Arial" w:hAnsi="Arial" w:cs="Arial"/>
          <w:sz w:val="22"/>
          <w:szCs w:val="22"/>
          <w:lang w:val="en-US"/>
        </w:rPr>
        <w:t xml:space="preserve"> and the subsequent repayment of € 25 million in January 2015 to the providers of additional working capital</w:t>
      </w:r>
      <w:r w:rsidR="004D5601" w:rsidRPr="007033A3">
        <w:rPr>
          <w:rFonts w:ascii="Arial" w:hAnsi="Arial" w:cs="Arial"/>
          <w:sz w:val="22"/>
          <w:szCs w:val="22"/>
          <w:lang w:val="en-US"/>
        </w:rPr>
        <w:t>.</w:t>
      </w:r>
    </w:p>
    <w:p w14:paraId="5E93D89F" w14:textId="77777777" w:rsidR="00AE5F12" w:rsidRPr="007033A3" w:rsidRDefault="00AE5F12" w:rsidP="00AE2F70">
      <w:pPr>
        <w:pStyle w:val="PargrafodaLista"/>
        <w:tabs>
          <w:tab w:val="left" w:pos="567"/>
        </w:tabs>
        <w:rPr>
          <w:rFonts w:ascii="Arial" w:hAnsi="Arial" w:cs="Arial"/>
          <w:sz w:val="22"/>
          <w:szCs w:val="22"/>
          <w:lang w:val="en-US"/>
        </w:rPr>
      </w:pPr>
    </w:p>
    <w:p w14:paraId="77DFC4F5" w14:textId="545F7E4F" w:rsidR="00AE5F12" w:rsidRPr="007033A3" w:rsidRDefault="00AE5F12"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 xml:space="preserve">However, if the Dutch Scheme had been enacted prior to the Flow Management Group’s financial distress, perhaps it would have been a more viable alternative to </w:t>
      </w:r>
      <w:r w:rsidR="00C35C64" w:rsidRPr="007033A3">
        <w:rPr>
          <w:rFonts w:ascii="Arial" w:hAnsi="Arial" w:cs="Arial"/>
          <w:sz w:val="22"/>
          <w:szCs w:val="22"/>
          <w:lang w:val="en-US"/>
        </w:rPr>
        <w:t>a moratorium, which would allow more time for the parties to negotiate a restructuring agreement and even carry out the sale of the new company as a going concern.</w:t>
      </w:r>
      <w:r w:rsidR="004D5601" w:rsidRPr="007033A3">
        <w:rPr>
          <w:rFonts w:ascii="Arial" w:hAnsi="Arial" w:cs="Arial"/>
          <w:sz w:val="22"/>
          <w:szCs w:val="22"/>
          <w:lang w:val="en-US"/>
        </w:rPr>
        <w:t xml:space="preserve"> All of this without the administrator making negotiations more difficult and without the ghost of liquidation lurking around the corner.</w:t>
      </w:r>
    </w:p>
    <w:p w14:paraId="70C45D84" w14:textId="77777777" w:rsidR="00542322" w:rsidRPr="007033A3" w:rsidRDefault="00542322" w:rsidP="00AE2F70">
      <w:pPr>
        <w:pStyle w:val="PargrafodaLista"/>
        <w:tabs>
          <w:tab w:val="left" w:pos="567"/>
        </w:tabs>
        <w:rPr>
          <w:rFonts w:ascii="Arial" w:hAnsi="Arial" w:cs="Arial"/>
          <w:sz w:val="22"/>
          <w:szCs w:val="22"/>
          <w:lang w:val="en-US"/>
        </w:rPr>
      </w:pPr>
    </w:p>
    <w:p w14:paraId="38CB77EC" w14:textId="55F46AAC" w:rsidR="00542322" w:rsidRPr="007033A3" w:rsidRDefault="00C35C64"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On the other hand, i</w:t>
      </w:r>
      <w:r w:rsidR="00994EC2" w:rsidRPr="007033A3">
        <w:rPr>
          <w:rFonts w:ascii="Arial" w:hAnsi="Arial" w:cs="Arial"/>
          <w:sz w:val="22"/>
          <w:szCs w:val="22"/>
          <w:lang w:val="en-US"/>
        </w:rPr>
        <w:t>f the case were under Brazilian jurisdiction,</w:t>
      </w:r>
      <w:r w:rsidR="002C1D6E" w:rsidRPr="007033A3">
        <w:rPr>
          <w:rFonts w:ascii="Arial" w:hAnsi="Arial" w:cs="Arial"/>
          <w:sz w:val="22"/>
          <w:szCs w:val="22"/>
          <w:lang w:val="en-US"/>
        </w:rPr>
        <w:t xml:space="preserve"> </w:t>
      </w:r>
      <w:r w:rsidR="005856BA" w:rsidRPr="007033A3">
        <w:rPr>
          <w:rFonts w:ascii="Arial" w:hAnsi="Arial" w:cs="Arial"/>
          <w:sz w:val="22"/>
          <w:szCs w:val="22"/>
          <w:lang w:val="en-US"/>
        </w:rPr>
        <w:t>Flow Management Group would have three (3) different alternatives to effectuate a stay of proceedings before reaching the final terms of a restructuring agreement:</w:t>
      </w:r>
    </w:p>
    <w:p w14:paraId="7FA04351" w14:textId="76DB4A40" w:rsidR="005856BA" w:rsidRPr="007033A3" w:rsidRDefault="005856BA" w:rsidP="007033A3">
      <w:pPr>
        <w:pStyle w:val="PargrafodaLista"/>
        <w:rPr>
          <w:rFonts w:ascii="Arial" w:hAnsi="Arial" w:cs="Arial"/>
          <w:sz w:val="22"/>
          <w:szCs w:val="22"/>
          <w:lang w:val="en-US"/>
        </w:rPr>
      </w:pPr>
    </w:p>
    <w:p w14:paraId="55BC7DDF" w14:textId="21EB26D0" w:rsidR="005856BA" w:rsidRPr="007033A3" w:rsidRDefault="005856BA" w:rsidP="00AE2F70">
      <w:pPr>
        <w:pStyle w:val="PargrafodaLista"/>
        <w:numPr>
          <w:ilvl w:val="0"/>
          <w:numId w:val="25"/>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u w:val="single"/>
          <w:lang w:val="en-US"/>
        </w:rPr>
        <w:t>Mediation</w:t>
      </w:r>
      <w:r w:rsidRPr="007033A3">
        <w:rPr>
          <w:rFonts w:ascii="Arial" w:hAnsi="Arial" w:cs="Arial"/>
          <w:sz w:val="22"/>
          <w:szCs w:val="22"/>
          <w:lang w:val="en-US"/>
        </w:rPr>
        <w:t>. Debtors in distress may commence an alternative dispute resolution proceeding, such as a mediation, in order to reach an agreement with a certain creditor (or even a group of creditors), prior to filing for a judicial reorganization. If the mediation is successful and the debts are renegotiated, a judicial reorganization may not be necessary. To encourage creditors to participate in such a mediation, according to article 20-B, §1, of the Brazilian Bankruptcy Law, allows the debtor to request a stay of enforcement proceedings and collection suits for the period of sixty (60) days, if they are able to prove the need for such a suspension.</w:t>
      </w:r>
      <w:r w:rsidR="00DB46CE">
        <w:rPr>
          <w:rStyle w:val="Refdenotaderodap"/>
          <w:rFonts w:ascii="Arial" w:hAnsi="Arial" w:cs="Arial"/>
          <w:sz w:val="22"/>
          <w:szCs w:val="22"/>
          <w:lang w:val="en-US"/>
        </w:rPr>
        <w:footnoteReference w:id="69"/>
      </w:r>
    </w:p>
    <w:p w14:paraId="6184F0B5" w14:textId="3868F5CE" w:rsidR="005856BA" w:rsidRPr="007033A3" w:rsidRDefault="005856BA" w:rsidP="00AE2F70">
      <w:pPr>
        <w:pStyle w:val="PargrafodaLista"/>
        <w:tabs>
          <w:tab w:val="left" w:pos="1134"/>
          <w:tab w:val="left" w:pos="1701"/>
        </w:tabs>
        <w:ind w:left="567"/>
        <w:jc w:val="both"/>
        <w:rPr>
          <w:rFonts w:ascii="Arial" w:hAnsi="Arial" w:cs="Arial"/>
          <w:sz w:val="22"/>
          <w:szCs w:val="22"/>
          <w:lang w:val="en-US"/>
        </w:rPr>
      </w:pPr>
    </w:p>
    <w:p w14:paraId="55A00BCE" w14:textId="04296D07" w:rsidR="005856BA" w:rsidRPr="007033A3" w:rsidRDefault="005856BA" w:rsidP="00AE2F70">
      <w:pPr>
        <w:pStyle w:val="PargrafodaLista"/>
        <w:numPr>
          <w:ilvl w:val="0"/>
          <w:numId w:val="25"/>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u w:val="single"/>
          <w:lang w:val="en-US"/>
        </w:rPr>
        <w:t>Extrajudicial Reorganization</w:t>
      </w:r>
      <w:r w:rsidRPr="007033A3">
        <w:rPr>
          <w:rFonts w:ascii="Arial" w:hAnsi="Arial" w:cs="Arial"/>
          <w:sz w:val="22"/>
          <w:szCs w:val="22"/>
          <w:lang w:val="en-US"/>
        </w:rPr>
        <w:t xml:space="preserve">. An extrajudicial reorganization is </w:t>
      </w:r>
      <w:r w:rsidR="008D7E13" w:rsidRPr="007033A3">
        <w:rPr>
          <w:rFonts w:ascii="Arial" w:hAnsi="Arial" w:cs="Arial"/>
          <w:sz w:val="22"/>
          <w:szCs w:val="22"/>
          <w:lang w:val="en-US"/>
        </w:rPr>
        <w:t xml:space="preserve">a formal insolvency proceeding, </w:t>
      </w:r>
      <w:r w:rsidRPr="007033A3">
        <w:rPr>
          <w:rFonts w:ascii="Arial" w:hAnsi="Arial" w:cs="Arial"/>
          <w:sz w:val="22"/>
          <w:szCs w:val="22"/>
          <w:lang w:val="en-US"/>
        </w:rPr>
        <w:t>similar to a scheme of arrangement in the United Kingdom, in which the debtor and their creditors negotiate, gather support and submit a payment plan to the court for confirmation. If more than half the creditors in volume of claims support the plan, it shall bind any dissenting creditors – it is a great solution for an out-of-court workout agreement that could not achieve 100% of approval due to holdouts.</w:t>
      </w:r>
      <w:r w:rsidR="008D7E13" w:rsidRPr="007033A3">
        <w:rPr>
          <w:rFonts w:ascii="Arial" w:hAnsi="Arial" w:cs="Arial"/>
          <w:sz w:val="22"/>
          <w:szCs w:val="22"/>
          <w:lang w:val="en-US"/>
        </w:rPr>
        <w:t xml:space="preserve"> If the debtor has not reached the threshold to approve the plan, but needs protection against enforcement proceedings or collection suits, pursuant to article 163, § 6 and § 7, of the Brazilian Bankruptcy Law, they may initiate the extrajudicial reorganization proceeding with at least one third (1/3) of the creditors in volume of claims and obtain the support from the remaining quorum within ninety (90) days, during which time a stay of proceedings will take place.</w:t>
      </w:r>
      <w:r w:rsidR="00DB46CE">
        <w:rPr>
          <w:rStyle w:val="Refdenotaderodap"/>
          <w:rFonts w:ascii="Arial" w:hAnsi="Arial" w:cs="Arial"/>
          <w:sz w:val="22"/>
          <w:szCs w:val="22"/>
          <w:lang w:val="en-US"/>
        </w:rPr>
        <w:footnoteReference w:id="70"/>
      </w:r>
    </w:p>
    <w:p w14:paraId="7B95EAE2" w14:textId="77777777" w:rsidR="005856BA" w:rsidRPr="007033A3" w:rsidRDefault="005856BA" w:rsidP="00AE2F70">
      <w:pPr>
        <w:pStyle w:val="PargrafodaLista"/>
        <w:tabs>
          <w:tab w:val="left" w:pos="1134"/>
        </w:tabs>
        <w:ind w:left="567"/>
        <w:jc w:val="both"/>
        <w:rPr>
          <w:rFonts w:ascii="Arial" w:hAnsi="Arial" w:cs="Arial"/>
          <w:sz w:val="22"/>
          <w:szCs w:val="22"/>
          <w:lang w:val="en-US"/>
        </w:rPr>
      </w:pPr>
    </w:p>
    <w:p w14:paraId="2E653458" w14:textId="2F6BE49B" w:rsidR="005856BA" w:rsidRPr="007033A3" w:rsidRDefault="005856BA" w:rsidP="00AE2F70">
      <w:pPr>
        <w:pStyle w:val="PargrafodaLista"/>
        <w:numPr>
          <w:ilvl w:val="0"/>
          <w:numId w:val="25"/>
        </w:numPr>
        <w:tabs>
          <w:tab w:val="left" w:pos="1134"/>
          <w:tab w:val="left" w:pos="1701"/>
        </w:tabs>
        <w:ind w:left="567" w:firstLine="0"/>
        <w:jc w:val="both"/>
        <w:rPr>
          <w:rFonts w:ascii="Arial" w:hAnsi="Arial" w:cs="Arial"/>
          <w:sz w:val="22"/>
          <w:szCs w:val="22"/>
          <w:lang w:val="en-US"/>
        </w:rPr>
      </w:pPr>
      <w:r w:rsidRPr="007033A3">
        <w:rPr>
          <w:rFonts w:ascii="Arial" w:hAnsi="Arial" w:cs="Arial"/>
          <w:sz w:val="22"/>
          <w:szCs w:val="22"/>
          <w:u w:val="single"/>
          <w:lang w:val="en-US"/>
        </w:rPr>
        <w:t>Judicial Reorganization</w:t>
      </w:r>
      <w:r w:rsidRPr="007033A3">
        <w:rPr>
          <w:rFonts w:ascii="Arial" w:hAnsi="Arial" w:cs="Arial"/>
          <w:sz w:val="22"/>
          <w:szCs w:val="22"/>
          <w:lang w:val="en-US"/>
        </w:rPr>
        <w:t>.</w:t>
      </w:r>
      <w:r w:rsidR="008D7E13" w:rsidRPr="007033A3">
        <w:rPr>
          <w:rFonts w:ascii="Arial" w:hAnsi="Arial" w:cs="Arial"/>
          <w:sz w:val="22"/>
          <w:szCs w:val="22"/>
          <w:lang w:val="en-US"/>
        </w:rPr>
        <w:t xml:space="preserve"> A judicial reorganization is a formal insolvency proceeding, similar to Chapter 11 in the United States, in which the debtor files for protection and then negotiates with their creditors a reorganization plan that shall be voted by a general creditors’ meeting and confirmed by the court. If, for some reason, the debtor has not yet gathered all the necessary documents for filing, article 6, §12, of the Brazilian Bankruptcy Law, allow the debtor to request the court to anticipate the effects of the stay in order to protect them from enforcement proceedings or collection suits. In a judicial reorganization, the law provides for a 180-day stay period that can be extended by an additional 180 days (and if creditors decide to submit an alternative plan of reorganization, the court may gran</w:t>
      </w:r>
      <w:r w:rsidR="00BD15E6" w:rsidRPr="007033A3">
        <w:rPr>
          <w:rFonts w:ascii="Arial" w:hAnsi="Arial" w:cs="Arial"/>
          <w:sz w:val="22"/>
          <w:szCs w:val="22"/>
          <w:lang w:val="en-US"/>
        </w:rPr>
        <w:t>t</w:t>
      </w:r>
      <w:r w:rsidR="008D7E13" w:rsidRPr="007033A3">
        <w:rPr>
          <w:rFonts w:ascii="Arial" w:hAnsi="Arial" w:cs="Arial"/>
          <w:sz w:val="22"/>
          <w:szCs w:val="22"/>
          <w:lang w:val="en-US"/>
        </w:rPr>
        <w:t xml:space="preserve"> an additional 180-day stay period</w:t>
      </w:r>
      <w:r w:rsidR="00BD15E6" w:rsidRPr="007033A3">
        <w:rPr>
          <w:rFonts w:ascii="Arial" w:hAnsi="Arial" w:cs="Arial"/>
          <w:sz w:val="22"/>
          <w:szCs w:val="22"/>
          <w:lang w:val="en-US"/>
        </w:rPr>
        <w:t>, for a total of 540 days</w:t>
      </w:r>
      <w:r w:rsidR="008D7E13" w:rsidRPr="007033A3">
        <w:rPr>
          <w:rFonts w:ascii="Arial" w:hAnsi="Arial" w:cs="Arial"/>
          <w:sz w:val="22"/>
          <w:szCs w:val="22"/>
          <w:lang w:val="en-US"/>
        </w:rPr>
        <w:t>)</w:t>
      </w:r>
      <w:r w:rsidR="00BD15E6" w:rsidRPr="007033A3">
        <w:rPr>
          <w:rFonts w:ascii="Arial" w:hAnsi="Arial" w:cs="Arial"/>
          <w:sz w:val="22"/>
          <w:szCs w:val="22"/>
          <w:lang w:val="en-US"/>
        </w:rPr>
        <w:t>.</w:t>
      </w:r>
      <w:r w:rsidR="00DB46CE">
        <w:rPr>
          <w:rStyle w:val="Refdenotaderodap"/>
          <w:rFonts w:ascii="Arial" w:hAnsi="Arial" w:cs="Arial"/>
          <w:sz w:val="22"/>
          <w:szCs w:val="22"/>
          <w:lang w:val="en-US"/>
        </w:rPr>
        <w:footnoteReference w:id="71"/>
      </w:r>
    </w:p>
    <w:p w14:paraId="1846B43F" w14:textId="77777777" w:rsidR="005856BA" w:rsidRPr="007033A3" w:rsidRDefault="005856BA" w:rsidP="007033A3">
      <w:pPr>
        <w:pStyle w:val="PargrafodaLista"/>
        <w:rPr>
          <w:rFonts w:ascii="Arial" w:hAnsi="Arial" w:cs="Arial"/>
          <w:sz w:val="22"/>
          <w:szCs w:val="22"/>
          <w:lang w:val="en-US"/>
        </w:rPr>
      </w:pPr>
    </w:p>
    <w:p w14:paraId="7F7B27EF" w14:textId="66E79DF8" w:rsidR="00CE0499" w:rsidRPr="00AE2F70" w:rsidRDefault="004D5601" w:rsidP="00AE2F70">
      <w:pPr>
        <w:pStyle w:val="PargrafodaLista"/>
        <w:numPr>
          <w:ilvl w:val="0"/>
          <w:numId w:val="19"/>
        </w:numPr>
        <w:tabs>
          <w:tab w:val="left" w:pos="567"/>
        </w:tabs>
        <w:ind w:left="0" w:firstLine="0"/>
        <w:jc w:val="both"/>
        <w:rPr>
          <w:rFonts w:ascii="Arial" w:hAnsi="Arial" w:cs="Arial"/>
          <w:sz w:val="22"/>
          <w:szCs w:val="22"/>
          <w:lang w:val="en-US"/>
        </w:rPr>
      </w:pPr>
      <w:r w:rsidRPr="007033A3">
        <w:rPr>
          <w:rFonts w:ascii="Arial" w:hAnsi="Arial" w:cs="Arial"/>
          <w:sz w:val="22"/>
          <w:szCs w:val="22"/>
          <w:lang w:val="en-US"/>
        </w:rPr>
        <w:t>All of these alternatives maintain the debtor-in-possession, without an administrator like the Dutch suspension of payments (in the judicial reorganization proceeding, the court appoints a judicial administrator that performs a purely supervisory role) and allow for the implementation of a debt-to-equity exchange, with a rescheduling of debts and the imposition of discounts. A judicial reorganization proceeding may even be a better forum for the sale of the company as a going concern, considering such a sale would be free and clear of any debts, obligations, liabilities, or contingencies of any kind, pursuant to article 60, sole paragraph, of the Brazilian Bankruptcy Law – which could allow for a better pricing by any interested buyers and ensure the maximization of the asset’s value</w:t>
      </w:r>
      <w:r w:rsidR="00ED2138" w:rsidRPr="007033A3">
        <w:rPr>
          <w:rFonts w:ascii="Arial" w:hAnsi="Arial" w:cs="Arial"/>
          <w:sz w:val="22"/>
          <w:szCs w:val="22"/>
          <w:lang w:val="en-US"/>
        </w:rPr>
        <w:t xml:space="preserve"> (and the creditors’ recovery)</w:t>
      </w:r>
      <w:r w:rsidRPr="007033A3">
        <w:rPr>
          <w:rFonts w:ascii="Arial" w:hAnsi="Arial" w:cs="Arial"/>
          <w:sz w:val="22"/>
          <w:szCs w:val="22"/>
          <w:lang w:val="en-US"/>
        </w:rPr>
        <w:t>.</w:t>
      </w:r>
    </w:p>
    <w:sectPr w:rsidR="00CE0499" w:rsidRPr="00AE2F70" w:rsidSect="007033A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D76B" w14:textId="77777777" w:rsidR="00563392" w:rsidRDefault="00563392" w:rsidP="00A2121A">
      <w:r>
        <w:separator/>
      </w:r>
    </w:p>
  </w:endnote>
  <w:endnote w:type="continuationSeparator" w:id="0">
    <w:p w14:paraId="5E928140" w14:textId="77777777" w:rsidR="00563392" w:rsidRDefault="00563392" w:rsidP="00A2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F5C1" w14:textId="77777777" w:rsidR="00563392" w:rsidRDefault="00563392" w:rsidP="00A2121A">
      <w:r>
        <w:separator/>
      </w:r>
    </w:p>
  </w:footnote>
  <w:footnote w:type="continuationSeparator" w:id="0">
    <w:p w14:paraId="0CDE535D" w14:textId="77777777" w:rsidR="00563392" w:rsidRDefault="00563392" w:rsidP="00A2121A">
      <w:r>
        <w:continuationSeparator/>
      </w:r>
    </w:p>
  </w:footnote>
  <w:footnote w:id="1">
    <w:p w14:paraId="588D275E" w14:textId="3D958700" w:rsidR="00E5125B" w:rsidRPr="00E5125B" w:rsidRDefault="00E5125B">
      <w:pPr>
        <w:pStyle w:val="Textodenotaderodap"/>
        <w:rPr>
          <w:lang w:val="en-US"/>
        </w:rPr>
      </w:pPr>
      <w:r>
        <w:rPr>
          <w:rStyle w:val="Refdenotaderodap"/>
        </w:rPr>
        <w:footnoteRef/>
      </w:r>
      <w:r w:rsidRPr="00E5125B">
        <w:rPr>
          <w:lang w:val="en-US"/>
        </w:rPr>
        <w:t xml:space="preserve"> See MELLAHI, </w:t>
      </w:r>
      <w:proofErr w:type="gramStart"/>
      <w:r w:rsidRPr="00E5125B">
        <w:rPr>
          <w:lang w:val="en-US"/>
        </w:rPr>
        <w:t>Kamel</w:t>
      </w:r>
      <w:r>
        <w:rPr>
          <w:lang w:val="en-US"/>
        </w:rPr>
        <w:t>;</w:t>
      </w:r>
      <w:proofErr w:type="gramEnd"/>
      <w:r>
        <w:rPr>
          <w:lang w:val="en-US"/>
        </w:rPr>
        <w:t xml:space="preserve"> WILKINSON, Adrian. Organizational failure: a critique of recent research and a proposed integrative framework. </w:t>
      </w:r>
      <w:r>
        <w:rPr>
          <w:i/>
          <w:iCs/>
          <w:lang w:val="en-US"/>
        </w:rPr>
        <w:t>International Journal of Management Reviews</w:t>
      </w:r>
      <w:r>
        <w:rPr>
          <w:lang w:val="en-US"/>
        </w:rPr>
        <w:t>, v. 5/6, issue 1, p. 21-41, 2004.</w:t>
      </w:r>
    </w:p>
  </w:footnote>
  <w:footnote w:id="2">
    <w:p w14:paraId="7AA9BDAE" w14:textId="5FBE189E" w:rsidR="00053FD8" w:rsidRPr="003F7AAC" w:rsidRDefault="00053FD8" w:rsidP="00053FD8">
      <w:pPr>
        <w:pStyle w:val="Textodenotaderodap"/>
      </w:pPr>
      <w:r>
        <w:rPr>
          <w:rStyle w:val="Refdenotaderodap"/>
        </w:rPr>
        <w:footnoteRef/>
      </w:r>
      <w:r w:rsidRPr="003F7AAC">
        <w:t xml:space="preserve"> </w:t>
      </w:r>
      <w:r w:rsidRPr="003F7AAC">
        <w:rPr>
          <w:i/>
          <w:iCs/>
        </w:rPr>
        <w:t>Ibidem</w:t>
      </w:r>
      <w:r w:rsidRPr="003F7AAC">
        <w:t>, p. 22.</w:t>
      </w:r>
    </w:p>
  </w:footnote>
  <w:footnote w:id="3">
    <w:p w14:paraId="286D6DB4" w14:textId="62D6CB49" w:rsidR="00053FD8" w:rsidRPr="003F7AAC" w:rsidRDefault="00053FD8" w:rsidP="00053FD8">
      <w:pPr>
        <w:pStyle w:val="Textodenotaderodap"/>
      </w:pPr>
      <w:r>
        <w:rPr>
          <w:rStyle w:val="Refdenotaderodap"/>
        </w:rPr>
        <w:footnoteRef/>
      </w:r>
      <w:r w:rsidRPr="003F7AAC">
        <w:t xml:space="preserve"> </w:t>
      </w:r>
      <w:r w:rsidRPr="003F7AAC">
        <w:rPr>
          <w:i/>
          <w:iCs/>
        </w:rPr>
        <w:t>Ibidem</w:t>
      </w:r>
      <w:r w:rsidRPr="003F7AAC">
        <w:t>.</w:t>
      </w:r>
    </w:p>
  </w:footnote>
  <w:footnote w:id="4">
    <w:p w14:paraId="446464FD" w14:textId="6541AA53" w:rsidR="00053FD8" w:rsidRPr="003F7AAC" w:rsidRDefault="00053FD8" w:rsidP="00053FD8">
      <w:pPr>
        <w:pStyle w:val="Textodenotaderodap"/>
      </w:pPr>
      <w:r>
        <w:rPr>
          <w:rStyle w:val="Refdenotaderodap"/>
        </w:rPr>
        <w:footnoteRef/>
      </w:r>
      <w:r w:rsidRPr="003F7AAC">
        <w:t xml:space="preserve"> </w:t>
      </w:r>
      <w:r w:rsidRPr="003F7AAC">
        <w:rPr>
          <w:i/>
          <w:iCs/>
        </w:rPr>
        <w:t>Ibidem</w:t>
      </w:r>
      <w:r w:rsidRPr="003F7AAC">
        <w:t>.</w:t>
      </w:r>
    </w:p>
  </w:footnote>
  <w:footnote w:id="5">
    <w:p w14:paraId="4A580592" w14:textId="1CD8E786" w:rsidR="006423B4" w:rsidRPr="006423B4" w:rsidRDefault="006423B4">
      <w:pPr>
        <w:pStyle w:val="Textodenotaderodap"/>
        <w:rPr>
          <w:i/>
          <w:iCs/>
          <w:lang w:val="en-US"/>
        </w:rPr>
      </w:pPr>
      <w:r>
        <w:rPr>
          <w:rStyle w:val="Refdenotaderodap"/>
        </w:rPr>
        <w:footnoteRef/>
      </w:r>
      <w:r w:rsidRPr="006423B4">
        <w:rPr>
          <w:lang w:val="en-US"/>
        </w:rPr>
        <w:t xml:space="preserve"> </w:t>
      </w:r>
      <w:r w:rsidR="007033A3">
        <w:rPr>
          <w:i/>
          <w:iCs/>
          <w:lang w:val="en-US"/>
        </w:rPr>
        <w:t>Ibidem</w:t>
      </w:r>
      <w:r>
        <w:rPr>
          <w:lang w:val="en-US"/>
        </w:rPr>
        <w:t>, p. 23.</w:t>
      </w:r>
    </w:p>
  </w:footnote>
  <w:footnote w:id="6">
    <w:p w14:paraId="65279EB3" w14:textId="54FFE549" w:rsidR="00B40DEE" w:rsidRPr="008A6B73" w:rsidRDefault="00B40DEE">
      <w:pPr>
        <w:pStyle w:val="Textodenotaderodap"/>
      </w:pPr>
      <w:r>
        <w:rPr>
          <w:rStyle w:val="Refdenotaderodap"/>
        </w:rPr>
        <w:footnoteRef/>
      </w:r>
      <w:r w:rsidRPr="008A6B73">
        <w:t xml:space="preserve"> </w:t>
      </w:r>
      <w:r w:rsidRPr="008A6B73">
        <w:rPr>
          <w:i/>
          <w:iCs/>
        </w:rPr>
        <w:t>Ibidem</w:t>
      </w:r>
      <w:r w:rsidRPr="008A6B73">
        <w:t>.</w:t>
      </w:r>
    </w:p>
  </w:footnote>
  <w:footnote w:id="7">
    <w:p w14:paraId="0047E33D" w14:textId="7742D317" w:rsidR="008A6B73" w:rsidRPr="008A6B73" w:rsidRDefault="008A6B73">
      <w:pPr>
        <w:pStyle w:val="Textodenotaderodap"/>
      </w:pPr>
      <w:r>
        <w:rPr>
          <w:rStyle w:val="Refdenotaderodap"/>
        </w:rPr>
        <w:footnoteRef/>
      </w:r>
      <w:r w:rsidRPr="007033A3">
        <w:rPr>
          <w:lang w:val="en-US"/>
        </w:rPr>
        <w:t xml:space="preserve"> </w:t>
      </w:r>
      <w:r w:rsidR="007033A3" w:rsidRPr="00E5125B">
        <w:rPr>
          <w:lang w:val="en-US"/>
        </w:rPr>
        <w:t xml:space="preserve">See MELLAHI, </w:t>
      </w:r>
      <w:proofErr w:type="gramStart"/>
      <w:r w:rsidR="007033A3" w:rsidRPr="00E5125B">
        <w:rPr>
          <w:lang w:val="en-US"/>
        </w:rPr>
        <w:t>Kamel</w:t>
      </w:r>
      <w:r w:rsidR="007033A3">
        <w:rPr>
          <w:lang w:val="en-US"/>
        </w:rPr>
        <w:t>;</w:t>
      </w:r>
      <w:proofErr w:type="gramEnd"/>
      <w:r w:rsidR="007033A3">
        <w:rPr>
          <w:lang w:val="en-US"/>
        </w:rPr>
        <w:t xml:space="preserve"> WILKINSON, Adrian. Organizational failure: a critique of recent research and a proposed integrative framework. </w:t>
      </w:r>
      <w:r w:rsidR="007033A3">
        <w:rPr>
          <w:i/>
          <w:iCs/>
          <w:lang w:val="en-US"/>
        </w:rPr>
        <w:t>International Journal of Management Reviews</w:t>
      </w:r>
      <w:r w:rsidR="007033A3">
        <w:rPr>
          <w:lang w:val="en-US"/>
        </w:rPr>
        <w:t>, v. 5/6, issue 1, p. 21-41, 2004</w:t>
      </w:r>
      <w:r>
        <w:t>, p. 24-27.</w:t>
      </w:r>
    </w:p>
  </w:footnote>
  <w:footnote w:id="8">
    <w:p w14:paraId="6FB9AE5D" w14:textId="2FD40D34" w:rsidR="003F7095" w:rsidRPr="003F7095" w:rsidRDefault="003F7095">
      <w:pPr>
        <w:pStyle w:val="Textodenotaderodap"/>
      </w:pPr>
      <w:r>
        <w:rPr>
          <w:rStyle w:val="Refdenotaderodap"/>
        </w:rPr>
        <w:footnoteRef/>
      </w:r>
      <w:r>
        <w:t xml:space="preserve"> </w:t>
      </w:r>
      <w:r>
        <w:rPr>
          <w:i/>
          <w:iCs/>
        </w:rPr>
        <w:t xml:space="preserve">Ibidem, </w:t>
      </w:r>
      <w:r>
        <w:t>p. 27.</w:t>
      </w:r>
    </w:p>
  </w:footnote>
  <w:footnote w:id="9">
    <w:p w14:paraId="2EEB8971" w14:textId="192BF04C" w:rsidR="007575B7" w:rsidRPr="007575B7" w:rsidRDefault="007575B7">
      <w:pPr>
        <w:pStyle w:val="Textodenotaderodap"/>
      </w:pPr>
      <w:r>
        <w:rPr>
          <w:rStyle w:val="Refdenotaderodap"/>
        </w:rPr>
        <w:footnoteRef/>
      </w:r>
      <w:r>
        <w:t xml:space="preserve"> </w:t>
      </w:r>
      <w:r>
        <w:rPr>
          <w:i/>
          <w:iCs/>
        </w:rPr>
        <w:t xml:space="preserve">Ibidem, </w:t>
      </w:r>
      <w:r>
        <w:t>p. 30.</w:t>
      </w:r>
    </w:p>
  </w:footnote>
  <w:footnote w:id="10">
    <w:p w14:paraId="3D60EC35" w14:textId="6D9D7757" w:rsidR="004104C4" w:rsidRPr="00CE4AA4" w:rsidRDefault="004104C4" w:rsidP="007033A3">
      <w:pPr>
        <w:pStyle w:val="Textodenotaderodap"/>
        <w:rPr>
          <w:lang w:val="en-US"/>
        </w:rPr>
      </w:pPr>
      <w:r>
        <w:rPr>
          <w:rStyle w:val="Refdenotaderodap"/>
        </w:rPr>
        <w:footnoteRef/>
      </w:r>
      <w:r w:rsidR="007033A3">
        <w:rPr>
          <w:lang w:val="en-US"/>
        </w:rPr>
        <w:t xml:space="preserve"> </w:t>
      </w:r>
      <w:r w:rsidR="007033A3">
        <w:rPr>
          <w:i/>
          <w:iCs/>
          <w:lang w:val="en-US"/>
        </w:rPr>
        <w:t>Ibidem</w:t>
      </w:r>
      <w:r w:rsidRPr="00CE4AA4">
        <w:rPr>
          <w:i/>
          <w:iCs/>
          <w:lang w:val="en-US"/>
        </w:rPr>
        <w:t>.</w:t>
      </w:r>
    </w:p>
  </w:footnote>
  <w:footnote w:id="11">
    <w:p w14:paraId="65F90FC6" w14:textId="49A2CB84" w:rsidR="00106332" w:rsidRPr="00106332" w:rsidRDefault="00106332">
      <w:pPr>
        <w:pStyle w:val="Textodenotaderodap"/>
        <w:rPr>
          <w:lang w:val="en-US"/>
        </w:rPr>
      </w:pPr>
      <w:r>
        <w:rPr>
          <w:rStyle w:val="Refdenotaderodap"/>
        </w:rPr>
        <w:footnoteRef/>
      </w:r>
      <w:r w:rsidRPr="00106332">
        <w:rPr>
          <w:lang w:val="en-US"/>
        </w:rPr>
        <w:t xml:space="preserve"> </w:t>
      </w:r>
      <w:r>
        <w:rPr>
          <w:lang w:val="en-US"/>
        </w:rPr>
        <w:t xml:space="preserve">See </w:t>
      </w:r>
      <w:r>
        <w:rPr>
          <w:lang w:val="en-US"/>
        </w:rPr>
        <w:t xml:space="preserve">ADRIAANSE, Jan; KUIJL, Hans. Resolving financial distress: informal reorganization in the Netherlands as a beacon for policy makers in the CIS and CEE/SEE regions? </w:t>
      </w:r>
      <w:r>
        <w:rPr>
          <w:i/>
          <w:iCs/>
          <w:lang w:val="en-US"/>
        </w:rPr>
        <w:t>Review of Central and East European Law</w:t>
      </w:r>
      <w:r>
        <w:rPr>
          <w:lang w:val="en-US"/>
        </w:rPr>
        <w:t>, v. 31, p. 135-154, 2006, p.</w:t>
      </w:r>
      <w:r>
        <w:rPr>
          <w:lang w:val="en-US"/>
        </w:rPr>
        <w:t xml:space="preserve"> 148 (stating that “</w:t>
      </w:r>
      <w:r w:rsidRPr="00106332">
        <w:rPr>
          <w:lang w:val="en-US"/>
        </w:rPr>
        <w:t>the presence of inadequate management information systems within the company</w:t>
      </w:r>
      <w:r>
        <w:rPr>
          <w:lang w:val="en-US"/>
        </w:rPr>
        <w:t>” may result in the management missing important early signs of decline).</w:t>
      </w:r>
    </w:p>
  </w:footnote>
  <w:footnote w:id="12">
    <w:p w14:paraId="144C931E" w14:textId="31348347" w:rsidR="00347A69" w:rsidRPr="00347A69" w:rsidRDefault="00347A69">
      <w:pPr>
        <w:pStyle w:val="Textodenotaderodap"/>
        <w:rPr>
          <w:lang w:val="en-US"/>
        </w:rPr>
      </w:pPr>
      <w:r>
        <w:rPr>
          <w:rStyle w:val="Refdenotaderodap"/>
        </w:rPr>
        <w:footnoteRef/>
      </w:r>
      <w:r w:rsidRPr="00347A69">
        <w:rPr>
          <w:lang w:val="en-US"/>
        </w:rPr>
        <w:t xml:space="preserve"> </w:t>
      </w:r>
      <w:r>
        <w:rPr>
          <w:lang w:val="en-US"/>
        </w:rPr>
        <w:t xml:space="preserve">As proposed by </w:t>
      </w:r>
      <w:proofErr w:type="spellStart"/>
      <w:r>
        <w:rPr>
          <w:lang w:val="en-US"/>
        </w:rPr>
        <w:t>Kalle</w:t>
      </w:r>
      <w:proofErr w:type="spellEnd"/>
      <w:r>
        <w:rPr>
          <w:lang w:val="en-US"/>
        </w:rPr>
        <w:t xml:space="preserve"> </w:t>
      </w:r>
      <w:proofErr w:type="spellStart"/>
      <w:r>
        <w:rPr>
          <w:lang w:val="en-US"/>
        </w:rPr>
        <w:t>Pajunen</w:t>
      </w:r>
      <w:proofErr w:type="spellEnd"/>
      <w:r>
        <w:rPr>
          <w:lang w:val="en-US"/>
        </w:rPr>
        <w:t>, in “</w:t>
      </w:r>
      <w:r w:rsidRPr="00347A69">
        <w:rPr>
          <w:lang w:val="en-US"/>
        </w:rPr>
        <w:t>an existence-threatening crisis, frequent and open communication between managers and governing stakeholders will tend to enhance (rather than undermine) the continuing support of those stakeholders and increase (rather than decrease) the probability of organizational survival</w:t>
      </w:r>
      <w:r>
        <w:rPr>
          <w:lang w:val="en-US"/>
        </w:rPr>
        <w:t>” (</w:t>
      </w:r>
      <w:r w:rsidRPr="00B34D1A">
        <w:rPr>
          <w:lang w:val="en-US"/>
        </w:rPr>
        <w:t xml:space="preserve">See PAJUNEN, </w:t>
      </w:r>
      <w:proofErr w:type="spellStart"/>
      <w:r w:rsidRPr="00B34D1A">
        <w:rPr>
          <w:lang w:val="en-US"/>
        </w:rPr>
        <w:t>Kalle</w:t>
      </w:r>
      <w:proofErr w:type="spellEnd"/>
      <w:r w:rsidRPr="00B34D1A">
        <w:rPr>
          <w:lang w:val="en-US"/>
        </w:rPr>
        <w:t xml:space="preserve">. </w:t>
      </w:r>
      <w:r>
        <w:rPr>
          <w:lang w:val="en-US"/>
        </w:rPr>
        <w:t xml:space="preserve">Stakeholder influences in organizational survival. </w:t>
      </w:r>
      <w:r>
        <w:rPr>
          <w:i/>
          <w:iCs/>
          <w:lang w:val="en-US"/>
        </w:rPr>
        <w:t>Journal of Management Studies</w:t>
      </w:r>
      <w:r>
        <w:rPr>
          <w:lang w:val="en-US"/>
        </w:rPr>
        <w:t>, v. 43, issue 6, p. 1261-1288, September 2006</w:t>
      </w:r>
      <w:r>
        <w:rPr>
          <w:lang w:val="en-US"/>
        </w:rPr>
        <w:t>, p. 1280).</w:t>
      </w:r>
    </w:p>
  </w:footnote>
  <w:footnote w:id="13">
    <w:p w14:paraId="34E5A423" w14:textId="7CFAE5E7" w:rsidR="00B3592C" w:rsidRPr="00B3592C" w:rsidRDefault="00B3592C">
      <w:pPr>
        <w:pStyle w:val="Textodenotaderodap"/>
        <w:rPr>
          <w:lang w:val="en-US"/>
        </w:rPr>
      </w:pPr>
      <w:r>
        <w:rPr>
          <w:rStyle w:val="Refdenotaderodap"/>
        </w:rPr>
        <w:footnoteRef/>
      </w:r>
      <w:r w:rsidRPr="00B3592C">
        <w:rPr>
          <w:lang w:val="en-US"/>
        </w:rPr>
        <w:t xml:space="preserve"> </w:t>
      </w:r>
      <w:r>
        <w:rPr>
          <w:lang w:val="en-US"/>
        </w:rPr>
        <w:t xml:space="preserve">See ADRIAANSE, Jan; KUIJL, Hans. Resolving financial distress: informal reorganization in the Netherlands as a beacon for policy makers in the CIS and CEE/SEE regions? </w:t>
      </w:r>
      <w:r>
        <w:rPr>
          <w:i/>
          <w:iCs/>
          <w:lang w:val="en-US"/>
        </w:rPr>
        <w:t>Review of Central and East European Law</w:t>
      </w:r>
      <w:r>
        <w:rPr>
          <w:lang w:val="en-US"/>
        </w:rPr>
        <w:t>, v. 31, p. 135-154, 2006</w:t>
      </w:r>
      <w:r>
        <w:rPr>
          <w:lang w:val="en-US"/>
        </w:rPr>
        <w:t>, p. 149.</w:t>
      </w:r>
    </w:p>
  </w:footnote>
  <w:footnote w:id="14">
    <w:p w14:paraId="2A3DBC14" w14:textId="0E159B4F" w:rsidR="00056DA6" w:rsidRPr="00056DA6" w:rsidRDefault="00056DA6">
      <w:pPr>
        <w:pStyle w:val="Textodenotaderodap"/>
        <w:rPr>
          <w:lang w:val="en-US"/>
        </w:rPr>
      </w:pPr>
      <w:r>
        <w:rPr>
          <w:rStyle w:val="Refdenotaderodap"/>
        </w:rPr>
        <w:footnoteRef/>
      </w:r>
      <w:r w:rsidRPr="00056DA6">
        <w:rPr>
          <w:lang w:val="en-US"/>
        </w:rPr>
        <w:t xml:space="preserve"> </w:t>
      </w:r>
      <w:r w:rsidR="00B3592C">
        <w:rPr>
          <w:i/>
          <w:iCs/>
          <w:lang w:val="en-US"/>
        </w:rPr>
        <w:t>Ibidem</w:t>
      </w:r>
      <w:r w:rsidR="00BF5366">
        <w:rPr>
          <w:lang w:val="en-US"/>
        </w:rPr>
        <w:t>, p. 145.</w:t>
      </w:r>
    </w:p>
  </w:footnote>
  <w:footnote w:id="15">
    <w:p w14:paraId="4BD96E7D" w14:textId="34B2C00B" w:rsidR="00444728" w:rsidRPr="00444728" w:rsidRDefault="00444728">
      <w:pPr>
        <w:pStyle w:val="Textodenotaderodap"/>
        <w:rPr>
          <w:lang w:val="en-US"/>
        </w:rPr>
      </w:pPr>
      <w:r>
        <w:rPr>
          <w:rStyle w:val="Refdenotaderodap"/>
        </w:rPr>
        <w:footnoteRef/>
      </w:r>
      <w:r w:rsidRPr="00444728">
        <w:rPr>
          <w:lang w:val="en-US"/>
        </w:rPr>
        <w:t xml:space="preserve"> </w:t>
      </w:r>
      <w:r>
        <w:rPr>
          <w:i/>
          <w:iCs/>
          <w:lang w:val="en-US"/>
        </w:rPr>
        <w:t>Ibidem</w:t>
      </w:r>
      <w:r>
        <w:rPr>
          <w:lang w:val="en-US"/>
        </w:rPr>
        <w:t>.</w:t>
      </w:r>
    </w:p>
  </w:footnote>
  <w:footnote w:id="16">
    <w:p w14:paraId="04A18E24" w14:textId="6C540600" w:rsidR="00BF5366" w:rsidRPr="00BF5366" w:rsidRDefault="00BF5366">
      <w:pPr>
        <w:pStyle w:val="Textodenotaderodap"/>
        <w:rPr>
          <w:lang w:val="en-US"/>
        </w:rPr>
      </w:pPr>
      <w:r>
        <w:rPr>
          <w:rStyle w:val="Refdenotaderodap"/>
        </w:rPr>
        <w:footnoteRef/>
      </w:r>
      <w:r w:rsidRPr="00BF5366">
        <w:rPr>
          <w:lang w:val="en-US"/>
        </w:rPr>
        <w:t xml:space="preserve"> </w:t>
      </w:r>
      <w:r>
        <w:rPr>
          <w:lang w:val="en-US"/>
        </w:rPr>
        <w:t xml:space="preserve">See ADRIAANSE, Jan; KUIJL, Hans. Resolving financial distress: informal reorganization in the Netherlands as a beacon for policy makers in the CIS and CEE/SEE regions? </w:t>
      </w:r>
      <w:r>
        <w:rPr>
          <w:i/>
          <w:iCs/>
          <w:lang w:val="en-US"/>
        </w:rPr>
        <w:t>Review of Central and East European Law</w:t>
      </w:r>
      <w:r>
        <w:rPr>
          <w:lang w:val="en-US"/>
        </w:rPr>
        <w:t>, v. 31, p. 135-154, 2006, p. 14</w:t>
      </w:r>
      <w:r>
        <w:rPr>
          <w:lang w:val="en-US"/>
        </w:rPr>
        <w:t>6.</w:t>
      </w:r>
    </w:p>
  </w:footnote>
  <w:footnote w:id="17">
    <w:p w14:paraId="6AA21053" w14:textId="495EC4FB" w:rsidR="00BF5366" w:rsidRPr="00BF5366" w:rsidRDefault="00BF5366">
      <w:pPr>
        <w:pStyle w:val="Textodenotaderodap"/>
        <w:rPr>
          <w:lang w:val="en-US"/>
        </w:rPr>
      </w:pPr>
      <w:r>
        <w:rPr>
          <w:rStyle w:val="Refdenotaderodap"/>
        </w:rPr>
        <w:footnoteRef/>
      </w:r>
      <w:r w:rsidRPr="00BF5366">
        <w:rPr>
          <w:lang w:val="en-US"/>
        </w:rPr>
        <w:t xml:space="preserve"> </w:t>
      </w:r>
      <w:r w:rsidR="005B2084">
        <w:rPr>
          <w:lang w:val="en-US"/>
        </w:rPr>
        <w:t xml:space="preserve">See ADRIAANSE, Jan; KUIJL, Hans. Resolving financial distress: informal reorganization in the Netherlands as a beacon for policy makers in the CIS and CEE/SEE regions? </w:t>
      </w:r>
      <w:r w:rsidR="005B2084">
        <w:rPr>
          <w:i/>
          <w:iCs/>
          <w:lang w:val="en-US"/>
        </w:rPr>
        <w:t>Review of Central and East European Law</w:t>
      </w:r>
      <w:r w:rsidR="005B2084">
        <w:rPr>
          <w:lang w:val="en-US"/>
        </w:rPr>
        <w:t>, v. 31, p. 135-154, 2006, p. 146</w:t>
      </w:r>
      <w:r w:rsidR="005B2084">
        <w:rPr>
          <w:lang w:val="en-US"/>
        </w:rPr>
        <w:t xml:space="preserve"> (affirming that </w:t>
      </w:r>
      <w:r>
        <w:rPr>
          <w:lang w:val="en-US"/>
        </w:rPr>
        <w:t>“</w:t>
      </w:r>
      <w:r w:rsidRPr="00BF5366">
        <w:rPr>
          <w:lang w:val="en-US"/>
        </w:rPr>
        <w:t xml:space="preserve">in a public context, a race to collect can easily develop; creditors </w:t>
      </w:r>
      <w:r w:rsidR="00AA1C0D">
        <w:rPr>
          <w:lang w:val="en-US"/>
        </w:rPr>
        <w:t>‘</w:t>
      </w:r>
      <w:r w:rsidRPr="00BF5366">
        <w:rPr>
          <w:lang w:val="en-US"/>
        </w:rPr>
        <w:t>tumble over each other</w:t>
      </w:r>
      <w:r w:rsidR="00AA1C0D">
        <w:rPr>
          <w:lang w:val="en-US"/>
        </w:rPr>
        <w:t>’</w:t>
      </w:r>
      <w:r w:rsidRPr="00BF5366">
        <w:rPr>
          <w:lang w:val="en-US"/>
        </w:rPr>
        <w:t xml:space="preserve"> as they seek to get paid in advance of their sister creditors. This frequently also involves petitioning for liquidation of the debtor (in order to enforce payment). However, these developments place the company in a(n) (even more) vicious circle. This phenomenon is, therefore, often seen as the self-fulfilling prophecy-effect of a public procedure.</w:t>
      </w:r>
      <w:r w:rsidR="00AA1C0D">
        <w:rPr>
          <w:lang w:val="en-US"/>
        </w:rPr>
        <w:t xml:space="preserve"> </w:t>
      </w:r>
      <w:r w:rsidRPr="00BF5366">
        <w:rPr>
          <w:lang w:val="en-US"/>
        </w:rPr>
        <w:t>The negative effects upon management and the missed opportunities as a result of publicity of procedures can also be characterized as opportunity costs. In an informal reorganization, these costs are (considerably) less—especially because of the relative silence—than is the case in a formal reorganization</w:t>
      </w:r>
      <w:r>
        <w:rPr>
          <w:lang w:val="en-US"/>
        </w:rPr>
        <w:t>”</w:t>
      </w:r>
      <w:r w:rsidR="005B2084">
        <w:rPr>
          <w:lang w:val="en-US"/>
        </w:rPr>
        <w:t>)</w:t>
      </w:r>
      <w:r>
        <w:rPr>
          <w:lang w:val="en-US"/>
        </w:rPr>
        <w:t>.</w:t>
      </w:r>
    </w:p>
  </w:footnote>
  <w:footnote w:id="18">
    <w:p w14:paraId="117DA147" w14:textId="4448C86F" w:rsidR="00AE52C1" w:rsidRPr="00AE52C1" w:rsidRDefault="00AE52C1">
      <w:pPr>
        <w:pStyle w:val="Textodenotaderodap"/>
        <w:rPr>
          <w:lang w:val="en-US"/>
        </w:rPr>
      </w:pPr>
      <w:r>
        <w:rPr>
          <w:rStyle w:val="Refdenotaderodap"/>
        </w:rPr>
        <w:footnoteRef/>
      </w:r>
      <w:r w:rsidRPr="00AE52C1">
        <w:rPr>
          <w:lang w:val="en-US"/>
        </w:rPr>
        <w:t xml:space="preserve"> </w:t>
      </w:r>
      <w:r w:rsidR="00A53A97">
        <w:rPr>
          <w:i/>
          <w:iCs/>
          <w:lang w:val="en-US"/>
        </w:rPr>
        <w:t>Ibidem</w:t>
      </w:r>
      <w:r w:rsidR="007033A3">
        <w:rPr>
          <w:lang w:val="en-US"/>
        </w:rPr>
        <w:t>.</w:t>
      </w:r>
    </w:p>
  </w:footnote>
  <w:footnote w:id="19">
    <w:p w14:paraId="67FD8413" w14:textId="645292C8" w:rsidR="00BF5366" w:rsidRPr="00BF5366" w:rsidRDefault="00BF5366">
      <w:pPr>
        <w:pStyle w:val="Textodenotaderodap"/>
        <w:rPr>
          <w:lang w:val="en-US"/>
        </w:rPr>
      </w:pPr>
      <w:r>
        <w:rPr>
          <w:rStyle w:val="Refdenotaderodap"/>
        </w:rPr>
        <w:footnoteRef/>
      </w:r>
      <w:r w:rsidRPr="00BF5366">
        <w:rPr>
          <w:lang w:val="en-US"/>
        </w:rPr>
        <w:t xml:space="preserve"> </w:t>
      </w:r>
      <w:r>
        <w:rPr>
          <w:lang w:val="en-US"/>
        </w:rPr>
        <w:t xml:space="preserve">See </w:t>
      </w:r>
      <w:r>
        <w:rPr>
          <w:lang w:val="en-US"/>
        </w:rPr>
        <w:t xml:space="preserve">ADRIAANSE, Jan; KUIJL, Hans. Resolving financial distress: informal reorganization in the Netherlands as a beacon for policy makers in the CIS and CEE/SEE regions? </w:t>
      </w:r>
      <w:r>
        <w:rPr>
          <w:i/>
          <w:iCs/>
          <w:lang w:val="en-US"/>
        </w:rPr>
        <w:t>Review of Central and East European Law</w:t>
      </w:r>
      <w:r>
        <w:rPr>
          <w:lang w:val="en-US"/>
        </w:rPr>
        <w:t>, v. 31, p. 135-154, 2006, p. 146</w:t>
      </w:r>
      <w:r>
        <w:rPr>
          <w:lang w:val="en-US"/>
        </w:rPr>
        <w:t>.</w:t>
      </w:r>
    </w:p>
  </w:footnote>
  <w:footnote w:id="20">
    <w:p w14:paraId="5D81E0D8" w14:textId="784606AB" w:rsidR="00C51088" w:rsidRPr="00051C79" w:rsidRDefault="00C51088" w:rsidP="00C51088">
      <w:pPr>
        <w:pStyle w:val="Textodenotaderodap"/>
        <w:rPr>
          <w:lang w:val="en-US"/>
        </w:rPr>
      </w:pPr>
      <w:r>
        <w:rPr>
          <w:rStyle w:val="Refdenotaderodap"/>
        </w:rPr>
        <w:footnoteRef/>
      </w:r>
      <w:r w:rsidRPr="00051C79">
        <w:rPr>
          <w:lang w:val="en-US"/>
        </w:rPr>
        <w:t xml:space="preserve"> </w:t>
      </w:r>
      <w:r w:rsidR="009304CD">
        <w:rPr>
          <w:i/>
          <w:iCs/>
          <w:lang w:val="en-US"/>
        </w:rPr>
        <w:t xml:space="preserve">Ibidem, </w:t>
      </w:r>
      <w:r w:rsidR="009304CD" w:rsidRPr="009304CD">
        <w:rPr>
          <w:lang w:val="en-US"/>
        </w:rPr>
        <w:t>p.</w:t>
      </w:r>
      <w:r w:rsidR="009304CD">
        <w:rPr>
          <w:lang w:val="en-US"/>
        </w:rPr>
        <w:t xml:space="preserve"> </w:t>
      </w:r>
      <w:r w:rsidR="009304CD" w:rsidRPr="009304CD">
        <w:rPr>
          <w:lang w:val="en-US"/>
        </w:rPr>
        <w:t>135</w:t>
      </w:r>
      <w:r>
        <w:rPr>
          <w:lang w:val="en-US"/>
        </w:rPr>
        <w:t>.</w:t>
      </w:r>
    </w:p>
  </w:footnote>
  <w:footnote w:id="21">
    <w:p w14:paraId="0B5D295F" w14:textId="30787788" w:rsidR="00A06EBF" w:rsidRPr="00A06EBF" w:rsidRDefault="00A06EBF">
      <w:pPr>
        <w:pStyle w:val="Textodenotaderodap"/>
        <w:rPr>
          <w:lang w:val="en-US"/>
        </w:rPr>
      </w:pPr>
      <w:r>
        <w:rPr>
          <w:rStyle w:val="Refdenotaderodap"/>
        </w:rPr>
        <w:footnoteRef/>
      </w:r>
      <w:r w:rsidRPr="00A06EBF">
        <w:rPr>
          <w:lang w:val="en-US"/>
        </w:rPr>
        <w:t xml:space="preserve"> </w:t>
      </w:r>
      <w:r w:rsidRPr="00B34D1A">
        <w:rPr>
          <w:lang w:val="en-US"/>
        </w:rPr>
        <w:t xml:space="preserve">See PAJUNEN, </w:t>
      </w:r>
      <w:proofErr w:type="spellStart"/>
      <w:r w:rsidRPr="00B34D1A">
        <w:rPr>
          <w:lang w:val="en-US"/>
        </w:rPr>
        <w:t>Kalle</w:t>
      </w:r>
      <w:proofErr w:type="spellEnd"/>
      <w:r w:rsidRPr="00B34D1A">
        <w:rPr>
          <w:lang w:val="en-US"/>
        </w:rPr>
        <w:t xml:space="preserve">. </w:t>
      </w:r>
      <w:r>
        <w:rPr>
          <w:lang w:val="en-US"/>
        </w:rPr>
        <w:t xml:space="preserve">Stakeholder influences in organizational survival. </w:t>
      </w:r>
      <w:r>
        <w:rPr>
          <w:i/>
          <w:iCs/>
          <w:lang w:val="en-US"/>
        </w:rPr>
        <w:t>Journal of Management Studies</w:t>
      </w:r>
      <w:r>
        <w:rPr>
          <w:lang w:val="en-US"/>
        </w:rPr>
        <w:t>, v. 43, issue 6, p. 1261-1288, September 2006</w:t>
      </w:r>
      <w:r>
        <w:rPr>
          <w:lang w:val="en-US"/>
        </w:rPr>
        <w:t>.</w:t>
      </w:r>
    </w:p>
  </w:footnote>
  <w:footnote w:id="22">
    <w:p w14:paraId="2757485F" w14:textId="7A476D6C" w:rsidR="00A06EBF" w:rsidRPr="00A06EBF" w:rsidRDefault="00A06EBF">
      <w:pPr>
        <w:pStyle w:val="Textodenotaderodap"/>
        <w:rPr>
          <w:lang w:val="en-US"/>
        </w:rPr>
      </w:pPr>
      <w:r>
        <w:rPr>
          <w:rStyle w:val="Refdenotaderodap"/>
        </w:rPr>
        <w:footnoteRef/>
      </w:r>
      <w:r w:rsidRPr="00A06EBF">
        <w:rPr>
          <w:lang w:val="en-US"/>
        </w:rPr>
        <w:t xml:space="preserve"> </w:t>
      </w:r>
      <w:r>
        <w:rPr>
          <w:lang w:val="en-US"/>
        </w:rPr>
        <w:t xml:space="preserve">See SUDARSANAM, </w:t>
      </w:r>
      <w:proofErr w:type="spellStart"/>
      <w:proofErr w:type="gramStart"/>
      <w:r>
        <w:rPr>
          <w:lang w:val="en-US"/>
        </w:rPr>
        <w:t>Sudi</w:t>
      </w:r>
      <w:proofErr w:type="spellEnd"/>
      <w:r>
        <w:rPr>
          <w:lang w:val="en-US"/>
        </w:rPr>
        <w:t>;</w:t>
      </w:r>
      <w:proofErr w:type="gramEnd"/>
      <w:r>
        <w:rPr>
          <w:lang w:val="en-US"/>
        </w:rPr>
        <w:t xml:space="preserve"> LAI, Jim. Corporate financial distress and turnaround strategies: an empirical analysis. </w:t>
      </w:r>
      <w:r>
        <w:rPr>
          <w:i/>
          <w:iCs/>
          <w:lang w:val="en-US"/>
        </w:rPr>
        <w:t>British Journal of Management,</w:t>
      </w:r>
      <w:r>
        <w:rPr>
          <w:lang w:val="en-US"/>
        </w:rPr>
        <w:t xml:space="preserve"> v. 12, p. 183-199, 2001</w:t>
      </w:r>
      <w:r>
        <w:rPr>
          <w:lang w:val="en-US"/>
        </w:rPr>
        <w:t>.</w:t>
      </w:r>
    </w:p>
  </w:footnote>
  <w:footnote w:id="23">
    <w:p w14:paraId="6860C818" w14:textId="5F11C56D" w:rsidR="00A06EBF" w:rsidRPr="00A06EBF" w:rsidRDefault="00A06EBF">
      <w:pPr>
        <w:pStyle w:val="Textodenotaderodap"/>
        <w:rPr>
          <w:lang w:val="en-US"/>
        </w:rPr>
      </w:pPr>
      <w:r>
        <w:rPr>
          <w:rStyle w:val="Refdenotaderodap"/>
        </w:rPr>
        <w:footnoteRef/>
      </w:r>
      <w:r w:rsidRPr="00A06EBF">
        <w:rPr>
          <w:lang w:val="en-US"/>
        </w:rPr>
        <w:t xml:space="preserve"> </w:t>
      </w:r>
      <w:r w:rsidRPr="00051C79">
        <w:rPr>
          <w:lang w:val="en-US"/>
        </w:rPr>
        <w:t>See SC</w:t>
      </w:r>
      <w:r>
        <w:rPr>
          <w:lang w:val="en-US"/>
        </w:rPr>
        <w:t xml:space="preserve">HMITT, Achim; RAISCH, Sebastian. Corporate turnarounds: the duality of retrenchment and recovery. </w:t>
      </w:r>
      <w:r>
        <w:rPr>
          <w:i/>
          <w:iCs/>
          <w:lang w:val="en-US"/>
        </w:rPr>
        <w:t>Journal of Management Studies</w:t>
      </w:r>
      <w:r>
        <w:rPr>
          <w:lang w:val="en-US"/>
        </w:rPr>
        <w:t>, v. 50, issue 7, p. 1216-1244, November 2013</w:t>
      </w:r>
      <w:r>
        <w:rPr>
          <w:lang w:val="en-US"/>
        </w:rPr>
        <w:t>.</w:t>
      </w:r>
    </w:p>
  </w:footnote>
  <w:footnote w:id="24">
    <w:p w14:paraId="1565B74E" w14:textId="316E9124" w:rsidR="0088102B" w:rsidRPr="00051C79" w:rsidRDefault="0088102B" w:rsidP="0088102B">
      <w:pPr>
        <w:pStyle w:val="Textodenotaderodap"/>
        <w:rPr>
          <w:lang w:val="en-US"/>
        </w:rPr>
      </w:pPr>
      <w:r>
        <w:rPr>
          <w:rStyle w:val="Refdenotaderodap"/>
        </w:rPr>
        <w:footnoteRef/>
      </w:r>
      <w:r w:rsidRPr="00051C79">
        <w:rPr>
          <w:lang w:val="en-US"/>
        </w:rPr>
        <w:t xml:space="preserve"> </w:t>
      </w:r>
      <w:r w:rsidR="00433112">
        <w:rPr>
          <w:lang w:val="en-US"/>
        </w:rPr>
        <w:t xml:space="preserve">See ADRIAANSE; KUIJL, </w:t>
      </w:r>
      <w:r w:rsidR="000519CE">
        <w:rPr>
          <w:i/>
          <w:iCs/>
          <w:lang w:val="en-US"/>
        </w:rPr>
        <w:t>op. cit.</w:t>
      </w:r>
      <w:r>
        <w:rPr>
          <w:lang w:val="en-US"/>
        </w:rPr>
        <w:t>, p. 140</w:t>
      </w:r>
      <w:r>
        <w:rPr>
          <w:lang w:val="en-US"/>
        </w:rPr>
        <w:t>.</w:t>
      </w:r>
    </w:p>
  </w:footnote>
  <w:footnote w:id="25">
    <w:p w14:paraId="5256E687" w14:textId="46460384" w:rsidR="0088102B" w:rsidRPr="00051C79" w:rsidRDefault="0088102B" w:rsidP="0088102B">
      <w:pPr>
        <w:pStyle w:val="Textodenotaderodap"/>
        <w:rPr>
          <w:lang w:val="en-US"/>
        </w:rPr>
      </w:pPr>
      <w:r>
        <w:rPr>
          <w:rStyle w:val="Refdenotaderodap"/>
        </w:rPr>
        <w:footnoteRef/>
      </w:r>
      <w:r w:rsidRPr="00051C79">
        <w:rPr>
          <w:lang w:val="en-US"/>
        </w:rPr>
        <w:t xml:space="preserve"> </w:t>
      </w:r>
      <w:r w:rsidR="000519CE">
        <w:rPr>
          <w:lang w:val="en-US"/>
        </w:rPr>
        <w:t xml:space="preserve">ADRIAANSE, Jan; KUIJL, Hans. Resolving financial distress: informal reorganization in the Netherlands as a beacon for policy makers in the CIS and CEE/SEE regions? </w:t>
      </w:r>
      <w:r w:rsidR="000519CE">
        <w:rPr>
          <w:i/>
          <w:iCs/>
          <w:lang w:val="en-US"/>
        </w:rPr>
        <w:t>Review of Central and East European Law</w:t>
      </w:r>
      <w:r w:rsidR="000519CE">
        <w:rPr>
          <w:lang w:val="en-US"/>
        </w:rPr>
        <w:t>, v. 31, p. 135-154, 2006</w:t>
      </w:r>
      <w:r>
        <w:rPr>
          <w:lang w:val="en-US"/>
        </w:rPr>
        <w:t>, p. 140-141</w:t>
      </w:r>
      <w:r>
        <w:rPr>
          <w:lang w:val="en-US"/>
        </w:rPr>
        <w:t>.</w:t>
      </w:r>
    </w:p>
  </w:footnote>
  <w:footnote w:id="26">
    <w:p w14:paraId="3C459134" w14:textId="31B1E51B" w:rsidR="00AA5B8F" w:rsidRPr="00AA5B8F" w:rsidRDefault="00AA5B8F">
      <w:pPr>
        <w:pStyle w:val="Textodenotaderodap"/>
        <w:rPr>
          <w:lang w:val="en-US"/>
        </w:rPr>
      </w:pPr>
      <w:r>
        <w:rPr>
          <w:rStyle w:val="Refdenotaderodap"/>
        </w:rPr>
        <w:footnoteRef/>
      </w:r>
      <w:r w:rsidRPr="00AA5B8F">
        <w:rPr>
          <w:lang w:val="en-US"/>
        </w:rPr>
        <w:t xml:space="preserve"> See also </w:t>
      </w:r>
      <w:r>
        <w:rPr>
          <w:lang w:val="en-US"/>
        </w:rPr>
        <w:t xml:space="preserve">SUDARSANAM, </w:t>
      </w:r>
      <w:proofErr w:type="spellStart"/>
      <w:proofErr w:type="gramStart"/>
      <w:r>
        <w:rPr>
          <w:lang w:val="en-US"/>
        </w:rPr>
        <w:t>Sudi</w:t>
      </w:r>
      <w:proofErr w:type="spellEnd"/>
      <w:r>
        <w:rPr>
          <w:lang w:val="en-US"/>
        </w:rPr>
        <w:t>;</w:t>
      </w:r>
      <w:proofErr w:type="gramEnd"/>
      <w:r>
        <w:rPr>
          <w:lang w:val="en-US"/>
        </w:rPr>
        <w:t xml:space="preserve"> LAI, Jim. Corporate financial distress and turnaround strategies: an empirical analysis. </w:t>
      </w:r>
      <w:r>
        <w:rPr>
          <w:i/>
          <w:iCs/>
          <w:lang w:val="en-US"/>
        </w:rPr>
        <w:t>British Journal of Management,</w:t>
      </w:r>
      <w:r>
        <w:rPr>
          <w:lang w:val="en-US"/>
        </w:rPr>
        <w:t xml:space="preserve"> v. 12, p. 183-199, 2001, p. </w:t>
      </w:r>
      <w:r>
        <w:rPr>
          <w:lang w:val="en-US"/>
        </w:rPr>
        <w:t>185 (affirming that “[t]</w:t>
      </w:r>
      <w:r w:rsidRPr="00AA5B8F">
        <w:rPr>
          <w:lang w:val="en-US"/>
        </w:rPr>
        <w:t>he efficiency/operating turnaround stage aims to stabilize operations and restore profitability by pursuing strict cost and operating-asset reductions</w:t>
      </w:r>
      <w:r>
        <w:rPr>
          <w:lang w:val="en-US"/>
        </w:rPr>
        <w:t>”)</w:t>
      </w:r>
      <w:r w:rsidRPr="00AA5B8F">
        <w:rPr>
          <w:lang w:val="en-US"/>
        </w:rPr>
        <w:t>.</w:t>
      </w:r>
    </w:p>
  </w:footnote>
  <w:footnote w:id="27">
    <w:p w14:paraId="479F21C9" w14:textId="15309545" w:rsidR="00433112" w:rsidRPr="00433112" w:rsidRDefault="00433112">
      <w:pPr>
        <w:pStyle w:val="Textodenotaderodap"/>
        <w:rPr>
          <w:lang w:val="en-US"/>
        </w:rPr>
      </w:pPr>
      <w:r>
        <w:rPr>
          <w:rStyle w:val="Refdenotaderodap"/>
        </w:rPr>
        <w:footnoteRef/>
      </w:r>
      <w:r w:rsidRPr="00433112">
        <w:rPr>
          <w:lang w:val="en-US"/>
        </w:rPr>
        <w:t xml:space="preserve"> </w:t>
      </w:r>
      <w:r>
        <w:rPr>
          <w:lang w:val="en-US"/>
        </w:rPr>
        <w:t xml:space="preserve">See </w:t>
      </w:r>
      <w:r w:rsidRPr="00B34D1A">
        <w:rPr>
          <w:lang w:val="en-US"/>
        </w:rPr>
        <w:t xml:space="preserve">PAJUNEN, </w:t>
      </w:r>
      <w:proofErr w:type="spellStart"/>
      <w:r w:rsidRPr="00B34D1A">
        <w:rPr>
          <w:lang w:val="en-US"/>
        </w:rPr>
        <w:t>Kalle</w:t>
      </w:r>
      <w:proofErr w:type="spellEnd"/>
      <w:r w:rsidRPr="00B34D1A">
        <w:rPr>
          <w:lang w:val="en-US"/>
        </w:rPr>
        <w:t xml:space="preserve">. </w:t>
      </w:r>
      <w:r>
        <w:rPr>
          <w:lang w:val="en-US"/>
        </w:rPr>
        <w:t xml:space="preserve">Stakeholder influences in organizational survival. </w:t>
      </w:r>
      <w:r>
        <w:rPr>
          <w:i/>
          <w:iCs/>
          <w:lang w:val="en-US"/>
        </w:rPr>
        <w:t>Journal of Management Studies</w:t>
      </w:r>
      <w:r>
        <w:rPr>
          <w:lang w:val="en-US"/>
        </w:rPr>
        <w:t>, v. 43, issue 6, p. 1261-1288, September 2006, p. 12</w:t>
      </w:r>
      <w:r>
        <w:rPr>
          <w:lang w:val="en-US"/>
        </w:rPr>
        <w:t>65 (stating that g</w:t>
      </w:r>
      <w:r w:rsidRPr="00433112">
        <w:rPr>
          <w:lang w:val="en-US"/>
        </w:rPr>
        <w:t>overning sta</w:t>
      </w:r>
      <w:r>
        <w:rPr>
          <w:lang w:val="en-US"/>
        </w:rPr>
        <w:t>keholders have a direct influence on an organization’s survival).</w:t>
      </w:r>
    </w:p>
  </w:footnote>
  <w:footnote w:id="28">
    <w:p w14:paraId="2CA6EE9C" w14:textId="51BD5562" w:rsidR="00433112" w:rsidRPr="00433112" w:rsidRDefault="00433112">
      <w:pPr>
        <w:pStyle w:val="Textodenotaderodap"/>
        <w:rPr>
          <w:lang w:val="en-US"/>
        </w:rPr>
      </w:pPr>
      <w:r>
        <w:rPr>
          <w:rStyle w:val="Refdenotaderodap"/>
        </w:rPr>
        <w:footnoteRef/>
      </w:r>
      <w:r w:rsidRPr="00433112">
        <w:rPr>
          <w:lang w:val="en-US"/>
        </w:rPr>
        <w:t xml:space="preserve"> </w:t>
      </w:r>
      <w:r>
        <w:rPr>
          <w:i/>
          <w:iCs/>
          <w:lang w:val="en-US"/>
        </w:rPr>
        <w:t>Ibidem</w:t>
      </w:r>
      <w:r>
        <w:rPr>
          <w:lang w:val="en-US"/>
        </w:rPr>
        <w:t>, p. 1279.</w:t>
      </w:r>
    </w:p>
  </w:footnote>
  <w:footnote w:id="29">
    <w:p w14:paraId="547F04C3" w14:textId="356BE96E" w:rsidR="00A972F1" w:rsidRPr="00A972F1" w:rsidRDefault="00A972F1">
      <w:pPr>
        <w:pStyle w:val="Textodenotaderodap"/>
        <w:rPr>
          <w:lang w:val="en-US"/>
        </w:rPr>
      </w:pPr>
      <w:r>
        <w:rPr>
          <w:rStyle w:val="Refdenotaderodap"/>
        </w:rPr>
        <w:footnoteRef/>
      </w:r>
      <w:r w:rsidRPr="00A972F1">
        <w:rPr>
          <w:lang w:val="en-US"/>
        </w:rPr>
        <w:t xml:space="preserve"> </w:t>
      </w:r>
      <w:r>
        <w:rPr>
          <w:lang w:val="en-US"/>
        </w:rPr>
        <w:t xml:space="preserve">See </w:t>
      </w:r>
      <w:r w:rsidRPr="00051C79">
        <w:rPr>
          <w:lang w:val="en-US"/>
        </w:rPr>
        <w:t>SC</w:t>
      </w:r>
      <w:r>
        <w:rPr>
          <w:lang w:val="en-US"/>
        </w:rPr>
        <w:t xml:space="preserve">HMITT, Achim; RAISCH, Sebastian. Corporate turnarounds: the duality of retrenchment and recovery. </w:t>
      </w:r>
      <w:r>
        <w:rPr>
          <w:i/>
          <w:iCs/>
          <w:lang w:val="en-US"/>
        </w:rPr>
        <w:t>Journal of Management Studies</w:t>
      </w:r>
      <w:r>
        <w:rPr>
          <w:lang w:val="en-US"/>
        </w:rPr>
        <w:t>, v. 50, issue 7, p. 1216-1244, November 2013</w:t>
      </w:r>
      <w:r>
        <w:rPr>
          <w:lang w:val="en-US"/>
        </w:rPr>
        <w:t>, p. 1218.</w:t>
      </w:r>
    </w:p>
  </w:footnote>
  <w:footnote w:id="30">
    <w:p w14:paraId="39F38023" w14:textId="447B06E7" w:rsidR="006D26C7" w:rsidRPr="007033A3" w:rsidRDefault="006D26C7" w:rsidP="006D26C7">
      <w:pPr>
        <w:pStyle w:val="Textodenotaderodap"/>
        <w:rPr>
          <w:lang w:val="en-US"/>
        </w:rPr>
      </w:pPr>
      <w:r>
        <w:rPr>
          <w:rStyle w:val="Refdenotaderodap"/>
        </w:rPr>
        <w:footnoteRef/>
      </w:r>
      <w:r w:rsidRPr="007033A3">
        <w:rPr>
          <w:lang w:val="en-US"/>
        </w:rPr>
        <w:t xml:space="preserve"> </w:t>
      </w:r>
      <w:r w:rsidR="007033A3">
        <w:rPr>
          <w:lang w:val="en-US"/>
        </w:rPr>
        <w:t xml:space="preserve">See ADRIAANSE; KUIJL, </w:t>
      </w:r>
      <w:r w:rsidR="00433112">
        <w:rPr>
          <w:i/>
          <w:iCs/>
          <w:lang w:val="en-US"/>
        </w:rPr>
        <w:t>op. cit.</w:t>
      </w:r>
      <w:r w:rsidRPr="007033A3">
        <w:rPr>
          <w:lang w:val="en-US"/>
        </w:rPr>
        <w:t>, p. 141.</w:t>
      </w:r>
    </w:p>
  </w:footnote>
  <w:footnote w:id="31">
    <w:p w14:paraId="69A11EC9" w14:textId="422A964C" w:rsidR="0041483A" w:rsidRPr="0041483A" w:rsidRDefault="0041483A" w:rsidP="0041483A">
      <w:pPr>
        <w:pStyle w:val="Textodenotaderodap"/>
        <w:rPr>
          <w:lang w:val="en-US"/>
        </w:rPr>
      </w:pPr>
      <w:r>
        <w:rPr>
          <w:rStyle w:val="Refdenotaderodap"/>
        </w:rPr>
        <w:footnoteRef/>
      </w:r>
      <w:r w:rsidRPr="0041483A">
        <w:rPr>
          <w:lang w:val="en-US"/>
        </w:rPr>
        <w:t xml:space="preserve"> </w:t>
      </w:r>
      <w:r w:rsidR="000519CE" w:rsidRPr="000519CE">
        <w:rPr>
          <w:i/>
          <w:iCs/>
          <w:lang w:val="en-US"/>
        </w:rPr>
        <w:t>I</w:t>
      </w:r>
      <w:r w:rsidR="000519CE">
        <w:rPr>
          <w:i/>
          <w:iCs/>
          <w:lang w:val="en-US"/>
        </w:rPr>
        <w:t>bidem</w:t>
      </w:r>
      <w:r>
        <w:rPr>
          <w:lang w:val="en-US"/>
        </w:rPr>
        <w:t>, p. 14</w:t>
      </w:r>
      <w:r>
        <w:rPr>
          <w:lang w:val="en-US"/>
        </w:rPr>
        <w:t>2</w:t>
      </w:r>
      <w:r w:rsidRPr="0041483A">
        <w:rPr>
          <w:lang w:val="en-US"/>
        </w:rPr>
        <w:t>.</w:t>
      </w:r>
    </w:p>
  </w:footnote>
  <w:footnote w:id="32">
    <w:p w14:paraId="0B502B71" w14:textId="27545FBC" w:rsidR="00927A6A" w:rsidRPr="00A53A97" w:rsidRDefault="00927A6A" w:rsidP="00927A6A">
      <w:pPr>
        <w:pStyle w:val="Textodenotaderodap"/>
        <w:rPr>
          <w:lang w:val="en-US"/>
        </w:rPr>
      </w:pPr>
      <w:r>
        <w:rPr>
          <w:rStyle w:val="Refdenotaderodap"/>
        </w:rPr>
        <w:footnoteRef/>
      </w:r>
      <w:r w:rsidRPr="00A53A97">
        <w:rPr>
          <w:lang w:val="en-US"/>
        </w:rPr>
        <w:t xml:space="preserve"> </w:t>
      </w:r>
      <w:r w:rsidR="00A972F1">
        <w:rPr>
          <w:i/>
          <w:iCs/>
          <w:lang w:val="en-US"/>
        </w:rPr>
        <w:t>Ibidem</w:t>
      </w:r>
      <w:r w:rsidRPr="00A53A97">
        <w:rPr>
          <w:lang w:val="en-US"/>
        </w:rPr>
        <w:t>.</w:t>
      </w:r>
    </w:p>
  </w:footnote>
  <w:footnote w:id="33">
    <w:p w14:paraId="45FBC163" w14:textId="222AD466" w:rsidR="00347A69" w:rsidRPr="00347A69" w:rsidRDefault="00347A69">
      <w:pPr>
        <w:pStyle w:val="Textodenotaderodap"/>
        <w:rPr>
          <w:lang w:val="en-US"/>
        </w:rPr>
      </w:pPr>
      <w:r>
        <w:rPr>
          <w:rStyle w:val="Refdenotaderodap"/>
        </w:rPr>
        <w:footnoteRef/>
      </w:r>
      <w:r w:rsidRPr="00347A69">
        <w:rPr>
          <w:lang w:val="en-US"/>
        </w:rPr>
        <w:t xml:space="preserve"> </w:t>
      </w:r>
      <w:r w:rsidRPr="00B34D1A">
        <w:rPr>
          <w:lang w:val="en-US"/>
        </w:rPr>
        <w:t xml:space="preserve">See PAJUNEN, </w:t>
      </w:r>
      <w:proofErr w:type="spellStart"/>
      <w:r w:rsidRPr="00B34D1A">
        <w:rPr>
          <w:lang w:val="en-US"/>
        </w:rPr>
        <w:t>Kalle</w:t>
      </w:r>
      <w:proofErr w:type="spellEnd"/>
      <w:r w:rsidRPr="00B34D1A">
        <w:rPr>
          <w:lang w:val="en-US"/>
        </w:rPr>
        <w:t xml:space="preserve">. </w:t>
      </w:r>
      <w:r>
        <w:rPr>
          <w:lang w:val="en-US"/>
        </w:rPr>
        <w:t xml:space="preserve">Stakeholder influences in organizational survival. </w:t>
      </w:r>
      <w:r>
        <w:rPr>
          <w:i/>
          <w:iCs/>
          <w:lang w:val="en-US"/>
        </w:rPr>
        <w:t>Journal of Management Studies</w:t>
      </w:r>
      <w:r>
        <w:rPr>
          <w:lang w:val="en-US"/>
        </w:rPr>
        <w:t>, v. 43, issue 6, p. 1261-1288, September 2006</w:t>
      </w:r>
      <w:r>
        <w:rPr>
          <w:lang w:val="en-US"/>
        </w:rPr>
        <w:t>, p. 1280.</w:t>
      </w:r>
    </w:p>
  </w:footnote>
  <w:footnote w:id="34">
    <w:p w14:paraId="061E5707" w14:textId="4F523666" w:rsidR="00891454" w:rsidRPr="00891454" w:rsidRDefault="00891454">
      <w:pPr>
        <w:pStyle w:val="Textodenotaderodap"/>
        <w:rPr>
          <w:lang w:val="en-US"/>
        </w:rPr>
      </w:pPr>
      <w:r>
        <w:rPr>
          <w:rStyle w:val="Refdenotaderodap"/>
        </w:rPr>
        <w:footnoteRef/>
      </w:r>
      <w:r w:rsidRPr="00891454">
        <w:rPr>
          <w:lang w:val="en-US"/>
        </w:rPr>
        <w:t xml:space="preserve"> </w:t>
      </w:r>
      <w:r>
        <w:rPr>
          <w:lang w:val="en-US"/>
        </w:rPr>
        <w:t xml:space="preserve">It seemed that the Flow Management Group failed to look ahead and propose long-term solutions from the outset, limiting their proposals to short-term measures that only delayed negotiations toward a long-term restructuring agreement. See </w:t>
      </w:r>
      <w:r w:rsidRPr="00051C79">
        <w:rPr>
          <w:lang w:val="en-US"/>
        </w:rPr>
        <w:t>SC</w:t>
      </w:r>
      <w:r>
        <w:rPr>
          <w:lang w:val="en-US"/>
        </w:rPr>
        <w:t xml:space="preserve">HMITT, Achim; RAISCH, Sebastian. Corporate turnarounds: the duality of retrenchment and recovery. </w:t>
      </w:r>
      <w:r>
        <w:rPr>
          <w:i/>
          <w:iCs/>
          <w:lang w:val="en-US"/>
        </w:rPr>
        <w:t>Journal of Management Studies</w:t>
      </w:r>
      <w:r>
        <w:rPr>
          <w:lang w:val="en-US"/>
        </w:rPr>
        <w:t>, v. 50, issue 7, p. 1216-1244, November 2013, p. 12</w:t>
      </w:r>
      <w:r>
        <w:rPr>
          <w:lang w:val="en-US"/>
        </w:rPr>
        <w:t>25 (stating that “[p]</w:t>
      </w:r>
      <w:r w:rsidRPr="00891454">
        <w:rPr>
          <w:lang w:val="en-US"/>
        </w:rPr>
        <w:t>resenting a detailed recovery plan can thus convince stakeholders of the firm’s long-term potential for breakthroughs, which will help ensure their support for short-term retrenchment measures</w:t>
      </w:r>
      <w:r>
        <w:rPr>
          <w:lang w:val="en-US"/>
        </w:rPr>
        <w:t>”)</w:t>
      </w:r>
      <w:r>
        <w:rPr>
          <w:lang w:val="en-US"/>
        </w:rPr>
        <w:t>.</w:t>
      </w:r>
    </w:p>
  </w:footnote>
  <w:footnote w:id="35">
    <w:p w14:paraId="342A5E0E" w14:textId="23724F05" w:rsidR="005959B7" w:rsidRPr="00C87D65" w:rsidRDefault="005959B7" w:rsidP="005959B7">
      <w:pPr>
        <w:pStyle w:val="Textodenotaderodap"/>
        <w:rPr>
          <w:lang w:val="en-US"/>
        </w:rPr>
      </w:pPr>
      <w:r>
        <w:rPr>
          <w:rStyle w:val="Refdenotaderodap"/>
        </w:rPr>
        <w:footnoteRef/>
      </w:r>
      <w:r w:rsidRPr="00C87D65">
        <w:rPr>
          <w:lang w:val="en-US"/>
        </w:rPr>
        <w:t xml:space="preserve"> </w:t>
      </w:r>
      <w:r w:rsidR="000519CE">
        <w:rPr>
          <w:lang w:val="en-US"/>
        </w:rPr>
        <w:t xml:space="preserve">See ADRIAANSE, Jan; KUIJL, Hans. Resolving financial distress: informal reorganization in the Netherlands as a beacon for policy makers in the CIS and CEE/SEE regions? </w:t>
      </w:r>
      <w:r w:rsidR="000519CE">
        <w:rPr>
          <w:i/>
          <w:iCs/>
          <w:lang w:val="en-US"/>
        </w:rPr>
        <w:t>Review of Central and East European Law</w:t>
      </w:r>
      <w:r w:rsidR="000519CE">
        <w:rPr>
          <w:lang w:val="en-US"/>
        </w:rPr>
        <w:t>, v. 31, p. 135-154, 2006</w:t>
      </w:r>
      <w:r w:rsidR="000519CE">
        <w:rPr>
          <w:lang w:val="en-US"/>
        </w:rPr>
        <w:t>,</w:t>
      </w:r>
      <w:r w:rsidRPr="00C87D65">
        <w:rPr>
          <w:i/>
          <w:iCs/>
          <w:lang w:val="en-US"/>
        </w:rPr>
        <w:t xml:space="preserve"> </w:t>
      </w:r>
      <w:r w:rsidRPr="00C87D65">
        <w:rPr>
          <w:lang w:val="en-US"/>
        </w:rPr>
        <w:t>p. 143</w:t>
      </w:r>
      <w:r w:rsidRPr="00C87D65">
        <w:rPr>
          <w:lang w:val="en-US"/>
        </w:rPr>
        <w:t>.</w:t>
      </w:r>
    </w:p>
  </w:footnote>
  <w:footnote w:id="36">
    <w:p w14:paraId="56A17781" w14:textId="295E6265" w:rsidR="00563A52" w:rsidRPr="005959B7" w:rsidRDefault="00563A52" w:rsidP="00563A52">
      <w:pPr>
        <w:pStyle w:val="Textodenotaderodap"/>
      </w:pPr>
      <w:r>
        <w:rPr>
          <w:rStyle w:val="Refdenotaderodap"/>
        </w:rPr>
        <w:footnoteRef/>
      </w:r>
      <w:r w:rsidRPr="005959B7">
        <w:t xml:space="preserve"> </w:t>
      </w:r>
      <w:r w:rsidRPr="005959B7">
        <w:rPr>
          <w:i/>
          <w:iCs/>
        </w:rPr>
        <w:t>Ibidem</w:t>
      </w:r>
      <w:r w:rsidRPr="005959B7">
        <w:t>.</w:t>
      </w:r>
    </w:p>
  </w:footnote>
  <w:footnote w:id="37">
    <w:p w14:paraId="035E8CE0" w14:textId="7C730E45" w:rsidR="0023344C" w:rsidRPr="0023344C" w:rsidRDefault="0023344C" w:rsidP="0023344C">
      <w:pPr>
        <w:pStyle w:val="Textodenotaderodap"/>
        <w:rPr>
          <w:lang w:val="en-US"/>
        </w:rPr>
      </w:pPr>
      <w:r>
        <w:rPr>
          <w:rStyle w:val="Refdenotaderodap"/>
        </w:rPr>
        <w:footnoteRef/>
      </w:r>
      <w:r w:rsidRPr="0023344C">
        <w:rPr>
          <w:lang w:val="en-US"/>
        </w:rPr>
        <w:t xml:space="preserve"> </w:t>
      </w:r>
      <w:r w:rsidR="000519CE">
        <w:rPr>
          <w:i/>
          <w:iCs/>
          <w:lang w:val="en-US"/>
        </w:rPr>
        <w:t>Ibidem</w:t>
      </w:r>
      <w:r w:rsidRPr="0023344C">
        <w:rPr>
          <w:lang w:val="en-US"/>
        </w:rPr>
        <w:t>.</w:t>
      </w:r>
    </w:p>
  </w:footnote>
  <w:footnote w:id="38">
    <w:p w14:paraId="47C1B69F" w14:textId="3EF4D819" w:rsidR="007F6CEA" w:rsidRPr="00DE0C5F" w:rsidRDefault="007F6CEA" w:rsidP="007F6CEA">
      <w:pPr>
        <w:pStyle w:val="Textodenotaderodap"/>
        <w:rPr>
          <w:lang w:val="en-US"/>
        </w:rPr>
      </w:pPr>
      <w:r>
        <w:rPr>
          <w:rStyle w:val="Refdenotaderodap"/>
        </w:rPr>
        <w:footnoteRef/>
      </w:r>
      <w:r w:rsidRPr="00266A9E">
        <w:rPr>
          <w:lang w:val="en-US"/>
        </w:rPr>
        <w:t xml:space="preserve"> </w:t>
      </w:r>
      <w:r>
        <w:rPr>
          <w:lang w:val="en-US"/>
        </w:rPr>
        <w:t xml:space="preserve">See SUDARSANAM, </w:t>
      </w:r>
      <w:proofErr w:type="spellStart"/>
      <w:proofErr w:type="gramStart"/>
      <w:r>
        <w:rPr>
          <w:lang w:val="en-US"/>
        </w:rPr>
        <w:t>Sudi</w:t>
      </w:r>
      <w:proofErr w:type="spellEnd"/>
      <w:r>
        <w:rPr>
          <w:lang w:val="en-US"/>
        </w:rPr>
        <w:t>;</w:t>
      </w:r>
      <w:proofErr w:type="gramEnd"/>
      <w:r>
        <w:rPr>
          <w:lang w:val="en-US"/>
        </w:rPr>
        <w:t xml:space="preserve"> LAI, Jim. Corporate financial distress and turnaround strategies: an empirical analysis. </w:t>
      </w:r>
      <w:r>
        <w:rPr>
          <w:i/>
          <w:iCs/>
          <w:lang w:val="en-US"/>
        </w:rPr>
        <w:t>British Journal of Management,</w:t>
      </w:r>
      <w:r>
        <w:rPr>
          <w:lang w:val="en-US"/>
        </w:rPr>
        <w:t xml:space="preserve"> v. 12, p. 183-199, 2001</w:t>
      </w:r>
      <w:r w:rsidR="00B216A7">
        <w:rPr>
          <w:lang w:val="en-US"/>
        </w:rPr>
        <w:t>, p. 184 (affirming that “[a]</w:t>
      </w:r>
      <w:r w:rsidR="00B216A7" w:rsidRPr="00B216A7">
        <w:rPr>
          <w:lang w:val="en-US"/>
        </w:rPr>
        <w:t xml:space="preserve"> change in top management is tangible evidence to bankers, investors and employees that something positive is being done to improve the firm’s performance, even though the cause of poor performance may have been beyond management’s control</w:t>
      </w:r>
      <w:r w:rsidR="00B216A7">
        <w:rPr>
          <w:lang w:val="en-US"/>
        </w:rPr>
        <w:t>”)</w:t>
      </w:r>
      <w:r>
        <w:rPr>
          <w:lang w:val="en-US"/>
        </w:rPr>
        <w:t>.</w:t>
      </w:r>
    </w:p>
  </w:footnote>
  <w:footnote w:id="39">
    <w:p w14:paraId="7ACA7AC1" w14:textId="0C343DEB" w:rsidR="00D66B94" w:rsidRPr="007F6CEA" w:rsidRDefault="00D66B94">
      <w:pPr>
        <w:pStyle w:val="Textodenotaderodap"/>
        <w:rPr>
          <w:lang w:val="en-US"/>
        </w:rPr>
      </w:pPr>
      <w:r>
        <w:rPr>
          <w:rStyle w:val="Refdenotaderodap"/>
        </w:rPr>
        <w:footnoteRef/>
      </w:r>
      <w:r w:rsidRPr="007F6CEA">
        <w:rPr>
          <w:lang w:val="en-US"/>
        </w:rPr>
        <w:t xml:space="preserve"> </w:t>
      </w:r>
      <w:r w:rsidR="007F6CEA" w:rsidRPr="00E5125B">
        <w:rPr>
          <w:lang w:val="en-US"/>
        </w:rPr>
        <w:t xml:space="preserve">See MELLAHI, </w:t>
      </w:r>
      <w:proofErr w:type="gramStart"/>
      <w:r w:rsidR="007F6CEA" w:rsidRPr="00E5125B">
        <w:rPr>
          <w:lang w:val="en-US"/>
        </w:rPr>
        <w:t>Kamel</w:t>
      </w:r>
      <w:r w:rsidR="007F6CEA">
        <w:rPr>
          <w:lang w:val="en-US"/>
        </w:rPr>
        <w:t>;</w:t>
      </w:r>
      <w:proofErr w:type="gramEnd"/>
      <w:r w:rsidR="007F6CEA">
        <w:rPr>
          <w:lang w:val="en-US"/>
        </w:rPr>
        <w:t xml:space="preserve"> WILKINSON, Adrian. Organizational failure: a critique of recent research and a proposed integrative framework. </w:t>
      </w:r>
      <w:r w:rsidR="007F6CEA">
        <w:rPr>
          <w:i/>
          <w:iCs/>
          <w:lang w:val="en-US"/>
        </w:rPr>
        <w:t>International Journal of Management Reviews</w:t>
      </w:r>
      <w:r w:rsidR="007F6CEA">
        <w:rPr>
          <w:lang w:val="en-US"/>
        </w:rPr>
        <w:t>, v. 5/6, issue 1, p. 21-41, 2004</w:t>
      </w:r>
      <w:r w:rsidR="007F6CEA">
        <w:rPr>
          <w:lang w:val="en-US"/>
        </w:rPr>
        <w:t>, p. 30.</w:t>
      </w:r>
    </w:p>
  </w:footnote>
  <w:footnote w:id="40">
    <w:p w14:paraId="1BC3154A" w14:textId="0427963B" w:rsidR="00B34D1A" w:rsidRPr="00A53A97" w:rsidRDefault="00B34D1A" w:rsidP="00B34D1A">
      <w:pPr>
        <w:pStyle w:val="Textodenotaderodap"/>
        <w:rPr>
          <w:lang w:val="en-US"/>
        </w:rPr>
      </w:pPr>
      <w:r>
        <w:rPr>
          <w:rStyle w:val="Refdenotaderodap"/>
        </w:rPr>
        <w:footnoteRef/>
      </w:r>
      <w:r w:rsidRPr="00A53A97">
        <w:rPr>
          <w:lang w:val="en-US"/>
        </w:rPr>
        <w:t xml:space="preserve"> </w:t>
      </w:r>
      <w:r w:rsidR="000519CE">
        <w:rPr>
          <w:lang w:val="en-US"/>
        </w:rPr>
        <w:t xml:space="preserve">See ADRIAANSE, Jan; KUIJL, Hans. Resolving financial distress: informal reorganization in the Netherlands as a beacon for policy makers in the CIS and CEE/SEE regions? </w:t>
      </w:r>
      <w:r w:rsidR="000519CE">
        <w:rPr>
          <w:i/>
          <w:iCs/>
          <w:lang w:val="en-US"/>
        </w:rPr>
        <w:t>Review of Central and East European Law</w:t>
      </w:r>
      <w:r w:rsidR="000519CE">
        <w:rPr>
          <w:lang w:val="en-US"/>
        </w:rPr>
        <w:t>, v. 31, p. 135-154, 2006</w:t>
      </w:r>
      <w:r w:rsidRPr="00A53A97">
        <w:rPr>
          <w:lang w:val="en-US"/>
        </w:rPr>
        <w:t>, p. 144.</w:t>
      </w:r>
    </w:p>
  </w:footnote>
  <w:footnote w:id="41">
    <w:p w14:paraId="4B5F5572" w14:textId="453FE8F6" w:rsidR="00300535" w:rsidRPr="00300535" w:rsidRDefault="00300535">
      <w:pPr>
        <w:pStyle w:val="Textodenotaderodap"/>
        <w:rPr>
          <w:lang w:val="en-US"/>
        </w:rPr>
      </w:pPr>
      <w:r>
        <w:rPr>
          <w:rStyle w:val="Refdenotaderodap"/>
        </w:rPr>
        <w:footnoteRef/>
      </w:r>
      <w:r w:rsidRPr="00300535">
        <w:rPr>
          <w:lang w:val="en-US"/>
        </w:rPr>
        <w:t xml:space="preserve"> </w:t>
      </w:r>
      <w:r>
        <w:rPr>
          <w:lang w:val="en-US"/>
        </w:rPr>
        <w:t xml:space="preserve">See also SUDARSANAM; LAI, </w:t>
      </w:r>
      <w:r>
        <w:rPr>
          <w:i/>
          <w:iCs/>
          <w:lang w:val="en-US"/>
        </w:rPr>
        <w:t>op. cit.</w:t>
      </w:r>
      <w:r>
        <w:rPr>
          <w:lang w:val="en-US"/>
        </w:rPr>
        <w:t>, p. 187 (stating that “[f]</w:t>
      </w:r>
      <w:proofErr w:type="spellStart"/>
      <w:r w:rsidRPr="00300535">
        <w:rPr>
          <w:lang w:val="en-US"/>
        </w:rPr>
        <w:t>inancial</w:t>
      </w:r>
      <w:proofErr w:type="spellEnd"/>
      <w:r w:rsidRPr="00300535">
        <w:rPr>
          <w:lang w:val="en-US"/>
        </w:rPr>
        <w:t xml:space="preserve"> restructuring is the reworking of a firm’s capital structure to relieve the strain of interest and debt repayments</w:t>
      </w:r>
      <w:r>
        <w:rPr>
          <w:lang w:val="en-US"/>
        </w:rPr>
        <w:t xml:space="preserve"> […]”).</w:t>
      </w:r>
    </w:p>
  </w:footnote>
  <w:footnote w:id="42">
    <w:p w14:paraId="715C1679" w14:textId="1901F566" w:rsidR="005174F2" w:rsidRPr="00AA5B8F" w:rsidRDefault="005174F2" w:rsidP="005174F2">
      <w:pPr>
        <w:pStyle w:val="Textodenotaderodap"/>
        <w:rPr>
          <w:lang w:val="en-US"/>
        </w:rPr>
      </w:pPr>
      <w:r>
        <w:rPr>
          <w:rStyle w:val="Refdenotaderodap"/>
        </w:rPr>
        <w:footnoteRef/>
      </w:r>
      <w:r w:rsidRPr="00AA5B8F">
        <w:rPr>
          <w:lang w:val="en-US"/>
        </w:rPr>
        <w:t xml:space="preserve"> </w:t>
      </w:r>
      <w:r w:rsidR="00AA5B8F">
        <w:rPr>
          <w:lang w:val="en-US"/>
        </w:rPr>
        <w:t xml:space="preserve">See ADRIAANSE; KUIJL, </w:t>
      </w:r>
      <w:r w:rsidR="000519CE">
        <w:rPr>
          <w:i/>
          <w:iCs/>
          <w:lang w:val="en-US"/>
        </w:rPr>
        <w:t>op. cit.</w:t>
      </w:r>
      <w:r w:rsidRPr="00AA5B8F">
        <w:rPr>
          <w:lang w:val="en-US"/>
        </w:rPr>
        <w:t>, p. 14</w:t>
      </w:r>
      <w:r w:rsidRPr="00AA5B8F">
        <w:rPr>
          <w:lang w:val="en-US"/>
        </w:rPr>
        <w:t>5</w:t>
      </w:r>
      <w:r w:rsidRPr="00AA5B8F">
        <w:rPr>
          <w:lang w:val="en-US"/>
        </w:rPr>
        <w:t>.</w:t>
      </w:r>
    </w:p>
  </w:footnote>
  <w:footnote w:id="43">
    <w:p w14:paraId="649E1502" w14:textId="593F5ED0" w:rsidR="00A4022B" w:rsidRPr="00A4022B" w:rsidRDefault="00A4022B">
      <w:pPr>
        <w:pStyle w:val="Textodenotaderodap"/>
        <w:rPr>
          <w:lang w:val="en-US"/>
        </w:rPr>
      </w:pPr>
      <w:r>
        <w:rPr>
          <w:rStyle w:val="Refdenotaderodap"/>
        </w:rPr>
        <w:footnoteRef/>
      </w:r>
      <w:r w:rsidRPr="00A4022B">
        <w:rPr>
          <w:lang w:val="en-US"/>
        </w:rPr>
        <w:t xml:space="preserve"> Likewise, see </w:t>
      </w:r>
      <w:r w:rsidR="007E0E6F">
        <w:rPr>
          <w:lang w:val="en-US"/>
        </w:rPr>
        <w:t xml:space="preserve">SUDARSANAM; LAI, </w:t>
      </w:r>
      <w:r w:rsidR="000519CE">
        <w:rPr>
          <w:i/>
          <w:iCs/>
          <w:lang w:val="en-US"/>
        </w:rPr>
        <w:t>op. cit.</w:t>
      </w:r>
      <w:r w:rsidR="007E0E6F">
        <w:rPr>
          <w:lang w:val="en-US"/>
        </w:rPr>
        <w:t xml:space="preserve">, </w:t>
      </w:r>
      <w:r>
        <w:rPr>
          <w:lang w:val="en-US"/>
        </w:rPr>
        <w:t xml:space="preserve">p. 185 (stating that a financial restructuring via </w:t>
      </w:r>
      <w:r w:rsidRPr="00893DED">
        <w:rPr>
          <w:lang w:val="en-US"/>
        </w:rPr>
        <w:t xml:space="preserve">debt restructuring </w:t>
      </w:r>
      <w:r>
        <w:rPr>
          <w:lang w:val="en-US"/>
        </w:rPr>
        <w:t>means</w:t>
      </w:r>
      <w:r w:rsidRPr="00893DED">
        <w:rPr>
          <w:lang w:val="en-US"/>
        </w:rPr>
        <w:t xml:space="preserve"> </w:t>
      </w:r>
      <w:r>
        <w:rPr>
          <w:lang w:val="en-US"/>
        </w:rPr>
        <w:t>“</w:t>
      </w:r>
      <w:r w:rsidRPr="00893DED">
        <w:rPr>
          <w:lang w:val="en-US"/>
        </w:rPr>
        <w:t>a transaction in which an existing debt is replaced by a new contract, with one or more of the following characteristics: (1) interest or principal reduced; (2) maturity extended; (3) debt-equity swap</w:t>
      </w:r>
      <w:r>
        <w:rPr>
          <w:lang w:val="en-US"/>
        </w:rPr>
        <w:t>”).</w:t>
      </w:r>
    </w:p>
  </w:footnote>
  <w:footnote w:id="44">
    <w:p w14:paraId="3FDE6951" w14:textId="7BC71211" w:rsidR="000060AE" w:rsidRPr="000060AE" w:rsidRDefault="000060AE">
      <w:pPr>
        <w:pStyle w:val="Textodenotaderodap"/>
        <w:rPr>
          <w:lang w:val="en-US"/>
        </w:rPr>
      </w:pPr>
      <w:r>
        <w:rPr>
          <w:rStyle w:val="Refdenotaderodap"/>
        </w:rPr>
        <w:footnoteRef/>
      </w:r>
      <w:r w:rsidRPr="000060AE">
        <w:rPr>
          <w:lang w:val="en-US"/>
        </w:rPr>
        <w:t xml:space="preserve"> </w:t>
      </w:r>
      <w:r w:rsidR="007829A9">
        <w:rPr>
          <w:lang w:val="en-US"/>
        </w:rPr>
        <w:t xml:space="preserve">See </w:t>
      </w:r>
      <w:r w:rsidR="007829A9" w:rsidRPr="00051C79">
        <w:rPr>
          <w:lang w:val="en-US"/>
        </w:rPr>
        <w:t>SC</w:t>
      </w:r>
      <w:r w:rsidR="007829A9">
        <w:rPr>
          <w:lang w:val="en-US"/>
        </w:rPr>
        <w:t xml:space="preserve">HMITT, Achim; RAISCH, Sebastian. Corporate turnarounds: the duality of retrenchment and recovery. </w:t>
      </w:r>
      <w:r w:rsidR="007829A9">
        <w:rPr>
          <w:i/>
          <w:iCs/>
          <w:lang w:val="en-US"/>
        </w:rPr>
        <w:t>Journal of Management Studies</w:t>
      </w:r>
      <w:r w:rsidR="007829A9">
        <w:rPr>
          <w:lang w:val="en-US"/>
        </w:rPr>
        <w:t>, v. 50, issue 7, p. 1216-1244, November 2013, p. 1237</w:t>
      </w:r>
      <w:r w:rsidR="007829A9">
        <w:rPr>
          <w:lang w:val="en-US"/>
        </w:rPr>
        <w:t xml:space="preserve"> (affirming that </w:t>
      </w:r>
      <w:r>
        <w:rPr>
          <w:lang w:val="en-US"/>
        </w:rPr>
        <w:t>“</w:t>
      </w:r>
      <w:r w:rsidR="007829A9">
        <w:rPr>
          <w:lang w:val="en-US"/>
        </w:rPr>
        <w:t>[r]</w:t>
      </w:r>
      <w:proofErr w:type="spellStart"/>
      <w:r w:rsidRPr="000060AE">
        <w:rPr>
          <w:lang w:val="en-US"/>
        </w:rPr>
        <w:t>etrenchment</w:t>
      </w:r>
      <w:proofErr w:type="spellEnd"/>
      <w:r w:rsidRPr="000060AE">
        <w:rPr>
          <w:lang w:val="en-US"/>
        </w:rPr>
        <w:t xml:space="preserve"> acts as a resource provider in the initial turnaround stage (Pearce and Robbins, 2008), but it is also essential to regain stability in the face of strategic change in the advanced turnaround stage. While recovery drives strategic change in the advanced turnaround stage (Barker and </w:t>
      </w:r>
      <w:proofErr w:type="spellStart"/>
      <w:r w:rsidRPr="000060AE">
        <w:rPr>
          <w:lang w:val="en-US"/>
        </w:rPr>
        <w:t>Mone</w:t>
      </w:r>
      <w:proofErr w:type="spellEnd"/>
      <w:r w:rsidRPr="000060AE">
        <w:rPr>
          <w:lang w:val="en-US"/>
        </w:rPr>
        <w:t>, 1994), it is also an important means to direct retrenchment in the initial turnaround stage</w:t>
      </w:r>
      <w:r>
        <w:rPr>
          <w:lang w:val="en-US"/>
        </w:rPr>
        <w:t>”</w:t>
      </w:r>
      <w:r w:rsidR="007829A9">
        <w:rPr>
          <w:lang w:val="en-US"/>
        </w:rPr>
        <w:t>)</w:t>
      </w:r>
      <w:r>
        <w:rPr>
          <w:lang w:val="en-US"/>
        </w:rPr>
        <w:t>.</w:t>
      </w:r>
    </w:p>
  </w:footnote>
  <w:footnote w:id="45">
    <w:p w14:paraId="17466353" w14:textId="41E69BF5" w:rsidR="00BE77CE" w:rsidRPr="00BE77CE" w:rsidRDefault="00BE77CE">
      <w:pPr>
        <w:pStyle w:val="Textodenotaderodap"/>
        <w:rPr>
          <w:lang w:val="en-US"/>
        </w:rPr>
      </w:pPr>
      <w:r>
        <w:rPr>
          <w:rStyle w:val="Refdenotaderodap"/>
        </w:rPr>
        <w:footnoteRef/>
      </w:r>
      <w:r w:rsidRPr="00A4022B">
        <w:rPr>
          <w:lang w:val="en-US"/>
        </w:rPr>
        <w:t xml:space="preserve"> See INSOL INTERNATIONAL. </w:t>
      </w:r>
      <w:r w:rsidRPr="00E5668A">
        <w:rPr>
          <w:i/>
          <w:iCs/>
          <w:lang w:val="en-US"/>
        </w:rPr>
        <w:t>Statement of Principles for a Global Approach to Multi-Creditor Workouts II</w:t>
      </w:r>
      <w:r>
        <w:rPr>
          <w:lang w:val="en-US"/>
        </w:rPr>
        <w:t>. 2 ed. London: INSOL International, April 2017, p. 18-23.</w:t>
      </w:r>
    </w:p>
  </w:footnote>
  <w:footnote w:id="46">
    <w:p w14:paraId="21169356" w14:textId="414E48BA" w:rsidR="00DD087E" w:rsidRPr="00DD087E" w:rsidRDefault="00DD087E">
      <w:pPr>
        <w:pStyle w:val="Textodenotaderodap"/>
        <w:rPr>
          <w:lang w:val="en-US"/>
        </w:rPr>
      </w:pPr>
      <w:r>
        <w:rPr>
          <w:rStyle w:val="Refdenotaderodap"/>
        </w:rPr>
        <w:footnoteRef/>
      </w:r>
      <w:r w:rsidRPr="00DD087E">
        <w:rPr>
          <w:lang w:val="en-US"/>
        </w:rPr>
        <w:t xml:space="preserve"> </w:t>
      </w:r>
      <w:r w:rsidR="00197D0E">
        <w:rPr>
          <w:lang w:val="en-US"/>
        </w:rPr>
        <w:t xml:space="preserve">See </w:t>
      </w:r>
      <w:r w:rsidRPr="00DD087E">
        <w:rPr>
          <w:lang w:val="en-US"/>
        </w:rPr>
        <w:t>GUZMAN, Andre</w:t>
      </w:r>
      <w:r w:rsidR="00E94C32">
        <w:rPr>
          <w:lang w:val="en-US"/>
        </w:rPr>
        <w:t>w</w:t>
      </w:r>
      <w:r w:rsidRPr="00DD087E">
        <w:rPr>
          <w:lang w:val="en-US"/>
        </w:rPr>
        <w:t xml:space="preserve"> </w:t>
      </w:r>
      <w:proofErr w:type="gramStart"/>
      <w:r w:rsidRPr="00DD087E">
        <w:rPr>
          <w:lang w:val="en-US"/>
        </w:rPr>
        <w:t>T.;</w:t>
      </w:r>
      <w:proofErr w:type="gramEnd"/>
      <w:r w:rsidRPr="00DD087E">
        <w:rPr>
          <w:lang w:val="en-US"/>
        </w:rPr>
        <w:t xml:space="preserve"> MEYER, Timothy </w:t>
      </w:r>
      <w:r>
        <w:rPr>
          <w:lang w:val="en-US"/>
        </w:rPr>
        <w:t xml:space="preserve">L. International soft law. </w:t>
      </w:r>
      <w:r>
        <w:rPr>
          <w:i/>
          <w:iCs/>
          <w:lang w:val="en-US"/>
        </w:rPr>
        <w:t>Journal of Legal Analysis</w:t>
      </w:r>
      <w:r w:rsidRPr="00DD087E">
        <w:rPr>
          <w:lang w:val="en-US"/>
        </w:rPr>
        <w:t>, v. 2, n. 1,</w:t>
      </w:r>
      <w:r>
        <w:rPr>
          <w:i/>
          <w:iCs/>
          <w:lang w:val="en-US"/>
        </w:rPr>
        <w:t xml:space="preserve"> </w:t>
      </w:r>
      <w:r>
        <w:rPr>
          <w:lang w:val="en-US"/>
        </w:rPr>
        <w:t>p. 171-225, Spring 2010.</w:t>
      </w:r>
    </w:p>
  </w:footnote>
  <w:footnote w:id="47">
    <w:p w14:paraId="568F364E" w14:textId="09E486FE" w:rsidR="00E5668A" w:rsidRPr="00E5668A" w:rsidRDefault="00E5668A">
      <w:pPr>
        <w:pStyle w:val="Textodenotaderodap"/>
        <w:rPr>
          <w:lang w:val="en-US"/>
        </w:rPr>
      </w:pPr>
      <w:r>
        <w:rPr>
          <w:rStyle w:val="Refdenotaderodap"/>
        </w:rPr>
        <w:footnoteRef/>
      </w:r>
      <w:r w:rsidRPr="00E5668A">
        <w:rPr>
          <w:lang w:val="en-US"/>
        </w:rPr>
        <w:t xml:space="preserve"> </w:t>
      </w:r>
      <w:r w:rsidR="00197D0E">
        <w:rPr>
          <w:lang w:val="en-US"/>
        </w:rPr>
        <w:t xml:space="preserve">See </w:t>
      </w:r>
      <w:r w:rsidRPr="00E5668A">
        <w:rPr>
          <w:lang w:val="en-US"/>
        </w:rPr>
        <w:t xml:space="preserve">INSOL </w:t>
      </w:r>
      <w:r>
        <w:rPr>
          <w:lang w:val="en-US"/>
        </w:rPr>
        <w:t>INTERNATIONAL</w:t>
      </w:r>
      <w:r w:rsidRPr="00E5668A">
        <w:rPr>
          <w:lang w:val="en-US"/>
        </w:rPr>
        <w:t xml:space="preserve">. </w:t>
      </w:r>
      <w:r w:rsidRPr="00E5668A">
        <w:rPr>
          <w:i/>
          <w:iCs/>
          <w:lang w:val="en-US"/>
        </w:rPr>
        <w:t>Statement of Principles for a Global Approach to Multi-Creditor Workouts II</w:t>
      </w:r>
      <w:r>
        <w:rPr>
          <w:lang w:val="en-US"/>
        </w:rPr>
        <w:t>. 2 ed. London: INSOL International, April 2017, p. 4</w:t>
      </w:r>
      <w:r w:rsidR="00E94C32">
        <w:rPr>
          <w:lang w:val="en-US"/>
        </w:rPr>
        <w:t>.</w:t>
      </w:r>
    </w:p>
  </w:footnote>
  <w:footnote w:id="48">
    <w:p w14:paraId="69BCF70A" w14:textId="54D82839" w:rsidR="00D97418" w:rsidRPr="00197D0E" w:rsidRDefault="00D97418">
      <w:pPr>
        <w:pStyle w:val="Textodenotaderodap"/>
        <w:rPr>
          <w:lang w:val="en-US"/>
        </w:rPr>
      </w:pPr>
      <w:r>
        <w:rPr>
          <w:rStyle w:val="Refdenotaderodap"/>
        </w:rPr>
        <w:footnoteRef/>
      </w:r>
      <w:r w:rsidRPr="00D97418">
        <w:rPr>
          <w:lang w:val="en-US"/>
        </w:rPr>
        <w:t xml:space="preserve"> </w:t>
      </w:r>
      <w:r w:rsidR="00197D0E">
        <w:rPr>
          <w:lang w:val="en-US"/>
        </w:rPr>
        <w:t xml:space="preserve">See </w:t>
      </w:r>
      <w:r w:rsidRPr="00D97418">
        <w:rPr>
          <w:lang w:val="en-US"/>
        </w:rPr>
        <w:t>JACKSON, Thomas H.</w:t>
      </w:r>
      <w:r w:rsidRPr="00D97418" w:rsidDel="00B7484C">
        <w:rPr>
          <w:lang w:val="en-US"/>
        </w:rPr>
        <w:t xml:space="preserve"> </w:t>
      </w:r>
      <w:r w:rsidRPr="00D97418">
        <w:rPr>
          <w:i/>
          <w:lang w:val="en-US"/>
        </w:rPr>
        <w:t xml:space="preserve">The logic and limits of bankruptcy law. </w:t>
      </w:r>
      <w:r w:rsidRPr="00D97418">
        <w:rPr>
          <w:lang w:val="en-US"/>
        </w:rPr>
        <w:t xml:space="preserve">Washington: </w:t>
      </w:r>
      <w:proofErr w:type="spellStart"/>
      <w:r w:rsidRPr="00D97418">
        <w:rPr>
          <w:lang w:val="en-US"/>
        </w:rPr>
        <w:t>BeardBooks</w:t>
      </w:r>
      <w:proofErr w:type="spellEnd"/>
      <w:r w:rsidRPr="00D97418">
        <w:rPr>
          <w:lang w:val="en-US"/>
        </w:rPr>
        <w:t>, 2001</w:t>
      </w:r>
      <w:r>
        <w:rPr>
          <w:lang w:val="en-US"/>
        </w:rPr>
        <w:t>, p. 12-14.</w:t>
      </w:r>
    </w:p>
  </w:footnote>
  <w:footnote w:id="49">
    <w:p w14:paraId="4C41D7B5" w14:textId="16228CC7" w:rsidR="00E94C32" w:rsidRPr="00F13B61" w:rsidRDefault="00E94C32">
      <w:pPr>
        <w:pStyle w:val="Textodenotaderodap"/>
        <w:rPr>
          <w:lang w:val="en-US"/>
        </w:rPr>
      </w:pPr>
      <w:r>
        <w:rPr>
          <w:rStyle w:val="Refdenotaderodap"/>
        </w:rPr>
        <w:footnoteRef/>
      </w:r>
      <w:r w:rsidRPr="00E94C32">
        <w:rPr>
          <w:lang w:val="en-US"/>
        </w:rPr>
        <w:t xml:space="preserve"> </w:t>
      </w:r>
      <w:r w:rsidR="00197D0E">
        <w:rPr>
          <w:lang w:val="en-US"/>
        </w:rPr>
        <w:t xml:space="preserve">See </w:t>
      </w:r>
      <w:r w:rsidRPr="00E5668A">
        <w:rPr>
          <w:lang w:val="en-US"/>
        </w:rPr>
        <w:t xml:space="preserve">INSOL </w:t>
      </w:r>
      <w:r>
        <w:rPr>
          <w:lang w:val="en-US"/>
        </w:rPr>
        <w:t>INTERNATIONAL</w:t>
      </w:r>
      <w:r w:rsidRPr="00E5668A">
        <w:rPr>
          <w:lang w:val="en-US"/>
        </w:rPr>
        <w:t xml:space="preserve">. </w:t>
      </w:r>
      <w:r w:rsidRPr="00E5668A">
        <w:rPr>
          <w:i/>
          <w:iCs/>
          <w:lang w:val="en-US"/>
        </w:rPr>
        <w:t>Statement of Principles for a Global Approach to Multi-Creditor Workouts II</w:t>
      </w:r>
      <w:r>
        <w:rPr>
          <w:lang w:val="en-US"/>
        </w:rPr>
        <w:t>. 2 ed. London: INSOL International, April 2017, p. 13.</w:t>
      </w:r>
    </w:p>
  </w:footnote>
  <w:footnote w:id="50">
    <w:p w14:paraId="62A09C4D" w14:textId="025E5EA4" w:rsidR="001F1449" w:rsidRPr="00F13B61" w:rsidRDefault="001F1449">
      <w:pPr>
        <w:pStyle w:val="Textodenotaderodap"/>
        <w:rPr>
          <w:lang w:val="en-US"/>
        </w:rPr>
      </w:pPr>
      <w:r>
        <w:rPr>
          <w:rStyle w:val="Refdenotaderodap"/>
        </w:rPr>
        <w:footnoteRef/>
      </w:r>
      <w:r w:rsidRPr="001F1449">
        <w:rPr>
          <w:lang w:val="en-US"/>
        </w:rPr>
        <w:t xml:space="preserve"> </w:t>
      </w:r>
      <w:r w:rsidR="00A53A97">
        <w:rPr>
          <w:i/>
          <w:iCs/>
          <w:lang w:val="en-US"/>
        </w:rPr>
        <w:t>Ibidem</w:t>
      </w:r>
      <w:r>
        <w:rPr>
          <w:lang w:val="en-US"/>
        </w:rPr>
        <w:t>, p. 17.</w:t>
      </w:r>
    </w:p>
  </w:footnote>
  <w:footnote w:id="51">
    <w:p w14:paraId="4CE7D2ED" w14:textId="5BE0EF3A" w:rsidR="001F47D5" w:rsidRPr="001F47D5" w:rsidRDefault="001F47D5">
      <w:pPr>
        <w:pStyle w:val="Textodenotaderodap"/>
        <w:rPr>
          <w:lang w:val="en-US"/>
        </w:rPr>
      </w:pPr>
      <w:r>
        <w:rPr>
          <w:rStyle w:val="Refdenotaderodap"/>
        </w:rPr>
        <w:footnoteRef/>
      </w:r>
      <w:r w:rsidRPr="001F47D5">
        <w:rPr>
          <w:lang w:val="en-US"/>
        </w:rPr>
        <w:t xml:space="preserve"> </w:t>
      </w:r>
      <w:r>
        <w:rPr>
          <w:lang w:val="en-US"/>
        </w:rPr>
        <w:t xml:space="preserve">George A. </w:t>
      </w:r>
      <w:proofErr w:type="spellStart"/>
      <w:r>
        <w:rPr>
          <w:lang w:val="en-US"/>
        </w:rPr>
        <w:t>Akerlof</w:t>
      </w:r>
      <w:proofErr w:type="spellEnd"/>
      <w:r>
        <w:rPr>
          <w:lang w:val="en-US"/>
        </w:rPr>
        <w:t xml:space="preserve"> gives the famous example of the used car market to show how informational asymmetries may cause assets to be undervalued, which, in Flow Management</w:t>
      </w:r>
      <w:r w:rsidR="00210826">
        <w:rPr>
          <w:lang w:val="en-US"/>
        </w:rPr>
        <w:t xml:space="preserve"> Group</w:t>
      </w:r>
      <w:r>
        <w:rPr>
          <w:lang w:val="en-US"/>
        </w:rPr>
        <w:t xml:space="preserve">’s case, would lead to inadequate restructuring proposals that might impose a greater-than-necessary loss to the debtor’s controlling shareholder, or a lower-than-expected return for the Group of Banks, for instance. </w:t>
      </w:r>
      <w:r w:rsidRPr="001F47D5">
        <w:rPr>
          <w:lang w:val="en-US"/>
        </w:rPr>
        <w:t xml:space="preserve">See AKERLOF, George A. The market for “lemons”: quality uncertainty and the market mechanism. </w:t>
      </w:r>
      <w:r w:rsidRPr="001F47D5">
        <w:rPr>
          <w:i/>
          <w:lang w:val="en-US"/>
        </w:rPr>
        <w:t>The Quarterly Journal of Economics</w:t>
      </w:r>
      <w:r w:rsidRPr="001F47D5">
        <w:rPr>
          <w:lang w:val="en-US"/>
        </w:rPr>
        <w:t xml:space="preserve">, v. 84, n. 3, p. 488-500, </w:t>
      </w:r>
      <w:r>
        <w:rPr>
          <w:lang w:val="en-US"/>
        </w:rPr>
        <w:t>August</w:t>
      </w:r>
      <w:r w:rsidRPr="001F47D5">
        <w:rPr>
          <w:lang w:val="en-US"/>
        </w:rPr>
        <w:t xml:space="preserve"> 1970</w:t>
      </w:r>
      <w:r>
        <w:rPr>
          <w:lang w:val="en-US"/>
        </w:rPr>
        <w:t>.</w:t>
      </w:r>
    </w:p>
  </w:footnote>
  <w:footnote w:id="52">
    <w:p w14:paraId="5E443B64" w14:textId="7EAC5402" w:rsidR="001F47D5" w:rsidRPr="001F47D5" w:rsidRDefault="001F47D5">
      <w:pPr>
        <w:pStyle w:val="Textodenotaderodap"/>
        <w:rPr>
          <w:lang w:val="en-US"/>
        </w:rPr>
      </w:pPr>
      <w:r>
        <w:rPr>
          <w:rStyle w:val="Refdenotaderodap"/>
        </w:rPr>
        <w:footnoteRef/>
      </w:r>
      <w:r w:rsidRPr="001F47D5">
        <w:rPr>
          <w:lang w:val="en-US"/>
        </w:rPr>
        <w:t xml:space="preserve"> </w:t>
      </w:r>
      <w:r w:rsidR="004F7F63">
        <w:rPr>
          <w:lang w:val="en-US"/>
        </w:rPr>
        <w:t>The fact that the information provided by Flow Management</w:t>
      </w:r>
      <w:r w:rsidR="00210826">
        <w:rPr>
          <w:lang w:val="en-US"/>
        </w:rPr>
        <w:t xml:space="preserve"> Group</w:t>
      </w:r>
      <w:r w:rsidR="004F7F63">
        <w:rPr>
          <w:lang w:val="en-US"/>
        </w:rPr>
        <w:t xml:space="preserve"> was late</w:t>
      </w:r>
      <w:r w:rsidR="0055006F">
        <w:rPr>
          <w:lang w:val="en-US"/>
        </w:rPr>
        <w:t>r</w:t>
      </w:r>
      <w:r w:rsidR="004F7F63">
        <w:rPr>
          <w:lang w:val="en-US"/>
        </w:rPr>
        <w:t xml:space="preserve"> found to be inaccurate and insufficient signaled to the Group of Banks, especially to Banks C and D, that the debtor did not have their house in order and was not employing their best efforts to negotiate a consensual solution to their financial distress. Regarding the </w:t>
      </w:r>
      <w:r w:rsidR="0055006F">
        <w:rPr>
          <w:lang w:val="en-US"/>
        </w:rPr>
        <w:t xml:space="preserve">notion and </w:t>
      </w:r>
      <w:r w:rsidR="004F7F63">
        <w:rPr>
          <w:lang w:val="en-US"/>
        </w:rPr>
        <w:t>importance of signaling, s</w:t>
      </w:r>
      <w:r w:rsidRPr="001F47D5">
        <w:rPr>
          <w:lang w:val="en-US"/>
        </w:rPr>
        <w:t xml:space="preserve">ee SPENCE, Michael. Job market signaling. </w:t>
      </w:r>
      <w:r w:rsidRPr="001F47D5">
        <w:rPr>
          <w:i/>
          <w:iCs/>
          <w:lang w:val="en-US"/>
        </w:rPr>
        <w:t>The Quarterly Journal of Economics</w:t>
      </w:r>
      <w:r w:rsidRPr="001F47D5">
        <w:rPr>
          <w:lang w:val="en-US"/>
        </w:rPr>
        <w:t>, v. 87, n. 3, p. 355-375, 1973</w:t>
      </w:r>
      <w:r>
        <w:rPr>
          <w:lang w:val="en-US"/>
        </w:rPr>
        <w:t xml:space="preserve">. See also </w:t>
      </w:r>
      <w:r w:rsidRPr="001F47D5">
        <w:rPr>
          <w:lang w:val="en-US"/>
        </w:rPr>
        <w:t xml:space="preserve">GREENWALD, Bruce </w:t>
      </w:r>
      <w:proofErr w:type="gramStart"/>
      <w:r w:rsidRPr="001F47D5">
        <w:rPr>
          <w:lang w:val="en-US"/>
        </w:rPr>
        <w:t>C.;</w:t>
      </w:r>
      <w:proofErr w:type="gramEnd"/>
      <w:r w:rsidRPr="001F47D5">
        <w:rPr>
          <w:lang w:val="en-US"/>
        </w:rPr>
        <w:t xml:space="preserve"> STIGLITZ, Joseph E. Externalities in economies with imperfect information and incomplete markets. </w:t>
      </w:r>
      <w:r w:rsidRPr="001F47D5">
        <w:rPr>
          <w:i/>
          <w:iCs/>
          <w:lang w:val="en-US"/>
        </w:rPr>
        <w:t>The Quarterly Journal of Economics</w:t>
      </w:r>
      <w:r w:rsidRPr="001F47D5">
        <w:rPr>
          <w:lang w:val="en-US"/>
        </w:rPr>
        <w:t>, v. 101, n. 2, p. 229-264, 1986</w:t>
      </w:r>
      <w:r>
        <w:rPr>
          <w:lang w:val="en-US"/>
        </w:rPr>
        <w:t>.</w:t>
      </w:r>
    </w:p>
  </w:footnote>
  <w:footnote w:id="53">
    <w:p w14:paraId="02D1C434" w14:textId="185EF939" w:rsidR="00197D0E" w:rsidRPr="00DE0C5F" w:rsidRDefault="00197D0E">
      <w:pPr>
        <w:pStyle w:val="Textodenotaderodap"/>
        <w:rPr>
          <w:lang w:val="en-US"/>
        </w:rPr>
      </w:pPr>
      <w:r>
        <w:rPr>
          <w:rStyle w:val="Refdenotaderodap"/>
        </w:rPr>
        <w:footnoteRef/>
      </w:r>
      <w:r w:rsidRPr="00197D0E">
        <w:rPr>
          <w:lang w:val="en-US"/>
        </w:rPr>
        <w:t xml:space="preserve"> </w:t>
      </w:r>
      <w:r>
        <w:rPr>
          <w:lang w:val="en-US"/>
        </w:rPr>
        <w:t xml:space="preserve">See </w:t>
      </w:r>
      <w:r w:rsidRPr="00E5668A">
        <w:rPr>
          <w:lang w:val="en-US"/>
        </w:rPr>
        <w:t xml:space="preserve">INSOL </w:t>
      </w:r>
      <w:r>
        <w:rPr>
          <w:lang w:val="en-US"/>
        </w:rPr>
        <w:t>INTERNATIONAL</w:t>
      </w:r>
      <w:r w:rsidRPr="00E5668A">
        <w:rPr>
          <w:lang w:val="en-US"/>
        </w:rPr>
        <w:t xml:space="preserve">. </w:t>
      </w:r>
      <w:r w:rsidRPr="00E5668A">
        <w:rPr>
          <w:i/>
          <w:iCs/>
          <w:lang w:val="en-US"/>
        </w:rPr>
        <w:t>Statement of Principles for a Global Approach to Multi-Creditor Workouts II</w:t>
      </w:r>
      <w:r>
        <w:rPr>
          <w:lang w:val="en-US"/>
        </w:rPr>
        <w:t>. 2 ed. London: INSOL International, April 2017, p. 26.</w:t>
      </w:r>
    </w:p>
  </w:footnote>
  <w:footnote w:id="54">
    <w:p w14:paraId="67D6F788" w14:textId="139B91BA" w:rsidR="00CD7043" w:rsidRPr="00CD7043" w:rsidRDefault="00CD7043" w:rsidP="00A97126">
      <w:pPr>
        <w:pStyle w:val="Textodenotaderodap"/>
        <w:rPr>
          <w:lang w:val="en-US"/>
        </w:rPr>
      </w:pPr>
      <w:r>
        <w:rPr>
          <w:rStyle w:val="Refdenotaderodap"/>
        </w:rPr>
        <w:footnoteRef/>
      </w:r>
      <w:r w:rsidRPr="00CD7043">
        <w:rPr>
          <w:lang w:val="en-US"/>
        </w:rPr>
        <w:t xml:space="preserve"> See UNCITRAL</w:t>
      </w:r>
      <w:r>
        <w:rPr>
          <w:lang w:val="en-US"/>
        </w:rPr>
        <w:t>.</w:t>
      </w:r>
      <w:r w:rsidRPr="00CD7043">
        <w:rPr>
          <w:lang w:val="en-US"/>
        </w:rPr>
        <w:t xml:space="preserve"> </w:t>
      </w:r>
      <w:r w:rsidRPr="00CD7043">
        <w:rPr>
          <w:i/>
          <w:iCs/>
          <w:lang w:val="en-US"/>
        </w:rPr>
        <w:t>Legislative Guide on Insolvency Law</w:t>
      </w:r>
      <w:r>
        <w:rPr>
          <w:i/>
          <w:iCs/>
          <w:lang w:val="en-US"/>
        </w:rPr>
        <w:t>:</w:t>
      </w:r>
      <w:r>
        <w:rPr>
          <w:lang w:val="en-US"/>
        </w:rPr>
        <w:t xml:space="preserve"> parts one and two</w:t>
      </w:r>
      <w:r w:rsidRPr="00CD7043">
        <w:rPr>
          <w:lang w:val="en-US"/>
        </w:rPr>
        <w:t>.</w:t>
      </w:r>
      <w:r>
        <w:rPr>
          <w:lang w:val="en-US"/>
        </w:rPr>
        <w:t xml:space="preserve"> New York: United Nations, 2005</w:t>
      </w:r>
      <w:r w:rsidR="00B634B3">
        <w:rPr>
          <w:lang w:val="en-US"/>
        </w:rPr>
        <w:t xml:space="preserve">, available at: </w:t>
      </w:r>
      <w:r w:rsidR="0089485E" w:rsidRPr="0089485E">
        <w:rPr>
          <w:lang w:val="en-US"/>
        </w:rPr>
        <w:t>https://bit.ly/3mEMBiB</w:t>
      </w:r>
      <w:r w:rsidR="00B634B3">
        <w:rPr>
          <w:lang w:val="en-US"/>
        </w:rPr>
        <w:t>.</w:t>
      </w:r>
    </w:p>
  </w:footnote>
  <w:footnote w:id="55">
    <w:p w14:paraId="172EC427" w14:textId="368FD923" w:rsidR="0089485E" w:rsidRPr="0089485E" w:rsidRDefault="0089485E">
      <w:pPr>
        <w:pStyle w:val="Textodenotaderodap"/>
        <w:rPr>
          <w:lang w:val="en-US"/>
        </w:rPr>
      </w:pPr>
      <w:r>
        <w:rPr>
          <w:rStyle w:val="Refdenotaderodap"/>
        </w:rPr>
        <w:footnoteRef/>
      </w:r>
      <w:r w:rsidRPr="0089485E">
        <w:rPr>
          <w:lang w:val="en-US"/>
        </w:rPr>
        <w:t xml:space="preserve"> </w:t>
      </w:r>
      <w:r w:rsidR="00A53A97">
        <w:rPr>
          <w:i/>
          <w:iCs/>
          <w:lang w:val="en-US"/>
        </w:rPr>
        <w:t>Ibidem</w:t>
      </w:r>
      <w:r w:rsidR="00A53A97">
        <w:rPr>
          <w:lang w:val="en-US"/>
        </w:rPr>
        <w:t>, p. 24</w:t>
      </w:r>
      <w:r>
        <w:rPr>
          <w:lang w:val="en-US"/>
        </w:rPr>
        <w:t>.</w:t>
      </w:r>
    </w:p>
  </w:footnote>
  <w:footnote w:id="56">
    <w:p w14:paraId="3E00A88B" w14:textId="14D9D0F9" w:rsidR="0089485E" w:rsidRPr="0089485E" w:rsidRDefault="0089485E">
      <w:pPr>
        <w:pStyle w:val="Textodenotaderodap"/>
        <w:rPr>
          <w:lang w:val="en-US"/>
        </w:rPr>
      </w:pPr>
      <w:r>
        <w:rPr>
          <w:rStyle w:val="Refdenotaderodap"/>
        </w:rPr>
        <w:footnoteRef/>
      </w:r>
      <w:r w:rsidRPr="0089485E">
        <w:rPr>
          <w:lang w:val="en-US"/>
        </w:rPr>
        <w:t xml:space="preserve"> </w:t>
      </w:r>
      <w:r w:rsidR="00A53A97">
        <w:rPr>
          <w:i/>
          <w:iCs/>
          <w:lang w:val="en-US"/>
        </w:rPr>
        <w:t xml:space="preserve">Ibidem, </w:t>
      </w:r>
      <w:r w:rsidR="00A53A97">
        <w:rPr>
          <w:lang w:val="en-US"/>
        </w:rPr>
        <w:t>p. 25</w:t>
      </w:r>
      <w:r>
        <w:rPr>
          <w:lang w:val="en-US"/>
        </w:rPr>
        <w:t>.</w:t>
      </w:r>
    </w:p>
  </w:footnote>
  <w:footnote w:id="57">
    <w:p w14:paraId="33AE7CED" w14:textId="677C8608" w:rsidR="00B634B3" w:rsidRPr="00B634B3" w:rsidRDefault="00B634B3">
      <w:pPr>
        <w:pStyle w:val="Textodenotaderodap"/>
        <w:rPr>
          <w:lang w:val="en-US"/>
        </w:rPr>
      </w:pPr>
      <w:r>
        <w:rPr>
          <w:rStyle w:val="Refdenotaderodap"/>
        </w:rPr>
        <w:footnoteRef/>
      </w:r>
      <w:r w:rsidRPr="00B634B3">
        <w:rPr>
          <w:lang w:val="en-US"/>
        </w:rPr>
        <w:t xml:space="preserve"> See </w:t>
      </w:r>
      <w:r w:rsidR="00A97126">
        <w:rPr>
          <w:lang w:val="en-US"/>
        </w:rPr>
        <w:t xml:space="preserve">THE </w:t>
      </w:r>
      <w:r w:rsidRPr="00B634B3">
        <w:rPr>
          <w:lang w:val="en-US"/>
        </w:rPr>
        <w:t xml:space="preserve">WORLD BANK. </w:t>
      </w:r>
      <w:r w:rsidRPr="00B634B3">
        <w:rPr>
          <w:i/>
          <w:iCs/>
          <w:lang w:val="en-US"/>
        </w:rPr>
        <w:t>Principles for Effective Insolvenc</w:t>
      </w:r>
      <w:r>
        <w:rPr>
          <w:i/>
          <w:iCs/>
          <w:lang w:val="en-US"/>
        </w:rPr>
        <w:t>y and Creditor/Debtor Regimes.</w:t>
      </w:r>
      <w:r>
        <w:rPr>
          <w:lang w:val="en-US"/>
        </w:rPr>
        <w:t xml:space="preserve"> Washington-DC: The World Bank, 2021, available at: </w:t>
      </w:r>
      <w:r w:rsidR="0089485E" w:rsidRPr="0089485E">
        <w:rPr>
          <w:lang w:val="en-US"/>
        </w:rPr>
        <w:t>https://bit.ly/3bvAjCN</w:t>
      </w:r>
      <w:r>
        <w:rPr>
          <w:lang w:val="en-US"/>
        </w:rPr>
        <w:t>.</w:t>
      </w:r>
    </w:p>
  </w:footnote>
  <w:footnote w:id="58">
    <w:p w14:paraId="63185E1E" w14:textId="11155072" w:rsidR="00EF0CA2" w:rsidRPr="00EF0CA2" w:rsidRDefault="00EF0CA2">
      <w:pPr>
        <w:pStyle w:val="Textodenotaderodap"/>
        <w:rPr>
          <w:lang w:val="en-US"/>
        </w:rPr>
      </w:pPr>
      <w:r>
        <w:rPr>
          <w:rStyle w:val="Refdenotaderodap"/>
        </w:rPr>
        <w:footnoteRef/>
      </w:r>
      <w:r w:rsidRPr="00EF0CA2">
        <w:rPr>
          <w:lang w:val="en-US"/>
        </w:rPr>
        <w:t xml:space="preserve"> </w:t>
      </w:r>
      <w:r w:rsidR="000519CE" w:rsidRPr="00B634B3">
        <w:rPr>
          <w:lang w:val="en-US"/>
        </w:rPr>
        <w:t xml:space="preserve">See </w:t>
      </w:r>
      <w:r w:rsidR="000519CE">
        <w:rPr>
          <w:lang w:val="en-US"/>
        </w:rPr>
        <w:t xml:space="preserve">THE </w:t>
      </w:r>
      <w:r w:rsidR="000519CE" w:rsidRPr="00B634B3">
        <w:rPr>
          <w:lang w:val="en-US"/>
        </w:rPr>
        <w:t xml:space="preserve">WORLD BANK. </w:t>
      </w:r>
      <w:r w:rsidR="000519CE" w:rsidRPr="00B634B3">
        <w:rPr>
          <w:i/>
          <w:iCs/>
          <w:lang w:val="en-US"/>
        </w:rPr>
        <w:t>Principles for Effective Insolvenc</w:t>
      </w:r>
      <w:r w:rsidR="000519CE">
        <w:rPr>
          <w:i/>
          <w:iCs/>
          <w:lang w:val="en-US"/>
        </w:rPr>
        <w:t>y and Creditor/Debtor Regimes.</w:t>
      </w:r>
      <w:r w:rsidR="000519CE">
        <w:rPr>
          <w:lang w:val="en-US"/>
        </w:rPr>
        <w:t xml:space="preserve"> Washington-DC: The World Bank, 2021, </w:t>
      </w:r>
      <w:r w:rsidR="000519CE">
        <w:rPr>
          <w:lang w:val="en-US"/>
        </w:rPr>
        <w:t xml:space="preserve">p. 7, </w:t>
      </w:r>
      <w:r w:rsidR="000519CE">
        <w:rPr>
          <w:lang w:val="en-US"/>
        </w:rPr>
        <w:t xml:space="preserve">available at: </w:t>
      </w:r>
      <w:r w:rsidR="000519CE" w:rsidRPr="0089485E">
        <w:rPr>
          <w:lang w:val="en-US"/>
        </w:rPr>
        <w:t>https://bit.ly/3bvAjCN</w:t>
      </w:r>
      <w:r>
        <w:rPr>
          <w:lang w:val="en-US"/>
        </w:rPr>
        <w:t>.</w:t>
      </w:r>
    </w:p>
  </w:footnote>
  <w:footnote w:id="59">
    <w:p w14:paraId="78EF7F96" w14:textId="4DACBC77" w:rsidR="003335C2" w:rsidRPr="00A53A97" w:rsidRDefault="003335C2">
      <w:pPr>
        <w:pStyle w:val="Textodenotaderodap"/>
        <w:rPr>
          <w:lang w:val="en-US"/>
        </w:rPr>
      </w:pPr>
      <w:r>
        <w:rPr>
          <w:rStyle w:val="Refdenotaderodap"/>
        </w:rPr>
        <w:footnoteRef/>
      </w:r>
      <w:r w:rsidRPr="003335C2">
        <w:rPr>
          <w:lang w:val="en-US"/>
        </w:rPr>
        <w:t xml:space="preserve"> </w:t>
      </w:r>
      <w:r w:rsidR="00A53A97">
        <w:rPr>
          <w:i/>
          <w:iCs/>
          <w:lang w:val="en-US"/>
        </w:rPr>
        <w:t>Ibidem</w:t>
      </w:r>
      <w:r w:rsidR="00A53A97">
        <w:rPr>
          <w:lang w:val="en-US"/>
        </w:rPr>
        <w:t>, p. 19.</w:t>
      </w:r>
    </w:p>
  </w:footnote>
  <w:footnote w:id="60">
    <w:p w14:paraId="62E3D377" w14:textId="036280AF" w:rsidR="00A97126" w:rsidRPr="00B634B3" w:rsidRDefault="00A97126" w:rsidP="00A97126">
      <w:pPr>
        <w:pStyle w:val="Textodenotaderodap"/>
        <w:rPr>
          <w:lang w:val="en-US"/>
        </w:rPr>
      </w:pPr>
      <w:r>
        <w:rPr>
          <w:rStyle w:val="Refdenotaderodap"/>
        </w:rPr>
        <w:footnoteRef/>
      </w:r>
      <w:r w:rsidRPr="00B634B3">
        <w:rPr>
          <w:lang w:val="en-US"/>
        </w:rPr>
        <w:t xml:space="preserve"> See Insolvency and Creditor Rights Standard</w:t>
      </w:r>
      <w:r>
        <w:rPr>
          <w:lang w:val="en-US"/>
        </w:rPr>
        <w:t xml:space="preserve">, 20 January 2011, available at: </w:t>
      </w:r>
      <w:r w:rsidR="0089485E" w:rsidRPr="0089485E">
        <w:rPr>
          <w:lang w:val="en-US"/>
        </w:rPr>
        <w:t>https://bit.ly/3q7ADjk</w:t>
      </w:r>
      <w:r>
        <w:rPr>
          <w:lang w:val="en-US"/>
        </w:rPr>
        <w:t>.</w:t>
      </w:r>
    </w:p>
  </w:footnote>
  <w:footnote w:id="61">
    <w:p w14:paraId="56B8716F" w14:textId="4BD6E4FC" w:rsidR="00A97126" w:rsidRPr="00A97126" w:rsidRDefault="00A97126">
      <w:pPr>
        <w:pStyle w:val="Textodenotaderodap"/>
        <w:rPr>
          <w:lang w:val="en-US"/>
        </w:rPr>
      </w:pPr>
      <w:r>
        <w:rPr>
          <w:rStyle w:val="Refdenotaderodap"/>
        </w:rPr>
        <w:footnoteRef/>
      </w:r>
      <w:r w:rsidRPr="00A97126">
        <w:rPr>
          <w:lang w:val="en-US"/>
        </w:rPr>
        <w:t xml:space="preserve"> See THE WORLD BANK</w:t>
      </w:r>
      <w:r w:rsidR="00A53A97">
        <w:rPr>
          <w:lang w:val="en-US"/>
        </w:rPr>
        <w:t>,</w:t>
      </w:r>
      <w:r w:rsidRPr="00A97126">
        <w:rPr>
          <w:lang w:val="en-US"/>
        </w:rPr>
        <w:t xml:space="preserve"> </w:t>
      </w:r>
      <w:r w:rsidRPr="00A53A97">
        <w:rPr>
          <w:lang w:val="en-US"/>
        </w:rPr>
        <w:t xml:space="preserve">Principles for Effective Insolvency and Creditor/Debtor Regimes: brief. 19 November 2015, available at: </w:t>
      </w:r>
      <w:r w:rsidR="0089485E" w:rsidRPr="00A53A97">
        <w:rPr>
          <w:lang w:val="en-US"/>
        </w:rPr>
        <w:t>https://bit.ly/3waCyoh</w:t>
      </w:r>
      <w:r w:rsidRPr="00A97126">
        <w:rPr>
          <w:lang w:val="en-US"/>
        </w:rPr>
        <w:t>.</w:t>
      </w:r>
    </w:p>
  </w:footnote>
  <w:footnote w:id="62">
    <w:p w14:paraId="4C474A3A" w14:textId="6E9D0999" w:rsidR="003B72E8" w:rsidRPr="003B72E8" w:rsidRDefault="003B72E8">
      <w:pPr>
        <w:pStyle w:val="Textodenotaderodap"/>
        <w:rPr>
          <w:lang w:val="en-US"/>
        </w:rPr>
      </w:pPr>
      <w:r>
        <w:rPr>
          <w:rStyle w:val="Refdenotaderodap"/>
        </w:rPr>
        <w:footnoteRef/>
      </w:r>
      <w:r w:rsidRPr="003B72E8">
        <w:rPr>
          <w:lang w:val="en-US"/>
        </w:rPr>
        <w:t xml:space="preserve"> </w:t>
      </w:r>
      <w:r>
        <w:rPr>
          <w:lang w:val="en-US"/>
        </w:rPr>
        <w:t xml:space="preserve">See </w:t>
      </w:r>
      <w:r>
        <w:rPr>
          <w:lang w:val="en-US"/>
        </w:rPr>
        <w:t xml:space="preserve">ADRIAANSE, Jan; KUIJL, Hans. Resolving financial distress: informal reorganization in the Netherlands as a beacon for policy makers in the CIS and CEE/SEE regions? </w:t>
      </w:r>
      <w:r>
        <w:rPr>
          <w:i/>
          <w:iCs/>
          <w:lang w:val="en-US"/>
        </w:rPr>
        <w:t>Review of Central and East European Law</w:t>
      </w:r>
      <w:r>
        <w:rPr>
          <w:lang w:val="en-US"/>
        </w:rPr>
        <w:t>, v. 31, p. 135-154, 2006</w:t>
      </w:r>
      <w:r>
        <w:rPr>
          <w:lang w:val="en-US"/>
        </w:rPr>
        <w:t>, p. 136</w:t>
      </w:r>
      <w:r>
        <w:rPr>
          <w:lang w:val="en-US"/>
        </w:rPr>
        <w:t>.</w:t>
      </w:r>
    </w:p>
  </w:footnote>
  <w:footnote w:id="63">
    <w:p w14:paraId="032C7AD8" w14:textId="2AF2B2F4" w:rsidR="00893DED" w:rsidRPr="00893DED" w:rsidRDefault="00893DED">
      <w:pPr>
        <w:pStyle w:val="Textodenotaderodap"/>
        <w:rPr>
          <w:lang w:val="en-US"/>
        </w:rPr>
      </w:pPr>
      <w:r>
        <w:rPr>
          <w:rStyle w:val="Refdenotaderodap"/>
        </w:rPr>
        <w:footnoteRef/>
      </w:r>
      <w:r w:rsidRPr="00893DED">
        <w:rPr>
          <w:lang w:val="en-US"/>
        </w:rPr>
        <w:t xml:space="preserve"> </w:t>
      </w:r>
      <w:r>
        <w:rPr>
          <w:lang w:val="en-US"/>
        </w:rPr>
        <w:t xml:space="preserve">See SUDARSANAM, </w:t>
      </w:r>
      <w:proofErr w:type="spellStart"/>
      <w:proofErr w:type="gramStart"/>
      <w:r>
        <w:rPr>
          <w:lang w:val="en-US"/>
        </w:rPr>
        <w:t>Sudi</w:t>
      </w:r>
      <w:proofErr w:type="spellEnd"/>
      <w:r>
        <w:rPr>
          <w:lang w:val="en-US"/>
        </w:rPr>
        <w:t>;</w:t>
      </w:r>
      <w:proofErr w:type="gramEnd"/>
      <w:r>
        <w:rPr>
          <w:lang w:val="en-US"/>
        </w:rPr>
        <w:t xml:space="preserve"> LAI, Jim. Corporate financial distress and turnaround strategies: an empirical analysis. </w:t>
      </w:r>
      <w:r>
        <w:rPr>
          <w:i/>
          <w:iCs/>
          <w:lang w:val="en-US"/>
        </w:rPr>
        <w:t>British Journal of Management,</w:t>
      </w:r>
      <w:r>
        <w:rPr>
          <w:lang w:val="en-US"/>
        </w:rPr>
        <w:t xml:space="preserve"> v. 12, p. 183-199, 2001</w:t>
      </w:r>
      <w:r w:rsidR="00A4022B">
        <w:rPr>
          <w:lang w:val="en-US"/>
        </w:rPr>
        <w:t>, p. 185</w:t>
      </w:r>
      <w:r w:rsidR="00B42BF1">
        <w:rPr>
          <w:lang w:val="en-US"/>
        </w:rPr>
        <w:t xml:space="preserve"> (</w:t>
      </w:r>
      <w:r>
        <w:rPr>
          <w:lang w:val="en-US"/>
        </w:rPr>
        <w:t xml:space="preserve">stating that </w:t>
      </w:r>
      <w:r w:rsidRPr="00893DED">
        <w:rPr>
          <w:lang w:val="en-US"/>
        </w:rPr>
        <w:t>“</w:t>
      </w:r>
      <w:r w:rsidR="00A53A97">
        <w:rPr>
          <w:lang w:val="en-US"/>
        </w:rPr>
        <w:t>[f]</w:t>
      </w:r>
      <w:proofErr w:type="spellStart"/>
      <w:r w:rsidRPr="00893DED">
        <w:rPr>
          <w:lang w:val="en-US"/>
        </w:rPr>
        <w:t>inancial</w:t>
      </w:r>
      <w:proofErr w:type="spellEnd"/>
      <w:r w:rsidRPr="00893DED">
        <w:rPr>
          <w:lang w:val="en-US"/>
        </w:rPr>
        <w:t xml:space="preserve"> restructuring is the reworking of a firm’s capital structure to relieve the strain of interest and debt repayments and is separated into two strategies: equity-based and debt-based strategies. Equity-based strategies cover dividend cuts or omissions and equity issues, </w:t>
      </w:r>
      <w:proofErr w:type="gramStart"/>
      <w:r w:rsidRPr="00893DED">
        <w:rPr>
          <w:lang w:val="en-US"/>
        </w:rPr>
        <w:t>i.e.</w:t>
      </w:r>
      <w:proofErr w:type="gramEnd"/>
      <w:r w:rsidRPr="00893DED">
        <w:rPr>
          <w:lang w:val="en-US"/>
        </w:rPr>
        <w:t xml:space="preserve"> rights issue, public offer or institutional placing. Firms in financial distress tend to reduce or omit dividends due to liquidity constraints, restrictions imposed by debt covenants, or strategic considerations such improving firm’s bargaining position with trade unions (...).</w:t>
      </w:r>
      <w:r>
        <w:rPr>
          <w:lang w:val="en-US"/>
        </w:rPr>
        <w:t xml:space="preserve"> </w:t>
      </w:r>
      <w:r w:rsidRPr="00893DED">
        <w:rPr>
          <w:lang w:val="en-US"/>
        </w:rPr>
        <w:t>Debt-based strategies refer to the extensive restructuring of firm debt. Firms restructure their debt either to avoid financial distress or to resolve an existing financial distress. Gilson (1989, 1990) defines debt restructuring as a transaction in which an existing debt is replaced by a new contract, with one or more of the following characteristics: (1) interest or principal reduced; (2) maturity extended; (3) debt-equity swap</w:t>
      </w:r>
      <w:r>
        <w:rPr>
          <w:lang w:val="en-US"/>
        </w:rPr>
        <w:t>”</w:t>
      </w:r>
      <w:r w:rsidR="00B42BF1">
        <w:rPr>
          <w:lang w:val="en-US"/>
        </w:rPr>
        <w:t>)</w:t>
      </w:r>
      <w:r w:rsidRPr="00893DED">
        <w:rPr>
          <w:lang w:val="en-US"/>
        </w:rPr>
        <w:t>.</w:t>
      </w:r>
    </w:p>
  </w:footnote>
  <w:footnote w:id="64">
    <w:p w14:paraId="73C7013C" w14:textId="08A65CC7" w:rsidR="0065295F" w:rsidRPr="0023344C" w:rsidRDefault="0065295F" w:rsidP="0065295F">
      <w:pPr>
        <w:pStyle w:val="Textodenotaderodap"/>
        <w:rPr>
          <w:lang w:val="en-US"/>
        </w:rPr>
      </w:pPr>
      <w:r>
        <w:rPr>
          <w:rStyle w:val="Refdenotaderodap"/>
        </w:rPr>
        <w:footnoteRef/>
      </w:r>
      <w:r w:rsidRPr="0023344C">
        <w:rPr>
          <w:lang w:val="en-US"/>
        </w:rPr>
        <w:t xml:space="preserve"> </w:t>
      </w:r>
      <w:r>
        <w:rPr>
          <w:lang w:val="en-US"/>
        </w:rPr>
        <w:t>See ADRIAANSE; KUIJL</w:t>
      </w:r>
      <w:r w:rsidR="00811B23">
        <w:rPr>
          <w:lang w:val="en-US"/>
        </w:rPr>
        <w:t xml:space="preserve">, </w:t>
      </w:r>
      <w:r w:rsidR="00811B23">
        <w:rPr>
          <w:i/>
          <w:iCs/>
          <w:lang w:val="en-US"/>
        </w:rPr>
        <w:t>op. cit.</w:t>
      </w:r>
      <w:r>
        <w:rPr>
          <w:lang w:val="en-US"/>
        </w:rPr>
        <w:t>, p. 14</w:t>
      </w:r>
      <w:r>
        <w:rPr>
          <w:lang w:val="en-US"/>
        </w:rPr>
        <w:t>5</w:t>
      </w:r>
      <w:r w:rsidRPr="0023344C">
        <w:rPr>
          <w:lang w:val="en-US"/>
        </w:rPr>
        <w:t>.</w:t>
      </w:r>
    </w:p>
  </w:footnote>
  <w:footnote w:id="65">
    <w:p w14:paraId="78846A67" w14:textId="11197140" w:rsidR="00266A9E" w:rsidRPr="00DE0C5F" w:rsidRDefault="00266A9E">
      <w:pPr>
        <w:pStyle w:val="Textodenotaderodap"/>
        <w:rPr>
          <w:lang w:val="en-US"/>
        </w:rPr>
      </w:pPr>
      <w:r>
        <w:rPr>
          <w:rStyle w:val="Refdenotaderodap"/>
        </w:rPr>
        <w:footnoteRef/>
      </w:r>
      <w:r w:rsidRPr="00266A9E">
        <w:rPr>
          <w:lang w:val="en-US"/>
        </w:rPr>
        <w:t xml:space="preserve"> </w:t>
      </w:r>
      <w:r>
        <w:rPr>
          <w:lang w:val="en-US"/>
        </w:rPr>
        <w:t>See SUDARSANA</w:t>
      </w:r>
      <w:r w:rsidR="00811B23">
        <w:rPr>
          <w:lang w:val="en-US"/>
        </w:rPr>
        <w:t>M</w:t>
      </w:r>
      <w:r>
        <w:rPr>
          <w:lang w:val="en-US"/>
        </w:rPr>
        <w:t xml:space="preserve">; LAI, </w:t>
      </w:r>
      <w:r w:rsidR="00811B23">
        <w:rPr>
          <w:i/>
          <w:iCs/>
          <w:lang w:val="en-US"/>
        </w:rPr>
        <w:t xml:space="preserve">op. </w:t>
      </w:r>
      <w:proofErr w:type="spellStart"/>
      <w:r w:rsidR="00811B23">
        <w:rPr>
          <w:i/>
          <w:iCs/>
          <w:lang w:val="en-US"/>
        </w:rPr>
        <w:t>cit</w:t>
      </w:r>
      <w:proofErr w:type="spellEnd"/>
      <w:r w:rsidR="00811B23">
        <w:rPr>
          <w:lang w:val="en-US"/>
        </w:rPr>
        <w:t>, p. 184</w:t>
      </w:r>
      <w:r>
        <w:rPr>
          <w:lang w:val="en-US"/>
        </w:rPr>
        <w:t>.</w:t>
      </w:r>
    </w:p>
  </w:footnote>
  <w:footnote w:id="66">
    <w:p w14:paraId="2431F16A" w14:textId="0464D661" w:rsidR="00DE0C5F" w:rsidRPr="00DE0C5F" w:rsidRDefault="00DE0C5F">
      <w:pPr>
        <w:pStyle w:val="Textodenotaderodap"/>
        <w:rPr>
          <w:lang w:val="en-US"/>
        </w:rPr>
      </w:pPr>
      <w:r>
        <w:rPr>
          <w:rStyle w:val="Refdenotaderodap"/>
        </w:rPr>
        <w:footnoteRef/>
      </w:r>
      <w:r w:rsidRPr="00DE0C5F">
        <w:rPr>
          <w:lang w:val="en-US"/>
        </w:rPr>
        <w:t xml:space="preserve"> See KUIPERS, Paul. Netherlands.</w:t>
      </w:r>
      <w:r>
        <w:rPr>
          <w:lang w:val="en-US"/>
        </w:rPr>
        <w:t xml:space="preserve"> In: NEWMAN, Peter K. (Editor). </w:t>
      </w:r>
      <w:r>
        <w:rPr>
          <w:i/>
          <w:iCs/>
          <w:lang w:val="en-US"/>
        </w:rPr>
        <w:t>The Restructuring Review</w:t>
      </w:r>
      <w:r>
        <w:rPr>
          <w:lang w:val="en-US"/>
        </w:rPr>
        <w:t xml:space="preserve">. 14 ed. London: Law Business Research, 2021, available at: </w:t>
      </w:r>
      <w:r w:rsidRPr="00DE0C5F">
        <w:rPr>
          <w:lang w:val="en-US"/>
        </w:rPr>
        <w:t>https://bit.ly/3wk3m5S</w:t>
      </w:r>
      <w:r>
        <w:rPr>
          <w:lang w:val="en-US"/>
        </w:rPr>
        <w:t>.</w:t>
      </w:r>
    </w:p>
  </w:footnote>
  <w:footnote w:id="67">
    <w:p w14:paraId="70C2E7A8" w14:textId="3CC105AB" w:rsidR="00ED075A" w:rsidRPr="00ED075A" w:rsidRDefault="00ED075A">
      <w:pPr>
        <w:pStyle w:val="Textodenotaderodap"/>
        <w:rPr>
          <w:lang w:val="en-US"/>
        </w:rPr>
      </w:pPr>
      <w:r>
        <w:rPr>
          <w:rStyle w:val="Refdenotaderodap"/>
        </w:rPr>
        <w:footnoteRef/>
      </w:r>
      <w:r w:rsidRPr="00ED075A">
        <w:rPr>
          <w:lang w:val="en-US"/>
        </w:rPr>
        <w:t xml:space="preserve"> </w:t>
      </w:r>
      <w:r w:rsidRPr="00DE0C5F">
        <w:rPr>
          <w:lang w:val="en-US"/>
        </w:rPr>
        <w:t xml:space="preserve">See HOOFF, Job </w:t>
      </w:r>
      <w:proofErr w:type="gramStart"/>
      <w:r w:rsidRPr="00DE0C5F">
        <w:rPr>
          <w:lang w:val="en-US"/>
        </w:rPr>
        <w:t>van;</w:t>
      </w:r>
      <w:proofErr w:type="gramEnd"/>
      <w:r w:rsidRPr="00DE0C5F">
        <w:rPr>
          <w:lang w:val="en-US"/>
        </w:rPr>
        <w:t xml:space="preserve"> NIJKAMP, Daisy. </w:t>
      </w:r>
      <w:r>
        <w:rPr>
          <w:lang w:val="en-US"/>
        </w:rPr>
        <w:t xml:space="preserve">Netherlands. In: BAINS, </w:t>
      </w:r>
      <w:proofErr w:type="spellStart"/>
      <w:r>
        <w:rPr>
          <w:lang w:val="en-US"/>
        </w:rPr>
        <w:t>Jat</w:t>
      </w:r>
      <w:proofErr w:type="spellEnd"/>
      <w:r>
        <w:rPr>
          <w:lang w:val="en-US"/>
        </w:rPr>
        <w:t xml:space="preserve"> (Editor). </w:t>
      </w:r>
      <w:r>
        <w:rPr>
          <w:i/>
          <w:iCs/>
          <w:lang w:val="en-US"/>
        </w:rPr>
        <w:t xml:space="preserve">Restructuring &amp; Insolvency. </w:t>
      </w:r>
      <w:r>
        <w:rPr>
          <w:lang w:val="en-US"/>
        </w:rPr>
        <w:t xml:space="preserve">London: ICLG, 2021, available at: </w:t>
      </w:r>
      <w:r w:rsidRPr="00DE0C5F">
        <w:rPr>
          <w:lang w:val="en-US"/>
        </w:rPr>
        <w:t>https://bit.ly/3jXkqcT</w:t>
      </w:r>
      <w:r>
        <w:rPr>
          <w:lang w:val="en-US"/>
        </w:rPr>
        <w:t>.</w:t>
      </w:r>
    </w:p>
  </w:footnote>
  <w:footnote w:id="68">
    <w:p w14:paraId="0CF13DBC" w14:textId="0DE69500" w:rsidR="00DE0C5F" w:rsidRPr="00DE0C5F" w:rsidRDefault="00DE0C5F">
      <w:pPr>
        <w:pStyle w:val="Textodenotaderodap"/>
        <w:rPr>
          <w:lang w:val="en-US"/>
        </w:rPr>
      </w:pPr>
      <w:r>
        <w:rPr>
          <w:rStyle w:val="Refdenotaderodap"/>
        </w:rPr>
        <w:footnoteRef/>
      </w:r>
      <w:r w:rsidRPr="00DE0C5F">
        <w:rPr>
          <w:lang w:val="en-US"/>
        </w:rPr>
        <w:t xml:space="preserve"> </w:t>
      </w:r>
      <w:r w:rsidR="00221DE5">
        <w:rPr>
          <w:i/>
          <w:iCs/>
          <w:lang w:val="en-US"/>
        </w:rPr>
        <w:t>Ibidem</w:t>
      </w:r>
      <w:r>
        <w:rPr>
          <w:lang w:val="en-US"/>
        </w:rPr>
        <w:t>.</w:t>
      </w:r>
    </w:p>
  </w:footnote>
  <w:footnote w:id="69">
    <w:p w14:paraId="553CB701" w14:textId="3E65E170" w:rsidR="00DB46CE" w:rsidRDefault="00DB46CE">
      <w:pPr>
        <w:pStyle w:val="Textodenotaderodap"/>
      </w:pPr>
      <w:r>
        <w:rPr>
          <w:rStyle w:val="Refdenotaderodap"/>
        </w:rPr>
        <w:footnoteRef/>
      </w:r>
      <w:r>
        <w:t xml:space="preserve"> </w:t>
      </w:r>
      <w:proofErr w:type="spellStart"/>
      <w:r>
        <w:t>See</w:t>
      </w:r>
      <w:proofErr w:type="spellEnd"/>
      <w:r>
        <w:t xml:space="preserve"> </w:t>
      </w:r>
      <w:r w:rsidRPr="00DB46CE">
        <w:t>COSTA, Daniel </w:t>
      </w:r>
      <w:proofErr w:type="spellStart"/>
      <w:r w:rsidRPr="00DB46CE">
        <w:t>Carnio</w:t>
      </w:r>
      <w:proofErr w:type="spellEnd"/>
      <w:r w:rsidRPr="00DB46CE">
        <w:t>; MELO, Alexandre Correa Nasser de. </w:t>
      </w:r>
      <w:r w:rsidRPr="00DB46CE">
        <w:rPr>
          <w:i/>
          <w:iCs/>
        </w:rPr>
        <w:t>Comentários à lei de recuperação de empresas e falência</w:t>
      </w:r>
      <w:r w:rsidRPr="00DB46CE">
        <w:t>. Curitiba: Juruá, 2021</w:t>
      </w:r>
      <w:r>
        <w:t xml:space="preserve">. </w:t>
      </w:r>
      <w:proofErr w:type="spellStart"/>
      <w:r>
        <w:t>See</w:t>
      </w:r>
      <w:proofErr w:type="spellEnd"/>
      <w:r>
        <w:t xml:space="preserve"> </w:t>
      </w:r>
      <w:proofErr w:type="spellStart"/>
      <w:r>
        <w:t>also</w:t>
      </w:r>
      <w:proofErr w:type="spellEnd"/>
      <w:r>
        <w:t xml:space="preserve"> </w:t>
      </w:r>
      <w:r w:rsidRPr="00DB46CE">
        <w:t>SACRAMONE, Marcelo Barbosa. </w:t>
      </w:r>
      <w:r w:rsidRPr="00DB46CE">
        <w:rPr>
          <w:i/>
          <w:iCs/>
        </w:rPr>
        <w:t>Comentários à lei de recuperação de empresas e falência</w:t>
      </w:r>
      <w:r w:rsidRPr="00DB46CE">
        <w:t>. 2 ed. São Paulo: Saraiva, 2021</w:t>
      </w:r>
      <w:r>
        <w:t>.</w:t>
      </w:r>
    </w:p>
  </w:footnote>
  <w:footnote w:id="70">
    <w:p w14:paraId="44486874" w14:textId="300C2D4F" w:rsidR="00DB46CE" w:rsidRDefault="00DB46CE">
      <w:pPr>
        <w:pStyle w:val="Textodenotaderodap"/>
      </w:pPr>
      <w:r>
        <w:rPr>
          <w:rStyle w:val="Refdenotaderodap"/>
        </w:rPr>
        <w:footnoteRef/>
      </w:r>
      <w:r>
        <w:t xml:space="preserve"> </w:t>
      </w:r>
      <w:proofErr w:type="spellStart"/>
      <w:r>
        <w:t>See</w:t>
      </w:r>
      <w:proofErr w:type="spellEnd"/>
      <w:r>
        <w:t xml:space="preserve"> </w:t>
      </w:r>
      <w:r w:rsidRPr="00DB46CE">
        <w:t xml:space="preserve">SACRAMONE, </w:t>
      </w:r>
      <w:r w:rsidR="00AE2F70">
        <w:rPr>
          <w:i/>
          <w:iCs/>
        </w:rPr>
        <w:t>op. cit</w:t>
      </w:r>
      <w:r>
        <w:t xml:space="preserve">. </w:t>
      </w:r>
      <w:proofErr w:type="spellStart"/>
      <w:r>
        <w:t>See</w:t>
      </w:r>
      <w:proofErr w:type="spellEnd"/>
      <w:r>
        <w:t xml:space="preserve"> </w:t>
      </w:r>
      <w:proofErr w:type="spellStart"/>
      <w:r>
        <w:t>also</w:t>
      </w:r>
      <w:proofErr w:type="spellEnd"/>
      <w:r>
        <w:t xml:space="preserve"> </w:t>
      </w:r>
      <w:r w:rsidRPr="00DB46CE">
        <w:t>BEZERRA FILHO, Manoel Justino. </w:t>
      </w:r>
      <w:r w:rsidRPr="00DB46CE">
        <w:rPr>
          <w:i/>
          <w:iCs/>
        </w:rPr>
        <w:t>Lei de recuperação de empresas e falência</w:t>
      </w:r>
      <w:r w:rsidRPr="00DB46CE">
        <w:t xml:space="preserve">: </w:t>
      </w:r>
      <w:r>
        <w:t>l</w:t>
      </w:r>
      <w:r w:rsidRPr="00DB46CE">
        <w:t xml:space="preserve">ei 11.101/2005: comentada artigo por artigo. 15 </w:t>
      </w:r>
      <w:r>
        <w:t>e</w:t>
      </w:r>
      <w:r w:rsidRPr="00DB46CE">
        <w:t>d. São Paulo: Revista dos Tribunais, 2021</w:t>
      </w:r>
      <w:r>
        <w:t>.</w:t>
      </w:r>
    </w:p>
  </w:footnote>
  <w:footnote w:id="71">
    <w:p w14:paraId="592DDEEE" w14:textId="1D7796A8" w:rsidR="00DB46CE" w:rsidRPr="00DB46CE" w:rsidRDefault="00DB46CE">
      <w:pPr>
        <w:pStyle w:val="Textodenotaderodap"/>
        <w:rPr>
          <w:i/>
          <w:iCs/>
          <w:lang w:val="en-US"/>
        </w:rPr>
      </w:pPr>
      <w:r>
        <w:rPr>
          <w:rStyle w:val="Refdenotaderodap"/>
        </w:rPr>
        <w:footnoteRef/>
      </w:r>
      <w:r>
        <w:t xml:space="preserve"> </w:t>
      </w:r>
      <w:proofErr w:type="spellStart"/>
      <w:r>
        <w:t>See</w:t>
      </w:r>
      <w:proofErr w:type="spellEnd"/>
      <w:r>
        <w:t xml:space="preserve"> </w:t>
      </w:r>
      <w:r w:rsidRPr="00DB46CE">
        <w:t xml:space="preserve">COSTA; MELO, </w:t>
      </w:r>
      <w:r w:rsidR="00AE2F70">
        <w:rPr>
          <w:i/>
          <w:iCs/>
        </w:rPr>
        <w:t>op. cit</w:t>
      </w:r>
      <w:r w:rsidRPr="00AE2F70">
        <w:t xml:space="preserve">. </w:t>
      </w:r>
      <w:r w:rsidRPr="00DB46CE">
        <w:rPr>
          <w:lang w:val="en-US"/>
        </w:rPr>
        <w:t xml:space="preserve">See also SACRAMONE, </w:t>
      </w:r>
      <w:r w:rsidRPr="00DB46CE">
        <w:rPr>
          <w:i/>
          <w:iCs/>
          <w:lang w:val="en-US"/>
        </w:rPr>
        <w:t>op. cit.</w:t>
      </w:r>
      <w:r w:rsidRPr="00DB46CE">
        <w:rPr>
          <w:lang w:val="en-US"/>
        </w:rPr>
        <w:t xml:space="preserve">, and BEZERRA FILHO, </w:t>
      </w:r>
      <w:r>
        <w:rPr>
          <w:i/>
          <w:iCs/>
          <w:lang w:val="en-US"/>
        </w:rPr>
        <w:t>op.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6C3"/>
    <w:multiLevelType w:val="hybridMultilevel"/>
    <w:tmpl w:val="010EBECE"/>
    <w:lvl w:ilvl="0" w:tplc="8EF61ED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CCD532E"/>
    <w:multiLevelType w:val="hybridMultilevel"/>
    <w:tmpl w:val="E610B9D4"/>
    <w:lvl w:ilvl="0" w:tplc="062E620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E914D6"/>
    <w:multiLevelType w:val="hybridMultilevel"/>
    <w:tmpl w:val="78720912"/>
    <w:lvl w:ilvl="0" w:tplc="BFFE141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3F6F41"/>
    <w:multiLevelType w:val="hybridMultilevel"/>
    <w:tmpl w:val="342831E8"/>
    <w:lvl w:ilvl="0" w:tplc="4D307BE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B31568"/>
    <w:multiLevelType w:val="hybridMultilevel"/>
    <w:tmpl w:val="3774AB6A"/>
    <w:lvl w:ilvl="0" w:tplc="C42C4090">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9D4F99"/>
    <w:multiLevelType w:val="hybridMultilevel"/>
    <w:tmpl w:val="BAD2BD8C"/>
    <w:lvl w:ilvl="0" w:tplc="66D0A698">
      <w:start w:val="1"/>
      <w:numFmt w:val="lowerRoman"/>
      <w:lvlText w:val="(%1)"/>
      <w:lvlJc w:val="left"/>
      <w:pPr>
        <w:ind w:left="1080" w:hanging="720"/>
      </w:pPr>
      <w:rPr>
        <w:rFonts w:hint="default"/>
      </w:rPr>
    </w:lvl>
    <w:lvl w:ilvl="1" w:tplc="04160019">
      <w:start w:val="1"/>
      <w:numFmt w:val="lowerLetter"/>
      <w:lvlText w:val="%2."/>
      <w:lvlJc w:val="left"/>
      <w:pPr>
        <w:ind w:left="376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445C1F"/>
    <w:multiLevelType w:val="hybridMultilevel"/>
    <w:tmpl w:val="A26A38E8"/>
    <w:lvl w:ilvl="0" w:tplc="E3B4F1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050333"/>
    <w:multiLevelType w:val="hybridMultilevel"/>
    <w:tmpl w:val="0D04A0B4"/>
    <w:lvl w:ilvl="0" w:tplc="FB5220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047E43"/>
    <w:multiLevelType w:val="hybridMultilevel"/>
    <w:tmpl w:val="F5DCAB4A"/>
    <w:lvl w:ilvl="0" w:tplc="6DFA91C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506E68"/>
    <w:multiLevelType w:val="hybridMultilevel"/>
    <w:tmpl w:val="F350F578"/>
    <w:lvl w:ilvl="0" w:tplc="289C3C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3D47C9"/>
    <w:multiLevelType w:val="hybridMultilevel"/>
    <w:tmpl w:val="BDC6C51C"/>
    <w:lvl w:ilvl="0" w:tplc="E0162F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402BD1"/>
    <w:multiLevelType w:val="hybridMultilevel"/>
    <w:tmpl w:val="3774AB6A"/>
    <w:lvl w:ilvl="0" w:tplc="C42C4090">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2456E2"/>
    <w:multiLevelType w:val="hybridMultilevel"/>
    <w:tmpl w:val="839A4198"/>
    <w:lvl w:ilvl="0" w:tplc="9C76EA4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4F36F64"/>
    <w:multiLevelType w:val="hybridMultilevel"/>
    <w:tmpl w:val="AA54E606"/>
    <w:lvl w:ilvl="0" w:tplc="83A284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386E97"/>
    <w:multiLevelType w:val="hybridMultilevel"/>
    <w:tmpl w:val="6FE64DB4"/>
    <w:lvl w:ilvl="0" w:tplc="15AE21D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F74FBE"/>
    <w:multiLevelType w:val="hybridMultilevel"/>
    <w:tmpl w:val="AAFCEFA2"/>
    <w:lvl w:ilvl="0" w:tplc="FFF4D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F33CB"/>
    <w:multiLevelType w:val="hybridMultilevel"/>
    <w:tmpl w:val="78641328"/>
    <w:lvl w:ilvl="0" w:tplc="624679B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8C6BC9"/>
    <w:multiLevelType w:val="multilevel"/>
    <w:tmpl w:val="B4FE288E"/>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F6E12"/>
    <w:multiLevelType w:val="hybridMultilevel"/>
    <w:tmpl w:val="1A0EE31C"/>
    <w:lvl w:ilvl="0" w:tplc="F0883B1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631651"/>
    <w:multiLevelType w:val="hybridMultilevel"/>
    <w:tmpl w:val="492EF7FE"/>
    <w:lvl w:ilvl="0" w:tplc="BA7A7BEA">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56C53C2"/>
    <w:multiLevelType w:val="hybridMultilevel"/>
    <w:tmpl w:val="44B4FFA6"/>
    <w:lvl w:ilvl="0" w:tplc="5E0EAC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1F6A3B"/>
    <w:multiLevelType w:val="hybridMultilevel"/>
    <w:tmpl w:val="4BA2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13760"/>
    <w:multiLevelType w:val="hybridMultilevel"/>
    <w:tmpl w:val="41663684"/>
    <w:lvl w:ilvl="0" w:tplc="2D2C3C5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9D1E18"/>
    <w:multiLevelType w:val="hybridMultilevel"/>
    <w:tmpl w:val="55A88754"/>
    <w:lvl w:ilvl="0" w:tplc="D2CA2C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D7104D"/>
    <w:multiLevelType w:val="hybridMultilevel"/>
    <w:tmpl w:val="3774AB6A"/>
    <w:lvl w:ilvl="0" w:tplc="C42C4090">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A95168"/>
    <w:multiLevelType w:val="hybridMultilevel"/>
    <w:tmpl w:val="8EEEB940"/>
    <w:lvl w:ilvl="0" w:tplc="1F705F3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AF42C1"/>
    <w:multiLevelType w:val="hybridMultilevel"/>
    <w:tmpl w:val="C67E42D6"/>
    <w:lvl w:ilvl="0" w:tplc="A0AC5A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A130BC5"/>
    <w:multiLevelType w:val="hybridMultilevel"/>
    <w:tmpl w:val="F6C6932E"/>
    <w:lvl w:ilvl="0" w:tplc="26C00F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F95C68"/>
    <w:multiLevelType w:val="hybridMultilevel"/>
    <w:tmpl w:val="DC52B75A"/>
    <w:lvl w:ilvl="0" w:tplc="9E3E507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FA954B4"/>
    <w:multiLevelType w:val="hybridMultilevel"/>
    <w:tmpl w:val="AD24E000"/>
    <w:lvl w:ilvl="0" w:tplc="43C8A2F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6"/>
  </w:num>
  <w:num w:numId="5">
    <w:abstractNumId w:val="26"/>
  </w:num>
  <w:num w:numId="6">
    <w:abstractNumId w:val="23"/>
  </w:num>
  <w:num w:numId="7">
    <w:abstractNumId w:val="2"/>
  </w:num>
  <w:num w:numId="8">
    <w:abstractNumId w:val="7"/>
  </w:num>
  <w:num w:numId="9">
    <w:abstractNumId w:val="29"/>
  </w:num>
  <w:num w:numId="10">
    <w:abstractNumId w:val="3"/>
  </w:num>
  <w:num w:numId="11">
    <w:abstractNumId w:val="28"/>
  </w:num>
  <w:num w:numId="12">
    <w:abstractNumId w:val="8"/>
  </w:num>
  <w:num w:numId="13">
    <w:abstractNumId w:val="0"/>
  </w:num>
  <w:num w:numId="14">
    <w:abstractNumId w:val="14"/>
  </w:num>
  <w:num w:numId="15">
    <w:abstractNumId w:val="11"/>
  </w:num>
  <w:num w:numId="16">
    <w:abstractNumId w:val="4"/>
  </w:num>
  <w:num w:numId="17">
    <w:abstractNumId w:val="24"/>
  </w:num>
  <w:num w:numId="18">
    <w:abstractNumId w:val="17"/>
  </w:num>
  <w:num w:numId="19">
    <w:abstractNumId w:val="20"/>
  </w:num>
  <w:num w:numId="20">
    <w:abstractNumId w:val="18"/>
  </w:num>
  <w:num w:numId="21">
    <w:abstractNumId w:val="9"/>
  </w:num>
  <w:num w:numId="22">
    <w:abstractNumId w:val="25"/>
  </w:num>
  <w:num w:numId="23">
    <w:abstractNumId w:val="27"/>
  </w:num>
  <w:num w:numId="24">
    <w:abstractNumId w:val="10"/>
  </w:num>
  <w:num w:numId="25">
    <w:abstractNumId w:val="12"/>
  </w:num>
  <w:num w:numId="26">
    <w:abstractNumId w:val="15"/>
  </w:num>
  <w:num w:numId="27">
    <w:abstractNumId w:val="22"/>
  </w:num>
  <w:num w:numId="28">
    <w:abstractNumId w:val="1"/>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9A"/>
    <w:rsid w:val="00000C77"/>
    <w:rsid w:val="00003319"/>
    <w:rsid w:val="000060AE"/>
    <w:rsid w:val="0001765D"/>
    <w:rsid w:val="0002343E"/>
    <w:rsid w:val="00030B92"/>
    <w:rsid w:val="00035E36"/>
    <w:rsid w:val="0004040D"/>
    <w:rsid w:val="000519CE"/>
    <w:rsid w:val="00051C79"/>
    <w:rsid w:val="00052039"/>
    <w:rsid w:val="0005258E"/>
    <w:rsid w:val="00052832"/>
    <w:rsid w:val="00053FD8"/>
    <w:rsid w:val="00055002"/>
    <w:rsid w:val="00056DA6"/>
    <w:rsid w:val="000614B3"/>
    <w:rsid w:val="000627AE"/>
    <w:rsid w:val="00065F03"/>
    <w:rsid w:val="00071653"/>
    <w:rsid w:val="00072A58"/>
    <w:rsid w:val="0007318C"/>
    <w:rsid w:val="00080732"/>
    <w:rsid w:val="000813FF"/>
    <w:rsid w:val="000825DB"/>
    <w:rsid w:val="00087A36"/>
    <w:rsid w:val="00087DD3"/>
    <w:rsid w:val="00090643"/>
    <w:rsid w:val="00092EDD"/>
    <w:rsid w:val="0009779D"/>
    <w:rsid w:val="000A01E8"/>
    <w:rsid w:val="000B1D3C"/>
    <w:rsid w:val="000C16DD"/>
    <w:rsid w:val="000D0A4F"/>
    <w:rsid w:val="000D62F1"/>
    <w:rsid w:val="000E072D"/>
    <w:rsid w:val="000E11FD"/>
    <w:rsid w:val="000F0661"/>
    <w:rsid w:val="000F2EFA"/>
    <w:rsid w:val="000F3C34"/>
    <w:rsid w:val="000F5EF2"/>
    <w:rsid w:val="00102B36"/>
    <w:rsid w:val="00105003"/>
    <w:rsid w:val="00106332"/>
    <w:rsid w:val="001169C1"/>
    <w:rsid w:val="0011745C"/>
    <w:rsid w:val="00121A95"/>
    <w:rsid w:val="00124CA9"/>
    <w:rsid w:val="00137068"/>
    <w:rsid w:val="00137D47"/>
    <w:rsid w:val="001412C7"/>
    <w:rsid w:val="00144DD2"/>
    <w:rsid w:val="00145FAD"/>
    <w:rsid w:val="00153268"/>
    <w:rsid w:val="00163BC0"/>
    <w:rsid w:val="0016582E"/>
    <w:rsid w:val="00165845"/>
    <w:rsid w:val="00166904"/>
    <w:rsid w:val="0017008E"/>
    <w:rsid w:val="00177B1D"/>
    <w:rsid w:val="00183525"/>
    <w:rsid w:val="00183A19"/>
    <w:rsid w:val="0018480C"/>
    <w:rsid w:val="00185087"/>
    <w:rsid w:val="00195E42"/>
    <w:rsid w:val="00197C0D"/>
    <w:rsid w:val="00197D0E"/>
    <w:rsid w:val="001A5FD0"/>
    <w:rsid w:val="001B2B20"/>
    <w:rsid w:val="001B749C"/>
    <w:rsid w:val="001B7D13"/>
    <w:rsid w:val="001C00FB"/>
    <w:rsid w:val="001C11B5"/>
    <w:rsid w:val="001C25CA"/>
    <w:rsid w:val="001C3672"/>
    <w:rsid w:val="001C3DD6"/>
    <w:rsid w:val="001C6A62"/>
    <w:rsid w:val="001D1215"/>
    <w:rsid w:val="001D26B2"/>
    <w:rsid w:val="001D2CA4"/>
    <w:rsid w:val="001D4D42"/>
    <w:rsid w:val="001F1449"/>
    <w:rsid w:val="001F3DC5"/>
    <w:rsid w:val="001F47D5"/>
    <w:rsid w:val="001F5E61"/>
    <w:rsid w:val="001F745D"/>
    <w:rsid w:val="001F7CA9"/>
    <w:rsid w:val="00200DDD"/>
    <w:rsid w:val="00206BEC"/>
    <w:rsid w:val="00207CC7"/>
    <w:rsid w:val="00210826"/>
    <w:rsid w:val="00214244"/>
    <w:rsid w:val="0021650B"/>
    <w:rsid w:val="00216CC4"/>
    <w:rsid w:val="002206DF"/>
    <w:rsid w:val="00221DE5"/>
    <w:rsid w:val="00222AF8"/>
    <w:rsid w:val="00224AA2"/>
    <w:rsid w:val="00233219"/>
    <w:rsid w:val="0023344C"/>
    <w:rsid w:val="00233912"/>
    <w:rsid w:val="0024089A"/>
    <w:rsid w:val="00251859"/>
    <w:rsid w:val="002528CD"/>
    <w:rsid w:val="00252C89"/>
    <w:rsid w:val="00253057"/>
    <w:rsid w:val="00255CAA"/>
    <w:rsid w:val="00266020"/>
    <w:rsid w:val="00266800"/>
    <w:rsid w:val="002668EA"/>
    <w:rsid w:val="00266A9E"/>
    <w:rsid w:val="00272953"/>
    <w:rsid w:val="00276584"/>
    <w:rsid w:val="00283A23"/>
    <w:rsid w:val="002843C4"/>
    <w:rsid w:val="0028666C"/>
    <w:rsid w:val="0029421C"/>
    <w:rsid w:val="002A11A7"/>
    <w:rsid w:val="002A2AA6"/>
    <w:rsid w:val="002A5EC7"/>
    <w:rsid w:val="002A7E2F"/>
    <w:rsid w:val="002B0527"/>
    <w:rsid w:val="002B2FFA"/>
    <w:rsid w:val="002C1D6E"/>
    <w:rsid w:val="002C5235"/>
    <w:rsid w:val="002C5A12"/>
    <w:rsid w:val="002D1637"/>
    <w:rsid w:val="002D3528"/>
    <w:rsid w:val="002E0F18"/>
    <w:rsid w:val="002E39AD"/>
    <w:rsid w:val="002E4EEE"/>
    <w:rsid w:val="002F4652"/>
    <w:rsid w:val="002F75FF"/>
    <w:rsid w:val="002F77F2"/>
    <w:rsid w:val="00300122"/>
    <w:rsid w:val="00300535"/>
    <w:rsid w:val="00306C0E"/>
    <w:rsid w:val="00306FF9"/>
    <w:rsid w:val="0031596E"/>
    <w:rsid w:val="0032137C"/>
    <w:rsid w:val="00326DFF"/>
    <w:rsid w:val="003335C2"/>
    <w:rsid w:val="00337522"/>
    <w:rsid w:val="0034181D"/>
    <w:rsid w:val="003438A0"/>
    <w:rsid w:val="0034440A"/>
    <w:rsid w:val="003462C1"/>
    <w:rsid w:val="00347A69"/>
    <w:rsid w:val="00352AFE"/>
    <w:rsid w:val="00361976"/>
    <w:rsid w:val="003704AD"/>
    <w:rsid w:val="003736B4"/>
    <w:rsid w:val="00382E41"/>
    <w:rsid w:val="0038522F"/>
    <w:rsid w:val="003852B5"/>
    <w:rsid w:val="00385B22"/>
    <w:rsid w:val="00391CFA"/>
    <w:rsid w:val="00394992"/>
    <w:rsid w:val="00394C57"/>
    <w:rsid w:val="00395C05"/>
    <w:rsid w:val="00396099"/>
    <w:rsid w:val="00397225"/>
    <w:rsid w:val="00397CC6"/>
    <w:rsid w:val="003A57FA"/>
    <w:rsid w:val="003A7080"/>
    <w:rsid w:val="003B2061"/>
    <w:rsid w:val="003B28B2"/>
    <w:rsid w:val="003B2CCB"/>
    <w:rsid w:val="003B72E8"/>
    <w:rsid w:val="003C0772"/>
    <w:rsid w:val="003C52A1"/>
    <w:rsid w:val="003D3315"/>
    <w:rsid w:val="003D4ADC"/>
    <w:rsid w:val="003D67C3"/>
    <w:rsid w:val="003E7D2D"/>
    <w:rsid w:val="003F320B"/>
    <w:rsid w:val="003F3DAB"/>
    <w:rsid w:val="003F6CE9"/>
    <w:rsid w:val="003F6FB1"/>
    <w:rsid w:val="003F7095"/>
    <w:rsid w:val="003F7AAC"/>
    <w:rsid w:val="00406A04"/>
    <w:rsid w:val="00407105"/>
    <w:rsid w:val="004104C4"/>
    <w:rsid w:val="00413314"/>
    <w:rsid w:val="0041483A"/>
    <w:rsid w:val="004149E2"/>
    <w:rsid w:val="00424D65"/>
    <w:rsid w:val="004274D8"/>
    <w:rsid w:val="00432A01"/>
    <w:rsid w:val="00433112"/>
    <w:rsid w:val="004331AE"/>
    <w:rsid w:val="00434854"/>
    <w:rsid w:val="00443E44"/>
    <w:rsid w:val="00444069"/>
    <w:rsid w:val="00444728"/>
    <w:rsid w:val="00446847"/>
    <w:rsid w:val="00452B2C"/>
    <w:rsid w:val="0045584B"/>
    <w:rsid w:val="00457E67"/>
    <w:rsid w:val="00457F45"/>
    <w:rsid w:val="00461D52"/>
    <w:rsid w:val="00463F0D"/>
    <w:rsid w:val="00464748"/>
    <w:rsid w:val="00473DEB"/>
    <w:rsid w:val="00483469"/>
    <w:rsid w:val="00490CD7"/>
    <w:rsid w:val="00490CF7"/>
    <w:rsid w:val="00493F0F"/>
    <w:rsid w:val="004A7306"/>
    <w:rsid w:val="004A799D"/>
    <w:rsid w:val="004B4856"/>
    <w:rsid w:val="004B6AE3"/>
    <w:rsid w:val="004C118C"/>
    <w:rsid w:val="004C214F"/>
    <w:rsid w:val="004C2B9B"/>
    <w:rsid w:val="004C59EA"/>
    <w:rsid w:val="004D5601"/>
    <w:rsid w:val="004F01C9"/>
    <w:rsid w:val="004F7F63"/>
    <w:rsid w:val="00504173"/>
    <w:rsid w:val="00506617"/>
    <w:rsid w:val="00513255"/>
    <w:rsid w:val="00513A19"/>
    <w:rsid w:val="005174F2"/>
    <w:rsid w:val="00523971"/>
    <w:rsid w:val="00524D57"/>
    <w:rsid w:val="00525356"/>
    <w:rsid w:val="005267E5"/>
    <w:rsid w:val="00527102"/>
    <w:rsid w:val="005316F4"/>
    <w:rsid w:val="00531F20"/>
    <w:rsid w:val="00534151"/>
    <w:rsid w:val="00535D6A"/>
    <w:rsid w:val="00542322"/>
    <w:rsid w:val="005424FD"/>
    <w:rsid w:val="0054257C"/>
    <w:rsid w:val="0055006F"/>
    <w:rsid w:val="0055033E"/>
    <w:rsid w:val="00556E47"/>
    <w:rsid w:val="00560FD4"/>
    <w:rsid w:val="00563392"/>
    <w:rsid w:val="00563A52"/>
    <w:rsid w:val="00563C07"/>
    <w:rsid w:val="0056562B"/>
    <w:rsid w:val="00566019"/>
    <w:rsid w:val="00566332"/>
    <w:rsid w:val="005838E8"/>
    <w:rsid w:val="005856BA"/>
    <w:rsid w:val="00586396"/>
    <w:rsid w:val="00590B8D"/>
    <w:rsid w:val="00591589"/>
    <w:rsid w:val="00591A6B"/>
    <w:rsid w:val="0059295E"/>
    <w:rsid w:val="005959B7"/>
    <w:rsid w:val="00595D8E"/>
    <w:rsid w:val="00597D60"/>
    <w:rsid w:val="005B2084"/>
    <w:rsid w:val="005C44C0"/>
    <w:rsid w:val="005C5447"/>
    <w:rsid w:val="005D089D"/>
    <w:rsid w:val="005D7DDB"/>
    <w:rsid w:val="005E3087"/>
    <w:rsid w:val="005E339F"/>
    <w:rsid w:val="005E402E"/>
    <w:rsid w:val="005F353A"/>
    <w:rsid w:val="005F65D4"/>
    <w:rsid w:val="00601440"/>
    <w:rsid w:val="00601EF3"/>
    <w:rsid w:val="00604F88"/>
    <w:rsid w:val="006118CC"/>
    <w:rsid w:val="00613118"/>
    <w:rsid w:val="0062007E"/>
    <w:rsid w:val="00622D88"/>
    <w:rsid w:val="00622E9C"/>
    <w:rsid w:val="00622FEA"/>
    <w:rsid w:val="006267DE"/>
    <w:rsid w:val="00635073"/>
    <w:rsid w:val="00636A08"/>
    <w:rsid w:val="0064043B"/>
    <w:rsid w:val="00641022"/>
    <w:rsid w:val="006423B4"/>
    <w:rsid w:val="0065295F"/>
    <w:rsid w:val="0066134F"/>
    <w:rsid w:val="0066428E"/>
    <w:rsid w:val="00664AE4"/>
    <w:rsid w:val="00670414"/>
    <w:rsid w:val="00676926"/>
    <w:rsid w:val="00680537"/>
    <w:rsid w:val="0068138A"/>
    <w:rsid w:val="00684BA2"/>
    <w:rsid w:val="00692F9E"/>
    <w:rsid w:val="00694A06"/>
    <w:rsid w:val="00694CE5"/>
    <w:rsid w:val="006A6D76"/>
    <w:rsid w:val="006B0D0D"/>
    <w:rsid w:val="006C431B"/>
    <w:rsid w:val="006C60D9"/>
    <w:rsid w:val="006D26C7"/>
    <w:rsid w:val="006D6058"/>
    <w:rsid w:val="006D73E0"/>
    <w:rsid w:val="006E108F"/>
    <w:rsid w:val="006E1A01"/>
    <w:rsid w:val="006E2114"/>
    <w:rsid w:val="006E3862"/>
    <w:rsid w:val="006E4859"/>
    <w:rsid w:val="006E4BDC"/>
    <w:rsid w:val="00700745"/>
    <w:rsid w:val="007033A3"/>
    <w:rsid w:val="00703CEC"/>
    <w:rsid w:val="00706213"/>
    <w:rsid w:val="007077FF"/>
    <w:rsid w:val="0071318A"/>
    <w:rsid w:val="00713451"/>
    <w:rsid w:val="00713F3B"/>
    <w:rsid w:val="00715AB6"/>
    <w:rsid w:val="00717B66"/>
    <w:rsid w:val="007208E2"/>
    <w:rsid w:val="00725FA1"/>
    <w:rsid w:val="00725FB8"/>
    <w:rsid w:val="00726F56"/>
    <w:rsid w:val="007344ED"/>
    <w:rsid w:val="00735185"/>
    <w:rsid w:val="00740100"/>
    <w:rsid w:val="0074142B"/>
    <w:rsid w:val="007428C7"/>
    <w:rsid w:val="00747E98"/>
    <w:rsid w:val="00754882"/>
    <w:rsid w:val="00755209"/>
    <w:rsid w:val="007558DA"/>
    <w:rsid w:val="007575B7"/>
    <w:rsid w:val="007605C8"/>
    <w:rsid w:val="0076332B"/>
    <w:rsid w:val="00765692"/>
    <w:rsid w:val="00765D93"/>
    <w:rsid w:val="007677EA"/>
    <w:rsid w:val="00775AF3"/>
    <w:rsid w:val="0078269A"/>
    <w:rsid w:val="007829A9"/>
    <w:rsid w:val="0078390A"/>
    <w:rsid w:val="00786F9F"/>
    <w:rsid w:val="0078707E"/>
    <w:rsid w:val="00787468"/>
    <w:rsid w:val="00787FAA"/>
    <w:rsid w:val="00792F9E"/>
    <w:rsid w:val="00794078"/>
    <w:rsid w:val="00796533"/>
    <w:rsid w:val="007A0C6A"/>
    <w:rsid w:val="007A2422"/>
    <w:rsid w:val="007A60CF"/>
    <w:rsid w:val="007B3667"/>
    <w:rsid w:val="007B4C97"/>
    <w:rsid w:val="007B612D"/>
    <w:rsid w:val="007C2486"/>
    <w:rsid w:val="007C3B36"/>
    <w:rsid w:val="007C41C4"/>
    <w:rsid w:val="007D7FF7"/>
    <w:rsid w:val="007E0E6F"/>
    <w:rsid w:val="007E344F"/>
    <w:rsid w:val="007F08F8"/>
    <w:rsid w:val="007F46A9"/>
    <w:rsid w:val="007F6CEA"/>
    <w:rsid w:val="00802948"/>
    <w:rsid w:val="00811B23"/>
    <w:rsid w:val="008129DC"/>
    <w:rsid w:val="00812F3F"/>
    <w:rsid w:val="008132DF"/>
    <w:rsid w:val="008140C9"/>
    <w:rsid w:val="00826257"/>
    <w:rsid w:val="008369D1"/>
    <w:rsid w:val="008447FD"/>
    <w:rsid w:val="00846E44"/>
    <w:rsid w:val="00850A5F"/>
    <w:rsid w:val="0085241B"/>
    <w:rsid w:val="00853092"/>
    <w:rsid w:val="00853857"/>
    <w:rsid w:val="00853EE2"/>
    <w:rsid w:val="00855158"/>
    <w:rsid w:val="00856438"/>
    <w:rsid w:val="00861494"/>
    <w:rsid w:val="00871EEB"/>
    <w:rsid w:val="00876989"/>
    <w:rsid w:val="0088102B"/>
    <w:rsid w:val="0088779A"/>
    <w:rsid w:val="00891454"/>
    <w:rsid w:val="00892C29"/>
    <w:rsid w:val="008935CA"/>
    <w:rsid w:val="00893CC4"/>
    <w:rsid w:val="00893DED"/>
    <w:rsid w:val="0089485E"/>
    <w:rsid w:val="008A0C26"/>
    <w:rsid w:val="008A0F1E"/>
    <w:rsid w:val="008A6B73"/>
    <w:rsid w:val="008B0CE2"/>
    <w:rsid w:val="008B5A8E"/>
    <w:rsid w:val="008C3AE2"/>
    <w:rsid w:val="008C3C82"/>
    <w:rsid w:val="008C5B1B"/>
    <w:rsid w:val="008C5E65"/>
    <w:rsid w:val="008D01B5"/>
    <w:rsid w:val="008D16E3"/>
    <w:rsid w:val="008D635C"/>
    <w:rsid w:val="008D7E13"/>
    <w:rsid w:val="008E3A5B"/>
    <w:rsid w:val="008F1A5F"/>
    <w:rsid w:val="008F3429"/>
    <w:rsid w:val="008F3A4D"/>
    <w:rsid w:val="008F5A4D"/>
    <w:rsid w:val="00900354"/>
    <w:rsid w:val="00901061"/>
    <w:rsid w:val="00903FD3"/>
    <w:rsid w:val="00904255"/>
    <w:rsid w:val="009169BC"/>
    <w:rsid w:val="009277CA"/>
    <w:rsid w:val="00927A6A"/>
    <w:rsid w:val="009304CD"/>
    <w:rsid w:val="009353BE"/>
    <w:rsid w:val="00941D35"/>
    <w:rsid w:val="009422E6"/>
    <w:rsid w:val="00942307"/>
    <w:rsid w:val="009620E0"/>
    <w:rsid w:val="0096540C"/>
    <w:rsid w:val="00967DF1"/>
    <w:rsid w:val="00975E71"/>
    <w:rsid w:val="00983B09"/>
    <w:rsid w:val="0098783A"/>
    <w:rsid w:val="009903AC"/>
    <w:rsid w:val="00994EC2"/>
    <w:rsid w:val="00995003"/>
    <w:rsid w:val="00996676"/>
    <w:rsid w:val="0099677C"/>
    <w:rsid w:val="00996FAA"/>
    <w:rsid w:val="009979D7"/>
    <w:rsid w:val="009A2C90"/>
    <w:rsid w:val="009A52CF"/>
    <w:rsid w:val="009B07AE"/>
    <w:rsid w:val="009B1D72"/>
    <w:rsid w:val="009C0C09"/>
    <w:rsid w:val="009C60BC"/>
    <w:rsid w:val="009C782F"/>
    <w:rsid w:val="009D0D33"/>
    <w:rsid w:val="009D11D2"/>
    <w:rsid w:val="009D221D"/>
    <w:rsid w:val="009F1450"/>
    <w:rsid w:val="009F2171"/>
    <w:rsid w:val="009F29ED"/>
    <w:rsid w:val="009F2CE7"/>
    <w:rsid w:val="009F3F55"/>
    <w:rsid w:val="009F496E"/>
    <w:rsid w:val="009F4A51"/>
    <w:rsid w:val="009F5184"/>
    <w:rsid w:val="009F5D90"/>
    <w:rsid w:val="00A03AF0"/>
    <w:rsid w:val="00A06EBF"/>
    <w:rsid w:val="00A10A20"/>
    <w:rsid w:val="00A10BD5"/>
    <w:rsid w:val="00A208B9"/>
    <w:rsid w:val="00A20DE0"/>
    <w:rsid w:val="00A2121A"/>
    <w:rsid w:val="00A25C49"/>
    <w:rsid w:val="00A30C88"/>
    <w:rsid w:val="00A34F6F"/>
    <w:rsid w:val="00A4022B"/>
    <w:rsid w:val="00A42804"/>
    <w:rsid w:val="00A46110"/>
    <w:rsid w:val="00A46416"/>
    <w:rsid w:val="00A51436"/>
    <w:rsid w:val="00A53A97"/>
    <w:rsid w:val="00A5571F"/>
    <w:rsid w:val="00A61378"/>
    <w:rsid w:val="00A616A1"/>
    <w:rsid w:val="00A623E0"/>
    <w:rsid w:val="00A6546D"/>
    <w:rsid w:val="00A72BF3"/>
    <w:rsid w:val="00A73956"/>
    <w:rsid w:val="00A762F8"/>
    <w:rsid w:val="00A76480"/>
    <w:rsid w:val="00A76CD7"/>
    <w:rsid w:val="00A81A59"/>
    <w:rsid w:val="00A82CDE"/>
    <w:rsid w:val="00A839C3"/>
    <w:rsid w:val="00A86ED9"/>
    <w:rsid w:val="00A920D8"/>
    <w:rsid w:val="00A97126"/>
    <w:rsid w:val="00A972F1"/>
    <w:rsid w:val="00A978CF"/>
    <w:rsid w:val="00AA1C0D"/>
    <w:rsid w:val="00AA308F"/>
    <w:rsid w:val="00AA332F"/>
    <w:rsid w:val="00AA441D"/>
    <w:rsid w:val="00AA5B8F"/>
    <w:rsid w:val="00AB3296"/>
    <w:rsid w:val="00AB4C47"/>
    <w:rsid w:val="00AC4B05"/>
    <w:rsid w:val="00AC50BE"/>
    <w:rsid w:val="00AC793C"/>
    <w:rsid w:val="00AD1DAB"/>
    <w:rsid w:val="00AD46A6"/>
    <w:rsid w:val="00AD62C2"/>
    <w:rsid w:val="00AD7F4F"/>
    <w:rsid w:val="00AE1D88"/>
    <w:rsid w:val="00AE2F70"/>
    <w:rsid w:val="00AE52C1"/>
    <w:rsid w:val="00AE5F12"/>
    <w:rsid w:val="00AE6E55"/>
    <w:rsid w:val="00AE7CD3"/>
    <w:rsid w:val="00B01F21"/>
    <w:rsid w:val="00B04138"/>
    <w:rsid w:val="00B04A6D"/>
    <w:rsid w:val="00B16D89"/>
    <w:rsid w:val="00B17B2B"/>
    <w:rsid w:val="00B17E66"/>
    <w:rsid w:val="00B216A7"/>
    <w:rsid w:val="00B21A06"/>
    <w:rsid w:val="00B23C7D"/>
    <w:rsid w:val="00B274E6"/>
    <w:rsid w:val="00B27566"/>
    <w:rsid w:val="00B3079E"/>
    <w:rsid w:val="00B32F9B"/>
    <w:rsid w:val="00B34D1A"/>
    <w:rsid w:val="00B3592C"/>
    <w:rsid w:val="00B40DEE"/>
    <w:rsid w:val="00B42BF1"/>
    <w:rsid w:val="00B57D88"/>
    <w:rsid w:val="00B6147D"/>
    <w:rsid w:val="00B634B3"/>
    <w:rsid w:val="00B63E26"/>
    <w:rsid w:val="00B712FE"/>
    <w:rsid w:val="00B71ED0"/>
    <w:rsid w:val="00B74D98"/>
    <w:rsid w:val="00B81A17"/>
    <w:rsid w:val="00B822B2"/>
    <w:rsid w:val="00B822B4"/>
    <w:rsid w:val="00B87A43"/>
    <w:rsid w:val="00B90708"/>
    <w:rsid w:val="00B9362D"/>
    <w:rsid w:val="00B94DF2"/>
    <w:rsid w:val="00B95EC4"/>
    <w:rsid w:val="00BA38AC"/>
    <w:rsid w:val="00BA6954"/>
    <w:rsid w:val="00BA7C33"/>
    <w:rsid w:val="00BB25C1"/>
    <w:rsid w:val="00BB401D"/>
    <w:rsid w:val="00BB50C9"/>
    <w:rsid w:val="00BB7B77"/>
    <w:rsid w:val="00BC40E5"/>
    <w:rsid w:val="00BC7A6B"/>
    <w:rsid w:val="00BC7C9A"/>
    <w:rsid w:val="00BD15E6"/>
    <w:rsid w:val="00BD2D93"/>
    <w:rsid w:val="00BD3982"/>
    <w:rsid w:val="00BD792E"/>
    <w:rsid w:val="00BE18E7"/>
    <w:rsid w:val="00BE47CF"/>
    <w:rsid w:val="00BE77CE"/>
    <w:rsid w:val="00BF5366"/>
    <w:rsid w:val="00BF6E4E"/>
    <w:rsid w:val="00C001AB"/>
    <w:rsid w:val="00C00D19"/>
    <w:rsid w:val="00C074BB"/>
    <w:rsid w:val="00C14491"/>
    <w:rsid w:val="00C2443F"/>
    <w:rsid w:val="00C31371"/>
    <w:rsid w:val="00C32E96"/>
    <w:rsid w:val="00C35C64"/>
    <w:rsid w:val="00C35D63"/>
    <w:rsid w:val="00C36CA3"/>
    <w:rsid w:val="00C40031"/>
    <w:rsid w:val="00C40BB4"/>
    <w:rsid w:val="00C46DCF"/>
    <w:rsid w:val="00C50693"/>
    <w:rsid w:val="00C51088"/>
    <w:rsid w:val="00C5218F"/>
    <w:rsid w:val="00C529B0"/>
    <w:rsid w:val="00C53C9C"/>
    <w:rsid w:val="00C55238"/>
    <w:rsid w:val="00C55B0B"/>
    <w:rsid w:val="00C55C73"/>
    <w:rsid w:val="00C55CDD"/>
    <w:rsid w:val="00C65EEB"/>
    <w:rsid w:val="00C66710"/>
    <w:rsid w:val="00C744C1"/>
    <w:rsid w:val="00C76752"/>
    <w:rsid w:val="00C76BD7"/>
    <w:rsid w:val="00C84E1E"/>
    <w:rsid w:val="00C853C9"/>
    <w:rsid w:val="00C86ABD"/>
    <w:rsid w:val="00C87602"/>
    <w:rsid w:val="00C87D65"/>
    <w:rsid w:val="00C90B43"/>
    <w:rsid w:val="00C97C0F"/>
    <w:rsid w:val="00CA10C8"/>
    <w:rsid w:val="00CA4C5F"/>
    <w:rsid w:val="00CB37A0"/>
    <w:rsid w:val="00CB5E90"/>
    <w:rsid w:val="00CB7437"/>
    <w:rsid w:val="00CB761D"/>
    <w:rsid w:val="00CC11D3"/>
    <w:rsid w:val="00CC123D"/>
    <w:rsid w:val="00CC2137"/>
    <w:rsid w:val="00CC4C04"/>
    <w:rsid w:val="00CC7D40"/>
    <w:rsid w:val="00CD2129"/>
    <w:rsid w:val="00CD31FC"/>
    <w:rsid w:val="00CD7043"/>
    <w:rsid w:val="00CD791C"/>
    <w:rsid w:val="00CE0499"/>
    <w:rsid w:val="00CE1260"/>
    <w:rsid w:val="00CE2E48"/>
    <w:rsid w:val="00CE4AA4"/>
    <w:rsid w:val="00CE694E"/>
    <w:rsid w:val="00CF0790"/>
    <w:rsid w:val="00CF2A0F"/>
    <w:rsid w:val="00CF3726"/>
    <w:rsid w:val="00CF3C67"/>
    <w:rsid w:val="00CF5CA9"/>
    <w:rsid w:val="00D07F5D"/>
    <w:rsid w:val="00D10CDE"/>
    <w:rsid w:val="00D2305E"/>
    <w:rsid w:val="00D25E94"/>
    <w:rsid w:val="00D3401D"/>
    <w:rsid w:val="00D41C09"/>
    <w:rsid w:val="00D4388C"/>
    <w:rsid w:val="00D43FA9"/>
    <w:rsid w:val="00D4410D"/>
    <w:rsid w:val="00D44757"/>
    <w:rsid w:val="00D51358"/>
    <w:rsid w:val="00D52FD6"/>
    <w:rsid w:val="00D55153"/>
    <w:rsid w:val="00D5690D"/>
    <w:rsid w:val="00D62A5D"/>
    <w:rsid w:val="00D63DD4"/>
    <w:rsid w:val="00D66B94"/>
    <w:rsid w:val="00D701B7"/>
    <w:rsid w:val="00D71185"/>
    <w:rsid w:val="00D7166B"/>
    <w:rsid w:val="00D726E1"/>
    <w:rsid w:val="00D73A15"/>
    <w:rsid w:val="00D75DA3"/>
    <w:rsid w:val="00D84C34"/>
    <w:rsid w:val="00D84ED3"/>
    <w:rsid w:val="00D85BC3"/>
    <w:rsid w:val="00D90427"/>
    <w:rsid w:val="00D90F96"/>
    <w:rsid w:val="00D97418"/>
    <w:rsid w:val="00DA0F07"/>
    <w:rsid w:val="00DA71BF"/>
    <w:rsid w:val="00DB46CE"/>
    <w:rsid w:val="00DB65FE"/>
    <w:rsid w:val="00DB6FFD"/>
    <w:rsid w:val="00DB79C0"/>
    <w:rsid w:val="00DC5E7E"/>
    <w:rsid w:val="00DC5EEE"/>
    <w:rsid w:val="00DD087E"/>
    <w:rsid w:val="00DD15E8"/>
    <w:rsid w:val="00DD2EC5"/>
    <w:rsid w:val="00DD6B42"/>
    <w:rsid w:val="00DE0C5F"/>
    <w:rsid w:val="00DE25E3"/>
    <w:rsid w:val="00DE35A3"/>
    <w:rsid w:val="00DE6390"/>
    <w:rsid w:val="00DE6624"/>
    <w:rsid w:val="00DF079A"/>
    <w:rsid w:val="00E018E6"/>
    <w:rsid w:val="00E06E0B"/>
    <w:rsid w:val="00E124FA"/>
    <w:rsid w:val="00E12C27"/>
    <w:rsid w:val="00E178CE"/>
    <w:rsid w:val="00E339CB"/>
    <w:rsid w:val="00E344CF"/>
    <w:rsid w:val="00E346C0"/>
    <w:rsid w:val="00E45846"/>
    <w:rsid w:val="00E5125B"/>
    <w:rsid w:val="00E52423"/>
    <w:rsid w:val="00E5668A"/>
    <w:rsid w:val="00E6191C"/>
    <w:rsid w:val="00E62632"/>
    <w:rsid w:val="00E64883"/>
    <w:rsid w:val="00E649C1"/>
    <w:rsid w:val="00E70D16"/>
    <w:rsid w:val="00E83813"/>
    <w:rsid w:val="00E87133"/>
    <w:rsid w:val="00E916BA"/>
    <w:rsid w:val="00E94C32"/>
    <w:rsid w:val="00E953C6"/>
    <w:rsid w:val="00EA1135"/>
    <w:rsid w:val="00EA19BF"/>
    <w:rsid w:val="00EA359F"/>
    <w:rsid w:val="00EA6B00"/>
    <w:rsid w:val="00EB1A74"/>
    <w:rsid w:val="00EB38C4"/>
    <w:rsid w:val="00EB4A20"/>
    <w:rsid w:val="00EB5943"/>
    <w:rsid w:val="00EC37DC"/>
    <w:rsid w:val="00EC5D65"/>
    <w:rsid w:val="00ED075A"/>
    <w:rsid w:val="00ED15D5"/>
    <w:rsid w:val="00ED1841"/>
    <w:rsid w:val="00ED18A4"/>
    <w:rsid w:val="00ED1C83"/>
    <w:rsid w:val="00ED20F2"/>
    <w:rsid w:val="00ED2138"/>
    <w:rsid w:val="00ED6235"/>
    <w:rsid w:val="00EE3A66"/>
    <w:rsid w:val="00EE670D"/>
    <w:rsid w:val="00EE7ACE"/>
    <w:rsid w:val="00EF0CA2"/>
    <w:rsid w:val="00EF55D5"/>
    <w:rsid w:val="00EF6927"/>
    <w:rsid w:val="00F0006D"/>
    <w:rsid w:val="00F00F6E"/>
    <w:rsid w:val="00F02282"/>
    <w:rsid w:val="00F0300B"/>
    <w:rsid w:val="00F03BB2"/>
    <w:rsid w:val="00F13B61"/>
    <w:rsid w:val="00F23130"/>
    <w:rsid w:val="00F30166"/>
    <w:rsid w:val="00F33013"/>
    <w:rsid w:val="00F413E5"/>
    <w:rsid w:val="00F44B06"/>
    <w:rsid w:val="00F50947"/>
    <w:rsid w:val="00F52E76"/>
    <w:rsid w:val="00F72115"/>
    <w:rsid w:val="00F730D6"/>
    <w:rsid w:val="00F746DB"/>
    <w:rsid w:val="00F774CC"/>
    <w:rsid w:val="00F7798A"/>
    <w:rsid w:val="00F8622A"/>
    <w:rsid w:val="00F875C7"/>
    <w:rsid w:val="00F9050E"/>
    <w:rsid w:val="00F91D5F"/>
    <w:rsid w:val="00F94985"/>
    <w:rsid w:val="00F96CBA"/>
    <w:rsid w:val="00FA20CE"/>
    <w:rsid w:val="00FA69EF"/>
    <w:rsid w:val="00FB0A60"/>
    <w:rsid w:val="00FB3C28"/>
    <w:rsid w:val="00FB6A47"/>
    <w:rsid w:val="00FC10AF"/>
    <w:rsid w:val="00FC1CA1"/>
    <w:rsid w:val="00FD0DEC"/>
    <w:rsid w:val="00FF145A"/>
    <w:rsid w:val="00FF59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337BF"/>
  <w14:defaultImageDpi w14:val="300"/>
  <w15:docId w15:val="{E661B7D9-F550-A044-A4FB-1622A0E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4A6D"/>
    <w:pPr>
      <w:ind w:left="720"/>
      <w:contextualSpacing/>
    </w:pPr>
  </w:style>
  <w:style w:type="paragraph" w:styleId="Textodenotaderodap">
    <w:name w:val="footnote text"/>
    <w:basedOn w:val="Normal"/>
    <w:link w:val="TextodenotaderodapChar"/>
    <w:uiPriority w:val="99"/>
    <w:unhideWhenUsed/>
    <w:rsid w:val="007033A3"/>
    <w:pPr>
      <w:jc w:val="both"/>
    </w:pPr>
    <w:rPr>
      <w:rFonts w:ascii="Arial" w:hAnsi="Arial"/>
      <w:sz w:val="18"/>
    </w:rPr>
  </w:style>
  <w:style w:type="character" w:customStyle="1" w:styleId="TextodenotaderodapChar">
    <w:name w:val="Texto de nota de rodapé Char"/>
    <w:basedOn w:val="Fontepargpadro"/>
    <w:link w:val="Textodenotaderodap"/>
    <w:uiPriority w:val="99"/>
    <w:rsid w:val="007033A3"/>
    <w:rPr>
      <w:rFonts w:ascii="Arial" w:hAnsi="Arial"/>
      <w:sz w:val="18"/>
    </w:rPr>
  </w:style>
  <w:style w:type="character" w:styleId="Refdenotaderodap">
    <w:name w:val="footnote reference"/>
    <w:basedOn w:val="Fontepargpadro"/>
    <w:uiPriority w:val="99"/>
    <w:unhideWhenUsed/>
    <w:rsid w:val="00A2121A"/>
    <w:rPr>
      <w:vertAlign w:val="superscript"/>
    </w:rPr>
  </w:style>
  <w:style w:type="paragraph" w:styleId="Textodebalo">
    <w:name w:val="Balloon Text"/>
    <w:basedOn w:val="Normal"/>
    <w:link w:val="TextodebaloChar"/>
    <w:uiPriority w:val="99"/>
    <w:semiHidden/>
    <w:unhideWhenUsed/>
    <w:rsid w:val="0076332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6332B"/>
    <w:rPr>
      <w:rFonts w:ascii="Lucida Grande" w:hAnsi="Lucida Grande" w:cs="Lucida Grande"/>
      <w:sz w:val="18"/>
      <w:szCs w:val="18"/>
    </w:rPr>
  </w:style>
  <w:style w:type="paragraph" w:styleId="NormalWeb">
    <w:name w:val="Normal (Web)"/>
    <w:basedOn w:val="Normal"/>
    <w:uiPriority w:val="99"/>
    <w:unhideWhenUsed/>
    <w:rsid w:val="00B21A06"/>
    <w:rPr>
      <w:rFonts w:ascii="Times New Roman" w:hAnsi="Times New Roman" w:cs="Times New Roman"/>
    </w:rPr>
  </w:style>
  <w:style w:type="table" w:styleId="Tabelacomgrade">
    <w:name w:val="Table Grid"/>
    <w:basedOn w:val="Tabelanormal"/>
    <w:uiPriority w:val="59"/>
    <w:rsid w:val="0074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835">
      <w:bodyDiv w:val="1"/>
      <w:marLeft w:val="0"/>
      <w:marRight w:val="0"/>
      <w:marTop w:val="0"/>
      <w:marBottom w:val="0"/>
      <w:divBdr>
        <w:top w:val="none" w:sz="0" w:space="0" w:color="auto"/>
        <w:left w:val="none" w:sz="0" w:space="0" w:color="auto"/>
        <w:bottom w:val="none" w:sz="0" w:space="0" w:color="auto"/>
        <w:right w:val="none" w:sz="0" w:space="0" w:color="auto"/>
      </w:divBdr>
      <w:divsChild>
        <w:div w:id="2062707910">
          <w:marLeft w:val="0"/>
          <w:marRight w:val="0"/>
          <w:marTop w:val="0"/>
          <w:marBottom w:val="0"/>
          <w:divBdr>
            <w:top w:val="none" w:sz="0" w:space="0" w:color="auto"/>
            <w:left w:val="none" w:sz="0" w:space="0" w:color="auto"/>
            <w:bottom w:val="none" w:sz="0" w:space="0" w:color="auto"/>
            <w:right w:val="none" w:sz="0" w:space="0" w:color="auto"/>
          </w:divBdr>
          <w:divsChild>
            <w:div w:id="2034260451">
              <w:marLeft w:val="0"/>
              <w:marRight w:val="0"/>
              <w:marTop w:val="0"/>
              <w:marBottom w:val="0"/>
              <w:divBdr>
                <w:top w:val="none" w:sz="0" w:space="0" w:color="auto"/>
                <w:left w:val="none" w:sz="0" w:space="0" w:color="auto"/>
                <w:bottom w:val="none" w:sz="0" w:space="0" w:color="auto"/>
                <w:right w:val="none" w:sz="0" w:space="0" w:color="auto"/>
              </w:divBdr>
              <w:divsChild>
                <w:div w:id="134834817">
                  <w:marLeft w:val="0"/>
                  <w:marRight w:val="0"/>
                  <w:marTop w:val="0"/>
                  <w:marBottom w:val="0"/>
                  <w:divBdr>
                    <w:top w:val="none" w:sz="0" w:space="0" w:color="auto"/>
                    <w:left w:val="none" w:sz="0" w:space="0" w:color="auto"/>
                    <w:bottom w:val="none" w:sz="0" w:space="0" w:color="auto"/>
                    <w:right w:val="none" w:sz="0" w:space="0" w:color="auto"/>
                  </w:divBdr>
                  <w:divsChild>
                    <w:div w:id="1845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42">
      <w:bodyDiv w:val="1"/>
      <w:marLeft w:val="0"/>
      <w:marRight w:val="0"/>
      <w:marTop w:val="0"/>
      <w:marBottom w:val="0"/>
      <w:divBdr>
        <w:top w:val="none" w:sz="0" w:space="0" w:color="auto"/>
        <w:left w:val="none" w:sz="0" w:space="0" w:color="auto"/>
        <w:bottom w:val="none" w:sz="0" w:space="0" w:color="auto"/>
        <w:right w:val="none" w:sz="0" w:space="0" w:color="auto"/>
      </w:divBdr>
      <w:divsChild>
        <w:div w:id="1194921875">
          <w:marLeft w:val="0"/>
          <w:marRight w:val="0"/>
          <w:marTop w:val="0"/>
          <w:marBottom w:val="0"/>
          <w:divBdr>
            <w:top w:val="none" w:sz="0" w:space="0" w:color="auto"/>
            <w:left w:val="none" w:sz="0" w:space="0" w:color="auto"/>
            <w:bottom w:val="none" w:sz="0" w:space="0" w:color="auto"/>
            <w:right w:val="none" w:sz="0" w:space="0" w:color="auto"/>
          </w:divBdr>
          <w:divsChild>
            <w:div w:id="107891155">
              <w:marLeft w:val="0"/>
              <w:marRight w:val="0"/>
              <w:marTop w:val="0"/>
              <w:marBottom w:val="0"/>
              <w:divBdr>
                <w:top w:val="none" w:sz="0" w:space="0" w:color="auto"/>
                <w:left w:val="none" w:sz="0" w:space="0" w:color="auto"/>
                <w:bottom w:val="none" w:sz="0" w:space="0" w:color="auto"/>
                <w:right w:val="none" w:sz="0" w:space="0" w:color="auto"/>
              </w:divBdr>
              <w:divsChild>
                <w:div w:id="633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3607">
      <w:bodyDiv w:val="1"/>
      <w:marLeft w:val="0"/>
      <w:marRight w:val="0"/>
      <w:marTop w:val="0"/>
      <w:marBottom w:val="0"/>
      <w:divBdr>
        <w:top w:val="none" w:sz="0" w:space="0" w:color="auto"/>
        <w:left w:val="none" w:sz="0" w:space="0" w:color="auto"/>
        <w:bottom w:val="none" w:sz="0" w:space="0" w:color="auto"/>
        <w:right w:val="none" w:sz="0" w:space="0" w:color="auto"/>
      </w:divBdr>
      <w:divsChild>
        <w:div w:id="1763841456">
          <w:marLeft w:val="0"/>
          <w:marRight w:val="0"/>
          <w:marTop w:val="0"/>
          <w:marBottom w:val="0"/>
          <w:divBdr>
            <w:top w:val="none" w:sz="0" w:space="0" w:color="auto"/>
            <w:left w:val="none" w:sz="0" w:space="0" w:color="auto"/>
            <w:bottom w:val="none" w:sz="0" w:space="0" w:color="auto"/>
            <w:right w:val="none" w:sz="0" w:space="0" w:color="auto"/>
          </w:divBdr>
          <w:divsChild>
            <w:div w:id="1682777327">
              <w:marLeft w:val="0"/>
              <w:marRight w:val="0"/>
              <w:marTop w:val="0"/>
              <w:marBottom w:val="0"/>
              <w:divBdr>
                <w:top w:val="none" w:sz="0" w:space="0" w:color="auto"/>
                <w:left w:val="none" w:sz="0" w:space="0" w:color="auto"/>
                <w:bottom w:val="none" w:sz="0" w:space="0" w:color="auto"/>
                <w:right w:val="none" w:sz="0" w:space="0" w:color="auto"/>
              </w:divBdr>
              <w:divsChild>
                <w:div w:id="18558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08181">
      <w:bodyDiv w:val="1"/>
      <w:marLeft w:val="0"/>
      <w:marRight w:val="0"/>
      <w:marTop w:val="0"/>
      <w:marBottom w:val="0"/>
      <w:divBdr>
        <w:top w:val="none" w:sz="0" w:space="0" w:color="auto"/>
        <w:left w:val="none" w:sz="0" w:space="0" w:color="auto"/>
        <w:bottom w:val="none" w:sz="0" w:space="0" w:color="auto"/>
        <w:right w:val="none" w:sz="0" w:space="0" w:color="auto"/>
      </w:divBdr>
      <w:divsChild>
        <w:div w:id="2031570089">
          <w:marLeft w:val="0"/>
          <w:marRight w:val="0"/>
          <w:marTop w:val="0"/>
          <w:marBottom w:val="0"/>
          <w:divBdr>
            <w:top w:val="none" w:sz="0" w:space="0" w:color="auto"/>
            <w:left w:val="none" w:sz="0" w:space="0" w:color="auto"/>
            <w:bottom w:val="none" w:sz="0" w:space="0" w:color="auto"/>
            <w:right w:val="none" w:sz="0" w:space="0" w:color="auto"/>
          </w:divBdr>
          <w:divsChild>
            <w:div w:id="2026008807">
              <w:marLeft w:val="0"/>
              <w:marRight w:val="0"/>
              <w:marTop w:val="0"/>
              <w:marBottom w:val="0"/>
              <w:divBdr>
                <w:top w:val="none" w:sz="0" w:space="0" w:color="auto"/>
                <w:left w:val="none" w:sz="0" w:space="0" w:color="auto"/>
                <w:bottom w:val="none" w:sz="0" w:space="0" w:color="auto"/>
                <w:right w:val="none" w:sz="0" w:space="0" w:color="auto"/>
              </w:divBdr>
              <w:divsChild>
                <w:div w:id="287666314">
                  <w:marLeft w:val="0"/>
                  <w:marRight w:val="0"/>
                  <w:marTop w:val="0"/>
                  <w:marBottom w:val="0"/>
                  <w:divBdr>
                    <w:top w:val="none" w:sz="0" w:space="0" w:color="auto"/>
                    <w:left w:val="none" w:sz="0" w:space="0" w:color="auto"/>
                    <w:bottom w:val="none" w:sz="0" w:space="0" w:color="auto"/>
                    <w:right w:val="none" w:sz="0" w:space="0" w:color="auto"/>
                  </w:divBdr>
                  <w:divsChild>
                    <w:div w:id="12474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78373">
      <w:bodyDiv w:val="1"/>
      <w:marLeft w:val="0"/>
      <w:marRight w:val="0"/>
      <w:marTop w:val="0"/>
      <w:marBottom w:val="0"/>
      <w:divBdr>
        <w:top w:val="none" w:sz="0" w:space="0" w:color="auto"/>
        <w:left w:val="none" w:sz="0" w:space="0" w:color="auto"/>
        <w:bottom w:val="none" w:sz="0" w:space="0" w:color="auto"/>
        <w:right w:val="none" w:sz="0" w:space="0" w:color="auto"/>
      </w:divBdr>
      <w:divsChild>
        <w:div w:id="1666661674">
          <w:marLeft w:val="0"/>
          <w:marRight w:val="0"/>
          <w:marTop w:val="0"/>
          <w:marBottom w:val="0"/>
          <w:divBdr>
            <w:top w:val="none" w:sz="0" w:space="0" w:color="auto"/>
            <w:left w:val="none" w:sz="0" w:space="0" w:color="auto"/>
            <w:bottom w:val="none" w:sz="0" w:space="0" w:color="auto"/>
            <w:right w:val="none" w:sz="0" w:space="0" w:color="auto"/>
          </w:divBdr>
          <w:divsChild>
            <w:div w:id="1255359378">
              <w:marLeft w:val="0"/>
              <w:marRight w:val="0"/>
              <w:marTop w:val="0"/>
              <w:marBottom w:val="0"/>
              <w:divBdr>
                <w:top w:val="none" w:sz="0" w:space="0" w:color="auto"/>
                <w:left w:val="none" w:sz="0" w:space="0" w:color="auto"/>
                <w:bottom w:val="none" w:sz="0" w:space="0" w:color="auto"/>
                <w:right w:val="none" w:sz="0" w:space="0" w:color="auto"/>
              </w:divBdr>
              <w:divsChild>
                <w:div w:id="5219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7683">
      <w:bodyDiv w:val="1"/>
      <w:marLeft w:val="0"/>
      <w:marRight w:val="0"/>
      <w:marTop w:val="0"/>
      <w:marBottom w:val="0"/>
      <w:divBdr>
        <w:top w:val="none" w:sz="0" w:space="0" w:color="auto"/>
        <w:left w:val="none" w:sz="0" w:space="0" w:color="auto"/>
        <w:bottom w:val="none" w:sz="0" w:space="0" w:color="auto"/>
        <w:right w:val="none" w:sz="0" w:space="0" w:color="auto"/>
      </w:divBdr>
      <w:divsChild>
        <w:div w:id="1260212927">
          <w:marLeft w:val="0"/>
          <w:marRight w:val="0"/>
          <w:marTop w:val="0"/>
          <w:marBottom w:val="0"/>
          <w:divBdr>
            <w:top w:val="none" w:sz="0" w:space="0" w:color="auto"/>
            <w:left w:val="none" w:sz="0" w:space="0" w:color="auto"/>
            <w:bottom w:val="none" w:sz="0" w:space="0" w:color="auto"/>
            <w:right w:val="none" w:sz="0" w:space="0" w:color="auto"/>
          </w:divBdr>
          <w:divsChild>
            <w:div w:id="1813212183">
              <w:marLeft w:val="0"/>
              <w:marRight w:val="0"/>
              <w:marTop w:val="0"/>
              <w:marBottom w:val="0"/>
              <w:divBdr>
                <w:top w:val="none" w:sz="0" w:space="0" w:color="auto"/>
                <w:left w:val="none" w:sz="0" w:space="0" w:color="auto"/>
                <w:bottom w:val="none" w:sz="0" w:space="0" w:color="auto"/>
                <w:right w:val="none" w:sz="0" w:space="0" w:color="auto"/>
              </w:divBdr>
              <w:divsChild>
                <w:div w:id="514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4770">
      <w:bodyDiv w:val="1"/>
      <w:marLeft w:val="0"/>
      <w:marRight w:val="0"/>
      <w:marTop w:val="0"/>
      <w:marBottom w:val="0"/>
      <w:divBdr>
        <w:top w:val="none" w:sz="0" w:space="0" w:color="auto"/>
        <w:left w:val="none" w:sz="0" w:space="0" w:color="auto"/>
        <w:bottom w:val="none" w:sz="0" w:space="0" w:color="auto"/>
        <w:right w:val="none" w:sz="0" w:space="0" w:color="auto"/>
      </w:divBdr>
      <w:divsChild>
        <w:div w:id="101076434">
          <w:marLeft w:val="0"/>
          <w:marRight w:val="0"/>
          <w:marTop w:val="0"/>
          <w:marBottom w:val="0"/>
          <w:divBdr>
            <w:top w:val="none" w:sz="0" w:space="0" w:color="auto"/>
            <w:left w:val="none" w:sz="0" w:space="0" w:color="auto"/>
            <w:bottom w:val="none" w:sz="0" w:space="0" w:color="auto"/>
            <w:right w:val="none" w:sz="0" w:space="0" w:color="auto"/>
          </w:divBdr>
          <w:divsChild>
            <w:div w:id="1110666498">
              <w:marLeft w:val="0"/>
              <w:marRight w:val="0"/>
              <w:marTop w:val="0"/>
              <w:marBottom w:val="0"/>
              <w:divBdr>
                <w:top w:val="none" w:sz="0" w:space="0" w:color="auto"/>
                <w:left w:val="none" w:sz="0" w:space="0" w:color="auto"/>
                <w:bottom w:val="none" w:sz="0" w:space="0" w:color="auto"/>
                <w:right w:val="none" w:sz="0" w:space="0" w:color="auto"/>
              </w:divBdr>
              <w:divsChild>
                <w:div w:id="6654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2298">
      <w:bodyDiv w:val="1"/>
      <w:marLeft w:val="0"/>
      <w:marRight w:val="0"/>
      <w:marTop w:val="0"/>
      <w:marBottom w:val="0"/>
      <w:divBdr>
        <w:top w:val="none" w:sz="0" w:space="0" w:color="auto"/>
        <w:left w:val="none" w:sz="0" w:space="0" w:color="auto"/>
        <w:bottom w:val="none" w:sz="0" w:space="0" w:color="auto"/>
        <w:right w:val="none" w:sz="0" w:space="0" w:color="auto"/>
      </w:divBdr>
      <w:divsChild>
        <w:div w:id="1292519406">
          <w:marLeft w:val="0"/>
          <w:marRight w:val="0"/>
          <w:marTop w:val="0"/>
          <w:marBottom w:val="0"/>
          <w:divBdr>
            <w:top w:val="none" w:sz="0" w:space="0" w:color="auto"/>
            <w:left w:val="none" w:sz="0" w:space="0" w:color="auto"/>
            <w:bottom w:val="none" w:sz="0" w:space="0" w:color="auto"/>
            <w:right w:val="none" w:sz="0" w:space="0" w:color="auto"/>
          </w:divBdr>
          <w:divsChild>
            <w:div w:id="81068311">
              <w:marLeft w:val="0"/>
              <w:marRight w:val="0"/>
              <w:marTop w:val="0"/>
              <w:marBottom w:val="0"/>
              <w:divBdr>
                <w:top w:val="none" w:sz="0" w:space="0" w:color="auto"/>
                <w:left w:val="none" w:sz="0" w:space="0" w:color="auto"/>
                <w:bottom w:val="none" w:sz="0" w:space="0" w:color="auto"/>
                <w:right w:val="none" w:sz="0" w:space="0" w:color="auto"/>
              </w:divBdr>
              <w:divsChild>
                <w:div w:id="722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0500">
      <w:bodyDiv w:val="1"/>
      <w:marLeft w:val="0"/>
      <w:marRight w:val="0"/>
      <w:marTop w:val="0"/>
      <w:marBottom w:val="0"/>
      <w:divBdr>
        <w:top w:val="none" w:sz="0" w:space="0" w:color="auto"/>
        <w:left w:val="none" w:sz="0" w:space="0" w:color="auto"/>
        <w:bottom w:val="none" w:sz="0" w:space="0" w:color="auto"/>
        <w:right w:val="none" w:sz="0" w:space="0" w:color="auto"/>
      </w:divBdr>
      <w:divsChild>
        <w:div w:id="690372796">
          <w:marLeft w:val="0"/>
          <w:marRight w:val="0"/>
          <w:marTop w:val="0"/>
          <w:marBottom w:val="0"/>
          <w:divBdr>
            <w:top w:val="none" w:sz="0" w:space="0" w:color="auto"/>
            <w:left w:val="none" w:sz="0" w:space="0" w:color="auto"/>
            <w:bottom w:val="none" w:sz="0" w:space="0" w:color="auto"/>
            <w:right w:val="none" w:sz="0" w:space="0" w:color="auto"/>
          </w:divBdr>
          <w:divsChild>
            <w:div w:id="1175807034">
              <w:marLeft w:val="0"/>
              <w:marRight w:val="0"/>
              <w:marTop w:val="0"/>
              <w:marBottom w:val="0"/>
              <w:divBdr>
                <w:top w:val="none" w:sz="0" w:space="0" w:color="auto"/>
                <w:left w:val="none" w:sz="0" w:space="0" w:color="auto"/>
                <w:bottom w:val="none" w:sz="0" w:space="0" w:color="auto"/>
                <w:right w:val="none" w:sz="0" w:space="0" w:color="auto"/>
              </w:divBdr>
              <w:divsChild>
                <w:div w:id="16496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21027">
      <w:bodyDiv w:val="1"/>
      <w:marLeft w:val="0"/>
      <w:marRight w:val="0"/>
      <w:marTop w:val="0"/>
      <w:marBottom w:val="0"/>
      <w:divBdr>
        <w:top w:val="none" w:sz="0" w:space="0" w:color="auto"/>
        <w:left w:val="none" w:sz="0" w:space="0" w:color="auto"/>
        <w:bottom w:val="none" w:sz="0" w:space="0" w:color="auto"/>
        <w:right w:val="none" w:sz="0" w:space="0" w:color="auto"/>
      </w:divBdr>
      <w:divsChild>
        <w:div w:id="278755827">
          <w:marLeft w:val="0"/>
          <w:marRight w:val="0"/>
          <w:marTop w:val="0"/>
          <w:marBottom w:val="0"/>
          <w:divBdr>
            <w:top w:val="none" w:sz="0" w:space="0" w:color="auto"/>
            <w:left w:val="none" w:sz="0" w:space="0" w:color="auto"/>
            <w:bottom w:val="none" w:sz="0" w:space="0" w:color="auto"/>
            <w:right w:val="none" w:sz="0" w:space="0" w:color="auto"/>
          </w:divBdr>
          <w:divsChild>
            <w:div w:id="1054350902">
              <w:marLeft w:val="0"/>
              <w:marRight w:val="0"/>
              <w:marTop w:val="0"/>
              <w:marBottom w:val="0"/>
              <w:divBdr>
                <w:top w:val="none" w:sz="0" w:space="0" w:color="auto"/>
                <w:left w:val="none" w:sz="0" w:space="0" w:color="auto"/>
                <w:bottom w:val="none" w:sz="0" w:space="0" w:color="auto"/>
                <w:right w:val="none" w:sz="0" w:space="0" w:color="auto"/>
              </w:divBdr>
              <w:divsChild>
                <w:div w:id="18986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0353">
      <w:bodyDiv w:val="1"/>
      <w:marLeft w:val="0"/>
      <w:marRight w:val="0"/>
      <w:marTop w:val="0"/>
      <w:marBottom w:val="0"/>
      <w:divBdr>
        <w:top w:val="none" w:sz="0" w:space="0" w:color="auto"/>
        <w:left w:val="none" w:sz="0" w:space="0" w:color="auto"/>
        <w:bottom w:val="none" w:sz="0" w:space="0" w:color="auto"/>
        <w:right w:val="none" w:sz="0" w:space="0" w:color="auto"/>
      </w:divBdr>
    </w:div>
    <w:div w:id="4642024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765">
          <w:marLeft w:val="0"/>
          <w:marRight w:val="0"/>
          <w:marTop w:val="0"/>
          <w:marBottom w:val="0"/>
          <w:divBdr>
            <w:top w:val="none" w:sz="0" w:space="0" w:color="auto"/>
            <w:left w:val="none" w:sz="0" w:space="0" w:color="auto"/>
            <w:bottom w:val="none" w:sz="0" w:space="0" w:color="auto"/>
            <w:right w:val="none" w:sz="0" w:space="0" w:color="auto"/>
          </w:divBdr>
          <w:divsChild>
            <w:div w:id="374231075">
              <w:marLeft w:val="0"/>
              <w:marRight w:val="0"/>
              <w:marTop w:val="0"/>
              <w:marBottom w:val="0"/>
              <w:divBdr>
                <w:top w:val="none" w:sz="0" w:space="0" w:color="auto"/>
                <w:left w:val="none" w:sz="0" w:space="0" w:color="auto"/>
                <w:bottom w:val="none" w:sz="0" w:space="0" w:color="auto"/>
                <w:right w:val="none" w:sz="0" w:space="0" w:color="auto"/>
              </w:divBdr>
              <w:divsChild>
                <w:div w:id="6086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3942">
      <w:bodyDiv w:val="1"/>
      <w:marLeft w:val="0"/>
      <w:marRight w:val="0"/>
      <w:marTop w:val="0"/>
      <w:marBottom w:val="0"/>
      <w:divBdr>
        <w:top w:val="none" w:sz="0" w:space="0" w:color="auto"/>
        <w:left w:val="none" w:sz="0" w:space="0" w:color="auto"/>
        <w:bottom w:val="none" w:sz="0" w:space="0" w:color="auto"/>
        <w:right w:val="none" w:sz="0" w:space="0" w:color="auto"/>
      </w:divBdr>
      <w:divsChild>
        <w:div w:id="949313994">
          <w:marLeft w:val="0"/>
          <w:marRight w:val="0"/>
          <w:marTop w:val="0"/>
          <w:marBottom w:val="0"/>
          <w:divBdr>
            <w:top w:val="none" w:sz="0" w:space="0" w:color="auto"/>
            <w:left w:val="none" w:sz="0" w:space="0" w:color="auto"/>
            <w:bottom w:val="none" w:sz="0" w:space="0" w:color="auto"/>
            <w:right w:val="none" w:sz="0" w:space="0" w:color="auto"/>
          </w:divBdr>
          <w:divsChild>
            <w:div w:id="69499337">
              <w:marLeft w:val="0"/>
              <w:marRight w:val="0"/>
              <w:marTop w:val="0"/>
              <w:marBottom w:val="0"/>
              <w:divBdr>
                <w:top w:val="none" w:sz="0" w:space="0" w:color="auto"/>
                <w:left w:val="none" w:sz="0" w:space="0" w:color="auto"/>
                <w:bottom w:val="none" w:sz="0" w:space="0" w:color="auto"/>
                <w:right w:val="none" w:sz="0" w:space="0" w:color="auto"/>
              </w:divBdr>
              <w:divsChild>
                <w:div w:id="1392732167">
                  <w:marLeft w:val="0"/>
                  <w:marRight w:val="0"/>
                  <w:marTop w:val="0"/>
                  <w:marBottom w:val="0"/>
                  <w:divBdr>
                    <w:top w:val="none" w:sz="0" w:space="0" w:color="auto"/>
                    <w:left w:val="none" w:sz="0" w:space="0" w:color="auto"/>
                    <w:bottom w:val="none" w:sz="0" w:space="0" w:color="auto"/>
                    <w:right w:val="none" w:sz="0" w:space="0" w:color="auto"/>
                  </w:divBdr>
                  <w:divsChild>
                    <w:div w:id="722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0072">
      <w:bodyDiv w:val="1"/>
      <w:marLeft w:val="0"/>
      <w:marRight w:val="0"/>
      <w:marTop w:val="0"/>
      <w:marBottom w:val="0"/>
      <w:divBdr>
        <w:top w:val="none" w:sz="0" w:space="0" w:color="auto"/>
        <w:left w:val="none" w:sz="0" w:space="0" w:color="auto"/>
        <w:bottom w:val="none" w:sz="0" w:space="0" w:color="auto"/>
        <w:right w:val="none" w:sz="0" w:space="0" w:color="auto"/>
      </w:divBdr>
      <w:divsChild>
        <w:div w:id="995843279">
          <w:marLeft w:val="0"/>
          <w:marRight w:val="0"/>
          <w:marTop w:val="0"/>
          <w:marBottom w:val="0"/>
          <w:divBdr>
            <w:top w:val="none" w:sz="0" w:space="0" w:color="auto"/>
            <w:left w:val="none" w:sz="0" w:space="0" w:color="auto"/>
            <w:bottom w:val="none" w:sz="0" w:space="0" w:color="auto"/>
            <w:right w:val="none" w:sz="0" w:space="0" w:color="auto"/>
          </w:divBdr>
          <w:divsChild>
            <w:div w:id="2116173306">
              <w:marLeft w:val="0"/>
              <w:marRight w:val="0"/>
              <w:marTop w:val="0"/>
              <w:marBottom w:val="0"/>
              <w:divBdr>
                <w:top w:val="none" w:sz="0" w:space="0" w:color="auto"/>
                <w:left w:val="none" w:sz="0" w:space="0" w:color="auto"/>
                <w:bottom w:val="none" w:sz="0" w:space="0" w:color="auto"/>
                <w:right w:val="none" w:sz="0" w:space="0" w:color="auto"/>
              </w:divBdr>
              <w:divsChild>
                <w:div w:id="1667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19790">
      <w:bodyDiv w:val="1"/>
      <w:marLeft w:val="0"/>
      <w:marRight w:val="0"/>
      <w:marTop w:val="0"/>
      <w:marBottom w:val="0"/>
      <w:divBdr>
        <w:top w:val="none" w:sz="0" w:space="0" w:color="auto"/>
        <w:left w:val="none" w:sz="0" w:space="0" w:color="auto"/>
        <w:bottom w:val="none" w:sz="0" w:space="0" w:color="auto"/>
        <w:right w:val="none" w:sz="0" w:space="0" w:color="auto"/>
      </w:divBdr>
      <w:divsChild>
        <w:div w:id="1872721218">
          <w:marLeft w:val="0"/>
          <w:marRight w:val="0"/>
          <w:marTop w:val="0"/>
          <w:marBottom w:val="0"/>
          <w:divBdr>
            <w:top w:val="none" w:sz="0" w:space="0" w:color="auto"/>
            <w:left w:val="none" w:sz="0" w:space="0" w:color="auto"/>
            <w:bottom w:val="none" w:sz="0" w:space="0" w:color="auto"/>
            <w:right w:val="none" w:sz="0" w:space="0" w:color="auto"/>
          </w:divBdr>
          <w:divsChild>
            <w:div w:id="44258213">
              <w:marLeft w:val="0"/>
              <w:marRight w:val="0"/>
              <w:marTop w:val="0"/>
              <w:marBottom w:val="0"/>
              <w:divBdr>
                <w:top w:val="none" w:sz="0" w:space="0" w:color="auto"/>
                <w:left w:val="none" w:sz="0" w:space="0" w:color="auto"/>
                <w:bottom w:val="none" w:sz="0" w:space="0" w:color="auto"/>
                <w:right w:val="none" w:sz="0" w:space="0" w:color="auto"/>
              </w:divBdr>
              <w:divsChild>
                <w:div w:id="1589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532">
      <w:bodyDiv w:val="1"/>
      <w:marLeft w:val="0"/>
      <w:marRight w:val="0"/>
      <w:marTop w:val="0"/>
      <w:marBottom w:val="0"/>
      <w:divBdr>
        <w:top w:val="none" w:sz="0" w:space="0" w:color="auto"/>
        <w:left w:val="none" w:sz="0" w:space="0" w:color="auto"/>
        <w:bottom w:val="none" w:sz="0" w:space="0" w:color="auto"/>
        <w:right w:val="none" w:sz="0" w:space="0" w:color="auto"/>
      </w:divBdr>
      <w:divsChild>
        <w:div w:id="911235780">
          <w:marLeft w:val="0"/>
          <w:marRight w:val="0"/>
          <w:marTop w:val="0"/>
          <w:marBottom w:val="0"/>
          <w:divBdr>
            <w:top w:val="none" w:sz="0" w:space="0" w:color="auto"/>
            <w:left w:val="none" w:sz="0" w:space="0" w:color="auto"/>
            <w:bottom w:val="none" w:sz="0" w:space="0" w:color="auto"/>
            <w:right w:val="none" w:sz="0" w:space="0" w:color="auto"/>
          </w:divBdr>
          <w:divsChild>
            <w:div w:id="1316253411">
              <w:marLeft w:val="0"/>
              <w:marRight w:val="0"/>
              <w:marTop w:val="0"/>
              <w:marBottom w:val="0"/>
              <w:divBdr>
                <w:top w:val="none" w:sz="0" w:space="0" w:color="auto"/>
                <w:left w:val="none" w:sz="0" w:space="0" w:color="auto"/>
                <w:bottom w:val="none" w:sz="0" w:space="0" w:color="auto"/>
                <w:right w:val="none" w:sz="0" w:space="0" w:color="auto"/>
              </w:divBdr>
              <w:divsChild>
                <w:div w:id="2082093529">
                  <w:marLeft w:val="-240"/>
                  <w:marRight w:val="-240"/>
                  <w:marTop w:val="0"/>
                  <w:marBottom w:val="0"/>
                  <w:divBdr>
                    <w:top w:val="none" w:sz="0" w:space="0" w:color="auto"/>
                    <w:left w:val="none" w:sz="0" w:space="0" w:color="auto"/>
                    <w:bottom w:val="none" w:sz="0" w:space="0" w:color="auto"/>
                    <w:right w:val="none" w:sz="0" w:space="0" w:color="auto"/>
                  </w:divBdr>
                  <w:divsChild>
                    <w:div w:id="1845243840">
                      <w:marLeft w:val="0"/>
                      <w:marRight w:val="0"/>
                      <w:marTop w:val="0"/>
                      <w:marBottom w:val="0"/>
                      <w:divBdr>
                        <w:top w:val="none" w:sz="0" w:space="0" w:color="auto"/>
                        <w:left w:val="none" w:sz="0" w:space="0" w:color="auto"/>
                        <w:bottom w:val="none" w:sz="0" w:space="0" w:color="auto"/>
                        <w:right w:val="none" w:sz="0" w:space="0" w:color="auto"/>
                      </w:divBdr>
                      <w:divsChild>
                        <w:div w:id="98724606">
                          <w:marLeft w:val="0"/>
                          <w:marRight w:val="0"/>
                          <w:marTop w:val="0"/>
                          <w:marBottom w:val="0"/>
                          <w:divBdr>
                            <w:top w:val="none" w:sz="0" w:space="0" w:color="auto"/>
                            <w:left w:val="none" w:sz="0" w:space="0" w:color="auto"/>
                            <w:bottom w:val="none" w:sz="0" w:space="0" w:color="auto"/>
                            <w:right w:val="none" w:sz="0" w:space="0" w:color="auto"/>
                          </w:divBdr>
                        </w:div>
                        <w:div w:id="1879316534">
                          <w:marLeft w:val="0"/>
                          <w:marRight w:val="0"/>
                          <w:marTop w:val="0"/>
                          <w:marBottom w:val="0"/>
                          <w:divBdr>
                            <w:top w:val="none" w:sz="0" w:space="0" w:color="auto"/>
                            <w:left w:val="none" w:sz="0" w:space="0" w:color="auto"/>
                            <w:bottom w:val="none" w:sz="0" w:space="0" w:color="auto"/>
                            <w:right w:val="none" w:sz="0" w:space="0" w:color="auto"/>
                          </w:divBdr>
                          <w:divsChild>
                            <w:div w:id="1577402382">
                              <w:marLeft w:val="165"/>
                              <w:marRight w:val="165"/>
                              <w:marTop w:val="0"/>
                              <w:marBottom w:val="0"/>
                              <w:divBdr>
                                <w:top w:val="none" w:sz="0" w:space="0" w:color="auto"/>
                                <w:left w:val="none" w:sz="0" w:space="0" w:color="auto"/>
                                <w:bottom w:val="none" w:sz="0" w:space="0" w:color="auto"/>
                                <w:right w:val="none" w:sz="0" w:space="0" w:color="auto"/>
                              </w:divBdr>
                              <w:divsChild>
                                <w:div w:id="986131531">
                                  <w:marLeft w:val="0"/>
                                  <w:marRight w:val="0"/>
                                  <w:marTop w:val="0"/>
                                  <w:marBottom w:val="0"/>
                                  <w:divBdr>
                                    <w:top w:val="none" w:sz="0" w:space="0" w:color="auto"/>
                                    <w:left w:val="none" w:sz="0" w:space="0" w:color="auto"/>
                                    <w:bottom w:val="none" w:sz="0" w:space="0" w:color="auto"/>
                                    <w:right w:val="none" w:sz="0" w:space="0" w:color="auto"/>
                                  </w:divBdr>
                                  <w:divsChild>
                                    <w:div w:id="1172260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1130">
      <w:bodyDiv w:val="1"/>
      <w:marLeft w:val="0"/>
      <w:marRight w:val="0"/>
      <w:marTop w:val="0"/>
      <w:marBottom w:val="0"/>
      <w:divBdr>
        <w:top w:val="none" w:sz="0" w:space="0" w:color="auto"/>
        <w:left w:val="none" w:sz="0" w:space="0" w:color="auto"/>
        <w:bottom w:val="none" w:sz="0" w:space="0" w:color="auto"/>
        <w:right w:val="none" w:sz="0" w:space="0" w:color="auto"/>
      </w:divBdr>
      <w:divsChild>
        <w:div w:id="183448524">
          <w:marLeft w:val="0"/>
          <w:marRight w:val="0"/>
          <w:marTop w:val="0"/>
          <w:marBottom w:val="0"/>
          <w:divBdr>
            <w:top w:val="none" w:sz="0" w:space="0" w:color="auto"/>
            <w:left w:val="none" w:sz="0" w:space="0" w:color="auto"/>
            <w:bottom w:val="none" w:sz="0" w:space="0" w:color="auto"/>
            <w:right w:val="none" w:sz="0" w:space="0" w:color="auto"/>
          </w:divBdr>
          <w:divsChild>
            <w:div w:id="288168562">
              <w:marLeft w:val="0"/>
              <w:marRight w:val="0"/>
              <w:marTop w:val="0"/>
              <w:marBottom w:val="0"/>
              <w:divBdr>
                <w:top w:val="none" w:sz="0" w:space="0" w:color="auto"/>
                <w:left w:val="none" w:sz="0" w:space="0" w:color="auto"/>
                <w:bottom w:val="none" w:sz="0" w:space="0" w:color="auto"/>
                <w:right w:val="none" w:sz="0" w:space="0" w:color="auto"/>
              </w:divBdr>
              <w:divsChild>
                <w:div w:id="1895701630">
                  <w:marLeft w:val="-240"/>
                  <w:marRight w:val="-240"/>
                  <w:marTop w:val="0"/>
                  <w:marBottom w:val="0"/>
                  <w:divBdr>
                    <w:top w:val="none" w:sz="0" w:space="0" w:color="auto"/>
                    <w:left w:val="none" w:sz="0" w:space="0" w:color="auto"/>
                    <w:bottom w:val="none" w:sz="0" w:space="0" w:color="auto"/>
                    <w:right w:val="none" w:sz="0" w:space="0" w:color="auto"/>
                  </w:divBdr>
                  <w:divsChild>
                    <w:div w:id="632055077">
                      <w:marLeft w:val="0"/>
                      <w:marRight w:val="0"/>
                      <w:marTop w:val="0"/>
                      <w:marBottom w:val="0"/>
                      <w:divBdr>
                        <w:top w:val="none" w:sz="0" w:space="0" w:color="auto"/>
                        <w:left w:val="none" w:sz="0" w:space="0" w:color="auto"/>
                        <w:bottom w:val="none" w:sz="0" w:space="0" w:color="auto"/>
                        <w:right w:val="none" w:sz="0" w:space="0" w:color="auto"/>
                      </w:divBdr>
                      <w:divsChild>
                        <w:div w:id="402068945">
                          <w:marLeft w:val="0"/>
                          <w:marRight w:val="0"/>
                          <w:marTop w:val="0"/>
                          <w:marBottom w:val="0"/>
                          <w:divBdr>
                            <w:top w:val="none" w:sz="0" w:space="0" w:color="auto"/>
                            <w:left w:val="none" w:sz="0" w:space="0" w:color="auto"/>
                            <w:bottom w:val="none" w:sz="0" w:space="0" w:color="auto"/>
                            <w:right w:val="none" w:sz="0" w:space="0" w:color="auto"/>
                          </w:divBdr>
                        </w:div>
                        <w:div w:id="1655331400">
                          <w:marLeft w:val="0"/>
                          <w:marRight w:val="0"/>
                          <w:marTop w:val="0"/>
                          <w:marBottom w:val="0"/>
                          <w:divBdr>
                            <w:top w:val="none" w:sz="0" w:space="0" w:color="auto"/>
                            <w:left w:val="none" w:sz="0" w:space="0" w:color="auto"/>
                            <w:bottom w:val="none" w:sz="0" w:space="0" w:color="auto"/>
                            <w:right w:val="none" w:sz="0" w:space="0" w:color="auto"/>
                          </w:divBdr>
                          <w:divsChild>
                            <w:div w:id="2130314346">
                              <w:marLeft w:val="165"/>
                              <w:marRight w:val="165"/>
                              <w:marTop w:val="0"/>
                              <w:marBottom w:val="0"/>
                              <w:divBdr>
                                <w:top w:val="none" w:sz="0" w:space="0" w:color="auto"/>
                                <w:left w:val="none" w:sz="0" w:space="0" w:color="auto"/>
                                <w:bottom w:val="none" w:sz="0" w:space="0" w:color="auto"/>
                                <w:right w:val="none" w:sz="0" w:space="0" w:color="auto"/>
                              </w:divBdr>
                              <w:divsChild>
                                <w:div w:id="116799048">
                                  <w:marLeft w:val="0"/>
                                  <w:marRight w:val="0"/>
                                  <w:marTop w:val="0"/>
                                  <w:marBottom w:val="0"/>
                                  <w:divBdr>
                                    <w:top w:val="none" w:sz="0" w:space="0" w:color="auto"/>
                                    <w:left w:val="none" w:sz="0" w:space="0" w:color="auto"/>
                                    <w:bottom w:val="none" w:sz="0" w:space="0" w:color="auto"/>
                                    <w:right w:val="none" w:sz="0" w:space="0" w:color="auto"/>
                                  </w:divBdr>
                                  <w:divsChild>
                                    <w:div w:id="1882477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671906">
      <w:bodyDiv w:val="1"/>
      <w:marLeft w:val="0"/>
      <w:marRight w:val="0"/>
      <w:marTop w:val="0"/>
      <w:marBottom w:val="0"/>
      <w:divBdr>
        <w:top w:val="none" w:sz="0" w:space="0" w:color="auto"/>
        <w:left w:val="none" w:sz="0" w:space="0" w:color="auto"/>
        <w:bottom w:val="none" w:sz="0" w:space="0" w:color="auto"/>
        <w:right w:val="none" w:sz="0" w:space="0" w:color="auto"/>
      </w:divBdr>
      <w:divsChild>
        <w:div w:id="1071780960">
          <w:marLeft w:val="0"/>
          <w:marRight w:val="0"/>
          <w:marTop w:val="0"/>
          <w:marBottom w:val="0"/>
          <w:divBdr>
            <w:top w:val="none" w:sz="0" w:space="0" w:color="auto"/>
            <w:left w:val="none" w:sz="0" w:space="0" w:color="auto"/>
            <w:bottom w:val="none" w:sz="0" w:space="0" w:color="auto"/>
            <w:right w:val="none" w:sz="0" w:space="0" w:color="auto"/>
          </w:divBdr>
          <w:divsChild>
            <w:div w:id="789401951">
              <w:marLeft w:val="0"/>
              <w:marRight w:val="0"/>
              <w:marTop w:val="0"/>
              <w:marBottom w:val="0"/>
              <w:divBdr>
                <w:top w:val="none" w:sz="0" w:space="0" w:color="auto"/>
                <w:left w:val="none" w:sz="0" w:space="0" w:color="auto"/>
                <w:bottom w:val="none" w:sz="0" w:space="0" w:color="auto"/>
                <w:right w:val="none" w:sz="0" w:space="0" w:color="auto"/>
              </w:divBdr>
              <w:divsChild>
                <w:div w:id="131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6391">
      <w:bodyDiv w:val="1"/>
      <w:marLeft w:val="0"/>
      <w:marRight w:val="0"/>
      <w:marTop w:val="0"/>
      <w:marBottom w:val="0"/>
      <w:divBdr>
        <w:top w:val="none" w:sz="0" w:space="0" w:color="auto"/>
        <w:left w:val="none" w:sz="0" w:space="0" w:color="auto"/>
        <w:bottom w:val="none" w:sz="0" w:space="0" w:color="auto"/>
        <w:right w:val="none" w:sz="0" w:space="0" w:color="auto"/>
      </w:divBdr>
      <w:divsChild>
        <w:div w:id="21706687">
          <w:marLeft w:val="0"/>
          <w:marRight w:val="0"/>
          <w:marTop w:val="0"/>
          <w:marBottom w:val="0"/>
          <w:divBdr>
            <w:top w:val="none" w:sz="0" w:space="0" w:color="auto"/>
            <w:left w:val="none" w:sz="0" w:space="0" w:color="auto"/>
            <w:bottom w:val="none" w:sz="0" w:space="0" w:color="auto"/>
            <w:right w:val="none" w:sz="0" w:space="0" w:color="auto"/>
          </w:divBdr>
          <w:divsChild>
            <w:div w:id="1418942113">
              <w:marLeft w:val="0"/>
              <w:marRight w:val="0"/>
              <w:marTop w:val="0"/>
              <w:marBottom w:val="0"/>
              <w:divBdr>
                <w:top w:val="none" w:sz="0" w:space="0" w:color="auto"/>
                <w:left w:val="none" w:sz="0" w:space="0" w:color="auto"/>
                <w:bottom w:val="none" w:sz="0" w:space="0" w:color="auto"/>
                <w:right w:val="none" w:sz="0" w:space="0" w:color="auto"/>
              </w:divBdr>
              <w:divsChild>
                <w:div w:id="19890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2710">
      <w:bodyDiv w:val="1"/>
      <w:marLeft w:val="0"/>
      <w:marRight w:val="0"/>
      <w:marTop w:val="0"/>
      <w:marBottom w:val="0"/>
      <w:divBdr>
        <w:top w:val="none" w:sz="0" w:space="0" w:color="auto"/>
        <w:left w:val="none" w:sz="0" w:space="0" w:color="auto"/>
        <w:bottom w:val="none" w:sz="0" w:space="0" w:color="auto"/>
        <w:right w:val="none" w:sz="0" w:space="0" w:color="auto"/>
      </w:divBdr>
      <w:divsChild>
        <w:div w:id="103810943">
          <w:marLeft w:val="0"/>
          <w:marRight w:val="0"/>
          <w:marTop w:val="0"/>
          <w:marBottom w:val="0"/>
          <w:divBdr>
            <w:top w:val="none" w:sz="0" w:space="0" w:color="auto"/>
            <w:left w:val="none" w:sz="0" w:space="0" w:color="auto"/>
            <w:bottom w:val="none" w:sz="0" w:space="0" w:color="auto"/>
            <w:right w:val="none" w:sz="0" w:space="0" w:color="auto"/>
          </w:divBdr>
          <w:divsChild>
            <w:div w:id="1542398014">
              <w:marLeft w:val="0"/>
              <w:marRight w:val="0"/>
              <w:marTop w:val="0"/>
              <w:marBottom w:val="0"/>
              <w:divBdr>
                <w:top w:val="none" w:sz="0" w:space="0" w:color="auto"/>
                <w:left w:val="none" w:sz="0" w:space="0" w:color="auto"/>
                <w:bottom w:val="none" w:sz="0" w:space="0" w:color="auto"/>
                <w:right w:val="none" w:sz="0" w:space="0" w:color="auto"/>
              </w:divBdr>
              <w:divsChild>
                <w:div w:id="1894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006">
      <w:bodyDiv w:val="1"/>
      <w:marLeft w:val="0"/>
      <w:marRight w:val="0"/>
      <w:marTop w:val="0"/>
      <w:marBottom w:val="0"/>
      <w:divBdr>
        <w:top w:val="none" w:sz="0" w:space="0" w:color="auto"/>
        <w:left w:val="none" w:sz="0" w:space="0" w:color="auto"/>
        <w:bottom w:val="none" w:sz="0" w:space="0" w:color="auto"/>
        <w:right w:val="none" w:sz="0" w:space="0" w:color="auto"/>
      </w:divBdr>
      <w:divsChild>
        <w:div w:id="1520511297">
          <w:marLeft w:val="0"/>
          <w:marRight w:val="0"/>
          <w:marTop w:val="0"/>
          <w:marBottom w:val="0"/>
          <w:divBdr>
            <w:top w:val="none" w:sz="0" w:space="0" w:color="auto"/>
            <w:left w:val="none" w:sz="0" w:space="0" w:color="auto"/>
            <w:bottom w:val="none" w:sz="0" w:space="0" w:color="auto"/>
            <w:right w:val="none" w:sz="0" w:space="0" w:color="auto"/>
          </w:divBdr>
          <w:divsChild>
            <w:div w:id="331759166">
              <w:marLeft w:val="0"/>
              <w:marRight w:val="0"/>
              <w:marTop w:val="0"/>
              <w:marBottom w:val="0"/>
              <w:divBdr>
                <w:top w:val="none" w:sz="0" w:space="0" w:color="auto"/>
                <w:left w:val="none" w:sz="0" w:space="0" w:color="auto"/>
                <w:bottom w:val="none" w:sz="0" w:space="0" w:color="auto"/>
                <w:right w:val="none" w:sz="0" w:space="0" w:color="auto"/>
              </w:divBdr>
              <w:divsChild>
                <w:div w:id="13177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00546">
      <w:bodyDiv w:val="1"/>
      <w:marLeft w:val="0"/>
      <w:marRight w:val="0"/>
      <w:marTop w:val="0"/>
      <w:marBottom w:val="0"/>
      <w:divBdr>
        <w:top w:val="none" w:sz="0" w:space="0" w:color="auto"/>
        <w:left w:val="none" w:sz="0" w:space="0" w:color="auto"/>
        <w:bottom w:val="none" w:sz="0" w:space="0" w:color="auto"/>
        <w:right w:val="none" w:sz="0" w:space="0" w:color="auto"/>
      </w:divBdr>
      <w:divsChild>
        <w:div w:id="1457867736">
          <w:marLeft w:val="0"/>
          <w:marRight w:val="0"/>
          <w:marTop w:val="0"/>
          <w:marBottom w:val="0"/>
          <w:divBdr>
            <w:top w:val="none" w:sz="0" w:space="0" w:color="auto"/>
            <w:left w:val="none" w:sz="0" w:space="0" w:color="auto"/>
            <w:bottom w:val="none" w:sz="0" w:space="0" w:color="auto"/>
            <w:right w:val="none" w:sz="0" w:space="0" w:color="auto"/>
          </w:divBdr>
          <w:divsChild>
            <w:div w:id="1638683943">
              <w:marLeft w:val="0"/>
              <w:marRight w:val="0"/>
              <w:marTop w:val="0"/>
              <w:marBottom w:val="0"/>
              <w:divBdr>
                <w:top w:val="none" w:sz="0" w:space="0" w:color="auto"/>
                <w:left w:val="none" w:sz="0" w:space="0" w:color="auto"/>
                <w:bottom w:val="none" w:sz="0" w:space="0" w:color="auto"/>
                <w:right w:val="none" w:sz="0" w:space="0" w:color="auto"/>
              </w:divBdr>
              <w:divsChild>
                <w:div w:id="1001198746">
                  <w:marLeft w:val="0"/>
                  <w:marRight w:val="0"/>
                  <w:marTop w:val="0"/>
                  <w:marBottom w:val="0"/>
                  <w:divBdr>
                    <w:top w:val="none" w:sz="0" w:space="0" w:color="auto"/>
                    <w:left w:val="none" w:sz="0" w:space="0" w:color="auto"/>
                    <w:bottom w:val="none" w:sz="0" w:space="0" w:color="auto"/>
                    <w:right w:val="none" w:sz="0" w:space="0" w:color="auto"/>
                  </w:divBdr>
                  <w:divsChild>
                    <w:div w:id="11855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5005">
      <w:bodyDiv w:val="1"/>
      <w:marLeft w:val="0"/>
      <w:marRight w:val="0"/>
      <w:marTop w:val="0"/>
      <w:marBottom w:val="0"/>
      <w:divBdr>
        <w:top w:val="none" w:sz="0" w:space="0" w:color="auto"/>
        <w:left w:val="none" w:sz="0" w:space="0" w:color="auto"/>
        <w:bottom w:val="none" w:sz="0" w:space="0" w:color="auto"/>
        <w:right w:val="none" w:sz="0" w:space="0" w:color="auto"/>
      </w:divBdr>
      <w:divsChild>
        <w:div w:id="496266195">
          <w:marLeft w:val="0"/>
          <w:marRight w:val="0"/>
          <w:marTop w:val="0"/>
          <w:marBottom w:val="0"/>
          <w:divBdr>
            <w:top w:val="none" w:sz="0" w:space="0" w:color="auto"/>
            <w:left w:val="none" w:sz="0" w:space="0" w:color="auto"/>
            <w:bottom w:val="none" w:sz="0" w:space="0" w:color="auto"/>
            <w:right w:val="none" w:sz="0" w:space="0" w:color="auto"/>
          </w:divBdr>
          <w:divsChild>
            <w:div w:id="349987991">
              <w:marLeft w:val="0"/>
              <w:marRight w:val="0"/>
              <w:marTop w:val="0"/>
              <w:marBottom w:val="0"/>
              <w:divBdr>
                <w:top w:val="none" w:sz="0" w:space="0" w:color="auto"/>
                <w:left w:val="none" w:sz="0" w:space="0" w:color="auto"/>
                <w:bottom w:val="none" w:sz="0" w:space="0" w:color="auto"/>
                <w:right w:val="none" w:sz="0" w:space="0" w:color="auto"/>
              </w:divBdr>
              <w:divsChild>
                <w:div w:id="15783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40">
      <w:bodyDiv w:val="1"/>
      <w:marLeft w:val="0"/>
      <w:marRight w:val="0"/>
      <w:marTop w:val="0"/>
      <w:marBottom w:val="0"/>
      <w:divBdr>
        <w:top w:val="none" w:sz="0" w:space="0" w:color="auto"/>
        <w:left w:val="none" w:sz="0" w:space="0" w:color="auto"/>
        <w:bottom w:val="none" w:sz="0" w:space="0" w:color="auto"/>
        <w:right w:val="none" w:sz="0" w:space="0" w:color="auto"/>
      </w:divBdr>
      <w:divsChild>
        <w:div w:id="519661023">
          <w:marLeft w:val="0"/>
          <w:marRight w:val="0"/>
          <w:marTop w:val="0"/>
          <w:marBottom w:val="0"/>
          <w:divBdr>
            <w:top w:val="none" w:sz="0" w:space="0" w:color="auto"/>
            <w:left w:val="none" w:sz="0" w:space="0" w:color="auto"/>
            <w:bottom w:val="none" w:sz="0" w:space="0" w:color="auto"/>
            <w:right w:val="none" w:sz="0" w:space="0" w:color="auto"/>
          </w:divBdr>
          <w:divsChild>
            <w:div w:id="1693801996">
              <w:marLeft w:val="0"/>
              <w:marRight w:val="0"/>
              <w:marTop w:val="0"/>
              <w:marBottom w:val="0"/>
              <w:divBdr>
                <w:top w:val="none" w:sz="0" w:space="0" w:color="auto"/>
                <w:left w:val="none" w:sz="0" w:space="0" w:color="auto"/>
                <w:bottom w:val="none" w:sz="0" w:space="0" w:color="auto"/>
                <w:right w:val="none" w:sz="0" w:space="0" w:color="auto"/>
              </w:divBdr>
              <w:divsChild>
                <w:div w:id="1849058007">
                  <w:marLeft w:val="-240"/>
                  <w:marRight w:val="-240"/>
                  <w:marTop w:val="0"/>
                  <w:marBottom w:val="0"/>
                  <w:divBdr>
                    <w:top w:val="none" w:sz="0" w:space="0" w:color="auto"/>
                    <w:left w:val="none" w:sz="0" w:space="0" w:color="auto"/>
                    <w:bottom w:val="none" w:sz="0" w:space="0" w:color="auto"/>
                    <w:right w:val="none" w:sz="0" w:space="0" w:color="auto"/>
                  </w:divBdr>
                  <w:divsChild>
                    <w:div w:id="1026298627">
                      <w:marLeft w:val="0"/>
                      <w:marRight w:val="0"/>
                      <w:marTop w:val="0"/>
                      <w:marBottom w:val="0"/>
                      <w:divBdr>
                        <w:top w:val="none" w:sz="0" w:space="0" w:color="auto"/>
                        <w:left w:val="none" w:sz="0" w:space="0" w:color="auto"/>
                        <w:bottom w:val="none" w:sz="0" w:space="0" w:color="auto"/>
                        <w:right w:val="none" w:sz="0" w:space="0" w:color="auto"/>
                      </w:divBdr>
                      <w:divsChild>
                        <w:div w:id="1158115984">
                          <w:marLeft w:val="0"/>
                          <w:marRight w:val="0"/>
                          <w:marTop w:val="0"/>
                          <w:marBottom w:val="0"/>
                          <w:divBdr>
                            <w:top w:val="none" w:sz="0" w:space="0" w:color="auto"/>
                            <w:left w:val="none" w:sz="0" w:space="0" w:color="auto"/>
                            <w:bottom w:val="none" w:sz="0" w:space="0" w:color="auto"/>
                            <w:right w:val="none" w:sz="0" w:space="0" w:color="auto"/>
                          </w:divBdr>
                        </w:div>
                        <w:div w:id="693191433">
                          <w:marLeft w:val="0"/>
                          <w:marRight w:val="0"/>
                          <w:marTop w:val="0"/>
                          <w:marBottom w:val="0"/>
                          <w:divBdr>
                            <w:top w:val="none" w:sz="0" w:space="0" w:color="auto"/>
                            <w:left w:val="none" w:sz="0" w:space="0" w:color="auto"/>
                            <w:bottom w:val="none" w:sz="0" w:space="0" w:color="auto"/>
                            <w:right w:val="none" w:sz="0" w:space="0" w:color="auto"/>
                          </w:divBdr>
                          <w:divsChild>
                            <w:div w:id="1167162715">
                              <w:marLeft w:val="165"/>
                              <w:marRight w:val="165"/>
                              <w:marTop w:val="0"/>
                              <w:marBottom w:val="0"/>
                              <w:divBdr>
                                <w:top w:val="none" w:sz="0" w:space="0" w:color="auto"/>
                                <w:left w:val="none" w:sz="0" w:space="0" w:color="auto"/>
                                <w:bottom w:val="none" w:sz="0" w:space="0" w:color="auto"/>
                                <w:right w:val="none" w:sz="0" w:space="0" w:color="auto"/>
                              </w:divBdr>
                              <w:divsChild>
                                <w:div w:id="333193684">
                                  <w:marLeft w:val="0"/>
                                  <w:marRight w:val="0"/>
                                  <w:marTop w:val="0"/>
                                  <w:marBottom w:val="0"/>
                                  <w:divBdr>
                                    <w:top w:val="none" w:sz="0" w:space="0" w:color="auto"/>
                                    <w:left w:val="none" w:sz="0" w:space="0" w:color="auto"/>
                                    <w:bottom w:val="none" w:sz="0" w:space="0" w:color="auto"/>
                                    <w:right w:val="none" w:sz="0" w:space="0" w:color="auto"/>
                                  </w:divBdr>
                                  <w:divsChild>
                                    <w:div w:id="767503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24037">
      <w:bodyDiv w:val="1"/>
      <w:marLeft w:val="0"/>
      <w:marRight w:val="0"/>
      <w:marTop w:val="0"/>
      <w:marBottom w:val="0"/>
      <w:divBdr>
        <w:top w:val="none" w:sz="0" w:space="0" w:color="auto"/>
        <w:left w:val="none" w:sz="0" w:space="0" w:color="auto"/>
        <w:bottom w:val="none" w:sz="0" w:space="0" w:color="auto"/>
        <w:right w:val="none" w:sz="0" w:space="0" w:color="auto"/>
      </w:divBdr>
      <w:divsChild>
        <w:div w:id="902103375">
          <w:marLeft w:val="0"/>
          <w:marRight w:val="0"/>
          <w:marTop w:val="0"/>
          <w:marBottom w:val="0"/>
          <w:divBdr>
            <w:top w:val="none" w:sz="0" w:space="0" w:color="auto"/>
            <w:left w:val="none" w:sz="0" w:space="0" w:color="auto"/>
            <w:bottom w:val="none" w:sz="0" w:space="0" w:color="auto"/>
            <w:right w:val="none" w:sz="0" w:space="0" w:color="auto"/>
          </w:divBdr>
          <w:divsChild>
            <w:div w:id="553739909">
              <w:marLeft w:val="0"/>
              <w:marRight w:val="0"/>
              <w:marTop w:val="0"/>
              <w:marBottom w:val="0"/>
              <w:divBdr>
                <w:top w:val="none" w:sz="0" w:space="0" w:color="auto"/>
                <w:left w:val="none" w:sz="0" w:space="0" w:color="auto"/>
                <w:bottom w:val="none" w:sz="0" w:space="0" w:color="auto"/>
                <w:right w:val="none" w:sz="0" w:space="0" w:color="auto"/>
              </w:divBdr>
              <w:divsChild>
                <w:div w:id="4684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3068">
      <w:bodyDiv w:val="1"/>
      <w:marLeft w:val="0"/>
      <w:marRight w:val="0"/>
      <w:marTop w:val="0"/>
      <w:marBottom w:val="0"/>
      <w:divBdr>
        <w:top w:val="none" w:sz="0" w:space="0" w:color="auto"/>
        <w:left w:val="none" w:sz="0" w:space="0" w:color="auto"/>
        <w:bottom w:val="none" w:sz="0" w:space="0" w:color="auto"/>
        <w:right w:val="none" w:sz="0" w:space="0" w:color="auto"/>
      </w:divBdr>
      <w:divsChild>
        <w:div w:id="1494447010">
          <w:marLeft w:val="0"/>
          <w:marRight w:val="0"/>
          <w:marTop w:val="0"/>
          <w:marBottom w:val="0"/>
          <w:divBdr>
            <w:top w:val="none" w:sz="0" w:space="0" w:color="auto"/>
            <w:left w:val="none" w:sz="0" w:space="0" w:color="auto"/>
            <w:bottom w:val="none" w:sz="0" w:space="0" w:color="auto"/>
            <w:right w:val="none" w:sz="0" w:space="0" w:color="auto"/>
          </w:divBdr>
          <w:divsChild>
            <w:div w:id="1430541243">
              <w:marLeft w:val="0"/>
              <w:marRight w:val="0"/>
              <w:marTop w:val="0"/>
              <w:marBottom w:val="0"/>
              <w:divBdr>
                <w:top w:val="none" w:sz="0" w:space="0" w:color="auto"/>
                <w:left w:val="none" w:sz="0" w:space="0" w:color="auto"/>
                <w:bottom w:val="none" w:sz="0" w:space="0" w:color="auto"/>
                <w:right w:val="none" w:sz="0" w:space="0" w:color="auto"/>
              </w:divBdr>
              <w:divsChild>
                <w:div w:id="907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5260">
      <w:bodyDiv w:val="1"/>
      <w:marLeft w:val="0"/>
      <w:marRight w:val="0"/>
      <w:marTop w:val="0"/>
      <w:marBottom w:val="0"/>
      <w:divBdr>
        <w:top w:val="none" w:sz="0" w:space="0" w:color="auto"/>
        <w:left w:val="none" w:sz="0" w:space="0" w:color="auto"/>
        <w:bottom w:val="none" w:sz="0" w:space="0" w:color="auto"/>
        <w:right w:val="none" w:sz="0" w:space="0" w:color="auto"/>
      </w:divBdr>
      <w:divsChild>
        <w:div w:id="1016351107">
          <w:marLeft w:val="0"/>
          <w:marRight w:val="0"/>
          <w:marTop w:val="0"/>
          <w:marBottom w:val="0"/>
          <w:divBdr>
            <w:top w:val="none" w:sz="0" w:space="0" w:color="auto"/>
            <w:left w:val="none" w:sz="0" w:space="0" w:color="auto"/>
            <w:bottom w:val="none" w:sz="0" w:space="0" w:color="auto"/>
            <w:right w:val="none" w:sz="0" w:space="0" w:color="auto"/>
          </w:divBdr>
          <w:divsChild>
            <w:div w:id="1120610825">
              <w:marLeft w:val="0"/>
              <w:marRight w:val="0"/>
              <w:marTop w:val="0"/>
              <w:marBottom w:val="0"/>
              <w:divBdr>
                <w:top w:val="none" w:sz="0" w:space="0" w:color="auto"/>
                <w:left w:val="none" w:sz="0" w:space="0" w:color="auto"/>
                <w:bottom w:val="none" w:sz="0" w:space="0" w:color="auto"/>
                <w:right w:val="none" w:sz="0" w:space="0" w:color="auto"/>
              </w:divBdr>
              <w:divsChild>
                <w:div w:id="16335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5277">
      <w:bodyDiv w:val="1"/>
      <w:marLeft w:val="0"/>
      <w:marRight w:val="0"/>
      <w:marTop w:val="0"/>
      <w:marBottom w:val="0"/>
      <w:divBdr>
        <w:top w:val="none" w:sz="0" w:space="0" w:color="auto"/>
        <w:left w:val="none" w:sz="0" w:space="0" w:color="auto"/>
        <w:bottom w:val="none" w:sz="0" w:space="0" w:color="auto"/>
        <w:right w:val="none" w:sz="0" w:space="0" w:color="auto"/>
      </w:divBdr>
      <w:divsChild>
        <w:div w:id="1762022778">
          <w:marLeft w:val="0"/>
          <w:marRight w:val="0"/>
          <w:marTop w:val="0"/>
          <w:marBottom w:val="0"/>
          <w:divBdr>
            <w:top w:val="none" w:sz="0" w:space="0" w:color="auto"/>
            <w:left w:val="none" w:sz="0" w:space="0" w:color="auto"/>
            <w:bottom w:val="none" w:sz="0" w:space="0" w:color="auto"/>
            <w:right w:val="none" w:sz="0" w:space="0" w:color="auto"/>
          </w:divBdr>
          <w:divsChild>
            <w:div w:id="1900089868">
              <w:marLeft w:val="0"/>
              <w:marRight w:val="0"/>
              <w:marTop w:val="0"/>
              <w:marBottom w:val="0"/>
              <w:divBdr>
                <w:top w:val="none" w:sz="0" w:space="0" w:color="auto"/>
                <w:left w:val="none" w:sz="0" w:space="0" w:color="auto"/>
                <w:bottom w:val="none" w:sz="0" w:space="0" w:color="auto"/>
                <w:right w:val="none" w:sz="0" w:space="0" w:color="auto"/>
              </w:divBdr>
              <w:divsChild>
                <w:div w:id="7544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942">
      <w:bodyDiv w:val="1"/>
      <w:marLeft w:val="0"/>
      <w:marRight w:val="0"/>
      <w:marTop w:val="0"/>
      <w:marBottom w:val="0"/>
      <w:divBdr>
        <w:top w:val="none" w:sz="0" w:space="0" w:color="auto"/>
        <w:left w:val="none" w:sz="0" w:space="0" w:color="auto"/>
        <w:bottom w:val="none" w:sz="0" w:space="0" w:color="auto"/>
        <w:right w:val="none" w:sz="0" w:space="0" w:color="auto"/>
      </w:divBdr>
      <w:divsChild>
        <w:div w:id="1499538786">
          <w:marLeft w:val="0"/>
          <w:marRight w:val="0"/>
          <w:marTop w:val="0"/>
          <w:marBottom w:val="0"/>
          <w:divBdr>
            <w:top w:val="none" w:sz="0" w:space="0" w:color="auto"/>
            <w:left w:val="none" w:sz="0" w:space="0" w:color="auto"/>
            <w:bottom w:val="none" w:sz="0" w:space="0" w:color="auto"/>
            <w:right w:val="none" w:sz="0" w:space="0" w:color="auto"/>
          </w:divBdr>
          <w:divsChild>
            <w:div w:id="1399327557">
              <w:marLeft w:val="0"/>
              <w:marRight w:val="0"/>
              <w:marTop w:val="0"/>
              <w:marBottom w:val="0"/>
              <w:divBdr>
                <w:top w:val="none" w:sz="0" w:space="0" w:color="auto"/>
                <w:left w:val="none" w:sz="0" w:space="0" w:color="auto"/>
                <w:bottom w:val="none" w:sz="0" w:space="0" w:color="auto"/>
                <w:right w:val="none" w:sz="0" w:space="0" w:color="auto"/>
              </w:divBdr>
              <w:divsChild>
                <w:div w:id="993527861">
                  <w:marLeft w:val="-240"/>
                  <w:marRight w:val="-240"/>
                  <w:marTop w:val="0"/>
                  <w:marBottom w:val="0"/>
                  <w:divBdr>
                    <w:top w:val="none" w:sz="0" w:space="0" w:color="auto"/>
                    <w:left w:val="none" w:sz="0" w:space="0" w:color="auto"/>
                    <w:bottom w:val="none" w:sz="0" w:space="0" w:color="auto"/>
                    <w:right w:val="none" w:sz="0" w:space="0" w:color="auto"/>
                  </w:divBdr>
                  <w:divsChild>
                    <w:div w:id="2112510757">
                      <w:marLeft w:val="0"/>
                      <w:marRight w:val="0"/>
                      <w:marTop w:val="0"/>
                      <w:marBottom w:val="0"/>
                      <w:divBdr>
                        <w:top w:val="none" w:sz="0" w:space="0" w:color="auto"/>
                        <w:left w:val="none" w:sz="0" w:space="0" w:color="auto"/>
                        <w:bottom w:val="none" w:sz="0" w:space="0" w:color="auto"/>
                        <w:right w:val="none" w:sz="0" w:space="0" w:color="auto"/>
                      </w:divBdr>
                      <w:divsChild>
                        <w:div w:id="1326859128">
                          <w:marLeft w:val="0"/>
                          <w:marRight w:val="0"/>
                          <w:marTop w:val="0"/>
                          <w:marBottom w:val="0"/>
                          <w:divBdr>
                            <w:top w:val="none" w:sz="0" w:space="0" w:color="auto"/>
                            <w:left w:val="none" w:sz="0" w:space="0" w:color="auto"/>
                            <w:bottom w:val="none" w:sz="0" w:space="0" w:color="auto"/>
                            <w:right w:val="none" w:sz="0" w:space="0" w:color="auto"/>
                          </w:divBdr>
                        </w:div>
                        <w:div w:id="853499273">
                          <w:marLeft w:val="0"/>
                          <w:marRight w:val="0"/>
                          <w:marTop w:val="0"/>
                          <w:marBottom w:val="0"/>
                          <w:divBdr>
                            <w:top w:val="none" w:sz="0" w:space="0" w:color="auto"/>
                            <w:left w:val="none" w:sz="0" w:space="0" w:color="auto"/>
                            <w:bottom w:val="none" w:sz="0" w:space="0" w:color="auto"/>
                            <w:right w:val="none" w:sz="0" w:space="0" w:color="auto"/>
                          </w:divBdr>
                          <w:divsChild>
                            <w:div w:id="816579182">
                              <w:marLeft w:val="165"/>
                              <w:marRight w:val="165"/>
                              <w:marTop w:val="0"/>
                              <w:marBottom w:val="0"/>
                              <w:divBdr>
                                <w:top w:val="none" w:sz="0" w:space="0" w:color="auto"/>
                                <w:left w:val="none" w:sz="0" w:space="0" w:color="auto"/>
                                <w:bottom w:val="none" w:sz="0" w:space="0" w:color="auto"/>
                                <w:right w:val="none" w:sz="0" w:space="0" w:color="auto"/>
                              </w:divBdr>
                              <w:divsChild>
                                <w:div w:id="454981702">
                                  <w:marLeft w:val="0"/>
                                  <w:marRight w:val="0"/>
                                  <w:marTop w:val="0"/>
                                  <w:marBottom w:val="0"/>
                                  <w:divBdr>
                                    <w:top w:val="none" w:sz="0" w:space="0" w:color="auto"/>
                                    <w:left w:val="none" w:sz="0" w:space="0" w:color="auto"/>
                                    <w:bottom w:val="none" w:sz="0" w:space="0" w:color="auto"/>
                                    <w:right w:val="none" w:sz="0" w:space="0" w:color="auto"/>
                                  </w:divBdr>
                                  <w:divsChild>
                                    <w:div w:id="1613782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97730">
      <w:bodyDiv w:val="1"/>
      <w:marLeft w:val="0"/>
      <w:marRight w:val="0"/>
      <w:marTop w:val="0"/>
      <w:marBottom w:val="0"/>
      <w:divBdr>
        <w:top w:val="none" w:sz="0" w:space="0" w:color="auto"/>
        <w:left w:val="none" w:sz="0" w:space="0" w:color="auto"/>
        <w:bottom w:val="none" w:sz="0" w:space="0" w:color="auto"/>
        <w:right w:val="none" w:sz="0" w:space="0" w:color="auto"/>
      </w:divBdr>
      <w:divsChild>
        <w:div w:id="1063286076">
          <w:marLeft w:val="0"/>
          <w:marRight w:val="0"/>
          <w:marTop w:val="0"/>
          <w:marBottom w:val="0"/>
          <w:divBdr>
            <w:top w:val="none" w:sz="0" w:space="0" w:color="auto"/>
            <w:left w:val="none" w:sz="0" w:space="0" w:color="auto"/>
            <w:bottom w:val="none" w:sz="0" w:space="0" w:color="auto"/>
            <w:right w:val="none" w:sz="0" w:space="0" w:color="auto"/>
          </w:divBdr>
          <w:divsChild>
            <w:div w:id="939407559">
              <w:marLeft w:val="0"/>
              <w:marRight w:val="0"/>
              <w:marTop w:val="0"/>
              <w:marBottom w:val="0"/>
              <w:divBdr>
                <w:top w:val="none" w:sz="0" w:space="0" w:color="auto"/>
                <w:left w:val="none" w:sz="0" w:space="0" w:color="auto"/>
                <w:bottom w:val="none" w:sz="0" w:space="0" w:color="auto"/>
                <w:right w:val="none" w:sz="0" w:space="0" w:color="auto"/>
              </w:divBdr>
              <w:divsChild>
                <w:div w:id="107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214">
      <w:bodyDiv w:val="1"/>
      <w:marLeft w:val="0"/>
      <w:marRight w:val="0"/>
      <w:marTop w:val="0"/>
      <w:marBottom w:val="0"/>
      <w:divBdr>
        <w:top w:val="none" w:sz="0" w:space="0" w:color="auto"/>
        <w:left w:val="none" w:sz="0" w:space="0" w:color="auto"/>
        <w:bottom w:val="none" w:sz="0" w:space="0" w:color="auto"/>
        <w:right w:val="none" w:sz="0" w:space="0" w:color="auto"/>
      </w:divBdr>
      <w:divsChild>
        <w:div w:id="1347976979">
          <w:marLeft w:val="0"/>
          <w:marRight w:val="0"/>
          <w:marTop w:val="0"/>
          <w:marBottom w:val="0"/>
          <w:divBdr>
            <w:top w:val="none" w:sz="0" w:space="0" w:color="auto"/>
            <w:left w:val="none" w:sz="0" w:space="0" w:color="auto"/>
            <w:bottom w:val="none" w:sz="0" w:space="0" w:color="auto"/>
            <w:right w:val="none" w:sz="0" w:space="0" w:color="auto"/>
          </w:divBdr>
          <w:divsChild>
            <w:div w:id="122650435">
              <w:marLeft w:val="0"/>
              <w:marRight w:val="0"/>
              <w:marTop w:val="0"/>
              <w:marBottom w:val="0"/>
              <w:divBdr>
                <w:top w:val="none" w:sz="0" w:space="0" w:color="auto"/>
                <w:left w:val="none" w:sz="0" w:space="0" w:color="auto"/>
                <w:bottom w:val="none" w:sz="0" w:space="0" w:color="auto"/>
                <w:right w:val="none" w:sz="0" w:space="0" w:color="auto"/>
              </w:divBdr>
              <w:divsChild>
                <w:div w:id="640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90116">
      <w:bodyDiv w:val="1"/>
      <w:marLeft w:val="0"/>
      <w:marRight w:val="0"/>
      <w:marTop w:val="0"/>
      <w:marBottom w:val="0"/>
      <w:divBdr>
        <w:top w:val="none" w:sz="0" w:space="0" w:color="auto"/>
        <w:left w:val="none" w:sz="0" w:space="0" w:color="auto"/>
        <w:bottom w:val="none" w:sz="0" w:space="0" w:color="auto"/>
        <w:right w:val="none" w:sz="0" w:space="0" w:color="auto"/>
      </w:divBdr>
    </w:div>
    <w:div w:id="1023095853">
      <w:bodyDiv w:val="1"/>
      <w:marLeft w:val="0"/>
      <w:marRight w:val="0"/>
      <w:marTop w:val="0"/>
      <w:marBottom w:val="0"/>
      <w:divBdr>
        <w:top w:val="none" w:sz="0" w:space="0" w:color="auto"/>
        <w:left w:val="none" w:sz="0" w:space="0" w:color="auto"/>
        <w:bottom w:val="none" w:sz="0" w:space="0" w:color="auto"/>
        <w:right w:val="none" w:sz="0" w:space="0" w:color="auto"/>
      </w:divBdr>
      <w:divsChild>
        <w:div w:id="1244992054">
          <w:marLeft w:val="0"/>
          <w:marRight w:val="0"/>
          <w:marTop w:val="0"/>
          <w:marBottom w:val="0"/>
          <w:divBdr>
            <w:top w:val="none" w:sz="0" w:space="0" w:color="auto"/>
            <w:left w:val="none" w:sz="0" w:space="0" w:color="auto"/>
            <w:bottom w:val="none" w:sz="0" w:space="0" w:color="auto"/>
            <w:right w:val="none" w:sz="0" w:space="0" w:color="auto"/>
          </w:divBdr>
          <w:divsChild>
            <w:div w:id="1028600631">
              <w:marLeft w:val="0"/>
              <w:marRight w:val="0"/>
              <w:marTop w:val="0"/>
              <w:marBottom w:val="0"/>
              <w:divBdr>
                <w:top w:val="none" w:sz="0" w:space="0" w:color="auto"/>
                <w:left w:val="none" w:sz="0" w:space="0" w:color="auto"/>
                <w:bottom w:val="none" w:sz="0" w:space="0" w:color="auto"/>
                <w:right w:val="none" w:sz="0" w:space="0" w:color="auto"/>
              </w:divBdr>
              <w:divsChild>
                <w:div w:id="8118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641">
      <w:bodyDiv w:val="1"/>
      <w:marLeft w:val="0"/>
      <w:marRight w:val="0"/>
      <w:marTop w:val="0"/>
      <w:marBottom w:val="0"/>
      <w:divBdr>
        <w:top w:val="none" w:sz="0" w:space="0" w:color="auto"/>
        <w:left w:val="none" w:sz="0" w:space="0" w:color="auto"/>
        <w:bottom w:val="none" w:sz="0" w:space="0" w:color="auto"/>
        <w:right w:val="none" w:sz="0" w:space="0" w:color="auto"/>
      </w:divBdr>
    </w:div>
    <w:div w:id="1099447691">
      <w:bodyDiv w:val="1"/>
      <w:marLeft w:val="0"/>
      <w:marRight w:val="0"/>
      <w:marTop w:val="0"/>
      <w:marBottom w:val="0"/>
      <w:divBdr>
        <w:top w:val="none" w:sz="0" w:space="0" w:color="auto"/>
        <w:left w:val="none" w:sz="0" w:space="0" w:color="auto"/>
        <w:bottom w:val="none" w:sz="0" w:space="0" w:color="auto"/>
        <w:right w:val="none" w:sz="0" w:space="0" w:color="auto"/>
      </w:divBdr>
      <w:divsChild>
        <w:div w:id="780808697">
          <w:marLeft w:val="0"/>
          <w:marRight w:val="0"/>
          <w:marTop w:val="0"/>
          <w:marBottom w:val="0"/>
          <w:divBdr>
            <w:top w:val="none" w:sz="0" w:space="0" w:color="auto"/>
            <w:left w:val="none" w:sz="0" w:space="0" w:color="auto"/>
            <w:bottom w:val="none" w:sz="0" w:space="0" w:color="auto"/>
            <w:right w:val="none" w:sz="0" w:space="0" w:color="auto"/>
          </w:divBdr>
          <w:divsChild>
            <w:div w:id="1956517674">
              <w:marLeft w:val="0"/>
              <w:marRight w:val="0"/>
              <w:marTop w:val="0"/>
              <w:marBottom w:val="0"/>
              <w:divBdr>
                <w:top w:val="none" w:sz="0" w:space="0" w:color="auto"/>
                <w:left w:val="none" w:sz="0" w:space="0" w:color="auto"/>
                <w:bottom w:val="none" w:sz="0" w:space="0" w:color="auto"/>
                <w:right w:val="none" w:sz="0" w:space="0" w:color="auto"/>
              </w:divBdr>
              <w:divsChild>
                <w:div w:id="815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0101">
      <w:bodyDiv w:val="1"/>
      <w:marLeft w:val="0"/>
      <w:marRight w:val="0"/>
      <w:marTop w:val="0"/>
      <w:marBottom w:val="0"/>
      <w:divBdr>
        <w:top w:val="none" w:sz="0" w:space="0" w:color="auto"/>
        <w:left w:val="none" w:sz="0" w:space="0" w:color="auto"/>
        <w:bottom w:val="none" w:sz="0" w:space="0" w:color="auto"/>
        <w:right w:val="none" w:sz="0" w:space="0" w:color="auto"/>
      </w:divBdr>
    </w:div>
    <w:div w:id="1163470392">
      <w:bodyDiv w:val="1"/>
      <w:marLeft w:val="0"/>
      <w:marRight w:val="0"/>
      <w:marTop w:val="0"/>
      <w:marBottom w:val="0"/>
      <w:divBdr>
        <w:top w:val="none" w:sz="0" w:space="0" w:color="auto"/>
        <w:left w:val="none" w:sz="0" w:space="0" w:color="auto"/>
        <w:bottom w:val="none" w:sz="0" w:space="0" w:color="auto"/>
        <w:right w:val="none" w:sz="0" w:space="0" w:color="auto"/>
      </w:divBdr>
      <w:divsChild>
        <w:div w:id="1923905149">
          <w:marLeft w:val="0"/>
          <w:marRight w:val="0"/>
          <w:marTop w:val="0"/>
          <w:marBottom w:val="0"/>
          <w:divBdr>
            <w:top w:val="none" w:sz="0" w:space="0" w:color="auto"/>
            <w:left w:val="none" w:sz="0" w:space="0" w:color="auto"/>
            <w:bottom w:val="none" w:sz="0" w:space="0" w:color="auto"/>
            <w:right w:val="none" w:sz="0" w:space="0" w:color="auto"/>
          </w:divBdr>
          <w:divsChild>
            <w:div w:id="1995986142">
              <w:marLeft w:val="0"/>
              <w:marRight w:val="0"/>
              <w:marTop w:val="0"/>
              <w:marBottom w:val="0"/>
              <w:divBdr>
                <w:top w:val="none" w:sz="0" w:space="0" w:color="auto"/>
                <w:left w:val="none" w:sz="0" w:space="0" w:color="auto"/>
                <w:bottom w:val="none" w:sz="0" w:space="0" w:color="auto"/>
                <w:right w:val="none" w:sz="0" w:space="0" w:color="auto"/>
              </w:divBdr>
              <w:divsChild>
                <w:div w:id="15897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3386">
      <w:bodyDiv w:val="1"/>
      <w:marLeft w:val="0"/>
      <w:marRight w:val="0"/>
      <w:marTop w:val="0"/>
      <w:marBottom w:val="0"/>
      <w:divBdr>
        <w:top w:val="none" w:sz="0" w:space="0" w:color="auto"/>
        <w:left w:val="none" w:sz="0" w:space="0" w:color="auto"/>
        <w:bottom w:val="none" w:sz="0" w:space="0" w:color="auto"/>
        <w:right w:val="none" w:sz="0" w:space="0" w:color="auto"/>
      </w:divBdr>
      <w:divsChild>
        <w:div w:id="1282152622">
          <w:marLeft w:val="0"/>
          <w:marRight w:val="0"/>
          <w:marTop w:val="0"/>
          <w:marBottom w:val="0"/>
          <w:divBdr>
            <w:top w:val="none" w:sz="0" w:space="0" w:color="auto"/>
            <w:left w:val="none" w:sz="0" w:space="0" w:color="auto"/>
            <w:bottom w:val="none" w:sz="0" w:space="0" w:color="auto"/>
            <w:right w:val="none" w:sz="0" w:space="0" w:color="auto"/>
          </w:divBdr>
          <w:divsChild>
            <w:div w:id="2074427001">
              <w:marLeft w:val="0"/>
              <w:marRight w:val="0"/>
              <w:marTop w:val="0"/>
              <w:marBottom w:val="0"/>
              <w:divBdr>
                <w:top w:val="none" w:sz="0" w:space="0" w:color="auto"/>
                <w:left w:val="none" w:sz="0" w:space="0" w:color="auto"/>
                <w:bottom w:val="none" w:sz="0" w:space="0" w:color="auto"/>
                <w:right w:val="none" w:sz="0" w:space="0" w:color="auto"/>
              </w:divBdr>
              <w:divsChild>
                <w:div w:id="252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755">
      <w:bodyDiv w:val="1"/>
      <w:marLeft w:val="0"/>
      <w:marRight w:val="0"/>
      <w:marTop w:val="0"/>
      <w:marBottom w:val="0"/>
      <w:divBdr>
        <w:top w:val="none" w:sz="0" w:space="0" w:color="auto"/>
        <w:left w:val="none" w:sz="0" w:space="0" w:color="auto"/>
        <w:bottom w:val="none" w:sz="0" w:space="0" w:color="auto"/>
        <w:right w:val="none" w:sz="0" w:space="0" w:color="auto"/>
      </w:divBdr>
      <w:divsChild>
        <w:div w:id="1216234613">
          <w:marLeft w:val="0"/>
          <w:marRight w:val="0"/>
          <w:marTop w:val="0"/>
          <w:marBottom w:val="0"/>
          <w:divBdr>
            <w:top w:val="none" w:sz="0" w:space="0" w:color="auto"/>
            <w:left w:val="none" w:sz="0" w:space="0" w:color="auto"/>
            <w:bottom w:val="none" w:sz="0" w:space="0" w:color="auto"/>
            <w:right w:val="none" w:sz="0" w:space="0" w:color="auto"/>
          </w:divBdr>
          <w:divsChild>
            <w:div w:id="798184519">
              <w:marLeft w:val="0"/>
              <w:marRight w:val="0"/>
              <w:marTop w:val="0"/>
              <w:marBottom w:val="0"/>
              <w:divBdr>
                <w:top w:val="none" w:sz="0" w:space="0" w:color="auto"/>
                <w:left w:val="none" w:sz="0" w:space="0" w:color="auto"/>
                <w:bottom w:val="none" w:sz="0" w:space="0" w:color="auto"/>
                <w:right w:val="none" w:sz="0" w:space="0" w:color="auto"/>
              </w:divBdr>
              <w:divsChild>
                <w:div w:id="17629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6722">
      <w:bodyDiv w:val="1"/>
      <w:marLeft w:val="0"/>
      <w:marRight w:val="0"/>
      <w:marTop w:val="0"/>
      <w:marBottom w:val="0"/>
      <w:divBdr>
        <w:top w:val="none" w:sz="0" w:space="0" w:color="auto"/>
        <w:left w:val="none" w:sz="0" w:space="0" w:color="auto"/>
        <w:bottom w:val="none" w:sz="0" w:space="0" w:color="auto"/>
        <w:right w:val="none" w:sz="0" w:space="0" w:color="auto"/>
      </w:divBdr>
      <w:divsChild>
        <w:div w:id="325213179">
          <w:marLeft w:val="0"/>
          <w:marRight w:val="0"/>
          <w:marTop w:val="0"/>
          <w:marBottom w:val="0"/>
          <w:divBdr>
            <w:top w:val="none" w:sz="0" w:space="0" w:color="auto"/>
            <w:left w:val="none" w:sz="0" w:space="0" w:color="auto"/>
            <w:bottom w:val="none" w:sz="0" w:space="0" w:color="auto"/>
            <w:right w:val="none" w:sz="0" w:space="0" w:color="auto"/>
          </w:divBdr>
          <w:divsChild>
            <w:div w:id="109402596">
              <w:marLeft w:val="0"/>
              <w:marRight w:val="0"/>
              <w:marTop w:val="0"/>
              <w:marBottom w:val="0"/>
              <w:divBdr>
                <w:top w:val="none" w:sz="0" w:space="0" w:color="auto"/>
                <w:left w:val="none" w:sz="0" w:space="0" w:color="auto"/>
                <w:bottom w:val="none" w:sz="0" w:space="0" w:color="auto"/>
                <w:right w:val="none" w:sz="0" w:space="0" w:color="auto"/>
              </w:divBdr>
              <w:divsChild>
                <w:div w:id="246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6250">
      <w:bodyDiv w:val="1"/>
      <w:marLeft w:val="0"/>
      <w:marRight w:val="0"/>
      <w:marTop w:val="0"/>
      <w:marBottom w:val="0"/>
      <w:divBdr>
        <w:top w:val="none" w:sz="0" w:space="0" w:color="auto"/>
        <w:left w:val="none" w:sz="0" w:space="0" w:color="auto"/>
        <w:bottom w:val="none" w:sz="0" w:space="0" w:color="auto"/>
        <w:right w:val="none" w:sz="0" w:space="0" w:color="auto"/>
      </w:divBdr>
      <w:divsChild>
        <w:div w:id="1811439431">
          <w:marLeft w:val="0"/>
          <w:marRight w:val="0"/>
          <w:marTop w:val="0"/>
          <w:marBottom w:val="0"/>
          <w:divBdr>
            <w:top w:val="none" w:sz="0" w:space="0" w:color="auto"/>
            <w:left w:val="none" w:sz="0" w:space="0" w:color="auto"/>
            <w:bottom w:val="none" w:sz="0" w:space="0" w:color="auto"/>
            <w:right w:val="none" w:sz="0" w:space="0" w:color="auto"/>
          </w:divBdr>
          <w:divsChild>
            <w:div w:id="255287092">
              <w:marLeft w:val="0"/>
              <w:marRight w:val="0"/>
              <w:marTop w:val="0"/>
              <w:marBottom w:val="0"/>
              <w:divBdr>
                <w:top w:val="none" w:sz="0" w:space="0" w:color="auto"/>
                <w:left w:val="none" w:sz="0" w:space="0" w:color="auto"/>
                <w:bottom w:val="none" w:sz="0" w:space="0" w:color="auto"/>
                <w:right w:val="none" w:sz="0" w:space="0" w:color="auto"/>
              </w:divBdr>
              <w:divsChild>
                <w:div w:id="4458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3906">
      <w:bodyDiv w:val="1"/>
      <w:marLeft w:val="0"/>
      <w:marRight w:val="0"/>
      <w:marTop w:val="0"/>
      <w:marBottom w:val="0"/>
      <w:divBdr>
        <w:top w:val="none" w:sz="0" w:space="0" w:color="auto"/>
        <w:left w:val="none" w:sz="0" w:space="0" w:color="auto"/>
        <w:bottom w:val="none" w:sz="0" w:space="0" w:color="auto"/>
        <w:right w:val="none" w:sz="0" w:space="0" w:color="auto"/>
      </w:divBdr>
      <w:divsChild>
        <w:div w:id="1490487702">
          <w:marLeft w:val="0"/>
          <w:marRight w:val="0"/>
          <w:marTop w:val="0"/>
          <w:marBottom w:val="0"/>
          <w:divBdr>
            <w:top w:val="none" w:sz="0" w:space="0" w:color="auto"/>
            <w:left w:val="none" w:sz="0" w:space="0" w:color="auto"/>
            <w:bottom w:val="none" w:sz="0" w:space="0" w:color="auto"/>
            <w:right w:val="none" w:sz="0" w:space="0" w:color="auto"/>
          </w:divBdr>
          <w:divsChild>
            <w:div w:id="792554215">
              <w:marLeft w:val="0"/>
              <w:marRight w:val="0"/>
              <w:marTop w:val="0"/>
              <w:marBottom w:val="0"/>
              <w:divBdr>
                <w:top w:val="none" w:sz="0" w:space="0" w:color="auto"/>
                <w:left w:val="none" w:sz="0" w:space="0" w:color="auto"/>
                <w:bottom w:val="none" w:sz="0" w:space="0" w:color="auto"/>
                <w:right w:val="none" w:sz="0" w:space="0" w:color="auto"/>
              </w:divBdr>
              <w:divsChild>
                <w:div w:id="15663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0910">
      <w:bodyDiv w:val="1"/>
      <w:marLeft w:val="0"/>
      <w:marRight w:val="0"/>
      <w:marTop w:val="0"/>
      <w:marBottom w:val="0"/>
      <w:divBdr>
        <w:top w:val="none" w:sz="0" w:space="0" w:color="auto"/>
        <w:left w:val="none" w:sz="0" w:space="0" w:color="auto"/>
        <w:bottom w:val="none" w:sz="0" w:space="0" w:color="auto"/>
        <w:right w:val="none" w:sz="0" w:space="0" w:color="auto"/>
      </w:divBdr>
      <w:divsChild>
        <w:div w:id="1829324183">
          <w:marLeft w:val="0"/>
          <w:marRight w:val="0"/>
          <w:marTop w:val="0"/>
          <w:marBottom w:val="0"/>
          <w:divBdr>
            <w:top w:val="none" w:sz="0" w:space="0" w:color="auto"/>
            <w:left w:val="none" w:sz="0" w:space="0" w:color="auto"/>
            <w:bottom w:val="none" w:sz="0" w:space="0" w:color="auto"/>
            <w:right w:val="none" w:sz="0" w:space="0" w:color="auto"/>
          </w:divBdr>
          <w:divsChild>
            <w:div w:id="948052393">
              <w:marLeft w:val="0"/>
              <w:marRight w:val="0"/>
              <w:marTop w:val="0"/>
              <w:marBottom w:val="0"/>
              <w:divBdr>
                <w:top w:val="none" w:sz="0" w:space="0" w:color="auto"/>
                <w:left w:val="none" w:sz="0" w:space="0" w:color="auto"/>
                <w:bottom w:val="none" w:sz="0" w:space="0" w:color="auto"/>
                <w:right w:val="none" w:sz="0" w:space="0" w:color="auto"/>
              </w:divBdr>
              <w:divsChild>
                <w:div w:id="112984903">
                  <w:marLeft w:val="0"/>
                  <w:marRight w:val="0"/>
                  <w:marTop w:val="0"/>
                  <w:marBottom w:val="0"/>
                  <w:divBdr>
                    <w:top w:val="none" w:sz="0" w:space="0" w:color="auto"/>
                    <w:left w:val="none" w:sz="0" w:space="0" w:color="auto"/>
                    <w:bottom w:val="none" w:sz="0" w:space="0" w:color="auto"/>
                    <w:right w:val="none" w:sz="0" w:space="0" w:color="auto"/>
                  </w:divBdr>
                  <w:divsChild>
                    <w:div w:id="8620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36016">
      <w:bodyDiv w:val="1"/>
      <w:marLeft w:val="0"/>
      <w:marRight w:val="0"/>
      <w:marTop w:val="0"/>
      <w:marBottom w:val="0"/>
      <w:divBdr>
        <w:top w:val="none" w:sz="0" w:space="0" w:color="auto"/>
        <w:left w:val="none" w:sz="0" w:space="0" w:color="auto"/>
        <w:bottom w:val="none" w:sz="0" w:space="0" w:color="auto"/>
        <w:right w:val="none" w:sz="0" w:space="0" w:color="auto"/>
      </w:divBdr>
      <w:divsChild>
        <w:div w:id="1015960684">
          <w:marLeft w:val="0"/>
          <w:marRight w:val="0"/>
          <w:marTop w:val="0"/>
          <w:marBottom w:val="0"/>
          <w:divBdr>
            <w:top w:val="none" w:sz="0" w:space="0" w:color="auto"/>
            <w:left w:val="none" w:sz="0" w:space="0" w:color="auto"/>
            <w:bottom w:val="none" w:sz="0" w:space="0" w:color="auto"/>
            <w:right w:val="none" w:sz="0" w:space="0" w:color="auto"/>
          </w:divBdr>
          <w:divsChild>
            <w:div w:id="2124693190">
              <w:marLeft w:val="0"/>
              <w:marRight w:val="0"/>
              <w:marTop w:val="0"/>
              <w:marBottom w:val="0"/>
              <w:divBdr>
                <w:top w:val="none" w:sz="0" w:space="0" w:color="auto"/>
                <w:left w:val="none" w:sz="0" w:space="0" w:color="auto"/>
                <w:bottom w:val="none" w:sz="0" w:space="0" w:color="auto"/>
                <w:right w:val="none" w:sz="0" w:space="0" w:color="auto"/>
              </w:divBdr>
              <w:divsChild>
                <w:div w:id="1578513445">
                  <w:marLeft w:val="0"/>
                  <w:marRight w:val="0"/>
                  <w:marTop w:val="0"/>
                  <w:marBottom w:val="0"/>
                  <w:divBdr>
                    <w:top w:val="none" w:sz="0" w:space="0" w:color="auto"/>
                    <w:left w:val="none" w:sz="0" w:space="0" w:color="auto"/>
                    <w:bottom w:val="none" w:sz="0" w:space="0" w:color="auto"/>
                    <w:right w:val="none" w:sz="0" w:space="0" w:color="auto"/>
                  </w:divBdr>
                  <w:divsChild>
                    <w:div w:id="1402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3147">
      <w:bodyDiv w:val="1"/>
      <w:marLeft w:val="0"/>
      <w:marRight w:val="0"/>
      <w:marTop w:val="0"/>
      <w:marBottom w:val="0"/>
      <w:divBdr>
        <w:top w:val="none" w:sz="0" w:space="0" w:color="auto"/>
        <w:left w:val="none" w:sz="0" w:space="0" w:color="auto"/>
        <w:bottom w:val="none" w:sz="0" w:space="0" w:color="auto"/>
        <w:right w:val="none" w:sz="0" w:space="0" w:color="auto"/>
      </w:divBdr>
      <w:divsChild>
        <w:div w:id="822890981">
          <w:marLeft w:val="0"/>
          <w:marRight w:val="0"/>
          <w:marTop w:val="0"/>
          <w:marBottom w:val="0"/>
          <w:divBdr>
            <w:top w:val="none" w:sz="0" w:space="0" w:color="auto"/>
            <w:left w:val="none" w:sz="0" w:space="0" w:color="auto"/>
            <w:bottom w:val="none" w:sz="0" w:space="0" w:color="auto"/>
            <w:right w:val="none" w:sz="0" w:space="0" w:color="auto"/>
          </w:divBdr>
          <w:divsChild>
            <w:div w:id="582379885">
              <w:marLeft w:val="0"/>
              <w:marRight w:val="0"/>
              <w:marTop w:val="0"/>
              <w:marBottom w:val="0"/>
              <w:divBdr>
                <w:top w:val="none" w:sz="0" w:space="0" w:color="auto"/>
                <w:left w:val="none" w:sz="0" w:space="0" w:color="auto"/>
                <w:bottom w:val="none" w:sz="0" w:space="0" w:color="auto"/>
                <w:right w:val="none" w:sz="0" w:space="0" w:color="auto"/>
              </w:divBdr>
              <w:divsChild>
                <w:div w:id="1806971585">
                  <w:marLeft w:val="0"/>
                  <w:marRight w:val="0"/>
                  <w:marTop w:val="0"/>
                  <w:marBottom w:val="0"/>
                  <w:divBdr>
                    <w:top w:val="none" w:sz="0" w:space="0" w:color="auto"/>
                    <w:left w:val="none" w:sz="0" w:space="0" w:color="auto"/>
                    <w:bottom w:val="none" w:sz="0" w:space="0" w:color="auto"/>
                    <w:right w:val="none" w:sz="0" w:space="0" w:color="auto"/>
                  </w:divBdr>
                  <w:divsChild>
                    <w:div w:id="10245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5143">
      <w:bodyDiv w:val="1"/>
      <w:marLeft w:val="0"/>
      <w:marRight w:val="0"/>
      <w:marTop w:val="0"/>
      <w:marBottom w:val="0"/>
      <w:divBdr>
        <w:top w:val="none" w:sz="0" w:space="0" w:color="auto"/>
        <w:left w:val="none" w:sz="0" w:space="0" w:color="auto"/>
        <w:bottom w:val="none" w:sz="0" w:space="0" w:color="auto"/>
        <w:right w:val="none" w:sz="0" w:space="0" w:color="auto"/>
      </w:divBdr>
    </w:div>
    <w:div w:id="1452896406">
      <w:bodyDiv w:val="1"/>
      <w:marLeft w:val="0"/>
      <w:marRight w:val="0"/>
      <w:marTop w:val="0"/>
      <w:marBottom w:val="0"/>
      <w:divBdr>
        <w:top w:val="none" w:sz="0" w:space="0" w:color="auto"/>
        <w:left w:val="none" w:sz="0" w:space="0" w:color="auto"/>
        <w:bottom w:val="none" w:sz="0" w:space="0" w:color="auto"/>
        <w:right w:val="none" w:sz="0" w:space="0" w:color="auto"/>
      </w:divBdr>
      <w:divsChild>
        <w:div w:id="1081637629">
          <w:marLeft w:val="0"/>
          <w:marRight w:val="0"/>
          <w:marTop w:val="0"/>
          <w:marBottom w:val="0"/>
          <w:divBdr>
            <w:top w:val="none" w:sz="0" w:space="0" w:color="auto"/>
            <w:left w:val="none" w:sz="0" w:space="0" w:color="auto"/>
            <w:bottom w:val="none" w:sz="0" w:space="0" w:color="auto"/>
            <w:right w:val="none" w:sz="0" w:space="0" w:color="auto"/>
          </w:divBdr>
          <w:divsChild>
            <w:div w:id="1057556359">
              <w:marLeft w:val="0"/>
              <w:marRight w:val="0"/>
              <w:marTop w:val="0"/>
              <w:marBottom w:val="0"/>
              <w:divBdr>
                <w:top w:val="none" w:sz="0" w:space="0" w:color="auto"/>
                <w:left w:val="none" w:sz="0" w:space="0" w:color="auto"/>
                <w:bottom w:val="none" w:sz="0" w:space="0" w:color="auto"/>
                <w:right w:val="none" w:sz="0" w:space="0" w:color="auto"/>
              </w:divBdr>
              <w:divsChild>
                <w:div w:id="8500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289">
      <w:bodyDiv w:val="1"/>
      <w:marLeft w:val="0"/>
      <w:marRight w:val="0"/>
      <w:marTop w:val="0"/>
      <w:marBottom w:val="0"/>
      <w:divBdr>
        <w:top w:val="none" w:sz="0" w:space="0" w:color="auto"/>
        <w:left w:val="none" w:sz="0" w:space="0" w:color="auto"/>
        <w:bottom w:val="none" w:sz="0" w:space="0" w:color="auto"/>
        <w:right w:val="none" w:sz="0" w:space="0" w:color="auto"/>
      </w:divBdr>
      <w:divsChild>
        <w:div w:id="32660712">
          <w:marLeft w:val="0"/>
          <w:marRight w:val="0"/>
          <w:marTop w:val="0"/>
          <w:marBottom w:val="0"/>
          <w:divBdr>
            <w:top w:val="none" w:sz="0" w:space="0" w:color="auto"/>
            <w:left w:val="none" w:sz="0" w:space="0" w:color="auto"/>
            <w:bottom w:val="none" w:sz="0" w:space="0" w:color="auto"/>
            <w:right w:val="none" w:sz="0" w:space="0" w:color="auto"/>
          </w:divBdr>
          <w:divsChild>
            <w:div w:id="400564019">
              <w:marLeft w:val="0"/>
              <w:marRight w:val="0"/>
              <w:marTop w:val="0"/>
              <w:marBottom w:val="0"/>
              <w:divBdr>
                <w:top w:val="none" w:sz="0" w:space="0" w:color="auto"/>
                <w:left w:val="none" w:sz="0" w:space="0" w:color="auto"/>
                <w:bottom w:val="none" w:sz="0" w:space="0" w:color="auto"/>
                <w:right w:val="none" w:sz="0" w:space="0" w:color="auto"/>
              </w:divBdr>
              <w:divsChild>
                <w:div w:id="20921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5252">
      <w:bodyDiv w:val="1"/>
      <w:marLeft w:val="0"/>
      <w:marRight w:val="0"/>
      <w:marTop w:val="0"/>
      <w:marBottom w:val="0"/>
      <w:divBdr>
        <w:top w:val="none" w:sz="0" w:space="0" w:color="auto"/>
        <w:left w:val="none" w:sz="0" w:space="0" w:color="auto"/>
        <w:bottom w:val="none" w:sz="0" w:space="0" w:color="auto"/>
        <w:right w:val="none" w:sz="0" w:space="0" w:color="auto"/>
      </w:divBdr>
      <w:divsChild>
        <w:div w:id="1173108278">
          <w:marLeft w:val="0"/>
          <w:marRight w:val="0"/>
          <w:marTop w:val="0"/>
          <w:marBottom w:val="0"/>
          <w:divBdr>
            <w:top w:val="none" w:sz="0" w:space="0" w:color="auto"/>
            <w:left w:val="none" w:sz="0" w:space="0" w:color="auto"/>
            <w:bottom w:val="none" w:sz="0" w:space="0" w:color="auto"/>
            <w:right w:val="none" w:sz="0" w:space="0" w:color="auto"/>
          </w:divBdr>
          <w:divsChild>
            <w:div w:id="2125151498">
              <w:marLeft w:val="0"/>
              <w:marRight w:val="0"/>
              <w:marTop w:val="0"/>
              <w:marBottom w:val="0"/>
              <w:divBdr>
                <w:top w:val="none" w:sz="0" w:space="0" w:color="auto"/>
                <w:left w:val="none" w:sz="0" w:space="0" w:color="auto"/>
                <w:bottom w:val="none" w:sz="0" w:space="0" w:color="auto"/>
                <w:right w:val="none" w:sz="0" w:space="0" w:color="auto"/>
              </w:divBdr>
              <w:divsChild>
                <w:div w:id="13241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6289">
      <w:bodyDiv w:val="1"/>
      <w:marLeft w:val="0"/>
      <w:marRight w:val="0"/>
      <w:marTop w:val="0"/>
      <w:marBottom w:val="0"/>
      <w:divBdr>
        <w:top w:val="none" w:sz="0" w:space="0" w:color="auto"/>
        <w:left w:val="none" w:sz="0" w:space="0" w:color="auto"/>
        <w:bottom w:val="none" w:sz="0" w:space="0" w:color="auto"/>
        <w:right w:val="none" w:sz="0" w:space="0" w:color="auto"/>
      </w:divBdr>
      <w:divsChild>
        <w:div w:id="553856402">
          <w:marLeft w:val="0"/>
          <w:marRight w:val="0"/>
          <w:marTop w:val="0"/>
          <w:marBottom w:val="0"/>
          <w:divBdr>
            <w:top w:val="none" w:sz="0" w:space="0" w:color="auto"/>
            <w:left w:val="none" w:sz="0" w:space="0" w:color="auto"/>
            <w:bottom w:val="none" w:sz="0" w:space="0" w:color="auto"/>
            <w:right w:val="none" w:sz="0" w:space="0" w:color="auto"/>
          </w:divBdr>
          <w:divsChild>
            <w:div w:id="157231281">
              <w:marLeft w:val="0"/>
              <w:marRight w:val="0"/>
              <w:marTop w:val="0"/>
              <w:marBottom w:val="0"/>
              <w:divBdr>
                <w:top w:val="none" w:sz="0" w:space="0" w:color="auto"/>
                <w:left w:val="none" w:sz="0" w:space="0" w:color="auto"/>
                <w:bottom w:val="none" w:sz="0" w:space="0" w:color="auto"/>
                <w:right w:val="none" w:sz="0" w:space="0" w:color="auto"/>
              </w:divBdr>
              <w:divsChild>
                <w:div w:id="18140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5691">
      <w:bodyDiv w:val="1"/>
      <w:marLeft w:val="0"/>
      <w:marRight w:val="0"/>
      <w:marTop w:val="0"/>
      <w:marBottom w:val="0"/>
      <w:divBdr>
        <w:top w:val="none" w:sz="0" w:space="0" w:color="auto"/>
        <w:left w:val="none" w:sz="0" w:space="0" w:color="auto"/>
        <w:bottom w:val="none" w:sz="0" w:space="0" w:color="auto"/>
        <w:right w:val="none" w:sz="0" w:space="0" w:color="auto"/>
      </w:divBdr>
      <w:divsChild>
        <w:div w:id="953639058">
          <w:marLeft w:val="0"/>
          <w:marRight w:val="0"/>
          <w:marTop w:val="0"/>
          <w:marBottom w:val="0"/>
          <w:divBdr>
            <w:top w:val="none" w:sz="0" w:space="0" w:color="auto"/>
            <w:left w:val="none" w:sz="0" w:space="0" w:color="auto"/>
            <w:bottom w:val="none" w:sz="0" w:space="0" w:color="auto"/>
            <w:right w:val="none" w:sz="0" w:space="0" w:color="auto"/>
          </w:divBdr>
          <w:divsChild>
            <w:div w:id="2020426731">
              <w:marLeft w:val="0"/>
              <w:marRight w:val="0"/>
              <w:marTop w:val="0"/>
              <w:marBottom w:val="0"/>
              <w:divBdr>
                <w:top w:val="none" w:sz="0" w:space="0" w:color="auto"/>
                <w:left w:val="none" w:sz="0" w:space="0" w:color="auto"/>
                <w:bottom w:val="none" w:sz="0" w:space="0" w:color="auto"/>
                <w:right w:val="none" w:sz="0" w:space="0" w:color="auto"/>
              </w:divBdr>
              <w:divsChild>
                <w:div w:id="44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8260">
      <w:bodyDiv w:val="1"/>
      <w:marLeft w:val="0"/>
      <w:marRight w:val="0"/>
      <w:marTop w:val="0"/>
      <w:marBottom w:val="0"/>
      <w:divBdr>
        <w:top w:val="none" w:sz="0" w:space="0" w:color="auto"/>
        <w:left w:val="none" w:sz="0" w:space="0" w:color="auto"/>
        <w:bottom w:val="none" w:sz="0" w:space="0" w:color="auto"/>
        <w:right w:val="none" w:sz="0" w:space="0" w:color="auto"/>
      </w:divBdr>
    </w:div>
    <w:div w:id="1718355548">
      <w:bodyDiv w:val="1"/>
      <w:marLeft w:val="0"/>
      <w:marRight w:val="0"/>
      <w:marTop w:val="0"/>
      <w:marBottom w:val="0"/>
      <w:divBdr>
        <w:top w:val="none" w:sz="0" w:space="0" w:color="auto"/>
        <w:left w:val="none" w:sz="0" w:space="0" w:color="auto"/>
        <w:bottom w:val="none" w:sz="0" w:space="0" w:color="auto"/>
        <w:right w:val="none" w:sz="0" w:space="0" w:color="auto"/>
      </w:divBdr>
    </w:div>
    <w:div w:id="1725788827">
      <w:bodyDiv w:val="1"/>
      <w:marLeft w:val="0"/>
      <w:marRight w:val="0"/>
      <w:marTop w:val="0"/>
      <w:marBottom w:val="0"/>
      <w:divBdr>
        <w:top w:val="none" w:sz="0" w:space="0" w:color="auto"/>
        <w:left w:val="none" w:sz="0" w:space="0" w:color="auto"/>
        <w:bottom w:val="none" w:sz="0" w:space="0" w:color="auto"/>
        <w:right w:val="none" w:sz="0" w:space="0" w:color="auto"/>
      </w:divBdr>
      <w:divsChild>
        <w:div w:id="561720709">
          <w:marLeft w:val="0"/>
          <w:marRight w:val="0"/>
          <w:marTop w:val="0"/>
          <w:marBottom w:val="0"/>
          <w:divBdr>
            <w:top w:val="none" w:sz="0" w:space="0" w:color="auto"/>
            <w:left w:val="none" w:sz="0" w:space="0" w:color="auto"/>
            <w:bottom w:val="none" w:sz="0" w:space="0" w:color="auto"/>
            <w:right w:val="none" w:sz="0" w:space="0" w:color="auto"/>
          </w:divBdr>
          <w:divsChild>
            <w:div w:id="2119717217">
              <w:marLeft w:val="0"/>
              <w:marRight w:val="0"/>
              <w:marTop w:val="0"/>
              <w:marBottom w:val="0"/>
              <w:divBdr>
                <w:top w:val="none" w:sz="0" w:space="0" w:color="auto"/>
                <w:left w:val="none" w:sz="0" w:space="0" w:color="auto"/>
                <w:bottom w:val="none" w:sz="0" w:space="0" w:color="auto"/>
                <w:right w:val="none" w:sz="0" w:space="0" w:color="auto"/>
              </w:divBdr>
              <w:divsChild>
                <w:div w:id="1022242622">
                  <w:marLeft w:val="0"/>
                  <w:marRight w:val="0"/>
                  <w:marTop w:val="0"/>
                  <w:marBottom w:val="0"/>
                  <w:divBdr>
                    <w:top w:val="none" w:sz="0" w:space="0" w:color="auto"/>
                    <w:left w:val="none" w:sz="0" w:space="0" w:color="auto"/>
                    <w:bottom w:val="none" w:sz="0" w:space="0" w:color="auto"/>
                    <w:right w:val="none" w:sz="0" w:space="0" w:color="auto"/>
                  </w:divBdr>
                  <w:divsChild>
                    <w:div w:id="9175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7832">
      <w:bodyDiv w:val="1"/>
      <w:marLeft w:val="0"/>
      <w:marRight w:val="0"/>
      <w:marTop w:val="0"/>
      <w:marBottom w:val="0"/>
      <w:divBdr>
        <w:top w:val="none" w:sz="0" w:space="0" w:color="auto"/>
        <w:left w:val="none" w:sz="0" w:space="0" w:color="auto"/>
        <w:bottom w:val="none" w:sz="0" w:space="0" w:color="auto"/>
        <w:right w:val="none" w:sz="0" w:space="0" w:color="auto"/>
      </w:divBdr>
    </w:div>
    <w:div w:id="1753508509">
      <w:bodyDiv w:val="1"/>
      <w:marLeft w:val="0"/>
      <w:marRight w:val="0"/>
      <w:marTop w:val="0"/>
      <w:marBottom w:val="0"/>
      <w:divBdr>
        <w:top w:val="none" w:sz="0" w:space="0" w:color="auto"/>
        <w:left w:val="none" w:sz="0" w:space="0" w:color="auto"/>
        <w:bottom w:val="none" w:sz="0" w:space="0" w:color="auto"/>
        <w:right w:val="none" w:sz="0" w:space="0" w:color="auto"/>
      </w:divBdr>
      <w:divsChild>
        <w:div w:id="878785789">
          <w:marLeft w:val="0"/>
          <w:marRight w:val="0"/>
          <w:marTop w:val="0"/>
          <w:marBottom w:val="0"/>
          <w:divBdr>
            <w:top w:val="none" w:sz="0" w:space="0" w:color="auto"/>
            <w:left w:val="none" w:sz="0" w:space="0" w:color="auto"/>
            <w:bottom w:val="none" w:sz="0" w:space="0" w:color="auto"/>
            <w:right w:val="none" w:sz="0" w:space="0" w:color="auto"/>
          </w:divBdr>
          <w:divsChild>
            <w:div w:id="782697146">
              <w:marLeft w:val="0"/>
              <w:marRight w:val="0"/>
              <w:marTop w:val="0"/>
              <w:marBottom w:val="0"/>
              <w:divBdr>
                <w:top w:val="none" w:sz="0" w:space="0" w:color="auto"/>
                <w:left w:val="none" w:sz="0" w:space="0" w:color="auto"/>
                <w:bottom w:val="none" w:sz="0" w:space="0" w:color="auto"/>
                <w:right w:val="none" w:sz="0" w:space="0" w:color="auto"/>
              </w:divBdr>
              <w:divsChild>
                <w:div w:id="1415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4353">
      <w:bodyDiv w:val="1"/>
      <w:marLeft w:val="0"/>
      <w:marRight w:val="0"/>
      <w:marTop w:val="0"/>
      <w:marBottom w:val="0"/>
      <w:divBdr>
        <w:top w:val="none" w:sz="0" w:space="0" w:color="auto"/>
        <w:left w:val="none" w:sz="0" w:space="0" w:color="auto"/>
        <w:bottom w:val="none" w:sz="0" w:space="0" w:color="auto"/>
        <w:right w:val="none" w:sz="0" w:space="0" w:color="auto"/>
      </w:divBdr>
      <w:divsChild>
        <w:div w:id="1477064097">
          <w:marLeft w:val="0"/>
          <w:marRight w:val="0"/>
          <w:marTop w:val="0"/>
          <w:marBottom w:val="0"/>
          <w:divBdr>
            <w:top w:val="none" w:sz="0" w:space="0" w:color="auto"/>
            <w:left w:val="none" w:sz="0" w:space="0" w:color="auto"/>
            <w:bottom w:val="none" w:sz="0" w:space="0" w:color="auto"/>
            <w:right w:val="none" w:sz="0" w:space="0" w:color="auto"/>
          </w:divBdr>
          <w:divsChild>
            <w:div w:id="75136271">
              <w:marLeft w:val="0"/>
              <w:marRight w:val="0"/>
              <w:marTop w:val="0"/>
              <w:marBottom w:val="0"/>
              <w:divBdr>
                <w:top w:val="none" w:sz="0" w:space="0" w:color="auto"/>
                <w:left w:val="none" w:sz="0" w:space="0" w:color="auto"/>
                <w:bottom w:val="none" w:sz="0" w:space="0" w:color="auto"/>
                <w:right w:val="none" w:sz="0" w:space="0" w:color="auto"/>
              </w:divBdr>
              <w:divsChild>
                <w:div w:id="12655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88649">
      <w:bodyDiv w:val="1"/>
      <w:marLeft w:val="0"/>
      <w:marRight w:val="0"/>
      <w:marTop w:val="0"/>
      <w:marBottom w:val="0"/>
      <w:divBdr>
        <w:top w:val="none" w:sz="0" w:space="0" w:color="auto"/>
        <w:left w:val="none" w:sz="0" w:space="0" w:color="auto"/>
        <w:bottom w:val="none" w:sz="0" w:space="0" w:color="auto"/>
        <w:right w:val="none" w:sz="0" w:space="0" w:color="auto"/>
      </w:divBdr>
      <w:divsChild>
        <w:div w:id="1341666153">
          <w:marLeft w:val="0"/>
          <w:marRight w:val="0"/>
          <w:marTop w:val="0"/>
          <w:marBottom w:val="0"/>
          <w:divBdr>
            <w:top w:val="none" w:sz="0" w:space="0" w:color="auto"/>
            <w:left w:val="none" w:sz="0" w:space="0" w:color="auto"/>
            <w:bottom w:val="none" w:sz="0" w:space="0" w:color="auto"/>
            <w:right w:val="none" w:sz="0" w:space="0" w:color="auto"/>
          </w:divBdr>
          <w:divsChild>
            <w:div w:id="1580286289">
              <w:marLeft w:val="0"/>
              <w:marRight w:val="0"/>
              <w:marTop w:val="0"/>
              <w:marBottom w:val="0"/>
              <w:divBdr>
                <w:top w:val="none" w:sz="0" w:space="0" w:color="auto"/>
                <w:left w:val="none" w:sz="0" w:space="0" w:color="auto"/>
                <w:bottom w:val="none" w:sz="0" w:space="0" w:color="auto"/>
                <w:right w:val="none" w:sz="0" w:space="0" w:color="auto"/>
              </w:divBdr>
              <w:divsChild>
                <w:div w:id="77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2954">
      <w:bodyDiv w:val="1"/>
      <w:marLeft w:val="0"/>
      <w:marRight w:val="0"/>
      <w:marTop w:val="0"/>
      <w:marBottom w:val="0"/>
      <w:divBdr>
        <w:top w:val="none" w:sz="0" w:space="0" w:color="auto"/>
        <w:left w:val="none" w:sz="0" w:space="0" w:color="auto"/>
        <w:bottom w:val="none" w:sz="0" w:space="0" w:color="auto"/>
        <w:right w:val="none" w:sz="0" w:space="0" w:color="auto"/>
      </w:divBdr>
      <w:divsChild>
        <w:div w:id="1371225035">
          <w:marLeft w:val="0"/>
          <w:marRight w:val="0"/>
          <w:marTop w:val="0"/>
          <w:marBottom w:val="0"/>
          <w:divBdr>
            <w:top w:val="none" w:sz="0" w:space="0" w:color="auto"/>
            <w:left w:val="none" w:sz="0" w:space="0" w:color="auto"/>
            <w:bottom w:val="none" w:sz="0" w:space="0" w:color="auto"/>
            <w:right w:val="none" w:sz="0" w:space="0" w:color="auto"/>
          </w:divBdr>
          <w:divsChild>
            <w:div w:id="2127892306">
              <w:marLeft w:val="0"/>
              <w:marRight w:val="0"/>
              <w:marTop w:val="0"/>
              <w:marBottom w:val="0"/>
              <w:divBdr>
                <w:top w:val="none" w:sz="0" w:space="0" w:color="auto"/>
                <w:left w:val="none" w:sz="0" w:space="0" w:color="auto"/>
                <w:bottom w:val="none" w:sz="0" w:space="0" w:color="auto"/>
                <w:right w:val="none" w:sz="0" w:space="0" w:color="auto"/>
              </w:divBdr>
              <w:divsChild>
                <w:div w:id="3572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4414">
      <w:bodyDiv w:val="1"/>
      <w:marLeft w:val="0"/>
      <w:marRight w:val="0"/>
      <w:marTop w:val="0"/>
      <w:marBottom w:val="0"/>
      <w:divBdr>
        <w:top w:val="none" w:sz="0" w:space="0" w:color="auto"/>
        <w:left w:val="none" w:sz="0" w:space="0" w:color="auto"/>
        <w:bottom w:val="none" w:sz="0" w:space="0" w:color="auto"/>
        <w:right w:val="none" w:sz="0" w:space="0" w:color="auto"/>
      </w:divBdr>
      <w:divsChild>
        <w:div w:id="1011103207">
          <w:marLeft w:val="0"/>
          <w:marRight w:val="0"/>
          <w:marTop w:val="0"/>
          <w:marBottom w:val="0"/>
          <w:divBdr>
            <w:top w:val="none" w:sz="0" w:space="0" w:color="auto"/>
            <w:left w:val="none" w:sz="0" w:space="0" w:color="auto"/>
            <w:bottom w:val="none" w:sz="0" w:space="0" w:color="auto"/>
            <w:right w:val="none" w:sz="0" w:space="0" w:color="auto"/>
          </w:divBdr>
          <w:divsChild>
            <w:div w:id="794255338">
              <w:marLeft w:val="0"/>
              <w:marRight w:val="0"/>
              <w:marTop w:val="0"/>
              <w:marBottom w:val="0"/>
              <w:divBdr>
                <w:top w:val="none" w:sz="0" w:space="0" w:color="auto"/>
                <w:left w:val="none" w:sz="0" w:space="0" w:color="auto"/>
                <w:bottom w:val="none" w:sz="0" w:space="0" w:color="auto"/>
                <w:right w:val="none" w:sz="0" w:space="0" w:color="auto"/>
              </w:divBdr>
              <w:divsChild>
                <w:div w:id="2093160437">
                  <w:marLeft w:val="0"/>
                  <w:marRight w:val="0"/>
                  <w:marTop w:val="0"/>
                  <w:marBottom w:val="0"/>
                  <w:divBdr>
                    <w:top w:val="none" w:sz="0" w:space="0" w:color="auto"/>
                    <w:left w:val="none" w:sz="0" w:space="0" w:color="auto"/>
                    <w:bottom w:val="none" w:sz="0" w:space="0" w:color="auto"/>
                    <w:right w:val="none" w:sz="0" w:space="0" w:color="auto"/>
                  </w:divBdr>
                  <w:divsChild>
                    <w:div w:id="2154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40157">
      <w:bodyDiv w:val="1"/>
      <w:marLeft w:val="0"/>
      <w:marRight w:val="0"/>
      <w:marTop w:val="0"/>
      <w:marBottom w:val="0"/>
      <w:divBdr>
        <w:top w:val="none" w:sz="0" w:space="0" w:color="auto"/>
        <w:left w:val="none" w:sz="0" w:space="0" w:color="auto"/>
        <w:bottom w:val="none" w:sz="0" w:space="0" w:color="auto"/>
        <w:right w:val="none" w:sz="0" w:space="0" w:color="auto"/>
      </w:divBdr>
      <w:divsChild>
        <w:div w:id="1232346130">
          <w:marLeft w:val="0"/>
          <w:marRight w:val="0"/>
          <w:marTop w:val="0"/>
          <w:marBottom w:val="0"/>
          <w:divBdr>
            <w:top w:val="none" w:sz="0" w:space="0" w:color="auto"/>
            <w:left w:val="none" w:sz="0" w:space="0" w:color="auto"/>
            <w:bottom w:val="none" w:sz="0" w:space="0" w:color="auto"/>
            <w:right w:val="none" w:sz="0" w:space="0" w:color="auto"/>
          </w:divBdr>
          <w:divsChild>
            <w:div w:id="1117874339">
              <w:marLeft w:val="0"/>
              <w:marRight w:val="0"/>
              <w:marTop w:val="0"/>
              <w:marBottom w:val="0"/>
              <w:divBdr>
                <w:top w:val="none" w:sz="0" w:space="0" w:color="auto"/>
                <w:left w:val="none" w:sz="0" w:space="0" w:color="auto"/>
                <w:bottom w:val="none" w:sz="0" w:space="0" w:color="auto"/>
                <w:right w:val="none" w:sz="0" w:space="0" w:color="auto"/>
              </w:divBdr>
              <w:divsChild>
                <w:div w:id="11367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0651">
      <w:bodyDiv w:val="1"/>
      <w:marLeft w:val="0"/>
      <w:marRight w:val="0"/>
      <w:marTop w:val="0"/>
      <w:marBottom w:val="0"/>
      <w:divBdr>
        <w:top w:val="none" w:sz="0" w:space="0" w:color="auto"/>
        <w:left w:val="none" w:sz="0" w:space="0" w:color="auto"/>
        <w:bottom w:val="none" w:sz="0" w:space="0" w:color="auto"/>
        <w:right w:val="none" w:sz="0" w:space="0" w:color="auto"/>
      </w:divBdr>
    </w:div>
    <w:div w:id="1876579968">
      <w:bodyDiv w:val="1"/>
      <w:marLeft w:val="0"/>
      <w:marRight w:val="0"/>
      <w:marTop w:val="0"/>
      <w:marBottom w:val="0"/>
      <w:divBdr>
        <w:top w:val="none" w:sz="0" w:space="0" w:color="auto"/>
        <w:left w:val="none" w:sz="0" w:space="0" w:color="auto"/>
        <w:bottom w:val="none" w:sz="0" w:space="0" w:color="auto"/>
        <w:right w:val="none" w:sz="0" w:space="0" w:color="auto"/>
      </w:divBdr>
      <w:divsChild>
        <w:div w:id="1754930584">
          <w:marLeft w:val="0"/>
          <w:marRight w:val="0"/>
          <w:marTop w:val="0"/>
          <w:marBottom w:val="0"/>
          <w:divBdr>
            <w:top w:val="none" w:sz="0" w:space="0" w:color="auto"/>
            <w:left w:val="none" w:sz="0" w:space="0" w:color="auto"/>
            <w:bottom w:val="none" w:sz="0" w:space="0" w:color="auto"/>
            <w:right w:val="none" w:sz="0" w:space="0" w:color="auto"/>
          </w:divBdr>
          <w:divsChild>
            <w:div w:id="1656378190">
              <w:marLeft w:val="0"/>
              <w:marRight w:val="0"/>
              <w:marTop w:val="0"/>
              <w:marBottom w:val="0"/>
              <w:divBdr>
                <w:top w:val="none" w:sz="0" w:space="0" w:color="auto"/>
                <w:left w:val="none" w:sz="0" w:space="0" w:color="auto"/>
                <w:bottom w:val="none" w:sz="0" w:space="0" w:color="auto"/>
                <w:right w:val="none" w:sz="0" w:space="0" w:color="auto"/>
              </w:divBdr>
              <w:divsChild>
                <w:div w:id="9694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476">
      <w:bodyDiv w:val="1"/>
      <w:marLeft w:val="0"/>
      <w:marRight w:val="0"/>
      <w:marTop w:val="0"/>
      <w:marBottom w:val="0"/>
      <w:divBdr>
        <w:top w:val="none" w:sz="0" w:space="0" w:color="auto"/>
        <w:left w:val="none" w:sz="0" w:space="0" w:color="auto"/>
        <w:bottom w:val="none" w:sz="0" w:space="0" w:color="auto"/>
        <w:right w:val="none" w:sz="0" w:space="0" w:color="auto"/>
      </w:divBdr>
    </w:div>
    <w:div w:id="1953854174">
      <w:bodyDiv w:val="1"/>
      <w:marLeft w:val="0"/>
      <w:marRight w:val="0"/>
      <w:marTop w:val="0"/>
      <w:marBottom w:val="0"/>
      <w:divBdr>
        <w:top w:val="none" w:sz="0" w:space="0" w:color="auto"/>
        <w:left w:val="none" w:sz="0" w:space="0" w:color="auto"/>
        <w:bottom w:val="none" w:sz="0" w:space="0" w:color="auto"/>
        <w:right w:val="none" w:sz="0" w:space="0" w:color="auto"/>
      </w:divBdr>
      <w:divsChild>
        <w:div w:id="1139034160">
          <w:marLeft w:val="0"/>
          <w:marRight w:val="0"/>
          <w:marTop w:val="0"/>
          <w:marBottom w:val="0"/>
          <w:divBdr>
            <w:top w:val="none" w:sz="0" w:space="0" w:color="auto"/>
            <w:left w:val="none" w:sz="0" w:space="0" w:color="auto"/>
            <w:bottom w:val="none" w:sz="0" w:space="0" w:color="auto"/>
            <w:right w:val="none" w:sz="0" w:space="0" w:color="auto"/>
          </w:divBdr>
          <w:divsChild>
            <w:div w:id="446774765">
              <w:marLeft w:val="0"/>
              <w:marRight w:val="0"/>
              <w:marTop w:val="0"/>
              <w:marBottom w:val="0"/>
              <w:divBdr>
                <w:top w:val="none" w:sz="0" w:space="0" w:color="auto"/>
                <w:left w:val="none" w:sz="0" w:space="0" w:color="auto"/>
                <w:bottom w:val="none" w:sz="0" w:space="0" w:color="auto"/>
                <w:right w:val="none" w:sz="0" w:space="0" w:color="auto"/>
              </w:divBdr>
              <w:divsChild>
                <w:div w:id="21034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2579">
      <w:bodyDiv w:val="1"/>
      <w:marLeft w:val="0"/>
      <w:marRight w:val="0"/>
      <w:marTop w:val="0"/>
      <w:marBottom w:val="0"/>
      <w:divBdr>
        <w:top w:val="none" w:sz="0" w:space="0" w:color="auto"/>
        <w:left w:val="none" w:sz="0" w:space="0" w:color="auto"/>
        <w:bottom w:val="none" w:sz="0" w:space="0" w:color="auto"/>
        <w:right w:val="none" w:sz="0" w:space="0" w:color="auto"/>
      </w:divBdr>
      <w:divsChild>
        <w:div w:id="1849251449">
          <w:marLeft w:val="0"/>
          <w:marRight w:val="0"/>
          <w:marTop w:val="0"/>
          <w:marBottom w:val="0"/>
          <w:divBdr>
            <w:top w:val="none" w:sz="0" w:space="0" w:color="auto"/>
            <w:left w:val="none" w:sz="0" w:space="0" w:color="auto"/>
            <w:bottom w:val="none" w:sz="0" w:space="0" w:color="auto"/>
            <w:right w:val="none" w:sz="0" w:space="0" w:color="auto"/>
          </w:divBdr>
          <w:divsChild>
            <w:div w:id="1748065242">
              <w:marLeft w:val="0"/>
              <w:marRight w:val="0"/>
              <w:marTop w:val="0"/>
              <w:marBottom w:val="0"/>
              <w:divBdr>
                <w:top w:val="none" w:sz="0" w:space="0" w:color="auto"/>
                <w:left w:val="none" w:sz="0" w:space="0" w:color="auto"/>
                <w:bottom w:val="none" w:sz="0" w:space="0" w:color="auto"/>
                <w:right w:val="none" w:sz="0" w:space="0" w:color="auto"/>
              </w:divBdr>
              <w:divsChild>
                <w:div w:id="11538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9356">
      <w:bodyDiv w:val="1"/>
      <w:marLeft w:val="0"/>
      <w:marRight w:val="0"/>
      <w:marTop w:val="0"/>
      <w:marBottom w:val="0"/>
      <w:divBdr>
        <w:top w:val="none" w:sz="0" w:space="0" w:color="auto"/>
        <w:left w:val="none" w:sz="0" w:space="0" w:color="auto"/>
        <w:bottom w:val="none" w:sz="0" w:space="0" w:color="auto"/>
        <w:right w:val="none" w:sz="0" w:space="0" w:color="auto"/>
      </w:divBdr>
      <w:divsChild>
        <w:div w:id="1585912113">
          <w:marLeft w:val="0"/>
          <w:marRight w:val="0"/>
          <w:marTop w:val="0"/>
          <w:marBottom w:val="0"/>
          <w:divBdr>
            <w:top w:val="none" w:sz="0" w:space="0" w:color="auto"/>
            <w:left w:val="none" w:sz="0" w:space="0" w:color="auto"/>
            <w:bottom w:val="none" w:sz="0" w:space="0" w:color="auto"/>
            <w:right w:val="none" w:sz="0" w:space="0" w:color="auto"/>
          </w:divBdr>
          <w:divsChild>
            <w:div w:id="1807505630">
              <w:marLeft w:val="0"/>
              <w:marRight w:val="0"/>
              <w:marTop w:val="0"/>
              <w:marBottom w:val="0"/>
              <w:divBdr>
                <w:top w:val="none" w:sz="0" w:space="0" w:color="auto"/>
                <w:left w:val="none" w:sz="0" w:space="0" w:color="auto"/>
                <w:bottom w:val="none" w:sz="0" w:space="0" w:color="auto"/>
                <w:right w:val="none" w:sz="0" w:space="0" w:color="auto"/>
              </w:divBdr>
              <w:divsChild>
                <w:div w:id="1601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4296">
      <w:bodyDiv w:val="1"/>
      <w:marLeft w:val="0"/>
      <w:marRight w:val="0"/>
      <w:marTop w:val="0"/>
      <w:marBottom w:val="0"/>
      <w:divBdr>
        <w:top w:val="none" w:sz="0" w:space="0" w:color="auto"/>
        <w:left w:val="none" w:sz="0" w:space="0" w:color="auto"/>
        <w:bottom w:val="none" w:sz="0" w:space="0" w:color="auto"/>
        <w:right w:val="none" w:sz="0" w:space="0" w:color="auto"/>
      </w:divBdr>
      <w:divsChild>
        <w:div w:id="1610120794">
          <w:marLeft w:val="0"/>
          <w:marRight w:val="0"/>
          <w:marTop w:val="0"/>
          <w:marBottom w:val="0"/>
          <w:divBdr>
            <w:top w:val="none" w:sz="0" w:space="0" w:color="auto"/>
            <w:left w:val="none" w:sz="0" w:space="0" w:color="auto"/>
            <w:bottom w:val="none" w:sz="0" w:space="0" w:color="auto"/>
            <w:right w:val="none" w:sz="0" w:space="0" w:color="auto"/>
          </w:divBdr>
          <w:divsChild>
            <w:div w:id="398216220">
              <w:marLeft w:val="0"/>
              <w:marRight w:val="0"/>
              <w:marTop w:val="0"/>
              <w:marBottom w:val="0"/>
              <w:divBdr>
                <w:top w:val="none" w:sz="0" w:space="0" w:color="auto"/>
                <w:left w:val="none" w:sz="0" w:space="0" w:color="auto"/>
                <w:bottom w:val="none" w:sz="0" w:space="0" w:color="auto"/>
                <w:right w:val="none" w:sz="0" w:space="0" w:color="auto"/>
              </w:divBdr>
              <w:divsChild>
                <w:div w:id="3958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2397">
      <w:bodyDiv w:val="1"/>
      <w:marLeft w:val="0"/>
      <w:marRight w:val="0"/>
      <w:marTop w:val="0"/>
      <w:marBottom w:val="0"/>
      <w:divBdr>
        <w:top w:val="none" w:sz="0" w:space="0" w:color="auto"/>
        <w:left w:val="none" w:sz="0" w:space="0" w:color="auto"/>
        <w:bottom w:val="none" w:sz="0" w:space="0" w:color="auto"/>
        <w:right w:val="none" w:sz="0" w:space="0" w:color="auto"/>
      </w:divBdr>
      <w:divsChild>
        <w:div w:id="862475323">
          <w:marLeft w:val="0"/>
          <w:marRight w:val="0"/>
          <w:marTop w:val="0"/>
          <w:marBottom w:val="0"/>
          <w:divBdr>
            <w:top w:val="none" w:sz="0" w:space="0" w:color="auto"/>
            <w:left w:val="none" w:sz="0" w:space="0" w:color="auto"/>
            <w:bottom w:val="none" w:sz="0" w:space="0" w:color="auto"/>
            <w:right w:val="none" w:sz="0" w:space="0" w:color="auto"/>
          </w:divBdr>
          <w:divsChild>
            <w:div w:id="303588677">
              <w:marLeft w:val="0"/>
              <w:marRight w:val="0"/>
              <w:marTop w:val="0"/>
              <w:marBottom w:val="0"/>
              <w:divBdr>
                <w:top w:val="none" w:sz="0" w:space="0" w:color="auto"/>
                <w:left w:val="none" w:sz="0" w:space="0" w:color="auto"/>
                <w:bottom w:val="none" w:sz="0" w:space="0" w:color="auto"/>
                <w:right w:val="none" w:sz="0" w:space="0" w:color="auto"/>
              </w:divBdr>
              <w:divsChild>
                <w:div w:id="4036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4887-4FCD-7147-BD9A-7F5973F2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11046</Words>
  <Characters>59654</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GC</cp:lastModifiedBy>
  <cp:revision>26</cp:revision>
  <cp:lastPrinted>2016-05-23T14:36:00Z</cp:lastPrinted>
  <dcterms:created xsi:type="dcterms:W3CDTF">2021-11-05T10:03:00Z</dcterms:created>
  <dcterms:modified xsi:type="dcterms:W3CDTF">2021-11-05T12:53:00Z</dcterms:modified>
</cp:coreProperties>
</file>