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de-DE"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111BB920"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637056">
        <w:rPr>
          <w:rFonts w:ascii="Arial" w:hAnsi="Arial" w:cs="Arial"/>
          <w:b/>
          <w:color w:val="000000" w:themeColor="text1"/>
          <w:sz w:val="28"/>
          <w:szCs w:val="28"/>
          <w:lang w:val="en-GB"/>
        </w:rPr>
        <w:t xml:space="preserve">RESIT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6EDBBB1E"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 xml:space="preserve">summative (formal) </w:t>
      </w:r>
      <w:r w:rsidR="00637056">
        <w:rPr>
          <w:rFonts w:ascii="Arial" w:hAnsi="Arial" w:cs="Arial"/>
          <w:b/>
          <w:color w:val="767171" w:themeColor="background2" w:themeShade="80"/>
          <w:sz w:val="22"/>
          <w:szCs w:val="22"/>
          <w:lang w:val="en-GB"/>
        </w:rPr>
        <w:t xml:space="preserve">resit </w:t>
      </w:r>
      <w:r w:rsidRPr="007A3213">
        <w:rPr>
          <w:rFonts w:ascii="Arial" w:hAnsi="Arial" w:cs="Arial"/>
          <w:b/>
          <w:color w:val="767171" w:themeColor="background2" w:themeShade="80"/>
          <w:sz w:val="22"/>
          <w:szCs w:val="22"/>
          <w:lang w:val="en-GB"/>
        </w:rPr>
        <w:t>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00637056">
        <w:rPr>
          <w:rFonts w:ascii="Arial" w:hAnsi="Arial" w:cs="Arial"/>
          <w:bCs/>
          <w:color w:val="767171" w:themeColor="background2" w:themeShade="80"/>
          <w:sz w:val="22"/>
          <w:szCs w:val="22"/>
          <w:lang w:val="en-GB"/>
        </w:rPr>
        <w:t xml:space="preserve">of this course </w:t>
      </w:r>
      <w:r w:rsidR="00637056" w:rsidRPr="00DB56F2">
        <w:rPr>
          <w:rFonts w:ascii="Arial" w:hAnsi="Arial" w:cs="Arial"/>
          <w:bCs/>
          <w:color w:val="767171" w:themeColor="background2" w:themeShade="80"/>
          <w:sz w:val="22"/>
          <w:szCs w:val="22"/>
          <w:lang w:val="en-GB"/>
        </w:rPr>
        <w:t xml:space="preserve">and </w:t>
      </w:r>
      <w:r w:rsidR="00637056">
        <w:rPr>
          <w:rFonts w:ascii="Arial" w:hAnsi="Arial" w:cs="Arial"/>
          <w:bCs/>
          <w:color w:val="767171" w:themeColor="background2" w:themeShade="80"/>
          <w:sz w:val="22"/>
          <w:szCs w:val="22"/>
          <w:lang w:val="en-GB"/>
        </w:rPr>
        <w:t>must be submitted by all candidates</w:t>
      </w:r>
      <w:r w:rsidR="00637056" w:rsidRPr="00DB56F2">
        <w:rPr>
          <w:rFonts w:ascii="Arial" w:hAnsi="Arial" w:cs="Arial"/>
          <w:bCs/>
          <w:color w:val="767171" w:themeColor="background2" w:themeShade="80"/>
          <w:sz w:val="22"/>
          <w:szCs w:val="22"/>
          <w:lang w:val="en-GB"/>
        </w:rPr>
        <w:t xml:space="preserve"> </w:t>
      </w:r>
      <w:r w:rsidR="00637056">
        <w:rPr>
          <w:rFonts w:ascii="Arial" w:hAnsi="Arial" w:cs="Arial"/>
          <w:bCs/>
          <w:color w:val="767171" w:themeColor="background2" w:themeShade="80"/>
          <w:sz w:val="22"/>
          <w:szCs w:val="22"/>
          <w:lang w:val="en-GB"/>
        </w:rPr>
        <w:t xml:space="preserve">who </w:t>
      </w:r>
      <w:r w:rsidR="00637056">
        <w:rPr>
          <w:rFonts w:ascii="Arial" w:hAnsi="Arial" w:cs="Arial"/>
          <w:b/>
          <w:color w:val="767171" w:themeColor="background2" w:themeShade="80"/>
          <w:sz w:val="22"/>
          <w:szCs w:val="22"/>
          <w:lang w:val="en-GB"/>
        </w:rPr>
        <w:t>have qualified for a resit assessment for Module 6B</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082A7D28"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00637056" w:rsidRPr="001E23FD">
        <w:rPr>
          <w:rFonts w:ascii="Arial" w:hAnsi="Arial" w:cs="Arial"/>
          <w:sz w:val="22"/>
          <w:szCs w:val="22"/>
          <w:lang w:val="en-GB"/>
        </w:rPr>
        <w:t xml:space="preserve">The final submission date for this assessment is </w:t>
      </w:r>
      <w:r w:rsidR="00637056">
        <w:rPr>
          <w:rFonts w:ascii="Arial" w:hAnsi="Arial" w:cs="Arial"/>
          <w:b/>
          <w:bCs/>
          <w:sz w:val="22"/>
          <w:szCs w:val="22"/>
          <w:lang w:val="en-GB"/>
        </w:rPr>
        <w:t>27</w:t>
      </w:r>
      <w:r w:rsidR="00637056" w:rsidRPr="001E23FD">
        <w:rPr>
          <w:rFonts w:ascii="Arial" w:hAnsi="Arial" w:cs="Arial"/>
          <w:b/>
          <w:bCs/>
          <w:sz w:val="22"/>
          <w:szCs w:val="22"/>
          <w:lang w:val="en-GB"/>
        </w:rPr>
        <w:t xml:space="preserve"> </w:t>
      </w:r>
      <w:r w:rsidR="00637056">
        <w:rPr>
          <w:rFonts w:ascii="Arial" w:hAnsi="Arial" w:cs="Arial"/>
          <w:b/>
          <w:bCs/>
          <w:sz w:val="22"/>
          <w:szCs w:val="22"/>
          <w:lang w:val="en-GB"/>
        </w:rPr>
        <w:t xml:space="preserve">September </w:t>
      </w:r>
      <w:r w:rsidR="00637056" w:rsidRPr="001E23FD">
        <w:rPr>
          <w:rFonts w:ascii="Arial" w:hAnsi="Arial" w:cs="Arial"/>
          <w:b/>
          <w:bCs/>
          <w:sz w:val="22"/>
          <w:szCs w:val="22"/>
          <w:lang w:val="en-GB"/>
        </w:rPr>
        <w:t>202</w:t>
      </w:r>
      <w:r w:rsidR="00637056">
        <w:rPr>
          <w:rFonts w:ascii="Arial" w:hAnsi="Arial" w:cs="Arial"/>
          <w:b/>
          <w:bCs/>
          <w:sz w:val="22"/>
          <w:szCs w:val="22"/>
          <w:lang w:val="en-GB"/>
        </w:rPr>
        <w:t>1</w:t>
      </w:r>
      <w:r w:rsidR="00637056" w:rsidRPr="001E23FD">
        <w:rPr>
          <w:rFonts w:ascii="Arial" w:hAnsi="Arial" w:cs="Arial"/>
          <w:sz w:val="22"/>
          <w:szCs w:val="22"/>
          <w:lang w:val="en-GB"/>
        </w:rPr>
        <w:t xml:space="preserve">. </w:t>
      </w:r>
      <w:r w:rsidR="00637056">
        <w:rPr>
          <w:rFonts w:ascii="Arial" w:hAnsi="Arial" w:cs="Arial"/>
          <w:sz w:val="22"/>
          <w:szCs w:val="22"/>
          <w:lang w:val="en-GB"/>
        </w:rPr>
        <w:t xml:space="preserve">This assessment must be submitted to </w:t>
      </w:r>
      <w:hyperlink r:id="rId12" w:history="1">
        <w:r w:rsidR="00637056" w:rsidRPr="002A5338">
          <w:rPr>
            <w:rStyle w:val="Hyperlink"/>
            <w:rFonts w:ascii="Arial" w:hAnsi="Arial" w:cs="Arial"/>
            <w:sz w:val="22"/>
            <w:szCs w:val="22"/>
            <w:lang w:val="en-GB"/>
          </w:rPr>
          <w:t>David.Burdette@insol.org</w:t>
        </w:r>
      </w:hyperlink>
      <w:r w:rsidR="00637056">
        <w:rPr>
          <w:rFonts w:ascii="Arial" w:hAnsi="Arial" w:cs="Arial"/>
          <w:sz w:val="22"/>
          <w:szCs w:val="22"/>
          <w:lang w:val="en-GB"/>
        </w:rPr>
        <w:t xml:space="preserve"> via e-mail no later than 23:00 (11 pm) on </w:t>
      </w:r>
      <w:r w:rsidR="00637056" w:rsidRPr="007D31C0">
        <w:rPr>
          <w:rFonts w:ascii="Arial" w:hAnsi="Arial" w:cs="Arial"/>
          <w:b/>
          <w:bCs/>
          <w:sz w:val="22"/>
          <w:szCs w:val="22"/>
          <w:lang w:val="en-GB"/>
        </w:rPr>
        <w:t>Monday 27 September 2021</w:t>
      </w:r>
      <w:r w:rsidR="00637056" w:rsidRPr="001E23FD">
        <w:rPr>
          <w:rFonts w:ascii="Arial" w:hAnsi="Arial" w:cs="Arial"/>
          <w:sz w:val="22"/>
          <w:szCs w:val="22"/>
          <w:lang w:val="en-GB"/>
        </w:rPr>
        <w:t>.</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487EBE" w:rsidRDefault="00193129" w:rsidP="00545969">
      <w:pPr>
        <w:pStyle w:val="ListParagraph"/>
        <w:numPr>
          <w:ilvl w:val="0"/>
          <w:numId w:val="11"/>
        </w:numPr>
        <w:ind w:left="426"/>
        <w:rPr>
          <w:rFonts w:ascii="Arial" w:hAnsi="Arial" w:cs="Arial"/>
          <w:sz w:val="22"/>
          <w:szCs w:val="22"/>
          <w:highlight w:val="yellow"/>
          <w:lang w:val="en-GB"/>
        </w:rPr>
      </w:pPr>
      <w:r w:rsidRPr="00487EBE">
        <w:rPr>
          <w:rFonts w:ascii="Arial" w:hAnsi="Arial" w:cs="Arial"/>
          <w:sz w:val="22"/>
          <w:szCs w:val="22"/>
          <w:highlight w:val="yellow"/>
          <w:lang w:val="en-GB"/>
        </w:rPr>
        <w:t>The court</w:t>
      </w:r>
      <w:r w:rsidR="00B77BF0" w:rsidRPr="00487EBE">
        <w:rPr>
          <w:rFonts w:ascii="Arial" w:hAnsi="Arial" w:cs="Arial"/>
          <w:sz w:val="22"/>
          <w:szCs w:val="22"/>
          <w:highlight w:val="yellow"/>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ListParagraph"/>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D40287">
        <w:rPr>
          <w:rFonts w:ascii="Arial" w:hAnsi="Arial" w:cs="Arial"/>
          <w:b/>
          <w:bCs/>
          <w:sz w:val="22"/>
          <w:szCs w:val="22"/>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3B66EF" w:rsidRDefault="00193129" w:rsidP="00545969">
      <w:pPr>
        <w:pStyle w:val="ListParagraph"/>
        <w:numPr>
          <w:ilvl w:val="0"/>
          <w:numId w:val="13"/>
        </w:numPr>
        <w:ind w:left="426"/>
        <w:rPr>
          <w:rFonts w:ascii="Arial" w:hAnsi="Arial" w:cs="Arial"/>
          <w:sz w:val="22"/>
          <w:szCs w:val="22"/>
          <w:highlight w:val="yellow"/>
          <w:lang w:val="en-GB"/>
        </w:rPr>
      </w:pPr>
      <w:r w:rsidRPr="003B66EF">
        <w:rPr>
          <w:rFonts w:ascii="Arial" w:hAnsi="Arial" w:cs="Arial"/>
          <w:sz w:val="22"/>
          <w:szCs w:val="22"/>
          <w:highlight w:val="yellow"/>
          <w:lang w:val="en-GB"/>
        </w:rPr>
        <w:t>Mortgage (</w:t>
      </w:r>
      <w:r w:rsidR="00976666" w:rsidRPr="003B66EF">
        <w:rPr>
          <w:rFonts w:ascii="Arial" w:hAnsi="Arial" w:cs="Arial"/>
          <w:i/>
          <w:sz w:val="22"/>
          <w:szCs w:val="22"/>
          <w:highlight w:val="yellow"/>
          <w:lang w:val="en-GB"/>
        </w:rPr>
        <w:t>Grundschuld</w:t>
      </w:r>
      <w:r w:rsidRPr="003B66EF">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5078F">
        <w:rPr>
          <w:rFonts w:ascii="Arial" w:hAnsi="Arial" w:cs="Arial"/>
          <w:b/>
          <w:bCs/>
          <w:sz w:val="22"/>
          <w:szCs w:val="22"/>
          <w:lang w:val="en-GB"/>
        </w:rPr>
        <w:t>cann</w:t>
      </w:r>
      <w:r w:rsidRPr="0037467B">
        <w:rPr>
          <w:rFonts w:ascii="Arial" w:hAnsi="Arial" w:cs="Arial"/>
          <w:b/>
          <w:sz w:val="22"/>
          <w:szCs w:val="22"/>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043EF9" w:rsidRDefault="006B42ED" w:rsidP="00043EF9">
      <w:pPr>
        <w:pStyle w:val="ListParagraph"/>
        <w:numPr>
          <w:ilvl w:val="0"/>
          <w:numId w:val="15"/>
        </w:numPr>
        <w:ind w:left="426"/>
        <w:rPr>
          <w:rFonts w:ascii="Arial" w:hAnsi="Arial" w:cs="Arial"/>
          <w:i/>
          <w:sz w:val="22"/>
          <w:szCs w:val="22"/>
          <w:lang w:val="en-GB"/>
        </w:rPr>
      </w:pPr>
      <w:r w:rsidRPr="00043EF9">
        <w:rPr>
          <w:rFonts w:ascii="Arial" w:hAnsi="Arial" w:cs="Arial"/>
          <w:sz w:val="22"/>
          <w:szCs w:val="22"/>
          <w:highlight w:val="yellow"/>
          <w:lang w:val="en-GB"/>
        </w:rPr>
        <w:t>Verification of creditors’ claims filed with the insolvency administrator</w:t>
      </w:r>
      <w:r w:rsidRPr="00043EF9">
        <w:rPr>
          <w:rFonts w:ascii="Arial" w:hAnsi="Arial" w:cs="Arial"/>
          <w:sz w:val="22"/>
          <w:szCs w:val="22"/>
          <w:lang w:val="en-GB"/>
        </w:rPr>
        <w:t>.</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ListParagraph"/>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how long </w:t>
      </w:r>
      <w:r w:rsidR="00D9383B">
        <w:rPr>
          <w:rFonts w:ascii="Arial" w:hAnsi="Arial" w:cs="Arial"/>
          <w:sz w:val="22"/>
          <w:szCs w:val="22"/>
          <w:lang w:val="en-GB"/>
        </w:rPr>
        <w:t xml:space="preserve">is the time period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6B2BE8" w:rsidRDefault="00D9383B" w:rsidP="00BF0162">
      <w:pPr>
        <w:pStyle w:val="ListParagraph"/>
        <w:numPr>
          <w:ilvl w:val="0"/>
          <w:numId w:val="17"/>
        </w:numPr>
        <w:ind w:left="426"/>
        <w:rPr>
          <w:rFonts w:ascii="Arial" w:hAnsi="Arial" w:cs="Arial"/>
          <w:sz w:val="22"/>
          <w:szCs w:val="22"/>
          <w:highlight w:val="yellow"/>
          <w:lang w:val="en-GB"/>
        </w:rPr>
      </w:pPr>
      <w:r w:rsidRPr="006B2BE8">
        <w:rPr>
          <w:rFonts w:ascii="Arial" w:hAnsi="Arial" w:cs="Arial"/>
          <w:sz w:val="22"/>
          <w:szCs w:val="22"/>
          <w:highlight w:val="yellow"/>
          <w:lang w:val="en-GB"/>
        </w:rPr>
        <w:t>Six weeks</w:t>
      </w:r>
      <w:r w:rsidR="007D7536" w:rsidRPr="006B2BE8">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170936" w:rsidRDefault="0025078F" w:rsidP="00BF0162">
      <w:pPr>
        <w:pStyle w:val="ListParagraph"/>
        <w:numPr>
          <w:ilvl w:val="0"/>
          <w:numId w:val="19"/>
        </w:numPr>
        <w:ind w:left="426"/>
        <w:rPr>
          <w:rFonts w:ascii="Arial" w:hAnsi="Arial" w:cs="Arial"/>
          <w:sz w:val="22"/>
          <w:szCs w:val="22"/>
          <w:highlight w:val="yellow"/>
        </w:rPr>
      </w:pPr>
      <w:r w:rsidRPr="00170936">
        <w:rPr>
          <w:rFonts w:ascii="Arial" w:hAnsi="Arial" w:cs="Arial"/>
          <w:sz w:val="22"/>
          <w:szCs w:val="22"/>
          <w:highlight w:val="yellow"/>
        </w:rPr>
        <w:t>r</w:t>
      </w:r>
      <w:r w:rsidR="003939F8" w:rsidRPr="00170936">
        <w:rPr>
          <w:rFonts w:ascii="Arial" w:hAnsi="Arial" w:cs="Arial"/>
          <w:sz w:val="22"/>
          <w:szCs w:val="22"/>
          <w:highlight w:val="yellow"/>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Pr>
          <w:rFonts w:ascii="Arial" w:hAnsi="Arial" w:cs="Arial"/>
          <w:sz w:val="22"/>
          <w:szCs w:val="22"/>
          <w:lang w:val="en-GB"/>
        </w:rPr>
        <w:t xml:space="preserve">majority </w:t>
      </w:r>
      <w:r w:rsidR="0025078F">
        <w:rPr>
          <w:rFonts w:ascii="Arial" w:hAnsi="Arial" w:cs="Arial"/>
          <w:sz w:val="22"/>
          <w:szCs w:val="22"/>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3F6DA2" w:rsidRDefault="00D9383B" w:rsidP="00BF0162">
      <w:pPr>
        <w:pStyle w:val="ListParagraph"/>
        <w:numPr>
          <w:ilvl w:val="0"/>
          <w:numId w:val="24"/>
        </w:numPr>
        <w:ind w:left="426"/>
        <w:rPr>
          <w:rFonts w:ascii="Arial" w:hAnsi="Arial" w:cs="Arial"/>
          <w:sz w:val="22"/>
          <w:szCs w:val="22"/>
          <w:lang w:val="en-GB"/>
        </w:rPr>
      </w:pPr>
      <w:r w:rsidRPr="003F6DA2">
        <w:rPr>
          <w:rFonts w:ascii="Arial" w:hAnsi="Arial" w:cs="Arial"/>
          <w:sz w:val="22"/>
          <w:szCs w:val="22"/>
          <w:lang w:val="en-GB"/>
        </w:rPr>
        <w:t>75% in sum regarding the claims of all affected creditors</w:t>
      </w:r>
      <w:r w:rsidR="00E676A0" w:rsidRPr="003F6DA2">
        <w:rPr>
          <w:rFonts w:ascii="Arial" w:hAnsi="Arial" w:cs="Arial"/>
          <w:sz w:val="22"/>
          <w:szCs w:val="22"/>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2C75B5" w:rsidRDefault="00D9383B" w:rsidP="00BF0162">
      <w:pPr>
        <w:pStyle w:val="ListParagraph"/>
        <w:numPr>
          <w:ilvl w:val="0"/>
          <w:numId w:val="24"/>
        </w:numPr>
        <w:ind w:left="426"/>
        <w:rPr>
          <w:rFonts w:ascii="Arial" w:hAnsi="Arial" w:cs="Arial"/>
          <w:sz w:val="22"/>
          <w:szCs w:val="22"/>
          <w:highlight w:val="yellow"/>
          <w:lang w:val="en-GB"/>
        </w:rPr>
      </w:pPr>
      <w:r w:rsidRPr="002C75B5">
        <w:rPr>
          <w:rFonts w:ascii="Arial" w:hAnsi="Arial" w:cs="Arial"/>
          <w:sz w:val="22"/>
          <w:szCs w:val="22"/>
          <w:highlight w:val="yellow"/>
          <w:lang w:val="en-GB"/>
        </w:rPr>
        <w:t xml:space="preserve">Simple majority in sum regarding the claims of creditors present and voting and </w:t>
      </w:r>
      <w:r w:rsidR="0037467B" w:rsidRPr="002C75B5">
        <w:rPr>
          <w:rFonts w:ascii="Arial" w:hAnsi="Arial" w:cs="Arial"/>
          <w:sz w:val="22"/>
          <w:szCs w:val="22"/>
          <w:highlight w:val="yellow"/>
          <w:lang w:val="en-GB"/>
        </w:rPr>
        <w:t>simple</w:t>
      </w:r>
      <w:r w:rsidRPr="002C75B5">
        <w:rPr>
          <w:rFonts w:ascii="Arial" w:hAnsi="Arial" w:cs="Arial"/>
          <w:sz w:val="22"/>
          <w:szCs w:val="22"/>
          <w:highlight w:val="yellow"/>
          <w:lang w:val="en-GB"/>
        </w:rPr>
        <w:t xml:space="preserve"> majority of creditors (head count)</w:t>
      </w:r>
      <w:r w:rsidR="00E676A0" w:rsidRPr="002C75B5">
        <w:rPr>
          <w:rFonts w:ascii="Arial" w:hAnsi="Arial" w:cs="Arial"/>
          <w:sz w:val="22"/>
          <w:szCs w:val="22"/>
          <w:highlight w:val="yellow"/>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Pr>
          <w:rFonts w:ascii="Arial" w:hAnsi="Arial" w:cs="Arial"/>
          <w:sz w:val="22"/>
          <w:szCs w:val="22"/>
          <w:lang w:val="en-GB"/>
        </w:rPr>
        <w:t>Which court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637FF2" w:rsidRDefault="00976666" w:rsidP="00D4592B">
      <w:pPr>
        <w:pStyle w:val="ListParagraph"/>
        <w:numPr>
          <w:ilvl w:val="0"/>
          <w:numId w:val="25"/>
        </w:numPr>
        <w:ind w:left="426"/>
        <w:rPr>
          <w:rFonts w:ascii="Arial" w:hAnsi="Arial" w:cs="Arial"/>
          <w:sz w:val="22"/>
          <w:szCs w:val="22"/>
          <w:highlight w:val="yellow"/>
          <w:lang w:val="en-GB"/>
        </w:rPr>
      </w:pPr>
      <w:r w:rsidRPr="00637FF2">
        <w:rPr>
          <w:rFonts w:ascii="Arial" w:hAnsi="Arial" w:cs="Arial"/>
          <w:i/>
          <w:sz w:val="22"/>
          <w:szCs w:val="22"/>
          <w:highlight w:val="yellow"/>
          <w:lang w:val="en-GB"/>
        </w:rPr>
        <w:t>Amtsgericht</w:t>
      </w:r>
      <w:r w:rsidR="00E676A0" w:rsidRPr="00637FF2">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49E982A2" w:rsidR="00E86A87" w:rsidRPr="00637FF2" w:rsidRDefault="00976666" w:rsidP="00D4592B">
      <w:pPr>
        <w:pStyle w:val="ListParagraph"/>
        <w:numPr>
          <w:ilvl w:val="0"/>
          <w:numId w:val="27"/>
        </w:numPr>
        <w:ind w:left="426"/>
        <w:rPr>
          <w:rFonts w:ascii="Arial" w:hAnsi="Arial" w:cs="Arial"/>
          <w:sz w:val="22"/>
          <w:szCs w:val="22"/>
          <w:highlight w:val="yellow"/>
          <w:lang w:val="en-GB"/>
        </w:rPr>
      </w:pPr>
      <w:r w:rsidRPr="00637FF2">
        <w:rPr>
          <w:rFonts w:ascii="Arial" w:hAnsi="Arial" w:cs="Arial"/>
          <w:sz w:val="22"/>
          <w:szCs w:val="22"/>
          <w:highlight w:val="yellow"/>
          <w:lang w:val="en-GB"/>
        </w:rPr>
        <w:t>Pledges</w:t>
      </w:r>
      <w:r w:rsidR="00E676A0" w:rsidRPr="00637FF2">
        <w:rPr>
          <w:rFonts w:ascii="Arial" w:hAnsi="Arial" w:cs="Arial"/>
          <w:sz w:val="22"/>
          <w:szCs w:val="22"/>
          <w:highlight w:val="yellow"/>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3F6DA2" w:rsidRDefault="00976666" w:rsidP="00D4592B">
      <w:pPr>
        <w:pStyle w:val="ListParagraph"/>
        <w:numPr>
          <w:ilvl w:val="0"/>
          <w:numId w:val="27"/>
        </w:numPr>
        <w:ind w:left="426"/>
        <w:rPr>
          <w:rFonts w:ascii="Arial" w:hAnsi="Arial" w:cs="Arial"/>
          <w:sz w:val="22"/>
          <w:szCs w:val="22"/>
          <w:lang w:val="en-GB"/>
        </w:rPr>
      </w:pPr>
      <w:r w:rsidRPr="003F6DA2">
        <w:rPr>
          <w:rFonts w:ascii="Arial" w:hAnsi="Arial" w:cs="Arial"/>
          <w:sz w:val="22"/>
          <w:szCs w:val="22"/>
          <w:lang w:val="en-GB"/>
        </w:rPr>
        <w:t>Landlords after termination of the tenancy agreement</w:t>
      </w:r>
      <w:r w:rsidR="00E676A0" w:rsidRPr="003F6DA2">
        <w:rPr>
          <w:rFonts w:ascii="Arial" w:hAnsi="Arial" w:cs="Arial"/>
          <w:sz w:val="22"/>
          <w:szCs w:val="22"/>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976666">
        <w:rPr>
          <w:rFonts w:ascii="Arial" w:hAnsi="Arial" w:cs="Arial"/>
          <w:sz w:val="22"/>
          <w:szCs w:val="22"/>
          <w:lang w:val="en-GB"/>
        </w:rPr>
        <w:t xml:space="preserve">How long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1D03EE" w:rsidRDefault="004A7773" w:rsidP="00D4592B">
      <w:pPr>
        <w:pStyle w:val="ListParagraph"/>
        <w:numPr>
          <w:ilvl w:val="0"/>
          <w:numId w:val="29"/>
        </w:numPr>
        <w:ind w:left="426"/>
        <w:rPr>
          <w:rFonts w:ascii="Arial" w:hAnsi="Arial" w:cs="Arial"/>
          <w:sz w:val="22"/>
          <w:szCs w:val="22"/>
          <w:highlight w:val="yellow"/>
          <w:lang w:val="en-GB"/>
        </w:rPr>
      </w:pPr>
      <w:r w:rsidRPr="001D03EE">
        <w:rPr>
          <w:rFonts w:ascii="Arial" w:hAnsi="Arial" w:cs="Arial"/>
          <w:sz w:val="22"/>
          <w:szCs w:val="22"/>
          <w:highlight w:val="yellow"/>
          <w:lang w:val="en-GB"/>
        </w:rPr>
        <w:t>Three years</w:t>
      </w:r>
      <w:r w:rsidR="005F75C3" w:rsidRPr="001D03EE">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3F6DA2" w:rsidRDefault="00976666" w:rsidP="00D4592B">
      <w:pPr>
        <w:pStyle w:val="ListParagraph"/>
        <w:numPr>
          <w:ilvl w:val="0"/>
          <w:numId w:val="31"/>
        </w:numPr>
        <w:ind w:left="426"/>
        <w:rPr>
          <w:rFonts w:ascii="Arial" w:hAnsi="Arial" w:cs="Arial"/>
          <w:sz w:val="22"/>
          <w:szCs w:val="22"/>
          <w:lang w:val="en-GB"/>
        </w:rPr>
      </w:pPr>
      <w:r w:rsidRPr="00200A68">
        <w:rPr>
          <w:rFonts w:ascii="Arial" w:hAnsi="Arial" w:cs="Arial"/>
          <w:sz w:val="22"/>
          <w:szCs w:val="22"/>
          <w:highlight w:val="yellow"/>
          <w:lang w:val="en-GB"/>
        </w:rPr>
        <w:t>Disadvantage for the general body of creditors</w:t>
      </w:r>
      <w:r w:rsidR="002B40FB" w:rsidRPr="003F6DA2">
        <w:rPr>
          <w:rFonts w:ascii="Arial" w:hAnsi="Arial" w:cs="Arial"/>
          <w:sz w:val="22"/>
          <w:szCs w:val="22"/>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370663CF" w14:textId="48B9DD65" w:rsidR="003F6DA2" w:rsidRDefault="0013555A"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Historically, the </w:t>
      </w:r>
      <w:r w:rsidR="00746DEF">
        <w:rPr>
          <w:rFonts w:ascii="Arial" w:hAnsi="Arial" w:cs="Arial"/>
          <w:color w:val="A6A6A6" w:themeColor="background1" w:themeShade="A6"/>
          <w:sz w:val="22"/>
          <w:szCs w:val="22"/>
          <w:lang w:val="en-GB"/>
        </w:rPr>
        <w:t>main purpose</w:t>
      </w:r>
      <w:r>
        <w:rPr>
          <w:rFonts w:ascii="Arial" w:hAnsi="Arial" w:cs="Arial"/>
          <w:color w:val="A6A6A6" w:themeColor="background1" w:themeShade="A6"/>
          <w:sz w:val="22"/>
          <w:szCs w:val="22"/>
          <w:lang w:val="en-GB"/>
        </w:rPr>
        <w:t xml:space="preserve"> of the </w:t>
      </w:r>
      <w:r w:rsidR="00043EF9">
        <w:rPr>
          <w:rFonts w:ascii="Arial" w:hAnsi="Arial" w:cs="Arial"/>
          <w:color w:val="A6A6A6" w:themeColor="background1" w:themeShade="A6"/>
          <w:sz w:val="22"/>
          <w:szCs w:val="22"/>
          <w:lang w:val="en-GB"/>
        </w:rPr>
        <w:t xml:space="preserve">insolvency </w:t>
      </w:r>
      <w:r>
        <w:rPr>
          <w:rFonts w:ascii="Arial" w:hAnsi="Arial" w:cs="Arial"/>
          <w:color w:val="A6A6A6" w:themeColor="background1" w:themeShade="A6"/>
          <w:sz w:val="22"/>
          <w:szCs w:val="22"/>
          <w:lang w:val="en-GB"/>
        </w:rPr>
        <w:t>proceedings provide</w:t>
      </w:r>
      <w:r w:rsidR="00043EF9">
        <w:rPr>
          <w:rFonts w:ascii="Arial" w:hAnsi="Arial" w:cs="Arial"/>
          <w:color w:val="A6A6A6" w:themeColor="background1" w:themeShade="A6"/>
          <w:sz w:val="22"/>
          <w:szCs w:val="22"/>
          <w:lang w:val="en-GB"/>
        </w:rPr>
        <w:t>d</w:t>
      </w:r>
      <w:r>
        <w:rPr>
          <w:rFonts w:ascii="Arial" w:hAnsi="Arial" w:cs="Arial"/>
          <w:color w:val="A6A6A6" w:themeColor="background1" w:themeShade="A6"/>
          <w:sz w:val="22"/>
          <w:szCs w:val="22"/>
          <w:lang w:val="en-GB"/>
        </w:rPr>
        <w:t xml:space="preserve"> by the insolvency code </w:t>
      </w:r>
      <w:r w:rsidR="00043EF9">
        <w:rPr>
          <w:rFonts w:ascii="Arial" w:hAnsi="Arial" w:cs="Arial"/>
          <w:color w:val="A6A6A6" w:themeColor="background1" w:themeShade="A6"/>
          <w:sz w:val="22"/>
          <w:szCs w:val="22"/>
          <w:lang w:val="en-GB"/>
        </w:rPr>
        <w:t>(</w:t>
      </w:r>
      <w:r>
        <w:rPr>
          <w:rFonts w:ascii="Arial" w:hAnsi="Arial" w:cs="Arial"/>
          <w:color w:val="A6A6A6" w:themeColor="background1" w:themeShade="A6"/>
          <w:sz w:val="22"/>
          <w:szCs w:val="22"/>
          <w:lang w:val="en-GB"/>
        </w:rPr>
        <w:t xml:space="preserve">and </w:t>
      </w:r>
      <w:r w:rsidR="00043EF9">
        <w:rPr>
          <w:rFonts w:ascii="Arial" w:hAnsi="Arial" w:cs="Arial"/>
          <w:color w:val="A6A6A6" w:themeColor="background1" w:themeShade="A6"/>
          <w:sz w:val="22"/>
          <w:szCs w:val="22"/>
          <w:lang w:val="en-GB"/>
        </w:rPr>
        <w:t xml:space="preserve">by </w:t>
      </w:r>
      <w:r>
        <w:rPr>
          <w:rFonts w:ascii="Arial" w:hAnsi="Arial" w:cs="Arial"/>
          <w:color w:val="A6A6A6" w:themeColor="background1" w:themeShade="A6"/>
          <w:sz w:val="22"/>
          <w:szCs w:val="22"/>
          <w:lang w:val="en-GB"/>
        </w:rPr>
        <w:t xml:space="preserve">the former </w:t>
      </w:r>
      <w:r w:rsidR="009722B6">
        <w:rPr>
          <w:rFonts w:ascii="Arial" w:hAnsi="Arial" w:cs="Arial"/>
          <w:color w:val="A6A6A6" w:themeColor="background1" w:themeShade="A6"/>
          <w:sz w:val="22"/>
          <w:szCs w:val="22"/>
          <w:lang w:val="en-GB"/>
        </w:rPr>
        <w:t>one</w:t>
      </w:r>
      <w:r w:rsidR="00043EF9">
        <w:rPr>
          <w:rFonts w:ascii="Arial" w:hAnsi="Arial" w:cs="Arial"/>
          <w:color w:val="A6A6A6" w:themeColor="background1" w:themeShade="A6"/>
          <w:sz w:val="22"/>
          <w:szCs w:val="22"/>
          <w:lang w:val="en-GB"/>
        </w:rPr>
        <w:t>)</w:t>
      </w:r>
      <w:r w:rsidR="009722B6">
        <w:rPr>
          <w:rFonts w:ascii="Arial" w:hAnsi="Arial" w:cs="Arial"/>
          <w:color w:val="A6A6A6" w:themeColor="background1" w:themeShade="A6"/>
          <w:sz w:val="22"/>
          <w:szCs w:val="22"/>
          <w:lang w:val="en-GB"/>
        </w:rPr>
        <w:t xml:space="preserve"> </w:t>
      </w:r>
      <w:r w:rsidR="006B18BF">
        <w:rPr>
          <w:rFonts w:ascii="Arial" w:hAnsi="Arial" w:cs="Arial"/>
          <w:color w:val="A6A6A6" w:themeColor="background1" w:themeShade="A6"/>
          <w:sz w:val="22"/>
          <w:szCs w:val="22"/>
          <w:lang w:val="en-GB"/>
        </w:rPr>
        <w:t>ha</w:t>
      </w:r>
      <w:r w:rsidR="00043EF9">
        <w:rPr>
          <w:rFonts w:ascii="Arial" w:hAnsi="Arial" w:cs="Arial"/>
          <w:color w:val="A6A6A6" w:themeColor="background1" w:themeShade="A6"/>
          <w:sz w:val="22"/>
          <w:szCs w:val="22"/>
          <w:lang w:val="en-GB"/>
        </w:rPr>
        <w:t>d</w:t>
      </w:r>
      <w:r w:rsidR="009722B6">
        <w:rPr>
          <w:rFonts w:ascii="Arial" w:hAnsi="Arial" w:cs="Arial"/>
          <w:color w:val="A6A6A6" w:themeColor="background1" w:themeShade="A6"/>
          <w:sz w:val="22"/>
          <w:szCs w:val="22"/>
          <w:lang w:val="en-GB"/>
        </w:rPr>
        <w:t xml:space="preserve"> been to embrace a collective proceeding</w:t>
      </w:r>
      <w:r w:rsidR="00043EF9">
        <w:rPr>
          <w:rFonts w:ascii="Arial" w:hAnsi="Arial" w:cs="Arial"/>
          <w:color w:val="A6A6A6" w:themeColor="background1" w:themeShade="A6"/>
          <w:sz w:val="22"/>
          <w:szCs w:val="22"/>
          <w:lang w:val="en-GB"/>
        </w:rPr>
        <w:t xml:space="preserve"> and, </w:t>
      </w:r>
      <w:r w:rsidR="009722B6">
        <w:rPr>
          <w:rFonts w:ascii="Arial" w:hAnsi="Arial" w:cs="Arial"/>
          <w:color w:val="A6A6A6" w:themeColor="background1" w:themeShade="A6"/>
          <w:sz w:val="22"/>
          <w:szCs w:val="22"/>
          <w:lang w:val="en-GB"/>
        </w:rPr>
        <w:t>in a non-discriminatory way</w:t>
      </w:r>
      <w:r w:rsidR="00043EF9">
        <w:rPr>
          <w:rFonts w:ascii="Arial" w:hAnsi="Arial" w:cs="Arial"/>
          <w:color w:val="A6A6A6" w:themeColor="background1" w:themeShade="A6"/>
          <w:sz w:val="22"/>
          <w:szCs w:val="22"/>
          <w:lang w:val="en-GB"/>
        </w:rPr>
        <w:t>,</w:t>
      </w:r>
      <w:r w:rsidR="009722B6">
        <w:rPr>
          <w:rFonts w:ascii="Arial" w:hAnsi="Arial" w:cs="Arial"/>
          <w:color w:val="A6A6A6" w:themeColor="background1" w:themeShade="A6"/>
          <w:sz w:val="22"/>
          <w:szCs w:val="22"/>
          <w:lang w:val="en-GB"/>
        </w:rPr>
        <w:t xml:space="preserve"> to grant creditors payments </w:t>
      </w:r>
      <w:r w:rsidR="00746DEF">
        <w:rPr>
          <w:rFonts w:ascii="Arial" w:hAnsi="Arial" w:cs="Arial"/>
          <w:color w:val="A6A6A6" w:themeColor="background1" w:themeShade="A6"/>
          <w:sz w:val="22"/>
          <w:szCs w:val="22"/>
          <w:lang w:val="en-GB"/>
        </w:rPr>
        <w:t>o</w:t>
      </w:r>
      <w:r w:rsidR="009722B6">
        <w:rPr>
          <w:rFonts w:ascii="Arial" w:hAnsi="Arial" w:cs="Arial"/>
          <w:color w:val="A6A6A6" w:themeColor="background1" w:themeShade="A6"/>
          <w:sz w:val="22"/>
          <w:szCs w:val="22"/>
          <w:lang w:val="en-GB"/>
        </w:rPr>
        <w:t>n a pro</w:t>
      </w:r>
      <w:r w:rsidR="00746DEF">
        <w:rPr>
          <w:rFonts w:ascii="Arial" w:hAnsi="Arial" w:cs="Arial"/>
          <w:color w:val="A6A6A6" w:themeColor="background1" w:themeShade="A6"/>
          <w:sz w:val="22"/>
          <w:szCs w:val="22"/>
          <w:lang w:val="en-GB"/>
        </w:rPr>
        <w:t>-</w:t>
      </w:r>
      <w:r w:rsidR="009722B6">
        <w:rPr>
          <w:rFonts w:ascii="Arial" w:hAnsi="Arial" w:cs="Arial"/>
          <w:color w:val="A6A6A6" w:themeColor="background1" w:themeShade="A6"/>
          <w:sz w:val="22"/>
          <w:szCs w:val="22"/>
          <w:lang w:val="en-GB"/>
        </w:rPr>
        <w:t xml:space="preserve">rata basis. </w:t>
      </w:r>
    </w:p>
    <w:p w14:paraId="23BE4903" w14:textId="77777777" w:rsidR="00043EF9" w:rsidRDefault="00043EF9" w:rsidP="00C34152">
      <w:pPr>
        <w:jc w:val="both"/>
        <w:rPr>
          <w:rFonts w:ascii="Arial" w:hAnsi="Arial" w:cs="Arial"/>
          <w:color w:val="A6A6A6" w:themeColor="background1" w:themeShade="A6"/>
          <w:sz w:val="22"/>
          <w:szCs w:val="22"/>
          <w:lang w:val="en-GB"/>
        </w:rPr>
      </w:pPr>
    </w:p>
    <w:p w14:paraId="55F95587" w14:textId="57D5E10C" w:rsidR="009722B6" w:rsidRDefault="00D70A30"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this sense</w:t>
      </w:r>
      <w:r w:rsidR="009722B6">
        <w:rPr>
          <w:rFonts w:ascii="Arial" w:hAnsi="Arial" w:cs="Arial"/>
          <w:color w:val="A6A6A6" w:themeColor="background1" w:themeShade="A6"/>
          <w:sz w:val="22"/>
          <w:szCs w:val="22"/>
          <w:lang w:val="en-GB"/>
        </w:rPr>
        <w:t xml:space="preserve">, </w:t>
      </w:r>
      <w:r w:rsidR="006B18BF">
        <w:rPr>
          <w:rFonts w:ascii="Arial" w:hAnsi="Arial" w:cs="Arial"/>
          <w:color w:val="A6A6A6" w:themeColor="background1" w:themeShade="A6"/>
          <w:sz w:val="22"/>
          <w:szCs w:val="22"/>
          <w:lang w:val="en-GB"/>
        </w:rPr>
        <w:t>to</w:t>
      </w:r>
      <w:r w:rsidR="009722B6">
        <w:rPr>
          <w:rFonts w:ascii="Arial" w:hAnsi="Arial" w:cs="Arial"/>
          <w:color w:val="A6A6A6" w:themeColor="background1" w:themeShade="A6"/>
          <w:sz w:val="22"/>
          <w:szCs w:val="22"/>
          <w:lang w:val="en-GB"/>
        </w:rPr>
        <w:t xml:space="preserve"> file for a </w:t>
      </w:r>
      <w:r w:rsidR="006B18BF">
        <w:rPr>
          <w:rFonts w:ascii="Arial" w:hAnsi="Arial" w:cs="Arial"/>
          <w:color w:val="A6A6A6" w:themeColor="background1" w:themeShade="A6"/>
          <w:sz w:val="22"/>
          <w:szCs w:val="22"/>
          <w:lang w:val="en-GB"/>
        </w:rPr>
        <w:t>bankruptcy</w:t>
      </w:r>
      <w:r w:rsidR="009722B6">
        <w:rPr>
          <w:rFonts w:ascii="Arial" w:hAnsi="Arial" w:cs="Arial"/>
          <w:color w:val="A6A6A6" w:themeColor="background1" w:themeShade="A6"/>
          <w:sz w:val="22"/>
          <w:szCs w:val="22"/>
          <w:lang w:val="en-GB"/>
        </w:rPr>
        <w:t xml:space="preserve"> proceeding under </w:t>
      </w:r>
      <w:r w:rsidR="006B18BF">
        <w:rPr>
          <w:rFonts w:ascii="Arial" w:hAnsi="Arial" w:cs="Arial"/>
          <w:color w:val="A6A6A6" w:themeColor="background1" w:themeShade="A6"/>
          <w:sz w:val="22"/>
          <w:szCs w:val="22"/>
          <w:lang w:val="en-GB"/>
        </w:rPr>
        <w:t>German</w:t>
      </w:r>
      <w:r w:rsidR="009722B6">
        <w:rPr>
          <w:rFonts w:ascii="Arial" w:hAnsi="Arial" w:cs="Arial"/>
          <w:color w:val="A6A6A6" w:themeColor="background1" w:themeShade="A6"/>
          <w:sz w:val="22"/>
          <w:szCs w:val="22"/>
          <w:lang w:val="en-GB"/>
        </w:rPr>
        <w:t xml:space="preserve"> Law, which should be </w:t>
      </w:r>
      <w:r w:rsidR="00043EF9">
        <w:rPr>
          <w:rFonts w:ascii="Arial" w:hAnsi="Arial" w:cs="Arial"/>
          <w:color w:val="A6A6A6" w:themeColor="background1" w:themeShade="A6"/>
          <w:sz w:val="22"/>
          <w:szCs w:val="22"/>
          <w:lang w:val="en-GB"/>
        </w:rPr>
        <w:t xml:space="preserve">done </w:t>
      </w:r>
      <w:r w:rsidR="00746DEF">
        <w:rPr>
          <w:rFonts w:ascii="Arial" w:hAnsi="Arial" w:cs="Arial"/>
          <w:color w:val="A6A6A6" w:themeColor="background1" w:themeShade="A6"/>
          <w:sz w:val="22"/>
          <w:szCs w:val="22"/>
          <w:lang w:val="en-GB"/>
        </w:rPr>
        <w:t xml:space="preserve">through </w:t>
      </w:r>
      <w:r w:rsidR="009722B6">
        <w:rPr>
          <w:rFonts w:ascii="Arial" w:hAnsi="Arial" w:cs="Arial"/>
          <w:color w:val="A6A6A6" w:themeColor="background1" w:themeShade="A6"/>
          <w:sz w:val="22"/>
          <w:szCs w:val="22"/>
          <w:lang w:val="en-GB"/>
        </w:rPr>
        <w:t xml:space="preserve">a written </w:t>
      </w:r>
      <w:r w:rsidR="00746DEF">
        <w:rPr>
          <w:rFonts w:ascii="Arial" w:hAnsi="Arial" w:cs="Arial"/>
          <w:color w:val="A6A6A6" w:themeColor="background1" w:themeShade="A6"/>
          <w:sz w:val="22"/>
          <w:szCs w:val="22"/>
          <w:lang w:val="en-GB"/>
        </w:rPr>
        <w:t>requirement</w:t>
      </w:r>
      <w:r w:rsidR="009722B6">
        <w:rPr>
          <w:rFonts w:ascii="Arial" w:hAnsi="Arial" w:cs="Arial"/>
          <w:color w:val="A6A6A6" w:themeColor="background1" w:themeShade="A6"/>
          <w:sz w:val="22"/>
          <w:szCs w:val="22"/>
          <w:lang w:val="en-GB"/>
        </w:rPr>
        <w:t xml:space="preserve">, the company </w:t>
      </w:r>
      <w:r w:rsidR="005A5A5B">
        <w:rPr>
          <w:rFonts w:ascii="Arial" w:hAnsi="Arial" w:cs="Arial"/>
          <w:color w:val="A6A6A6" w:themeColor="background1" w:themeShade="A6"/>
          <w:sz w:val="22"/>
          <w:szCs w:val="22"/>
          <w:lang w:val="en-GB"/>
        </w:rPr>
        <w:t>must</w:t>
      </w:r>
      <w:r w:rsidR="009722B6">
        <w:rPr>
          <w:rFonts w:ascii="Arial" w:hAnsi="Arial" w:cs="Arial"/>
          <w:color w:val="A6A6A6" w:themeColor="background1" w:themeShade="A6"/>
          <w:sz w:val="22"/>
          <w:szCs w:val="22"/>
          <w:lang w:val="en-GB"/>
        </w:rPr>
        <w:t xml:space="preserve"> </w:t>
      </w:r>
      <w:r w:rsidR="006B18BF">
        <w:rPr>
          <w:rFonts w:ascii="Arial" w:hAnsi="Arial" w:cs="Arial"/>
          <w:color w:val="A6A6A6" w:themeColor="background1" w:themeShade="A6"/>
          <w:sz w:val="22"/>
          <w:szCs w:val="22"/>
          <w:lang w:val="en-GB"/>
        </w:rPr>
        <w:t>be</w:t>
      </w:r>
      <w:r w:rsidR="009722B6">
        <w:rPr>
          <w:rFonts w:ascii="Arial" w:hAnsi="Arial" w:cs="Arial"/>
          <w:color w:val="A6A6A6" w:themeColor="background1" w:themeShade="A6"/>
          <w:sz w:val="22"/>
          <w:szCs w:val="22"/>
          <w:lang w:val="en-GB"/>
        </w:rPr>
        <w:t xml:space="preserve"> </w:t>
      </w:r>
      <w:r w:rsidR="00746DEF">
        <w:rPr>
          <w:rFonts w:ascii="Arial" w:hAnsi="Arial" w:cs="Arial"/>
          <w:color w:val="A6A6A6" w:themeColor="background1" w:themeShade="A6"/>
          <w:sz w:val="22"/>
          <w:szCs w:val="22"/>
          <w:lang w:val="en-GB"/>
        </w:rPr>
        <w:t>considered</w:t>
      </w:r>
      <w:r w:rsidR="00043EF9">
        <w:rPr>
          <w:rFonts w:ascii="Arial" w:hAnsi="Arial" w:cs="Arial"/>
          <w:color w:val="A6A6A6" w:themeColor="background1" w:themeShade="A6"/>
          <w:sz w:val="22"/>
          <w:szCs w:val="22"/>
          <w:lang w:val="en-GB"/>
        </w:rPr>
        <w:t xml:space="preserve"> </w:t>
      </w:r>
      <w:r w:rsidR="009722B6">
        <w:rPr>
          <w:rFonts w:ascii="Arial" w:hAnsi="Arial" w:cs="Arial"/>
          <w:color w:val="A6A6A6" w:themeColor="background1" w:themeShade="A6"/>
          <w:sz w:val="22"/>
          <w:szCs w:val="22"/>
          <w:lang w:val="en-GB"/>
        </w:rPr>
        <w:t>insolvent</w:t>
      </w:r>
      <w:r>
        <w:rPr>
          <w:rFonts w:ascii="Arial" w:hAnsi="Arial" w:cs="Arial"/>
          <w:color w:val="A6A6A6" w:themeColor="background1" w:themeShade="A6"/>
          <w:sz w:val="22"/>
          <w:szCs w:val="22"/>
          <w:lang w:val="en-GB"/>
        </w:rPr>
        <w:t xml:space="preserve">. Insolvency itself has a lot of different meanings and can be verified in different opportunities. </w:t>
      </w:r>
    </w:p>
    <w:p w14:paraId="780D819D" w14:textId="77777777" w:rsidR="00043EF9" w:rsidRDefault="00043EF9" w:rsidP="00C34152">
      <w:pPr>
        <w:jc w:val="both"/>
        <w:rPr>
          <w:rFonts w:ascii="Arial" w:hAnsi="Arial" w:cs="Arial"/>
          <w:color w:val="A6A6A6" w:themeColor="background1" w:themeShade="A6"/>
          <w:sz w:val="22"/>
          <w:szCs w:val="22"/>
          <w:lang w:val="en-GB"/>
        </w:rPr>
      </w:pPr>
    </w:p>
    <w:p w14:paraId="43644420" w14:textId="43276034" w:rsidR="003F6DA2" w:rsidRDefault="00043EF9"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w:t>
      </w:r>
      <w:r w:rsidR="0023102C">
        <w:rPr>
          <w:rFonts w:ascii="Arial" w:hAnsi="Arial" w:cs="Arial"/>
          <w:color w:val="A6A6A6" w:themeColor="background1" w:themeShade="A6"/>
          <w:sz w:val="22"/>
          <w:szCs w:val="22"/>
          <w:lang w:val="en-GB"/>
        </w:rPr>
        <w:t>he main grounds t</w:t>
      </w:r>
      <w:r>
        <w:rPr>
          <w:rFonts w:ascii="Arial" w:hAnsi="Arial" w:cs="Arial"/>
          <w:color w:val="A6A6A6" w:themeColor="background1" w:themeShade="A6"/>
          <w:sz w:val="22"/>
          <w:szCs w:val="22"/>
          <w:lang w:val="en-GB"/>
        </w:rPr>
        <w:t>hat lead an individual or a company to be considered insolven</w:t>
      </w:r>
      <w:r w:rsidR="005A5A5B">
        <w:rPr>
          <w:rFonts w:ascii="Arial" w:hAnsi="Arial" w:cs="Arial"/>
          <w:color w:val="A6A6A6" w:themeColor="background1" w:themeShade="A6"/>
          <w:sz w:val="22"/>
          <w:szCs w:val="22"/>
          <w:lang w:val="en-GB"/>
        </w:rPr>
        <w:t>t</w:t>
      </w:r>
      <w:r>
        <w:rPr>
          <w:rFonts w:ascii="Arial" w:hAnsi="Arial" w:cs="Arial"/>
          <w:color w:val="A6A6A6" w:themeColor="background1" w:themeShade="A6"/>
          <w:sz w:val="22"/>
          <w:szCs w:val="22"/>
          <w:lang w:val="en-GB"/>
        </w:rPr>
        <w:t xml:space="preserve"> and to commence </w:t>
      </w:r>
      <w:r w:rsidR="0023102C">
        <w:rPr>
          <w:rFonts w:ascii="Arial" w:hAnsi="Arial" w:cs="Arial"/>
          <w:color w:val="A6A6A6" w:themeColor="background1" w:themeShade="A6"/>
          <w:sz w:val="22"/>
          <w:szCs w:val="22"/>
          <w:lang w:val="en-GB"/>
        </w:rPr>
        <w:t xml:space="preserve">an insolvency proceeding </w:t>
      </w:r>
      <w:r>
        <w:rPr>
          <w:rFonts w:ascii="Arial" w:hAnsi="Arial" w:cs="Arial"/>
          <w:color w:val="A6A6A6" w:themeColor="background1" w:themeShade="A6"/>
          <w:sz w:val="22"/>
          <w:szCs w:val="22"/>
          <w:lang w:val="en-GB"/>
        </w:rPr>
        <w:t xml:space="preserve">are </w:t>
      </w:r>
      <w:r w:rsidR="0023102C">
        <w:rPr>
          <w:rFonts w:ascii="Arial" w:hAnsi="Arial" w:cs="Arial"/>
          <w:color w:val="A6A6A6" w:themeColor="background1" w:themeShade="A6"/>
          <w:sz w:val="22"/>
          <w:szCs w:val="22"/>
          <w:lang w:val="en-GB"/>
        </w:rPr>
        <w:t>(i) the inability to pay debts as they fall due</w:t>
      </w:r>
      <w:r w:rsidR="009929AA">
        <w:rPr>
          <w:rFonts w:ascii="Arial" w:hAnsi="Arial" w:cs="Arial"/>
          <w:color w:val="A6A6A6" w:themeColor="background1" w:themeShade="A6"/>
          <w:sz w:val="22"/>
          <w:szCs w:val="22"/>
          <w:lang w:val="en-GB"/>
        </w:rPr>
        <w:t>, also known as cash flow insolvency or illiquidity</w:t>
      </w:r>
      <w:r w:rsidR="004C49F7">
        <w:rPr>
          <w:rFonts w:ascii="Arial" w:hAnsi="Arial" w:cs="Arial"/>
          <w:color w:val="A6A6A6" w:themeColor="background1" w:themeShade="A6"/>
          <w:sz w:val="22"/>
          <w:szCs w:val="22"/>
          <w:lang w:val="en-GB"/>
        </w:rPr>
        <w:t xml:space="preserve"> (</w:t>
      </w:r>
      <w:r w:rsidR="004C49F7" w:rsidRPr="00043EF9">
        <w:rPr>
          <w:rFonts w:ascii="Arial" w:hAnsi="Arial" w:cs="Arial"/>
          <w:color w:val="A6A6A6" w:themeColor="background1" w:themeShade="A6"/>
          <w:sz w:val="22"/>
          <w:szCs w:val="22"/>
          <w:lang w:val="en-GB"/>
        </w:rPr>
        <w:t>Zahlungsunfähigkeit)</w:t>
      </w:r>
      <w:r w:rsidR="009929AA">
        <w:rPr>
          <w:rFonts w:ascii="Arial" w:hAnsi="Arial" w:cs="Arial"/>
          <w:color w:val="A6A6A6" w:themeColor="background1" w:themeShade="A6"/>
          <w:sz w:val="22"/>
          <w:szCs w:val="22"/>
          <w:lang w:val="en-GB"/>
        </w:rPr>
        <w:t xml:space="preserve">; (ii) </w:t>
      </w:r>
      <w:r w:rsidR="0005646E">
        <w:rPr>
          <w:rFonts w:ascii="Arial" w:hAnsi="Arial" w:cs="Arial"/>
          <w:color w:val="A6A6A6" w:themeColor="background1" w:themeShade="A6"/>
          <w:sz w:val="22"/>
          <w:szCs w:val="22"/>
          <w:lang w:val="en-GB"/>
        </w:rPr>
        <w:t xml:space="preserve">the </w:t>
      </w:r>
      <w:r w:rsidR="009929AA">
        <w:rPr>
          <w:rFonts w:ascii="Arial" w:hAnsi="Arial" w:cs="Arial"/>
          <w:color w:val="A6A6A6" w:themeColor="background1" w:themeShade="A6"/>
          <w:sz w:val="22"/>
          <w:szCs w:val="22"/>
          <w:lang w:val="en-GB"/>
        </w:rPr>
        <w:t>overindebt</w:t>
      </w:r>
      <w:r w:rsidR="00746DEF">
        <w:rPr>
          <w:rFonts w:ascii="Arial" w:hAnsi="Arial" w:cs="Arial"/>
          <w:color w:val="A6A6A6" w:themeColor="background1" w:themeShade="A6"/>
          <w:sz w:val="22"/>
          <w:szCs w:val="22"/>
          <w:lang w:val="en-GB"/>
        </w:rPr>
        <w:t>ed</w:t>
      </w:r>
      <w:r w:rsidR="009929AA">
        <w:rPr>
          <w:rFonts w:ascii="Arial" w:hAnsi="Arial" w:cs="Arial"/>
          <w:color w:val="A6A6A6" w:themeColor="background1" w:themeShade="A6"/>
          <w:sz w:val="22"/>
          <w:szCs w:val="22"/>
          <w:lang w:val="en-GB"/>
        </w:rPr>
        <w:t>ness</w:t>
      </w:r>
      <w:r w:rsidR="004C49F7">
        <w:rPr>
          <w:rFonts w:ascii="Arial" w:hAnsi="Arial" w:cs="Arial"/>
          <w:color w:val="A6A6A6" w:themeColor="background1" w:themeShade="A6"/>
          <w:sz w:val="22"/>
          <w:szCs w:val="22"/>
          <w:lang w:val="en-GB"/>
        </w:rPr>
        <w:t xml:space="preserve"> </w:t>
      </w:r>
      <w:r w:rsidR="004C49F7" w:rsidRPr="0005646E">
        <w:rPr>
          <w:rFonts w:ascii="Arial" w:hAnsi="Arial" w:cs="Arial"/>
          <w:color w:val="A6A6A6" w:themeColor="background1" w:themeShade="A6"/>
          <w:sz w:val="22"/>
          <w:szCs w:val="22"/>
          <w:lang w:val="en-GB"/>
        </w:rPr>
        <w:lastRenderedPageBreak/>
        <w:t>(Überschuldung)</w:t>
      </w:r>
      <w:r w:rsidR="009929AA">
        <w:rPr>
          <w:rFonts w:ascii="Arial" w:hAnsi="Arial" w:cs="Arial"/>
          <w:color w:val="A6A6A6" w:themeColor="background1" w:themeShade="A6"/>
          <w:sz w:val="22"/>
          <w:szCs w:val="22"/>
          <w:lang w:val="en-GB"/>
        </w:rPr>
        <w:t xml:space="preserve">, also </w:t>
      </w:r>
      <w:r w:rsidR="006B18BF">
        <w:rPr>
          <w:rFonts w:ascii="Arial" w:hAnsi="Arial" w:cs="Arial"/>
          <w:color w:val="A6A6A6" w:themeColor="background1" w:themeShade="A6"/>
          <w:sz w:val="22"/>
          <w:szCs w:val="22"/>
          <w:lang w:val="en-GB"/>
        </w:rPr>
        <w:t>known</w:t>
      </w:r>
      <w:r w:rsidR="009929AA">
        <w:rPr>
          <w:rFonts w:ascii="Arial" w:hAnsi="Arial" w:cs="Arial"/>
          <w:color w:val="A6A6A6" w:themeColor="background1" w:themeShade="A6"/>
          <w:sz w:val="22"/>
          <w:szCs w:val="22"/>
          <w:lang w:val="en-GB"/>
        </w:rPr>
        <w:t xml:space="preserve"> as balance sheet insolvency, or even (iii) the imminent inability to pay the debts. </w:t>
      </w:r>
    </w:p>
    <w:p w14:paraId="5E31043E" w14:textId="197CB3A4" w:rsidR="004C49F7" w:rsidRDefault="004C49F7" w:rsidP="00C34152">
      <w:pPr>
        <w:jc w:val="both"/>
        <w:rPr>
          <w:rFonts w:ascii="Arial" w:hAnsi="Arial" w:cs="Arial"/>
          <w:color w:val="A6A6A6" w:themeColor="background1" w:themeShade="A6"/>
          <w:sz w:val="22"/>
          <w:szCs w:val="22"/>
          <w:lang w:val="en-GB"/>
        </w:rPr>
      </w:pPr>
    </w:p>
    <w:p w14:paraId="251DCB8A" w14:textId="6B0A8B4A" w:rsidR="0005646E" w:rsidRDefault="004C49F7"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As per the ground</w:t>
      </w:r>
      <w:r w:rsidR="0005646E">
        <w:rPr>
          <w:rFonts w:ascii="Arial" w:hAnsi="Arial" w:cs="Arial"/>
          <w:color w:val="A6A6A6" w:themeColor="background1" w:themeShade="A6"/>
          <w:sz w:val="22"/>
          <w:szCs w:val="22"/>
          <w:lang w:val="en-GB"/>
        </w:rPr>
        <w:t>s</w:t>
      </w:r>
      <w:r>
        <w:rPr>
          <w:rFonts w:ascii="Arial" w:hAnsi="Arial" w:cs="Arial"/>
          <w:color w:val="A6A6A6" w:themeColor="background1" w:themeShade="A6"/>
          <w:sz w:val="22"/>
          <w:szCs w:val="22"/>
          <w:lang w:val="en-GB"/>
        </w:rPr>
        <w:t xml:space="preserve"> to be </w:t>
      </w:r>
      <w:r w:rsidR="006B18BF">
        <w:rPr>
          <w:rFonts w:ascii="Arial" w:hAnsi="Arial" w:cs="Arial"/>
          <w:color w:val="A6A6A6" w:themeColor="background1" w:themeShade="A6"/>
          <w:sz w:val="22"/>
          <w:szCs w:val="22"/>
          <w:lang w:val="en-GB"/>
        </w:rPr>
        <w:t>considered</w:t>
      </w:r>
      <w:r>
        <w:rPr>
          <w:rFonts w:ascii="Arial" w:hAnsi="Arial" w:cs="Arial"/>
          <w:color w:val="A6A6A6" w:themeColor="background1" w:themeShade="A6"/>
          <w:sz w:val="22"/>
          <w:szCs w:val="22"/>
          <w:lang w:val="en-GB"/>
        </w:rPr>
        <w:t xml:space="preserve"> insolvent </w:t>
      </w:r>
      <w:r w:rsidR="009920F1">
        <w:rPr>
          <w:rFonts w:ascii="Arial" w:hAnsi="Arial" w:cs="Arial"/>
          <w:color w:val="A6A6A6" w:themeColor="background1" w:themeShade="A6"/>
          <w:sz w:val="22"/>
          <w:szCs w:val="22"/>
          <w:lang w:val="en-GB"/>
        </w:rPr>
        <w:t>aforementioned</w:t>
      </w:r>
      <w:r>
        <w:rPr>
          <w:rFonts w:ascii="Arial" w:hAnsi="Arial" w:cs="Arial"/>
          <w:color w:val="A6A6A6" w:themeColor="background1" w:themeShade="A6"/>
          <w:sz w:val="22"/>
          <w:szCs w:val="22"/>
          <w:lang w:val="en-GB"/>
        </w:rPr>
        <w:t xml:space="preserve">, </w:t>
      </w:r>
      <w:r w:rsidR="006B18BF" w:rsidRPr="00746DEF">
        <w:rPr>
          <w:rFonts w:ascii="Arial" w:hAnsi="Arial" w:cs="Arial"/>
          <w:b/>
          <w:bCs/>
          <w:color w:val="A6A6A6" w:themeColor="background1" w:themeShade="A6"/>
          <w:sz w:val="22"/>
          <w:szCs w:val="22"/>
          <w:lang w:val="en-GB"/>
        </w:rPr>
        <w:t>liquidity</w:t>
      </w:r>
      <w:r>
        <w:rPr>
          <w:rFonts w:ascii="Arial" w:hAnsi="Arial" w:cs="Arial"/>
          <w:color w:val="A6A6A6" w:themeColor="background1" w:themeShade="A6"/>
          <w:sz w:val="22"/>
          <w:szCs w:val="22"/>
          <w:lang w:val="en-GB"/>
        </w:rPr>
        <w:t xml:space="preserve"> is </w:t>
      </w:r>
      <w:r w:rsidR="006B18BF">
        <w:rPr>
          <w:rFonts w:ascii="Arial" w:hAnsi="Arial" w:cs="Arial"/>
          <w:color w:val="A6A6A6" w:themeColor="background1" w:themeShade="A6"/>
          <w:sz w:val="22"/>
          <w:szCs w:val="22"/>
          <w:lang w:val="en-GB"/>
        </w:rPr>
        <w:t>known</w:t>
      </w:r>
      <w:r>
        <w:rPr>
          <w:rFonts w:ascii="Arial" w:hAnsi="Arial" w:cs="Arial"/>
          <w:color w:val="A6A6A6" w:themeColor="background1" w:themeShade="A6"/>
          <w:sz w:val="22"/>
          <w:szCs w:val="22"/>
          <w:lang w:val="en-GB"/>
        </w:rPr>
        <w:t xml:space="preserve"> as the inab</w:t>
      </w:r>
      <w:r w:rsidR="00F10B79">
        <w:rPr>
          <w:rFonts w:ascii="Arial" w:hAnsi="Arial" w:cs="Arial"/>
          <w:color w:val="A6A6A6" w:themeColor="background1" w:themeShade="A6"/>
          <w:sz w:val="22"/>
          <w:szCs w:val="22"/>
          <w:lang w:val="en-GB"/>
        </w:rPr>
        <w:t xml:space="preserve">ility to pay the debts as they fall due. Regarding case law that embraces this </w:t>
      </w:r>
      <w:r w:rsidR="006B18BF">
        <w:rPr>
          <w:rFonts w:ascii="Arial" w:hAnsi="Arial" w:cs="Arial"/>
          <w:color w:val="A6A6A6" w:themeColor="background1" w:themeShade="A6"/>
          <w:sz w:val="22"/>
          <w:szCs w:val="22"/>
          <w:lang w:val="en-GB"/>
        </w:rPr>
        <w:t>matter</w:t>
      </w:r>
      <w:r w:rsidR="00F10B79">
        <w:rPr>
          <w:rFonts w:ascii="Arial" w:hAnsi="Arial" w:cs="Arial"/>
          <w:color w:val="A6A6A6" w:themeColor="background1" w:themeShade="A6"/>
          <w:sz w:val="22"/>
          <w:szCs w:val="22"/>
          <w:lang w:val="en-GB"/>
        </w:rPr>
        <w:t>, illiquidity does not exist in the event of a certain timeframe. As for that, the debtor should have stopped performing payments as the</w:t>
      </w:r>
      <w:r w:rsidR="00746DEF">
        <w:rPr>
          <w:rFonts w:ascii="Arial" w:hAnsi="Arial" w:cs="Arial"/>
          <w:color w:val="A6A6A6" w:themeColor="background1" w:themeShade="A6"/>
          <w:sz w:val="22"/>
          <w:szCs w:val="22"/>
          <w:lang w:val="en-GB"/>
        </w:rPr>
        <w:t>y</w:t>
      </w:r>
      <w:r w:rsidR="00F10B79">
        <w:rPr>
          <w:rFonts w:ascii="Arial" w:hAnsi="Arial" w:cs="Arial"/>
          <w:color w:val="A6A6A6" w:themeColor="background1" w:themeShade="A6"/>
          <w:sz w:val="22"/>
          <w:szCs w:val="22"/>
          <w:lang w:val="en-GB"/>
        </w:rPr>
        <w:t xml:space="preserve"> fall due</w:t>
      </w:r>
      <w:r w:rsidR="00A42B0D">
        <w:rPr>
          <w:rFonts w:ascii="Arial" w:hAnsi="Arial" w:cs="Arial"/>
          <w:color w:val="A6A6A6" w:themeColor="background1" w:themeShade="A6"/>
          <w:sz w:val="22"/>
          <w:szCs w:val="22"/>
          <w:lang w:val="en-GB"/>
        </w:rPr>
        <w:t>.</w:t>
      </w:r>
    </w:p>
    <w:p w14:paraId="059713B3" w14:textId="77777777" w:rsidR="0005646E" w:rsidRDefault="0005646E" w:rsidP="00C34152">
      <w:pPr>
        <w:jc w:val="both"/>
        <w:rPr>
          <w:rFonts w:ascii="Arial" w:hAnsi="Arial" w:cs="Arial"/>
          <w:color w:val="A6A6A6" w:themeColor="background1" w:themeShade="A6"/>
          <w:sz w:val="22"/>
          <w:szCs w:val="22"/>
          <w:lang w:val="en-GB"/>
        </w:rPr>
      </w:pPr>
    </w:p>
    <w:p w14:paraId="02CF0F84" w14:textId="0E6BBA4B" w:rsidR="0005646E" w:rsidRDefault="00746DEF"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Given</w:t>
      </w:r>
      <w:r w:rsidR="007E29DA">
        <w:rPr>
          <w:rFonts w:ascii="Arial" w:hAnsi="Arial" w:cs="Arial"/>
          <w:color w:val="A6A6A6" w:themeColor="background1" w:themeShade="A6"/>
          <w:sz w:val="22"/>
          <w:szCs w:val="22"/>
          <w:lang w:val="en-GB"/>
        </w:rPr>
        <w:t xml:space="preserve"> this </w:t>
      </w:r>
      <w:r w:rsidR="00D1777A">
        <w:rPr>
          <w:rFonts w:ascii="Arial" w:hAnsi="Arial" w:cs="Arial"/>
          <w:color w:val="A6A6A6" w:themeColor="background1" w:themeShade="A6"/>
          <w:sz w:val="22"/>
          <w:szCs w:val="22"/>
          <w:lang w:val="en-GB"/>
        </w:rPr>
        <w:t>requirement</w:t>
      </w:r>
      <w:r w:rsidR="007E29DA">
        <w:rPr>
          <w:rFonts w:ascii="Arial" w:hAnsi="Arial" w:cs="Arial"/>
          <w:color w:val="A6A6A6" w:themeColor="background1" w:themeShade="A6"/>
          <w:sz w:val="22"/>
          <w:szCs w:val="22"/>
          <w:lang w:val="en-GB"/>
        </w:rPr>
        <w:t xml:space="preserve">, </w:t>
      </w:r>
      <w:r w:rsidR="0005646E">
        <w:rPr>
          <w:rFonts w:ascii="Arial" w:hAnsi="Arial" w:cs="Arial"/>
          <w:color w:val="A6A6A6" w:themeColor="background1" w:themeShade="A6"/>
          <w:sz w:val="22"/>
          <w:szCs w:val="22"/>
          <w:lang w:val="en-GB"/>
        </w:rPr>
        <w:t xml:space="preserve">some </w:t>
      </w:r>
      <w:r w:rsidR="007E29DA">
        <w:rPr>
          <w:rFonts w:ascii="Arial" w:hAnsi="Arial" w:cs="Arial"/>
          <w:color w:val="A6A6A6" w:themeColor="background1" w:themeShade="A6"/>
          <w:sz w:val="22"/>
          <w:szCs w:val="22"/>
          <w:lang w:val="en-GB"/>
        </w:rPr>
        <w:t xml:space="preserve">methods are </w:t>
      </w:r>
      <w:r w:rsidR="00D1777A">
        <w:rPr>
          <w:rFonts w:ascii="Arial" w:hAnsi="Arial" w:cs="Arial"/>
          <w:color w:val="A6A6A6" w:themeColor="background1" w:themeShade="A6"/>
          <w:sz w:val="22"/>
          <w:szCs w:val="22"/>
          <w:lang w:val="en-GB"/>
        </w:rPr>
        <w:t>prescribed</w:t>
      </w:r>
      <w:r w:rsidR="0005646E">
        <w:rPr>
          <w:rFonts w:ascii="Arial" w:hAnsi="Arial" w:cs="Arial"/>
          <w:color w:val="A6A6A6" w:themeColor="background1" w:themeShade="A6"/>
          <w:sz w:val="22"/>
          <w:szCs w:val="22"/>
          <w:lang w:val="en-GB"/>
        </w:rPr>
        <w:t xml:space="preserve"> to determine the debtor</w:t>
      </w:r>
      <w:r>
        <w:rPr>
          <w:rFonts w:ascii="Arial" w:hAnsi="Arial" w:cs="Arial"/>
          <w:color w:val="A6A6A6" w:themeColor="background1" w:themeShade="A6"/>
          <w:sz w:val="22"/>
          <w:szCs w:val="22"/>
          <w:lang w:val="en-GB"/>
        </w:rPr>
        <w:t>'s</w:t>
      </w:r>
      <w:r w:rsidR="0005646E">
        <w:rPr>
          <w:rFonts w:ascii="Arial" w:hAnsi="Arial" w:cs="Arial"/>
          <w:color w:val="A6A6A6" w:themeColor="background1" w:themeShade="A6"/>
          <w:sz w:val="22"/>
          <w:szCs w:val="22"/>
          <w:lang w:val="en-GB"/>
        </w:rPr>
        <w:t xml:space="preserve"> </w:t>
      </w:r>
      <w:r w:rsidR="00362517" w:rsidRPr="00746DEF">
        <w:rPr>
          <w:rFonts w:ascii="Arial" w:hAnsi="Arial" w:cs="Arial"/>
          <w:b/>
          <w:bCs/>
          <w:color w:val="A6A6A6" w:themeColor="background1" w:themeShade="A6"/>
          <w:sz w:val="22"/>
          <w:szCs w:val="22"/>
          <w:lang w:val="en-GB"/>
        </w:rPr>
        <w:t>i</w:t>
      </w:r>
      <w:r w:rsidRPr="00746DEF">
        <w:rPr>
          <w:rFonts w:ascii="Arial" w:hAnsi="Arial" w:cs="Arial"/>
          <w:b/>
          <w:bCs/>
          <w:color w:val="A6A6A6" w:themeColor="background1" w:themeShade="A6"/>
          <w:sz w:val="22"/>
          <w:szCs w:val="22"/>
          <w:lang w:val="en-GB"/>
        </w:rPr>
        <w:t>l</w:t>
      </w:r>
      <w:r w:rsidR="00362517" w:rsidRPr="00746DEF">
        <w:rPr>
          <w:rFonts w:ascii="Arial" w:hAnsi="Arial" w:cs="Arial"/>
          <w:b/>
          <w:bCs/>
          <w:color w:val="A6A6A6" w:themeColor="background1" w:themeShade="A6"/>
          <w:sz w:val="22"/>
          <w:szCs w:val="22"/>
          <w:lang w:val="en-GB"/>
        </w:rPr>
        <w:t>liquidity</w:t>
      </w:r>
      <w:r w:rsidR="007E29DA">
        <w:rPr>
          <w:rFonts w:ascii="Arial" w:hAnsi="Arial" w:cs="Arial"/>
          <w:color w:val="A6A6A6" w:themeColor="background1" w:themeShade="A6"/>
          <w:sz w:val="22"/>
          <w:szCs w:val="22"/>
          <w:lang w:val="en-GB"/>
        </w:rPr>
        <w:t xml:space="preserve">. </w:t>
      </w:r>
      <w:r w:rsidR="0005646E">
        <w:rPr>
          <w:rFonts w:ascii="Arial" w:hAnsi="Arial" w:cs="Arial"/>
          <w:color w:val="A6A6A6" w:themeColor="background1" w:themeShade="A6"/>
          <w:sz w:val="22"/>
          <w:szCs w:val="22"/>
          <w:lang w:val="en-GB"/>
        </w:rPr>
        <w:t>U</w:t>
      </w:r>
      <w:r w:rsidR="007E29DA">
        <w:rPr>
          <w:rFonts w:ascii="Arial" w:hAnsi="Arial" w:cs="Arial"/>
          <w:color w:val="A6A6A6" w:themeColor="background1" w:themeShade="A6"/>
          <w:sz w:val="22"/>
          <w:szCs w:val="22"/>
          <w:lang w:val="en-GB"/>
        </w:rPr>
        <w:t xml:space="preserve">nder </w:t>
      </w:r>
      <w:r w:rsidR="009E7C40">
        <w:rPr>
          <w:rFonts w:ascii="Arial" w:hAnsi="Arial" w:cs="Arial"/>
          <w:color w:val="A6A6A6" w:themeColor="background1" w:themeShade="A6"/>
          <w:sz w:val="22"/>
          <w:szCs w:val="22"/>
          <w:lang w:val="en-GB"/>
        </w:rPr>
        <w:t>§17 (2) InsO</w:t>
      </w:r>
      <w:r w:rsidR="00D1777A">
        <w:rPr>
          <w:rFonts w:ascii="Arial" w:hAnsi="Arial" w:cs="Arial"/>
          <w:color w:val="A6A6A6" w:themeColor="background1" w:themeShade="A6"/>
          <w:sz w:val="22"/>
          <w:szCs w:val="22"/>
          <w:lang w:val="en-GB"/>
        </w:rPr>
        <w:t xml:space="preserve"> </w:t>
      </w:r>
      <w:r w:rsidR="0005646E">
        <w:rPr>
          <w:rFonts w:ascii="Arial" w:hAnsi="Arial" w:cs="Arial"/>
          <w:color w:val="A6A6A6" w:themeColor="background1" w:themeShade="A6"/>
          <w:sz w:val="22"/>
          <w:szCs w:val="22"/>
          <w:lang w:val="en-GB"/>
        </w:rPr>
        <w:t xml:space="preserve">encompasses the </w:t>
      </w:r>
      <w:r w:rsidR="009E7C40">
        <w:rPr>
          <w:rFonts w:ascii="Arial" w:hAnsi="Arial" w:cs="Arial"/>
          <w:color w:val="A6A6A6" w:themeColor="background1" w:themeShade="A6"/>
          <w:sz w:val="22"/>
          <w:szCs w:val="22"/>
          <w:lang w:val="en-GB"/>
        </w:rPr>
        <w:t>ceasing</w:t>
      </w:r>
      <w:r w:rsidR="00AA4669">
        <w:rPr>
          <w:rFonts w:ascii="Arial" w:hAnsi="Arial" w:cs="Arial"/>
          <w:color w:val="A6A6A6" w:themeColor="background1" w:themeShade="A6"/>
          <w:sz w:val="22"/>
          <w:szCs w:val="22"/>
          <w:lang w:val="en-GB"/>
        </w:rPr>
        <w:t xml:space="preserve"> </w:t>
      </w:r>
      <w:r>
        <w:rPr>
          <w:rFonts w:ascii="Arial" w:hAnsi="Arial" w:cs="Arial"/>
          <w:color w:val="A6A6A6" w:themeColor="background1" w:themeShade="A6"/>
          <w:sz w:val="22"/>
          <w:szCs w:val="22"/>
          <w:lang w:val="en-GB"/>
        </w:rPr>
        <w:t xml:space="preserve">of payments </w:t>
      </w:r>
      <w:r w:rsidR="00AA4669">
        <w:rPr>
          <w:rFonts w:ascii="Arial" w:hAnsi="Arial" w:cs="Arial"/>
          <w:color w:val="A6A6A6" w:themeColor="background1" w:themeShade="A6"/>
          <w:sz w:val="22"/>
          <w:szCs w:val="22"/>
          <w:lang w:val="en-GB"/>
        </w:rPr>
        <w:t xml:space="preserve">to be illiquid. This </w:t>
      </w:r>
      <w:r>
        <w:rPr>
          <w:rFonts w:ascii="Arial" w:hAnsi="Arial" w:cs="Arial"/>
          <w:color w:val="A6A6A6" w:themeColor="background1" w:themeShade="A6"/>
          <w:sz w:val="22"/>
          <w:szCs w:val="22"/>
          <w:lang w:val="en-GB"/>
        </w:rPr>
        <w:t>issue</w:t>
      </w:r>
      <w:r w:rsidR="00AA4669">
        <w:rPr>
          <w:rFonts w:ascii="Arial" w:hAnsi="Arial" w:cs="Arial"/>
          <w:color w:val="A6A6A6" w:themeColor="background1" w:themeShade="A6"/>
          <w:sz w:val="22"/>
          <w:szCs w:val="22"/>
          <w:lang w:val="en-GB"/>
        </w:rPr>
        <w:t xml:space="preserve"> should be determined </w:t>
      </w:r>
      <w:r>
        <w:rPr>
          <w:rFonts w:ascii="Arial" w:hAnsi="Arial" w:cs="Arial"/>
          <w:color w:val="A6A6A6" w:themeColor="background1" w:themeShade="A6"/>
          <w:sz w:val="22"/>
          <w:szCs w:val="22"/>
          <w:lang w:val="en-GB"/>
        </w:rPr>
        <w:t xml:space="preserve">in case such </w:t>
      </w:r>
      <w:r w:rsidR="00AA4669">
        <w:rPr>
          <w:rFonts w:ascii="Arial" w:hAnsi="Arial" w:cs="Arial"/>
          <w:color w:val="A6A6A6" w:themeColor="background1" w:themeShade="A6"/>
          <w:sz w:val="22"/>
          <w:szCs w:val="22"/>
          <w:lang w:val="en-GB"/>
        </w:rPr>
        <w:t>inability is known</w:t>
      </w:r>
      <w:r w:rsidR="009E7C40">
        <w:rPr>
          <w:rFonts w:ascii="Arial" w:hAnsi="Arial" w:cs="Arial"/>
          <w:color w:val="A6A6A6" w:themeColor="background1" w:themeShade="A6"/>
          <w:sz w:val="22"/>
          <w:szCs w:val="22"/>
          <w:lang w:val="en-GB"/>
        </w:rPr>
        <w:t xml:space="preserve"> </w:t>
      </w:r>
      <w:r w:rsidR="00B120AE">
        <w:rPr>
          <w:rFonts w:ascii="Arial" w:hAnsi="Arial" w:cs="Arial"/>
          <w:color w:val="A6A6A6" w:themeColor="background1" w:themeShade="A6"/>
          <w:sz w:val="22"/>
          <w:szCs w:val="22"/>
          <w:lang w:val="en-GB"/>
        </w:rPr>
        <w:t xml:space="preserve">by </w:t>
      </w:r>
      <w:r w:rsidR="00DA0FDD">
        <w:rPr>
          <w:rFonts w:ascii="Arial" w:hAnsi="Arial" w:cs="Arial"/>
          <w:color w:val="A6A6A6" w:themeColor="background1" w:themeShade="A6"/>
          <w:sz w:val="22"/>
          <w:szCs w:val="22"/>
          <w:lang w:val="en-GB"/>
        </w:rPr>
        <w:t>third</w:t>
      </w:r>
      <w:r>
        <w:rPr>
          <w:rFonts w:ascii="Arial" w:hAnsi="Arial" w:cs="Arial"/>
          <w:color w:val="A6A6A6" w:themeColor="background1" w:themeShade="A6"/>
          <w:sz w:val="22"/>
          <w:szCs w:val="22"/>
          <w:lang w:val="en-GB"/>
        </w:rPr>
        <w:t xml:space="preserve"> </w:t>
      </w:r>
      <w:r w:rsidR="00DA0FDD">
        <w:rPr>
          <w:rFonts w:ascii="Arial" w:hAnsi="Arial" w:cs="Arial"/>
          <w:color w:val="A6A6A6" w:themeColor="background1" w:themeShade="A6"/>
          <w:sz w:val="22"/>
          <w:szCs w:val="22"/>
          <w:lang w:val="en-GB"/>
        </w:rPr>
        <w:t>parties</w:t>
      </w:r>
      <w:r w:rsidR="009E7C40">
        <w:rPr>
          <w:rFonts w:ascii="Arial" w:hAnsi="Arial" w:cs="Arial"/>
          <w:color w:val="A6A6A6" w:themeColor="background1" w:themeShade="A6"/>
          <w:sz w:val="22"/>
          <w:szCs w:val="22"/>
          <w:lang w:val="en-GB"/>
        </w:rPr>
        <w:t xml:space="preserve">. </w:t>
      </w:r>
      <w:r w:rsidR="00DA0FDD">
        <w:rPr>
          <w:rFonts w:ascii="Arial" w:hAnsi="Arial" w:cs="Arial"/>
          <w:color w:val="A6A6A6" w:themeColor="background1" w:themeShade="A6"/>
          <w:sz w:val="22"/>
          <w:szCs w:val="22"/>
          <w:lang w:val="en-GB"/>
        </w:rPr>
        <w:t>If the illiquidity is not public</w:t>
      </w:r>
      <w:r w:rsidR="00AA4669">
        <w:rPr>
          <w:rFonts w:ascii="Arial" w:hAnsi="Arial" w:cs="Arial"/>
          <w:color w:val="A6A6A6" w:themeColor="background1" w:themeShade="A6"/>
          <w:sz w:val="22"/>
          <w:szCs w:val="22"/>
          <w:lang w:val="en-GB"/>
        </w:rPr>
        <w:t xml:space="preserve"> and this presumption i</w:t>
      </w:r>
      <w:r>
        <w:rPr>
          <w:rFonts w:ascii="Arial" w:hAnsi="Arial" w:cs="Arial"/>
          <w:color w:val="A6A6A6" w:themeColor="background1" w:themeShade="A6"/>
          <w:sz w:val="22"/>
          <w:szCs w:val="22"/>
          <w:lang w:val="en-GB"/>
        </w:rPr>
        <w:t>s</w:t>
      </w:r>
      <w:r w:rsidR="00AA4669">
        <w:rPr>
          <w:rFonts w:ascii="Arial" w:hAnsi="Arial" w:cs="Arial"/>
          <w:color w:val="A6A6A6" w:themeColor="background1" w:themeShade="A6"/>
          <w:sz w:val="22"/>
          <w:szCs w:val="22"/>
          <w:lang w:val="en-GB"/>
        </w:rPr>
        <w:t xml:space="preserve"> unhelpful</w:t>
      </w:r>
      <w:r w:rsidR="00DA0FDD">
        <w:rPr>
          <w:rFonts w:ascii="Arial" w:hAnsi="Arial" w:cs="Arial"/>
          <w:color w:val="A6A6A6" w:themeColor="background1" w:themeShade="A6"/>
          <w:sz w:val="22"/>
          <w:szCs w:val="22"/>
          <w:lang w:val="en-GB"/>
        </w:rPr>
        <w:t xml:space="preserve">, further verification should be conducted, and, in this sense, the </w:t>
      </w:r>
      <w:r>
        <w:rPr>
          <w:rFonts w:ascii="Arial" w:hAnsi="Arial" w:cs="Arial"/>
          <w:color w:val="A6A6A6" w:themeColor="background1" w:themeShade="A6"/>
          <w:sz w:val="22"/>
          <w:szCs w:val="22"/>
          <w:lang w:val="en-GB"/>
        </w:rPr>
        <w:t>accounts and documents</w:t>
      </w:r>
      <w:r w:rsidR="00DA0FDD">
        <w:rPr>
          <w:rFonts w:ascii="Arial" w:hAnsi="Arial" w:cs="Arial"/>
          <w:color w:val="A6A6A6" w:themeColor="background1" w:themeShade="A6"/>
          <w:sz w:val="22"/>
          <w:szCs w:val="22"/>
          <w:lang w:val="en-GB"/>
        </w:rPr>
        <w:t xml:space="preserve"> of the </w:t>
      </w:r>
      <w:r w:rsidR="00D1777A">
        <w:rPr>
          <w:rFonts w:ascii="Arial" w:hAnsi="Arial" w:cs="Arial"/>
          <w:color w:val="A6A6A6" w:themeColor="background1" w:themeShade="A6"/>
          <w:sz w:val="22"/>
          <w:szCs w:val="22"/>
          <w:lang w:val="en-GB"/>
        </w:rPr>
        <w:t>insolvent</w:t>
      </w:r>
      <w:r w:rsidR="00DA0FDD">
        <w:rPr>
          <w:rFonts w:ascii="Arial" w:hAnsi="Arial" w:cs="Arial"/>
          <w:color w:val="A6A6A6" w:themeColor="background1" w:themeShade="A6"/>
          <w:sz w:val="22"/>
          <w:szCs w:val="22"/>
          <w:lang w:val="en-GB"/>
        </w:rPr>
        <w:t xml:space="preserve"> debtor should be </w:t>
      </w:r>
      <w:r w:rsidR="009920F1">
        <w:rPr>
          <w:rFonts w:ascii="Arial" w:hAnsi="Arial" w:cs="Arial"/>
          <w:color w:val="A6A6A6" w:themeColor="background1" w:themeShade="A6"/>
          <w:sz w:val="22"/>
          <w:szCs w:val="22"/>
          <w:lang w:val="en-GB"/>
        </w:rPr>
        <w:t>investigated</w:t>
      </w:r>
      <w:r w:rsidR="00DA0FDD">
        <w:rPr>
          <w:rFonts w:ascii="Arial" w:hAnsi="Arial" w:cs="Arial"/>
          <w:color w:val="A6A6A6" w:themeColor="background1" w:themeShade="A6"/>
          <w:sz w:val="22"/>
          <w:szCs w:val="22"/>
          <w:lang w:val="en-GB"/>
        </w:rPr>
        <w:t>.</w:t>
      </w:r>
      <w:r w:rsidR="008061D6">
        <w:rPr>
          <w:rFonts w:ascii="Arial" w:hAnsi="Arial" w:cs="Arial"/>
          <w:color w:val="A6A6A6" w:themeColor="background1" w:themeShade="A6"/>
          <w:sz w:val="22"/>
          <w:szCs w:val="22"/>
          <w:lang w:val="en-GB"/>
        </w:rPr>
        <w:t xml:space="preserve"> It is important to highlight that i</w:t>
      </w:r>
      <w:r>
        <w:rPr>
          <w:rFonts w:ascii="Arial" w:hAnsi="Arial" w:cs="Arial"/>
          <w:color w:val="A6A6A6" w:themeColor="background1" w:themeShade="A6"/>
          <w:sz w:val="22"/>
          <w:szCs w:val="22"/>
          <w:lang w:val="en-GB"/>
        </w:rPr>
        <w:t>l</w:t>
      </w:r>
      <w:r w:rsidR="008061D6">
        <w:rPr>
          <w:rFonts w:ascii="Arial" w:hAnsi="Arial" w:cs="Arial"/>
          <w:color w:val="A6A6A6" w:themeColor="background1" w:themeShade="A6"/>
          <w:sz w:val="22"/>
          <w:szCs w:val="22"/>
          <w:lang w:val="en-GB"/>
        </w:rPr>
        <w:t>liquidity cannot be presumed only by the debtor</w:t>
      </w:r>
      <w:r>
        <w:rPr>
          <w:rFonts w:ascii="Arial" w:hAnsi="Arial" w:cs="Arial"/>
          <w:color w:val="A6A6A6" w:themeColor="background1" w:themeShade="A6"/>
          <w:sz w:val="22"/>
          <w:szCs w:val="22"/>
          <w:lang w:val="en-GB"/>
        </w:rPr>
        <w:t>'s</w:t>
      </w:r>
      <w:r w:rsidR="008061D6">
        <w:rPr>
          <w:rFonts w:ascii="Arial" w:hAnsi="Arial" w:cs="Arial"/>
          <w:color w:val="A6A6A6" w:themeColor="background1" w:themeShade="A6"/>
          <w:sz w:val="22"/>
          <w:szCs w:val="22"/>
          <w:lang w:val="en-GB"/>
        </w:rPr>
        <w:t xml:space="preserve"> inability to pay</w:t>
      </w:r>
      <w:r>
        <w:rPr>
          <w:rFonts w:ascii="Arial" w:hAnsi="Arial" w:cs="Arial"/>
          <w:color w:val="A6A6A6" w:themeColor="background1" w:themeShade="A6"/>
          <w:sz w:val="22"/>
          <w:szCs w:val="22"/>
          <w:lang w:val="en-GB"/>
        </w:rPr>
        <w:t xml:space="preserve"> a certain obligation</w:t>
      </w:r>
      <w:r w:rsidR="008D0624">
        <w:rPr>
          <w:rFonts w:ascii="Arial" w:hAnsi="Arial" w:cs="Arial"/>
          <w:color w:val="A6A6A6" w:themeColor="background1" w:themeShade="A6"/>
          <w:sz w:val="22"/>
          <w:szCs w:val="22"/>
          <w:lang w:val="en-GB"/>
        </w:rPr>
        <w:t xml:space="preserve">, </w:t>
      </w:r>
      <w:r>
        <w:rPr>
          <w:rFonts w:ascii="Arial" w:hAnsi="Arial" w:cs="Arial"/>
          <w:color w:val="A6A6A6" w:themeColor="background1" w:themeShade="A6"/>
          <w:sz w:val="22"/>
          <w:szCs w:val="22"/>
          <w:lang w:val="en-GB"/>
        </w:rPr>
        <w:t xml:space="preserve">such </w:t>
      </w:r>
      <w:r w:rsidR="008D0624">
        <w:rPr>
          <w:rFonts w:ascii="Arial" w:hAnsi="Arial" w:cs="Arial"/>
          <w:color w:val="A6A6A6" w:themeColor="background1" w:themeShade="A6"/>
          <w:sz w:val="22"/>
          <w:szCs w:val="22"/>
          <w:lang w:val="en-GB"/>
        </w:rPr>
        <w:t xml:space="preserve">delay </w:t>
      </w:r>
      <w:r>
        <w:rPr>
          <w:rFonts w:ascii="Arial" w:hAnsi="Arial" w:cs="Arial"/>
          <w:color w:val="A6A6A6" w:themeColor="background1" w:themeShade="A6"/>
          <w:sz w:val="22"/>
          <w:szCs w:val="22"/>
          <w:lang w:val="en-GB"/>
        </w:rPr>
        <w:t xml:space="preserve">should be, estimated on </w:t>
      </w:r>
      <w:r w:rsidR="008D0624">
        <w:rPr>
          <w:rFonts w:ascii="Arial" w:hAnsi="Arial" w:cs="Arial"/>
          <w:color w:val="A6A6A6" w:themeColor="background1" w:themeShade="A6"/>
          <w:sz w:val="22"/>
          <w:szCs w:val="22"/>
          <w:lang w:val="en-GB"/>
        </w:rPr>
        <w:t xml:space="preserve">more than </w:t>
      </w:r>
      <w:r>
        <w:rPr>
          <w:rFonts w:ascii="Arial" w:hAnsi="Arial" w:cs="Arial"/>
          <w:color w:val="A6A6A6" w:themeColor="background1" w:themeShade="A6"/>
          <w:sz w:val="22"/>
          <w:szCs w:val="22"/>
          <w:lang w:val="en-GB"/>
        </w:rPr>
        <w:t>three weeks</w:t>
      </w:r>
      <w:r w:rsidR="008D0624">
        <w:rPr>
          <w:rFonts w:ascii="Arial" w:hAnsi="Arial" w:cs="Arial"/>
          <w:color w:val="A6A6A6" w:themeColor="background1" w:themeShade="A6"/>
          <w:sz w:val="22"/>
          <w:szCs w:val="22"/>
          <w:lang w:val="en-GB"/>
        </w:rPr>
        <w:t>.</w:t>
      </w:r>
    </w:p>
    <w:p w14:paraId="1113B448" w14:textId="77777777" w:rsidR="008D0624" w:rsidRDefault="008D0624" w:rsidP="00C34152">
      <w:pPr>
        <w:jc w:val="both"/>
        <w:rPr>
          <w:rFonts w:ascii="Arial" w:hAnsi="Arial" w:cs="Arial"/>
          <w:color w:val="A6A6A6" w:themeColor="background1" w:themeShade="A6"/>
          <w:sz w:val="22"/>
          <w:szCs w:val="22"/>
          <w:lang w:val="en-GB"/>
        </w:rPr>
      </w:pPr>
    </w:p>
    <w:p w14:paraId="60044A61" w14:textId="2A0C6EF3" w:rsidR="004C49F7" w:rsidRDefault="004C49F7" w:rsidP="00C34152">
      <w:pPr>
        <w:jc w:val="both"/>
        <w:rPr>
          <w:rFonts w:ascii="Arial" w:hAnsi="Arial" w:cs="Arial"/>
          <w:color w:val="A6A6A6" w:themeColor="background1" w:themeShade="A6"/>
          <w:sz w:val="22"/>
          <w:szCs w:val="22"/>
          <w:lang w:val="en-GB"/>
        </w:rPr>
      </w:pPr>
    </w:p>
    <w:p w14:paraId="4D4CECDB" w14:textId="18606041" w:rsidR="00A42B0D" w:rsidRDefault="00A42B0D"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per the </w:t>
      </w:r>
      <w:r w:rsidR="0005646E" w:rsidRPr="00746DEF">
        <w:rPr>
          <w:rFonts w:ascii="Arial" w:hAnsi="Arial" w:cs="Arial"/>
          <w:b/>
          <w:bCs/>
          <w:color w:val="A6A6A6" w:themeColor="background1" w:themeShade="A6"/>
          <w:sz w:val="22"/>
          <w:szCs w:val="22"/>
          <w:lang w:val="en-GB"/>
        </w:rPr>
        <w:t>overindebtedness</w:t>
      </w:r>
      <w:r w:rsidR="0005646E">
        <w:rPr>
          <w:rFonts w:ascii="Arial" w:hAnsi="Arial" w:cs="Arial"/>
          <w:color w:val="A6A6A6" w:themeColor="background1" w:themeShade="A6"/>
          <w:sz w:val="22"/>
          <w:szCs w:val="22"/>
          <w:lang w:val="en-GB"/>
        </w:rPr>
        <w:t xml:space="preserve"> </w:t>
      </w:r>
      <w:r>
        <w:rPr>
          <w:rFonts w:ascii="Arial" w:hAnsi="Arial" w:cs="Arial"/>
          <w:color w:val="A6A6A6" w:themeColor="background1" w:themeShade="A6"/>
          <w:sz w:val="22"/>
          <w:szCs w:val="22"/>
          <w:lang w:val="en-GB"/>
        </w:rPr>
        <w:t>matter, the question that should be formulated is whether</w:t>
      </w:r>
      <w:r w:rsidR="00F17B8B">
        <w:rPr>
          <w:rFonts w:ascii="Arial" w:hAnsi="Arial" w:cs="Arial"/>
          <w:color w:val="A6A6A6" w:themeColor="background1" w:themeShade="A6"/>
          <w:sz w:val="22"/>
          <w:szCs w:val="22"/>
          <w:lang w:val="en-GB"/>
        </w:rPr>
        <w:t xml:space="preserve"> the debtor ha</w:t>
      </w:r>
      <w:r w:rsidR="00746DEF">
        <w:rPr>
          <w:rFonts w:ascii="Arial" w:hAnsi="Arial" w:cs="Arial"/>
          <w:color w:val="A6A6A6" w:themeColor="background1" w:themeShade="A6"/>
          <w:sz w:val="22"/>
          <w:szCs w:val="22"/>
          <w:lang w:val="en-GB"/>
        </w:rPr>
        <w:t>s</w:t>
      </w:r>
      <w:r w:rsidR="00F17B8B">
        <w:rPr>
          <w:rFonts w:ascii="Arial" w:hAnsi="Arial" w:cs="Arial"/>
          <w:color w:val="A6A6A6" w:themeColor="background1" w:themeShade="A6"/>
          <w:sz w:val="22"/>
          <w:szCs w:val="22"/>
          <w:lang w:val="en-GB"/>
        </w:rPr>
        <w:t xml:space="preserve"> assets to continue its operation and if</w:t>
      </w:r>
      <w:r>
        <w:rPr>
          <w:rFonts w:ascii="Arial" w:hAnsi="Arial" w:cs="Arial"/>
          <w:color w:val="A6A6A6" w:themeColor="background1" w:themeShade="A6"/>
          <w:sz w:val="22"/>
          <w:szCs w:val="22"/>
          <w:lang w:val="en-GB"/>
        </w:rPr>
        <w:t xml:space="preserve"> there is a forecast for the business to </w:t>
      </w:r>
      <w:r w:rsidR="009920F1">
        <w:rPr>
          <w:rFonts w:ascii="Arial" w:hAnsi="Arial" w:cs="Arial"/>
          <w:color w:val="A6A6A6" w:themeColor="background1" w:themeShade="A6"/>
          <w:sz w:val="22"/>
          <w:szCs w:val="22"/>
          <w:lang w:val="en-GB"/>
        </w:rPr>
        <w:t xml:space="preserve">have </w:t>
      </w:r>
      <w:r w:rsidR="00746DEF">
        <w:rPr>
          <w:rFonts w:ascii="Arial" w:hAnsi="Arial" w:cs="Arial"/>
          <w:color w:val="A6A6A6" w:themeColor="background1" w:themeShade="A6"/>
          <w:sz w:val="22"/>
          <w:szCs w:val="22"/>
          <w:lang w:val="en-GB"/>
        </w:rPr>
        <w:t xml:space="preserve">a </w:t>
      </w:r>
      <w:r>
        <w:rPr>
          <w:rFonts w:ascii="Arial" w:hAnsi="Arial" w:cs="Arial"/>
          <w:color w:val="A6A6A6" w:themeColor="background1" w:themeShade="A6"/>
          <w:sz w:val="22"/>
          <w:szCs w:val="22"/>
          <w:lang w:val="en-GB"/>
        </w:rPr>
        <w:t xml:space="preserve">positive </w:t>
      </w:r>
      <w:r w:rsidR="00D1777A">
        <w:rPr>
          <w:rFonts w:ascii="Arial" w:hAnsi="Arial" w:cs="Arial"/>
          <w:color w:val="A6A6A6" w:themeColor="background1" w:themeShade="A6"/>
          <w:sz w:val="22"/>
          <w:szCs w:val="22"/>
          <w:lang w:val="en-GB"/>
        </w:rPr>
        <w:t>continuation</w:t>
      </w:r>
      <w:r>
        <w:rPr>
          <w:rFonts w:ascii="Arial" w:hAnsi="Arial" w:cs="Arial"/>
          <w:color w:val="A6A6A6" w:themeColor="background1" w:themeShade="A6"/>
          <w:sz w:val="22"/>
          <w:szCs w:val="22"/>
          <w:lang w:val="en-GB"/>
        </w:rPr>
        <w:t xml:space="preserve"> </w:t>
      </w:r>
      <w:r w:rsidRPr="009920F1">
        <w:rPr>
          <w:rFonts w:ascii="Arial" w:hAnsi="Arial" w:cs="Arial"/>
          <w:color w:val="A6A6A6" w:themeColor="background1" w:themeShade="A6"/>
          <w:sz w:val="22"/>
          <w:szCs w:val="22"/>
          <w:lang w:val="en-GB"/>
        </w:rPr>
        <w:t xml:space="preserve">(positive Fortführungsprognose). </w:t>
      </w:r>
      <w:r w:rsidR="004B4970" w:rsidRPr="009920F1">
        <w:rPr>
          <w:rFonts w:ascii="Arial" w:hAnsi="Arial" w:cs="Arial"/>
          <w:color w:val="A6A6A6" w:themeColor="background1" w:themeShade="A6"/>
          <w:sz w:val="22"/>
          <w:szCs w:val="22"/>
          <w:lang w:val="en-GB"/>
        </w:rPr>
        <w:t xml:space="preserve">Bearing this in mind, if the obligations that the debtor has to bear </w:t>
      </w:r>
      <w:r w:rsidR="00746DEF">
        <w:rPr>
          <w:rFonts w:ascii="Arial" w:hAnsi="Arial" w:cs="Arial"/>
          <w:color w:val="A6A6A6" w:themeColor="background1" w:themeShade="A6"/>
          <w:sz w:val="22"/>
          <w:szCs w:val="22"/>
          <w:lang w:val="en-GB"/>
        </w:rPr>
        <w:t>(</w:t>
      </w:r>
      <w:r w:rsidR="004B4970" w:rsidRPr="009920F1">
        <w:rPr>
          <w:rFonts w:ascii="Arial" w:hAnsi="Arial" w:cs="Arial"/>
          <w:color w:val="A6A6A6" w:themeColor="background1" w:themeShade="A6"/>
          <w:sz w:val="22"/>
          <w:szCs w:val="22"/>
          <w:lang w:val="en-GB"/>
        </w:rPr>
        <w:t>as to liabilities</w:t>
      </w:r>
      <w:r w:rsidR="00746DEF">
        <w:rPr>
          <w:rFonts w:ascii="Arial" w:hAnsi="Arial" w:cs="Arial"/>
          <w:color w:val="A6A6A6" w:themeColor="background1" w:themeShade="A6"/>
          <w:sz w:val="22"/>
          <w:szCs w:val="22"/>
          <w:lang w:val="en-GB"/>
        </w:rPr>
        <w:t>)</w:t>
      </w:r>
      <w:r w:rsidR="004B4970" w:rsidRPr="009920F1">
        <w:rPr>
          <w:rFonts w:ascii="Arial" w:hAnsi="Arial" w:cs="Arial"/>
          <w:color w:val="A6A6A6" w:themeColor="background1" w:themeShade="A6"/>
          <w:sz w:val="22"/>
          <w:szCs w:val="22"/>
          <w:lang w:val="en-GB"/>
        </w:rPr>
        <w:t xml:space="preserve"> exceed the amount compared to the assets</w:t>
      </w:r>
      <w:r w:rsidR="00746DEF">
        <w:rPr>
          <w:rFonts w:ascii="Arial" w:hAnsi="Arial" w:cs="Arial"/>
          <w:color w:val="A6A6A6" w:themeColor="background1" w:themeShade="A6"/>
          <w:sz w:val="22"/>
          <w:szCs w:val="22"/>
          <w:lang w:val="en-GB"/>
        </w:rPr>
        <w:t xml:space="preserve"> available</w:t>
      </w:r>
      <w:r w:rsidR="004B4970" w:rsidRPr="009920F1">
        <w:rPr>
          <w:rFonts w:ascii="Arial" w:hAnsi="Arial" w:cs="Arial"/>
          <w:color w:val="A6A6A6" w:themeColor="background1" w:themeShade="A6"/>
          <w:sz w:val="22"/>
          <w:szCs w:val="22"/>
          <w:lang w:val="en-GB"/>
        </w:rPr>
        <w:t>, the</w:t>
      </w:r>
      <w:r w:rsidR="00D1777A" w:rsidRPr="009920F1">
        <w:rPr>
          <w:rFonts w:ascii="Arial" w:hAnsi="Arial" w:cs="Arial"/>
          <w:color w:val="A6A6A6" w:themeColor="background1" w:themeShade="A6"/>
          <w:sz w:val="22"/>
          <w:szCs w:val="22"/>
          <w:lang w:val="en-GB"/>
        </w:rPr>
        <w:t xml:space="preserve"> company is deemed insolvent. </w:t>
      </w:r>
      <w:r w:rsidR="00A5518B" w:rsidRPr="009920F1">
        <w:rPr>
          <w:rFonts w:ascii="Arial" w:hAnsi="Arial" w:cs="Arial"/>
          <w:color w:val="A6A6A6" w:themeColor="background1" w:themeShade="A6"/>
          <w:sz w:val="22"/>
          <w:szCs w:val="22"/>
          <w:lang w:val="en-GB"/>
        </w:rPr>
        <w:t xml:space="preserve">Also, the debtor is considered overindebted if the likelihood of avoiding </w:t>
      </w:r>
      <w:r w:rsidR="009920F1" w:rsidRPr="009920F1">
        <w:rPr>
          <w:rFonts w:ascii="Arial" w:hAnsi="Arial" w:cs="Arial"/>
          <w:color w:val="A6A6A6" w:themeColor="background1" w:themeShade="A6"/>
          <w:sz w:val="22"/>
          <w:szCs w:val="22"/>
          <w:lang w:val="en-GB"/>
        </w:rPr>
        <w:t>illiquidity</w:t>
      </w:r>
      <w:r w:rsidR="00A5518B" w:rsidRPr="009920F1">
        <w:rPr>
          <w:rFonts w:ascii="Arial" w:hAnsi="Arial" w:cs="Arial"/>
          <w:color w:val="A6A6A6" w:themeColor="background1" w:themeShade="A6"/>
          <w:sz w:val="22"/>
          <w:szCs w:val="22"/>
          <w:lang w:val="en-GB"/>
        </w:rPr>
        <w:t xml:space="preserve"> over a medium</w:t>
      </w:r>
      <w:r w:rsidR="00746DEF">
        <w:rPr>
          <w:rFonts w:ascii="Arial" w:hAnsi="Arial" w:cs="Arial"/>
          <w:color w:val="A6A6A6" w:themeColor="background1" w:themeShade="A6"/>
          <w:sz w:val="22"/>
          <w:szCs w:val="22"/>
          <w:lang w:val="en-GB"/>
        </w:rPr>
        <w:t>-</w:t>
      </w:r>
      <w:r w:rsidR="00A5518B" w:rsidRPr="009920F1">
        <w:rPr>
          <w:rFonts w:ascii="Arial" w:hAnsi="Arial" w:cs="Arial"/>
          <w:color w:val="A6A6A6" w:themeColor="background1" w:themeShade="A6"/>
          <w:sz w:val="22"/>
          <w:szCs w:val="22"/>
          <w:lang w:val="en-GB"/>
        </w:rPr>
        <w:t xml:space="preserve">term is 50% or less. </w:t>
      </w:r>
    </w:p>
    <w:p w14:paraId="0A8C762D" w14:textId="77777777" w:rsidR="00362517" w:rsidRPr="009920F1" w:rsidRDefault="00362517" w:rsidP="00C34152">
      <w:pPr>
        <w:jc w:val="both"/>
        <w:rPr>
          <w:rFonts w:ascii="Arial" w:hAnsi="Arial" w:cs="Arial"/>
          <w:color w:val="A6A6A6" w:themeColor="background1" w:themeShade="A6"/>
          <w:sz w:val="22"/>
          <w:szCs w:val="22"/>
          <w:lang w:val="en-GB"/>
        </w:rPr>
      </w:pPr>
    </w:p>
    <w:p w14:paraId="6525CC4F" w14:textId="14C20FCD" w:rsidR="00D05CA4" w:rsidRDefault="00A5518B" w:rsidP="00C34152">
      <w:pPr>
        <w:jc w:val="both"/>
        <w:rPr>
          <w:rFonts w:ascii="Arial" w:hAnsi="Arial" w:cs="Arial"/>
          <w:color w:val="A6A6A6" w:themeColor="background1" w:themeShade="A6"/>
          <w:sz w:val="22"/>
          <w:szCs w:val="22"/>
          <w:lang w:val="en-GB"/>
        </w:rPr>
      </w:pPr>
      <w:r w:rsidRPr="009920F1">
        <w:rPr>
          <w:rFonts w:ascii="Arial" w:hAnsi="Arial" w:cs="Arial"/>
          <w:color w:val="A6A6A6" w:themeColor="background1" w:themeShade="A6"/>
          <w:sz w:val="22"/>
          <w:szCs w:val="22"/>
          <w:lang w:val="en-GB"/>
        </w:rPr>
        <w:t>As fo</w:t>
      </w:r>
      <w:r w:rsidR="009920F1">
        <w:rPr>
          <w:rFonts w:ascii="Arial" w:hAnsi="Arial" w:cs="Arial"/>
          <w:color w:val="A6A6A6" w:themeColor="background1" w:themeShade="A6"/>
          <w:sz w:val="22"/>
          <w:szCs w:val="22"/>
          <w:lang w:val="en-GB"/>
        </w:rPr>
        <w:t>r</w:t>
      </w:r>
      <w:r w:rsidRPr="009920F1">
        <w:rPr>
          <w:rFonts w:ascii="Arial" w:hAnsi="Arial" w:cs="Arial"/>
          <w:color w:val="A6A6A6" w:themeColor="background1" w:themeShade="A6"/>
          <w:sz w:val="22"/>
          <w:szCs w:val="22"/>
          <w:lang w:val="en-GB"/>
        </w:rPr>
        <w:t xml:space="preserve"> </w:t>
      </w:r>
      <w:r w:rsidR="009920F1">
        <w:rPr>
          <w:rFonts w:ascii="Arial" w:hAnsi="Arial" w:cs="Arial"/>
          <w:color w:val="A6A6A6" w:themeColor="background1" w:themeShade="A6"/>
          <w:sz w:val="22"/>
          <w:szCs w:val="22"/>
          <w:lang w:val="en-GB"/>
        </w:rPr>
        <w:t>t</w:t>
      </w:r>
      <w:r w:rsidRPr="009920F1">
        <w:rPr>
          <w:rFonts w:ascii="Arial" w:hAnsi="Arial" w:cs="Arial"/>
          <w:color w:val="A6A6A6" w:themeColor="background1" w:themeShade="A6"/>
          <w:sz w:val="22"/>
          <w:szCs w:val="22"/>
          <w:lang w:val="en-GB"/>
        </w:rPr>
        <w:t xml:space="preserve">he </w:t>
      </w:r>
      <w:r w:rsidR="009920F1" w:rsidRPr="00746DEF">
        <w:rPr>
          <w:rFonts w:ascii="Arial" w:hAnsi="Arial" w:cs="Arial"/>
          <w:b/>
          <w:bCs/>
          <w:color w:val="A6A6A6" w:themeColor="background1" w:themeShade="A6"/>
          <w:sz w:val="22"/>
          <w:szCs w:val="22"/>
          <w:lang w:val="en-GB"/>
        </w:rPr>
        <w:t>imminent</w:t>
      </w:r>
      <w:r w:rsidRPr="00746DEF">
        <w:rPr>
          <w:rFonts w:ascii="Arial" w:hAnsi="Arial" w:cs="Arial"/>
          <w:b/>
          <w:bCs/>
          <w:color w:val="A6A6A6" w:themeColor="background1" w:themeShade="A6"/>
          <w:sz w:val="22"/>
          <w:szCs w:val="22"/>
          <w:lang w:val="en-GB"/>
        </w:rPr>
        <w:t xml:space="preserve"> illiquidity</w:t>
      </w:r>
      <w:r w:rsidR="00C22848">
        <w:rPr>
          <w:rFonts w:ascii="Arial" w:hAnsi="Arial" w:cs="Arial"/>
          <w:color w:val="A6A6A6" w:themeColor="background1" w:themeShade="A6"/>
          <w:sz w:val="22"/>
          <w:szCs w:val="22"/>
          <w:lang w:val="en-GB"/>
        </w:rPr>
        <w:t xml:space="preserve"> §18, InsO</w:t>
      </w:r>
      <w:r w:rsidRPr="009920F1">
        <w:rPr>
          <w:rFonts w:ascii="Arial" w:hAnsi="Arial" w:cs="Arial"/>
          <w:color w:val="A6A6A6" w:themeColor="background1" w:themeShade="A6"/>
          <w:sz w:val="22"/>
          <w:szCs w:val="22"/>
          <w:lang w:val="en-GB"/>
        </w:rPr>
        <w:t>, it allows only the debtor to file for a</w:t>
      </w:r>
      <w:r w:rsidR="00746DEF">
        <w:rPr>
          <w:rFonts w:ascii="Arial" w:hAnsi="Arial" w:cs="Arial"/>
          <w:color w:val="A6A6A6" w:themeColor="background1" w:themeShade="A6"/>
          <w:sz w:val="22"/>
          <w:szCs w:val="22"/>
          <w:lang w:val="en-GB"/>
        </w:rPr>
        <w:t>n</w:t>
      </w:r>
      <w:r w:rsidRPr="009920F1">
        <w:rPr>
          <w:rFonts w:ascii="Arial" w:hAnsi="Arial" w:cs="Arial"/>
          <w:color w:val="A6A6A6" w:themeColor="background1" w:themeShade="A6"/>
          <w:sz w:val="22"/>
          <w:szCs w:val="22"/>
          <w:lang w:val="en-GB"/>
        </w:rPr>
        <w:t xml:space="preserve"> insolvency proceeding</w:t>
      </w:r>
      <w:r w:rsidR="002B5E9D" w:rsidRPr="009920F1">
        <w:rPr>
          <w:rFonts w:ascii="Arial" w:hAnsi="Arial" w:cs="Arial"/>
          <w:color w:val="A6A6A6" w:themeColor="background1" w:themeShade="A6"/>
          <w:sz w:val="22"/>
          <w:szCs w:val="22"/>
          <w:lang w:val="en-GB"/>
        </w:rPr>
        <w:t xml:space="preserve"> if it is likely to become unable to meet the future </w:t>
      </w:r>
      <w:r w:rsidR="009920F1" w:rsidRPr="009920F1">
        <w:rPr>
          <w:rFonts w:ascii="Arial" w:hAnsi="Arial" w:cs="Arial"/>
          <w:color w:val="A6A6A6" w:themeColor="background1" w:themeShade="A6"/>
          <w:sz w:val="22"/>
          <w:szCs w:val="22"/>
          <w:lang w:val="en-GB"/>
        </w:rPr>
        <w:t>obligations</w:t>
      </w:r>
      <w:r w:rsidR="002B5E9D" w:rsidRPr="009920F1">
        <w:rPr>
          <w:rFonts w:ascii="Arial" w:hAnsi="Arial" w:cs="Arial"/>
          <w:color w:val="A6A6A6" w:themeColor="background1" w:themeShade="A6"/>
          <w:sz w:val="22"/>
          <w:szCs w:val="22"/>
          <w:lang w:val="en-GB"/>
        </w:rPr>
        <w:t xml:space="preserve"> o</w:t>
      </w:r>
      <w:r w:rsidR="009920F1">
        <w:rPr>
          <w:rFonts w:ascii="Arial" w:hAnsi="Arial" w:cs="Arial"/>
          <w:color w:val="A6A6A6" w:themeColor="background1" w:themeShade="A6"/>
          <w:sz w:val="22"/>
          <w:szCs w:val="22"/>
          <w:lang w:val="en-GB"/>
        </w:rPr>
        <w:t>f</w:t>
      </w:r>
      <w:r w:rsidR="002B5E9D" w:rsidRPr="009920F1">
        <w:rPr>
          <w:rFonts w:ascii="Arial" w:hAnsi="Arial" w:cs="Arial"/>
          <w:color w:val="A6A6A6" w:themeColor="background1" w:themeShade="A6"/>
          <w:sz w:val="22"/>
          <w:szCs w:val="22"/>
          <w:lang w:val="en-GB"/>
        </w:rPr>
        <w:t xml:space="preserve"> payments. </w:t>
      </w:r>
    </w:p>
    <w:p w14:paraId="16014AB3" w14:textId="4A9B6654" w:rsidR="00C22848" w:rsidRDefault="00C22848" w:rsidP="00C34152">
      <w:pPr>
        <w:jc w:val="both"/>
        <w:rPr>
          <w:rFonts w:ascii="Arial" w:hAnsi="Arial" w:cs="Arial"/>
          <w:color w:val="A6A6A6" w:themeColor="background1" w:themeShade="A6"/>
          <w:sz w:val="22"/>
          <w:szCs w:val="22"/>
          <w:lang w:val="en-GB"/>
        </w:rPr>
      </w:pPr>
    </w:p>
    <w:p w14:paraId="46B19249" w14:textId="01F60FD2" w:rsidR="00C22848" w:rsidRPr="009920F1" w:rsidRDefault="00C22848"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short, insolvency can be defined th</w:t>
      </w:r>
      <w:r w:rsidR="00746DEF">
        <w:rPr>
          <w:rFonts w:ascii="Arial" w:hAnsi="Arial" w:cs="Arial"/>
          <w:color w:val="A6A6A6" w:themeColor="background1" w:themeShade="A6"/>
          <w:sz w:val="22"/>
          <w:szCs w:val="22"/>
          <w:lang w:val="en-GB"/>
        </w:rPr>
        <w:t>rough</w:t>
      </w:r>
      <w:r>
        <w:rPr>
          <w:rFonts w:ascii="Arial" w:hAnsi="Arial" w:cs="Arial"/>
          <w:color w:val="A6A6A6" w:themeColor="background1" w:themeShade="A6"/>
          <w:sz w:val="22"/>
          <w:szCs w:val="22"/>
          <w:lang w:val="en-GB"/>
        </w:rPr>
        <w:t xml:space="preserve"> the legislation in several ways as described above. Therefore, to be eligible to commence an insolvency proceeding, the debtor/creditor should be able to demonstrate the occurrence of at least one of </w:t>
      </w:r>
      <w:r w:rsidR="00746DEF">
        <w:rPr>
          <w:rFonts w:ascii="Arial" w:hAnsi="Arial" w:cs="Arial"/>
          <w:color w:val="A6A6A6" w:themeColor="background1" w:themeShade="A6"/>
          <w:sz w:val="22"/>
          <w:szCs w:val="22"/>
          <w:lang w:val="en-GB"/>
        </w:rPr>
        <w:t>the aforementioned hypothesis</w:t>
      </w:r>
      <w:r>
        <w:rPr>
          <w:rFonts w:ascii="Arial" w:hAnsi="Arial" w:cs="Arial"/>
          <w:color w:val="A6A6A6" w:themeColor="background1" w:themeShade="A6"/>
          <w:sz w:val="22"/>
          <w:szCs w:val="22"/>
          <w:lang w:val="en-GB"/>
        </w:rPr>
        <w:t>.</w:t>
      </w:r>
    </w:p>
    <w:p w14:paraId="41E78BAE" w14:textId="77777777" w:rsidR="002B5E9D" w:rsidRPr="00E349CE" w:rsidRDefault="002B5E9D"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2DBEA140" w:rsidR="00C34152" w:rsidRDefault="00C34152" w:rsidP="00C34152">
      <w:pPr>
        <w:pStyle w:val="ListParagraph"/>
        <w:ind w:left="0"/>
        <w:rPr>
          <w:rFonts w:ascii="Arial" w:hAnsi="Arial" w:cs="Arial"/>
          <w:sz w:val="22"/>
          <w:szCs w:val="22"/>
          <w:lang w:val="en-GB"/>
        </w:rPr>
      </w:pPr>
    </w:p>
    <w:p w14:paraId="6FAED603" w14:textId="2BB988F0" w:rsidR="001A7EC2" w:rsidRDefault="003D41BA" w:rsidP="00746DEF">
      <w:pPr>
        <w:pStyle w:val="ListParagraph"/>
        <w:ind w:left="0"/>
        <w:jc w:val="both"/>
        <w:rPr>
          <w:rFonts w:ascii="Arial" w:hAnsi="Arial" w:cs="Arial"/>
          <w:color w:val="A6A6A6" w:themeColor="background1" w:themeShade="A6"/>
          <w:sz w:val="22"/>
          <w:szCs w:val="22"/>
          <w:lang w:val="en-GB"/>
        </w:rPr>
      </w:pPr>
      <w:r w:rsidRPr="003E0003">
        <w:rPr>
          <w:rFonts w:ascii="Arial" w:hAnsi="Arial" w:cs="Arial"/>
          <w:color w:val="A6A6A6" w:themeColor="background1" w:themeShade="A6"/>
          <w:sz w:val="22"/>
          <w:szCs w:val="22"/>
          <w:lang w:val="en-GB"/>
        </w:rPr>
        <w:t xml:space="preserve">If the debtor does not have to file for insolvency </w:t>
      </w:r>
      <w:r w:rsidR="00746DEF">
        <w:rPr>
          <w:rFonts w:ascii="Arial" w:hAnsi="Arial" w:cs="Arial"/>
          <w:color w:val="A6A6A6" w:themeColor="background1" w:themeShade="A6"/>
          <w:sz w:val="22"/>
          <w:szCs w:val="22"/>
          <w:lang w:val="en-GB"/>
        </w:rPr>
        <w:t>according</w:t>
      </w:r>
      <w:r w:rsidRPr="003E0003">
        <w:rPr>
          <w:rFonts w:ascii="Arial" w:hAnsi="Arial" w:cs="Arial"/>
          <w:color w:val="A6A6A6" w:themeColor="background1" w:themeShade="A6"/>
          <w:sz w:val="22"/>
          <w:szCs w:val="22"/>
          <w:lang w:val="en-GB"/>
        </w:rPr>
        <w:t xml:space="preserve"> to Sections 15a, 15b InsO, but is facing imminent illiquidity (drohende Zahlungsunfähigkeit, Section 18 InsO), the debtor may, to prevent insolvency proceedings, initiate</w:t>
      </w:r>
      <w:r w:rsidR="00746DEF">
        <w:rPr>
          <w:rFonts w:ascii="Arial" w:hAnsi="Arial" w:cs="Arial"/>
          <w:color w:val="A6A6A6" w:themeColor="background1" w:themeShade="A6"/>
          <w:sz w:val="22"/>
          <w:szCs w:val="22"/>
          <w:lang w:val="en-GB"/>
        </w:rPr>
        <w:t xml:space="preserve"> a</w:t>
      </w:r>
      <w:r w:rsidRPr="003E0003">
        <w:rPr>
          <w:rFonts w:ascii="Arial" w:hAnsi="Arial" w:cs="Arial"/>
          <w:color w:val="A6A6A6" w:themeColor="background1" w:themeShade="A6"/>
          <w:sz w:val="22"/>
          <w:szCs w:val="22"/>
          <w:lang w:val="en-GB"/>
        </w:rPr>
        <w:t xml:space="preserve"> (pre-insolvency) restructuring</w:t>
      </w:r>
      <w:r w:rsidR="001A7EC2">
        <w:rPr>
          <w:rFonts w:ascii="Arial" w:hAnsi="Arial" w:cs="Arial"/>
          <w:color w:val="A6A6A6" w:themeColor="background1" w:themeShade="A6"/>
          <w:sz w:val="22"/>
          <w:szCs w:val="22"/>
          <w:lang w:val="en-GB"/>
        </w:rPr>
        <w:t xml:space="preserve"> as an alternative</w:t>
      </w:r>
      <w:r w:rsidRPr="003E0003">
        <w:rPr>
          <w:rFonts w:ascii="Arial" w:hAnsi="Arial" w:cs="Arial"/>
          <w:color w:val="A6A6A6" w:themeColor="background1" w:themeShade="A6"/>
          <w:sz w:val="22"/>
          <w:szCs w:val="22"/>
          <w:lang w:val="en-GB"/>
        </w:rPr>
        <w:t xml:space="preserve"> proceeding</w:t>
      </w:r>
      <w:r w:rsidR="001A7EC2">
        <w:rPr>
          <w:rFonts w:ascii="Arial" w:hAnsi="Arial" w:cs="Arial"/>
          <w:color w:val="A6A6A6" w:themeColor="background1" w:themeShade="A6"/>
          <w:sz w:val="22"/>
          <w:szCs w:val="22"/>
          <w:lang w:val="en-GB"/>
        </w:rPr>
        <w:t xml:space="preserve"> </w:t>
      </w:r>
      <w:r w:rsidR="00746DEF">
        <w:rPr>
          <w:rFonts w:ascii="Arial" w:hAnsi="Arial" w:cs="Arial"/>
          <w:color w:val="A6A6A6" w:themeColor="background1" w:themeShade="A6"/>
          <w:sz w:val="22"/>
          <w:szCs w:val="22"/>
          <w:lang w:val="en-GB"/>
        </w:rPr>
        <w:t>under</w:t>
      </w:r>
      <w:r w:rsidRPr="003E0003">
        <w:rPr>
          <w:rFonts w:ascii="Arial" w:hAnsi="Arial" w:cs="Arial"/>
          <w:color w:val="A6A6A6" w:themeColor="background1" w:themeShade="A6"/>
          <w:sz w:val="22"/>
          <w:szCs w:val="22"/>
          <w:lang w:val="en-GB"/>
        </w:rPr>
        <w:t xml:space="preserve"> the StaRUG</w:t>
      </w:r>
      <w:r w:rsidR="001A7EC2">
        <w:rPr>
          <w:rFonts w:ascii="Arial" w:hAnsi="Arial" w:cs="Arial"/>
          <w:color w:val="A6A6A6" w:themeColor="background1" w:themeShade="A6"/>
          <w:sz w:val="22"/>
          <w:szCs w:val="22"/>
          <w:lang w:val="en-GB"/>
        </w:rPr>
        <w:t>.</w:t>
      </w:r>
    </w:p>
    <w:p w14:paraId="5CA9F80F" w14:textId="77777777" w:rsidR="001A7EC2" w:rsidRDefault="001A7EC2" w:rsidP="00746DEF">
      <w:pPr>
        <w:pStyle w:val="ListParagraph"/>
        <w:ind w:left="0"/>
        <w:jc w:val="both"/>
        <w:rPr>
          <w:rFonts w:ascii="Arial" w:hAnsi="Arial" w:cs="Arial"/>
          <w:color w:val="A6A6A6" w:themeColor="background1" w:themeShade="A6"/>
          <w:sz w:val="22"/>
          <w:szCs w:val="22"/>
          <w:lang w:val="en-GB"/>
        </w:rPr>
      </w:pPr>
    </w:p>
    <w:p w14:paraId="2AD676C7" w14:textId="720EF2B6" w:rsidR="001A7EC2" w:rsidRDefault="008645C1"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StaRUG offer instruments, and particular court proceeding for </w:t>
      </w:r>
      <w:r w:rsidR="003B464E">
        <w:rPr>
          <w:rFonts w:ascii="Arial" w:hAnsi="Arial" w:cs="Arial"/>
          <w:color w:val="A6A6A6" w:themeColor="background1" w:themeShade="A6"/>
          <w:sz w:val="22"/>
          <w:szCs w:val="22"/>
          <w:lang w:val="en-GB"/>
        </w:rPr>
        <w:t xml:space="preserve">(i) </w:t>
      </w:r>
      <w:r>
        <w:rPr>
          <w:rFonts w:ascii="Arial" w:hAnsi="Arial" w:cs="Arial"/>
          <w:color w:val="A6A6A6" w:themeColor="background1" w:themeShade="A6"/>
          <w:sz w:val="22"/>
          <w:szCs w:val="22"/>
          <w:lang w:val="en-GB"/>
        </w:rPr>
        <w:t xml:space="preserve">voting on a </w:t>
      </w:r>
      <w:r w:rsidR="001A7EC2">
        <w:rPr>
          <w:rFonts w:ascii="Arial" w:hAnsi="Arial" w:cs="Arial"/>
          <w:color w:val="A6A6A6" w:themeColor="background1" w:themeShade="A6"/>
          <w:sz w:val="22"/>
          <w:szCs w:val="22"/>
          <w:lang w:val="en-GB"/>
        </w:rPr>
        <w:t>r</w:t>
      </w:r>
      <w:r w:rsidR="001464AA">
        <w:rPr>
          <w:rFonts w:ascii="Arial" w:hAnsi="Arial" w:cs="Arial"/>
          <w:color w:val="A6A6A6" w:themeColor="background1" w:themeShade="A6"/>
          <w:sz w:val="22"/>
          <w:szCs w:val="22"/>
          <w:lang w:val="en-GB"/>
        </w:rPr>
        <w:t>estructuring</w:t>
      </w:r>
      <w:r>
        <w:rPr>
          <w:rFonts w:ascii="Arial" w:hAnsi="Arial" w:cs="Arial"/>
          <w:color w:val="A6A6A6" w:themeColor="background1" w:themeShade="A6"/>
          <w:sz w:val="22"/>
          <w:szCs w:val="22"/>
          <w:lang w:val="en-GB"/>
        </w:rPr>
        <w:t xml:space="preserve"> plan,</w:t>
      </w:r>
      <w:r w:rsidR="003B464E">
        <w:rPr>
          <w:rFonts w:ascii="Arial" w:hAnsi="Arial" w:cs="Arial"/>
          <w:color w:val="A6A6A6" w:themeColor="background1" w:themeShade="A6"/>
          <w:sz w:val="22"/>
          <w:szCs w:val="22"/>
          <w:lang w:val="en-GB"/>
        </w:rPr>
        <w:t>(ii)</w:t>
      </w:r>
      <w:r>
        <w:rPr>
          <w:rFonts w:ascii="Arial" w:hAnsi="Arial" w:cs="Arial"/>
          <w:color w:val="A6A6A6" w:themeColor="background1" w:themeShade="A6"/>
          <w:sz w:val="22"/>
          <w:szCs w:val="22"/>
          <w:lang w:val="en-GB"/>
        </w:rPr>
        <w:t xml:space="preserve"> the preliminary examination by a court o</w:t>
      </w:r>
      <w:r w:rsidR="001A7EC2">
        <w:rPr>
          <w:rFonts w:ascii="Arial" w:hAnsi="Arial" w:cs="Arial"/>
          <w:color w:val="A6A6A6" w:themeColor="background1" w:themeShade="A6"/>
          <w:sz w:val="22"/>
          <w:szCs w:val="22"/>
          <w:lang w:val="en-GB"/>
        </w:rPr>
        <w:t>f</w:t>
      </w:r>
      <w:r>
        <w:rPr>
          <w:rFonts w:ascii="Arial" w:hAnsi="Arial" w:cs="Arial"/>
          <w:color w:val="A6A6A6" w:themeColor="background1" w:themeShade="A6"/>
          <w:sz w:val="22"/>
          <w:szCs w:val="22"/>
          <w:lang w:val="en-GB"/>
        </w:rPr>
        <w:t xml:space="preserve"> the questions for the confirmation o</w:t>
      </w:r>
      <w:r w:rsidR="001A7EC2">
        <w:rPr>
          <w:rFonts w:ascii="Arial" w:hAnsi="Arial" w:cs="Arial"/>
          <w:color w:val="A6A6A6" w:themeColor="background1" w:themeShade="A6"/>
          <w:sz w:val="22"/>
          <w:szCs w:val="22"/>
          <w:lang w:val="en-GB"/>
        </w:rPr>
        <w:t>n</w:t>
      </w:r>
      <w:r>
        <w:rPr>
          <w:rFonts w:ascii="Arial" w:hAnsi="Arial" w:cs="Arial"/>
          <w:color w:val="A6A6A6" w:themeColor="background1" w:themeShade="A6"/>
          <w:sz w:val="22"/>
          <w:szCs w:val="22"/>
          <w:lang w:val="en-GB"/>
        </w:rPr>
        <w:t xml:space="preserve"> a plan</w:t>
      </w:r>
      <w:r w:rsidR="003B464E">
        <w:rPr>
          <w:rFonts w:ascii="Arial" w:hAnsi="Arial" w:cs="Arial"/>
          <w:color w:val="A6A6A6" w:themeColor="background1" w:themeShade="A6"/>
          <w:sz w:val="22"/>
          <w:szCs w:val="22"/>
          <w:lang w:val="en-GB"/>
        </w:rPr>
        <w:t>; (iii)</w:t>
      </w:r>
      <w:r>
        <w:rPr>
          <w:rFonts w:ascii="Arial" w:hAnsi="Arial" w:cs="Arial"/>
          <w:color w:val="A6A6A6" w:themeColor="background1" w:themeShade="A6"/>
          <w:sz w:val="22"/>
          <w:szCs w:val="22"/>
          <w:lang w:val="en-GB"/>
        </w:rPr>
        <w:t xml:space="preserve"> a court-ordered moratorium</w:t>
      </w:r>
      <w:r w:rsidR="003B464E">
        <w:rPr>
          <w:rFonts w:ascii="Arial" w:hAnsi="Arial" w:cs="Arial"/>
          <w:color w:val="A6A6A6" w:themeColor="background1" w:themeShade="A6"/>
          <w:sz w:val="22"/>
          <w:szCs w:val="22"/>
          <w:lang w:val="en-GB"/>
        </w:rPr>
        <w:t>; (iv) t</w:t>
      </w:r>
      <w:r>
        <w:rPr>
          <w:rFonts w:ascii="Arial" w:hAnsi="Arial" w:cs="Arial"/>
          <w:color w:val="A6A6A6" w:themeColor="background1" w:themeShade="A6"/>
          <w:sz w:val="22"/>
          <w:szCs w:val="22"/>
          <w:lang w:val="en-GB"/>
        </w:rPr>
        <w:t xml:space="preserve">he court approval of a </w:t>
      </w:r>
      <w:r w:rsidR="001464AA">
        <w:rPr>
          <w:rFonts w:ascii="Arial" w:hAnsi="Arial" w:cs="Arial"/>
          <w:color w:val="A6A6A6" w:themeColor="background1" w:themeShade="A6"/>
          <w:sz w:val="22"/>
          <w:szCs w:val="22"/>
          <w:lang w:val="en-GB"/>
        </w:rPr>
        <w:t>restructuring</w:t>
      </w:r>
      <w:r>
        <w:rPr>
          <w:rFonts w:ascii="Arial" w:hAnsi="Arial" w:cs="Arial"/>
          <w:color w:val="A6A6A6" w:themeColor="background1" w:themeShade="A6"/>
          <w:sz w:val="22"/>
          <w:szCs w:val="22"/>
          <w:lang w:val="en-GB"/>
        </w:rPr>
        <w:t xml:space="preserve"> plan and</w:t>
      </w:r>
      <w:r w:rsidR="003B464E">
        <w:rPr>
          <w:rFonts w:ascii="Arial" w:hAnsi="Arial" w:cs="Arial"/>
          <w:color w:val="A6A6A6" w:themeColor="background1" w:themeShade="A6"/>
          <w:sz w:val="22"/>
          <w:szCs w:val="22"/>
          <w:lang w:val="en-GB"/>
        </w:rPr>
        <w:t xml:space="preserve"> (v)</w:t>
      </w:r>
      <w:r>
        <w:rPr>
          <w:rFonts w:ascii="Arial" w:hAnsi="Arial" w:cs="Arial"/>
          <w:color w:val="A6A6A6" w:themeColor="background1" w:themeShade="A6"/>
          <w:sz w:val="22"/>
          <w:szCs w:val="22"/>
          <w:lang w:val="en-GB"/>
        </w:rPr>
        <w:t xml:space="preserve"> the appointment of a mediator. </w:t>
      </w:r>
    </w:p>
    <w:p w14:paraId="4F30DC51" w14:textId="77777777" w:rsidR="001A7EC2" w:rsidRDefault="001A7EC2" w:rsidP="00746DEF">
      <w:pPr>
        <w:pStyle w:val="ListParagraph"/>
        <w:ind w:left="0"/>
        <w:jc w:val="both"/>
        <w:rPr>
          <w:rFonts w:ascii="Arial" w:hAnsi="Arial" w:cs="Arial"/>
          <w:color w:val="A6A6A6" w:themeColor="background1" w:themeShade="A6"/>
          <w:sz w:val="22"/>
          <w:szCs w:val="22"/>
          <w:lang w:val="en-GB"/>
        </w:rPr>
      </w:pPr>
    </w:p>
    <w:p w14:paraId="053CE421" w14:textId="7D45FCDB" w:rsidR="009F4558" w:rsidRDefault="001464AA"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The</w:t>
      </w:r>
      <w:r w:rsidR="00560E5E">
        <w:rPr>
          <w:rFonts w:ascii="Arial" w:hAnsi="Arial" w:cs="Arial"/>
          <w:color w:val="A6A6A6" w:themeColor="background1" w:themeShade="A6"/>
          <w:sz w:val="22"/>
          <w:szCs w:val="22"/>
          <w:lang w:val="en-GB"/>
        </w:rPr>
        <w:t xml:space="preserve"> StaRUG is available </w:t>
      </w:r>
      <w:r w:rsidR="00CC096B">
        <w:rPr>
          <w:rFonts w:ascii="Arial" w:hAnsi="Arial" w:cs="Arial"/>
          <w:color w:val="A6A6A6" w:themeColor="background1" w:themeShade="A6"/>
          <w:sz w:val="22"/>
          <w:szCs w:val="22"/>
          <w:lang w:val="en-GB"/>
        </w:rPr>
        <w:t>f</w:t>
      </w:r>
      <w:r w:rsidR="00560E5E">
        <w:rPr>
          <w:rFonts w:ascii="Arial" w:hAnsi="Arial" w:cs="Arial"/>
          <w:color w:val="A6A6A6" w:themeColor="background1" w:themeShade="A6"/>
          <w:sz w:val="22"/>
          <w:szCs w:val="22"/>
          <w:lang w:val="en-GB"/>
        </w:rPr>
        <w:t xml:space="preserve">or </w:t>
      </w:r>
      <w:r w:rsidR="00746DEF">
        <w:rPr>
          <w:rFonts w:ascii="Arial" w:hAnsi="Arial" w:cs="Arial"/>
          <w:color w:val="A6A6A6" w:themeColor="background1" w:themeShade="A6"/>
          <w:sz w:val="22"/>
          <w:szCs w:val="22"/>
          <w:lang w:val="en-GB"/>
        </w:rPr>
        <w:t xml:space="preserve">a </w:t>
      </w:r>
      <w:r w:rsidR="00560E5E">
        <w:rPr>
          <w:rFonts w:ascii="Arial" w:hAnsi="Arial" w:cs="Arial"/>
          <w:color w:val="A6A6A6" w:themeColor="background1" w:themeShade="A6"/>
          <w:sz w:val="22"/>
          <w:szCs w:val="22"/>
          <w:lang w:val="en-GB"/>
        </w:rPr>
        <w:t xml:space="preserve">natural person </w:t>
      </w:r>
      <w:r w:rsidR="00CC096B">
        <w:rPr>
          <w:rFonts w:ascii="Arial" w:hAnsi="Arial" w:cs="Arial"/>
          <w:color w:val="A6A6A6" w:themeColor="background1" w:themeShade="A6"/>
          <w:sz w:val="22"/>
          <w:szCs w:val="22"/>
          <w:lang w:val="en-GB"/>
        </w:rPr>
        <w:t>or</w:t>
      </w:r>
      <w:r w:rsidR="00560E5E">
        <w:rPr>
          <w:rFonts w:ascii="Arial" w:hAnsi="Arial" w:cs="Arial"/>
          <w:color w:val="A6A6A6" w:themeColor="background1" w:themeShade="A6"/>
          <w:sz w:val="22"/>
          <w:szCs w:val="22"/>
          <w:lang w:val="en-GB"/>
        </w:rPr>
        <w:t xml:space="preserve"> entrepreneur (not a consumer) </w:t>
      </w:r>
      <w:r w:rsidR="001A7EC2">
        <w:rPr>
          <w:rFonts w:ascii="Arial" w:hAnsi="Arial" w:cs="Arial"/>
          <w:color w:val="A6A6A6" w:themeColor="background1" w:themeShade="A6"/>
          <w:sz w:val="22"/>
          <w:szCs w:val="22"/>
          <w:lang w:val="en-GB"/>
        </w:rPr>
        <w:t xml:space="preserve">that </w:t>
      </w:r>
      <w:r w:rsidR="00560E5E">
        <w:rPr>
          <w:rFonts w:ascii="Arial" w:hAnsi="Arial" w:cs="Arial"/>
          <w:color w:val="A6A6A6" w:themeColor="background1" w:themeShade="A6"/>
          <w:sz w:val="22"/>
          <w:szCs w:val="22"/>
          <w:lang w:val="en-GB"/>
        </w:rPr>
        <w:t xml:space="preserve">is in </w:t>
      </w:r>
      <w:r w:rsidR="00746DEF">
        <w:rPr>
          <w:rFonts w:ascii="Arial" w:hAnsi="Arial" w:cs="Arial"/>
          <w:color w:val="A6A6A6" w:themeColor="background1" w:themeShade="A6"/>
          <w:sz w:val="22"/>
          <w:szCs w:val="22"/>
          <w:lang w:val="en-GB"/>
        </w:rPr>
        <w:t xml:space="preserve">a </w:t>
      </w:r>
      <w:r w:rsidR="00560E5E">
        <w:rPr>
          <w:rFonts w:ascii="Arial" w:hAnsi="Arial" w:cs="Arial"/>
          <w:color w:val="A6A6A6" w:themeColor="background1" w:themeShade="A6"/>
          <w:sz w:val="22"/>
          <w:szCs w:val="22"/>
          <w:lang w:val="en-GB"/>
        </w:rPr>
        <w:t>financial state of imminent inability to pay the debts (but no</w:t>
      </w:r>
      <w:r>
        <w:rPr>
          <w:rFonts w:ascii="Arial" w:hAnsi="Arial" w:cs="Arial"/>
          <w:color w:val="A6A6A6" w:themeColor="background1" w:themeShade="A6"/>
          <w:sz w:val="22"/>
          <w:szCs w:val="22"/>
          <w:lang w:val="en-GB"/>
        </w:rPr>
        <w:t>t</w:t>
      </w:r>
      <w:r w:rsidR="00560E5E">
        <w:rPr>
          <w:rFonts w:ascii="Arial" w:hAnsi="Arial" w:cs="Arial"/>
          <w:color w:val="A6A6A6" w:themeColor="background1" w:themeShade="A6"/>
          <w:sz w:val="22"/>
          <w:szCs w:val="22"/>
          <w:lang w:val="en-GB"/>
        </w:rPr>
        <w:t xml:space="preserve"> </w:t>
      </w:r>
      <w:r>
        <w:rPr>
          <w:rFonts w:ascii="Arial" w:hAnsi="Arial" w:cs="Arial"/>
          <w:color w:val="A6A6A6" w:themeColor="background1" w:themeShade="A6"/>
          <w:sz w:val="22"/>
          <w:szCs w:val="22"/>
          <w:lang w:val="en-GB"/>
        </w:rPr>
        <w:t>substantively</w:t>
      </w:r>
      <w:r w:rsidR="00560E5E">
        <w:rPr>
          <w:rFonts w:ascii="Arial" w:hAnsi="Arial" w:cs="Arial"/>
          <w:color w:val="A6A6A6" w:themeColor="background1" w:themeShade="A6"/>
          <w:sz w:val="22"/>
          <w:szCs w:val="22"/>
          <w:lang w:val="en-GB"/>
        </w:rPr>
        <w:t xml:space="preserve"> insolvent yet)</w:t>
      </w:r>
      <w:r w:rsidR="008C606D">
        <w:rPr>
          <w:rFonts w:ascii="Arial" w:hAnsi="Arial" w:cs="Arial"/>
          <w:color w:val="A6A6A6" w:themeColor="background1" w:themeShade="A6"/>
          <w:sz w:val="22"/>
          <w:szCs w:val="22"/>
          <w:lang w:val="en-GB"/>
        </w:rPr>
        <w:t xml:space="preserve">. </w:t>
      </w:r>
    </w:p>
    <w:p w14:paraId="47616C12" w14:textId="330BB0DB" w:rsidR="008C606D" w:rsidRPr="00D05CA4" w:rsidRDefault="008C606D"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It is important to bear in mind that the StaRUG is not a</w:t>
      </w:r>
      <w:r w:rsidR="00746DEF">
        <w:rPr>
          <w:rFonts w:ascii="Arial" w:hAnsi="Arial" w:cs="Arial"/>
          <w:color w:val="A6A6A6" w:themeColor="background1" w:themeShade="A6"/>
          <w:sz w:val="22"/>
          <w:szCs w:val="22"/>
          <w:lang w:val="en-GB"/>
        </w:rPr>
        <w:t>n</w:t>
      </w:r>
      <w:r>
        <w:rPr>
          <w:rFonts w:ascii="Arial" w:hAnsi="Arial" w:cs="Arial"/>
          <w:color w:val="A6A6A6" w:themeColor="background1" w:themeShade="A6"/>
          <w:sz w:val="22"/>
          <w:szCs w:val="22"/>
          <w:lang w:val="en-GB"/>
        </w:rPr>
        <w:t xml:space="preserve"> insolvency </w:t>
      </w:r>
      <w:r w:rsidR="001464AA">
        <w:rPr>
          <w:rFonts w:ascii="Arial" w:hAnsi="Arial" w:cs="Arial"/>
          <w:color w:val="A6A6A6" w:themeColor="background1" w:themeShade="A6"/>
          <w:sz w:val="22"/>
          <w:szCs w:val="22"/>
          <w:lang w:val="en-GB"/>
        </w:rPr>
        <w:t>statute since</w:t>
      </w:r>
      <w:r>
        <w:rPr>
          <w:rFonts w:ascii="Arial" w:hAnsi="Arial" w:cs="Arial"/>
          <w:color w:val="A6A6A6" w:themeColor="background1" w:themeShade="A6"/>
          <w:sz w:val="22"/>
          <w:szCs w:val="22"/>
          <w:lang w:val="en-GB"/>
        </w:rPr>
        <w:t xml:space="preserve"> deals with pre</w:t>
      </w:r>
      <w:r w:rsidR="00746DEF">
        <w:rPr>
          <w:rFonts w:ascii="Arial" w:hAnsi="Arial" w:cs="Arial"/>
          <w:color w:val="A6A6A6" w:themeColor="background1" w:themeShade="A6"/>
          <w:sz w:val="22"/>
          <w:szCs w:val="22"/>
          <w:lang w:val="en-GB"/>
        </w:rPr>
        <w:t>-</w:t>
      </w:r>
      <w:r>
        <w:rPr>
          <w:rFonts w:ascii="Arial" w:hAnsi="Arial" w:cs="Arial"/>
          <w:color w:val="A6A6A6" w:themeColor="background1" w:themeShade="A6"/>
          <w:sz w:val="22"/>
          <w:szCs w:val="22"/>
          <w:lang w:val="en-GB"/>
        </w:rPr>
        <w:t xml:space="preserve">insolvency negotiation and restructuring. </w:t>
      </w:r>
      <w:r w:rsidR="00FC65A8">
        <w:rPr>
          <w:rFonts w:ascii="Arial" w:hAnsi="Arial" w:cs="Arial"/>
          <w:color w:val="A6A6A6" w:themeColor="background1" w:themeShade="A6"/>
          <w:sz w:val="22"/>
          <w:szCs w:val="22"/>
          <w:lang w:val="en-GB"/>
        </w:rPr>
        <w:t>Given that</w:t>
      </w:r>
      <w:r w:rsidR="00746DEF">
        <w:rPr>
          <w:rFonts w:ascii="Arial" w:hAnsi="Arial" w:cs="Arial"/>
          <w:color w:val="A6A6A6" w:themeColor="background1" w:themeShade="A6"/>
          <w:sz w:val="22"/>
          <w:szCs w:val="22"/>
          <w:lang w:val="en-GB"/>
        </w:rPr>
        <w:t xml:space="preserve"> </w:t>
      </w:r>
      <w:r>
        <w:rPr>
          <w:rFonts w:ascii="Arial" w:hAnsi="Arial" w:cs="Arial"/>
          <w:color w:val="A6A6A6" w:themeColor="background1" w:themeShade="A6"/>
          <w:sz w:val="22"/>
          <w:szCs w:val="22"/>
          <w:lang w:val="en-GB"/>
        </w:rPr>
        <w:t>to be able to join the proceedings on insO the debtor must satisfy the requisites of the insolvency proceedings</w:t>
      </w:r>
      <w:r w:rsidR="006066F9">
        <w:rPr>
          <w:rFonts w:ascii="Arial" w:hAnsi="Arial" w:cs="Arial"/>
          <w:color w:val="A6A6A6" w:themeColor="background1" w:themeShade="A6"/>
          <w:sz w:val="22"/>
          <w:szCs w:val="22"/>
          <w:lang w:val="en-GB"/>
        </w:rPr>
        <w:t xml:space="preserve"> and if the debtor is not in that place yet, it can file for a StaRUG proceeding</w:t>
      </w:r>
      <w:r>
        <w:rPr>
          <w:rFonts w:ascii="Arial" w:hAnsi="Arial" w:cs="Arial"/>
          <w:color w:val="A6A6A6" w:themeColor="background1" w:themeShade="A6"/>
          <w:sz w:val="22"/>
          <w:szCs w:val="22"/>
          <w:lang w:val="en-GB"/>
        </w:rPr>
        <w:t>.</w:t>
      </w:r>
      <w:r w:rsidR="00AB5C39">
        <w:rPr>
          <w:rFonts w:ascii="Arial" w:hAnsi="Arial" w:cs="Arial"/>
          <w:color w:val="A6A6A6" w:themeColor="background1" w:themeShade="A6"/>
          <w:sz w:val="22"/>
          <w:szCs w:val="22"/>
          <w:lang w:val="en-GB"/>
        </w:rPr>
        <w:t xml:space="preserve"> </w:t>
      </w:r>
    </w:p>
    <w:p w14:paraId="724E3744" w14:textId="299F687E" w:rsidR="004B14C9" w:rsidRPr="001464AA" w:rsidRDefault="004B14C9" w:rsidP="00746DEF">
      <w:pPr>
        <w:pStyle w:val="ListParagraph"/>
        <w:ind w:left="0"/>
        <w:jc w:val="both"/>
        <w:rPr>
          <w:rFonts w:ascii="Arial" w:hAnsi="Arial" w:cs="Arial"/>
          <w:color w:val="A6A6A6" w:themeColor="background1" w:themeShade="A6"/>
          <w:sz w:val="22"/>
          <w:szCs w:val="22"/>
          <w:lang w:val="en-GB"/>
        </w:rPr>
      </w:pPr>
    </w:p>
    <w:p w14:paraId="6B031977" w14:textId="034AE534" w:rsidR="00B30912" w:rsidRDefault="00CC096B" w:rsidP="00746DEF">
      <w:pPr>
        <w:pStyle w:val="ListParagraph"/>
        <w:ind w:left="0"/>
        <w:jc w:val="both"/>
        <w:rPr>
          <w:rFonts w:ascii="Arial" w:hAnsi="Arial" w:cs="Arial"/>
          <w:color w:val="A6A6A6" w:themeColor="background1" w:themeShade="A6"/>
          <w:sz w:val="22"/>
          <w:szCs w:val="22"/>
          <w:lang w:val="en-GB"/>
        </w:rPr>
      </w:pPr>
      <w:r w:rsidRPr="001464AA">
        <w:rPr>
          <w:rFonts w:ascii="Arial" w:hAnsi="Arial" w:cs="Arial"/>
          <w:color w:val="A6A6A6" w:themeColor="background1" w:themeShade="A6"/>
          <w:sz w:val="22"/>
          <w:szCs w:val="22"/>
          <w:lang w:val="en-GB"/>
        </w:rPr>
        <w:t>Under the StaRUG the debtor may commence a</w:t>
      </w:r>
      <w:r w:rsidR="006066F9">
        <w:rPr>
          <w:rFonts w:ascii="Arial" w:hAnsi="Arial" w:cs="Arial"/>
          <w:color w:val="A6A6A6" w:themeColor="background1" w:themeShade="A6"/>
          <w:sz w:val="22"/>
          <w:szCs w:val="22"/>
          <w:lang w:val="en-GB"/>
        </w:rPr>
        <w:t>n</w:t>
      </w:r>
      <w:r w:rsidRPr="001464AA">
        <w:rPr>
          <w:rFonts w:ascii="Arial" w:hAnsi="Arial" w:cs="Arial"/>
          <w:color w:val="A6A6A6" w:themeColor="background1" w:themeShade="A6"/>
          <w:sz w:val="22"/>
          <w:szCs w:val="22"/>
          <w:lang w:val="en-GB"/>
        </w:rPr>
        <w:t xml:space="preserve"> out</w:t>
      </w:r>
      <w:r w:rsidR="00746DEF">
        <w:rPr>
          <w:rFonts w:ascii="Arial" w:hAnsi="Arial" w:cs="Arial"/>
          <w:color w:val="A6A6A6" w:themeColor="background1" w:themeShade="A6"/>
          <w:sz w:val="22"/>
          <w:szCs w:val="22"/>
          <w:lang w:val="en-GB"/>
        </w:rPr>
        <w:t>-of-</w:t>
      </w:r>
      <w:r w:rsidRPr="001464AA">
        <w:rPr>
          <w:rFonts w:ascii="Arial" w:hAnsi="Arial" w:cs="Arial"/>
          <w:color w:val="A6A6A6" w:themeColor="background1" w:themeShade="A6"/>
          <w:sz w:val="22"/>
          <w:szCs w:val="22"/>
          <w:lang w:val="en-GB"/>
        </w:rPr>
        <w:t xml:space="preserve">court </w:t>
      </w:r>
      <w:r w:rsidR="001464AA" w:rsidRPr="001464AA">
        <w:rPr>
          <w:rFonts w:ascii="Arial" w:hAnsi="Arial" w:cs="Arial"/>
          <w:color w:val="A6A6A6" w:themeColor="background1" w:themeShade="A6"/>
          <w:sz w:val="22"/>
          <w:szCs w:val="22"/>
          <w:lang w:val="en-GB"/>
        </w:rPr>
        <w:t>negotiation</w:t>
      </w:r>
      <w:r w:rsidRPr="001464AA">
        <w:rPr>
          <w:rFonts w:ascii="Arial" w:hAnsi="Arial" w:cs="Arial"/>
          <w:color w:val="A6A6A6" w:themeColor="background1" w:themeShade="A6"/>
          <w:sz w:val="22"/>
          <w:szCs w:val="22"/>
          <w:lang w:val="en-GB"/>
        </w:rPr>
        <w:t xml:space="preserve"> with the creditors. The debtor will only receive court assistance if applied and related to </w:t>
      </w:r>
      <w:r w:rsidR="00427F97" w:rsidRPr="001464AA">
        <w:rPr>
          <w:rFonts w:ascii="Arial" w:hAnsi="Arial" w:cs="Arial"/>
          <w:color w:val="A6A6A6" w:themeColor="background1" w:themeShade="A6"/>
          <w:sz w:val="22"/>
          <w:szCs w:val="22"/>
          <w:lang w:val="en-GB"/>
        </w:rPr>
        <w:t xml:space="preserve">specific matters. Given </w:t>
      </w:r>
      <w:r w:rsidR="00427F97" w:rsidRPr="001464AA">
        <w:rPr>
          <w:rFonts w:ascii="Arial" w:hAnsi="Arial" w:cs="Arial"/>
          <w:color w:val="A6A6A6" w:themeColor="background1" w:themeShade="A6"/>
          <w:sz w:val="22"/>
          <w:szCs w:val="22"/>
          <w:lang w:val="en-GB"/>
        </w:rPr>
        <w:lastRenderedPageBreak/>
        <w:t>the preliminary nature, if the debtor becomes substantially insolvent, such</w:t>
      </w:r>
      <w:r w:rsidR="001464AA">
        <w:rPr>
          <w:rFonts w:ascii="Arial" w:hAnsi="Arial" w:cs="Arial"/>
          <w:color w:val="A6A6A6" w:themeColor="background1" w:themeShade="A6"/>
          <w:sz w:val="22"/>
          <w:szCs w:val="22"/>
          <w:lang w:val="en-GB"/>
        </w:rPr>
        <w:t xml:space="preserve"> </w:t>
      </w:r>
      <w:r w:rsidR="001464AA" w:rsidRPr="001464AA">
        <w:rPr>
          <w:rFonts w:ascii="Arial" w:hAnsi="Arial" w:cs="Arial"/>
          <w:color w:val="A6A6A6" w:themeColor="background1" w:themeShade="A6"/>
          <w:sz w:val="22"/>
          <w:szCs w:val="22"/>
          <w:lang w:val="en-GB"/>
        </w:rPr>
        <w:t>proceeding</w:t>
      </w:r>
      <w:r w:rsidR="00427F97" w:rsidRPr="001464AA">
        <w:rPr>
          <w:rFonts w:ascii="Arial" w:hAnsi="Arial" w:cs="Arial"/>
          <w:color w:val="A6A6A6" w:themeColor="background1" w:themeShade="A6"/>
          <w:sz w:val="22"/>
          <w:szCs w:val="22"/>
          <w:lang w:val="en-GB"/>
        </w:rPr>
        <w:t xml:space="preserve"> can be </w:t>
      </w:r>
      <w:r w:rsidR="005E5932" w:rsidRPr="001464AA">
        <w:rPr>
          <w:rFonts w:ascii="Arial" w:hAnsi="Arial" w:cs="Arial"/>
          <w:color w:val="A6A6A6" w:themeColor="background1" w:themeShade="A6"/>
          <w:sz w:val="22"/>
          <w:szCs w:val="22"/>
          <w:lang w:val="en-GB"/>
        </w:rPr>
        <w:t>stopped and converted in</w:t>
      </w:r>
      <w:r w:rsidR="00FC65A8">
        <w:rPr>
          <w:rFonts w:ascii="Arial" w:hAnsi="Arial" w:cs="Arial"/>
          <w:color w:val="A6A6A6" w:themeColor="background1" w:themeShade="A6"/>
          <w:sz w:val="22"/>
          <w:szCs w:val="22"/>
          <w:lang w:val="en-GB"/>
        </w:rPr>
        <w:t>to</w:t>
      </w:r>
      <w:r w:rsidR="005E5932" w:rsidRPr="001464AA">
        <w:rPr>
          <w:rFonts w:ascii="Arial" w:hAnsi="Arial" w:cs="Arial"/>
          <w:color w:val="A6A6A6" w:themeColor="background1" w:themeShade="A6"/>
          <w:sz w:val="22"/>
          <w:szCs w:val="22"/>
          <w:lang w:val="en-GB"/>
        </w:rPr>
        <w:t xml:space="preserve"> insolvency proceedings, but not automatically. </w:t>
      </w:r>
    </w:p>
    <w:p w14:paraId="6B47BD13" w14:textId="77777777" w:rsidR="00746DEF" w:rsidRPr="001464AA" w:rsidRDefault="00746DEF" w:rsidP="00746DEF">
      <w:pPr>
        <w:pStyle w:val="ListParagraph"/>
        <w:ind w:left="0"/>
        <w:jc w:val="both"/>
        <w:rPr>
          <w:rFonts w:ascii="Arial" w:hAnsi="Arial" w:cs="Arial"/>
          <w:color w:val="A6A6A6" w:themeColor="background1" w:themeShade="A6"/>
          <w:sz w:val="22"/>
          <w:szCs w:val="22"/>
          <w:lang w:val="en-GB"/>
        </w:rPr>
      </w:pPr>
    </w:p>
    <w:p w14:paraId="31AB9B0A" w14:textId="410EE5D7" w:rsidR="003D41BA" w:rsidRDefault="003D41BA" w:rsidP="00746DEF">
      <w:pPr>
        <w:pStyle w:val="ListParagraph"/>
        <w:ind w:left="0"/>
        <w:jc w:val="both"/>
        <w:rPr>
          <w:rFonts w:ascii="Arial" w:hAnsi="Arial" w:cs="Arial"/>
          <w:color w:val="A6A6A6" w:themeColor="background1" w:themeShade="A6"/>
          <w:sz w:val="22"/>
          <w:szCs w:val="22"/>
          <w:lang w:val="en-GB"/>
        </w:rPr>
      </w:pPr>
      <w:r w:rsidRPr="001464AA">
        <w:rPr>
          <w:rFonts w:ascii="Arial" w:hAnsi="Arial" w:cs="Arial"/>
          <w:color w:val="A6A6A6" w:themeColor="background1" w:themeShade="A6"/>
          <w:sz w:val="22"/>
          <w:szCs w:val="22"/>
          <w:lang w:val="en-GB"/>
        </w:rPr>
        <w:t xml:space="preserve">Section 29 </w:t>
      </w:r>
      <w:r w:rsidR="00746DEF">
        <w:rPr>
          <w:rFonts w:ascii="Arial" w:hAnsi="Arial" w:cs="Arial"/>
          <w:color w:val="A6A6A6" w:themeColor="background1" w:themeShade="A6"/>
          <w:sz w:val="22"/>
          <w:szCs w:val="22"/>
          <w:lang w:val="en-GB"/>
        </w:rPr>
        <w:t>§</w:t>
      </w:r>
      <w:r w:rsidRPr="001464AA">
        <w:rPr>
          <w:rFonts w:ascii="Arial" w:hAnsi="Arial" w:cs="Arial"/>
          <w:color w:val="A6A6A6" w:themeColor="background1" w:themeShade="A6"/>
          <w:sz w:val="22"/>
          <w:szCs w:val="22"/>
          <w:lang w:val="en-GB"/>
        </w:rPr>
        <w:t xml:space="preserve"> 2 StaRUG contains a conclusive list of the restructuring instruments provided to a company in difficulties as part of the pre-insolvency restructuring proceedings framework regulated by the StaRUG</w:t>
      </w:r>
      <w:r w:rsidR="001F1ED8">
        <w:rPr>
          <w:rFonts w:ascii="Arial" w:hAnsi="Arial" w:cs="Arial"/>
          <w:color w:val="A6A6A6" w:themeColor="background1" w:themeShade="A6"/>
          <w:sz w:val="22"/>
          <w:szCs w:val="22"/>
          <w:lang w:val="en-GB"/>
        </w:rPr>
        <w:t>.</w:t>
      </w:r>
    </w:p>
    <w:p w14:paraId="2C35118B" w14:textId="766D42D9" w:rsidR="001F1ED8" w:rsidRDefault="001F1ED8" w:rsidP="00746DEF">
      <w:pPr>
        <w:pStyle w:val="ListParagraph"/>
        <w:ind w:left="0"/>
        <w:jc w:val="both"/>
        <w:rPr>
          <w:rFonts w:ascii="Arial" w:hAnsi="Arial" w:cs="Arial"/>
          <w:color w:val="A6A6A6" w:themeColor="background1" w:themeShade="A6"/>
          <w:sz w:val="22"/>
          <w:szCs w:val="22"/>
          <w:lang w:val="en-GB"/>
        </w:rPr>
      </w:pPr>
    </w:p>
    <w:p w14:paraId="58AA6A6E" w14:textId="45263C9B" w:rsidR="00AA255C" w:rsidRDefault="00AA255C"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Also, the debtor can negotiate with the creditor to reach an agreement and get a </w:t>
      </w:r>
      <w:r w:rsidR="00AB5C39">
        <w:rPr>
          <w:rFonts w:ascii="Arial" w:hAnsi="Arial" w:cs="Arial"/>
          <w:color w:val="A6A6A6" w:themeColor="background1" w:themeShade="A6"/>
          <w:sz w:val="22"/>
          <w:szCs w:val="22"/>
          <w:lang w:val="en-GB"/>
        </w:rPr>
        <w:t>partial</w:t>
      </w:r>
      <w:r>
        <w:rPr>
          <w:rFonts w:ascii="Arial" w:hAnsi="Arial" w:cs="Arial"/>
          <w:color w:val="A6A6A6" w:themeColor="background1" w:themeShade="A6"/>
          <w:sz w:val="22"/>
          <w:szCs w:val="22"/>
          <w:lang w:val="en-GB"/>
        </w:rPr>
        <w:t xml:space="preserve"> waiver of the right to satisfaction. </w:t>
      </w:r>
      <w:r w:rsidR="00AB5C39">
        <w:rPr>
          <w:rFonts w:ascii="Arial" w:hAnsi="Arial" w:cs="Arial"/>
          <w:color w:val="A6A6A6" w:themeColor="background1" w:themeShade="A6"/>
          <w:sz w:val="22"/>
          <w:szCs w:val="22"/>
          <w:lang w:val="en-GB"/>
        </w:rPr>
        <w:t>Even more</w:t>
      </w:r>
      <w:r>
        <w:rPr>
          <w:rFonts w:ascii="Arial" w:hAnsi="Arial" w:cs="Arial"/>
          <w:color w:val="A6A6A6" w:themeColor="background1" w:themeShade="A6"/>
          <w:sz w:val="22"/>
          <w:szCs w:val="22"/>
          <w:lang w:val="en-GB"/>
        </w:rPr>
        <w:t xml:space="preserve">, is possible to reach an agreement that </w:t>
      </w:r>
      <w:r w:rsidR="00AB5C39">
        <w:rPr>
          <w:rFonts w:ascii="Arial" w:hAnsi="Arial" w:cs="Arial"/>
          <w:color w:val="A6A6A6" w:themeColor="background1" w:themeShade="A6"/>
          <w:sz w:val="22"/>
          <w:szCs w:val="22"/>
          <w:lang w:val="en-GB"/>
        </w:rPr>
        <w:t>the</w:t>
      </w:r>
      <w:r>
        <w:rPr>
          <w:rFonts w:ascii="Arial" w:hAnsi="Arial" w:cs="Arial"/>
          <w:color w:val="A6A6A6" w:themeColor="background1" w:themeShade="A6"/>
          <w:sz w:val="22"/>
          <w:szCs w:val="22"/>
          <w:lang w:val="en-GB"/>
        </w:rPr>
        <w:t xml:space="preserve"> creditors declare </w:t>
      </w:r>
      <w:r w:rsidR="00AB5C39">
        <w:rPr>
          <w:rFonts w:ascii="Arial" w:hAnsi="Arial" w:cs="Arial"/>
          <w:color w:val="A6A6A6" w:themeColor="background1" w:themeShade="A6"/>
          <w:sz w:val="22"/>
          <w:szCs w:val="22"/>
          <w:lang w:val="en-GB"/>
        </w:rPr>
        <w:t>themselves</w:t>
      </w:r>
      <w:r>
        <w:rPr>
          <w:rFonts w:ascii="Arial" w:hAnsi="Arial" w:cs="Arial"/>
          <w:color w:val="A6A6A6" w:themeColor="background1" w:themeShade="A6"/>
          <w:sz w:val="22"/>
          <w:szCs w:val="22"/>
          <w:lang w:val="en-GB"/>
        </w:rPr>
        <w:t xml:space="preserve"> prepared to forego enforcement of their claims for a certain period so that the debtor</w:t>
      </w:r>
      <w:r w:rsidR="00746DEF">
        <w:rPr>
          <w:rFonts w:ascii="Arial" w:hAnsi="Arial" w:cs="Arial"/>
          <w:color w:val="A6A6A6" w:themeColor="background1" w:themeShade="A6"/>
          <w:sz w:val="22"/>
          <w:szCs w:val="22"/>
          <w:lang w:val="en-GB"/>
        </w:rPr>
        <w:t>'s</w:t>
      </w:r>
      <w:r>
        <w:rPr>
          <w:rFonts w:ascii="Arial" w:hAnsi="Arial" w:cs="Arial"/>
          <w:color w:val="A6A6A6" w:themeColor="background1" w:themeShade="A6"/>
          <w:sz w:val="22"/>
          <w:szCs w:val="22"/>
          <w:lang w:val="en-GB"/>
        </w:rPr>
        <w:t xml:space="preserve"> inability to pay can be delayed. </w:t>
      </w:r>
    </w:p>
    <w:p w14:paraId="66EFEDA2" w14:textId="1D7C4C33" w:rsidR="00746DEF" w:rsidRDefault="00746DEF" w:rsidP="00746DEF">
      <w:pPr>
        <w:pStyle w:val="ListParagraph"/>
        <w:ind w:left="0"/>
        <w:jc w:val="both"/>
        <w:rPr>
          <w:rFonts w:ascii="Arial" w:hAnsi="Arial" w:cs="Arial"/>
          <w:color w:val="A6A6A6" w:themeColor="background1" w:themeShade="A6"/>
          <w:sz w:val="22"/>
          <w:szCs w:val="22"/>
          <w:lang w:val="en-GB"/>
        </w:rPr>
      </w:pPr>
    </w:p>
    <w:p w14:paraId="44840D07" w14:textId="76E63147" w:rsidR="00746DEF" w:rsidRPr="00746DEF" w:rsidRDefault="00746DEF" w:rsidP="00746DEF">
      <w:pPr>
        <w:pStyle w:val="ListParagraph"/>
        <w:ind w:left="0"/>
        <w:jc w:val="both"/>
        <w:rPr>
          <w:rFonts w:ascii="Arial" w:hAnsi="Arial" w:cs="Arial"/>
          <w:color w:val="A6A6A6" w:themeColor="background1" w:themeShade="A6"/>
          <w:sz w:val="22"/>
          <w:szCs w:val="22"/>
        </w:rPr>
      </w:pPr>
      <w:r>
        <w:rPr>
          <w:rFonts w:ascii="Arial" w:hAnsi="Arial" w:cs="Arial"/>
          <w:color w:val="A6A6A6" w:themeColor="background1" w:themeShade="A6"/>
          <w:sz w:val="22"/>
          <w:szCs w:val="22"/>
          <w:lang w:val="en-GB"/>
        </w:rPr>
        <w:t xml:space="preserve">In sum, such proceeding is mostly used in order to avoid a formal insolvency proceeding, therefore, an agreement can be reached before getting into a more alarming situation that equals insolvency. </w:t>
      </w:r>
    </w:p>
    <w:p w14:paraId="33F24E66" w14:textId="004D7689" w:rsidR="005E5932" w:rsidRDefault="005E5932" w:rsidP="0098784A">
      <w:pPr>
        <w:jc w:val="both"/>
        <w:rPr>
          <w:rFonts w:ascii="Arial" w:hAnsi="Arial" w:cs="Arial"/>
          <w:sz w:val="22"/>
          <w:szCs w:val="22"/>
          <w:highlight w:val="cyan"/>
        </w:rPr>
      </w:pPr>
    </w:p>
    <w:p w14:paraId="36C91FD7" w14:textId="77777777" w:rsidR="00FC65A8" w:rsidRPr="00CC096B" w:rsidRDefault="00FC65A8" w:rsidP="0098784A">
      <w:pPr>
        <w:jc w:val="both"/>
        <w:rPr>
          <w:rFonts w:ascii="Arial" w:hAnsi="Arial" w:cs="Arial"/>
          <w:sz w:val="22"/>
          <w:szCs w:val="22"/>
          <w:highlight w:val="cyan"/>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327DAA6E" w14:textId="1E4A862F" w:rsidR="001821C7" w:rsidRDefault="001821C7" w:rsidP="00FB6757">
      <w:pPr>
        <w:autoSpaceDE w:val="0"/>
        <w:autoSpaceDN w:val="0"/>
        <w:adjustRightInd w:val="0"/>
        <w:snapToGrid w:val="0"/>
        <w:rPr>
          <w:rFonts w:ascii="Arial" w:hAnsi="Arial" w:cs="Arial"/>
          <w:color w:val="A6A6A6" w:themeColor="background1" w:themeShade="A6"/>
          <w:sz w:val="22"/>
          <w:szCs w:val="22"/>
          <w:lang w:val="en-GB"/>
        </w:rPr>
      </w:pPr>
    </w:p>
    <w:p w14:paraId="58129135" w14:textId="77777777" w:rsidR="00746DEF" w:rsidRDefault="007208F7" w:rsidP="00746DEF">
      <w:pPr>
        <w:autoSpaceDE w:val="0"/>
        <w:autoSpaceDN w:val="0"/>
        <w:adjustRightInd w:val="0"/>
        <w:snapToGrid w:val="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insolvency proceeding states some specific ground rules to executory contracts after commencement. </w:t>
      </w:r>
    </w:p>
    <w:p w14:paraId="56C1CA69" w14:textId="77777777" w:rsidR="00746DEF" w:rsidRDefault="00746DEF" w:rsidP="00746DEF">
      <w:pPr>
        <w:autoSpaceDE w:val="0"/>
        <w:autoSpaceDN w:val="0"/>
        <w:adjustRightInd w:val="0"/>
        <w:snapToGrid w:val="0"/>
        <w:jc w:val="both"/>
        <w:rPr>
          <w:rFonts w:ascii="Arial" w:hAnsi="Arial" w:cs="Arial"/>
          <w:caps/>
          <w:color w:val="A6A6A6" w:themeColor="background1" w:themeShade="A6"/>
          <w:sz w:val="22"/>
          <w:szCs w:val="22"/>
          <w:lang w:val="en-GB"/>
        </w:rPr>
      </w:pPr>
    </w:p>
    <w:p w14:paraId="2C0A8B1F" w14:textId="7C5B5466" w:rsidR="007208F7" w:rsidRDefault="00746DEF" w:rsidP="00746DEF">
      <w:pPr>
        <w:autoSpaceDE w:val="0"/>
        <w:autoSpaceDN w:val="0"/>
        <w:adjustRightInd w:val="0"/>
        <w:snapToGrid w:val="0"/>
        <w:jc w:val="both"/>
        <w:rPr>
          <w:rFonts w:ascii="Arial" w:hAnsi="Arial" w:cs="Arial"/>
          <w:color w:val="A6A6A6" w:themeColor="background1" w:themeShade="A6"/>
          <w:sz w:val="22"/>
          <w:szCs w:val="22"/>
          <w:lang w:val="en-GB"/>
        </w:rPr>
      </w:pPr>
      <w:r>
        <w:rPr>
          <w:rFonts w:ascii="Arial" w:hAnsi="Arial" w:cs="Arial"/>
          <w:caps/>
          <w:color w:val="A6A6A6" w:themeColor="background1" w:themeShade="A6"/>
          <w:sz w:val="22"/>
          <w:szCs w:val="22"/>
          <w:lang w:val="en-GB"/>
        </w:rPr>
        <w:t>A</w:t>
      </w:r>
      <w:r w:rsidR="007208F7">
        <w:rPr>
          <w:rFonts w:ascii="Arial" w:hAnsi="Arial" w:cs="Arial"/>
          <w:color w:val="A6A6A6" w:themeColor="background1" w:themeShade="A6"/>
          <w:sz w:val="22"/>
          <w:szCs w:val="22"/>
          <w:lang w:val="en-GB"/>
        </w:rPr>
        <w:t>greements</w:t>
      </w:r>
      <w:r>
        <w:rPr>
          <w:rFonts w:ascii="Arial" w:hAnsi="Arial" w:cs="Arial"/>
          <w:color w:val="A6A6A6" w:themeColor="background1" w:themeShade="A6"/>
          <w:sz w:val="22"/>
          <w:szCs w:val="22"/>
          <w:lang w:val="en-GB"/>
        </w:rPr>
        <w:t>, in general,</w:t>
      </w:r>
      <w:r w:rsidR="007208F7">
        <w:rPr>
          <w:rFonts w:ascii="Arial" w:hAnsi="Arial" w:cs="Arial"/>
          <w:color w:val="A6A6A6" w:themeColor="background1" w:themeShade="A6"/>
          <w:sz w:val="22"/>
          <w:szCs w:val="22"/>
          <w:lang w:val="en-GB"/>
        </w:rPr>
        <w:t xml:space="preserve"> are also wound up when the insolvency proceeding starts, and as for that, the counterpart has to fu</w:t>
      </w:r>
      <w:r>
        <w:rPr>
          <w:rFonts w:ascii="Arial" w:hAnsi="Arial" w:cs="Arial"/>
          <w:color w:val="A6A6A6" w:themeColor="background1" w:themeShade="A6"/>
          <w:sz w:val="22"/>
          <w:szCs w:val="22"/>
          <w:lang w:val="en-GB"/>
        </w:rPr>
        <w:t>lfil</w:t>
      </w:r>
      <w:r w:rsidR="007208F7">
        <w:rPr>
          <w:rFonts w:ascii="Arial" w:hAnsi="Arial" w:cs="Arial"/>
          <w:color w:val="A6A6A6" w:themeColor="background1" w:themeShade="A6"/>
          <w:sz w:val="22"/>
          <w:szCs w:val="22"/>
          <w:lang w:val="en-GB"/>
        </w:rPr>
        <w:t xml:space="preserve">l </w:t>
      </w:r>
      <w:r w:rsidR="001327E0">
        <w:rPr>
          <w:rFonts w:ascii="Arial" w:hAnsi="Arial" w:cs="Arial"/>
          <w:color w:val="A6A6A6" w:themeColor="background1" w:themeShade="A6"/>
          <w:sz w:val="22"/>
          <w:szCs w:val="22"/>
          <w:lang w:val="en-GB"/>
        </w:rPr>
        <w:t xml:space="preserve">its obligation. On the other hand, any claim or request against the </w:t>
      </w:r>
      <w:r w:rsidR="000B3F1A">
        <w:rPr>
          <w:rFonts w:ascii="Arial" w:hAnsi="Arial" w:cs="Arial"/>
          <w:color w:val="A6A6A6" w:themeColor="background1" w:themeShade="A6"/>
          <w:sz w:val="22"/>
          <w:szCs w:val="22"/>
          <w:lang w:val="en-GB"/>
        </w:rPr>
        <w:t>debtors</w:t>
      </w:r>
      <w:r w:rsidR="001327E0">
        <w:rPr>
          <w:rFonts w:ascii="Arial" w:hAnsi="Arial" w:cs="Arial"/>
          <w:color w:val="A6A6A6" w:themeColor="background1" w:themeShade="A6"/>
          <w:sz w:val="22"/>
          <w:szCs w:val="22"/>
          <w:lang w:val="en-GB"/>
        </w:rPr>
        <w:t xml:space="preserve"> will only be paid by the </w:t>
      </w:r>
      <w:r>
        <w:rPr>
          <w:rFonts w:ascii="Arial" w:hAnsi="Arial" w:cs="Arial"/>
          <w:color w:val="A6A6A6" w:themeColor="background1" w:themeShade="A6"/>
          <w:sz w:val="22"/>
          <w:szCs w:val="22"/>
          <w:lang w:val="en-GB"/>
        </w:rPr>
        <w:t>e</w:t>
      </w:r>
      <w:r w:rsidR="001327E0">
        <w:rPr>
          <w:rFonts w:ascii="Arial" w:hAnsi="Arial" w:cs="Arial"/>
          <w:color w:val="A6A6A6" w:themeColor="background1" w:themeShade="A6"/>
          <w:sz w:val="22"/>
          <w:szCs w:val="22"/>
          <w:lang w:val="en-GB"/>
        </w:rPr>
        <w:t xml:space="preserve">state </w:t>
      </w:r>
      <w:r>
        <w:rPr>
          <w:rFonts w:ascii="Arial" w:hAnsi="Arial" w:cs="Arial"/>
          <w:color w:val="A6A6A6" w:themeColor="background1" w:themeShade="A6"/>
          <w:sz w:val="22"/>
          <w:szCs w:val="22"/>
          <w:lang w:val="en-GB"/>
        </w:rPr>
        <w:t>o</w:t>
      </w:r>
      <w:r w:rsidR="001327E0">
        <w:rPr>
          <w:rFonts w:ascii="Arial" w:hAnsi="Arial" w:cs="Arial"/>
          <w:color w:val="A6A6A6" w:themeColor="background1" w:themeShade="A6"/>
          <w:sz w:val="22"/>
          <w:szCs w:val="22"/>
          <w:lang w:val="en-GB"/>
        </w:rPr>
        <w:t>n the pro</w:t>
      </w:r>
      <w:r>
        <w:rPr>
          <w:rFonts w:ascii="Arial" w:hAnsi="Arial" w:cs="Arial"/>
          <w:color w:val="A6A6A6" w:themeColor="background1" w:themeShade="A6"/>
          <w:sz w:val="22"/>
          <w:szCs w:val="22"/>
          <w:lang w:val="en-GB"/>
        </w:rPr>
        <w:t>-</w:t>
      </w:r>
      <w:r w:rsidR="001327E0">
        <w:rPr>
          <w:rFonts w:ascii="Arial" w:hAnsi="Arial" w:cs="Arial"/>
          <w:color w:val="A6A6A6" w:themeColor="background1" w:themeShade="A6"/>
          <w:sz w:val="22"/>
          <w:szCs w:val="22"/>
          <w:lang w:val="en-GB"/>
        </w:rPr>
        <w:t xml:space="preserve">rata basis stated in insolvency law. </w:t>
      </w:r>
    </w:p>
    <w:p w14:paraId="185597B9" w14:textId="77777777" w:rsidR="00746DEF" w:rsidRDefault="00746DEF" w:rsidP="00746DEF">
      <w:pPr>
        <w:autoSpaceDE w:val="0"/>
        <w:autoSpaceDN w:val="0"/>
        <w:adjustRightInd w:val="0"/>
        <w:snapToGrid w:val="0"/>
        <w:jc w:val="both"/>
        <w:rPr>
          <w:rFonts w:ascii="Arial" w:hAnsi="Arial" w:cs="Arial"/>
          <w:color w:val="A6A6A6" w:themeColor="background1" w:themeShade="A6"/>
          <w:sz w:val="22"/>
          <w:szCs w:val="22"/>
          <w:lang w:val="en-GB"/>
        </w:rPr>
      </w:pPr>
    </w:p>
    <w:p w14:paraId="324290E3" w14:textId="637EF3A3" w:rsidR="001327E0" w:rsidRDefault="001327E0" w:rsidP="00746DEF">
      <w:pPr>
        <w:autoSpaceDE w:val="0"/>
        <w:autoSpaceDN w:val="0"/>
        <w:adjustRightInd w:val="0"/>
        <w:snapToGrid w:val="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Bering in mind this disposition,</w:t>
      </w:r>
      <w:r w:rsidR="00746DEF">
        <w:rPr>
          <w:rFonts w:ascii="Arial" w:hAnsi="Arial" w:cs="Arial"/>
          <w:color w:val="A6A6A6" w:themeColor="background1" w:themeShade="A6"/>
          <w:sz w:val="22"/>
          <w:szCs w:val="22"/>
          <w:lang w:val="en-GB"/>
        </w:rPr>
        <w:t xml:space="preserve"> insO brings a different disposition regarding </w:t>
      </w:r>
      <w:r w:rsidR="00746DEF" w:rsidRPr="00746DEF">
        <w:rPr>
          <w:rFonts w:ascii="Arial" w:hAnsi="Arial" w:cs="Arial"/>
          <w:color w:val="A6A6A6" w:themeColor="background1" w:themeShade="A6"/>
          <w:sz w:val="22"/>
          <w:szCs w:val="22"/>
        </w:rPr>
        <w:t>e</w:t>
      </w:r>
      <w:r w:rsidR="00746DEF">
        <w:rPr>
          <w:rFonts w:ascii="Arial" w:hAnsi="Arial" w:cs="Arial"/>
          <w:color w:val="A6A6A6" w:themeColor="background1" w:themeShade="A6"/>
          <w:sz w:val="22"/>
          <w:szCs w:val="22"/>
        </w:rPr>
        <w:t xml:space="preserve">xecutory contracts. </w:t>
      </w:r>
      <w:r>
        <w:rPr>
          <w:rFonts w:ascii="Arial" w:hAnsi="Arial" w:cs="Arial"/>
          <w:color w:val="A6A6A6" w:themeColor="background1" w:themeShade="A6"/>
          <w:sz w:val="22"/>
          <w:szCs w:val="22"/>
          <w:lang w:val="en-GB"/>
        </w:rPr>
        <w:t xml:space="preserve"> </w:t>
      </w:r>
      <w:r w:rsidR="00746DEF">
        <w:rPr>
          <w:rFonts w:ascii="Arial" w:hAnsi="Arial" w:cs="Arial"/>
          <w:color w:val="A6A6A6" w:themeColor="background1" w:themeShade="A6"/>
          <w:sz w:val="22"/>
          <w:szCs w:val="22"/>
          <w:lang w:val="en-GB"/>
        </w:rPr>
        <w:t>U</w:t>
      </w:r>
      <w:r>
        <w:rPr>
          <w:rFonts w:ascii="Arial" w:hAnsi="Arial" w:cs="Arial"/>
          <w:color w:val="A6A6A6" w:themeColor="background1" w:themeShade="A6"/>
          <w:sz w:val="22"/>
          <w:szCs w:val="22"/>
          <w:lang w:val="en-GB"/>
        </w:rPr>
        <w:t>nder § 103 InsO</w:t>
      </w:r>
      <w:r w:rsidR="00746DEF">
        <w:rPr>
          <w:rFonts w:ascii="Arial" w:hAnsi="Arial" w:cs="Arial"/>
          <w:color w:val="A6A6A6" w:themeColor="background1" w:themeShade="A6"/>
          <w:sz w:val="22"/>
          <w:szCs w:val="22"/>
          <w:lang w:val="en-GB"/>
        </w:rPr>
        <w:t>,</w:t>
      </w:r>
      <w:r>
        <w:rPr>
          <w:rFonts w:ascii="Arial" w:hAnsi="Arial" w:cs="Arial"/>
          <w:color w:val="A6A6A6" w:themeColor="background1" w:themeShade="A6"/>
          <w:sz w:val="22"/>
          <w:szCs w:val="22"/>
          <w:lang w:val="en-GB"/>
        </w:rPr>
        <w:t xml:space="preserve"> it is stated that reciprocal </w:t>
      </w:r>
      <w:r w:rsidR="00236A94">
        <w:rPr>
          <w:rFonts w:ascii="Arial" w:hAnsi="Arial" w:cs="Arial"/>
          <w:color w:val="A6A6A6" w:themeColor="background1" w:themeShade="A6"/>
          <w:sz w:val="22"/>
          <w:szCs w:val="22"/>
          <w:lang w:val="en-GB"/>
        </w:rPr>
        <w:t xml:space="preserve">agreements, in which both parties have obligations to </w:t>
      </w:r>
      <w:r w:rsidR="00746DEF">
        <w:rPr>
          <w:rFonts w:ascii="Arial" w:hAnsi="Arial" w:cs="Arial"/>
          <w:color w:val="A6A6A6" w:themeColor="background1" w:themeShade="A6"/>
          <w:sz w:val="22"/>
          <w:szCs w:val="22"/>
          <w:lang w:val="en-GB"/>
        </w:rPr>
        <w:t>fulfil</w:t>
      </w:r>
      <w:r w:rsidR="00236A94">
        <w:rPr>
          <w:rFonts w:ascii="Arial" w:hAnsi="Arial" w:cs="Arial"/>
          <w:color w:val="A6A6A6" w:themeColor="background1" w:themeShade="A6"/>
          <w:sz w:val="22"/>
          <w:szCs w:val="22"/>
          <w:lang w:val="en-GB"/>
        </w:rPr>
        <w:t xml:space="preserve">, no winding up </w:t>
      </w:r>
      <w:r w:rsidR="00746DEF">
        <w:rPr>
          <w:rFonts w:ascii="Arial" w:hAnsi="Arial" w:cs="Arial"/>
          <w:color w:val="A6A6A6" w:themeColor="background1" w:themeShade="A6"/>
          <w:sz w:val="22"/>
          <w:szCs w:val="22"/>
          <w:lang w:val="en-GB"/>
        </w:rPr>
        <w:t>occurs automatically</w:t>
      </w:r>
      <w:r w:rsidR="00236A94">
        <w:rPr>
          <w:rFonts w:ascii="Arial" w:hAnsi="Arial" w:cs="Arial"/>
          <w:color w:val="A6A6A6" w:themeColor="background1" w:themeShade="A6"/>
          <w:sz w:val="22"/>
          <w:szCs w:val="22"/>
          <w:lang w:val="en-GB"/>
        </w:rPr>
        <w:t xml:space="preserve">. In </w:t>
      </w:r>
      <w:r w:rsidR="000B3F1A">
        <w:rPr>
          <w:rFonts w:ascii="Arial" w:hAnsi="Arial" w:cs="Arial"/>
          <w:color w:val="A6A6A6" w:themeColor="background1" w:themeShade="A6"/>
          <w:sz w:val="22"/>
          <w:szCs w:val="22"/>
          <w:lang w:val="en-GB"/>
        </w:rPr>
        <w:t>these cases</w:t>
      </w:r>
      <w:r w:rsidR="00236A94">
        <w:rPr>
          <w:rFonts w:ascii="Arial" w:hAnsi="Arial" w:cs="Arial"/>
          <w:color w:val="A6A6A6" w:themeColor="background1" w:themeShade="A6"/>
          <w:sz w:val="22"/>
          <w:szCs w:val="22"/>
          <w:lang w:val="en-GB"/>
        </w:rPr>
        <w:t>, both parties perform their obligations</w:t>
      </w:r>
      <w:r w:rsidR="00746DEF">
        <w:rPr>
          <w:rFonts w:ascii="Arial" w:hAnsi="Arial" w:cs="Arial"/>
          <w:color w:val="A6A6A6" w:themeColor="background1" w:themeShade="A6"/>
          <w:sz w:val="22"/>
          <w:szCs w:val="22"/>
          <w:lang w:val="en-GB"/>
        </w:rPr>
        <w:t xml:space="preserve"> i</w:t>
      </w:r>
      <w:r w:rsidR="00236A94">
        <w:rPr>
          <w:rFonts w:ascii="Arial" w:hAnsi="Arial" w:cs="Arial"/>
          <w:color w:val="A6A6A6" w:themeColor="background1" w:themeShade="A6"/>
          <w:sz w:val="22"/>
          <w:szCs w:val="22"/>
          <w:lang w:val="en-GB"/>
        </w:rPr>
        <w:t xml:space="preserve">f the estate chooses to, in benefit of the proceeding. </w:t>
      </w:r>
      <w:r w:rsidR="00746DEF">
        <w:rPr>
          <w:rFonts w:ascii="Arial" w:hAnsi="Arial" w:cs="Arial"/>
          <w:color w:val="A6A6A6" w:themeColor="background1" w:themeShade="A6"/>
          <w:sz w:val="22"/>
          <w:szCs w:val="22"/>
          <w:lang w:val="en-GB"/>
        </w:rPr>
        <w:t>In such cases, the creditor’s claim has to be satisfied in full by the estate.</w:t>
      </w:r>
    </w:p>
    <w:p w14:paraId="6ECEC7C2" w14:textId="77777777" w:rsidR="00746DEF" w:rsidRDefault="00746DEF" w:rsidP="00746DEF">
      <w:pPr>
        <w:autoSpaceDE w:val="0"/>
        <w:autoSpaceDN w:val="0"/>
        <w:adjustRightInd w:val="0"/>
        <w:snapToGrid w:val="0"/>
        <w:jc w:val="both"/>
        <w:rPr>
          <w:rFonts w:ascii="Arial" w:hAnsi="Arial" w:cs="Arial"/>
          <w:color w:val="A6A6A6" w:themeColor="background1" w:themeShade="A6"/>
          <w:sz w:val="22"/>
          <w:szCs w:val="22"/>
          <w:lang w:val="en-GB"/>
        </w:rPr>
      </w:pPr>
    </w:p>
    <w:p w14:paraId="603FF65F" w14:textId="26AA5014" w:rsidR="00360840" w:rsidRDefault="00746DEF" w:rsidP="00746DEF">
      <w:pPr>
        <w:autoSpaceDE w:val="0"/>
        <w:autoSpaceDN w:val="0"/>
        <w:adjustRightInd w:val="0"/>
        <w:snapToGrid w:val="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Concerning</w:t>
      </w:r>
      <w:r w:rsidR="00360840">
        <w:rPr>
          <w:rFonts w:ascii="Arial" w:hAnsi="Arial" w:cs="Arial"/>
          <w:color w:val="A6A6A6" w:themeColor="background1" w:themeShade="A6"/>
          <w:sz w:val="22"/>
          <w:szCs w:val="22"/>
          <w:lang w:val="en-GB"/>
        </w:rPr>
        <w:t xml:space="preserve"> agreements involving tenancy rules, insO ha</w:t>
      </w:r>
      <w:r>
        <w:rPr>
          <w:rFonts w:ascii="Arial" w:hAnsi="Arial" w:cs="Arial"/>
          <w:color w:val="A6A6A6" w:themeColor="background1" w:themeShade="A6"/>
          <w:sz w:val="22"/>
          <w:szCs w:val="22"/>
          <w:lang w:val="en-GB"/>
        </w:rPr>
        <w:t>s</w:t>
      </w:r>
      <w:r w:rsidR="00360840">
        <w:rPr>
          <w:rFonts w:ascii="Arial" w:hAnsi="Arial" w:cs="Arial"/>
          <w:color w:val="A6A6A6" w:themeColor="background1" w:themeShade="A6"/>
          <w:sz w:val="22"/>
          <w:szCs w:val="22"/>
          <w:lang w:val="en-GB"/>
        </w:rPr>
        <w:t xml:space="preserve"> some special provisions that may differ from the original </w:t>
      </w:r>
      <w:r w:rsidR="003835EC">
        <w:rPr>
          <w:rFonts w:ascii="Arial" w:hAnsi="Arial" w:cs="Arial"/>
          <w:color w:val="A6A6A6" w:themeColor="background1" w:themeShade="A6"/>
          <w:sz w:val="22"/>
          <w:szCs w:val="22"/>
          <w:lang w:val="en-GB"/>
        </w:rPr>
        <w:t>ones</w:t>
      </w:r>
      <w:r w:rsidR="00360840">
        <w:rPr>
          <w:rFonts w:ascii="Arial" w:hAnsi="Arial" w:cs="Arial"/>
          <w:color w:val="A6A6A6" w:themeColor="background1" w:themeShade="A6"/>
          <w:sz w:val="22"/>
          <w:szCs w:val="22"/>
          <w:lang w:val="en-GB"/>
        </w:rPr>
        <w:t xml:space="preserve"> state</w:t>
      </w:r>
      <w:r w:rsidR="000B3F1A">
        <w:rPr>
          <w:rFonts w:ascii="Arial" w:hAnsi="Arial" w:cs="Arial"/>
          <w:color w:val="A6A6A6" w:themeColor="background1" w:themeShade="A6"/>
          <w:sz w:val="22"/>
          <w:szCs w:val="22"/>
          <w:lang w:val="en-GB"/>
        </w:rPr>
        <w:t>d</w:t>
      </w:r>
      <w:r w:rsidR="00360840">
        <w:rPr>
          <w:rFonts w:ascii="Arial" w:hAnsi="Arial" w:cs="Arial"/>
          <w:color w:val="A6A6A6" w:themeColor="background1" w:themeShade="A6"/>
          <w:sz w:val="22"/>
          <w:szCs w:val="22"/>
          <w:lang w:val="en-GB"/>
        </w:rPr>
        <w:t xml:space="preserve"> for executory agreements. Given that, the </w:t>
      </w:r>
      <w:r w:rsidR="003835EC">
        <w:rPr>
          <w:rFonts w:ascii="Arial" w:hAnsi="Arial" w:cs="Arial"/>
          <w:color w:val="A6A6A6" w:themeColor="background1" w:themeShade="A6"/>
          <w:sz w:val="22"/>
          <w:szCs w:val="22"/>
          <w:lang w:val="en-GB"/>
        </w:rPr>
        <w:t>provision</w:t>
      </w:r>
      <w:r w:rsidR="00360840">
        <w:rPr>
          <w:rFonts w:ascii="Arial" w:hAnsi="Arial" w:cs="Arial"/>
          <w:color w:val="A6A6A6" w:themeColor="background1" w:themeShade="A6"/>
          <w:sz w:val="22"/>
          <w:szCs w:val="22"/>
          <w:lang w:val="en-GB"/>
        </w:rPr>
        <w:t xml:space="preserve"> regarding tenancy </w:t>
      </w:r>
      <w:r w:rsidR="00045B41">
        <w:rPr>
          <w:rFonts w:ascii="Arial" w:hAnsi="Arial" w:cs="Arial"/>
          <w:color w:val="A6A6A6" w:themeColor="background1" w:themeShade="A6"/>
          <w:sz w:val="22"/>
          <w:szCs w:val="22"/>
          <w:lang w:val="en-GB"/>
        </w:rPr>
        <w:t>or lease contacts has a general rule based on the prohibition of its termination. That is because they are considered continuing obligations</w:t>
      </w:r>
      <w:r w:rsidR="0044237C">
        <w:rPr>
          <w:rFonts w:ascii="Arial" w:hAnsi="Arial" w:cs="Arial"/>
          <w:color w:val="A6A6A6" w:themeColor="background1" w:themeShade="A6"/>
          <w:sz w:val="22"/>
          <w:szCs w:val="22"/>
          <w:lang w:val="en-GB"/>
        </w:rPr>
        <w:t xml:space="preserve">. </w:t>
      </w:r>
    </w:p>
    <w:p w14:paraId="57BCD2F6" w14:textId="77777777" w:rsidR="00746DEF" w:rsidRDefault="00746DEF" w:rsidP="00746DEF">
      <w:pPr>
        <w:pStyle w:val="NormalWeb"/>
        <w:shd w:val="clear" w:color="auto" w:fill="FFFFFF"/>
        <w:spacing w:before="0" w:beforeAutospacing="0" w:after="150" w:afterAutospacing="0"/>
        <w:jc w:val="both"/>
        <w:rPr>
          <w:rFonts w:ascii="Arial" w:hAnsi="Arial" w:cs="Arial"/>
          <w:color w:val="A6A6A6" w:themeColor="background1" w:themeShade="A6"/>
          <w:sz w:val="22"/>
          <w:szCs w:val="22"/>
          <w:lang w:val="en-GB"/>
        </w:rPr>
      </w:pPr>
    </w:p>
    <w:p w14:paraId="2244B14B" w14:textId="41864975" w:rsidR="0044237C" w:rsidRDefault="00746DEF" w:rsidP="00746DEF">
      <w:pPr>
        <w:pStyle w:val="NormalWeb"/>
        <w:shd w:val="clear" w:color="auto" w:fill="FFFFFF"/>
        <w:spacing w:before="0" w:beforeAutospacing="0" w:after="150" w:afterAutospacing="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w:t>
      </w:r>
      <w:r w:rsidR="0044237C" w:rsidRPr="003835EC">
        <w:rPr>
          <w:rFonts w:ascii="Arial" w:hAnsi="Arial" w:cs="Arial"/>
          <w:color w:val="A6A6A6" w:themeColor="background1" w:themeShade="A6"/>
          <w:sz w:val="22"/>
          <w:szCs w:val="22"/>
          <w:lang w:val="en-GB"/>
        </w:rPr>
        <w:t>enancy or lease contracts concluded by the debtor as tenant or lessee may not be terminated by the other party after the opening of the insolvency proceedings was requested: (i)</w:t>
      </w:r>
      <w:r w:rsidR="0044237C" w:rsidRPr="0044237C">
        <w:rPr>
          <w:rFonts w:ascii="Arial" w:hAnsi="Arial" w:cs="Arial"/>
          <w:color w:val="A6A6A6" w:themeColor="background1" w:themeShade="A6"/>
          <w:sz w:val="22"/>
          <w:szCs w:val="22"/>
          <w:lang w:val="en-GB"/>
        </w:rPr>
        <w:t xml:space="preserve"> because of default in the payment of tenancy or lease fees arising before the opening of the insolvency proceedings was requested</w:t>
      </w:r>
      <w:r w:rsidR="003835EC" w:rsidRPr="003835EC">
        <w:rPr>
          <w:rFonts w:ascii="Arial" w:hAnsi="Arial" w:cs="Arial"/>
          <w:color w:val="A6A6A6" w:themeColor="background1" w:themeShade="A6"/>
          <w:sz w:val="22"/>
          <w:szCs w:val="22"/>
          <w:lang w:val="en-GB"/>
        </w:rPr>
        <w:t>; (ii)</w:t>
      </w:r>
      <w:r w:rsidR="0044237C" w:rsidRPr="0044237C">
        <w:rPr>
          <w:rFonts w:ascii="Arial" w:hAnsi="Arial" w:cs="Arial"/>
          <w:color w:val="A6A6A6" w:themeColor="background1" w:themeShade="A6"/>
          <w:sz w:val="22"/>
          <w:szCs w:val="22"/>
          <w:lang w:val="en-GB"/>
        </w:rPr>
        <w:t xml:space="preserve"> because of degradation of the debtor’s financial situation.</w:t>
      </w:r>
    </w:p>
    <w:p w14:paraId="0390D2B8" w14:textId="2C8F1AFB" w:rsidR="00746DEF" w:rsidRPr="00746DEF" w:rsidRDefault="00746DEF" w:rsidP="00746DEF">
      <w:pPr>
        <w:pStyle w:val="NormalWeb"/>
        <w:shd w:val="clear" w:color="auto" w:fill="FFFFFF"/>
        <w:spacing w:before="0" w:beforeAutospacing="0" w:after="150" w:afterAutospacing="0"/>
        <w:jc w:val="both"/>
        <w:rPr>
          <w:rFonts w:ascii="Helvetica" w:hAnsi="Helvetica"/>
          <w:color w:val="333333"/>
          <w:sz w:val="21"/>
          <w:szCs w:val="21"/>
          <w:lang w:eastAsia="pt-BR"/>
        </w:rPr>
      </w:pPr>
      <w:r>
        <w:rPr>
          <w:rFonts w:ascii="Arial" w:hAnsi="Arial" w:cs="Arial"/>
          <w:color w:val="A6A6A6" w:themeColor="background1" w:themeShade="A6"/>
          <w:sz w:val="22"/>
          <w:szCs w:val="22"/>
          <w:lang w:val="en-GB"/>
        </w:rPr>
        <w:t>Therefore, if the debtor has an amount due that is originated from a moment prior to the opening of the insolvency proceeding, the agreement cannot be terminated based upon the non-payment of such costs. Also, the agreement cannot be terminated on the basis that the financial situation of the debtor is in danger. InsO prevents such agreements to be terminated in such terms.</w:t>
      </w:r>
    </w:p>
    <w:p w14:paraId="033CA760" w14:textId="091B6E18" w:rsidR="0044237C" w:rsidRPr="002F147C" w:rsidRDefault="002F147C" w:rsidP="00746DEF">
      <w:pPr>
        <w:autoSpaceDE w:val="0"/>
        <w:autoSpaceDN w:val="0"/>
        <w:adjustRightInd w:val="0"/>
        <w:snapToGrid w:val="0"/>
        <w:jc w:val="both"/>
        <w:rPr>
          <w:rFonts w:ascii="Arial" w:hAnsi="Arial" w:cs="Arial"/>
          <w:color w:val="A6A6A6" w:themeColor="background1" w:themeShade="A6"/>
          <w:sz w:val="22"/>
          <w:szCs w:val="22"/>
          <w:lang w:val="en-GB"/>
        </w:rPr>
      </w:pPr>
      <w:r w:rsidRPr="002F147C">
        <w:rPr>
          <w:rFonts w:ascii="Arial" w:hAnsi="Arial" w:cs="Arial"/>
          <w:color w:val="A6A6A6" w:themeColor="background1" w:themeShade="A6"/>
          <w:sz w:val="22"/>
          <w:szCs w:val="22"/>
          <w:lang w:val="en-GB"/>
        </w:rPr>
        <w:t xml:space="preserve">It is also important to highlight that if a contractual clause provides for a right of termination upon the occurrence of insolvency such provision will be void as has recently been decided </w:t>
      </w:r>
      <w:r w:rsidRPr="002F147C">
        <w:rPr>
          <w:rFonts w:ascii="Arial" w:hAnsi="Arial" w:cs="Arial"/>
          <w:color w:val="A6A6A6" w:themeColor="background1" w:themeShade="A6"/>
          <w:sz w:val="22"/>
          <w:szCs w:val="22"/>
          <w:lang w:val="en-GB"/>
        </w:rPr>
        <w:lastRenderedPageBreak/>
        <w:t>by the Federal Court of Justice</w:t>
      </w:r>
      <w:r w:rsidR="00746DEF">
        <w:rPr>
          <w:rFonts w:ascii="Arial" w:hAnsi="Arial" w:cs="Arial"/>
          <w:color w:val="A6A6A6" w:themeColor="background1" w:themeShade="A6"/>
          <w:sz w:val="22"/>
          <w:szCs w:val="22"/>
          <w:lang w:val="en-GB"/>
        </w:rPr>
        <w:t xml:space="preserve">, as for that, the so-called ipso facto clauses are not considered valid under German legislation.  </w:t>
      </w: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746DEF">
      <w:pPr>
        <w:jc w:val="both"/>
        <w:rPr>
          <w:rFonts w:ascii="Arial" w:hAnsi="Arial" w:cs="Arial"/>
          <w:sz w:val="22"/>
          <w:szCs w:val="22"/>
          <w:lang w:val="en-GB"/>
        </w:rPr>
      </w:pPr>
    </w:p>
    <w:p w14:paraId="086D40DB" w14:textId="6A7F0AD8" w:rsidR="00D05CA4" w:rsidRDefault="00B5420D"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It is important to highlight that the avoidance of transactions is a disposition that aims</w:t>
      </w:r>
      <w:r w:rsidR="00FC7150">
        <w:rPr>
          <w:rFonts w:ascii="Arial" w:hAnsi="Arial" w:cs="Arial"/>
          <w:color w:val="A6A6A6" w:themeColor="background1" w:themeShade="A6"/>
          <w:sz w:val="22"/>
          <w:szCs w:val="22"/>
          <w:lang w:val="en-GB"/>
        </w:rPr>
        <w:t xml:space="preserve"> to</w:t>
      </w:r>
      <w:r>
        <w:rPr>
          <w:rFonts w:ascii="Arial" w:hAnsi="Arial" w:cs="Arial"/>
          <w:color w:val="A6A6A6" w:themeColor="background1" w:themeShade="A6"/>
          <w:sz w:val="22"/>
          <w:szCs w:val="22"/>
          <w:lang w:val="en-GB"/>
        </w:rPr>
        <w:t xml:space="preserve"> protect collective proceedings such as insolvency. As for that, when debtors take actions that could, in any way, affect the </w:t>
      </w:r>
      <w:r w:rsidR="00B16D19">
        <w:rPr>
          <w:rFonts w:ascii="Arial" w:hAnsi="Arial" w:cs="Arial"/>
          <w:color w:val="A6A6A6" w:themeColor="background1" w:themeShade="A6"/>
          <w:sz w:val="22"/>
          <w:szCs w:val="22"/>
          <w:lang w:val="en-GB"/>
        </w:rPr>
        <w:t>pro</w:t>
      </w:r>
      <w:r w:rsidR="00746DEF">
        <w:rPr>
          <w:rFonts w:ascii="Arial" w:hAnsi="Arial" w:cs="Arial"/>
          <w:color w:val="A6A6A6" w:themeColor="background1" w:themeShade="A6"/>
          <w:sz w:val="22"/>
          <w:szCs w:val="22"/>
          <w:lang w:val="en-GB"/>
        </w:rPr>
        <w:t>-</w:t>
      </w:r>
      <w:r w:rsidR="00B16D19">
        <w:rPr>
          <w:rFonts w:ascii="Arial" w:hAnsi="Arial" w:cs="Arial"/>
          <w:color w:val="A6A6A6" w:themeColor="background1" w:themeShade="A6"/>
          <w:sz w:val="22"/>
          <w:szCs w:val="22"/>
          <w:lang w:val="en-GB"/>
        </w:rPr>
        <w:t>rata distribution in which the insolvency proceeding is based, such actions have to be avoided. This is the main purpose of avoidance transactions</w:t>
      </w:r>
      <w:r w:rsidR="00746DEF">
        <w:rPr>
          <w:rFonts w:ascii="Arial" w:hAnsi="Arial" w:cs="Arial"/>
          <w:color w:val="A6A6A6" w:themeColor="background1" w:themeShade="A6"/>
          <w:sz w:val="22"/>
          <w:szCs w:val="22"/>
          <w:lang w:val="en-GB"/>
        </w:rPr>
        <w:t xml:space="preserve">, </w:t>
      </w:r>
      <w:r w:rsidR="00B16D19">
        <w:rPr>
          <w:rFonts w:ascii="Arial" w:hAnsi="Arial" w:cs="Arial"/>
          <w:color w:val="A6A6A6" w:themeColor="background1" w:themeShade="A6"/>
          <w:sz w:val="22"/>
          <w:szCs w:val="22"/>
          <w:lang w:val="en-GB"/>
        </w:rPr>
        <w:t>when</w:t>
      </w:r>
      <w:r w:rsidR="00746DEF">
        <w:rPr>
          <w:rFonts w:ascii="Arial" w:hAnsi="Arial" w:cs="Arial"/>
          <w:color w:val="A6A6A6" w:themeColor="background1" w:themeShade="A6"/>
          <w:sz w:val="22"/>
          <w:szCs w:val="22"/>
          <w:lang w:val="en-GB"/>
        </w:rPr>
        <w:t xml:space="preserve">, by any means, were </w:t>
      </w:r>
      <w:r w:rsidR="00B16D19">
        <w:rPr>
          <w:rFonts w:ascii="Arial" w:hAnsi="Arial" w:cs="Arial"/>
          <w:color w:val="A6A6A6" w:themeColor="background1" w:themeShade="A6"/>
          <w:sz w:val="22"/>
          <w:szCs w:val="22"/>
          <w:lang w:val="en-GB"/>
        </w:rPr>
        <w:t xml:space="preserve">made in a period </w:t>
      </w:r>
      <w:r w:rsidR="00746DEF">
        <w:rPr>
          <w:rFonts w:ascii="Arial" w:hAnsi="Arial" w:cs="Arial"/>
          <w:color w:val="A6A6A6" w:themeColor="background1" w:themeShade="A6"/>
          <w:sz w:val="22"/>
          <w:szCs w:val="22"/>
          <w:lang w:val="en-GB"/>
        </w:rPr>
        <w:t>before</w:t>
      </w:r>
      <w:r w:rsidR="00B16D19">
        <w:rPr>
          <w:rFonts w:ascii="Arial" w:hAnsi="Arial" w:cs="Arial"/>
          <w:color w:val="A6A6A6" w:themeColor="background1" w:themeShade="A6"/>
          <w:sz w:val="22"/>
          <w:szCs w:val="22"/>
          <w:lang w:val="en-GB"/>
        </w:rPr>
        <w:t xml:space="preserve"> the insolvency opening and </w:t>
      </w:r>
      <w:r w:rsidR="001B3005">
        <w:rPr>
          <w:rFonts w:ascii="Arial" w:hAnsi="Arial" w:cs="Arial"/>
          <w:color w:val="A6A6A6" w:themeColor="background1" w:themeShade="A6"/>
          <w:sz w:val="22"/>
          <w:szCs w:val="22"/>
          <w:lang w:val="en-GB"/>
        </w:rPr>
        <w:t xml:space="preserve">upon </w:t>
      </w:r>
      <w:r w:rsidR="00625625">
        <w:rPr>
          <w:rFonts w:ascii="Arial" w:hAnsi="Arial" w:cs="Arial"/>
          <w:color w:val="A6A6A6" w:themeColor="background1" w:themeShade="A6"/>
          <w:sz w:val="22"/>
          <w:szCs w:val="22"/>
          <w:lang w:val="en-GB"/>
        </w:rPr>
        <w:t>disadvantages</w:t>
      </w:r>
      <w:r w:rsidR="001B3005">
        <w:rPr>
          <w:rFonts w:ascii="Arial" w:hAnsi="Arial" w:cs="Arial"/>
          <w:color w:val="A6A6A6" w:themeColor="background1" w:themeShade="A6"/>
          <w:sz w:val="22"/>
          <w:szCs w:val="22"/>
          <w:lang w:val="en-GB"/>
        </w:rPr>
        <w:t xml:space="preserve"> of the creditors. </w:t>
      </w:r>
    </w:p>
    <w:p w14:paraId="64A3FE4C" w14:textId="025F8AB8" w:rsidR="001B3005" w:rsidRDefault="001B3005" w:rsidP="00746DEF">
      <w:pPr>
        <w:pStyle w:val="ListParagraph"/>
        <w:ind w:left="0"/>
        <w:jc w:val="both"/>
        <w:rPr>
          <w:rFonts w:ascii="Arial" w:hAnsi="Arial" w:cs="Arial"/>
          <w:color w:val="A6A6A6" w:themeColor="background1" w:themeShade="A6"/>
          <w:sz w:val="22"/>
          <w:szCs w:val="22"/>
          <w:lang w:val="en-GB"/>
        </w:rPr>
      </w:pPr>
    </w:p>
    <w:p w14:paraId="7F10A03A" w14:textId="44474917" w:rsidR="00746DEF" w:rsidRDefault="001B3005"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 transaction made </w:t>
      </w:r>
      <w:r w:rsidR="00746DEF">
        <w:rPr>
          <w:rFonts w:ascii="Arial" w:hAnsi="Arial" w:cs="Arial"/>
          <w:color w:val="A6A6A6" w:themeColor="background1" w:themeShade="A6"/>
          <w:sz w:val="22"/>
          <w:szCs w:val="22"/>
          <w:lang w:val="en-GB"/>
        </w:rPr>
        <w:t>to</w:t>
      </w:r>
      <w:r>
        <w:rPr>
          <w:rFonts w:ascii="Arial" w:hAnsi="Arial" w:cs="Arial"/>
          <w:color w:val="A6A6A6" w:themeColor="background1" w:themeShade="A6"/>
          <w:sz w:val="22"/>
          <w:szCs w:val="22"/>
          <w:lang w:val="en-GB"/>
        </w:rPr>
        <w:t xml:space="preserve"> </w:t>
      </w:r>
      <w:r w:rsidR="00746DEF">
        <w:rPr>
          <w:rFonts w:ascii="Arial" w:hAnsi="Arial" w:cs="Arial"/>
          <w:color w:val="A6A6A6" w:themeColor="background1" w:themeShade="A6"/>
          <w:sz w:val="22"/>
          <w:szCs w:val="22"/>
          <w:lang w:val="en-GB"/>
        </w:rPr>
        <w:t xml:space="preserve">the </w:t>
      </w:r>
      <w:r w:rsidR="00625625">
        <w:rPr>
          <w:rFonts w:ascii="Arial" w:hAnsi="Arial" w:cs="Arial"/>
          <w:color w:val="A6A6A6" w:themeColor="background1" w:themeShade="A6"/>
          <w:sz w:val="22"/>
          <w:szCs w:val="22"/>
          <w:lang w:val="en-GB"/>
        </w:rPr>
        <w:t>disadvantage</w:t>
      </w:r>
      <w:r>
        <w:rPr>
          <w:rFonts w:ascii="Arial" w:hAnsi="Arial" w:cs="Arial"/>
          <w:color w:val="A6A6A6" w:themeColor="background1" w:themeShade="A6"/>
          <w:sz w:val="22"/>
          <w:szCs w:val="22"/>
          <w:lang w:val="en-GB"/>
        </w:rPr>
        <w:t xml:space="preserve"> of the creditors</w:t>
      </w:r>
      <w:r w:rsidR="00746DEF">
        <w:rPr>
          <w:rFonts w:ascii="Arial" w:hAnsi="Arial" w:cs="Arial"/>
          <w:color w:val="A6A6A6" w:themeColor="background1" w:themeShade="A6"/>
          <w:sz w:val="22"/>
          <w:szCs w:val="22"/>
          <w:lang w:val="en-GB"/>
        </w:rPr>
        <w:t>'</w:t>
      </w:r>
      <w:r>
        <w:rPr>
          <w:rFonts w:ascii="Arial" w:hAnsi="Arial" w:cs="Arial"/>
          <w:color w:val="A6A6A6" w:themeColor="background1" w:themeShade="A6"/>
          <w:sz w:val="22"/>
          <w:szCs w:val="22"/>
          <w:lang w:val="en-GB"/>
        </w:rPr>
        <w:t xml:space="preserve"> body is known when it reduces the whole amount of assets that would be split to the ordinary creditors.</w:t>
      </w:r>
      <w:r w:rsidR="001262CD">
        <w:rPr>
          <w:rFonts w:ascii="Arial" w:hAnsi="Arial" w:cs="Arial"/>
          <w:color w:val="A6A6A6" w:themeColor="background1" w:themeShade="A6"/>
          <w:sz w:val="22"/>
          <w:szCs w:val="22"/>
          <w:lang w:val="en-GB"/>
        </w:rPr>
        <w:t xml:space="preserve"> Some actions are considered standards when related to such transactions, </w:t>
      </w:r>
      <w:r w:rsidR="00746DEF">
        <w:rPr>
          <w:rFonts w:ascii="Arial" w:hAnsi="Arial" w:cs="Arial"/>
          <w:color w:val="A6A6A6" w:themeColor="background1" w:themeShade="A6"/>
          <w:sz w:val="22"/>
          <w:szCs w:val="22"/>
          <w:lang w:val="en-GB"/>
        </w:rPr>
        <w:t>like</w:t>
      </w:r>
      <w:r w:rsidR="001262CD">
        <w:rPr>
          <w:rFonts w:ascii="Arial" w:hAnsi="Arial" w:cs="Arial"/>
          <w:color w:val="A6A6A6" w:themeColor="background1" w:themeShade="A6"/>
          <w:sz w:val="22"/>
          <w:szCs w:val="22"/>
          <w:lang w:val="en-GB"/>
        </w:rPr>
        <w:t xml:space="preserve"> payments, granting of security rights</w:t>
      </w:r>
      <w:r w:rsidR="00746DEF">
        <w:rPr>
          <w:rFonts w:ascii="Arial" w:hAnsi="Arial" w:cs="Arial"/>
          <w:color w:val="A6A6A6" w:themeColor="background1" w:themeShade="A6"/>
          <w:sz w:val="22"/>
          <w:szCs w:val="22"/>
          <w:lang w:val="en-GB"/>
        </w:rPr>
        <w:t>,</w:t>
      </w:r>
      <w:r w:rsidR="001262CD">
        <w:rPr>
          <w:rFonts w:ascii="Arial" w:hAnsi="Arial" w:cs="Arial"/>
          <w:color w:val="A6A6A6" w:themeColor="background1" w:themeShade="A6"/>
          <w:sz w:val="22"/>
          <w:szCs w:val="22"/>
          <w:lang w:val="en-GB"/>
        </w:rPr>
        <w:t xml:space="preserve"> waiver of claims</w:t>
      </w:r>
      <w:r w:rsidR="00746DEF">
        <w:rPr>
          <w:rFonts w:ascii="Arial" w:hAnsi="Arial" w:cs="Arial"/>
          <w:color w:val="A6A6A6" w:themeColor="background1" w:themeShade="A6"/>
          <w:sz w:val="22"/>
          <w:szCs w:val="22"/>
          <w:lang w:val="en-GB"/>
        </w:rPr>
        <w:t>,</w:t>
      </w:r>
      <w:r w:rsidR="001262CD">
        <w:rPr>
          <w:rFonts w:ascii="Arial" w:hAnsi="Arial" w:cs="Arial"/>
          <w:color w:val="A6A6A6" w:themeColor="background1" w:themeShade="A6"/>
          <w:sz w:val="22"/>
          <w:szCs w:val="22"/>
          <w:lang w:val="en-GB"/>
        </w:rPr>
        <w:t xml:space="preserve"> and other</w:t>
      </w:r>
      <w:r w:rsidR="00746DEF">
        <w:rPr>
          <w:rFonts w:ascii="Arial" w:hAnsi="Arial" w:cs="Arial"/>
          <w:color w:val="A6A6A6" w:themeColor="background1" w:themeShade="A6"/>
          <w:sz w:val="22"/>
          <w:szCs w:val="22"/>
          <w:lang w:val="en-GB"/>
        </w:rPr>
        <w:t>s.</w:t>
      </w:r>
      <w:r w:rsidR="001262CD">
        <w:rPr>
          <w:rFonts w:ascii="Arial" w:hAnsi="Arial" w:cs="Arial"/>
          <w:color w:val="A6A6A6" w:themeColor="background1" w:themeShade="A6"/>
          <w:sz w:val="22"/>
          <w:szCs w:val="22"/>
          <w:lang w:val="en-GB"/>
        </w:rPr>
        <w:t xml:space="preserve"> The </w:t>
      </w:r>
      <w:r w:rsidR="00625625">
        <w:rPr>
          <w:rFonts w:ascii="Arial" w:hAnsi="Arial" w:cs="Arial"/>
          <w:color w:val="A6A6A6" w:themeColor="background1" w:themeShade="A6"/>
          <w:sz w:val="22"/>
          <w:szCs w:val="22"/>
          <w:lang w:val="en-GB"/>
        </w:rPr>
        <w:t>grounds</w:t>
      </w:r>
      <w:r w:rsidR="001262CD">
        <w:rPr>
          <w:rFonts w:ascii="Arial" w:hAnsi="Arial" w:cs="Arial"/>
          <w:color w:val="A6A6A6" w:themeColor="background1" w:themeShade="A6"/>
          <w:sz w:val="22"/>
          <w:szCs w:val="22"/>
          <w:lang w:val="en-GB"/>
        </w:rPr>
        <w:t xml:space="preserve"> to request the avoidance of the transaction are listed in §§ 130 et seq insO </w:t>
      </w:r>
      <w:r w:rsidR="002A64A5">
        <w:rPr>
          <w:rFonts w:ascii="Arial" w:hAnsi="Arial" w:cs="Arial"/>
          <w:color w:val="A6A6A6" w:themeColor="background1" w:themeShade="A6"/>
          <w:sz w:val="22"/>
          <w:szCs w:val="22"/>
          <w:lang w:val="en-GB"/>
        </w:rPr>
        <w:t xml:space="preserve">and, </w:t>
      </w:r>
      <w:r w:rsidR="00746DEF">
        <w:rPr>
          <w:rFonts w:ascii="Arial" w:hAnsi="Arial" w:cs="Arial"/>
          <w:color w:val="A6A6A6" w:themeColor="background1" w:themeShade="A6"/>
          <w:sz w:val="22"/>
          <w:szCs w:val="22"/>
          <w:lang w:val="en-GB"/>
        </w:rPr>
        <w:t xml:space="preserve">and, </w:t>
      </w:r>
      <w:r w:rsidR="002A64A5">
        <w:rPr>
          <w:rFonts w:ascii="Arial" w:hAnsi="Arial" w:cs="Arial"/>
          <w:color w:val="A6A6A6" w:themeColor="background1" w:themeShade="A6"/>
          <w:sz w:val="22"/>
          <w:szCs w:val="22"/>
          <w:lang w:val="en-GB"/>
        </w:rPr>
        <w:t xml:space="preserve">when </w:t>
      </w:r>
      <w:r w:rsidR="00746DEF">
        <w:rPr>
          <w:rFonts w:ascii="Arial" w:hAnsi="Arial" w:cs="Arial"/>
          <w:color w:val="A6A6A6" w:themeColor="background1" w:themeShade="A6"/>
          <w:sz w:val="22"/>
          <w:szCs w:val="22"/>
          <w:lang w:val="en-GB"/>
        </w:rPr>
        <w:t xml:space="preserve">this kind of claim is </w:t>
      </w:r>
      <w:r w:rsidR="002A64A5">
        <w:rPr>
          <w:rFonts w:ascii="Arial" w:hAnsi="Arial" w:cs="Arial"/>
          <w:color w:val="A6A6A6" w:themeColor="background1" w:themeShade="A6"/>
          <w:sz w:val="22"/>
          <w:szCs w:val="22"/>
          <w:lang w:val="en-GB"/>
        </w:rPr>
        <w:t xml:space="preserve">successful the assets </w:t>
      </w:r>
      <w:r w:rsidR="00625625">
        <w:rPr>
          <w:rFonts w:ascii="Arial" w:hAnsi="Arial" w:cs="Arial"/>
          <w:color w:val="A6A6A6" w:themeColor="background1" w:themeShade="A6"/>
          <w:sz w:val="22"/>
          <w:szCs w:val="22"/>
          <w:lang w:val="en-GB"/>
        </w:rPr>
        <w:t>must</w:t>
      </w:r>
      <w:r w:rsidR="002A64A5">
        <w:rPr>
          <w:rFonts w:ascii="Arial" w:hAnsi="Arial" w:cs="Arial"/>
          <w:color w:val="A6A6A6" w:themeColor="background1" w:themeShade="A6"/>
          <w:sz w:val="22"/>
          <w:szCs w:val="22"/>
          <w:lang w:val="en-GB"/>
        </w:rPr>
        <w:t xml:space="preserve"> be returned to the estate. The rule is that the estate </w:t>
      </w:r>
      <w:r w:rsidR="00625625">
        <w:rPr>
          <w:rFonts w:ascii="Arial" w:hAnsi="Arial" w:cs="Arial"/>
          <w:color w:val="A6A6A6" w:themeColor="background1" w:themeShade="A6"/>
          <w:sz w:val="22"/>
          <w:szCs w:val="22"/>
          <w:lang w:val="en-GB"/>
        </w:rPr>
        <w:t>must</w:t>
      </w:r>
      <w:r w:rsidR="002A64A5">
        <w:rPr>
          <w:rFonts w:ascii="Arial" w:hAnsi="Arial" w:cs="Arial"/>
          <w:color w:val="A6A6A6" w:themeColor="background1" w:themeShade="A6"/>
          <w:sz w:val="22"/>
          <w:szCs w:val="22"/>
          <w:lang w:val="en-GB"/>
        </w:rPr>
        <w:t xml:space="preserve"> remain </w:t>
      </w:r>
      <w:r w:rsidR="00746DEF">
        <w:rPr>
          <w:rFonts w:ascii="Arial" w:hAnsi="Arial" w:cs="Arial"/>
          <w:color w:val="A6A6A6" w:themeColor="background1" w:themeShade="A6"/>
          <w:sz w:val="22"/>
          <w:szCs w:val="22"/>
          <w:lang w:val="en-GB"/>
        </w:rPr>
        <w:t xml:space="preserve">in a </w:t>
      </w:r>
      <w:r w:rsidR="002A64A5">
        <w:rPr>
          <w:rFonts w:ascii="Arial" w:hAnsi="Arial" w:cs="Arial"/>
          <w:color w:val="A6A6A6" w:themeColor="background1" w:themeShade="A6"/>
          <w:sz w:val="22"/>
          <w:szCs w:val="22"/>
          <w:lang w:val="en-GB"/>
        </w:rPr>
        <w:t xml:space="preserve">state in which it should have been without such transaction. </w:t>
      </w:r>
    </w:p>
    <w:p w14:paraId="142A1F14" w14:textId="77777777" w:rsidR="00746DEF" w:rsidRDefault="00746DEF" w:rsidP="00746DEF">
      <w:pPr>
        <w:pStyle w:val="ListParagraph"/>
        <w:ind w:left="0"/>
        <w:jc w:val="both"/>
        <w:rPr>
          <w:rFonts w:ascii="Arial" w:hAnsi="Arial" w:cs="Arial"/>
          <w:color w:val="A6A6A6" w:themeColor="background1" w:themeShade="A6"/>
          <w:sz w:val="22"/>
          <w:szCs w:val="22"/>
          <w:lang w:val="en-GB"/>
        </w:rPr>
      </w:pPr>
    </w:p>
    <w:p w14:paraId="0AE72AC8" w14:textId="77777777" w:rsidR="00746DEF" w:rsidRDefault="00746DEF"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a defense to the avoidance transaction and </w:t>
      </w:r>
      <w:r w:rsidR="002A64A5">
        <w:rPr>
          <w:rFonts w:ascii="Arial" w:hAnsi="Arial" w:cs="Arial"/>
          <w:color w:val="A6A6A6" w:themeColor="background1" w:themeShade="A6"/>
          <w:sz w:val="22"/>
          <w:szCs w:val="22"/>
          <w:lang w:val="en-GB"/>
        </w:rPr>
        <w:t>t</w:t>
      </w:r>
      <w:r w:rsidR="00B862AE">
        <w:rPr>
          <w:rFonts w:ascii="Arial" w:hAnsi="Arial" w:cs="Arial"/>
          <w:color w:val="A6A6A6" w:themeColor="background1" w:themeShade="A6"/>
          <w:sz w:val="22"/>
          <w:szCs w:val="22"/>
          <w:lang w:val="en-GB"/>
        </w:rPr>
        <w:t xml:space="preserve">o argue against the </w:t>
      </w:r>
      <w:r w:rsidR="00625625">
        <w:rPr>
          <w:rFonts w:ascii="Arial" w:hAnsi="Arial" w:cs="Arial"/>
          <w:color w:val="A6A6A6" w:themeColor="background1" w:themeShade="A6"/>
          <w:sz w:val="22"/>
          <w:szCs w:val="22"/>
          <w:lang w:val="en-GB"/>
        </w:rPr>
        <w:t>restitution</w:t>
      </w:r>
      <w:r w:rsidR="00B862AE">
        <w:rPr>
          <w:rFonts w:ascii="Arial" w:hAnsi="Arial" w:cs="Arial"/>
          <w:color w:val="A6A6A6" w:themeColor="background1" w:themeShade="A6"/>
          <w:sz w:val="22"/>
          <w:szCs w:val="22"/>
          <w:lang w:val="en-GB"/>
        </w:rPr>
        <w:t xml:space="preserve"> claim, the creditor </w:t>
      </w:r>
      <w:r w:rsidR="00625625">
        <w:rPr>
          <w:rFonts w:ascii="Arial" w:hAnsi="Arial" w:cs="Arial"/>
          <w:color w:val="A6A6A6" w:themeColor="background1" w:themeShade="A6"/>
          <w:sz w:val="22"/>
          <w:szCs w:val="22"/>
          <w:lang w:val="en-GB"/>
        </w:rPr>
        <w:t>must</w:t>
      </w:r>
      <w:r w:rsidR="00B862AE">
        <w:rPr>
          <w:rFonts w:ascii="Arial" w:hAnsi="Arial" w:cs="Arial"/>
          <w:color w:val="A6A6A6" w:themeColor="background1" w:themeShade="A6"/>
          <w:sz w:val="22"/>
          <w:szCs w:val="22"/>
          <w:lang w:val="en-GB"/>
        </w:rPr>
        <w:t xml:space="preserve"> </w:t>
      </w:r>
      <w:r>
        <w:rPr>
          <w:rFonts w:ascii="Arial" w:hAnsi="Arial" w:cs="Arial"/>
          <w:color w:val="A6A6A6" w:themeColor="background1" w:themeShade="A6"/>
          <w:sz w:val="22"/>
          <w:szCs w:val="22"/>
          <w:lang w:val="en-GB"/>
        </w:rPr>
        <w:t xml:space="preserve">claim </w:t>
      </w:r>
      <w:r w:rsidR="00B862AE">
        <w:rPr>
          <w:rFonts w:ascii="Arial" w:hAnsi="Arial" w:cs="Arial"/>
          <w:color w:val="A6A6A6" w:themeColor="background1" w:themeShade="A6"/>
          <w:sz w:val="22"/>
          <w:szCs w:val="22"/>
          <w:lang w:val="en-GB"/>
        </w:rPr>
        <w:t xml:space="preserve">that the requirements </w:t>
      </w:r>
      <w:r>
        <w:rPr>
          <w:rFonts w:ascii="Arial" w:hAnsi="Arial" w:cs="Arial"/>
          <w:color w:val="A6A6A6" w:themeColor="background1" w:themeShade="A6"/>
          <w:sz w:val="22"/>
          <w:szCs w:val="22"/>
          <w:lang w:val="en-GB"/>
        </w:rPr>
        <w:t xml:space="preserve">legally disposed of were </w:t>
      </w:r>
      <w:r w:rsidR="00B862AE">
        <w:rPr>
          <w:rFonts w:ascii="Arial" w:hAnsi="Arial" w:cs="Arial"/>
          <w:color w:val="A6A6A6" w:themeColor="background1" w:themeShade="A6"/>
          <w:sz w:val="22"/>
          <w:szCs w:val="22"/>
          <w:lang w:val="en-GB"/>
        </w:rPr>
        <w:t xml:space="preserve">not met, especially regarding the fact that he or she did not </w:t>
      </w:r>
      <w:r>
        <w:rPr>
          <w:rFonts w:ascii="Arial" w:hAnsi="Arial" w:cs="Arial"/>
          <w:color w:val="A6A6A6" w:themeColor="background1" w:themeShade="A6"/>
          <w:sz w:val="22"/>
          <w:szCs w:val="22"/>
          <w:lang w:val="en-GB"/>
        </w:rPr>
        <w:t>know</w:t>
      </w:r>
      <w:r w:rsidR="00B862AE">
        <w:rPr>
          <w:rFonts w:ascii="Arial" w:hAnsi="Arial" w:cs="Arial"/>
          <w:color w:val="A6A6A6" w:themeColor="background1" w:themeShade="A6"/>
          <w:sz w:val="22"/>
          <w:szCs w:val="22"/>
          <w:lang w:val="en-GB"/>
        </w:rPr>
        <w:t xml:space="preserve"> such </w:t>
      </w:r>
      <w:r w:rsidR="00625625">
        <w:rPr>
          <w:rFonts w:ascii="Arial" w:hAnsi="Arial" w:cs="Arial"/>
          <w:color w:val="A6A6A6" w:themeColor="background1" w:themeShade="A6"/>
          <w:sz w:val="22"/>
          <w:szCs w:val="22"/>
          <w:lang w:val="en-GB"/>
        </w:rPr>
        <w:t>transaction</w:t>
      </w:r>
      <w:r w:rsidR="00B862AE">
        <w:rPr>
          <w:rFonts w:ascii="Arial" w:hAnsi="Arial" w:cs="Arial"/>
          <w:color w:val="A6A6A6" w:themeColor="background1" w:themeShade="A6"/>
          <w:sz w:val="22"/>
          <w:szCs w:val="22"/>
          <w:lang w:val="en-GB"/>
        </w:rPr>
        <w:t xml:space="preserve"> being avoidable or the insolvent state of the debtor. </w:t>
      </w:r>
      <w:r w:rsidR="009B034C">
        <w:rPr>
          <w:rFonts w:ascii="Arial" w:hAnsi="Arial" w:cs="Arial"/>
          <w:color w:val="A6A6A6" w:themeColor="background1" w:themeShade="A6"/>
          <w:sz w:val="22"/>
          <w:szCs w:val="22"/>
          <w:lang w:val="en-GB"/>
        </w:rPr>
        <w:t>And then it is the estate burden to prove that the creditor knew about the requisites. On the other hand, the burden may rely on the creditor if he or she is a real close related party</w:t>
      </w:r>
      <w:r>
        <w:rPr>
          <w:rFonts w:ascii="Arial" w:hAnsi="Arial" w:cs="Arial"/>
          <w:color w:val="A6A6A6" w:themeColor="background1" w:themeShade="A6"/>
          <w:sz w:val="22"/>
          <w:szCs w:val="22"/>
          <w:lang w:val="en-GB"/>
        </w:rPr>
        <w:t>, in such cases, they have to prove that the transaction was not done with a bad faith intent</w:t>
      </w:r>
      <w:r w:rsidR="009B034C">
        <w:rPr>
          <w:rFonts w:ascii="Arial" w:hAnsi="Arial" w:cs="Arial"/>
          <w:color w:val="A6A6A6" w:themeColor="background1" w:themeShade="A6"/>
          <w:sz w:val="22"/>
          <w:szCs w:val="22"/>
          <w:lang w:val="en-GB"/>
        </w:rPr>
        <w:t>.</w:t>
      </w:r>
    </w:p>
    <w:p w14:paraId="2D016078" w14:textId="3A5C8856" w:rsidR="001262CD" w:rsidRDefault="009B034C"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 </w:t>
      </w:r>
    </w:p>
    <w:p w14:paraId="1D6C54C6" w14:textId="7492DF1D" w:rsidR="00890F8C" w:rsidRPr="00D05CA4" w:rsidRDefault="00890F8C" w:rsidP="00746DEF">
      <w:pPr>
        <w:pStyle w:val="ListParagraph"/>
        <w:ind w:left="0"/>
        <w:jc w:val="both"/>
        <w:rPr>
          <w:rFonts w:ascii="Arial" w:hAnsi="Arial" w:cs="Arial"/>
          <w:color w:val="A6A6A6" w:themeColor="background1" w:themeShade="A6"/>
          <w:sz w:val="22"/>
          <w:szCs w:val="22"/>
          <w:lang w:val="en-GB"/>
        </w:rPr>
      </w:pPr>
      <w:r w:rsidRPr="00625625">
        <w:rPr>
          <w:rFonts w:ascii="Arial" w:hAnsi="Arial" w:cs="Arial"/>
          <w:color w:val="A6A6A6" w:themeColor="background1" w:themeShade="A6"/>
          <w:sz w:val="22"/>
          <w:szCs w:val="22"/>
          <w:lang w:val="en-GB"/>
        </w:rPr>
        <w:t>Transactions carried out within a period of three months prior to the filing for insolvency as well as the period between the filing and the opening of proceedings are particularly sensitive</w:t>
      </w:r>
      <w:r w:rsidR="00625625" w:rsidRPr="00625625">
        <w:rPr>
          <w:rFonts w:ascii="Arial" w:hAnsi="Arial" w:cs="Arial"/>
          <w:color w:val="A6A6A6" w:themeColor="background1" w:themeShade="A6"/>
          <w:sz w:val="22"/>
          <w:szCs w:val="22"/>
          <w:lang w:val="en-GB"/>
        </w:rPr>
        <w:t xml:space="preserve">. Also, </w:t>
      </w:r>
      <w:r w:rsidRPr="00625625">
        <w:rPr>
          <w:rFonts w:ascii="Arial" w:hAnsi="Arial" w:cs="Arial"/>
          <w:color w:val="A6A6A6" w:themeColor="background1" w:themeShade="A6"/>
          <w:sz w:val="22"/>
          <w:szCs w:val="22"/>
          <w:lang w:val="en-GB"/>
        </w:rPr>
        <w:t>longer challenge periods of up to ten years exist, depending on the nature of the transaction.</w:t>
      </w:r>
      <w:r w:rsidR="00625625" w:rsidRPr="00625625">
        <w:rPr>
          <w:rFonts w:ascii="Arial" w:hAnsi="Arial" w:cs="Arial"/>
          <w:color w:val="A6A6A6" w:themeColor="background1" w:themeShade="A6"/>
          <w:sz w:val="22"/>
          <w:szCs w:val="22"/>
          <w:lang w:val="en-GB"/>
        </w:rPr>
        <w:t xml:space="preserve"> </w:t>
      </w:r>
      <w:r w:rsidR="00746DEF">
        <w:rPr>
          <w:rFonts w:ascii="Arial" w:hAnsi="Arial" w:cs="Arial"/>
          <w:color w:val="A6A6A6" w:themeColor="background1" w:themeShade="A6"/>
          <w:sz w:val="22"/>
          <w:szCs w:val="22"/>
          <w:lang w:val="en-GB"/>
        </w:rPr>
        <w:t>For instance, f</w:t>
      </w:r>
      <w:r w:rsidR="00625625" w:rsidRPr="00625625">
        <w:rPr>
          <w:rFonts w:ascii="Arial" w:hAnsi="Arial" w:cs="Arial"/>
          <w:color w:val="A6A6A6" w:themeColor="background1" w:themeShade="A6"/>
          <w:sz w:val="22"/>
          <w:szCs w:val="22"/>
          <w:lang w:val="en-GB"/>
        </w:rPr>
        <w:t>or gratuitous benefits granted by the debtor to a creditor the preference period is four years</w:t>
      </w:r>
      <w:r w:rsidR="00746DEF">
        <w:rPr>
          <w:rFonts w:ascii="Arial" w:hAnsi="Arial" w:cs="Arial"/>
          <w:color w:val="A6A6A6" w:themeColor="background1" w:themeShade="A6"/>
          <w:sz w:val="22"/>
          <w:szCs w:val="22"/>
          <w:lang w:val="en-GB"/>
        </w:rPr>
        <w:t>.</w:t>
      </w:r>
    </w:p>
    <w:p w14:paraId="00130585" w14:textId="529A5CA6" w:rsidR="00780E21" w:rsidRPr="009F4558" w:rsidRDefault="00780E21" w:rsidP="003E4613">
      <w:pPr>
        <w:jc w:val="both"/>
        <w:rPr>
          <w:rFonts w:ascii="Arial" w:hAnsi="Arial" w:cs="Arial"/>
          <w:color w:val="000000"/>
          <w:sz w:val="22"/>
          <w:szCs w:val="22"/>
        </w:rPr>
      </w:pP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Preformatted"/>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2A5C9FEB" w:rsidR="00CC572F" w:rsidRDefault="00CC572F" w:rsidP="00C34152">
      <w:pPr>
        <w:jc w:val="both"/>
        <w:rPr>
          <w:rFonts w:ascii="Arial" w:hAnsi="Arial" w:cs="Arial"/>
          <w:sz w:val="22"/>
          <w:szCs w:val="22"/>
          <w:lang w:val="en-GB"/>
        </w:rPr>
      </w:pPr>
    </w:p>
    <w:p w14:paraId="3153A6DC" w14:textId="71350DC7" w:rsidR="00F10E7E" w:rsidRDefault="00F10E7E" w:rsidP="00D05CA4">
      <w:pPr>
        <w:pStyle w:val="ListParagraph"/>
        <w:ind w:left="0"/>
        <w:rPr>
          <w:rFonts w:ascii="Arial" w:hAnsi="Arial" w:cs="Arial"/>
          <w:color w:val="A6A6A6" w:themeColor="background1" w:themeShade="A6"/>
          <w:sz w:val="22"/>
          <w:szCs w:val="22"/>
          <w:lang w:val="en-GB"/>
        </w:rPr>
      </w:pPr>
      <w:bookmarkStart w:id="1" w:name="_Hlk17745211"/>
    </w:p>
    <w:p w14:paraId="1B5E6C8D" w14:textId="7F5EC269" w:rsidR="00F10E7E" w:rsidRDefault="00F10E7E"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lastRenderedPageBreak/>
        <w:t xml:space="preserve">When granted the security of </w:t>
      </w:r>
      <w:r w:rsidR="008D6DF9">
        <w:rPr>
          <w:rFonts w:ascii="Arial" w:hAnsi="Arial" w:cs="Arial"/>
          <w:color w:val="A6A6A6" w:themeColor="background1" w:themeShade="A6"/>
          <w:sz w:val="22"/>
          <w:szCs w:val="22"/>
          <w:lang w:val="en-GB"/>
        </w:rPr>
        <w:t>future</w:t>
      </w:r>
      <w:r>
        <w:rPr>
          <w:rFonts w:ascii="Arial" w:hAnsi="Arial" w:cs="Arial"/>
          <w:color w:val="A6A6A6" w:themeColor="background1" w:themeShade="A6"/>
          <w:sz w:val="22"/>
          <w:szCs w:val="22"/>
          <w:lang w:val="en-GB"/>
        </w:rPr>
        <w:t xml:space="preserve"> receivables, D was not insolvent</w:t>
      </w:r>
      <w:r w:rsidR="00746DEF">
        <w:rPr>
          <w:rFonts w:ascii="Arial" w:hAnsi="Arial" w:cs="Arial"/>
          <w:color w:val="A6A6A6" w:themeColor="background1" w:themeShade="A6"/>
          <w:sz w:val="22"/>
          <w:szCs w:val="22"/>
          <w:lang w:val="en-GB"/>
        </w:rPr>
        <w:t xml:space="preserve"> (January 2020)</w:t>
      </w:r>
      <w:r>
        <w:rPr>
          <w:rFonts w:ascii="Arial" w:hAnsi="Arial" w:cs="Arial"/>
          <w:color w:val="A6A6A6" w:themeColor="background1" w:themeShade="A6"/>
          <w:sz w:val="22"/>
          <w:szCs w:val="22"/>
          <w:lang w:val="en-GB"/>
        </w:rPr>
        <w:t>.</w:t>
      </w:r>
      <w:r w:rsidR="00746DEF">
        <w:rPr>
          <w:rFonts w:ascii="Arial" w:hAnsi="Arial" w:cs="Arial"/>
          <w:color w:val="A6A6A6" w:themeColor="background1" w:themeShade="A6"/>
          <w:sz w:val="22"/>
          <w:szCs w:val="22"/>
          <w:lang w:val="en-GB"/>
        </w:rPr>
        <w:t xml:space="preserve"> T</w:t>
      </w:r>
      <w:r>
        <w:rPr>
          <w:rFonts w:ascii="Arial" w:hAnsi="Arial" w:cs="Arial"/>
          <w:color w:val="A6A6A6" w:themeColor="background1" w:themeShade="A6"/>
          <w:sz w:val="22"/>
          <w:szCs w:val="22"/>
          <w:lang w:val="en-GB"/>
        </w:rPr>
        <w:t xml:space="preserve">he security right was granted upon the </w:t>
      </w:r>
      <w:r w:rsidR="00C2724E">
        <w:rPr>
          <w:rFonts w:ascii="Arial" w:hAnsi="Arial" w:cs="Arial"/>
          <w:color w:val="A6A6A6" w:themeColor="background1" w:themeShade="A6"/>
          <w:sz w:val="22"/>
          <w:szCs w:val="22"/>
          <w:lang w:val="en-GB"/>
        </w:rPr>
        <w:t xml:space="preserve">granting of a loan. </w:t>
      </w:r>
    </w:p>
    <w:p w14:paraId="15F35D3D" w14:textId="77777777" w:rsidR="00113AEE" w:rsidRDefault="00113AEE" w:rsidP="00746DEF">
      <w:pPr>
        <w:pStyle w:val="ListParagraph"/>
        <w:ind w:left="0"/>
        <w:jc w:val="both"/>
        <w:rPr>
          <w:rFonts w:ascii="Arial" w:hAnsi="Arial" w:cs="Arial"/>
          <w:color w:val="A6A6A6" w:themeColor="background1" w:themeShade="A6"/>
          <w:sz w:val="22"/>
          <w:szCs w:val="22"/>
          <w:lang w:val="en-GB"/>
        </w:rPr>
      </w:pPr>
    </w:p>
    <w:p w14:paraId="527DA4D2" w14:textId="77777777" w:rsidR="00746DEF" w:rsidRDefault="00746DEF"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S</w:t>
      </w:r>
      <w:r w:rsidR="00C2724E">
        <w:rPr>
          <w:rFonts w:ascii="Arial" w:hAnsi="Arial" w:cs="Arial"/>
          <w:color w:val="A6A6A6" w:themeColor="background1" w:themeShade="A6"/>
          <w:sz w:val="22"/>
          <w:szCs w:val="22"/>
          <w:lang w:val="en-GB"/>
        </w:rPr>
        <w:t xml:space="preserve">ecurity provided </w:t>
      </w:r>
      <w:r>
        <w:rPr>
          <w:rFonts w:ascii="Arial" w:hAnsi="Arial" w:cs="Arial"/>
          <w:color w:val="A6A6A6" w:themeColor="background1" w:themeShade="A6"/>
          <w:sz w:val="22"/>
          <w:szCs w:val="22"/>
          <w:lang w:val="en-GB"/>
        </w:rPr>
        <w:t xml:space="preserve">based on </w:t>
      </w:r>
      <w:r w:rsidR="00C2724E">
        <w:rPr>
          <w:rFonts w:ascii="Arial" w:hAnsi="Arial" w:cs="Arial"/>
          <w:color w:val="A6A6A6" w:themeColor="background1" w:themeShade="A6"/>
          <w:sz w:val="22"/>
          <w:szCs w:val="22"/>
          <w:lang w:val="en-GB"/>
        </w:rPr>
        <w:t xml:space="preserve">intangible and movable assets can be </w:t>
      </w:r>
      <w:r w:rsidR="00706DD9">
        <w:rPr>
          <w:rFonts w:ascii="Arial" w:hAnsi="Arial" w:cs="Arial"/>
          <w:color w:val="A6A6A6" w:themeColor="background1" w:themeShade="A6"/>
          <w:sz w:val="22"/>
          <w:szCs w:val="22"/>
          <w:lang w:val="en-GB"/>
        </w:rPr>
        <w:t xml:space="preserve">a pledge or an assignment. In this case, since the debtor transferred the property of such future receivables, it is understood that he gave the </w:t>
      </w:r>
      <w:r w:rsidR="008D6DF9">
        <w:rPr>
          <w:rFonts w:ascii="Arial" w:hAnsi="Arial" w:cs="Arial"/>
          <w:color w:val="A6A6A6" w:themeColor="background1" w:themeShade="A6"/>
          <w:sz w:val="22"/>
          <w:szCs w:val="22"/>
          <w:lang w:val="en-GB"/>
        </w:rPr>
        <w:t>assignment,</w:t>
      </w:r>
      <w:r w:rsidR="00706DD9">
        <w:rPr>
          <w:rFonts w:ascii="Arial" w:hAnsi="Arial" w:cs="Arial"/>
          <w:color w:val="A6A6A6" w:themeColor="background1" w:themeShade="A6"/>
          <w:sz w:val="22"/>
          <w:szCs w:val="22"/>
          <w:lang w:val="en-GB"/>
        </w:rPr>
        <w:t xml:space="preserve"> and the creditor can function as </w:t>
      </w:r>
      <w:r>
        <w:rPr>
          <w:rFonts w:ascii="Arial" w:hAnsi="Arial" w:cs="Arial"/>
          <w:color w:val="A6A6A6" w:themeColor="background1" w:themeShade="A6"/>
          <w:sz w:val="22"/>
          <w:szCs w:val="22"/>
          <w:lang w:val="en-GB"/>
        </w:rPr>
        <w:t xml:space="preserve">the </w:t>
      </w:r>
      <w:r w:rsidR="00706DD9">
        <w:rPr>
          <w:rFonts w:ascii="Arial" w:hAnsi="Arial" w:cs="Arial"/>
          <w:color w:val="A6A6A6" w:themeColor="background1" w:themeShade="A6"/>
          <w:sz w:val="22"/>
          <w:szCs w:val="22"/>
          <w:lang w:val="en-GB"/>
        </w:rPr>
        <w:t>fiduciary owner of the amounts when they fall due.</w:t>
      </w:r>
    </w:p>
    <w:p w14:paraId="340617B1" w14:textId="150DEE5A" w:rsidR="00C2724E" w:rsidRDefault="00706DD9"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 </w:t>
      </w:r>
    </w:p>
    <w:p w14:paraId="192F7332" w14:textId="2A3A2280" w:rsidR="005F7B9D" w:rsidRDefault="005F7B9D"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this sense, it is important to </w:t>
      </w:r>
      <w:r w:rsidR="008D6DF9">
        <w:rPr>
          <w:rFonts w:ascii="Arial" w:hAnsi="Arial" w:cs="Arial"/>
          <w:color w:val="A6A6A6" w:themeColor="background1" w:themeShade="A6"/>
          <w:sz w:val="22"/>
          <w:szCs w:val="22"/>
          <w:lang w:val="en-GB"/>
        </w:rPr>
        <w:t>highlight</w:t>
      </w:r>
      <w:r>
        <w:rPr>
          <w:rFonts w:ascii="Arial" w:hAnsi="Arial" w:cs="Arial"/>
          <w:color w:val="A6A6A6" w:themeColor="background1" w:themeShade="A6"/>
          <w:sz w:val="22"/>
          <w:szCs w:val="22"/>
          <w:lang w:val="en-GB"/>
        </w:rPr>
        <w:t xml:space="preserve"> that since the receivables are future, the collateral is not created until the amounts become existing. </w:t>
      </w:r>
    </w:p>
    <w:p w14:paraId="134A4858" w14:textId="77777777" w:rsidR="00746DEF" w:rsidRDefault="00746DEF" w:rsidP="00746DEF">
      <w:pPr>
        <w:pStyle w:val="ListParagraph"/>
        <w:ind w:left="0"/>
        <w:jc w:val="both"/>
        <w:rPr>
          <w:rFonts w:ascii="Arial" w:hAnsi="Arial" w:cs="Arial"/>
          <w:color w:val="A6A6A6" w:themeColor="background1" w:themeShade="A6"/>
          <w:sz w:val="22"/>
          <w:szCs w:val="22"/>
          <w:lang w:val="en-GB"/>
        </w:rPr>
      </w:pPr>
    </w:p>
    <w:p w14:paraId="386CD6D9" w14:textId="0D49C7FA" w:rsidR="004A10B1" w:rsidRDefault="00100AD2"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Given that, the first </w:t>
      </w:r>
      <w:r w:rsidR="008D6DF9">
        <w:rPr>
          <w:rFonts w:ascii="Arial" w:hAnsi="Arial" w:cs="Arial"/>
          <w:color w:val="A6A6A6" w:themeColor="background1" w:themeShade="A6"/>
          <w:sz w:val="22"/>
          <w:szCs w:val="22"/>
          <w:lang w:val="en-GB"/>
        </w:rPr>
        <w:t>receivable</w:t>
      </w:r>
      <w:r>
        <w:rPr>
          <w:rFonts w:ascii="Arial" w:hAnsi="Arial" w:cs="Arial"/>
          <w:color w:val="A6A6A6" w:themeColor="background1" w:themeShade="A6"/>
          <w:sz w:val="22"/>
          <w:szCs w:val="22"/>
          <w:lang w:val="en-GB"/>
        </w:rPr>
        <w:t xml:space="preserve"> </w:t>
      </w:r>
      <w:r w:rsidR="00746DEF">
        <w:rPr>
          <w:rFonts w:ascii="Arial" w:hAnsi="Arial" w:cs="Arial"/>
          <w:color w:val="A6A6A6" w:themeColor="background1" w:themeShade="A6"/>
          <w:sz w:val="22"/>
          <w:szCs w:val="22"/>
          <w:lang w:val="en-GB"/>
        </w:rPr>
        <w:t>was considered</w:t>
      </w:r>
      <w:r>
        <w:rPr>
          <w:rFonts w:ascii="Arial" w:hAnsi="Arial" w:cs="Arial"/>
          <w:color w:val="A6A6A6" w:themeColor="background1" w:themeShade="A6"/>
          <w:sz w:val="22"/>
          <w:szCs w:val="22"/>
          <w:lang w:val="en-GB"/>
        </w:rPr>
        <w:t xml:space="preserve"> actually existing on a date prior to the insolvency, since it was </w:t>
      </w:r>
      <w:r w:rsidR="008D6DF9">
        <w:rPr>
          <w:rFonts w:ascii="Arial" w:hAnsi="Arial" w:cs="Arial"/>
          <w:color w:val="A6A6A6" w:themeColor="background1" w:themeShade="A6"/>
          <w:sz w:val="22"/>
          <w:szCs w:val="22"/>
          <w:lang w:val="en-GB"/>
        </w:rPr>
        <w:t>rendered</w:t>
      </w:r>
      <w:r>
        <w:rPr>
          <w:rFonts w:ascii="Arial" w:hAnsi="Arial" w:cs="Arial"/>
          <w:color w:val="A6A6A6" w:themeColor="background1" w:themeShade="A6"/>
          <w:sz w:val="22"/>
          <w:szCs w:val="22"/>
          <w:lang w:val="en-GB"/>
        </w:rPr>
        <w:t xml:space="preserve"> </w:t>
      </w:r>
      <w:r w:rsidR="00746DEF">
        <w:rPr>
          <w:rFonts w:ascii="Arial" w:hAnsi="Arial" w:cs="Arial"/>
          <w:color w:val="A6A6A6" w:themeColor="background1" w:themeShade="A6"/>
          <w:sz w:val="22"/>
          <w:szCs w:val="22"/>
          <w:lang w:val="en-GB"/>
        </w:rPr>
        <w:t>i</w:t>
      </w:r>
      <w:r>
        <w:rPr>
          <w:rFonts w:ascii="Arial" w:hAnsi="Arial" w:cs="Arial"/>
          <w:color w:val="A6A6A6" w:themeColor="background1" w:themeShade="A6"/>
          <w:sz w:val="22"/>
          <w:szCs w:val="22"/>
          <w:lang w:val="en-GB"/>
        </w:rPr>
        <w:t xml:space="preserve">n 2020, </w:t>
      </w:r>
      <w:r w:rsidR="00746DEF">
        <w:rPr>
          <w:rFonts w:ascii="Arial" w:hAnsi="Arial" w:cs="Arial"/>
          <w:color w:val="A6A6A6" w:themeColor="background1" w:themeShade="A6"/>
          <w:sz w:val="22"/>
          <w:szCs w:val="22"/>
          <w:lang w:val="en-GB"/>
        </w:rPr>
        <w:t>on the other hand</w:t>
      </w:r>
      <w:r>
        <w:rPr>
          <w:rFonts w:ascii="Arial" w:hAnsi="Arial" w:cs="Arial"/>
          <w:color w:val="A6A6A6" w:themeColor="background1" w:themeShade="A6"/>
          <w:sz w:val="22"/>
          <w:szCs w:val="22"/>
          <w:lang w:val="en-GB"/>
        </w:rPr>
        <w:t>,</w:t>
      </w:r>
      <w:r w:rsidR="00746DEF">
        <w:rPr>
          <w:rFonts w:ascii="Arial" w:hAnsi="Arial" w:cs="Arial"/>
          <w:color w:val="A6A6A6" w:themeColor="background1" w:themeShade="A6"/>
          <w:sz w:val="22"/>
          <w:szCs w:val="22"/>
          <w:lang w:val="en-GB"/>
        </w:rPr>
        <w:t xml:space="preserve"> the other one </w:t>
      </w:r>
      <w:r>
        <w:rPr>
          <w:rFonts w:ascii="Arial" w:hAnsi="Arial" w:cs="Arial"/>
          <w:color w:val="A6A6A6" w:themeColor="background1" w:themeShade="A6"/>
          <w:sz w:val="22"/>
          <w:szCs w:val="22"/>
          <w:lang w:val="en-GB"/>
        </w:rPr>
        <w:t xml:space="preserve">was </w:t>
      </w:r>
      <w:r w:rsidR="00746DEF">
        <w:rPr>
          <w:rFonts w:ascii="Arial" w:hAnsi="Arial" w:cs="Arial"/>
          <w:color w:val="A6A6A6" w:themeColor="background1" w:themeShade="A6"/>
          <w:sz w:val="22"/>
          <w:szCs w:val="22"/>
          <w:lang w:val="en-GB"/>
        </w:rPr>
        <w:t xml:space="preserve">had the </w:t>
      </w:r>
      <w:r w:rsidR="00FE2441">
        <w:rPr>
          <w:rFonts w:ascii="Arial" w:hAnsi="Arial" w:cs="Arial"/>
          <w:color w:val="A6A6A6" w:themeColor="background1" w:themeShade="A6"/>
          <w:sz w:val="22"/>
          <w:szCs w:val="22"/>
          <w:lang w:val="en-GB"/>
        </w:rPr>
        <w:t xml:space="preserve">conclusion after the commencing of the bankruptcy proceeding </w:t>
      </w:r>
      <w:r w:rsidR="004A10B1">
        <w:rPr>
          <w:rFonts w:ascii="Arial" w:hAnsi="Arial" w:cs="Arial"/>
          <w:color w:val="A6A6A6" w:themeColor="background1" w:themeShade="A6"/>
          <w:sz w:val="22"/>
          <w:szCs w:val="22"/>
          <w:lang w:val="en-GB"/>
        </w:rPr>
        <w:t>(July 3rd</w:t>
      </w:r>
      <w:r w:rsidR="00746DEF">
        <w:rPr>
          <w:rFonts w:ascii="Arial" w:hAnsi="Arial" w:cs="Arial"/>
          <w:color w:val="A6A6A6" w:themeColor="background1" w:themeShade="A6"/>
          <w:sz w:val="22"/>
          <w:szCs w:val="22"/>
          <w:lang w:val="en-GB"/>
        </w:rPr>
        <w:t>,</w:t>
      </w:r>
      <w:r w:rsidR="004A10B1">
        <w:rPr>
          <w:rFonts w:ascii="Arial" w:hAnsi="Arial" w:cs="Arial"/>
          <w:color w:val="A6A6A6" w:themeColor="background1" w:themeShade="A6"/>
          <w:sz w:val="22"/>
          <w:szCs w:val="22"/>
          <w:lang w:val="en-GB"/>
        </w:rPr>
        <w:t xml:space="preserve"> 2021)</w:t>
      </w:r>
      <w:r w:rsidR="00746DEF">
        <w:rPr>
          <w:rFonts w:ascii="Arial" w:hAnsi="Arial" w:cs="Arial"/>
          <w:color w:val="A6A6A6" w:themeColor="background1" w:themeShade="A6"/>
          <w:sz w:val="22"/>
          <w:szCs w:val="22"/>
          <w:lang w:val="en-GB"/>
        </w:rPr>
        <w:t xml:space="preserve"> and was performed only on august 2021</w:t>
      </w:r>
      <w:r w:rsidR="004A10B1">
        <w:rPr>
          <w:rFonts w:ascii="Arial" w:hAnsi="Arial" w:cs="Arial"/>
          <w:color w:val="A6A6A6" w:themeColor="background1" w:themeShade="A6"/>
          <w:sz w:val="22"/>
          <w:szCs w:val="22"/>
          <w:lang w:val="en-GB"/>
        </w:rPr>
        <w:t>.</w:t>
      </w:r>
    </w:p>
    <w:p w14:paraId="149B7091" w14:textId="77777777" w:rsidR="00746DEF" w:rsidRDefault="00746DEF" w:rsidP="00746DEF">
      <w:pPr>
        <w:pStyle w:val="ListParagraph"/>
        <w:ind w:left="0"/>
        <w:jc w:val="both"/>
        <w:rPr>
          <w:rFonts w:ascii="Arial" w:hAnsi="Arial" w:cs="Arial"/>
          <w:color w:val="A6A6A6" w:themeColor="background1" w:themeShade="A6"/>
          <w:sz w:val="22"/>
          <w:szCs w:val="22"/>
          <w:lang w:val="en-GB"/>
        </w:rPr>
      </w:pPr>
    </w:p>
    <w:p w14:paraId="7D03CD4A" w14:textId="23C60228" w:rsidR="005B1722" w:rsidRDefault="004A10B1"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Given the aforementioned</w:t>
      </w:r>
      <w:r w:rsidR="00746DEF">
        <w:rPr>
          <w:rFonts w:ascii="Arial" w:hAnsi="Arial" w:cs="Arial"/>
          <w:color w:val="A6A6A6" w:themeColor="background1" w:themeShade="A6"/>
          <w:sz w:val="22"/>
          <w:szCs w:val="22"/>
          <w:lang w:val="en-GB"/>
        </w:rPr>
        <w:t>, th</w:t>
      </w:r>
      <w:r>
        <w:rPr>
          <w:rFonts w:ascii="Arial" w:hAnsi="Arial" w:cs="Arial"/>
          <w:color w:val="A6A6A6" w:themeColor="background1" w:themeShade="A6"/>
          <w:sz w:val="22"/>
          <w:szCs w:val="22"/>
          <w:lang w:val="en-GB"/>
        </w:rPr>
        <w:t>e second transaction right will not be covered by the security right and the creditor has no claim against the estate</w:t>
      </w:r>
      <w:r w:rsidR="005B1722">
        <w:rPr>
          <w:rFonts w:ascii="Arial" w:hAnsi="Arial" w:cs="Arial"/>
          <w:color w:val="A6A6A6" w:themeColor="background1" w:themeShade="A6"/>
          <w:sz w:val="22"/>
          <w:szCs w:val="22"/>
          <w:lang w:val="en-GB"/>
        </w:rPr>
        <w:t xml:space="preserve"> given §91 of InsO. </w:t>
      </w:r>
    </w:p>
    <w:p w14:paraId="71193BF2" w14:textId="77777777" w:rsidR="005B1722" w:rsidRDefault="005B1722" w:rsidP="00746DEF">
      <w:pPr>
        <w:pStyle w:val="ListParagraph"/>
        <w:ind w:left="0"/>
        <w:jc w:val="both"/>
        <w:rPr>
          <w:rFonts w:ascii="Arial" w:hAnsi="Arial" w:cs="Arial"/>
          <w:color w:val="A6A6A6" w:themeColor="background1" w:themeShade="A6"/>
          <w:sz w:val="22"/>
          <w:szCs w:val="22"/>
          <w:lang w:val="en-GB"/>
        </w:rPr>
      </w:pPr>
    </w:p>
    <w:p w14:paraId="7AEBFDBA" w14:textId="211AE331" w:rsidR="005A475A" w:rsidRDefault="005B1722"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On the other hand, the first transaction that was hired and conclude</w:t>
      </w:r>
      <w:r w:rsidR="00746DEF">
        <w:rPr>
          <w:rFonts w:ascii="Arial" w:hAnsi="Arial" w:cs="Arial"/>
          <w:color w:val="A6A6A6" w:themeColor="background1" w:themeShade="A6"/>
          <w:sz w:val="22"/>
          <w:szCs w:val="22"/>
          <w:lang w:val="en-GB"/>
        </w:rPr>
        <w:t>d</w:t>
      </w:r>
      <w:r>
        <w:rPr>
          <w:rFonts w:ascii="Arial" w:hAnsi="Arial" w:cs="Arial"/>
          <w:color w:val="A6A6A6" w:themeColor="background1" w:themeShade="A6"/>
          <w:sz w:val="22"/>
          <w:szCs w:val="22"/>
          <w:lang w:val="en-GB"/>
        </w:rPr>
        <w:t xml:space="preserve"> prior to the opening of the proceeding and the suspect period </w:t>
      </w:r>
      <w:r w:rsidR="0071525A">
        <w:rPr>
          <w:rFonts w:ascii="Arial" w:hAnsi="Arial" w:cs="Arial"/>
          <w:color w:val="A6A6A6" w:themeColor="background1" w:themeShade="A6"/>
          <w:sz w:val="22"/>
          <w:szCs w:val="22"/>
          <w:lang w:val="en-GB"/>
        </w:rPr>
        <w:t>is encompassed by the right to separation, therefore the secur</w:t>
      </w:r>
      <w:r w:rsidR="00746DEF">
        <w:rPr>
          <w:rFonts w:ascii="Arial" w:hAnsi="Arial" w:cs="Arial"/>
          <w:color w:val="A6A6A6" w:themeColor="background1" w:themeShade="A6"/>
          <w:sz w:val="22"/>
          <w:szCs w:val="22"/>
          <w:lang w:val="en-GB"/>
        </w:rPr>
        <w:t>ed</w:t>
      </w:r>
      <w:r w:rsidR="0071525A">
        <w:rPr>
          <w:rFonts w:ascii="Arial" w:hAnsi="Arial" w:cs="Arial"/>
          <w:color w:val="A6A6A6" w:themeColor="background1" w:themeShade="A6"/>
          <w:sz w:val="22"/>
          <w:szCs w:val="22"/>
          <w:lang w:val="en-GB"/>
        </w:rPr>
        <w:t xml:space="preserve"> creditor is granted the </w:t>
      </w:r>
      <w:r w:rsidR="008D6DF9">
        <w:rPr>
          <w:rFonts w:ascii="Arial" w:hAnsi="Arial" w:cs="Arial"/>
          <w:color w:val="A6A6A6" w:themeColor="background1" w:themeShade="A6"/>
          <w:sz w:val="22"/>
          <w:szCs w:val="22"/>
          <w:lang w:val="en-GB"/>
        </w:rPr>
        <w:t>opportunity</w:t>
      </w:r>
      <w:r w:rsidR="0071525A">
        <w:rPr>
          <w:rFonts w:ascii="Arial" w:hAnsi="Arial" w:cs="Arial"/>
          <w:color w:val="A6A6A6" w:themeColor="background1" w:themeShade="A6"/>
          <w:sz w:val="22"/>
          <w:szCs w:val="22"/>
          <w:lang w:val="en-GB"/>
        </w:rPr>
        <w:t xml:space="preserve"> to claim the</w:t>
      </w:r>
      <w:r w:rsidR="008D6DF9">
        <w:rPr>
          <w:rFonts w:ascii="Arial" w:hAnsi="Arial" w:cs="Arial"/>
          <w:color w:val="A6A6A6" w:themeColor="background1" w:themeShade="A6"/>
          <w:sz w:val="22"/>
          <w:szCs w:val="22"/>
          <w:lang w:val="en-GB"/>
        </w:rPr>
        <w:t xml:space="preserve"> </w:t>
      </w:r>
      <w:r w:rsidR="00324CBD">
        <w:rPr>
          <w:rFonts w:ascii="Arial" w:hAnsi="Arial" w:cs="Arial"/>
          <w:color w:val="A6A6A6" w:themeColor="background1" w:themeShade="A6"/>
          <w:sz w:val="22"/>
          <w:szCs w:val="22"/>
          <w:lang w:val="en-GB"/>
        </w:rPr>
        <w:t>preferential satisfaction up to the amount of the secured claim. In this sense, only the surplus of the reali</w:t>
      </w:r>
      <w:r w:rsidR="00746DEF">
        <w:rPr>
          <w:rFonts w:ascii="Arial" w:hAnsi="Arial" w:cs="Arial"/>
          <w:color w:val="A6A6A6" w:themeColor="background1" w:themeShade="A6"/>
          <w:sz w:val="22"/>
          <w:szCs w:val="22"/>
          <w:lang w:val="en-GB"/>
        </w:rPr>
        <w:t>z</w:t>
      </w:r>
      <w:r w:rsidR="00324CBD">
        <w:rPr>
          <w:rFonts w:ascii="Arial" w:hAnsi="Arial" w:cs="Arial"/>
          <w:color w:val="A6A6A6" w:themeColor="background1" w:themeShade="A6"/>
          <w:sz w:val="22"/>
          <w:szCs w:val="22"/>
          <w:lang w:val="en-GB"/>
        </w:rPr>
        <w:t xml:space="preserve">ation amount will actually be directed to the estate. </w:t>
      </w:r>
    </w:p>
    <w:p w14:paraId="247A5881" w14:textId="77777777" w:rsidR="00746DEF" w:rsidRDefault="00746DEF" w:rsidP="00746DEF">
      <w:pPr>
        <w:pStyle w:val="ListParagraph"/>
        <w:ind w:left="0"/>
        <w:jc w:val="both"/>
        <w:rPr>
          <w:rFonts w:ascii="Arial" w:hAnsi="Arial" w:cs="Arial"/>
          <w:color w:val="A6A6A6" w:themeColor="background1" w:themeShade="A6"/>
          <w:sz w:val="22"/>
          <w:szCs w:val="22"/>
          <w:lang w:val="en-GB"/>
        </w:rPr>
      </w:pPr>
    </w:p>
    <w:p w14:paraId="1D95DC44" w14:textId="4E06DA8C" w:rsidR="00100AD2" w:rsidRPr="00D05CA4" w:rsidRDefault="005A475A" w:rsidP="00746DEF">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Also, </w:t>
      </w:r>
      <w:r w:rsidR="008D6DF9">
        <w:rPr>
          <w:rFonts w:ascii="Arial" w:hAnsi="Arial" w:cs="Arial"/>
          <w:color w:val="A6A6A6" w:themeColor="background1" w:themeShade="A6"/>
          <w:sz w:val="22"/>
          <w:szCs w:val="22"/>
          <w:lang w:val="en-GB"/>
        </w:rPr>
        <w:t>regarding</w:t>
      </w:r>
      <w:r>
        <w:rPr>
          <w:rFonts w:ascii="Arial" w:hAnsi="Arial" w:cs="Arial"/>
          <w:color w:val="A6A6A6" w:themeColor="background1" w:themeShade="A6"/>
          <w:sz w:val="22"/>
          <w:szCs w:val="22"/>
          <w:lang w:val="en-GB"/>
        </w:rPr>
        <w:t xml:space="preserve"> a secured creditor, it is possible to enforce the right </w:t>
      </w:r>
      <w:r w:rsidR="008D6DF9">
        <w:rPr>
          <w:rFonts w:ascii="Arial" w:hAnsi="Arial" w:cs="Arial"/>
          <w:color w:val="A6A6A6" w:themeColor="background1" w:themeShade="A6"/>
          <w:sz w:val="22"/>
          <w:szCs w:val="22"/>
          <w:lang w:val="en-GB"/>
        </w:rPr>
        <w:t>through</w:t>
      </w:r>
      <w:r>
        <w:rPr>
          <w:rFonts w:ascii="Arial" w:hAnsi="Arial" w:cs="Arial"/>
          <w:color w:val="A6A6A6" w:themeColor="background1" w:themeShade="A6"/>
          <w:sz w:val="22"/>
          <w:szCs w:val="22"/>
          <w:lang w:val="en-GB"/>
        </w:rPr>
        <w:t xml:space="preserve"> an </w:t>
      </w:r>
      <w:r w:rsidR="008D6DF9">
        <w:rPr>
          <w:rFonts w:ascii="Arial" w:hAnsi="Arial" w:cs="Arial"/>
          <w:color w:val="A6A6A6" w:themeColor="background1" w:themeShade="A6"/>
          <w:sz w:val="22"/>
          <w:szCs w:val="22"/>
          <w:lang w:val="en-GB"/>
        </w:rPr>
        <w:t>enforcement</w:t>
      </w:r>
      <w:r>
        <w:rPr>
          <w:rFonts w:ascii="Arial" w:hAnsi="Arial" w:cs="Arial"/>
          <w:color w:val="A6A6A6" w:themeColor="background1" w:themeShade="A6"/>
          <w:sz w:val="22"/>
          <w:szCs w:val="22"/>
          <w:lang w:val="en-GB"/>
        </w:rPr>
        <w:t xml:space="preserve"> proceeding, since the §89 of Inso applies only to insolvency creditors, </w:t>
      </w:r>
      <w:r w:rsidR="00746DEF">
        <w:rPr>
          <w:rFonts w:ascii="Arial" w:hAnsi="Arial" w:cs="Arial"/>
          <w:color w:val="A6A6A6" w:themeColor="background1" w:themeShade="A6"/>
          <w:sz w:val="22"/>
          <w:szCs w:val="22"/>
          <w:lang w:val="en-GB"/>
        </w:rPr>
        <w:t>which</w:t>
      </w:r>
      <w:r>
        <w:rPr>
          <w:rFonts w:ascii="Arial" w:hAnsi="Arial" w:cs="Arial"/>
          <w:color w:val="A6A6A6" w:themeColor="background1" w:themeShade="A6"/>
          <w:sz w:val="22"/>
          <w:szCs w:val="22"/>
          <w:lang w:val="en-GB"/>
        </w:rPr>
        <w:t xml:space="preserve"> can be understood as </w:t>
      </w:r>
      <w:r w:rsidR="008D6DF9">
        <w:rPr>
          <w:rFonts w:ascii="Arial" w:hAnsi="Arial" w:cs="Arial"/>
          <w:color w:val="A6A6A6" w:themeColor="background1" w:themeShade="A6"/>
          <w:sz w:val="22"/>
          <w:szCs w:val="22"/>
          <w:lang w:val="en-GB"/>
        </w:rPr>
        <w:t>unsecured</w:t>
      </w:r>
      <w:r>
        <w:rPr>
          <w:rFonts w:ascii="Arial" w:hAnsi="Arial" w:cs="Arial"/>
          <w:color w:val="A6A6A6" w:themeColor="background1" w:themeShade="A6"/>
          <w:sz w:val="22"/>
          <w:szCs w:val="22"/>
          <w:lang w:val="en-GB"/>
        </w:rPr>
        <w:t xml:space="preserve"> creditors. </w:t>
      </w:r>
      <w:r w:rsidR="00746DEF">
        <w:rPr>
          <w:rFonts w:ascii="Arial" w:hAnsi="Arial" w:cs="Arial"/>
          <w:color w:val="A6A6A6" w:themeColor="background1" w:themeShade="A6"/>
          <w:sz w:val="22"/>
          <w:szCs w:val="22"/>
          <w:lang w:val="en-GB"/>
        </w:rPr>
        <w:t xml:space="preserve"> </w:t>
      </w:r>
      <w:r w:rsidR="004821A9">
        <w:rPr>
          <w:rFonts w:ascii="Arial" w:hAnsi="Arial" w:cs="Arial"/>
          <w:color w:val="A6A6A6" w:themeColor="background1" w:themeShade="A6"/>
          <w:sz w:val="22"/>
          <w:szCs w:val="22"/>
          <w:lang w:val="en-GB"/>
        </w:rPr>
        <w:t>The disposition of secured good</w:t>
      </w:r>
      <w:r w:rsidR="00746DEF">
        <w:rPr>
          <w:rFonts w:ascii="Arial" w:hAnsi="Arial" w:cs="Arial"/>
          <w:color w:val="A6A6A6" w:themeColor="background1" w:themeShade="A6"/>
          <w:sz w:val="22"/>
          <w:szCs w:val="22"/>
          <w:lang w:val="en-GB"/>
        </w:rPr>
        <w:t>s</w:t>
      </w:r>
      <w:r w:rsidR="004821A9">
        <w:rPr>
          <w:rFonts w:ascii="Arial" w:hAnsi="Arial" w:cs="Arial"/>
          <w:color w:val="A6A6A6" w:themeColor="background1" w:themeShade="A6"/>
          <w:sz w:val="22"/>
          <w:szCs w:val="22"/>
          <w:lang w:val="en-GB"/>
        </w:rPr>
        <w:t xml:space="preserve"> is regulated by §§165 insO and also embraces the </w:t>
      </w:r>
      <w:r w:rsidR="008D6DF9">
        <w:rPr>
          <w:rFonts w:ascii="Arial" w:hAnsi="Arial" w:cs="Arial"/>
          <w:color w:val="A6A6A6" w:themeColor="background1" w:themeShade="A6"/>
          <w:sz w:val="22"/>
          <w:szCs w:val="22"/>
          <w:lang w:val="en-GB"/>
        </w:rPr>
        <w:t>responsibility</w:t>
      </w:r>
      <w:r w:rsidR="004821A9">
        <w:rPr>
          <w:rFonts w:ascii="Arial" w:hAnsi="Arial" w:cs="Arial"/>
          <w:color w:val="A6A6A6" w:themeColor="background1" w:themeShade="A6"/>
          <w:sz w:val="22"/>
          <w:szCs w:val="22"/>
          <w:lang w:val="en-GB"/>
        </w:rPr>
        <w:t xml:space="preserve"> of creditors and debtors. </w:t>
      </w:r>
      <w:r w:rsidR="004A10B1">
        <w:rPr>
          <w:rFonts w:ascii="Arial" w:hAnsi="Arial" w:cs="Arial"/>
          <w:color w:val="A6A6A6" w:themeColor="background1" w:themeShade="A6"/>
          <w:sz w:val="22"/>
          <w:szCs w:val="22"/>
          <w:lang w:val="en-GB"/>
        </w:rPr>
        <w:t xml:space="preserve"> </w:t>
      </w:r>
    </w:p>
    <w:p w14:paraId="37102164" w14:textId="77777777" w:rsidR="00102CC9" w:rsidRPr="00636DD2" w:rsidRDefault="00102CC9" w:rsidP="00087F21">
      <w:pPr>
        <w:jc w:val="both"/>
        <w:rPr>
          <w:rFonts w:ascii="Arial" w:hAnsi="Arial" w:cs="Arial"/>
          <w:sz w:val="22"/>
          <w:szCs w:val="22"/>
          <w:highlight w:val="yellow"/>
          <w:lang w:val="en-GB"/>
        </w:rPr>
      </w:pPr>
    </w:p>
    <w:bookmarkEnd w:id="1"/>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8A5D" w14:textId="77777777" w:rsidR="00FF2B9F" w:rsidRDefault="00FF2B9F" w:rsidP="00241B44">
      <w:r>
        <w:separator/>
      </w:r>
    </w:p>
  </w:endnote>
  <w:endnote w:type="continuationSeparator" w:id="0">
    <w:p w14:paraId="79EED7DB" w14:textId="77777777" w:rsidR="00FF2B9F" w:rsidRDefault="00FF2B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员䵕"/>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p w14:paraId="00AD0DDF" w14:textId="3A24CE89" w:rsidR="002124BE" w:rsidRPr="00902A28" w:rsidRDefault="002124BE" w:rsidP="00672963">
        <w:pPr>
          <w:pStyle w:val="Footer"/>
          <w:framePr w:wrap="none" w:vAnchor="text" w:hAnchor="margin" w:xAlign="right" w:y="1"/>
          <w:rPr>
            <w:rStyle w:val="PageNumber"/>
            <w:rFonts w:ascii="Arial" w:hAnsi="Arial" w:cs="Arial"/>
            <w:sz w:val="22"/>
            <w:szCs w:val="22"/>
          </w:rPr>
        </w:pPr>
        <w:r w:rsidRPr="00902A28">
          <w:rPr>
            <w:rStyle w:val="PageNumber"/>
            <w:rFonts w:ascii="Arial" w:hAnsi="Arial" w:cs="Arial"/>
            <w:b/>
            <w:bCs/>
            <w:sz w:val="22"/>
            <w:szCs w:val="22"/>
          </w:rPr>
          <w:t xml:space="preserve">Page </w:t>
        </w:r>
        <w:r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Pr="00902A28">
          <w:rPr>
            <w:rStyle w:val="PageNumber"/>
            <w:rFonts w:ascii="Arial" w:hAnsi="Arial" w:cs="Arial"/>
            <w:b/>
            <w:bCs/>
            <w:sz w:val="22"/>
            <w:szCs w:val="22"/>
          </w:rPr>
          <w:fldChar w:fldCharType="separate"/>
        </w:r>
        <w:r w:rsidR="0037467B" w:rsidRPr="00902A28">
          <w:rPr>
            <w:rStyle w:val="PageNumber"/>
            <w:rFonts w:ascii="Arial" w:hAnsi="Arial" w:cs="Arial"/>
            <w:b/>
            <w:bCs/>
            <w:noProof/>
            <w:sz w:val="22"/>
            <w:szCs w:val="22"/>
          </w:rPr>
          <w:t>7</w:t>
        </w:r>
        <w:r w:rsidRPr="00902A28">
          <w:rPr>
            <w:rStyle w:val="PageNumber"/>
            <w:rFonts w:ascii="Arial" w:hAnsi="Arial" w:cs="Arial"/>
            <w:b/>
            <w:bCs/>
            <w:sz w:val="22"/>
            <w:szCs w:val="22"/>
          </w:rPr>
          <w:fldChar w:fldCharType="end"/>
        </w:r>
      </w:p>
    </w:sdtContent>
  </w:sdt>
  <w:p w14:paraId="5AC08553" w14:textId="66AC7535" w:rsidR="00BC2C6F" w:rsidRPr="00902A28" w:rsidRDefault="003D0BA5" w:rsidP="009B4976">
    <w:pPr>
      <w:pStyle w:val="Footer"/>
      <w:ind w:right="360"/>
      <w:rPr>
        <w:rFonts w:ascii="Arial" w:hAnsi="Arial" w:cs="Arial"/>
        <w:sz w:val="22"/>
        <w:szCs w:val="22"/>
        <w:lang w:val="en-GB"/>
      </w:rPr>
    </w:pPr>
    <w:r w:rsidRPr="003D0BA5">
      <w:rPr>
        <w:rFonts w:ascii="Arial" w:hAnsi="Arial" w:cs="Arial"/>
        <w:sz w:val="22"/>
        <w:szCs w:val="22"/>
        <w:lang w:val="en-GB"/>
      </w:rPr>
      <w:t>202021IFU-231</w:t>
    </w:r>
    <w:r w:rsidR="002124BE" w:rsidRPr="00902A28">
      <w:rPr>
        <w:rFonts w:ascii="Arial" w:hAnsi="Arial" w:cs="Arial"/>
        <w:sz w:val="22"/>
        <w:szCs w:val="22"/>
        <w:lang w:val="en-GB"/>
      </w:rPr>
      <w:t>.assessment6B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8115" w14:textId="77777777" w:rsidR="003D0BA5" w:rsidRDefault="003D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C0DC" w14:textId="77777777" w:rsidR="00FF2B9F" w:rsidRDefault="00FF2B9F" w:rsidP="00241B44">
      <w:r>
        <w:separator/>
      </w:r>
    </w:p>
  </w:footnote>
  <w:footnote w:type="continuationSeparator" w:id="0">
    <w:p w14:paraId="0BA8E306" w14:textId="77777777" w:rsidR="00FF2B9F" w:rsidRDefault="00FF2B9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9B5B" w14:textId="77777777" w:rsidR="003D0BA5" w:rsidRDefault="003D0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CC1A" w14:textId="77777777" w:rsidR="003D0BA5" w:rsidRDefault="003D0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0tzAysDAwNDc0NTBW0lEKTi0uzszPAykwrgUAP+yTcCwAAAA="/>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3EF9"/>
    <w:rsid w:val="00044D46"/>
    <w:rsid w:val="00045088"/>
    <w:rsid w:val="00045904"/>
    <w:rsid w:val="00045B41"/>
    <w:rsid w:val="00046823"/>
    <w:rsid w:val="000500C6"/>
    <w:rsid w:val="000502FD"/>
    <w:rsid w:val="00055386"/>
    <w:rsid w:val="0005646E"/>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3F1A"/>
    <w:rsid w:val="000B5FF1"/>
    <w:rsid w:val="000B609F"/>
    <w:rsid w:val="000D55A8"/>
    <w:rsid w:val="000D652C"/>
    <w:rsid w:val="000E0A8C"/>
    <w:rsid w:val="000E4841"/>
    <w:rsid w:val="000E5146"/>
    <w:rsid w:val="000F1108"/>
    <w:rsid w:val="000F1677"/>
    <w:rsid w:val="000F3D6C"/>
    <w:rsid w:val="00100AD2"/>
    <w:rsid w:val="00101319"/>
    <w:rsid w:val="00101707"/>
    <w:rsid w:val="00102CC9"/>
    <w:rsid w:val="0010593A"/>
    <w:rsid w:val="00113AEE"/>
    <w:rsid w:val="0011473D"/>
    <w:rsid w:val="00115C85"/>
    <w:rsid w:val="00123855"/>
    <w:rsid w:val="00124F2F"/>
    <w:rsid w:val="001262CD"/>
    <w:rsid w:val="00126A4D"/>
    <w:rsid w:val="001327E0"/>
    <w:rsid w:val="001354C2"/>
    <w:rsid w:val="0013555A"/>
    <w:rsid w:val="0014171F"/>
    <w:rsid w:val="00141E86"/>
    <w:rsid w:val="0014622C"/>
    <w:rsid w:val="001464AA"/>
    <w:rsid w:val="001505A1"/>
    <w:rsid w:val="00152348"/>
    <w:rsid w:val="0015456D"/>
    <w:rsid w:val="00154D34"/>
    <w:rsid w:val="00155FA2"/>
    <w:rsid w:val="00161560"/>
    <w:rsid w:val="00161F1B"/>
    <w:rsid w:val="00162829"/>
    <w:rsid w:val="00170936"/>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CEE"/>
    <w:rsid w:val="001A7E9A"/>
    <w:rsid w:val="001A7EC2"/>
    <w:rsid w:val="001B0F70"/>
    <w:rsid w:val="001B3005"/>
    <w:rsid w:val="001B45E6"/>
    <w:rsid w:val="001B5016"/>
    <w:rsid w:val="001C45FC"/>
    <w:rsid w:val="001C5B2D"/>
    <w:rsid w:val="001C78D0"/>
    <w:rsid w:val="001D03EE"/>
    <w:rsid w:val="001D0469"/>
    <w:rsid w:val="001D1A71"/>
    <w:rsid w:val="001D29C0"/>
    <w:rsid w:val="001D4862"/>
    <w:rsid w:val="001E20AF"/>
    <w:rsid w:val="001E25B9"/>
    <w:rsid w:val="001E49E0"/>
    <w:rsid w:val="001E7B5A"/>
    <w:rsid w:val="001F0ECC"/>
    <w:rsid w:val="001F1ED8"/>
    <w:rsid w:val="001F356D"/>
    <w:rsid w:val="001F7412"/>
    <w:rsid w:val="0020090A"/>
    <w:rsid w:val="00200A68"/>
    <w:rsid w:val="00202DFE"/>
    <w:rsid w:val="00206156"/>
    <w:rsid w:val="0020725B"/>
    <w:rsid w:val="002110F1"/>
    <w:rsid w:val="002124BE"/>
    <w:rsid w:val="002129C5"/>
    <w:rsid w:val="00214F37"/>
    <w:rsid w:val="00216DA8"/>
    <w:rsid w:val="00222AF0"/>
    <w:rsid w:val="002231AA"/>
    <w:rsid w:val="0023102C"/>
    <w:rsid w:val="00233B9E"/>
    <w:rsid w:val="002356EA"/>
    <w:rsid w:val="00236A94"/>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A64A5"/>
    <w:rsid w:val="002B1C45"/>
    <w:rsid w:val="002B40FB"/>
    <w:rsid w:val="002B5E9D"/>
    <w:rsid w:val="002C13C8"/>
    <w:rsid w:val="002C2624"/>
    <w:rsid w:val="002C3547"/>
    <w:rsid w:val="002C4A81"/>
    <w:rsid w:val="002C75B5"/>
    <w:rsid w:val="002C77A0"/>
    <w:rsid w:val="002D0021"/>
    <w:rsid w:val="002D1132"/>
    <w:rsid w:val="002D299D"/>
    <w:rsid w:val="002D3473"/>
    <w:rsid w:val="002F147C"/>
    <w:rsid w:val="002F16BD"/>
    <w:rsid w:val="002F1956"/>
    <w:rsid w:val="002F3440"/>
    <w:rsid w:val="002F75A3"/>
    <w:rsid w:val="00303C2F"/>
    <w:rsid w:val="00312DE7"/>
    <w:rsid w:val="003133C5"/>
    <w:rsid w:val="00313F58"/>
    <w:rsid w:val="003144EF"/>
    <w:rsid w:val="0031647C"/>
    <w:rsid w:val="00320C0E"/>
    <w:rsid w:val="00324CBD"/>
    <w:rsid w:val="00326292"/>
    <w:rsid w:val="00326415"/>
    <w:rsid w:val="00330937"/>
    <w:rsid w:val="00330F31"/>
    <w:rsid w:val="00334648"/>
    <w:rsid w:val="0033768C"/>
    <w:rsid w:val="00337938"/>
    <w:rsid w:val="00337A2A"/>
    <w:rsid w:val="00340769"/>
    <w:rsid w:val="00341AA6"/>
    <w:rsid w:val="00355D93"/>
    <w:rsid w:val="00360840"/>
    <w:rsid w:val="00361A0A"/>
    <w:rsid w:val="00362517"/>
    <w:rsid w:val="003635EA"/>
    <w:rsid w:val="0036380C"/>
    <w:rsid w:val="00364582"/>
    <w:rsid w:val="0036459E"/>
    <w:rsid w:val="00364836"/>
    <w:rsid w:val="0036565C"/>
    <w:rsid w:val="0036625E"/>
    <w:rsid w:val="0037044D"/>
    <w:rsid w:val="003717CD"/>
    <w:rsid w:val="00373AB9"/>
    <w:rsid w:val="0037465A"/>
    <w:rsid w:val="0037467B"/>
    <w:rsid w:val="00376713"/>
    <w:rsid w:val="00382C98"/>
    <w:rsid w:val="003835EC"/>
    <w:rsid w:val="0038533C"/>
    <w:rsid w:val="00386568"/>
    <w:rsid w:val="00390B57"/>
    <w:rsid w:val="003939F8"/>
    <w:rsid w:val="003948D5"/>
    <w:rsid w:val="00396821"/>
    <w:rsid w:val="00397D3A"/>
    <w:rsid w:val="003A051E"/>
    <w:rsid w:val="003A1418"/>
    <w:rsid w:val="003A73C4"/>
    <w:rsid w:val="003B170F"/>
    <w:rsid w:val="003B3C5F"/>
    <w:rsid w:val="003B464E"/>
    <w:rsid w:val="003B4E46"/>
    <w:rsid w:val="003B66EF"/>
    <w:rsid w:val="003C4471"/>
    <w:rsid w:val="003C4653"/>
    <w:rsid w:val="003D0A6D"/>
    <w:rsid w:val="003D0BA5"/>
    <w:rsid w:val="003D41BA"/>
    <w:rsid w:val="003D55EA"/>
    <w:rsid w:val="003D7817"/>
    <w:rsid w:val="003E0003"/>
    <w:rsid w:val="003E0B16"/>
    <w:rsid w:val="003E37A6"/>
    <w:rsid w:val="003E4613"/>
    <w:rsid w:val="003E67D1"/>
    <w:rsid w:val="003F6DA2"/>
    <w:rsid w:val="00404329"/>
    <w:rsid w:val="00405DC1"/>
    <w:rsid w:val="00415F1F"/>
    <w:rsid w:val="0042108F"/>
    <w:rsid w:val="0042667D"/>
    <w:rsid w:val="00427F97"/>
    <w:rsid w:val="00430FED"/>
    <w:rsid w:val="0043344A"/>
    <w:rsid w:val="0043494E"/>
    <w:rsid w:val="00434A8C"/>
    <w:rsid w:val="00436E76"/>
    <w:rsid w:val="00437297"/>
    <w:rsid w:val="0044237C"/>
    <w:rsid w:val="00444284"/>
    <w:rsid w:val="00445499"/>
    <w:rsid w:val="00445CE6"/>
    <w:rsid w:val="004534C2"/>
    <w:rsid w:val="0045446F"/>
    <w:rsid w:val="0045683E"/>
    <w:rsid w:val="004610E6"/>
    <w:rsid w:val="0046178A"/>
    <w:rsid w:val="004702E6"/>
    <w:rsid w:val="00470DBC"/>
    <w:rsid w:val="00477C72"/>
    <w:rsid w:val="004821A9"/>
    <w:rsid w:val="0048499F"/>
    <w:rsid w:val="00487EBE"/>
    <w:rsid w:val="00491675"/>
    <w:rsid w:val="00493855"/>
    <w:rsid w:val="00495E79"/>
    <w:rsid w:val="004A10B1"/>
    <w:rsid w:val="004A1CFA"/>
    <w:rsid w:val="004A2D83"/>
    <w:rsid w:val="004A40BD"/>
    <w:rsid w:val="004A57DD"/>
    <w:rsid w:val="004A7773"/>
    <w:rsid w:val="004A7B51"/>
    <w:rsid w:val="004A7D71"/>
    <w:rsid w:val="004A7EF3"/>
    <w:rsid w:val="004B11FD"/>
    <w:rsid w:val="004B14C9"/>
    <w:rsid w:val="004B23A2"/>
    <w:rsid w:val="004B3A9C"/>
    <w:rsid w:val="004B4970"/>
    <w:rsid w:val="004B4AB4"/>
    <w:rsid w:val="004C2CAD"/>
    <w:rsid w:val="004C3E0D"/>
    <w:rsid w:val="004C49F7"/>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318"/>
    <w:rsid w:val="00540E3A"/>
    <w:rsid w:val="005413B5"/>
    <w:rsid w:val="00542C8D"/>
    <w:rsid w:val="00544127"/>
    <w:rsid w:val="005456F8"/>
    <w:rsid w:val="00545969"/>
    <w:rsid w:val="005463A9"/>
    <w:rsid w:val="00546695"/>
    <w:rsid w:val="00553EB2"/>
    <w:rsid w:val="00555123"/>
    <w:rsid w:val="00560534"/>
    <w:rsid w:val="00560E5E"/>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475A"/>
    <w:rsid w:val="005A5A5B"/>
    <w:rsid w:val="005A6FF2"/>
    <w:rsid w:val="005A726D"/>
    <w:rsid w:val="005B1722"/>
    <w:rsid w:val="005B37C7"/>
    <w:rsid w:val="005B59E1"/>
    <w:rsid w:val="005B6732"/>
    <w:rsid w:val="005B67AC"/>
    <w:rsid w:val="005B79F4"/>
    <w:rsid w:val="005C6810"/>
    <w:rsid w:val="005D16DD"/>
    <w:rsid w:val="005D1FA5"/>
    <w:rsid w:val="005D43E0"/>
    <w:rsid w:val="005D4E0F"/>
    <w:rsid w:val="005D58A3"/>
    <w:rsid w:val="005E1B79"/>
    <w:rsid w:val="005E2F42"/>
    <w:rsid w:val="005E5932"/>
    <w:rsid w:val="005E6076"/>
    <w:rsid w:val="005E7008"/>
    <w:rsid w:val="005F026D"/>
    <w:rsid w:val="005F213B"/>
    <w:rsid w:val="005F2AEA"/>
    <w:rsid w:val="005F2D0B"/>
    <w:rsid w:val="005F4512"/>
    <w:rsid w:val="005F4B31"/>
    <w:rsid w:val="005F75C3"/>
    <w:rsid w:val="005F7B9D"/>
    <w:rsid w:val="006019E8"/>
    <w:rsid w:val="00604F93"/>
    <w:rsid w:val="006052CC"/>
    <w:rsid w:val="006056C0"/>
    <w:rsid w:val="006066F9"/>
    <w:rsid w:val="00610388"/>
    <w:rsid w:val="006106AD"/>
    <w:rsid w:val="00610AC7"/>
    <w:rsid w:val="00612CA5"/>
    <w:rsid w:val="006153EC"/>
    <w:rsid w:val="00617650"/>
    <w:rsid w:val="00621466"/>
    <w:rsid w:val="00621A17"/>
    <w:rsid w:val="00622222"/>
    <w:rsid w:val="00625625"/>
    <w:rsid w:val="00627CC9"/>
    <w:rsid w:val="00627E7B"/>
    <w:rsid w:val="00630542"/>
    <w:rsid w:val="00632E44"/>
    <w:rsid w:val="00634622"/>
    <w:rsid w:val="00636808"/>
    <w:rsid w:val="00636DD2"/>
    <w:rsid w:val="00637056"/>
    <w:rsid w:val="00637FF2"/>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18BF"/>
    <w:rsid w:val="006B2BE8"/>
    <w:rsid w:val="006B42ED"/>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6DD9"/>
    <w:rsid w:val="007074E9"/>
    <w:rsid w:val="007119A7"/>
    <w:rsid w:val="007125F6"/>
    <w:rsid w:val="0071353C"/>
    <w:rsid w:val="00713DA4"/>
    <w:rsid w:val="00714BF1"/>
    <w:rsid w:val="0071525A"/>
    <w:rsid w:val="007208F7"/>
    <w:rsid w:val="00721383"/>
    <w:rsid w:val="00726A52"/>
    <w:rsid w:val="00726C84"/>
    <w:rsid w:val="0073158B"/>
    <w:rsid w:val="007333CC"/>
    <w:rsid w:val="0073399A"/>
    <w:rsid w:val="00740DAD"/>
    <w:rsid w:val="00746D42"/>
    <w:rsid w:val="00746DEF"/>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1E9F"/>
    <w:rsid w:val="007D7536"/>
    <w:rsid w:val="007D7C92"/>
    <w:rsid w:val="007E065A"/>
    <w:rsid w:val="007E1154"/>
    <w:rsid w:val="007E29DA"/>
    <w:rsid w:val="007E6BA4"/>
    <w:rsid w:val="007E73D3"/>
    <w:rsid w:val="007E7A91"/>
    <w:rsid w:val="007F41F8"/>
    <w:rsid w:val="007F659B"/>
    <w:rsid w:val="007F7102"/>
    <w:rsid w:val="0080454E"/>
    <w:rsid w:val="00804B7F"/>
    <w:rsid w:val="00804C32"/>
    <w:rsid w:val="008061D6"/>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45C1"/>
    <w:rsid w:val="00867701"/>
    <w:rsid w:val="008723F3"/>
    <w:rsid w:val="00876F56"/>
    <w:rsid w:val="00881DE6"/>
    <w:rsid w:val="00881E90"/>
    <w:rsid w:val="008837A6"/>
    <w:rsid w:val="00890F8C"/>
    <w:rsid w:val="0089145D"/>
    <w:rsid w:val="00892326"/>
    <w:rsid w:val="008927C8"/>
    <w:rsid w:val="008A2BFB"/>
    <w:rsid w:val="008A4DF2"/>
    <w:rsid w:val="008A4EC7"/>
    <w:rsid w:val="008A6CFE"/>
    <w:rsid w:val="008B5333"/>
    <w:rsid w:val="008B5508"/>
    <w:rsid w:val="008B6223"/>
    <w:rsid w:val="008C2F3F"/>
    <w:rsid w:val="008C606D"/>
    <w:rsid w:val="008C6252"/>
    <w:rsid w:val="008C66E0"/>
    <w:rsid w:val="008D0624"/>
    <w:rsid w:val="008D176B"/>
    <w:rsid w:val="008D6DF9"/>
    <w:rsid w:val="008E17D3"/>
    <w:rsid w:val="008E3339"/>
    <w:rsid w:val="008E71F3"/>
    <w:rsid w:val="008F15C9"/>
    <w:rsid w:val="008F20FC"/>
    <w:rsid w:val="008F4653"/>
    <w:rsid w:val="008F5FFE"/>
    <w:rsid w:val="00901FF6"/>
    <w:rsid w:val="00902181"/>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22B6"/>
    <w:rsid w:val="009741AC"/>
    <w:rsid w:val="00976666"/>
    <w:rsid w:val="00980E61"/>
    <w:rsid w:val="00982D29"/>
    <w:rsid w:val="0098784A"/>
    <w:rsid w:val="00991428"/>
    <w:rsid w:val="009920F1"/>
    <w:rsid w:val="00992170"/>
    <w:rsid w:val="00992676"/>
    <w:rsid w:val="009929AA"/>
    <w:rsid w:val="009954B2"/>
    <w:rsid w:val="00996691"/>
    <w:rsid w:val="009A0293"/>
    <w:rsid w:val="009A36FB"/>
    <w:rsid w:val="009A3AB7"/>
    <w:rsid w:val="009B034C"/>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E7C40"/>
    <w:rsid w:val="009F275E"/>
    <w:rsid w:val="009F4558"/>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2B0D"/>
    <w:rsid w:val="00A436F3"/>
    <w:rsid w:val="00A4440D"/>
    <w:rsid w:val="00A44F4B"/>
    <w:rsid w:val="00A46B4C"/>
    <w:rsid w:val="00A5117B"/>
    <w:rsid w:val="00A513CA"/>
    <w:rsid w:val="00A52015"/>
    <w:rsid w:val="00A5518B"/>
    <w:rsid w:val="00A56D34"/>
    <w:rsid w:val="00A60074"/>
    <w:rsid w:val="00A62BFA"/>
    <w:rsid w:val="00A6627C"/>
    <w:rsid w:val="00A66FE4"/>
    <w:rsid w:val="00A71019"/>
    <w:rsid w:val="00A778C5"/>
    <w:rsid w:val="00A81029"/>
    <w:rsid w:val="00A845F5"/>
    <w:rsid w:val="00A91902"/>
    <w:rsid w:val="00A96489"/>
    <w:rsid w:val="00AA255C"/>
    <w:rsid w:val="00AA3A3E"/>
    <w:rsid w:val="00AA4669"/>
    <w:rsid w:val="00AA6CFB"/>
    <w:rsid w:val="00AB0BD2"/>
    <w:rsid w:val="00AB2425"/>
    <w:rsid w:val="00AB3A98"/>
    <w:rsid w:val="00AB3F42"/>
    <w:rsid w:val="00AB5C39"/>
    <w:rsid w:val="00AB685C"/>
    <w:rsid w:val="00AB6C2D"/>
    <w:rsid w:val="00AC08F7"/>
    <w:rsid w:val="00AC1E03"/>
    <w:rsid w:val="00AC2EDA"/>
    <w:rsid w:val="00AC3839"/>
    <w:rsid w:val="00AC7082"/>
    <w:rsid w:val="00AD4BE8"/>
    <w:rsid w:val="00AD62C1"/>
    <w:rsid w:val="00AD70B6"/>
    <w:rsid w:val="00AE5655"/>
    <w:rsid w:val="00AF228E"/>
    <w:rsid w:val="00B016A8"/>
    <w:rsid w:val="00B0396F"/>
    <w:rsid w:val="00B04214"/>
    <w:rsid w:val="00B120AE"/>
    <w:rsid w:val="00B14819"/>
    <w:rsid w:val="00B14F53"/>
    <w:rsid w:val="00B15D67"/>
    <w:rsid w:val="00B15E2F"/>
    <w:rsid w:val="00B16D19"/>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20D"/>
    <w:rsid w:val="00B54416"/>
    <w:rsid w:val="00B56103"/>
    <w:rsid w:val="00B628AD"/>
    <w:rsid w:val="00B64929"/>
    <w:rsid w:val="00B736DF"/>
    <w:rsid w:val="00B743D6"/>
    <w:rsid w:val="00B74FBD"/>
    <w:rsid w:val="00B77BF0"/>
    <w:rsid w:val="00B77F46"/>
    <w:rsid w:val="00B82586"/>
    <w:rsid w:val="00B829A3"/>
    <w:rsid w:val="00B862AE"/>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4F2F"/>
    <w:rsid w:val="00BF50F7"/>
    <w:rsid w:val="00BF59BF"/>
    <w:rsid w:val="00BF77BA"/>
    <w:rsid w:val="00C007C1"/>
    <w:rsid w:val="00C02F29"/>
    <w:rsid w:val="00C02F34"/>
    <w:rsid w:val="00C128B8"/>
    <w:rsid w:val="00C17718"/>
    <w:rsid w:val="00C20AFE"/>
    <w:rsid w:val="00C22848"/>
    <w:rsid w:val="00C22A25"/>
    <w:rsid w:val="00C23DD8"/>
    <w:rsid w:val="00C248C8"/>
    <w:rsid w:val="00C2611D"/>
    <w:rsid w:val="00C2724E"/>
    <w:rsid w:val="00C30A31"/>
    <w:rsid w:val="00C338CF"/>
    <w:rsid w:val="00C34152"/>
    <w:rsid w:val="00C35671"/>
    <w:rsid w:val="00C35B77"/>
    <w:rsid w:val="00C376EB"/>
    <w:rsid w:val="00C41277"/>
    <w:rsid w:val="00C421EC"/>
    <w:rsid w:val="00C460F5"/>
    <w:rsid w:val="00C46916"/>
    <w:rsid w:val="00C46A92"/>
    <w:rsid w:val="00C46EC1"/>
    <w:rsid w:val="00C52796"/>
    <w:rsid w:val="00C53A38"/>
    <w:rsid w:val="00C53E2C"/>
    <w:rsid w:val="00C550C8"/>
    <w:rsid w:val="00C55824"/>
    <w:rsid w:val="00C56B61"/>
    <w:rsid w:val="00C606C3"/>
    <w:rsid w:val="00C6184F"/>
    <w:rsid w:val="00C620F4"/>
    <w:rsid w:val="00C64EC5"/>
    <w:rsid w:val="00C65319"/>
    <w:rsid w:val="00C66D35"/>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096B"/>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5CA4"/>
    <w:rsid w:val="00D07F71"/>
    <w:rsid w:val="00D148DC"/>
    <w:rsid w:val="00D17384"/>
    <w:rsid w:val="00D1777A"/>
    <w:rsid w:val="00D17FDC"/>
    <w:rsid w:val="00D21D8C"/>
    <w:rsid w:val="00D40287"/>
    <w:rsid w:val="00D4049B"/>
    <w:rsid w:val="00D42F29"/>
    <w:rsid w:val="00D452F4"/>
    <w:rsid w:val="00D4592B"/>
    <w:rsid w:val="00D503DF"/>
    <w:rsid w:val="00D50B7E"/>
    <w:rsid w:val="00D50D3B"/>
    <w:rsid w:val="00D51214"/>
    <w:rsid w:val="00D53719"/>
    <w:rsid w:val="00D539BA"/>
    <w:rsid w:val="00D54343"/>
    <w:rsid w:val="00D56534"/>
    <w:rsid w:val="00D63EFD"/>
    <w:rsid w:val="00D67D46"/>
    <w:rsid w:val="00D70A30"/>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0FDD"/>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349CE"/>
    <w:rsid w:val="00E407CE"/>
    <w:rsid w:val="00E43A56"/>
    <w:rsid w:val="00E4487E"/>
    <w:rsid w:val="00E44B9C"/>
    <w:rsid w:val="00E450A4"/>
    <w:rsid w:val="00E4595D"/>
    <w:rsid w:val="00E506BE"/>
    <w:rsid w:val="00E507D1"/>
    <w:rsid w:val="00E52B46"/>
    <w:rsid w:val="00E53223"/>
    <w:rsid w:val="00E55547"/>
    <w:rsid w:val="00E6302B"/>
    <w:rsid w:val="00E6452F"/>
    <w:rsid w:val="00E64F45"/>
    <w:rsid w:val="00E6742D"/>
    <w:rsid w:val="00E676A0"/>
    <w:rsid w:val="00E71CB0"/>
    <w:rsid w:val="00E7733D"/>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05C"/>
    <w:rsid w:val="00EE746F"/>
    <w:rsid w:val="00EF090E"/>
    <w:rsid w:val="00EF3E13"/>
    <w:rsid w:val="00EF5572"/>
    <w:rsid w:val="00F033DA"/>
    <w:rsid w:val="00F06C6E"/>
    <w:rsid w:val="00F07A2E"/>
    <w:rsid w:val="00F10B79"/>
    <w:rsid w:val="00F10E7E"/>
    <w:rsid w:val="00F13026"/>
    <w:rsid w:val="00F13691"/>
    <w:rsid w:val="00F13FB1"/>
    <w:rsid w:val="00F1477D"/>
    <w:rsid w:val="00F17740"/>
    <w:rsid w:val="00F17B8B"/>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65A8"/>
    <w:rsid w:val="00FC7150"/>
    <w:rsid w:val="00FC74C8"/>
    <w:rsid w:val="00FC7B47"/>
    <w:rsid w:val="00FD035C"/>
    <w:rsid w:val="00FD1A35"/>
    <w:rsid w:val="00FD2EA4"/>
    <w:rsid w:val="00FD36C5"/>
    <w:rsid w:val="00FD6310"/>
    <w:rsid w:val="00FD64C1"/>
    <w:rsid w:val="00FD7C7B"/>
    <w:rsid w:val="00FE0A86"/>
    <w:rsid w:val="00FE1D12"/>
    <w:rsid w:val="00FE2122"/>
    <w:rsid w:val="00FE2441"/>
    <w:rsid w:val="00FE2A86"/>
    <w:rsid w:val="00FE2DE2"/>
    <w:rsid w:val="00FE4EC0"/>
    <w:rsid w:val="00FF0747"/>
    <w:rsid w:val="00FF296F"/>
    <w:rsid w:val="00FF2B9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paragraph" w:customStyle="1" w:styleId="intend">
    <w:name w:val="intend"/>
    <w:basedOn w:val="Normal"/>
    <w:rsid w:val="0044237C"/>
    <w:pPr>
      <w:spacing w:before="100" w:beforeAutospacing="1" w:after="100" w:afterAutospacing="1"/>
    </w:pPr>
    <w:rPr>
      <w:rFonts w:ascii="Times New Roman" w:hAnsi="Times New Roman" w:cs="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7691523">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2834</Words>
  <Characters>16155</Characters>
  <Application>Microsoft Office Word</Application>
  <DocSecurity>4</DocSecurity>
  <Lines>134</Lines>
  <Paragraphs>37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Wolverhampton</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2021-10-05T10:43:00Z</dcterms:created>
  <dcterms:modified xsi:type="dcterms:W3CDTF">2021-10-05T10:43:00Z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