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CF07AC" w:rsidRDefault="00C60631" w:rsidP="009D510C">
      <w:pPr>
        <w:pStyle w:val="ListParagraph"/>
        <w:numPr>
          <w:ilvl w:val="0"/>
          <w:numId w:val="12"/>
        </w:numPr>
        <w:ind w:left="426"/>
        <w:jc w:val="both"/>
        <w:rPr>
          <w:rFonts w:ascii="Arial" w:hAnsi="Arial" w:cs="Arial"/>
          <w:sz w:val="22"/>
          <w:szCs w:val="22"/>
          <w:highlight w:val="yellow"/>
          <w:lang w:val="en-GB"/>
        </w:rPr>
      </w:pPr>
      <w:r w:rsidRPr="00CF07AC">
        <w:rPr>
          <w:rFonts w:ascii="Arial" w:hAnsi="Arial" w:cs="Arial"/>
          <w:sz w:val="22"/>
          <w:szCs w:val="22"/>
          <w:highlight w:val="yellow"/>
          <w:lang w:val="en-GB"/>
        </w:rPr>
        <w:t xml:space="preserve">This statement is incorrect since </w:t>
      </w:r>
      <w:r w:rsidR="00E7793C" w:rsidRPr="00CF07AC">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CF07AC">
        <w:rPr>
          <w:rFonts w:ascii="Arial" w:hAnsi="Arial" w:cs="Arial"/>
          <w:sz w:val="22"/>
          <w:szCs w:val="22"/>
          <w:highlight w:val="yellow"/>
          <w:lang w:val="en-GB"/>
        </w:rPr>
        <w:t>The statement i</w:t>
      </w:r>
      <w:r w:rsidR="006E77B0" w:rsidRPr="00CF07AC">
        <w:rPr>
          <w:rFonts w:ascii="Arial" w:hAnsi="Arial" w:cs="Arial"/>
          <w:sz w:val="22"/>
          <w:szCs w:val="22"/>
          <w:highlight w:val="yellow"/>
          <w:lang w:val="en-GB"/>
        </w:rPr>
        <w:t>s incorrect since the UK did re</w:t>
      </w:r>
      <w:r w:rsidRPr="00CF07AC">
        <w:rPr>
          <w:rFonts w:ascii="Arial" w:hAnsi="Arial" w:cs="Arial"/>
          <w:sz w:val="22"/>
          <w:szCs w:val="22"/>
          <w:highlight w:val="yellow"/>
          <w:lang w:val="en-GB"/>
        </w:rPr>
        <w:t>v</w:t>
      </w:r>
      <w:r w:rsidR="006E77B0" w:rsidRPr="00CF07AC">
        <w:rPr>
          <w:rFonts w:ascii="Arial" w:hAnsi="Arial" w:cs="Arial"/>
          <w:sz w:val="22"/>
          <w:szCs w:val="22"/>
          <w:highlight w:val="yellow"/>
          <w:lang w:val="en-GB"/>
        </w:rPr>
        <w:t>i</w:t>
      </w:r>
      <w:r w:rsidRPr="00CF07AC">
        <w:rPr>
          <w:rFonts w:ascii="Arial" w:hAnsi="Arial" w:cs="Arial"/>
          <w:sz w:val="22"/>
          <w:szCs w:val="22"/>
          <w:highlight w:val="yellow"/>
          <w:lang w:val="en-GB"/>
        </w:rPr>
        <w:t>ew parts of its insolvency rules and amended some, among</w:t>
      </w:r>
      <w:r w:rsidR="006E77B0" w:rsidRPr="00CF07AC">
        <w:rPr>
          <w:rFonts w:ascii="Arial" w:hAnsi="Arial" w:cs="Arial"/>
          <w:sz w:val="22"/>
          <w:szCs w:val="22"/>
          <w:highlight w:val="yellow"/>
          <w:lang w:val="en-GB"/>
        </w:rPr>
        <w:t>s</w:t>
      </w:r>
      <w:r w:rsidRPr="00CF07AC">
        <w:rPr>
          <w:rFonts w:ascii="Arial" w:hAnsi="Arial" w:cs="Arial"/>
          <w:sz w:val="22"/>
          <w:szCs w:val="22"/>
          <w:highlight w:val="yellow"/>
          <w:lang w:val="en-GB"/>
        </w:rPr>
        <w:t>t other</w:t>
      </w:r>
      <w:r w:rsidR="00F96AF1" w:rsidRPr="00CF07AC">
        <w:rPr>
          <w:rFonts w:ascii="Arial" w:hAnsi="Arial" w:cs="Arial"/>
          <w:sz w:val="22"/>
          <w:szCs w:val="22"/>
          <w:highlight w:val="yellow"/>
          <w:lang w:val="en-GB"/>
        </w:rPr>
        <w:t xml:space="preserve"> things</w:t>
      </w:r>
      <w:r w:rsidRPr="00CF07AC">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CF07A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F07AC">
        <w:rPr>
          <w:rFonts w:ascii="Arial" w:hAnsi="Arial" w:cs="Arial"/>
          <w:sz w:val="22"/>
          <w:szCs w:val="22"/>
          <w:highlight w:val="yellow"/>
          <w:lang w:val="en-GB"/>
        </w:rPr>
        <w:t xml:space="preserve">on </w:t>
      </w:r>
      <w:r w:rsidRPr="00CF07AC">
        <w:rPr>
          <w:rFonts w:ascii="Arial" w:hAnsi="Arial" w:cs="Arial"/>
          <w:sz w:val="22"/>
          <w:szCs w:val="22"/>
          <w:highlight w:val="yellow"/>
          <w:lang w:val="en-GB"/>
        </w:rPr>
        <w:t>1 January 2021</w:t>
      </w:r>
      <w:r w:rsidRPr="00205B31">
        <w:rPr>
          <w:rFonts w:ascii="Arial" w:hAnsi="Arial" w:cs="Arial"/>
          <w:sz w:val="22"/>
          <w:szCs w:val="22"/>
          <w:lang w:val="en-GB"/>
        </w:rPr>
        <w:t>.</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CC096C">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CC096C">
        <w:rPr>
          <w:rFonts w:ascii="Arial" w:hAnsi="Arial" w:cs="Arial"/>
          <w:sz w:val="22"/>
          <w:szCs w:val="22"/>
          <w:highlight w:val="yellow"/>
          <w:lang w:val="en-GB"/>
        </w:rPr>
        <w:t>ud</w:t>
      </w:r>
      <w:r w:rsidRPr="00CC096C">
        <w:rPr>
          <w:rFonts w:ascii="Arial" w:hAnsi="Arial" w:cs="Arial"/>
          <w:sz w:val="22"/>
          <w:szCs w:val="22"/>
          <w:highlight w:val="yellow"/>
          <w:lang w:val="en-GB"/>
        </w:rPr>
        <w:t>ges across the globe</w:t>
      </w:r>
      <w:r w:rsidRPr="00205B31">
        <w:rPr>
          <w:rFonts w:ascii="Arial" w:hAnsi="Arial" w:cs="Arial"/>
          <w:sz w:val="22"/>
          <w:szCs w:val="22"/>
          <w:lang w:val="en-GB"/>
        </w:rPr>
        <w:t>.</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CC096C">
        <w:rPr>
          <w:rFonts w:ascii="Arial" w:hAnsi="Arial" w:cs="Arial"/>
          <w:sz w:val="22"/>
          <w:szCs w:val="22"/>
          <w:highlight w:val="yellow"/>
          <w:lang w:val="en-GB"/>
        </w:rPr>
        <w:t xml:space="preserve">The statement is </w:t>
      </w:r>
      <w:r w:rsidR="006E1CB0" w:rsidRPr="00CC096C">
        <w:rPr>
          <w:rFonts w:ascii="Arial" w:hAnsi="Arial" w:cs="Arial"/>
          <w:sz w:val="22"/>
          <w:szCs w:val="22"/>
          <w:highlight w:val="yellow"/>
          <w:lang w:val="en-GB"/>
        </w:rPr>
        <w:t xml:space="preserve">not </w:t>
      </w:r>
      <w:r w:rsidRPr="00CC096C">
        <w:rPr>
          <w:rFonts w:ascii="Arial" w:hAnsi="Arial" w:cs="Arial"/>
          <w:sz w:val="22"/>
          <w:szCs w:val="22"/>
          <w:highlight w:val="yellow"/>
          <w:lang w:val="en-GB"/>
        </w:rPr>
        <w:t xml:space="preserve">correct </w:t>
      </w:r>
      <w:r w:rsidR="007958F0" w:rsidRPr="00CC096C">
        <w:rPr>
          <w:rFonts w:ascii="Arial" w:hAnsi="Arial" w:cs="Arial"/>
          <w:sz w:val="22"/>
          <w:szCs w:val="22"/>
          <w:highlight w:val="yellow"/>
          <w:lang w:val="en-GB"/>
        </w:rPr>
        <w:t>because</w:t>
      </w:r>
      <w:r w:rsidRPr="00CC096C">
        <w:rPr>
          <w:rFonts w:ascii="Arial" w:hAnsi="Arial" w:cs="Arial"/>
          <w:sz w:val="22"/>
          <w:szCs w:val="22"/>
          <w:highlight w:val="yellow"/>
          <w:lang w:val="en-GB"/>
        </w:rPr>
        <w:t xml:space="preserve"> very few </w:t>
      </w:r>
      <w:r w:rsidR="007958F0" w:rsidRPr="00CC096C">
        <w:rPr>
          <w:rFonts w:ascii="Arial" w:hAnsi="Arial" w:cs="Arial"/>
          <w:sz w:val="22"/>
          <w:szCs w:val="22"/>
          <w:highlight w:val="yellow"/>
          <w:lang w:val="en-GB"/>
        </w:rPr>
        <w:t>States</w:t>
      </w:r>
      <w:r w:rsidRPr="00CC096C">
        <w:rPr>
          <w:rFonts w:ascii="Arial" w:hAnsi="Arial" w:cs="Arial"/>
          <w:sz w:val="22"/>
          <w:szCs w:val="22"/>
          <w:highlight w:val="yellow"/>
          <w:lang w:val="en-GB"/>
        </w:rPr>
        <w:t xml:space="preserve"> allow insolvent estate representatives to deal with assets of a foreign debtor situated in </w:t>
      </w:r>
      <w:r w:rsidR="005936B3" w:rsidRPr="00CC096C">
        <w:rPr>
          <w:rFonts w:ascii="Arial" w:hAnsi="Arial" w:cs="Arial"/>
          <w:sz w:val="22"/>
          <w:szCs w:val="22"/>
          <w:highlight w:val="yellow"/>
          <w:lang w:val="en-GB"/>
        </w:rPr>
        <w:t>their own</w:t>
      </w:r>
      <w:r w:rsidRPr="00CC096C">
        <w:rPr>
          <w:rFonts w:ascii="Arial" w:hAnsi="Arial" w:cs="Arial"/>
          <w:sz w:val="22"/>
          <w:szCs w:val="22"/>
          <w:highlight w:val="yellow"/>
          <w:lang w:val="en-GB"/>
        </w:rPr>
        <w:t xml:space="preserve"> jurisdiction without </w:t>
      </w:r>
      <w:r w:rsidR="006E1CB0" w:rsidRPr="00CC096C">
        <w:rPr>
          <w:rFonts w:ascii="Arial" w:hAnsi="Arial" w:cs="Arial"/>
          <w:sz w:val="22"/>
          <w:szCs w:val="22"/>
          <w:highlight w:val="yellow"/>
          <w:lang w:val="en-GB"/>
        </w:rPr>
        <w:t xml:space="preserve">some form of </w:t>
      </w:r>
      <w:r w:rsidR="0090037B" w:rsidRPr="00CC096C">
        <w:rPr>
          <w:rFonts w:ascii="Arial" w:hAnsi="Arial" w:cs="Arial"/>
          <w:sz w:val="22"/>
          <w:szCs w:val="22"/>
          <w:highlight w:val="yellow"/>
          <w:lang w:val="en-GB"/>
        </w:rPr>
        <w:t xml:space="preserve">a </w:t>
      </w:r>
      <w:r w:rsidR="006E1CB0" w:rsidRPr="00CC096C">
        <w:rPr>
          <w:rFonts w:ascii="Arial" w:hAnsi="Arial" w:cs="Arial"/>
          <w:sz w:val="22"/>
          <w:szCs w:val="22"/>
          <w:highlight w:val="yellow"/>
          <w:lang w:val="en-GB"/>
        </w:rPr>
        <w:t>(</w:t>
      </w:r>
      <w:r w:rsidR="0090037B" w:rsidRPr="00CC096C">
        <w:rPr>
          <w:rFonts w:ascii="Arial" w:hAnsi="Arial" w:cs="Arial"/>
          <w:sz w:val="22"/>
          <w:szCs w:val="22"/>
          <w:highlight w:val="yellow"/>
          <w:lang w:val="en-GB"/>
        </w:rPr>
        <w:t>prior</w:t>
      </w:r>
      <w:r w:rsidR="006E1CB0" w:rsidRPr="00CC096C">
        <w:rPr>
          <w:rFonts w:ascii="Arial" w:hAnsi="Arial" w:cs="Arial"/>
          <w:sz w:val="22"/>
          <w:szCs w:val="22"/>
          <w:highlight w:val="yellow"/>
          <w:lang w:val="en-GB"/>
        </w:rPr>
        <w:t>)</w:t>
      </w:r>
      <w:r w:rsidRPr="00CC096C">
        <w:rPr>
          <w:rFonts w:ascii="Arial" w:hAnsi="Arial" w:cs="Arial"/>
          <w:sz w:val="22"/>
          <w:szCs w:val="22"/>
          <w:highlight w:val="yellow"/>
          <w:lang w:val="en-GB"/>
        </w:rPr>
        <w:t xml:space="preserve"> local procedure </w:t>
      </w:r>
      <w:r w:rsidR="005936B3" w:rsidRPr="00CC096C">
        <w:rPr>
          <w:rFonts w:ascii="Arial" w:hAnsi="Arial" w:cs="Arial"/>
          <w:sz w:val="22"/>
          <w:szCs w:val="22"/>
          <w:highlight w:val="yellow"/>
          <w:lang w:val="en-GB"/>
        </w:rPr>
        <w:t xml:space="preserve">to </w:t>
      </w:r>
      <w:r w:rsidRPr="00CC096C">
        <w:rPr>
          <w:rFonts w:ascii="Arial" w:hAnsi="Arial" w:cs="Arial"/>
          <w:sz w:val="22"/>
          <w:szCs w:val="22"/>
          <w:highlight w:val="yellow"/>
          <w:lang w:val="en-GB"/>
        </w:rPr>
        <w:t>recognise the foreign insolvency proceeding</w:t>
      </w:r>
      <w:r w:rsidRPr="00205B31">
        <w:rPr>
          <w:rFonts w:ascii="Arial" w:hAnsi="Arial" w:cs="Arial"/>
          <w:sz w:val="22"/>
          <w:szCs w:val="22"/>
          <w:lang w:val="en-GB"/>
        </w:rPr>
        <w:t>.</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752426">
        <w:rPr>
          <w:rFonts w:ascii="Arial" w:eastAsiaTheme="minorHAnsi" w:hAnsi="Arial" w:cs="Arial"/>
          <w:sz w:val="22"/>
          <w:szCs w:val="22"/>
          <w:highlight w:val="yellow"/>
          <w:lang w:val="en-GB"/>
        </w:rPr>
        <w:t xml:space="preserve">They were recently revised in 2021 and, together with the </w:t>
      </w:r>
      <w:r w:rsidRPr="00752426">
        <w:rPr>
          <w:rFonts w:ascii="Arial" w:hAnsi="Arial" w:cs="Arial"/>
          <w:sz w:val="22"/>
          <w:szCs w:val="22"/>
          <w:highlight w:val="yellow"/>
          <w:lang w:val="en-GB"/>
        </w:rPr>
        <w:t>UNCITRAL Legislative Guide, form the international best practice standard for insolvency regimes</w:t>
      </w:r>
      <w:r w:rsidRPr="00205B31">
        <w:rPr>
          <w:rFonts w:ascii="Arial" w:hAnsi="Arial" w:cs="Arial"/>
          <w:sz w:val="22"/>
          <w:szCs w:val="22"/>
          <w:lang w:val="en-GB"/>
        </w:rPr>
        <w:t>.</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840CFB">
        <w:rPr>
          <w:rFonts w:ascii="Arial" w:eastAsiaTheme="minorHAnsi" w:hAnsi="Arial" w:cs="Arial"/>
          <w:sz w:val="22"/>
          <w:szCs w:val="22"/>
          <w:highlight w:val="yellow"/>
          <w:lang w:val="en-GB"/>
        </w:rPr>
        <w:t xml:space="preserve">The Nordic Convention </w:t>
      </w:r>
      <w:r w:rsidR="00076483" w:rsidRPr="00840CFB">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840CFB">
        <w:rPr>
          <w:rFonts w:ascii="Arial" w:hAnsi="Arial" w:cs="Arial"/>
          <w:sz w:val="22"/>
          <w:szCs w:val="22"/>
          <w:highlight w:val="yellow"/>
          <w:lang w:val="en-GB"/>
        </w:rPr>
        <w:lastRenderedPageBreak/>
        <w:t>Choice of forum, recognition and effect accorded foreign proceedings in the same matter, and choice of law</w:t>
      </w:r>
      <w:r w:rsidRPr="00205B31">
        <w:rPr>
          <w:rFonts w:ascii="Arial" w:hAnsi="Arial" w:cs="Arial"/>
          <w:sz w:val="22"/>
          <w:szCs w:val="22"/>
          <w:lang w:val="en-GB"/>
        </w:rPr>
        <w:t>.</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DA1DD9">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DA1DD9">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FE2A664" w14:textId="77777777" w:rsidR="00F55FA7" w:rsidRDefault="00F55FA7" w:rsidP="00F55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Act 1542 introduced the concepts of multiple creditors’ collective participation and equal distribution of assets among them. The latter is now known as the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 </w:t>
      </w:r>
      <w:r>
        <w:rPr>
          <w:rFonts w:ascii="Arial" w:hAnsi="Arial" w:cs="Arial"/>
          <w:color w:val="7B7B7B" w:themeColor="accent3" w:themeShade="BF"/>
          <w:sz w:val="22"/>
          <w:szCs w:val="22"/>
          <w:lang w:val="en-GB"/>
        </w:rPr>
        <w:t>principle and is a fundamental aspect on insolvency proceedings in English law.</w:t>
      </w:r>
    </w:p>
    <w:p w14:paraId="34F0C13D" w14:textId="77777777" w:rsidR="00F55FA7" w:rsidRDefault="00F55FA7" w:rsidP="00F55FA7">
      <w:pPr>
        <w:jc w:val="both"/>
        <w:rPr>
          <w:rFonts w:ascii="Arial" w:hAnsi="Arial" w:cs="Arial"/>
          <w:color w:val="7B7B7B" w:themeColor="accent3" w:themeShade="BF"/>
          <w:sz w:val="22"/>
          <w:szCs w:val="22"/>
          <w:lang w:val="en-GB"/>
        </w:rPr>
      </w:pPr>
    </w:p>
    <w:p w14:paraId="24E2623F" w14:textId="6F6D3173" w:rsidR="00F55FA7" w:rsidRDefault="00F55FA7" w:rsidP="00F55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of Elizabeth of 1570 allowed creditors to petition the Lord Chancellor, who would then appoint bankruptcy commissioners to deal with the distribution of the bankrupt’s assets. These commissioners could investigate previous transactions made by the bankrupt and title to the bankrupt’s property passed to them. This is very reminiscent of the current court-appointed administration process, where administrators, as officers of the court, look into possible reviewable transactions and deal with the assets of an insolvent company as needed. </w:t>
      </w:r>
    </w:p>
    <w:p w14:paraId="4B0F0947" w14:textId="1AE3D66A" w:rsidR="00F55FA7" w:rsidRDefault="00F55FA7" w:rsidP="00F55FA7">
      <w:pPr>
        <w:jc w:val="both"/>
        <w:rPr>
          <w:rFonts w:ascii="Arial" w:hAnsi="Arial" w:cs="Arial"/>
          <w:color w:val="7B7B7B" w:themeColor="accent3" w:themeShade="BF"/>
          <w:sz w:val="22"/>
          <w:szCs w:val="22"/>
          <w:lang w:val="en-GB"/>
        </w:rPr>
      </w:pPr>
    </w:p>
    <w:p w14:paraId="3B305024" w14:textId="64E5522B" w:rsidR="00F55FA7" w:rsidRPr="00F55FA7" w:rsidRDefault="00F55FA7" w:rsidP="00F55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Bankruptcy Act 1883 created the position of Official Receiver</w:t>
      </w:r>
      <w:r w:rsidRPr="00F55FA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had as its main objective the fairness of the bankruptcy process, as it became the Official Receiver’s responsibility to ensure that the proceedings were carried out properly and honestly. Current day insolvency rules in England still maintain similar key principles.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49F3E444" w:rsidR="009B07AD" w:rsidRPr="00205B31" w:rsidRDefault="00A4089F" w:rsidP="00A4089F">
      <w:pPr>
        <w:jc w:val="both"/>
        <w:rPr>
          <w:rFonts w:ascii="Arial" w:hAnsi="Arial" w:cs="Arial"/>
          <w:sz w:val="22"/>
          <w:szCs w:val="22"/>
          <w:lang w:val="en-GB"/>
        </w:rPr>
      </w:pPr>
      <w:r>
        <w:rPr>
          <w:rFonts w:ascii="Arial" w:hAnsi="Arial" w:cs="Arial"/>
          <w:color w:val="7B7B7B" w:themeColor="accent3" w:themeShade="BF"/>
          <w:sz w:val="22"/>
          <w:szCs w:val="22"/>
          <w:lang w:val="en-GB"/>
        </w:rPr>
        <w:t>A new restructuring plan, a new moratorium and the temporary suspension of winding-up petitions and statutory demands were all introduced by the Corporate and Insolvency Act 2020.</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8F7C7CE" w:rsidR="00C72848" w:rsidRDefault="00351DA0" w:rsidP="00351D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are entered into by States and, upon ratification, become binding as they have the effect of changing local legislation. As such, they can be seen as “hard law”. One example of a treaty is the 1933 Nordic Convention.</w:t>
      </w:r>
    </w:p>
    <w:p w14:paraId="2C22992B" w14:textId="465ADA17" w:rsidR="00351DA0" w:rsidRDefault="00351DA0" w:rsidP="00351DA0">
      <w:pPr>
        <w:jc w:val="both"/>
        <w:rPr>
          <w:rFonts w:ascii="Arial" w:hAnsi="Arial" w:cs="Arial"/>
          <w:color w:val="7B7B7B" w:themeColor="accent3" w:themeShade="BF"/>
          <w:sz w:val="22"/>
          <w:szCs w:val="22"/>
          <w:lang w:val="en-GB"/>
        </w:rPr>
      </w:pPr>
    </w:p>
    <w:p w14:paraId="266D8B89" w14:textId="20DD85D8" w:rsidR="00351DA0" w:rsidRPr="00205B31" w:rsidRDefault="00351DA0" w:rsidP="00351DA0">
      <w:pPr>
        <w:jc w:val="both"/>
        <w:rPr>
          <w:rFonts w:ascii="Arial" w:hAnsi="Arial" w:cs="Arial"/>
          <w:sz w:val="22"/>
          <w:szCs w:val="22"/>
          <w:lang w:val="en-GB"/>
        </w:rPr>
      </w:pPr>
      <w:r>
        <w:rPr>
          <w:rFonts w:ascii="Arial" w:hAnsi="Arial" w:cs="Arial"/>
          <w:color w:val="7B7B7B" w:themeColor="accent3" w:themeShade="BF"/>
          <w:sz w:val="22"/>
          <w:szCs w:val="22"/>
          <w:lang w:val="en-GB"/>
        </w:rPr>
        <w:t>“Soft law”, by contrast, is created by multilateral organisations and rather than being binding it allows more flexibility by permitting States to incorporate recommended guidelines into domestic law, either as they appear in the text of the relevant instrument or with such modifications as the State sees fit. An example of “soft law” is the UNCITRAL Model Law on Cross-border Insolvency.</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lastRenderedPageBreak/>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4B5D058B" w:rsidR="00544127" w:rsidRPr="00205B31" w:rsidRDefault="0018791D" w:rsidP="00B7193E">
      <w:pPr>
        <w:jc w:val="both"/>
        <w:rPr>
          <w:rFonts w:ascii="Arial" w:hAnsi="Arial" w:cs="Arial"/>
          <w:sz w:val="22"/>
          <w:szCs w:val="22"/>
          <w:lang w:val="en-GB"/>
        </w:rPr>
      </w:pPr>
      <w:r>
        <w:rPr>
          <w:rFonts w:ascii="Arial" w:hAnsi="Arial" w:cs="Arial"/>
          <w:color w:val="7B7B7B" w:themeColor="accent3" w:themeShade="BF"/>
          <w:sz w:val="22"/>
          <w:szCs w:val="22"/>
          <w:lang w:val="en-GB"/>
        </w:rPr>
        <w:t>There is rarely a single source of insolvency law and as a result, what ends up constituting a State’s insolvency laws will often be a mix of legislation (whether consolidated into one single statute or spread over several pieces of legislation which have to be read together), insolvency-related case law and general legal principles which also have an application in an insolvency scenario. As statutes cannot realistically provide for every single eventuality, it is often the case that case law will supplement statutes where statutes do not provide a clear answer. General legal principles have an over-arching position and</w:t>
      </w:r>
      <w:r w:rsidR="0071499C">
        <w:rPr>
          <w:rFonts w:ascii="Arial" w:hAnsi="Arial" w:cs="Arial"/>
          <w:color w:val="7B7B7B" w:themeColor="accent3" w:themeShade="BF"/>
          <w:sz w:val="22"/>
          <w:szCs w:val="22"/>
          <w:lang w:val="en-GB"/>
        </w:rPr>
        <w:t>, although they may not be specific enough to answer a complex insolvency query, they</w:t>
      </w:r>
      <w:r>
        <w:rPr>
          <w:rFonts w:ascii="Arial" w:hAnsi="Arial" w:cs="Arial"/>
          <w:color w:val="7B7B7B" w:themeColor="accent3" w:themeShade="BF"/>
          <w:sz w:val="22"/>
          <w:szCs w:val="22"/>
          <w:lang w:val="en-GB"/>
        </w:rPr>
        <w:t xml:space="preserve"> will</w:t>
      </w:r>
      <w:r w:rsidR="0071499C">
        <w:rPr>
          <w:rFonts w:ascii="Arial" w:hAnsi="Arial" w:cs="Arial"/>
          <w:color w:val="7B7B7B" w:themeColor="accent3" w:themeShade="BF"/>
          <w:sz w:val="22"/>
          <w:szCs w:val="22"/>
          <w:lang w:val="en-GB"/>
        </w:rPr>
        <w:t xml:space="preserve"> nevertheless</w:t>
      </w:r>
      <w:r>
        <w:rPr>
          <w:rFonts w:ascii="Arial" w:hAnsi="Arial" w:cs="Arial"/>
          <w:color w:val="7B7B7B" w:themeColor="accent3" w:themeShade="BF"/>
          <w:sz w:val="22"/>
          <w:szCs w:val="22"/>
          <w:lang w:val="en-GB"/>
        </w:rPr>
        <w:t xml:space="preserve"> affect the application and interpretation of both statutes and case law.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11D8BD8F" w:rsidR="00DF75F8" w:rsidRDefault="00A3306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Fletcher’s questions </w:t>
      </w:r>
      <w:r w:rsidR="0088354B">
        <w:rPr>
          <w:rFonts w:ascii="Arial" w:hAnsi="Arial" w:cs="Arial"/>
          <w:color w:val="7B7B7B" w:themeColor="accent3" w:themeShade="BF"/>
          <w:sz w:val="22"/>
          <w:szCs w:val="22"/>
          <w:lang w:val="en-GB"/>
        </w:rPr>
        <w:t xml:space="preserve">(together with commentary on each of them) </w:t>
      </w:r>
      <w:r>
        <w:rPr>
          <w:rFonts w:ascii="Arial" w:hAnsi="Arial" w:cs="Arial"/>
          <w:color w:val="7B7B7B" w:themeColor="accent3" w:themeShade="BF"/>
          <w:sz w:val="22"/>
          <w:szCs w:val="22"/>
          <w:lang w:val="en-GB"/>
        </w:rPr>
        <w:t>are as follows:</w:t>
      </w:r>
    </w:p>
    <w:p w14:paraId="10E82F70" w14:textId="4CA9278D" w:rsidR="00A3306E" w:rsidRDefault="00A3306E" w:rsidP="00A3306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jurisdictions may insolvency proceedings be opened?</w:t>
      </w:r>
    </w:p>
    <w:p w14:paraId="105F2B89" w14:textId="395BBB7D" w:rsidR="009C78CD" w:rsidRDefault="009C78CD" w:rsidP="009C78CD">
      <w:pPr>
        <w:pStyle w:val="ListParagraph"/>
        <w:numPr>
          <w:ilvl w:val="1"/>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several jurisdictions are involved, it will be important to consider which State(s) proceedings should be commenced in. This could be the State where a debtor is located, where a creditor is located, where relevant assets are located or, where corporate entities are concerned, perhaps even where some of its directors are located.</w:t>
      </w:r>
    </w:p>
    <w:p w14:paraId="76531B40" w14:textId="5F964F41" w:rsidR="00A3306E" w:rsidRDefault="00A3306E" w:rsidP="00A3306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246B595D" w14:textId="667CDDC5" w:rsidR="009C78CD" w:rsidRDefault="009C78CD" w:rsidP="009C78CD">
      <w:pPr>
        <w:pStyle w:val="ListParagraph"/>
        <w:numPr>
          <w:ilvl w:val="1"/>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necessarily the law of the State in which proceedings are started which should be used. For example, the relevant agreements from which a debt arises may specify that the law of a specific jurisdiction govern the agreement. </w:t>
      </w:r>
    </w:p>
    <w:p w14:paraId="78324A92" w14:textId="5F54B54B" w:rsidR="00A3306E" w:rsidRDefault="00A3306E" w:rsidP="00A3306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4FBBD935" w14:textId="4F4E94F4" w:rsidR="009C78CD" w:rsidRPr="009C78CD" w:rsidRDefault="009C78CD" w:rsidP="008D3355">
      <w:pPr>
        <w:pStyle w:val="ListParagraph"/>
        <w:numPr>
          <w:ilvl w:val="1"/>
          <w:numId w:val="17"/>
        </w:numPr>
        <w:jc w:val="both"/>
        <w:rPr>
          <w:rFonts w:ascii="Arial" w:hAnsi="Arial" w:cs="Arial"/>
          <w:color w:val="7B7B7B" w:themeColor="accent3" w:themeShade="BF"/>
          <w:sz w:val="22"/>
          <w:szCs w:val="22"/>
          <w:lang w:val="en-GB"/>
        </w:rPr>
      </w:pPr>
      <w:r w:rsidRPr="009C78CD">
        <w:rPr>
          <w:rFonts w:ascii="Arial" w:hAnsi="Arial" w:cs="Arial"/>
          <w:color w:val="7B7B7B" w:themeColor="accent3" w:themeShade="BF"/>
          <w:sz w:val="22"/>
          <w:szCs w:val="22"/>
          <w:lang w:val="en-GB"/>
        </w:rPr>
        <w:t>If several proceedings have been started in several jurisdictions, the issue of recognition of foreign proceedings will apply (for example if international “soft law” such as the UNCITRAL Model Law on Cross-border Insolvency applies)</w:t>
      </w:r>
      <w:r>
        <w:rPr>
          <w:rFonts w:ascii="Arial" w:hAnsi="Arial" w:cs="Arial"/>
          <w:color w:val="7B7B7B" w:themeColor="accent3" w:themeShade="BF"/>
          <w:sz w:val="22"/>
          <w:szCs w:val="22"/>
          <w:lang w:val="en-GB"/>
        </w:rPr>
        <w:t xml:space="preserve">. Equally, once judgment has been made in one jurisdiction, it will be necessary to consider whether enforcement order can be recognised in other states. Finally, it may be that the start of proceedings in one jurisdiction result in a moratorium applying to the debtor – in this case, it will be crucial to determine whether, through cross-jurisdictional recognition, this will stay proceedings in other states as well.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lastRenderedPageBreak/>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37B2E569" w:rsidR="00DF75F8" w:rsidRDefault="00767548" w:rsidP="00B7193E">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case of Maxwell Communications Corporation plc (</w:t>
      </w:r>
      <w:r w:rsidRPr="00767548">
        <w:rPr>
          <w:rFonts w:ascii="Arial" w:hAnsi="Arial" w:cs="Arial"/>
          <w:i/>
          <w:iCs/>
          <w:color w:val="7B7B7B" w:themeColor="accent3" w:themeShade="BF"/>
          <w:sz w:val="22"/>
          <w:szCs w:val="22"/>
        </w:rPr>
        <w:t xml:space="preserve">re Maxwell Communication Corporation plc, 93 F.3d 1036, 29 </w:t>
      </w:r>
      <w:proofErr w:type="spellStart"/>
      <w:r w:rsidRPr="00767548">
        <w:rPr>
          <w:rFonts w:ascii="Arial" w:hAnsi="Arial" w:cs="Arial"/>
          <w:i/>
          <w:iCs/>
          <w:color w:val="7B7B7B" w:themeColor="accent3" w:themeShade="BF"/>
          <w:sz w:val="22"/>
          <w:szCs w:val="22"/>
        </w:rPr>
        <w:t>Bankr.Ct.Dec</w:t>
      </w:r>
      <w:proofErr w:type="spellEnd"/>
      <w:r w:rsidRPr="00767548">
        <w:rPr>
          <w:rFonts w:ascii="Arial" w:hAnsi="Arial" w:cs="Arial"/>
          <w:i/>
          <w:iCs/>
          <w:color w:val="7B7B7B" w:themeColor="accent3" w:themeShade="BF"/>
          <w:sz w:val="22"/>
          <w:szCs w:val="22"/>
        </w:rPr>
        <w:t>. 788 (2nd Cir. (N.Y.) 21 August 1996) (No. 1527, 1530, 95-5078, 1528, 1531, 95-5082, 1529, 95-5076, 95-5084), and Cross-Border Insolvency Protocol and Order Approving Protocol in Re Maxwell Communication plc between the United States Bankruptcy Court for the Southern District of New York, Case No. 91 B 15741 (15 January 1992), and the High Court of England and Wales, Chancery Division, Companies Court, Case No. 0014001 of 1991 (31 December 1991</w:t>
      </w:r>
      <w:r w:rsidRPr="00767548">
        <w:rPr>
          <w:rFonts w:ascii="Arial" w:hAnsi="Arial" w:cs="Arial"/>
          <w:color w:val="7B7B7B" w:themeColor="accent3" w:themeShade="BF"/>
          <w:sz w:val="22"/>
          <w:szCs w:val="22"/>
        </w:rPr>
        <w:t>)</w:t>
      </w:r>
      <w:r>
        <w:rPr>
          <w:rFonts w:ascii="Arial" w:hAnsi="Arial" w:cs="Arial"/>
          <w:color w:val="7B7B7B" w:themeColor="accent3" w:themeShade="BF"/>
          <w:sz w:val="22"/>
          <w:szCs w:val="22"/>
        </w:rPr>
        <w:t>) illustrates the quotation.</w:t>
      </w:r>
    </w:p>
    <w:p w14:paraId="6517BF90" w14:textId="5B1CF005" w:rsidR="00767548" w:rsidRDefault="00767548" w:rsidP="00B7193E">
      <w:pPr>
        <w:jc w:val="both"/>
        <w:rPr>
          <w:rFonts w:ascii="Arial" w:hAnsi="Arial" w:cs="Arial"/>
          <w:color w:val="7B7B7B" w:themeColor="accent3" w:themeShade="BF"/>
          <w:sz w:val="22"/>
          <w:szCs w:val="22"/>
        </w:rPr>
      </w:pPr>
    </w:p>
    <w:p w14:paraId="0030E190" w14:textId="24964716" w:rsidR="00767548" w:rsidRDefault="00767548" w:rsidP="00B719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Pr>
          <w:rFonts w:ascii="Arial" w:hAnsi="Arial" w:cs="Arial"/>
          <w:i/>
          <w:iCs/>
          <w:color w:val="7B7B7B" w:themeColor="accent3" w:themeShade="BF"/>
          <w:sz w:val="22"/>
          <w:szCs w:val="22"/>
        </w:rPr>
        <w:t>Maxwell</w:t>
      </w:r>
      <w:r>
        <w:rPr>
          <w:rFonts w:ascii="Arial" w:hAnsi="Arial" w:cs="Arial"/>
          <w:color w:val="7B7B7B" w:themeColor="accent3" w:themeShade="BF"/>
          <w:sz w:val="22"/>
          <w:szCs w:val="22"/>
        </w:rPr>
        <w:t xml:space="preserve">, one debtor started two insolvency proceedings – on in the Unites States and one in the United Kingdom. Even though this case took place in 1991/1992, several years before the UNCITRAL Model Law on Cross-border Insolvency came into existence in 1997, both courts agreed to come up with a cross-jurisdictional agreement in order to </w:t>
      </w:r>
      <w:proofErr w:type="spellStart"/>
      <w:r>
        <w:rPr>
          <w:rFonts w:ascii="Arial" w:hAnsi="Arial" w:cs="Arial"/>
          <w:color w:val="7B7B7B" w:themeColor="accent3" w:themeShade="BF"/>
          <w:sz w:val="22"/>
          <w:szCs w:val="22"/>
        </w:rPr>
        <w:t>harmonise</w:t>
      </w:r>
      <w:proofErr w:type="spellEnd"/>
      <w:r>
        <w:rPr>
          <w:rFonts w:ascii="Arial" w:hAnsi="Arial" w:cs="Arial"/>
          <w:color w:val="7B7B7B" w:themeColor="accent3" w:themeShade="BF"/>
          <w:sz w:val="22"/>
          <w:szCs w:val="22"/>
        </w:rPr>
        <w:t xml:space="preserve"> the two sets of proceedings, improve communication and deal with any conflicts. Such an agreement was reached, and the parties were able to go forward on the basis that the UK proceedings would take priority, subject to certain conditions. Certain steps (such as the replacement of directors, the filing of reorganisation plans) could only be taken by the English insolvency practitioners with the consent of their US counterparts. A certain amount of flexibility was allowed: whilst prior notice was required to be given if the English insolvency practitioners wished to complete material transactions on behalf of the debtor, such consent was not required below a certain threshold. </w:t>
      </w:r>
    </w:p>
    <w:p w14:paraId="3431E8AA" w14:textId="735E31A8" w:rsidR="00767548" w:rsidRDefault="00767548" w:rsidP="00B7193E">
      <w:pPr>
        <w:jc w:val="both"/>
        <w:rPr>
          <w:rFonts w:ascii="Arial" w:hAnsi="Arial" w:cs="Arial"/>
          <w:color w:val="7B7B7B" w:themeColor="accent3" w:themeShade="BF"/>
          <w:sz w:val="22"/>
          <w:szCs w:val="22"/>
        </w:rPr>
      </w:pPr>
    </w:p>
    <w:p w14:paraId="7FA3EC5E" w14:textId="591217A4" w:rsidR="00767548" w:rsidRPr="00767548" w:rsidRDefault="00767548" w:rsidP="00B7193E">
      <w:pPr>
        <w:jc w:val="both"/>
        <w:rPr>
          <w:rFonts w:ascii="Arial" w:hAnsi="Arial" w:cs="Arial"/>
          <w:sz w:val="22"/>
          <w:szCs w:val="22"/>
          <w:lang w:val="en-GB"/>
        </w:rPr>
      </w:pPr>
      <w:r>
        <w:rPr>
          <w:rFonts w:ascii="Arial" w:hAnsi="Arial" w:cs="Arial"/>
          <w:i/>
          <w:iCs/>
          <w:color w:val="7B7B7B" w:themeColor="accent3" w:themeShade="BF"/>
          <w:sz w:val="22"/>
          <w:szCs w:val="22"/>
        </w:rPr>
        <w:t>Maxwell</w:t>
      </w:r>
      <w:r>
        <w:rPr>
          <w:rFonts w:ascii="Arial" w:hAnsi="Arial" w:cs="Arial"/>
          <w:color w:val="7B7B7B" w:themeColor="accent3" w:themeShade="BF"/>
          <w:sz w:val="22"/>
          <w:szCs w:val="22"/>
        </w:rPr>
        <w:t xml:space="preserve"> shows that the </w:t>
      </w:r>
      <w:r>
        <w:rPr>
          <w:rFonts w:ascii="Arial" w:hAnsi="Arial" w:cs="Arial"/>
          <w:color w:val="7B7B7B" w:themeColor="accent3" w:themeShade="BF"/>
          <w:sz w:val="22"/>
          <w:szCs w:val="22"/>
        </w:rPr>
        <w:t>UNCITRAL Model Law on Cross-border Insolvency</w:t>
      </w:r>
      <w:r>
        <w:rPr>
          <w:rFonts w:ascii="Arial" w:hAnsi="Arial" w:cs="Arial"/>
          <w:color w:val="7B7B7B" w:themeColor="accent3" w:themeShade="BF"/>
          <w:sz w:val="22"/>
          <w:szCs w:val="22"/>
        </w:rPr>
        <w:t xml:space="preserve"> “</w:t>
      </w:r>
      <w:proofErr w:type="spellStart"/>
      <w:r>
        <w:rPr>
          <w:rFonts w:ascii="Arial" w:hAnsi="Arial" w:cs="Arial"/>
          <w:color w:val="7B7B7B" w:themeColor="accent3" w:themeShade="BF"/>
          <w:sz w:val="22"/>
          <w:szCs w:val="22"/>
        </w:rPr>
        <w:t>officialised</w:t>
      </w:r>
      <w:proofErr w:type="spellEnd"/>
      <w:r>
        <w:rPr>
          <w:rFonts w:ascii="Arial" w:hAnsi="Arial" w:cs="Arial"/>
          <w:color w:val="7B7B7B" w:themeColor="accent3" w:themeShade="BF"/>
          <w:sz w:val="22"/>
          <w:szCs w:val="22"/>
        </w:rPr>
        <w:t xml:space="preserve">” a trend which had already been in existence for several years, and that it did not in fact create this trend.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5FBB7C59" w14:textId="0277B53C" w:rsidR="0039385D" w:rsidRDefault="003938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 </w:t>
      </w:r>
      <w:r w:rsidR="006479E6">
        <w:rPr>
          <w:rFonts w:ascii="Arial" w:hAnsi="Arial" w:cs="Arial"/>
          <w:color w:val="7B7B7B" w:themeColor="accent3" w:themeShade="BF"/>
          <w:sz w:val="22"/>
          <w:szCs w:val="22"/>
          <w:lang w:val="en-GB"/>
        </w:rPr>
        <w:t>would</w:t>
      </w:r>
      <w:r>
        <w:rPr>
          <w:rFonts w:ascii="Arial" w:hAnsi="Arial" w:cs="Arial"/>
          <w:color w:val="7B7B7B" w:themeColor="accent3" w:themeShade="BF"/>
          <w:sz w:val="22"/>
          <w:szCs w:val="22"/>
          <w:lang w:val="en-GB"/>
        </w:rPr>
        <w:t xml:space="preserve"> need to know what type of proceeding was started in the UK, and whether this involves the start of a moratorium in relation to Rydell. </w:t>
      </w:r>
      <w:r w:rsidR="00084F7A">
        <w:rPr>
          <w:rFonts w:ascii="Arial" w:hAnsi="Arial" w:cs="Arial"/>
          <w:color w:val="7B7B7B" w:themeColor="accent3" w:themeShade="BF"/>
          <w:sz w:val="22"/>
          <w:szCs w:val="22"/>
          <w:lang w:val="en-GB"/>
        </w:rPr>
        <w:t xml:space="preserve">We would also need to know what proceeding </w:t>
      </w:r>
      <w:proofErr w:type="spellStart"/>
      <w:r w:rsidR="00084F7A">
        <w:rPr>
          <w:rFonts w:ascii="Arial" w:hAnsi="Arial" w:cs="Arial"/>
          <w:color w:val="7B7B7B" w:themeColor="accent3" w:themeShade="BF"/>
          <w:sz w:val="22"/>
          <w:szCs w:val="22"/>
          <w:lang w:val="en-GB"/>
        </w:rPr>
        <w:t>Fernz</w:t>
      </w:r>
      <w:proofErr w:type="spellEnd"/>
      <w:r w:rsidR="00084F7A">
        <w:rPr>
          <w:rFonts w:ascii="Arial" w:hAnsi="Arial" w:cs="Arial"/>
          <w:color w:val="7B7B7B" w:themeColor="accent3" w:themeShade="BF"/>
          <w:sz w:val="22"/>
          <w:szCs w:val="22"/>
          <w:lang w:val="en-GB"/>
        </w:rPr>
        <w:t xml:space="preserve"> is intending to start.</w:t>
      </w:r>
    </w:p>
    <w:p w14:paraId="615C42BC" w14:textId="2B7920A8" w:rsidR="0039385D" w:rsidRDefault="0039385D" w:rsidP="00B7193E">
      <w:pPr>
        <w:jc w:val="both"/>
        <w:rPr>
          <w:rFonts w:ascii="Arial" w:hAnsi="Arial" w:cs="Arial"/>
          <w:color w:val="7B7B7B" w:themeColor="accent3" w:themeShade="BF"/>
          <w:sz w:val="22"/>
          <w:szCs w:val="22"/>
          <w:lang w:val="en-GB"/>
        </w:rPr>
      </w:pPr>
    </w:p>
    <w:p w14:paraId="47A46396" w14:textId="5C752FB8" w:rsidR="00854C44" w:rsidRDefault="0039385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on 18 June 2020 the UK was still part of the EU, the European Insolvency </w:t>
      </w:r>
      <w:r w:rsidR="009706C0">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egulation Recast would apply</w:t>
      </w:r>
      <w:r w:rsidR="009706C0">
        <w:rPr>
          <w:rFonts w:ascii="Arial" w:hAnsi="Arial" w:cs="Arial"/>
          <w:color w:val="7B7B7B" w:themeColor="accent3" w:themeShade="BF"/>
          <w:sz w:val="22"/>
          <w:szCs w:val="22"/>
          <w:lang w:val="en-GB"/>
        </w:rPr>
        <w:t xml:space="preserve"> if the proceeding was included in Annex A to EIR Recast.</w:t>
      </w:r>
      <w:r>
        <w:rPr>
          <w:rFonts w:ascii="Arial" w:hAnsi="Arial" w:cs="Arial"/>
          <w:color w:val="7B7B7B" w:themeColor="accent3" w:themeShade="BF"/>
          <w:sz w:val="22"/>
          <w:szCs w:val="22"/>
          <w:lang w:val="en-GB"/>
        </w:rPr>
        <w:t xml:space="preserve"> In this scenario, because the UK proceeding was started before </w:t>
      </w:r>
      <w:proofErr w:type="spellStart"/>
      <w:r>
        <w:rPr>
          <w:rFonts w:ascii="Arial" w:hAnsi="Arial" w:cs="Arial"/>
          <w:color w:val="7B7B7B" w:themeColor="accent3" w:themeShade="BF"/>
          <w:sz w:val="22"/>
          <w:szCs w:val="22"/>
          <w:lang w:val="en-GB"/>
        </w:rPr>
        <w:t>Fernz’s</w:t>
      </w:r>
      <w:proofErr w:type="spellEnd"/>
      <w:r>
        <w:rPr>
          <w:rFonts w:ascii="Arial" w:hAnsi="Arial" w:cs="Arial"/>
          <w:color w:val="7B7B7B" w:themeColor="accent3" w:themeShade="BF"/>
          <w:sz w:val="22"/>
          <w:szCs w:val="22"/>
          <w:lang w:val="en-GB"/>
        </w:rPr>
        <w:t xml:space="preserve"> and there</w:t>
      </w:r>
      <w:r w:rsidR="0028384E">
        <w:rPr>
          <w:rFonts w:ascii="Arial" w:hAnsi="Arial" w:cs="Arial"/>
          <w:color w:val="7B7B7B" w:themeColor="accent3" w:themeShade="BF"/>
          <w:sz w:val="22"/>
          <w:szCs w:val="22"/>
          <w:lang w:val="en-GB"/>
        </w:rPr>
        <w:t>fore</w:t>
      </w:r>
      <w:r>
        <w:rPr>
          <w:rFonts w:ascii="Arial" w:hAnsi="Arial" w:cs="Arial"/>
          <w:color w:val="7B7B7B" w:themeColor="accent3" w:themeShade="BF"/>
          <w:sz w:val="22"/>
          <w:szCs w:val="22"/>
          <w:lang w:val="en-GB"/>
        </w:rPr>
        <w:t xml:space="preserve"> is the “State of the opening of proceedings”, under article 7.1 of EIR Recast UK law would apply to </w:t>
      </w:r>
      <w:proofErr w:type="spellStart"/>
      <w:r>
        <w:rPr>
          <w:rFonts w:ascii="Arial" w:hAnsi="Arial" w:cs="Arial"/>
          <w:color w:val="7B7B7B" w:themeColor="accent3" w:themeShade="BF"/>
          <w:sz w:val="22"/>
          <w:szCs w:val="22"/>
          <w:lang w:val="en-GB"/>
        </w:rPr>
        <w:t>Fernz’s</w:t>
      </w:r>
      <w:proofErr w:type="spellEnd"/>
      <w:r>
        <w:rPr>
          <w:rFonts w:ascii="Arial" w:hAnsi="Arial" w:cs="Arial"/>
          <w:color w:val="7B7B7B" w:themeColor="accent3" w:themeShade="BF"/>
          <w:sz w:val="22"/>
          <w:szCs w:val="22"/>
          <w:lang w:val="en-GB"/>
        </w:rPr>
        <w:t xml:space="preserve"> proceeding even if this was started in a different State. </w:t>
      </w:r>
    </w:p>
    <w:p w14:paraId="2E032ADD" w14:textId="77777777" w:rsidR="00854C44" w:rsidRDefault="00854C44" w:rsidP="00B7193E">
      <w:pPr>
        <w:jc w:val="both"/>
        <w:rPr>
          <w:rFonts w:ascii="Arial" w:hAnsi="Arial" w:cs="Arial"/>
          <w:color w:val="7B7B7B" w:themeColor="accent3" w:themeShade="BF"/>
          <w:sz w:val="22"/>
          <w:szCs w:val="22"/>
          <w:lang w:val="en-GB"/>
        </w:rPr>
      </w:pPr>
    </w:p>
    <w:p w14:paraId="60E69842" w14:textId="694A7983" w:rsidR="0039385D" w:rsidRDefault="00854C4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articles 19 and 20 of the EIR Recast provide for automatic recognition of proceedings and effects in other EU member states. This means that, d</w:t>
      </w:r>
      <w:r w:rsidR="006479E6">
        <w:rPr>
          <w:rFonts w:ascii="Arial" w:hAnsi="Arial" w:cs="Arial"/>
          <w:color w:val="7B7B7B" w:themeColor="accent3" w:themeShade="BF"/>
          <w:sz w:val="22"/>
          <w:szCs w:val="22"/>
          <w:lang w:val="en-GB"/>
        </w:rPr>
        <w:t xml:space="preserve">epending on the type of proceeding which was stated in the UK, a moratorium period may start on 18 June 2020 which may prevent </w:t>
      </w:r>
      <w:proofErr w:type="spellStart"/>
      <w:r w:rsidR="006479E6">
        <w:rPr>
          <w:rFonts w:ascii="Arial" w:hAnsi="Arial" w:cs="Arial"/>
          <w:color w:val="7B7B7B" w:themeColor="accent3" w:themeShade="BF"/>
          <w:sz w:val="22"/>
          <w:szCs w:val="22"/>
          <w:lang w:val="en-GB"/>
        </w:rPr>
        <w:t>Fernz</w:t>
      </w:r>
      <w:proofErr w:type="spellEnd"/>
      <w:r w:rsidR="006479E6">
        <w:rPr>
          <w:rFonts w:ascii="Arial" w:hAnsi="Arial" w:cs="Arial"/>
          <w:color w:val="7B7B7B" w:themeColor="accent3" w:themeShade="BF"/>
          <w:sz w:val="22"/>
          <w:szCs w:val="22"/>
          <w:lang w:val="en-GB"/>
        </w:rPr>
        <w:t xml:space="preserve"> from starting its own proceeding. </w:t>
      </w:r>
    </w:p>
    <w:p w14:paraId="2A350A67" w14:textId="4FDCDA2C" w:rsidR="009060DE" w:rsidRDefault="009060DE" w:rsidP="00B7193E">
      <w:pPr>
        <w:jc w:val="both"/>
        <w:rPr>
          <w:rFonts w:ascii="Arial" w:hAnsi="Arial" w:cs="Arial"/>
          <w:color w:val="7B7B7B" w:themeColor="accent3" w:themeShade="BF"/>
          <w:sz w:val="22"/>
          <w:szCs w:val="22"/>
          <w:lang w:val="en-GB"/>
        </w:rPr>
      </w:pPr>
    </w:p>
    <w:p w14:paraId="58018C71" w14:textId="77777777" w:rsidR="009706C0" w:rsidRDefault="009060D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jurisdiction, again, as Rydell has its COMI in the UK, this means that the UK courts would have primary jurisdiction. However, if Rydell has an establishment in the State where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wishes to start its own proceeding, and if the start of such proceeding is not precluded by UK insolvency law as set out above, then it may be possible for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to start secondary proceedings</w:t>
      </w:r>
      <w:r w:rsidR="00594BE6">
        <w:rPr>
          <w:rFonts w:ascii="Arial" w:hAnsi="Arial" w:cs="Arial"/>
          <w:color w:val="7B7B7B" w:themeColor="accent3" w:themeShade="BF"/>
          <w:sz w:val="22"/>
          <w:szCs w:val="22"/>
          <w:lang w:val="en-GB"/>
        </w:rPr>
        <w:t xml:space="preserve"> as long as these fell within the list set out at Annex A of EIR Recast. This, however, would only be of value to </w:t>
      </w:r>
      <w:proofErr w:type="spellStart"/>
      <w:r w:rsidR="009706C0">
        <w:rPr>
          <w:rFonts w:ascii="Arial" w:hAnsi="Arial" w:cs="Arial"/>
          <w:color w:val="7B7B7B" w:themeColor="accent3" w:themeShade="BF"/>
          <w:sz w:val="22"/>
          <w:szCs w:val="22"/>
          <w:lang w:val="en-GB"/>
        </w:rPr>
        <w:t>Fernz</w:t>
      </w:r>
      <w:proofErr w:type="spellEnd"/>
      <w:r w:rsidR="009706C0">
        <w:rPr>
          <w:rFonts w:ascii="Arial" w:hAnsi="Arial" w:cs="Arial"/>
          <w:color w:val="7B7B7B" w:themeColor="accent3" w:themeShade="BF"/>
          <w:sz w:val="22"/>
          <w:szCs w:val="22"/>
          <w:lang w:val="en-GB"/>
        </w:rPr>
        <w:t xml:space="preserve"> if Rydell had any assets in that State. </w:t>
      </w:r>
    </w:p>
    <w:p w14:paraId="38BBF3CA" w14:textId="531A09F9" w:rsidR="005F453F" w:rsidRDefault="005F453F" w:rsidP="00B7193E">
      <w:pPr>
        <w:jc w:val="both"/>
        <w:rPr>
          <w:rFonts w:ascii="Arial" w:hAnsi="Arial" w:cs="Arial"/>
          <w:color w:val="7B7B7B" w:themeColor="accent3" w:themeShade="BF"/>
          <w:sz w:val="22"/>
          <w:szCs w:val="22"/>
          <w:lang w:val="en-GB"/>
        </w:rPr>
      </w:pPr>
    </w:p>
    <w:p w14:paraId="28FD7F1C" w14:textId="77777777" w:rsidR="00084F7A" w:rsidRPr="00205B31" w:rsidRDefault="00084F7A"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571E1E58" w:rsidR="00015EE6" w:rsidRDefault="0055715F"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that case, the EIR Recast would no longer apply as this ceased to apply to the UK at 11 pm on 31 December 2020. What the exact implications would be depend on whether the UNCITRAL Model Law on Cross-border Insolvency was adopted in the State where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wishes to start proceedings and, if so, whether or not it was adopted with modifications – which is something we would need to query. </w:t>
      </w:r>
    </w:p>
    <w:p w14:paraId="2D621D08" w14:textId="28009A65" w:rsidR="0055715F" w:rsidRDefault="0055715F" w:rsidP="00C45A03">
      <w:pPr>
        <w:jc w:val="both"/>
        <w:rPr>
          <w:rFonts w:ascii="Arial" w:hAnsi="Arial" w:cs="Arial"/>
          <w:color w:val="7B7B7B" w:themeColor="accent3" w:themeShade="BF"/>
          <w:sz w:val="22"/>
          <w:szCs w:val="22"/>
          <w:lang w:val="en-GB"/>
        </w:rPr>
      </w:pPr>
    </w:p>
    <w:p w14:paraId="0D30EEBE" w14:textId="1DDC26A7" w:rsidR="00FE0381" w:rsidRPr="00327DA1" w:rsidRDefault="0055715F"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Model Law applied to</w:t>
      </w:r>
      <w:r w:rsidR="00327DA1">
        <w:rPr>
          <w:rFonts w:ascii="Arial" w:hAnsi="Arial" w:cs="Arial"/>
          <w:color w:val="7B7B7B" w:themeColor="accent3" w:themeShade="BF"/>
          <w:sz w:val="22"/>
          <w:szCs w:val="22"/>
          <w:lang w:val="en-GB"/>
        </w:rPr>
        <w:t xml:space="preserve"> the relevant State, then, as before, that State would have to recognise the UK proceedings (which may involve a moratorium and therefore prevent the commencement of other proceedings).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079B70F6" w:rsidR="00015EE6" w:rsidRDefault="000F62C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would need to know which sort of proceedings were being considered: t</w:t>
      </w:r>
      <w:r w:rsidR="00E84707">
        <w:rPr>
          <w:rFonts w:ascii="Arial" w:hAnsi="Arial" w:cs="Arial"/>
          <w:color w:val="7B7B7B" w:themeColor="accent3" w:themeShade="BF"/>
          <w:sz w:val="22"/>
          <w:szCs w:val="22"/>
          <w:lang w:val="en-GB"/>
        </w:rPr>
        <w:t xml:space="preserve">he Corporate Insolvency and Governance Act 2020 came into force </w:t>
      </w:r>
      <w:r w:rsidR="00FE0381">
        <w:rPr>
          <w:rFonts w:ascii="Arial" w:hAnsi="Arial" w:cs="Arial"/>
          <w:color w:val="7B7B7B" w:themeColor="accent3" w:themeShade="BF"/>
          <w:sz w:val="22"/>
          <w:szCs w:val="22"/>
          <w:lang w:val="en-GB"/>
        </w:rPr>
        <w:t>in the UK on 26 June 2020</w:t>
      </w:r>
      <w:r w:rsidR="00C2038B">
        <w:rPr>
          <w:rFonts w:ascii="Arial" w:hAnsi="Arial" w:cs="Arial"/>
          <w:color w:val="7B7B7B" w:themeColor="accent3" w:themeShade="BF"/>
          <w:sz w:val="22"/>
          <w:szCs w:val="22"/>
          <w:lang w:val="en-GB"/>
        </w:rPr>
        <w:t xml:space="preserve"> and t</w:t>
      </w:r>
      <w:r w:rsidR="00FE0381">
        <w:rPr>
          <w:rFonts w:ascii="Arial" w:hAnsi="Arial" w:cs="Arial"/>
          <w:color w:val="7B7B7B" w:themeColor="accent3" w:themeShade="BF"/>
          <w:sz w:val="22"/>
          <w:szCs w:val="22"/>
          <w:lang w:val="en-GB"/>
        </w:rPr>
        <w:t xml:space="preserve">his </w:t>
      </w:r>
      <w:r w:rsidR="00FE0381">
        <w:rPr>
          <w:rFonts w:ascii="Arial" w:hAnsi="Arial" w:cs="Arial"/>
          <w:color w:val="7B7B7B" w:themeColor="accent3" w:themeShade="BF"/>
          <w:sz w:val="22"/>
          <w:szCs w:val="22"/>
          <w:lang w:val="en-GB"/>
        </w:rPr>
        <w:lastRenderedPageBreak/>
        <w:t xml:space="preserve">means that, as at 18 June 2021, there was a </w:t>
      </w:r>
      <w:r w:rsidR="005455D0">
        <w:rPr>
          <w:rFonts w:ascii="Arial" w:hAnsi="Arial" w:cs="Arial"/>
          <w:color w:val="7B7B7B" w:themeColor="accent3" w:themeShade="BF"/>
          <w:sz w:val="22"/>
          <w:szCs w:val="22"/>
          <w:lang w:val="en-GB"/>
        </w:rPr>
        <w:t>restriction</w:t>
      </w:r>
      <w:r w:rsidR="00FE0381">
        <w:rPr>
          <w:rFonts w:ascii="Arial" w:hAnsi="Arial" w:cs="Arial"/>
          <w:color w:val="7B7B7B" w:themeColor="accent3" w:themeShade="BF"/>
          <w:sz w:val="22"/>
          <w:szCs w:val="22"/>
          <w:lang w:val="en-GB"/>
        </w:rPr>
        <w:t xml:space="preserve"> on </w:t>
      </w:r>
      <w:r w:rsidR="005455D0">
        <w:rPr>
          <w:rFonts w:ascii="Arial" w:hAnsi="Arial" w:cs="Arial"/>
          <w:color w:val="7B7B7B" w:themeColor="accent3" w:themeShade="BF"/>
          <w:sz w:val="22"/>
          <w:szCs w:val="22"/>
          <w:lang w:val="en-GB"/>
        </w:rPr>
        <w:t xml:space="preserve">winding up proceedings </w:t>
      </w:r>
      <w:r>
        <w:rPr>
          <w:rFonts w:ascii="Arial" w:hAnsi="Arial" w:cs="Arial"/>
          <w:color w:val="7B7B7B" w:themeColor="accent3" w:themeShade="BF"/>
          <w:sz w:val="22"/>
          <w:szCs w:val="22"/>
          <w:lang w:val="en-GB"/>
        </w:rPr>
        <w:t xml:space="preserve">in the UK </w:t>
      </w:r>
      <w:r w:rsidR="005455D0">
        <w:rPr>
          <w:rFonts w:ascii="Arial" w:hAnsi="Arial" w:cs="Arial"/>
          <w:color w:val="7B7B7B" w:themeColor="accent3" w:themeShade="BF"/>
          <w:sz w:val="22"/>
          <w:szCs w:val="22"/>
          <w:lang w:val="en-GB"/>
        </w:rPr>
        <w:t xml:space="preserve">as per Schedule 10 of CIGA. </w:t>
      </w:r>
    </w:p>
    <w:p w14:paraId="0E3A7F8A" w14:textId="77777777" w:rsidR="000F62C0" w:rsidRDefault="000F62C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570593E" w14:textId="6EDEA30A" w:rsidR="00403E31" w:rsidRDefault="00403E31"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403E31">
        <w:rPr>
          <w:rFonts w:ascii="Arial" w:hAnsi="Arial" w:cs="Arial"/>
          <w:color w:val="7B7B7B" w:themeColor="accent3" w:themeShade="BF"/>
          <w:sz w:val="22"/>
          <w:szCs w:val="22"/>
          <w:lang w:val="en-GB"/>
        </w:rPr>
        <w:t xml:space="preserve">The </w:t>
      </w:r>
      <w:r w:rsidRPr="00403E31">
        <w:rPr>
          <w:rFonts w:ascii="Arial" w:hAnsi="Arial" w:cs="Arial"/>
          <w:color w:val="7B7B7B" w:themeColor="accent3" w:themeShade="BF"/>
          <w:sz w:val="22"/>
          <w:szCs w:val="22"/>
          <w:lang w:val="en-GB"/>
        </w:rPr>
        <w:t>Cross-Border Insolvency Regulations 2006</w:t>
      </w:r>
      <w:r>
        <w:rPr>
          <w:rFonts w:ascii="Arial" w:hAnsi="Arial" w:cs="Arial"/>
          <w:color w:val="7B7B7B" w:themeColor="accent3" w:themeShade="BF"/>
          <w:sz w:val="22"/>
          <w:szCs w:val="22"/>
          <w:lang w:val="en-GB"/>
        </w:rPr>
        <w:t xml:space="preserve"> may also apply and this is the case, we would need to know whether </w:t>
      </w:r>
      <w:r w:rsidR="00133FF5">
        <w:rPr>
          <w:rFonts w:ascii="Arial" w:hAnsi="Arial" w:cs="Arial"/>
          <w:color w:val="7B7B7B" w:themeColor="accent3" w:themeShade="BF"/>
          <w:sz w:val="22"/>
          <w:szCs w:val="22"/>
          <w:lang w:val="en-GB"/>
        </w:rPr>
        <w:t>foreign main</w:t>
      </w:r>
      <w:r>
        <w:rPr>
          <w:rFonts w:ascii="Arial" w:hAnsi="Arial" w:cs="Arial"/>
          <w:color w:val="7B7B7B" w:themeColor="accent3" w:themeShade="BF"/>
          <w:sz w:val="22"/>
          <w:szCs w:val="22"/>
          <w:lang w:val="en-GB"/>
        </w:rPr>
        <w:t xml:space="preserve"> proceedings had been started </w:t>
      </w:r>
      <w:r w:rsidR="00133FF5">
        <w:rPr>
          <w:rFonts w:ascii="Arial" w:hAnsi="Arial" w:cs="Arial"/>
          <w:color w:val="7B7B7B" w:themeColor="accent3" w:themeShade="BF"/>
          <w:sz w:val="22"/>
          <w:szCs w:val="22"/>
          <w:lang w:val="en-GB"/>
        </w:rPr>
        <w:t xml:space="preserve">the State where Rydell has its COMI. </w:t>
      </w:r>
      <w:r w:rsidR="000F62C0">
        <w:rPr>
          <w:rFonts w:ascii="Arial" w:hAnsi="Arial" w:cs="Arial"/>
          <w:color w:val="7B7B7B" w:themeColor="accent3" w:themeShade="BF"/>
          <w:sz w:val="22"/>
          <w:szCs w:val="22"/>
          <w:lang w:val="en-GB"/>
        </w:rPr>
        <w:t xml:space="preserve">If so, then the UK courts would have to recognise such proceedings and the minor creditor may not be able to start proceedings of its own. </w:t>
      </w:r>
    </w:p>
    <w:p w14:paraId="636D9787" w14:textId="7E5B035C" w:rsidR="000F62C0" w:rsidRDefault="000F62C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49CE127" w14:textId="700347F5" w:rsidR="000F62C0" w:rsidRPr="00403E31" w:rsidRDefault="00F07A47"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Rydell being an unregistered company, </w:t>
      </w:r>
      <w:r w:rsidR="00C2038B">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Insolvency Act 1986 may apply to the extent that </w:t>
      </w:r>
      <w:r w:rsidR="00C2038B">
        <w:rPr>
          <w:rFonts w:ascii="Arial" w:hAnsi="Arial" w:cs="Arial"/>
          <w:color w:val="7B7B7B" w:themeColor="accent3" w:themeShade="BF"/>
          <w:sz w:val="22"/>
          <w:szCs w:val="22"/>
          <w:lang w:val="en-GB"/>
        </w:rPr>
        <w:t xml:space="preserve">Schedule 10 CIGA prohibits winding-up petitions </w:t>
      </w:r>
      <w:r w:rsidR="00F25401">
        <w:rPr>
          <w:rFonts w:ascii="Arial" w:hAnsi="Arial" w:cs="Arial"/>
          <w:color w:val="7B7B7B" w:themeColor="accent3" w:themeShade="BF"/>
          <w:sz w:val="22"/>
          <w:szCs w:val="22"/>
          <w:lang w:val="en-GB"/>
        </w:rPr>
        <w:t xml:space="preserve">against unregistered companies on the ground specified in s.221(5)(b) of the </w:t>
      </w:r>
      <w:r w:rsidR="00175561">
        <w:rPr>
          <w:rFonts w:ascii="Arial" w:hAnsi="Arial" w:cs="Arial"/>
          <w:color w:val="7B7B7B" w:themeColor="accent3" w:themeShade="BF"/>
          <w:sz w:val="22"/>
          <w:szCs w:val="22"/>
          <w:lang w:val="en-GB"/>
        </w:rPr>
        <w:t>I</w:t>
      </w:r>
      <w:r w:rsidR="00F25401">
        <w:rPr>
          <w:rFonts w:ascii="Arial" w:hAnsi="Arial" w:cs="Arial"/>
          <w:color w:val="7B7B7B" w:themeColor="accent3" w:themeShade="BF"/>
          <w:sz w:val="22"/>
          <w:szCs w:val="22"/>
          <w:lang w:val="en-GB"/>
        </w:rPr>
        <w:t>nsolvency Act 1986</w:t>
      </w:r>
      <w:r w:rsidR="00175561">
        <w:rPr>
          <w:rFonts w:ascii="Arial" w:hAnsi="Arial" w:cs="Arial"/>
          <w:color w:val="7B7B7B" w:themeColor="accent3" w:themeShade="BF"/>
          <w:sz w:val="22"/>
          <w:szCs w:val="22"/>
          <w:lang w:val="en-GB"/>
        </w:rPr>
        <w:t xml:space="preserve"> (being “</w:t>
      </w:r>
      <w:r w:rsidR="00175561" w:rsidRPr="00175561">
        <w:rPr>
          <w:rFonts w:ascii="Arial" w:hAnsi="Arial" w:cs="Arial"/>
          <w:color w:val="7B7B7B" w:themeColor="accent3" w:themeShade="BF"/>
          <w:sz w:val="22"/>
          <w:szCs w:val="22"/>
        </w:rPr>
        <w:t>if the company is unable to pay its debts</w:t>
      </w:r>
      <w:r w:rsidR="00175561">
        <w:rPr>
          <w:rFonts w:ascii="Arial" w:hAnsi="Arial" w:cs="Arial"/>
          <w:color w:val="7B7B7B" w:themeColor="accent3" w:themeShade="BF"/>
          <w:sz w:val="22"/>
          <w:szCs w:val="22"/>
        </w:rPr>
        <w:t>”)</w:t>
      </w:r>
      <w:r w:rsidR="00F2540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7B9A218" w:rsidR="006E1CB0" w:rsidRPr="0052732A" w:rsidRDefault="00CF07AC" w:rsidP="0052732A">
    <w:pPr>
      <w:pStyle w:val="Footer"/>
      <w:ind w:right="360"/>
      <w:rPr>
        <w:rFonts w:ascii="Arial" w:hAnsi="Arial" w:cs="Arial"/>
        <w:sz w:val="18"/>
        <w:szCs w:val="18"/>
      </w:rPr>
    </w:pPr>
    <w:r>
      <w:rPr>
        <w:rFonts w:ascii="Arial" w:hAnsi="Arial" w:cs="Arial"/>
        <w:sz w:val="18"/>
        <w:szCs w:val="18"/>
      </w:rPr>
      <w:t>202122-557</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BC44" w14:textId="77777777" w:rsidR="00497A2F" w:rsidRDefault="0049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556" w14:textId="77777777" w:rsidR="00497A2F" w:rsidRDefault="0049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5F04" w14:textId="77777777" w:rsidR="00497A2F" w:rsidRDefault="00497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1E3C" w14:textId="77777777" w:rsidR="00497A2F" w:rsidRDefault="0049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0E97575"/>
    <w:multiLevelType w:val="hybridMultilevel"/>
    <w:tmpl w:val="6CE02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6"/>
  </w:num>
  <w:num w:numId="4">
    <w:abstractNumId w:val="5"/>
  </w:num>
  <w:num w:numId="5">
    <w:abstractNumId w:val="3"/>
  </w:num>
  <w:num w:numId="6">
    <w:abstractNumId w:val="14"/>
  </w:num>
  <w:num w:numId="7">
    <w:abstractNumId w:val="4"/>
  </w:num>
  <w:num w:numId="8">
    <w:abstractNumId w:val="2"/>
  </w:num>
  <w:num w:numId="9">
    <w:abstractNumId w:val="0"/>
  </w:num>
  <w:num w:numId="10">
    <w:abstractNumId w:val="6"/>
  </w:num>
  <w:num w:numId="11">
    <w:abstractNumId w:val="11"/>
  </w:num>
  <w:num w:numId="12">
    <w:abstractNumId w:val="15"/>
  </w:num>
  <w:num w:numId="13">
    <w:abstractNumId w:val="12"/>
  </w:num>
  <w:num w:numId="14">
    <w:abstractNumId w:val="7"/>
  </w:num>
  <w:num w:numId="15">
    <w:abstractNumId w:val="10"/>
  </w:num>
  <w:num w:numId="16">
    <w:abstractNumId w:val="13"/>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4F7A"/>
    <w:rsid w:val="000851CC"/>
    <w:rsid w:val="00085349"/>
    <w:rsid w:val="00085D4B"/>
    <w:rsid w:val="00086BDD"/>
    <w:rsid w:val="00087102"/>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407"/>
    <w:rsid w:val="000F3D6C"/>
    <w:rsid w:val="000F58B0"/>
    <w:rsid w:val="000F62C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3FF5"/>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5561"/>
    <w:rsid w:val="00180548"/>
    <w:rsid w:val="00180AC4"/>
    <w:rsid w:val="00180B1E"/>
    <w:rsid w:val="00180CCE"/>
    <w:rsid w:val="00181438"/>
    <w:rsid w:val="0018267A"/>
    <w:rsid w:val="00182779"/>
    <w:rsid w:val="001830DF"/>
    <w:rsid w:val="001833C2"/>
    <w:rsid w:val="0018791D"/>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384E"/>
    <w:rsid w:val="00283F82"/>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27DA1"/>
    <w:rsid w:val="00330937"/>
    <w:rsid w:val="00330F31"/>
    <w:rsid w:val="003326F0"/>
    <w:rsid w:val="00334648"/>
    <w:rsid w:val="00336CA6"/>
    <w:rsid w:val="0033768C"/>
    <w:rsid w:val="00337938"/>
    <w:rsid w:val="00340769"/>
    <w:rsid w:val="00341A65"/>
    <w:rsid w:val="00341AA6"/>
    <w:rsid w:val="00342E57"/>
    <w:rsid w:val="00351DA0"/>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385D"/>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3E31"/>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A2F"/>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55D0"/>
    <w:rsid w:val="005508BB"/>
    <w:rsid w:val="00553EB2"/>
    <w:rsid w:val="0055715F"/>
    <w:rsid w:val="00560534"/>
    <w:rsid w:val="0056391B"/>
    <w:rsid w:val="005650E2"/>
    <w:rsid w:val="00566D80"/>
    <w:rsid w:val="00567AD7"/>
    <w:rsid w:val="005716C3"/>
    <w:rsid w:val="00573594"/>
    <w:rsid w:val="00575B2D"/>
    <w:rsid w:val="00576E42"/>
    <w:rsid w:val="005800D0"/>
    <w:rsid w:val="005833D0"/>
    <w:rsid w:val="005846F3"/>
    <w:rsid w:val="0058622F"/>
    <w:rsid w:val="005865D6"/>
    <w:rsid w:val="00590880"/>
    <w:rsid w:val="00590FE6"/>
    <w:rsid w:val="00591631"/>
    <w:rsid w:val="00592E7F"/>
    <w:rsid w:val="00592F82"/>
    <w:rsid w:val="005936B3"/>
    <w:rsid w:val="00594BE6"/>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0A3"/>
    <w:rsid w:val="00641515"/>
    <w:rsid w:val="00643ABE"/>
    <w:rsid w:val="006479E6"/>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99C"/>
    <w:rsid w:val="00714BF1"/>
    <w:rsid w:val="00721383"/>
    <w:rsid w:val="007216AD"/>
    <w:rsid w:val="00726E9A"/>
    <w:rsid w:val="00727864"/>
    <w:rsid w:val="007333CC"/>
    <w:rsid w:val="007335D8"/>
    <w:rsid w:val="0073399A"/>
    <w:rsid w:val="007369C7"/>
    <w:rsid w:val="00743531"/>
    <w:rsid w:val="007462D9"/>
    <w:rsid w:val="00751986"/>
    <w:rsid w:val="00752426"/>
    <w:rsid w:val="0075428A"/>
    <w:rsid w:val="00756ABD"/>
    <w:rsid w:val="007576A3"/>
    <w:rsid w:val="007603F5"/>
    <w:rsid w:val="00760A70"/>
    <w:rsid w:val="0076181C"/>
    <w:rsid w:val="00764DB0"/>
    <w:rsid w:val="007671EB"/>
    <w:rsid w:val="00767548"/>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0CFB"/>
    <w:rsid w:val="00841E70"/>
    <w:rsid w:val="008473AA"/>
    <w:rsid w:val="00852883"/>
    <w:rsid w:val="00852F37"/>
    <w:rsid w:val="00854C44"/>
    <w:rsid w:val="008571F6"/>
    <w:rsid w:val="00861E51"/>
    <w:rsid w:val="00870B96"/>
    <w:rsid w:val="008723F3"/>
    <w:rsid w:val="00873246"/>
    <w:rsid w:val="00875E2E"/>
    <w:rsid w:val="00880F99"/>
    <w:rsid w:val="00881DA8"/>
    <w:rsid w:val="00881DE6"/>
    <w:rsid w:val="0088354B"/>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60DE"/>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6C0"/>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78CD"/>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3306E"/>
    <w:rsid w:val="00A407EF"/>
    <w:rsid w:val="00A4089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698D"/>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4003"/>
    <w:rsid w:val="00C15A16"/>
    <w:rsid w:val="00C1724E"/>
    <w:rsid w:val="00C2038B"/>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096C"/>
    <w:rsid w:val="00CC467D"/>
    <w:rsid w:val="00CC5335"/>
    <w:rsid w:val="00CC579C"/>
    <w:rsid w:val="00CC5BA4"/>
    <w:rsid w:val="00CC7728"/>
    <w:rsid w:val="00CD0FFE"/>
    <w:rsid w:val="00CD34DB"/>
    <w:rsid w:val="00CD377A"/>
    <w:rsid w:val="00CD4998"/>
    <w:rsid w:val="00CE1035"/>
    <w:rsid w:val="00CE62CA"/>
    <w:rsid w:val="00CF07AC"/>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1DD9"/>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707"/>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7A47"/>
    <w:rsid w:val="00F106CE"/>
    <w:rsid w:val="00F1096A"/>
    <w:rsid w:val="00F13FB1"/>
    <w:rsid w:val="00F15181"/>
    <w:rsid w:val="00F1640B"/>
    <w:rsid w:val="00F2025D"/>
    <w:rsid w:val="00F25401"/>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5FA7"/>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0381"/>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Segura</cp:lastModifiedBy>
  <cp:revision>23</cp:revision>
  <cp:lastPrinted>2020-06-12T02:43:00Z</cp:lastPrinted>
  <dcterms:created xsi:type="dcterms:W3CDTF">2021-10-08T15:56:00Z</dcterms:created>
  <dcterms:modified xsi:type="dcterms:W3CDTF">2021-10-22T14:46:00Z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Reference_src">
    <vt:lpwstr>{IMan.Number}.{IMan.Version}\{IMan.imProfileCustom1}</vt:lpwstr>
  </property>
  <property fmtid="{D5CDD505-2E9C-101B-9397-08002B2CF9AE}" pid="4" name="SD_TIM_Ran">
    <vt:lpwstr>True</vt:lpwstr>
  </property>
  <property fmtid="{D5CDD505-2E9C-101B-9397-08002B2CF9AE}" pid="5" name="Reference">
    <vt:lpwstr>127080298.1\PERSONAL</vt:lpwstr>
  </property>
</Properties>
</file>