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D563AB" w:rsidRDefault="00B736DF" w:rsidP="009E1027">
      <w:pPr>
        <w:pStyle w:val="ListParagraph"/>
        <w:numPr>
          <w:ilvl w:val="0"/>
          <w:numId w:val="12"/>
        </w:numPr>
        <w:ind w:left="426"/>
        <w:jc w:val="both"/>
        <w:rPr>
          <w:rFonts w:ascii="Arial" w:hAnsi="Arial" w:cs="Arial"/>
          <w:sz w:val="22"/>
          <w:szCs w:val="22"/>
          <w:highlight w:val="yellow"/>
          <w:lang w:val="en-GB"/>
        </w:rPr>
      </w:pPr>
      <w:r w:rsidRPr="00D563AB">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846E4A" w:rsidRDefault="00161F1B" w:rsidP="009E1027">
      <w:pPr>
        <w:pStyle w:val="ListParagraph"/>
        <w:numPr>
          <w:ilvl w:val="0"/>
          <w:numId w:val="13"/>
        </w:numPr>
        <w:ind w:left="426"/>
        <w:jc w:val="both"/>
        <w:rPr>
          <w:rFonts w:ascii="Arial" w:hAnsi="Arial" w:cs="Arial"/>
          <w:sz w:val="22"/>
          <w:szCs w:val="22"/>
          <w:highlight w:val="yellow"/>
          <w:lang w:val="en-GB"/>
        </w:rPr>
      </w:pPr>
      <w:r w:rsidRPr="00846E4A">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475F2F" w:rsidRDefault="009E2E27" w:rsidP="008031A7">
      <w:pPr>
        <w:pStyle w:val="ListParagraph"/>
        <w:numPr>
          <w:ilvl w:val="0"/>
          <w:numId w:val="14"/>
        </w:numPr>
        <w:ind w:left="426"/>
        <w:jc w:val="both"/>
        <w:rPr>
          <w:rFonts w:ascii="Arial" w:hAnsi="Arial" w:cs="Arial"/>
          <w:sz w:val="22"/>
          <w:szCs w:val="22"/>
          <w:highlight w:val="yellow"/>
          <w:lang w:val="en-GB"/>
        </w:rPr>
      </w:pPr>
      <w:r w:rsidRPr="00475F2F">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605C79" w:rsidRDefault="009E2E27" w:rsidP="008031A7">
      <w:pPr>
        <w:pStyle w:val="ListParagraph"/>
        <w:numPr>
          <w:ilvl w:val="0"/>
          <w:numId w:val="15"/>
        </w:numPr>
        <w:ind w:left="426"/>
        <w:jc w:val="both"/>
        <w:rPr>
          <w:rFonts w:ascii="Arial" w:hAnsi="Arial" w:cs="Arial"/>
          <w:sz w:val="22"/>
          <w:szCs w:val="22"/>
          <w:highlight w:val="yellow"/>
          <w:lang w:val="en-GB"/>
        </w:rPr>
      </w:pPr>
      <w:r w:rsidRPr="00605C79">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2B23F2" w:rsidRDefault="00A235B7" w:rsidP="006D01C2">
      <w:pPr>
        <w:pStyle w:val="ListParagraph"/>
        <w:numPr>
          <w:ilvl w:val="0"/>
          <w:numId w:val="16"/>
        </w:numPr>
        <w:ind w:left="426"/>
        <w:jc w:val="both"/>
        <w:rPr>
          <w:rFonts w:ascii="Arial" w:hAnsi="Arial" w:cs="Arial"/>
          <w:sz w:val="22"/>
          <w:szCs w:val="22"/>
          <w:highlight w:val="yellow"/>
          <w:lang w:val="en-GB"/>
        </w:rPr>
      </w:pPr>
      <w:r w:rsidRPr="002B23F2">
        <w:rPr>
          <w:rFonts w:ascii="Arial" w:hAnsi="Arial" w:cs="Arial"/>
          <w:sz w:val="22"/>
          <w:szCs w:val="22"/>
          <w:highlight w:val="yellow"/>
          <w:lang w:val="en-GB"/>
        </w:rPr>
        <w:t>The statement</w:t>
      </w:r>
      <w:r w:rsidR="0037465A" w:rsidRPr="002B23F2">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3202D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3202D1">
        <w:rPr>
          <w:rFonts w:ascii="Arial" w:eastAsiaTheme="minorHAnsi" w:hAnsi="Arial" w:cs="Arial"/>
          <w:sz w:val="22"/>
          <w:szCs w:val="22"/>
          <w:highlight w:val="yellow"/>
          <w:lang w:val="en-GB"/>
        </w:rPr>
        <w:t>Private International Law</w:t>
      </w:r>
      <w:r w:rsidR="00991428" w:rsidRPr="003202D1">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70BAD" w:rsidRDefault="004D1A5A" w:rsidP="006D01C2">
      <w:pPr>
        <w:pStyle w:val="ListParagraph"/>
        <w:numPr>
          <w:ilvl w:val="0"/>
          <w:numId w:val="18"/>
        </w:numPr>
        <w:ind w:left="426"/>
        <w:jc w:val="both"/>
        <w:rPr>
          <w:rFonts w:ascii="Arial" w:hAnsi="Arial" w:cs="Arial"/>
          <w:sz w:val="22"/>
          <w:szCs w:val="22"/>
          <w:highlight w:val="yellow"/>
          <w:lang w:val="en-GB"/>
        </w:rPr>
      </w:pPr>
      <w:r w:rsidRPr="00670BAD">
        <w:rPr>
          <w:rFonts w:ascii="Arial" w:hAnsi="Arial" w:cs="Arial"/>
          <w:sz w:val="22"/>
          <w:szCs w:val="22"/>
          <w:highlight w:val="yellow"/>
          <w:lang w:val="en-GB"/>
        </w:rPr>
        <w:t>UNCITRAL Model Law on Cross-border Insolvency (1997)</w:t>
      </w:r>
      <w:r w:rsidR="00912C79" w:rsidRPr="00670BAD">
        <w:rPr>
          <w:rFonts w:ascii="Arial" w:hAnsi="Arial" w:cs="Arial"/>
          <w:sz w:val="22"/>
          <w:szCs w:val="22"/>
          <w:highlight w:val="yellow"/>
          <w:lang w:val="en-GB"/>
        </w:rPr>
        <w:t>.</w:t>
      </w:r>
      <w:r w:rsidRPr="00670BAD">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8D6498"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8D6498">
        <w:rPr>
          <w:rFonts w:ascii="Arial" w:hAnsi="Arial" w:cs="Arial"/>
          <w:sz w:val="22"/>
          <w:szCs w:val="22"/>
          <w:highlight w:val="yellow"/>
          <w:lang w:val="en-GB"/>
        </w:rPr>
        <w:t>Havana Convention on Private International Law (1928)</w:t>
      </w:r>
      <w:r w:rsidRPr="008D6498">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42160F" w:rsidRDefault="0082483F" w:rsidP="006D01C2">
      <w:pPr>
        <w:pStyle w:val="ListParagraph"/>
        <w:numPr>
          <w:ilvl w:val="0"/>
          <w:numId w:val="20"/>
        </w:numPr>
        <w:ind w:left="426"/>
        <w:jc w:val="both"/>
        <w:rPr>
          <w:rFonts w:ascii="Arial" w:hAnsi="Arial" w:cs="Arial"/>
          <w:sz w:val="22"/>
          <w:szCs w:val="22"/>
          <w:highlight w:val="yellow"/>
          <w:lang w:val="en-GB"/>
        </w:rPr>
      </w:pPr>
      <w:r w:rsidRPr="0042160F">
        <w:rPr>
          <w:rFonts w:ascii="Arial" w:hAnsi="Arial" w:cs="Arial"/>
          <w:sz w:val="22"/>
          <w:szCs w:val="22"/>
          <w:highlight w:val="yellow"/>
          <w:lang w:val="en-GB"/>
        </w:rPr>
        <w:t>Co</w:t>
      </w:r>
      <w:r w:rsidR="00D17FDC" w:rsidRPr="0042160F">
        <w:rPr>
          <w:rFonts w:ascii="Arial" w:hAnsi="Arial" w:cs="Arial"/>
          <w:sz w:val="22"/>
          <w:szCs w:val="22"/>
          <w:highlight w:val="yellow"/>
          <w:lang w:val="en-GB"/>
        </w:rPr>
        <w:t>-</w:t>
      </w:r>
      <w:r w:rsidRPr="0042160F">
        <w:rPr>
          <w:rFonts w:ascii="Arial" w:hAnsi="Arial" w:cs="Arial"/>
          <w:sz w:val="22"/>
          <w:szCs w:val="22"/>
          <w:highlight w:val="yellow"/>
          <w:lang w:val="en-GB"/>
        </w:rPr>
        <w:t>operation and co</w:t>
      </w:r>
      <w:r w:rsidR="00D17FDC" w:rsidRPr="0042160F">
        <w:rPr>
          <w:rFonts w:ascii="Arial" w:hAnsi="Arial" w:cs="Arial"/>
          <w:sz w:val="22"/>
          <w:szCs w:val="22"/>
          <w:highlight w:val="yellow"/>
          <w:lang w:val="en-GB"/>
        </w:rPr>
        <w:t>-</w:t>
      </w:r>
      <w:r w:rsidRPr="0042160F">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20293A"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20293A">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4D1B98F" w:rsidR="009B07AD" w:rsidRPr="00BF1C6F" w:rsidRDefault="000402B0"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 body of rules concerning certain insolvency proceedings or measures, which </w:t>
      </w:r>
      <w:r w:rsidR="00997F46">
        <w:rPr>
          <w:rFonts w:ascii="Arial" w:hAnsi="Arial" w:cs="Arial"/>
          <w:color w:val="7B7B7B" w:themeColor="accent3" w:themeShade="BF"/>
          <w:sz w:val="22"/>
          <w:szCs w:val="22"/>
          <w:lang w:val="en-GB"/>
        </w:rPr>
        <w:t>cannot be fully enforced, because the applicable law cannot be executed immediately or exclusively without consideration be</w:t>
      </w:r>
      <w:r w:rsidR="00EB6A50">
        <w:rPr>
          <w:rFonts w:ascii="Arial" w:hAnsi="Arial" w:cs="Arial"/>
          <w:color w:val="7B7B7B" w:themeColor="accent3" w:themeShade="BF"/>
          <w:sz w:val="22"/>
          <w:szCs w:val="22"/>
          <w:lang w:val="en-GB"/>
        </w:rPr>
        <w:t xml:space="preserve">ing given to the international aspect of the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5CA357A2" w14:textId="0B413902" w:rsidR="001F48E9" w:rsidRDefault="005B1C96"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Universalism </w:t>
      </w:r>
      <w:r w:rsidR="008A5729">
        <w:rPr>
          <w:rFonts w:ascii="Arial" w:hAnsi="Arial" w:cs="Arial"/>
          <w:color w:val="7B7B7B" w:themeColor="accent3" w:themeShade="BF"/>
          <w:sz w:val="22"/>
          <w:szCs w:val="22"/>
          <w:lang w:val="en-GB"/>
        </w:rPr>
        <w:t>is an approach which allows more than one insolvency proceedings in different jurisdictions to be dealt with under the provisions of one insolvency law.</w:t>
      </w:r>
      <w:r w:rsidR="008A0FAC">
        <w:rPr>
          <w:rFonts w:ascii="Arial" w:hAnsi="Arial" w:cs="Arial"/>
          <w:color w:val="7B7B7B" w:themeColor="accent3" w:themeShade="BF"/>
          <w:sz w:val="22"/>
          <w:szCs w:val="22"/>
          <w:lang w:val="en-GB"/>
        </w:rPr>
        <w:t xml:space="preserve"> Whereas Territorialism takes the approach that an insolvency procedure will only </w:t>
      </w:r>
      <w:r w:rsidR="00986948">
        <w:rPr>
          <w:rFonts w:ascii="Arial" w:hAnsi="Arial" w:cs="Arial"/>
          <w:color w:val="7B7B7B" w:themeColor="accent3" w:themeShade="BF"/>
          <w:sz w:val="22"/>
          <w:szCs w:val="22"/>
          <w:lang w:val="en-GB"/>
        </w:rPr>
        <w:t xml:space="preserve">apply to the state </w:t>
      </w:r>
      <w:r w:rsidR="00261EF0">
        <w:rPr>
          <w:rFonts w:ascii="Arial" w:hAnsi="Arial" w:cs="Arial"/>
          <w:color w:val="7B7B7B" w:themeColor="accent3" w:themeShade="BF"/>
          <w:sz w:val="22"/>
          <w:szCs w:val="22"/>
          <w:lang w:val="en-GB"/>
        </w:rPr>
        <w:t xml:space="preserve">where the insolvency procedure has been opened. </w:t>
      </w:r>
      <w:r w:rsidR="008D111C">
        <w:rPr>
          <w:rFonts w:ascii="Arial" w:hAnsi="Arial" w:cs="Arial"/>
          <w:color w:val="7B7B7B" w:themeColor="accent3" w:themeShade="BF"/>
          <w:sz w:val="22"/>
          <w:szCs w:val="22"/>
          <w:lang w:val="en-GB"/>
        </w:rPr>
        <w:t>Under a territorialist</w:t>
      </w:r>
      <w:r w:rsidR="00F063FD">
        <w:rPr>
          <w:rFonts w:ascii="Arial" w:hAnsi="Arial" w:cs="Arial"/>
          <w:color w:val="7B7B7B" w:themeColor="accent3" w:themeShade="BF"/>
          <w:sz w:val="22"/>
          <w:szCs w:val="22"/>
          <w:lang w:val="en-GB"/>
        </w:rPr>
        <w:t xml:space="preserve"> </w:t>
      </w:r>
      <w:r w:rsidR="008D111C">
        <w:rPr>
          <w:rFonts w:ascii="Arial" w:hAnsi="Arial" w:cs="Arial"/>
          <w:color w:val="7B7B7B" w:themeColor="accent3" w:themeShade="BF"/>
          <w:sz w:val="22"/>
          <w:szCs w:val="22"/>
          <w:lang w:val="en-GB"/>
        </w:rPr>
        <w:t xml:space="preserve">approach, </w:t>
      </w:r>
      <w:r w:rsidR="00E014FF">
        <w:rPr>
          <w:rFonts w:ascii="Arial" w:hAnsi="Arial" w:cs="Arial"/>
          <w:color w:val="7B7B7B" w:themeColor="accent3" w:themeShade="BF"/>
          <w:sz w:val="22"/>
          <w:szCs w:val="22"/>
          <w:lang w:val="en-GB"/>
        </w:rPr>
        <w:t xml:space="preserve">creditors may suffer practical and economic challenges in participating in foreign </w:t>
      </w:r>
      <w:r w:rsidR="00180018">
        <w:rPr>
          <w:rFonts w:ascii="Arial" w:hAnsi="Arial" w:cs="Arial"/>
          <w:color w:val="7B7B7B" w:themeColor="accent3" w:themeShade="BF"/>
          <w:sz w:val="22"/>
          <w:szCs w:val="22"/>
          <w:lang w:val="en-GB"/>
        </w:rPr>
        <w:t xml:space="preserve">proceedings. </w:t>
      </w:r>
    </w:p>
    <w:p w14:paraId="2F57801B" w14:textId="1B250391" w:rsidR="009B07AD" w:rsidRPr="00BF1C6F" w:rsidRDefault="001F48E9"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 univer</w:t>
      </w:r>
      <w:r w:rsidR="002B57D4">
        <w:rPr>
          <w:rFonts w:ascii="Arial" w:hAnsi="Arial" w:cs="Arial"/>
          <w:color w:val="7B7B7B" w:themeColor="accent3" w:themeShade="BF"/>
          <w:sz w:val="22"/>
          <w:szCs w:val="22"/>
          <w:lang w:val="en-GB"/>
        </w:rPr>
        <w:t>sality approach requires trust in foreign courts and legal systems since a single insolvency proceeding</w:t>
      </w:r>
      <w:r w:rsidR="000F358C">
        <w:rPr>
          <w:rFonts w:ascii="Arial" w:hAnsi="Arial" w:cs="Arial"/>
          <w:color w:val="7B7B7B" w:themeColor="accent3" w:themeShade="BF"/>
          <w:sz w:val="22"/>
          <w:szCs w:val="22"/>
          <w:lang w:val="en-GB"/>
        </w:rPr>
        <w:t xml:space="preserve"> would have to consider the global impact, the choice of law and priority rules. </w:t>
      </w:r>
      <w:r w:rsidR="008D111C">
        <w:rPr>
          <w:rFonts w:ascii="Arial" w:hAnsi="Arial" w:cs="Arial"/>
          <w:color w:val="7B7B7B" w:themeColor="accent3" w:themeShade="BF"/>
          <w:sz w:val="22"/>
          <w:szCs w:val="22"/>
          <w:lang w:val="en-GB"/>
        </w:rPr>
        <w:t xml:space="preserve">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22806D36" w:rsidR="00C72848" w:rsidRPr="00BF1C6F" w:rsidRDefault="007C76DA"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Within the DIFC</w:t>
      </w:r>
      <w:r w:rsidRPr="007C76DA">
        <w:rPr>
          <w:rFonts w:ascii="Arial" w:hAnsi="Arial" w:cs="Arial"/>
          <w:color w:val="7B7B7B" w:themeColor="accent3" w:themeShade="BF"/>
          <w:sz w:val="22"/>
          <w:szCs w:val="22"/>
          <w:lang w:val="en-GB"/>
        </w:rPr>
        <w:t xml:space="preserve"> new Insolvency Regulations c</w:t>
      </w:r>
      <w:r>
        <w:rPr>
          <w:rFonts w:ascii="Arial" w:hAnsi="Arial" w:cs="Arial"/>
          <w:color w:val="7B7B7B" w:themeColor="accent3" w:themeShade="BF"/>
          <w:sz w:val="22"/>
          <w:szCs w:val="22"/>
          <w:lang w:val="en-GB"/>
        </w:rPr>
        <w:t>a</w:t>
      </w:r>
      <w:r w:rsidRPr="007C76DA">
        <w:rPr>
          <w:rFonts w:ascii="Arial" w:hAnsi="Arial" w:cs="Arial"/>
          <w:color w:val="7B7B7B" w:themeColor="accent3" w:themeShade="BF"/>
          <w:sz w:val="22"/>
          <w:szCs w:val="22"/>
          <w:lang w:val="en-GB"/>
        </w:rPr>
        <w:t>me into effect on 13 June 2019, introduce</w:t>
      </w:r>
      <w:r>
        <w:rPr>
          <w:rFonts w:ascii="Arial" w:hAnsi="Arial" w:cs="Arial"/>
          <w:color w:val="7B7B7B" w:themeColor="accent3" w:themeShade="BF"/>
          <w:sz w:val="22"/>
          <w:szCs w:val="22"/>
          <w:lang w:val="en-GB"/>
        </w:rPr>
        <w:t>d</w:t>
      </w:r>
      <w:r w:rsidRPr="007C76DA">
        <w:rPr>
          <w:rFonts w:ascii="Arial" w:hAnsi="Arial" w:cs="Arial"/>
          <w:color w:val="7B7B7B" w:themeColor="accent3" w:themeShade="BF"/>
          <w:sz w:val="22"/>
          <w:szCs w:val="22"/>
          <w:lang w:val="en-GB"/>
        </w:rPr>
        <w:t xml:space="preserve"> a new debtor in possession bankruptcy regime in line with best practice globally. The law also provides for a new administration process where there is evidence of mismanagement or misconduct. The law also enhances the rules governing winding up procedures; and incorporates the UNCITRAL Model Law on cross border insolvency proceedings with certain modifications for application in the Centre.</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15EBB63B" w:rsidR="00544127" w:rsidRDefault="00EB384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individuals, the objective is to protect the debtor from </w:t>
      </w:r>
      <w:r w:rsidR="00705BB5">
        <w:rPr>
          <w:rFonts w:ascii="Arial" w:hAnsi="Arial" w:cs="Arial"/>
          <w:color w:val="7B7B7B" w:themeColor="accent3" w:themeShade="BF"/>
          <w:sz w:val="22"/>
          <w:szCs w:val="22"/>
          <w:lang w:val="en-GB"/>
        </w:rPr>
        <w:t>creditors, enable the debtor to make a f</w:t>
      </w:r>
      <w:r w:rsidR="000961C3">
        <w:rPr>
          <w:rFonts w:ascii="Arial" w:hAnsi="Arial" w:cs="Arial"/>
          <w:color w:val="7B7B7B" w:themeColor="accent3" w:themeShade="BF"/>
          <w:sz w:val="22"/>
          <w:szCs w:val="22"/>
          <w:lang w:val="en-GB"/>
        </w:rPr>
        <w:t>r</w:t>
      </w:r>
      <w:r w:rsidR="00705BB5">
        <w:rPr>
          <w:rFonts w:ascii="Arial" w:hAnsi="Arial" w:cs="Arial"/>
          <w:color w:val="7B7B7B" w:themeColor="accent3" w:themeShade="BF"/>
          <w:sz w:val="22"/>
          <w:szCs w:val="22"/>
          <w:lang w:val="en-GB"/>
        </w:rPr>
        <w:t xml:space="preserve">esh starts and reduce </w:t>
      </w:r>
      <w:r w:rsidR="000961C3">
        <w:rPr>
          <w:rFonts w:ascii="Arial" w:hAnsi="Arial" w:cs="Arial"/>
          <w:color w:val="7B7B7B" w:themeColor="accent3" w:themeShade="BF"/>
          <w:sz w:val="22"/>
          <w:szCs w:val="22"/>
          <w:lang w:val="en-GB"/>
        </w:rPr>
        <w:t>indebtedness</w:t>
      </w:r>
      <w:r w:rsidR="00705BB5">
        <w:rPr>
          <w:rFonts w:ascii="Arial" w:hAnsi="Arial" w:cs="Arial"/>
          <w:color w:val="7B7B7B" w:themeColor="accent3" w:themeShade="BF"/>
          <w:sz w:val="22"/>
          <w:szCs w:val="22"/>
          <w:lang w:val="en-GB"/>
        </w:rPr>
        <w:t xml:space="preserve"> by making contributions from present and future income to the estate. </w:t>
      </w:r>
    </w:p>
    <w:p w14:paraId="0EBAB5F3" w14:textId="29F9EF4F" w:rsidR="000961C3" w:rsidRDefault="000961C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corporations, the aim is to preserve the business </w:t>
      </w:r>
      <w:r w:rsidR="007D1F1E">
        <w:rPr>
          <w:rFonts w:ascii="Arial" w:hAnsi="Arial" w:cs="Arial"/>
          <w:color w:val="7B7B7B" w:themeColor="accent3" w:themeShade="BF"/>
          <w:sz w:val="22"/>
          <w:szCs w:val="22"/>
          <w:lang w:val="en-GB"/>
        </w:rPr>
        <w:t xml:space="preserve">or viable parts of the business. Also to impose personal responsibility on liable persons if power has been abused. </w:t>
      </w:r>
    </w:p>
    <w:p w14:paraId="745E6989" w14:textId="7DD7D5A5" w:rsidR="007D1F1E" w:rsidRPr="00BF1C6F" w:rsidRDefault="000567EB" w:rsidP="00C053F7">
      <w:pPr>
        <w:jc w:val="both"/>
        <w:rPr>
          <w:rFonts w:ascii="Arial" w:hAnsi="Arial" w:cs="Arial"/>
          <w:sz w:val="24"/>
          <w:lang w:val="en-GB"/>
        </w:rPr>
      </w:pPr>
      <w:r>
        <w:rPr>
          <w:rFonts w:ascii="Arial" w:hAnsi="Arial" w:cs="Arial"/>
          <w:color w:val="7B7B7B" w:themeColor="accent3" w:themeShade="BF"/>
          <w:sz w:val="22"/>
          <w:szCs w:val="22"/>
          <w:lang w:val="en-GB"/>
        </w:rPr>
        <w:t>I</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02AA3A70" w:rsidR="00DF75F8" w:rsidRPr="00BF1C6F" w:rsidRDefault="009A67DA"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One difficulty would arise from </w:t>
      </w:r>
      <w:r w:rsidR="006E26EA">
        <w:rPr>
          <w:rFonts w:ascii="Arial" w:hAnsi="Arial" w:cs="Arial"/>
          <w:color w:val="7B7B7B" w:themeColor="accent3" w:themeShade="BF"/>
          <w:sz w:val="22"/>
          <w:szCs w:val="22"/>
          <w:lang w:val="en-GB"/>
        </w:rPr>
        <w:t xml:space="preserve">the various national approaches to insolvency with </w:t>
      </w:r>
      <w:r w:rsidR="00982729">
        <w:rPr>
          <w:rFonts w:ascii="Arial" w:hAnsi="Arial" w:cs="Arial"/>
          <w:color w:val="7B7B7B" w:themeColor="accent3" w:themeShade="BF"/>
          <w:sz w:val="22"/>
          <w:szCs w:val="22"/>
          <w:lang w:val="en-GB"/>
        </w:rPr>
        <w:t xml:space="preserve">distinctions between pro-creditor v pro-debtor jurisdictions. </w:t>
      </w:r>
      <w:r w:rsidR="00127277">
        <w:rPr>
          <w:rFonts w:ascii="Arial" w:hAnsi="Arial" w:cs="Arial"/>
          <w:color w:val="7B7B7B" w:themeColor="accent3" w:themeShade="BF"/>
          <w:sz w:val="22"/>
          <w:szCs w:val="22"/>
          <w:lang w:val="en-GB"/>
        </w:rPr>
        <w:t>Further, there are diff</w:t>
      </w:r>
      <w:r w:rsidR="001D617D">
        <w:rPr>
          <w:rFonts w:ascii="Arial" w:hAnsi="Arial" w:cs="Arial"/>
          <w:color w:val="7B7B7B" w:themeColor="accent3" w:themeShade="BF"/>
          <w:sz w:val="22"/>
          <w:szCs w:val="22"/>
          <w:lang w:val="en-GB"/>
        </w:rPr>
        <w:t xml:space="preserve">ering political and cultural interests to consider, such as </w:t>
      </w:r>
      <w:r w:rsidR="009E53F3">
        <w:rPr>
          <w:rFonts w:ascii="Arial" w:hAnsi="Arial" w:cs="Arial"/>
          <w:color w:val="7B7B7B" w:themeColor="accent3" w:themeShade="BF"/>
          <w:sz w:val="22"/>
          <w:szCs w:val="22"/>
          <w:lang w:val="en-GB"/>
        </w:rPr>
        <w:t xml:space="preserve">labour rights. Some jurisdictions are more </w:t>
      </w:r>
      <w:r w:rsidR="00FE6C36">
        <w:rPr>
          <w:rFonts w:ascii="Arial" w:hAnsi="Arial" w:cs="Arial"/>
          <w:color w:val="7B7B7B" w:themeColor="accent3" w:themeShade="BF"/>
          <w:sz w:val="22"/>
          <w:szCs w:val="22"/>
          <w:lang w:val="en-GB"/>
        </w:rPr>
        <w:t xml:space="preserve">territorial in approach and less likely to accept foreign </w:t>
      </w:r>
      <w:r w:rsidR="000100DC">
        <w:rPr>
          <w:rFonts w:ascii="Arial" w:hAnsi="Arial" w:cs="Arial"/>
          <w:color w:val="7B7B7B" w:themeColor="accent3" w:themeShade="BF"/>
          <w:sz w:val="22"/>
          <w:szCs w:val="22"/>
          <w:lang w:val="en-GB"/>
        </w:rPr>
        <w:t xml:space="preserve">court orders.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0DECD59C" w:rsidR="00DF75F8" w:rsidRPr="00BF1C6F" w:rsidRDefault="00EF0BE8"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IMF and World Bank may require changes to insolvency law as a condition of providing funding. This would help develop the insolvency law within that jurisdiction, however it may not take into consideration the </w:t>
      </w:r>
      <w:r w:rsidR="00532356">
        <w:rPr>
          <w:rFonts w:ascii="Arial" w:hAnsi="Arial" w:cs="Arial"/>
          <w:color w:val="7B7B7B" w:themeColor="accent3" w:themeShade="BF"/>
          <w:sz w:val="22"/>
          <w:szCs w:val="22"/>
          <w:lang w:val="en-GB"/>
        </w:rPr>
        <w:t xml:space="preserve">issues of international insolvency law and does not necessarily need to </w:t>
      </w:r>
      <w:r w:rsidR="001C456A">
        <w:rPr>
          <w:rFonts w:ascii="Arial" w:hAnsi="Arial" w:cs="Arial"/>
          <w:color w:val="7B7B7B" w:themeColor="accent3" w:themeShade="BF"/>
          <w:sz w:val="22"/>
          <w:szCs w:val="22"/>
          <w:lang w:val="en-GB"/>
        </w:rPr>
        <w:t>be debtor-friendly. This could lead to clashes if there was cross-border insolvency with a more creditor-friendly jurisdiction.</w:t>
      </w:r>
      <w:r w:rsidR="00532356">
        <w:rPr>
          <w:rFonts w:ascii="Arial" w:hAnsi="Arial" w:cs="Arial"/>
          <w:color w:val="7B7B7B" w:themeColor="accent3" w:themeShade="BF"/>
          <w:sz w:val="22"/>
          <w:szCs w:val="22"/>
          <w:lang w:val="en-GB"/>
        </w:rPr>
        <w:t xml:space="preserv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F64E" w14:textId="77777777" w:rsidR="00066EEE" w:rsidRDefault="00066EEE" w:rsidP="00241B44">
      <w:r>
        <w:separator/>
      </w:r>
    </w:p>
  </w:endnote>
  <w:endnote w:type="continuationSeparator" w:id="0">
    <w:p w14:paraId="4E7E587B" w14:textId="77777777" w:rsidR="00066EEE" w:rsidRDefault="00066E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7F9542C" w:rsidR="00AD6A7D" w:rsidRPr="00F44220" w:rsidRDefault="0027368D" w:rsidP="00AD6A7D">
    <w:pPr>
      <w:pStyle w:val="Footer"/>
      <w:ind w:right="360"/>
      <w:rPr>
        <w:rFonts w:ascii="Arial" w:hAnsi="Arial" w:cs="Arial"/>
        <w:sz w:val="18"/>
        <w:szCs w:val="18"/>
      </w:rPr>
    </w:pPr>
    <w:r w:rsidRPr="0027368D">
      <w:rPr>
        <w:rFonts w:ascii="Arial" w:hAnsi="Arial" w:cs="Arial"/>
        <w:sz w:val="18"/>
        <w:szCs w:val="18"/>
      </w:rPr>
      <w:t>202122-440</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C144" w14:textId="77777777" w:rsidR="00066EEE" w:rsidRDefault="00066EEE" w:rsidP="00241B44">
      <w:r>
        <w:separator/>
      </w:r>
    </w:p>
  </w:footnote>
  <w:footnote w:type="continuationSeparator" w:id="0">
    <w:p w14:paraId="58CD30A7" w14:textId="77777777" w:rsidR="00066EEE" w:rsidRDefault="00066EE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0DC"/>
    <w:rsid w:val="00010BA0"/>
    <w:rsid w:val="000250C7"/>
    <w:rsid w:val="00037621"/>
    <w:rsid w:val="000402B0"/>
    <w:rsid w:val="00044D46"/>
    <w:rsid w:val="00045088"/>
    <w:rsid w:val="00045904"/>
    <w:rsid w:val="00055893"/>
    <w:rsid w:val="000567EB"/>
    <w:rsid w:val="00065166"/>
    <w:rsid w:val="00066EEE"/>
    <w:rsid w:val="00082609"/>
    <w:rsid w:val="000851CC"/>
    <w:rsid w:val="00093BE8"/>
    <w:rsid w:val="000961C3"/>
    <w:rsid w:val="000A68ED"/>
    <w:rsid w:val="000B5FF1"/>
    <w:rsid w:val="000B609F"/>
    <w:rsid w:val="000D55A8"/>
    <w:rsid w:val="000E4841"/>
    <w:rsid w:val="000F1677"/>
    <w:rsid w:val="000F358C"/>
    <w:rsid w:val="000F3D6C"/>
    <w:rsid w:val="00101707"/>
    <w:rsid w:val="00110DA3"/>
    <w:rsid w:val="0011473D"/>
    <w:rsid w:val="00115C85"/>
    <w:rsid w:val="00123661"/>
    <w:rsid w:val="00123855"/>
    <w:rsid w:val="00126A4D"/>
    <w:rsid w:val="00127277"/>
    <w:rsid w:val="0014622C"/>
    <w:rsid w:val="00152348"/>
    <w:rsid w:val="0015456D"/>
    <w:rsid w:val="00160CD7"/>
    <w:rsid w:val="00161F1B"/>
    <w:rsid w:val="00162829"/>
    <w:rsid w:val="00180018"/>
    <w:rsid w:val="00180548"/>
    <w:rsid w:val="00180CCE"/>
    <w:rsid w:val="0018267A"/>
    <w:rsid w:val="00182779"/>
    <w:rsid w:val="001830DF"/>
    <w:rsid w:val="001966D9"/>
    <w:rsid w:val="001A7E9A"/>
    <w:rsid w:val="001B5016"/>
    <w:rsid w:val="001C456A"/>
    <w:rsid w:val="001C45FC"/>
    <w:rsid w:val="001D4862"/>
    <w:rsid w:val="001D617D"/>
    <w:rsid w:val="001E25B9"/>
    <w:rsid w:val="001E49E0"/>
    <w:rsid w:val="001E7B5A"/>
    <w:rsid w:val="001F48E9"/>
    <w:rsid w:val="001F7412"/>
    <w:rsid w:val="0020293A"/>
    <w:rsid w:val="0020725B"/>
    <w:rsid w:val="00241B44"/>
    <w:rsid w:val="00245EFB"/>
    <w:rsid w:val="00261EF0"/>
    <w:rsid w:val="0026515D"/>
    <w:rsid w:val="002668D3"/>
    <w:rsid w:val="0027299F"/>
    <w:rsid w:val="0027368D"/>
    <w:rsid w:val="00284EBE"/>
    <w:rsid w:val="00286AE6"/>
    <w:rsid w:val="0029433F"/>
    <w:rsid w:val="00294829"/>
    <w:rsid w:val="0029690F"/>
    <w:rsid w:val="002A2A60"/>
    <w:rsid w:val="002B1C45"/>
    <w:rsid w:val="002B23F2"/>
    <w:rsid w:val="002B57D4"/>
    <w:rsid w:val="002C13C8"/>
    <w:rsid w:val="002C1671"/>
    <w:rsid w:val="002C3547"/>
    <w:rsid w:val="002D0021"/>
    <w:rsid w:val="002D31CD"/>
    <w:rsid w:val="002D3473"/>
    <w:rsid w:val="002F1956"/>
    <w:rsid w:val="002F3440"/>
    <w:rsid w:val="002F75A3"/>
    <w:rsid w:val="00303C2F"/>
    <w:rsid w:val="003144EF"/>
    <w:rsid w:val="003202D1"/>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160F"/>
    <w:rsid w:val="00430FED"/>
    <w:rsid w:val="0043427C"/>
    <w:rsid w:val="00434A8C"/>
    <w:rsid w:val="00444284"/>
    <w:rsid w:val="00445CE6"/>
    <w:rsid w:val="004534C2"/>
    <w:rsid w:val="0045683E"/>
    <w:rsid w:val="00475F2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2356"/>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1C96"/>
    <w:rsid w:val="005B67AC"/>
    <w:rsid w:val="005D43E0"/>
    <w:rsid w:val="005D58A3"/>
    <w:rsid w:val="005E1B79"/>
    <w:rsid w:val="005F026D"/>
    <w:rsid w:val="005F2D0B"/>
    <w:rsid w:val="005F4B31"/>
    <w:rsid w:val="005F6250"/>
    <w:rsid w:val="00605C79"/>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0BAD"/>
    <w:rsid w:val="00677AEB"/>
    <w:rsid w:val="00687A1D"/>
    <w:rsid w:val="00697EA1"/>
    <w:rsid w:val="006A2646"/>
    <w:rsid w:val="006A6530"/>
    <w:rsid w:val="006B1CA2"/>
    <w:rsid w:val="006B435A"/>
    <w:rsid w:val="006B4C64"/>
    <w:rsid w:val="006D01C2"/>
    <w:rsid w:val="006E26EA"/>
    <w:rsid w:val="006E481A"/>
    <w:rsid w:val="006E5298"/>
    <w:rsid w:val="006F734A"/>
    <w:rsid w:val="00700D83"/>
    <w:rsid w:val="00705BB5"/>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C76DA"/>
    <w:rsid w:val="007D1F1E"/>
    <w:rsid w:val="007D7C92"/>
    <w:rsid w:val="007E1154"/>
    <w:rsid w:val="007F41F8"/>
    <w:rsid w:val="007F45F1"/>
    <w:rsid w:val="008031A7"/>
    <w:rsid w:val="0080454E"/>
    <w:rsid w:val="00804C32"/>
    <w:rsid w:val="00806302"/>
    <w:rsid w:val="00807119"/>
    <w:rsid w:val="0082483F"/>
    <w:rsid w:val="008279C0"/>
    <w:rsid w:val="00846E4A"/>
    <w:rsid w:val="008723F3"/>
    <w:rsid w:val="00881DE6"/>
    <w:rsid w:val="008837A6"/>
    <w:rsid w:val="0089145D"/>
    <w:rsid w:val="008A0FAC"/>
    <w:rsid w:val="008A5729"/>
    <w:rsid w:val="008A6CFE"/>
    <w:rsid w:val="008B5333"/>
    <w:rsid w:val="008B6223"/>
    <w:rsid w:val="008C66E0"/>
    <w:rsid w:val="008D111C"/>
    <w:rsid w:val="008D6498"/>
    <w:rsid w:val="008E3339"/>
    <w:rsid w:val="008F20FC"/>
    <w:rsid w:val="008F6301"/>
    <w:rsid w:val="009046EB"/>
    <w:rsid w:val="00905A43"/>
    <w:rsid w:val="00912C79"/>
    <w:rsid w:val="00942123"/>
    <w:rsid w:val="0095207B"/>
    <w:rsid w:val="00962045"/>
    <w:rsid w:val="00982729"/>
    <w:rsid w:val="00986948"/>
    <w:rsid w:val="00991428"/>
    <w:rsid w:val="00992676"/>
    <w:rsid w:val="00997F46"/>
    <w:rsid w:val="009A67DA"/>
    <w:rsid w:val="009B0723"/>
    <w:rsid w:val="009B07AD"/>
    <w:rsid w:val="009B0883"/>
    <w:rsid w:val="009B15E2"/>
    <w:rsid w:val="009C0B8E"/>
    <w:rsid w:val="009C1BC8"/>
    <w:rsid w:val="009C2442"/>
    <w:rsid w:val="009D0811"/>
    <w:rsid w:val="009D0EE1"/>
    <w:rsid w:val="009E1027"/>
    <w:rsid w:val="009E2AEB"/>
    <w:rsid w:val="009E2E27"/>
    <w:rsid w:val="009E4DE3"/>
    <w:rsid w:val="009E53F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6C5A"/>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563AB"/>
    <w:rsid w:val="00D63EFD"/>
    <w:rsid w:val="00D84752"/>
    <w:rsid w:val="00D86B3B"/>
    <w:rsid w:val="00D8748A"/>
    <w:rsid w:val="00D9109B"/>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14FF"/>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3840"/>
    <w:rsid w:val="00EB45AC"/>
    <w:rsid w:val="00EB6A50"/>
    <w:rsid w:val="00ED0BC4"/>
    <w:rsid w:val="00EE4971"/>
    <w:rsid w:val="00EE6BF9"/>
    <w:rsid w:val="00EE744D"/>
    <w:rsid w:val="00EF090E"/>
    <w:rsid w:val="00EF0BE8"/>
    <w:rsid w:val="00F033DA"/>
    <w:rsid w:val="00F063FD"/>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E6C3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Nounev</cp:lastModifiedBy>
  <cp:revision>50</cp:revision>
  <cp:lastPrinted>2019-09-04T15:45:00Z</cp:lastPrinted>
  <dcterms:created xsi:type="dcterms:W3CDTF">2021-10-15T11:59:00Z</dcterms:created>
  <dcterms:modified xsi:type="dcterms:W3CDTF">2021-10-15T18:11:00Z</dcterms:modified>
</cp:coreProperties>
</file>