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4B47F0" w:rsidRDefault="00B736DF" w:rsidP="009E1027">
      <w:pPr>
        <w:pStyle w:val="ListParagraph"/>
        <w:numPr>
          <w:ilvl w:val="0"/>
          <w:numId w:val="12"/>
        </w:numPr>
        <w:ind w:left="426"/>
        <w:jc w:val="both"/>
        <w:rPr>
          <w:rFonts w:ascii="Arial" w:hAnsi="Arial" w:cs="Arial"/>
          <w:sz w:val="22"/>
          <w:szCs w:val="22"/>
          <w:highlight w:val="yellow"/>
          <w:lang w:val="en-GB"/>
        </w:rPr>
      </w:pPr>
      <w:r w:rsidRPr="004B47F0">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4B47F0" w:rsidRDefault="00161F1B" w:rsidP="009E1027">
      <w:pPr>
        <w:pStyle w:val="ListParagraph"/>
        <w:numPr>
          <w:ilvl w:val="0"/>
          <w:numId w:val="13"/>
        </w:numPr>
        <w:ind w:left="426"/>
        <w:jc w:val="both"/>
        <w:rPr>
          <w:rFonts w:ascii="Arial" w:hAnsi="Arial" w:cs="Arial"/>
          <w:sz w:val="22"/>
          <w:szCs w:val="22"/>
          <w:highlight w:val="yellow"/>
          <w:lang w:val="en-GB"/>
        </w:rPr>
      </w:pPr>
      <w:r w:rsidRPr="004B47F0">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F858FB" w:rsidRDefault="009E2E27" w:rsidP="008031A7">
      <w:pPr>
        <w:pStyle w:val="ListParagraph"/>
        <w:numPr>
          <w:ilvl w:val="0"/>
          <w:numId w:val="14"/>
        </w:numPr>
        <w:ind w:left="426"/>
        <w:jc w:val="both"/>
        <w:rPr>
          <w:rFonts w:ascii="Arial" w:hAnsi="Arial" w:cs="Arial"/>
          <w:sz w:val="22"/>
          <w:szCs w:val="22"/>
          <w:highlight w:val="yellow"/>
          <w:lang w:val="en-GB"/>
        </w:rPr>
      </w:pPr>
      <w:r w:rsidRPr="00F858FB">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2D1E6D" w:rsidRDefault="009E2E27" w:rsidP="008031A7">
      <w:pPr>
        <w:pStyle w:val="ListParagraph"/>
        <w:numPr>
          <w:ilvl w:val="0"/>
          <w:numId w:val="15"/>
        </w:numPr>
        <w:ind w:left="426"/>
        <w:jc w:val="both"/>
        <w:rPr>
          <w:rFonts w:ascii="Arial" w:hAnsi="Arial" w:cs="Arial"/>
          <w:sz w:val="22"/>
          <w:szCs w:val="22"/>
          <w:highlight w:val="yellow"/>
          <w:lang w:val="en-GB"/>
        </w:rPr>
      </w:pPr>
      <w:r w:rsidRPr="002D1E6D">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The statement</w:t>
      </w:r>
      <w:r w:rsidR="0037465A" w:rsidRPr="00BF1C6F">
        <w:rPr>
          <w:rFonts w:ascii="Arial" w:hAnsi="Arial" w:cs="Arial"/>
          <w:sz w:val="22"/>
          <w:szCs w:val="22"/>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975082">
        <w:rPr>
          <w:rFonts w:ascii="Arial" w:hAnsi="Arial" w:cs="Arial"/>
          <w:sz w:val="22"/>
          <w:szCs w:val="22"/>
          <w:highlight w:val="yellow"/>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975082"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975082">
        <w:rPr>
          <w:rFonts w:ascii="Arial" w:eastAsiaTheme="minorHAnsi" w:hAnsi="Arial" w:cs="Arial"/>
          <w:sz w:val="22"/>
          <w:szCs w:val="22"/>
          <w:highlight w:val="yellow"/>
          <w:lang w:val="en-GB"/>
        </w:rPr>
        <w:t>Private International Law</w:t>
      </w:r>
      <w:r w:rsidR="00991428" w:rsidRPr="00975082">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975082" w:rsidRDefault="004D1A5A" w:rsidP="006D01C2">
      <w:pPr>
        <w:pStyle w:val="ListParagraph"/>
        <w:numPr>
          <w:ilvl w:val="0"/>
          <w:numId w:val="18"/>
        </w:numPr>
        <w:ind w:left="426"/>
        <w:jc w:val="both"/>
        <w:rPr>
          <w:rFonts w:ascii="Arial" w:hAnsi="Arial" w:cs="Arial"/>
          <w:sz w:val="22"/>
          <w:szCs w:val="22"/>
          <w:highlight w:val="yellow"/>
          <w:lang w:val="en-GB"/>
        </w:rPr>
      </w:pPr>
      <w:r w:rsidRPr="00975082">
        <w:rPr>
          <w:rFonts w:ascii="Arial" w:hAnsi="Arial" w:cs="Arial"/>
          <w:sz w:val="22"/>
          <w:szCs w:val="22"/>
          <w:highlight w:val="yellow"/>
          <w:lang w:val="en-GB"/>
        </w:rPr>
        <w:t>UNCITRAL Model Law on Cross-border Insolvency (1997)</w:t>
      </w:r>
      <w:r w:rsidR="00912C79" w:rsidRPr="00975082">
        <w:rPr>
          <w:rFonts w:ascii="Arial" w:hAnsi="Arial" w:cs="Arial"/>
          <w:sz w:val="22"/>
          <w:szCs w:val="22"/>
          <w:highlight w:val="yellow"/>
          <w:lang w:val="en-GB"/>
        </w:rPr>
        <w:t>.</w:t>
      </w:r>
      <w:r w:rsidRPr="00975082">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A354B1"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A354B1">
        <w:rPr>
          <w:rFonts w:ascii="Arial" w:hAnsi="Arial" w:cs="Arial"/>
          <w:sz w:val="22"/>
          <w:szCs w:val="22"/>
          <w:highlight w:val="yellow"/>
          <w:lang w:val="en-GB"/>
        </w:rPr>
        <w:t>Havana Convention on Private International Law (1928)</w:t>
      </w:r>
      <w:r w:rsidRPr="00A354B1">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EB67F8" w:rsidRDefault="0082483F" w:rsidP="006D01C2">
      <w:pPr>
        <w:pStyle w:val="ListParagraph"/>
        <w:numPr>
          <w:ilvl w:val="0"/>
          <w:numId w:val="20"/>
        </w:numPr>
        <w:ind w:left="426"/>
        <w:jc w:val="both"/>
        <w:rPr>
          <w:rFonts w:ascii="Arial" w:hAnsi="Arial" w:cs="Arial"/>
          <w:sz w:val="22"/>
          <w:szCs w:val="22"/>
          <w:highlight w:val="yellow"/>
          <w:lang w:val="en-GB"/>
        </w:rPr>
      </w:pPr>
      <w:r w:rsidRPr="00EB67F8">
        <w:rPr>
          <w:rFonts w:ascii="Arial" w:hAnsi="Arial" w:cs="Arial"/>
          <w:sz w:val="22"/>
          <w:szCs w:val="22"/>
          <w:highlight w:val="yellow"/>
          <w:lang w:val="en-GB"/>
        </w:rPr>
        <w:t>Co</w:t>
      </w:r>
      <w:r w:rsidR="00D17FDC" w:rsidRPr="00EB67F8">
        <w:rPr>
          <w:rFonts w:ascii="Arial" w:hAnsi="Arial" w:cs="Arial"/>
          <w:sz w:val="22"/>
          <w:szCs w:val="22"/>
          <w:highlight w:val="yellow"/>
          <w:lang w:val="en-GB"/>
        </w:rPr>
        <w:t>-</w:t>
      </w:r>
      <w:r w:rsidRPr="00EB67F8">
        <w:rPr>
          <w:rFonts w:ascii="Arial" w:hAnsi="Arial" w:cs="Arial"/>
          <w:sz w:val="22"/>
          <w:szCs w:val="22"/>
          <w:highlight w:val="yellow"/>
          <w:lang w:val="en-GB"/>
        </w:rPr>
        <w:t>operation and co</w:t>
      </w:r>
      <w:r w:rsidR="00D17FDC" w:rsidRPr="00EB67F8">
        <w:rPr>
          <w:rFonts w:ascii="Arial" w:hAnsi="Arial" w:cs="Arial"/>
          <w:sz w:val="22"/>
          <w:szCs w:val="22"/>
          <w:highlight w:val="yellow"/>
          <w:lang w:val="en-GB"/>
        </w:rPr>
        <w:t>-</w:t>
      </w:r>
      <w:r w:rsidRPr="00EB67F8">
        <w:rPr>
          <w:rFonts w:ascii="Arial" w:hAnsi="Arial" w:cs="Arial"/>
          <w:sz w:val="22"/>
          <w:szCs w:val="22"/>
          <w:highlight w:val="yellow"/>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5F47812F"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w:t>
      </w:r>
      <w:r w:rsidR="00FB4576">
        <w:rPr>
          <w:rFonts w:ascii="Arial" w:hAnsi="Arial" w:cs="Arial"/>
          <w:sz w:val="22"/>
          <w:szCs w:val="22"/>
          <w:lang w:val="en-GB"/>
        </w:rPr>
        <w:t xml:space="preserve">rrency of the foreign country. </w:t>
      </w:r>
      <w:r w:rsidRPr="00BF1C6F">
        <w:rPr>
          <w:rFonts w:ascii="Arial" w:hAnsi="Arial" w:cs="Arial"/>
          <w:sz w:val="22"/>
          <w:szCs w:val="22"/>
          <w:lang w:val="en-GB"/>
        </w:rPr>
        <w:t>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FB4576"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FB4576">
        <w:rPr>
          <w:rFonts w:ascii="Arial" w:eastAsiaTheme="minorHAnsi" w:hAnsi="Arial" w:cs="Arial"/>
          <w:sz w:val="22"/>
          <w:szCs w:val="22"/>
          <w:highlight w:val="yellow"/>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A80A3AB" w:rsidR="009B07AD" w:rsidRPr="00BF1C6F" w:rsidRDefault="00570CB3" w:rsidP="00570CB3">
      <w:pPr>
        <w:jc w:val="both"/>
        <w:rPr>
          <w:rFonts w:ascii="Arial" w:hAnsi="Arial" w:cs="Arial"/>
          <w:sz w:val="22"/>
          <w:szCs w:val="22"/>
          <w:lang w:val="en-GB"/>
        </w:rPr>
      </w:pPr>
      <w:r>
        <w:rPr>
          <w:rFonts w:ascii="Arial" w:hAnsi="Arial" w:cs="Arial"/>
          <w:color w:val="7B7B7B" w:themeColor="accent3" w:themeShade="BF"/>
          <w:sz w:val="22"/>
          <w:szCs w:val="22"/>
          <w:lang w:val="en-GB"/>
        </w:rPr>
        <w:t>[</w:t>
      </w:r>
      <w:r w:rsidR="00830DF1">
        <w:rPr>
          <w:rFonts w:ascii="Arial" w:hAnsi="Arial" w:cs="Arial"/>
          <w:color w:val="7B7B7B" w:themeColor="accent3" w:themeShade="BF"/>
          <w:sz w:val="22"/>
          <w:szCs w:val="22"/>
          <w:lang w:val="en-GB"/>
        </w:rPr>
        <w:t>International Insolvency Law is a set of rules and guidelines for ide</w:t>
      </w:r>
      <w:r w:rsidR="00C04C80">
        <w:rPr>
          <w:rFonts w:ascii="Arial" w:hAnsi="Arial" w:cs="Arial"/>
          <w:color w:val="7B7B7B" w:themeColor="accent3" w:themeShade="BF"/>
          <w:sz w:val="22"/>
          <w:szCs w:val="22"/>
          <w:lang w:val="en-GB"/>
        </w:rPr>
        <w:t>ntification of</w:t>
      </w:r>
      <w:r w:rsidR="00830DF1">
        <w:rPr>
          <w:rFonts w:ascii="Arial" w:hAnsi="Arial" w:cs="Arial"/>
          <w:color w:val="7B7B7B" w:themeColor="accent3" w:themeShade="BF"/>
          <w:sz w:val="22"/>
          <w:szCs w:val="22"/>
          <w:lang w:val="en-GB"/>
        </w:rPr>
        <w:t xml:space="preserve"> jurisdiction </w:t>
      </w:r>
      <w:r w:rsidR="00C04C80">
        <w:rPr>
          <w:rFonts w:ascii="Arial" w:hAnsi="Arial" w:cs="Arial"/>
          <w:color w:val="7B7B7B" w:themeColor="accent3" w:themeShade="BF"/>
          <w:sz w:val="22"/>
          <w:szCs w:val="22"/>
          <w:lang w:val="en-GB"/>
        </w:rPr>
        <w:t xml:space="preserve">of </w:t>
      </w:r>
      <w:r w:rsidR="00830DF1">
        <w:rPr>
          <w:rFonts w:ascii="Arial" w:hAnsi="Arial" w:cs="Arial"/>
          <w:color w:val="7B7B7B" w:themeColor="accent3" w:themeShade="BF"/>
          <w:sz w:val="22"/>
          <w:szCs w:val="22"/>
          <w:lang w:val="en-GB"/>
        </w:rPr>
        <w:t>domestic</w:t>
      </w:r>
      <w:r w:rsidR="00F30B5D">
        <w:rPr>
          <w:rFonts w:ascii="Arial" w:hAnsi="Arial" w:cs="Arial"/>
          <w:color w:val="7B7B7B" w:themeColor="accent3" w:themeShade="BF"/>
          <w:sz w:val="22"/>
          <w:szCs w:val="22"/>
          <w:lang w:val="en-GB"/>
        </w:rPr>
        <w:t xml:space="preserve"> insolvency</w:t>
      </w:r>
      <w:r w:rsidR="00830DF1">
        <w:rPr>
          <w:rFonts w:ascii="Arial" w:hAnsi="Arial" w:cs="Arial"/>
          <w:color w:val="7B7B7B" w:themeColor="accent3" w:themeShade="BF"/>
          <w:sz w:val="22"/>
          <w:szCs w:val="22"/>
          <w:lang w:val="en-GB"/>
        </w:rPr>
        <w:t xml:space="preserve"> legal system applicable in International dispute between foreign/domestic parties.</w:t>
      </w:r>
      <w:r w:rsidR="009B07AD" w:rsidRPr="00BF1C6F">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5085B6A6" w14:textId="77777777" w:rsidR="006707A4" w:rsidRDefault="001A2B5C" w:rsidP="00D11497">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8261D0">
        <w:rPr>
          <w:rFonts w:ascii="Arial" w:hAnsi="Arial" w:cs="Arial"/>
          <w:color w:val="7B7B7B" w:themeColor="accent3" w:themeShade="BF"/>
          <w:sz w:val="22"/>
          <w:szCs w:val="22"/>
          <w:lang w:val="en-GB"/>
        </w:rPr>
        <w:t>The principle of Universality is based on the idea that only one forum/court should have the jurisdiction</w:t>
      </w:r>
      <w:r w:rsidR="00AA5033">
        <w:rPr>
          <w:rFonts w:ascii="Arial" w:hAnsi="Arial" w:cs="Arial"/>
          <w:color w:val="7B7B7B" w:themeColor="accent3" w:themeShade="BF"/>
          <w:sz w:val="22"/>
          <w:szCs w:val="22"/>
          <w:lang w:val="en-GB"/>
        </w:rPr>
        <w:t xml:space="preserve"> for insolvency proceedings covering all of the debtor’s assets located internationally and the </w:t>
      </w:r>
      <w:r w:rsidR="00E97903">
        <w:rPr>
          <w:rFonts w:ascii="Arial" w:hAnsi="Arial" w:cs="Arial"/>
          <w:color w:val="7B7B7B" w:themeColor="accent3" w:themeShade="BF"/>
          <w:sz w:val="22"/>
          <w:szCs w:val="22"/>
          <w:lang w:val="en-GB"/>
        </w:rPr>
        <w:t xml:space="preserve">jurisdictional </w:t>
      </w:r>
      <w:r w:rsidR="00AA5033">
        <w:rPr>
          <w:rFonts w:ascii="Arial" w:hAnsi="Arial" w:cs="Arial"/>
          <w:color w:val="7B7B7B" w:themeColor="accent3" w:themeShade="BF"/>
          <w:sz w:val="22"/>
          <w:szCs w:val="22"/>
          <w:lang w:val="en-GB"/>
        </w:rPr>
        <w:t>state could be where the debtor’s assets are located. Further, all the claims are treated on equal basis and the creditors are given equal opportunity for participating in the universal insolvency proceedings initiated against the debtor.</w:t>
      </w:r>
      <w:r w:rsidR="00E97903">
        <w:rPr>
          <w:rFonts w:ascii="Arial" w:hAnsi="Arial" w:cs="Arial"/>
          <w:color w:val="7B7B7B" w:themeColor="accent3" w:themeShade="BF"/>
          <w:sz w:val="22"/>
          <w:szCs w:val="22"/>
          <w:lang w:val="en-GB"/>
        </w:rPr>
        <w:t xml:space="preserve"> However, </w:t>
      </w:r>
      <w:r w:rsidR="00D11497">
        <w:rPr>
          <w:rFonts w:ascii="Arial" w:hAnsi="Arial" w:cs="Arial"/>
          <w:color w:val="7B7B7B" w:themeColor="accent3" w:themeShade="BF"/>
          <w:sz w:val="22"/>
          <w:szCs w:val="22"/>
          <w:lang w:val="en-GB"/>
        </w:rPr>
        <w:t>through universality, it would be difficult to address legal issues such as applicability of choice of law and priority rules and would open domestic markets to strategic vulnerability.</w:t>
      </w:r>
    </w:p>
    <w:p w14:paraId="4ECAB1F0" w14:textId="77777777" w:rsidR="006707A4" w:rsidRDefault="006707A4" w:rsidP="00D11497">
      <w:pPr>
        <w:ind w:hanging="11"/>
        <w:jc w:val="both"/>
        <w:rPr>
          <w:rFonts w:ascii="Arial" w:hAnsi="Arial" w:cs="Arial"/>
          <w:color w:val="7B7B7B" w:themeColor="accent3" w:themeShade="BF"/>
          <w:sz w:val="22"/>
          <w:szCs w:val="22"/>
          <w:lang w:val="en-GB"/>
        </w:rPr>
      </w:pPr>
    </w:p>
    <w:p w14:paraId="2F57801B" w14:textId="4901A046" w:rsidR="009B07AD" w:rsidRPr="00523C9E" w:rsidRDefault="006707A4" w:rsidP="00523C9E">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principle of territorialism is about multiple insolvency proceedings against the corporate Debtor running simultaneously</w:t>
      </w:r>
      <w:r w:rsidR="005A5EFD">
        <w:rPr>
          <w:rFonts w:ascii="Arial" w:hAnsi="Arial" w:cs="Arial"/>
          <w:color w:val="7B7B7B" w:themeColor="accent3" w:themeShade="BF"/>
          <w:sz w:val="22"/>
          <w:szCs w:val="22"/>
          <w:lang w:val="en-GB"/>
        </w:rPr>
        <w:t xml:space="preserve"> in</w:t>
      </w:r>
      <w:r>
        <w:rPr>
          <w:rFonts w:ascii="Arial" w:hAnsi="Arial" w:cs="Arial"/>
          <w:color w:val="7B7B7B" w:themeColor="accent3" w:themeShade="BF"/>
          <w:sz w:val="22"/>
          <w:szCs w:val="22"/>
          <w:lang w:val="en-GB"/>
        </w:rPr>
        <w:t xml:space="preserve"> states whe</w:t>
      </w:r>
      <w:r w:rsidR="005A5EFD">
        <w:rPr>
          <w:rFonts w:ascii="Arial" w:hAnsi="Arial" w:cs="Arial"/>
          <w:color w:val="7B7B7B" w:themeColor="accent3" w:themeShade="BF"/>
          <w:sz w:val="22"/>
          <w:szCs w:val="22"/>
          <w:lang w:val="en-GB"/>
        </w:rPr>
        <w:t xml:space="preserve">re the debtor holds its assets. Territorialism deals with protection of national interest </w:t>
      </w:r>
      <w:r w:rsidR="00803A1E">
        <w:rPr>
          <w:rFonts w:ascii="Arial" w:hAnsi="Arial" w:cs="Arial"/>
          <w:color w:val="7B7B7B" w:themeColor="accent3" w:themeShade="BF"/>
          <w:sz w:val="22"/>
          <w:szCs w:val="22"/>
          <w:lang w:val="en-GB"/>
        </w:rPr>
        <w:t xml:space="preserve">by protecting </w:t>
      </w:r>
      <w:r w:rsidR="005A5EFD">
        <w:rPr>
          <w:rFonts w:ascii="Arial" w:hAnsi="Arial" w:cs="Arial"/>
          <w:color w:val="7B7B7B" w:themeColor="accent3" w:themeShade="BF"/>
          <w:sz w:val="22"/>
          <w:szCs w:val="22"/>
          <w:lang w:val="en-GB"/>
        </w:rPr>
        <w:t>the National Creditors</w:t>
      </w:r>
      <w:r w:rsidR="00803A1E">
        <w:rPr>
          <w:rFonts w:ascii="Arial" w:hAnsi="Arial" w:cs="Arial"/>
          <w:color w:val="7B7B7B" w:themeColor="accent3" w:themeShade="BF"/>
          <w:sz w:val="22"/>
          <w:szCs w:val="22"/>
          <w:lang w:val="en-GB"/>
        </w:rPr>
        <w:t>. One of the major drawback of territorialism is that the debtor could be insolvent in one state but solvent in other state</w:t>
      </w:r>
      <w:r w:rsidR="00523C9E">
        <w:rPr>
          <w:rFonts w:ascii="Arial" w:hAnsi="Arial" w:cs="Arial"/>
          <w:color w:val="7B7B7B" w:themeColor="accent3" w:themeShade="BF"/>
          <w:sz w:val="22"/>
          <w:szCs w:val="22"/>
          <w:lang w:val="en-GB"/>
        </w:rPr>
        <w:t>.</w:t>
      </w:r>
      <w:r w:rsidR="00803A1E">
        <w:rPr>
          <w:rFonts w:ascii="Arial" w:hAnsi="Arial" w:cs="Arial"/>
          <w:color w:val="7B7B7B" w:themeColor="accent3" w:themeShade="BF"/>
          <w:sz w:val="22"/>
          <w:szCs w:val="22"/>
          <w:lang w:val="en-GB"/>
        </w:rPr>
        <w:t xml:space="preserve"> </w:t>
      </w:r>
      <w:r w:rsidR="001A2B5C">
        <w:rPr>
          <w:rFonts w:ascii="Arial" w:hAnsi="Arial" w:cs="Arial"/>
          <w:color w:val="7B7B7B" w:themeColor="accent3" w:themeShade="BF"/>
          <w:sz w:val="22"/>
          <w:szCs w:val="22"/>
          <w:lang w:val="en-GB"/>
        </w:rPr>
        <w:t xml:space="preserve">The principle of universality is supported by international observers irrespective of the </w:t>
      </w:r>
      <w:r w:rsidR="001A2B5C">
        <w:rPr>
          <w:rFonts w:ascii="Arial" w:hAnsi="Arial" w:cs="Arial"/>
          <w:color w:val="7B7B7B" w:themeColor="accent3" w:themeShade="BF"/>
          <w:sz w:val="22"/>
          <w:szCs w:val="22"/>
          <w:lang w:val="en-GB"/>
        </w:rPr>
        <w:lastRenderedPageBreak/>
        <w:t>problems created by this approach</w:t>
      </w:r>
      <w:r w:rsidR="00A37CE1">
        <w:rPr>
          <w:rFonts w:ascii="Arial" w:hAnsi="Arial" w:cs="Arial"/>
          <w:color w:val="7B7B7B" w:themeColor="accent3" w:themeShade="BF"/>
          <w:sz w:val="22"/>
          <w:szCs w:val="22"/>
          <w:lang w:val="en-GB"/>
        </w:rPr>
        <w:t>, however the national interest could be easily identified and defended by the principle of territoriality.</w:t>
      </w:r>
      <w:r w:rsidR="009B07AD" w:rsidRPr="00BF1C6F">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2D93CBBD" w14:textId="4C9BF6FF" w:rsidR="004E718A" w:rsidRDefault="00222A41" w:rsidP="004E718A">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4E718A">
        <w:rPr>
          <w:rFonts w:ascii="Arial" w:hAnsi="Arial" w:cs="Arial"/>
          <w:color w:val="7B7B7B" w:themeColor="accent3" w:themeShade="BF"/>
          <w:sz w:val="22"/>
          <w:szCs w:val="22"/>
          <w:lang w:val="en-GB"/>
        </w:rPr>
        <w:t>1. Comparative survey of Insolvency Systems in Middle East and North Africa (MENA) region   launched in 2009.</w:t>
      </w:r>
    </w:p>
    <w:p w14:paraId="4FB0380C" w14:textId="554DEE3D" w:rsidR="00222A41" w:rsidRDefault="004E718A"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222A41">
        <w:rPr>
          <w:rFonts w:ascii="Arial" w:hAnsi="Arial" w:cs="Arial"/>
          <w:color w:val="7B7B7B" w:themeColor="accent3" w:themeShade="BF"/>
          <w:sz w:val="22"/>
          <w:szCs w:val="22"/>
          <w:lang w:val="en-GB"/>
        </w:rPr>
        <w:t>Bahrain adopted the Model Laws on Cross Border Insolvency in 2018.</w:t>
      </w:r>
    </w:p>
    <w:p w14:paraId="78DB9FD8" w14:textId="61BC9D10" w:rsidR="00C72848" w:rsidRPr="004E718A" w:rsidRDefault="004E718A" w:rsidP="00222A4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222A41">
        <w:rPr>
          <w:rFonts w:ascii="Arial" w:hAnsi="Arial" w:cs="Arial"/>
          <w:color w:val="7B7B7B" w:themeColor="accent3" w:themeShade="BF"/>
          <w:sz w:val="22"/>
          <w:szCs w:val="22"/>
          <w:lang w:val="en-GB"/>
        </w:rPr>
        <w:t>Dubai International Finance Centre</w:t>
      </w:r>
      <w:r w:rsidR="00222A41" w:rsidRPr="00222A41">
        <w:rPr>
          <w:rFonts w:ascii="Arial" w:hAnsi="Arial" w:cs="Arial"/>
          <w:color w:val="7B7B7B" w:themeColor="accent3" w:themeShade="BF"/>
          <w:sz w:val="22"/>
          <w:szCs w:val="22"/>
          <w:lang w:val="en-GB"/>
        </w:rPr>
        <w:t xml:space="preserve"> </w:t>
      </w:r>
      <w:r w:rsidR="00222A41">
        <w:rPr>
          <w:rFonts w:ascii="Arial" w:hAnsi="Arial" w:cs="Arial"/>
          <w:color w:val="7B7B7B" w:themeColor="accent3" w:themeShade="BF"/>
          <w:sz w:val="22"/>
          <w:szCs w:val="22"/>
          <w:lang w:val="en-GB"/>
        </w:rPr>
        <w:t>adopted the Model Laws on Cross Border Insolvency in 2018.</w:t>
      </w:r>
      <w:r w:rsidR="00C72848" w:rsidRPr="00BF1C6F">
        <w:rPr>
          <w:rFonts w:ascii="Arial" w:hAnsi="Arial" w:cs="Arial"/>
          <w:color w:val="7B7B7B" w:themeColor="accent3" w:themeShade="BF"/>
          <w:sz w:val="22"/>
          <w:szCs w:val="22"/>
          <w:lang w:val="en-GB"/>
        </w:rPr>
        <w:t>]</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170A9E71" w14:textId="07C3A896" w:rsidR="00962045" w:rsidRPr="00BF1C6F" w:rsidRDefault="00DF75F8" w:rsidP="00537D67">
      <w:pPr>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60DCD9D9" w14:textId="77777777" w:rsidR="00F5378B" w:rsidRDefault="00F5378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objectives of insolvency for individuals and corporations are distinguished as follow by Sealy and Hooley:</w:t>
      </w:r>
    </w:p>
    <w:p w14:paraId="59EBBA3F" w14:textId="77777777" w:rsidR="00F5378B" w:rsidRDefault="00F5378B" w:rsidP="00C053F7">
      <w:pPr>
        <w:jc w:val="both"/>
        <w:rPr>
          <w:rFonts w:ascii="Arial" w:hAnsi="Arial" w:cs="Arial"/>
          <w:color w:val="7B7B7B" w:themeColor="accent3" w:themeShade="BF"/>
          <w:sz w:val="22"/>
          <w:szCs w:val="22"/>
          <w:lang w:val="en-GB"/>
        </w:rPr>
      </w:pPr>
    </w:p>
    <w:p w14:paraId="3C5B63AB" w14:textId="77777777" w:rsidR="00F5378B" w:rsidRDefault="00F5378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Objective of Insolvency for Individuals:</w:t>
      </w:r>
    </w:p>
    <w:p w14:paraId="1B3C4A37" w14:textId="77777777" w:rsidR="00F5378B" w:rsidRPr="00F5378B" w:rsidRDefault="00F5378B" w:rsidP="00F5378B">
      <w:pPr>
        <w:pStyle w:val="ListParagraph"/>
        <w:numPr>
          <w:ilvl w:val="0"/>
          <w:numId w:val="23"/>
        </w:numPr>
        <w:jc w:val="both"/>
        <w:rPr>
          <w:rFonts w:ascii="Arial" w:hAnsi="Arial" w:cs="Arial"/>
          <w:sz w:val="24"/>
          <w:lang w:val="en-GB"/>
        </w:rPr>
      </w:pPr>
      <w:r>
        <w:rPr>
          <w:rFonts w:ascii="Arial" w:hAnsi="Arial" w:cs="Arial"/>
          <w:color w:val="7B7B7B" w:themeColor="accent3" w:themeShade="BF"/>
          <w:sz w:val="22"/>
          <w:szCs w:val="22"/>
          <w:lang w:val="en-GB"/>
        </w:rPr>
        <w:t>It enables the debtor to make a fresh start;</w:t>
      </w:r>
    </w:p>
    <w:p w14:paraId="3F62C3AD" w14:textId="77777777" w:rsidR="00F5378B" w:rsidRPr="00F5378B" w:rsidRDefault="00F5378B" w:rsidP="00F5378B">
      <w:pPr>
        <w:pStyle w:val="ListParagraph"/>
        <w:numPr>
          <w:ilvl w:val="0"/>
          <w:numId w:val="23"/>
        </w:numPr>
        <w:jc w:val="both"/>
        <w:rPr>
          <w:rFonts w:ascii="Arial" w:hAnsi="Arial" w:cs="Arial"/>
          <w:sz w:val="24"/>
          <w:lang w:val="en-GB"/>
        </w:rPr>
      </w:pPr>
      <w:r>
        <w:rPr>
          <w:rFonts w:ascii="Arial" w:hAnsi="Arial" w:cs="Arial"/>
          <w:color w:val="7B7B7B" w:themeColor="accent3" w:themeShade="BF"/>
          <w:sz w:val="22"/>
          <w:szCs w:val="22"/>
          <w:lang w:val="en-GB"/>
        </w:rPr>
        <w:t>It protects the debtor from harassment by his creditors;</w:t>
      </w:r>
    </w:p>
    <w:p w14:paraId="4354F946" w14:textId="77777777" w:rsidR="00F5378B" w:rsidRPr="009A301F" w:rsidRDefault="00F5378B" w:rsidP="00F5378B">
      <w:pPr>
        <w:pStyle w:val="ListParagraph"/>
        <w:numPr>
          <w:ilvl w:val="0"/>
          <w:numId w:val="23"/>
        </w:numPr>
        <w:jc w:val="both"/>
        <w:rPr>
          <w:rFonts w:ascii="Arial" w:hAnsi="Arial" w:cs="Arial"/>
          <w:sz w:val="24"/>
          <w:lang w:val="en-GB"/>
        </w:rPr>
      </w:pPr>
      <w:r>
        <w:rPr>
          <w:rFonts w:ascii="Arial" w:hAnsi="Arial" w:cs="Arial"/>
          <w:color w:val="7B7B7B" w:themeColor="accent3" w:themeShade="BF"/>
          <w:sz w:val="22"/>
          <w:szCs w:val="22"/>
          <w:lang w:val="en-GB"/>
        </w:rPr>
        <w:t>It reduces the indebtedness of the debtor by making contributions from present and future income to the estate along with taking the personal circumstances into consideration.</w:t>
      </w:r>
    </w:p>
    <w:p w14:paraId="2FDC7A53" w14:textId="77777777" w:rsidR="009A301F" w:rsidRPr="00F5378B" w:rsidRDefault="009A301F" w:rsidP="009A301F">
      <w:pPr>
        <w:pStyle w:val="ListParagraph"/>
        <w:jc w:val="both"/>
        <w:rPr>
          <w:rFonts w:ascii="Arial" w:hAnsi="Arial" w:cs="Arial"/>
          <w:sz w:val="24"/>
          <w:lang w:val="en-GB"/>
        </w:rPr>
      </w:pPr>
    </w:p>
    <w:p w14:paraId="11A8D081" w14:textId="77096CB3" w:rsidR="009A301F" w:rsidRDefault="009A301F" w:rsidP="00F53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Objecti</w:t>
      </w:r>
      <w:r>
        <w:rPr>
          <w:rFonts w:ascii="Arial" w:hAnsi="Arial" w:cs="Arial"/>
          <w:color w:val="7B7B7B" w:themeColor="accent3" w:themeShade="BF"/>
          <w:sz w:val="22"/>
          <w:szCs w:val="22"/>
          <w:lang w:val="en-GB"/>
        </w:rPr>
        <w:t>ve of Insolvency for Corporations:</w:t>
      </w:r>
    </w:p>
    <w:p w14:paraId="599FEF89" w14:textId="6DB2877A" w:rsidR="009A301F" w:rsidRPr="009A301F" w:rsidRDefault="009A301F" w:rsidP="009A301F">
      <w:pPr>
        <w:pStyle w:val="ListParagraph"/>
        <w:numPr>
          <w:ilvl w:val="0"/>
          <w:numId w:val="24"/>
        </w:numPr>
        <w:jc w:val="both"/>
        <w:rPr>
          <w:rFonts w:ascii="Arial" w:hAnsi="Arial" w:cs="Arial"/>
          <w:sz w:val="24"/>
          <w:lang w:val="en-GB"/>
        </w:rPr>
      </w:pPr>
      <w:r>
        <w:rPr>
          <w:rFonts w:ascii="Arial" w:hAnsi="Arial" w:cs="Arial"/>
          <w:color w:val="7B7B7B" w:themeColor="accent3" w:themeShade="BF"/>
          <w:sz w:val="22"/>
          <w:szCs w:val="22"/>
          <w:lang w:val="en-GB"/>
        </w:rPr>
        <w:t>Insolvency enables the corporations to preserve the business or the viable parts of the business</w:t>
      </w:r>
      <w:r w:rsidR="004802DB">
        <w:rPr>
          <w:rFonts w:ascii="Arial" w:hAnsi="Arial" w:cs="Arial"/>
          <w:color w:val="7B7B7B" w:themeColor="accent3" w:themeShade="BF"/>
          <w:sz w:val="22"/>
          <w:szCs w:val="22"/>
          <w:lang w:val="en-GB"/>
        </w:rPr>
        <w:t xml:space="preserve"> (not the company)</w:t>
      </w:r>
    </w:p>
    <w:p w14:paraId="52E47D15" w14:textId="77777777" w:rsidR="00A03BE0" w:rsidRPr="00A03BE0" w:rsidRDefault="004802DB" w:rsidP="009A301F">
      <w:pPr>
        <w:pStyle w:val="ListParagraph"/>
        <w:numPr>
          <w:ilvl w:val="0"/>
          <w:numId w:val="24"/>
        </w:numPr>
        <w:jc w:val="both"/>
        <w:rPr>
          <w:rFonts w:ascii="Arial" w:hAnsi="Arial" w:cs="Arial"/>
          <w:sz w:val="24"/>
          <w:lang w:val="en-GB"/>
        </w:rPr>
      </w:pPr>
      <w:r>
        <w:rPr>
          <w:rFonts w:ascii="Arial" w:hAnsi="Arial" w:cs="Arial"/>
          <w:color w:val="7B7B7B" w:themeColor="accent3" w:themeShade="BF"/>
          <w:sz w:val="22"/>
          <w:szCs w:val="22"/>
          <w:lang w:val="en-GB"/>
        </w:rPr>
        <w:t>It imposes personal liability on the responsible persons, where the personal liability is abuse for one’s own interest.</w:t>
      </w:r>
    </w:p>
    <w:p w14:paraId="0F400C1C" w14:textId="77777777" w:rsidR="00A03BE0" w:rsidRPr="00A03BE0" w:rsidRDefault="00A03BE0" w:rsidP="00A03BE0">
      <w:pPr>
        <w:pStyle w:val="ListParagraph"/>
        <w:jc w:val="both"/>
        <w:rPr>
          <w:rFonts w:ascii="Arial" w:hAnsi="Arial" w:cs="Arial"/>
          <w:sz w:val="24"/>
          <w:lang w:val="en-GB"/>
        </w:rPr>
      </w:pPr>
    </w:p>
    <w:p w14:paraId="28CE0A95" w14:textId="77777777" w:rsidR="00A03BE0" w:rsidRDefault="00A03BE0" w:rsidP="00A03B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there are certain situations in which the objective applies to both individuals and corporations:</w:t>
      </w:r>
    </w:p>
    <w:p w14:paraId="29639C05" w14:textId="77777777" w:rsidR="00A03BE0" w:rsidRPr="00A03BE0" w:rsidRDefault="00A03BE0" w:rsidP="00A03BE0">
      <w:pPr>
        <w:pStyle w:val="ListParagraph"/>
        <w:numPr>
          <w:ilvl w:val="0"/>
          <w:numId w:val="25"/>
        </w:numPr>
        <w:jc w:val="both"/>
        <w:rPr>
          <w:rFonts w:ascii="Arial" w:hAnsi="Arial" w:cs="Arial"/>
          <w:sz w:val="24"/>
          <w:lang w:val="en-GB"/>
        </w:rPr>
      </w:pPr>
      <w:r>
        <w:rPr>
          <w:rFonts w:ascii="Arial" w:hAnsi="Arial" w:cs="Arial"/>
          <w:color w:val="7B7B7B" w:themeColor="accent3" w:themeShade="BF"/>
          <w:sz w:val="22"/>
          <w:szCs w:val="22"/>
          <w:lang w:val="en-GB"/>
        </w:rPr>
        <w:t>Ensuring equal distribution as far as possible, except in cases wherein the creditors have priority.</w:t>
      </w:r>
    </w:p>
    <w:p w14:paraId="5C710647" w14:textId="77777777" w:rsidR="00A03BE0" w:rsidRPr="00A03BE0" w:rsidRDefault="00A03BE0" w:rsidP="00A03BE0">
      <w:pPr>
        <w:pStyle w:val="ListParagraph"/>
        <w:numPr>
          <w:ilvl w:val="0"/>
          <w:numId w:val="25"/>
        </w:numPr>
        <w:jc w:val="both"/>
        <w:rPr>
          <w:rFonts w:ascii="Arial" w:hAnsi="Arial" w:cs="Arial"/>
          <w:sz w:val="24"/>
          <w:lang w:val="en-GB"/>
        </w:rPr>
      </w:pPr>
      <w:r>
        <w:rPr>
          <w:rFonts w:ascii="Arial" w:hAnsi="Arial" w:cs="Arial"/>
          <w:color w:val="7B7B7B" w:themeColor="accent3" w:themeShade="BF"/>
          <w:sz w:val="22"/>
          <w:szCs w:val="22"/>
          <w:lang w:val="en-GB"/>
        </w:rPr>
        <w:t>Investigating the reasons for failure</w:t>
      </w:r>
    </w:p>
    <w:p w14:paraId="4024A332" w14:textId="03965ADD" w:rsidR="00544127" w:rsidRPr="00A03BE0" w:rsidRDefault="00A03BE0" w:rsidP="00A03BE0">
      <w:pPr>
        <w:pStyle w:val="ListParagraph"/>
        <w:numPr>
          <w:ilvl w:val="0"/>
          <w:numId w:val="25"/>
        </w:numPr>
        <w:jc w:val="both"/>
        <w:rPr>
          <w:rFonts w:ascii="Arial" w:hAnsi="Arial" w:cs="Arial"/>
          <w:sz w:val="24"/>
          <w:lang w:val="en-GB"/>
        </w:rPr>
      </w:pPr>
      <w:r>
        <w:rPr>
          <w:rFonts w:ascii="Arial" w:hAnsi="Arial" w:cs="Arial"/>
          <w:color w:val="7B7B7B" w:themeColor="accent3" w:themeShade="BF"/>
          <w:sz w:val="22"/>
          <w:szCs w:val="22"/>
          <w:lang w:val="en-GB"/>
        </w:rPr>
        <w:t xml:space="preserve">Reclaiming voidable dispositions </w:t>
      </w:r>
      <w:r w:rsidR="007A0306">
        <w:rPr>
          <w:rFonts w:ascii="Arial" w:hAnsi="Arial" w:cs="Arial"/>
          <w:color w:val="7B7B7B" w:themeColor="accent3" w:themeShade="BF"/>
          <w:sz w:val="22"/>
          <w:szCs w:val="22"/>
          <w:lang w:val="en-GB"/>
        </w:rPr>
        <w:t>where the insolvent debtor disposed the assets with malafide intention.</w:t>
      </w:r>
      <w:r w:rsidR="00DF75F8" w:rsidRPr="00A03BE0">
        <w:rPr>
          <w:rFonts w:ascii="Arial" w:hAnsi="Arial" w:cs="Arial"/>
          <w:color w:val="7B7B7B" w:themeColor="accent3" w:themeShade="BF"/>
          <w:sz w:val="22"/>
          <w:szCs w:val="22"/>
          <w:lang w:val="en-GB"/>
        </w:rPr>
        <w: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23388477" w14:textId="69626090" w:rsidR="00C737E9" w:rsidRDefault="0094329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[Various difficulties are encountered when dealing with insolvency law in a cross border context relating to differences in the relevant systems.</w:t>
      </w:r>
      <w:r w:rsidR="00C267A0">
        <w:rPr>
          <w:rFonts w:ascii="Arial" w:hAnsi="Arial" w:cs="Arial"/>
          <w:color w:val="7B7B7B" w:themeColor="accent3" w:themeShade="BF"/>
          <w:sz w:val="22"/>
          <w:szCs w:val="22"/>
          <w:lang w:val="en-GB"/>
        </w:rPr>
        <w:t xml:space="preserve"> </w:t>
      </w:r>
      <w:r w:rsidR="00C737E9">
        <w:rPr>
          <w:rFonts w:ascii="Arial" w:hAnsi="Arial" w:cs="Arial"/>
          <w:color w:val="7B7B7B" w:themeColor="accent3" w:themeShade="BF"/>
          <w:sz w:val="22"/>
          <w:szCs w:val="22"/>
          <w:lang w:val="en-GB"/>
        </w:rPr>
        <w:t xml:space="preserve">The national and international laws on insolvency shows lack of structure to deal with cross border insolvency cases. A territorial approach can cause </w:t>
      </w:r>
      <w:r w:rsidR="006D1916">
        <w:rPr>
          <w:rFonts w:ascii="Arial" w:hAnsi="Arial" w:cs="Arial"/>
          <w:color w:val="7B7B7B" w:themeColor="accent3" w:themeShade="BF"/>
          <w:sz w:val="22"/>
          <w:szCs w:val="22"/>
          <w:lang w:val="en-GB"/>
        </w:rPr>
        <w:t xml:space="preserve">difficulties in case of lack of co-operation and co-ordination between the member states/different states to deal with cross border insolvency. </w:t>
      </w:r>
      <w:bookmarkStart w:id="0" w:name="_GoBack"/>
      <w:bookmarkEnd w:id="0"/>
    </w:p>
    <w:p w14:paraId="050B7D02" w14:textId="4A3E7F8E" w:rsidR="00D17FDC" w:rsidRDefault="00C267A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certain cases, it is not possible to subject an individual to collective insolvency proceedings, whereas in others it is allowed when person is a trader or an individual.</w:t>
      </w:r>
      <w:r w:rsidR="00096D50">
        <w:rPr>
          <w:rFonts w:ascii="Arial" w:hAnsi="Arial" w:cs="Arial"/>
          <w:color w:val="7B7B7B" w:themeColor="accent3" w:themeShade="BF"/>
          <w:sz w:val="22"/>
          <w:szCs w:val="22"/>
          <w:lang w:val="en-GB"/>
        </w:rPr>
        <w:t xml:space="preserve"> Further, in enterprise groups, separate application needs to be filed for each member of the enterprise group for commencement of insolvency proceedings despite the status of enterprise group as single entities.</w:t>
      </w:r>
      <w:r w:rsidR="00943291">
        <w:rPr>
          <w:rFonts w:ascii="Arial" w:hAnsi="Arial" w:cs="Arial"/>
          <w:color w:val="7B7B7B" w:themeColor="accent3" w:themeShade="BF"/>
          <w:sz w:val="22"/>
          <w:szCs w:val="22"/>
          <w:lang w:val="en-GB"/>
        </w:rPr>
        <w:t>]</w:t>
      </w:r>
    </w:p>
    <w:p w14:paraId="48833835" w14:textId="77777777" w:rsidR="00C267A0" w:rsidRPr="00943291" w:rsidRDefault="00C267A0" w:rsidP="00C053F7">
      <w:pPr>
        <w:jc w:val="both"/>
        <w:rPr>
          <w:rFonts w:ascii="Arial" w:hAnsi="Arial" w:cs="Arial"/>
          <w:color w:val="7B7B7B" w:themeColor="accent3" w:themeShade="BF"/>
          <w:sz w:val="22"/>
          <w:szCs w:val="22"/>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6F53A051" w14:textId="77777777" w:rsidR="00AD686D" w:rsidRDefault="00B309E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[Various multilateral steps have been taken to promote harmonisation of domestic insolvency laws</w:t>
      </w:r>
      <w:r w:rsidR="00AD686D">
        <w:rPr>
          <w:rFonts w:ascii="Arial" w:hAnsi="Arial" w:cs="Arial"/>
          <w:color w:val="7B7B7B" w:themeColor="accent3" w:themeShade="BF"/>
          <w:sz w:val="22"/>
          <w:szCs w:val="22"/>
          <w:lang w:val="en-GB"/>
        </w:rPr>
        <w:t>:</w:t>
      </w:r>
    </w:p>
    <w:p w14:paraId="5A006C64" w14:textId="77777777" w:rsidR="00A818D1" w:rsidRPr="00A818D1" w:rsidRDefault="00611329" w:rsidP="00AD686D">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World Bank introduced guidelines on regulation of Insolvency </w:t>
      </w:r>
      <w:r w:rsidRPr="00611329">
        <w:rPr>
          <w:rFonts w:ascii="Arial" w:hAnsi="Arial" w:cs="Arial"/>
          <w:color w:val="7B7B7B" w:themeColor="accent3" w:themeShade="BF"/>
          <w:sz w:val="22"/>
          <w:szCs w:val="22"/>
          <w:lang w:val="en-GB"/>
        </w:rPr>
        <w:t>entitled Principles for Effective I</w:t>
      </w:r>
      <w:r>
        <w:rPr>
          <w:rFonts w:ascii="Arial" w:hAnsi="Arial" w:cs="Arial"/>
          <w:color w:val="7B7B7B" w:themeColor="accent3" w:themeShade="BF"/>
          <w:sz w:val="22"/>
          <w:szCs w:val="22"/>
          <w:lang w:val="en-GB"/>
        </w:rPr>
        <w:t xml:space="preserve">nsolvency and Creditor/Debtor Regimes, revised in recent years </w:t>
      </w:r>
      <w:r w:rsidR="00A7115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latest being April 2021</w:t>
      </w:r>
      <w:r w:rsidR="00A71155">
        <w:rPr>
          <w:rFonts w:ascii="Arial" w:hAnsi="Arial" w:cs="Arial"/>
          <w:color w:val="7B7B7B" w:themeColor="accent3" w:themeShade="BF"/>
          <w:sz w:val="22"/>
          <w:szCs w:val="22"/>
          <w:lang w:val="en-GB"/>
        </w:rPr>
        <w:t>)</w:t>
      </w:r>
      <w:r w:rsidR="006F289A">
        <w:rPr>
          <w:rFonts w:ascii="Arial" w:hAnsi="Arial" w:cs="Arial"/>
          <w:color w:val="7B7B7B" w:themeColor="accent3" w:themeShade="BF"/>
          <w:sz w:val="22"/>
          <w:szCs w:val="22"/>
          <w:lang w:val="en-GB"/>
        </w:rPr>
        <w:t>.</w:t>
      </w:r>
      <w:r w:rsidR="00A818D1">
        <w:rPr>
          <w:rFonts w:ascii="Arial" w:hAnsi="Arial" w:cs="Arial"/>
          <w:color w:val="7B7B7B" w:themeColor="accent3" w:themeShade="BF"/>
          <w:sz w:val="22"/>
          <w:szCs w:val="22"/>
          <w:lang w:val="en-GB"/>
        </w:rPr>
        <w:t xml:space="preserve"> They promote convergence of insolvency laws.</w:t>
      </w:r>
    </w:p>
    <w:p w14:paraId="0C9063ED" w14:textId="77777777" w:rsidR="00B41269" w:rsidRPr="00B41269" w:rsidRDefault="00A818D1" w:rsidP="00AD686D">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In 2004, the UNCITRAL</w:t>
      </w:r>
      <w:r w:rsidR="00304389">
        <w:rPr>
          <w:rFonts w:ascii="Arial" w:hAnsi="Arial" w:cs="Arial"/>
          <w:color w:val="7B7B7B" w:themeColor="accent3" w:themeShade="BF"/>
          <w:sz w:val="22"/>
          <w:szCs w:val="22"/>
          <w:lang w:val="en-GB"/>
        </w:rPr>
        <w:t xml:space="preserve"> introduced the Legislative guide on Insolvency Laws to be used as a reference for preparing new laws and regulations </w:t>
      </w:r>
      <w:r w:rsidR="00B41269">
        <w:rPr>
          <w:rFonts w:ascii="Arial" w:hAnsi="Arial" w:cs="Arial"/>
          <w:color w:val="7B7B7B" w:themeColor="accent3" w:themeShade="BF"/>
          <w:sz w:val="22"/>
          <w:szCs w:val="22"/>
          <w:lang w:val="en-GB"/>
        </w:rPr>
        <w:t>by legislative bodies</w:t>
      </w:r>
    </w:p>
    <w:p w14:paraId="5BCB5243" w14:textId="77777777" w:rsidR="002C1798" w:rsidRPr="002C1798" w:rsidRDefault="00B41269" w:rsidP="00AD686D">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In 2010, The European Union also took steps towards harmonisation of domestic insolvency laws of member states</w:t>
      </w:r>
      <w:r w:rsidR="0028266D">
        <w:rPr>
          <w:rFonts w:ascii="Arial" w:hAnsi="Arial" w:cs="Arial"/>
          <w:color w:val="7B7B7B" w:themeColor="accent3" w:themeShade="BF"/>
          <w:sz w:val="22"/>
          <w:szCs w:val="22"/>
          <w:lang w:val="en-GB"/>
        </w:rPr>
        <w:t xml:space="preserve"> </w:t>
      </w:r>
      <w:r w:rsidR="00327425">
        <w:rPr>
          <w:rFonts w:ascii="Arial" w:hAnsi="Arial" w:cs="Arial"/>
          <w:color w:val="7B7B7B" w:themeColor="accent3" w:themeShade="BF"/>
          <w:sz w:val="22"/>
          <w:szCs w:val="22"/>
          <w:lang w:val="en-GB"/>
        </w:rPr>
        <w:t>by publishing a report on Harmonization of Insolvency Laws</w:t>
      </w:r>
      <w:r w:rsidR="002C1798">
        <w:rPr>
          <w:rFonts w:ascii="Arial" w:hAnsi="Arial" w:cs="Arial"/>
          <w:color w:val="7B7B7B" w:themeColor="accent3" w:themeShade="BF"/>
          <w:sz w:val="22"/>
          <w:szCs w:val="22"/>
          <w:lang w:val="en-GB"/>
        </w:rPr>
        <w:t xml:space="preserve"> at EU Level,</w:t>
      </w:r>
      <w:r w:rsidR="0028266D">
        <w:rPr>
          <w:rFonts w:ascii="Arial" w:hAnsi="Arial" w:cs="Arial"/>
          <w:color w:val="7B7B7B" w:themeColor="accent3" w:themeShade="BF"/>
          <w:sz w:val="22"/>
          <w:szCs w:val="22"/>
          <w:lang w:val="en-GB"/>
        </w:rPr>
        <w:t xml:space="preserve"> highlighting the difference between</w:t>
      </w:r>
      <w:r w:rsidR="000D759C">
        <w:rPr>
          <w:rFonts w:ascii="Arial" w:hAnsi="Arial" w:cs="Arial"/>
          <w:color w:val="7B7B7B" w:themeColor="accent3" w:themeShade="BF"/>
          <w:sz w:val="22"/>
          <w:szCs w:val="22"/>
          <w:lang w:val="en-GB"/>
        </w:rPr>
        <w:t xml:space="preserve"> domestic insolvencies laws within the EU and identified the areas wherein reforms are possible.</w:t>
      </w:r>
    </w:p>
    <w:p w14:paraId="5B7F6FC9" w14:textId="77777777" w:rsidR="002C1798" w:rsidRDefault="002C1798" w:rsidP="002C17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my opinion, the aforementioned will have a reasonable impact in addressing the international insolvency issues. </w:t>
      </w:r>
    </w:p>
    <w:p w14:paraId="234D38F1" w14:textId="77777777" w:rsidR="00270360" w:rsidRPr="00270360" w:rsidRDefault="002C1798" w:rsidP="002C1798">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Harmonisation would resolve the issue of divergent insolvency law (particularly in Europe) among different states.</w:t>
      </w:r>
    </w:p>
    <w:p w14:paraId="7CC31F97" w14:textId="77777777" w:rsidR="00270360" w:rsidRPr="00270360" w:rsidRDefault="00270360" w:rsidP="002C1798">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Non-discrimination amongst the creditors, i.e., resident in different member states.</w:t>
      </w:r>
    </w:p>
    <w:p w14:paraId="4E83D7AF" w14:textId="6F8AD41A" w:rsidR="00DF75F8" w:rsidRPr="002C1798" w:rsidRDefault="00270360" w:rsidP="002C1798">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Cost Reduction in multiple insolvency proceedings</w:t>
      </w:r>
      <w:r w:rsidR="009D2BE9">
        <w:rPr>
          <w:rFonts w:ascii="Arial" w:hAnsi="Arial" w:cs="Arial"/>
          <w:color w:val="7B7B7B" w:themeColor="accent3" w:themeShade="BF"/>
          <w:sz w:val="22"/>
          <w:szCs w:val="22"/>
          <w:lang w:val="en-GB"/>
        </w:rPr>
        <w:t>, especially before harmonisation of the proceedings.</w:t>
      </w:r>
      <w:r w:rsidR="00DF75F8" w:rsidRPr="002C1798">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E29B1ED" w:rsidR="002F75A3" w:rsidRPr="00BF1C6F" w:rsidRDefault="002F75A3"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41F4A" w14:textId="77777777" w:rsidR="00201FB1" w:rsidRDefault="00201FB1" w:rsidP="00241B44">
      <w:r>
        <w:separator/>
      </w:r>
    </w:p>
  </w:endnote>
  <w:endnote w:type="continuationSeparator" w:id="0">
    <w:p w14:paraId="686580CE" w14:textId="77777777" w:rsidR="00201FB1" w:rsidRDefault="00201F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6D1916">
          <w:rPr>
            <w:rStyle w:val="PageNumber"/>
            <w:rFonts w:ascii="Arial" w:hAnsi="Arial" w:cs="Arial"/>
            <w:b/>
            <w:bCs/>
            <w:noProof/>
            <w:sz w:val="18"/>
            <w:szCs w:val="18"/>
          </w:rPr>
          <w:t>10</w:t>
        </w:r>
        <w:r w:rsidRPr="00123661">
          <w:rPr>
            <w:rStyle w:val="PageNumber"/>
            <w:rFonts w:ascii="Arial" w:hAnsi="Arial" w:cs="Arial"/>
            <w:b/>
            <w:bCs/>
            <w:sz w:val="18"/>
            <w:szCs w:val="18"/>
          </w:rPr>
          <w:fldChar w:fldCharType="end"/>
        </w:r>
      </w:p>
    </w:sdtContent>
  </w:sdt>
  <w:p w14:paraId="120BA9A5" w14:textId="0C5131EB" w:rsidR="00AD6A7D" w:rsidRPr="00F44220" w:rsidRDefault="00512C6B" w:rsidP="00AD6A7D">
    <w:pPr>
      <w:pStyle w:val="Footer"/>
      <w:ind w:right="360"/>
      <w:rPr>
        <w:rFonts w:ascii="Arial" w:hAnsi="Arial" w:cs="Arial"/>
        <w:sz w:val="18"/>
        <w:szCs w:val="18"/>
      </w:rPr>
    </w:pPr>
    <w:r>
      <w:rPr>
        <w:rFonts w:ascii="Arial" w:hAnsi="Arial" w:cs="Arial"/>
        <w:sz w:val="18"/>
        <w:szCs w:val="18"/>
      </w:rPr>
      <w:t>202122-493</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F7E3F" w14:textId="77777777" w:rsidR="00201FB1" w:rsidRDefault="00201FB1" w:rsidP="00241B44">
      <w:r>
        <w:separator/>
      </w:r>
    </w:p>
  </w:footnote>
  <w:footnote w:type="continuationSeparator" w:id="0">
    <w:p w14:paraId="6F6E1453" w14:textId="77777777" w:rsidR="00201FB1" w:rsidRDefault="00201FB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5504222"/>
    <w:multiLevelType w:val="hybridMultilevel"/>
    <w:tmpl w:val="E7D8C976"/>
    <w:lvl w:ilvl="0" w:tplc="38A69AD8">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6C31E6"/>
    <w:multiLevelType w:val="hybridMultilevel"/>
    <w:tmpl w:val="075811C8"/>
    <w:lvl w:ilvl="0" w:tplc="CAC44BEC">
      <w:start w:val="1"/>
      <w:numFmt w:val="decimal"/>
      <w:lvlText w:val="%1."/>
      <w:lvlJc w:val="left"/>
      <w:pPr>
        <w:ind w:left="720" w:hanging="360"/>
      </w:pPr>
      <w:rPr>
        <w:rFonts w:hint="default"/>
        <w:color w:val="7B7B7B" w:themeColor="accent3" w:themeShade="B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1086B1A"/>
    <w:multiLevelType w:val="hybridMultilevel"/>
    <w:tmpl w:val="D9508072"/>
    <w:lvl w:ilvl="0" w:tplc="9E107624">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720F7F03"/>
    <w:multiLevelType w:val="hybridMultilevel"/>
    <w:tmpl w:val="2B0CF7F2"/>
    <w:lvl w:ilvl="0" w:tplc="B8FAEFD4">
      <w:start w:val="1"/>
      <w:numFmt w:val="decimal"/>
      <w:lvlText w:val="%1."/>
      <w:lvlJc w:val="left"/>
      <w:pPr>
        <w:ind w:left="720" w:hanging="360"/>
      </w:pPr>
      <w:rPr>
        <w:rFonts w:hint="default"/>
        <w:color w:val="7B7B7B" w:themeColor="accent3" w:themeShade="B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EEF5D53"/>
    <w:multiLevelType w:val="hybridMultilevel"/>
    <w:tmpl w:val="73283014"/>
    <w:lvl w:ilvl="0" w:tplc="83A6ED68">
      <w:start w:val="1"/>
      <w:numFmt w:val="decimal"/>
      <w:lvlText w:val="%1."/>
      <w:lvlJc w:val="left"/>
      <w:pPr>
        <w:ind w:left="720" w:hanging="360"/>
      </w:pPr>
      <w:rPr>
        <w:rFonts w:hint="default"/>
        <w:color w:val="7B7B7B" w:themeColor="accent3" w:themeShade="B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3"/>
  </w:num>
  <w:num w:numId="3">
    <w:abstractNumId w:val="7"/>
  </w:num>
  <w:num w:numId="4">
    <w:abstractNumId w:val="4"/>
  </w:num>
  <w:num w:numId="5">
    <w:abstractNumId w:val="10"/>
  </w:num>
  <w:num w:numId="6">
    <w:abstractNumId w:val="17"/>
  </w:num>
  <w:num w:numId="7">
    <w:abstractNumId w:val="24"/>
  </w:num>
  <w:num w:numId="8">
    <w:abstractNumId w:val="16"/>
  </w:num>
  <w:num w:numId="9">
    <w:abstractNumId w:val="6"/>
  </w:num>
  <w:num w:numId="10">
    <w:abstractNumId w:val="9"/>
  </w:num>
  <w:num w:numId="11">
    <w:abstractNumId w:val="8"/>
  </w:num>
  <w:num w:numId="12">
    <w:abstractNumId w:val="5"/>
  </w:num>
  <w:num w:numId="13">
    <w:abstractNumId w:val="14"/>
  </w:num>
  <w:num w:numId="14">
    <w:abstractNumId w:val="0"/>
  </w:num>
  <w:num w:numId="15">
    <w:abstractNumId w:val="3"/>
  </w:num>
  <w:num w:numId="16">
    <w:abstractNumId w:val="15"/>
  </w:num>
  <w:num w:numId="17">
    <w:abstractNumId w:val="12"/>
  </w:num>
  <w:num w:numId="18">
    <w:abstractNumId w:val="21"/>
  </w:num>
  <w:num w:numId="19">
    <w:abstractNumId w:val="18"/>
  </w:num>
  <w:num w:numId="20">
    <w:abstractNumId w:val="25"/>
  </w:num>
  <w:num w:numId="21">
    <w:abstractNumId w:val="19"/>
  </w:num>
  <w:num w:numId="22">
    <w:abstractNumId w:val="11"/>
  </w:num>
  <w:num w:numId="23">
    <w:abstractNumId w:val="2"/>
  </w:num>
  <w:num w:numId="24">
    <w:abstractNumId w:val="26"/>
  </w:num>
  <w:num w:numId="25">
    <w:abstractNumId w:val="22"/>
  </w:num>
  <w:num w:numId="26">
    <w:abstractNumId w:val="13"/>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96D50"/>
    <w:rsid w:val="000A68ED"/>
    <w:rsid w:val="000B2CB1"/>
    <w:rsid w:val="000B5FF1"/>
    <w:rsid w:val="000B609F"/>
    <w:rsid w:val="000D55A8"/>
    <w:rsid w:val="000D75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2B5C"/>
    <w:rsid w:val="001A7E9A"/>
    <w:rsid w:val="001B5016"/>
    <w:rsid w:val="001C45FC"/>
    <w:rsid w:val="001D4862"/>
    <w:rsid w:val="001E25B9"/>
    <w:rsid w:val="001E49E0"/>
    <w:rsid w:val="001E7B5A"/>
    <w:rsid w:val="001F7412"/>
    <w:rsid w:val="00201FB1"/>
    <w:rsid w:val="0020725B"/>
    <w:rsid w:val="00222A41"/>
    <w:rsid w:val="00241B44"/>
    <w:rsid w:val="00245EFB"/>
    <w:rsid w:val="0026515D"/>
    <w:rsid w:val="002668D3"/>
    <w:rsid w:val="00270200"/>
    <w:rsid w:val="00270360"/>
    <w:rsid w:val="0027299F"/>
    <w:rsid w:val="0028266D"/>
    <w:rsid w:val="00284EBE"/>
    <w:rsid w:val="00286AE6"/>
    <w:rsid w:val="0029433F"/>
    <w:rsid w:val="00294829"/>
    <w:rsid w:val="0029690F"/>
    <w:rsid w:val="002A2A60"/>
    <w:rsid w:val="002B1C45"/>
    <w:rsid w:val="002B3DE9"/>
    <w:rsid w:val="002C13C8"/>
    <w:rsid w:val="002C1671"/>
    <w:rsid w:val="002C1798"/>
    <w:rsid w:val="002C3547"/>
    <w:rsid w:val="002D0021"/>
    <w:rsid w:val="002D1E6D"/>
    <w:rsid w:val="002D31CD"/>
    <w:rsid w:val="002D3473"/>
    <w:rsid w:val="002E5EFF"/>
    <w:rsid w:val="002F1956"/>
    <w:rsid w:val="002F3440"/>
    <w:rsid w:val="002F6AC7"/>
    <w:rsid w:val="002F75A3"/>
    <w:rsid w:val="00303C2F"/>
    <w:rsid w:val="00304389"/>
    <w:rsid w:val="003144EF"/>
    <w:rsid w:val="00327425"/>
    <w:rsid w:val="00330937"/>
    <w:rsid w:val="00330F31"/>
    <w:rsid w:val="0033330D"/>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802DB"/>
    <w:rsid w:val="00486FBA"/>
    <w:rsid w:val="00491675"/>
    <w:rsid w:val="00493855"/>
    <w:rsid w:val="004A16A3"/>
    <w:rsid w:val="004A57DD"/>
    <w:rsid w:val="004A7B51"/>
    <w:rsid w:val="004A7D71"/>
    <w:rsid w:val="004A7EF3"/>
    <w:rsid w:val="004B11FD"/>
    <w:rsid w:val="004B23A2"/>
    <w:rsid w:val="004B47F0"/>
    <w:rsid w:val="004C1306"/>
    <w:rsid w:val="004D1A5A"/>
    <w:rsid w:val="004D3721"/>
    <w:rsid w:val="004D64F9"/>
    <w:rsid w:val="004E14A8"/>
    <w:rsid w:val="004E718A"/>
    <w:rsid w:val="004F5FDF"/>
    <w:rsid w:val="00511DF6"/>
    <w:rsid w:val="00512C6B"/>
    <w:rsid w:val="005177FE"/>
    <w:rsid w:val="0052263B"/>
    <w:rsid w:val="00523C9E"/>
    <w:rsid w:val="00524728"/>
    <w:rsid w:val="005331CA"/>
    <w:rsid w:val="00537970"/>
    <w:rsid w:val="00537D67"/>
    <w:rsid w:val="00543C9B"/>
    <w:rsid w:val="00544127"/>
    <w:rsid w:val="00553EB2"/>
    <w:rsid w:val="00560534"/>
    <w:rsid w:val="0056391B"/>
    <w:rsid w:val="005650E2"/>
    <w:rsid w:val="00567075"/>
    <w:rsid w:val="00570CB3"/>
    <w:rsid w:val="00575B2D"/>
    <w:rsid w:val="005833D0"/>
    <w:rsid w:val="005846F3"/>
    <w:rsid w:val="0058622F"/>
    <w:rsid w:val="00592F82"/>
    <w:rsid w:val="005A0CCA"/>
    <w:rsid w:val="005A5EFD"/>
    <w:rsid w:val="005A726D"/>
    <w:rsid w:val="005B67AC"/>
    <w:rsid w:val="005D43E0"/>
    <w:rsid w:val="005D58A3"/>
    <w:rsid w:val="005E1B79"/>
    <w:rsid w:val="005F026D"/>
    <w:rsid w:val="005F2D0B"/>
    <w:rsid w:val="005F4B31"/>
    <w:rsid w:val="005F6250"/>
    <w:rsid w:val="00610388"/>
    <w:rsid w:val="00611329"/>
    <w:rsid w:val="00612CA5"/>
    <w:rsid w:val="006153EC"/>
    <w:rsid w:val="00621A17"/>
    <w:rsid w:val="00627CC9"/>
    <w:rsid w:val="00627E7B"/>
    <w:rsid w:val="00630542"/>
    <w:rsid w:val="00632E44"/>
    <w:rsid w:val="00634622"/>
    <w:rsid w:val="00636110"/>
    <w:rsid w:val="00636808"/>
    <w:rsid w:val="00641515"/>
    <w:rsid w:val="00654C2F"/>
    <w:rsid w:val="00657087"/>
    <w:rsid w:val="006707A4"/>
    <w:rsid w:val="00677AEB"/>
    <w:rsid w:val="00687A1D"/>
    <w:rsid w:val="00697EA1"/>
    <w:rsid w:val="006A2646"/>
    <w:rsid w:val="006A6530"/>
    <w:rsid w:val="006B1CA2"/>
    <w:rsid w:val="006B435A"/>
    <w:rsid w:val="006B4C64"/>
    <w:rsid w:val="006D01C2"/>
    <w:rsid w:val="006D1916"/>
    <w:rsid w:val="006E3239"/>
    <w:rsid w:val="006E481A"/>
    <w:rsid w:val="006E5298"/>
    <w:rsid w:val="006F289A"/>
    <w:rsid w:val="006F734A"/>
    <w:rsid w:val="00700D83"/>
    <w:rsid w:val="007074E9"/>
    <w:rsid w:val="00713DA4"/>
    <w:rsid w:val="00714BF1"/>
    <w:rsid w:val="00721383"/>
    <w:rsid w:val="007333CC"/>
    <w:rsid w:val="0073399A"/>
    <w:rsid w:val="007603F5"/>
    <w:rsid w:val="00764DB0"/>
    <w:rsid w:val="0076764D"/>
    <w:rsid w:val="0077498C"/>
    <w:rsid w:val="00784128"/>
    <w:rsid w:val="0078733B"/>
    <w:rsid w:val="00793173"/>
    <w:rsid w:val="007A0306"/>
    <w:rsid w:val="007C1459"/>
    <w:rsid w:val="007C1FCC"/>
    <w:rsid w:val="007C6201"/>
    <w:rsid w:val="007D7C92"/>
    <w:rsid w:val="007E1154"/>
    <w:rsid w:val="007F41F8"/>
    <w:rsid w:val="007F45F1"/>
    <w:rsid w:val="008031A7"/>
    <w:rsid w:val="00803A1E"/>
    <w:rsid w:val="0080454E"/>
    <w:rsid w:val="00804C32"/>
    <w:rsid w:val="00806302"/>
    <w:rsid w:val="00807119"/>
    <w:rsid w:val="0082483F"/>
    <w:rsid w:val="008261D0"/>
    <w:rsid w:val="008279C0"/>
    <w:rsid w:val="00830DF1"/>
    <w:rsid w:val="00860E14"/>
    <w:rsid w:val="008723F3"/>
    <w:rsid w:val="00881DE6"/>
    <w:rsid w:val="00881F5D"/>
    <w:rsid w:val="008837A6"/>
    <w:rsid w:val="0089145D"/>
    <w:rsid w:val="008A6CFE"/>
    <w:rsid w:val="008B5333"/>
    <w:rsid w:val="008B6223"/>
    <w:rsid w:val="008C66E0"/>
    <w:rsid w:val="008E3339"/>
    <w:rsid w:val="008F20FC"/>
    <w:rsid w:val="008F6301"/>
    <w:rsid w:val="00905A43"/>
    <w:rsid w:val="00912C79"/>
    <w:rsid w:val="00942123"/>
    <w:rsid w:val="00943291"/>
    <w:rsid w:val="0095207B"/>
    <w:rsid w:val="00954E10"/>
    <w:rsid w:val="00962045"/>
    <w:rsid w:val="00975082"/>
    <w:rsid w:val="00991428"/>
    <w:rsid w:val="00992676"/>
    <w:rsid w:val="009A301F"/>
    <w:rsid w:val="009B0723"/>
    <w:rsid w:val="009B07AD"/>
    <w:rsid w:val="009B0883"/>
    <w:rsid w:val="009B15E2"/>
    <w:rsid w:val="009C0B8E"/>
    <w:rsid w:val="009C1BC8"/>
    <w:rsid w:val="009C2442"/>
    <w:rsid w:val="009D0811"/>
    <w:rsid w:val="009D0EE1"/>
    <w:rsid w:val="009D2BE9"/>
    <w:rsid w:val="009E1027"/>
    <w:rsid w:val="009E2AEB"/>
    <w:rsid w:val="009E2E27"/>
    <w:rsid w:val="009E4DE3"/>
    <w:rsid w:val="00A005FC"/>
    <w:rsid w:val="00A03BE0"/>
    <w:rsid w:val="00A047EE"/>
    <w:rsid w:val="00A2274A"/>
    <w:rsid w:val="00A235B7"/>
    <w:rsid w:val="00A354B1"/>
    <w:rsid w:val="00A37CE1"/>
    <w:rsid w:val="00A407EF"/>
    <w:rsid w:val="00A458BE"/>
    <w:rsid w:val="00A46B4C"/>
    <w:rsid w:val="00A5117B"/>
    <w:rsid w:val="00A54909"/>
    <w:rsid w:val="00A60074"/>
    <w:rsid w:val="00A6627C"/>
    <w:rsid w:val="00A71019"/>
    <w:rsid w:val="00A71155"/>
    <w:rsid w:val="00A81029"/>
    <w:rsid w:val="00A818D1"/>
    <w:rsid w:val="00A83A2F"/>
    <w:rsid w:val="00A96489"/>
    <w:rsid w:val="00A97725"/>
    <w:rsid w:val="00AA5033"/>
    <w:rsid w:val="00AB685C"/>
    <w:rsid w:val="00AB6C2D"/>
    <w:rsid w:val="00AC3839"/>
    <w:rsid w:val="00AC7082"/>
    <w:rsid w:val="00AD686D"/>
    <w:rsid w:val="00AD6A7D"/>
    <w:rsid w:val="00AF228E"/>
    <w:rsid w:val="00B14819"/>
    <w:rsid w:val="00B17AA9"/>
    <w:rsid w:val="00B309EA"/>
    <w:rsid w:val="00B41269"/>
    <w:rsid w:val="00B70394"/>
    <w:rsid w:val="00B72AE1"/>
    <w:rsid w:val="00B736DF"/>
    <w:rsid w:val="00B74FBD"/>
    <w:rsid w:val="00B82586"/>
    <w:rsid w:val="00B86DB1"/>
    <w:rsid w:val="00B87869"/>
    <w:rsid w:val="00BB0F2B"/>
    <w:rsid w:val="00BF1C6F"/>
    <w:rsid w:val="00BF50F7"/>
    <w:rsid w:val="00C02F29"/>
    <w:rsid w:val="00C04C80"/>
    <w:rsid w:val="00C053F7"/>
    <w:rsid w:val="00C22A25"/>
    <w:rsid w:val="00C267A0"/>
    <w:rsid w:val="00C33C6C"/>
    <w:rsid w:val="00C35671"/>
    <w:rsid w:val="00C35B77"/>
    <w:rsid w:val="00C376EB"/>
    <w:rsid w:val="00C46EC1"/>
    <w:rsid w:val="00C53E2C"/>
    <w:rsid w:val="00C550C8"/>
    <w:rsid w:val="00C606C3"/>
    <w:rsid w:val="00C72848"/>
    <w:rsid w:val="00C737E9"/>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1497"/>
    <w:rsid w:val="00D148DC"/>
    <w:rsid w:val="00D17FDC"/>
    <w:rsid w:val="00D24D22"/>
    <w:rsid w:val="00D25D98"/>
    <w:rsid w:val="00D63EFD"/>
    <w:rsid w:val="00D84752"/>
    <w:rsid w:val="00D86B3B"/>
    <w:rsid w:val="00D8748A"/>
    <w:rsid w:val="00D93196"/>
    <w:rsid w:val="00DB243C"/>
    <w:rsid w:val="00DB482A"/>
    <w:rsid w:val="00DB56F2"/>
    <w:rsid w:val="00DB6EF5"/>
    <w:rsid w:val="00DC0391"/>
    <w:rsid w:val="00DC1AF4"/>
    <w:rsid w:val="00DC3089"/>
    <w:rsid w:val="00DC4420"/>
    <w:rsid w:val="00DD0802"/>
    <w:rsid w:val="00DD2E11"/>
    <w:rsid w:val="00DE03AF"/>
    <w:rsid w:val="00DE121C"/>
    <w:rsid w:val="00DE6633"/>
    <w:rsid w:val="00DF75F8"/>
    <w:rsid w:val="00DF7A3A"/>
    <w:rsid w:val="00E00C00"/>
    <w:rsid w:val="00E04B12"/>
    <w:rsid w:val="00E07C5A"/>
    <w:rsid w:val="00E15BA9"/>
    <w:rsid w:val="00E26E19"/>
    <w:rsid w:val="00E450A4"/>
    <w:rsid w:val="00E506BE"/>
    <w:rsid w:val="00E55547"/>
    <w:rsid w:val="00E607D6"/>
    <w:rsid w:val="00E6302B"/>
    <w:rsid w:val="00E6452F"/>
    <w:rsid w:val="00E64F45"/>
    <w:rsid w:val="00E6742D"/>
    <w:rsid w:val="00E71CB0"/>
    <w:rsid w:val="00E77C3D"/>
    <w:rsid w:val="00E909F0"/>
    <w:rsid w:val="00E92D7A"/>
    <w:rsid w:val="00E93993"/>
    <w:rsid w:val="00E97903"/>
    <w:rsid w:val="00EA0913"/>
    <w:rsid w:val="00EB0260"/>
    <w:rsid w:val="00EB45AC"/>
    <w:rsid w:val="00EB67F8"/>
    <w:rsid w:val="00ED0BC4"/>
    <w:rsid w:val="00EE33A7"/>
    <w:rsid w:val="00EE4971"/>
    <w:rsid w:val="00EE744D"/>
    <w:rsid w:val="00EF090E"/>
    <w:rsid w:val="00F033DA"/>
    <w:rsid w:val="00F16561"/>
    <w:rsid w:val="00F27CD8"/>
    <w:rsid w:val="00F30351"/>
    <w:rsid w:val="00F30B5D"/>
    <w:rsid w:val="00F3323E"/>
    <w:rsid w:val="00F341F4"/>
    <w:rsid w:val="00F35CCE"/>
    <w:rsid w:val="00F44220"/>
    <w:rsid w:val="00F5378B"/>
    <w:rsid w:val="00F5524B"/>
    <w:rsid w:val="00F61DD2"/>
    <w:rsid w:val="00F66AFF"/>
    <w:rsid w:val="00F71433"/>
    <w:rsid w:val="00F858FB"/>
    <w:rsid w:val="00F97C5B"/>
    <w:rsid w:val="00FA3D50"/>
    <w:rsid w:val="00FA3D5F"/>
    <w:rsid w:val="00FA405A"/>
    <w:rsid w:val="00FB4576"/>
    <w:rsid w:val="00FC374A"/>
    <w:rsid w:val="00FC7B47"/>
    <w:rsid w:val="00FD0222"/>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8295-2EDA-464C-ABAF-6A38C887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9</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61</cp:revision>
  <cp:lastPrinted>2019-09-04T15:45:00Z</cp:lastPrinted>
  <dcterms:created xsi:type="dcterms:W3CDTF">2021-08-17T16:42:00Z</dcterms:created>
  <dcterms:modified xsi:type="dcterms:W3CDTF">2021-10-15T19:31:00Z</dcterms:modified>
</cp:coreProperties>
</file>