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1D4139" w:rsidRDefault="00B736DF" w:rsidP="009E1027">
      <w:pPr>
        <w:pStyle w:val="ListParagraph"/>
        <w:numPr>
          <w:ilvl w:val="0"/>
          <w:numId w:val="12"/>
        </w:numPr>
        <w:ind w:left="426"/>
        <w:jc w:val="both"/>
        <w:rPr>
          <w:rFonts w:ascii="Arial" w:hAnsi="Arial" w:cs="Arial"/>
          <w:sz w:val="22"/>
          <w:szCs w:val="22"/>
          <w:highlight w:val="yellow"/>
          <w:lang w:val="en-GB"/>
        </w:rPr>
      </w:pPr>
      <w:r w:rsidRPr="001D4139">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126774" w:rsidRDefault="00161F1B" w:rsidP="009E1027">
      <w:pPr>
        <w:pStyle w:val="ListParagraph"/>
        <w:numPr>
          <w:ilvl w:val="0"/>
          <w:numId w:val="13"/>
        </w:numPr>
        <w:ind w:left="426"/>
        <w:jc w:val="both"/>
        <w:rPr>
          <w:rFonts w:ascii="Arial" w:hAnsi="Arial" w:cs="Arial"/>
          <w:sz w:val="22"/>
          <w:szCs w:val="22"/>
          <w:highlight w:val="yellow"/>
          <w:lang w:val="en-GB"/>
        </w:rPr>
      </w:pPr>
      <w:r w:rsidRPr="00126774">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126774" w:rsidRDefault="009E2E27" w:rsidP="008031A7">
      <w:pPr>
        <w:pStyle w:val="ListParagraph"/>
        <w:numPr>
          <w:ilvl w:val="0"/>
          <w:numId w:val="14"/>
        </w:numPr>
        <w:ind w:left="426"/>
        <w:jc w:val="both"/>
        <w:rPr>
          <w:rFonts w:ascii="Arial" w:hAnsi="Arial" w:cs="Arial"/>
          <w:sz w:val="22"/>
          <w:szCs w:val="22"/>
          <w:highlight w:val="yellow"/>
          <w:lang w:val="en-GB"/>
        </w:rPr>
      </w:pPr>
      <w:r w:rsidRPr="00126774">
        <w:rPr>
          <w:rFonts w:ascii="Arial" w:hAnsi="Arial" w:cs="Arial"/>
          <w:sz w:val="22"/>
          <w:szCs w:val="22"/>
          <w:highlight w:val="yellow"/>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002E7B" w:rsidRDefault="009E2E27" w:rsidP="008031A7">
      <w:pPr>
        <w:pStyle w:val="ListParagraph"/>
        <w:numPr>
          <w:ilvl w:val="0"/>
          <w:numId w:val="15"/>
        </w:numPr>
        <w:ind w:left="426"/>
        <w:jc w:val="both"/>
        <w:rPr>
          <w:rFonts w:ascii="Arial" w:hAnsi="Arial" w:cs="Arial"/>
          <w:sz w:val="22"/>
          <w:szCs w:val="22"/>
          <w:highlight w:val="yellow"/>
          <w:lang w:val="en-GB"/>
        </w:rPr>
      </w:pPr>
      <w:r w:rsidRPr="00002E7B">
        <w:rPr>
          <w:rFonts w:ascii="Arial" w:hAnsi="Arial" w:cs="Arial"/>
          <w:sz w:val="22"/>
          <w:szCs w:val="22"/>
          <w:highlight w:val="yellow"/>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002E7B" w:rsidRDefault="00A235B7" w:rsidP="006D01C2">
      <w:pPr>
        <w:pStyle w:val="ListParagraph"/>
        <w:numPr>
          <w:ilvl w:val="0"/>
          <w:numId w:val="16"/>
        </w:numPr>
        <w:ind w:left="426"/>
        <w:jc w:val="both"/>
        <w:rPr>
          <w:rFonts w:ascii="Arial" w:hAnsi="Arial" w:cs="Arial"/>
          <w:sz w:val="22"/>
          <w:szCs w:val="22"/>
          <w:highlight w:val="yellow"/>
          <w:lang w:val="en-GB"/>
        </w:rPr>
      </w:pPr>
      <w:r w:rsidRPr="00002E7B">
        <w:rPr>
          <w:rFonts w:ascii="Arial" w:hAnsi="Arial" w:cs="Arial"/>
          <w:sz w:val="22"/>
          <w:szCs w:val="22"/>
          <w:highlight w:val="yellow"/>
          <w:lang w:val="en-GB"/>
        </w:rPr>
        <w:t>The statement</w:t>
      </w:r>
      <w:r w:rsidR="0037465A" w:rsidRPr="00002E7B">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002E7B"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002E7B">
        <w:rPr>
          <w:rFonts w:ascii="Arial" w:eastAsiaTheme="minorHAnsi" w:hAnsi="Arial" w:cs="Arial"/>
          <w:sz w:val="22"/>
          <w:szCs w:val="22"/>
          <w:highlight w:val="yellow"/>
          <w:lang w:val="en-GB"/>
        </w:rPr>
        <w:t>Private International Law</w:t>
      </w:r>
      <w:r w:rsidR="00991428" w:rsidRPr="00002E7B">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002E7B" w:rsidRDefault="004D1A5A" w:rsidP="006D01C2">
      <w:pPr>
        <w:pStyle w:val="ListParagraph"/>
        <w:numPr>
          <w:ilvl w:val="0"/>
          <w:numId w:val="18"/>
        </w:numPr>
        <w:ind w:left="426"/>
        <w:jc w:val="both"/>
        <w:rPr>
          <w:rFonts w:ascii="Arial" w:hAnsi="Arial" w:cs="Arial"/>
          <w:sz w:val="22"/>
          <w:szCs w:val="22"/>
          <w:highlight w:val="yellow"/>
          <w:lang w:val="en-GB"/>
        </w:rPr>
      </w:pPr>
      <w:r w:rsidRPr="00002E7B">
        <w:rPr>
          <w:rFonts w:ascii="Arial" w:hAnsi="Arial" w:cs="Arial"/>
          <w:sz w:val="22"/>
          <w:szCs w:val="22"/>
          <w:highlight w:val="yellow"/>
          <w:lang w:val="en-GB"/>
        </w:rPr>
        <w:t>UNCITRAL Model Law on Cross-border Insolvency (1997)</w:t>
      </w:r>
      <w:r w:rsidR="00912C79" w:rsidRPr="00002E7B">
        <w:rPr>
          <w:rFonts w:ascii="Arial" w:hAnsi="Arial" w:cs="Arial"/>
          <w:sz w:val="22"/>
          <w:szCs w:val="22"/>
          <w:highlight w:val="yellow"/>
          <w:lang w:val="en-GB"/>
        </w:rPr>
        <w:t>.</w:t>
      </w:r>
      <w:r w:rsidRPr="00002E7B">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002E7B"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002E7B">
        <w:rPr>
          <w:rFonts w:ascii="Arial" w:hAnsi="Arial" w:cs="Arial"/>
          <w:sz w:val="22"/>
          <w:szCs w:val="22"/>
          <w:highlight w:val="yellow"/>
          <w:lang w:val="en-GB"/>
        </w:rPr>
        <w:t>Havana Convention on Private International Law (1928)</w:t>
      </w:r>
      <w:r w:rsidRPr="00002E7B">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002E7B" w:rsidRDefault="0082483F" w:rsidP="006D01C2">
      <w:pPr>
        <w:pStyle w:val="ListParagraph"/>
        <w:numPr>
          <w:ilvl w:val="0"/>
          <w:numId w:val="20"/>
        </w:numPr>
        <w:ind w:left="426"/>
        <w:jc w:val="both"/>
        <w:rPr>
          <w:rFonts w:ascii="Arial" w:hAnsi="Arial" w:cs="Arial"/>
          <w:sz w:val="22"/>
          <w:szCs w:val="22"/>
          <w:highlight w:val="yellow"/>
          <w:lang w:val="en-GB"/>
        </w:rPr>
      </w:pPr>
      <w:r w:rsidRPr="00002E7B">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313FDE"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313FDE">
        <w:rPr>
          <w:rFonts w:ascii="Arial" w:eastAsiaTheme="minorHAnsi" w:hAnsi="Arial" w:cs="Arial"/>
          <w:sz w:val="22"/>
          <w:szCs w:val="22"/>
          <w:highlight w:val="yellow"/>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57BCFC30" w14:textId="7BF4F216" w:rsidR="009B07AD" w:rsidRPr="00C076FE" w:rsidRDefault="00334EF9" w:rsidP="00C053F7">
      <w:pPr>
        <w:ind w:left="720" w:hanging="720"/>
        <w:jc w:val="both"/>
        <w:rPr>
          <w:rFonts w:ascii="Arial" w:hAnsi="Arial" w:cs="Arial"/>
          <w:color w:val="FF0000"/>
          <w:sz w:val="22"/>
          <w:szCs w:val="22"/>
          <w:lang w:val="en-GB"/>
        </w:rPr>
      </w:pPr>
      <w:r w:rsidRPr="00334EF9">
        <w:rPr>
          <w:rFonts w:ascii="Arial" w:hAnsi="Arial" w:cs="Arial"/>
          <w:sz w:val="22"/>
          <w:szCs w:val="22"/>
          <w:lang w:val="en-GB"/>
        </w:rPr>
        <w:t>International Insolvency law means is based on the fact that not all insolvency rules are the same. Organisations such as the United Nations Commission for International Trade Law (UNCITRAL) and the World Bank – try to find solutions to overcome the differences. Establishing a practical cross border initiative is a key factor in cross-border insolvency disputes</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07F72031" w14:textId="77777777" w:rsidR="00DF0654" w:rsidRPr="00DF0654" w:rsidRDefault="00DF0654" w:rsidP="00DF0654">
      <w:pPr>
        <w:ind w:left="720" w:hanging="720"/>
        <w:jc w:val="both"/>
        <w:rPr>
          <w:rFonts w:ascii="Arial" w:hAnsi="Arial" w:cs="Arial"/>
          <w:sz w:val="22"/>
          <w:szCs w:val="22"/>
          <w:lang w:val="en-GB"/>
        </w:rPr>
      </w:pPr>
      <w:r w:rsidRPr="00DF0654">
        <w:rPr>
          <w:rFonts w:ascii="Arial" w:hAnsi="Arial" w:cs="Arial"/>
          <w:sz w:val="22"/>
          <w:szCs w:val="22"/>
          <w:lang w:val="en-GB"/>
        </w:rPr>
        <w:t xml:space="preserve">There should only be one insolvency proceeding in a universality concept, opposed to a territorialism where insolvency proceedings are commenced in every State. Furthermore, in a Universality concept, all creditors are allowed to participate with all claims being treated equally. </w:t>
      </w:r>
    </w:p>
    <w:p w14:paraId="79961E83" w14:textId="2E9A9F5D" w:rsidR="00D17FDC" w:rsidRPr="00BF1C6F" w:rsidRDefault="00DF0654" w:rsidP="00DF0654">
      <w:pPr>
        <w:ind w:left="720" w:hanging="720"/>
        <w:jc w:val="both"/>
        <w:rPr>
          <w:rFonts w:ascii="Arial" w:hAnsi="Arial" w:cs="Arial"/>
          <w:sz w:val="22"/>
          <w:szCs w:val="22"/>
          <w:lang w:val="en-GB"/>
        </w:rPr>
      </w:pPr>
      <w:r w:rsidRPr="00DF0654">
        <w:rPr>
          <w:rFonts w:ascii="Arial" w:hAnsi="Arial" w:cs="Arial"/>
          <w:sz w:val="22"/>
          <w:szCs w:val="22"/>
          <w:lang w:val="en-GB"/>
        </w:rPr>
        <w:t>A drawback to territorial proceedings is that a debtor may be solvent in one State; however, insolvent in another state; thus, certain creditors may not receive any funds.</w:t>
      </w: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761C7B2A" w:rsidR="00962045" w:rsidRDefault="00962045" w:rsidP="00C053F7">
      <w:pPr>
        <w:ind w:left="720" w:hanging="720"/>
        <w:jc w:val="both"/>
        <w:rPr>
          <w:rFonts w:ascii="Arial" w:hAnsi="Arial" w:cs="Arial"/>
          <w:sz w:val="22"/>
          <w:szCs w:val="22"/>
          <w:lang w:val="en-GB"/>
        </w:rPr>
      </w:pPr>
    </w:p>
    <w:p w14:paraId="5EB698B4" w14:textId="77777777" w:rsidR="00113B9E" w:rsidRPr="00113B9E" w:rsidRDefault="00113B9E" w:rsidP="00113B9E">
      <w:pPr>
        <w:jc w:val="both"/>
        <w:rPr>
          <w:rFonts w:ascii="Arial" w:hAnsi="Arial" w:cs="Arial"/>
          <w:sz w:val="22"/>
          <w:szCs w:val="22"/>
          <w:lang w:val="en-GB"/>
        </w:rPr>
      </w:pPr>
      <w:r w:rsidRPr="00113B9E">
        <w:rPr>
          <w:rFonts w:ascii="Arial" w:hAnsi="Arial" w:cs="Arial"/>
          <w:sz w:val="22"/>
          <w:szCs w:val="22"/>
          <w:lang w:val="en-GB"/>
        </w:rPr>
        <w:t xml:space="preserve">Recent developments in the Middle East to reform the domestic insolvency law include: </w:t>
      </w:r>
    </w:p>
    <w:p w14:paraId="1E0D162C" w14:textId="77777777" w:rsidR="00113B9E" w:rsidRPr="00113B9E" w:rsidRDefault="00113B9E" w:rsidP="00113B9E">
      <w:pPr>
        <w:jc w:val="both"/>
        <w:rPr>
          <w:rFonts w:ascii="Arial" w:hAnsi="Arial" w:cs="Arial"/>
          <w:sz w:val="22"/>
          <w:szCs w:val="22"/>
          <w:lang w:val="en-GB"/>
        </w:rPr>
      </w:pPr>
      <w:r w:rsidRPr="00113B9E">
        <w:rPr>
          <w:rFonts w:ascii="Arial" w:hAnsi="Arial" w:cs="Arial"/>
          <w:sz w:val="22"/>
          <w:szCs w:val="22"/>
          <w:lang w:val="en-GB"/>
        </w:rPr>
        <w:lastRenderedPageBreak/>
        <w:t xml:space="preserve">Saudi Arabia is currently performing an overall reform in relation to general regulation and settlement procedures, and the reform is part of Saudi Arabia’s Vision 2030. The hope is it be more in line with the UAE, and the reform will benefit SMEs. </w:t>
      </w:r>
    </w:p>
    <w:p w14:paraId="77185539" w14:textId="77777777" w:rsidR="00113B9E" w:rsidRPr="00113B9E" w:rsidRDefault="00113B9E" w:rsidP="00113B9E">
      <w:pPr>
        <w:jc w:val="both"/>
        <w:rPr>
          <w:rFonts w:ascii="Arial" w:hAnsi="Arial" w:cs="Arial"/>
          <w:sz w:val="22"/>
          <w:szCs w:val="22"/>
          <w:lang w:val="en-GB"/>
        </w:rPr>
      </w:pPr>
      <w:r w:rsidRPr="00113B9E">
        <w:rPr>
          <w:rFonts w:ascii="Arial" w:hAnsi="Arial" w:cs="Arial"/>
          <w:sz w:val="22"/>
          <w:szCs w:val="22"/>
          <w:lang w:val="en-GB"/>
        </w:rPr>
        <w:t xml:space="preserve">In 2019, the UAE enacted the DIFC Insolvency Law, Law No. 1 of 2019. The law was created to give investors and businesses in connecting economies in the East to the West. </w:t>
      </w:r>
    </w:p>
    <w:p w14:paraId="7B8A513B" w14:textId="77777777" w:rsidR="00113B9E" w:rsidRPr="00113B9E" w:rsidRDefault="00113B9E" w:rsidP="00113B9E">
      <w:pPr>
        <w:jc w:val="both"/>
        <w:rPr>
          <w:rFonts w:ascii="Arial" w:hAnsi="Arial" w:cs="Arial"/>
          <w:sz w:val="22"/>
          <w:szCs w:val="22"/>
          <w:lang w:val="en-GB"/>
        </w:rPr>
      </w:pPr>
      <w:r w:rsidRPr="00113B9E">
        <w:rPr>
          <w:rFonts w:ascii="Arial" w:hAnsi="Arial" w:cs="Arial"/>
          <w:sz w:val="22"/>
          <w:szCs w:val="22"/>
          <w:lang w:val="en-GB"/>
        </w:rPr>
        <w:t xml:space="preserve">The UAE enacted new laws introducing a debtor possession bankruptcy regime according to best practice globally.   </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6AE0CD7F" w14:textId="77777777" w:rsidR="00520125" w:rsidRPr="00520125" w:rsidRDefault="00520125" w:rsidP="00520125">
      <w:pPr>
        <w:ind w:left="720" w:hanging="720"/>
        <w:jc w:val="both"/>
        <w:rPr>
          <w:rFonts w:ascii="Arial" w:hAnsi="Arial" w:cs="Arial"/>
          <w:sz w:val="22"/>
          <w:szCs w:val="22"/>
          <w:lang w:val="en-GB"/>
        </w:rPr>
      </w:pPr>
      <w:r w:rsidRPr="00520125">
        <w:rPr>
          <w:rFonts w:ascii="Arial" w:hAnsi="Arial" w:cs="Arial"/>
          <w:sz w:val="22"/>
          <w:szCs w:val="22"/>
          <w:lang w:val="en-GB"/>
        </w:rPr>
        <w:t>The key differences regarding the objectives of insolvency are that insolvency for an individual can act as a buffer between the debtors and an individual and stop the creditors from directly contacting or potentially harassing the debtor. Insolvency for individuals can provide a fresh start to debtors, allowing them to consolidate the debt and not continue to pay it off. In bankruptcy proceedings, the debtor may be allowed to maintain control of specific property, such as a family home.</w:t>
      </w:r>
    </w:p>
    <w:p w14:paraId="4D3860E5" w14:textId="77777777" w:rsidR="00520125" w:rsidRPr="00520125" w:rsidRDefault="00520125" w:rsidP="00520125">
      <w:pPr>
        <w:ind w:left="720" w:hanging="720"/>
        <w:jc w:val="both"/>
        <w:rPr>
          <w:rFonts w:ascii="Arial" w:hAnsi="Arial" w:cs="Arial"/>
          <w:sz w:val="22"/>
          <w:szCs w:val="22"/>
          <w:lang w:val="en-GB"/>
        </w:rPr>
      </w:pPr>
    </w:p>
    <w:p w14:paraId="5D5A1FA5" w14:textId="06EA106E" w:rsidR="00D17FDC" w:rsidRPr="00BF1C6F" w:rsidRDefault="00520125" w:rsidP="00520125">
      <w:pPr>
        <w:ind w:left="720" w:hanging="720"/>
        <w:jc w:val="both"/>
        <w:rPr>
          <w:rFonts w:ascii="Arial" w:hAnsi="Arial" w:cs="Arial"/>
          <w:sz w:val="24"/>
          <w:lang w:val="en-GB"/>
        </w:rPr>
      </w:pPr>
      <w:r w:rsidRPr="00520125">
        <w:rPr>
          <w:rFonts w:ascii="Arial" w:hAnsi="Arial" w:cs="Arial"/>
          <w:sz w:val="22"/>
          <w:szCs w:val="22"/>
          <w:lang w:val="en-GB"/>
        </w:rPr>
        <w:t xml:space="preserve">Corporations can use insolvency as a tactical business move; a business may place an underperforming entity into insolvency, so it does not disrupt the business of the profitable entity. In addition, placing corporations into insolvency can assist a company in restructuring debt.  </w:t>
      </w:r>
    </w:p>
    <w:p w14:paraId="755D6AFF" w14:textId="4863545B"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r w:rsidR="00FF3C47">
        <w:rPr>
          <w:rFonts w:ascii="Arial" w:hAnsi="Arial" w:cs="Arial"/>
          <w:b/>
          <w:bCs/>
          <w:sz w:val="22"/>
          <w:szCs w:val="22"/>
          <w:lang w:val="en-GB"/>
        </w:rPr>
        <w:t xml:space="preserve"> </w:t>
      </w:r>
      <w:r w:rsidR="00FF3C47" w:rsidRPr="00FF3C47">
        <w:rPr>
          <w:rFonts w:ascii="Arial" w:hAnsi="Arial" w:cs="Arial"/>
          <w:b/>
          <w:bCs/>
          <w:color w:val="FF0000"/>
          <w:sz w:val="22"/>
          <w:szCs w:val="22"/>
          <w:lang w:val="en-GB"/>
        </w:rPr>
        <w:t>(5.2)</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1FEE6367" w14:textId="77777777" w:rsidR="00E52AA4" w:rsidRPr="00E52AA4" w:rsidRDefault="00E52AA4" w:rsidP="00E52AA4">
      <w:pPr>
        <w:jc w:val="both"/>
        <w:rPr>
          <w:rFonts w:ascii="Arial" w:hAnsi="Arial" w:cs="Arial"/>
          <w:sz w:val="22"/>
          <w:szCs w:val="22"/>
          <w:lang w:val="en-GB"/>
        </w:rPr>
      </w:pPr>
      <w:r w:rsidRPr="00E52AA4">
        <w:rPr>
          <w:rFonts w:ascii="Arial" w:hAnsi="Arial" w:cs="Arial"/>
          <w:sz w:val="22"/>
          <w:szCs w:val="22"/>
          <w:lang w:val="en-GB"/>
        </w:rPr>
        <w:t>Cross-border insolvency can lead to a number of difficulties. Insolvency proceedings across many states due to the location of subsidiaries and operating running in different states can lead to a lack of structure, this is particularly prevalent in certain Middle Eastern countries such as Saudi Arabia; however, Saudi Arabia is working to become more developed in line with the UAE.</w:t>
      </w:r>
    </w:p>
    <w:p w14:paraId="17681B8C" w14:textId="77777777" w:rsidR="00E52AA4" w:rsidRPr="00E52AA4" w:rsidRDefault="00E52AA4" w:rsidP="00E52AA4">
      <w:pPr>
        <w:jc w:val="both"/>
        <w:rPr>
          <w:rFonts w:ascii="Arial" w:hAnsi="Arial" w:cs="Arial"/>
          <w:sz w:val="22"/>
          <w:szCs w:val="22"/>
          <w:lang w:val="en-GB"/>
        </w:rPr>
      </w:pPr>
      <w:r w:rsidRPr="00E52AA4">
        <w:rPr>
          <w:rFonts w:ascii="Arial" w:hAnsi="Arial" w:cs="Arial"/>
          <w:sz w:val="22"/>
          <w:szCs w:val="22"/>
          <w:lang w:val="en-GB"/>
        </w:rPr>
        <w:t xml:space="preserve">Under certain jurisdictions, insolvency proceedings can be opened concurrently, specifically in a territorial approach. However, this can lead to the assets being unfairly split amongst the creditors as more assets may lie in certain states. </w:t>
      </w:r>
    </w:p>
    <w:p w14:paraId="0FF57505" w14:textId="77777777" w:rsidR="00E52AA4" w:rsidRPr="00E52AA4" w:rsidRDefault="00E52AA4" w:rsidP="00E52AA4">
      <w:pPr>
        <w:jc w:val="both"/>
        <w:rPr>
          <w:rFonts w:ascii="Arial" w:hAnsi="Arial" w:cs="Arial"/>
          <w:sz w:val="22"/>
          <w:szCs w:val="22"/>
          <w:lang w:val="en-GB"/>
        </w:rPr>
      </w:pPr>
      <w:r w:rsidRPr="00E52AA4">
        <w:rPr>
          <w:rFonts w:ascii="Arial" w:hAnsi="Arial" w:cs="Arial"/>
          <w:sz w:val="22"/>
          <w:szCs w:val="22"/>
          <w:lang w:val="en-GB"/>
        </w:rPr>
        <w:t xml:space="preserve">States have different local laws in relation to employment laws that must be adhered to; for example, France has particular labour rights. </w:t>
      </w:r>
    </w:p>
    <w:p w14:paraId="050B7D02" w14:textId="7BBE8988" w:rsidR="00D17FDC" w:rsidRPr="00E52AA4" w:rsidRDefault="00E52AA4" w:rsidP="00E52AA4">
      <w:pPr>
        <w:jc w:val="both"/>
        <w:rPr>
          <w:rFonts w:ascii="Arial" w:hAnsi="Arial" w:cs="Arial"/>
          <w:sz w:val="22"/>
          <w:szCs w:val="22"/>
          <w:lang w:val="en-GB"/>
        </w:rPr>
      </w:pPr>
      <w:r w:rsidRPr="00E52AA4">
        <w:rPr>
          <w:rFonts w:ascii="Arial" w:hAnsi="Arial" w:cs="Arial"/>
          <w:sz w:val="22"/>
          <w:szCs w:val="22"/>
          <w:lang w:val="en-GB"/>
        </w:rPr>
        <w:t>Additionally, varying public policy in relation to tax liabilities and social security obligations will need to be understood and adhered to in cross-border insolvency.</w:t>
      </w:r>
    </w:p>
    <w:p w14:paraId="57AF17C6" w14:textId="77777777" w:rsidR="00E52AA4" w:rsidRPr="00BF1C6F" w:rsidRDefault="00E52AA4" w:rsidP="00E52AA4">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970E2E">
      <w:pPr>
        <w:ind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0946396E" w14:textId="77777777" w:rsidR="00C900EB" w:rsidRPr="00C900EB" w:rsidRDefault="00C900EB" w:rsidP="00C900EB">
      <w:pPr>
        <w:jc w:val="both"/>
        <w:rPr>
          <w:rFonts w:ascii="Arial" w:hAnsi="Arial" w:cs="Arial"/>
          <w:sz w:val="22"/>
          <w:szCs w:val="22"/>
          <w:lang w:val="en-GB"/>
        </w:rPr>
      </w:pPr>
      <w:r w:rsidRPr="00C900EB">
        <w:rPr>
          <w:rFonts w:ascii="Arial" w:hAnsi="Arial" w:cs="Arial"/>
          <w:sz w:val="22"/>
          <w:szCs w:val="22"/>
          <w:lang w:val="en-GB"/>
        </w:rPr>
        <w:t xml:space="preserve">Harmonisation of domestic insolvency law is a crucial consideration for a number of states. In early 2000 the World Bank published a Legislative Guide on Insolvency Law intended to be used as a reference by states and legislative bodies.  </w:t>
      </w:r>
    </w:p>
    <w:p w14:paraId="6615EF99" w14:textId="77777777" w:rsidR="00C900EB" w:rsidRPr="00C900EB" w:rsidRDefault="00C900EB" w:rsidP="00C900EB">
      <w:pPr>
        <w:jc w:val="both"/>
        <w:rPr>
          <w:rFonts w:ascii="Arial" w:hAnsi="Arial" w:cs="Arial"/>
          <w:sz w:val="22"/>
          <w:szCs w:val="22"/>
          <w:lang w:val="en-GB"/>
        </w:rPr>
      </w:pPr>
      <w:r w:rsidRPr="00C900EB">
        <w:rPr>
          <w:rFonts w:ascii="Arial" w:hAnsi="Arial" w:cs="Arial"/>
          <w:sz w:val="22"/>
          <w:szCs w:val="22"/>
          <w:lang w:val="en-GB"/>
        </w:rPr>
        <w:t xml:space="preserve">Insolvency law in developing countries is often outdated. As a result, the World Bank require bankruptcy reform in line with the Legislative Guide on Insolvency Law as a condition to loan support. </w:t>
      </w:r>
    </w:p>
    <w:p w14:paraId="7295BB16" w14:textId="77777777" w:rsidR="00C900EB" w:rsidRPr="00C900EB" w:rsidRDefault="00C900EB" w:rsidP="00C900EB">
      <w:pPr>
        <w:jc w:val="both"/>
        <w:rPr>
          <w:rFonts w:ascii="Arial" w:hAnsi="Arial" w:cs="Arial"/>
          <w:sz w:val="22"/>
          <w:szCs w:val="22"/>
          <w:lang w:val="en-GB"/>
        </w:rPr>
      </w:pPr>
      <w:r w:rsidRPr="00C900EB">
        <w:rPr>
          <w:rFonts w:ascii="Arial" w:hAnsi="Arial" w:cs="Arial"/>
          <w:sz w:val="22"/>
          <w:szCs w:val="22"/>
          <w:lang w:val="en-GB"/>
        </w:rPr>
        <w:t xml:space="preserve">In the European Union in 2010, a push towards greater uniformity in domestic insolvency law is underway. Specifically, the European Union have detailed the importance of a standard test of insolvency, the formal aspect of lodging claims, and directors responsibilities. </w:t>
      </w:r>
    </w:p>
    <w:p w14:paraId="75373A84" w14:textId="77777777" w:rsidR="00C900EB" w:rsidRPr="00C900EB" w:rsidRDefault="00C900EB" w:rsidP="00C900EB">
      <w:pPr>
        <w:jc w:val="both"/>
        <w:rPr>
          <w:rFonts w:ascii="Arial" w:hAnsi="Arial" w:cs="Arial"/>
          <w:sz w:val="22"/>
          <w:szCs w:val="22"/>
          <w:lang w:val="en-GB"/>
        </w:rPr>
      </w:pPr>
      <w:r w:rsidRPr="00C900EB">
        <w:rPr>
          <w:rFonts w:ascii="Arial" w:hAnsi="Arial" w:cs="Arial"/>
          <w:sz w:val="22"/>
          <w:szCs w:val="22"/>
          <w:lang w:val="en-GB"/>
        </w:rPr>
        <w:t xml:space="preserve">In September 2015, the European Union published an action plan – Action Plan on Building Capital Markets. The European Union recognise the importance of harmonised insolvency systems as an element of financial system stability. </w:t>
      </w:r>
    </w:p>
    <w:p w14:paraId="150A32A1" w14:textId="68BFF7EE" w:rsidR="009D4188" w:rsidRPr="00C900EB" w:rsidRDefault="00C900EB" w:rsidP="00C900EB">
      <w:pPr>
        <w:jc w:val="both"/>
        <w:rPr>
          <w:rFonts w:ascii="Arial" w:hAnsi="Arial" w:cs="Arial"/>
          <w:sz w:val="22"/>
          <w:szCs w:val="22"/>
          <w:lang w:val="en-GB"/>
        </w:rPr>
      </w:pPr>
      <w:r w:rsidRPr="00C900EB">
        <w:rPr>
          <w:rFonts w:ascii="Arial" w:hAnsi="Arial" w:cs="Arial"/>
          <w:sz w:val="22"/>
          <w:szCs w:val="22"/>
          <w:lang w:val="en-GB"/>
        </w:rPr>
        <w:lastRenderedPageBreak/>
        <w:t>In my opinion, the development of these legislative systems alongside continued growth will significantly improve cross-border insolvency legislation and move closer to universality.</w:t>
      </w:r>
    </w:p>
    <w:p w14:paraId="27975568" w14:textId="77777777" w:rsidR="00C900EB" w:rsidRPr="00E141EA" w:rsidRDefault="00C900EB" w:rsidP="00C900EB">
      <w:pPr>
        <w:jc w:val="both"/>
        <w:rPr>
          <w:rFonts w:ascii="Arial" w:hAnsi="Arial" w:cs="Arial"/>
          <w:color w:val="FF0000"/>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69059332" w14:textId="77777777" w:rsidR="00606B19"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w:t>
      </w:r>
    </w:p>
    <w:p w14:paraId="371D72E3" w14:textId="77777777" w:rsidR="00606B19" w:rsidRDefault="00606B19" w:rsidP="00C053F7">
      <w:pPr>
        <w:jc w:val="both"/>
        <w:rPr>
          <w:rFonts w:ascii="Arial" w:hAnsi="Arial" w:cs="Arial"/>
          <w:sz w:val="22"/>
          <w:szCs w:val="22"/>
          <w:lang w:val="en-GB"/>
        </w:rPr>
      </w:pPr>
    </w:p>
    <w:p w14:paraId="57FF4576" w14:textId="15ECC3BA"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6E70C2D2" w:rsidR="002F75A3" w:rsidRDefault="002F75A3" w:rsidP="00C053F7">
      <w:pPr>
        <w:jc w:val="both"/>
        <w:rPr>
          <w:rFonts w:ascii="Arial" w:hAnsi="Arial" w:cs="Arial"/>
          <w:sz w:val="22"/>
          <w:szCs w:val="22"/>
          <w:lang w:val="en-GB"/>
        </w:rPr>
      </w:pPr>
    </w:p>
    <w:p w14:paraId="49ACA93E" w14:textId="77777777" w:rsidR="008E5DE4" w:rsidRPr="008E5DE4" w:rsidRDefault="008E5DE4" w:rsidP="008E5DE4">
      <w:pPr>
        <w:jc w:val="both"/>
        <w:rPr>
          <w:rFonts w:ascii="Arial" w:hAnsi="Arial" w:cs="Arial"/>
          <w:sz w:val="22"/>
          <w:szCs w:val="22"/>
          <w:lang w:val="en-GB"/>
        </w:rPr>
      </w:pPr>
      <w:r w:rsidRPr="008E5DE4">
        <w:rPr>
          <w:rFonts w:ascii="Arial" w:hAnsi="Arial" w:cs="Arial"/>
          <w:sz w:val="22"/>
          <w:szCs w:val="22"/>
          <w:lang w:val="en-GB"/>
        </w:rPr>
        <w:t xml:space="preserve">The </w:t>
      </w:r>
      <w:proofErr w:type="spellStart"/>
      <w:r w:rsidRPr="008E5DE4">
        <w:rPr>
          <w:rFonts w:ascii="Arial" w:hAnsi="Arial" w:cs="Arial"/>
          <w:sz w:val="22"/>
          <w:szCs w:val="22"/>
          <w:lang w:val="en-GB"/>
        </w:rPr>
        <w:t>Erewhon</w:t>
      </w:r>
      <w:proofErr w:type="spellEnd"/>
      <w:r w:rsidRPr="008E5DE4">
        <w:rPr>
          <w:rFonts w:ascii="Arial" w:hAnsi="Arial" w:cs="Arial"/>
          <w:sz w:val="22"/>
          <w:szCs w:val="22"/>
          <w:lang w:val="en-GB"/>
        </w:rPr>
        <w:t xml:space="preserve"> liquidator should contact Apex advising them on the winding-up order granted in </w:t>
      </w:r>
      <w:proofErr w:type="spellStart"/>
      <w:r w:rsidRPr="008E5DE4">
        <w:rPr>
          <w:rFonts w:ascii="Arial" w:hAnsi="Arial" w:cs="Arial"/>
          <w:sz w:val="22"/>
          <w:szCs w:val="22"/>
          <w:lang w:val="en-GB"/>
        </w:rPr>
        <w:t>Erewhon</w:t>
      </w:r>
      <w:proofErr w:type="spellEnd"/>
      <w:r w:rsidRPr="008E5DE4">
        <w:rPr>
          <w:rFonts w:ascii="Arial" w:hAnsi="Arial" w:cs="Arial"/>
          <w:sz w:val="22"/>
          <w:szCs w:val="22"/>
          <w:lang w:val="en-GB"/>
        </w:rPr>
        <w:t xml:space="preserve"> placing Nadir into liquidation. The </w:t>
      </w:r>
      <w:proofErr w:type="spellStart"/>
      <w:r w:rsidRPr="008E5DE4">
        <w:rPr>
          <w:rFonts w:ascii="Arial" w:hAnsi="Arial" w:cs="Arial"/>
          <w:sz w:val="22"/>
          <w:szCs w:val="22"/>
          <w:lang w:val="en-GB"/>
        </w:rPr>
        <w:t>Erewhon</w:t>
      </w:r>
      <w:proofErr w:type="spellEnd"/>
      <w:r w:rsidRPr="008E5DE4">
        <w:rPr>
          <w:rFonts w:ascii="Arial" w:hAnsi="Arial" w:cs="Arial"/>
          <w:sz w:val="22"/>
          <w:szCs w:val="22"/>
          <w:lang w:val="en-GB"/>
        </w:rPr>
        <w:t xml:space="preserve"> liquidator should advise Apex that as Utopia has adopted the UNCITRAL Model Law on Cross-border Insolvency, there should only be one insolvency proceeding covering all of the debtor's assets and debt worldwide. As such, since the creditors have already commenced the proceeding, Apex will be unable to. The </w:t>
      </w:r>
      <w:proofErr w:type="spellStart"/>
      <w:r w:rsidRPr="008E5DE4">
        <w:rPr>
          <w:rFonts w:ascii="Arial" w:hAnsi="Arial" w:cs="Arial"/>
          <w:sz w:val="22"/>
          <w:szCs w:val="22"/>
          <w:lang w:val="en-GB"/>
        </w:rPr>
        <w:t>Erewhon</w:t>
      </w:r>
      <w:proofErr w:type="spellEnd"/>
      <w:r w:rsidRPr="008E5DE4">
        <w:rPr>
          <w:rFonts w:ascii="Arial" w:hAnsi="Arial" w:cs="Arial"/>
          <w:sz w:val="22"/>
          <w:szCs w:val="22"/>
          <w:lang w:val="en-GB"/>
        </w:rPr>
        <w:t xml:space="preserve"> liquidator should advise Apex that they will not be at a disadvantage considering they did not undertake the winding-up proceedings. The benefit of UNCITRAL Model Law is that all creditors worldwide will be able to submit a claim, and all claims will be treated on an equal basis. </w:t>
      </w:r>
    </w:p>
    <w:p w14:paraId="7FE5901A" w14:textId="77777777" w:rsidR="008E5DE4" w:rsidRPr="008E5DE4" w:rsidRDefault="008E5DE4" w:rsidP="008E5DE4">
      <w:pPr>
        <w:jc w:val="both"/>
        <w:rPr>
          <w:rFonts w:ascii="Arial" w:hAnsi="Arial" w:cs="Arial"/>
          <w:sz w:val="22"/>
          <w:szCs w:val="22"/>
          <w:lang w:val="en-GB"/>
        </w:rPr>
      </w:pPr>
    </w:p>
    <w:p w14:paraId="24D63AD2" w14:textId="77777777" w:rsidR="008E5DE4" w:rsidRPr="008E5DE4" w:rsidRDefault="008E5DE4" w:rsidP="008E5DE4">
      <w:pPr>
        <w:jc w:val="both"/>
        <w:rPr>
          <w:rFonts w:ascii="Arial" w:hAnsi="Arial" w:cs="Arial"/>
          <w:sz w:val="22"/>
          <w:szCs w:val="22"/>
          <w:lang w:val="en-GB"/>
        </w:rPr>
      </w:pPr>
      <w:r w:rsidRPr="008E5DE4">
        <w:rPr>
          <w:rFonts w:ascii="Arial" w:hAnsi="Arial" w:cs="Arial"/>
          <w:sz w:val="22"/>
          <w:szCs w:val="22"/>
          <w:lang w:val="en-GB"/>
        </w:rPr>
        <w:t xml:space="preserve">The </w:t>
      </w:r>
      <w:proofErr w:type="spellStart"/>
      <w:r w:rsidRPr="008E5DE4">
        <w:rPr>
          <w:rFonts w:ascii="Arial" w:hAnsi="Arial" w:cs="Arial"/>
          <w:sz w:val="22"/>
          <w:szCs w:val="22"/>
          <w:lang w:val="en-GB"/>
        </w:rPr>
        <w:t>Erewhon</w:t>
      </w:r>
      <w:proofErr w:type="spellEnd"/>
      <w:r w:rsidRPr="008E5DE4">
        <w:rPr>
          <w:rFonts w:ascii="Arial" w:hAnsi="Arial" w:cs="Arial"/>
          <w:sz w:val="22"/>
          <w:szCs w:val="22"/>
          <w:lang w:val="en-GB"/>
        </w:rPr>
        <w:t xml:space="preserve"> liquidator should be aware that in accordance with the Cross-Border Insolvency Act 2008, they will be able to recognise their winding-up order in Utopia, where Nadir is now a registered company to peruse the assets of Utopia.</w:t>
      </w:r>
    </w:p>
    <w:p w14:paraId="26D9458A" w14:textId="77777777" w:rsidR="00CD6788" w:rsidRPr="00BF1C6F" w:rsidRDefault="00CD6788" w:rsidP="00C053F7">
      <w:pPr>
        <w:jc w:val="both"/>
        <w:rPr>
          <w:rFonts w:ascii="Arial" w:hAnsi="Arial" w:cs="Arial"/>
          <w:sz w:val="22"/>
          <w:szCs w:val="22"/>
          <w:lang w:val="en-GB"/>
        </w:rPr>
      </w:pPr>
    </w:p>
    <w:p w14:paraId="0D37BBBB" w14:textId="7C4B58CA" w:rsidR="002F75A3" w:rsidRPr="00BF1C6F" w:rsidRDefault="002F75A3"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1B5E2F08" w14:textId="0762F464" w:rsidR="002D3473" w:rsidRDefault="002A6AF2" w:rsidP="00C053F7">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(a) </w:t>
      </w:r>
      <w:r w:rsidRPr="002A6AF2">
        <w:rPr>
          <w:rFonts w:ascii="Arial" w:hAnsi="Arial" w:cs="Arial"/>
          <w:sz w:val="22"/>
          <w:szCs w:val="22"/>
          <w:lang w:val="en-GB"/>
        </w:rPr>
        <w:t xml:space="preserve">Apex, having filed proceedings, having not been heard by the court, will not make a difference to the advice given to the </w:t>
      </w:r>
      <w:proofErr w:type="spellStart"/>
      <w:r w:rsidRPr="002A6AF2">
        <w:rPr>
          <w:rFonts w:ascii="Arial" w:hAnsi="Arial" w:cs="Arial"/>
          <w:sz w:val="22"/>
          <w:szCs w:val="22"/>
          <w:lang w:val="en-GB"/>
        </w:rPr>
        <w:t>Erewhon</w:t>
      </w:r>
      <w:proofErr w:type="spellEnd"/>
      <w:r w:rsidRPr="002A6AF2">
        <w:rPr>
          <w:rFonts w:ascii="Arial" w:hAnsi="Arial" w:cs="Arial"/>
          <w:sz w:val="22"/>
          <w:szCs w:val="22"/>
          <w:lang w:val="en-GB"/>
        </w:rPr>
        <w:t xml:space="preserve"> liquidator.  </w:t>
      </w:r>
    </w:p>
    <w:p w14:paraId="7A4660D7" w14:textId="099BA909" w:rsidR="002A6AF2" w:rsidRPr="00BF1C6F" w:rsidRDefault="002A6AF2" w:rsidP="00C053F7">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(b) </w:t>
      </w:r>
      <w:r w:rsidR="006328E8" w:rsidRPr="006328E8">
        <w:rPr>
          <w:rFonts w:ascii="Arial" w:hAnsi="Arial" w:cs="Arial"/>
          <w:sz w:val="22"/>
          <w:szCs w:val="22"/>
          <w:lang w:val="en-GB"/>
        </w:rPr>
        <w:t xml:space="preserve">Suppose Apex obtains the court order to wind up before the </w:t>
      </w:r>
      <w:proofErr w:type="spellStart"/>
      <w:r w:rsidR="006328E8" w:rsidRPr="006328E8">
        <w:rPr>
          <w:rFonts w:ascii="Arial" w:hAnsi="Arial" w:cs="Arial"/>
          <w:sz w:val="22"/>
          <w:szCs w:val="22"/>
          <w:lang w:val="en-GB"/>
        </w:rPr>
        <w:t>Erewhon</w:t>
      </w:r>
      <w:proofErr w:type="spellEnd"/>
      <w:r w:rsidR="006328E8" w:rsidRPr="006328E8">
        <w:rPr>
          <w:rFonts w:ascii="Arial" w:hAnsi="Arial" w:cs="Arial"/>
          <w:sz w:val="22"/>
          <w:szCs w:val="22"/>
          <w:lang w:val="en-GB"/>
        </w:rPr>
        <w:t xml:space="preserve"> winding-up order. In that case, the </w:t>
      </w:r>
      <w:proofErr w:type="spellStart"/>
      <w:r w:rsidR="006328E8" w:rsidRPr="006328E8">
        <w:rPr>
          <w:rFonts w:ascii="Arial" w:hAnsi="Arial" w:cs="Arial"/>
          <w:sz w:val="22"/>
          <w:szCs w:val="22"/>
          <w:lang w:val="en-GB"/>
        </w:rPr>
        <w:t>Erewhon</w:t>
      </w:r>
      <w:proofErr w:type="spellEnd"/>
      <w:r w:rsidR="006328E8" w:rsidRPr="006328E8">
        <w:rPr>
          <w:rFonts w:ascii="Arial" w:hAnsi="Arial" w:cs="Arial"/>
          <w:sz w:val="22"/>
          <w:szCs w:val="22"/>
          <w:lang w:val="en-GB"/>
        </w:rPr>
        <w:t xml:space="preserve"> creditor will be unable to obtain the winding-up order under universalism as there should only be one insolvency proceeding covering all Nadir's assets.</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35D8F287" w14:textId="22082C25" w:rsidR="0077498C" w:rsidRDefault="0077498C" w:rsidP="00C053F7">
      <w:pPr>
        <w:jc w:val="both"/>
        <w:rPr>
          <w:rFonts w:ascii="Arial" w:hAnsi="Arial" w:cs="Arial"/>
          <w:color w:val="7B7B7B" w:themeColor="accent3" w:themeShade="BF"/>
          <w:sz w:val="22"/>
          <w:szCs w:val="22"/>
          <w:lang w:val="en-GB"/>
        </w:rPr>
      </w:pPr>
    </w:p>
    <w:p w14:paraId="0625233A" w14:textId="77777777" w:rsidR="003F3652" w:rsidRPr="003F3652" w:rsidRDefault="003F3652" w:rsidP="003F3652">
      <w:pPr>
        <w:jc w:val="both"/>
        <w:rPr>
          <w:rFonts w:ascii="Arial" w:hAnsi="Arial" w:cs="Arial"/>
          <w:color w:val="000000" w:themeColor="text1"/>
          <w:sz w:val="22"/>
          <w:szCs w:val="22"/>
          <w:lang w:val="en-GB"/>
        </w:rPr>
      </w:pPr>
      <w:r w:rsidRPr="003F3652">
        <w:rPr>
          <w:rFonts w:ascii="Arial" w:hAnsi="Arial" w:cs="Arial"/>
          <w:color w:val="000000" w:themeColor="text1"/>
          <w:sz w:val="22"/>
          <w:szCs w:val="22"/>
          <w:lang w:val="en-GB"/>
        </w:rPr>
        <w:t>The country of incorporation in this scenario is the Cayman Islands, however, the corporation has assets and liabilities in several different States. Regardless of the States where the assets or liabilities are located, the harmonised goal will be to maximise the estate's value and harmonise the proceedings to minimise expenses.  The insolvency issues facing the corporate debtor are the following:</w:t>
      </w:r>
    </w:p>
    <w:p w14:paraId="59C52210" w14:textId="77777777" w:rsidR="003F3652" w:rsidRPr="003F3652" w:rsidRDefault="003F3652" w:rsidP="003F3652">
      <w:pPr>
        <w:jc w:val="both"/>
        <w:rPr>
          <w:rFonts w:ascii="Arial" w:hAnsi="Arial" w:cs="Arial"/>
          <w:color w:val="000000" w:themeColor="text1"/>
          <w:sz w:val="22"/>
          <w:szCs w:val="22"/>
          <w:lang w:val="en-GB"/>
        </w:rPr>
      </w:pPr>
    </w:p>
    <w:p w14:paraId="7AB8B047" w14:textId="77777777" w:rsidR="003F3652" w:rsidRPr="003F3652" w:rsidRDefault="003F3652" w:rsidP="003F3652">
      <w:pPr>
        <w:jc w:val="both"/>
        <w:rPr>
          <w:rFonts w:ascii="Arial" w:hAnsi="Arial" w:cs="Arial"/>
          <w:color w:val="000000" w:themeColor="text1"/>
          <w:sz w:val="22"/>
          <w:szCs w:val="22"/>
          <w:lang w:val="en-GB"/>
        </w:rPr>
      </w:pPr>
      <w:r w:rsidRPr="003F3652">
        <w:rPr>
          <w:rFonts w:ascii="Arial" w:hAnsi="Arial" w:cs="Arial"/>
          <w:color w:val="000000" w:themeColor="text1"/>
          <w:sz w:val="22"/>
          <w:szCs w:val="22"/>
          <w:lang w:val="en-GB"/>
        </w:rPr>
        <w:t>-</w:t>
      </w:r>
      <w:r w:rsidRPr="003F3652">
        <w:rPr>
          <w:rFonts w:ascii="Arial" w:hAnsi="Arial" w:cs="Arial"/>
          <w:color w:val="000000" w:themeColor="text1"/>
          <w:sz w:val="22"/>
          <w:szCs w:val="22"/>
          <w:lang w:val="en-GB"/>
        </w:rPr>
        <w:tab/>
        <w:t xml:space="preserve">The corporate debtor has property and land interest in the United Kingdom. </w:t>
      </w:r>
    </w:p>
    <w:p w14:paraId="1A4F8649" w14:textId="77777777" w:rsidR="003F3652" w:rsidRPr="003F3652" w:rsidRDefault="003F3652" w:rsidP="003F3652">
      <w:pPr>
        <w:jc w:val="both"/>
        <w:rPr>
          <w:rFonts w:ascii="Arial" w:hAnsi="Arial" w:cs="Arial"/>
          <w:color w:val="000000" w:themeColor="text1"/>
          <w:sz w:val="22"/>
          <w:szCs w:val="22"/>
          <w:lang w:val="en-GB"/>
        </w:rPr>
      </w:pPr>
      <w:r w:rsidRPr="003F3652">
        <w:rPr>
          <w:rFonts w:ascii="Arial" w:hAnsi="Arial" w:cs="Arial"/>
          <w:color w:val="000000" w:themeColor="text1"/>
          <w:sz w:val="22"/>
          <w:szCs w:val="22"/>
          <w:lang w:val="en-GB"/>
        </w:rPr>
        <w:t>o</w:t>
      </w:r>
      <w:r w:rsidRPr="003F3652">
        <w:rPr>
          <w:rFonts w:ascii="Arial" w:hAnsi="Arial" w:cs="Arial"/>
          <w:color w:val="000000" w:themeColor="text1"/>
          <w:sz w:val="22"/>
          <w:szCs w:val="22"/>
          <w:lang w:val="en-GB"/>
        </w:rPr>
        <w:tab/>
        <w:t xml:space="preserve">Due to universalism and the Court order being an English order recognised by the United Kingdom courts the liquidator will not need to seek further recognition in relation to the order and can proceed to take control of the company’s property and land to recognise the assets for the benefit of the creditors.  </w:t>
      </w:r>
    </w:p>
    <w:p w14:paraId="77DF66F9" w14:textId="77777777" w:rsidR="003F3652" w:rsidRPr="003F3652" w:rsidRDefault="003F3652" w:rsidP="003F3652">
      <w:pPr>
        <w:jc w:val="both"/>
        <w:rPr>
          <w:rFonts w:ascii="Arial" w:hAnsi="Arial" w:cs="Arial"/>
          <w:color w:val="000000" w:themeColor="text1"/>
          <w:sz w:val="22"/>
          <w:szCs w:val="22"/>
          <w:lang w:val="en-GB"/>
        </w:rPr>
      </w:pPr>
    </w:p>
    <w:p w14:paraId="507E5119" w14:textId="77777777" w:rsidR="003F3652" w:rsidRPr="003F3652" w:rsidRDefault="003F3652" w:rsidP="003F3652">
      <w:pPr>
        <w:jc w:val="both"/>
        <w:rPr>
          <w:rFonts w:ascii="Arial" w:hAnsi="Arial" w:cs="Arial"/>
          <w:color w:val="000000" w:themeColor="text1"/>
          <w:sz w:val="22"/>
          <w:szCs w:val="22"/>
          <w:lang w:val="en-GB"/>
        </w:rPr>
      </w:pPr>
      <w:r w:rsidRPr="003F3652">
        <w:rPr>
          <w:rFonts w:ascii="Arial" w:hAnsi="Arial" w:cs="Arial"/>
          <w:color w:val="000000" w:themeColor="text1"/>
          <w:sz w:val="22"/>
          <w:szCs w:val="22"/>
          <w:lang w:val="en-GB"/>
        </w:rPr>
        <w:t>-</w:t>
      </w:r>
      <w:r w:rsidRPr="003F3652">
        <w:rPr>
          <w:rFonts w:ascii="Arial" w:hAnsi="Arial" w:cs="Arial"/>
          <w:color w:val="000000" w:themeColor="text1"/>
          <w:sz w:val="22"/>
          <w:szCs w:val="22"/>
          <w:lang w:val="en-GB"/>
        </w:rPr>
        <w:tab/>
        <w:t xml:space="preserve">Other tangible assets and intangible assets located in Lebanon including a power plant and power purchasing agreements with the local government authorities. </w:t>
      </w:r>
    </w:p>
    <w:p w14:paraId="18FA02A0" w14:textId="77777777" w:rsidR="003F3652" w:rsidRPr="003F3652" w:rsidRDefault="003F3652" w:rsidP="003F3652">
      <w:pPr>
        <w:jc w:val="both"/>
        <w:rPr>
          <w:rFonts w:ascii="Arial" w:hAnsi="Arial" w:cs="Arial"/>
          <w:color w:val="000000" w:themeColor="text1"/>
          <w:sz w:val="22"/>
          <w:szCs w:val="22"/>
          <w:lang w:val="en-GB"/>
        </w:rPr>
      </w:pPr>
      <w:r w:rsidRPr="003F3652">
        <w:rPr>
          <w:rFonts w:ascii="Arial" w:hAnsi="Arial" w:cs="Arial"/>
          <w:color w:val="000000" w:themeColor="text1"/>
          <w:sz w:val="22"/>
          <w:szCs w:val="22"/>
          <w:lang w:val="en-GB"/>
        </w:rPr>
        <w:t>The Cayman Islands winding up order will not be recognised by the Lebanese authorities. The Liquidator will have to get local legal counsel and get the winding-up order recognised locally to realise the company's assets.</w:t>
      </w:r>
    </w:p>
    <w:p w14:paraId="4A438619" w14:textId="77777777" w:rsidR="003F3652" w:rsidRPr="003F3652" w:rsidRDefault="003F3652" w:rsidP="003F3652">
      <w:pPr>
        <w:jc w:val="both"/>
        <w:rPr>
          <w:rFonts w:ascii="Arial" w:hAnsi="Arial" w:cs="Arial"/>
          <w:color w:val="000000" w:themeColor="text1"/>
          <w:sz w:val="22"/>
          <w:szCs w:val="22"/>
          <w:lang w:val="en-GB"/>
        </w:rPr>
      </w:pPr>
    </w:p>
    <w:p w14:paraId="1B7C3BFC" w14:textId="77777777" w:rsidR="003F3652" w:rsidRPr="003F3652" w:rsidRDefault="003F3652" w:rsidP="003F3652">
      <w:pPr>
        <w:jc w:val="both"/>
        <w:rPr>
          <w:rFonts w:ascii="Arial" w:hAnsi="Arial" w:cs="Arial"/>
          <w:color w:val="000000" w:themeColor="text1"/>
          <w:sz w:val="22"/>
          <w:szCs w:val="22"/>
          <w:lang w:val="en-GB"/>
        </w:rPr>
      </w:pPr>
      <w:r w:rsidRPr="003F3652">
        <w:rPr>
          <w:rFonts w:ascii="Arial" w:hAnsi="Arial" w:cs="Arial"/>
          <w:color w:val="000000" w:themeColor="text1"/>
          <w:sz w:val="22"/>
          <w:szCs w:val="22"/>
          <w:lang w:val="en-GB"/>
        </w:rPr>
        <w:t>-</w:t>
      </w:r>
      <w:r w:rsidRPr="003F3652">
        <w:rPr>
          <w:rFonts w:ascii="Arial" w:hAnsi="Arial" w:cs="Arial"/>
          <w:color w:val="000000" w:themeColor="text1"/>
          <w:sz w:val="22"/>
          <w:szCs w:val="22"/>
          <w:lang w:val="en-GB"/>
        </w:rPr>
        <w:tab/>
        <w:t xml:space="preserve">The corporate debtor has a tax liabilities in other countries </w:t>
      </w:r>
    </w:p>
    <w:p w14:paraId="0815F04B" w14:textId="77777777" w:rsidR="003F3652" w:rsidRPr="003F3652" w:rsidRDefault="003F3652" w:rsidP="003F3652">
      <w:pPr>
        <w:jc w:val="both"/>
        <w:rPr>
          <w:rFonts w:ascii="Arial" w:hAnsi="Arial" w:cs="Arial"/>
          <w:color w:val="000000" w:themeColor="text1"/>
          <w:sz w:val="22"/>
          <w:szCs w:val="22"/>
          <w:lang w:val="en-GB"/>
        </w:rPr>
      </w:pPr>
      <w:r w:rsidRPr="003F3652">
        <w:rPr>
          <w:rFonts w:ascii="Arial" w:hAnsi="Arial" w:cs="Arial"/>
          <w:color w:val="000000" w:themeColor="text1"/>
          <w:sz w:val="22"/>
          <w:szCs w:val="22"/>
          <w:lang w:val="en-GB"/>
        </w:rPr>
        <w:t>In the UNCITRAL Legislative Guide on Insolvency Law Part one, the tax liabilities are entitled to be admitted as a claim if the State wishes to do so. According to the legislation, tax claims are admitted and treated in the same manner; as the Cayman Islands does not prioritise foreign tax claims, the government will submit a claim. The Cayman Islands does not afford a "Crown Preference" system.</w:t>
      </w:r>
    </w:p>
    <w:p w14:paraId="4CB01422" w14:textId="77777777" w:rsidR="003F3652" w:rsidRPr="003F3652" w:rsidRDefault="003F3652" w:rsidP="003F3652">
      <w:pPr>
        <w:jc w:val="both"/>
        <w:rPr>
          <w:rFonts w:ascii="Arial" w:hAnsi="Arial" w:cs="Arial"/>
          <w:color w:val="000000" w:themeColor="text1"/>
          <w:sz w:val="22"/>
          <w:szCs w:val="22"/>
          <w:lang w:val="en-GB"/>
        </w:rPr>
      </w:pPr>
    </w:p>
    <w:p w14:paraId="1A01409C" w14:textId="77777777" w:rsidR="003F3652" w:rsidRPr="003F3652" w:rsidRDefault="003F3652" w:rsidP="003F3652">
      <w:pPr>
        <w:jc w:val="both"/>
        <w:rPr>
          <w:rFonts w:ascii="Arial" w:hAnsi="Arial" w:cs="Arial"/>
          <w:color w:val="000000" w:themeColor="text1"/>
          <w:sz w:val="22"/>
          <w:szCs w:val="22"/>
          <w:lang w:val="en-GB"/>
        </w:rPr>
      </w:pPr>
      <w:r w:rsidRPr="003F3652">
        <w:rPr>
          <w:rFonts w:ascii="Arial" w:hAnsi="Arial" w:cs="Arial"/>
          <w:color w:val="000000" w:themeColor="text1"/>
          <w:sz w:val="22"/>
          <w:szCs w:val="22"/>
          <w:lang w:val="en-GB"/>
        </w:rPr>
        <w:t>-</w:t>
      </w:r>
      <w:r w:rsidRPr="003F3652">
        <w:rPr>
          <w:rFonts w:ascii="Arial" w:hAnsi="Arial" w:cs="Arial"/>
          <w:color w:val="000000" w:themeColor="text1"/>
          <w:sz w:val="22"/>
          <w:szCs w:val="22"/>
          <w:lang w:val="en-GB"/>
        </w:rPr>
        <w:tab/>
        <w:t>The corporate debtor has directors in several States</w:t>
      </w:r>
    </w:p>
    <w:p w14:paraId="2E923F6A" w14:textId="3D18557F" w:rsidR="003F3652" w:rsidRPr="00BF1C6F" w:rsidRDefault="003F3652" w:rsidP="003F3652">
      <w:pPr>
        <w:jc w:val="both"/>
        <w:rPr>
          <w:rFonts w:ascii="Arial" w:hAnsi="Arial" w:cs="Arial"/>
          <w:color w:val="000000" w:themeColor="text1"/>
          <w:sz w:val="22"/>
          <w:szCs w:val="22"/>
          <w:lang w:val="en-GB"/>
        </w:rPr>
      </w:pPr>
      <w:r w:rsidRPr="003F3652">
        <w:rPr>
          <w:rFonts w:ascii="Arial" w:hAnsi="Arial" w:cs="Arial"/>
          <w:color w:val="000000" w:themeColor="text1"/>
          <w:sz w:val="22"/>
          <w:szCs w:val="22"/>
          <w:lang w:val="en-GB"/>
        </w:rPr>
        <w:t>o</w:t>
      </w:r>
      <w:r w:rsidRPr="003F3652">
        <w:rPr>
          <w:rFonts w:ascii="Arial" w:hAnsi="Arial" w:cs="Arial"/>
          <w:color w:val="000000" w:themeColor="text1"/>
          <w:sz w:val="22"/>
          <w:szCs w:val="22"/>
          <w:lang w:val="en-GB"/>
        </w:rPr>
        <w:tab/>
        <w:t>The UNCITRAL Legislative Guide on Insolvency Law Part four on Directors’ obligations  would be the suggested law to apply in the insolvency proceeding. This legislative guidance detailed the obligations of a director of the corporate debtor in the period approaching insolvency. The aim of enforcing these obligations is to protect the creditors and contributories interests.</w:t>
      </w: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35E33" w14:textId="77777777" w:rsidR="00103CE2" w:rsidRDefault="00103CE2" w:rsidP="00241B44">
      <w:r>
        <w:separator/>
      </w:r>
    </w:p>
  </w:endnote>
  <w:endnote w:type="continuationSeparator" w:id="0">
    <w:p w14:paraId="2AB6A008" w14:textId="77777777" w:rsidR="00103CE2" w:rsidRDefault="00103CE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2E12F985" w:rsidR="00AD6A7D" w:rsidRPr="00F44220" w:rsidRDefault="00AD6A7D" w:rsidP="00AD6A7D">
    <w:pPr>
      <w:pStyle w:val="Footer"/>
      <w:ind w:right="360"/>
      <w:rPr>
        <w:rFonts w:ascii="Arial" w:hAnsi="Arial" w:cs="Arial"/>
        <w:sz w:val="18"/>
        <w:szCs w:val="18"/>
      </w:rPr>
    </w:pPr>
    <w:r w:rsidRPr="00F44220">
      <w:rPr>
        <w:rFonts w:ascii="Arial" w:hAnsi="Arial" w:cs="Arial"/>
        <w:sz w:val="18"/>
        <w:szCs w:val="18"/>
      </w:rPr>
      <w:t>student</w:t>
    </w:r>
    <w:r w:rsidR="002C1671">
      <w:rPr>
        <w:rFonts w:ascii="Arial" w:hAnsi="Arial" w:cs="Arial"/>
        <w:sz w:val="18"/>
        <w:szCs w:val="18"/>
      </w:rPr>
      <w:t>ID</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EE757" w14:textId="77777777" w:rsidR="00103CE2" w:rsidRDefault="00103CE2" w:rsidP="00241B44">
      <w:r>
        <w:separator/>
      </w:r>
    </w:p>
  </w:footnote>
  <w:footnote w:type="continuationSeparator" w:id="0">
    <w:p w14:paraId="1B17D40A" w14:textId="77777777" w:rsidR="00103CE2" w:rsidRDefault="00103CE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5204373"/>
    <w:multiLevelType w:val="hybridMultilevel"/>
    <w:tmpl w:val="5D481B6A"/>
    <w:lvl w:ilvl="0" w:tplc="721C21B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6"/>
  </w:num>
  <w:num w:numId="4">
    <w:abstractNumId w:val="3"/>
  </w:num>
  <w:num w:numId="5">
    <w:abstractNumId w:val="9"/>
  </w:num>
  <w:num w:numId="6">
    <w:abstractNumId w:val="15"/>
  </w:num>
  <w:num w:numId="7">
    <w:abstractNumId w:val="21"/>
  </w:num>
  <w:num w:numId="8">
    <w:abstractNumId w:val="14"/>
  </w:num>
  <w:num w:numId="9">
    <w:abstractNumId w:val="5"/>
  </w:num>
  <w:num w:numId="10">
    <w:abstractNumId w:val="8"/>
  </w:num>
  <w:num w:numId="11">
    <w:abstractNumId w:val="7"/>
  </w:num>
  <w:num w:numId="12">
    <w:abstractNumId w:val="4"/>
  </w:num>
  <w:num w:numId="13">
    <w:abstractNumId w:val="12"/>
  </w:num>
  <w:num w:numId="14">
    <w:abstractNumId w:val="0"/>
  </w:num>
  <w:num w:numId="15">
    <w:abstractNumId w:val="2"/>
  </w:num>
  <w:num w:numId="16">
    <w:abstractNumId w:val="13"/>
  </w:num>
  <w:num w:numId="17">
    <w:abstractNumId w:val="11"/>
  </w:num>
  <w:num w:numId="18">
    <w:abstractNumId w:val="19"/>
  </w:num>
  <w:num w:numId="19">
    <w:abstractNumId w:val="16"/>
  </w:num>
  <w:num w:numId="20">
    <w:abstractNumId w:val="22"/>
  </w:num>
  <w:num w:numId="21">
    <w:abstractNumId w:val="17"/>
  </w:num>
  <w:num w:numId="22">
    <w:abstractNumId w:val="10"/>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E7B"/>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1707"/>
    <w:rsid w:val="00103CE2"/>
    <w:rsid w:val="00110DA3"/>
    <w:rsid w:val="00113B9E"/>
    <w:rsid w:val="0011473D"/>
    <w:rsid w:val="00115C85"/>
    <w:rsid w:val="00123661"/>
    <w:rsid w:val="00123855"/>
    <w:rsid w:val="00126774"/>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190A"/>
    <w:rsid w:val="001D4139"/>
    <w:rsid w:val="001D4862"/>
    <w:rsid w:val="001E25B9"/>
    <w:rsid w:val="001E49E0"/>
    <w:rsid w:val="001E7B5A"/>
    <w:rsid w:val="001F7412"/>
    <w:rsid w:val="0020725B"/>
    <w:rsid w:val="00241B44"/>
    <w:rsid w:val="00245EFB"/>
    <w:rsid w:val="0026515D"/>
    <w:rsid w:val="002668D3"/>
    <w:rsid w:val="0027299F"/>
    <w:rsid w:val="0027745C"/>
    <w:rsid w:val="00284EBE"/>
    <w:rsid w:val="00286AE6"/>
    <w:rsid w:val="0029433F"/>
    <w:rsid w:val="00294829"/>
    <w:rsid w:val="0029690F"/>
    <w:rsid w:val="002A2A60"/>
    <w:rsid w:val="002A6AF2"/>
    <w:rsid w:val="002B1C45"/>
    <w:rsid w:val="002C13C8"/>
    <w:rsid w:val="002C1671"/>
    <w:rsid w:val="002C3547"/>
    <w:rsid w:val="002D0021"/>
    <w:rsid w:val="002D31CD"/>
    <w:rsid w:val="002D3473"/>
    <w:rsid w:val="002F1956"/>
    <w:rsid w:val="002F3440"/>
    <w:rsid w:val="002F75A3"/>
    <w:rsid w:val="00303C2F"/>
    <w:rsid w:val="003102B8"/>
    <w:rsid w:val="00313FDE"/>
    <w:rsid w:val="003144EF"/>
    <w:rsid w:val="0032331E"/>
    <w:rsid w:val="00330937"/>
    <w:rsid w:val="00330F31"/>
    <w:rsid w:val="00334648"/>
    <w:rsid w:val="00334EF9"/>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5AD"/>
    <w:rsid w:val="003E67D1"/>
    <w:rsid w:val="003F3652"/>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0125"/>
    <w:rsid w:val="00522604"/>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06B19"/>
    <w:rsid w:val="00610388"/>
    <w:rsid w:val="00612CA5"/>
    <w:rsid w:val="006153EC"/>
    <w:rsid w:val="00621A17"/>
    <w:rsid w:val="00627CC9"/>
    <w:rsid w:val="00627E7B"/>
    <w:rsid w:val="00630542"/>
    <w:rsid w:val="006328E8"/>
    <w:rsid w:val="00632E44"/>
    <w:rsid w:val="00634622"/>
    <w:rsid w:val="00636110"/>
    <w:rsid w:val="00636808"/>
    <w:rsid w:val="00641515"/>
    <w:rsid w:val="00654C2F"/>
    <w:rsid w:val="00657087"/>
    <w:rsid w:val="00677AEB"/>
    <w:rsid w:val="00687A1D"/>
    <w:rsid w:val="00692DC2"/>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2661"/>
    <w:rsid w:val="00784128"/>
    <w:rsid w:val="00793173"/>
    <w:rsid w:val="007A799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E5DE4"/>
    <w:rsid w:val="008F20FC"/>
    <w:rsid w:val="008F6301"/>
    <w:rsid w:val="00905A43"/>
    <w:rsid w:val="00912C79"/>
    <w:rsid w:val="00942123"/>
    <w:rsid w:val="0095207B"/>
    <w:rsid w:val="00962045"/>
    <w:rsid w:val="00970E2E"/>
    <w:rsid w:val="00991428"/>
    <w:rsid w:val="00992676"/>
    <w:rsid w:val="00996826"/>
    <w:rsid w:val="009B0723"/>
    <w:rsid w:val="009B07AD"/>
    <w:rsid w:val="009B0883"/>
    <w:rsid w:val="009B15E2"/>
    <w:rsid w:val="009C0B8E"/>
    <w:rsid w:val="009C1BC8"/>
    <w:rsid w:val="009C2442"/>
    <w:rsid w:val="009D0811"/>
    <w:rsid w:val="009D0EE1"/>
    <w:rsid w:val="009D4188"/>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0C4D"/>
    <w:rsid w:val="00B14819"/>
    <w:rsid w:val="00B17AA9"/>
    <w:rsid w:val="00B72AE1"/>
    <w:rsid w:val="00B736DF"/>
    <w:rsid w:val="00B74FBD"/>
    <w:rsid w:val="00B82586"/>
    <w:rsid w:val="00B86DB1"/>
    <w:rsid w:val="00B87869"/>
    <w:rsid w:val="00BB0F2B"/>
    <w:rsid w:val="00BF1C6F"/>
    <w:rsid w:val="00BF50F7"/>
    <w:rsid w:val="00C02F29"/>
    <w:rsid w:val="00C053F7"/>
    <w:rsid w:val="00C076FE"/>
    <w:rsid w:val="00C22A25"/>
    <w:rsid w:val="00C33C6C"/>
    <w:rsid w:val="00C35671"/>
    <w:rsid w:val="00C35B77"/>
    <w:rsid w:val="00C376EB"/>
    <w:rsid w:val="00C46EC1"/>
    <w:rsid w:val="00C53E2C"/>
    <w:rsid w:val="00C550C8"/>
    <w:rsid w:val="00C606C3"/>
    <w:rsid w:val="00C72848"/>
    <w:rsid w:val="00C7736C"/>
    <w:rsid w:val="00C82D87"/>
    <w:rsid w:val="00C84905"/>
    <w:rsid w:val="00C8712A"/>
    <w:rsid w:val="00C900EB"/>
    <w:rsid w:val="00C963D3"/>
    <w:rsid w:val="00CB2CBB"/>
    <w:rsid w:val="00CB3E1F"/>
    <w:rsid w:val="00CB7CAC"/>
    <w:rsid w:val="00CC5335"/>
    <w:rsid w:val="00CC5BA4"/>
    <w:rsid w:val="00CD4998"/>
    <w:rsid w:val="00CD6788"/>
    <w:rsid w:val="00CE1035"/>
    <w:rsid w:val="00CF2819"/>
    <w:rsid w:val="00CF4F9D"/>
    <w:rsid w:val="00CF70DC"/>
    <w:rsid w:val="00D104E4"/>
    <w:rsid w:val="00D148DC"/>
    <w:rsid w:val="00D17FDC"/>
    <w:rsid w:val="00D63EFD"/>
    <w:rsid w:val="00D71A18"/>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0654"/>
    <w:rsid w:val="00DF75F8"/>
    <w:rsid w:val="00DF7A3A"/>
    <w:rsid w:val="00E00C00"/>
    <w:rsid w:val="00E07C5A"/>
    <w:rsid w:val="00E141EA"/>
    <w:rsid w:val="00E15BA9"/>
    <w:rsid w:val="00E26E19"/>
    <w:rsid w:val="00E450A4"/>
    <w:rsid w:val="00E506BE"/>
    <w:rsid w:val="00E52AA4"/>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3C4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CD6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Rohan, Rebecca</cp:lastModifiedBy>
  <cp:revision>15</cp:revision>
  <cp:lastPrinted>2019-09-04T15:45:00Z</cp:lastPrinted>
  <dcterms:created xsi:type="dcterms:W3CDTF">2021-10-15T17:35:00Z</dcterms:created>
  <dcterms:modified xsi:type="dcterms:W3CDTF">2021-10-15T17:40:00Z</dcterms:modified>
</cp:coreProperties>
</file>