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6E0B4C" w:rsidRDefault="00B736DF" w:rsidP="009E1027">
      <w:pPr>
        <w:pStyle w:val="ListParagraph"/>
        <w:numPr>
          <w:ilvl w:val="0"/>
          <w:numId w:val="12"/>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6E0B4C" w:rsidRDefault="00161F1B" w:rsidP="009E1027">
      <w:pPr>
        <w:pStyle w:val="ListParagraph"/>
        <w:numPr>
          <w:ilvl w:val="0"/>
          <w:numId w:val="13"/>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6E0B4C" w:rsidRDefault="009E2E27" w:rsidP="008031A7">
      <w:pPr>
        <w:pStyle w:val="ListParagraph"/>
        <w:numPr>
          <w:ilvl w:val="0"/>
          <w:numId w:val="14"/>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6E0B4C" w:rsidRDefault="009E2E27" w:rsidP="008031A7">
      <w:pPr>
        <w:pStyle w:val="ListParagraph"/>
        <w:numPr>
          <w:ilvl w:val="0"/>
          <w:numId w:val="15"/>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Thi</w:t>
      </w:r>
      <w:r w:rsidR="00E15BA9" w:rsidRPr="006E0B4C">
        <w:rPr>
          <w:rFonts w:ascii="Arial" w:hAnsi="Arial" w:cs="Arial"/>
          <w:sz w:val="22"/>
          <w:szCs w:val="22"/>
          <w:highlight w:val="yellow"/>
          <w:lang w:val="en-GB"/>
        </w:rPr>
        <w:t>s statement is untrue since some</w:t>
      </w:r>
      <w:r w:rsidRPr="006E0B4C">
        <w:rPr>
          <w:rFonts w:ascii="Arial" w:hAnsi="Arial" w:cs="Arial"/>
          <w:sz w:val="22"/>
          <w:szCs w:val="22"/>
          <w:highlight w:val="yellow"/>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E0B4C" w:rsidRDefault="00A235B7" w:rsidP="006D01C2">
      <w:pPr>
        <w:pStyle w:val="ListParagraph"/>
        <w:numPr>
          <w:ilvl w:val="0"/>
          <w:numId w:val="16"/>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The statement</w:t>
      </w:r>
      <w:r w:rsidR="0037465A" w:rsidRPr="006E0B4C">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88621C"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88621C">
        <w:rPr>
          <w:rFonts w:ascii="Arial" w:eastAsiaTheme="minorHAnsi" w:hAnsi="Arial" w:cs="Arial"/>
          <w:sz w:val="22"/>
          <w:szCs w:val="22"/>
          <w:highlight w:val="yellow"/>
          <w:lang w:val="en-GB"/>
        </w:rPr>
        <w:t>Public International Law</w:t>
      </w:r>
      <w:r w:rsidR="00991428" w:rsidRPr="0088621C">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6E0B4C" w:rsidRDefault="004D1A5A" w:rsidP="006D01C2">
      <w:pPr>
        <w:pStyle w:val="ListParagraph"/>
        <w:numPr>
          <w:ilvl w:val="0"/>
          <w:numId w:val="18"/>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UNCITRAL Model Law on Cross-border Insolvency (1997)</w:t>
      </w:r>
      <w:r w:rsidR="00912C79" w:rsidRPr="006E0B4C">
        <w:rPr>
          <w:rFonts w:ascii="Arial" w:hAnsi="Arial" w:cs="Arial"/>
          <w:sz w:val="22"/>
          <w:szCs w:val="22"/>
          <w:highlight w:val="yellow"/>
          <w:lang w:val="en-GB"/>
        </w:rPr>
        <w:t>.</w:t>
      </w:r>
      <w:r w:rsidRPr="006E0B4C">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6E0B4C" w:rsidRDefault="001A7E9A" w:rsidP="006D01C2">
      <w:pPr>
        <w:pStyle w:val="ListParagraph"/>
        <w:numPr>
          <w:ilvl w:val="0"/>
          <w:numId w:val="19"/>
        </w:numPr>
        <w:ind w:left="426"/>
        <w:jc w:val="both"/>
        <w:rPr>
          <w:rFonts w:ascii="Arial" w:hAnsi="Arial" w:cs="Arial"/>
          <w:sz w:val="22"/>
          <w:szCs w:val="22"/>
          <w:highlight w:val="yellow"/>
          <w:lang w:val="en-GB"/>
        </w:rPr>
      </w:pPr>
      <w:r w:rsidRPr="006E0B4C">
        <w:rPr>
          <w:rFonts w:ascii="Arial" w:hAnsi="Arial" w:cs="Arial"/>
          <w:sz w:val="22"/>
          <w:szCs w:val="22"/>
          <w:highlight w:val="yellow"/>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DB6C20" w:rsidRDefault="0082483F" w:rsidP="006D01C2">
      <w:pPr>
        <w:pStyle w:val="ListParagraph"/>
        <w:numPr>
          <w:ilvl w:val="0"/>
          <w:numId w:val="20"/>
        </w:numPr>
        <w:ind w:left="426"/>
        <w:jc w:val="both"/>
        <w:rPr>
          <w:rFonts w:ascii="Arial" w:hAnsi="Arial" w:cs="Arial"/>
          <w:sz w:val="22"/>
          <w:szCs w:val="22"/>
          <w:highlight w:val="yellow"/>
          <w:lang w:val="en-GB"/>
        </w:rPr>
      </w:pPr>
      <w:r w:rsidRPr="00DB6C20">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DB6C2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B6C2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06174C88" w:rsidR="009B07AD" w:rsidRDefault="00884190"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Wessels defined international insolvency law as that part of law which:</w:t>
      </w:r>
    </w:p>
    <w:p w14:paraId="46DFA92A" w14:textId="1109F3CB" w:rsidR="00884190" w:rsidRDefault="00884190" w:rsidP="00C053F7">
      <w:pPr>
        <w:ind w:left="720" w:hanging="720"/>
        <w:jc w:val="both"/>
        <w:rPr>
          <w:rFonts w:ascii="Arial" w:hAnsi="Arial" w:cs="Arial"/>
          <w:color w:val="7B7B7B" w:themeColor="accent3" w:themeShade="BF"/>
          <w:sz w:val="22"/>
          <w:szCs w:val="22"/>
          <w:lang w:val="en-GB"/>
        </w:rPr>
      </w:pPr>
    </w:p>
    <w:p w14:paraId="45DA7775" w14:textId="3C28BDCD" w:rsidR="00884190" w:rsidRPr="00BF1C6F" w:rsidRDefault="00884190" w:rsidP="00884190">
      <w:pPr>
        <w:jc w:val="both"/>
        <w:rPr>
          <w:rFonts w:ascii="Arial" w:hAnsi="Arial" w:cs="Arial"/>
          <w:sz w:val="22"/>
          <w:szCs w:val="22"/>
          <w:lang w:val="en-GB"/>
        </w:rPr>
      </w:pPr>
      <w:r>
        <w:rPr>
          <w:rFonts w:ascii="Arial" w:hAnsi="Arial" w:cs="Arial"/>
          <w:color w:val="7B7B7B" w:themeColor="accent3" w:themeShade="BF"/>
          <w:sz w:val="22"/>
          <w:szCs w:val="22"/>
          <w:lang w:val="en-GB"/>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the case.’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1F798275" w:rsidR="009B07AD" w:rsidRDefault="00884190" w:rsidP="008841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generally refers to an approach to international insolvency whereby the insolvency law applicable in the debtor’s centre of main interest (‘COM</w:t>
      </w:r>
      <w:r w:rsidR="0088621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is effective in all other jurisdictions applicable to that insolvency.</w:t>
      </w:r>
    </w:p>
    <w:p w14:paraId="02945D56" w14:textId="1D02FD5A" w:rsidR="00884190" w:rsidRDefault="00884190" w:rsidP="00884190">
      <w:pPr>
        <w:jc w:val="both"/>
        <w:rPr>
          <w:rFonts w:ascii="Arial" w:hAnsi="Arial" w:cs="Arial"/>
          <w:color w:val="7B7B7B" w:themeColor="accent3" w:themeShade="BF"/>
          <w:sz w:val="22"/>
          <w:szCs w:val="22"/>
          <w:lang w:val="en-GB"/>
        </w:rPr>
      </w:pPr>
    </w:p>
    <w:p w14:paraId="16BE1E32" w14:textId="1CC3C894" w:rsidR="00884190" w:rsidRPr="00BF1C6F" w:rsidRDefault="00884190" w:rsidP="00884190">
      <w:pPr>
        <w:jc w:val="both"/>
        <w:rPr>
          <w:rFonts w:ascii="Arial" w:hAnsi="Arial" w:cs="Arial"/>
          <w:sz w:val="22"/>
          <w:szCs w:val="22"/>
          <w:lang w:val="en-GB"/>
        </w:rPr>
      </w:pPr>
      <w:r>
        <w:rPr>
          <w:rFonts w:ascii="Arial" w:hAnsi="Arial" w:cs="Arial"/>
          <w:color w:val="7B7B7B" w:themeColor="accent3" w:themeShade="BF"/>
          <w:sz w:val="22"/>
          <w:szCs w:val="22"/>
          <w:lang w:val="en-GB"/>
        </w:rPr>
        <w:t>Territoriality refers to an approach whereby the insolvency law of the state is only applicable in that state and has no cross-border reach.  This can often result in numerous insolvency proceedings being commenced in respect of the same debtor but with different insolvency laws being applicable.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19DCC746" w14:textId="7E326C37" w:rsidR="00395416" w:rsidRPr="0039138D" w:rsidRDefault="00395416" w:rsidP="00C053F7">
      <w:p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Both Bahrain and Dubai (International Financial Centre) have adopted the Model law on Cross-Border Insolvency, in 2018 and 2019 respectively.</w:t>
      </w:r>
    </w:p>
    <w:p w14:paraId="6F6E7011" w14:textId="4A8471B3" w:rsidR="00395416" w:rsidRPr="0039138D" w:rsidRDefault="00395416" w:rsidP="00C053F7">
      <w:pPr>
        <w:jc w:val="both"/>
        <w:rPr>
          <w:rFonts w:ascii="Arial" w:hAnsi="Arial" w:cs="Arial"/>
          <w:color w:val="7B7B7B" w:themeColor="accent3" w:themeShade="BF"/>
          <w:sz w:val="22"/>
          <w:szCs w:val="22"/>
          <w:lang w:val="en-GB"/>
        </w:rPr>
      </w:pPr>
    </w:p>
    <w:p w14:paraId="560AB8BE" w14:textId="69FB9A09" w:rsidR="00395416" w:rsidRPr="0039138D" w:rsidRDefault="00395416" w:rsidP="00C053F7">
      <w:p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A number of state in the Middle East have reformed their domestic insolvency laws:</w:t>
      </w:r>
    </w:p>
    <w:p w14:paraId="745148FF" w14:textId="4828CAEA" w:rsidR="00395416" w:rsidRPr="0039138D" w:rsidRDefault="00395416" w:rsidP="00395416">
      <w:pPr>
        <w:pStyle w:val="ListParagraph"/>
        <w:numPr>
          <w:ilvl w:val="0"/>
          <w:numId w:val="23"/>
        </w:num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UAE in 2016 and 2019</w:t>
      </w:r>
    </w:p>
    <w:p w14:paraId="5FFD42A8" w14:textId="3D6BA1BA" w:rsidR="00395416" w:rsidRPr="0039138D" w:rsidRDefault="00395416" w:rsidP="00395416">
      <w:pPr>
        <w:pStyle w:val="ListParagraph"/>
        <w:numPr>
          <w:ilvl w:val="0"/>
          <w:numId w:val="23"/>
        </w:num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Saudi Arabia in 2018</w:t>
      </w:r>
    </w:p>
    <w:p w14:paraId="6528361C" w14:textId="33B5CEEE" w:rsidR="00395416" w:rsidRPr="0039138D" w:rsidRDefault="00395416" w:rsidP="00395416">
      <w:pPr>
        <w:pStyle w:val="ListParagraph"/>
        <w:numPr>
          <w:ilvl w:val="0"/>
          <w:numId w:val="23"/>
        </w:num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Dubai in 2019</w:t>
      </w:r>
    </w:p>
    <w:p w14:paraId="60D04624" w14:textId="1BB1DD86" w:rsidR="00395416" w:rsidRPr="0039138D" w:rsidRDefault="00395416" w:rsidP="00395416">
      <w:pPr>
        <w:jc w:val="both"/>
        <w:rPr>
          <w:rFonts w:ascii="Arial" w:hAnsi="Arial" w:cs="Arial"/>
          <w:color w:val="7B7B7B" w:themeColor="accent3" w:themeShade="BF"/>
          <w:sz w:val="22"/>
          <w:szCs w:val="22"/>
          <w:lang w:val="en-GB"/>
        </w:rPr>
      </w:pPr>
    </w:p>
    <w:p w14:paraId="118C1907" w14:textId="3B180A5B" w:rsidR="00395416" w:rsidRPr="0039138D" w:rsidRDefault="00395416" w:rsidP="00395416">
      <w:pPr>
        <w:jc w:val="both"/>
        <w:rPr>
          <w:rFonts w:ascii="Arial" w:hAnsi="Arial" w:cs="Arial"/>
          <w:color w:val="7B7B7B" w:themeColor="accent3" w:themeShade="BF"/>
          <w:sz w:val="22"/>
          <w:szCs w:val="22"/>
          <w:lang w:val="en-GB"/>
        </w:rPr>
      </w:pPr>
      <w:r w:rsidRPr="0039138D">
        <w:rPr>
          <w:rFonts w:ascii="Arial" w:hAnsi="Arial" w:cs="Arial"/>
          <w:color w:val="7B7B7B" w:themeColor="accent3" w:themeShade="BF"/>
          <w:sz w:val="22"/>
          <w:szCs w:val="22"/>
          <w:lang w:val="en-GB"/>
        </w:rPr>
        <w:t>In 2009 the first comparative survey of insolvency systems in North Africa and the Middle East took place.</w:t>
      </w:r>
      <w:r w:rsidR="0039138D" w:rsidRPr="0039138D">
        <w:rPr>
          <w:rFonts w:ascii="Arial" w:hAnsi="Arial" w:cs="Arial"/>
          <w:color w:val="7B7B7B" w:themeColor="accent3" w:themeShade="BF"/>
          <w:sz w:val="22"/>
          <w:szCs w:val="22"/>
          <w:lang w:val="en-GB"/>
        </w:rPr>
        <w:t xml:space="preserve">  It used the World Bank’s Principles for Effective Insolvency and Creditor Rights Systems (2005) as a measure of best practice.</w:t>
      </w:r>
    </w:p>
    <w:p w14:paraId="30712599" w14:textId="77777777" w:rsidR="00395416" w:rsidRPr="00BF1C6F" w:rsidRDefault="00395416"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8C5E8BC" w14:textId="34720D00" w:rsidR="006C56F3" w:rsidRDefault="006C56F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objective in the insolvency of individuals, in situations where there has been no wrongdoing, is to protect the individual from the ongoing pursuit of his/her creditors.  The insolvency of an individual will generally allow the individual to maintain their main residence and a certain standard of living, whilst realising additional assets and using contributions from future income to create an asset pool to be distributed to the individual’s creditors on a pari passu basis.</w:t>
      </w:r>
    </w:p>
    <w:p w14:paraId="258E5D70" w14:textId="77777777" w:rsidR="006C56F3" w:rsidRDefault="006C56F3" w:rsidP="00C053F7">
      <w:pPr>
        <w:jc w:val="both"/>
        <w:rPr>
          <w:rFonts w:ascii="Arial" w:hAnsi="Arial" w:cs="Arial"/>
          <w:color w:val="7B7B7B" w:themeColor="accent3" w:themeShade="BF"/>
          <w:sz w:val="22"/>
          <w:szCs w:val="22"/>
          <w:lang w:val="en-GB"/>
        </w:rPr>
      </w:pPr>
    </w:p>
    <w:p w14:paraId="4024A332" w14:textId="148DF8CC" w:rsidR="00544127" w:rsidRDefault="0039138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objectives of a corporate insolvency are to maximise the realisations of the debtor in order to pay the creditors in order of priority, with secured creditors ranking first and all unsecured creditors ranking pari passu, meaning that any assets available for the unsecured creditors will be distributed equally usually representing a p in the £ on a claim.</w:t>
      </w:r>
    </w:p>
    <w:p w14:paraId="0916CB68" w14:textId="288EDB47" w:rsidR="0039138D" w:rsidRDefault="0039138D" w:rsidP="00C053F7">
      <w:pPr>
        <w:jc w:val="both"/>
        <w:rPr>
          <w:rFonts w:ascii="Arial" w:hAnsi="Arial" w:cs="Arial"/>
          <w:color w:val="7B7B7B" w:themeColor="accent3" w:themeShade="BF"/>
          <w:sz w:val="22"/>
          <w:szCs w:val="22"/>
          <w:lang w:val="en-GB"/>
        </w:rPr>
      </w:pPr>
    </w:p>
    <w:p w14:paraId="0B7F0B10" w14:textId="3F0719AF" w:rsidR="0039138D" w:rsidRPr="00BF1C6F" w:rsidRDefault="0039138D" w:rsidP="00C053F7">
      <w:pPr>
        <w:jc w:val="both"/>
        <w:rPr>
          <w:rFonts w:ascii="Arial" w:hAnsi="Arial" w:cs="Arial"/>
          <w:sz w:val="24"/>
          <w:lang w:val="en-GB"/>
        </w:rPr>
      </w:pPr>
      <w:r>
        <w:rPr>
          <w:rFonts w:ascii="Arial" w:hAnsi="Arial" w:cs="Arial"/>
          <w:color w:val="7B7B7B" w:themeColor="accent3" w:themeShade="BF"/>
          <w:sz w:val="22"/>
          <w:szCs w:val="22"/>
          <w:lang w:val="en-GB"/>
        </w:rPr>
        <w:t xml:space="preserve">In certain jurisdictions, including the UK, the insolvency practitioner may have a duty to first explore the rescue of the company as a </w:t>
      </w:r>
      <w:r w:rsidR="0088621C">
        <w:rPr>
          <w:rFonts w:ascii="Arial" w:hAnsi="Arial" w:cs="Arial"/>
          <w:color w:val="7B7B7B" w:themeColor="accent3" w:themeShade="BF"/>
          <w:sz w:val="22"/>
          <w:szCs w:val="22"/>
          <w:lang w:val="en-GB"/>
        </w:rPr>
        <w:t xml:space="preserve">going </w:t>
      </w:r>
      <w:r>
        <w:rPr>
          <w:rFonts w:ascii="Arial" w:hAnsi="Arial" w:cs="Arial"/>
          <w:color w:val="7B7B7B" w:themeColor="accent3" w:themeShade="BF"/>
          <w:sz w:val="22"/>
          <w:szCs w:val="22"/>
          <w:lang w:val="en-GB"/>
        </w:rPr>
        <w:t>concern, which in the vast majority of cases would represent the best outcome for all creditors.</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54BC6F2E" w:rsidR="00DF75F8" w:rsidRDefault="006C56F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very few dom</w:t>
      </w:r>
      <w:r w:rsidR="00254F5E">
        <w:rPr>
          <w:rFonts w:ascii="Arial" w:hAnsi="Arial" w:cs="Arial"/>
          <w:color w:val="7B7B7B" w:themeColor="accent3" w:themeShade="BF"/>
          <w:sz w:val="22"/>
          <w:szCs w:val="22"/>
          <w:lang w:val="en-GB"/>
        </w:rPr>
        <w:t>estic legal systems that are set up to deal with cross-border insolvency law.  Added to this there is a huge variation in the development of domestic insolvency law between states, in many states the insolvency law is outdated and cannot be applied to modern day international trading.</w:t>
      </w:r>
    </w:p>
    <w:p w14:paraId="5C021EF6" w14:textId="792C88FD" w:rsidR="00254F5E" w:rsidRDefault="00254F5E" w:rsidP="00C053F7">
      <w:pPr>
        <w:jc w:val="both"/>
        <w:rPr>
          <w:rFonts w:ascii="Arial" w:hAnsi="Arial" w:cs="Arial"/>
          <w:color w:val="7B7B7B" w:themeColor="accent3" w:themeShade="BF"/>
          <w:sz w:val="22"/>
          <w:szCs w:val="22"/>
          <w:lang w:val="en-GB"/>
        </w:rPr>
      </w:pPr>
    </w:p>
    <w:p w14:paraId="3C904BE5" w14:textId="489AB941" w:rsidR="00254F5E" w:rsidRDefault="00254F5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 of insolvency law can generally be split into two categories, with France being a notable exception, either pro-creditor or pro-debtor.  In a pro-creditor system the focus and benefit of the laws tends to be aimed at the rights of the creditor in the recovery of its claim.  In a pro-debtor system the focus will be on the survival of the company and/or business.</w:t>
      </w:r>
    </w:p>
    <w:p w14:paraId="72C1C542" w14:textId="28AA3CD6" w:rsidR="00F617E9" w:rsidRDefault="00F617E9" w:rsidP="00C053F7">
      <w:pPr>
        <w:jc w:val="both"/>
        <w:rPr>
          <w:rFonts w:ascii="Arial" w:hAnsi="Arial" w:cs="Arial"/>
          <w:color w:val="7B7B7B" w:themeColor="accent3" w:themeShade="BF"/>
          <w:sz w:val="22"/>
          <w:szCs w:val="22"/>
          <w:lang w:val="en-GB"/>
        </w:rPr>
      </w:pPr>
    </w:p>
    <w:p w14:paraId="25EC956A" w14:textId="6F2FB6B5" w:rsidR="00F617E9" w:rsidRDefault="00F617E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instances the domestic system may look to protect the rights and interests of the local creditors and may exclude certain foreign creditors from claiming in the proceedings, arguably therefore not applying the pari passu principle universally.</w:t>
      </w:r>
    </w:p>
    <w:p w14:paraId="14813425" w14:textId="52851961" w:rsidR="00F617E9" w:rsidRDefault="00F617E9" w:rsidP="00C053F7">
      <w:pPr>
        <w:jc w:val="both"/>
        <w:rPr>
          <w:rFonts w:ascii="Arial" w:hAnsi="Arial" w:cs="Arial"/>
          <w:color w:val="7B7B7B" w:themeColor="accent3" w:themeShade="BF"/>
          <w:sz w:val="22"/>
          <w:szCs w:val="22"/>
          <w:lang w:val="en-GB"/>
        </w:rPr>
      </w:pPr>
    </w:p>
    <w:p w14:paraId="572B77ED" w14:textId="748A7BFE" w:rsidR="00F617E9" w:rsidRPr="00BF1C6F" w:rsidRDefault="00F617E9" w:rsidP="00C053F7">
      <w:pPr>
        <w:jc w:val="both"/>
        <w:rPr>
          <w:rFonts w:ascii="Arial" w:hAnsi="Arial" w:cs="Arial"/>
          <w:sz w:val="22"/>
          <w:szCs w:val="22"/>
          <w:lang w:val="en-GB"/>
        </w:rPr>
      </w:pPr>
      <w:r>
        <w:rPr>
          <w:rFonts w:ascii="Arial" w:hAnsi="Arial" w:cs="Arial"/>
          <w:color w:val="7B7B7B" w:themeColor="accent3" w:themeShade="BF"/>
          <w:sz w:val="22"/>
          <w:szCs w:val="22"/>
          <w:lang w:val="en-GB"/>
        </w:rPr>
        <w:t>The US has negated this issue within its own borders by making insolvency law a federal law rather than state law.  The EU has the EIR(2015) Recast which provides for automatic recognition of domestic law of the main proceedings across member states.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lastRenderedPageBreak/>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Meanwhile, Nadir also owes monies to creditors in Erewhon.  One Erewhon creditor obtains a court winding-up order against Nadir in Erewhon an</w:t>
      </w:r>
      <w:bookmarkStart w:id="0" w:name="_GoBack"/>
      <w:bookmarkEnd w:id="0"/>
      <w:r w:rsidRPr="00BF1C6F">
        <w:rPr>
          <w:rFonts w:ascii="Arial" w:hAnsi="Arial" w:cs="Arial"/>
          <w:sz w:val="22"/>
          <w:szCs w:val="22"/>
          <w:lang w:val="en-GB"/>
        </w:rPr>
        <w:t xml:space="preserve">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44840F7D" w14:textId="77777777" w:rsidR="00FD68E7" w:rsidRDefault="00FD68E7" w:rsidP="00C053F7">
      <w:pPr>
        <w:jc w:val="both"/>
        <w:rPr>
          <w:rFonts w:ascii="Arial" w:hAnsi="Arial" w:cs="Arial"/>
          <w:sz w:val="22"/>
          <w:szCs w:val="22"/>
          <w:lang w:val="en-GB"/>
        </w:rPr>
      </w:pPr>
    </w:p>
    <w:p w14:paraId="3A2EB65B" w14:textId="61EDBC6F" w:rsidR="00FD68E7" w:rsidRDefault="00FD68E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Note on Relevance of the Cross-border Insolvency Act of Utopia</w:t>
      </w:r>
    </w:p>
    <w:p w14:paraId="7862EA07" w14:textId="69A2B56E" w:rsidR="00FD68E7" w:rsidRDefault="00FD68E7" w:rsidP="00C053F7">
      <w:pPr>
        <w:jc w:val="both"/>
        <w:rPr>
          <w:rFonts w:ascii="Arial" w:hAnsi="Arial" w:cs="Arial"/>
          <w:color w:val="7B7B7B" w:themeColor="accent3" w:themeShade="BF"/>
          <w:sz w:val="22"/>
          <w:szCs w:val="22"/>
          <w:lang w:val="en-GB"/>
        </w:rPr>
      </w:pPr>
    </w:p>
    <w:p w14:paraId="221731A0" w14:textId="0E9641BC" w:rsidR="00FD68E7" w:rsidRDefault="00FD68E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Utopia as a state has adopted UNCITRAL Model Law on Cross-border Insolvency (MLCBI).  It is has not been stated whether or not Erewhon has also adopted the MLCBI, since this is not automatically reciprocated for the purposes of this advice I will assume that Erewhon has not adopted the MLCBI.</w:t>
      </w:r>
    </w:p>
    <w:p w14:paraId="356484A4" w14:textId="1DE08DFE" w:rsidR="00FD68E7" w:rsidRDefault="00FD68E7" w:rsidP="00C053F7">
      <w:pPr>
        <w:jc w:val="both"/>
        <w:rPr>
          <w:rFonts w:ascii="Arial" w:hAnsi="Arial" w:cs="Arial"/>
          <w:color w:val="7B7B7B" w:themeColor="accent3" w:themeShade="BF"/>
          <w:sz w:val="22"/>
          <w:szCs w:val="22"/>
          <w:lang w:val="en-GB"/>
        </w:rPr>
      </w:pPr>
    </w:p>
    <w:p w14:paraId="4AB400CC" w14:textId="65B976CE" w:rsidR="00FD68E7" w:rsidRDefault="00FD68E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appointed in Erewhon would like to stop any action initiated in Utopia by Apex, one way in which the liquidator could look to achieve this is by obtaining a stay on proceedings against the debtor.  The information provided does not indicate that there is any treaty </w:t>
      </w:r>
      <w:r w:rsidR="000B65FD">
        <w:rPr>
          <w:rFonts w:ascii="Arial" w:hAnsi="Arial" w:cs="Arial"/>
          <w:color w:val="7B7B7B" w:themeColor="accent3" w:themeShade="BF"/>
          <w:sz w:val="22"/>
          <w:szCs w:val="22"/>
          <w:lang w:val="en-GB"/>
        </w:rPr>
        <w:t>that both states are party to and therefore</w:t>
      </w:r>
      <w:r w:rsidR="0060446E">
        <w:rPr>
          <w:rFonts w:ascii="Arial" w:hAnsi="Arial" w:cs="Arial"/>
          <w:color w:val="7B7B7B" w:themeColor="accent3" w:themeShade="BF"/>
          <w:sz w:val="22"/>
          <w:szCs w:val="22"/>
          <w:lang w:val="en-GB"/>
        </w:rPr>
        <w:t>, assuming there is no such treaty in existence, there will be no</w:t>
      </w:r>
      <w:r w:rsidR="000B65FD">
        <w:rPr>
          <w:rFonts w:ascii="Arial" w:hAnsi="Arial" w:cs="Arial"/>
          <w:color w:val="7B7B7B" w:themeColor="accent3" w:themeShade="BF"/>
          <w:sz w:val="22"/>
          <w:szCs w:val="22"/>
          <w:lang w:val="en-GB"/>
        </w:rPr>
        <w:t xml:space="preserve"> automatic recognition of the proceedings</w:t>
      </w:r>
      <w:r w:rsidR="0060446E">
        <w:rPr>
          <w:rFonts w:ascii="Arial" w:hAnsi="Arial" w:cs="Arial"/>
          <w:color w:val="7B7B7B" w:themeColor="accent3" w:themeShade="BF"/>
          <w:sz w:val="22"/>
          <w:szCs w:val="22"/>
          <w:lang w:val="en-GB"/>
        </w:rPr>
        <w:t xml:space="preserve"> in Utopia</w:t>
      </w:r>
      <w:r w:rsidR="000B65FD">
        <w:rPr>
          <w:rFonts w:ascii="Arial" w:hAnsi="Arial" w:cs="Arial"/>
          <w:color w:val="7B7B7B" w:themeColor="accent3" w:themeShade="BF"/>
          <w:sz w:val="22"/>
          <w:szCs w:val="22"/>
          <w:lang w:val="en-GB"/>
        </w:rPr>
        <w:t xml:space="preserve"> and </w:t>
      </w:r>
      <w:r w:rsidR="0060446E">
        <w:rPr>
          <w:rFonts w:ascii="Arial" w:hAnsi="Arial" w:cs="Arial"/>
          <w:color w:val="7B7B7B" w:themeColor="accent3" w:themeShade="BF"/>
          <w:sz w:val="22"/>
          <w:szCs w:val="22"/>
          <w:lang w:val="en-GB"/>
        </w:rPr>
        <w:t>no automatic cross border moratorium</w:t>
      </w:r>
      <w:r w:rsidR="000B65FD">
        <w:rPr>
          <w:rFonts w:ascii="Arial" w:hAnsi="Arial" w:cs="Arial"/>
          <w:color w:val="7B7B7B" w:themeColor="accent3" w:themeShade="BF"/>
          <w:sz w:val="22"/>
          <w:szCs w:val="22"/>
          <w:lang w:val="en-GB"/>
        </w:rPr>
        <w:t>.</w:t>
      </w:r>
    </w:p>
    <w:p w14:paraId="4F6DD07C" w14:textId="3418CBB0" w:rsidR="000B65FD" w:rsidRDefault="000B65FD" w:rsidP="00C053F7">
      <w:pPr>
        <w:jc w:val="both"/>
        <w:rPr>
          <w:rFonts w:ascii="Arial" w:hAnsi="Arial" w:cs="Arial"/>
          <w:color w:val="7B7B7B" w:themeColor="accent3" w:themeShade="BF"/>
          <w:sz w:val="22"/>
          <w:szCs w:val="22"/>
          <w:lang w:val="en-GB"/>
        </w:rPr>
      </w:pPr>
    </w:p>
    <w:p w14:paraId="364AFFD2" w14:textId="1315125B" w:rsidR="000B65FD" w:rsidRDefault="000B65F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the assumptions above the Erewhon appointed liquidator would need to rely on Utopia’s adoption of the MLCBI to allow it to have any effect on proceeding</w:t>
      </w:r>
      <w:r w:rsidR="00AC4698">
        <w:rPr>
          <w:rFonts w:ascii="Arial" w:hAnsi="Arial" w:cs="Arial"/>
          <w:color w:val="7B7B7B" w:themeColor="accent3" w:themeShade="BF"/>
          <w:sz w:val="22"/>
          <w:szCs w:val="22"/>
          <w:lang w:val="en-GB"/>
        </w:rPr>
        <w:t xml:space="preserve">s in Utopia.  The Erewhon liquidation is </w:t>
      </w:r>
      <w:r w:rsidR="0060446E">
        <w:rPr>
          <w:rFonts w:ascii="Arial" w:hAnsi="Arial" w:cs="Arial"/>
          <w:color w:val="7B7B7B" w:themeColor="accent3" w:themeShade="BF"/>
          <w:sz w:val="22"/>
          <w:szCs w:val="22"/>
          <w:lang w:val="en-GB"/>
        </w:rPr>
        <w:t xml:space="preserve">likely to be </w:t>
      </w:r>
      <w:r w:rsidR="00AC4698">
        <w:rPr>
          <w:rFonts w:ascii="Arial" w:hAnsi="Arial" w:cs="Arial"/>
          <w:color w:val="7B7B7B" w:themeColor="accent3" w:themeShade="BF"/>
          <w:sz w:val="22"/>
          <w:szCs w:val="22"/>
          <w:lang w:val="en-GB"/>
        </w:rPr>
        <w:t>a qualifying foreign proceeding and therefore the Erewhon liquidator can look to have its liquidation recognised in Utopia.</w:t>
      </w:r>
    </w:p>
    <w:p w14:paraId="52D3E7A0" w14:textId="67FF37B1" w:rsidR="00AC4698" w:rsidRDefault="00AC4698" w:rsidP="00C053F7">
      <w:pPr>
        <w:jc w:val="both"/>
        <w:rPr>
          <w:rFonts w:ascii="Arial" w:hAnsi="Arial" w:cs="Arial"/>
          <w:color w:val="7B7B7B" w:themeColor="accent3" w:themeShade="BF"/>
          <w:sz w:val="22"/>
          <w:szCs w:val="22"/>
          <w:lang w:val="en-GB"/>
        </w:rPr>
      </w:pPr>
    </w:p>
    <w:p w14:paraId="4508778A" w14:textId="534B9FFA" w:rsidR="00AC4698" w:rsidRDefault="00AC469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Erewhon liquidator can meet the specified requirements of the Utopian court, its proceeding will be recognised in that court.  Proceedings can be recognised as main proceedings or non-main proceedings.  In this situation, </w:t>
      </w:r>
      <w:r w:rsidR="0060446E">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 xml:space="preserve">Nadir Pty Ltd is incorporated and </w:t>
      </w:r>
      <w:r w:rsidR="0060446E">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its headquarters</w:t>
      </w:r>
      <w:r w:rsidR="0060446E">
        <w:rPr>
          <w:rFonts w:ascii="Arial" w:hAnsi="Arial" w:cs="Arial"/>
          <w:color w:val="7B7B7B" w:themeColor="accent3" w:themeShade="BF"/>
          <w:sz w:val="22"/>
          <w:szCs w:val="22"/>
          <w:lang w:val="en-GB"/>
        </w:rPr>
        <w:t xml:space="preserve"> in Utopia </w:t>
      </w:r>
      <w:r>
        <w:rPr>
          <w:rFonts w:ascii="Arial" w:hAnsi="Arial" w:cs="Arial"/>
          <w:color w:val="7B7B7B" w:themeColor="accent3" w:themeShade="BF"/>
          <w:sz w:val="22"/>
          <w:szCs w:val="22"/>
          <w:lang w:val="en-GB"/>
        </w:rPr>
        <w:t xml:space="preserve">it </w:t>
      </w:r>
      <w:r w:rsidR="0060446E">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likely that its COMI would be viewed to be in Utopia</w:t>
      </w:r>
      <w:r w:rsidR="0060446E">
        <w:rPr>
          <w:rFonts w:ascii="Arial" w:hAnsi="Arial" w:cs="Arial"/>
          <w:color w:val="7B7B7B" w:themeColor="accent3" w:themeShade="BF"/>
          <w:sz w:val="22"/>
          <w:szCs w:val="22"/>
          <w:lang w:val="en-GB"/>
        </w:rPr>
        <w:t>.  As a result</w:t>
      </w:r>
      <w:r>
        <w:rPr>
          <w:rFonts w:ascii="Arial" w:hAnsi="Arial" w:cs="Arial"/>
          <w:color w:val="7B7B7B" w:themeColor="accent3" w:themeShade="BF"/>
          <w:sz w:val="22"/>
          <w:szCs w:val="22"/>
          <w:lang w:val="en-GB"/>
        </w:rPr>
        <w:t xml:space="preserve"> the Erewhon liquidation would be recognised as non-main proceedings.</w:t>
      </w:r>
    </w:p>
    <w:p w14:paraId="482ABAF2" w14:textId="72239D00" w:rsidR="00AC4698" w:rsidRDefault="00AC4698" w:rsidP="00C053F7">
      <w:pPr>
        <w:jc w:val="both"/>
        <w:rPr>
          <w:rFonts w:ascii="Arial" w:hAnsi="Arial" w:cs="Arial"/>
          <w:color w:val="7B7B7B" w:themeColor="accent3" w:themeShade="BF"/>
          <w:sz w:val="22"/>
          <w:szCs w:val="22"/>
          <w:lang w:val="en-GB"/>
        </w:rPr>
      </w:pPr>
    </w:p>
    <w:p w14:paraId="5B4AFA84" w14:textId="73141E61" w:rsidR="00AC4698" w:rsidRDefault="00AC469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Some thought should be given to the fact that Nadir Pty Ltd only changed its </w:t>
      </w:r>
      <w:r w:rsidR="0060446E">
        <w:rPr>
          <w:rFonts w:ascii="Arial" w:hAnsi="Arial" w:cs="Arial"/>
          <w:color w:val="7B7B7B" w:themeColor="accent3" w:themeShade="BF"/>
          <w:sz w:val="22"/>
          <w:szCs w:val="22"/>
          <w:lang w:val="en-GB"/>
        </w:rPr>
        <w:t xml:space="preserve">place of </w:t>
      </w:r>
      <w:r>
        <w:rPr>
          <w:rFonts w:ascii="Arial" w:hAnsi="Arial" w:cs="Arial"/>
          <w:color w:val="7B7B7B" w:themeColor="accent3" w:themeShade="BF"/>
          <w:sz w:val="22"/>
          <w:szCs w:val="22"/>
          <w:lang w:val="en-GB"/>
        </w:rPr>
        <w:t>registration and head of</w:t>
      </w:r>
      <w:r w:rsidR="0060446E">
        <w:rPr>
          <w:rFonts w:ascii="Arial" w:hAnsi="Arial" w:cs="Arial"/>
          <w:color w:val="7B7B7B" w:themeColor="accent3" w:themeShade="BF"/>
          <w:sz w:val="22"/>
          <w:szCs w:val="22"/>
          <w:lang w:val="en-GB"/>
        </w:rPr>
        <w:t>fice one month ago to Utopia fro</w:t>
      </w:r>
      <w:r>
        <w:rPr>
          <w:rFonts w:ascii="Arial" w:hAnsi="Arial" w:cs="Arial"/>
          <w:color w:val="7B7B7B" w:themeColor="accent3" w:themeShade="BF"/>
          <w:sz w:val="22"/>
          <w:szCs w:val="22"/>
          <w:lang w:val="en-GB"/>
        </w:rPr>
        <w:t>m Erewhon and therefore dependent on other pertinent matters, such as the location of trading, creditors and assets – it may be possible to argue that Erewhon should in fact be main proceedings and that Nadir Pty Ltd has recently attempt a COMI shift.</w:t>
      </w:r>
    </w:p>
    <w:p w14:paraId="6CD2ACB9" w14:textId="782D5643" w:rsidR="00AC4698" w:rsidRDefault="00AC4698" w:rsidP="00C053F7">
      <w:pPr>
        <w:jc w:val="both"/>
        <w:rPr>
          <w:rFonts w:ascii="Arial" w:hAnsi="Arial" w:cs="Arial"/>
          <w:color w:val="7B7B7B" w:themeColor="accent3" w:themeShade="BF"/>
          <w:sz w:val="22"/>
          <w:szCs w:val="22"/>
          <w:lang w:val="en-GB"/>
        </w:rPr>
      </w:pPr>
    </w:p>
    <w:p w14:paraId="7E53446B" w14:textId="11A53B64" w:rsidR="0060446E" w:rsidRDefault="0060446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that the Erewhon liquidation is recognised as either main or non-main proceedings the liquidator could then apply to the Utopian court for a stay on any actions against the debtor, a moratorium, which if successful would stay the proceedings issued by Apex.</w:t>
      </w:r>
    </w:p>
    <w:p w14:paraId="0D37BBBB" w14:textId="5107B274"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6C50A750" w:rsidR="002D3473" w:rsidRDefault="0060446E"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alternative (a), if Apex had filed proceedings to wind-up Nadir but the matter had not been heard, the Utopian court would still be in a position to recognise the Erwehon liquidation and grant a moratorium, which would stay the winding up proceedings filed by Apex.</w:t>
      </w:r>
    </w:p>
    <w:p w14:paraId="6D2FAA5C" w14:textId="317EACE8" w:rsidR="0060446E" w:rsidRDefault="0060446E"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3BBFB79" w14:textId="660EDEFB" w:rsidR="0060446E" w:rsidRPr="00BF1C6F" w:rsidRDefault="0060446E"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In the alternative (b), </w:t>
      </w:r>
      <w:r w:rsidR="0035243D">
        <w:rPr>
          <w:rFonts w:ascii="Arial" w:hAnsi="Arial" w:cs="Arial"/>
          <w:color w:val="7B7B7B" w:themeColor="accent3" w:themeShade="BF"/>
          <w:sz w:val="22"/>
          <w:szCs w:val="22"/>
          <w:lang w:val="en-GB"/>
        </w:rPr>
        <w:t>if Apex had obtained a court order to wind up Nadir prior to the Erewhon winding up order there would be concurrent proceedings.  The Utopian court would still be in a position to recognise the Erwehon liquidation; however, if we assume that Erewhon had not adopted the MLCBI, it would be much more difficult for the Utopian liquidator to be recognised in Erewhon as the MLCBI is not reciprocated.</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47DB84D3" w:rsidR="0077498C" w:rsidRDefault="0035243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debtor is incorporated and has its head office in England.  Within this insolvency there are four key international insolvency issues to be considered.</w:t>
      </w:r>
    </w:p>
    <w:p w14:paraId="4B836BD2" w14:textId="5E997362" w:rsidR="0035243D" w:rsidRDefault="0035243D" w:rsidP="00C053F7">
      <w:pPr>
        <w:jc w:val="both"/>
        <w:rPr>
          <w:rFonts w:ascii="Arial" w:hAnsi="Arial" w:cs="Arial"/>
          <w:color w:val="7B7B7B" w:themeColor="accent3" w:themeShade="BF"/>
          <w:sz w:val="22"/>
          <w:szCs w:val="22"/>
          <w:lang w:val="en-GB"/>
        </w:rPr>
      </w:pPr>
    </w:p>
    <w:p w14:paraId="3FEC4C9F" w14:textId="7CC3A1ED" w:rsidR="0035243D" w:rsidRDefault="0035243D" w:rsidP="0035243D">
      <w:pPr>
        <w:pStyle w:val="ListParagraph"/>
        <w:numPr>
          <w:ilvl w:val="0"/>
          <w:numId w:val="2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assets</w:t>
      </w:r>
    </w:p>
    <w:p w14:paraId="7828069E" w14:textId="587B27A1" w:rsidR="0035243D" w:rsidRDefault="0035243D" w:rsidP="0035243D">
      <w:pPr>
        <w:pStyle w:val="ListParagraph"/>
        <w:numPr>
          <w:ilvl w:val="0"/>
          <w:numId w:val="2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government claims</w:t>
      </w:r>
    </w:p>
    <w:p w14:paraId="07AC2388" w14:textId="3BFFC721" w:rsidR="0035243D" w:rsidRDefault="0035243D" w:rsidP="0035243D">
      <w:pPr>
        <w:pStyle w:val="ListParagraph"/>
        <w:numPr>
          <w:ilvl w:val="0"/>
          <w:numId w:val="2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employees</w:t>
      </w:r>
      <w:r w:rsidR="00FC14F9">
        <w:rPr>
          <w:rFonts w:ascii="Arial" w:hAnsi="Arial" w:cs="Arial"/>
          <w:color w:val="000000" w:themeColor="text1"/>
          <w:sz w:val="22"/>
          <w:szCs w:val="22"/>
          <w:lang w:val="en-GB"/>
        </w:rPr>
        <w:t xml:space="preserve"> claims</w:t>
      </w:r>
    </w:p>
    <w:p w14:paraId="5636865D" w14:textId="23F4B313" w:rsidR="0035243D" w:rsidRDefault="0035243D" w:rsidP="0035243D">
      <w:pPr>
        <w:pStyle w:val="ListParagraph"/>
        <w:numPr>
          <w:ilvl w:val="0"/>
          <w:numId w:val="24"/>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Directors conduct</w:t>
      </w:r>
    </w:p>
    <w:p w14:paraId="7D86A37C" w14:textId="34B1F21A" w:rsidR="0035243D" w:rsidRDefault="0035243D" w:rsidP="0035243D">
      <w:pPr>
        <w:jc w:val="both"/>
        <w:rPr>
          <w:rFonts w:ascii="Arial" w:hAnsi="Arial" w:cs="Arial"/>
          <w:color w:val="000000" w:themeColor="text1"/>
          <w:sz w:val="22"/>
          <w:szCs w:val="22"/>
          <w:lang w:val="en-GB"/>
        </w:rPr>
      </w:pPr>
    </w:p>
    <w:p w14:paraId="29A1A7F0" w14:textId="526A1D57" w:rsidR="0035243D" w:rsidRDefault="0035243D" w:rsidP="0035243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By way of background the insolvency proceedings have commenced post the UK’s exit from the European Union and therefore the European Insolvency Regulations (2015) Recast do not apply in this insolvency.</w:t>
      </w:r>
    </w:p>
    <w:p w14:paraId="29A1A7F0" w14:textId="526A1D57" w:rsidR="0035243D" w:rsidRDefault="0035243D" w:rsidP="0035243D">
      <w:pPr>
        <w:jc w:val="both"/>
        <w:rPr>
          <w:rFonts w:ascii="Arial" w:hAnsi="Arial" w:cs="Arial"/>
          <w:color w:val="000000" w:themeColor="text1"/>
          <w:sz w:val="22"/>
          <w:szCs w:val="22"/>
          <w:lang w:val="en-GB"/>
        </w:rPr>
      </w:pPr>
    </w:p>
    <w:p w14:paraId="4BF4840C" w14:textId="367270BE" w:rsidR="0035243D" w:rsidRDefault="0035243D" w:rsidP="0035243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UNCITRAL MLCBI has been adopted by the United Kingdom; however, this tends to have more impact on foreign insolvencies looking to be recognised in the UK</w:t>
      </w:r>
      <w:r w:rsidR="0033213B">
        <w:rPr>
          <w:rFonts w:ascii="Arial" w:hAnsi="Arial" w:cs="Arial"/>
          <w:color w:val="000000" w:themeColor="text1"/>
          <w:sz w:val="22"/>
          <w:szCs w:val="22"/>
          <w:lang w:val="en-GB"/>
        </w:rPr>
        <w:t>.  The use of the MLCBI will be dependent on the states where company has operated and whether they have adopted it.</w:t>
      </w:r>
    </w:p>
    <w:p w14:paraId="5F5BFB4B" w14:textId="30F0E8CE" w:rsidR="0033213B" w:rsidRDefault="0033213B" w:rsidP="0035243D">
      <w:pPr>
        <w:jc w:val="both"/>
        <w:rPr>
          <w:rFonts w:ascii="Arial" w:hAnsi="Arial" w:cs="Arial"/>
          <w:color w:val="000000" w:themeColor="text1"/>
          <w:sz w:val="22"/>
          <w:szCs w:val="22"/>
          <w:lang w:val="en-GB"/>
        </w:rPr>
      </w:pPr>
    </w:p>
    <w:p w14:paraId="251FE853" w14:textId="0ADB3D68" w:rsidR="0033213B" w:rsidRDefault="00C0638C" w:rsidP="00C0638C">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Assets</w:t>
      </w:r>
    </w:p>
    <w:p w14:paraId="17CF7EA0" w14:textId="7AE4ABF4" w:rsidR="00C0638C" w:rsidRDefault="00C0638C" w:rsidP="00C0638C">
      <w:pPr>
        <w:jc w:val="both"/>
        <w:rPr>
          <w:rFonts w:ascii="Arial" w:hAnsi="Arial" w:cs="Arial"/>
          <w:color w:val="000000" w:themeColor="text1"/>
          <w:sz w:val="22"/>
          <w:szCs w:val="22"/>
          <w:lang w:val="en-GB"/>
        </w:rPr>
      </w:pPr>
    </w:p>
    <w:p w14:paraId="31A5AFD8" w14:textId="082A3698" w:rsidR="00C0638C" w:rsidRDefault="00C0638C" w:rsidP="00C0638C">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English insolvency practitioner needs to consider the state in which the asset(s) are located and consider the following:</w:t>
      </w:r>
    </w:p>
    <w:p w14:paraId="567D23EF" w14:textId="5245A7B3" w:rsidR="00C0638C" w:rsidRDefault="00C0638C" w:rsidP="00C0638C">
      <w:pPr>
        <w:pStyle w:val="ListParagraph"/>
        <w:numPr>
          <w:ilvl w:val="1"/>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Have any proceedings been commenced in that state?</w:t>
      </w:r>
    </w:p>
    <w:p w14:paraId="553F66DA" w14:textId="4EF8CAA8" w:rsidR="00C0638C" w:rsidRDefault="00C0638C" w:rsidP="00C0638C">
      <w:pPr>
        <w:pStyle w:val="ListParagraph"/>
        <w:numPr>
          <w:ilvl w:val="1"/>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Has the state adopted the MLCBI?</w:t>
      </w:r>
    </w:p>
    <w:p w14:paraId="3983675F" w14:textId="1E5105AD" w:rsidR="00C0638C" w:rsidRDefault="00C0638C" w:rsidP="00C0638C">
      <w:pPr>
        <w:pStyle w:val="ListParagraph"/>
        <w:numPr>
          <w:ilvl w:val="1"/>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are the likely costs of recognition?</w:t>
      </w:r>
    </w:p>
    <w:p w14:paraId="25537945" w14:textId="4BADAED5" w:rsidR="00C0638C" w:rsidRDefault="00C0638C" w:rsidP="00C0638C">
      <w:pPr>
        <w:ind w:left="720"/>
        <w:jc w:val="both"/>
        <w:rPr>
          <w:rFonts w:ascii="Arial" w:hAnsi="Arial" w:cs="Arial"/>
          <w:color w:val="000000" w:themeColor="text1"/>
          <w:sz w:val="22"/>
          <w:szCs w:val="22"/>
          <w:lang w:val="en-GB"/>
        </w:rPr>
      </w:pPr>
    </w:p>
    <w:p w14:paraId="6118ED21" w14:textId="030187C8" w:rsidR="00C0638C" w:rsidRDefault="00C0638C" w:rsidP="00C0638C">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To deal with any asset in a foreign state the insolvency practitioner will need to consider whether it is possible for the English proceedings to be recognised in that state.  Prior to its exit from the EU, the UK benefitted from automatic recognition in the EU member states.  However, now unless the state has adopted MLCBI, which would provide a more straightforward route and less costs for recognition, the English insolvency practitioner would need to consider the local laws on recognition of each applicable state.</w:t>
      </w:r>
    </w:p>
    <w:p w14:paraId="6CC2AE10" w14:textId="006D4400" w:rsidR="00C0638C" w:rsidRDefault="00C0638C" w:rsidP="00C0638C">
      <w:pPr>
        <w:ind w:left="720"/>
        <w:jc w:val="both"/>
        <w:rPr>
          <w:rFonts w:ascii="Arial" w:hAnsi="Arial" w:cs="Arial"/>
          <w:color w:val="000000" w:themeColor="text1"/>
          <w:sz w:val="22"/>
          <w:szCs w:val="22"/>
          <w:lang w:val="en-GB"/>
        </w:rPr>
      </w:pPr>
    </w:p>
    <w:p w14:paraId="7AD676D5" w14:textId="66EB325A" w:rsidR="00C0638C" w:rsidRDefault="00C0638C" w:rsidP="00C0638C">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cost and timeframe to recognition in the relevant states may result in concurrent proceedings being opened and/or the value of the assets diminishing.</w:t>
      </w:r>
    </w:p>
    <w:p w14:paraId="67F7A1CD" w14:textId="6702D2E6" w:rsidR="00C0638C" w:rsidRDefault="00C0638C" w:rsidP="00C0638C">
      <w:pPr>
        <w:ind w:left="720"/>
        <w:jc w:val="both"/>
        <w:rPr>
          <w:rFonts w:ascii="Arial" w:hAnsi="Arial" w:cs="Arial"/>
          <w:color w:val="000000" w:themeColor="text1"/>
          <w:sz w:val="22"/>
          <w:szCs w:val="22"/>
          <w:lang w:val="en-GB"/>
        </w:rPr>
      </w:pPr>
    </w:p>
    <w:p w14:paraId="7261AAD4" w14:textId="3AA88E64" w:rsidR="00C0638C" w:rsidRDefault="00C0638C" w:rsidP="00C0638C">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government claims</w:t>
      </w:r>
    </w:p>
    <w:p w14:paraId="6F6B6B7D" w14:textId="2FA303D4" w:rsidR="00C0638C" w:rsidRDefault="00C0638C" w:rsidP="00C0638C">
      <w:pPr>
        <w:jc w:val="both"/>
        <w:rPr>
          <w:rFonts w:ascii="Arial" w:hAnsi="Arial" w:cs="Arial"/>
          <w:color w:val="000000" w:themeColor="text1"/>
          <w:sz w:val="22"/>
          <w:szCs w:val="22"/>
          <w:lang w:val="en-GB"/>
        </w:rPr>
      </w:pPr>
    </w:p>
    <w:p w14:paraId="1BD6B5C8" w14:textId="4CAE7A4B" w:rsidR="00C0638C" w:rsidRDefault="00914771" w:rsidP="00C0638C">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English public policy prevents the direct or indirect enforcement of foreign penal or revenue claims (</w:t>
      </w:r>
      <w:r w:rsidRPr="00914771">
        <w:rPr>
          <w:rFonts w:ascii="Arial" w:hAnsi="Arial" w:cs="Arial"/>
          <w:i/>
          <w:color w:val="000000" w:themeColor="text1"/>
          <w:sz w:val="22"/>
          <w:szCs w:val="22"/>
          <w:lang w:val="en-GB"/>
        </w:rPr>
        <w:t>Government of India v Taylor</w:t>
      </w:r>
      <w:r>
        <w:rPr>
          <w:rFonts w:ascii="Arial" w:hAnsi="Arial" w:cs="Arial"/>
          <w:color w:val="000000" w:themeColor="text1"/>
          <w:sz w:val="22"/>
          <w:szCs w:val="22"/>
          <w:lang w:val="en-GB"/>
        </w:rPr>
        <w:t xml:space="preserve">).  </w:t>
      </w:r>
    </w:p>
    <w:p w14:paraId="5C967692" w14:textId="44173195" w:rsidR="00914771" w:rsidRDefault="00914771" w:rsidP="00C0638C">
      <w:pPr>
        <w:ind w:left="720"/>
        <w:jc w:val="both"/>
        <w:rPr>
          <w:rFonts w:ascii="Arial" w:hAnsi="Arial" w:cs="Arial"/>
          <w:color w:val="000000" w:themeColor="text1"/>
          <w:sz w:val="22"/>
          <w:szCs w:val="22"/>
          <w:lang w:val="en-GB"/>
        </w:rPr>
      </w:pPr>
    </w:p>
    <w:p w14:paraId="48D5F57F" w14:textId="4FC5F71F" w:rsidR="00914771" w:rsidRDefault="00914771" w:rsidP="00C0638C">
      <w:pPr>
        <w:ind w:left="720"/>
        <w:jc w:val="both"/>
        <w:rPr>
          <w:rFonts w:ascii="Arial" w:hAnsi="Arial" w:cs="Arial"/>
          <w:i/>
          <w:color w:val="000000" w:themeColor="text1"/>
          <w:sz w:val="22"/>
          <w:szCs w:val="22"/>
          <w:lang w:val="en-GB"/>
        </w:rPr>
      </w:pPr>
      <w:r>
        <w:rPr>
          <w:rFonts w:ascii="Arial" w:hAnsi="Arial" w:cs="Arial"/>
          <w:color w:val="000000" w:themeColor="text1"/>
          <w:sz w:val="22"/>
          <w:szCs w:val="22"/>
          <w:lang w:val="en-GB"/>
        </w:rPr>
        <w:t xml:space="preserve">The English insolvency practitioner will need to consider any foreign government claims and whether they are inadmissible in the proceedings or whether any international treaties are in place with the relevant states which circumvents the law in </w:t>
      </w:r>
      <w:r w:rsidRPr="00914771">
        <w:rPr>
          <w:rFonts w:ascii="Arial" w:hAnsi="Arial" w:cs="Arial"/>
          <w:i/>
          <w:color w:val="000000" w:themeColor="text1"/>
          <w:sz w:val="22"/>
          <w:szCs w:val="22"/>
          <w:lang w:val="en-GB"/>
        </w:rPr>
        <w:t>Government of India v Taylor.</w:t>
      </w:r>
    </w:p>
    <w:p w14:paraId="78A63A8C" w14:textId="144C6767" w:rsidR="00914771" w:rsidRDefault="00914771" w:rsidP="00C0638C">
      <w:pPr>
        <w:ind w:left="720"/>
        <w:jc w:val="both"/>
        <w:rPr>
          <w:rFonts w:ascii="Arial" w:hAnsi="Arial" w:cs="Arial"/>
          <w:i/>
          <w:color w:val="000000" w:themeColor="text1"/>
          <w:sz w:val="22"/>
          <w:szCs w:val="22"/>
          <w:lang w:val="en-GB"/>
        </w:rPr>
      </w:pPr>
    </w:p>
    <w:p w14:paraId="5227923D" w14:textId="0E94F0F1" w:rsidR="00914771" w:rsidRDefault="00914771" w:rsidP="00914771">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Foreign employees</w:t>
      </w:r>
      <w:r w:rsidR="00FC14F9">
        <w:rPr>
          <w:rFonts w:ascii="Arial" w:hAnsi="Arial" w:cs="Arial"/>
          <w:color w:val="000000" w:themeColor="text1"/>
          <w:sz w:val="22"/>
          <w:szCs w:val="22"/>
          <w:lang w:val="en-GB"/>
        </w:rPr>
        <w:t xml:space="preserve"> claims</w:t>
      </w:r>
    </w:p>
    <w:p w14:paraId="2B4D112E" w14:textId="26F280B9" w:rsidR="00914771" w:rsidRDefault="00914771" w:rsidP="00914771">
      <w:pPr>
        <w:jc w:val="both"/>
        <w:rPr>
          <w:rFonts w:ascii="Arial" w:hAnsi="Arial" w:cs="Arial"/>
          <w:color w:val="000000" w:themeColor="text1"/>
          <w:sz w:val="22"/>
          <w:szCs w:val="22"/>
          <w:lang w:val="en-GB"/>
        </w:rPr>
      </w:pPr>
    </w:p>
    <w:p w14:paraId="40410EDA" w14:textId="2CD42332" w:rsidR="00914771" w:rsidRDefault="00FC14F9" w:rsidP="00914771">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Different states provide for different levels of protection for its employees.  As this company has operated in several states it is likely to have employed workers under the states’ domestic laws.</w:t>
      </w:r>
    </w:p>
    <w:p w14:paraId="6157014A" w14:textId="7F0060A0" w:rsidR="00FC14F9" w:rsidRDefault="00FC14F9" w:rsidP="00914771">
      <w:pPr>
        <w:ind w:left="720"/>
        <w:jc w:val="both"/>
        <w:rPr>
          <w:rFonts w:ascii="Arial" w:hAnsi="Arial" w:cs="Arial"/>
          <w:color w:val="000000" w:themeColor="text1"/>
          <w:sz w:val="22"/>
          <w:szCs w:val="22"/>
          <w:lang w:val="en-GB"/>
        </w:rPr>
      </w:pPr>
    </w:p>
    <w:p w14:paraId="4C87C738" w14:textId="62124755" w:rsidR="00FC14F9" w:rsidRDefault="00FC14F9" w:rsidP="00914771">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ranking of employees</w:t>
      </w:r>
      <w:r w:rsidR="00AA73CA">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claims and any subrogated claims of a national protection fund can sit in differing positions in an insolvency waterfall depending on the law governing that insolvency.</w:t>
      </w:r>
    </w:p>
    <w:p w14:paraId="33B380DC" w14:textId="1C34BC6B" w:rsidR="00FC14F9" w:rsidRDefault="00FC14F9" w:rsidP="00914771">
      <w:pPr>
        <w:ind w:left="720"/>
        <w:jc w:val="both"/>
        <w:rPr>
          <w:rFonts w:ascii="Arial" w:hAnsi="Arial" w:cs="Arial"/>
          <w:color w:val="000000" w:themeColor="text1"/>
          <w:sz w:val="22"/>
          <w:szCs w:val="22"/>
          <w:lang w:val="en-GB"/>
        </w:rPr>
      </w:pPr>
    </w:p>
    <w:p w14:paraId="2E2D10D1" w14:textId="0C861D82" w:rsidR="00FC14F9" w:rsidRDefault="00FC14F9" w:rsidP="00914771">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English insolvency practitioner will need to consider how foreign employees</w:t>
      </w:r>
      <w:r w:rsidR="00AA73CA">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claims will rank in the English proceedings – will they be given the same priority as domestic employees?</w:t>
      </w:r>
    </w:p>
    <w:p w14:paraId="6CD1112C" w14:textId="3A9EB2FA" w:rsidR="00FC14F9" w:rsidRDefault="00FC14F9" w:rsidP="00914771">
      <w:pPr>
        <w:ind w:left="720"/>
        <w:jc w:val="both"/>
        <w:rPr>
          <w:rFonts w:ascii="Arial" w:hAnsi="Arial" w:cs="Arial"/>
          <w:color w:val="000000" w:themeColor="text1"/>
          <w:sz w:val="22"/>
          <w:szCs w:val="22"/>
          <w:lang w:val="en-GB"/>
        </w:rPr>
      </w:pPr>
    </w:p>
    <w:p w14:paraId="7544F317" w14:textId="7857AC7F" w:rsidR="00FC14F9" w:rsidRDefault="00FC14F9" w:rsidP="00FC14F9">
      <w:pPr>
        <w:pStyle w:val="ListParagraph"/>
        <w:numPr>
          <w:ilvl w:val="0"/>
          <w:numId w:val="25"/>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Directors conduct</w:t>
      </w:r>
    </w:p>
    <w:p w14:paraId="56818922" w14:textId="74B9D038" w:rsidR="00FC14F9" w:rsidRDefault="00FC14F9" w:rsidP="00FC14F9">
      <w:pPr>
        <w:jc w:val="both"/>
        <w:rPr>
          <w:rFonts w:ascii="Arial" w:hAnsi="Arial" w:cs="Arial"/>
          <w:color w:val="000000" w:themeColor="text1"/>
          <w:sz w:val="22"/>
          <w:szCs w:val="22"/>
          <w:lang w:val="en-GB"/>
        </w:rPr>
      </w:pPr>
    </w:p>
    <w:p w14:paraId="1775E5F0" w14:textId="62431E5F" w:rsidR="00FC14F9" w:rsidRDefault="00FC14F9" w:rsidP="00FC14F9">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directors of the company are directors of an English company and therefore their duties are determined by the Companies Act 2006.</w:t>
      </w:r>
    </w:p>
    <w:p w14:paraId="43F1196C" w14:textId="06B1A075" w:rsidR="00FC14F9" w:rsidRDefault="00FC14F9" w:rsidP="00FC14F9">
      <w:pPr>
        <w:ind w:left="720"/>
        <w:jc w:val="both"/>
        <w:rPr>
          <w:rFonts w:ascii="Arial" w:hAnsi="Arial" w:cs="Arial"/>
          <w:color w:val="000000" w:themeColor="text1"/>
          <w:sz w:val="22"/>
          <w:szCs w:val="22"/>
          <w:lang w:val="en-GB"/>
        </w:rPr>
      </w:pPr>
    </w:p>
    <w:p w14:paraId="49BB0D85" w14:textId="3BFC10D7" w:rsidR="00AA73CA" w:rsidRPr="00FC14F9" w:rsidRDefault="00FC14F9" w:rsidP="00AA73CA">
      <w:pPr>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English insolvency practitioner can investigate the conduct of the directors of the company under CA06 and IA</w:t>
      </w:r>
      <w:r w:rsidR="00AA73CA">
        <w:rPr>
          <w:rFonts w:ascii="Arial" w:hAnsi="Arial" w:cs="Arial"/>
          <w:color w:val="000000" w:themeColor="text1"/>
          <w:sz w:val="22"/>
          <w:szCs w:val="22"/>
          <w:lang w:val="en-GB"/>
        </w:rPr>
        <w:t>86 and bring claims under the same.  If those claims are being brought against foreign directors thought will need to be given to an application to serve out of the jurisdiction and also the service requirements of the state in which they are resident.</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0A2C" w14:textId="77777777" w:rsidR="00AE6A2F" w:rsidRDefault="00AE6A2F" w:rsidP="00241B44">
      <w:r>
        <w:separator/>
      </w:r>
    </w:p>
  </w:endnote>
  <w:endnote w:type="continuationSeparator" w:id="0">
    <w:p w14:paraId="6D1CE96D" w14:textId="77777777" w:rsidR="00AE6A2F" w:rsidRDefault="00AE6A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60F7D831"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6C5962">
          <w:rPr>
            <w:rStyle w:val="PageNumber"/>
            <w:rFonts w:ascii="Arial" w:hAnsi="Arial" w:cs="Arial"/>
            <w:b/>
            <w:bCs/>
            <w:noProof/>
            <w:sz w:val="18"/>
            <w:szCs w:val="18"/>
          </w:rPr>
          <w:t>3</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7423" w14:textId="77777777" w:rsidR="00AE6A2F" w:rsidRDefault="00AE6A2F" w:rsidP="00241B44">
      <w:r>
        <w:separator/>
      </w:r>
    </w:p>
  </w:footnote>
  <w:footnote w:type="continuationSeparator" w:id="0">
    <w:p w14:paraId="760D0562" w14:textId="77777777" w:rsidR="00AE6A2F" w:rsidRDefault="00AE6A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43288"/>
    <w:multiLevelType w:val="hybridMultilevel"/>
    <w:tmpl w:val="A6A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37893"/>
    <w:multiLevelType w:val="hybridMultilevel"/>
    <w:tmpl w:val="DDD4A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B50BA"/>
    <w:multiLevelType w:val="hybridMultilevel"/>
    <w:tmpl w:val="6D6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5"/>
  </w:num>
  <w:num w:numId="4">
    <w:abstractNumId w:val="2"/>
  </w:num>
  <w:num w:numId="5">
    <w:abstractNumId w:val="8"/>
  </w:num>
  <w:num w:numId="6">
    <w:abstractNumId w:val="17"/>
  </w:num>
  <w:num w:numId="7">
    <w:abstractNumId w:val="23"/>
  </w:num>
  <w:num w:numId="8">
    <w:abstractNumId w:val="16"/>
  </w:num>
  <w:num w:numId="9">
    <w:abstractNumId w:val="4"/>
  </w:num>
  <w:num w:numId="10">
    <w:abstractNumId w:val="7"/>
  </w:num>
  <w:num w:numId="11">
    <w:abstractNumId w:val="6"/>
  </w:num>
  <w:num w:numId="12">
    <w:abstractNumId w:val="3"/>
  </w:num>
  <w:num w:numId="13">
    <w:abstractNumId w:val="14"/>
  </w:num>
  <w:num w:numId="14">
    <w:abstractNumId w:val="0"/>
  </w:num>
  <w:num w:numId="15">
    <w:abstractNumId w:val="1"/>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1"/>
  </w:num>
  <w:num w:numId="23">
    <w:abstractNumId w:val="12"/>
  </w:num>
  <w:num w:numId="24">
    <w:abstractNumId w:val="9"/>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B65FD"/>
    <w:rsid w:val="000D2D5E"/>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54F5E"/>
    <w:rsid w:val="00260A05"/>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213B"/>
    <w:rsid w:val="00334648"/>
    <w:rsid w:val="0033768C"/>
    <w:rsid w:val="00337938"/>
    <w:rsid w:val="00340769"/>
    <w:rsid w:val="00341AA6"/>
    <w:rsid w:val="0035243D"/>
    <w:rsid w:val="00361A0A"/>
    <w:rsid w:val="0036565C"/>
    <w:rsid w:val="0036625E"/>
    <w:rsid w:val="0037465A"/>
    <w:rsid w:val="00374696"/>
    <w:rsid w:val="00382C98"/>
    <w:rsid w:val="0038533C"/>
    <w:rsid w:val="0039138D"/>
    <w:rsid w:val="003948D5"/>
    <w:rsid w:val="00395416"/>
    <w:rsid w:val="00396821"/>
    <w:rsid w:val="00397D3A"/>
    <w:rsid w:val="003A051E"/>
    <w:rsid w:val="003A2F8D"/>
    <w:rsid w:val="003B170F"/>
    <w:rsid w:val="003B3271"/>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446E"/>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6347"/>
    <w:rsid w:val="00677AEB"/>
    <w:rsid w:val="00687A1D"/>
    <w:rsid w:val="00697EA1"/>
    <w:rsid w:val="006A2646"/>
    <w:rsid w:val="006A6530"/>
    <w:rsid w:val="006B1CA2"/>
    <w:rsid w:val="006B435A"/>
    <w:rsid w:val="006B4C64"/>
    <w:rsid w:val="006C56F3"/>
    <w:rsid w:val="006C5962"/>
    <w:rsid w:val="006D01C2"/>
    <w:rsid w:val="006E0B4C"/>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84190"/>
    <w:rsid w:val="0088621C"/>
    <w:rsid w:val="0089145D"/>
    <w:rsid w:val="008A6CFE"/>
    <w:rsid w:val="008B5333"/>
    <w:rsid w:val="008B6223"/>
    <w:rsid w:val="008C66E0"/>
    <w:rsid w:val="008E3339"/>
    <w:rsid w:val="008F20FC"/>
    <w:rsid w:val="008F6301"/>
    <w:rsid w:val="00905A43"/>
    <w:rsid w:val="00912C79"/>
    <w:rsid w:val="00914771"/>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A73CA"/>
    <w:rsid w:val="00AB685C"/>
    <w:rsid w:val="00AB6C2D"/>
    <w:rsid w:val="00AC3839"/>
    <w:rsid w:val="00AC4698"/>
    <w:rsid w:val="00AC7082"/>
    <w:rsid w:val="00AD6A7D"/>
    <w:rsid w:val="00AE6A2F"/>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0638C"/>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C20"/>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7E9"/>
    <w:rsid w:val="00F61DD2"/>
    <w:rsid w:val="00F66AFF"/>
    <w:rsid w:val="00F71433"/>
    <w:rsid w:val="00F97C5B"/>
    <w:rsid w:val="00FA3D50"/>
    <w:rsid w:val="00FA3D5F"/>
    <w:rsid w:val="00FC14F9"/>
    <w:rsid w:val="00FC374A"/>
    <w:rsid w:val="00FC7B47"/>
    <w:rsid w:val="00FD035C"/>
    <w:rsid w:val="00FD1A35"/>
    <w:rsid w:val="00FD36C5"/>
    <w:rsid w:val="00FD6310"/>
    <w:rsid w:val="00FD68E7"/>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92D1-F3C7-4734-99C4-73B8A945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McMahon</cp:lastModifiedBy>
  <cp:revision>2</cp:revision>
  <cp:lastPrinted>2019-09-04T15:45:00Z</cp:lastPrinted>
  <dcterms:created xsi:type="dcterms:W3CDTF">2021-10-15T15:11:00Z</dcterms:created>
  <dcterms:modified xsi:type="dcterms:W3CDTF">2021-10-15T15:11:00Z</dcterms:modified>
</cp:coreProperties>
</file>