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7628F9" w:rsidRDefault="00B736DF" w:rsidP="009E1027">
      <w:pPr>
        <w:pStyle w:val="ListParagraph"/>
        <w:numPr>
          <w:ilvl w:val="0"/>
          <w:numId w:val="12"/>
        </w:numPr>
        <w:ind w:left="426"/>
        <w:jc w:val="both"/>
        <w:rPr>
          <w:rFonts w:ascii="Arial" w:hAnsi="Arial" w:cs="Arial"/>
          <w:sz w:val="22"/>
          <w:szCs w:val="22"/>
          <w:highlight w:val="yellow"/>
          <w:lang w:val="en-GB"/>
        </w:rPr>
      </w:pPr>
      <w:r w:rsidRPr="007628F9">
        <w:rPr>
          <w:rFonts w:ascii="Arial" w:hAnsi="Arial" w:cs="Arial"/>
          <w:sz w:val="22"/>
          <w:szCs w:val="22"/>
          <w:highlight w:val="yellow"/>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7628F9" w:rsidRDefault="00161F1B" w:rsidP="009E1027">
      <w:pPr>
        <w:pStyle w:val="ListParagraph"/>
        <w:numPr>
          <w:ilvl w:val="0"/>
          <w:numId w:val="13"/>
        </w:numPr>
        <w:ind w:left="426"/>
        <w:jc w:val="both"/>
        <w:rPr>
          <w:rFonts w:ascii="Arial" w:hAnsi="Arial" w:cs="Arial"/>
          <w:sz w:val="22"/>
          <w:szCs w:val="22"/>
          <w:highlight w:val="yellow"/>
          <w:lang w:val="en-GB"/>
        </w:rPr>
      </w:pPr>
      <w:r w:rsidRPr="007628F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7628F9" w:rsidRDefault="009E2E27" w:rsidP="008031A7">
      <w:pPr>
        <w:pStyle w:val="ListParagraph"/>
        <w:numPr>
          <w:ilvl w:val="0"/>
          <w:numId w:val="14"/>
        </w:numPr>
        <w:ind w:left="426"/>
        <w:jc w:val="both"/>
        <w:rPr>
          <w:rFonts w:ascii="Arial" w:hAnsi="Arial" w:cs="Arial"/>
          <w:sz w:val="22"/>
          <w:szCs w:val="22"/>
          <w:highlight w:val="yellow"/>
          <w:lang w:val="en-GB"/>
        </w:rPr>
      </w:pPr>
      <w:r w:rsidRPr="007628F9">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593060" w:rsidRDefault="009E2E27" w:rsidP="008031A7">
      <w:pPr>
        <w:pStyle w:val="ListParagraph"/>
        <w:numPr>
          <w:ilvl w:val="0"/>
          <w:numId w:val="15"/>
        </w:numPr>
        <w:ind w:left="426"/>
        <w:jc w:val="both"/>
        <w:rPr>
          <w:rFonts w:ascii="Arial" w:hAnsi="Arial" w:cs="Arial"/>
          <w:sz w:val="22"/>
          <w:szCs w:val="22"/>
          <w:highlight w:val="yellow"/>
          <w:lang w:val="en-GB"/>
        </w:rPr>
      </w:pPr>
      <w:r w:rsidRPr="00593060">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593060" w:rsidRDefault="00A235B7" w:rsidP="006D01C2">
      <w:pPr>
        <w:pStyle w:val="ListParagraph"/>
        <w:numPr>
          <w:ilvl w:val="0"/>
          <w:numId w:val="16"/>
        </w:numPr>
        <w:ind w:left="426"/>
        <w:jc w:val="both"/>
        <w:rPr>
          <w:rFonts w:ascii="Arial" w:hAnsi="Arial" w:cs="Arial"/>
          <w:sz w:val="22"/>
          <w:szCs w:val="22"/>
          <w:highlight w:val="yellow"/>
          <w:lang w:val="en-GB"/>
        </w:rPr>
      </w:pPr>
      <w:r w:rsidRPr="00593060">
        <w:rPr>
          <w:rFonts w:ascii="Arial" w:hAnsi="Arial" w:cs="Arial"/>
          <w:sz w:val="22"/>
          <w:szCs w:val="22"/>
          <w:highlight w:val="yellow"/>
          <w:lang w:val="en-GB"/>
        </w:rPr>
        <w:t>The statement</w:t>
      </w:r>
      <w:r w:rsidR="0037465A" w:rsidRPr="00593060">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593060"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593060">
        <w:rPr>
          <w:rFonts w:ascii="Arial" w:eastAsiaTheme="minorHAnsi" w:hAnsi="Arial" w:cs="Arial"/>
          <w:sz w:val="22"/>
          <w:szCs w:val="22"/>
          <w:highlight w:val="yellow"/>
          <w:lang w:val="en-GB"/>
        </w:rPr>
        <w:t>Private International Law</w:t>
      </w:r>
      <w:r w:rsidR="00991428" w:rsidRPr="00593060">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93087C" w:rsidRDefault="004D1A5A" w:rsidP="006D01C2">
      <w:pPr>
        <w:pStyle w:val="ListParagraph"/>
        <w:numPr>
          <w:ilvl w:val="0"/>
          <w:numId w:val="18"/>
        </w:numPr>
        <w:ind w:left="426"/>
        <w:jc w:val="both"/>
        <w:rPr>
          <w:rFonts w:ascii="Arial" w:hAnsi="Arial" w:cs="Arial"/>
          <w:sz w:val="22"/>
          <w:szCs w:val="22"/>
          <w:highlight w:val="yellow"/>
          <w:lang w:val="en-GB"/>
        </w:rPr>
      </w:pPr>
      <w:r w:rsidRPr="0093087C">
        <w:rPr>
          <w:rFonts w:ascii="Arial" w:hAnsi="Arial" w:cs="Arial"/>
          <w:sz w:val="22"/>
          <w:szCs w:val="22"/>
          <w:highlight w:val="yellow"/>
          <w:lang w:val="en-GB"/>
        </w:rPr>
        <w:t>UNCITRAL Model Law on Cross-border Insolvency (1997)</w:t>
      </w:r>
      <w:r w:rsidR="00912C79" w:rsidRPr="0093087C">
        <w:rPr>
          <w:rFonts w:ascii="Arial" w:hAnsi="Arial" w:cs="Arial"/>
          <w:sz w:val="22"/>
          <w:szCs w:val="22"/>
          <w:highlight w:val="yellow"/>
          <w:lang w:val="en-GB"/>
        </w:rPr>
        <w:t>.</w:t>
      </w:r>
      <w:r w:rsidRPr="0093087C">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E108BF">
        <w:rPr>
          <w:rFonts w:ascii="Arial" w:hAnsi="Arial" w:cs="Arial"/>
          <w:b/>
          <w:bCs/>
          <w:sz w:val="22"/>
          <w:szCs w:val="22"/>
          <w:lang w:val="en-GB"/>
        </w:rPr>
        <w:t>Question 1.</w:t>
      </w:r>
      <w:r w:rsidR="007074E9" w:rsidRPr="00E108B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850CCB"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850CCB">
        <w:rPr>
          <w:rFonts w:ascii="Arial" w:hAnsi="Arial" w:cs="Arial"/>
          <w:sz w:val="22"/>
          <w:szCs w:val="22"/>
          <w:highlight w:val="yellow"/>
          <w:lang w:val="en-GB"/>
        </w:rPr>
        <w:t>Havana Convention on Private International Law (1928)</w:t>
      </w:r>
      <w:r w:rsidRPr="00850CCB">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4F6F79" w:rsidRDefault="0082483F" w:rsidP="006D01C2">
      <w:pPr>
        <w:pStyle w:val="ListParagraph"/>
        <w:numPr>
          <w:ilvl w:val="0"/>
          <w:numId w:val="20"/>
        </w:numPr>
        <w:ind w:left="426"/>
        <w:jc w:val="both"/>
        <w:rPr>
          <w:rFonts w:ascii="Arial" w:hAnsi="Arial" w:cs="Arial"/>
          <w:sz w:val="22"/>
          <w:szCs w:val="22"/>
          <w:highlight w:val="yellow"/>
          <w:lang w:val="en-GB"/>
        </w:rPr>
      </w:pPr>
      <w:r w:rsidRPr="004F6F79">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4F6F79"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4F6F79">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17A4AFC1" w14:textId="6A594F4D" w:rsidR="004E4EE1" w:rsidRPr="004E4EE1" w:rsidRDefault="004E4EE1" w:rsidP="00842560">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a starting point, the </w:t>
      </w:r>
      <w:r w:rsidR="007A2CEA">
        <w:rPr>
          <w:rFonts w:ascii="Arial" w:hAnsi="Arial" w:cs="Arial"/>
          <w:color w:val="7B7B7B" w:themeColor="accent3" w:themeShade="BF"/>
          <w:sz w:val="22"/>
          <w:szCs w:val="22"/>
          <w:lang w:val="en-GB"/>
        </w:rPr>
        <w:t xml:space="preserve">term “international insolvency law” </w:t>
      </w:r>
      <w:r w:rsidR="00842560">
        <w:rPr>
          <w:rFonts w:ascii="Arial" w:hAnsi="Arial" w:cs="Arial"/>
          <w:color w:val="7B7B7B" w:themeColor="accent3" w:themeShade="BF"/>
          <w:sz w:val="22"/>
          <w:szCs w:val="22"/>
          <w:lang w:val="en-GB"/>
        </w:rPr>
        <w:t xml:space="preserve">is defined by </w:t>
      </w:r>
      <w:r>
        <w:rPr>
          <w:rFonts w:ascii="Arial" w:hAnsi="Arial" w:cs="Arial"/>
          <w:color w:val="7B7B7B" w:themeColor="accent3" w:themeShade="BF"/>
          <w:sz w:val="22"/>
          <w:szCs w:val="22"/>
          <w:lang w:val="en-GB"/>
        </w:rPr>
        <w:t xml:space="preserve">Professor Bob </w:t>
      </w:r>
      <w:r w:rsidR="00842560" w:rsidRPr="004E4EE1">
        <w:rPr>
          <w:rFonts w:ascii="Arial" w:hAnsi="Arial" w:cs="Arial"/>
          <w:color w:val="7B7B7B" w:themeColor="accent3" w:themeShade="BF"/>
          <w:sz w:val="22"/>
          <w:szCs w:val="22"/>
          <w:lang w:val="en-GB"/>
        </w:rPr>
        <w:t>Wessels</w:t>
      </w:r>
      <w:r w:rsidR="00842560">
        <w:rPr>
          <w:rFonts w:ascii="Arial" w:hAnsi="Arial" w:cs="Arial"/>
          <w:color w:val="7B7B7B" w:themeColor="accent3" w:themeShade="BF"/>
          <w:sz w:val="22"/>
          <w:szCs w:val="22"/>
          <w:lang w:val="en-GB"/>
        </w:rPr>
        <w:t xml:space="preserve"> as “</w:t>
      </w:r>
      <w:r w:rsidR="00842560">
        <w:rPr>
          <w:rFonts w:ascii="Arial" w:hAnsi="Arial" w:cs="Arial"/>
          <w:i/>
          <w:iCs/>
          <w:color w:val="7B7B7B" w:themeColor="accent3" w:themeShade="BF"/>
          <w:sz w:val="22"/>
          <w:szCs w:val="22"/>
          <w:lang w:val="en-GB"/>
        </w:rPr>
        <w:t>a body of rules concerning certain insolvency proceedings or measures, which cannot be fully enforced, because the applicable law cannot be executed immediately and exclusively without consideration being given to the international aspect of a given case.”</w:t>
      </w:r>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expand, the term “international insolvency law” encompasses a framework to be applied when Courts of different States are required to co-ordinate and co-operate to deal with an insolvency which transcends the confines of a single legal system. Such co-ordination and co-operation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required because a single set of domestic insolvency law provisions would not be applied immediately or exclusively without regard to the foreign elements of the case.</w:t>
      </w:r>
    </w:p>
    <w:p w14:paraId="0BC9B06A" w14:textId="77777777" w:rsidR="004E4EE1" w:rsidRPr="00BF1C6F" w:rsidRDefault="004E4EE1"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3FBA9E32" w:rsidR="009B07AD" w:rsidRPr="00790ABB" w:rsidRDefault="00D0389B" w:rsidP="00D038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universality contemplates that there be only a single insolvency proceeding to cover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debtor’s assets worldwide.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debtor’s creditors worldwide would have an equal opportunity of participating in the insolvency and have their claims being treated on an equal basis. </w:t>
      </w:r>
      <w:r w:rsidR="00790ABB">
        <w:rPr>
          <w:rFonts w:ascii="Arial" w:hAnsi="Arial" w:cs="Arial"/>
          <w:color w:val="7B7B7B" w:themeColor="accent3" w:themeShade="BF"/>
          <w:sz w:val="22"/>
          <w:szCs w:val="22"/>
          <w:lang w:val="en-GB"/>
        </w:rPr>
        <w:t xml:space="preserve">The law of the </w:t>
      </w:r>
      <w:r w:rsidR="00790ABB">
        <w:rPr>
          <w:rFonts w:ascii="Arial" w:hAnsi="Arial" w:cs="Arial"/>
          <w:i/>
          <w:iCs/>
          <w:color w:val="7B7B7B" w:themeColor="accent3" w:themeShade="BF"/>
          <w:sz w:val="22"/>
          <w:szCs w:val="22"/>
          <w:lang w:val="en-GB"/>
        </w:rPr>
        <w:t>lex concursus</w:t>
      </w:r>
      <w:r w:rsidR="00790ABB">
        <w:rPr>
          <w:rFonts w:ascii="Arial" w:hAnsi="Arial" w:cs="Arial"/>
          <w:color w:val="7B7B7B" w:themeColor="accent3" w:themeShade="BF"/>
          <w:sz w:val="22"/>
          <w:szCs w:val="22"/>
          <w:lang w:val="en-GB"/>
        </w:rPr>
        <w:t xml:space="preserve"> would regulate the insolvency. </w:t>
      </w:r>
    </w:p>
    <w:p w14:paraId="32F97B17" w14:textId="27F3EBE9" w:rsidR="00D0389B" w:rsidRDefault="00D0389B" w:rsidP="00D0389B">
      <w:pPr>
        <w:jc w:val="both"/>
        <w:rPr>
          <w:rFonts w:ascii="Arial" w:hAnsi="Arial" w:cs="Arial"/>
          <w:color w:val="7B7B7B" w:themeColor="accent3" w:themeShade="BF"/>
          <w:sz w:val="22"/>
          <w:szCs w:val="22"/>
          <w:lang w:val="en-GB"/>
        </w:rPr>
      </w:pPr>
    </w:p>
    <w:p w14:paraId="53AE1938" w14:textId="1A2628D3" w:rsidR="00D0389B" w:rsidRDefault="00D0389B" w:rsidP="00D038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contrast, the concept of territoriality contemplates the possibility of insolvency proceedings being commenced in every State or jurisdiction where the debtor </w:t>
      </w:r>
      <w:r w:rsidR="00790ABB">
        <w:rPr>
          <w:rFonts w:ascii="Arial" w:hAnsi="Arial" w:cs="Arial"/>
          <w:color w:val="7B7B7B" w:themeColor="accent3" w:themeShade="BF"/>
          <w:sz w:val="22"/>
          <w:szCs w:val="22"/>
          <w:lang w:val="en-GB"/>
        </w:rPr>
        <w:t>is established by way of a non-transitory economic activity</w:t>
      </w:r>
      <w:r>
        <w:rPr>
          <w:rFonts w:ascii="Arial" w:hAnsi="Arial" w:cs="Arial"/>
          <w:color w:val="7B7B7B" w:themeColor="accent3" w:themeShade="BF"/>
          <w:sz w:val="22"/>
          <w:szCs w:val="22"/>
          <w:lang w:val="en-GB"/>
        </w:rPr>
        <w:t xml:space="preserve">. </w:t>
      </w:r>
      <w:r w:rsidR="0008169C">
        <w:rPr>
          <w:rFonts w:ascii="Arial" w:hAnsi="Arial" w:cs="Arial"/>
          <w:color w:val="7B7B7B" w:themeColor="accent3" w:themeShade="BF"/>
          <w:sz w:val="22"/>
          <w:szCs w:val="22"/>
          <w:lang w:val="en-GB"/>
        </w:rPr>
        <w:t xml:space="preserve">Such insolvency proceedings would only cover the debtor’s </w:t>
      </w:r>
      <w:r w:rsidR="0008169C">
        <w:rPr>
          <w:rFonts w:ascii="Arial" w:hAnsi="Arial" w:cs="Arial"/>
          <w:color w:val="7B7B7B" w:themeColor="accent3" w:themeShade="BF"/>
          <w:sz w:val="22"/>
          <w:szCs w:val="22"/>
          <w:lang w:val="en-GB"/>
        </w:rPr>
        <w:lastRenderedPageBreak/>
        <w:t>assets within that State or jurisdiction and allow the participation of the creditors within that State or jurisdiction.</w:t>
      </w:r>
    </w:p>
    <w:p w14:paraId="451B2B5E" w14:textId="3E5B809A" w:rsidR="0008169C" w:rsidRDefault="0008169C" w:rsidP="00D0389B">
      <w:pPr>
        <w:jc w:val="both"/>
        <w:rPr>
          <w:rFonts w:ascii="Arial" w:hAnsi="Arial" w:cs="Arial"/>
          <w:color w:val="7B7B7B" w:themeColor="accent3" w:themeShade="BF"/>
          <w:sz w:val="22"/>
          <w:szCs w:val="22"/>
          <w:lang w:val="en-GB"/>
        </w:rPr>
      </w:pPr>
    </w:p>
    <w:p w14:paraId="57616A69" w14:textId="1D021335" w:rsidR="0008169C" w:rsidRDefault="0008169C" w:rsidP="00D038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key focus of universalism in insolvency is to ensure that the trustee of the insolvent estate can maximise recovery for the debtor’s creditors by having the ability to collect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debtor’s assets worldwide. This would not be possible under territorialism, as the trustee would only be able to realise the assets within the jurisdiction. </w:t>
      </w:r>
      <w:r w:rsidR="00790ABB">
        <w:rPr>
          <w:rFonts w:ascii="Arial" w:hAnsi="Arial" w:cs="Arial"/>
          <w:color w:val="7B7B7B" w:themeColor="accent3" w:themeShade="BF"/>
          <w:sz w:val="22"/>
          <w:szCs w:val="22"/>
          <w:lang w:val="en-GB"/>
        </w:rPr>
        <w:t>Universalism also recognises that it is a key feature of the modern world for businesses and businesspeople to operate across borders.</w:t>
      </w:r>
    </w:p>
    <w:p w14:paraId="41656554" w14:textId="69ED0C99" w:rsidR="0008169C" w:rsidRDefault="0008169C" w:rsidP="00D0389B">
      <w:pPr>
        <w:jc w:val="both"/>
        <w:rPr>
          <w:rFonts w:ascii="Arial" w:hAnsi="Arial" w:cs="Arial"/>
          <w:color w:val="7B7B7B" w:themeColor="accent3" w:themeShade="BF"/>
          <w:sz w:val="22"/>
          <w:szCs w:val="22"/>
          <w:lang w:val="en-GB"/>
        </w:rPr>
      </w:pPr>
    </w:p>
    <w:p w14:paraId="4609358E" w14:textId="364FD0C6" w:rsidR="0008169C" w:rsidRDefault="0008169C" w:rsidP="00D038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universalism enables the debtor’s creditors worldwide to be distributed with a share of the debtor’s assets. It would prevent an “asset grab” by creditors rushing to declare a debtor insolvent in a State / jurisdiction where the debtor has most of its assets so that those creditors can recover a larger share of the debtor’s assets. </w:t>
      </w:r>
    </w:p>
    <w:p w14:paraId="2F090B0E" w14:textId="08F9EABC" w:rsidR="00790ABB" w:rsidRDefault="00790ABB" w:rsidP="00D0389B">
      <w:pPr>
        <w:jc w:val="both"/>
        <w:rPr>
          <w:rFonts w:ascii="Arial" w:hAnsi="Arial" w:cs="Arial"/>
          <w:color w:val="7B7B7B" w:themeColor="accent3" w:themeShade="BF"/>
          <w:sz w:val="22"/>
          <w:szCs w:val="22"/>
          <w:lang w:val="en-GB"/>
        </w:rPr>
      </w:pPr>
    </w:p>
    <w:p w14:paraId="76AEEF2F" w14:textId="522BE548" w:rsidR="00790ABB" w:rsidRDefault="00790ABB" w:rsidP="00D038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Universalism is said to also possibly be more cost-effective, as the insolvency of the debtor is centralised, and only one trustee (or one set of trustees) is appointed. This </w:t>
      </w:r>
      <w:proofErr w:type="gramStart"/>
      <w:r>
        <w:rPr>
          <w:rFonts w:ascii="Arial" w:hAnsi="Arial" w:cs="Arial"/>
          <w:color w:val="7B7B7B" w:themeColor="accent3" w:themeShade="BF"/>
          <w:sz w:val="22"/>
          <w:szCs w:val="22"/>
          <w:lang w:val="en-GB"/>
        </w:rPr>
        <w:t>is in contrast to</w:t>
      </w:r>
      <w:proofErr w:type="gramEnd"/>
      <w:r>
        <w:rPr>
          <w:rFonts w:ascii="Arial" w:hAnsi="Arial" w:cs="Arial"/>
          <w:color w:val="7B7B7B" w:themeColor="accent3" w:themeShade="BF"/>
          <w:sz w:val="22"/>
          <w:szCs w:val="22"/>
          <w:lang w:val="en-GB"/>
        </w:rPr>
        <w:t xml:space="preserve"> territoriality which makes multiple concurrent proceedings running. </w:t>
      </w:r>
    </w:p>
    <w:p w14:paraId="7498E3A8" w14:textId="28629909" w:rsidR="0008169C" w:rsidRDefault="0008169C" w:rsidP="00D0389B">
      <w:pPr>
        <w:jc w:val="both"/>
        <w:rPr>
          <w:rFonts w:ascii="Arial" w:hAnsi="Arial" w:cs="Arial"/>
          <w:color w:val="7B7B7B" w:themeColor="accent3" w:themeShade="BF"/>
          <w:sz w:val="22"/>
          <w:szCs w:val="22"/>
          <w:lang w:val="en-GB"/>
        </w:rPr>
      </w:pPr>
    </w:p>
    <w:p w14:paraId="6995A6D7" w14:textId="3FBFA5FE" w:rsidR="0008169C" w:rsidRDefault="0008169C" w:rsidP="00D038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Universalism, however, is practically not possible since there is no single piece of legislation which all States can or will subscribe to as law.</w:t>
      </w:r>
      <w:r w:rsidR="00790ABB">
        <w:rPr>
          <w:rFonts w:ascii="Arial" w:hAnsi="Arial" w:cs="Arial"/>
          <w:color w:val="7B7B7B" w:themeColor="accent3" w:themeShade="BF"/>
          <w:sz w:val="22"/>
          <w:szCs w:val="22"/>
          <w:lang w:val="en-GB"/>
        </w:rPr>
        <w:t xml:space="preserve"> One main difficulty is the fact that States are premised on different legal systems – civil or common law – with very different concepts.</w:t>
      </w:r>
      <w:r>
        <w:rPr>
          <w:rFonts w:ascii="Arial" w:hAnsi="Arial" w:cs="Arial"/>
          <w:color w:val="7B7B7B" w:themeColor="accent3" w:themeShade="BF"/>
          <w:sz w:val="22"/>
          <w:szCs w:val="22"/>
          <w:lang w:val="en-GB"/>
        </w:rPr>
        <w:t xml:space="preserve"> Further, even if there were a single piece of legislation, each State will have varyin</w:t>
      </w:r>
      <w:r w:rsidR="00790ABB">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 xml:space="preserve"> degrees of </w:t>
      </w:r>
      <w:r w:rsidR="00790ABB">
        <w:rPr>
          <w:rFonts w:ascii="Arial" w:hAnsi="Arial" w:cs="Arial"/>
          <w:color w:val="7B7B7B" w:themeColor="accent3" w:themeShade="BF"/>
          <w:sz w:val="22"/>
          <w:szCs w:val="22"/>
          <w:lang w:val="en-GB"/>
        </w:rPr>
        <w:t xml:space="preserve">applying such law, having different levels of efficiencies, and be subject to different types of possible manipulations. Thus, a universalist system may be prone also to abuse. </w:t>
      </w:r>
    </w:p>
    <w:p w14:paraId="3825EAAA" w14:textId="21A854DA" w:rsidR="0008169C" w:rsidRDefault="0008169C" w:rsidP="00D0389B">
      <w:pPr>
        <w:jc w:val="both"/>
        <w:rPr>
          <w:rFonts w:ascii="Arial" w:hAnsi="Arial" w:cs="Arial"/>
          <w:color w:val="7B7B7B" w:themeColor="accent3" w:themeShade="BF"/>
          <w:sz w:val="22"/>
          <w:szCs w:val="22"/>
          <w:lang w:val="en-GB"/>
        </w:rPr>
      </w:pPr>
    </w:p>
    <w:p w14:paraId="039E27B5" w14:textId="00AA88A7"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624BE146" w:rsidR="00C72848" w:rsidRDefault="00D20B6F" w:rsidP="00E108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w:t>
      </w:r>
      <w:r w:rsidR="00E108BF">
        <w:rPr>
          <w:rFonts w:ascii="Arial" w:hAnsi="Arial" w:cs="Arial"/>
          <w:color w:val="7B7B7B" w:themeColor="accent3" w:themeShade="BF"/>
          <w:sz w:val="22"/>
          <w:szCs w:val="22"/>
          <w:lang w:val="en-GB"/>
        </w:rPr>
        <w:t xml:space="preserve">in 2009, </w:t>
      </w:r>
      <w:r>
        <w:rPr>
          <w:rFonts w:ascii="Arial" w:hAnsi="Arial" w:cs="Arial"/>
          <w:color w:val="7B7B7B" w:themeColor="accent3" w:themeShade="BF"/>
          <w:sz w:val="22"/>
          <w:szCs w:val="22"/>
          <w:lang w:val="en-GB"/>
        </w:rPr>
        <w:t>the</w:t>
      </w:r>
      <w:r w:rsidR="00E108BF">
        <w:rPr>
          <w:rFonts w:ascii="Arial" w:hAnsi="Arial" w:cs="Arial"/>
          <w:color w:val="7B7B7B" w:themeColor="accent3" w:themeShade="BF"/>
          <w:sz w:val="22"/>
          <w:szCs w:val="22"/>
          <w:lang w:val="en-GB"/>
        </w:rPr>
        <w:t xml:space="preserve"> first regional</w:t>
      </w:r>
      <w:r>
        <w:rPr>
          <w:rFonts w:ascii="Arial" w:hAnsi="Arial" w:cs="Arial"/>
          <w:color w:val="7B7B7B" w:themeColor="accent3" w:themeShade="BF"/>
          <w:sz w:val="22"/>
          <w:szCs w:val="22"/>
          <w:lang w:val="en-GB"/>
        </w:rPr>
        <w:t xml:space="preserve">, comparative survey of insolvency </w:t>
      </w:r>
      <w:r w:rsidR="00E108BF">
        <w:rPr>
          <w:rFonts w:ascii="Arial" w:hAnsi="Arial" w:cs="Arial"/>
          <w:color w:val="7B7B7B" w:themeColor="accent3" w:themeShade="BF"/>
          <w:sz w:val="22"/>
          <w:szCs w:val="22"/>
          <w:lang w:val="en-GB"/>
        </w:rPr>
        <w:t xml:space="preserve">systems in the Middle East and North Africa (MENA) was launched as a joint initiative of the </w:t>
      </w:r>
      <w:proofErr w:type="spellStart"/>
      <w:r w:rsidR="00E108BF">
        <w:rPr>
          <w:rFonts w:ascii="Arial" w:hAnsi="Arial" w:cs="Arial"/>
          <w:color w:val="7B7B7B" w:themeColor="accent3" w:themeShade="BF"/>
          <w:sz w:val="22"/>
          <w:szCs w:val="22"/>
          <w:lang w:val="en-GB"/>
        </w:rPr>
        <w:t>Hawkamah</w:t>
      </w:r>
      <w:proofErr w:type="spellEnd"/>
      <w:r w:rsidR="00E108BF">
        <w:rPr>
          <w:rFonts w:ascii="Arial" w:hAnsi="Arial" w:cs="Arial"/>
          <w:color w:val="7B7B7B" w:themeColor="accent3" w:themeShade="BF"/>
          <w:sz w:val="22"/>
          <w:szCs w:val="22"/>
          <w:lang w:val="en-GB"/>
        </w:rPr>
        <w:t xml:space="preserve"> Institute for Corporate Governance, the World Bank, the OECD and INSOL International, based on the World Bank’s Principles for Effective Insolvency and Creditor Rights Systems (2005) as an indicate of best practice,</w:t>
      </w:r>
    </w:p>
    <w:p w14:paraId="140E36F7" w14:textId="005F50DD" w:rsidR="00E108BF" w:rsidRDefault="00E108BF" w:rsidP="00E108BF">
      <w:pPr>
        <w:jc w:val="both"/>
        <w:rPr>
          <w:rFonts w:ascii="Arial" w:hAnsi="Arial" w:cs="Arial"/>
          <w:color w:val="7B7B7B" w:themeColor="accent3" w:themeShade="BF"/>
          <w:sz w:val="22"/>
          <w:szCs w:val="22"/>
          <w:lang w:val="en-GB"/>
        </w:rPr>
      </w:pPr>
    </w:p>
    <w:p w14:paraId="63ADEB6D" w14:textId="63829741" w:rsidR="00E108BF" w:rsidRDefault="00E108BF" w:rsidP="00E108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UAE (in 2016 and 2019), Saudi Arabia (in 2018), and Dubai (in 2019) have reformed their domestic insolvency laws. </w:t>
      </w:r>
    </w:p>
    <w:p w14:paraId="23F1979E" w14:textId="06525DAC" w:rsidR="00E108BF" w:rsidRDefault="00E108BF" w:rsidP="00E108BF">
      <w:pPr>
        <w:jc w:val="both"/>
        <w:rPr>
          <w:rFonts w:ascii="Arial" w:hAnsi="Arial" w:cs="Arial"/>
          <w:color w:val="7B7B7B" w:themeColor="accent3" w:themeShade="BF"/>
          <w:sz w:val="22"/>
          <w:szCs w:val="22"/>
          <w:lang w:val="en-GB"/>
        </w:rPr>
      </w:pPr>
    </w:p>
    <w:p w14:paraId="20E037B9" w14:textId="74937BDB" w:rsidR="00E108BF" w:rsidRDefault="00E108BF" w:rsidP="00E108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Bahrain and the Dubai International Financial Centre adopted the Model Law on Cross-Border Insolvency in 2018 and 2019 respectively.</w:t>
      </w:r>
    </w:p>
    <w:p w14:paraId="69B63073" w14:textId="77777777" w:rsidR="00E108BF" w:rsidRPr="00BF1C6F" w:rsidRDefault="00E108BF" w:rsidP="00C053F7">
      <w:pPr>
        <w:ind w:left="720" w:hanging="720"/>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0CD6143E" w:rsidR="00544127" w:rsidRDefault="0018257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 insolvency for individuals, the objectives are to: (1) protect the debtor from harassment by his creditors; (2) allow the debtor to start afresh; and (3) reduce indebtedness by making contributions from his present and future income. Accordingly, certain assets are excluded or exempt from the insolvencies due to socio-economic reasons.</w:t>
      </w:r>
    </w:p>
    <w:p w14:paraId="42C6FB6C" w14:textId="66A8384C" w:rsidR="00182575" w:rsidRDefault="00182575" w:rsidP="00C053F7">
      <w:pPr>
        <w:jc w:val="both"/>
        <w:rPr>
          <w:rFonts w:ascii="Arial" w:hAnsi="Arial" w:cs="Arial"/>
          <w:color w:val="7B7B7B" w:themeColor="accent3" w:themeShade="BF"/>
          <w:sz w:val="22"/>
          <w:szCs w:val="22"/>
          <w:lang w:val="en-GB"/>
        </w:rPr>
      </w:pPr>
    </w:p>
    <w:p w14:paraId="5E84A22F" w14:textId="78166934" w:rsidR="00182575" w:rsidRDefault="0018257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contrast, in an insolvency for corporations, the objectives are to: (1) preserve the viable parts of the business where possible; and (2) investigate and attribute liability to the natural persons who control the corporation where they have abused the concept of separate legal personality. In a corporate insolvency,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corporation’s assets form part of the estate and are distributed. </w:t>
      </w:r>
    </w:p>
    <w:p w14:paraId="6052513E" w14:textId="51039363" w:rsidR="00182575" w:rsidRDefault="00182575" w:rsidP="00C053F7">
      <w:pPr>
        <w:jc w:val="both"/>
        <w:rPr>
          <w:rFonts w:ascii="Arial" w:hAnsi="Arial" w:cs="Arial"/>
          <w:color w:val="7B7B7B" w:themeColor="accent3" w:themeShade="BF"/>
          <w:sz w:val="22"/>
          <w:szCs w:val="22"/>
          <w:lang w:val="en-GB"/>
        </w:rPr>
      </w:pPr>
    </w:p>
    <w:p w14:paraId="113A0AF8" w14:textId="77777777" w:rsidR="00182575" w:rsidRPr="00BF1C6F" w:rsidRDefault="00182575" w:rsidP="00C053F7">
      <w:pPr>
        <w:jc w:val="both"/>
        <w:rPr>
          <w:rFonts w:ascii="Arial" w:hAnsi="Arial" w:cs="Arial"/>
          <w:sz w:val="24"/>
          <w:lang w:val="en-GB"/>
        </w:rPr>
      </w:pP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5221DF11" w14:textId="432CF4CF" w:rsidR="00D20B6F" w:rsidRDefault="00D20B6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begin, </w:t>
      </w:r>
      <w:r w:rsidR="00182575">
        <w:rPr>
          <w:rFonts w:ascii="Arial" w:hAnsi="Arial" w:cs="Arial"/>
          <w:color w:val="7B7B7B" w:themeColor="accent3" w:themeShade="BF"/>
          <w:sz w:val="22"/>
          <w:szCs w:val="22"/>
          <w:lang w:val="en-GB"/>
        </w:rPr>
        <w:t xml:space="preserve">there is no single </w:t>
      </w:r>
      <w:r>
        <w:rPr>
          <w:rFonts w:ascii="Arial" w:hAnsi="Arial" w:cs="Arial"/>
          <w:color w:val="7B7B7B" w:themeColor="accent3" w:themeShade="BF"/>
          <w:sz w:val="22"/>
          <w:szCs w:val="22"/>
          <w:lang w:val="en-GB"/>
        </w:rPr>
        <w:t>global insolvency law system or a global court to deal with cross-border insolvency matters. Hence, conflicting rules and policies will come into play. Different States also have different approaches towards insolvency. Some may be pro-debtor and offer the debtor plenty of opportunities to try to regain financial health before being declared insolvent. Others may be pro-creditor and offer creditors greater rights of participation in the debtor’s insolvency.</w:t>
      </w:r>
    </w:p>
    <w:p w14:paraId="78F36844" w14:textId="2CF3DF0F" w:rsidR="00D20B6F" w:rsidRDefault="00D20B6F" w:rsidP="00C053F7">
      <w:pPr>
        <w:jc w:val="both"/>
        <w:rPr>
          <w:rFonts w:ascii="Arial" w:hAnsi="Arial" w:cs="Arial"/>
          <w:color w:val="7B7B7B" w:themeColor="accent3" w:themeShade="BF"/>
          <w:sz w:val="22"/>
          <w:szCs w:val="22"/>
          <w:lang w:val="en-GB"/>
        </w:rPr>
      </w:pPr>
    </w:p>
    <w:p w14:paraId="22C0FAB9" w14:textId="04B614C8" w:rsidR="00D20B6F" w:rsidRDefault="00D20B6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States also do not universally recognise what it means to be “insolvent” in a technical sense. Some States measure insolvency by looking at the debtor’s balance sheet while others look at the debtor’s cash flow.</w:t>
      </w:r>
    </w:p>
    <w:p w14:paraId="5847FF1E" w14:textId="5D130028" w:rsidR="00D20B6F" w:rsidRDefault="00D20B6F" w:rsidP="00C053F7">
      <w:pPr>
        <w:jc w:val="both"/>
        <w:rPr>
          <w:rFonts w:ascii="Arial" w:hAnsi="Arial" w:cs="Arial"/>
          <w:color w:val="7B7B7B" w:themeColor="accent3" w:themeShade="BF"/>
          <w:sz w:val="22"/>
          <w:szCs w:val="22"/>
          <w:lang w:val="en-GB"/>
        </w:rPr>
      </w:pPr>
    </w:p>
    <w:p w14:paraId="3CF9EBB4" w14:textId="36769EAA" w:rsidR="00D20B6F" w:rsidRDefault="00D20B6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duration of the insolvency and terms of discharge also differ. In some states, an insolvent individual may be discharged within a year while in others, the insolvent individual may only be discharged after 10 years.</w:t>
      </w:r>
    </w:p>
    <w:p w14:paraId="7FB1BCBE" w14:textId="60A2AED2" w:rsidR="00D20B6F" w:rsidRDefault="00D20B6F" w:rsidP="00C053F7">
      <w:pPr>
        <w:jc w:val="both"/>
        <w:rPr>
          <w:rFonts w:ascii="Arial" w:hAnsi="Arial" w:cs="Arial"/>
          <w:color w:val="7B7B7B" w:themeColor="accent3" w:themeShade="BF"/>
          <w:sz w:val="22"/>
          <w:szCs w:val="22"/>
          <w:lang w:val="en-GB"/>
        </w:rPr>
      </w:pPr>
    </w:p>
    <w:p w14:paraId="5C199A69" w14:textId="3D689D3A" w:rsidR="00D20B6F" w:rsidRDefault="00D20B6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States also have different general rules on how to establish a creditor’s pre-acquired rights over the debtor’s assets, such as the creditor’s security. That is because of the differences in States’ general laws.</w:t>
      </w:r>
    </w:p>
    <w:p w14:paraId="716490C2" w14:textId="3A1268C0" w:rsidR="00D20B6F" w:rsidRDefault="00D20B6F" w:rsidP="00C053F7">
      <w:pPr>
        <w:jc w:val="both"/>
        <w:rPr>
          <w:rFonts w:ascii="Arial" w:hAnsi="Arial" w:cs="Arial"/>
          <w:color w:val="7B7B7B" w:themeColor="accent3" w:themeShade="BF"/>
          <w:sz w:val="22"/>
          <w:szCs w:val="22"/>
          <w:lang w:val="en-GB"/>
        </w:rPr>
      </w:pPr>
    </w:p>
    <w:p w14:paraId="6F495468" w14:textId="6D3DBE31" w:rsidR="00D20B6F" w:rsidRPr="00D20B6F" w:rsidRDefault="00D20B6F" w:rsidP="00C053F7">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Avoidance laws in each State may also differ. This would be particularly challenging when the asset is not in the jurisdiction of the Court of the main procedure.</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29A8E712" w14:textId="2B035CEB" w:rsidR="00C90802" w:rsidRDefault="00C9080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21</w:t>
      </w:r>
      <w:r w:rsidRPr="00C90802">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UNCITRAL promulgated a </w:t>
      </w:r>
      <w:r>
        <w:rPr>
          <w:rFonts w:ascii="Arial" w:hAnsi="Arial" w:cs="Arial"/>
          <w:i/>
          <w:iCs/>
          <w:color w:val="7B7B7B" w:themeColor="accent3" w:themeShade="BF"/>
          <w:sz w:val="22"/>
          <w:szCs w:val="22"/>
          <w:lang w:val="en-GB"/>
        </w:rPr>
        <w:t>Legislative Guide on Insolvency Law</w:t>
      </w:r>
      <w:r>
        <w:rPr>
          <w:rFonts w:ascii="Arial" w:hAnsi="Arial" w:cs="Arial"/>
          <w:color w:val="7B7B7B" w:themeColor="accent3" w:themeShade="BF"/>
          <w:sz w:val="22"/>
          <w:szCs w:val="22"/>
          <w:lang w:val="en-GB"/>
        </w:rPr>
        <w:t xml:space="preserve"> intended to be used as a reference point for legislatures when drafting new laws or reviewing the adequacy of existing laws. It has expanded in subsequent years to also address the insolvency of enterprise groups and directors’ obligations in the period approaching insolvency. The World Bank also produced the </w:t>
      </w:r>
      <w:r>
        <w:rPr>
          <w:rFonts w:ascii="Arial" w:hAnsi="Arial" w:cs="Arial"/>
          <w:i/>
          <w:iCs/>
          <w:color w:val="7B7B7B" w:themeColor="accent3" w:themeShade="BF"/>
          <w:sz w:val="22"/>
          <w:szCs w:val="22"/>
          <w:lang w:val="en-GB"/>
        </w:rPr>
        <w:t>Principles for Effective Insolvency and Creditor / Debtor Regimes</w:t>
      </w:r>
      <w:r>
        <w:rPr>
          <w:rFonts w:ascii="Arial" w:hAnsi="Arial" w:cs="Arial"/>
          <w:color w:val="7B7B7B" w:themeColor="accent3" w:themeShade="BF"/>
          <w:sz w:val="22"/>
          <w:szCs w:val="22"/>
          <w:lang w:val="en-GB"/>
        </w:rPr>
        <w:t xml:space="preserve"> which have been revised 4 times since. Together, they form the internal best practice standard for insolvency regimes (the “</w:t>
      </w:r>
      <w:r>
        <w:rPr>
          <w:rFonts w:ascii="Arial" w:hAnsi="Arial" w:cs="Arial"/>
          <w:b/>
          <w:bCs/>
          <w:color w:val="7B7B7B" w:themeColor="accent3" w:themeShade="BF"/>
          <w:sz w:val="22"/>
          <w:szCs w:val="22"/>
          <w:lang w:val="en-GB"/>
        </w:rPr>
        <w:t>Insolvency Standard</w:t>
      </w:r>
      <w:r>
        <w:rPr>
          <w:rFonts w:ascii="Arial" w:hAnsi="Arial" w:cs="Arial"/>
          <w:color w:val="7B7B7B" w:themeColor="accent3" w:themeShade="BF"/>
          <w:sz w:val="22"/>
          <w:szCs w:val="22"/>
          <w:lang w:val="en-GB"/>
        </w:rPr>
        <w:t>”).</w:t>
      </w:r>
    </w:p>
    <w:p w14:paraId="3B106B27" w14:textId="7FEB9174" w:rsidR="00C90802" w:rsidRDefault="00C90802" w:rsidP="00C053F7">
      <w:pPr>
        <w:jc w:val="both"/>
        <w:rPr>
          <w:rFonts w:ascii="Arial" w:hAnsi="Arial" w:cs="Arial"/>
          <w:color w:val="7B7B7B" w:themeColor="accent3" w:themeShade="BF"/>
          <w:sz w:val="22"/>
          <w:szCs w:val="22"/>
          <w:lang w:val="en-GB"/>
        </w:rPr>
      </w:pPr>
    </w:p>
    <w:p w14:paraId="0B380AA0" w14:textId="7474BDF3" w:rsidR="00C90802" w:rsidRDefault="00C9080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Standards set a benchmark for States to refer to when seeking to draft and formulate their own domestic insolvency regime. In my view, while this will not solve international insolvency issues, this is a positive step towards bridging the differences between states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as to the language used, principles for international cooperation, access to domestic courts by foreign insolvency representatives, and the recognition of foreign insolvency proceedings). </w:t>
      </w:r>
    </w:p>
    <w:p w14:paraId="3C25BAF4" w14:textId="0E8200AE" w:rsidR="00C90802" w:rsidRDefault="00C90802" w:rsidP="00C053F7">
      <w:pPr>
        <w:jc w:val="both"/>
        <w:rPr>
          <w:rFonts w:ascii="Arial" w:hAnsi="Arial" w:cs="Arial"/>
          <w:color w:val="7B7B7B" w:themeColor="accent3" w:themeShade="BF"/>
          <w:sz w:val="22"/>
          <w:szCs w:val="22"/>
          <w:lang w:val="en-GB"/>
        </w:rPr>
      </w:pPr>
    </w:p>
    <w:p w14:paraId="2C60C51D" w14:textId="63700441" w:rsidR="00C90802" w:rsidRDefault="00C9080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Insolvency Standard, the European Parliament also published a report on the Harmonisation of Insolvency Law at EU level in 2010. </w:t>
      </w:r>
      <w:r w:rsidR="005022F6">
        <w:rPr>
          <w:rFonts w:ascii="Arial" w:hAnsi="Arial" w:cs="Arial"/>
          <w:color w:val="7B7B7B" w:themeColor="accent3" w:themeShade="BF"/>
          <w:sz w:val="22"/>
          <w:szCs w:val="22"/>
          <w:lang w:val="en-GB"/>
        </w:rPr>
        <w:t xml:space="preserve">In my view, this is a significant step towards addressing some of the larger cross-border insolvency problems within the European Union, such as the existence of different legal systems and legislations. A harmonised insolvency law system at the European Union level can effectively deal with insolvencies with cross-border elements. </w:t>
      </w:r>
      <w:proofErr w:type="gramStart"/>
      <w:r w:rsidR="005022F6">
        <w:rPr>
          <w:rFonts w:ascii="Arial" w:hAnsi="Arial" w:cs="Arial"/>
          <w:color w:val="7B7B7B" w:themeColor="accent3" w:themeShade="BF"/>
          <w:sz w:val="22"/>
          <w:szCs w:val="22"/>
          <w:lang w:val="en-GB"/>
        </w:rPr>
        <w:t>However</w:t>
      </w:r>
      <w:proofErr w:type="gramEnd"/>
      <w:r w:rsidR="005022F6">
        <w:rPr>
          <w:rFonts w:ascii="Arial" w:hAnsi="Arial" w:cs="Arial"/>
          <w:color w:val="7B7B7B" w:themeColor="accent3" w:themeShade="BF"/>
          <w:sz w:val="22"/>
          <w:szCs w:val="22"/>
          <w:lang w:val="en-GB"/>
        </w:rPr>
        <w:t xml:space="preserve"> this will not resolve the cross-border issues if the debtor has creditors, assets, or a presence, in countries outside of the European Union. </w:t>
      </w:r>
    </w:p>
    <w:p w14:paraId="5B6013D8" w14:textId="0FE62455" w:rsidR="005022F6" w:rsidRDefault="005022F6" w:rsidP="00C053F7">
      <w:pPr>
        <w:jc w:val="both"/>
        <w:rPr>
          <w:rFonts w:ascii="Arial" w:hAnsi="Arial" w:cs="Arial"/>
          <w:color w:val="7B7B7B" w:themeColor="accent3" w:themeShade="BF"/>
          <w:sz w:val="22"/>
          <w:szCs w:val="22"/>
          <w:lang w:val="en-GB"/>
        </w:rPr>
      </w:pPr>
    </w:p>
    <w:p w14:paraId="0B0C82B6" w14:textId="07F8C165" w:rsidR="005022F6" w:rsidRPr="00C90802" w:rsidRDefault="005022F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Harmonisation of Insolvency Law at the EU level can also provide a guidance globally for the harmonisation of insolvency law at a larger scale.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proofErr w:type="gramStart"/>
      <w:r w:rsidRPr="00BF1C6F">
        <w:rPr>
          <w:rFonts w:ascii="Arial" w:hAnsi="Arial" w:cs="Arial"/>
          <w:sz w:val="22"/>
          <w:szCs w:val="22"/>
          <w:lang w:val="en-GB"/>
        </w:rPr>
        <w:t>Erewhon</w:t>
      </w:r>
      <w:proofErr w:type="spellEnd"/>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498FB055" w14:textId="4C0A318B" w:rsidR="00A86E46" w:rsidRDefault="00A86E4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may apply to the Utopia Court for recognition of Nadir’s liquidation in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under Article 15 of the UNICTRAL Model Law on Cross-Border Insolvency (“</w:t>
      </w:r>
      <w:r>
        <w:rPr>
          <w:rFonts w:ascii="Arial" w:hAnsi="Arial" w:cs="Arial"/>
          <w:b/>
          <w:bCs/>
          <w:color w:val="7B7B7B" w:themeColor="accent3" w:themeShade="BF"/>
          <w:sz w:val="22"/>
          <w:szCs w:val="22"/>
          <w:lang w:val="en-GB"/>
        </w:rPr>
        <w:t>Model Law</w:t>
      </w:r>
      <w:r>
        <w:rPr>
          <w:rFonts w:ascii="Arial" w:hAnsi="Arial" w:cs="Arial"/>
          <w:color w:val="7B7B7B" w:themeColor="accent3" w:themeShade="BF"/>
          <w:sz w:val="22"/>
          <w:szCs w:val="22"/>
          <w:lang w:val="en-GB"/>
        </w:rPr>
        <w:t xml:space="preserve">”). If the requirements under Article 17 are met, then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liquidation would be recognised in Utopia. To this end: (a) the liquidation of Nadir is a “foreign proceeding” under Article 2 of the Model Law; (b)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is a “foreign representative” within the meaning of Article 2 of the Model Law; (c) it is assumed that the procedural requirements under Article 15(2) of the Model Law will be met; and (d) the Utopia Court is a competent court under Article 4 of the Model Law. </w:t>
      </w:r>
    </w:p>
    <w:p w14:paraId="3E1B6E00" w14:textId="3D57BAEF" w:rsidR="00A86E46" w:rsidRDefault="00A86E46" w:rsidP="00C053F7">
      <w:pPr>
        <w:jc w:val="both"/>
        <w:rPr>
          <w:rFonts w:ascii="Arial" w:hAnsi="Arial" w:cs="Arial"/>
          <w:color w:val="7B7B7B" w:themeColor="accent3" w:themeShade="BF"/>
          <w:sz w:val="22"/>
          <w:szCs w:val="22"/>
          <w:lang w:val="en-GB"/>
        </w:rPr>
      </w:pPr>
    </w:p>
    <w:p w14:paraId="1C6C0ED8" w14:textId="77777777" w:rsidR="0046590F" w:rsidRDefault="00A86E4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Nadir moved its head office to Utopia one more ago, its centre of main interests would likely be in Utopia. However, </w:t>
      </w:r>
      <w:proofErr w:type="gramStart"/>
      <w:r w:rsidR="0046590F">
        <w:rPr>
          <w:rFonts w:ascii="Arial" w:hAnsi="Arial" w:cs="Arial"/>
          <w:color w:val="7B7B7B" w:themeColor="accent3" w:themeShade="BF"/>
          <w:sz w:val="22"/>
          <w:szCs w:val="22"/>
          <w:lang w:val="en-GB"/>
        </w:rPr>
        <w:t>assuming that</w:t>
      </w:r>
      <w:proofErr w:type="gramEnd"/>
      <w:r w:rsidR="0046590F">
        <w:rPr>
          <w:rFonts w:ascii="Arial" w:hAnsi="Arial" w:cs="Arial"/>
          <w:color w:val="7B7B7B" w:themeColor="accent3" w:themeShade="BF"/>
          <w:sz w:val="22"/>
          <w:szCs w:val="22"/>
          <w:lang w:val="en-GB"/>
        </w:rPr>
        <w:t xml:space="preserve"> Nadir has an</w:t>
      </w:r>
      <w:r>
        <w:rPr>
          <w:rFonts w:ascii="Arial" w:hAnsi="Arial" w:cs="Arial"/>
          <w:color w:val="7B7B7B" w:themeColor="accent3" w:themeShade="BF"/>
          <w:sz w:val="22"/>
          <w:szCs w:val="22"/>
          <w:lang w:val="en-GB"/>
        </w:rPr>
        <w:t xml:space="preserve"> “establishment” (Article 2(f) of the Model Law) in </w:t>
      </w:r>
      <w:proofErr w:type="spellStart"/>
      <w:r>
        <w:rPr>
          <w:rFonts w:ascii="Arial" w:hAnsi="Arial" w:cs="Arial"/>
          <w:color w:val="7B7B7B" w:themeColor="accent3" w:themeShade="BF"/>
          <w:sz w:val="22"/>
          <w:szCs w:val="22"/>
          <w:lang w:val="en-GB"/>
        </w:rPr>
        <w:t>Erewhon</w:t>
      </w:r>
      <w:proofErr w:type="spellEnd"/>
      <w:r w:rsidR="0046590F">
        <w:rPr>
          <w:rFonts w:ascii="Arial" w:hAnsi="Arial" w:cs="Arial"/>
          <w:color w:val="7B7B7B" w:themeColor="accent3" w:themeShade="BF"/>
          <w:sz w:val="22"/>
          <w:szCs w:val="22"/>
          <w:lang w:val="en-GB"/>
        </w:rPr>
        <w:t xml:space="preserve"> (given its creditors and business dealings with parties in </w:t>
      </w:r>
      <w:proofErr w:type="spellStart"/>
      <w:r w:rsidR="0046590F">
        <w:rPr>
          <w:rFonts w:ascii="Arial" w:hAnsi="Arial" w:cs="Arial"/>
          <w:color w:val="7B7B7B" w:themeColor="accent3" w:themeShade="BF"/>
          <w:sz w:val="22"/>
          <w:szCs w:val="22"/>
          <w:lang w:val="en-GB"/>
        </w:rPr>
        <w:t>Erewhon</w:t>
      </w:r>
      <w:proofErr w:type="spellEnd"/>
      <w:r w:rsidR="0046590F">
        <w:rPr>
          <w:rFonts w:ascii="Arial" w:hAnsi="Arial" w:cs="Arial"/>
          <w:color w:val="7B7B7B" w:themeColor="accent3" w:themeShade="BF"/>
          <w:sz w:val="22"/>
          <w:szCs w:val="22"/>
          <w:lang w:val="en-GB"/>
        </w:rPr>
        <w:t xml:space="preserve">), then the </w:t>
      </w:r>
      <w:proofErr w:type="spellStart"/>
      <w:r w:rsidR="0046590F">
        <w:rPr>
          <w:rFonts w:ascii="Arial" w:hAnsi="Arial" w:cs="Arial"/>
          <w:color w:val="7B7B7B" w:themeColor="accent3" w:themeShade="BF"/>
          <w:sz w:val="22"/>
          <w:szCs w:val="22"/>
          <w:lang w:val="en-GB"/>
        </w:rPr>
        <w:t>Erewhon</w:t>
      </w:r>
      <w:proofErr w:type="spellEnd"/>
      <w:r w:rsidR="0046590F">
        <w:rPr>
          <w:rFonts w:ascii="Arial" w:hAnsi="Arial" w:cs="Arial"/>
          <w:color w:val="7B7B7B" w:themeColor="accent3" w:themeShade="BF"/>
          <w:sz w:val="22"/>
          <w:szCs w:val="22"/>
          <w:lang w:val="en-GB"/>
        </w:rPr>
        <w:t xml:space="preserve"> liquidation would nonetheless be recognised as a foreign proceeding in Utopia under Article 17(2)(b) of the Model Law.</w:t>
      </w:r>
    </w:p>
    <w:p w14:paraId="352EF5FB" w14:textId="77777777" w:rsidR="0046590F" w:rsidRDefault="0046590F" w:rsidP="00C053F7">
      <w:pPr>
        <w:jc w:val="both"/>
        <w:rPr>
          <w:rFonts w:ascii="Arial" w:hAnsi="Arial" w:cs="Arial"/>
          <w:color w:val="7B7B7B" w:themeColor="accent3" w:themeShade="BF"/>
          <w:sz w:val="22"/>
          <w:szCs w:val="22"/>
          <w:lang w:val="en-GB"/>
        </w:rPr>
      </w:pPr>
    </w:p>
    <w:p w14:paraId="69AB40DB" w14:textId="27AA4961" w:rsidR="00A86E46" w:rsidRDefault="0046590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recognition of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liquidation,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may apply to the Utopia Court to stay the continuation of Apex’s actions or proceedings against Nadir in Utopia under Article 21(1)(a) of the Model Law.</w:t>
      </w:r>
    </w:p>
    <w:p w14:paraId="0A2923E3" w14:textId="77777777" w:rsidR="00A86E46" w:rsidRDefault="00A86E46" w:rsidP="00C053F7">
      <w:pPr>
        <w:jc w:val="both"/>
        <w:rPr>
          <w:rFonts w:ascii="Arial" w:hAnsi="Arial" w:cs="Arial"/>
          <w:color w:val="7B7B7B" w:themeColor="accent3" w:themeShade="BF"/>
          <w:sz w:val="22"/>
          <w:szCs w:val="22"/>
          <w:lang w:val="en-GB"/>
        </w:rPr>
      </w:pPr>
    </w:p>
    <w:p w14:paraId="67B5444A" w14:textId="77777777" w:rsidR="00A86E46" w:rsidRDefault="00A86E46" w:rsidP="00C053F7">
      <w:pPr>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273CB74E" w:rsidR="002D3473" w:rsidRDefault="0046590F"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 no, as the Utopia Court may still order for the administration or realisation of all of Nadir’s assets in Utopia to be entrusted to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(Article 19(a)(b) of the Model Law).</w:t>
      </w:r>
    </w:p>
    <w:p w14:paraId="5F50EB79" w14:textId="3E666D61" w:rsidR="0046590F" w:rsidRDefault="0046590F"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7A7EF5B5" w14:textId="596AF941" w:rsidR="0046590F" w:rsidRPr="00BF1C6F" w:rsidRDefault="0046590F"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For (b) – yes, </w:t>
      </w:r>
      <w:r w:rsidR="00BD0C36">
        <w:rPr>
          <w:rFonts w:ascii="Arial" w:hAnsi="Arial" w:cs="Arial"/>
          <w:color w:val="7B7B7B" w:themeColor="accent3" w:themeShade="BF"/>
          <w:sz w:val="22"/>
          <w:szCs w:val="22"/>
          <w:lang w:val="en-GB"/>
        </w:rPr>
        <w:t>if Apex had already obtained a court order to wind-up Nadir, then its action against Nadir would already be stayed by virtue of the existing winding up proceedings in Utopia.</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 xml:space="preserve">in this scenario.  For each issue, what domestic </w:t>
      </w:r>
      <w:r w:rsidRPr="00BF1C6F">
        <w:rPr>
          <w:rFonts w:ascii="Arial" w:hAnsi="Arial" w:cs="Arial"/>
          <w:sz w:val="22"/>
          <w:szCs w:val="22"/>
          <w:lang w:val="en-GB"/>
        </w:rPr>
        <w:lastRenderedPageBreak/>
        <w:t>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5CCCE1F8" w:rsidR="0077498C" w:rsidRDefault="00BD0C3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incorporated in England. </w:t>
      </w:r>
    </w:p>
    <w:p w14:paraId="3B05C13C" w14:textId="66D2E1FA" w:rsidR="00BD0C36" w:rsidRDefault="00BD0C36" w:rsidP="00C053F7">
      <w:pPr>
        <w:jc w:val="both"/>
        <w:rPr>
          <w:rFonts w:ascii="Arial" w:hAnsi="Arial" w:cs="Arial"/>
          <w:color w:val="7B7B7B" w:themeColor="accent3" w:themeShade="BF"/>
          <w:sz w:val="22"/>
          <w:szCs w:val="22"/>
          <w:lang w:val="en-GB"/>
        </w:rPr>
      </w:pPr>
    </w:p>
    <w:p w14:paraId="43342317" w14:textId="7C657727" w:rsidR="00BD0C36" w:rsidRDefault="00BD0C3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issue </w:t>
      </w:r>
      <w:r w:rsidR="00FE1E2B">
        <w:rPr>
          <w:rFonts w:ascii="Arial" w:hAnsi="Arial" w:cs="Arial"/>
          <w:color w:val="7B7B7B" w:themeColor="accent3" w:themeShade="BF"/>
          <w:sz w:val="22"/>
          <w:szCs w:val="22"/>
          <w:lang w:val="en-GB"/>
        </w:rPr>
        <w:t>is that the insolvency representative should ensure that creditors of the debtor do not commence actions in foreign jurisdictions to try to steal a march on the company’s other creditors. The insolvency representative should seek to recognise the insolvency order in those countries where the company has assets and creditors to avail itself to stays or moratoriums in those jurisdictions to prevent any further actions being commenced against the company. The insolvency practitioner may seek to utilise the provisions in the UNCITRAL Model Law on Cross border insolvency where the foreign jurisdictions have adopted the same</w:t>
      </w:r>
      <w:r w:rsidR="00850CCB">
        <w:rPr>
          <w:rFonts w:ascii="Arial" w:hAnsi="Arial" w:cs="Arial"/>
          <w:color w:val="7B7B7B" w:themeColor="accent3" w:themeShade="BF"/>
          <w:sz w:val="22"/>
          <w:szCs w:val="22"/>
          <w:lang w:val="en-GB"/>
        </w:rPr>
        <w:t>, or by the relevant domestic law rules on the recognition of foreign judgments</w:t>
      </w:r>
      <w:r w:rsidR="00FE1E2B">
        <w:rPr>
          <w:rFonts w:ascii="Arial" w:hAnsi="Arial" w:cs="Arial"/>
          <w:color w:val="7B7B7B" w:themeColor="accent3" w:themeShade="BF"/>
          <w:sz w:val="22"/>
          <w:szCs w:val="22"/>
          <w:lang w:val="en-GB"/>
        </w:rPr>
        <w:t>.</w:t>
      </w:r>
    </w:p>
    <w:p w14:paraId="54D78BB8" w14:textId="6C18071B" w:rsidR="00FE1E2B" w:rsidRDefault="00FE1E2B" w:rsidP="00C053F7">
      <w:pPr>
        <w:jc w:val="both"/>
        <w:rPr>
          <w:rFonts w:ascii="Arial" w:hAnsi="Arial" w:cs="Arial"/>
          <w:color w:val="7B7B7B" w:themeColor="accent3" w:themeShade="BF"/>
          <w:sz w:val="22"/>
          <w:szCs w:val="22"/>
          <w:lang w:val="en-GB"/>
        </w:rPr>
      </w:pPr>
    </w:p>
    <w:p w14:paraId="70D57AE9" w14:textId="59BB3A33" w:rsidR="00FE1E2B" w:rsidRDefault="00FE1E2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issue is whether the insolvency representative has standing to collect the company’s assets which may be situated in foreign jurisdictions, especially the company’s real assets. </w:t>
      </w:r>
      <w:r w:rsidR="00850CCB">
        <w:rPr>
          <w:rFonts w:ascii="Arial" w:hAnsi="Arial" w:cs="Arial"/>
          <w:color w:val="7B7B7B" w:themeColor="accent3" w:themeShade="BF"/>
          <w:sz w:val="22"/>
          <w:szCs w:val="22"/>
          <w:lang w:val="en-GB"/>
        </w:rPr>
        <w:t>This would be resolved by way of the recognition of the insolvency in England in the other countries where the company operates.</w:t>
      </w:r>
    </w:p>
    <w:p w14:paraId="19CC771F" w14:textId="540298AF" w:rsidR="00FE1E2B" w:rsidRDefault="00FE1E2B" w:rsidP="00C053F7">
      <w:pPr>
        <w:jc w:val="both"/>
        <w:rPr>
          <w:rFonts w:ascii="Arial" w:hAnsi="Arial" w:cs="Arial"/>
          <w:color w:val="7B7B7B" w:themeColor="accent3" w:themeShade="BF"/>
          <w:sz w:val="22"/>
          <w:szCs w:val="22"/>
          <w:lang w:val="en-GB"/>
        </w:rPr>
      </w:pPr>
    </w:p>
    <w:p w14:paraId="02A859CE" w14:textId="094B8616" w:rsidR="00FE1E2B" w:rsidRDefault="00FE1E2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issue is whether the insolvency representative would like to avoid any transactions which took place prior to the company’s insolvency. The insolvency representative would need to identify and familiarise him/herself with the domestic laws on to void such transactions and commence actions within those jurisdictions.</w:t>
      </w:r>
    </w:p>
    <w:p w14:paraId="3163A5D4" w14:textId="03952241" w:rsidR="00FE1E2B" w:rsidRPr="00BF1C6F" w:rsidRDefault="00FE1E2B"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br/>
        <w:t xml:space="preserve">The fourth issue is to identify the differences in the treatment of </w:t>
      </w:r>
      <w:r w:rsidR="00850CCB">
        <w:rPr>
          <w:rFonts w:ascii="Arial" w:hAnsi="Arial" w:cs="Arial"/>
          <w:color w:val="7B7B7B" w:themeColor="accent3" w:themeShade="BF"/>
          <w:sz w:val="22"/>
          <w:szCs w:val="22"/>
          <w:lang w:val="en-GB"/>
        </w:rPr>
        <w:t xml:space="preserve">the company’s global </w:t>
      </w:r>
      <w:r>
        <w:rPr>
          <w:rFonts w:ascii="Arial" w:hAnsi="Arial" w:cs="Arial"/>
          <w:color w:val="7B7B7B" w:themeColor="accent3" w:themeShade="BF"/>
          <w:sz w:val="22"/>
          <w:szCs w:val="22"/>
          <w:lang w:val="en-GB"/>
        </w:rPr>
        <w:t>creditors’ pre-acquired security interests. The insolvency representative may have regard to the UNCITRAL Legislative Guide on Secured Transactions (2007), UNCITRAL Legislative Guide on Secured Transactions Supplement on Security Rights in Intellectual Property (2010), and the UNCITRAL Model Law on Secured Transactions (2016).</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A301" w14:textId="77777777" w:rsidR="00D931A0" w:rsidRDefault="00D931A0" w:rsidP="00241B44">
      <w:r>
        <w:separator/>
      </w:r>
    </w:p>
  </w:endnote>
  <w:endnote w:type="continuationSeparator" w:id="0">
    <w:p w14:paraId="05548733" w14:textId="77777777" w:rsidR="00D931A0" w:rsidRDefault="00D931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86E46" w:rsidRPr="00FC7B47" w:rsidRDefault="00A86E46"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A86E46" w:rsidRPr="00FC7B47" w:rsidRDefault="00A86E4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86E46" w:rsidRPr="00F44220" w:rsidRDefault="00A86E46" w:rsidP="00A86E46">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94E941D" w:rsidR="00A86E46" w:rsidRPr="00F44220" w:rsidRDefault="00AB3681" w:rsidP="00AD6A7D">
    <w:pPr>
      <w:pStyle w:val="Footer"/>
      <w:ind w:right="360"/>
      <w:rPr>
        <w:rFonts w:ascii="Arial" w:hAnsi="Arial" w:cs="Arial"/>
        <w:sz w:val="18"/>
        <w:szCs w:val="18"/>
      </w:rPr>
    </w:pPr>
    <w:r w:rsidRPr="00AB3681">
      <w:rPr>
        <w:rFonts w:ascii="Arial" w:hAnsi="Arial" w:cs="Arial"/>
        <w:sz w:val="18"/>
        <w:szCs w:val="18"/>
      </w:rPr>
      <w:t>202122-534</w:t>
    </w:r>
    <w:r w:rsidR="00A86E46"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F09BF" w14:textId="77777777" w:rsidR="00D931A0" w:rsidRDefault="00D931A0" w:rsidP="00241B44">
      <w:r>
        <w:separator/>
      </w:r>
    </w:p>
  </w:footnote>
  <w:footnote w:type="continuationSeparator" w:id="0">
    <w:p w14:paraId="18CFB001" w14:textId="77777777" w:rsidR="00D931A0" w:rsidRDefault="00D931A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169C"/>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575"/>
    <w:rsid w:val="0018267A"/>
    <w:rsid w:val="00182779"/>
    <w:rsid w:val="001830DF"/>
    <w:rsid w:val="001966D9"/>
    <w:rsid w:val="001A7E9A"/>
    <w:rsid w:val="001B5016"/>
    <w:rsid w:val="001C45FC"/>
    <w:rsid w:val="001D4862"/>
    <w:rsid w:val="001E25B9"/>
    <w:rsid w:val="001E49E0"/>
    <w:rsid w:val="001E7B5A"/>
    <w:rsid w:val="001F7412"/>
    <w:rsid w:val="0020725B"/>
    <w:rsid w:val="002144AC"/>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590F"/>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4EE1"/>
    <w:rsid w:val="004F5FDF"/>
    <w:rsid w:val="004F6F79"/>
    <w:rsid w:val="005022F6"/>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93060"/>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28F9"/>
    <w:rsid w:val="00764DB0"/>
    <w:rsid w:val="0076764D"/>
    <w:rsid w:val="0077498C"/>
    <w:rsid w:val="00784128"/>
    <w:rsid w:val="00790ABB"/>
    <w:rsid w:val="00793173"/>
    <w:rsid w:val="007A2CEA"/>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42560"/>
    <w:rsid w:val="00850CCB"/>
    <w:rsid w:val="008723F3"/>
    <w:rsid w:val="00881DE6"/>
    <w:rsid w:val="008837A6"/>
    <w:rsid w:val="0089145D"/>
    <w:rsid w:val="008A6CFE"/>
    <w:rsid w:val="008B5333"/>
    <w:rsid w:val="008B6223"/>
    <w:rsid w:val="008C66E0"/>
    <w:rsid w:val="008E3339"/>
    <w:rsid w:val="008F20FC"/>
    <w:rsid w:val="008F6301"/>
    <w:rsid w:val="00905A43"/>
    <w:rsid w:val="00912C79"/>
    <w:rsid w:val="0093087C"/>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86E46"/>
    <w:rsid w:val="00A96489"/>
    <w:rsid w:val="00A97725"/>
    <w:rsid w:val="00AB3681"/>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D0C36"/>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0802"/>
    <w:rsid w:val="00C963D3"/>
    <w:rsid w:val="00CB2CBB"/>
    <w:rsid w:val="00CB3E1F"/>
    <w:rsid w:val="00CB7CAC"/>
    <w:rsid w:val="00CC5335"/>
    <w:rsid w:val="00CC5BA4"/>
    <w:rsid w:val="00CD4998"/>
    <w:rsid w:val="00CE1035"/>
    <w:rsid w:val="00CF2819"/>
    <w:rsid w:val="00CF4F9D"/>
    <w:rsid w:val="00CF70DC"/>
    <w:rsid w:val="00D0389B"/>
    <w:rsid w:val="00D104E4"/>
    <w:rsid w:val="00D148DC"/>
    <w:rsid w:val="00D17FDC"/>
    <w:rsid w:val="00D20B6F"/>
    <w:rsid w:val="00D63EFD"/>
    <w:rsid w:val="00D84752"/>
    <w:rsid w:val="00D86B3B"/>
    <w:rsid w:val="00D8748A"/>
    <w:rsid w:val="00D93196"/>
    <w:rsid w:val="00D931A0"/>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08BF"/>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1E2B"/>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Rajah &amp; Tann Singapore LLP</cp:lastModifiedBy>
  <cp:revision>2</cp:revision>
  <cp:lastPrinted>2019-09-04T15:45:00Z</cp:lastPrinted>
  <dcterms:created xsi:type="dcterms:W3CDTF">2021-10-15T15:14:00Z</dcterms:created>
  <dcterms:modified xsi:type="dcterms:W3CDTF">2021-10-15T15:14:00Z</dcterms:modified>
</cp:coreProperties>
</file>