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2C1671">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w:t>
      </w:r>
      <w:proofErr w:type="gramStart"/>
      <w:r w:rsidRPr="00BF1C6F">
        <w:rPr>
          <w:rFonts w:ascii="Arial" w:hAnsi="Arial" w:cs="Arial"/>
          <w:sz w:val="22"/>
          <w:szCs w:val="22"/>
          <w:lang w:val="en-GB"/>
        </w:rPr>
        <w:t>are</w:t>
      </w:r>
      <w:proofErr w:type="gramEnd"/>
      <w:r w:rsidRPr="00BF1C6F">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7D6AE1" w:rsidRDefault="00B736DF" w:rsidP="009E1027">
      <w:pPr>
        <w:pStyle w:val="ListParagraph"/>
        <w:numPr>
          <w:ilvl w:val="0"/>
          <w:numId w:val="12"/>
        </w:numPr>
        <w:ind w:left="426"/>
        <w:jc w:val="both"/>
        <w:rPr>
          <w:rFonts w:ascii="Arial" w:hAnsi="Arial" w:cs="Arial"/>
          <w:sz w:val="22"/>
          <w:szCs w:val="22"/>
          <w:highlight w:val="yellow"/>
          <w:lang w:val="en-GB"/>
        </w:rPr>
      </w:pPr>
      <w:r w:rsidRPr="007D6AE1">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5E7ADA" w:rsidRDefault="00161F1B" w:rsidP="009E1027">
      <w:pPr>
        <w:pStyle w:val="ListParagraph"/>
        <w:numPr>
          <w:ilvl w:val="0"/>
          <w:numId w:val="13"/>
        </w:numPr>
        <w:ind w:left="426"/>
        <w:jc w:val="both"/>
        <w:rPr>
          <w:rFonts w:ascii="Arial" w:hAnsi="Arial" w:cs="Arial"/>
          <w:sz w:val="22"/>
          <w:szCs w:val="22"/>
          <w:highlight w:val="yellow"/>
          <w:lang w:val="en-GB"/>
        </w:rPr>
      </w:pPr>
      <w:r w:rsidRPr="005E7ADA">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1C3D95" w:rsidRDefault="009E2E27" w:rsidP="008031A7">
      <w:pPr>
        <w:pStyle w:val="ListParagraph"/>
        <w:numPr>
          <w:ilvl w:val="0"/>
          <w:numId w:val="14"/>
        </w:numPr>
        <w:ind w:left="426"/>
        <w:jc w:val="both"/>
        <w:rPr>
          <w:rFonts w:ascii="Arial" w:hAnsi="Arial" w:cs="Arial"/>
          <w:sz w:val="22"/>
          <w:szCs w:val="22"/>
          <w:highlight w:val="yellow"/>
          <w:lang w:val="en-GB"/>
        </w:rPr>
      </w:pPr>
      <w:r w:rsidRPr="001C3D95">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231E14" w:rsidRDefault="009E2E27" w:rsidP="008031A7">
      <w:pPr>
        <w:pStyle w:val="ListParagraph"/>
        <w:numPr>
          <w:ilvl w:val="0"/>
          <w:numId w:val="15"/>
        </w:numPr>
        <w:ind w:left="426"/>
        <w:jc w:val="both"/>
        <w:rPr>
          <w:rFonts w:ascii="Arial" w:hAnsi="Arial" w:cs="Arial"/>
          <w:sz w:val="22"/>
          <w:szCs w:val="22"/>
          <w:highlight w:val="yellow"/>
          <w:lang w:val="en-GB"/>
        </w:rPr>
      </w:pPr>
      <w:r w:rsidRPr="00231E14">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231E14" w:rsidRDefault="00A235B7" w:rsidP="006D01C2">
      <w:pPr>
        <w:pStyle w:val="ListParagraph"/>
        <w:numPr>
          <w:ilvl w:val="0"/>
          <w:numId w:val="16"/>
        </w:numPr>
        <w:ind w:left="426"/>
        <w:jc w:val="both"/>
        <w:rPr>
          <w:rFonts w:ascii="Arial" w:hAnsi="Arial" w:cs="Arial"/>
          <w:sz w:val="22"/>
          <w:szCs w:val="22"/>
          <w:highlight w:val="yellow"/>
          <w:lang w:val="en-GB"/>
        </w:rPr>
      </w:pPr>
      <w:r w:rsidRPr="00231E14">
        <w:rPr>
          <w:rFonts w:ascii="Arial" w:hAnsi="Arial" w:cs="Arial"/>
          <w:sz w:val="22"/>
          <w:szCs w:val="22"/>
          <w:highlight w:val="yellow"/>
          <w:lang w:val="en-GB"/>
        </w:rPr>
        <w:t>The statement</w:t>
      </w:r>
      <w:r w:rsidR="0037465A" w:rsidRPr="00231E14">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46542B"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46542B">
        <w:rPr>
          <w:rFonts w:ascii="Arial" w:eastAsiaTheme="minorHAnsi" w:hAnsi="Arial" w:cs="Arial"/>
          <w:sz w:val="22"/>
          <w:szCs w:val="22"/>
          <w:highlight w:val="yellow"/>
          <w:lang w:val="en-GB"/>
        </w:rPr>
        <w:t>Private International Law</w:t>
      </w:r>
      <w:r w:rsidR="00991428" w:rsidRPr="0046542B">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6B481C" w:rsidRDefault="004D1A5A" w:rsidP="006D01C2">
      <w:pPr>
        <w:pStyle w:val="ListParagraph"/>
        <w:numPr>
          <w:ilvl w:val="0"/>
          <w:numId w:val="18"/>
        </w:numPr>
        <w:ind w:left="426"/>
        <w:jc w:val="both"/>
        <w:rPr>
          <w:rFonts w:ascii="Arial" w:hAnsi="Arial" w:cs="Arial"/>
          <w:sz w:val="22"/>
          <w:szCs w:val="22"/>
          <w:highlight w:val="yellow"/>
          <w:lang w:val="en-GB"/>
        </w:rPr>
      </w:pPr>
      <w:r w:rsidRPr="006B481C">
        <w:rPr>
          <w:rFonts w:ascii="Arial" w:hAnsi="Arial" w:cs="Arial"/>
          <w:sz w:val="22"/>
          <w:szCs w:val="22"/>
          <w:highlight w:val="yellow"/>
          <w:lang w:val="en-GB"/>
        </w:rPr>
        <w:t>UNCITRAL Model Law on Cross-border Insolvency (1997)</w:t>
      </w:r>
      <w:r w:rsidR="00912C79" w:rsidRPr="006B481C">
        <w:rPr>
          <w:rFonts w:ascii="Arial" w:hAnsi="Arial" w:cs="Arial"/>
          <w:sz w:val="22"/>
          <w:szCs w:val="22"/>
          <w:highlight w:val="yellow"/>
          <w:lang w:val="en-GB"/>
        </w:rPr>
        <w:t>.</w:t>
      </w:r>
      <w:r w:rsidRPr="006B481C">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6B481C"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6B481C">
        <w:rPr>
          <w:rFonts w:ascii="Arial" w:hAnsi="Arial" w:cs="Arial"/>
          <w:sz w:val="22"/>
          <w:szCs w:val="22"/>
          <w:highlight w:val="yellow"/>
          <w:lang w:val="en-GB"/>
        </w:rPr>
        <w:t>Havana Convention on Private International Law (1928)</w:t>
      </w:r>
      <w:r w:rsidRPr="006B481C">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23F2C" w:rsidRDefault="0082483F" w:rsidP="006D01C2">
      <w:pPr>
        <w:pStyle w:val="ListParagraph"/>
        <w:numPr>
          <w:ilvl w:val="0"/>
          <w:numId w:val="20"/>
        </w:numPr>
        <w:ind w:left="426"/>
        <w:jc w:val="both"/>
        <w:rPr>
          <w:rFonts w:ascii="Arial" w:hAnsi="Arial" w:cs="Arial"/>
          <w:sz w:val="22"/>
          <w:szCs w:val="22"/>
          <w:highlight w:val="yellow"/>
          <w:lang w:val="en-GB"/>
        </w:rPr>
      </w:pPr>
      <w:r w:rsidRPr="00B23F2C">
        <w:rPr>
          <w:rFonts w:ascii="Arial" w:hAnsi="Arial" w:cs="Arial"/>
          <w:sz w:val="22"/>
          <w:szCs w:val="22"/>
          <w:highlight w:val="yellow"/>
          <w:lang w:val="en-GB"/>
        </w:rPr>
        <w:t xml:space="preserve">Definition of </w:t>
      </w:r>
      <w:r w:rsidR="006D01C2" w:rsidRPr="00B23F2C">
        <w:rPr>
          <w:rFonts w:ascii="Arial" w:hAnsi="Arial" w:cs="Arial"/>
          <w:sz w:val="22"/>
          <w:szCs w:val="22"/>
          <w:highlight w:val="yellow"/>
          <w:lang w:val="en-GB"/>
        </w:rPr>
        <w:t>“</w:t>
      </w:r>
      <w:r w:rsidRPr="00B23F2C">
        <w:rPr>
          <w:rFonts w:ascii="Arial" w:hAnsi="Arial" w:cs="Arial"/>
          <w:sz w:val="22"/>
          <w:szCs w:val="22"/>
          <w:highlight w:val="yellow"/>
          <w:lang w:val="en-GB"/>
        </w:rPr>
        <w:t>centre of the debtor’s main interests</w:t>
      </w:r>
      <w:r w:rsidR="006D01C2" w:rsidRPr="00B23F2C">
        <w:rPr>
          <w:rFonts w:ascii="Arial" w:hAnsi="Arial" w:cs="Arial"/>
          <w:sz w:val="22"/>
          <w:szCs w:val="22"/>
          <w:highlight w:val="yellow"/>
          <w:lang w:val="en-GB"/>
        </w:rPr>
        <w:t>”</w:t>
      </w:r>
      <w:r w:rsidRPr="00B23F2C">
        <w:rPr>
          <w:rFonts w:ascii="Arial" w:hAnsi="Arial" w:cs="Arial"/>
          <w:sz w:val="22"/>
          <w:szCs w:val="22"/>
          <w:highlight w:val="yellow"/>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D3074F" w:rsidRDefault="00ED0BC4" w:rsidP="00286AE6">
      <w:pPr>
        <w:pStyle w:val="ListParagraph"/>
        <w:numPr>
          <w:ilvl w:val="0"/>
          <w:numId w:val="21"/>
        </w:numPr>
        <w:ind w:left="426"/>
        <w:jc w:val="both"/>
        <w:rPr>
          <w:rFonts w:ascii="Arial" w:eastAsiaTheme="minorHAnsi" w:hAnsi="Arial" w:cs="Arial"/>
          <w:sz w:val="22"/>
          <w:szCs w:val="22"/>
          <w:lang w:val="en-GB"/>
        </w:rPr>
      </w:pPr>
      <w:r w:rsidRPr="00D3074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D3074F"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D3074F">
        <w:rPr>
          <w:rFonts w:ascii="Arial" w:eastAsiaTheme="minorHAnsi" w:hAnsi="Arial" w:cs="Arial"/>
          <w:sz w:val="22"/>
          <w:szCs w:val="22"/>
          <w:highlight w:val="yellow"/>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2A8D4D1F" w:rsidR="009B07AD" w:rsidRPr="00BF1C6F" w:rsidRDefault="00214AD1" w:rsidP="00024864">
      <w:pPr>
        <w:ind w:left="720"/>
        <w:jc w:val="both"/>
        <w:rPr>
          <w:rFonts w:ascii="Arial" w:hAnsi="Arial" w:cs="Arial"/>
          <w:sz w:val="22"/>
          <w:szCs w:val="22"/>
          <w:lang w:val="en-GB"/>
        </w:rPr>
      </w:pPr>
      <w:r>
        <w:rPr>
          <w:rFonts w:ascii="Arial" w:hAnsi="Arial" w:cs="Arial"/>
          <w:color w:val="7B7B7B" w:themeColor="accent3" w:themeShade="BF"/>
          <w:sz w:val="22"/>
          <w:szCs w:val="22"/>
          <w:lang w:val="en-GB"/>
        </w:rPr>
        <w:t>The t</w:t>
      </w:r>
      <w:r w:rsidR="00484490">
        <w:rPr>
          <w:rFonts w:ascii="Arial" w:hAnsi="Arial" w:cs="Arial"/>
          <w:color w:val="7B7B7B" w:themeColor="accent3" w:themeShade="BF"/>
          <w:sz w:val="22"/>
          <w:szCs w:val="22"/>
          <w:lang w:val="en-GB"/>
        </w:rPr>
        <w:t>erm "international insolvency law</w:t>
      </w:r>
      <w:r>
        <w:rPr>
          <w:rFonts w:ascii="Arial" w:hAnsi="Arial" w:cs="Arial"/>
          <w:color w:val="7B7B7B" w:themeColor="accent3" w:themeShade="BF"/>
          <w:sz w:val="22"/>
          <w:szCs w:val="22"/>
          <w:lang w:val="en-GB"/>
        </w:rPr>
        <w:t>"</w:t>
      </w:r>
      <w:r w:rsidR="00F343B5">
        <w:rPr>
          <w:rFonts w:ascii="Arial" w:hAnsi="Arial" w:cs="Arial"/>
          <w:color w:val="7B7B7B" w:themeColor="accent3" w:themeShade="BF"/>
          <w:sz w:val="22"/>
          <w:szCs w:val="22"/>
          <w:lang w:val="en-GB"/>
        </w:rPr>
        <w:t>, according to Wessels</w:t>
      </w:r>
      <w:r w:rsidR="00FF52D6">
        <w:rPr>
          <w:rStyle w:val="FootnoteReference"/>
          <w:rFonts w:ascii="Arial" w:hAnsi="Arial" w:cs="Arial"/>
          <w:color w:val="7B7B7B" w:themeColor="accent3" w:themeShade="BF"/>
          <w:sz w:val="22"/>
          <w:szCs w:val="22"/>
          <w:lang w:val="en-GB"/>
        </w:rPr>
        <w:footnoteReference w:id="1"/>
      </w:r>
      <w:r w:rsidR="00F343B5">
        <w:rPr>
          <w:rFonts w:ascii="Arial" w:hAnsi="Arial" w:cs="Arial"/>
          <w:color w:val="7B7B7B" w:themeColor="accent3" w:themeShade="BF"/>
          <w:sz w:val="22"/>
          <w:szCs w:val="22"/>
          <w:lang w:val="en-GB"/>
        </w:rPr>
        <w:t xml:space="preserve">, </w:t>
      </w:r>
      <w:r w:rsidR="00024864">
        <w:rPr>
          <w:rFonts w:ascii="Arial" w:hAnsi="Arial" w:cs="Arial"/>
          <w:color w:val="7B7B7B" w:themeColor="accent3" w:themeShade="BF"/>
          <w:sz w:val="22"/>
          <w:szCs w:val="22"/>
          <w:lang w:val="en-GB"/>
        </w:rPr>
        <w:t xml:space="preserve">refers to a body of rules </w:t>
      </w:r>
      <w:r w:rsidR="00FF52D6">
        <w:rPr>
          <w:rFonts w:ascii="Arial" w:hAnsi="Arial" w:cs="Arial"/>
          <w:color w:val="7B7B7B" w:themeColor="accent3" w:themeShade="BF"/>
          <w:sz w:val="22"/>
          <w:szCs w:val="22"/>
          <w:lang w:val="en-GB"/>
        </w:rPr>
        <w:t>concerning certain</w:t>
      </w:r>
      <w:r w:rsidR="00024864">
        <w:rPr>
          <w:rFonts w:ascii="Arial" w:hAnsi="Arial" w:cs="Arial"/>
          <w:color w:val="7B7B7B" w:themeColor="accent3" w:themeShade="BF"/>
          <w:sz w:val="22"/>
          <w:szCs w:val="22"/>
          <w:lang w:val="en-GB"/>
        </w:rPr>
        <w:t xml:space="preserve"> insolvency proceedings or measures, which cannot be fully enforced, because the applicable law cannot be executed immediately and exclusively without consideration being given to the international </w:t>
      </w:r>
      <w:r w:rsidR="0053596A">
        <w:rPr>
          <w:rFonts w:ascii="Arial" w:hAnsi="Arial" w:cs="Arial"/>
          <w:color w:val="7B7B7B" w:themeColor="accent3" w:themeShade="BF"/>
          <w:sz w:val="22"/>
          <w:szCs w:val="22"/>
          <w:lang w:val="en-GB"/>
        </w:rPr>
        <w:t xml:space="preserve">aspect </w:t>
      </w:r>
      <w:r w:rsidR="00024864">
        <w:rPr>
          <w:rFonts w:ascii="Arial" w:hAnsi="Arial" w:cs="Arial"/>
          <w:color w:val="7B7B7B" w:themeColor="accent3" w:themeShade="BF"/>
          <w:sz w:val="22"/>
          <w:szCs w:val="22"/>
          <w:lang w:val="en-GB"/>
        </w:rPr>
        <w:t xml:space="preserve">of a given case. </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61C8EB04" w:rsidR="009B07AD" w:rsidRDefault="001121BD" w:rsidP="00EA1C80">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Universality</w:t>
      </w:r>
      <w:r w:rsidR="00B30218">
        <w:rPr>
          <w:rFonts w:ascii="Arial" w:hAnsi="Arial" w:cs="Arial"/>
          <w:color w:val="7B7B7B" w:themeColor="accent3" w:themeShade="BF"/>
          <w:sz w:val="22"/>
          <w:szCs w:val="22"/>
          <w:lang w:val="en-GB"/>
        </w:rPr>
        <w:t xml:space="preserve"> or universalism</w:t>
      </w:r>
      <w:r>
        <w:rPr>
          <w:rFonts w:ascii="Arial" w:hAnsi="Arial" w:cs="Arial"/>
          <w:color w:val="7B7B7B" w:themeColor="accent3" w:themeShade="BF"/>
          <w:sz w:val="22"/>
          <w:szCs w:val="22"/>
          <w:lang w:val="en-GB"/>
        </w:rPr>
        <w:t xml:space="preserve"> is the concept that </w:t>
      </w:r>
      <w:r w:rsidR="00116C4C">
        <w:rPr>
          <w:rFonts w:ascii="Arial" w:hAnsi="Arial" w:cs="Arial"/>
          <w:color w:val="7B7B7B" w:themeColor="accent3" w:themeShade="BF"/>
          <w:sz w:val="22"/>
          <w:szCs w:val="22"/>
          <w:lang w:val="en-GB"/>
        </w:rPr>
        <w:t>there should be a unitary</w:t>
      </w:r>
      <w:r w:rsidR="00FA2189">
        <w:rPr>
          <w:rFonts w:ascii="Arial" w:hAnsi="Arial" w:cs="Arial"/>
          <w:color w:val="7B7B7B" w:themeColor="accent3" w:themeShade="BF"/>
          <w:sz w:val="22"/>
          <w:szCs w:val="22"/>
          <w:lang w:val="en-GB"/>
        </w:rPr>
        <w:t xml:space="preserve"> principal</w:t>
      </w:r>
      <w:r w:rsidR="00116C4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insolvency proceeding</w:t>
      </w:r>
      <w:r w:rsidR="00116C4C">
        <w:rPr>
          <w:rFonts w:ascii="Arial" w:hAnsi="Arial" w:cs="Arial"/>
          <w:color w:val="7B7B7B" w:themeColor="accent3" w:themeShade="BF"/>
          <w:sz w:val="22"/>
          <w:szCs w:val="22"/>
          <w:lang w:val="en-GB"/>
        </w:rPr>
        <w:t xml:space="preserve"> in a debtor's "home" country, which </w:t>
      </w:r>
      <w:r w:rsidR="003D2122">
        <w:rPr>
          <w:rFonts w:ascii="Arial" w:hAnsi="Arial" w:cs="Arial"/>
          <w:color w:val="7B7B7B" w:themeColor="accent3" w:themeShade="BF"/>
          <w:sz w:val="22"/>
          <w:szCs w:val="22"/>
          <w:lang w:val="en-GB"/>
        </w:rPr>
        <w:t xml:space="preserve">collects, administers and distributes that debtor's assets worldwide and </w:t>
      </w:r>
      <w:r w:rsidR="003A7E9A">
        <w:rPr>
          <w:rFonts w:ascii="Arial" w:hAnsi="Arial" w:cs="Arial"/>
          <w:color w:val="7B7B7B" w:themeColor="accent3" w:themeShade="BF"/>
          <w:sz w:val="22"/>
          <w:szCs w:val="22"/>
          <w:lang w:val="en-GB"/>
        </w:rPr>
        <w:t>receives worldwide recognition</w:t>
      </w:r>
      <w:r w:rsidR="00116C4C">
        <w:rPr>
          <w:rFonts w:ascii="Arial" w:hAnsi="Arial" w:cs="Arial"/>
          <w:color w:val="7B7B7B" w:themeColor="accent3" w:themeShade="BF"/>
          <w:sz w:val="22"/>
          <w:szCs w:val="22"/>
          <w:lang w:val="en-GB"/>
        </w:rPr>
        <w:t>.</w:t>
      </w:r>
      <w:r w:rsidR="003A7E9A">
        <w:rPr>
          <w:rStyle w:val="FootnoteReference"/>
          <w:rFonts w:ascii="Arial" w:hAnsi="Arial" w:cs="Arial"/>
          <w:color w:val="7B7B7B" w:themeColor="accent3" w:themeShade="BF"/>
          <w:sz w:val="22"/>
          <w:szCs w:val="22"/>
          <w:lang w:val="en-GB"/>
        </w:rPr>
        <w:footnoteReference w:id="2"/>
      </w:r>
      <w:r w:rsidR="00116C4C">
        <w:rPr>
          <w:rFonts w:ascii="Arial" w:hAnsi="Arial" w:cs="Arial"/>
          <w:color w:val="7B7B7B" w:themeColor="accent3" w:themeShade="BF"/>
          <w:sz w:val="22"/>
          <w:szCs w:val="22"/>
          <w:lang w:val="en-GB"/>
        </w:rPr>
        <w:t xml:space="preserve"> </w:t>
      </w:r>
      <w:r w:rsidR="00663765">
        <w:rPr>
          <w:rFonts w:ascii="Arial" w:hAnsi="Arial" w:cs="Arial"/>
          <w:color w:val="7B7B7B" w:themeColor="accent3" w:themeShade="BF"/>
          <w:sz w:val="22"/>
          <w:szCs w:val="22"/>
          <w:lang w:val="en-GB"/>
        </w:rPr>
        <w:t>This</w:t>
      </w:r>
      <w:r w:rsidR="00CC5FDD">
        <w:rPr>
          <w:rFonts w:ascii="Arial" w:hAnsi="Arial" w:cs="Arial"/>
          <w:color w:val="7B7B7B" w:themeColor="accent3" w:themeShade="BF"/>
          <w:sz w:val="22"/>
          <w:szCs w:val="22"/>
          <w:lang w:val="en-GB"/>
        </w:rPr>
        <w:t xml:space="preserve"> w</w:t>
      </w:r>
      <w:r w:rsidR="00663765">
        <w:rPr>
          <w:rFonts w:ascii="Arial" w:hAnsi="Arial" w:cs="Arial"/>
          <w:color w:val="7B7B7B" w:themeColor="accent3" w:themeShade="BF"/>
          <w:sz w:val="22"/>
          <w:szCs w:val="22"/>
          <w:lang w:val="en-GB"/>
        </w:rPr>
        <w:t>ould</w:t>
      </w:r>
      <w:r w:rsidR="00CC5FDD">
        <w:rPr>
          <w:rFonts w:ascii="Arial" w:hAnsi="Arial" w:cs="Arial"/>
          <w:color w:val="7B7B7B" w:themeColor="accent3" w:themeShade="BF"/>
          <w:sz w:val="22"/>
          <w:szCs w:val="22"/>
          <w:lang w:val="en-GB"/>
        </w:rPr>
        <w:t xml:space="preserve"> usually</w:t>
      </w:r>
      <w:r w:rsidR="00663765">
        <w:rPr>
          <w:rFonts w:ascii="Arial" w:hAnsi="Arial" w:cs="Arial"/>
          <w:color w:val="7B7B7B" w:themeColor="accent3" w:themeShade="BF"/>
          <w:sz w:val="22"/>
          <w:szCs w:val="22"/>
          <w:lang w:val="en-GB"/>
        </w:rPr>
        <w:t xml:space="preserve"> entail one forum having jurisdiction</w:t>
      </w:r>
      <w:r w:rsidR="005C3284">
        <w:rPr>
          <w:rFonts w:ascii="Arial" w:hAnsi="Arial" w:cs="Arial"/>
          <w:color w:val="7B7B7B" w:themeColor="accent3" w:themeShade="BF"/>
          <w:sz w:val="22"/>
          <w:szCs w:val="22"/>
          <w:lang w:val="en-GB"/>
        </w:rPr>
        <w:t xml:space="preserve">, but </w:t>
      </w:r>
      <w:r w:rsidR="002B09B0">
        <w:rPr>
          <w:rFonts w:ascii="Arial" w:hAnsi="Arial" w:cs="Arial"/>
          <w:color w:val="7B7B7B" w:themeColor="accent3" w:themeShade="BF"/>
          <w:sz w:val="22"/>
          <w:szCs w:val="22"/>
          <w:lang w:val="en-GB"/>
        </w:rPr>
        <w:t xml:space="preserve">is compatible with the existence of separate insolvency proceedings in jurisdictions where the debtor's assets happen to be located, as long as these separate proceedings are mere mechanisms for the </w:t>
      </w:r>
      <w:r w:rsidR="002B09B0">
        <w:rPr>
          <w:rFonts w:ascii="Arial" w:hAnsi="Arial" w:cs="Arial"/>
          <w:color w:val="7B7B7B" w:themeColor="accent3" w:themeShade="BF"/>
          <w:sz w:val="22"/>
          <w:szCs w:val="22"/>
          <w:lang w:val="en-GB"/>
        </w:rPr>
        <w:lastRenderedPageBreak/>
        <w:t>more convenient collection of assets, which are then remitted to the officeholder in the principal</w:t>
      </w:r>
      <w:r w:rsidR="00EA1C80">
        <w:rPr>
          <w:rFonts w:ascii="Arial" w:hAnsi="Arial" w:cs="Arial"/>
          <w:color w:val="7B7B7B" w:themeColor="accent3" w:themeShade="BF"/>
          <w:sz w:val="22"/>
          <w:szCs w:val="22"/>
          <w:lang w:val="en-GB"/>
        </w:rPr>
        <w:t xml:space="preserve"> "home" proceedings</w:t>
      </w:r>
      <w:r w:rsidR="000E4740">
        <w:rPr>
          <w:rFonts w:ascii="Arial" w:hAnsi="Arial" w:cs="Arial"/>
          <w:color w:val="7B7B7B" w:themeColor="accent3" w:themeShade="BF"/>
          <w:sz w:val="22"/>
          <w:szCs w:val="22"/>
          <w:lang w:val="en-GB"/>
        </w:rPr>
        <w:t>.</w:t>
      </w:r>
      <w:r w:rsidR="000E4740">
        <w:rPr>
          <w:rStyle w:val="FootnoteReference"/>
          <w:rFonts w:ascii="Arial" w:hAnsi="Arial" w:cs="Arial"/>
          <w:color w:val="7B7B7B" w:themeColor="accent3" w:themeShade="BF"/>
          <w:sz w:val="22"/>
          <w:szCs w:val="22"/>
          <w:lang w:val="en-GB"/>
        </w:rPr>
        <w:footnoteReference w:id="3"/>
      </w:r>
      <w:r w:rsidR="00EA1C80">
        <w:rPr>
          <w:rStyle w:val="FootnoteReference"/>
          <w:rFonts w:ascii="Arial" w:hAnsi="Arial" w:cs="Arial"/>
          <w:color w:val="7B7B7B" w:themeColor="accent3" w:themeShade="BF"/>
          <w:sz w:val="22"/>
          <w:szCs w:val="22"/>
          <w:lang w:val="en-GB"/>
        </w:rPr>
        <w:footnoteReference w:id="4"/>
      </w:r>
    </w:p>
    <w:p w14:paraId="5684FE2B" w14:textId="06E1BF4A" w:rsidR="005638F4" w:rsidRDefault="003D2122" w:rsidP="00A53728">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opposing notion of </w:t>
      </w:r>
      <w:r w:rsidR="005638F4">
        <w:rPr>
          <w:rFonts w:ascii="Arial" w:hAnsi="Arial" w:cs="Arial"/>
          <w:color w:val="7B7B7B" w:themeColor="accent3" w:themeShade="BF"/>
          <w:sz w:val="22"/>
          <w:szCs w:val="22"/>
          <w:lang w:val="en-GB"/>
        </w:rPr>
        <w:t>Territoriality</w:t>
      </w:r>
      <w:r w:rsidR="00F23F05">
        <w:rPr>
          <w:rFonts w:ascii="Arial" w:hAnsi="Arial" w:cs="Arial"/>
          <w:color w:val="7B7B7B" w:themeColor="accent3" w:themeShade="BF"/>
          <w:sz w:val="22"/>
          <w:szCs w:val="22"/>
          <w:lang w:val="en-GB"/>
        </w:rPr>
        <w:t xml:space="preserve"> or territorialism</w:t>
      </w:r>
      <w:r w:rsidR="005638F4">
        <w:rPr>
          <w:rFonts w:ascii="Arial" w:hAnsi="Arial" w:cs="Arial"/>
          <w:color w:val="7B7B7B" w:themeColor="accent3" w:themeShade="BF"/>
          <w:sz w:val="22"/>
          <w:szCs w:val="22"/>
          <w:lang w:val="en-GB"/>
        </w:rPr>
        <w:t xml:space="preserve"> is the concept that </w:t>
      </w:r>
      <w:r w:rsidR="00683727">
        <w:rPr>
          <w:rFonts w:ascii="Arial" w:hAnsi="Arial" w:cs="Arial"/>
          <w:color w:val="7B7B7B" w:themeColor="accent3" w:themeShade="BF"/>
          <w:sz w:val="22"/>
          <w:szCs w:val="22"/>
          <w:lang w:val="en-GB"/>
        </w:rPr>
        <w:t xml:space="preserve">multiple insolvency proceedings should be used to cover a debtor's assets and debts worldwide </w:t>
      </w:r>
      <w:r w:rsidR="00EA1C80">
        <w:rPr>
          <w:rFonts w:ascii="Arial" w:hAnsi="Arial" w:cs="Arial"/>
          <w:color w:val="7B7B7B" w:themeColor="accent3" w:themeShade="BF"/>
          <w:sz w:val="22"/>
          <w:szCs w:val="22"/>
          <w:lang w:val="en-GB"/>
        </w:rPr>
        <w:t xml:space="preserve">and </w:t>
      </w:r>
      <w:r w:rsidR="00431FC9">
        <w:rPr>
          <w:rFonts w:ascii="Arial" w:hAnsi="Arial" w:cs="Arial"/>
          <w:color w:val="7B7B7B" w:themeColor="accent3" w:themeShade="BF"/>
          <w:sz w:val="22"/>
          <w:szCs w:val="22"/>
          <w:lang w:val="en-GB"/>
        </w:rPr>
        <w:t xml:space="preserve">that </w:t>
      </w:r>
      <w:r w:rsidR="00EA1C80">
        <w:rPr>
          <w:rFonts w:ascii="Arial" w:hAnsi="Arial" w:cs="Arial"/>
          <w:color w:val="7B7B7B" w:themeColor="accent3" w:themeShade="BF"/>
          <w:sz w:val="22"/>
          <w:szCs w:val="22"/>
          <w:lang w:val="en-GB"/>
        </w:rPr>
        <w:t xml:space="preserve">each of those proceedings should have an exclusively national or territorial focus. </w:t>
      </w:r>
      <w:r w:rsidR="001D00CB">
        <w:rPr>
          <w:rFonts w:ascii="Arial" w:hAnsi="Arial" w:cs="Arial"/>
          <w:color w:val="7B7B7B" w:themeColor="accent3" w:themeShade="BF"/>
          <w:sz w:val="22"/>
          <w:szCs w:val="22"/>
          <w:lang w:val="en-GB"/>
        </w:rPr>
        <w:t xml:space="preserve">The consequence of this concept is that each proceeding would only apply to assets within the particular jurisdiction and only "local" creditors within that jurisdiction would be entitled to prove </w:t>
      </w:r>
      <w:r w:rsidR="003D576B">
        <w:rPr>
          <w:rFonts w:ascii="Arial" w:hAnsi="Arial" w:cs="Arial"/>
          <w:color w:val="7B7B7B" w:themeColor="accent3" w:themeShade="BF"/>
          <w:sz w:val="22"/>
          <w:szCs w:val="22"/>
          <w:lang w:val="en-GB"/>
        </w:rPr>
        <w:t>in the proceedings.</w:t>
      </w:r>
      <w:r w:rsidR="003D576B">
        <w:rPr>
          <w:rStyle w:val="FootnoteReference"/>
          <w:rFonts w:ascii="Arial" w:hAnsi="Arial" w:cs="Arial"/>
          <w:color w:val="7B7B7B" w:themeColor="accent3" w:themeShade="BF"/>
          <w:sz w:val="22"/>
          <w:szCs w:val="22"/>
          <w:lang w:val="en-GB"/>
        </w:rPr>
        <w:footnoteReference w:id="5"/>
      </w:r>
    </w:p>
    <w:p w14:paraId="2BEBD954" w14:textId="77777777" w:rsidR="005638F4" w:rsidRPr="00BF1C6F" w:rsidRDefault="005638F4" w:rsidP="00A53728">
      <w:pPr>
        <w:ind w:left="720"/>
        <w:jc w:val="both"/>
        <w:rPr>
          <w:rFonts w:ascii="Arial" w:hAnsi="Arial" w:cs="Arial"/>
          <w:sz w:val="22"/>
          <w:szCs w:val="22"/>
          <w:lang w:val="en-GB"/>
        </w:rPr>
      </w:pP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6EBB6FB1" w:rsidR="00C72848" w:rsidRDefault="00F419E1" w:rsidP="00C323A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January 2020, the United Arab Emirates (UAE) brought an individual insolvency law, Law No.19 of 2019, into force. </w:t>
      </w:r>
      <w:r w:rsidR="00C323A4">
        <w:rPr>
          <w:rFonts w:ascii="Arial" w:hAnsi="Arial" w:cs="Arial"/>
          <w:color w:val="7B7B7B" w:themeColor="accent3" w:themeShade="BF"/>
          <w:sz w:val="22"/>
          <w:szCs w:val="22"/>
          <w:lang w:val="en-GB"/>
        </w:rPr>
        <w:t xml:space="preserve">This new legislation has brought significant change to the UAE's domestic onshore insolvency legislation, as it has effectively decriminalised personal insolvency. </w:t>
      </w:r>
      <w:r w:rsidR="00B41250">
        <w:rPr>
          <w:rStyle w:val="FootnoteReference"/>
          <w:rFonts w:ascii="Arial" w:hAnsi="Arial" w:cs="Arial"/>
          <w:color w:val="7B7B7B" w:themeColor="accent3" w:themeShade="BF"/>
          <w:sz w:val="22"/>
          <w:szCs w:val="22"/>
          <w:lang w:val="en-GB"/>
        </w:rPr>
        <w:footnoteReference w:id="6"/>
      </w:r>
    </w:p>
    <w:p w14:paraId="7C4BE6CE" w14:textId="36755FE6" w:rsidR="0080167A" w:rsidRDefault="0080167A" w:rsidP="00C323A4">
      <w:pPr>
        <w:ind w:left="720"/>
        <w:jc w:val="both"/>
        <w:rPr>
          <w:rFonts w:ascii="Arial" w:hAnsi="Arial" w:cs="Arial"/>
          <w:color w:val="7B7B7B" w:themeColor="accent3" w:themeShade="BF"/>
          <w:sz w:val="22"/>
          <w:szCs w:val="22"/>
          <w:lang w:val="en-GB"/>
        </w:rPr>
      </w:pPr>
    </w:p>
    <w:p w14:paraId="4FECD4FE" w14:textId="3118F12B" w:rsidR="0080167A" w:rsidRDefault="0080167A" w:rsidP="00C323A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August 2018, Saudi Arabia brought into force its new Bankruptcy Laws which bears similarity to the USA Chapter 11 process and which provides </w:t>
      </w:r>
      <w:r w:rsidR="00B41250">
        <w:rPr>
          <w:rFonts w:ascii="Arial" w:hAnsi="Arial" w:cs="Arial"/>
          <w:color w:val="7B7B7B" w:themeColor="accent3" w:themeShade="BF"/>
          <w:sz w:val="22"/>
          <w:szCs w:val="22"/>
          <w:lang w:val="en-GB"/>
        </w:rPr>
        <w:t xml:space="preserve">better support for debtors who are seeking to restructure. </w:t>
      </w:r>
      <w:r w:rsidR="00B41250">
        <w:rPr>
          <w:rStyle w:val="FootnoteReference"/>
          <w:rFonts w:ascii="Arial" w:hAnsi="Arial" w:cs="Arial"/>
          <w:color w:val="7B7B7B" w:themeColor="accent3" w:themeShade="BF"/>
          <w:sz w:val="22"/>
          <w:szCs w:val="22"/>
          <w:lang w:val="en-GB"/>
        </w:rPr>
        <w:footnoteReference w:id="7"/>
      </w:r>
    </w:p>
    <w:p w14:paraId="6C477ED4" w14:textId="3B4120AF" w:rsidR="00B41250" w:rsidRDefault="00B41250" w:rsidP="00C323A4">
      <w:pPr>
        <w:ind w:left="720"/>
        <w:jc w:val="both"/>
        <w:rPr>
          <w:rFonts w:ascii="Arial" w:hAnsi="Arial" w:cs="Arial"/>
          <w:color w:val="7B7B7B" w:themeColor="accent3" w:themeShade="BF"/>
          <w:sz w:val="22"/>
          <w:szCs w:val="22"/>
          <w:lang w:val="en-GB"/>
        </w:rPr>
      </w:pPr>
    </w:p>
    <w:p w14:paraId="4C8FBD01" w14:textId="4224D216" w:rsidR="00A74CDB" w:rsidRDefault="00C67F48" w:rsidP="00C323A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May 2018, Bahrain brought into force its new Reorganisation and Bankruptcy Law (Bahrain Law No.22/2018) to promote corporate rescue and reorganisation over liquidation processes.</w:t>
      </w:r>
      <w:r w:rsidR="009D0565">
        <w:rPr>
          <w:rFonts w:ascii="Arial" w:hAnsi="Arial" w:cs="Arial"/>
          <w:color w:val="7B7B7B" w:themeColor="accent3" w:themeShade="BF"/>
          <w:sz w:val="22"/>
          <w:szCs w:val="22"/>
          <w:lang w:val="en-GB"/>
        </w:rPr>
        <w:t xml:space="preserve"> This law, like the Saudi Bankruptcy Laws of August 2018, </w:t>
      </w:r>
      <w:r w:rsidR="00381DCB">
        <w:rPr>
          <w:rFonts w:ascii="Arial" w:hAnsi="Arial" w:cs="Arial"/>
          <w:color w:val="7B7B7B" w:themeColor="accent3" w:themeShade="BF"/>
          <w:sz w:val="22"/>
          <w:szCs w:val="22"/>
          <w:lang w:val="en-GB"/>
        </w:rPr>
        <w:t>borrows considerably from the USA Chapter 11 process</w:t>
      </w:r>
      <w:r w:rsidR="009D0565">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8"/>
      </w:r>
    </w:p>
    <w:p w14:paraId="0236F2F0" w14:textId="77777777" w:rsidR="00B41250" w:rsidRPr="00BF1C6F" w:rsidRDefault="00B41250" w:rsidP="00C323A4">
      <w:pPr>
        <w:ind w:left="720"/>
        <w:jc w:val="both"/>
        <w:rPr>
          <w:rFonts w:ascii="Arial" w:hAnsi="Arial" w:cs="Arial"/>
          <w:sz w:val="22"/>
          <w:szCs w:val="22"/>
          <w:lang w:val="en-GB"/>
        </w:rPr>
      </w:pP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5C46150C" w14:textId="78D34FA3" w:rsidR="00650E29" w:rsidRDefault="00F270D2"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an individual is insolvent, their main </w:t>
      </w:r>
      <w:r w:rsidR="00650E29">
        <w:rPr>
          <w:rFonts w:ascii="Arial" w:hAnsi="Arial" w:cs="Arial"/>
          <w:color w:val="7B7B7B" w:themeColor="accent3" w:themeShade="BF"/>
          <w:sz w:val="22"/>
          <w:szCs w:val="22"/>
          <w:lang w:val="en-GB"/>
        </w:rPr>
        <w:t xml:space="preserve">immediate </w:t>
      </w:r>
      <w:r w:rsidR="00C03A92">
        <w:rPr>
          <w:rFonts w:ascii="Arial" w:hAnsi="Arial" w:cs="Arial"/>
          <w:color w:val="7B7B7B" w:themeColor="accent3" w:themeShade="BF"/>
          <w:sz w:val="22"/>
          <w:szCs w:val="22"/>
          <w:lang w:val="en-GB"/>
        </w:rPr>
        <w:t>objective is</w:t>
      </w:r>
      <w:r w:rsidR="00650E29">
        <w:rPr>
          <w:rFonts w:ascii="Arial" w:hAnsi="Arial" w:cs="Arial"/>
          <w:color w:val="7B7B7B" w:themeColor="accent3" w:themeShade="BF"/>
          <w:sz w:val="22"/>
          <w:szCs w:val="22"/>
          <w:lang w:val="en-GB"/>
        </w:rPr>
        <w:t xml:space="preserve"> often</w:t>
      </w:r>
      <w:r>
        <w:rPr>
          <w:rFonts w:ascii="Arial" w:hAnsi="Arial" w:cs="Arial"/>
          <w:color w:val="7B7B7B" w:themeColor="accent3" w:themeShade="BF"/>
          <w:sz w:val="22"/>
          <w:szCs w:val="22"/>
          <w:lang w:val="en-GB"/>
        </w:rPr>
        <w:t xml:space="preserve"> to </w:t>
      </w:r>
      <w:r w:rsidR="00AE13BE">
        <w:rPr>
          <w:rFonts w:ascii="Arial" w:hAnsi="Arial" w:cs="Arial"/>
          <w:color w:val="7B7B7B" w:themeColor="accent3" w:themeShade="BF"/>
          <w:sz w:val="22"/>
          <w:szCs w:val="22"/>
          <w:lang w:val="en-GB"/>
        </w:rPr>
        <w:t>minimise the fallout and risk to their person</w:t>
      </w:r>
      <w:r w:rsidR="00195EFC">
        <w:rPr>
          <w:rFonts w:ascii="Arial" w:hAnsi="Arial" w:cs="Arial"/>
          <w:color w:val="7B7B7B" w:themeColor="accent3" w:themeShade="BF"/>
          <w:sz w:val="22"/>
          <w:szCs w:val="22"/>
          <w:lang w:val="en-GB"/>
        </w:rPr>
        <w:t>. Such risks may manifest in</w:t>
      </w:r>
      <w:r w:rsidR="00AE13BE">
        <w:rPr>
          <w:rFonts w:ascii="Arial" w:hAnsi="Arial" w:cs="Arial"/>
          <w:color w:val="7B7B7B" w:themeColor="accent3" w:themeShade="BF"/>
          <w:sz w:val="22"/>
          <w:szCs w:val="22"/>
          <w:lang w:val="en-GB"/>
        </w:rPr>
        <w:t xml:space="preserve"> the form of harassment</w:t>
      </w:r>
      <w:r w:rsidR="00195EFC">
        <w:rPr>
          <w:rFonts w:ascii="Arial" w:hAnsi="Arial" w:cs="Arial"/>
          <w:color w:val="7B7B7B" w:themeColor="accent3" w:themeShade="BF"/>
          <w:sz w:val="22"/>
          <w:szCs w:val="22"/>
          <w:lang w:val="en-GB"/>
        </w:rPr>
        <w:t xml:space="preserve"> or threats by </w:t>
      </w:r>
      <w:r w:rsidR="00AE13BE">
        <w:rPr>
          <w:rFonts w:ascii="Arial" w:hAnsi="Arial" w:cs="Arial"/>
          <w:color w:val="7B7B7B" w:themeColor="accent3" w:themeShade="BF"/>
          <w:sz w:val="22"/>
          <w:szCs w:val="22"/>
          <w:lang w:val="en-GB"/>
        </w:rPr>
        <w:t xml:space="preserve">creditors or </w:t>
      </w:r>
      <w:r w:rsidR="00195EFC">
        <w:rPr>
          <w:rFonts w:ascii="Arial" w:hAnsi="Arial" w:cs="Arial"/>
          <w:color w:val="7B7B7B" w:themeColor="accent3" w:themeShade="BF"/>
          <w:sz w:val="22"/>
          <w:szCs w:val="22"/>
          <w:lang w:val="en-GB"/>
        </w:rPr>
        <w:t>the danger of being rendered destitute and unable to meet basic personal expenses required to survive</w:t>
      </w:r>
      <w:r w:rsidR="009843F7">
        <w:rPr>
          <w:rFonts w:ascii="Arial" w:hAnsi="Arial" w:cs="Arial"/>
          <w:color w:val="7B7B7B" w:themeColor="accent3" w:themeShade="BF"/>
          <w:sz w:val="22"/>
          <w:szCs w:val="22"/>
          <w:lang w:val="en-GB"/>
        </w:rPr>
        <w:t>,</w:t>
      </w:r>
      <w:r w:rsidR="00650E29">
        <w:rPr>
          <w:rFonts w:ascii="Arial" w:hAnsi="Arial" w:cs="Arial"/>
          <w:color w:val="7B7B7B" w:themeColor="accent3" w:themeShade="BF"/>
          <w:sz w:val="22"/>
          <w:szCs w:val="22"/>
          <w:lang w:val="en-GB"/>
        </w:rPr>
        <w:t xml:space="preserve"> on account of assets being taken away</w:t>
      </w:r>
      <w:r w:rsidR="00195EFC">
        <w:rPr>
          <w:rFonts w:ascii="Arial" w:hAnsi="Arial" w:cs="Arial"/>
          <w:color w:val="7B7B7B" w:themeColor="accent3" w:themeShade="BF"/>
          <w:sz w:val="22"/>
          <w:szCs w:val="22"/>
          <w:lang w:val="en-GB"/>
        </w:rPr>
        <w:t xml:space="preserve">. </w:t>
      </w:r>
      <w:r w:rsidR="00C03A92">
        <w:rPr>
          <w:rFonts w:ascii="Arial" w:hAnsi="Arial" w:cs="Arial"/>
          <w:color w:val="7B7B7B" w:themeColor="accent3" w:themeShade="BF"/>
          <w:sz w:val="22"/>
          <w:szCs w:val="22"/>
          <w:lang w:val="en-GB"/>
        </w:rPr>
        <w:t>An individual who is insolvent is likely to be focused on finding a way to repay his debts, while still maintaining enough resources to maintain himself and any dependants, with the aim of obtaining a fresh start.</w:t>
      </w:r>
      <w:r w:rsidR="00C03A92">
        <w:rPr>
          <w:rStyle w:val="FootnoteReference"/>
          <w:rFonts w:ascii="Arial" w:hAnsi="Arial" w:cs="Arial"/>
          <w:color w:val="7B7B7B" w:themeColor="accent3" w:themeShade="BF"/>
          <w:sz w:val="22"/>
          <w:szCs w:val="22"/>
          <w:lang w:val="en-GB"/>
        </w:rPr>
        <w:footnoteReference w:id="9"/>
      </w:r>
      <w:r w:rsidR="00977572">
        <w:rPr>
          <w:rStyle w:val="FootnoteReference"/>
          <w:rFonts w:ascii="Arial" w:hAnsi="Arial" w:cs="Arial"/>
          <w:color w:val="7B7B7B" w:themeColor="accent3" w:themeShade="BF"/>
          <w:sz w:val="22"/>
          <w:szCs w:val="22"/>
          <w:lang w:val="en-GB"/>
        </w:rPr>
        <w:footnoteReference w:id="10"/>
      </w:r>
    </w:p>
    <w:p w14:paraId="12F1D240" w14:textId="77777777" w:rsidR="00650E29" w:rsidRDefault="00650E29" w:rsidP="00C053F7">
      <w:pPr>
        <w:jc w:val="both"/>
        <w:rPr>
          <w:rFonts w:ascii="Arial" w:hAnsi="Arial" w:cs="Arial"/>
          <w:color w:val="7B7B7B" w:themeColor="accent3" w:themeShade="BF"/>
          <w:sz w:val="22"/>
          <w:szCs w:val="22"/>
          <w:lang w:val="en-GB"/>
        </w:rPr>
      </w:pPr>
    </w:p>
    <w:p w14:paraId="7F7CD632" w14:textId="2A7A5F59" w:rsidR="00650E29" w:rsidRPr="00650E29" w:rsidRDefault="00B424C8"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objective of insolvent corporations, on the other hand, will be to preserve any business for continuity if possible. This does not necessarily mean the insolvent </w:t>
      </w:r>
      <w:r w:rsidR="00E435FA">
        <w:rPr>
          <w:rFonts w:ascii="Arial" w:hAnsi="Arial" w:cs="Arial"/>
          <w:color w:val="7B7B7B" w:themeColor="accent3" w:themeShade="BF"/>
          <w:sz w:val="22"/>
          <w:szCs w:val="22"/>
          <w:lang w:val="en-GB"/>
        </w:rPr>
        <w:t>entity</w:t>
      </w:r>
      <w:r>
        <w:rPr>
          <w:rFonts w:ascii="Arial" w:hAnsi="Arial" w:cs="Arial"/>
          <w:color w:val="7B7B7B" w:themeColor="accent3" w:themeShade="BF"/>
          <w:sz w:val="22"/>
          <w:szCs w:val="22"/>
          <w:lang w:val="en-GB"/>
        </w:rPr>
        <w:t xml:space="preserve"> itself. </w:t>
      </w:r>
      <w:r w:rsidR="00E435FA">
        <w:rPr>
          <w:rFonts w:ascii="Arial" w:hAnsi="Arial" w:cs="Arial"/>
          <w:color w:val="7B7B7B" w:themeColor="accent3" w:themeShade="BF"/>
          <w:sz w:val="22"/>
          <w:szCs w:val="22"/>
          <w:lang w:val="en-GB"/>
        </w:rPr>
        <w:t>Another objective will be for the corporation</w:t>
      </w:r>
      <w:r w:rsidR="009843F7">
        <w:rPr>
          <w:rFonts w:ascii="Arial" w:hAnsi="Arial" w:cs="Arial"/>
          <w:color w:val="7B7B7B" w:themeColor="accent3" w:themeShade="BF"/>
          <w:sz w:val="22"/>
          <w:szCs w:val="22"/>
          <w:lang w:val="en-GB"/>
        </w:rPr>
        <w:t xml:space="preserve"> to impose personal liability on</w:t>
      </w:r>
      <w:r w:rsidR="00E435FA">
        <w:rPr>
          <w:rFonts w:ascii="Arial" w:hAnsi="Arial" w:cs="Arial"/>
          <w:color w:val="7B7B7B" w:themeColor="accent3" w:themeShade="BF"/>
          <w:sz w:val="22"/>
          <w:szCs w:val="22"/>
          <w:lang w:val="en-GB"/>
        </w:rPr>
        <w:t xml:space="preserve"> any individuals at fault, for example, any directors whose mismanagement or other breach of duty may have contributed to </w:t>
      </w:r>
      <w:r w:rsidR="009843F7">
        <w:rPr>
          <w:rFonts w:ascii="Arial" w:hAnsi="Arial" w:cs="Arial"/>
          <w:color w:val="7B7B7B" w:themeColor="accent3" w:themeShade="BF"/>
          <w:sz w:val="22"/>
          <w:szCs w:val="22"/>
          <w:lang w:val="en-GB"/>
        </w:rPr>
        <w:t>the corporation's insolvency.</w:t>
      </w:r>
      <w:r w:rsidR="009843F7">
        <w:rPr>
          <w:rStyle w:val="FootnoteReference"/>
          <w:rFonts w:ascii="Arial" w:hAnsi="Arial" w:cs="Arial"/>
          <w:color w:val="7B7B7B" w:themeColor="accent3" w:themeShade="BF"/>
          <w:sz w:val="22"/>
          <w:szCs w:val="22"/>
          <w:lang w:val="en-GB"/>
        </w:rPr>
        <w:footnoteReference w:id="11"/>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3355ED0A" w14:textId="28CAE5A6" w:rsidR="008840CD" w:rsidRDefault="00660CC4"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no global insolvency law in existence, nor is there a global centralised court to deal with cross-border insolvency. This presents a number of difficulties, starting with the definition of </w:t>
      </w:r>
      <w:r w:rsidR="001F143B">
        <w:rPr>
          <w:rFonts w:ascii="Arial" w:hAnsi="Arial" w:cs="Arial"/>
          <w:color w:val="7B7B7B" w:themeColor="accent3" w:themeShade="BF"/>
          <w:sz w:val="22"/>
          <w:szCs w:val="22"/>
          <w:lang w:val="en-GB"/>
        </w:rPr>
        <w:t>"insolvency", as a</w:t>
      </w:r>
      <w:r>
        <w:rPr>
          <w:rFonts w:ascii="Arial" w:hAnsi="Arial" w:cs="Arial"/>
          <w:color w:val="7B7B7B" w:themeColor="accent3" w:themeShade="BF"/>
          <w:sz w:val="22"/>
          <w:szCs w:val="22"/>
          <w:lang w:val="en-GB"/>
        </w:rPr>
        <w:t xml:space="preserve"> system may have its own statutory definition of </w:t>
      </w:r>
      <w:r w:rsidR="0065388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insolvency</w:t>
      </w:r>
      <w:r w:rsidR="00653881">
        <w:rPr>
          <w:rFonts w:ascii="Arial" w:hAnsi="Arial" w:cs="Arial"/>
          <w:color w:val="7B7B7B" w:themeColor="accent3" w:themeShade="BF"/>
          <w:sz w:val="22"/>
          <w:szCs w:val="22"/>
          <w:lang w:val="en-GB"/>
        </w:rPr>
        <w:t xml:space="preserve">" that, while not entirely dissimilar to that of </w:t>
      </w:r>
      <w:r w:rsidR="001F143B">
        <w:rPr>
          <w:rFonts w:ascii="Arial" w:hAnsi="Arial" w:cs="Arial"/>
          <w:color w:val="7B7B7B" w:themeColor="accent3" w:themeShade="BF"/>
          <w:sz w:val="22"/>
          <w:szCs w:val="22"/>
          <w:lang w:val="en-GB"/>
        </w:rPr>
        <w:t>another system, may be</w:t>
      </w:r>
      <w:r w:rsidR="00653881">
        <w:rPr>
          <w:rFonts w:ascii="Arial" w:hAnsi="Arial" w:cs="Arial"/>
          <w:color w:val="7B7B7B" w:themeColor="accent3" w:themeShade="BF"/>
          <w:sz w:val="22"/>
          <w:szCs w:val="22"/>
          <w:lang w:val="en-GB"/>
        </w:rPr>
        <w:t xml:space="preserve"> sufficiently different</w:t>
      </w:r>
      <w:r w:rsidR="00FD4363">
        <w:rPr>
          <w:rFonts w:ascii="Arial" w:hAnsi="Arial" w:cs="Arial"/>
          <w:color w:val="7B7B7B" w:themeColor="accent3" w:themeShade="BF"/>
          <w:sz w:val="22"/>
          <w:szCs w:val="22"/>
          <w:lang w:val="en-GB"/>
        </w:rPr>
        <w:t xml:space="preserve"> so as</w:t>
      </w:r>
      <w:r w:rsidR="00653881">
        <w:rPr>
          <w:rFonts w:ascii="Arial" w:hAnsi="Arial" w:cs="Arial"/>
          <w:color w:val="7B7B7B" w:themeColor="accent3" w:themeShade="BF"/>
          <w:sz w:val="22"/>
          <w:szCs w:val="22"/>
          <w:lang w:val="en-GB"/>
        </w:rPr>
        <w:t xml:space="preserve"> to cause confus</w:t>
      </w:r>
      <w:r w:rsidR="001F143B">
        <w:rPr>
          <w:rFonts w:ascii="Arial" w:hAnsi="Arial" w:cs="Arial"/>
          <w:color w:val="7B7B7B" w:themeColor="accent3" w:themeShade="BF"/>
          <w:sz w:val="22"/>
          <w:szCs w:val="22"/>
          <w:lang w:val="en-GB"/>
        </w:rPr>
        <w:t xml:space="preserve">ion in a cross-border context, where a variety of definitions and procedures exist to deal with </w:t>
      </w:r>
      <w:r w:rsidR="009079FB">
        <w:rPr>
          <w:rFonts w:ascii="Arial" w:hAnsi="Arial" w:cs="Arial"/>
          <w:color w:val="7B7B7B" w:themeColor="accent3" w:themeShade="BF"/>
          <w:sz w:val="22"/>
          <w:szCs w:val="22"/>
          <w:lang w:val="en-GB"/>
        </w:rPr>
        <w:t>non-payment of debts.</w:t>
      </w:r>
      <w:r w:rsidR="00A91EAE">
        <w:rPr>
          <w:rStyle w:val="FootnoteReference"/>
          <w:rFonts w:ascii="Arial" w:hAnsi="Arial" w:cs="Arial"/>
          <w:color w:val="7B7B7B" w:themeColor="accent3" w:themeShade="BF"/>
          <w:sz w:val="22"/>
          <w:szCs w:val="22"/>
          <w:lang w:val="en-GB"/>
        </w:rPr>
        <w:footnoteReference w:id="12"/>
      </w:r>
      <w:r w:rsidR="009079FB">
        <w:rPr>
          <w:rFonts w:ascii="Arial" w:hAnsi="Arial" w:cs="Arial"/>
          <w:color w:val="7B7B7B" w:themeColor="accent3" w:themeShade="BF"/>
          <w:sz w:val="22"/>
          <w:szCs w:val="22"/>
          <w:lang w:val="en-GB"/>
        </w:rPr>
        <w:t xml:space="preserve"> </w:t>
      </w:r>
    </w:p>
    <w:p w14:paraId="39FD94B0" w14:textId="77777777" w:rsidR="008840CD" w:rsidRDefault="008840CD" w:rsidP="00C053F7">
      <w:pPr>
        <w:jc w:val="both"/>
        <w:rPr>
          <w:rFonts w:ascii="Arial" w:hAnsi="Arial" w:cs="Arial"/>
          <w:color w:val="7B7B7B" w:themeColor="accent3" w:themeShade="BF"/>
          <w:sz w:val="22"/>
          <w:szCs w:val="22"/>
          <w:lang w:val="en-GB"/>
        </w:rPr>
      </w:pPr>
    </w:p>
    <w:p w14:paraId="2BD9EE9A" w14:textId="0446EB13" w:rsidR="00FD4363" w:rsidRDefault="00FD436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9079FB">
        <w:rPr>
          <w:rFonts w:ascii="Arial" w:hAnsi="Arial" w:cs="Arial"/>
          <w:color w:val="7B7B7B" w:themeColor="accent3" w:themeShade="BF"/>
          <w:sz w:val="22"/>
          <w:szCs w:val="22"/>
          <w:lang w:val="en-GB"/>
        </w:rPr>
        <w:t>onflict of laws issues</w:t>
      </w:r>
      <w:r>
        <w:rPr>
          <w:rFonts w:ascii="Arial" w:hAnsi="Arial" w:cs="Arial"/>
          <w:color w:val="7B7B7B" w:themeColor="accent3" w:themeShade="BF"/>
          <w:sz w:val="22"/>
          <w:szCs w:val="22"/>
          <w:lang w:val="en-GB"/>
        </w:rPr>
        <w:t xml:space="preserve"> inevitably arise</w:t>
      </w:r>
      <w:r w:rsidR="008840CD">
        <w:rPr>
          <w:rFonts w:ascii="Arial" w:hAnsi="Arial" w:cs="Arial"/>
          <w:color w:val="7B7B7B" w:themeColor="accent3" w:themeShade="BF"/>
          <w:sz w:val="22"/>
          <w:szCs w:val="22"/>
          <w:lang w:val="en-GB"/>
        </w:rPr>
        <w:t xml:space="preserve"> when dealing with cross-border insolvency,</w:t>
      </w:r>
      <w:r w:rsidR="009079FB">
        <w:rPr>
          <w:rFonts w:ascii="Arial" w:hAnsi="Arial" w:cs="Arial"/>
          <w:color w:val="7B7B7B" w:themeColor="accent3" w:themeShade="BF"/>
          <w:sz w:val="22"/>
          <w:szCs w:val="22"/>
          <w:lang w:val="en-GB"/>
        </w:rPr>
        <w:t xml:space="preserve"> and </w:t>
      </w:r>
      <w:r>
        <w:rPr>
          <w:rFonts w:ascii="Arial" w:hAnsi="Arial" w:cs="Arial"/>
          <w:color w:val="7B7B7B" w:themeColor="accent3" w:themeShade="BF"/>
          <w:sz w:val="22"/>
          <w:szCs w:val="22"/>
          <w:lang w:val="en-GB"/>
        </w:rPr>
        <w:t xml:space="preserve">there is a knock-on </w:t>
      </w:r>
      <w:r w:rsidR="009079FB">
        <w:rPr>
          <w:rFonts w:ascii="Arial" w:hAnsi="Arial" w:cs="Arial"/>
          <w:color w:val="7B7B7B" w:themeColor="accent3" w:themeShade="BF"/>
          <w:sz w:val="22"/>
          <w:szCs w:val="22"/>
          <w:lang w:val="en-GB"/>
        </w:rPr>
        <w:t>impact</w:t>
      </w:r>
      <w:r>
        <w:rPr>
          <w:rFonts w:ascii="Arial" w:hAnsi="Arial" w:cs="Arial"/>
          <w:color w:val="7B7B7B" w:themeColor="accent3" w:themeShade="BF"/>
          <w:sz w:val="22"/>
          <w:szCs w:val="22"/>
          <w:lang w:val="en-GB"/>
        </w:rPr>
        <w:t xml:space="preserve"> on</w:t>
      </w:r>
      <w:r w:rsidR="009079F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creditor action, claims and cross-claims, </w:t>
      </w:r>
      <w:r w:rsidR="00960BCB">
        <w:rPr>
          <w:rFonts w:ascii="Arial" w:hAnsi="Arial" w:cs="Arial"/>
          <w:color w:val="7B7B7B" w:themeColor="accent3" w:themeShade="BF"/>
          <w:sz w:val="22"/>
          <w:szCs w:val="22"/>
          <w:lang w:val="en-GB"/>
        </w:rPr>
        <w:t>creditor participation</w:t>
      </w:r>
      <w:r w:rsidR="009079FB">
        <w:rPr>
          <w:rFonts w:ascii="Arial" w:hAnsi="Arial" w:cs="Arial"/>
          <w:color w:val="7B7B7B" w:themeColor="accent3" w:themeShade="BF"/>
          <w:sz w:val="22"/>
          <w:szCs w:val="22"/>
          <w:lang w:val="en-GB"/>
        </w:rPr>
        <w:t xml:space="preserve"> and the relevant rank they enjoy when it comes to dis</w:t>
      </w:r>
      <w:r>
        <w:rPr>
          <w:rFonts w:ascii="Arial" w:hAnsi="Arial" w:cs="Arial"/>
          <w:color w:val="7B7B7B" w:themeColor="accent3" w:themeShade="BF"/>
          <w:sz w:val="22"/>
          <w:szCs w:val="22"/>
          <w:lang w:val="en-GB"/>
        </w:rPr>
        <w:t xml:space="preserve">tributions and discharge issues. </w:t>
      </w:r>
    </w:p>
    <w:p w14:paraId="17DFFD8A" w14:textId="77777777" w:rsidR="00FD4363" w:rsidRDefault="00FD4363" w:rsidP="00C053F7">
      <w:pPr>
        <w:jc w:val="both"/>
        <w:rPr>
          <w:rFonts w:ascii="Arial" w:hAnsi="Arial" w:cs="Arial"/>
          <w:color w:val="7B7B7B" w:themeColor="accent3" w:themeShade="BF"/>
          <w:sz w:val="22"/>
          <w:szCs w:val="22"/>
          <w:lang w:val="en-GB"/>
        </w:rPr>
      </w:pPr>
    </w:p>
    <w:p w14:paraId="4F2BF1BC" w14:textId="773052BC" w:rsidR="00960BCB" w:rsidRDefault="00960BCB" w:rsidP="00C053F7">
      <w:pPr>
        <w:jc w:val="both"/>
        <w:rPr>
          <w:rFonts w:ascii="Arial" w:hAnsi="Arial" w:cs="Arial"/>
          <w:color w:val="7B7B7B" w:themeColor="accent3" w:themeShade="BF"/>
          <w:sz w:val="22"/>
          <w:szCs w:val="22"/>
          <w:lang w:val="en-GB"/>
        </w:rPr>
      </w:pP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138FD179" w:rsidR="00DF75F8" w:rsidRDefault="00CA0C3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UNCITRAL Legislative Guide on Insolvency Law (2004)</w:t>
      </w:r>
      <w:r>
        <w:rPr>
          <w:rStyle w:val="FootnoteReference"/>
          <w:rFonts w:ascii="Arial" w:hAnsi="Arial" w:cs="Arial"/>
          <w:color w:val="7B7B7B" w:themeColor="accent3" w:themeShade="BF"/>
          <w:sz w:val="22"/>
          <w:szCs w:val="22"/>
          <w:lang w:val="en-GB"/>
        </w:rPr>
        <w:footnoteReference w:id="13"/>
      </w:r>
      <w:r w:rsidR="009604AD">
        <w:rPr>
          <w:rFonts w:ascii="Arial" w:hAnsi="Arial" w:cs="Arial"/>
          <w:color w:val="7B7B7B" w:themeColor="accent3" w:themeShade="BF"/>
          <w:sz w:val="22"/>
          <w:szCs w:val="22"/>
          <w:lang w:val="en-GB"/>
        </w:rPr>
        <w:t xml:space="preserve"> was introduced to assist legislative pen-holders worldwide in drafting more harmonious insolvency laws and </w:t>
      </w:r>
      <w:r w:rsidR="006A1834">
        <w:rPr>
          <w:rFonts w:ascii="Arial" w:hAnsi="Arial" w:cs="Arial"/>
          <w:color w:val="7B7B7B" w:themeColor="accent3" w:themeShade="BF"/>
          <w:sz w:val="22"/>
          <w:szCs w:val="22"/>
          <w:lang w:val="en-GB"/>
        </w:rPr>
        <w:t xml:space="preserve">related provisions, whether from scratch or whether by way of update to their existing national laws. Adopting of the UNCITRAL Model Law on Cross-Border Insolvency was also recommended in the Guide, to </w:t>
      </w:r>
      <w:r w:rsidR="00920680">
        <w:rPr>
          <w:rFonts w:ascii="Arial" w:hAnsi="Arial" w:cs="Arial"/>
          <w:color w:val="7B7B7B" w:themeColor="accent3" w:themeShade="BF"/>
          <w:sz w:val="22"/>
          <w:szCs w:val="22"/>
          <w:lang w:val="en-GB"/>
        </w:rPr>
        <w:t xml:space="preserve">further promote harmonisation. </w:t>
      </w:r>
    </w:p>
    <w:p w14:paraId="0F63CCB4" w14:textId="49D20AE2" w:rsidR="00920680" w:rsidRDefault="00920680" w:rsidP="00C053F7">
      <w:pPr>
        <w:jc w:val="both"/>
        <w:rPr>
          <w:rFonts w:ascii="Arial" w:hAnsi="Arial" w:cs="Arial"/>
          <w:color w:val="7B7B7B" w:themeColor="accent3" w:themeShade="BF"/>
          <w:sz w:val="22"/>
          <w:szCs w:val="22"/>
          <w:lang w:val="en-GB"/>
        </w:rPr>
      </w:pPr>
    </w:p>
    <w:p w14:paraId="19F85F1D" w14:textId="0DB9D05F" w:rsidR="00920680" w:rsidRDefault="0092068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World Bank also produced guidelines</w:t>
      </w:r>
      <w:r w:rsidR="00A4642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in the form of Principles for Effective Insolvency and Creditor/Debtor Regimes</w:t>
      </w:r>
      <w:r>
        <w:rPr>
          <w:rStyle w:val="FootnoteReference"/>
          <w:rFonts w:ascii="Arial" w:hAnsi="Arial" w:cs="Arial"/>
          <w:color w:val="7B7B7B" w:themeColor="accent3" w:themeShade="BF"/>
          <w:sz w:val="22"/>
          <w:szCs w:val="22"/>
          <w:lang w:val="en-GB"/>
        </w:rPr>
        <w:footnoteReference w:id="14"/>
      </w:r>
      <w:r w:rsidR="00A4642C">
        <w:rPr>
          <w:rFonts w:ascii="Arial" w:hAnsi="Arial" w:cs="Arial"/>
          <w:color w:val="7B7B7B" w:themeColor="accent3" w:themeShade="BF"/>
          <w:sz w:val="22"/>
          <w:szCs w:val="22"/>
          <w:lang w:val="en-GB"/>
        </w:rPr>
        <w:t xml:space="preserve"> , which has recently been updated. </w:t>
      </w:r>
      <w:r w:rsidR="00AB2BC5">
        <w:rPr>
          <w:rFonts w:ascii="Arial" w:hAnsi="Arial" w:cs="Arial"/>
          <w:color w:val="7B7B7B" w:themeColor="accent3" w:themeShade="BF"/>
          <w:sz w:val="22"/>
          <w:szCs w:val="22"/>
          <w:lang w:val="en-GB"/>
        </w:rPr>
        <w:t xml:space="preserve">These Principles, in conjunction with UNCITRAL's Guide, promote harmonisation of insolvency law, especially in developing nations who apply to the IMF and World Bank for loans. </w:t>
      </w:r>
    </w:p>
    <w:p w14:paraId="2C7B76C6" w14:textId="3D68C8CA" w:rsidR="006633EA" w:rsidRDefault="006633EA" w:rsidP="00C053F7">
      <w:pPr>
        <w:jc w:val="both"/>
        <w:rPr>
          <w:rFonts w:ascii="Arial" w:hAnsi="Arial" w:cs="Arial"/>
          <w:color w:val="7B7B7B" w:themeColor="accent3" w:themeShade="BF"/>
          <w:sz w:val="22"/>
          <w:szCs w:val="22"/>
          <w:lang w:val="en-GB"/>
        </w:rPr>
      </w:pPr>
    </w:p>
    <w:p w14:paraId="77EBBD41" w14:textId="52D8B73E" w:rsidR="006633EA" w:rsidRDefault="006633E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European Commission </w:t>
      </w:r>
      <w:r w:rsidR="0050374C">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ecently published a Final report</w:t>
      </w:r>
      <w:r w:rsidR="0050374C">
        <w:rPr>
          <w:rFonts w:ascii="Arial" w:hAnsi="Arial" w:cs="Arial"/>
          <w:color w:val="7B7B7B" w:themeColor="accent3" w:themeShade="BF"/>
          <w:sz w:val="22"/>
          <w:szCs w:val="22"/>
          <w:lang w:val="en-GB"/>
        </w:rPr>
        <w:t xml:space="preserve"> on its Capital Markets Union plans.</w:t>
      </w:r>
      <w:r w:rsidR="0050374C">
        <w:rPr>
          <w:rStyle w:val="FootnoteReference"/>
          <w:rFonts w:ascii="Arial" w:hAnsi="Arial" w:cs="Arial"/>
          <w:color w:val="7B7B7B" w:themeColor="accent3" w:themeShade="BF"/>
          <w:sz w:val="22"/>
          <w:szCs w:val="22"/>
          <w:lang w:val="en-GB"/>
        </w:rPr>
        <w:footnoteReference w:id="15"/>
      </w:r>
      <w:r w:rsidR="0050374C">
        <w:rPr>
          <w:rFonts w:ascii="Arial" w:hAnsi="Arial" w:cs="Arial"/>
          <w:color w:val="7B7B7B" w:themeColor="accent3" w:themeShade="BF"/>
          <w:sz w:val="22"/>
          <w:szCs w:val="22"/>
          <w:lang w:val="en-GB"/>
        </w:rPr>
        <w:t xml:space="preserve"> The Final report sets out recommendations w</w:t>
      </w:r>
      <w:r w:rsidR="000E4B56">
        <w:rPr>
          <w:rFonts w:ascii="Arial" w:hAnsi="Arial" w:cs="Arial"/>
          <w:color w:val="7B7B7B" w:themeColor="accent3" w:themeShade="BF"/>
          <w:sz w:val="22"/>
          <w:szCs w:val="22"/>
          <w:lang w:val="en-GB"/>
        </w:rPr>
        <w:t xml:space="preserve">hich aim, amongst other things, to promote harmonisation of insolvency law as it relates to the EU's capital markets. </w:t>
      </w:r>
    </w:p>
    <w:p w14:paraId="5EFAA25C" w14:textId="179B8586" w:rsidR="000E4B56" w:rsidRDefault="000E4B56" w:rsidP="00C053F7">
      <w:pPr>
        <w:jc w:val="both"/>
        <w:rPr>
          <w:rFonts w:ascii="Arial" w:hAnsi="Arial" w:cs="Arial"/>
          <w:color w:val="7B7B7B" w:themeColor="accent3" w:themeShade="BF"/>
          <w:sz w:val="22"/>
          <w:szCs w:val="22"/>
          <w:lang w:val="en-GB"/>
        </w:rPr>
      </w:pPr>
    </w:p>
    <w:p w14:paraId="445E1569" w14:textId="0FD02859" w:rsidR="000E4B56" w:rsidRPr="00BF1C6F" w:rsidRDefault="000E4B56" w:rsidP="00C053F7">
      <w:pPr>
        <w:jc w:val="both"/>
        <w:rPr>
          <w:rFonts w:ascii="Arial" w:hAnsi="Arial" w:cs="Arial"/>
          <w:sz w:val="22"/>
          <w:szCs w:val="22"/>
          <w:lang w:val="en-GB"/>
        </w:rPr>
      </w:pPr>
      <w:r>
        <w:rPr>
          <w:rFonts w:ascii="Arial" w:hAnsi="Arial" w:cs="Arial"/>
          <w:color w:val="7B7B7B" w:themeColor="accent3" w:themeShade="BF"/>
          <w:sz w:val="22"/>
          <w:szCs w:val="22"/>
          <w:lang w:val="en-GB"/>
        </w:rPr>
        <w:t xml:space="preserve">Together, the above three actions represent tangible </w:t>
      </w:r>
      <w:r w:rsidR="004F359A">
        <w:rPr>
          <w:rFonts w:ascii="Arial" w:hAnsi="Arial" w:cs="Arial"/>
          <w:color w:val="7B7B7B" w:themeColor="accent3" w:themeShade="BF"/>
          <w:sz w:val="22"/>
          <w:szCs w:val="22"/>
          <w:lang w:val="en-GB"/>
        </w:rPr>
        <w:t>evidence of steps by major bodies to promote and sustain harmonisation of insolvency law internationally. In my view, the fact that the World Bank and IMF in particular are strongly promoting the UNCITRAL Guide and the P</w:t>
      </w:r>
      <w:r w:rsidR="00C87432">
        <w:rPr>
          <w:rFonts w:ascii="Arial" w:hAnsi="Arial" w:cs="Arial"/>
          <w:color w:val="7B7B7B" w:themeColor="accent3" w:themeShade="BF"/>
          <w:sz w:val="22"/>
          <w:szCs w:val="22"/>
          <w:lang w:val="en-GB"/>
        </w:rPr>
        <w:t xml:space="preserve">rinciples and even requiring the same to be incorporated to some extent in local legislation before making loans available to developing countries, means that harmonious insolvency legislation is being introduced and sustained in more and more jurisdictions, furthering the aim of achieving </w:t>
      </w:r>
      <w:r w:rsidR="00AA78B4">
        <w:rPr>
          <w:rFonts w:ascii="Arial" w:hAnsi="Arial" w:cs="Arial"/>
          <w:color w:val="7B7B7B" w:themeColor="accent3" w:themeShade="BF"/>
          <w:sz w:val="22"/>
          <w:szCs w:val="22"/>
          <w:lang w:val="en-GB"/>
        </w:rPr>
        <w:t>a</w:t>
      </w:r>
      <w:r w:rsidR="00C87432">
        <w:rPr>
          <w:rFonts w:ascii="Arial" w:hAnsi="Arial" w:cs="Arial"/>
          <w:color w:val="7B7B7B" w:themeColor="accent3" w:themeShade="BF"/>
          <w:sz w:val="22"/>
          <w:szCs w:val="22"/>
          <w:lang w:val="en-GB"/>
        </w:rPr>
        <w:t xml:space="preserve"> g</w:t>
      </w:r>
      <w:r w:rsidR="00AA78B4">
        <w:rPr>
          <w:rFonts w:ascii="Arial" w:hAnsi="Arial" w:cs="Arial"/>
          <w:color w:val="7B7B7B" w:themeColor="accent3" w:themeShade="BF"/>
          <w:sz w:val="22"/>
          <w:szCs w:val="22"/>
          <w:lang w:val="en-GB"/>
        </w:rPr>
        <w:t>lobal</w:t>
      </w:r>
      <w:r w:rsidR="00C87432">
        <w:rPr>
          <w:rFonts w:ascii="Arial" w:hAnsi="Arial" w:cs="Arial"/>
          <w:color w:val="7B7B7B" w:themeColor="accent3" w:themeShade="BF"/>
          <w:sz w:val="22"/>
          <w:szCs w:val="22"/>
          <w:lang w:val="en-GB"/>
        </w:rPr>
        <w:t xml:space="preserve"> standard of insolvency law. </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w:t>
      </w:r>
      <w:r w:rsidRPr="00BF1C6F">
        <w:rPr>
          <w:rFonts w:ascii="Arial" w:hAnsi="Arial" w:cs="Arial"/>
          <w:sz w:val="22"/>
          <w:szCs w:val="22"/>
          <w:lang w:val="en-GB"/>
        </w:rPr>
        <w:lastRenderedPageBreak/>
        <w:t xml:space="preserve">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3A903D6C" w14:textId="412B301E" w:rsidR="003B262B" w:rsidRDefault="0067756B"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Nadir is a Utopia company. The liquidator has been appointed following a winding up proceeding brought in </w:t>
      </w:r>
      <w:proofErr w:type="spellStart"/>
      <w:r w:rsidR="003B262B">
        <w:rPr>
          <w:rFonts w:ascii="Arial" w:hAnsi="Arial" w:cs="Arial"/>
          <w:color w:val="7B7B7B" w:themeColor="accent3" w:themeShade="BF"/>
          <w:sz w:val="22"/>
          <w:szCs w:val="22"/>
          <w:lang w:val="en-GB"/>
        </w:rPr>
        <w:t>Erewhon</w:t>
      </w:r>
      <w:proofErr w:type="spellEnd"/>
      <w:r w:rsidR="003B262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 foreign jurisdiction</w:t>
      </w:r>
      <w:r w:rsidR="008721F4">
        <w:rPr>
          <w:rFonts w:ascii="Arial" w:hAnsi="Arial" w:cs="Arial"/>
          <w:color w:val="7B7B7B" w:themeColor="accent3" w:themeShade="BF"/>
          <w:sz w:val="22"/>
          <w:szCs w:val="22"/>
          <w:lang w:val="en-GB"/>
        </w:rPr>
        <w:t xml:space="preserve">, which is </w:t>
      </w:r>
      <w:r w:rsidR="00A80E31">
        <w:rPr>
          <w:rFonts w:ascii="Arial" w:hAnsi="Arial" w:cs="Arial"/>
          <w:color w:val="7B7B7B" w:themeColor="accent3" w:themeShade="BF"/>
          <w:sz w:val="22"/>
          <w:szCs w:val="22"/>
          <w:lang w:val="en-GB"/>
        </w:rPr>
        <w:t>also party to UNICITRAL Model Law on Cross-border Insolvency</w:t>
      </w:r>
      <w:r>
        <w:rPr>
          <w:rFonts w:ascii="Arial" w:hAnsi="Arial" w:cs="Arial"/>
          <w:color w:val="7B7B7B" w:themeColor="accent3" w:themeShade="BF"/>
          <w:sz w:val="22"/>
          <w:szCs w:val="22"/>
          <w:lang w:val="en-GB"/>
        </w:rPr>
        <w:t xml:space="preserve">. </w:t>
      </w:r>
      <w:r w:rsidR="00D21F38">
        <w:rPr>
          <w:rFonts w:ascii="Arial" w:hAnsi="Arial" w:cs="Arial"/>
          <w:color w:val="7B7B7B" w:themeColor="accent3" w:themeShade="BF"/>
          <w:sz w:val="22"/>
          <w:szCs w:val="22"/>
          <w:lang w:val="en-GB"/>
        </w:rPr>
        <w:t xml:space="preserve">The </w:t>
      </w:r>
      <w:proofErr w:type="spellStart"/>
      <w:r w:rsidR="00D21F38">
        <w:rPr>
          <w:rFonts w:ascii="Arial" w:hAnsi="Arial" w:cs="Arial"/>
          <w:color w:val="7B7B7B" w:themeColor="accent3" w:themeShade="BF"/>
          <w:sz w:val="22"/>
          <w:szCs w:val="22"/>
          <w:lang w:val="en-GB"/>
        </w:rPr>
        <w:t>Erewhon</w:t>
      </w:r>
      <w:proofErr w:type="spellEnd"/>
      <w:r w:rsidR="00D21F38">
        <w:rPr>
          <w:rFonts w:ascii="Arial" w:hAnsi="Arial" w:cs="Arial"/>
          <w:color w:val="7B7B7B" w:themeColor="accent3" w:themeShade="BF"/>
          <w:sz w:val="22"/>
          <w:szCs w:val="22"/>
          <w:lang w:val="en-GB"/>
        </w:rPr>
        <w:t xml:space="preserve"> liquidation proceeding is therefore a foreign proceeding</w:t>
      </w:r>
      <w:r w:rsidR="00A80E31">
        <w:rPr>
          <w:rFonts w:ascii="Arial" w:hAnsi="Arial" w:cs="Arial"/>
          <w:color w:val="7B7B7B" w:themeColor="accent3" w:themeShade="BF"/>
          <w:sz w:val="22"/>
          <w:szCs w:val="22"/>
          <w:lang w:val="en-GB"/>
        </w:rPr>
        <w:t xml:space="preserve"> in a designated state</w:t>
      </w:r>
      <w:r w:rsidR="00D21F3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Cross-border Insolvency Act of Utopia allows for recognition of a foreign "main</w:t>
      </w:r>
      <w:r w:rsidR="00D21F38">
        <w:rPr>
          <w:rFonts w:ascii="Arial" w:hAnsi="Arial" w:cs="Arial"/>
          <w:color w:val="7B7B7B" w:themeColor="accent3" w:themeShade="BF"/>
          <w:sz w:val="22"/>
          <w:szCs w:val="22"/>
          <w:lang w:val="en-GB"/>
        </w:rPr>
        <w:t>" proceeding and</w:t>
      </w:r>
      <w:r w:rsidR="003B262B">
        <w:rPr>
          <w:rFonts w:ascii="Arial" w:hAnsi="Arial" w:cs="Arial"/>
          <w:color w:val="7B7B7B" w:themeColor="accent3" w:themeShade="BF"/>
          <w:sz w:val="22"/>
          <w:szCs w:val="22"/>
          <w:lang w:val="en-GB"/>
        </w:rPr>
        <w:t xml:space="preserve"> further provides relief in the form of a stay of actions of individual creditors against the debtor, or a stay of enforcement proceedings concerning the assets of the debtor. </w:t>
      </w:r>
    </w:p>
    <w:p w14:paraId="742F75AB" w14:textId="29DA5601" w:rsidR="00B90FA9" w:rsidRDefault="00B90FA9" w:rsidP="00C053F7">
      <w:pPr>
        <w:jc w:val="both"/>
        <w:rPr>
          <w:rFonts w:ascii="Arial" w:hAnsi="Arial" w:cs="Arial"/>
          <w:color w:val="7B7B7B" w:themeColor="accent3" w:themeShade="BF"/>
          <w:sz w:val="22"/>
          <w:szCs w:val="22"/>
          <w:lang w:val="en-GB"/>
        </w:rPr>
      </w:pPr>
    </w:p>
    <w:p w14:paraId="38221F55" w14:textId="427ABF71" w:rsidR="00B90FA9" w:rsidRDefault="00B90FA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stay of the </w:t>
      </w:r>
      <w:r w:rsidR="008B0AEE">
        <w:rPr>
          <w:rFonts w:ascii="Arial" w:hAnsi="Arial" w:cs="Arial"/>
          <w:color w:val="7B7B7B" w:themeColor="accent3" w:themeShade="BF"/>
          <w:sz w:val="22"/>
          <w:szCs w:val="22"/>
          <w:lang w:val="en-GB"/>
        </w:rPr>
        <w:t>Utopia</w:t>
      </w:r>
      <w:r>
        <w:rPr>
          <w:rFonts w:ascii="Arial" w:hAnsi="Arial" w:cs="Arial"/>
          <w:color w:val="7B7B7B" w:themeColor="accent3" w:themeShade="BF"/>
          <w:sz w:val="22"/>
          <w:szCs w:val="22"/>
          <w:lang w:val="en-GB"/>
        </w:rPr>
        <w:t xml:space="preserve"> proceeding is mandatory and will either be automatic (in the sense that the stay will flow automatically from the recognition of the </w:t>
      </w:r>
      <w:proofErr w:type="spellStart"/>
      <w:r w:rsidR="008B0AEE">
        <w:rPr>
          <w:rFonts w:ascii="Arial" w:hAnsi="Arial" w:cs="Arial"/>
          <w:color w:val="7B7B7B" w:themeColor="accent3" w:themeShade="BF"/>
          <w:sz w:val="22"/>
          <w:szCs w:val="22"/>
          <w:lang w:val="en-GB"/>
        </w:rPr>
        <w:t>Erewhon</w:t>
      </w:r>
      <w:proofErr w:type="spellEnd"/>
      <w:r w:rsidR="008B0AEE">
        <w:rPr>
          <w:rFonts w:ascii="Arial" w:hAnsi="Arial" w:cs="Arial"/>
          <w:color w:val="7B7B7B" w:themeColor="accent3" w:themeShade="BF"/>
          <w:sz w:val="22"/>
          <w:szCs w:val="22"/>
          <w:lang w:val="en-GB"/>
        </w:rPr>
        <w:t xml:space="preserve"> liquidation) or the court in Utopia will be bound to issue an order staying the Utopia proceeding. </w:t>
      </w:r>
    </w:p>
    <w:p w14:paraId="1AB628A5" w14:textId="77777777" w:rsidR="003B262B" w:rsidRDefault="003B262B" w:rsidP="00C053F7">
      <w:pPr>
        <w:jc w:val="both"/>
        <w:rPr>
          <w:rFonts w:ascii="Arial" w:hAnsi="Arial" w:cs="Arial"/>
          <w:color w:val="7B7B7B" w:themeColor="accent3" w:themeShade="BF"/>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3FF95FE8" w:rsidR="002D3473" w:rsidRPr="00BF6D06" w:rsidRDefault="00591D5B" w:rsidP="00811F8F">
      <w:pPr>
        <w:pStyle w:val="ListParagraph"/>
        <w:numPr>
          <w:ilvl w:val="0"/>
          <w:numId w:val="23"/>
        </w:num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If the matter had not yet been heard, and the liquidator has already been appointed in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I would advise the liquidator to inter</w:t>
      </w:r>
      <w:r w:rsidR="002930E7">
        <w:rPr>
          <w:rFonts w:ascii="Arial" w:hAnsi="Arial" w:cs="Arial"/>
          <w:color w:val="7B7B7B" w:themeColor="accent3" w:themeShade="BF"/>
          <w:sz w:val="22"/>
          <w:szCs w:val="22"/>
          <w:lang w:val="en-GB"/>
        </w:rPr>
        <w:t>vene in the Utopia</w:t>
      </w:r>
      <w:r>
        <w:rPr>
          <w:rFonts w:ascii="Arial" w:hAnsi="Arial" w:cs="Arial"/>
          <w:color w:val="7B7B7B" w:themeColor="accent3" w:themeShade="BF"/>
          <w:sz w:val="22"/>
          <w:szCs w:val="22"/>
          <w:lang w:val="en-GB"/>
        </w:rPr>
        <w:t xml:space="preserve"> winding-up application (if correspondence alerting counsel in t</w:t>
      </w:r>
      <w:r w:rsidR="002930E7">
        <w:rPr>
          <w:rFonts w:ascii="Arial" w:hAnsi="Arial" w:cs="Arial"/>
          <w:color w:val="7B7B7B" w:themeColor="accent3" w:themeShade="BF"/>
          <w:sz w:val="22"/>
          <w:szCs w:val="22"/>
          <w:lang w:val="en-GB"/>
        </w:rPr>
        <w:t xml:space="preserve">he Utopia </w:t>
      </w:r>
      <w:r>
        <w:rPr>
          <w:rFonts w:ascii="Arial" w:hAnsi="Arial" w:cs="Arial"/>
          <w:color w:val="7B7B7B" w:themeColor="accent3" w:themeShade="BF"/>
          <w:sz w:val="22"/>
          <w:szCs w:val="22"/>
          <w:lang w:val="en-GB"/>
        </w:rPr>
        <w:t xml:space="preserve">proceeding is not fruitful)  to let the </w:t>
      </w:r>
      <w:r w:rsidR="00A0049B">
        <w:rPr>
          <w:rFonts w:ascii="Arial" w:hAnsi="Arial" w:cs="Arial"/>
          <w:color w:val="7B7B7B" w:themeColor="accent3" w:themeShade="BF"/>
          <w:sz w:val="22"/>
          <w:szCs w:val="22"/>
          <w:lang w:val="en-GB"/>
        </w:rPr>
        <w:t xml:space="preserve">Utopia </w:t>
      </w:r>
      <w:r>
        <w:rPr>
          <w:rFonts w:ascii="Arial" w:hAnsi="Arial" w:cs="Arial"/>
          <w:color w:val="7B7B7B" w:themeColor="accent3" w:themeShade="BF"/>
          <w:sz w:val="22"/>
          <w:szCs w:val="22"/>
          <w:lang w:val="en-GB"/>
        </w:rPr>
        <w:t xml:space="preserve">court know that a liquidator has already been appointed in another </w:t>
      </w:r>
      <w:r w:rsidR="006A133E">
        <w:rPr>
          <w:rFonts w:ascii="Arial" w:hAnsi="Arial" w:cs="Arial"/>
          <w:color w:val="7B7B7B" w:themeColor="accent3" w:themeShade="BF"/>
          <w:sz w:val="22"/>
          <w:szCs w:val="22"/>
          <w:lang w:val="en-GB"/>
        </w:rPr>
        <w:t>State.</w:t>
      </w:r>
    </w:p>
    <w:p w14:paraId="1B26F3D0" w14:textId="74B30E4D" w:rsidR="00BF6D06" w:rsidRPr="00811F8F" w:rsidRDefault="00BF6D06" w:rsidP="00811F8F">
      <w:pPr>
        <w:pStyle w:val="ListParagraph"/>
        <w:numPr>
          <w:ilvl w:val="0"/>
          <w:numId w:val="23"/>
        </w:num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If Apex has obtained a court order to wind-up Nadir</w:t>
      </w:r>
      <w:r w:rsidR="00A0049B">
        <w:rPr>
          <w:rFonts w:ascii="Arial" w:hAnsi="Arial" w:cs="Arial"/>
          <w:color w:val="7B7B7B" w:themeColor="accent3" w:themeShade="BF"/>
          <w:sz w:val="22"/>
          <w:szCs w:val="22"/>
          <w:lang w:val="en-GB"/>
        </w:rPr>
        <w:t xml:space="preserve"> in Utopia</w:t>
      </w:r>
      <w:r>
        <w:rPr>
          <w:rFonts w:ascii="Arial" w:hAnsi="Arial" w:cs="Arial"/>
          <w:color w:val="7B7B7B" w:themeColor="accent3" w:themeShade="BF"/>
          <w:sz w:val="22"/>
          <w:szCs w:val="22"/>
          <w:lang w:val="en-GB"/>
        </w:rPr>
        <w:t xml:space="preserve"> prior to the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winding up order</w:t>
      </w:r>
      <w:r w:rsidR="002930E7">
        <w:rPr>
          <w:rFonts w:ascii="Arial" w:hAnsi="Arial" w:cs="Arial"/>
          <w:color w:val="7B7B7B" w:themeColor="accent3" w:themeShade="BF"/>
          <w:sz w:val="22"/>
          <w:szCs w:val="22"/>
          <w:lang w:val="en-GB"/>
        </w:rPr>
        <w:t xml:space="preserve"> and a liquidator has meanwhile been appointed</w:t>
      </w:r>
      <w:r w:rsidR="00A0049B">
        <w:rPr>
          <w:rFonts w:ascii="Arial" w:hAnsi="Arial" w:cs="Arial"/>
          <w:color w:val="7B7B7B" w:themeColor="accent3" w:themeShade="BF"/>
          <w:sz w:val="22"/>
          <w:szCs w:val="22"/>
          <w:lang w:val="en-GB"/>
        </w:rPr>
        <w:t xml:space="preserve"> none the wiser</w:t>
      </w:r>
      <w:r w:rsidR="002930E7">
        <w:rPr>
          <w:rFonts w:ascii="Arial" w:hAnsi="Arial" w:cs="Arial"/>
          <w:color w:val="7B7B7B" w:themeColor="accent3" w:themeShade="BF"/>
          <w:sz w:val="22"/>
          <w:szCs w:val="22"/>
          <w:lang w:val="en-GB"/>
        </w:rPr>
        <w:t xml:space="preserve"> in </w:t>
      </w:r>
      <w:proofErr w:type="spellStart"/>
      <w:r w:rsidR="002930E7">
        <w:rPr>
          <w:rFonts w:ascii="Arial" w:hAnsi="Arial" w:cs="Arial"/>
          <w:color w:val="7B7B7B" w:themeColor="accent3" w:themeShade="BF"/>
          <w:sz w:val="22"/>
          <w:szCs w:val="22"/>
          <w:lang w:val="en-GB"/>
        </w:rPr>
        <w:t>Erewhon</w:t>
      </w:r>
      <w:proofErr w:type="spellEnd"/>
      <w:r w:rsidR="002930E7">
        <w:rPr>
          <w:rFonts w:ascii="Arial" w:hAnsi="Arial" w:cs="Arial"/>
          <w:color w:val="7B7B7B" w:themeColor="accent3" w:themeShade="BF"/>
          <w:sz w:val="22"/>
          <w:szCs w:val="22"/>
          <w:lang w:val="en-GB"/>
        </w:rPr>
        <w:t>, I would advise th</w:t>
      </w:r>
      <w:r w:rsidR="00A0049B">
        <w:rPr>
          <w:rFonts w:ascii="Arial" w:hAnsi="Arial" w:cs="Arial"/>
          <w:color w:val="7B7B7B" w:themeColor="accent3" w:themeShade="BF"/>
          <w:sz w:val="22"/>
          <w:szCs w:val="22"/>
          <w:lang w:val="en-GB"/>
        </w:rPr>
        <w:t>e</w:t>
      </w:r>
      <w:r w:rsidR="002930E7">
        <w:rPr>
          <w:rFonts w:ascii="Arial" w:hAnsi="Arial" w:cs="Arial"/>
          <w:color w:val="7B7B7B" w:themeColor="accent3" w:themeShade="BF"/>
          <w:sz w:val="22"/>
          <w:szCs w:val="22"/>
          <w:lang w:val="en-GB"/>
        </w:rPr>
        <w:t xml:space="preserve"> </w:t>
      </w:r>
      <w:proofErr w:type="spellStart"/>
      <w:r w:rsidR="002930E7">
        <w:rPr>
          <w:rFonts w:ascii="Arial" w:hAnsi="Arial" w:cs="Arial"/>
          <w:color w:val="7B7B7B" w:themeColor="accent3" w:themeShade="BF"/>
          <w:sz w:val="22"/>
          <w:szCs w:val="22"/>
          <w:lang w:val="en-GB"/>
        </w:rPr>
        <w:t>Erewhon</w:t>
      </w:r>
      <w:proofErr w:type="spellEnd"/>
      <w:r w:rsidR="002930E7">
        <w:rPr>
          <w:rFonts w:ascii="Arial" w:hAnsi="Arial" w:cs="Arial"/>
          <w:color w:val="7B7B7B" w:themeColor="accent3" w:themeShade="BF"/>
          <w:sz w:val="22"/>
          <w:szCs w:val="22"/>
          <w:lang w:val="en-GB"/>
        </w:rPr>
        <w:t xml:space="preserve"> liquidator to first check whether a liquidator has been appointed in</w:t>
      </w:r>
      <w:r w:rsidR="00A0049B">
        <w:rPr>
          <w:rFonts w:ascii="Arial" w:hAnsi="Arial" w:cs="Arial"/>
          <w:color w:val="7B7B7B" w:themeColor="accent3" w:themeShade="BF"/>
          <w:sz w:val="22"/>
          <w:szCs w:val="22"/>
          <w:lang w:val="en-GB"/>
        </w:rPr>
        <w:t xml:space="preserve"> Utopia and if one has not been, apply for an order that would permit the </w:t>
      </w:r>
      <w:proofErr w:type="spellStart"/>
      <w:r w:rsidR="00A0049B">
        <w:rPr>
          <w:rFonts w:ascii="Arial" w:hAnsi="Arial" w:cs="Arial"/>
          <w:color w:val="7B7B7B" w:themeColor="accent3" w:themeShade="BF"/>
          <w:sz w:val="22"/>
          <w:szCs w:val="22"/>
          <w:lang w:val="en-GB"/>
        </w:rPr>
        <w:t>Erewhon</w:t>
      </w:r>
      <w:proofErr w:type="spellEnd"/>
      <w:r w:rsidR="00A0049B">
        <w:rPr>
          <w:rFonts w:ascii="Arial" w:hAnsi="Arial" w:cs="Arial"/>
          <w:color w:val="7B7B7B" w:themeColor="accent3" w:themeShade="BF"/>
          <w:sz w:val="22"/>
          <w:szCs w:val="22"/>
          <w:lang w:val="en-GB"/>
        </w:rPr>
        <w:t xml:space="preserve"> liquidator to act as if he were also a Utopia liquidat</w:t>
      </w:r>
      <w:r w:rsidR="00E76A77">
        <w:rPr>
          <w:rFonts w:ascii="Arial" w:hAnsi="Arial" w:cs="Arial"/>
          <w:color w:val="7B7B7B" w:themeColor="accent3" w:themeShade="BF"/>
          <w:sz w:val="22"/>
          <w:szCs w:val="22"/>
          <w:lang w:val="en-GB"/>
        </w:rPr>
        <w:t xml:space="preserve">or (i.e. a locally appointed liquidator). </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2CA87D4E" w14:textId="7DAEABC8" w:rsidR="00C60B7C" w:rsidRDefault="00E76A77" w:rsidP="00AA18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company is incorporated in the BVI. </w:t>
      </w:r>
      <w:r w:rsidR="00C60B7C">
        <w:rPr>
          <w:rFonts w:ascii="Arial" w:hAnsi="Arial" w:cs="Arial"/>
          <w:color w:val="7B7B7B" w:themeColor="accent3" w:themeShade="BF"/>
          <w:sz w:val="22"/>
          <w:szCs w:val="22"/>
          <w:lang w:val="en-GB"/>
        </w:rPr>
        <w:t xml:space="preserve">The most common insolvency proceeding in the BVI is court-led insolvent liquidation. Four key international insolvency issues facing a BVI liquidator are: </w:t>
      </w:r>
    </w:p>
    <w:p w14:paraId="1CB0B7A0" w14:textId="0E9EACC2" w:rsidR="008B4D00" w:rsidRDefault="008B4D00" w:rsidP="00AA18E2">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Recognition of the appointment of the BVI liquidator: if the BVI company has assets in multiple States, the question of whether each of those States has provisions which allow for recognition of the appointment </w:t>
      </w:r>
      <w:r w:rsidR="00475EBC">
        <w:rPr>
          <w:rFonts w:ascii="Arial" w:hAnsi="Arial" w:cs="Arial"/>
          <w:color w:val="7B7B7B" w:themeColor="accent3" w:themeShade="BF"/>
          <w:sz w:val="22"/>
          <w:szCs w:val="22"/>
          <w:lang w:val="en-GB"/>
        </w:rPr>
        <w:t>is germane</w:t>
      </w:r>
      <w:r w:rsidR="00DE5135">
        <w:rPr>
          <w:rFonts w:ascii="Arial" w:hAnsi="Arial" w:cs="Arial"/>
          <w:color w:val="7B7B7B" w:themeColor="accent3" w:themeShade="BF"/>
          <w:sz w:val="22"/>
          <w:szCs w:val="22"/>
          <w:lang w:val="en-GB"/>
        </w:rPr>
        <w:t xml:space="preserve"> and can cause an issue (if such provisions are lacking). Fortunately, several jurisdictions are party to and have adopted UNCITRAL Model Law on Cross-border Insolvency, so more often than not, recognition is guaranteed. </w:t>
      </w:r>
    </w:p>
    <w:p w14:paraId="0A4D54C7" w14:textId="15A84B40" w:rsidR="00AC4C44" w:rsidRPr="00BE2DC0" w:rsidRDefault="00DE5135" w:rsidP="00BE2DC0">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Stay of other claims: if proceedings have been brought against the company in other States, the question of whether each of those States has provisions which allow for stay of those proceedings </w:t>
      </w:r>
      <w:r w:rsidR="00687A70">
        <w:rPr>
          <w:rFonts w:ascii="Arial" w:hAnsi="Arial" w:cs="Arial"/>
          <w:color w:val="7B7B7B" w:themeColor="accent3" w:themeShade="BF"/>
          <w:sz w:val="22"/>
          <w:szCs w:val="22"/>
          <w:lang w:val="en-GB"/>
        </w:rPr>
        <w:t xml:space="preserve">is germane and can also cause similar issues to 1 above. </w:t>
      </w:r>
      <w:r w:rsidR="0078662B">
        <w:rPr>
          <w:rFonts w:ascii="Arial" w:hAnsi="Arial" w:cs="Arial"/>
          <w:color w:val="7B7B7B" w:themeColor="accent3" w:themeShade="BF"/>
          <w:sz w:val="22"/>
          <w:szCs w:val="22"/>
          <w:lang w:val="en-GB"/>
        </w:rPr>
        <w:t xml:space="preserve">Again, several jurisdictions are party to and have adopted UNCITRAL Model Law on Cross-border Insolvency, so more often than not, a stay of other proceedings is automatic or mandatory. </w:t>
      </w:r>
    </w:p>
    <w:p w14:paraId="310105A7" w14:textId="020C8A08" w:rsidR="00AA18E2" w:rsidRDefault="00AA18E2" w:rsidP="00AA18E2">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Tracing and gaining control of foreign assets: the BVI Insolvency Act </w:t>
      </w:r>
      <w:r w:rsidR="00531C34">
        <w:rPr>
          <w:rFonts w:ascii="Arial" w:hAnsi="Arial" w:cs="Arial"/>
          <w:color w:val="7B7B7B" w:themeColor="accent3" w:themeShade="BF"/>
          <w:sz w:val="22"/>
          <w:szCs w:val="22"/>
          <w:lang w:val="en-GB"/>
        </w:rPr>
        <w:t xml:space="preserve">(the "Act") </w:t>
      </w:r>
      <w:r>
        <w:rPr>
          <w:rFonts w:ascii="Arial" w:hAnsi="Arial" w:cs="Arial"/>
          <w:color w:val="7B7B7B" w:themeColor="accent3" w:themeShade="BF"/>
          <w:sz w:val="22"/>
          <w:szCs w:val="22"/>
          <w:lang w:val="en-GB"/>
        </w:rPr>
        <w:t xml:space="preserve">requires a </w:t>
      </w:r>
      <w:r w:rsidR="008B4D00">
        <w:rPr>
          <w:rFonts w:ascii="Arial" w:hAnsi="Arial" w:cs="Arial"/>
          <w:color w:val="7B7B7B" w:themeColor="accent3" w:themeShade="BF"/>
          <w:sz w:val="22"/>
          <w:szCs w:val="22"/>
          <w:lang w:val="en-GB"/>
        </w:rPr>
        <w:t>BVI</w:t>
      </w:r>
      <w:r>
        <w:rPr>
          <w:rFonts w:ascii="Arial" w:hAnsi="Arial" w:cs="Arial"/>
          <w:color w:val="7B7B7B" w:themeColor="accent3" w:themeShade="BF"/>
          <w:sz w:val="22"/>
          <w:szCs w:val="22"/>
          <w:lang w:val="en-GB"/>
        </w:rPr>
        <w:t xml:space="preserve"> licenced insolvency practitioner to be appointed as liquidator over a BVI company</w:t>
      </w:r>
      <w:r w:rsidR="00C51A1F">
        <w:rPr>
          <w:rStyle w:val="FootnoteReference"/>
          <w:rFonts w:ascii="Arial" w:hAnsi="Arial" w:cs="Arial"/>
          <w:color w:val="7B7B7B" w:themeColor="accent3" w:themeShade="BF"/>
          <w:sz w:val="22"/>
          <w:szCs w:val="22"/>
          <w:lang w:val="en-GB"/>
        </w:rPr>
        <w:footnoteReference w:id="16"/>
      </w:r>
      <w:r>
        <w:rPr>
          <w:rFonts w:ascii="Arial" w:hAnsi="Arial" w:cs="Arial"/>
          <w:color w:val="7B7B7B" w:themeColor="accent3" w:themeShade="BF"/>
          <w:sz w:val="22"/>
          <w:szCs w:val="22"/>
          <w:lang w:val="en-GB"/>
        </w:rPr>
        <w:t xml:space="preserve">. This liquidator must be resident in the BVI. However, the Act </w:t>
      </w:r>
      <w:r w:rsidR="00531C34">
        <w:rPr>
          <w:rFonts w:ascii="Arial" w:hAnsi="Arial" w:cs="Arial"/>
          <w:color w:val="7B7B7B" w:themeColor="accent3" w:themeShade="BF"/>
          <w:sz w:val="22"/>
          <w:szCs w:val="22"/>
          <w:lang w:val="en-GB"/>
        </w:rPr>
        <w:t xml:space="preserve">permits a foreign insolvency practitioner to be jointly appointed, alongside the local liquidator. This is often done in practice, for example where a BVI company holds substantial assets located in the UK, a UK insolvency practitioner is jointly appointed as liquidator alongside the BVI liquidator. This has the advantage of having liquidators on the ground with the asset, in the same time zone, etc. </w:t>
      </w:r>
    </w:p>
    <w:p w14:paraId="4406FB87" w14:textId="41CA8296" w:rsidR="00BE2DC0" w:rsidRDefault="00BE2DC0" w:rsidP="00AA18E2">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Informing worldwide creditors that the BVI </w:t>
      </w:r>
      <w:proofErr w:type="gramStart"/>
      <w:r>
        <w:rPr>
          <w:rFonts w:ascii="Arial" w:hAnsi="Arial" w:cs="Arial"/>
          <w:color w:val="7B7B7B" w:themeColor="accent3" w:themeShade="BF"/>
          <w:sz w:val="22"/>
          <w:szCs w:val="22"/>
          <w:lang w:val="en-GB"/>
        </w:rPr>
        <w:t>company</w:t>
      </w:r>
      <w:proofErr w:type="gramEnd"/>
      <w:r>
        <w:rPr>
          <w:rFonts w:ascii="Arial" w:hAnsi="Arial" w:cs="Arial"/>
          <w:color w:val="7B7B7B" w:themeColor="accent3" w:themeShade="BF"/>
          <w:sz w:val="22"/>
          <w:szCs w:val="22"/>
          <w:lang w:val="en-GB"/>
        </w:rPr>
        <w:t xml:space="preserve"> is in liquidation: </w:t>
      </w:r>
      <w:r w:rsidR="003B6614">
        <w:rPr>
          <w:rFonts w:ascii="Arial" w:hAnsi="Arial" w:cs="Arial"/>
          <w:color w:val="7B7B7B" w:themeColor="accent3" w:themeShade="BF"/>
          <w:sz w:val="22"/>
          <w:szCs w:val="22"/>
          <w:lang w:val="en-GB"/>
        </w:rPr>
        <w:t>An application to appoint a liquidator over a BVI company must be advertised not less than seven days after service of the application on the company and not less than seven days before the hearing of the application. This is intended to give the company's creditors notice of the proceeding.</w:t>
      </w:r>
      <w:r w:rsidR="00717E83">
        <w:rPr>
          <w:rStyle w:val="FootnoteReference"/>
          <w:rFonts w:ascii="Arial" w:hAnsi="Arial" w:cs="Arial"/>
          <w:color w:val="7B7B7B" w:themeColor="accent3" w:themeShade="BF"/>
          <w:sz w:val="22"/>
          <w:szCs w:val="22"/>
          <w:lang w:val="en-GB"/>
        </w:rPr>
        <w:footnoteReference w:id="17"/>
      </w:r>
      <w:r w:rsidR="003B6614">
        <w:rPr>
          <w:rFonts w:ascii="Arial" w:hAnsi="Arial" w:cs="Arial"/>
          <w:color w:val="7B7B7B" w:themeColor="accent3" w:themeShade="BF"/>
          <w:sz w:val="22"/>
          <w:szCs w:val="22"/>
          <w:lang w:val="en-GB"/>
        </w:rPr>
        <w:t xml:space="preserve"> Once the liquidator is appointed, another advertisement must be run by the liquidator announcing his appointment. In both cases, the advertisement must be run the in the BVI gazettes and also in any other foreign publication deemed necessary to bring to the attention of creditors. </w:t>
      </w:r>
      <w:r>
        <w:rPr>
          <w:rFonts w:ascii="Arial" w:hAnsi="Arial" w:cs="Arial"/>
          <w:color w:val="7B7B7B" w:themeColor="accent3" w:themeShade="BF"/>
          <w:sz w:val="22"/>
          <w:szCs w:val="22"/>
          <w:lang w:val="en-GB"/>
        </w:rPr>
        <w:t xml:space="preserve"> </w:t>
      </w:r>
    </w:p>
    <w:p w14:paraId="6776EE50" w14:textId="2542FE22" w:rsidR="009C7A62" w:rsidRDefault="009C7A62" w:rsidP="009C7A62">
      <w:pPr>
        <w:jc w:val="both"/>
        <w:rPr>
          <w:rFonts w:ascii="Arial" w:hAnsi="Arial" w:cs="Arial"/>
          <w:color w:val="7B7B7B" w:themeColor="accent3" w:themeShade="BF"/>
          <w:sz w:val="22"/>
          <w:szCs w:val="22"/>
          <w:lang w:val="en-GB"/>
        </w:rPr>
      </w:pPr>
    </w:p>
    <w:p w14:paraId="161C1906" w14:textId="77777777" w:rsidR="00BE2DC0" w:rsidRPr="009C7A62" w:rsidRDefault="00BE2DC0" w:rsidP="009C7A62">
      <w:pPr>
        <w:jc w:val="both"/>
        <w:rPr>
          <w:rFonts w:ascii="Arial" w:hAnsi="Arial" w:cs="Arial"/>
          <w:color w:val="7B7B7B" w:themeColor="accent3" w:themeShade="BF"/>
          <w:sz w:val="22"/>
          <w:szCs w:val="22"/>
          <w:lang w:val="en-GB"/>
        </w:rPr>
      </w:pPr>
    </w:p>
    <w:p w14:paraId="254C8F3A" w14:textId="13F03601" w:rsidR="00531C34" w:rsidRPr="00AA18E2" w:rsidRDefault="00531C34" w:rsidP="008B4D00">
      <w:pPr>
        <w:pStyle w:val="ListParagraph"/>
        <w:jc w:val="both"/>
        <w:rPr>
          <w:rFonts w:ascii="Arial" w:hAnsi="Arial" w:cs="Arial"/>
          <w:color w:val="7B7B7B" w:themeColor="accent3" w:themeShade="BF"/>
          <w:sz w:val="22"/>
          <w:szCs w:val="22"/>
          <w:lang w:val="en-GB"/>
        </w:rPr>
      </w:pPr>
      <w:bookmarkStart w:id="1" w:name="_GoBack"/>
      <w:bookmarkEnd w:id="1"/>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E125" w14:textId="77777777" w:rsidR="00977572" w:rsidRDefault="00977572" w:rsidP="00241B44">
      <w:r>
        <w:separator/>
      </w:r>
    </w:p>
  </w:endnote>
  <w:endnote w:type="continuationSeparator" w:id="0">
    <w:p w14:paraId="5D0C0338" w14:textId="77777777" w:rsidR="00977572" w:rsidRDefault="009775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977572" w:rsidRPr="00FC7B47" w:rsidRDefault="00977572"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977572" w:rsidRPr="00FC7B47" w:rsidRDefault="00977572" w:rsidP="00FC7B47">
    <w:pPr>
      <w:pStyle w:val="Footer"/>
      <w:ind w:right="360"/>
      <w:rPr>
        <w:rFonts w:ascii="Arial" w:hAnsi="Arial" w:cs="Arial"/>
        <w:sz w:val="22"/>
        <w:szCs w:val="22"/>
      </w:rPr>
    </w:pPr>
    <w:proofErr w:type="gramStart"/>
    <w:r>
      <w:t>student</w:t>
    </w:r>
    <w:proofErr w:type="gramEnd"/>
    <w:r>
      <w:t xml:space="preserve">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1121F655" w:rsidR="00977572" w:rsidRPr="00F44220" w:rsidRDefault="00977572" w:rsidP="00977572">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00717E83">
          <w:rPr>
            <w:rStyle w:val="PageNumber"/>
            <w:rFonts w:ascii="Arial" w:hAnsi="Arial" w:cs="Arial"/>
            <w:b/>
            <w:bCs/>
            <w:noProof/>
            <w:sz w:val="18"/>
            <w:szCs w:val="18"/>
          </w:rPr>
          <w:t>12</w:t>
        </w:r>
        <w:r w:rsidRPr="00123661">
          <w:rPr>
            <w:rStyle w:val="PageNumber"/>
            <w:rFonts w:ascii="Arial" w:hAnsi="Arial" w:cs="Arial"/>
            <w:b/>
            <w:bCs/>
            <w:sz w:val="18"/>
            <w:szCs w:val="18"/>
          </w:rPr>
          <w:fldChar w:fldCharType="end"/>
        </w:r>
      </w:p>
    </w:sdtContent>
  </w:sdt>
  <w:p w14:paraId="120BA9A5" w14:textId="71436B92" w:rsidR="00977572" w:rsidRPr="00F44220" w:rsidRDefault="00977572" w:rsidP="00AD6A7D">
    <w:pPr>
      <w:pStyle w:val="Footer"/>
      <w:ind w:right="360"/>
      <w:rPr>
        <w:rFonts w:ascii="Arial" w:hAnsi="Arial" w:cs="Arial"/>
        <w:sz w:val="18"/>
        <w:szCs w:val="18"/>
      </w:rPr>
    </w:pPr>
    <w:r>
      <w:rPr>
        <w:rFonts w:ascii="Arial" w:hAnsi="Arial" w:cs="Arial"/>
        <w:sz w:val="18"/>
        <w:szCs w:val="18"/>
      </w:rPr>
      <w:t>202122-248</w:t>
    </w:r>
    <w:r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067F" w14:textId="77777777" w:rsidR="00977572" w:rsidRDefault="00977572" w:rsidP="00241B44">
      <w:r>
        <w:separator/>
      </w:r>
    </w:p>
  </w:footnote>
  <w:footnote w:type="continuationSeparator" w:id="0">
    <w:p w14:paraId="40E82217" w14:textId="77777777" w:rsidR="00977572" w:rsidRDefault="00977572" w:rsidP="00241B44">
      <w:r>
        <w:continuationSeparator/>
      </w:r>
    </w:p>
  </w:footnote>
  <w:footnote w:id="1">
    <w:p w14:paraId="36AA9871" w14:textId="6D18B0D9" w:rsidR="00977572" w:rsidRDefault="00977572">
      <w:pPr>
        <w:pStyle w:val="FootnoteText"/>
      </w:pPr>
      <w:r>
        <w:rPr>
          <w:rStyle w:val="FootnoteReference"/>
        </w:rPr>
        <w:footnoteRef/>
      </w:r>
      <w:r>
        <w:t xml:space="preserve"> B </w:t>
      </w:r>
      <w:proofErr w:type="spellStart"/>
      <w:r>
        <w:t>Wessels</w:t>
      </w:r>
      <w:proofErr w:type="spellEnd"/>
      <w:r>
        <w:t xml:space="preserve">, </w:t>
      </w:r>
      <w:r w:rsidRPr="00FF52D6">
        <w:rPr>
          <w:i/>
        </w:rPr>
        <w:t>International Insolvency Law</w:t>
      </w:r>
      <w:r>
        <w:t>, (Kluwer Law International, 2006)</w:t>
      </w:r>
    </w:p>
  </w:footnote>
  <w:footnote w:id="2">
    <w:p w14:paraId="39B042EE" w14:textId="73ECD059" w:rsidR="00977572" w:rsidRDefault="00977572">
      <w:pPr>
        <w:pStyle w:val="FootnoteText"/>
      </w:pPr>
      <w:r>
        <w:rPr>
          <w:rStyle w:val="FootnoteReference"/>
        </w:rPr>
        <w:footnoteRef/>
      </w:r>
      <w:r>
        <w:t xml:space="preserve"> Gerard McCormack, </w:t>
      </w:r>
      <w:r w:rsidRPr="003A7E9A">
        <w:rPr>
          <w:i/>
        </w:rPr>
        <w:t>Universalism in Insolvency Proceedings and the Common Law</w:t>
      </w:r>
      <w:r>
        <w:t>, (Oxford Journal of Legal Studies, 1 June 2012)</w:t>
      </w:r>
    </w:p>
  </w:footnote>
  <w:footnote w:id="3">
    <w:p w14:paraId="3103DD57" w14:textId="75013092" w:rsidR="00977572" w:rsidRDefault="00977572">
      <w:pPr>
        <w:pStyle w:val="FootnoteText"/>
      </w:pPr>
      <w:r>
        <w:rPr>
          <w:rStyle w:val="FootnoteReference"/>
        </w:rPr>
        <w:footnoteRef/>
      </w:r>
      <w:r>
        <w:t xml:space="preserve"> </w:t>
      </w:r>
      <w:r w:rsidRPr="003D576B">
        <w:rPr>
          <w:i/>
        </w:rPr>
        <w:t>Foundation Certificate in International Insolvency Law Module 1 Guidance Text</w:t>
      </w:r>
      <w:r>
        <w:t xml:space="preserve"> (para 5.2.2-5.2.3)</w:t>
      </w:r>
    </w:p>
  </w:footnote>
  <w:footnote w:id="4">
    <w:p w14:paraId="1A0BCE6B" w14:textId="1235FFD9" w:rsidR="00977572" w:rsidRDefault="00977572">
      <w:pPr>
        <w:pStyle w:val="FootnoteText"/>
      </w:pPr>
      <w:r>
        <w:rPr>
          <w:rStyle w:val="FootnoteReference"/>
        </w:rPr>
        <w:footnoteRef/>
      </w:r>
      <w:r>
        <w:t xml:space="preserve"> JL Westbrook, </w:t>
      </w:r>
      <w:r w:rsidRPr="003D576B">
        <w:rPr>
          <w:i/>
        </w:rPr>
        <w:t>Multinational Enterprises in General Default</w:t>
      </w:r>
      <w:r>
        <w:t xml:space="preserve"> (Chapter 15, The ALI Principles and The EU Insolvency Regulation (2002) 76 Am </w:t>
      </w:r>
      <w:proofErr w:type="spellStart"/>
      <w:r>
        <w:t>Bankr</w:t>
      </w:r>
      <w:proofErr w:type="spellEnd"/>
      <w:r>
        <w:t xml:space="preserve"> LJ1, 10-12) </w:t>
      </w:r>
    </w:p>
  </w:footnote>
  <w:footnote w:id="5">
    <w:p w14:paraId="0BBD27C0" w14:textId="0C72C25C" w:rsidR="00977572" w:rsidRDefault="00977572">
      <w:pPr>
        <w:pStyle w:val="FootnoteText"/>
      </w:pPr>
      <w:r>
        <w:rPr>
          <w:rStyle w:val="FootnoteReference"/>
        </w:rPr>
        <w:footnoteRef/>
      </w:r>
      <w:r>
        <w:t xml:space="preserve"> See generally, L </w:t>
      </w:r>
      <w:proofErr w:type="spellStart"/>
      <w:r>
        <w:t>LoPucki</w:t>
      </w:r>
      <w:proofErr w:type="spellEnd"/>
      <w:r>
        <w:t xml:space="preserve">, </w:t>
      </w:r>
      <w:r w:rsidRPr="00B30218">
        <w:rPr>
          <w:i/>
        </w:rPr>
        <w:t>Cooperation in International Bankruptcy: A Post-Universalist Approach</w:t>
      </w:r>
      <w:r>
        <w:t xml:space="preserve"> ((1999) 84 Cornell L Rev 696) and see also JL Westbrook, </w:t>
      </w:r>
      <w:r w:rsidRPr="00B30218">
        <w:rPr>
          <w:i/>
        </w:rPr>
        <w:t>Theory and Pragmatism in Global Insolvencies: Choice of Law and Choice of Forum</w:t>
      </w:r>
      <w:r>
        <w:t xml:space="preserve"> ((1991) 65 Am </w:t>
      </w:r>
      <w:proofErr w:type="spellStart"/>
      <w:r>
        <w:t>Bankr</w:t>
      </w:r>
      <w:proofErr w:type="spellEnd"/>
      <w:r>
        <w:t xml:space="preserve"> LJ 457). </w:t>
      </w:r>
    </w:p>
  </w:footnote>
  <w:footnote w:id="6">
    <w:p w14:paraId="27B8BA7C" w14:textId="677EA1B6" w:rsidR="00977572" w:rsidRDefault="00977572">
      <w:pPr>
        <w:pStyle w:val="FootnoteText"/>
      </w:pPr>
      <w:r>
        <w:rPr>
          <w:rStyle w:val="FootnoteReference"/>
        </w:rPr>
        <w:footnoteRef/>
      </w:r>
      <w:r>
        <w:t xml:space="preserve"> </w:t>
      </w:r>
      <w:r w:rsidRPr="00B41250">
        <w:t>https://www.charlesrussellspeechlys.com/en/news-and-insights/insights/corporate/2021/notable-changes-to-insolvency-legislation-in-the-gcc/</w:t>
      </w:r>
    </w:p>
  </w:footnote>
  <w:footnote w:id="7">
    <w:p w14:paraId="24E8C189" w14:textId="262BDBD5" w:rsidR="00977572" w:rsidRDefault="00977572">
      <w:pPr>
        <w:pStyle w:val="FootnoteText"/>
      </w:pPr>
      <w:r>
        <w:rPr>
          <w:rStyle w:val="FootnoteReference"/>
        </w:rPr>
        <w:footnoteRef/>
      </w:r>
      <w:r>
        <w:t xml:space="preserve"> [ibid]</w:t>
      </w:r>
    </w:p>
  </w:footnote>
  <w:footnote w:id="8">
    <w:p w14:paraId="4A5F71B5" w14:textId="01422520" w:rsidR="00977572" w:rsidRDefault="00977572">
      <w:pPr>
        <w:pStyle w:val="FootnoteText"/>
      </w:pPr>
      <w:r>
        <w:rPr>
          <w:rStyle w:val="FootnoteReference"/>
        </w:rPr>
        <w:footnoteRef/>
      </w:r>
      <w:r>
        <w:t xml:space="preserve"> </w:t>
      </w:r>
      <w:r w:rsidRPr="00C67F48">
        <w:t>https://globalrestructuringreview.com/review/europe-middle-east-and-africa-restructuring-review/2020/article/recent-restructuring-developments-in-the-gulf-region</w:t>
      </w:r>
    </w:p>
  </w:footnote>
  <w:footnote w:id="9">
    <w:p w14:paraId="18614DA5" w14:textId="049C588E" w:rsidR="00977572" w:rsidRDefault="00977572" w:rsidP="00C03A92">
      <w:pPr>
        <w:pStyle w:val="FootnoteText"/>
      </w:pPr>
      <w:r>
        <w:rPr>
          <w:rStyle w:val="FootnoteReference"/>
        </w:rPr>
        <w:footnoteRef/>
      </w:r>
      <w:r>
        <w:t xml:space="preserve"> </w:t>
      </w:r>
      <w:r w:rsidRPr="003D576B">
        <w:rPr>
          <w:i/>
        </w:rPr>
        <w:t>Foundation Certificate in International Insolvency Law Module 1 Guidance Text</w:t>
      </w:r>
      <w:r>
        <w:t xml:space="preserve"> (para 4.2.2.1)</w:t>
      </w:r>
    </w:p>
    <w:p w14:paraId="57288F5F" w14:textId="098C9FC9" w:rsidR="00977572" w:rsidRDefault="00977572">
      <w:pPr>
        <w:pStyle w:val="FootnoteText"/>
      </w:pPr>
    </w:p>
  </w:footnote>
  <w:footnote w:id="10">
    <w:p w14:paraId="1498D152" w14:textId="7C891206" w:rsidR="00977572" w:rsidRDefault="00977572">
      <w:pPr>
        <w:pStyle w:val="FootnoteText"/>
      </w:pPr>
      <w:r>
        <w:rPr>
          <w:rStyle w:val="FootnoteReference"/>
        </w:rPr>
        <w:footnoteRef/>
      </w:r>
      <w:r>
        <w:t xml:space="preserve"> Sealy and Hooley, In M </w:t>
      </w:r>
      <w:proofErr w:type="gramStart"/>
      <w:r>
        <w:t>A</w:t>
      </w:r>
      <w:proofErr w:type="gramEnd"/>
      <w:r>
        <w:t xml:space="preserve"> Clarke et al, </w:t>
      </w:r>
      <w:r w:rsidRPr="00977572">
        <w:rPr>
          <w:i/>
        </w:rPr>
        <w:t>Commercial Law</w:t>
      </w:r>
      <w:r>
        <w:t xml:space="preserve"> (Oxford University Press, 2017), chap 28. </w:t>
      </w:r>
    </w:p>
  </w:footnote>
  <w:footnote w:id="11">
    <w:p w14:paraId="33A8A1F0" w14:textId="1C56381E" w:rsidR="009843F7" w:rsidRDefault="009843F7">
      <w:pPr>
        <w:pStyle w:val="FootnoteText"/>
      </w:pPr>
      <w:r>
        <w:rPr>
          <w:rStyle w:val="FootnoteReference"/>
        </w:rPr>
        <w:footnoteRef/>
      </w:r>
      <w:r>
        <w:t xml:space="preserve"> [ibid 9 and 10]. </w:t>
      </w:r>
    </w:p>
  </w:footnote>
  <w:footnote w:id="12">
    <w:p w14:paraId="0AD8D591" w14:textId="24CCB4F4" w:rsidR="00A91EAE" w:rsidRDefault="00A91EAE">
      <w:pPr>
        <w:pStyle w:val="FootnoteText"/>
      </w:pPr>
      <w:r>
        <w:rPr>
          <w:rStyle w:val="FootnoteReference"/>
        </w:rPr>
        <w:footnoteRef/>
      </w:r>
      <w:r>
        <w:t xml:space="preserve"> </w:t>
      </w:r>
      <w:r w:rsidRPr="003D576B">
        <w:rPr>
          <w:i/>
        </w:rPr>
        <w:t>Foundation Certificate in International Insolvency Law Module 1 Guidance Text</w:t>
      </w:r>
      <w:r>
        <w:t xml:space="preserve"> (para 5.3)</w:t>
      </w:r>
    </w:p>
  </w:footnote>
  <w:footnote w:id="13">
    <w:p w14:paraId="32A4D499" w14:textId="678FB19D" w:rsidR="00CA0C33" w:rsidRDefault="00CA0C33">
      <w:pPr>
        <w:pStyle w:val="FootnoteText"/>
      </w:pPr>
      <w:r>
        <w:rPr>
          <w:rStyle w:val="FootnoteReference"/>
        </w:rPr>
        <w:footnoteRef/>
      </w:r>
      <w:r>
        <w:t xml:space="preserve"> </w:t>
      </w:r>
      <w:hyperlink r:id="rId1" w:history="1">
        <w:r w:rsidRPr="00A03C52">
          <w:rPr>
            <w:rStyle w:val="Hyperlink"/>
          </w:rPr>
          <w:t>https://uncitral.un.org/en/texts/insolvency/legislativeguides/insolvency_law</w:t>
        </w:r>
      </w:hyperlink>
    </w:p>
    <w:p w14:paraId="1EA37857" w14:textId="77777777" w:rsidR="00CA0C33" w:rsidRDefault="00CA0C33">
      <w:pPr>
        <w:pStyle w:val="FootnoteText"/>
      </w:pPr>
    </w:p>
  </w:footnote>
  <w:footnote w:id="14">
    <w:p w14:paraId="46047621" w14:textId="6DCC4C20" w:rsidR="00920680" w:rsidRDefault="00920680">
      <w:pPr>
        <w:pStyle w:val="FootnoteText"/>
      </w:pPr>
      <w:r>
        <w:rPr>
          <w:rStyle w:val="FootnoteReference"/>
        </w:rPr>
        <w:footnoteRef/>
      </w:r>
      <w:r>
        <w:t xml:space="preserve"> </w:t>
      </w:r>
      <w:hyperlink r:id="rId2" w:history="1">
        <w:r w:rsidRPr="00A03C52">
          <w:rPr>
            <w:rStyle w:val="Hyperlink"/>
          </w:rPr>
          <w:t>https://openknowledge.worldbank.org/bitstream/handle/10986/35506/Principles-for-Effective-Insolvency-and-Creditor-and-Debtor-Regimes.pdf?sequence=1&amp;isAllowed=y</w:t>
        </w:r>
      </w:hyperlink>
    </w:p>
    <w:p w14:paraId="7298A816" w14:textId="77777777" w:rsidR="00920680" w:rsidRDefault="00920680">
      <w:pPr>
        <w:pStyle w:val="FootnoteText"/>
      </w:pPr>
    </w:p>
  </w:footnote>
  <w:footnote w:id="15">
    <w:p w14:paraId="1993F67C" w14:textId="578A2F90" w:rsidR="0050374C" w:rsidRDefault="0050374C">
      <w:pPr>
        <w:pStyle w:val="FootnoteText"/>
      </w:pPr>
      <w:r>
        <w:rPr>
          <w:rStyle w:val="FootnoteReference"/>
        </w:rPr>
        <w:footnoteRef/>
      </w:r>
      <w:r>
        <w:t xml:space="preserve"> </w:t>
      </w:r>
      <w:hyperlink r:id="rId3" w:history="1">
        <w:r w:rsidRPr="00A03C52">
          <w:rPr>
            <w:rStyle w:val="Hyperlink"/>
          </w:rPr>
          <w:t>https://ec.europa.eu/info/news/cmu-high-level-forum-final-report_en</w:t>
        </w:r>
      </w:hyperlink>
    </w:p>
    <w:p w14:paraId="566C00AF" w14:textId="77777777" w:rsidR="0050374C" w:rsidRDefault="0050374C">
      <w:pPr>
        <w:pStyle w:val="FootnoteText"/>
      </w:pPr>
    </w:p>
  </w:footnote>
  <w:footnote w:id="16">
    <w:p w14:paraId="3618133F" w14:textId="68EB3718" w:rsidR="00C51A1F" w:rsidRDefault="00C51A1F">
      <w:pPr>
        <w:pStyle w:val="FootnoteText"/>
      </w:pPr>
      <w:r>
        <w:rPr>
          <w:rStyle w:val="FootnoteReference"/>
        </w:rPr>
        <w:footnoteRef/>
      </w:r>
      <w:r>
        <w:t xml:space="preserve"> S.159 (1) BVI Insolvency Act 2003; r.15 BVI Insolvency Rules</w:t>
      </w:r>
    </w:p>
  </w:footnote>
  <w:footnote w:id="17">
    <w:p w14:paraId="1100983A" w14:textId="058A686C" w:rsidR="00717E83" w:rsidRDefault="00717E83">
      <w:pPr>
        <w:pStyle w:val="FootnoteText"/>
      </w:pPr>
      <w:r>
        <w:rPr>
          <w:rStyle w:val="FootnoteReference"/>
        </w:rPr>
        <w:footnoteRef/>
      </w:r>
      <w:r>
        <w:t xml:space="preserve"> S.165 BVI Insolvency Act 2003; r.13, 32 BVI Insolvency Rules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DA32E78"/>
    <w:multiLevelType w:val="hybridMultilevel"/>
    <w:tmpl w:val="D7C66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3379B4"/>
    <w:multiLevelType w:val="hybridMultilevel"/>
    <w:tmpl w:val="9F949236"/>
    <w:lvl w:ilvl="0" w:tplc="6C2A15B8">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D7523A"/>
    <w:multiLevelType w:val="hybridMultilevel"/>
    <w:tmpl w:val="B5667F54"/>
    <w:lvl w:ilvl="0" w:tplc="9DE011F2">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21"/>
  </w:num>
  <w:num w:numId="3">
    <w:abstractNumId w:val="6"/>
  </w:num>
  <w:num w:numId="4">
    <w:abstractNumId w:val="3"/>
  </w:num>
  <w:num w:numId="5">
    <w:abstractNumId w:val="10"/>
  </w:num>
  <w:num w:numId="6">
    <w:abstractNumId w:val="16"/>
  </w:num>
  <w:num w:numId="7">
    <w:abstractNumId w:val="23"/>
  </w:num>
  <w:num w:numId="8">
    <w:abstractNumId w:val="15"/>
  </w:num>
  <w:num w:numId="9">
    <w:abstractNumId w:val="5"/>
  </w:num>
  <w:num w:numId="10">
    <w:abstractNumId w:val="9"/>
  </w:num>
  <w:num w:numId="11">
    <w:abstractNumId w:val="7"/>
  </w:num>
  <w:num w:numId="12">
    <w:abstractNumId w:val="4"/>
  </w:num>
  <w:num w:numId="13">
    <w:abstractNumId w:val="13"/>
  </w:num>
  <w:num w:numId="14">
    <w:abstractNumId w:val="0"/>
  </w:num>
  <w:num w:numId="15">
    <w:abstractNumId w:val="1"/>
  </w:num>
  <w:num w:numId="16">
    <w:abstractNumId w:val="14"/>
  </w:num>
  <w:num w:numId="17">
    <w:abstractNumId w:val="12"/>
  </w:num>
  <w:num w:numId="18">
    <w:abstractNumId w:val="20"/>
  </w:num>
  <w:num w:numId="19">
    <w:abstractNumId w:val="17"/>
  </w:num>
  <w:num w:numId="20">
    <w:abstractNumId w:val="24"/>
  </w:num>
  <w:num w:numId="21">
    <w:abstractNumId w:val="18"/>
  </w:num>
  <w:num w:numId="22">
    <w:abstractNumId w:val="11"/>
  </w:num>
  <w:num w:numId="23">
    <w:abstractNumId w:val="8"/>
  </w:num>
  <w:num w:numId="24">
    <w:abstractNumId w:val="22"/>
  </w:num>
  <w:num w:numId="2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4864"/>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4740"/>
    <w:rsid w:val="000E4841"/>
    <w:rsid w:val="000E4B56"/>
    <w:rsid w:val="000F1677"/>
    <w:rsid w:val="000F3D6C"/>
    <w:rsid w:val="00101707"/>
    <w:rsid w:val="00110DA3"/>
    <w:rsid w:val="001121BD"/>
    <w:rsid w:val="0011473D"/>
    <w:rsid w:val="00115C85"/>
    <w:rsid w:val="00116C4C"/>
    <w:rsid w:val="00123661"/>
    <w:rsid w:val="00123855"/>
    <w:rsid w:val="00126A4D"/>
    <w:rsid w:val="0014622C"/>
    <w:rsid w:val="00152348"/>
    <w:rsid w:val="0015456D"/>
    <w:rsid w:val="00161F1B"/>
    <w:rsid w:val="00162829"/>
    <w:rsid w:val="00180548"/>
    <w:rsid w:val="00180CCE"/>
    <w:rsid w:val="0018267A"/>
    <w:rsid w:val="00182779"/>
    <w:rsid w:val="001830DF"/>
    <w:rsid w:val="00195EFC"/>
    <w:rsid w:val="001966D9"/>
    <w:rsid w:val="001A7E9A"/>
    <w:rsid w:val="001B5016"/>
    <w:rsid w:val="001C3D95"/>
    <w:rsid w:val="001C45FC"/>
    <w:rsid w:val="001D00CB"/>
    <w:rsid w:val="001D4862"/>
    <w:rsid w:val="001E25B9"/>
    <w:rsid w:val="001E49E0"/>
    <w:rsid w:val="001E7B5A"/>
    <w:rsid w:val="001F143B"/>
    <w:rsid w:val="001F7412"/>
    <w:rsid w:val="0020725B"/>
    <w:rsid w:val="00214AD1"/>
    <w:rsid w:val="00231E14"/>
    <w:rsid w:val="00241B44"/>
    <w:rsid w:val="00245EFB"/>
    <w:rsid w:val="0026515D"/>
    <w:rsid w:val="002668D3"/>
    <w:rsid w:val="0027299F"/>
    <w:rsid w:val="00284EBE"/>
    <w:rsid w:val="00286AE6"/>
    <w:rsid w:val="002930E7"/>
    <w:rsid w:val="0029433F"/>
    <w:rsid w:val="00294829"/>
    <w:rsid w:val="0029690F"/>
    <w:rsid w:val="002A2A60"/>
    <w:rsid w:val="002B09B0"/>
    <w:rsid w:val="002B1C45"/>
    <w:rsid w:val="002C13C8"/>
    <w:rsid w:val="002C1671"/>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501D1"/>
    <w:rsid w:val="00361A0A"/>
    <w:rsid w:val="0036565C"/>
    <w:rsid w:val="0036625E"/>
    <w:rsid w:val="0037465A"/>
    <w:rsid w:val="00374696"/>
    <w:rsid w:val="00381DCB"/>
    <w:rsid w:val="00382C98"/>
    <w:rsid w:val="0038533C"/>
    <w:rsid w:val="003948D5"/>
    <w:rsid w:val="00396821"/>
    <w:rsid w:val="00397D3A"/>
    <w:rsid w:val="003A051E"/>
    <w:rsid w:val="003A2F8D"/>
    <w:rsid w:val="003A7E9A"/>
    <w:rsid w:val="003B170F"/>
    <w:rsid w:val="003B262B"/>
    <w:rsid w:val="003B6614"/>
    <w:rsid w:val="003C4471"/>
    <w:rsid w:val="003D0A6D"/>
    <w:rsid w:val="003D1877"/>
    <w:rsid w:val="003D2122"/>
    <w:rsid w:val="003D2DA8"/>
    <w:rsid w:val="003D576B"/>
    <w:rsid w:val="003E0B16"/>
    <w:rsid w:val="003E67D1"/>
    <w:rsid w:val="003F5758"/>
    <w:rsid w:val="00405DC1"/>
    <w:rsid w:val="00411B48"/>
    <w:rsid w:val="00415F1F"/>
    <w:rsid w:val="0042108F"/>
    <w:rsid w:val="00421494"/>
    <w:rsid w:val="00430FED"/>
    <w:rsid w:val="00431FC9"/>
    <w:rsid w:val="0043427C"/>
    <w:rsid w:val="00434A8C"/>
    <w:rsid w:val="00444284"/>
    <w:rsid w:val="00445CE6"/>
    <w:rsid w:val="004534C2"/>
    <w:rsid w:val="0045683E"/>
    <w:rsid w:val="0046542B"/>
    <w:rsid w:val="00475EBC"/>
    <w:rsid w:val="00484490"/>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E4144"/>
    <w:rsid w:val="004F359A"/>
    <w:rsid w:val="004F5FDF"/>
    <w:rsid w:val="0050374C"/>
    <w:rsid w:val="005177FE"/>
    <w:rsid w:val="0052263B"/>
    <w:rsid w:val="00524728"/>
    <w:rsid w:val="00531C34"/>
    <w:rsid w:val="005331CA"/>
    <w:rsid w:val="0053596A"/>
    <w:rsid w:val="00537970"/>
    <w:rsid w:val="00544127"/>
    <w:rsid w:val="00553EB2"/>
    <w:rsid w:val="00560534"/>
    <w:rsid w:val="005638F4"/>
    <w:rsid w:val="0056391B"/>
    <w:rsid w:val="005650E2"/>
    <w:rsid w:val="00567075"/>
    <w:rsid w:val="00575B2D"/>
    <w:rsid w:val="005833D0"/>
    <w:rsid w:val="005846F3"/>
    <w:rsid w:val="0058622F"/>
    <w:rsid w:val="00591D5B"/>
    <w:rsid w:val="00592F82"/>
    <w:rsid w:val="005A0CCA"/>
    <w:rsid w:val="005A726D"/>
    <w:rsid w:val="005B67AC"/>
    <w:rsid w:val="005C3284"/>
    <w:rsid w:val="005D43D2"/>
    <w:rsid w:val="005D43E0"/>
    <w:rsid w:val="005D58A3"/>
    <w:rsid w:val="005E1B79"/>
    <w:rsid w:val="005E7ADA"/>
    <w:rsid w:val="005F026D"/>
    <w:rsid w:val="005F2D0B"/>
    <w:rsid w:val="005F4B31"/>
    <w:rsid w:val="005F6250"/>
    <w:rsid w:val="00610388"/>
    <w:rsid w:val="00610695"/>
    <w:rsid w:val="00612CA5"/>
    <w:rsid w:val="006153EC"/>
    <w:rsid w:val="00621A17"/>
    <w:rsid w:val="00627CC9"/>
    <w:rsid w:val="00627E7B"/>
    <w:rsid w:val="00630542"/>
    <w:rsid w:val="00632E44"/>
    <w:rsid w:val="00634622"/>
    <w:rsid w:val="00636110"/>
    <w:rsid w:val="00636808"/>
    <w:rsid w:val="00641515"/>
    <w:rsid w:val="00650E29"/>
    <w:rsid w:val="00653881"/>
    <w:rsid w:val="00654C2F"/>
    <w:rsid w:val="00657087"/>
    <w:rsid w:val="00660CC4"/>
    <w:rsid w:val="006633EA"/>
    <w:rsid w:val="00663765"/>
    <w:rsid w:val="0067756B"/>
    <w:rsid w:val="00677AEB"/>
    <w:rsid w:val="00683727"/>
    <w:rsid w:val="00687A1D"/>
    <w:rsid w:val="00687A70"/>
    <w:rsid w:val="00697EA1"/>
    <w:rsid w:val="006A133E"/>
    <w:rsid w:val="006A1834"/>
    <w:rsid w:val="006A2646"/>
    <w:rsid w:val="006A6530"/>
    <w:rsid w:val="006B1CA2"/>
    <w:rsid w:val="006B435A"/>
    <w:rsid w:val="006B481C"/>
    <w:rsid w:val="006B4C64"/>
    <w:rsid w:val="006B786E"/>
    <w:rsid w:val="006D01C2"/>
    <w:rsid w:val="006E481A"/>
    <w:rsid w:val="006E5298"/>
    <w:rsid w:val="006F734A"/>
    <w:rsid w:val="00700D83"/>
    <w:rsid w:val="007074E9"/>
    <w:rsid w:val="00713DA4"/>
    <w:rsid w:val="00714BF1"/>
    <w:rsid w:val="00717E83"/>
    <w:rsid w:val="00721383"/>
    <w:rsid w:val="007333CC"/>
    <w:rsid w:val="0073399A"/>
    <w:rsid w:val="007603F5"/>
    <w:rsid w:val="00764DB0"/>
    <w:rsid w:val="0076764D"/>
    <w:rsid w:val="0077498C"/>
    <w:rsid w:val="00784128"/>
    <w:rsid w:val="0078662B"/>
    <w:rsid w:val="00793173"/>
    <w:rsid w:val="007C1459"/>
    <w:rsid w:val="007C1FCC"/>
    <w:rsid w:val="007C6201"/>
    <w:rsid w:val="007D6AE1"/>
    <w:rsid w:val="007D7C92"/>
    <w:rsid w:val="007E1154"/>
    <w:rsid w:val="007F41F8"/>
    <w:rsid w:val="007F45F1"/>
    <w:rsid w:val="0080167A"/>
    <w:rsid w:val="008031A7"/>
    <w:rsid w:val="0080454E"/>
    <w:rsid w:val="00804C32"/>
    <w:rsid w:val="00806302"/>
    <w:rsid w:val="00807119"/>
    <w:rsid w:val="00811F8F"/>
    <w:rsid w:val="0082483F"/>
    <w:rsid w:val="008279C0"/>
    <w:rsid w:val="008721F4"/>
    <w:rsid w:val="008723F3"/>
    <w:rsid w:val="00881DE6"/>
    <w:rsid w:val="008837A6"/>
    <w:rsid w:val="008840CD"/>
    <w:rsid w:val="0089145D"/>
    <w:rsid w:val="008A6CFE"/>
    <w:rsid w:val="008B0AEE"/>
    <w:rsid w:val="008B4D00"/>
    <w:rsid w:val="008B5333"/>
    <w:rsid w:val="008B6223"/>
    <w:rsid w:val="008C66E0"/>
    <w:rsid w:val="008E3339"/>
    <w:rsid w:val="008F20FC"/>
    <w:rsid w:val="008F6301"/>
    <w:rsid w:val="00905A43"/>
    <w:rsid w:val="009079FB"/>
    <w:rsid w:val="00912C79"/>
    <w:rsid w:val="00920680"/>
    <w:rsid w:val="00942123"/>
    <w:rsid w:val="0095207B"/>
    <w:rsid w:val="009604AD"/>
    <w:rsid w:val="00960BCB"/>
    <w:rsid w:val="00962045"/>
    <w:rsid w:val="00977572"/>
    <w:rsid w:val="009843F7"/>
    <w:rsid w:val="00991428"/>
    <w:rsid w:val="00992676"/>
    <w:rsid w:val="009B0723"/>
    <w:rsid w:val="009B07AD"/>
    <w:rsid w:val="009B0883"/>
    <w:rsid w:val="009B15E2"/>
    <w:rsid w:val="009C0B8E"/>
    <w:rsid w:val="009C1BC8"/>
    <w:rsid w:val="009C2442"/>
    <w:rsid w:val="009C7A62"/>
    <w:rsid w:val="009D0565"/>
    <w:rsid w:val="009D0811"/>
    <w:rsid w:val="009D0EE1"/>
    <w:rsid w:val="009E1027"/>
    <w:rsid w:val="009E2AEB"/>
    <w:rsid w:val="009E2E27"/>
    <w:rsid w:val="009E4DE3"/>
    <w:rsid w:val="00A0049B"/>
    <w:rsid w:val="00A005FC"/>
    <w:rsid w:val="00A047EE"/>
    <w:rsid w:val="00A2274A"/>
    <w:rsid w:val="00A235B7"/>
    <w:rsid w:val="00A407EF"/>
    <w:rsid w:val="00A458BE"/>
    <w:rsid w:val="00A4642C"/>
    <w:rsid w:val="00A46B4C"/>
    <w:rsid w:val="00A5117B"/>
    <w:rsid w:val="00A53728"/>
    <w:rsid w:val="00A54909"/>
    <w:rsid w:val="00A60074"/>
    <w:rsid w:val="00A6627C"/>
    <w:rsid w:val="00A71019"/>
    <w:rsid w:val="00A74CDB"/>
    <w:rsid w:val="00A80E31"/>
    <w:rsid w:val="00A81029"/>
    <w:rsid w:val="00A83A2F"/>
    <w:rsid w:val="00A91EAE"/>
    <w:rsid w:val="00A96489"/>
    <w:rsid w:val="00A97725"/>
    <w:rsid w:val="00AA18E2"/>
    <w:rsid w:val="00AA78B4"/>
    <w:rsid w:val="00AB2BC5"/>
    <w:rsid w:val="00AB685C"/>
    <w:rsid w:val="00AB6C2D"/>
    <w:rsid w:val="00AC3839"/>
    <w:rsid w:val="00AC4C44"/>
    <w:rsid w:val="00AC7082"/>
    <w:rsid w:val="00AD6A7D"/>
    <w:rsid w:val="00AE13BE"/>
    <w:rsid w:val="00AF228E"/>
    <w:rsid w:val="00B04EDA"/>
    <w:rsid w:val="00B14819"/>
    <w:rsid w:val="00B17AA9"/>
    <w:rsid w:val="00B23F2C"/>
    <w:rsid w:val="00B30218"/>
    <w:rsid w:val="00B41250"/>
    <w:rsid w:val="00B424C8"/>
    <w:rsid w:val="00B72AE1"/>
    <w:rsid w:val="00B736DF"/>
    <w:rsid w:val="00B74FBD"/>
    <w:rsid w:val="00B82586"/>
    <w:rsid w:val="00B8535C"/>
    <w:rsid w:val="00B86DB1"/>
    <w:rsid w:val="00B87869"/>
    <w:rsid w:val="00B90FA9"/>
    <w:rsid w:val="00BB0F2B"/>
    <w:rsid w:val="00BE2DC0"/>
    <w:rsid w:val="00BE62DB"/>
    <w:rsid w:val="00BF1C6F"/>
    <w:rsid w:val="00BF50F7"/>
    <w:rsid w:val="00BF6D06"/>
    <w:rsid w:val="00C02F29"/>
    <w:rsid w:val="00C03A92"/>
    <w:rsid w:val="00C053F7"/>
    <w:rsid w:val="00C22A25"/>
    <w:rsid w:val="00C323A4"/>
    <w:rsid w:val="00C33C6C"/>
    <w:rsid w:val="00C35671"/>
    <w:rsid w:val="00C35B77"/>
    <w:rsid w:val="00C376EB"/>
    <w:rsid w:val="00C46EC1"/>
    <w:rsid w:val="00C51A1F"/>
    <w:rsid w:val="00C53E2C"/>
    <w:rsid w:val="00C550C8"/>
    <w:rsid w:val="00C606C3"/>
    <w:rsid w:val="00C60B7C"/>
    <w:rsid w:val="00C67F48"/>
    <w:rsid w:val="00C72848"/>
    <w:rsid w:val="00C7736C"/>
    <w:rsid w:val="00C82D87"/>
    <w:rsid w:val="00C8712A"/>
    <w:rsid w:val="00C87432"/>
    <w:rsid w:val="00C963D3"/>
    <w:rsid w:val="00CA0C33"/>
    <w:rsid w:val="00CB2CBB"/>
    <w:rsid w:val="00CB3E1F"/>
    <w:rsid w:val="00CB7CAC"/>
    <w:rsid w:val="00CC5335"/>
    <w:rsid w:val="00CC5BA4"/>
    <w:rsid w:val="00CC5FDD"/>
    <w:rsid w:val="00CD4998"/>
    <w:rsid w:val="00CE1035"/>
    <w:rsid w:val="00CF2819"/>
    <w:rsid w:val="00CF4F9D"/>
    <w:rsid w:val="00CF70DC"/>
    <w:rsid w:val="00D104E4"/>
    <w:rsid w:val="00D148DC"/>
    <w:rsid w:val="00D17FDC"/>
    <w:rsid w:val="00D21F38"/>
    <w:rsid w:val="00D3074F"/>
    <w:rsid w:val="00D63EFD"/>
    <w:rsid w:val="00D84752"/>
    <w:rsid w:val="00D86B3B"/>
    <w:rsid w:val="00D8748A"/>
    <w:rsid w:val="00D93196"/>
    <w:rsid w:val="00DB243C"/>
    <w:rsid w:val="00DB482A"/>
    <w:rsid w:val="00DB56F2"/>
    <w:rsid w:val="00DB6EF5"/>
    <w:rsid w:val="00DC0391"/>
    <w:rsid w:val="00DC3089"/>
    <w:rsid w:val="00DC4420"/>
    <w:rsid w:val="00DC61E0"/>
    <w:rsid w:val="00DD0802"/>
    <w:rsid w:val="00DD2E11"/>
    <w:rsid w:val="00DE03AF"/>
    <w:rsid w:val="00DE121C"/>
    <w:rsid w:val="00DE5135"/>
    <w:rsid w:val="00DE6633"/>
    <w:rsid w:val="00DF75F8"/>
    <w:rsid w:val="00DF7A3A"/>
    <w:rsid w:val="00E00C00"/>
    <w:rsid w:val="00E07C5A"/>
    <w:rsid w:val="00E15BA9"/>
    <w:rsid w:val="00E26E19"/>
    <w:rsid w:val="00E435FA"/>
    <w:rsid w:val="00E450A4"/>
    <w:rsid w:val="00E506BE"/>
    <w:rsid w:val="00E55547"/>
    <w:rsid w:val="00E6302B"/>
    <w:rsid w:val="00E6452F"/>
    <w:rsid w:val="00E64F45"/>
    <w:rsid w:val="00E6742D"/>
    <w:rsid w:val="00E71CB0"/>
    <w:rsid w:val="00E76A77"/>
    <w:rsid w:val="00E77C3D"/>
    <w:rsid w:val="00E82ED6"/>
    <w:rsid w:val="00E909F0"/>
    <w:rsid w:val="00E93993"/>
    <w:rsid w:val="00EA0913"/>
    <w:rsid w:val="00EA1C80"/>
    <w:rsid w:val="00EB45AC"/>
    <w:rsid w:val="00ED0BC4"/>
    <w:rsid w:val="00EE4971"/>
    <w:rsid w:val="00EE744D"/>
    <w:rsid w:val="00EF090E"/>
    <w:rsid w:val="00F033DA"/>
    <w:rsid w:val="00F174DF"/>
    <w:rsid w:val="00F23F05"/>
    <w:rsid w:val="00F270D2"/>
    <w:rsid w:val="00F27CD8"/>
    <w:rsid w:val="00F30351"/>
    <w:rsid w:val="00F3323E"/>
    <w:rsid w:val="00F341F4"/>
    <w:rsid w:val="00F343B5"/>
    <w:rsid w:val="00F35CCE"/>
    <w:rsid w:val="00F419E1"/>
    <w:rsid w:val="00F44220"/>
    <w:rsid w:val="00F5524B"/>
    <w:rsid w:val="00F61DD2"/>
    <w:rsid w:val="00F66AFF"/>
    <w:rsid w:val="00F71433"/>
    <w:rsid w:val="00F97C5B"/>
    <w:rsid w:val="00FA2189"/>
    <w:rsid w:val="00FA3D50"/>
    <w:rsid w:val="00FA3D5F"/>
    <w:rsid w:val="00FC374A"/>
    <w:rsid w:val="00FC7B47"/>
    <w:rsid w:val="00FD035C"/>
    <w:rsid w:val="00FD1A35"/>
    <w:rsid w:val="00FD36C5"/>
    <w:rsid w:val="00FD4363"/>
    <w:rsid w:val="00FD6310"/>
    <w:rsid w:val="00FD7C7B"/>
    <w:rsid w:val="00FE1D12"/>
    <w:rsid w:val="00FE2122"/>
    <w:rsid w:val="00FE2A86"/>
    <w:rsid w:val="00FF296F"/>
    <w:rsid w:val="00FF52D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news/cmu-high-level-forum-final-report_en" TargetMode="External"/><Relationship Id="rId2" Type="http://schemas.openxmlformats.org/officeDocument/2006/relationships/hyperlink" Target="https://openknowledge.worldbank.org/bitstream/handle/10986/35506/Principles-for-Effective-Insolvency-and-Creditor-and-Debtor-Regimes.pdf?sequence=1&amp;isAllowed=y" TargetMode="External"/><Relationship Id="rId1" Type="http://schemas.openxmlformats.org/officeDocument/2006/relationships/hyperlink" Target="https://uncitral.un.org/en/texts/insolvency/legislativeguides/insolvency_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646ED-BE33-4A90-9E89-82561E21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11</Pages>
  <Words>3674</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Martha Ramtahal</cp:lastModifiedBy>
  <cp:revision>14</cp:revision>
  <cp:lastPrinted>2019-09-04T15:45:00Z</cp:lastPrinted>
  <dcterms:created xsi:type="dcterms:W3CDTF">2021-10-11T18:42:00Z</dcterms:created>
  <dcterms:modified xsi:type="dcterms:W3CDTF">2021-10-15T12:47:00Z</dcterms:modified>
</cp:coreProperties>
</file>