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0F5EFA3E" w:rsidR="004E14A8" w:rsidRPr="00BF1C6F" w:rsidRDefault="004E14A8" w:rsidP="005F100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A33F85" w:rsidRDefault="00B736DF" w:rsidP="009E1027">
      <w:pPr>
        <w:pStyle w:val="ListParagraph"/>
        <w:numPr>
          <w:ilvl w:val="0"/>
          <w:numId w:val="12"/>
        </w:numPr>
        <w:ind w:left="426"/>
        <w:jc w:val="both"/>
        <w:rPr>
          <w:rFonts w:ascii="Arial" w:hAnsi="Arial" w:cs="Arial"/>
          <w:sz w:val="22"/>
          <w:szCs w:val="22"/>
          <w:highlight w:val="yellow"/>
          <w:lang w:val="en-GB"/>
        </w:rPr>
      </w:pPr>
      <w:r w:rsidRPr="00A33F85">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C7651D" w:rsidRDefault="00161F1B" w:rsidP="009E1027">
      <w:pPr>
        <w:pStyle w:val="ListParagraph"/>
        <w:numPr>
          <w:ilvl w:val="0"/>
          <w:numId w:val="13"/>
        </w:numPr>
        <w:ind w:left="426"/>
        <w:jc w:val="both"/>
        <w:rPr>
          <w:rFonts w:ascii="Arial" w:hAnsi="Arial" w:cs="Arial"/>
          <w:sz w:val="22"/>
          <w:szCs w:val="22"/>
          <w:highlight w:val="yellow"/>
          <w:lang w:val="en-GB"/>
        </w:rPr>
      </w:pPr>
      <w:r w:rsidRPr="00C7651D">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570DB7" w:rsidRDefault="009E2E27" w:rsidP="008031A7">
      <w:pPr>
        <w:pStyle w:val="ListParagraph"/>
        <w:numPr>
          <w:ilvl w:val="0"/>
          <w:numId w:val="14"/>
        </w:numPr>
        <w:ind w:left="426"/>
        <w:jc w:val="both"/>
        <w:rPr>
          <w:rFonts w:ascii="Arial" w:hAnsi="Arial" w:cs="Arial"/>
          <w:sz w:val="22"/>
          <w:szCs w:val="22"/>
          <w:highlight w:val="yellow"/>
          <w:lang w:val="en-GB"/>
        </w:rPr>
      </w:pPr>
      <w:r w:rsidRPr="00570DB7">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387451" w:rsidRDefault="009E2E27" w:rsidP="008031A7">
      <w:pPr>
        <w:pStyle w:val="ListParagraph"/>
        <w:numPr>
          <w:ilvl w:val="0"/>
          <w:numId w:val="15"/>
        </w:numPr>
        <w:ind w:left="426"/>
        <w:jc w:val="both"/>
        <w:rPr>
          <w:rFonts w:ascii="Arial" w:hAnsi="Arial" w:cs="Arial"/>
          <w:sz w:val="22"/>
          <w:szCs w:val="22"/>
          <w:highlight w:val="yellow"/>
          <w:lang w:val="en-GB"/>
        </w:rPr>
      </w:pPr>
      <w:r w:rsidRPr="00387451">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FB1453" w:rsidRDefault="00A235B7" w:rsidP="006D01C2">
      <w:pPr>
        <w:pStyle w:val="ListParagraph"/>
        <w:numPr>
          <w:ilvl w:val="0"/>
          <w:numId w:val="16"/>
        </w:numPr>
        <w:ind w:left="426"/>
        <w:jc w:val="both"/>
        <w:rPr>
          <w:rFonts w:ascii="Arial" w:hAnsi="Arial" w:cs="Arial"/>
          <w:sz w:val="22"/>
          <w:szCs w:val="22"/>
          <w:highlight w:val="yellow"/>
          <w:lang w:val="en-GB"/>
        </w:rPr>
      </w:pPr>
      <w:r w:rsidRPr="00FB1453">
        <w:rPr>
          <w:rFonts w:ascii="Arial" w:hAnsi="Arial" w:cs="Arial"/>
          <w:sz w:val="22"/>
          <w:szCs w:val="22"/>
          <w:highlight w:val="yellow"/>
          <w:lang w:val="en-GB"/>
        </w:rPr>
        <w:t>The statement</w:t>
      </w:r>
      <w:r w:rsidR="0037465A" w:rsidRPr="00FB1453">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90CCC"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B90CCC">
        <w:rPr>
          <w:rFonts w:ascii="Arial" w:eastAsiaTheme="minorHAnsi" w:hAnsi="Arial" w:cs="Arial"/>
          <w:sz w:val="22"/>
          <w:szCs w:val="22"/>
          <w:highlight w:val="yellow"/>
          <w:lang w:val="en-GB"/>
        </w:rPr>
        <w:t>Public International Law</w:t>
      </w:r>
      <w:r w:rsidR="00991428" w:rsidRPr="00B90CCC">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F86FD5" w:rsidRDefault="004D1A5A" w:rsidP="006D01C2">
      <w:pPr>
        <w:pStyle w:val="ListParagraph"/>
        <w:numPr>
          <w:ilvl w:val="0"/>
          <w:numId w:val="18"/>
        </w:numPr>
        <w:ind w:left="426"/>
        <w:jc w:val="both"/>
        <w:rPr>
          <w:rFonts w:ascii="Arial" w:hAnsi="Arial" w:cs="Arial"/>
          <w:sz w:val="22"/>
          <w:szCs w:val="22"/>
          <w:highlight w:val="yellow"/>
          <w:lang w:val="en-GB"/>
        </w:rPr>
      </w:pPr>
      <w:r w:rsidRPr="00F86FD5">
        <w:rPr>
          <w:rFonts w:ascii="Arial" w:hAnsi="Arial" w:cs="Arial"/>
          <w:sz w:val="22"/>
          <w:szCs w:val="22"/>
          <w:highlight w:val="yellow"/>
          <w:lang w:val="en-GB"/>
        </w:rPr>
        <w:t>UNCITRAL Model Law on Cross-border Insolvency (1997)</w:t>
      </w:r>
      <w:r w:rsidR="00912C79" w:rsidRPr="00F86FD5">
        <w:rPr>
          <w:rFonts w:ascii="Arial" w:hAnsi="Arial" w:cs="Arial"/>
          <w:sz w:val="22"/>
          <w:szCs w:val="22"/>
          <w:highlight w:val="yellow"/>
          <w:lang w:val="en-GB"/>
        </w:rPr>
        <w:t>.</w:t>
      </w:r>
      <w:r w:rsidRPr="00F86FD5">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12D54"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B12D54">
        <w:rPr>
          <w:rFonts w:ascii="Arial" w:hAnsi="Arial" w:cs="Arial"/>
          <w:sz w:val="22"/>
          <w:szCs w:val="22"/>
          <w:highlight w:val="yellow"/>
          <w:lang w:val="en-GB"/>
        </w:rPr>
        <w:t>Havana Convention on Private International Law (1928)</w:t>
      </w:r>
      <w:r w:rsidRPr="00B12D54">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C001DE" w:rsidRDefault="0082483F" w:rsidP="006D01C2">
      <w:pPr>
        <w:pStyle w:val="ListParagraph"/>
        <w:numPr>
          <w:ilvl w:val="0"/>
          <w:numId w:val="20"/>
        </w:numPr>
        <w:ind w:left="426"/>
        <w:jc w:val="both"/>
        <w:rPr>
          <w:rFonts w:ascii="Arial" w:hAnsi="Arial" w:cs="Arial"/>
          <w:sz w:val="22"/>
          <w:szCs w:val="22"/>
          <w:highlight w:val="yellow"/>
          <w:lang w:val="en-GB"/>
        </w:rPr>
      </w:pPr>
      <w:r w:rsidRPr="00C001DE">
        <w:rPr>
          <w:rFonts w:ascii="Arial" w:hAnsi="Arial" w:cs="Arial"/>
          <w:sz w:val="22"/>
          <w:szCs w:val="22"/>
          <w:highlight w:val="yellow"/>
          <w:lang w:val="en-GB"/>
        </w:rPr>
        <w:lastRenderedPageBreak/>
        <w:t>A centralised insolvency register of insolvency proceedings opened in member states</w:t>
      </w:r>
      <w:r w:rsidR="003A2F8D" w:rsidRPr="00C001DE">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1E0017"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1E0017">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57C1C7EB" w:rsidR="009B07AD" w:rsidRDefault="00EC03E9" w:rsidP="00EC03E9">
      <w:pPr>
        <w:jc w:val="both"/>
        <w:rPr>
          <w:rFonts w:ascii="Arial" w:hAnsi="Arial" w:cs="Arial"/>
          <w:color w:val="7B7B7B" w:themeColor="accent3" w:themeShade="BF"/>
          <w:sz w:val="22"/>
          <w:szCs w:val="22"/>
          <w:lang w:val="en-MY"/>
        </w:rPr>
      </w:pPr>
      <w:r w:rsidRPr="00EC03E9">
        <w:rPr>
          <w:rFonts w:ascii="Arial" w:hAnsi="Arial" w:cs="Arial"/>
          <w:color w:val="7B7B7B" w:themeColor="accent3" w:themeShade="BF"/>
          <w:sz w:val="22"/>
          <w:szCs w:val="22"/>
          <w:lang w:val="en-MY"/>
        </w:rPr>
        <w:t>International insolvency law is also known as cross-border insolvency law. It is the area of the law that is concerned with the insolvency of a debtor with cross-border presence i.e. connections with more than one country or jurisdiction</w:t>
      </w:r>
      <w:r w:rsidR="00936982">
        <w:rPr>
          <w:rFonts w:ascii="Arial" w:hAnsi="Arial" w:cs="Arial"/>
          <w:color w:val="7B7B7B" w:themeColor="accent3" w:themeShade="BF"/>
          <w:sz w:val="22"/>
          <w:szCs w:val="22"/>
          <w:lang w:val="en-MY"/>
        </w:rPr>
        <w:t>.</w:t>
      </w:r>
    </w:p>
    <w:p w14:paraId="2AA997D6" w14:textId="6E933408" w:rsidR="00936982" w:rsidRDefault="00936982" w:rsidP="00EC03E9">
      <w:pPr>
        <w:jc w:val="both"/>
        <w:rPr>
          <w:rFonts w:ascii="Arial" w:hAnsi="Arial" w:cs="Arial"/>
          <w:color w:val="7B7B7B" w:themeColor="accent3" w:themeShade="BF"/>
          <w:sz w:val="22"/>
          <w:szCs w:val="22"/>
          <w:lang w:val="en-MY"/>
        </w:rPr>
      </w:pPr>
    </w:p>
    <w:p w14:paraId="20400008" w14:textId="42401B3A" w:rsidR="00936982" w:rsidRDefault="003D0989" w:rsidP="00EC03E9">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According to </w:t>
      </w:r>
      <w:r w:rsidR="00936982">
        <w:rPr>
          <w:rFonts w:ascii="Arial" w:hAnsi="Arial" w:cs="Arial"/>
          <w:color w:val="7B7B7B" w:themeColor="accent3" w:themeShade="BF"/>
          <w:sz w:val="22"/>
          <w:szCs w:val="22"/>
          <w:lang w:val="en-MY"/>
        </w:rPr>
        <w:t>Wessels</w:t>
      </w:r>
      <w:r w:rsidR="0068575E">
        <w:rPr>
          <w:rFonts w:ascii="Arial" w:hAnsi="Arial" w:cs="Arial"/>
          <w:color w:val="7B7B7B" w:themeColor="accent3" w:themeShade="BF"/>
          <w:sz w:val="22"/>
          <w:szCs w:val="22"/>
          <w:lang w:val="en-MY"/>
        </w:rPr>
        <w:t>,</w:t>
      </w:r>
      <w:r w:rsidR="0068575E">
        <w:rPr>
          <w:rStyle w:val="FootnoteReference"/>
          <w:rFonts w:ascii="Arial" w:hAnsi="Arial" w:cs="Arial"/>
          <w:color w:val="7B7B7B" w:themeColor="accent3" w:themeShade="BF"/>
          <w:sz w:val="22"/>
          <w:szCs w:val="22"/>
          <w:lang w:val="en-MY"/>
        </w:rPr>
        <w:footnoteReference w:id="1"/>
      </w:r>
      <w:r>
        <w:rPr>
          <w:rFonts w:ascii="Arial" w:hAnsi="Arial" w:cs="Arial"/>
          <w:color w:val="7B7B7B" w:themeColor="accent3" w:themeShade="BF"/>
          <w:sz w:val="22"/>
          <w:szCs w:val="22"/>
          <w:lang w:val="en-MY"/>
        </w:rPr>
        <w:t xml:space="preserve"> </w:t>
      </w:r>
      <w:r w:rsidR="00936982">
        <w:rPr>
          <w:rFonts w:ascii="Arial" w:hAnsi="Arial" w:cs="Arial"/>
          <w:color w:val="7B7B7B" w:themeColor="accent3" w:themeShade="BF"/>
          <w:sz w:val="22"/>
          <w:szCs w:val="22"/>
          <w:lang w:val="en-MY"/>
        </w:rPr>
        <w:t>international insolvency law</w:t>
      </w:r>
      <w:r>
        <w:rPr>
          <w:rFonts w:ascii="Arial" w:hAnsi="Arial" w:cs="Arial"/>
          <w:color w:val="7B7B7B" w:themeColor="accent3" w:themeShade="BF"/>
          <w:sz w:val="22"/>
          <w:szCs w:val="22"/>
          <w:lang w:val="en-MY"/>
        </w:rPr>
        <w:t xml:space="preserve"> is</w:t>
      </w:r>
      <w:r w:rsidR="00936982">
        <w:rPr>
          <w:rFonts w:ascii="Arial" w:hAnsi="Arial" w:cs="Arial"/>
          <w:color w:val="7B7B7B" w:themeColor="accent3" w:themeShade="BF"/>
          <w:sz w:val="22"/>
          <w:szCs w:val="22"/>
          <w:lang w:val="en-MY"/>
        </w:rPr>
        <w:t xml:space="preserve"> that part of the law that </w:t>
      </w:r>
      <w:r w:rsidR="00936982" w:rsidRPr="003D0989">
        <w:rPr>
          <w:rFonts w:ascii="Arial" w:hAnsi="Arial" w:cs="Arial"/>
          <w:i/>
          <w:color w:val="7B7B7B" w:themeColor="accent3" w:themeShade="BF"/>
          <w:sz w:val="22"/>
          <w:szCs w:val="22"/>
          <w:lang w:val="en-MY"/>
        </w:rPr>
        <w:t>“</w:t>
      </w:r>
      <w:r w:rsidR="00632214">
        <w:rPr>
          <w:rFonts w:ascii="Arial" w:hAnsi="Arial" w:cs="Arial"/>
          <w:i/>
          <w:color w:val="7B7B7B" w:themeColor="accent3" w:themeShade="BF"/>
          <w:sz w:val="22"/>
          <w:szCs w:val="22"/>
          <w:lang w:val="en-MY"/>
        </w:rPr>
        <w:t>[</w:t>
      </w:r>
      <w:r w:rsidR="00936982" w:rsidRPr="003D0989">
        <w:rPr>
          <w:rFonts w:ascii="Arial" w:hAnsi="Arial" w:cs="Arial"/>
          <w:i/>
          <w:color w:val="7B7B7B" w:themeColor="accent3" w:themeShade="BF"/>
          <w:sz w:val="22"/>
          <w:szCs w:val="22"/>
          <w:lang w:val="en-MY"/>
        </w:rPr>
        <w:t>i</w:t>
      </w:r>
      <w:r w:rsidR="00632214">
        <w:rPr>
          <w:rFonts w:ascii="Arial" w:hAnsi="Arial" w:cs="Arial"/>
          <w:i/>
          <w:color w:val="7B7B7B" w:themeColor="accent3" w:themeShade="BF"/>
          <w:sz w:val="22"/>
          <w:szCs w:val="22"/>
          <w:lang w:val="en-MY"/>
        </w:rPr>
        <w:t>]</w:t>
      </w:r>
      <w:r w:rsidR="00936982" w:rsidRPr="003D0989">
        <w:rPr>
          <w:rFonts w:ascii="Arial" w:hAnsi="Arial" w:cs="Arial"/>
          <w:i/>
          <w:color w:val="7B7B7B" w:themeColor="accent3" w:themeShade="BF"/>
          <w:sz w:val="22"/>
          <w:szCs w:val="22"/>
          <w:lang w:val="en-MY"/>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5EE0AC42" w14:textId="5CF0454B" w:rsidR="00556BED" w:rsidRDefault="00556BED" w:rsidP="00EC03E9">
      <w:pPr>
        <w:jc w:val="both"/>
        <w:rPr>
          <w:rFonts w:ascii="Arial" w:hAnsi="Arial" w:cs="Arial"/>
          <w:color w:val="7B7B7B" w:themeColor="accent3" w:themeShade="BF"/>
          <w:sz w:val="22"/>
          <w:szCs w:val="22"/>
          <w:lang w:val="en-MY"/>
        </w:rPr>
      </w:pPr>
    </w:p>
    <w:p w14:paraId="089F2CF6" w14:textId="2821512E" w:rsidR="00556BED" w:rsidRPr="003D0989" w:rsidRDefault="003D0989" w:rsidP="00EC03E9">
      <w:pPr>
        <w:jc w:val="both"/>
        <w:rPr>
          <w:rFonts w:ascii="Arial" w:hAnsi="Arial" w:cs="Arial"/>
          <w:i/>
          <w:sz w:val="22"/>
          <w:szCs w:val="22"/>
          <w:lang w:val="en-GB"/>
        </w:rPr>
      </w:pPr>
      <w:r>
        <w:rPr>
          <w:rFonts w:ascii="Arial" w:hAnsi="Arial" w:cs="Arial"/>
          <w:color w:val="7B7B7B" w:themeColor="accent3" w:themeShade="BF"/>
          <w:sz w:val="22"/>
          <w:szCs w:val="22"/>
          <w:lang w:val="en-MY"/>
        </w:rPr>
        <w:t>In defining international insolvency law</w:t>
      </w:r>
      <w:r w:rsidR="0068575E">
        <w:rPr>
          <w:rFonts w:ascii="Arial" w:hAnsi="Arial" w:cs="Arial"/>
          <w:color w:val="7B7B7B" w:themeColor="accent3" w:themeShade="BF"/>
          <w:sz w:val="22"/>
          <w:szCs w:val="22"/>
          <w:lang w:val="en-MY"/>
        </w:rPr>
        <w:t>,</w:t>
      </w:r>
      <w:r>
        <w:rPr>
          <w:rFonts w:ascii="Arial" w:hAnsi="Arial" w:cs="Arial"/>
          <w:color w:val="7B7B7B" w:themeColor="accent3" w:themeShade="BF"/>
          <w:sz w:val="22"/>
          <w:szCs w:val="22"/>
          <w:lang w:val="en-MY"/>
        </w:rPr>
        <w:t xml:space="preserve"> </w:t>
      </w:r>
      <w:r w:rsidR="0068575E">
        <w:rPr>
          <w:rFonts w:ascii="Arial" w:hAnsi="Arial" w:cs="Arial"/>
          <w:color w:val="7B7B7B" w:themeColor="accent3" w:themeShade="BF"/>
          <w:sz w:val="22"/>
          <w:szCs w:val="22"/>
          <w:lang w:val="en-MY"/>
        </w:rPr>
        <w:t>Wessels</w:t>
      </w:r>
      <w:r w:rsidR="0068575E">
        <w:rPr>
          <w:rStyle w:val="FootnoteReference"/>
          <w:rFonts w:ascii="Arial" w:hAnsi="Arial" w:cs="Arial"/>
          <w:color w:val="7B7B7B" w:themeColor="accent3" w:themeShade="BF"/>
          <w:sz w:val="22"/>
          <w:szCs w:val="22"/>
          <w:lang w:val="en-MY"/>
        </w:rPr>
        <w:footnoteReference w:id="2"/>
      </w:r>
      <w:r w:rsidR="0068575E">
        <w:rPr>
          <w:rFonts w:ascii="Arial" w:hAnsi="Arial" w:cs="Arial"/>
          <w:color w:val="7B7B7B" w:themeColor="accent3" w:themeShade="BF"/>
          <w:sz w:val="22"/>
          <w:szCs w:val="22"/>
          <w:lang w:val="en-MY"/>
        </w:rPr>
        <w:t xml:space="preserve"> </w:t>
      </w:r>
      <w:r>
        <w:rPr>
          <w:rFonts w:ascii="Arial" w:hAnsi="Arial" w:cs="Arial"/>
          <w:color w:val="7B7B7B" w:themeColor="accent3" w:themeShade="BF"/>
          <w:sz w:val="22"/>
          <w:szCs w:val="22"/>
          <w:lang w:val="en-MY"/>
        </w:rPr>
        <w:t xml:space="preserve">also refers to definitions of other commentators and proposes that </w:t>
      </w:r>
      <w:r w:rsidRPr="003D0989">
        <w:rPr>
          <w:rFonts w:ascii="Arial" w:hAnsi="Arial" w:cs="Arial"/>
          <w:i/>
          <w:color w:val="7B7B7B" w:themeColor="accent3" w:themeShade="BF"/>
          <w:sz w:val="22"/>
          <w:szCs w:val="22"/>
          <w:lang w:val="en-MY"/>
        </w:rPr>
        <w:t>““international insolvency” or “cross-border insolvency” should be considered as a situation” …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p>
    <w:p w14:paraId="22C610C9" w14:textId="19B6C248" w:rsidR="00DE03AF" w:rsidRDefault="00DE03AF" w:rsidP="00C053F7">
      <w:pPr>
        <w:jc w:val="both"/>
        <w:rPr>
          <w:rFonts w:ascii="Arial" w:hAnsi="Arial" w:cs="Arial"/>
          <w:sz w:val="22"/>
          <w:szCs w:val="22"/>
          <w:lang w:val="en-GB"/>
        </w:rPr>
      </w:pPr>
    </w:p>
    <w:p w14:paraId="1347F3E3" w14:textId="013C10B4" w:rsidR="0068575E" w:rsidRDefault="0068575E" w:rsidP="00C053F7">
      <w:pPr>
        <w:jc w:val="both"/>
        <w:rPr>
          <w:rFonts w:ascii="Arial" w:hAnsi="Arial" w:cs="Arial"/>
          <w:sz w:val="22"/>
          <w:szCs w:val="22"/>
          <w:lang w:val="en-GB"/>
        </w:rPr>
      </w:pPr>
    </w:p>
    <w:p w14:paraId="78597A2A" w14:textId="77777777" w:rsidR="0068575E" w:rsidRPr="00BF1C6F" w:rsidRDefault="0068575E"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lastRenderedPageBreak/>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4C78FD98" w14:textId="26B5E06E" w:rsidR="00311989" w:rsidRDefault="00311989" w:rsidP="003119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Universality in cross-border insolvency is the concept that there should only be a single insolvency proceeding against a debtor. This single insolvency proceeding should deal with all of the debtor’s assets and liabilities, that is, assets and liabilities </w:t>
      </w:r>
      <w:r w:rsidR="00436973">
        <w:rPr>
          <w:rFonts w:ascii="Arial" w:hAnsi="Arial" w:cs="Arial"/>
          <w:color w:val="7B7B7B" w:themeColor="accent3" w:themeShade="BF"/>
          <w:sz w:val="22"/>
          <w:szCs w:val="22"/>
          <w:lang w:val="en-GB"/>
        </w:rPr>
        <w:t xml:space="preserve">that are </w:t>
      </w:r>
      <w:r>
        <w:rPr>
          <w:rFonts w:ascii="Arial" w:hAnsi="Arial" w:cs="Arial"/>
          <w:color w:val="7B7B7B" w:themeColor="accent3" w:themeShade="BF"/>
          <w:sz w:val="22"/>
          <w:szCs w:val="22"/>
          <w:lang w:val="en-GB"/>
        </w:rPr>
        <w:t>within the State in which the insolvency proceeding is commenced as well as assets and liabilities</w:t>
      </w:r>
      <w:r w:rsidR="00436973">
        <w:rPr>
          <w:rFonts w:ascii="Arial" w:hAnsi="Arial" w:cs="Arial"/>
          <w:color w:val="7B7B7B" w:themeColor="accent3" w:themeShade="BF"/>
          <w:sz w:val="22"/>
          <w:szCs w:val="22"/>
          <w:lang w:val="en-GB"/>
        </w:rPr>
        <w:t xml:space="preserve"> that are</w:t>
      </w:r>
      <w:r>
        <w:rPr>
          <w:rFonts w:ascii="Arial" w:hAnsi="Arial" w:cs="Arial"/>
          <w:color w:val="7B7B7B" w:themeColor="accent3" w:themeShade="BF"/>
          <w:sz w:val="22"/>
          <w:szCs w:val="22"/>
          <w:lang w:val="en-GB"/>
        </w:rPr>
        <w:t xml:space="preserve"> in other States.</w:t>
      </w:r>
      <w:r w:rsidR="00FC4CFA">
        <w:rPr>
          <w:rFonts w:ascii="Arial" w:hAnsi="Arial" w:cs="Arial"/>
          <w:color w:val="7B7B7B" w:themeColor="accent3" w:themeShade="BF"/>
          <w:sz w:val="22"/>
          <w:szCs w:val="22"/>
          <w:lang w:val="en-GB"/>
        </w:rPr>
        <w:t xml:space="preserve"> </w:t>
      </w:r>
      <w:r w:rsidR="00436973">
        <w:rPr>
          <w:rFonts w:ascii="Arial" w:hAnsi="Arial" w:cs="Arial"/>
          <w:color w:val="7B7B7B" w:themeColor="accent3" w:themeShade="BF"/>
          <w:sz w:val="22"/>
          <w:szCs w:val="22"/>
          <w:lang w:val="en-GB"/>
        </w:rPr>
        <w:t xml:space="preserve">The </w:t>
      </w:r>
      <w:r w:rsidR="0068575E">
        <w:rPr>
          <w:rFonts w:ascii="Arial" w:hAnsi="Arial" w:cs="Arial"/>
          <w:color w:val="7B7B7B" w:themeColor="accent3" w:themeShade="BF"/>
          <w:sz w:val="22"/>
          <w:szCs w:val="22"/>
          <w:lang w:val="en-GB"/>
        </w:rPr>
        <w:t>insolvency representative</w:t>
      </w:r>
      <w:r w:rsidR="001B34CD">
        <w:rPr>
          <w:rFonts w:ascii="Arial" w:hAnsi="Arial" w:cs="Arial"/>
          <w:color w:val="7B7B7B" w:themeColor="accent3" w:themeShade="BF"/>
          <w:sz w:val="22"/>
          <w:szCs w:val="22"/>
          <w:lang w:val="en-GB"/>
        </w:rPr>
        <w:t xml:space="preserve"> or other officeholder</w:t>
      </w:r>
      <w:r w:rsidR="00436973">
        <w:rPr>
          <w:rFonts w:ascii="Arial" w:hAnsi="Arial" w:cs="Arial"/>
          <w:color w:val="7B7B7B" w:themeColor="accent3" w:themeShade="BF"/>
          <w:sz w:val="22"/>
          <w:szCs w:val="22"/>
          <w:lang w:val="en-GB"/>
        </w:rPr>
        <w:t xml:space="preserve"> appointed in this single </w:t>
      </w:r>
      <w:r w:rsidR="00FC4CFA">
        <w:rPr>
          <w:rFonts w:ascii="Arial" w:hAnsi="Arial" w:cs="Arial"/>
          <w:color w:val="7B7B7B" w:themeColor="accent3" w:themeShade="BF"/>
          <w:sz w:val="22"/>
          <w:szCs w:val="22"/>
          <w:lang w:val="en-GB"/>
        </w:rPr>
        <w:t xml:space="preserve">insolvency proceeding should have the power </w:t>
      </w:r>
      <w:r w:rsidR="00436973">
        <w:rPr>
          <w:rFonts w:ascii="Arial" w:hAnsi="Arial" w:cs="Arial"/>
          <w:color w:val="7B7B7B" w:themeColor="accent3" w:themeShade="BF"/>
          <w:sz w:val="22"/>
          <w:szCs w:val="22"/>
          <w:lang w:val="en-GB"/>
        </w:rPr>
        <w:t xml:space="preserve">to take control </w:t>
      </w:r>
      <w:r w:rsidR="0068575E">
        <w:rPr>
          <w:rFonts w:ascii="Arial" w:hAnsi="Arial" w:cs="Arial"/>
          <w:color w:val="7B7B7B" w:themeColor="accent3" w:themeShade="BF"/>
          <w:sz w:val="22"/>
          <w:szCs w:val="22"/>
          <w:lang w:val="en-GB"/>
        </w:rPr>
        <w:t xml:space="preserve">of </w:t>
      </w:r>
      <w:r w:rsidR="00436973">
        <w:rPr>
          <w:rFonts w:ascii="Arial" w:hAnsi="Arial" w:cs="Arial"/>
          <w:color w:val="7B7B7B" w:themeColor="accent3" w:themeShade="BF"/>
          <w:sz w:val="22"/>
          <w:szCs w:val="22"/>
          <w:lang w:val="en-GB"/>
        </w:rPr>
        <w:t>and administer all of the debtor’s assets</w:t>
      </w:r>
      <w:r w:rsidR="00FC4CFA">
        <w:rPr>
          <w:rFonts w:ascii="Arial" w:hAnsi="Arial" w:cs="Arial"/>
          <w:color w:val="7B7B7B" w:themeColor="accent3" w:themeShade="BF"/>
          <w:sz w:val="22"/>
          <w:szCs w:val="22"/>
          <w:lang w:val="en-GB"/>
        </w:rPr>
        <w:t xml:space="preserve"> </w:t>
      </w:r>
      <w:r w:rsidR="0068575E">
        <w:rPr>
          <w:rFonts w:ascii="Arial" w:hAnsi="Arial" w:cs="Arial"/>
          <w:color w:val="7B7B7B" w:themeColor="accent3" w:themeShade="BF"/>
          <w:sz w:val="22"/>
          <w:szCs w:val="22"/>
          <w:lang w:val="en-GB"/>
        </w:rPr>
        <w:t xml:space="preserve">located </w:t>
      </w:r>
      <w:r w:rsidR="00FC4CFA">
        <w:rPr>
          <w:rFonts w:ascii="Arial" w:hAnsi="Arial" w:cs="Arial"/>
          <w:color w:val="7B7B7B" w:themeColor="accent3" w:themeShade="BF"/>
          <w:sz w:val="22"/>
          <w:szCs w:val="22"/>
          <w:lang w:val="en-GB"/>
        </w:rPr>
        <w:t>around the world</w:t>
      </w:r>
      <w:r w:rsidR="00436973">
        <w:rPr>
          <w:rFonts w:ascii="Arial" w:hAnsi="Arial" w:cs="Arial"/>
          <w:color w:val="7B7B7B" w:themeColor="accent3" w:themeShade="BF"/>
          <w:sz w:val="22"/>
          <w:szCs w:val="22"/>
          <w:lang w:val="en-GB"/>
        </w:rPr>
        <w:t xml:space="preserve">. All of the debtor’s creditors </w:t>
      </w:r>
      <w:r w:rsidR="00FC4CFA">
        <w:rPr>
          <w:rFonts w:ascii="Arial" w:hAnsi="Arial" w:cs="Arial"/>
          <w:color w:val="7B7B7B" w:themeColor="accent3" w:themeShade="BF"/>
          <w:sz w:val="22"/>
          <w:szCs w:val="22"/>
          <w:lang w:val="en-GB"/>
        </w:rPr>
        <w:t>around the world should have the right to participate in the insolvency proceeding and claims of creditors in the same category (</w:t>
      </w:r>
      <w:r w:rsidR="0068575E">
        <w:rPr>
          <w:rFonts w:ascii="Arial" w:hAnsi="Arial" w:cs="Arial"/>
          <w:color w:val="7B7B7B" w:themeColor="accent3" w:themeShade="BF"/>
          <w:sz w:val="22"/>
          <w:szCs w:val="22"/>
          <w:lang w:val="en-GB"/>
        </w:rPr>
        <w:t xml:space="preserve">such as </w:t>
      </w:r>
      <w:r w:rsidR="00FC4CFA">
        <w:rPr>
          <w:rFonts w:ascii="Arial" w:hAnsi="Arial" w:cs="Arial"/>
          <w:color w:val="7B7B7B" w:themeColor="accent3" w:themeShade="BF"/>
          <w:sz w:val="22"/>
          <w:szCs w:val="22"/>
          <w:lang w:val="en-GB"/>
        </w:rPr>
        <w:t xml:space="preserve">secured, unsecured and preferred) should be treated equally. </w:t>
      </w:r>
      <w:r w:rsidR="0099325B">
        <w:rPr>
          <w:rFonts w:ascii="Arial" w:hAnsi="Arial" w:cs="Arial"/>
          <w:color w:val="7B7B7B" w:themeColor="accent3" w:themeShade="BF"/>
          <w:sz w:val="22"/>
          <w:szCs w:val="22"/>
          <w:lang w:val="en-GB"/>
        </w:rPr>
        <w:t xml:space="preserve">Any order or decision made in this single insolvency proceeding will have an effect on the </w:t>
      </w:r>
      <w:r w:rsidR="001B34CD">
        <w:rPr>
          <w:rFonts w:ascii="Arial" w:hAnsi="Arial" w:cs="Arial"/>
          <w:color w:val="7B7B7B" w:themeColor="accent3" w:themeShade="BF"/>
          <w:sz w:val="22"/>
          <w:szCs w:val="22"/>
          <w:lang w:val="en-GB"/>
        </w:rPr>
        <w:t xml:space="preserve">debtor’s </w:t>
      </w:r>
      <w:r w:rsidR="0099325B">
        <w:rPr>
          <w:rFonts w:ascii="Arial" w:hAnsi="Arial" w:cs="Arial"/>
          <w:color w:val="7B7B7B" w:themeColor="accent3" w:themeShade="BF"/>
          <w:sz w:val="22"/>
          <w:szCs w:val="22"/>
          <w:lang w:val="en-GB"/>
        </w:rPr>
        <w:t>assets, liabilities and creditors around the world.</w:t>
      </w:r>
    </w:p>
    <w:p w14:paraId="03C6EF22" w14:textId="77777777" w:rsidR="00311989" w:rsidRDefault="00311989" w:rsidP="00311989">
      <w:pPr>
        <w:jc w:val="both"/>
        <w:rPr>
          <w:rFonts w:ascii="Arial" w:hAnsi="Arial" w:cs="Arial"/>
          <w:color w:val="7B7B7B" w:themeColor="accent3" w:themeShade="BF"/>
          <w:sz w:val="22"/>
          <w:szCs w:val="22"/>
          <w:lang w:val="en-GB"/>
        </w:rPr>
      </w:pPr>
    </w:p>
    <w:p w14:paraId="2F57801B" w14:textId="658338BD" w:rsidR="009B07AD" w:rsidRPr="00BF1C6F" w:rsidRDefault="003A6F38" w:rsidP="00311989">
      <w:pPr>
        <w:jc w:val="both"/>
        <w:rPr>
          <w:rFonts w:ascii="Arial" w:hAnsi="Arial" w:cs="Arial"/>
          <w:sz w:val="22"/>
          <w:szCs w:val="22"/>
          <w:lang w:val="en-GB"/>
        </w:rPr>
      </w:pPr>
      <w:r>
        <w:rPr>
          <w:rFonts w:ascii="Arial" w:hAnsi="Arial" w:cs="Arial"/>
          <w:color w:val="7B7B7B" w:themeColor="accent3" w:themeShade="BF"/>
          <w:sz w:val="22"/>
          <w:szCs w:val="22"/>
          <w:lang w:val="en-GB"/>
        </w:rPr>
        <w:t>On the other hand, t</w:t>
      </w:r>
      <w:r w:rsidR="00311989">
        <w:rPr>
          <w:rFonts w:ascii="Arial" w:hAnsi="Arial" w:cs="Arial"/>
          <w:color w:val="7B7B7B" w:themeColor="accent3" w:themeShade="BF"/>
          <w:sz w:val="22"/>
          <w:szCs w:val="22"/>
          <w:lang w:val="en-GB"/>
        </w:rPr>
        <w:t xml:space="preserve">erritoriality in cross-border insolvency is the concept that insolvency proceedings </w:t>
      </w:r>
      <w:r w:rsidR="00436973">
        <w:rPr>
          <w:rFonts w:ascii="Arial" w:hAnsi="Arial" w:cs="Arial"/>
          <w:color w:val="7B7B7B" w:themeColor="accent3" w:themeShade="BF"/>
          <w:sz w:val="22"/>
          <w:szCs w:val="22"/>
          <w:lang w:val="en-GB"/>
        </w:rPr>
        <w:t xml:space="preserve">may be commenced </w:t>
      </w:r>
      <w:r w:rsidR="00311989">
        <w:rPr>
          <w:rFonts w:ascii="Arial" w:hAnsi="Arial" w:cs="Arial"/>
          <w:color w:val="7B7B7B" w:themeColor="accent3" w:themeShade="BF"/>
          <w:sz w:val="22"/>
          <w:szCs w:val="22"/>
          <w:lang w:val="en-GB"/>
        </w:rPr>
        <w:t>against a debtor</w:t>
      </w:r>
      <w:r w:rsidR="00436973">
        <w:rPr>
          <w:rFonts w:ascii="Arial" w:hAnsi="Arial" w:cs="Arial"/>
          <w:color w:val="7B7B7B" w:themeColor="accent3" w:themeShade="BF"/>
          <w:sz w:val="22"/>
          <w:szCs w:val="22"/>
          <w:lang w:val="en-GB"/>
        </w:rPr>
        <w:t xml:space="preserve"> in </w:t>
      </w:r>
      <w:r w:rsidR="001B34CD">
        <w:rPr>
          <w:rFonts w:ascii="Arial" w:hAnsi="Arial" w:cs="Arial"/>
          <w:color w:val="7B7B7B" w:themeColor="accent3" w:themeShade="BF"/>
          <w:sz w:val="22"/>
          <w:szCs w:val="22"/>
          <w:lang w:val="en-GB"/>
        </w:rPr>
        <w:t>every</w:t>
      </w:r>
      <w:r w:rsidR="00436973">
        <w:rPr>
          <w:rFonts w:ascii="Arial" w:hAnsi="Arial" w:cs="Arial"/>
          <w:color w:val="7B7B7B" w:themeColor="accent3" w:themeShade="BF"/>
          <w:sz w:val="22"/>
          <w:szCs w:val="22"/>
          <w:lang w:val="en-GB"/>
        </w:rPr>
        <w:t xml:space="preserve"> State</w:t>
      </w:r>
      <w:r w:rsidR="001B34C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which </w:t>
      </w:r>
      <w:r w:rsidR="001B34CD">
        <w:rPr>
          <w:rFonts w:ascii="Arial" w:hAnsi="Arial" w:cs="Arial"/>
          <w:color w:val="7B7B7B" w:themeColor="accent3" w:themeShade="BF"/>
          <w:sz w:val="22"/>
          <w:szCs w:val="22"/>
          <w:lang w:val="en-GB"/>
        </w:rPr>
        <w:t>the debtor has assets and liabilities</w:t>
      </w:r>
      <w:r w:rsidR="00311989">
        <w:rPr>
          <w:rFonts w:ascii="Arial" w:hAnsi="Arial" w:cs="Arial"/>
          <w:color w:val="7B7B7B" w:themeColor="accent3" w:themeShade="BF"/>
          <w:sz w:val="22"/>
          <w:szCs w:val="22"/>
          <w:lang w:val="en-GB"/>
        </w:rPr>
        <w:t xml:space="preserve">. Each insolvency proceeding should </w:t>
      </w:r>
      <w:r w:rsidR="001B34CD">
        <w:rPr>
          <w:rFonts w:ascii="Arial" w:hAnsi="Arial" w:cs="Arial"/>
          <w:color w:val="7B7B7B" w:themeColor="accent3" w:themeShade="BF"/>
          <w:sz w:val="22"/>
          <w:szCs w:val="22"/>
          <w:lang w:val="en-GB"/>
        </w:rPr>
        <w:t xml:space="preserve">only </w:t>
      </w:r>
      <w:r w:rsidR="00311989">
        <w:rPr>
          <w:rFonts w:ascii="Arial" w:hAnsi="Arial" w:cs="Arial"/>
          <w:color w:val="7B7B7B" w:themeColor="accent3" w:themeShade="BF"/>
          <w:sz w:val="22"/>
          <w:szCs w:val="22"/>
          <w:lang w:val="en-GB"/>
        </w:rPr>
        <w:t xml:space="preserve">deal with the debtor’s assets and liabilities </w:t>
      </w:r>
      <w:r w:rsidR="00436973">
        <w:rPr>
          <w:rFonts w:ascii="Arial" w:hAnsi="Arial" w:cs="Arial"/>
          <w:color w:val="7B7B7B" w:themeColor="accent3" w:themeShade="BF"/>
          <w:sz w:val="22"/>
          <w:szCs w:val="22"/>
          <w:lang w:val="en-GB"/>
        </w:rPr>
        <w:t xml:space="preserve">that are </w:t>
      </w:r>
      <w:r w:rsidR="00311989">
        <w:rPr>
          <w:rFonts w:ascii="Arial" w:hAnsi="Arial" w:cs="Arial"/>
          <w:color w:val="7B7B7B" w:themeColor="accent3" w:themeShade="BF"/>
          <w:sz w:val="22"/>
          <w:szCs w:val="22"/>
          <w:lang w:val="en-GB"/>
        </w:rPr>
        <w:t>within the State in which the insolvency proceeding is commenced.</w:t>
      </w:r>
      <w:r w:rsidR="001B34CD">
        <w:rPr>
          <w:rFonts w:ascii="Arial" w:hAnsi="Arial" w:cs="Arial"/>
          <w:color w:val="7B7B7B" w:themeColor="accent3" w:themeShade="BF"/>
          <w:sz w:val="22"/>
          <w:szCs w:val="22"/>
          <w:lang w:val="en-GB"/>
        </w:rPr>
        <w:t xml:space="preserve"> </w:t>
      </w:r>
      <w:r w:rsidR="0068575E">
        <w:rPr>
          <w:rFonts w:ascii="Arial" w:hAnsi="Arial" w:cs="Arial"/>
          <w:color w:val="7B7B7B" w:themeColor="accent3" w:themeShade="BF"/>
          <w:sz w:val="22"/>
          <w:szCs w:val="22"/>
          <w:lang w:val="en-GB"/>
        </w:rPr>
        <w:t>The insolvency</w:t>
      </w:r>
      <w:r w:rsidR="001B34CD" w:rsidRPr="001B34CD">
        <w:rPr>
          <w:rFonts w:ascii="Arial" w:hAnsi="Arial" w:cs="Arial"/>
          <w:color w:val="7B7B7B" w:themeColor="accent3" w:themeShade="BF"/>
          <w:sz w:val="22"/>
          <w:szCs w:val="22"/>
          <w:lang w:val="en-GB"/>
        </w:rPr>
        <w:t xml:space="preserve"> representative or other officeholder appointed in </w:t>
      </w:r>
      <w:r w:rsidR="001B34CD">
        <w:rPr>
          <w:rFonts w:ascii="Arial" w:hAnsi="Arial" w:cs="Arial"/>
          <w:color w:val="7B7B7B" w:themeColor="accent3" w:themeShade="BF"/>
          <w:sz w:val="22"/>
          <w:szCs w:val="22"/>
          <w:lang w:val="en-GB"/>
        </w:rPr>
        <w:t>each</w:t>
      </w:r>
      <w:r w:rsidR="001B34CD" w:rsidRPr="001B34CD">
        <w:rPr>
          <w:rFonts w:ascii="Arial" w:hAnsi="Arial" w:cs="Arial"/>
          <w:color w:val="7B7B7B" w:themeColor="accent3" w:themeShade="BF"/>
          <w:sz w:val="22"/>
          <w:szCs w:val="22"/>
          <w:lang w:val="en-GB"/>
        </w:rPr>
        <w:t xml:space="preserve"> insolvency proceeding should </w:t>
      </w:r>
      <w:r w:rsidR="001B34CD">
        <w:rPr>
          <w:rFonts w:ascii="Arial" w:hAnsi="Arial" w:cs="Arial"/>
          <w:color w:val="7B7B7B" w:themeColor="accent3" w:themeShade="BF"/>
          <w:sz w:val="22"/>
          <w:szCs w:val="22"/>
          <w:lang w:val="en-GB"/>
        </w:rPr>
        <w:t xml:space="preserve">only </w:t>
      </w:r>
      <w:r w:rsidR="001B34CD" w:rsidRPr="001B34CD">
        <w:rPr>
          <w:rFonts w:ascii="Arial" w:hAnsi="Arial" w:cs="Arial"/>
          <w:color w:val="7B7B7B" w:themeColor="accent3" w:themeShade="BF"/>
          <w:sz w:val="22"/>
          <w:szCs w:val="22"/>
          <w:lang w:val="en-GB"/>
        </w:rPr>
        <w:t xml:space="preserve">have the power to take control </w:t>
      </w:r>
      <w:r w:rsidR="0068575E">
        <w:rPr>
          <w:rFonts w:ascii="Arial" w:hAnsi="Arial" w:cs="Arial"/>
          <w:color w:val="7B7B7B" w:themeColor="accent3" w:themeShade="BF"/>
          <w:sz w:val="22"/>
          <w:szCs w:val="22"/>
          <w:lang w:val="en-GB"/>
        </w:rPr>
        <w:t xml:space="preserve">of </w:t>
      </w:r>
      <w:r w:rsidR="001B34CD" w:rsidRPr="001B34CD">
        <w:rPr>
          <w:rFonts w:ascii="Arial" w:hAnsi="Arial" w:cs="Arial"/>
          <w:color w:val="7B7B7B" w:themeColor="accent3" w:themeShade="BF"/>
          <w:sz w:val="22"/>
          <w:szCs w:val="22"/>
          <w:lang w:val="en-GB"/>
        </w:rPr>
        <w:t xml:space="preserve">and administer the debtor’s assets </w:t>
      </w:r>
      <w:r w:rsidR="001B34CD">
        <w:rPr>
          <w:rFonts w:ascii="Arial" w:hAnsi="Arial" w:cs="Arial"/>
          <w:color w:val="7B7B7B" w:themeColor="accent3" w:themeShade="BF"/>
          <w:sz w:val="22"/>
          <w:szCs w:val="22"/>
          <w:lang w:val="en-GB"/>
        </w:rPr>
        <w:t>that are within that State. There may also be restrictions in each insolvency proceeding, on which creditors can file their claim.</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6D97C798" w14:textId="10DF0277" w:rsidR="00040B37" w:rsidRDefault="0068575E" w:rsidP="00040B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040B37">
        <w:rPr>
          <w:rFonts w:ascii="Arial" w:hAnsi="Arial" w:cs="Arial"/>
          <w:color w:val="7B7B7B" w:themeColor="accent3" w:themeShade="BF"/>
          <w:sz w:val="22"/>
          <w:szCs w:val="22"/>
          <w:lang w:val="en-GB"/>
        </w:rPr>
        <w:t>United Arab Emirates reformed its domestic insolvency laws in 2016 via the Federal Law by Decree No. (9) of 2016 on Bankruptcy and in 2019 via the Federal Decree Law No. (19) of 2019 on Insolvency.</w:t>
      </w:r>
      <w:r w:rsidR="008D253C">
        <w:rPr>
          <w:rFonts w:ascii="Arial" w:hAnsi="Arial" w:cs="Arial"/>
          <w:color w:val="7B7B7B" w:themeColor="accent3" w:themeShade="BF"/>
          <w:sz w:val="22"/>
          <w:szCs w:val="22"/>
          <w:lang w:val="en-GB"/>
        </w:rPr>
        <w:t xml:space="preserve"> </w:t>
      </w:r>
      <w:r w:rsidR="00040B37">
        <w:rPr>
          <w:rFonts w:ascii="Arial" w:hAnsi="Arial" w:cs="Arial"/>
          <w:color w:val="7B7B7B" w:themeColor="accent3" w:themeShade="BF"/>
          <w:sz w:val="22"/>
          <w:szCs w:val="22"/>
          <w:lang w:val="en-GB"/>
        </w:rPr>
        <w:t xml:space="preserve">Saudi Arabia reformed its domestic insolvency laws in 2018 </w:t>
      </w:r>
      <w:r w:rsidR="00612EA9">
        <w:rPr>
          <w:rFonts w:ascii="Arial" w:hAnsi="Arial" w:cs="Arial"/>
          <w:color w:val="7B7B7B" w:themeColor="accent3" w:themeShade="BF"/>
          <w:sz w:val="22"/>
          <w:szCs w:val="22"/>
          <w:lang w:val="en-GB"/>
        </w:rPr>
        <w:t>through</w:t>
      </w:r>
      <w:r w:rsidR="00040B37">
        <w:rPr>
          <w:rFonts w:ascii="Arial" w:hAnsi="Arial" w:cs="Arial"/>
          <w:color w:val="7B7B7B" w:themeColor="accent3" w:themeShade="BF"/>
          <w:sz w:val="22"/>
          <w:szCs w:val="22"/>
          <w:lang w:val="en-GB"/>
        </w:rPr>
        <w:t xml:space="preserve"> the </w:t>
      </w:r>
      <w:r w:rsidR="00612EA9">
        <w:rPr>
          <w:rFonts w:ascii="Arial" w:hAnsi="Arial" w:cs="Arial"/>
          <w:color w:val="7B7B7B" w:themeColor="accent3" w:themeShade="BF"/>
          <w:sz w:val="22"/>
          <w:szCs w:val="22"/>
          <w:lang w:val="en-GB"/>
        </w:rPr>
        <w:t>Bankruptcy Law while</w:t>
      </w:r>
      <w:r w:rsidR="008D253C">
        <w:rPr>
          <w:rFonts w:ascii="Arial" w:hAnsi="Arial" w:cs="Arial"/>
          <w:color w:val="7B7B7B" w:themeColor="accent3" w:themeShade="BF"/>
          <w:sz w:val="22"/>
          <w:szCs w:val="22"/>
          <w:lang w:val="en-GB"/>
        </w:rPr>
        <w:t xml:space="preserve"> the</w:t>
      </w:r>
      <w:r w:rsidR="00612EA9">
        <w:rPr>
          <w:rFonts w:ascii="Arial" w:hAnsi="Arial" w:cs="Arial"/>
          <w:color w:val="7B7B7B" w:themeColor="accent3" w:themeShade="BF"/>
          <w:sz w:val="22"/>
          <w:szCs w:val="22"/>
          <w:lang w:val="en-GB"/>
        </w:rPr>
        <w:t xml:space="preserve"> Dubai</w:t>
      </w:r>
      <w:r w:rsidR="008D253C">
        <w:rPr>
          <w:rFonts w:ascii="Arial" w:hAnsi="Arial" w:cs="Arial"/>
          <w:color w:val="7B7B7B" w:themeColor="accent3" w:themeShade="BF"/>
          <w:sz w:val="22"/>
          <w:szCs w:val="22"/>
          <w:lang w:val="en-GB"/>
        </w:rPr>
        <w:t xml:space="preserve"> International Financial Centre</w:t>
      </w:r>
      <w:r w:rsidR="00612EA9">
        <w:rPr>
          <w:rFonts w:ascii="Arial" w:hAnsi="Arial" w:cs="Arial"/>
          <w:color w:val="7B7B7B" w:themeColor="accent3" w:themeShade="BF"/>
          <w:sz w:val="22"/>
          <w:szCs w:val="22"/>
          <w:lang w:val="en-GB"/>
        </w:rPr>
        <w:t xml:space="preserve"> reformed its domestic insolvency laws in 2019 via the </w:t>
      </w:r>
      <w:r w:rsidR="008D253C">
        <w:rPr>
          <w:rFonts w:ascii="Arial" w:hAnsi="Arial" w:cs="Arial"/>
          <w:color w:val="7B7B7B" w:themeColor="accent3" w:themeShade="BF"/>
          <w:sz w:val="22"/>
          <w:szCs w:val="22"/>
          <w:lang w:val="en-GB"/>
        </w:rPr>
        <w:t>Insolvency Law, DIFC Law No. 1 of 2019.</w:t>
      </w:r>
      <w:r w:rsidR="00612EA9">
        <w:rPr>
          <w:rFonts w:ascii="Arial" w:hAnsi="Arial" w:cs="Arial"/>
          <w:color w:val="7B7B7B" w:themeColor="accent3" w:themeShade="BF"/>
          <w:sz w:val="22"/>
          <w:szCs w:val="22"/>
          <w:lang w:val="en-GB"/>
        </w:rPr>
        <w:t xml:space="preserve"> </w:t>
      </w:r>
    </w:p>
    <w:p w14:paraId="0E627729" w14:textId="70111861" w:rsidR="008D253C" w:rsidRDefault="008D253C" w:rsidP="00040B37">
      <w:pPr>
        <w:jc w:val="both"/>
        <w:rPr>
          <w:rFonts w:ascii="Arial" w:hAnsi="Arial" w:cs="Arial"/>
          <w:color w:val="7B7B7B" w:themeColor="accent3" w:themeShade="BF"/>
          <w:sz w:val="22"/>
          <w:szCs w:val="22"/>
          <w:lang w:val="en-GB"/>
        </w:rPr>
      </w:pPr>
    </w:p>
    <w:p w14:paraId="5AE1438A" w14:textId="0F08EA74" w:rsidR="008D253C" w:rsidRPr="008D253C" w:rsidRDefault="008D253C" w:rsidP="00040B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international insolvency issues, the </w:t>
      </w:r>
      <w:r w:rsidR="00D02B56">
        <w:rPr>
          <w:rFonts w:ascii="Arial" w:hAnsi="Arial" w:cs="Arial"/>
          <w:color w:val="7B7B7B" w:themeColor="accent3" w:themeShade="BF"/>
          <w:sz w:val="22"/>
          <w:szCs w:val="22"/>
          <w:lang w:val="en-GB"/>
        </w:rPr>
        <w:t>United Nations Commission for International Trade Law (“</w:t>
      </w:r>
      <w:r>
        <w:rPr>
          <w:rFonts w:ascii="Arial" w:hAnsi="Arial" w:cs="Arial"/>
          <w:color w:val="7B7B7B" w:themeColor="accent3" w:themeShade="BF"/>
          <w:sz w:val="22"/>
          <w:szCs w:val="22"/>
          <w:lang w:val="en-GB"/>
        </w:rPr>
        <w:t>UNCITRAL</w:t>
      </w:r>
      <w:r w:rsidR="00D02B5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Model Law on C</w:t>
      </w:r>
      <w:r w:rsidR="00000384">
        <w:rPr>
          <w:rFonts w:ascii="Arial" w:hAnsi="Arial" w:cs="Arial"/>
          <w:color w:val="7B7B7B" w:themeColor="accent3" w:themeShade="BF"/>
          <w:sz w:val="22"/>
          <w:szCs w:val="22"/>
          <w:lang w:val="en-GB"/>
        </w:rPr>
        <w:t>ross-</w:t>
      </w:r>
      <w:r>
        <w:rPr>
          <w:rFonts w:ascii="Arial" w:hAnsi="Arial" w:cs="Arial"/>
          <w:color w:val="7B7B7B" w:themeColor="accent3" w:themeShade="BF"/>
          <w:sz w:val="22"/>
          <w:szCs w:val="22"/>
          <w:lang w:val="en-GB"/>
        </w:rPr>
        <w:t>Border Insolvency</w:t>
      </w:r>
      <w:r w:rsidR="00000384">
        <w:rPr>
          <w:rFonts w:ascii="Arial" w:hAnsi="Arial" w:cs="Arial"/>
          <w:color w:val="7B7B7B" w:themeColor="accent3" w:themeShade="BF"/>
          <w:sz w:val="22"/>
          <w:szCs w:val="22"/>
          <w:lang w:val="en-GB"/>
        </w:rPr>
        <w:t xml:space="preserve"> (1997)</w:t>
      </w:r>
      <w:r>
        <w:rPr>
          <w:rFonts w:ascii="Arial" w:hAnsi="Arial" w:cs="Arial"/>
          <w:color w:val="7B7B7B" w:themeColor="accent3" w:themeShade="BF"/>
          <w:sz w:val="22"/>
          <w:szCs w:val="22"/>
          <w:lang w:val="en-GB"/>
        </w:rPr>
        <w:t xml:space="preserve"> was adopted by Bahrain in 2018 and the Dubai International Financial Centre in 2019.</w:t>
      </w:r>
    </w:p>
    <w:p w14:paraId="572227E7" w14:textId="5C4C5901" w:rsidR="0045683E" w:rsidRDefault="0045683E" w:rsidP="00C053F7">
      <w:pPr>
        <w:jc w:val="both"/>
        <w:rPr>
          <w:rFonts w:ascii="Arial" w:hAnsi="Arial" w:cs="Arial"/>
          <w:sz w:val="22"/>
          <w:szCs w:val="22"/>
          <w:lang w:val="en-GB"/>
        </w:rPr>
      </w:pPr>
    </w:p>
    <w:p w14:paraId="77FF5F64" w14:textId="7FF780A8" w:rsidR="00040B37" w:rsidRPr="00BF1C6F" w:rsidRDefault="00040B37"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694BA1A4" w:rsidR="00544127" w:rsidRDefault="00383E5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are the differences regarding the objectives of insolvency for individuals and corporations as highlighted by </w:t>
      </w:r>
      <w:r w:rsidR="00000384">
        <w:rPr>
          <w:rFonts w:ascii="Arial" w:hAnsi="Arial" w:cs="Arial"/>
          <w:color w:val="7B7B7B" w:themeColor="accent3" w:themeShade="BF"/>
          <w:sz w:val="22"/>
          <w:szCs w:val="22"/>
          <w:lang w:val="en-GB"/>
        </w:rPr>
        <w:t>Sealy and Hooley</w:t>
      </w:r>
      <w:r w:rsidR="0068575E">
        <w:rPr>
          <w:rFonts w:ascii="Arial" w:hAnsi="Arial" w:cs="Arial"/>
          <w:color w:val="7B7B7B" w:themeColor="accent3" w:themeShade="BF"/>
          <w:sz w:val="22"/>
          <w:szCs w:val="22"/>
          <w:lang w:val="en-GB"/>
        </w:rPr>
        <w:t>:</w:t>
      </w:r>
      <w:r w:rsidR="0068575E">
        <w:rPr>
          <w:rStyle w:val="FootnoteReference"/>
          <w:rFonts w:ascii="Arial" w:hAnsi="Arial" w:cs="Arial"/>
          <w:color w:val="7B7B7B" w:themeColor="accent3" w:themeShade="BF"/>
          <w:sz w:val="22"/>
          <w:szCs w:val="22"/>
          <w:lang w:val="en-GB"/>
        </w:rPr>
        <w:footnoteReference w:id="3"/>
      </w:r>
    </w:p>
    <w:p w14:paraId="2926769C" w14:textId="0544A03D" w:rsidR="00000384" w:rsidRDefault="00000384" w:rsidP="00C053F7">
      <w:pPr>
        <w:jc w:val="both"/>
        <w:rPr>
          <w:rFonts w:ascii="Arial" w:hAnsi="Arial" w:cs="Arial"/>
          <w:color w:val="7B7B7B" w:themeColor="accent3" w:themeShade="BF"/>
          <w:sz w:val="22"/>
          <w:szCs w:val="22"/>
          <w:lang w:val="en-GB"/>
        </w:rPr>
      </w:pPr>
    </w:p>
    <w:p w14:paraId="34C4098B" w14:textId="6596F9A9" w:rsidR="00000384" w:rsidRPr="00383E53" w:rsidRDefault="00383E53" w:rsidP="00000384">
      <w:pPr>
        <w:pStyle w:val="ListParagraph"/>
        <w:numPr>
          <w:ilvl w:val="0"/>
          <w:numId w:val="23"/>
        </w:numPr>
        <w:ind w:left="567" w:hanging="567"/>
        <w:jc w:val="both"/>
        <w:rPr>
          <w:rFonts w:ascii="Arial" w:hAnsi="Arial" w:cs="Arial"/>
          <w:sz w:val="24"/>
          <w:lang w:val="en-GB"/>
        </w:rPr>
      </w:pPr>
      <w:r>
        <w:rPr>
          <w:rFonts w:ascii="Arial" w:hAnsi="Arial" w:cs="Arial"/>
          <w:color w:val="7B7B7B" w:themeColor="accent3" w:themeShade="BF"/>
          <w:sz w:val="22"/>
          <w:szCs w:val="22"/>
          <w:lang w:val="en-GB"/>
        </w:rPr>
        <w:t>in respect of individuals, the objectives of insolvency are –</w:t>
      </w:r>
    </w:p>
    <w:p w14:paraId="2F021868" w14:textId="0B22D7EC" w:rsidR="00383E53" w:rsidRPr="00383E53" w:rsidRDefault="0061316E" w:rsidP="00383E53">
      <w:pPr>
        <w:pStyle w:val="ListParagraph"/>
        <w:numPr>
          <w:ilvl w:val="0"/>
          <w:numId w:val="24"/>
        </w:numPr>
        <w:ind w:left="1134" w:hanging="567"/>
        <w:jc w:val="both"/>
        <w:rPr>
          <w:rFonts w:ascii="Arial" w:hAnsi="Arial" w:cs="Arial"/>
          <w:sz w:val="24"/>
          <w:lang w:val="en-GB"/>
        </w:rPr>
      </w:pPr>
      <w:r>
        <w:rPr>
          <w:rFonts w:ascii="Arial" w:hAnsi="Arial" w:cs="Arial"/>
          <w:color w:val="7B7B7B" w:themeColor="accent3" w:themeShade="BF"/>
          <w:sz w:val="22"/>
          <w:szCs w:val="22"/>
          <w:lang w:val="en-GB"/>
        </w:rPr>
        <w:t xml:space="preserve">to </w:t>
      </w:r>
      <w:r w:rsidR="00383E53">
        <w:rPr>
          <w:rFonts w:ascii="Arial" w:hAnsi="Arial" w:cs="Arial"/>
          <w:color w:val="7B7B7B" w:themeColor="accent3" w:themeShade="BF"/>
          <w:sz w:val="22"/>
          <w:szCs w:val="22"/>
          <w:lang w:val="en-GB"/>
        </w:rPr>
        <w:t>protect the debtor from harassment by his creditors;</w:t>
      </w:r>
    </w:p>
    <w:p w14:paraId="6705DDF2" w14:textId="508F2DDC" w:rsidR="00383E53" w:rsidRPr="00383E53" w:rsidRDefault="0061316E" w:rsidP="00383E53">
      <w:pPr>
        <w:pStyle w:val="ListParagraph"/>
        <w:numPr>
          <w:ilvl w:val="0"/>
          <w:numId w:val="24"/>
        </w:numPr>
        <w:ind w:left="1134" w:hanging="567"/>
        <w:jc w:val="both"/>
        <w:rPr>
          <w:rFonts w:ascii="Arial" w:hAnsi="Arial" w:cs="Arial"/>
          <w:sz w:val="24"/>
          <w:lang w:val="en-GB"/>
        </w:rPr>
      </w:pPr>
      <w:r>
        <w:rPr>
          <w:rFonts w:ascii="Arial" w:hAnsi="Arial" w:cs="Arial"/>
          <w:color w:val="7B7B7B" w:themeColor="accent3" w:themeShade="BF"/>
          <w:sz w:val="22"/>
          <w:szCs w:val="22"/>
          <w:lang w:val="en-GB"/>
        </w:rPr>
        <w:t xml:space="preserve">to </w:t>
      </w:r>
      <w:r w:rsidR="00383E53">
        <w:rPr>
          <w:rFonts w:ascii="Arial" w:hAnsi="Arial" w:cs="Arial"/>
          <w:color w:val="7B7B7B" w:themeColor="accent3" w:themeShade="BF"/>
          <w:sz w:val="22"/>
          <w:szCs w:val="22"/>
          <w:lang w:val="en-GB"/>
        </w:rPr>
        <w:t>enable the debtor to make a fresh start, especially in less blameworthy cases (where insolvency has not been brought about by the actions or conduct of the debtor); and</w:t>
      </w:r>
    </w:p>
    <w:p w14:paraId="5B8937DE" w14:textId="01A7AA82" w:rsidR="00383E53" w:rsidRPr="00383E53" w:rsidRDefault="0061316E" w:rsidP="00383E53">
      <w:pPr>
        <w:pStyle w:val="ListParagraph"/>
        <w:numPr>
          <w:ilvl w:val="0"/>
          <w:numId w:val="24"/>
        </w:numPr>
        <w:ind w:left="1134" w:hanging="567"/>
        <w:jc w:val="both"/>
        <w:rPr>
          <w:rFonts w:ascii="Arial" w:hAnsi="Arial" w:cs="Arial"/>
          <w:sz w:val="24"/>
          <w:lang w:val="en-GB"/>
        </w:rPr>
      </w:pPr>
      <w:r>
        <w:rPr>
          <w:rFonts w:ascii="Arial" w:hAnsi="Arial" w:cs="Arial"/>
          <w:color w:val="7B7B7B" w:themeColor="accent3" w:themeShade="BF"/>
          <w:sz w:val="22"/>
          <w:szCs w:val="22"/>
          <w:lang w:val="en-GB"/>
        </w:rPr>
        <w:t xml:space="preserve">to </w:t>
      </w:r>
      <w:r w:rsidR="00383E53">
        <w:rPr>
          <w:rFonts w:ascii="Arial" w:hAnsi="Arial" w:cs="Arial"/>
          <w:color w:val="7B7B7B" w:themeColor="accent3" w:themeShade="BF"/>
          <w:sz w:val="22"/>
          <w:szCs w:val="22"/>
          <w:lang w:val="en-GB"/>
        </w:rPr>
        <w:t>reduce indebtedness by allowing the debtor to make contributions from present and future income to the estate while at the same time taking the debtor’s personal circumstances into consideration.</w:t>
      </w:r>
    </w:p>
    <w:p w14:paraId="0A02E78D" w14:textId="77777777" w:rsidR="00383E53" w:rsidRPr="00383E53" w:rsidRDefault="00383E53" w:rsidP="00383E53">
      <w:pPr>
        <w:pStyle w:val="ListParagraph"/>
        <w:ind w:left="1134"/>
        <w:jc w:val="both"/>
        <w:rPr>
          <w:rFonts w:ascii="Arial" w:hAnsi="Arial" w:cs="Arial"/>
          <w:sz w:val="24"/>
          <w:lang w:val="en-GB"/>
        </w:rPr>
      </w:pPr>
    </w:p>
    <w:p w14:paraId="0C2F6CC6" w14:textId="5F8CF92E" w:rsidR="00383E53" w:rsidRPr="00383E53" w:rsidRDefault="00383E53" w:rsidP="00000384">
      <w:pPr>
        <w:pStyle w:val="ListParagraph"/>
        <w:numPr>
          <w:ilvl w:val="0"/>
          <w:numId w:val="23"/>
        </w:numPr>
        <w:ind w:left="567" w:hanging="567"/>
        <w:jc w:val="both"/>
        <w:rPr>
          <w:rFonts w:ascii="Arial" w:hAnsi="Arial" w:cs="Arial"/>
          <w:sz w:val="24"/>
          <w:lang w:val="en-GB"/>
        </w:rPr>
      </w:pPr>
      <w:r>
        <w:rPr>
          <w:rFonts w:ascii="Arial" w:hAnsi="Arial" w:cs="Arial"/>
          <w:color w:val="7B7B7B" w:themeColor="accent3" w:themeShade="BF"/>
          <w:sz w:val="22"/>
          <w:szCs w:val="22"/>
          <w:lang w:val="en-GB"/>
        </w:rPr>
        <w:t>in respect of corporations, the objectives of insolvency are –</w:t>
      </w:r>
    </w:p>
    <w:p w14:paraId="0159A299" w14:textId="132A025C" w:rsidR="00383E53" w:rsidRPr="0061316E" w:rsidRDefault="00383E53" w:rsidP="00383E53">
      <w:pPr>
        <w:pStyle w:val="ListParagraph"/>
        <w:numPr>
          <w:ilvl w:val="0"/>
          <w:numId w:val="25"/>
        </w:numPr>
        <w:ind w:left="1134" w:hanging="567"/>
        <w:jc w:val="both"/>
        <w:rPr>
          <w:rFonts w:ascii="Arial" w:hAnsi="Arial" w:cs="Arial"/>
          <w:sz w:val="24"/>
          <w:lang w:val="en-GB"/>
        </w:rPr>
      </w:pPr>
      <w:r>
        <w:rPr>
          <w:rFonts w:ascii="Arial" w:hAnsi="Arial" w:cs="Arial"/>
          <w:color w:val="7B7B7B" w:themeColor="accent3" w:themeShade="BF"/>
          <w:sz w:val="22"/>
          <w:szCs w:val="22"/>
          <w:lang w:val="en-GB"/>
        </w:rPr>
        <w:t xml:space="preserve">where possible, to </w:t>
      </w:r>
      <w:r w:rsidR="0061316E">
        <w:rPr>
          <w:rFonts w:ascii="Arial" w:hAnsi="Arial" w:cs="Arial"/>
          <w:color w:val="7B7B7B" w:themeColor="accent3" w:themeShade="BF"/>
          <w:sz w:val="22"/>
          <w:szCs w:val="22"/>
          <w:lang w:val="en-GB"/>
        </w:rPr>
        <w:t>preserve the business, or viable parts thereof. Preserving the business may not necessarily mean preserving the corporation; and</w:t>
      </w:r>
    </w:p>
    <w:p w14:paraId="1271220A" w14:textId="5AD9153A" w:rsidR="0061316E" w:rsidRPr="0061316E" w:rsidRDefault="0061316E" w:rsidP="00383E53">
      <w:pPr>
        <w:pStyle w:val="ListParagraph"/>
        <w:numPr>
          <w:ilvl w:val="0"/>
          <w:numId w:val="25"/>
        </w:numPr>
        <w:ind w:left="1134" w:hanging="567"/>
        <w:jc w:val="both"/>
        <w:rPr>
          <w:rFonts w:ascii="Arial" w:hAnsi="Arial" w:cs="Arial"/>
          <w:sz w:val="24"/>
          <w:lang w:val="en-GB"/>
        </w:rPr>
      </w:pPr>
      <w:r>
        <w:rPr>
          <w:rFonts w:ascii="Arial" w:hAnsi="Arial" w:cs="Arial"/>
          <w:color w:val="7B7B7B" w:themeColor="accent3" w:themeShade="BF"/>
          <w:sz w:val="22"/>
          <w:szCs w:val="22"/>
          <w:lang w:val="en-GB"/>
        </w:rPr>
        <w:t>where personal liability has been abused, to impose personal liability on responsible persons.</w:t>
      </w:r>
    </w:p>
    <w:p w14:paraId="551042B0" w14:textId="59388D67" w:rsidR="0061316E" w:rsidRDefault="0061316E" w:rsidP="0061316E">
      <w:pPr>
        <w:jc w:val="both"/>
        <w:rPr>
          <w:rFonts w:ascii="Arial" w:hAnsi="Arial" w:cs="Arial"/>
          <w:sz w:val="24"/>
          <w:lang w:val="en-GB"/>
        </w:rPr>
      </w:pPr>
    </w:p>
    <w:p w14:paraId="090163EA" w14:textId="6E6CB3F2" w:rsidR="0061316E" w:rsidRDefault="00F16EE2" w:rsidP="006131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Sealy and Hooley</w:t>
      </w:r>
      <w:r>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w:t>
      </w:r>
      <w:r w:rsidR="0061316E">
        <w:rPr>
          <w:rFonts w:ascii="Arial" w:hAnsi="Arial" w:cs="Arial"/>
          <w:color w:val="7B7B7B" w:themeColor="accent3" w:themeShade="BF"/>
          <w:sz w:val="22"/>
          <w:szCs w:val="22"/>
          <w:lang w:val="en-GB"/>
        </w:rPr>
        <w:t xml:space="preserve">also go on to highlight the following similarities </w:t>
      </w:r>
      <w:r w:rsidR="0061316E" w:rsidRPr="0061316E">
        <w:rPr>
          <w:rFonts w:ascii="Arial" w:hAnsi="Arial" w:cs="Arial"/>
          <w:color w:val="7B7B7B" w:themeColor="accent3" w:themeShade="BF"/>
          <w:sz w:val="22"/>
          <w:szCs w:val="22"/>
          <w:lang w:val="en-GB"/>
        </w:rPr>
        <w:t>regarding the objectives of insolvency for individuals and corporations</w:t>
      </w:r>
      <w:r w:rsidR="0061316E">
        <w:rPr>
          <w:rFonts w:ascii="Arial" w:hAnsi="Arial" w:cs="Arial"/>
          <w:color w:val="7B7B7B" w:themeColor="accent3" w:themeShade="BF"/>
          <w:sz w:val="22"/>
          <w:szCs w:val="22"/>
          <w:lang w:val="en-GB"/>
        </w:rPr>
        <w:t xml:space="preserve"> –</w:t>
      </w:r>
    </w:p>
    <w:p w14:paraId="754BE03D" w14:textId="5F6C176E" w:rsidR="0061316E" w:rsidRDefault="0061316E" w:rsidP="0061316E">
      <w:pPr>
        <w:pStyle w:val="ListParagraph"/>
        <w:numPr>
          <w:ilvl w:val="0"/>
          <w:numId w:val="26"/>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ensure </w:t>
      </w:r>
      <w:r>
        <w:rPr>
          <w:rFonts w:ascii="Arial" w:hAnsi="Arial" w:cs="Arial"/>
          <w:i/>
          <w:color w:val="7B7B7B" w:themeColor="accent3" w:themeShade="BF"/>
          <w:sz w:val="22"/>
          <w:szCs w:val="22"/>
          <w:lang w:val="en-GB"/>
        </w:rPr>
        <w:t xml:space="preserve">pari passu </w:t>
      </w:r>
      <w:r>
        <w:rPr>
          <w:rFonts w:ascii="Arial" w:hAnsi="Arial" w:cs="Arial"/>
          <w:color w:val="7B7B7B" w:themeColor="accent3" w:themeShade="BF"/>
          <w:sz w:val="22"/>
          <w:szCs w:val="22"/>
          <w:lang w:val="en-GB"/>
        </w:rPr>
        <w:t xml:space="preserve">distribution as far as possible, except in so far as creditors who have priority; </w:t>
      </w:r>
    </w:p>
    <w:p w14:paraId="5AFC6DA0" w14:textId="7968679E" w:rsidR="0061316E" w:rsidRDefault="0061316E" w:rsidP="0061316E">
      <w:pPr>
        <w:pStyle w:val="ListParagraph"/>
        <w:numPr>
          <w:ilvl w:val="0"/>
          <w:numId w:val="26"/>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ensure that secured creditors deal fairly towards the debtor and other creditors;</w:t>
      </w:r>
    </w:p>
    <w:p w14:paraId="355C1BE6" w14:textId="0B807272" w:rsidR="0061316E" w:rsidRDefault="0061316E" w:rsidP="0061316E">
      <w:pPr>
        <w:pStyle w:val="ListParagraph"/>
        <w:numPr>
          <w:ilvl w:val="0"/>
          <w:numId w:val="26"/>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investigate the reasons for failure; and</w:t>
      </w:r>
    </w:p>
    <w:p w14:paraId="59B32973" w14:textId="0BE4A623" w:rsidR="0061316E" w:rsidRPr="0061316E" w:rsidRDefault="0061316E" w:rsidP="0061316E">
      <w:pPr>
        <w:pStyle w:val="ListParagraph"/>
        <w:numPr>
          <w:ilvl w:val="0"/>
          <w:numId w:val="26"/>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reclaim voidable dispositions where the insolvent debtor dealt improperly with assets.</w:t>
      </w:r>
    </w:p>
    <w:p w14:paraId="347C3F93" w14:textId="5641A494" w:rsidR="00383E53" w:rsidRDefault="00383E53" w:rsidP="0061316E">
      <w:pPr>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6762DEBE" w14:textId="1058F5A8" w:rsidR="00FF2267" w:rsidRDefault="00FF226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difficulty in dealing with cross-border insolvency matters is the fact that there is no global insolvency law system or a global court to deal with cross-border insolvency matters. Hence, one has to look at the insolvency systems of the individual States</w:t>
      </w:r>
      <w:r w:rsidR="003D54FA">
        <w:rPr>
          <w:rFonts w:ascii="Arial" w:hAnsi="Arial" w:cs="Arial"/>
          <w:color w:val="7B7B7B" w:themeColor="accent3" w:themeShade="BF"/>
          <w:sz w:val="22"/>
          <w:szCs w:val="22"/>
          <w:lang w:val="en-GB"/>
        </w:rPr>
        <w:t xml:space="preserve"> to determine how the State deals with insolvency matters. In this regard, different States may have different approaches to insolvency matters whether purely domestic insolvency matters or insolvency matters with cross-border elements.</w:t>
      </w:r>
      <w:r>
        <w:rPr>
          <w:rFonts w:ascii="Arial" w:hAnsi="Arial" w:cs="Arial"/>
          <w:color w:val="7B7B7B" w:themeColor="accent3" w:themeShade="BF"/>
          <w:sz w:val="22"/>
          <w:szCs w:val="22"/>
          <w:lang w:val="en-GB"/>
        </w:rPr>
        <w:t xml:space="preserve"> </w:t>
      </w:r>
    </w:p>
    <w:p w14:paraId="60DA68E0" w14:textId="77777777" w:rsidR="00FF2267" w:rsidRDefault="00FF2267" w:rsidP="00C053F7">
      <w:pPr>
        <w:jc w:val="both"/>
        <w:rPr>
          <w:rFonts w:ascii="Arial" w:hAnsi="Arial" w:cs="Arial"/>
          <w:color w:val="7B7B7B" w:themeColor="accent3" w:themeShade="BF"/>
          <w:sz w:val="22"/>
          <w:szCs w:val="22"/>
          <w:lang w:val="en-GB"/>
        </w:rPr>
      </w:pPr>
    </w:p>
    <w:p w14:paraId="2759BDF4" w14:textId="50CA856D" w:rsidR="00FF2267" w:rsidRDefault="00FF226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of the difficulties that </w:t>
      </w:r>
      <w:r w:rsidRPr="00FF2267">
        <w:rPr>
          <w:rFonts w:ascii="Arial" w:hAnsi="Arial" w:cs="Arial"/>
          <w:color w:val="7B7B7B" w:themeColor="accent3" w:themeShade="BF"/>
          <w:sz w:val="22"/>
          <w:szCs w:val="22"/>
          <w:lang w:val="en-GB"/>
        </w:rPr>
        <w:t>may be encountered when dealing with insolvency law in a cross-border context relating to pertinent differences in the relevant systems</w:t>
      </w:r>
      <w:r>
        <w:rPr>
          <w:rFonts w:ascii="Arial" w:hAnsi="Arial" w:cs="Arial"/>
          <w:color w:val="7B7B7B" w:themeColor="accent3" w:themeShade="BF"/>
          <w:sz w:val="22"/>
          <w:szCs w:val="22"/>
          <w:lang w:val="en-GB"/>
        </w:rPr>
        <w:t xml:space="preserve"> are </w:t>
      </w:r>
      <w:r w:rsidR="00C91306">
        <w:rPr>
          <w:rFonts w:ascii="Arial" w:hAnsi="Arial" w:cs="Arial"/>
          <w:color w:val="7B7B7B" w:themeColor="accent3" w:themeShade="BF"/>
          <w:sz w:val="22"/>
          <w:szCs w:val="22"/>
          <w:lang w:val="en-GB"/>
        </w:rPr>
        <w:t xml:space="preserve">as follows </w:t>
      </w:r>
      <w:r>
        <w:rPr>
          <w:rFonts w:ascii="Arial" w:hAnsi="Arial" w:cs="Arial"/>
          <w:color w:val="7B7B7B" w:themeColor="accent3" w:themeShade="BF"/>
          <w:sz w:val="22"/>
          <w:szCs w:val="22"/>
          <w:lang w:val="en-GB"/>
        </w:rPr>
        <w:t>–</w:t>
      </w:r>
    </w:p>
    <w:p w14:paraId="7F8793D5" w14:textId="37116AFF" w:rsidR="00FF2267" w:rsidRDefault="00E47703" w:rsidP="00FF2267">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defining</w:t>
      </w:r>
      <w:r w:rsidR="00C91306">
        <w:rPr>
          <w:rFonts w:ascii="Arial" w:hAnsi="Arial" w:cs="Arial"/>
          <w:color w:val="7B7B7B" w:themeColor="accent3" w:themeShade="BF"/>
          <w:sz w:val="22"/>
          <w:szCs w:val="22"/>
          <w:lang w:val="en-GB"/>
        </w:rPr>
        <w:t xml:space="preserve"> </w:t>
      </w:r>
      <w:r w:rsidR="00FF2267">
        <w:rPr>
          <w:rFonts w:ascii="Arial" w:hAnsi="Arial" w:cs="Arial"/>
          <w:color w:val="7B7B7B" w:themeColor="accent3" w:themeShade="BF"/>
          <w:sz w:val="22"/>
          <w:szCs w:val="22"/>
          <w:lang w:val="en-GB"/>
        </w:rPr>
        <w:t xml:space="preserve">the term “insolvency”. </w:t>
      </w:r>
      <w:r w:rsidR="00C91306">
        <w:rPr>
          <w:rFonts w:ascii="Arial" w:hAnsi="Arial" w:cs="Arial"/>
          <w:color w:val="7B7B7B" w:themeColor="accent3" w:themeShade="BF"/>
          <w:sz w:val="22"/>
          <w:szCs w:val="22"/>
          <w:lang w:val="en-GB"/>
        </w:rPr>
        <w:t xml:space="preserve">In general, “insolvency” refers to a situation where the debtor’s liabilities exceed his assets. However, in some jurisdictions, the debtor’s inability to pay debts is sometimes considered sufficient to commence insolvency </w:t>
      </w:r>
      <w:r w:rsidR="00C91306">
        <w:rPr>
          <w:rFonts w:ascii="Arial" w:hAnsi="Arial" w:cs="Arial"/>
          <w:color w:val="7B7B7B" w:themeColor="accent3" w:themeShade="BF"/>
          <w:sz w:val="22"/>
          <w:szCs w:val="22"/>
          <w:lang w:val="en-GB"/>
        </w:rPr>
        <w:lastRenderedPageBreak/>
        <w:t>proceedings. Hence, there may be a difficulty in defining the term “insolvency” at an international level</w:t>
      </w:r>
      <w:r>
        <w:rPr>
          <w:rFonts w:ascii="Arial" w:hAnsi="Arial" w:cs="Arial"/>
          <w:color w:val="7B7B7B" w:themeColor="accent3" w:themeShade="BF"/>
          <w:sz w:val="22"/>
          <w:szCs w:val="22"/>
          <w:lang w:val="en-GB"/>
        </w:rPr>
        <w:t>;</w:t>
      </w:r>
      <w:r w:rsidR="00F16EE2">
        <w:rPr>
          <w:rStyle w:val="FootnoteReference"/>
          <w:rFonts w:ascii="Arial" w:hAnsi="Arial" w:cs="Arial"/>
          <w:color w:val="7B7B7B" w:themeColor="accent3" w:themeShade="BF"/>
          <w:sz w:val="22"/>
          <w:szCs w:val="22"/>
          <w:lang w:val="en-GB"/>
        </w:rPr>
        <w:footnoteReference w:id="5"/>
      </w:r>
    </w:p>
    <w:p w14:paraId="47067767" w14:textId="0F5EAFB6" w:rsidR="00E47703" w:rsidRDefault="00E47703" w:rsidP="00FF2267">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defining and ascertaining the insolvency procedures. </w:t>
      </w:r>
      <w:r w:rsidR="00DC1D53">
        <w:rPr>
          <w:rFonts w:ascii="Arial" w:hAnsi="Arial" w:cs="Arial"/>
          <w:color w:val="7B7B7B" w:themeColor="accent3" w:themeShade="BF"/>
          <w:sz w:val="22"/>
          <w:szCs w:val="22"/>
          <w:lang w:val="en-GB"/>
        </w:rPr>
        <w:t xml:space="preserve">Different States </w:t>
      </w:r>
      <w:r>
        <w:rPr>
          <w:rFonts w:ascii="Arial" w:hAnsi="Arial" w:cs="Arial"/>
          <w:color w:val="7B7B7B" w:themeColor="accent3" w:themeShade="BF"/>
          <w:sz w:val="22"/>
          <w:szCs w:val="22"/>
          <w:lang w:val="en-GB"/>
        </w:rPr>
        <w:t xml:space="preserve">may apply </w:t>
      </w:r>
      <w:r w:rsidR="008D3A5D">
        <w:rPr>
          <w:rFonts w:ascii="Arial" w:hAnsi="Arial" w:cs="Arial"/>
          <w:color w:val="7B7B7B" w:themeColor="accent3" w:themeShade="BF"/>
          <w:sz w:val="22"/>
          <w:szCs w:val="22"/>
          <w:lang w:val="en-GB"/>
        </w:rPr>
        <w:t>different</w:t>
      </w:r>
      <w:r>
        <w:rPr>
          <w:rFonts w:ascii="Arial" w:hAnsi="Arial" w:cs="Arial"/>
          <w:color w:val="7B7B7B" w:themeColor="accent3" w:themeShade="BF"/>
          <w:sz w:val="22"/>
          <w:szCs w:val="22"/>
          <w:lang w:val="en-GB"/>
        </w:rPr>
        <w:t xml:space="preserve"> procedures to deal with non-payment of debts</w:t>
      </w:r>
      <w:r w:rsidR="00F16EE2">
        <w:rPr>
          <w:rFonts w:ascii="Arial" w:hAnsi="Arial" w:cs="Arial"/>
          <w:color w:val="7B7B7B" w:themeColor="accent3" w:themeShade="BF"/>
          <w:sz w:val="22"/>
          <w:szCs w:val="22"/>
          <w:lang w:val="en-GB"/>
        </w:rPr>
        <w:t>;</w:t>
      </w:r>
      <w:r w:rsidR="00F16EE2">
        <w:rPr>
          <w:rStyle w:val="FootnoteReference"/>
          <w:rFonts w:ascii="Arial" w:hAnsi="Arial" w:cs="Arial"/>
          <w:color w:val="7B7B7B" w:themeColor="accent3" w:themeShade="BF"/>
          <w:sz w:val="22"/>
          <w:szCs w:val="22"/>
          <w:lang w:val="en-GB"/>
        </w:rPr>
        <w:footnoteReference w:id="6"/>
      </w:r>
      <w:r w:rsidR="0077384B">
        <w:rPr>
          <w:rFonts w:ascii="Arial" w:hAnsi="Arial" w:cs="Arial"/>
          <w:color w:val="7B7B7B" w:themeColor="accent3" w:themeShade="BF"/>
          <w:sz w:val="22"/>
          <w:szCs w:val="22"/>
          <w:lang w:val="en-GB"/>
        </w:rPr>
        <w:t xml:space="preserve"> </w:t>
      </w:r>
    </w:p>
    <w:p w14:paraId="4EBBE11B" w14:textId="4D66AAE4" w:rsidR="00E47703" w:rsidRDefault="00DC1D53" w:rsidP="00FF2267">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ascertaining </w:t>
      </w:r>
      <w:r w:rsidR="008D3A5D">
        <w:rPr>
          <w:rFonts w:ascii="Arial" w:hAnsi="Arial" w:cs="Arial"/>
          <w:color w:val="7B7B7B" w:themeColor="accent3" w:themeShade="BF"/>
          <w:sz w:val="22"/>
          <w:szCs w:val="22"/>
          <w:lang w:val="en-GB"/>
        </w:rPr>
        <w:t>the position of creditors and their claims. Where there are creditors making claims against the debtor in more than one State, there may be conflict between the position and claims of the creditors in</w:t>
      </w:r>
      <w:r w:rsidR="00F16EE2">
        <w:rPr>
          <w:rFonts w:ascii="Arial" w:hAnsi="Arial" w:cs="Arial"/>
          <w:color w:val="7B7B7B" w:themeColor="accent3" w:themeShade="BF"/>
          <w:sz w:val="22"/>
          <w:szCs w:val="22"/>
          <w:lang w:val="en-GB"/>
        </w:rPr>
        <w:t xml:space="preserve"> one State versus another State.</w:t>
      </w:r>
      <w:r w:rsidR="00F16EE2">
        <w:rPr>
          <w:rStyle w:val="FootnoteReference"/>
          <w:rFonts w:ascii="Arial" w:hAnsi="Arial" w:cs="Arial"/>
          <w:color w:val="7B7B7B" w:themeColor="accent3" w:themeShade="BF"/>
          <w:sz w:val="22"/>
          <w:szCs w:val="22"/>
          <w:lang w:val="en-GB"/>
        </w:rPr>
        <w:footnoteReference w:id="7"/>
      </w:r>
      <w:r w:rsidR="008D3A5D">
        <w:rPr>
          <w:rFonts w:ascii="Arial" w:hAnsi="Arial" w:cs="Arial"/>
          <w:color w:val="7B7B7B" w:themeColor="accent3" w:themeShade="BF"/>
          <w:sz w:val="22"/>
          <w:szCs w:val="22"/>
          <w:lang w:val="en-GB"/>
        </w:rPr>
        <w:t xml:space="preserve"> </w:t>
      </w:r>
      <w:r w:rsidR="00F16EE2">
        <w:rPr>
          <w:rFonts w:ascii="Arial" w:hAnsi="Arial" w:cs="Arial"/>
          <w:color w:val="7B7B7B" w:themeColor="accent3" w:themeShade="BF"/>
          <w:sz w:val="22"/>
          <w:szCs w:val="22"/>
          <w:lang w:val="en-GB"/>
        </w:rPr>
        <w:t>F</w:t>
      </w:r>
      <w:r w:rsidR="008D3A5D">
        <w:rPr>
          <w:rFonts w:ascii="Arial" w:hAnsi="Arial" w:cs="Arial"/>
          <w:color w:val="7B7B7B" w:themeColor="accent3" w:themeShade="BF"/>
          <w:sz w:val="22"/>
          <w:szCs w:val="22"/>
          <w:lang w:val="en-GB"/>
        </w:rPr>
        <w:t>or example, a creditor may be deem</w:t>
      </w:r>
      <w:r w:rsidR="00F16EE2">
        <w:rPr>
          <w:rFonts w:ascii="Arial" w:hAnsi="Arial" w:cs="Arial"/>
          <w:color w:val="7B7B7B" w:themeColor="accent3" w:themeShade="BF"/>
          <w:sz w:val="22"/>
          <w:szCs w:val="22"/>
          <w:lang w:val="en-GB"/>
        </w:rPr>
        <w:t>ed a preferred creditor in one S</w:t>
      </w:r>
      <w:r w:rsidR="008D3A5D">
        <w:rPr>
          <w:rFonts w:ascii="Arial" w:hAnsi="Arial" w:cs="Arial"/>
          <w:color w:val="7B7B7B" w:themeColor="accent3" w:themeShade="BF"/>
          <w:sz w:val="22"/>
          <w:szCs w:val="22"/>
          <w:lang w:val="en-GB"/>
        </w:rPr>
        <w:t>tate but not another</w:t>
      </w:r>
      <w:r w:rsidR="00F16EE2">
        <w:rPr>
          <w:rFonts w:ascii="Arial" w:hAnsi="Arial" w:cs="Arial"/>
          <w:color w:val="7B7B7B" w:themeColor="accent3" w:themeShade="BF"/>
          <w:sz w:val="22"/>
          <w:szCs w:val="22"/>
          <w:lang w:val="en-GB"/>
        </w:rPr>
        <w:t>;</w:t>
      </w:r>
    </w:p>
    <w:p w14:paraId="5F39E066" w14:textId="1A0FBC45" w:rsidR="00FF2267" w:rsidRDefault="00F16EE2" w:rsidP="00C053F7">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obtaining recognition of an insolvency proceeding and the insolvency representative in a foreign State.</w:t>
      </w:r>
      <w:r>
        <w:rPr>
          <w:rStyle w:val="FootnoteReference"/>
          <w:rFonts w:ascii="Arial" w:hAnsi="Arial" w:cs="Arial"/>
          <w:color w:val="7B7B7B" w:themeColor="accent3" w:themeShade="BF"/>
          <w:sz w:val="22"/>
          <w:szCs w:val="22"/>
          <w:lang w:val="en-GB"/>
        </w:rPr>
        <w:footnoteReference w:id="8"/>
      </w:r>
    </w:p>
    <w:p w14:paraId="68B661A1" w14:textId="77777777" w:rsidR="00F16EE2" w:rsidRPr="00F16EE2" w:rsidRDefault="00F16EE2" w:rsidP="00F16EE2">
      <w:pPr>
        <w:pStyle w:val="ListParagraph"/>
        <w:ind w:left="567"/>
        <w:jc w:val="both"/>
        <w:rPr>
          <w:rFonts w:ascii="Arial" w:hAnsi="Arial" w:cs="Arial"/>
          <w:color w:val="7B7B7B" w:themeColor="accent3" w:themeShade="BF"/>
          <w:sz w:val="22"/>
          <w:szCs w:val="22"/>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5A9A8B10" w:rsidR="00DF75F8" w:rsidRDefault="00B63E0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multilateral steps that have been taken in the 21</w:t>
      </w:r>
      <w:r w:rsidRPr="00B63E01">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to promote harmonisation of domestic insolvency laws include –</w:t>
      </w:r>
    </w:p>
    <w:p w14:paraId="256621BD" w14:textId="599442BF" w:rsidR="00B63E01" w:rsidRPr="005C1158" w:rsidRDefault="00B63E01" w:rsidP="00B63E01">
      <w:pPr>
        <w:pStyle w:val="ListParagraph"/>
        <w:numPr>
          <w:ilvl w:val="0"/>
          <w:numId w:val="29"/>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the </w:t>
      </w:r>
      <w:r w:rsidRPr="00D02B56">
        <w:rPr>
          <w:rFonts w:ascii="Arial" w:hAnsi="Arial" w:cs="Arial"/>
          <w:i/>
          <w:color w:val="7B7B7B" w:themeColor="accent3" w:themeShade="BF"/>
          <w:sz w:val="22"/>
          <w:szCs w:val="22"/>
          <w:lang w:val="en-GB"/>
        </w:rPr>
        <w:t>Legislative Guide on Insolvency Law</w:t>
      </w:r>
      <w:r>
        <w:rPr>
          <w:rFonts w:ascii="Arial" w:hAnsi="Arial" w:cs="Arial"/>
          <w:color w:val="7B7B7B" w:themeColor="accent3" w:themeShade="BF"/>
          <w:sz w:val="22"/>
          <w:szCs w:val="22"/>
          <w:lang w:val="en-GB"/>
        </w:rPr>
        <w:t xml:space="preserve"> by UNCITRAL</w:t>
      </w:r>
      <w:r w:rsidR="00A57008">
        <w:rPr>
          <w:rFonts w:ascii="Arial" w:hAnsi="Arial" w:cs="Arial"/>
          <w:color w:val="7B7B7B" w:themeColor="accent3" w:themeShade="BF"/>
          <w:sz w:val="22"/>
          <w:szCs w:val="22"/>
          <w:lang w:val="en-GB"/>
        </w:rPr>
        <w:t xml:space="preserve"> (“Legislative Guide”)</w:t>
      </w:r>
      <w:r w:rsidR="005C1158">
        <w:rPr>
          <w:rFonts w:ascii="Arial" w:hAnsi="Arial" w:cs="Arial"/>
          <w:color w:val="7B7B7B" w:themeColor="accent3" w:themeShade="BF"/>
          <w:sz w:val="22"/>
          <w:szCs w:val="22"/>
          <w:lang w:val="en-GB"/>
        </w:rPr>
        <w:t xml:space="preserve">. </w:t>
      </w:r>
      <w:r w:rsidR="00D411CF">
        <w:rPr>
          <w:rFonts w:ascii="Arial" w:hAnsi="Arial" w:cs="Arial"/>
          <w:color w:val="7B7B7B" w:themeColor="accent3" w:themeShade="BF"/>
          <w:sz w:val="22"/>
          <w:szCs w:val="22"/>
          <w:lang w:val="en-GB"/>
        </w:rPr>
        <w:t xml:space="preserve">One of the recommendations in the Legislative Guide is for </w:t>
      </w:r>
      <w:r w:rsidR="00D02B56">
        <w:rPr>
          <w:rFonts w:ascii="Arial" w:hAnsi="Arial" w:cs="Arial"/>
          <w:color w:val="7B7B7B" w:themeColor="accent3" w:themeShade="BF"/>
          <w:sz w:val="22"/>
          <w:szCs w:val="22"/>
          <w:lang w:val="en-GB"/>
        </w:rPr>
        <w:t xml:space="preserve">State’s insolvency laws </w:t>
      </w:r>
      <w:r w:rsidR="00D411CF">
        <w:rPr>
          <w:rFonts w:ascii="Arial" w:hAnsi="Arial" w:cs="Arial"/>
          <w:color w:val="7B7B7B" w:themeColor="accent3" w:themeShade="BF"/>
          <w:sz w:val="22"/>
          <w:szCs w:val="22"/>
          <w:lang w:val="en-GB"/>
        </w:rPr>
        <w:t xml:space="preserve">to </w:t>
      </w:r>
      <w:r w:rsidR="00D02B56">
        <w:rPr>
          <w:rFonts w:ascii="Arial" w:hAnsi="Arial" w:cs="Arial"/>
          <w:color w:val="7B7B7B" w:themeColor="accent3" w:themeShade="BF"/>
          <w:sz w:val="22"/>
          <w:szCs w:val="22"/>
          <w:lang w:val="en-GB"/>
        </w:rPr>
        <w:t xml:space="preserve">have a modern, harmonised and fair framework </w:t>
      </w:r>
      <w:r w:rsidR="00A57008">
        <w:rPr>
          <w:rFonts w:ascii="Arial" w:hAnsi="Arial" w:cs="Arial"/>
          <w:color w:val="7B7B7B" w:themeColor="accent3" w:themeShade="BF"/>
          <w:sz w:val="22"/>
          <w:szCs w:val="22"/>
          <w:lang w:val="en-GB"/>
        </w:rPr>
        <w:t>to deal with cross-border insolvency cases</w:t>
      </w:r>
      <w:r w:rsidR="00D411CF">
        <w:rPr>
          <w:rFonts w:ascii="Arial" w:hAnsi="Arial" w:cs="Arial"/>
          <w:color w:val="7B7B7B" w:themeColor="accent3" w:themeShade="BF"/>
          <w:sz w:val="22"/>
          <w:szCs w:val="22"/>
          <w:lang w:val="en-GB"/>
        </w:rPr>
        <w:t>. The Legislative Guide also</w:t>
      </w:r>
      <w:r w:rsidR="00A57008">
        <w:rPr>
          <w:rFonts w:ascii="Arial" w:hAnsi="Arial" w:cs="Arial"/>
          <w:color w:val="7B7B7B" w:themeColor="accent3" w:themeShade="BF"/>
          <w:sz w:val="22"/>
          <w:szCs w:val="22"/>
          <w:lang w:val="en-GB"/>
        </w:rPr>
        <w:t xml:space="preserve"> recommends </w:t>
      </w:r>
      <w:r w:rsidR="007F44F0">
        <w:rPr>
          <w:rFonts w:ascii="Arial" w:hAnsi="Arial" w:cs="Arial"/>
          <w:color w:val="7B7B7B" w:themeColor="accent3" w:themeShade="BF"/>
          <w:sz w:val="22"/>
          <w:szCs w:val="22"/>
          <w:lang w:val="en-GB"/>
        </w:rPr>
        <w:t>that States enact</w:t>
      </w:r>
      <w:r w:rsidR="00A57008">
        <w:rPr>
          <w:rFonts w:ascii="Arial" w:hAnsi="Arial" w:cs="Arial"/>
          <w:color w:val="7B7B7B" w:themeColor="accent3" w:themeShade="BF"/>
          <w:sz w:val="22"/>
          <w:szCs w:val="22"/>
          <w:lang w:val="en-GB"/>
        </w:rPr>
        <w:t xml:space="preserve"> the UNCITRAL Model Law on Cross-Border Insolvency</w:t>
      </w:r>
      <w:r w:rsidR="005C1158">
        <w:rPr>
          <w:rFonts w:ascii="Arial" w:hAnsi="Arial" w:cs="Arial"/>
          <w:color w:val="7B7B7B" w:themeColor="accent3" w:themeShade="BF"/>
          <w:sz w:val="22"/>
          <w:szCs w:val="22"/>
          <w:lang w:val="en-GB"/>
        </w:rPr>
        <w:t>;</w:t>
      </w:r>
    </w:p>
    <w:p w14:paraId="12CF01D0" w14:textId="673C60A4" w:rsidR="00A57008" w:rsidRPr="00A57008" w:rsidRDefault="00D02B56" w:rsidP="00B63E01">
      <w:pPr>
        <w:pStyle w:val="ListParagraph"/>
        <w:numPr>
          <w:ilvl w:val="0"/>
          <w:numId w:val="29"/>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the </w:t>
      </w:r>
      <w:r w:rsidRPr="00D02B56">
        <w:rPr>
          <w:rFonts w:ascii="Arial" w:hAnsi="Arial" w:cs="Arial"/>
          <w:i/>
          <w:color w:val="7B7B7B" w:themeColor="accent3" w:themeShade="BF"/>
          <w:sz w:val="22"/>
          <w:szCs w:val="22"/>
          <w:lang w:val="en-GB"/>
        </w:rPr>
        <w:t>Principles for Effective Insolvency and Creditor / Debtor Regimes</w:t>
      </w:r>
      <w:r>
        <w:rPr>
          <w:rFonts w:ascii="Arial" w:hAnsi="Arial" w:cs="Arial"/>
          <w:color w:val="7B7B7B" w:themeColor="accent3" w:themeShade="BF"/>
          <w:sz w:val="22"/>
          <w:szCs w:val="22"/>
          <w:lang w:val="en-GB"/>
        </w:rPr>
        <w:t xml:space="preserve"> by the World Bank</w:t>
      </w:r>
      <w:r w:rsidR="00A57008">
        <w:rPr>
          <w:rFonts w:ascii="Arial" w:hAnsi="Arial" w:cs="Arial"/>
          <w:color w:val="7B7B7B" w:themeColor="accent3" w:themeShade="BF"/>
          <w:sz w:val="22"/>
          <w:szCs w:val="22"/>
          <w:lang w:val="en-GB"/>
        </w:rPr>
        <w:t xml:space="preserve"> (“Principles”). </w:t>
      </w:r>
      <w:r w:rsidR="00D411CF">
        <w:rPr>
          <w:rFonts w:ascii="Arial" w:hAnsi="Arial" w:cs="Arial"/>
          <w:color w:val="7B7B7B" w:themeColor="accent3" w:themeShade="BF"/>
          <w:sz w:val="22"/>
          <w:szCs w:val="22"/>
          <w:lang w:val="en-GB"/>
        </w:rPr>
        <w:t>In respect of cross-border insolvency matters, the Principles</w:t>
      </w:r>
      <w:r w:rsidR="00A57008">
        <w:rPr>
          <w:rFonts w:ascii="Arial" w:hAnsi="Arial" w:cs="Arial"/>
          <w:color w:val="7B7B7B" w:themeColor="accent3" w:themeShade="BF"/>
          <w:sz w:val="22"/>
          <w:szCs w:val="22"/>
          <w:lang w:val="en-GB"/>
        </w:rPr>
        <w:t xml:space="preserve"> </w:t>
      </w:r>
      <w:r w:rsidR="00D411CF">
        <w:rPr>
          <w:rFonts w:ascii="Arial" w:hAnsi="Arial" w:cs="Arial"/>
          <w:color w:val="7B7B7B" w:themeColor="accent3" w:themeShade="BF"/>
          <w:sz w:val="22"/>
          <w:szCs w:val="22"/>
          <w:lang w:val="en-GB"/>
        </w:rPr>
        <w:t>advocate</w:t>
      </w:r>
      <w:r w:rsidR="00A57008">
        <w:rPr>
          <w:rFonts w:ascii="Arial" w:hAnsi="Arial" w:cs="Arial"/>
          <w:color w:val="7B7B7B" w:themeColor="accent3" w:themeShade="BF"/>
          <w:sz w:val="22"/>
          <w:szCs w:val="22"/>
          <w:lang w:val="en-GB"/>
        </w:rPr>
        <w:t xml:space="preserve"> the requirement for a State’s legal system to have clear rules on jurisdiction, recognition of foreign judgments, cooperation among courts in different countries and choice of law;</w:t>
      </w:r>
    </w:p>
    <w:p w14:paraId="1C7D4E26" w14:textId="306F2032" w:rsidR="00E6303E" w:rsidRPr="00E6303E" w:rsidRDefault="00A57008" w:rsidP="00B63E01">
      <w:pPr>
        <w:pStyle w:val="ListParagraph"/>
        <w:numPr>
          <w:ilvl w:val="0"/>
          <w:numId w:val="29"/>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the report on the </w:t>
      </w:r>
      <w:r w:rsidRPr="00E6303E">
        <w:rPr>
          <w:rFonts w:ascii="Arial" w:hAnsi="Arial" w:cs="Arial"/>
          <w:i/>
          <w:color w:val="7B7B7B" w:themeColor="accent3" w:themeShade="BF"/>
          <w:sz w:val="22"/>
          <w:szCs w:val="22"/>
          <w:lang w:val="en-GB"/>
        </w:rPr>
        <w:t>Harmonisation of Insolvency Law at EU Level</w:t>
      </w:r>
      <w:r>
        <w:rPr>
          <w:rFonts w:ascii="Arial" w:hAnsi="Arial" w:cs="Arial"/>
          <w:color w:val="7B7B7B" w:themeColor="accent3" w:themeShade="BF"/>
          <w:sz w:val="22"/>
          <w:szCs w:val="22"/>
          <w:lang w:val="en-GB"/>
        </w:rPr>
        <w:t xml:space="preserve"> by the European P</w:t>
      </w:r>
      <w:r w:rsidR="00E6303E">
        <w:rPr>
          <w:rFonts w:ascii="Arial" w:hAnsi="Arial" w:cs="Arial"/>
          <w:color w:val="7B7B7B" w:themeColor="accent3" w:themeShade="BF"/>
          <w:sz w:val="22"/>
          <w:szCs w:val="22"/>
          <w:lang w:val="en-GB"/>
        </w:rPr>
        <w:t>arliament</w:t>
      </w:r>
      <w:r w:rsidR="00D411CF">
        <w:rPr>
          <w:rFonts w:ascii="Arial" w:hAnsi="Arial" w:cs="Arial"/>
          <w:color w:val="7B7B7B" w:themeColor="accent3" w:themeShade="BF"/>
          <w:sz w:val="22"/>
          <w:szCs w:val="22"/>
          <w:lang w:val="en-GB"/>
        </w:rPr>
        <w:t xml:space="preserve"> (“Report”)</w:t>
      </w:r>
      <w:r w:rsidR="00E6303E">
        <w:rPr>
          <w:rFonts w:ascii="Arial" w:hAnsi="Arial" w:cs="Arial"/>
          <w:color w:val="7B7B7B" w:themeColor="accent3" w:themeShade="BF"/>
          <w:sz w:val="22"/>
          <w:szCs w:val="22"/>
          <w:lang w:val="en-GB"/>
        </w:rPr>
        <w:t xml:space="preserve">. The </w:t>
      </w:r>
      <w:r w:rsidR="00D411CF">
        <w:rPr>
          <w:rFonts w:ascii="Arial" w:hAnsi="Arial" w:cs="Arial"/>
          <w:color w:val="7B7B7B" w:themeColor="accent3" w:themeShade="BF"/>
          <w:sz w:val="22"/>
          <w:szCs w:val="22"/>
          <w:lang w:val="en-GB"/>
        </w:rPr>
        <w:t>R</w:t>
      </w:r>
      <w:r w:rsidR="00E6303E">
        <w:rPr>
          <w:rFonts w:ascii="Arial" w:hAnsi="Arial" w:cs="Arial"/>
          <w:color w:val="7B7B7B" w:themeColor="accent3" w:themeShade="BF"/>
          <w:sz w:val="22"/>
          <w:szCs w:val="22"/>
          <w:lang w:val="en-GB"/>
        </w:rPr>
        <w:t xml:space="preserve">eport identifies </w:t>
      </w:r>
      <w:r w:rsidR="00D411CF">
        <w:rPr>
          <w:rFonts w:ascii="Arial" w:hAnsi="Arial" w:cs="Arial"/>
          <w:color w:val="7B7B7B" w:themeColor="accent3" w:themeShade="BF"/>
          <w:sz w:val="22"/>
          <w:szCs w:val="22"/>
          <w:lang w:val="en-GB"/>
        </w:rPr>
        <w:t>the differences in the</w:t>
      </w:r>
      <w:r w:rsidR="00E6303E">
        <w:rPr>
          <w:rFonts w:ascii="Arial" w:hAnsi="Arial" w:cs="Arial"/>
          <w:color w:val="7B7B7B" w:themeColor="accent3" w:themeShade="BF"/>
          <w:sz w:val="22"/>
          <w:szCs w:val="22"/>
          <w:lang w:val="en-GB"/>
        </w:rPr>
        <w:t xml:space="preserve"> insolvency laws </w:t>
      </w:r>
      <w:r w:rsidR="00D411CF">
        <w:rPr>
          <w:rFonts w:ascii="Arial" w:hAnsi="Arial" w:cs="Arial"/>
          <w:color w:val="7B7B7B" w:themeColor="accent3" w:themeShade="BF"/>
          <w:sz w:val="22"/>
          <w:szCs w:val="22"/>
          <w:lang w:val="en-GB"/>
        </w:rPr>
        <w:t>and rules of</w:t>
      </w:r>
      <w:r w:rsidR="00E6303E">
        <w:rPr>
          <w:rFonts w:ascii="Arial" w:hAnsi="Arial" w:cs="Arial"/>
          <w:color w:val="7B7B7B" w:themeColor="accent3" w:themeShade="BF"/>
          <w:sz w:val="22"/>
          <w:szCs w:val="22"/>
          <w:lang w:val="en-GB"/>
        </w:rPr>
        <w:t xml:space="preserve"> European Union (“EU”)</w:t>
      </w:r>
      <w:r w:rsidR="00D411CF">
        <w:rPr>
          <w:rFonts w:ascii="Arial" w:hAnsi="Arial" w:cs="Arial"/>
          <w:color w:val="7B7B7B" w:themeColor="accent3" w:themeShade="BF"/>
          <w:sz w:val="22"/>
          <w:szCs w:val="22"/>
          <w:lang w:val="en-GB"/>
        </w:rPr>
        <w:t xml:space="preserve"> member states.</w:t>
      </w:r>
      <w:r w:rsidR="00E6303E">
        <w:rPr>
          <w:rFonts w:ascii="Arial" w:hAnsi="Arial" w:cs="Arial"/>
          <w:color w:val="7B7B7B" w:themeColor="accent3" w:themeShade="BF"/>
          <w:sz w:val="22"/>
          <w:szCs w:val="22"/>
          <w:lang w:val="en-GB"/>
        </w:rPr>
        <w:t xml:space="preserve"> The </w:t>
      </w:r>
      <w:r w:rsidR="007F44F0">
        <w:rPr>
          <w:rFonts w:ascii="Arial" w:hAnsi="Arial" w:cs="Arial"/>
          <w:color w:val="7B7B7B" w:themeColor="accent3" w:themeShade="BF"/>
          <w:sz w:val="22"/>
          <w:szCs w:val="22"/>
          <w:lang w:val="en-GB"/>
        </w:rPr>
        <w:t>R</w:t>
      </w:r>
      <w:r w:rsidR="00E6303E">
        <w:rPr>
          <w:rFonts w:ascii="Arial" w:hAnsi="Arial" w:cs="Arial"/>
          <w:color w:val="7B7B7B" w:themeColor="accent3" w:themeShade="BF"/>
          <w:sz w:val="22"/>
          <w:szCs w:val="22"/>
          <w:lang w:val="en-GB"/>
        </w:rPr>
        <w:t>eport also identifies a number of areas of insolvency law where harmonisation at EU level would be worthwhile and achievable; and</w:t>
      </w:r>
    </w:p>
    <w:p w14:paraId="0594C144" w14:textId="47C35A26" w:rsidR="00786CA7" w:rsidRPr="00786CA7" w:rsidRDefault="00E6303E" w:rsidP="00786CA7">
      <w:pPr>
        <w:pStyle w:val="ListParagraph"/>
        <w:numPr>
          <w:ilvl w:val="0"/>
          <w:numId w:val="29"/>
        </w:numPr>
        <w:ind w:left="567" w:hanging="567"/>
        <w:jc w:val="both"/>
        <w:rPr>
          <w:rFonts w:ascii="Arial" w:hAnsi="Arial" w:cs="Arial"/>
          <w:i/>
          <w:sz w:val="22"/>
          <w:szCs w:val="22"/>
          <w:lang w:val="en-GB"/>
        </w:rPr>
      </w:pPr>
      <w:r>
        <w:rPr>
          <w:rFonts w:ascii="Arial" w:hAnsi="Arial" w:cs="Arial"/>
          <w:color w:val="7B7B7B" w:themeColor="accent3" w:themeShade="BF"/>
          <w:sz w:val="22"/>
          <w:szCs w:val="22"/>
          <w:lang w:val="en-GB"/>
        </w:rPr>
        <w:t xml:space="preserve">the </w:t>
      </w:r>
      <w:r>
        <w:rPr>
          <w:rFonts w:ascii="Arial" w:hAnsi="Arial" w:cs="Arial"/>
          <w:i/>
          <w:color w:val="7B7B7B" w:themeColor="accent3" w:themeShade="BF"/>
          <w:sz w:val="22"/>
          <w:szCs w:val="22"/>
          <w:lang w:val="en-GB"/>
        </w:rPr>
        <w:t xml:space="preserve">Action Plan on Building a Capital Markets Union (CMU) </w:t>
      </w:r>
      <w:r>
        <w:rPr>
          <w:rFonts w:ascii="Arial" w:hAnsi="Arial" w:cs="Arial"/>
          <w:color w:val="7B7B7B" w:themeColor="accent3" w:themeShade="BF"/>
          <w:sz w:val="22"/>
          <w:szCs w:val="22"/>
          <w:lang w:val="en-GB"/>
        </w:rPr>
        <w:t xml:space="preserve">by the European Commission (“Action Plan”). In the Action Plan, the </w:t>
      </w:r>
      <w:r w:rsidR="00786CA7">
        <w:rPr>
          <w:rFonts w:ascii="Arial" w:hAnsi="Arial" w:cs="Arial"/>
          <w:color w:val="7B7B7B" w:themeColor="accent3" w:themeShade="BF"/>
          <w:sz w:val="22"/>
          <w:szCs w:val="22"/>
          <w:lang w:val="en-GB"/>
        </w:rPr>
        <w:t xml:space="preserve">European Commission stated that </w:t>
      </w:r>
      <w:r w:rsidR="00786CA7" w:rsidRPr="00786CA7">
        <w:rPr>
          <w:rFonts w:ascii="Arial" w:hAnsi="Arial" w:cs="Arial"/>
          <w:i/>
          <w:color w:val="7B7B7B" w:themeColor="accent3" w:themeShade="BF"/>
          <w:sz w:val="22"/>
          <w:szCs w:val="22"/>
          <w:lang w:val="en-GB"/>
        </w:rPr>
        <w:t xml:space="preserve">“Convergence of </w:t>
      </w:r>
      <w:r w:rsidR="00786CA7">
        <w:rPr>
          <w:rFonts w:ascii="Arial" w:hAnsi="Arial" w:cs="Arial"/>
          <w:i/>
          <w:color w:val="7B7B7B" w:themeColor="accent3" w:themeShade="BF"/>
          <w:sz w:val="22"/>
          <w:szCs w:val="22"/>
          <w:lang w:val="en-GB"/>
        </w:rPr>
        <w:t>insolvency and restructuring proceedings would facilitate greater legal certainty for cross-border investors and encourage the timely restructuring of viable companies in financial distress”.</w:t>
      </w:r>
    </w:p>
    <w:p w14:paraId="2C66448A" w14:textId="085B4EA8" w:rsidR="00786CA7" w:rsidRDefault="00786CA7" w:rsidP="00786CA7">
      <w:pPr>
        <w:jc w:val="both"/>
        <w:rPr>
          <w:rFonts w:ascii="Arial" w:hAnsi="Arial" w:cs="Arial"/>
          <w:i/>
          <w:sz w:val="22"/>
          <w:szCs w:val="22"/>
          <w:lang w:val="en-GB"/>
        </w:rPr>
      </w:pPr>
    </w:p>
    <w:p w14:paraId="31E53C0E" w14:textId="47D831D4" w:rsidR="00786CA7" w:rsidRDefault="00786CA7" w:rsidP="00786C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my opinion, these multilateral steps are likely to have a good impact in addressing international insolvency issues, for the following reasons –</w:t>
      </w:r>
    </w:p>
    <w:p w14:paraId="4BFC74FF" w14:textId="5027E054" w:rsidR="001C08C1" w:rsidRDefault="001C08C1" w:rsidP="001C08C1">
      <w:pPr>
        <w:pStyle w:val="ListParagraph"/>
        <w:numPr>
          <w:ilvl w:val="0"/>
          <w:numId w:val="30"/>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total of 49 States have adopted the </w:t>
      </w:r>
      <w:r w:rsidRPr="001C08C1">
        <w:rPr>
          <w:rFonts w:ascii="Arial" w:hAnsi="Arial" w:cs="Arial"/>
          <w:color w:val="7B7B7B" w:themeColor="accent3" w:themeShade="BF"/>
          <w:sz w:val="22"/>
          <w:szCs w:val="22"/>
          <w:lang w:val="en-GB"/>
        </w:rPr>
        <w:t>UNCITRAL Model Law on Cross-Border Insolvency</w:t>
      </w:r>
      <w:r>
        <w:rPr>
          <w:rFonts w:ascii="Arial" w:hAnsi="Arial" w:cs="Arial"/>
          <w:color w:val="7B7B7B" w:themeColor="accent3" w:themeShade="BF"/>
          <w:sz w:val="22"/>
          <w:szCs w:val="22"/>
          <w:lang w:val="en-GB"/>
        </w:rPr>
        <w:t xml:space="preserve">. This means that subject to the </w:t>
      </w:r>
      <w:r w:rsidR="00D8137C">
        <w:rPr>
          <w:rFonts w:ascii="Arial" w:hAnsi="Arial" w:cs="Arial"/>
          <w:color w:val="7B7B7B" w:themeColor="accent3" w:themeShade="BF"/>
          <w:sz w:val="22"/>
          <w:szCs w:val="22"/>
          <w:lang w:val="en-GB"/>
        </w:rPr>
        <w:t>modifications</w:t>
      </w:r>
      <w:r>
        <w:rPr>
          <w:rFonts w:ascii="Arial" w:hAnsi="Arial" w:cs="Arial"/>
          <w:color w:val="7B7B7B" w:themeColor="accent3" w:themeShade="BF"/>
          <w:sz w:val="22"/>
          <w:szCs w:val="22"/>
          <w:lang w:val="en-GB"/>
        </w:rPr>
        <w:t xml:space="preserve"> made, the </w:t>
      </w:r>
      <w:r w:rsidR="00577AAF">
        <w:rPr>
          <w:rFonts w:ascii="Arial" w:hAnsi="Arial" w:cs="Arial"/>
          <w:color w:val="7B7B7B" w:themeColor="accent3" w:themeShade="BF"/>
          <w:sz w:val="22"/>
          <w:szCs w:val="22"/>
          <w:lang w:val="en-GB"/>
        </w:rPr>
        <w:t>cross-border insolvency</w:t>
      </w:r>
      <w:r w:rsidR="003073AB">
        <w:rPr>
          <w:rFonts w:ascii="Arial" w:hAnsi="Arial" w:cs="Arial"/>
          <w:color w:val="7B7B7B" w:themeColor="accent3" w:themeShade="BF"/>
          <w:sz w:val="22"/>
          <w:szCs w:val="22"/>
          <w:lang w:val="en-GB"/>
        </w:rPr>
        <w:t xml:space="preserve"> laws</w:t>
      </w:r>
      <w:r>
        <w:rPr>
          <w:rFonts w:ascii="Arial" w:hAnsi="Arial" w:cs="Arial"/>
          <w:color w:val="7B7B7B" w:themeColor="accent3" w:themeShade="BF"/>
          <w:sz w:val="22"/>
          <w:szCs w:val="22"/>
          <w:lang w:val="en-GB"/>
        </w:rPr>
        <w:t xml:space="preserve"> in these States are harmonised;</w:t>
      </w:r>
    </w:p>
    <w:p w14:paraId="0FA73BD4" w14:textId="2B9CD5CA" w:rsidR="001C08C1" w:rsidRDefault="001C08C1" w:rsidP="001C08C1">
      <w:pPr>
        <w:pStyle w:val="ListParagraph"/>
        <w:numPr>
          <w:ilvl w:val="0"/>
          <w:numId w:val="30"/>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International Monetary Fund (IMF) and the World Bank may refer countries to the Legislative Guide and Principles and sometimes require bankruptcy reform in </w:t>
      </w:r>
      <w:r>
        <w:rPr>
          <w:rFonts w:ascii="Arial" w:hAnsi="Arial" w:cs="Arial"/>
          <w:color w:val="7B7B7B" w:themeColor="accent3" w:themeShade="BF"/>
          <w:sz w:val="22"/>
          <w:szCs w:val="22"/>
          <w:lang w:val="en-GB"/>
        </w:rPr>
        <w:lastRenderedPageBreak/>
        <w:t xml:space="preserve">developing countries as a condition for </w:t>
      </w:r>
      <w:r w:rsidR="003073AB">
        <w:rPr>
          <w:rFonts w:ascii="Arial" w:hAnsi="Arial" w:cs="Arial"/>
          <w:color w:val="7B7B7B" w:themeColor="accent3" w:themeShade="BF"/>
          <w:sz w:val="22"/>
          <w:szCs w:val="22"/>
          <w:lang w:val="en-GB"/>
        </w:rPr>
        <w:t>loan support. This would promote harmonisation of the domestic insolvency laws in these countries;</w:t>
      </w:r>
      <w:r>
        <w:rPr>
          <w:rStyle w:val="FootnoteReference"/>
          <w:rFonts w:ascii="Arial" w:hAnsi="Arial" w:cs="Arial"/>
          <w:color w:val="7B7B7B" w:themeColor="accent3" w:themeShade="BF"/>
          <w:sz w:val="22"/>
          <w:szCs w:val="22"/>
          <w:lang w:val="en-GB"/>
        </w:rPr>
        <w:footnoteReference w:id="9"/>
      </w:r>
      <w:r w:rsidR="007F44F0">
        <w:rPr>
          <w:rFonts w:ascii="Arial" w:hAnsi="Arial" w:cs="Arial"/>
          <w:color w:val="7B7B7B" w:themeColor="accent3" w:themeShade="BF"/>
          <w:sz w:val="22"/>
          <w:szCs w:val="22"/>
          <w:lang w:val="en-GB"/>
        </w:rPr>
        <w:t xml:space="preserve"> </w:t>
      </w:r>
    </w:p>
    <w:p w14:paraId="5ADBB025" w14:textId="1FB8CBA9" w:rsidR="003073AB" w:rsidRDefault="003073AB" w:rsidP="001C08C1">
      <w:pPr>
        <w:pStyle w:val="ListParagraph"/>
        <w:numPr>
          <w:ilvl w:val="0"/>
          <w:numId w:val="30"/>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State in a region adopts the UNCITRAL Model Law on Cross-Border Insolvency into its domestic insolvency law, </w:t>
      </w:r>
      <w:r w:rsidR="00577AAF">
        <w:rPr>
          <w:rFonts w:ascii="Arial" w:hAnsi="Arial" w:cs="Arial"/>
          <w:color w:val="7B7B7B" w:themeColor="accent3" w:themeShade="BF"/>
          <w:sz w:val="22"/>
          <w:szCs w:val="22"/>
          <w:lang w:val="en-GB"/>
        </w:rPr>
        <w:t>this</w:t>
      </w:r>
      <w:r>
        <w:rPr>
          <w:rFonts w:ascii="Arial" w:hAnsi="Arial" w:cs="Arial"/>
          <w:color w:val="7B7B7B" w:themeColor="accent3" w:themeShade="BF"/>
          <w:sz w:val="22"/>
          <w:szCs w:val="22"/>
          <w:lang w:val="en-GB"/>
        </w:rPr>
        <w:t xml:space="preserve"> may encourage other States within the region to also adopt the Model Law in order to promote economic activities between the S</w:t>
      </w:r>
      <w:r w:rsidR="00695770">
        <w:rPr>
          <w:rFonts w:ascii="Arial" w:hAnsi="Arial" w:cs="Arial"/>
          <w:color w:val="7B7B7B" w:themeColor="accent3" w:themeShade="BF"/>
          <w:sz w:val="22"/>
          <w:szCs w:val="22"/>
          <w:lang w:val="en-GB"/>
        </w:rPr>
        <w:t xml:space="preserve">tates; and </w:t>
      </w:r>
    </w:p>
    <w:p w14:paraId="705AF01E" w14:textId="1D597FDA" w:rsidR="00695770" w:rsidRPr="001C08C1" w:rsidRDefault="00695770" w:rsidP="001C08C1">
      <w:pPr>
        <w:pStyle w:val="ListParagraph"/>
        <w:numPr>
          <w:ilvl w:val="0"/>
          <w:numId w:val="30"/>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adopting international best practice standards may promote a State’s international trade. This would be a good incentive for States to harmonise its domestic insolvency laws with international standards </w:t>
      </w:r>
      <w:r w:rsidRPr="00695770">
        <w:rPr>
          <w:rFonts w:ascii="Arial" w:hAnsi="Arial" w:cs="Arial"/>
          <w:color w:val="7B7B7B" w:themeColor="accent3" w:themeShade="BF"/>
          <w:sz w:val="22"/>
          <w:szCs w:val="22"/>
          <w:lang w:val="en-GB"/>
        </w:rPr>
        <w:t>such as the UNCITRAL Model Law on Cross-Border Insolvency and the Principles</w:t>
      </w:r>
      <w:r>
        <w:rPr>
          <w:rFonts w:ascii="Arial" w:hAnsi="Arial" w:cs="Arial"/>
          <w:color w:val="7B7B7B" w:themeColor="accent3" w:themeShade="BF"/>
          <w:sz w:val="22"/>
          <w:szCs w:val="22"/>
          <w:lang w:val="en-GB"/>
        </w:rPr>
        <w:t xml:space="preserve">.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13B53C9F" w14:textId="6663A661" w:rsidR="00577AAF" w:rsidRDefault="00577AA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Utopia has adopted the </w:t>
      </w:r>
      <w:r w:rsidRPr="00577AAF">
        <w:rPr>
          <w:rFonts w:ascii="Arial" w:hAnsi="Arial" w:cs="Arial"/>
          <w:color w:val="7B7B7B" w:themeColor="accent3" w:themeShade="BF"/>
          <w:sz w:val="22"/>
          <w:szCs w:val="22"/>
          <w:lang w:val="en-GB"/>
        </w:rPr>
        <w:t>UNCITRAL Model Law on Cross-</w:t>
      </w:r>
      <w:r w:rsidR="0092004B">
        <w:rPr>
          <w:rFonts w:ascii="Arial" w:hAnsi="Arial" w:cs="Arial"/>
          <w:color w:val="7B7B7B" w:themeColor="accent3" w:themeShade="BF"/>
          <w:sz w:val="22"/>
          <w:szCs w:val="22"/>
          <w:lang w:val="en-GB"/>
        </w:rPr>
        <w:t>B</w:t>
      </w:r>
      <w:r w:rsidRPr="00577AAF">
        <w:rPr>
          <w:rFonts w:ascii="Arial" w:hAnsi="Arial" w:cs="Arial"/>
          <w:color w:val="7B7B7B" w:themeColor="accent3" w:themeShade="BF"/>
          <w:sz w:val="22"/>
          <w:szCs w:val="22"/>
          <w:lang w:val="en-GB"/>
        </w:rPr>
        <w:t>order Insolvency</w:t>
      </w:r>
      <w:r>
        <w:rPr>
          <w:rFonts w:ascii="Arial" w:hAnsi="Arial" w:cs="Arial"/>
          <w:color w:val="7B7B7B" w:themeColor="accent3" w:themeShade="BF"/>
          <w:sz w:val="22"/>
          <w:szCs w:val="22"/>
          <w:lang w:val="en-GB"/>
        </w:rPr>
        <w:t xml:space="preserve"> without modification, under the Cross-border Insolvency Act of Utopia –</w:t>
      </w:r>
    </w:p>
    <w:p w14:paraId="0FB0E356" w14:textId="665F41CE" w:rsidR="00273D12" w:rsidRDefault="001827BE" w:rsidP="00273D12">
      <w:pPr>
        <w:pStyle w:val="ListParagraph"/>
        <w:numPr>
          <w:ilvl w:val="0"/>
          <w:numId w:val="32"/>
        </w:numPr>
        <w:ind w:left="567" w:hanging="567"/>
        <w:jc w:val="both"/>
        <w:rPr>
          <w:rFonts w:ascii="Arial" w:hAnsi="Arial" w:cs="Arial"/>
          <w:color w:val="7B7B7B" w:themeColor="accent3" w:themeShade="BF"/>
          <w:sz w:val="22"/>
          <w:szCs w:val="22"/>
          <w:lang w:val="en-GB"/>
        </w:rPr>
      </w:pPr>
      <w:r w:rsidRPr="001827BE">
        <w:rPr>
          <w:rFonts w:ascii="Arial" w:hAnsi="Arial" w:cs="Arial"/>
          <w:color w:val="7B7B7B" w:themeColor="accent3" w:themeShade="BF"/>
          <w:sz w:val="22"/>
          <w:szCs w:val="22"/>
          <w:lang w:val="en-GB"/>
        </w:rPr>
        <w:t>the Erewhon liquidator may</w:t>
      </w:r>
      <w:r>
        <w:rPr>
          <w:rFonts w:ascii="Arial" w:hAnsi="Arial" w:cs="Arial"/>
          <w:color w:val="7B7B7B" w:themeColor="accent3" w:themeShade="BF"/>
          <w:sz w:val="22"/>
          <w:szCs w:val="22"/>
          <w:lang w:val="en-GB"/>
        </w:rPr>
        <w:t xml:space="preserve"> apply to the </w:t>
      </w:r>
      <w:r w:rsidR="00273D12">
        <w:rPr>
          <w:rFonts w:ascii="Arial" w:hAnsi="Arial" w:cs="Arial"/>
          <w:color w:val="7B7B7B" w:themeColor="accent3" w:themeShade="BF"/>
          <w:sz w:val="22"/>
          <w:szCs w:val="22"/>
          <w:lang w:val="en-GB"/>
        </w:rPr>
        <w:t>competent court in Utopia</w:t>
      </w:r>
      <w:r>
        <w:rPr>
          <w:rFonts w:ascii="Arial" w:hAnsi="Arial" w:cs="Arial"/>
          <w:color w:val="7B7B7B" w:themeColor="accent3" w:themeShade="BF"/>
          <w:sz w:val="22"/>
          <w:szCs w:val="22"/>
          <w:lang w:val="en-GB"/>
        </w:rPr>
        <w:t xml:space="preserve"> for the recognition of the Erewhon </w:t>
      </w:r>
      <w:r w:rsidR="007F44F0">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proceeding in which the liquidator was appointed;</w:t>
      </w:r>
      <w:r w:rsidR="007F44F0">
        <w:rPr>
          <w:rStyle w:val="FootnoteReference"/>
          <w:rFonts w:ascii="Arial" w:hAnsi="Arial" w:cs="Arial"/>
          <w:color w:val="7B7B7B" w:themeColor="accent3" w:themeShade="BF"/>
          <w:sz w:val="22"/>
          <w:szCs w:val="22"/>
          <w:lang w:val="en-GB"/>
        </w:rPr>
        <w:footnoteReference w:id="10"/>
      </w:r>
    </w:p>
    <w:p w14:paraId="6A924AEA" w14:textId="3AFD49A0" w:rsidR="007F44F0" w:rsidRDefault="00273D12" w:rsidP="00273D12">
      <w:pPr>
        <w:pStyle w:val="ListParagraph"/>
        <w:numPr>
          <w:ilvl w:val="0"/>
          <w:numId w:val="32"/>
        </w:numPr>
        <w:ind w:left="567" w:hanging="567"/>
        <w:jc w:val="both"/>
        <w:rPr>
          <w:rFonts w:ascii="Arial" w:hAnsi="Arial" w:cs="Arial"/>
          <w:color w:val="7B7B7B" w:themeColor="accent3" w:themeShade="BF"/>
          <w:sz w:val="22"/>
          <w:szCs w:val="22"/>
          <w:lang w:val="en-GB"/>
        </w:rPr>
      </w:pPr>
      <w:r w:rsidRPr="00273D12">
        <w:rPr>
          <w:rFonts w:ascii="Arial" w:hAnsi="Arial" w:cs="Arial"/>
          <w:color w:val="7B7B7B" w:themeColor="accent3" w:themeShade="BF"/>
          <w:sz w:val="22"/>
          <w:szCs w:val="22"/>
          <w:lang w:val="en-GB"/>
        </w:rPr>
        <w:t>the Erewhon court proceeding may be recognised as either a foreign main proceeding or foreign non-main proceeding depending on where Nadir has its centre of main interest.</w:t>
      </w:r>
      <w:r w:rsidR="007F44F0">
        <w:rPr>
          <w:rStyle w:val="FootnoteReference"/>
          <w:rFonts w:ascii="Arial" w:hAnsi="Arial" w:cs="Arial"/>
          <w:color w:val="7B7B7B" w:themeColor="accent3" w:themeShade="BF"/>
          <w:sz w:val="22"/>
          <w:szCs w:val="22"/>
          <w:lang w:val="en-GB"/>
        </w:rPr>
        <w:footnoteReference w:id="11"/>
      </w:r>
      <w:r w:rsidRPr="00273D12">
        <w:rPr>
          <w:rFonts w:ascii="Arial" w:hAnsi="Arial" w:cs="Arial"/>
          <w:color w:val="7B7B7B" w:themeColor="accent3" w:themeShade="BF"/>
          <w:sz w:val="22"/>
          <w:szCs w:val="22"/>
          <w:lang w:val="en-GB"/>
        </w:rPr>
        <w:t xml:space="preserve"> </w:t>
      </w:r>
    </w:p>
    <w:p w14:paraId="31B003EA" w14:textId="7D75A28A" w:rsidR="00273D12" w:rsidRPr="00273D12" w:rsidRDefault="00273D12" w:rsidP="007F44F0">
      <w:pPr>
        <w:pStyle w:val="ListParagraph"/>
        <w:ind w:left="567"/>
        <w:jc w:val="both"/>
        <w:rPr>
          <w:rFonts w:ascii="Arial" w:hAnsi="Arial" w:cs="Arial"/>
          <w:color w:val="7B7B7B" w:themeColor="accent3" w:themeShade="BF"/>
          <w:sz w:val="22"/>
          <w:szCs w:val="22"/>
          <w:lang w:val="en-GB"/>
        </w:rPr>
      </w:pPr>
      <w:r w:rsidRPr="00273D12">
        <w:rPr>
          <w:rFonts w:ascii="Arial" w:hAnsi="Arial" w:cs="Arial"/>
          <w:color w:val="7B7B7B" w:themeColor="accent3" w:themeShade="BF"/>
          <w:sz w:val="22"/>
          <w:szCs w:val="22"/>
          <w:lang w:val="en-GB"/>
        </w:rPr>
        <w:t xml:space="preserve">(Additional information required to answer the question: </w:t>
      </w:r>
      <w:r w:rsidR="00D60BE6">
        <w:rPr>
          <w:rFonts w:ascii="Arial" w:hAnsi="Arial" w:cs="Arial"/>
          <w:color w:val="7B7B7B" w:themeColor="accent3" w:themeShade="BF"/>
          <w:sz w:val="22"/>
          <w:szCs w:val="22"/>
          <w:lang w:val="en-GB"/>
        </w:rPr>
        <w:t>What is the date of commencement of the</w:t>
      </w:r>
      <w:r w:rsidRPr="00273D12">
        <w:rPr>
          <w:rFonts w:ascii="Arial" w:hAnsi="Arial" w:cs="Arial"/>
          <w:color w:val="7B7B7B" w:themeColor="accent3" w:themeShade="BF"/>
          <w:sz w:val="22"/>
          <w:szCs w:val="22"/>
          <w:lang w:val="en-GB"/>
        </w:rPr>
        <w:t xml:space="preserve"> Erewhon insolvency proceeding</w:t>
      </w:r>
      <w:r w:rsidR="00D60BE6">
        <w:rPr>
          <w:rFonts w:ascii="Arial" w:hAnsi="Arial" w:cs="Arial"/>
          <w:color w:val="7B7B7B" w:themeColor="accent3" w:themeShade="BF"/>
          <w:sz w:val="22"/>
          <w:szCs w:val="22"/>
          <w:lang w:val="en-GB"/>
        </w:rPr>
        <w:t>?</w:t>
      </w:r>
      <w:r w:rsidRPr="00273D12">
        <w:rPr>
          <w:rFonts w:ascii="Arial" w:hAnsi="Arial" w:cs="Arial"/>
          <w:color w:val="7B7B7B" w:themeColor="accent3" w:themeShade="BF"/>
          <w:sz w:val="22"/>
          <w:szCs w:val="22"/>
          <w:lang w:val="en-GB"/>
        </w:rPr>
        <w:t xml:space="preserve"> Since Nadir was incorporated in Erewhon and had its head office in Erewhon until one month ago, the fact of whether the Erewhon insolvency proceeding commenced before or after Nadir moved to Utopia would be relevant in determining Nadir’s centre of main interest. Determination of the </w:t>
      </w:r>
      <w:r w:rsidRPr="00273D12">
        <w:rPr>
          <w:rFonts w:ascii="Arial" w:hAnsi="Arial" w:cs="Arial"/>
          <w:color w:val="7B7B7B" w:themeColor="accent3" w:themeShade="BF"/>
          <w:sz w:val="22"/>
          <w:szCs w:val="22"/>
          <w:lang w:val="en-GB"/>
        </w:rPr>
        <w:lastRenderedPageBreak/>
        <w:t>centre of main interest will in turn determine if the Erewhon insolvency proceeding is a “</w:t>
      </w:r>
      <w:r w:rsidR="00C114DF">
        <w:rPr>
          <w:rFonts w:ascii="Arial" w:hAnsi="Arial" w:cs="Arial"/>
          <w:color w:val="7B7B7B" w:themeColor="accent3" w:themeShade="BF"/>
          <w:sz w:val="22"/>
          <w:szCs w:val="22"/>
          <w:lang w:val="en-GB"/>
        </w:rPr>
        <w:t>f</w:t>
      </w:r>
      <w:r w:rsidRPr="00273D12">
        <w:rPr>
          <w:rFonts w:ascii="Arial" w:hAnsi="Arial" w:cs="Arial"/>
          <w:color w:val="7B7B7B" w:themeColor="accent3" w:themeShade="BF"/>
          <w:sz w:val="22"/>
          <w:szCs w:val="22"/>
          <w:lang w:val="en-GB"/>
        </w:rPr>
        <w:t>oreign main proceeding” or “</w:t>
      </w:r>
      <w:r w:rsidR="00C114DF">
        <w:rPr>
          <w:rFonts w:ascii="Arial" w:hAnsi="Arial" w:cs="Arial"/>
          <w:color w:val="7B7B7B" w:themeColor="accent3" w:themeShade="BF"/>
          <w:sz w:val="22"/>
          <w:szCs w:val="22"/>
          <w:lang w:val="en-GB"/>
        </w:rPr>
        <w:t>f</w:t>
      </w:r>
      <w:r w:rsidRPr="00273D12">
        <w:rPr>
          <w:rFonts w:ascii="Arial" w:hAnsi="Arial" w:cs="Arial"/>
          <w:color w:val="7B7B7B" w:themeColor="accent3" w:themeShade="BF"/>
          <w:sz w:val="22"/>
          <w:szCs w:val="22"/>
          <w:lang w:val="en-GB"/>
        </w:rPr>
        <w:t>oreign non-main proceeding”.</w:t>
      </w:r>
      <w:r>
        <w:rPr>
          <w:rFonts w:ascii="Arial" w:hAnsi="Arial" w:cs="Arial"/>
          <w:color w:val="7B7B7B" w:themeColor="accent3" w:themeShade="BF"/>
          <w:sz w:val="22"/>
          <w:szCs w:val="22"/>
          <w:lang w:val="en-GB"/>
        </w:rPr>
        <w:t>)</w:t>
      </w:r>
      <w:r w:rsidR="007F44F0">
        <w:rPr>
          <w:rFonts w:ascii="Arial" w:hAnsi="Arial" w:cs="Arial"/>
          <w:color w:val="7B7B7B" w:themeColor="accent3" w:themeShade="BF"/>
          <w:sz w:val="22"/>
          <w:szCs w:val="22"/>
          <w:lang w:val="en-GB"/>
        </w:rPr>
        <w:t>;</w:t>
      </w:r>
    </w:p>
    <w:p w14:paraId="5886B117" w14:textId="1BCBAAB7" w:rsidR="00273D12" w:rsidRPr="00C114DF" w:rsidRDefault="00273D12" w:rsidP="00C114DF">
      <w:pPr>
        <w:pStyle w:val="ListParagraph"/>
        <w:numPr>
          <w:ilvl w:val="0"/>
          <w:numId w:val="3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Erewhon proceeding is recognised as a foreign main proceeding</w:t>
      </w:r>
      <w:r w:rsidR="00C114DF">
        <w:rPr>
          <w:rFonts w:ascii="Arial" w:hAnsi="Arial" w:cs="Arial"/>
          <w:color w:val="7B7B7B" w:themeColor="accent3" w:themeShade="BF"/>
          <w:sz w:val="22"/>
          <w:szCs w:val="22"/>
          <w:lang w:val="en-GB"/>
        </w:rPr>
        <w:t xml:space="preserve">, </w:t>
      </w:r>
      <w:r w:rsidR="00C114DF">
        <w:rPr>
          <w:rFonts w:ascii="Arial" w:hAnsi="Arial" w:cs="Arial"/>
          <w:color w:val="7B7B7B" w:themeColor="accent3" w:themeShade="BF"/>
          <w:sz w:val="22"/>
          <w:szCs w:val="22"/>
          <w:lang w:val="en-GB"/>
        </w:rPr>
        <w:t>commencement or continuation of individual actions and individual proceedings against Nadir in Utopia will be stayed. This includes Apex’s court action against Nadir</w:t>
      </w:r>
      <w:r w:rsidR="00C114DF">
        <w:rPr>
          <w:rFonts w:ascii="Arial" w:hAnsi="Arial" w:cs="Arial"/>
          <w:color w:val="7B7B7B" w:themeColor="accent3" w:themeShade="BF"/>
          <w:sz w:val="22"/>
          <w:szCs w:val="22"/>
          <w:lang w:val="en-GB"/>
        </w:rPr>
        <w:t xml:space="preserve">. </w:t>
      </w:r>
      <w:r w:rsidR="00C114DF" w:rsidRPr="00C114DF">
        <w:rPr>
          <w:rFonts w:ascii="Arial" w:hAnsi="Arial" w:cs="Arial"/>
          <w:color w:val="7B7B7B" w:themeColor="accent3" w:themeShade="BF"/>
          <w:sz w:val="22"/>
          <w:szCs w:val="22"/>
          <w:lang w:val="en-GB"/>
        </w:rPr>
        <w:t>However, this provision will not affect the right to commence individual actions or proceedings to the extent necessary to preserve a claim against Nadir. This means that if limitation may set in in respect of any claims against Nadir, the claimant may file the claim to stop the running of the limitation period. Once the claim has been preserved, the action continues to be covered by the stay</w:t>
      </w:r>
      <w:r w:rsidR="00C114DF">
        <w:rPr>
          <w:rFonts w:ascii="Arial" w:hAnsi="Arial" w:cs="Arial"/>
          <w:color w:val="7B7B7B" w:themeColor="accent3" w:themeShade="BF"/>
          <w:sz w:val="22"/>
          <w:szCs w:val="22"/>
          <w:lang w:val="en-GB"/>
        </w:rPr>
        <w:t>;</w:t>
      </w:r>
      <w:r w:rsidR="00C114DF">
        <w:rPr>
          <w:rStyle w:val="FootnoteReference"/>
          <w:rFonts w:ascii="Arial" w:hAnsi="Arial" w:cs="Arial"/>
          <w:color w:val="7B7B7B" w:themeColor="accent3" w:themeShade="BF"/>
          <w:sz w:val="22"/>
          <w:szCs w:val="22"/>
          <w:lang w:val="en-GB"/>
        </w:rPr>
        <w:footnoteReference w:id="12"/>
      </w:r>
      <w:r w:rsidR="00C114DF">
        <w:rPr>
          <w:rFonts w:ascii="Arial" w:hAnsi="Arial" w:cs="Arial"/>
          <w:color w:val="7B7B7B" w:themeColor="accent3" w:themeShade="BF"/>
          <w:sz w:val="22"/>
          <w:szCs w:val="22"/>
          <w:lang w:val="en-GB"/>
        </w:rPr>
        <w:t xml:space="preserve"> and</w:t>
      </w:r>
    </w:p>
    <w:p w14:paraId="0AAFA981" w14:textId="77777777" w:rsidR="00C114DF" w:rsidRDefault="00CC4CF1" w:rsidP="00C114DF">
      <w:pPr>
        <w:pStyle w:val="ListParagraph"/>
        <w:numPr>
          <w:ilvl w:val="0"/>
          <w:numId w:val="3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Erewhon proceeding is recognised as a foreign non-main proceeding, </w:t>
      </w:r>
      <w:r w:rsidR="00C114DF">
        <w:rPr>
          <w:rFonts w:ascii="Arial" w:hAnsi="Arial" w:cs="Arial"/>
          <w:color w:val="7B7B7B" w:themeColor="accent3" w:themeShade="BF"/>
          <w:sz w:val="22"/>
          <w:szCs w:val="22"/>
          <w:lang w:val="en-GB"/>
        </w:rPr>
        <w:t>a stay of Apex’s court action against Nadir will not be automatically granted</w:t>
      </w:r>
      <w:r>
        <w:rPr>
          <w:rFonts w:ascii="Arial" w:hAnsi="Arial" w:cs="Arial"/>
          <w:color w:val="7B7B7B" w:themeColor="accent3" w:themeShade="BF"/>
          <w:sz w:val="22"/>
          <w:szCs w:val="22"/>
          <w:lang w:val="en-GB"/>
        </w:rPr>
        <w:t xml:space="preserve"> </w:t>
      </w:r>
      <w:r w:rsidR="00C114DF">
        <w:rPr>
          <w:rFonts w:ascii="Arial" w:hAnsi="Arial" w:cs="Arial"/>
          <w:color w:val="7B7B7B" w:themeColor="accent3" w:themeShade="BF"/>
          <w:sz w:val="22"/>
          <w:szCs w:val="22"/>
          <w:lang w:val="en-GB"/>
        </w:rPr>
        <w:t>but</w:t>
      </w:r>
      <w:r>
        <w:rPr>
          <w:rFonts w:ascii="Arial" w:hAnsi="Arial" w:cs="Arial"/>
          <w:color w:val="7B7B7B" w:themeColor="accent3" w:themeShade="BF"/>
          <w:sz w:val="22"/>
          <w:szCs w:val="22"/>
          <w:lang w:val="en-GB"/>
        </w:rPr>
        <w:t xml:space="preserve"> will be at the discretion</w:t>
      </w:r>
      <w:r w:rsidR="00C114DF">
        <w:rPr>
          <w:rFonts w:ascii="Arial" w:hAnsi="Arial" w:cs="Arial"/>
          <w:color w:val="7B7B7B" w:themeColor="accent3" w:themeShade="BF"/>
          <w:sz w:val="22"/>
          <w:szCs w:val="22"/>
          <w:lang w:val="en-GB"/>
        </w:rPr>
        <w:t xml:space="preserve"> of the Utopian competent court.</w:t>
      </w:r>
      <w:r w:rsidR="00C114DF">
        <w:rPr>
          <w:rStyle w:val="FootnoteReference"/>
          <w:rFonts w:ascii="Arial" w:hAnsi="Arial" w:cs="Arial"/>
          <w:color w:val="7B7B7B" w:themeColor="accent3" w:themeShade="BF"/>
          <w:sz w:val="22"/>
          <w:szCs w:val="22"/>
          <w:lang w:val="en-GB"/>
        </w:rPr>
        <w:footnoteReference w:id="13"/>
      </w:r>
    </w:p>
    <w:p w14:paraId="3B88C826" w14:textId="77777777" w:rsidR="00C114DF" w:rsidRDefault="00C114DF" w:rsidP="00C114DF">
      <w:pPr>
        <w:pStyle w:val="ListParagraph"/>
        <w:ind w:left="567"/>
        <w:jc w:val="both"/>
        <w:rPr>
          <w:rFonts w:ascii="Arial" w:hAnsi="Arial" w:cs="Arial"/>
          <w:color w:val="7B7B7B" w:themeColor="accent3" w:themeShade="BF"/>
          <w:sz w:val="22"/>
          <w:szCs w:val="22"/>
          <w:lang w:val="en-GB"/>
        </w:rPr>
      </w:pPr>
    </w:p>
    <w:p w14:paraId="1B2518AF" w14:textId="6A182678" w:rsidR="00DC207E" w:rsidRPr="001827BE" w:rsidRDefault="00C114DF" w:rsidP="00C114DF">
      <w:pPr>
        <w:pStyle w:val="ListParagraph"/>
        <w:ind w:left="567"/>
        <w:jc w:val="both"/>
        <w:rPr>
          <w:rFonts w:ascii="Arial" w:hAnsi="Arial" w:cs="Arial"/>
          <w:color w:val="7B7B7B" w:themeColor="accent3" w:themeShade="BF"/>
          <w:sz w:val="22"/>
          <w:szCs w:val="22"/>
          <w:lang w:val="en-GB"/>
        </w:rPr>
      </w:pPr>
      <w:r w:rsidRPr="001827BE">
        <w:rPr>
          <w:rFonts w:ascii="Arial" w:hAnsi="Arial" w:cs="Arial"/>
          <w:color w:val="7B7B7B" w:themeColor="accent3" w:themeShade="BF"/>
          <w:sz w:val="22"/>
          <w:szCs w:val="22"/>
          <w:lang w:val="en-GB"/>
        </w:rPr>
        <w:t xml:space="preserve"> </w:t>
      </w: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70D45220" w14:textId="77777777" w:rsidR="005D257C" w:rsidRDefault="005D257C"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4A48F746" w14:textId="7B2FF4A9" w:rsidR="00D37667" w:rsidRDefault="00F738E7"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alternative scenario (a), the answer is yes, </w:t>
      </w:r>
      <w:r w:rsidRPr="00F738E7">
        <w:rPr>
          <w:rFonts w:ascii="Arial" w:hAnsi="Arial" w:cs="Arial"/>
          <w:color w:val="7B7B7B" w:themeColor="accent3" w:themeShade="BF"/>
          <w:sz w:val="22"/>
          <w:szCs w:val="22"/>
          <w:lang w:val="en-GB"/>
        </w:rPr>
        <w:t>it would make a difference to my answer in question 4.1</w:t>
      </w:r>
      <w:r>
        <w:rPr>
          <w:rFonts w:ascii="Arial" w:hAnsi="Arial" w:cs="Arial"/>
          <w:color w:val="7B7B7B" w:themeColor="accent3" w:themeShade="BF"/>
          <w:sz w:val="22"/>
          <w:szCs w:val="22"/>
          <w:lang w:val="en-GB"/>
        </w:rPr>
        <w:t xml:space="preserve">. If </w:t>
      </w:r>
      <w:r w:rsidRPr="00F738E7">
        <w:rPr>
          <w:rFonts w:ascii="Arial" w:hAnsi="Arial" w:cs="Arial"/>
          <w:color w:val="7B7B7B" w:themeColor="accent3" w:themeShade="BF"/>
          <w:sz w:val="22"/>
          <w:szCs w:val="22"/>
          <w:lang w:val="en-GB"/>
        </w:rPr>
        <w:t>Apex had filed proceedings to wind-up Nadir, but the matter had not yet been heard</w:t>
      </w:r>
      <w:r w:rsidR="005D257C">
        <w:rPr>
          <w:rFonts w:ascii="Arial" w:hAnsi="Arial" w:cs="Arial"/>
          <w:color w:val="7B7B7B" w:themeColor="accent3" w:themeShade="BF"/>
          <w:sz w:val="22"/>
          <w:szCs w:val="22"/>
          <w:lang w:val="en-GB"/>
        </w:rPr>
        <w:t xml:space="preserve">, </w:t>
      </w:r>
      <w:r w:rsidR="00D37667">
        <w:rPr>
          <w:rFonts w:ascii="Arial" w:hAnsi="Arial" w:cs="Arial"/>
          <w:color w:val="7B7B7B" w:themeColor="accent3" w:themeShade="BF"/>
          <w:sz w:val="22"/>
          <w:szCs w:val="22"/>
          <w:lang w:val="en-GB"/>
        </w:rPr>
        <w:t>the following will apply –</w:t>
      </w:r>
    </w:p>
    <w:p w14:paraId="27B417C6" w14:textId="4D763A48" w:rsidR="007F44F0" w:rsidRDefault="007F44F0" w:rsidP="00D37667">
      <w:pPr>
        <w:pStyle w:val="ListParagraph"/>
        <w:numPr>
          <w:ilvl w:val="0"/>
          <w:numId w:val="36"/>
        </w:numPr>
        <w:autoSpaceDE w:val="0"/>
        <w:autoSpaceDN w:val="0"/>
        <w:adjustRightInd w:val="0"/>
        <w:spacing w:line="276" w:lineRule="auto"/>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recognition of the Erewhon insolvency proceeding, the Erewhon liquidator will be entitled to participate in the winding-up proceedings filed by Apex in Utopia;</w:t>
      </w:r>
      <w:r>
        <w:rPr>
          <w:rStyle w:val="FootnoteReference"/>
          <w:rFonts w:ascii="Arial" w:hAnsi="Arial" w:cs="Arial"/>
          <w:color w:val="7B7B7B" w:themeColor="accent3" w:themeShade="BF"/>
          <w:sz w:val="22"/>
          <w:szCs w:val="22"/>
          <w:lang w:val="en-GB"/>
        </w:rPr>
        <w:footnoteReference w:id="14"/>
      </w:r>
    </w:p>
    <w:p w14:paraId="671ACF55" w14:textId="3BBEF46F" w:rsidR="00D37667" w:rsidRDefault="005D257C" w:rsidP="00D37667">
      <w:pPr>
        <w:pStyle w:val="ListParagraph"/>
        <w:numPr>
          <w:ilvl w:val="0"/>
          <w:numId w:val="36"/>
        </w:numPr>
        <w:autoSpaceDE w:val="0"/>
        <w:autoSpaceDN w:val="0"/>
        <w:adjustRightInd w:val="0"/>
        <w:spacing w:line="276" w:lineRule="auto"/>
        <w:ind w:left="567" w:hanging="567"/>
        <w:jc w:val="both"/>
        <w:rPr>
          <w:rFonts w:ascii="Arial" w:hAnsi="Arial" w:cs="Arial"/>
          <w:color w:val="7B7B7B" w:themeColor="accent3" w:themeShade="BF"/>
          <w:sz w:val="22"/>
          <w:szCs w:val="22"/>
          <w:lang w:val="en-GB"/>
        </w:rPr>
      </w:pPr>
      <w:r w:rsidRPr="00D37667">
        <w:rPr>
          <w:rFonts w:ascii="Arial" w:hAnsi="Arial" w:cs="Arial"/>
          <w:color w:val="7B7B7B" w:themeColor="accent3" w:themeShade="BF"/>
          <w:sz w:val="22"/>
          <w:szCs w:val="22"/>
          <w:lang w:val="en-GB"/>
        </w:rPr>
        <w:t>Apex will be allowed to proceed with the winding-up proceedings</w:t>
      </w:r>
      <w:r w:rsidR="00D37667">
        <w:rPr>
          <w:rFonts w:ascii="Arial" w:hAnsi="Arial" w:cs="Arial"/>
          <w:color w:val="7B7B7B" w:themeColor="accent3" w:themeShade="BF"/>
          <w:sz w:val="22"/>
          <w:szCs w:val="22"/>
          <w:lang w:val="en-GB"/>
        </w:rPr>
        <w:t>. However, this is</w:t>
      </w:r>
      <w:r w:rsidRPr="00D37667">
        <w:rPr>
          <w:rFonts w:ascii="Arial" w:hAnsi="Arial" w:cs="Arial"/>
          <w:color w:val="7B7B7B" w:themeColor="accent3" w:themeShade="BF"/>
          <w:sz w:val="22"/>
          <w:szCs w:val="22"/>
          <w:lang w:val="en-GB"/>
        </w:rPr>
        <w:t xml:space="preserve"> only if Nadir has assets located in Utopia. The effects of the winding-up proceedings filed by Apex will be restricted </w:t>
      </w:r>
      <w:r w:rsidR="00D37667">
        <w:rPr>
          <w:rFonts w:ascii="Arial" w:hAnsi="Arial" w:cs="Arial"/>
          <w:color w:val="7B7B7B" w:themeColor="accent3" w:themeShade="BF"/>
          <w:sz w:val="22"/>
          <w:szCs w:val="22"/>
          <w:lang w:val="en-GB"/>
        </w:rPr>
        <w:t>to</w:t>
      </w:r>
      <w:r w:rsidRPr="00D37667">
        <w:rPr>
          <w:rFonts w:ascii="Arial" w:hAnsi="Arial" w:cs="Arial"/>
          <w:color w:val="7B7B7B" w:themeColor="accent3" w:themeShade="BF"/>
          <w:sz w:val="22"/>
          <w:szCs w:val="22"/>
          <w:lang w:val="en-GB"/>
        </w:rPr>
        <w:t xml:space="preserve"> the assets of Nadir that are located in Utopia and </w:t>
      </w:r>
      <w:r w:rsidR="00D37667">
        <w:rPr>
          <w:rFonts w:ascii="Arial" w:hAnsi="Arial" w:cs="Arial"/>
          <w:color w:val="7B7B7B" w:themeColor="accent3" w:themeShade="BF"/>
          <w:sz w:val="22"/>
          <w:szCs w:val="22"/>
          <w:lang w:val="en-GB"/>
        </w:rPr>
        <w:t xml:space="preserve">to </w:t>
      </w:r>
      <w:r w:rsidRPr="00D37667">
        <w:rPr>
          <w:rFonts w:ascii="Arial" w:hAnsi="Arial" w:cs="Arial"/>
          <w:color w:val="7B7B7B" w:themeColor="accent3" w:themeShade="BF"/>
          <w:sz w:val="22"/>
          <w:szCs w:val="22"/>
          <w:lang w:val="en-GB"/>
        </w:rPr>
        <w:t>the extent necessary to implement provisions on cooperation and coordination with foreign courts and foreign representatives, to other assets of Nadir that, under the laws of Utopia, should be administered in the winding-up proceedings initiated by A</w:t>
      </w:r>
      <w:r w:rsidR="00D37667">
        <w:rPr>
          <w:rFonts w:ascii="Arial" w:hAnsi="Arial" w:cs="Arial"/>
          <w:color w:val="7B7B7B" w:themeColor="accent3" w:themeShade="BF"/>
          <w:sz w:val="22"/>
          <w:szCs w:val="22"/>
          <w:lang w:val="en-GB"/>
        </w:rPr>
        <w:t>pex;</w:t>
      </w:r>
      <w:r w:rsidR="006E3ABB">
        <w:rPr>
          <w:rStyle w:val="FootnoteReference"/>
          <w:rFonts w:ascii="Arial" w:hAnsi="Arial" w:cs="Arial"/>
          <w:color w:val="7B7B7B" w:themeColor="accent3" w:themeShade="BF"/>
          <w:sz w:val="22"/>
          <w:szCs w:val="22"/>
          <w:lang w:val="en-GB"/>
        </w:rPr>
        <w:footnoteReference w:id="15"/>
      </w:r>
      <w:r w:rsidR="006E3ABB" w:rsidRPr="00D37667">
        <w:rPr>
          <w:rFonts w:ascii="Arial" w:hAnsi="Arial" w:cs="Arial"/>
          <w:color w:val="7B7B7B" w:themeColor="accent3" w:themeShade="BF"/>
          <w:sz w:val="22"/>
          <w:szCs w:val="22"/>
          <w:lang w:val="en-GB"/>
        </w:rPr>
        <w:t xml:space="preserve"> </w:t>
      </w:r>
    </w:p>
    <w:p w14:paraId="59F84982" w14:textId="5B40B4B7" w:rsidR="00D37667" w:rsidRDefault="006E3ABB" w:rsidP="00D37667">
      <w:pPr>
        <w:pStyle w:val="ListParagraph"/>
        <w:numPr>
          <w:ilvl w:val="0"/>
          <w:numId w:val="36"/>
        </w:numPr>
        <w:autoSpaceDE w:val="0"/>
        <w:autoSpaceDN w:val="0"/>
        <w:adjustRightInd w:val="0"/>
        <w:spacing w:line="276" w:lineRule="auto"/>
        <w:ind w:left="567" w:hanging="567"/>
        <w:jc w:val="both"/>
        <w:rPr>
          <w:rFonts w:ascii="Arial" w:hAnsi="Arial" w:cs="Arial"/>
          <w:color w:val="7B7B7B" w:themeColor="accent3" w:themeShade="BF"/>
          <w:sz w:val="22"/>
          <w:szCs w:val="22"/>
          <w:lang w:val="en-GB"/>
        </w:rPr>
      </w:pPr>
      <w:r w:rsidRPr="00D37667">
        <w:rPr>
          <w:rFonts w:ascii="Arial" w:hAnsi="Arial" w:cs="Arial"/>
          <w:color w:val="7B7B7B" w:themeColor="accent3" w:themeShade="BF"/>
          <w:sz w:val="22"/>
          <w:szCs w:val="22"/>
          <w:lang w:val="en-GB"/>
        </w:rPr>
        <w:t>the Utopian competent court will ensure that any discretionary relief</w:t>
      </w:r>
      <w:r w:rsidR="00C114DF">
        <w:rPr>
          <w:rStyle w:val="FootnoteReference"/>
          <w:rFonts w:ascii="Arial" w:hAnsi="Arial" w:cs="Arial"/>
          <w:color w:val="7B7B7B" w:themeColor="accent3" w:themeShade="BF"/>
          <w:sz w:val="22"/>
          <w:szCs w:val="22"/>
          <w:lang w:val="en-GB"/>
        </w:rPr>
        <w:footnoteReference w:id="16"/>
      </w:r>
      <w:r w:rsidRPr="00D37667">
        <w:rPr>
          <w:rFonts w:ascii="Arial" w:hAnsi="Arial" w:cs="Arial"/>
          <w:color w:val="7B7B7B" w:themeColor="accent3" w:themeShade="BF"/>
          <w:sz w:val="22"/>
          <w:szCs w:val="22"/>
          <w:lang w:val="en-GB"/>
        </w:rPr>
        <w:t xml:space="preserve"> granted at the request of the Erewhon liquidator </w:t>
      </w:r>
      <w:r w:rsidRPr="00D37667">
        <w:rPr>
          <w:rFonts w:ascii="Arial" w:hAnsi="Arial" w:cs="Arial"/>
          <w:color w:val="7B7B7B" w:themeColor="accent3" w:themeShade="BF"/>
          <w:sz w:val="22"/>
          <w:szCs w:val="22"/>
          <w:lang w:val="en-GB"/>
        </w:rPr>
        <w:t>is consistent with the winding-up proceedings filed by Apex;</w:t>
      </w:r>
      <w:r w:rsidR="00D37667">
        <w:rPr>
          <w:rStyle w:val="FootnoteReference"/>
          <w:rFonts w:ascii="Arial" w:hAnsi="Arial" w:cs="Arial"/>
          <w:color w:val="7B7B7B" w:themeColor="accent3" w:themeShade="BF"/>
          <w:sz w:val="22"/>
          <w:szCs w:val="22"/>
          <w:lang w:val="en-GB"/>
        </w:rPr>
        <w:footnoteReference w:id="17"/>
      </w:r>
      <w:r w:rsidRPr="00D37667">
        <w:rPr>
          <w:rFonts w:ascii="Arial" w:hAnsi="Arial" w:cs="Arial"/>
          <w:color w:val="7B7B7B" w:themeColor="accent3" w:themeShade="BF"/>
          <w:sz w:val="22"/>
          <w:szCs w:val="22"/>
          <w:lang w:val="en-GB"/>
        </w:rPr>
        <w:t xml:space="preserve"> and</w:t>
      </w:r>
    </w:p>
    <w:p w14:paraId="7B47534D" w14:textId="25C18DE8" w:rsidR="006E3ABB" w:rsidRDefault="006E3ABB" w:rsidP="00D37667">
      <w:pPr>
        <w:pStyle w:val="ListParagraph"/>
        <w:numPr>
          <w:ilvl w:val="0"/>
          <w:numId w:val="36"/>
        </w:numPr>
        <w:autoSpaceDE w:val="0"/>
        <w:autoSpaceDN w:val="0"/>
        <w:adjustRightInd w:val="0"/>
        <w:spacing w:line="276" w:lineRule="auto"/>
        <w:ind w:left="567" w:hanging="567"/>
        <w:jc w:val="both"/>
        <w:rPr>
          <w:rFonts w:ascii="Arial" w:hAnsi="Arial" w:cs="Arial"/>
          <w:color w:val="7B7B7B" w:themeColor="accent3" w:themeShade="BF"/>
          <w:sz w:val="22"/>
          <w:szCs w:val="22"/>
          <w:lang w:val="en-GB"/>
        </w:rPr>
      </w:pPr>
      <w:r w:rsidRPr="00D37667">
        <w:rPr>
          <w:rFonts w:ascii="Arial" w:hAnsi="Arial" w:cs="Arial"/>
          <w:color w:val="7B7B7B" w:themeColor="accent3" w:themeShade="BF"/>
          <w:sz w:val="22"/>
          <w:szCs w:val="22"/>
          <w:lang w:val="en-GB"/>
        </w:rPr>
        <w:t xml:space="preserve">if the </w:t>
      </w:r>
      <w:r w:rsidR="00D37667">
        <w:rPr>
          <w:rFonts w:ascii="Arial" w:hAnsi="Arial" w:cs="Arial"/>
          <w:color w:val="7B7B7B" w:themeColor="accent3" w:themeShade="BF"/>
          <w:sz w:val="22"/>
          <w:szCs w:val="22"/>
          <w:lang w:val="en-GB"/>
        </w:rPr>
        <w:t xml:space="preserve">Erewhon </w:t>
      </w:r>
      <w:r w:rsidRPr="00D37667">
        <w:rPr>
          <w:rFonts w:ascii="Arial" w:hAnsi="Arial" w:cs="Arial"/>
          <w:color w:val="7B7B7B" w:themeColor="accent3" w:themeShade="BF"/>
          <w:sz w:val="22"/>
          <w:szCs w:val="22"/>
          <w:lang w:val="en-GB"/>
        </w:rPr>
        <w:t xml:space="preserve">winding-up proceedings </w:t>
      </w:r>
      <w:r w:rsidR="00D37667">
        <w:rPr>
          <w:rFonts w:ascii="Arial" w:hAnsi="Arial" w:cs="Arial"/>
          <w:color w:val="7B7B7B" w:themeColor="accent3" w:themeShade="BF"/>
          <w:sz w:val="22"/>
          <w:szCs w:val="22"/>
          <w:lang w:val="en-GB"/>
        </w:rPr>
        <w:t>are</w:t>
      </w:r>
      <w:r w:rsidRPr="00D37667">
        <w:rPr>
          <w:rFonts w:ascii="Arial" w:hAnsi="Arial" w:cs="Arial"/>
          <w:color w:val="7B7B7B" w:themeColor="accent3" w:themeShade="BF"/>
          <w:sz w:val="22"/>
          <w:szCs w:val="22"/>
          <w:lang w:val="en-GB"/>
        </w:rPr>
        <w:t xml:space="preserve"> recognised by Utopia as </w:t>
      </w:r>
      <w:r w:rsidR="00D37667">
        <w:rPr>
          <w:rFonts w:ascii="Arial" w:hAnsi="Arial" w:cs="Arial"/>
          <w:color w:val="7B7B7B" w:themeColor="accent3" w:themeShade="BF"/>
          <w:sz w:val="22"/>
          <w:szCs w:val="22"/>
          <w:lang w:val="en-GB"/>
        </w:rPr>
        <w:t xml:space="preserve">a </w:t>
      </w:r>
      <w:r w:rsidRPr="00D37667">
        <w:rPr>
          <w:rFonts w:ascii="Arial" w:hAnsi="Arial" w:cs="Arial"/>
          <w:color w:val="7B7B7B" w:themeColor="accent3" w:themeShade="BF"/>
          <w:sz w:val="22"/>
          <w:szCs w:val="22"/>
          <w:lang w:val="en-GB"/>
        </w:rPr>
        <w:t xml:space="preserve">foreign main proceeding, the </w:t>
      </w:r>
      <w:r w:rsidR="00C114DF">
        <w:rPr>
          <w:rFonts w:ascii="Arial" w:hAnsi="Arial" w:cs="Arial"/>
          <w:color w:val="7B7B7B" w:themeColor="accent3" w:themeShade="BF"/>
          <w:sz w:val="22"/>
          <w:szCs w:val="22"/>
          <w:lang w:val="en-GB"/>
        </w:rPr>
        <w:t>stay and suspension of individual actions and proceedings</w:t>
      </w:r>
      <w:r w:rsidR="00FB07EA">
        <w:rPr>
          <w:rStyle w:val="FootnoteReference"/>
          <w:rFonts w:ascii="Arial" w:hAnsi="Arial" w:cs="Arial"/>
          <w:color w:val="7B7B7B" w:themeColor="accent3" w:themeShade="BF"/>
          <w:sz w:val="22"/>
          <w:szCs w:val="22"/>
          <w:lang w:val="en-GB"/>
        </w:rPr>
        <w:footnoteReference w:id="18"/>
      </w:r>
      <w:r w:rsidRPr="00D37667">
        <w:rPr>
          <w:rFonts w:ascii="Arial" w:hAnsi="Arial" w:cs="Arial"/>
          <w:color w:val="7B7B7B" w:themeColor="accent3" w:themeShade="BF"/>
          <w:sz w:val="22"/>
          <w:szCs w:val="22"/>
          <w:lang w:val="en-GB"/>
        </w:rPr>
        <w:t xml:space="preserve"> will not be </w:t>
      </w:r>
      <w:r w:rsidR="00093C8F">
        <w:rPr>
          <w:rFonts w:ascii="Arial" w:hAnsi="Arial" w:cs="Arial"/>
          <w:color w:val="7B7B7B" w:themeColor="accent3" w:themeShade="BF"/>
          <w:sz w:val="22"/>
          <w:szCs w:val="22"/>
          <w:lang w:val="en-GB"/>
        </w:rPr>
        <w:t>automatically</w:t>
      </w:r>
      <w:r w:rsidRPr="00D37667">
        <w:rPr>
          <w:rFonts w:ascii="Arial" w:hAnsi="Arial" w:cs="Arial"/>
          <w:color w:val="7B7B7B" w:themeColor="accent3" w:themeShade="BF"/>
          <w:sz w:val="22"/>
          <w:szCs w:val="22"/>
          <w:lang w:val="en-GB"/>
        </w:rPr>
        <w:t xml:space="preserve"> granted.</w:t>
      </w:r>
      <w:r w:rsidR="004E192C">
        <w:rPr>
          <w:rStyle w:val="FootnoteReference"/>
          <w:rFonts w:ascii="Arial" w:hAnsi="Arial" w:cs="Arial"/>
          <w:color w:val="7B7B7B" w:themeColor="accent3" w:themeShade="BF"/>
          <w:sz w:val="22"/>
          <w:szCs w:val="22"/>
          <w:lang w:val="en-GB"/>
        </w:rPr>
        <w:footnoteReference w:id="19"/>
      </w:r>
    </w:p>
    <w:p w14:paraId="5F7236B1" w14:textId="7DB7BF7D" w:rsidR="004E192C" w:rsidRDefault="004E192C" w:rsidP="004E192C">
      <w:pPr>
        <w:autoSpaceDE w:val="0"/>
        <w:autoSpaceDN w:val="0"/>
        <w:adjustRightInd w:val="0"/>
        <w:spacing w:line="276" w:lineRule="auto"/>
        <w:jc w:val="both"/>
        <w:rPr>
          <w:rFonts w:ascii="Arial" w:hAnsi="Arial" w:cs="Arial"/>
          <w:color w:val="7B7B7B" w:themeColor="accent3" w:themeShade="BF"/>
          <w:sz w:val="22"/>
          <w:szCs w:val="22"/>
          <w:lang w:val="en-GB"/>
        </w:rPr>
      </w:pPr>
    </w:p>
    <w:p w14:paraId="34B8005C" w14:textId="77815646" w:rsidR="004E192C" w:rsidRDefault="004E192C" w:rsidP="004E192C">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For alternative scenario (</w:t>
      </w: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the answer is yes, </w:t>
      </w:r>
      <w:r w:rsidRPr="00F738E7">
        <w:rPr>
          <w:rFonts w:ascii="Arial" w:hAnsi="Arial" w:cs="Arial"/>
          <w:color w:val="7B7B7B" w:themeColor="accent3" w:themeShade="BF"/>
          <w:sz w:val="22"/>
          <w:szCs w:val="22"/>
          <w:lang w:val="en-GB"/>
        </w:rPr>
        <w:t>it would make a difference to my answer in question 4.1</w:t>
      </w:r>
      <w:r>
        <w:rPr>
          <w:rFonts w:ascii="Arial" w:hAnsi="Arial" w:cs="Arial"/>
          <w:color w:val="7B7B7B" w:themeColor="accent3" w:themeShade="BF"/>
          <w:sz w:val="22"/>
          <w:szCs w:val="22"/>
          <w:lang w:val="en-GB"/>
        </w:rPr>
        <w:t xml:space="preserve">. If </w:t>
      </w:r>
      <w:r w:rsidRPr="00F738E7">
        <w:rPr>
          <w:rFonts w:ascii="Arial" w:hAnsi="Arial" w:cs="Arial"/>
          <w:color w:val="7B7B7B" w:themeColor="accent3" w:themeShade="BF"/>
          <w:sz w:val="22"/>
          <w:szCs w:val="22"/>
          <w:lang w:val="en-GB"/>
        </w:rPr>
        <w:t xml:space="preserve">Apex had </w:t>
      </w:r>
      <w:r w:rsidRPr="004E192C">
        <w:rPr>
          <w:rFonts w:ascii="Arial" w:hAnsi="Arial" w:cs="Arial"/>
          <w:color w:val="7B7B7B" w:themeColor="accent3" w:themeShade="BF"/>
          <w:sz w:val="22"/>
          <w:szCs w:val="22"/>
          <w:lang w:val="en-GB"/>
        </w:rPr>
        <w:t>obtained a court order to wind-up Nadir in Utopia prior to the Erewhon winding-up order</w:t>
      </w:r>
      <w:r>
        <w:rPr>
          <w:rFonts w:ascii="Arial" w:hAnsi="Arial" w:cs="Arial"/>
          <w:color w:val="7B7B7B" w:themeColor="accent3" w:themeShade="BF"/>
          <w:sz w:val="22"/>
          <w:szCs w:val="22"/>
          <w:lang w:val="en-GB"/>
        </w:rPr>
        <w:t>, the following will apply –</w:t>
      </w:r>
    </w:p>
    <w:p w14:paraId="2C422AD4" w14:textId="77777777" w:rsidR="00FB07EA" w:rsidRDefault="00FB07EA" w:rsidP="00FB07EA">
      <w:pPr>
        <w:pStyle w:val="ListParagraph"/>
        <w:numPr>
          <w:ilvl w:val="0"/>
          <w:numId w:val="37"/>
        </w:numPr>
        <w:autoSpaceDE w:val="0"/>
        <w:autoSpaceDN w:val="0"/>
        <w:adjustRightInd w:val="0"/>
        <w:spacing w:line="276" w:lineRule="auto"/>
        <w:ind w:left="567" w:hanging="567"/>
        <w:jc w:val="both"/>
        <w:rPr>
          <w:rFonts w:ascii="Arial" w:hAnsi="Arial" w:cs="Arial"/>
          <w:color w:val="7B7B7B" w:themeColor="accent3" w:themeShade="BF"/>
          <w:sz w:val="22"/>
          <w:szCs w:val="22"/>
          <w:lang w:val="en-GB"/>
        </w:rPr>
      </w:pPr>
      <w:r w:rsidRPr="00D37667">
        <w:rPr>
          <w:rFonts w:ascii="Arial" w:hAnsi="Arial" w:cs="Arial"/>
          <w:color w:val="7B7B7B" w:themeColor="accent3" w:themeShade="BF"/>
          <w:sz w:val="22"/>
          <w:szCs w:val="22"/>
          <w:lang w:val="en-GB"/>
        </w:rPr>
        <w:t>the Utopian competent court will ensure that any discretionary relief</w:t>
      </w:r>
      <w:r>
        <w:rPr>
          <w:rStyle w:val="FootnoteReference"/>
          <w:rFonts w:ascii="Arial" w:hAnsi="Arial" w:cs="Arial"/>
          <w:color w:val="7B7B7B" w:themeColor="accent3" w:themeShade="BF"/>
          <w:sz w:val="22"/>
          <w:szCs w:val="22"/>
          <w:lang w:val="en-GB"/>
        </w:rPr>
        <w:footnoteReference w:id="20"/>
      </w:r>
      <w:r w:rsidRPr="00D37667">
        <w:rPr>
          <w:rFonts w:ascii="Arial" w:hAnsi="Arial" w:cs="Arial"/>
          <w:color w:val="7B7B7B" w:themeColor="accent3" w:themeShade="BF"/>
          <w:sz w:val="22"/>
          <w:szCs w:val="22"/>
          <w:lang w:val="en-GB"/>
        </w:rPr>
        <w:t xml:space="preserve"> granted at the request of the Erewhon liquidator is consistent with the winding-up proceedings filed by Apex;</w:t>
      </w:r>
      <w:r>
        <w:rPr>
          <w:rStyle w:val="FootnoteReference"/>
          <w:rFonts w:ascii="Arial" w:hAnsi="Arial" w:cs="Arial"/>
          <w:color w:val="7B7B7B" w:themeColor="accent3" w:themeShade="BF"/>
          <w:sz w:val="22"/>
          <w:szCs w:val="22"/>
          <w:lang w:val="en-GB"/>
        </w:rPr>
        <w:footnoteReference w:id="21"/>
      </w:r>
      <w:r w:rsidRPr="00D37667">
        <w:rPr>
          <w:rFonts w:ascii="Arial" w:hAnsi="Arial" w:cs="Arial"/>
          <w:color w:val="7B7B7B" w:themeColor="accent3" w:themeShade="BF"/>
          <w:sz w:val="22"/>
          <w:szCs w:val="22"/>
          <w:lang w:val="en-GB"/>
        </w:rPr>
        <w:t xml:space="preserve"> and</w:t>
      </w:r>
    </w:p>
    <w:p w14:paraId="0171CAD4" w14:textId="77777777" w:rsidR="00FB07EA" w:rsidRDefault="00FB07EA" w:rsidP="00FB07EA">
      <w:pPr>
        <w:pStyle w:val="ListParagraph"/>
        <w:numPr>
          <w:ilvl w:val="0"/>
          <w:numId w:val="37"/>
        </w:numPr>
        <w:autoSpaceDE w:val="0"/>
        <w:autoSpaceDN w:val="0"/>
        <w:adjustRightInd w:val="0"/>
        <w:spacing w:line="276" w:lineRule="auto"/>
        <w:ind w:left="567" w:hanging="567"/>
        <w:jc w:val="both"/>
        <w:rPr>
          <w:rFonts w:ascii="Arial" w:hAnsi="Arial" w:cs="Arial"/>
          <w:color w:val="7B7B7B" w:themeColor="accent3" w:themeShade="BF"/>
          <w:sz w:val="22"/>
          <w:szCs w:val="22"/>
          <w:lang w:val="en-GB"/>
        </w:rPr>
      </w:pPr>
      <w:r w:rsidRPr="00D37667">
        <w:rPr>
          <w:rFonts w:ascii="Arial" w:hAnsi="Arial" w:cs="Arial"/>
          <w:color w:val="7B7B7B" w:themeColor="accent3" w:themeShade="BF"/>
          <w:sz w:val="22"/>
          <w:szCs w:val="22"/>
          <w:lang w:val="en-GB"/>
        </w:rPr>
        <w:t xml:space="preserve">if the </w:t>
      </w:r>
      <w:r>
        <w:rPr>
          <w:rFonts w:ascii="Arial" w:hAnsi="Arial" w:cs="Arial"/>
          <w:color w:val="7B7B7B" w:themeColor="accent3" w:themeShade="BF"/>
          <w:sz w:val="22"/>
          <w:szCs w:val="22"/>
          <w:lang w:val="en-GB"/>
        </w:rPr>
        <w:t xml:space="preserve">Erewhon </w:t>
      </w:r>
      <w:r w:rsidRPr="00D37667">
        <w:rPr>
          <w:rFonts w:ascii="Arial" w:hAnsi="Arial" w:cs="Arial"/>
          <w:color w:val="7B7B7B" w:themeColor="accent3" w:themeShade="BF"/>
          <w:sz w:val="22"/>
          <w:szCs w:val="22"/>
          <w:lang w:val="en-GB"/>
        </w:rPr>
        <w:t xml:space="preserve">winding-up proceedings </w:t>
      </w:r>
      <w:r>
        <w:rPr>
          <w:rFonts w:ascii="Arial" w:hAnsi="Arial" w:cs="Arial"/>
          <w:color w:val="7B7B7B" w:themeColor="accent3" w:themeShade="BF"/>
          <w:sz w:val="22"/>
          <w:szCs w:val="22"/>
          <w:lang w:val="en-GB"/>
        </w:rPr>
        <w:t>are</w:t>
      </w:r>
      <w:r w:rsidRPr="00D37667">
        <w:rPr>
          <w:rFonts w:ascii="Arial" w:hAnsi="Arial" w:cs="Arial"/>
          <w:color w:val="7B7B7B" w:themeColor="accent3" w:themeShade="BF"/>
          <w:sz w:val="22"/>
          <w:szCs w:val="22"/>
          <w:lang w:val="en-GB"/>
        </w:rPr>
        <w:t xml:space="preserve"> recognised by Utopia as </w:t>
      </w:r>
      <w:r>
        <w:rPr>
          <w:rFonts w:ascii="Arial" w:hAnsi="Arial" w:cs="Arial"/>
          <w:color w:val="7B7B7B" w:themeColor="accent3" w:themeShade="BF"/>
          <w:sz w:val="22"/>
          <w:szCs w:val="22"/>
          <w:lang w:val="en-GB"/>
        </w:rPr>
        <w:t xml:space="preserve">a </w:t>
      </w:r>
      <w:r w:rsidRPr="00D37667">
        <w:rPr>
          <w:rFonts w:ascii="Arial" w:hAnsi="Arial" w:cs="Arial"/>
          <w:color w:val="7B7B7B" w:themeColor="accent3" w:themeShade="BF"/>
          <w:sz w:val="22"/>
          <w:szCs w:val="22"/>
          <w:lang w:val="en-GB"/>
        </w:rPr>
        <w:t xml:space="preserve">foreign main proceeding, the </w:t>
      </w:r>
      <w:r>
        <w:rPr>
          <w:rFonts w:ascii="Arial" w:hAnsi="Arial" w:cs="Arial"/>
          <w:color w:val="7B7B7B" w:themeColor="accent3" w:themeShade="BF"/>
          <w:sz w:val="22"/>
          <w:szCs w:val="22"/>
          <w:lang w:val="en-GB"/>
        </w:rPr>
        <w:t>stay and suspension of individual actions and proceedings</w:t>
      </w:r>
      <w:r>
        <w:rPr>
          <w:rStyle w:val="FootnoteReference"/>
          <w:rFonts w:ascii="Arial" w:hAnsi="Arial" w:cs="Arial"/>
          <w:color w:val="7B7B7B" w:themeColor="accent3" w:themeShade="BF"/>
          <w:sz w:val="22"/>
          <w:szCs w:val="22"/>
          <w:lang w:val="en-GB"/>
        </w:rPr>
        <w:footnoteReference w:id="22"/>
      </w:r>
      <w:r w:rsidRPr="00D37667">
        <w:rPr>
          <w:rFonts w:ascii="Arial" w:hAnsi="Arial" w:cs="Arial"/>
          <w:color w:val="7B7B7B" w:themeColor="accent3" w:themeShade="BF"/>
          <w:sz w:val="22"/>
          <w:szCs w:val="22"/>
          <w:lang w:val="en-GB"/>
        </w:rPr>
        <w:t xml:space="preserve"> will not be </w:t>
      </w:r>
      <w:r>
        <w:rPr>
          <w:rFonts w:ascii="Arial" w:hAnsi="Arial" w:cs="Arial"/>
          <w:color w:val="7B7B7B" w:themeColor="accent3" w:themeShade="BF"/>
          <w:sz w:val="22"/>
          <w:szCs w:val="22"/>
          <w:lang w:val="en-GB"/>
        </w:rPr>
        <w:t>automatically</w:t>
      </w:r>
      <w:r w:rsidRPr="00D37667">
        <w:rPr>
          <w:rFonts w:ascii="Arial" w:hAnsi="Arial" w:cs="Arial"/>
          <w:color w:val="7B7B7B" w:themeColor="accent3" w:themeShade="BF"/>
          <w:sz w:val="22"/>
          <w:szCs w:val="22"/>
          <w:lang w:val="en-GB"/>
        </w:rPr>
        <w:t xml:space="preserve"> granted.</w:t>
      </w:r>
      <w:r>
        <w:rPr>
          <w:rStyle w:val="FootnoteReference"/>
          <w:rFonts w:ascii="Arial" w:hAnsi="Arial" w:cs="Arial"/>
          <w:color w:val="7B7B7B" w:themeColor="accent3" w:themeShade="BF"/>
          <w:sz w:val="22"/>
          <w:szCs w:val="22"/>
          <w:lang w:val="en-GB"/>
        </w:rPr>
        <w:footnoteReference w:id="23"/>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59E680C1" w14:textId="1C177CCC" w:rsidR="00DD0A36" w:rsidRDefault="004E192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have selected the United Kingdom (“UK”) as the State of incorporation of the debtor. </w:t>
      </w:r>
      <w:r w:rsidR="00732124">
        <w:rPr>
          <w:rFonts w:ascii="Arial" w:hAnsi="Arial" w:cs="Arial"/>
          <w:color w:val="7B7B7B" w:themeColor="accent3" w:themeShade="BF"/>
          <w:sz w:val="22"/>
          <w:szCs w:val="22"/>
          <w:lang w:val="en-GB"/>
        </w:rPr>
        <w:t xml:space="preserve">Discussed below </w:t>
      </w:r>
      <w:r w:rsidR="00DD0A36">
        <w:rPr>
          <w:rFonts w:ascii="Arial" w:hAnsi="Arial" w:cs="Arial"/>
          <w:color w:val="7B7B7B" w:themeColor="accent3" w:themeShade="BF"/>
          <w:sz w:val="22"/>
          <w:szCs w:val="22"/>
          <w:lang w:val="en-GB"/>
        </w:rPr>
        <w:t xml:space="preserve">are the four (4) key international insolvency issues </w:t>
      </w:r>
      <w:r w:rsidR="00732124">
        <w:rPr>
          <w:rFonts w:ascii="Arial" w:hAnsi="Arial" w:cs="Arial"/>
          <w:color w:val="7B7B7B" w:themeColor="accent3" w:themeShade="BF"/>
          <w:sz w:val="22"/>
          <w:szCs w:val="22"/>
          <w:lang w:val="en-GB"/>
        </w:rPr>
        <w:t>facing the insolvency representative in this scenario and the domestic laws and international instruments of the UK that will apply to assist the insolvency representative to address these four (4) issues.</w:t>
      </w:r>
    </w:p>
    <w:p w14:paraId="4C1B6272" w14:textId="34FE9264" w:rsidR="00732124" w:rsidRDefault="00732124" w:rsidP="00C053F7">
      <w:pPr>
        <w:jc w:val="both"/>
        <w:rPr>
          <w:rFonts w:ascii="Arial" w:hAnsi="Arial" w:cs="Arial"/>
          <w:color w:val="7B7B7B" w:themeColor="accent3" w:themeShade="BF"/>
          <w:sz w:val="22"/>
          <w:szCs w:val="22"/>
          <w:lang w:val="en-GB"/>
        </w:rPr>
      </w:pPr>
    </w:p>
    <w:p w14:paraId="4CC2A3A3" w14:textId="677BA4E7" w:rsidR="00BA0D00" w:rsidRDefault="0073212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the insolvency representative will </w:t>
      </w:r>
      <w:r w:rsidR="00BA0D00">
        <w:rPr>
          <w:rFonts w:ascii="Arial" w:hAnsi="Arial" w:cs="Arial"/>
          <w:color w:val="7B7B7B" w:themeColor="accent3" w:themeShade="BF"/>
          <w:sz w:val="22"/>
          <w:szCs w:val="22"/>
          <w:lang w:val="en-GB"/>
        </w:rPr>
        <w:t>have to determine if the UK</w:t>
      </w:r>
      <w:r w:rsidR="00342D75">
        <w:rPr>
          <w:rFonts w:ascii="Arial" w:hAnsi="Arial" w:cs="Arial"/>
          <w:color w:val="7B7B7B" w:themeColor="accent3" w:themeShade="BF"/>
          <w:sz w:val="22"/>
          <w:szCs w:val="22"/>
          <w:lang w:val="en-GB"/>
        </w:rPr>
        <w:t xml:space="preserve"> courts have jurisdiction to hear the insolvency matter in respect of the debtor which has cross-border presence. Since the debtor is incorporated in the UK, section 117 of the UK Insolvency Act 1986 provides that the UK has jurisdiction to wind-up the debtor.</w:t>
      </w:r>
    </w:p>
    <w:p w14:paraId="0D720D8F" w14:textId="4AA48B55" w:rsidR="00342D75" w:rsidRDefault="00342D75" w:rsidP="00C053F7">
      <w:pPr>
        <w:jc w:val="both"/>
        <w:rPr>
          <w:rFonts w:ascii="Arial" w:hAnsi="Arial" w:cs="Arial"/>
          <w:color w:val="7B7B7B" w:themeColor="accent3" w:themeShade="BF"/>
          <w:sz w:val="22"/>
          <w:szCs w:val="22"/>
          <w:lang w:val="en-GB"/>
        </w:rPr>
      </w:pPr>
    </w:p>
    <w:p w14:paraId="258206E2" w14:textId="7E674E58" w:rsidR="00342D75" w:rsidRDefault="00342D7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the insolvency representative will need to determine the law to apply to the proceedings. In this regard, the UK Insolvency Act </w:t>
      </w:r>
      <w:r w:rsidR="00713654">
        <w:rPr>
          <w:rFonts w:ascii="Arial" w:hAnsi="Arial" w:cs="Arial"/>
          <w:color w:val="7B7B7B" w:themeColor="accent3" w:themeShade="BF"/>
          <w:sz w:val="22"/>
          <w:szCs w:val="22"/>
          <w:lang w:val="en-GB"/>
        </w:rPr>
        <w:t>1986 provides that in a UK winding-up under the Insolvency Act 1986, English law applies to matters of procedure and substance.</w:t>
      </w:r>
      <w:r w:rsidR="00713654">
        <w:rPr>
          <w:rStyle w:val="FootnoteReference"/>
          <w:rFonts w:ascii="Arial" w:hAnsi="Arial" w:cs="Arial"/>
          <w:color w:val="7B7B7B" w:themeColor="accent3" w:themeShade="BF"/>
          <w:sz w:val="22"/>
          <w:szCs w:val="22"/>
          <w:lang w:val="en-GB"/>
        </w:rPr>
        <w:footnoteReference w:id="24"/>
      </w:r>
    </w:p>
    <w:p w14:paraId="07CC2116" w14:textId="77777777" w:rsidR="00BA0D00" w:rsidRDefault="00BA0D00" w:rsidP="00C053F7">
      <w:pPr>
        <w:jc w:val="both"/>
        <w:rPr>
          <w:rFonts w:ascii="Arial" w:hAnsi="Arial" w:cs="Arial"/>
          <w:color w:val="7B7B7B" w:themeColor="accent3" w:themeShade="BF"/>
          <w:sz w:val="22"/>
          <w:szCs w:val="22"/>
          <w:lang w:val="en-GB"/>
        </w:rPr>
      </w:pPr>
    </w:p>
    <w:p w14:paraId="10107240" w14:textId="56825C7D" w:rsidR="00213024" w:rsidRDefault="0071365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the insolvency representative will </w:t>
      </w:r>
      <w:r w:rsidR="00732124">
        <w:rPr>
          <w:rFonts w:ascii="Arial" w:hAnsi="Arial" w:cs="Arial"/>
          <w:color w:val="7B7B7B" w:themeColor="accent3" w:themeShade="BF"/>
          <w:sz w:val="22"/>
          <w:szCs w:val="22"/>
          <w:lang w:val="en-GB"/>
        </w:rPr>
        <w:t xml:space="preserve">need to </w:t>
      </w:r>
      <w:r w:rsidR="00213024">
        <w:rPr>
          <w:rFonts w:ascii="Arial" w:hAnsi="Arial" w:cs="Arial"/>
          <w:color w:val="7B7B7B" w:themeColor="accent3" w:themeShade="BF"/>
          <w:sz w:val="22"/>
          <w:szCs w:val="22"/>
          <w:lang w:val="en-GB"/>
        </w:rPr>
        <w:t>gain recognition for the UK insolvency proceedings in the other States in which the debtor operates business or has assets, creditors, or directors. If the other States have adopted the UNCITRAL Model Law on Cross-Border Insolvency, the insolvency representative will be able to apply for the recognition of the UK insolvency proceeding in the competent courts of the other States.</w:t>
      </w:r>
    </w:p>
    <w:p w14:paraId="6222F93B" w14:textId="412E456A" w:rsidR="00713654" w:rsidRDefault="00713654" w:rsidP="00C053F7">
      <w:pPr>
        <w:jc w:val="both"/>
        <w:rPr>
          <w:rFonts w:ascii="Arial" w:hAnsi="Arial" w:cs="Arial"/>
          <w:color w:val="7B7B7B" w:themeColor="accent3" w:themeShade="BF"/>
          <w:sz w:val="22"/>
          <w:szCs w:val="22"/>
          <w:lang w:val="en-GB"/>
        </w:rPr>
      </w:pPr>
    </w:p>
    <w:p w14:paraId="2729C09C" w14:textId="0AA5AA2A" w:rsidR="00713654" w:rsidRDefault="00713654" w:rsidP="007136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Fourthly, the insolvency representative will need to take custody and control of the debtor’s assets in the other States. </w:t>
      </w:r>
      <w:r w:rsidRPr="00713654">
        <w:rPr>
          <w:rFonts w:ascii="Arial" w:hAnsi="Arial" w:cs="Arial"/>
          <w:color w:val="7B7B7B" w:themeColor="accent3" w:themeShade="BF"/>
          <w:sz w:val="22"/>
          <w:szCs w:val="22"/>
          <w:lang w:val="en-GB"/>
        </w:rPr>
        <w:t xml:space="preserve">If the other States have adopted the UNCITRAL Model Law on Cross-Border Insolvency, the insolvency representative will be able to </w:t>
      </w:r>
      <w:r>
        <w:rPr>
          <w:rFonts w:ascii="Arial" w:hAnsi="Arial" w:cs="Arial"/>
          <w:color w:val="7B7B7B" w:themeColor="accent3" w:themeShade="BF"/>
          <w:sz w:val="22"/>
          <w:szCs w:val="22"/>
          <w:lang w:val="en-GB"/>
        </w:rPr>
        <w:t xml:space="preserve">seek in </w:t>
      </w:r>
      <w:r w:rsidRPr="00713654">
        <w:rPr>
          <w:rFonts w:ascii="Arial" w:hAnsi="Arial" w:cs="Arial"/>
          <w:color w:val="7B7B7B" w:themeColor="accent3" w:themeShade="BF"/>
          <w:sz w:val="22"/>
          <w:szCs w:val="22"/>
          <w:lang w:val="en-GB"/>
        </w:rPr>
        <w:t>the competent courts of the other States</w:t>
      </w:r>
      <w:r>
        <w:rPr>
          <w:rFonts w:ascii="Arial" w:hAnsi="Arial" w:cs="Arial"/>
          <w:color w:val="7B7B7B" w:themeColor="accent3" w:themeShade="BF"/>
          <w:sz w:val="22"/>
          <w:szCs w:val="22"/>
          <w:lang w:val="en-GB"/>
        </w:rPr>
        <w:t xml:space="preserve">, </w:t>
      </w:r>
      <w:r w:rsidR="00FB07EA" w:rsidRPr="00FB07EA">
        <w:rPr>
          <w:rFonts w:ascii="Arial" w:hAnsi="Arial" w:cs="Arial"/>
          <w:color w:val="7B7B7B" w:themeColor="accent3" w:themeShade="BF"/>
          <w:sz w:val="22"/>
          <w:szCs w:val="22"/>
          <w:lang w:val="en-GB"/>
        </w:rPr>
        <w:t xml:space="preserve">for an order </w:t>
      </w:r>
      <w:bookmarkStart w:id="1" w:name="_GoBack"/>
      <w:bookmarkEnd w:id="1"/>
      <w:r>
        <w:rPr>
          <w:rFonts w:ascii="Arial" w:hAnsi="Arial" w:cs="Arial"/>
          <w:color w:val="7B7B7B" w:themeColor="accent3" w:themeShade="BF"/>
          <w:sz w:val="22"/>
          <w:szCs w:val="22"/>
          <w:lang w:val="en-GB"/>
        </w:rPr>
        <w:t xml:space="preserve">that the </w:t>
      </w:r>
      <w:r w:rsidRPr="00713654">
        <w:rPr>
          <w:rFonts w:ascii="Arial" w:hAnsi="Arial" w:cs="Arial"/>
          <w:color w:val="7B7B7B" w:themeColor="accent3" w:themeShade="BF"/>
          <w:sz w:val="22"/>
          <w:szCs w:val="22"/>
          <w:lang w:val="en-GB"/>
        </w:rPr>
        <w:t>administration</w:t>
      </w:r>
      <w:r>
        <w:rPr>
          <w:rFonts w:ascii="Arial" w:hAnsi="Arial" w:cs="Arial"/>
          <w:color w:val="7B7B7B" w:themeColor="accent3" w:themeShade="BF"/>
          <w:sz w:val="22"/>
          <w:szCs w:val="22"/>
          <w:lang w:val="en-GB"/>
        </w:rPr>
        <w:t>, realisation and distribution of the debtor’s assets in that State be entrusted to the UK insolvency representative.</w:t>
      </w:r>
    </w:p>
    <w:p w14:paraId="1C86B949" w14:textId="77777777" w:rsidR="00BA0D00" w:rsidRDefault="00BA0D00" w:rsidP="00C053F7">
      <w:pPr>
        <w:jc w:val="both"/>
        <w:rPr>
          <w:rFonts w:ascii="Arial" w:hAnsi="Arial" w:cs="Arial"/>
          <w:color w:val="7B7B7B" w:themeColor="accent3" w:themeShade="BF"/>
          <w:sz w:val="22"/>
          <w:szCs w:val="22"/>
          <w:lang w:val="en-GB"/>
        </w:rPr>
      </w:pPr>
    </w:p>
    <w:p w14:paraId="2542CB0A" w14:textId="7A43F7CF" w:rsidR="00732124" w:rsidRDefault="0021302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646E5C6" w14:textId="77777777" w:rsidR="00DD0A36" w:rsidRPr="00BF1C6F" w:rsidRDefault="00DD0A36" w:rsidP="00C053F7">
      <w:pPr>
        <w:jc w:val="both"/>
        <w:rPr>
          <w:rFonts w:ascii="Arial" w:hAnsi="Arial" w:cs="Arial"/>
          <w:color w:val="000000" w:themeColor="text1"/>
          <w:sz w:val="22"/>
          <w:szCs w:val="22"/>
          <w:lang w:val="en-GB"/>
        </w:rPr>
      </w:pP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86757C" w:rsidRDefault="0086757C" w:rsidP="00241B44">
      <w:r>
        <w:separator/>
      </w:r>
    </w:p>
  </w:endnote>
  <w:endnote w:type="continuationSeparator" w:id="0">
    <w:p w14:paraId="5D0C0338" w14:textId="77777777" w:rsidR="0086757C" w:rsidRDefault="008675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6757C" w:rsidRPr="00FC7B47" w:rsidRDefault="0086757C"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11FD1FE" w:rsidR="0086757C" w:rsidRDefault="0086757C" w:rsidP="00FC7B47">
    <w:pPr>
      <w:pStyle w:val="Footer"/>
      <w:ind w:right="360"/>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7ED85ECC" w:rsidR="0086757C" w:rsidRPr="00F44220" w:rsidRDefault="0086757C" w:rsidP="00E47703">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DE1ED3">
          <w:rPr>
            <w:rStyle w:val="PageNumber"/>
            <w:rFonts w:ascii="Arial" w:hAnsi="Arial" w:cs="Arial"/>
            <w:b/>
            <w:bCs/>
            <w:noProof/>
            <w:sz w:val="18"/>
            <w:szCs w:val="18"/>
          </w:rPr>
          <w:t>2</w:t>
        </w:r>
        <w:r w:rsidRPr="00123661">
          <w:rPr>
            <w:rStyle w:val="PageNumber"/>
            <w:rFonts w:ascii="Arial" w:hAnsi="Arial" w:cs="Arial"/>
            <w:b/>
            <w:bCs/>
            <w:sz w:val="18"/>
            <w:szCs w:val="18"/>
          </w:rPr>
          <w:fldChar w:fldCharType="end"/>
        </w:r>
      </w:p>
    </w:sdtContent>
  </w:sdt>
  <w:p w14:paraId="120BA9A5" w14:textId="0020A11F" w:rsidR="0086757C" w:rsidRDefault="0086757C" w:rsidP="00AD6A7D">
    <w:pPr>
      <w:pStyle w:val="Footer"/>
      <w:ind w:right="360"/>
      <w:rPr>
        <w:rFonts w:ascii="Arial" w:hAnsi="Arial" w:cs="Arial"/>
        <w:sz w:val="18"/>
        <w:szCs w:val="18"/>
      </w:rPr>
    </w:pPr>
    <w:r w:rsidRPr="005F1008">
      <w:rPr>
        <w:rFonts w:ascii="Arial" w:hAnsi="Arial" w:cs="Arial"/>
        <w:sz w:val="18"/>
        <w:szCs w:val="18"/>
      </w:rPr>
      <w:t>202122-443</w:t>
    </w:r>
    <w:r w:rsidRPr="00F44220">
      <w:rPr>
        <w:rFonts w:ascii="Arial" w:hAnsi="Arial" w:cs="Arial"/>
        <w:sz w:val="18"/>
        <w:szCs w:val="18"/>
      </w:rPr>
      <w:t>.assessment1formative.docx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BC38" w14:textId="77777777" w:rsidR="0086757C" w:rsidRDefault="00867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86757C" w:rsidRDefault="0086757C" w:rsidP="00241B44">
      <w:r>
        <w:separator/>
      </w:r>
    </w:p>
  </w:footnote>
  <w:footnote w:type="continuationSeparator" w:id="0">
    <w:p w14:paraId="40E82217" w14:textId="77777777" w:rsidR="0086757C" w:rsidRDefault="0086757C" w:rsidP="00241B44">
      <w:r>
        <w:continuationSeparator/>
      </w:r>
    </w:p>
  </w:footnote>
  <w:footnote w:id="1">
    <w:p w14:paraId="548E35FA" w14:textId="08AFABDD" w:rsidR="0068575E" w:rsidRPr="0068575E" w:rsidRDefault="0068575E">
      <w:pPr>
        <w:pStyle w:val="FootnoteText"/>
        <w:rPr>
          <w:lang w:val="en-MY"/>
        </w:rPr>
      </w:pPr>
      <w:r>
        <w:rPr>
          <w:rStyle w:val="FootnoteReference"/>
        </w:rPr>
        <w:footnoteRef/>
      </w:r>
      <w:r>
        <w:t xml:space="preserve"> </w:t>
      </w:r>
      <w:r>
        <w:rPr>
          <w:lang w:val="en-MY"/>
        </w:rPr>
        <w:t xml:space="preserve">B Wessels, </w:t>
      </w:r>
      <w:r w:rsidRPr="0068575E">
        <w:rPr>
          <w:i/>
          <w:lang w:val="en-MY"/>
        </w:rPr>
        <w:t xml:space="preserve">International Insolvency Law </w:t>
      </w:r>
      <w:r w:rsidRPr="0068575E">
        <w:rPr>
          <w:lang w:val="en-MY"/>
        </w:rPr>
        <w:t>(Kluwer, 2006), p1</w:t>
      </w:r>
    </w:p>
  </w:footnote>
  <w:footnote w:id="2">
    <w:p w14:paraId="2134106E" w14:textId="40E91B34" w:rsidR="0068575E" w:rsidRPr="0068575E" w:rsidRDefault="0068575E">
      <w:pPr>
        <w:pStyle w:val="FootnoteText"/>
        <w:rPr>
          <w:lang w:val="en-MY"/>
        </w:rPr>
      </w:pPr>
      <w:r>
        <w:rPr>
          <w:rStyle w:val="FootnoteReference"/>
        </w:rPr>
        <w:footnoteRef/>
      </w:r>
      <w:r>
        <w:t xml:space="preserve"> </w:t>
      </w:r>
      <w:r>
        <w:rPr>
          <w:lang w:val="en-MY"/>
        </w:rPr>
        <w:t xml:space="preserve">B Wessels, </w:t>
      </w:r>
      <w:r w:rsidRPr="0068575E">
        <w:rPr>
          <w:i/>
          <w:lang w:val="en-MY"/>
        </w:rPr>
        <w:t xml:space="preserve">International Insolvency Law </w:t>
      </w:r>
      <w:r w:rsidRPr="0068575E">
        <w:rPr>
          <w:lang w:val="en-MY"/>
        </w:rPr>
        <w:t>(Kluwer, 2006), p1</w:t>
      </w:r>
    </w:p>
  </w:footnote>
  <w:footnote w:id="3">
    <w:p w14:paraId="64D0EFDA" w14:textId="18437582" w:rsidR="0068575E" w:rsidRPr="0068575E" w:rsidRDefault="0068575E">
      <w:pPr>
        <w:pStyle w:val="FootnoteText"/>
        <w:rPr>
          <w:lang w:val="en-MY"/>
        </w:rPr>
      </w:pPr>
      <w:r>
        <w:rPr>
          <w:rStyle w:val="FootnoteReference"/>
        </w:rPr>
        <w:footnoteRef/>
      </w:r>
      <w:r>
        <w:t xml:space="preserve"> </w:t>
      </w:r>
      <w:r w:rsidRPr="0068575E">
        <w:rPr>
          <w:lang w:val="en-GB"/>
        </w:rPr>
        <w:t xml:space="preserve">M A Clarke </w:t>
      </w:r>
      <w:r w:rsidRPr="0068575E">
        <w:rPr>
          <w:i/>
          <w:lang w:val="en-GB"/>
        </w:rPr>
        <w:t xml:space="preserve">et al, Commercial Law </w:t>
      </w:r>
      <w:r w:rsidRPr="0068575E">
        <w:rPr>
          <w:lang w:val="en-GB"/>
        </w:rPr>
        <w:t>(Oxford University Press, 2017), chap 28</w:t>
      </w:r>
    </w:p>
  </w:footnote>
  <w:footnote w:id="4">
    <w:p w14:paraId="5B403217" w14:textId="14BBB933" w:rsidR="00F16EE2" w:rsidRPr="00F16EE2" w:rsidRDefault="00F16EE2">
      <w:pPr>
        <w:pStyle w:val="FootnoteText"/>
        <w:rPr>
          <w:lang w:val="en-MY"/>
        </w:rPr>
      </w:pPr>
      <w:r>
        <w:rPr>
          <w:rStyle w:val="FootnoteReference"/>
        </w:rPr>
        <w:footnoteRef/>
      </w:r>
      <w:r>
        <w:t xml:space="preserve"> </w:t>
      </w:r>
      <w:r w:rsidRPr="00F16EE2">
        <w:rPr>
          <w:lang w:val="en-GB"/>
        </w:rPr>
        <w:t xml:space="preserve">M A Clarke </w:t>
      </w:r>
      <w:r w:rsidRPr="00F16EE2">
        <w:rPr>
          <w:i/>
          <w:lang w:val="en-GB"/>
        </w:rPr>
        <w:t xml:space="preserve">et al, Commercial Law </w:t>
      </w:r>
      <w:r w:rsidRPr="00F16EE2">
        <w:rPr>
          <w:lang w:val="en-GB"/>
        </w:rPr>
        <w:t>(Oxford U</w:t>
      </w:r>
      <w:r>
        <w:rPr>
          <w:lang w:val="en-GB"/>
        </w:rPr>
        <w:t>niversity Press, 2017), chap 28</w:t>
      </w:r>
    </w:p>
  </w:footnote>
  <w:footnote w:id="5">
    <w:p w14:paraId="32427973" w14:textId="63A91665" w:rsidR="00F16EE2" w:rsidRPr="00F16EE2" w:rsidRDefault="00F16EE2">
      <w:pPr>
        <w:pStyle w:val="FootnoteText"/>
        <w:rPr>
          <w:lang w:val="en-MY"/>
        </w:rPr>
      </w:pPr>
      <w:r>
        <w:rPr>
          <w:rStyle w:val="FootnoteReference"/>
        </w:rPr>
        <w:footnoteRef/>
      </w:r>
      <w:r>
        <w:t xml:space="preserve"> </w:t>
      </w:r>
      <w:r>
        <w:rPr>
          <w:lang w:val="en-GB"/>
        </w:rPr>
        <w:t>Judge Hakan Friman</w:t>
      </w:r>
      <w:r w:rsidRPr="00F16EE2">
        <w:rPr>
          <w:lang w:val="en-GB"/>
        </w:rPr>
        <w:t xml:space="preserve">; I F Fletcher, </w:t>
      </w:r>
      <w:r w:rsidRPr="00F16EE2">
        <w:rPr>
          <w:i/>
          <w:lang w:val="en-GB"/>
        </w:rPr>
        <w:t xml:space="preserve">Insolvency in Private International Law – National and International Approaches </w:t>
      </w:r>
      <w:r w:rsidRPr="00F16EE2">
        <w:rPr>
          <w:lang w:val="en-GB"/>
        </w:rPr>
        <w:t>(Oxford: Oxford University Press, 2</w:t>
      </w:r>
      <w:r w:rsidRPr="00F16EE2">
        <w:rPr>
          <w:vertAlign w:val="superscript"/>
          <w:lang w:val="en-GB"/>
        </w:rPr>
        <w:t>nd</w:t>
      </w:r>
      <w:r>
        <w:rPr>
          <w:lang w:val="en-GB"/>
        </w:rPr>
        <w:t xml:space="preserve"> ed, 2005), pp 3-5</w:t>
      </w:r>
    </w:p>
  </w:footnote>
  <w:footnote w:id="6">
    <w:p w14:paraId="41BBC00E" w14:textId="2883BC81" w:rsidR="00F16EE2" w:rsidRPr="00F16EE2" w:rsidRDefault="00F16EE2">
      <w:pPr>
        <w:pStyle w:val="FootnoteText"/>
        <w:rPr>
          <w:lang w:val="en-MY"/>
        </w:rPr>
      </w:pPr>
      <w:r>
        <w:rPr>
          <w:rStyle w:val="FootnoteReference"/>
        </w:rPr>
        <w:footnoteRef/>
      </w:r>
      <w:r>
        <w:t xml:space="preserve"> Judge Hakan </w:t>
      </w:r>
      <w:r>
        <w:rPr>
          <w:lang w:val="en-MY"/>
        </w:rPr>
        <w:t>Friman</w:t>
      </w:r>
    </w:p>
  </w:footnote>
  <w:footnote w:id="7">
    <w:p w14:paraId="77B730E2" w14:textId="451B7719" w:rsidR="00F16EE2" w:rsidRPr="00F16EE2" w:rsidRDefault="00F16EE2">
      <w:pPr>
        <w:pStyle w:val="FootnoteText"/>
        <w:rPr>
          <w:lang w:val="en-MY"/>
        </w:rPr>
      </w:pPr>
      <w:r>
        <w:rPr>
          <w:rStyle w:val="FootnoteReference"/>
        </w:rPr>
        <w:footnoteRef/>
      </w:r>
      <w:r>
        <w:t xml:space="preserve"> </w:t>
      </w:r>
      <w:r w:rsidRPr="00F16EE2">
        <w:rPr>
          <w:lang w:val="en-GB"/>
        </w:rPr>
        <w:t xml:space="preserve">PJ Omar, “The Landscape of International Insolvency”, (2002) 11, </w:t>
      </w:r>
      <w:r w:rsidRPr="00F16EE2">
        <w:rPr>
          <w:i/>
          <w:lang w:val="en-GB"/>
        </w:rPr>
        <w:t xml:space="preserve">IIR </w:t>
      </w:r>
      <w:r>
        <w:rPr>
          <w:lang w:val="en-GB"/>
        </w:rPr>
        <w:t>173, p 175</w:t>
      </w:r>
    </w:p>
  </w:footnote>
  <w:footnote w:id="8">
    <w:p w14:paraId="68C44B5F" w14:textId="44B67A2F" w:rsidR="00F16EE2" w:rsidRPr="00F16EE2" w:rsidRDefault="00F16EE2">
      <w:pPr>
        <w:pStyle w:val="FootnoteText"/>
        <w:rPr>
          <w:lang w:val="en-MY"/>
        </w:rPr>
      </w:pPr>
      <w:r>
        <w:rPr>
          <w:rStyle w:val="FootnoteReference"/>
        </w:rPr>
        <w:footnoteRef/>
      </w:r>
      <w:r>
        <w:t xml:space="preserve"> </w:t>
      </w:r>
      <w:r w:rsidRPr="00F16EE2">
        <w:rPr>
          <w:lang w:val="en-GB"/>
        </w:rPr>
        <w:t xml:space="preserve">J L Westbrook, “Developments in Transnational Bankruptcy”, (1995) 39, </w:t>
      </w:r>
      <w:r w:rsidRPr="00F16EE2">
        <w:rPr>
          <w:i/>
          <w:lang w:val="en-GB"/>
        </w:rPr>
        <w:t xml:space="preserve">St Louis University Law Journal </w:t>
      </w:r>
      <w:r w:rsidRPr="00F16EE2">
        <w:rPr>
          <w:lang w:val="en-GB"/>
        </w:rPr>
        <w:t>753, pp 753-757</w:t>
      </w:r>
    </w:p>
  </w:footnote>
  <w:footnote w:id="9">
    <w:p w14:paraId="21F4ED34" w14:textId="6430339F" w:rsidR="0086757C" w:rsidRPr="002743FE" w:rsidRDefault="0086757C" w:rsidP="00351881">
      <w:pPr>
        <w:pStyle w:val="FootnoteText"/>
        <w:jc w:val="both"/>
        <w:rPr>
          <w:lang w:val="en-GB"/>
        </w:rPr>
      </w:pPr>
      <w:r>
        <w:rPr>
          <w:rStyle w:val="FootnoteReference"/>
        </w:rPr>
        <w:footnoteRef/>
      </w:r>
      <w:r>
        <w:t xml:space="preserve"> However, I Mevorach, </w:t>
      </w:r>
      <w:r>
        <w:rPr>
          <w:i/>
        </w:rPr>
        <w:t xml:space="preserve">The Future of Cross-Border Insolvency: Overcoming Biases and Closing Gaps </w:t>
      </w:r>
      <w:r>
        <w:t xml:space="preserve">(Oxford University Press, 2018), p 40. </w:t>
      </w:r>
    </w:p>
  </w:footnote>
  <w:footnote w:id="10">
    <w:p w14:paraId="6F6C791D" w14:textId="5A6D1EBC" w:rsidR="007F44F0" w:rsidRPr="007F44F0" w:rsidRDefault="007F44F0">
      <w:pPr>
        <w:pStyle w:val="FootnoteText"/>
        <w:rPr>
          <w:lang w:val="en-MY"/>
        </w:rPr>
      </w:pPr>
      <w:r>
        <w:rPr>
          <w:rStyle w:val="FootnoteReference"/>
        </w:rPr>
        <w:footnoteRef/>
      </w:r>
      <w:r>
        <w:t xml:space="preserve"> </w:t>
      </w:r>
      <w:r>
        <w:rPr>
          <w:lang w:val="en-MY"/>
        </w:rPr>
        <w:t xml:space="preserve">Based on Article 15(1), </w:t>
      </w:r>
      <w:r w:rsidRPr="007F44F0">
        <w:rPr>
          <w:lang w:val="en-MY"/>
        </w:rPr>
        <w:t>UNCITRAL Model Law on Cross-Border Insolvency (1997)</w:t>
      </w:r>
      <w:r>
        <w:rPr>
          <w:lang w:val="en-MY"/>
        </w:rPr>
        <w:t>.</w:t>
      </w:r>
    </w:p>
  </w:footnote>
  <w:footnote w:id="11">
    <w:p w14:paraId="21FE4CE7" w14:textId="00895E30" w:rsidR="007F44F0" w:rsidRPr="007F44F0" w:rsidRDefault="007F44F0">
      <w:pPr>
        <w:pStyle w:val="FootnoteText"/>
        <w:rPr>
          <w:lang w:val="en-MY"/>
        </w:rPr>
      </w:pPr>
      <w:r>
        <w:rPr>
          <w:rStyle w:val="FootnoteReference"/>
        </w:rPr>
        <w:footnoteRef/>
      </w:r>
      <w:r>
        <w:t xml:space="preserve"> </w:t>
      </w:r>
      <w:r>
        <w:rPr>
          <w:lang w:val="en-MY"/>
        </w:rPr>
        <w:t xml:space="preserve">Based on Article </w:t>
      </w:r>
      <w:r>
        <w:rPr>
          <w:lang w:val="en-MY"/>
        </w:rPr>
        <w:t>17(2)</w:t>
      </w:r>
      <w:r>
        <w:rPr>
          <w:lang w:val="en-MY"/>
        </w:rPr>
        <w:t xml:space="preserve">, </w:t>
      </w:r>
      <w:r w:rsidRPr="007F44F0">
        <w:rPr>
          <w:lang w:val="en-MY"/>
        </w:rPr>
        <w:t>UNCITRAL Model Law on Cross-Border Insolvency (1997)</w:t>
      </w:r>
      <w:r>
        <w:rPr>
          <w:lang w:val="en-MY"/>
        </w:rPr>
        <w:t>.</w:t>
      </w:r>
    </w:p>
  </w:footnote>
  <w:footnote w:id="12">
    <w:p w14:paraId="1A65C3AD" w14:textId="55B28DBA" w:rsidR="00C114DF" w:rsidRPr="00C114DF" w:rsidRDefault="00C114DF">
      <w:pPr>
        <w:pStyle w:val="FootnoteText"/>
        <w:rPr>
          <w:lang w:val="en-MY"/>
        </w:rPr>
      </w:pPr>
      <w:r>
        <w:rPr>
          <w:rStyle w:val="FootnoteReference"/>
        </w:rPr>
        <w:footnoteRef/>
      </w:r>
      <w:r>
        <w:t xml:space="preserve"> </w:t>
      </w:r>
      <w:r>
        <w:rPr>
          <w:lang w:val="en-MY"/>
        </w:rPr>
        <w:t xml:space="preserve">Based on Article </w:t>
      </w:r>
      <w:r>
        <w:rPr>
          <w:lang w:val="en-MY"/>
        </w:rPr>
        <w:t>20</w:t>
      </w:r>
      <w:r>
        <w:rPr>
          <w:lang w:val="en-MY"/>
        </w:rPr>
        <w:t xml:space="preserve">, </w:t>
      </w:r>
      <w:r w:rsidRPr="007F44F0">
        <w:rPr>
          <w:lang w:val="en-MY"/>
        </w:rPr>
        <w:t>UNCITRAL Model Law on Cross-Border Insolvency (1997)</w:t>
      </w:r>
      <w:r>
        <w:rPr>
          <w:lang w:val="en-MY"/>
        </w:rPr>
        <w:t>.</w:t>
      </w:r>
    </w:p>
  </w:footnote>
  <w:footnote w:id="13">
    <w:p w14:paraId="12471718" w14:textId="77FC38A4" w:rsidR="00C114DF" w:rsidRPr="00C114DF" w:rsidRDefault="00C114DF">
      <w:pPr>
        <w:pStyle w:val="FootnoteText"/>
        <w:rPr>
          <w:lang w:val="en-MY"/>
        </w:rPr>
      </w:pPr>
      <w:r>
        <w:rPr>
          <w:rStyle w:val="FootnoteReference"/>
        </w:rPr>
        <w:footnoteRef/>
      </w:r>
      <w:r>
        <w:t xml:space="preserve"> </w:t>
      </w:r>
      <w:r>
        <w:rPr>
          <w:lang w:val="en-MY"/>
        </w:rPr>
        <w:t xml:space="preserve">Based on Article 20, </w:t>
      </w:r>
      <w:r w:rsidRPr="007F44F0">
        <w:rPr>
          <w:lang w:val="en-MY"/>
        </w:rPr>
        <w:t>UNCITRAL Model Law on Cross-Border Insolvency (1997)</w:t>
      </w:r>
      <w:r>
        <w:rPr>
          <w:lang w:val="en-MY"/>
        </w:rPr>
        <w:t>.</w:t>
      </w:r>
    </w:p>
  </w:footnote>
  <w:footnote w:id="14">
    <w:p w14:paraId="4BA6CC79" w14:textId="65950B06" w:rsidR="007F44F0" w:rsidRPr="007F44F0" w:rsidRDefault="007F44F0">
      <w:pPr>
        <w:pStyle w:val="FootnoteText"/>
        <w:rPr>
          <w:lang w:val="en-MY"/>
        </w:rPr>
      </w:pPr>
      <w:r>
        <w:rPr>
          <w:rStyle w:val="FootnoteReference"/>
        </w:rPr>
        <w:footnoteRef/>
      </w:r>
      <w:r>
        <w:t xml:space="preserve"> </w:t>
      </w:r>
      <w:r>
        <w:rPr>
          <w:lang w:val="en-MY"/>
        </w:rPr>
        <w:t>Based on Article 12, UNCITRAL Model Law on Cross-Border Insolvency (1997)</w:t>
      </w:r>
    </w:p>
  </w:footnote>
  <w:footnote w:id="15">
    <w:p w14:paraId="1E0DE5F5" w14:textId="2652BB79" w:rsidR="006E3ABB" w:rsidRPr="006E3ABB" w:rsidRDefault="006E3ABB">
      <w:pPr>
        <w:pStyle w:val="FootnoteText"/>
        <w:rPr>
          <w:lang w:val="en-MY"/>
        </w:rPr>
      </w:pPr>
      <w:r>
        <w:rPr>
          <w:rStyle w:val="FootnoteReference"/>
        </w:rPr>
        <w:footnoteRef/>
      </w:r>
      <w:r>
        <w:t xml:space="preserve"> </w:t>
      </w:r>
      <w:r w:rsidR="00D37667">
        <w:rPr>
          <w:lang w:val="en-MY"/>
        </w:rPr>
        <w:t>Based</w:t>
      </w:r>
      <w:r w:rsidRPr="006E3ABB">
        <w:t xml:space="preserve"> </w:t>
      </w:r>
      <w:r w:rsidRPr="006E3ABB">
        <w:rPr>
          <w:lang w:val="en-MY"/>
        </w:rPr>
        <w:t xml:space="preserve">on </w:t>
      </w:r>
      <w:r w:rsidR="00D37667">
        <w:rPr>
          <w:lang w:val="en-MY"/>
        </w:rPr>
        <w:t>Article 28,</w:t>
      </w:r>
      <w:r w:rsidRPr="006E3ABB">
        <w:rPr>
          <w:lang w:val="en-MY"/>
        </w:rPr>
        <w:t xml:space="preserve"> UNCITRAL Model Law on Cross-Border Insolvency </w:t>
      </w:r>
      <w:r w:rsidR="00C114DF">
        <w:rPr>
          <w:lang w:val="en-MY"/>
        </w:rPr>
        <w:t>(</w:t>
      </w:r>
      <w:r w:rsidRPr="006E3ABB">
        <w:rPr>
          <w:lang w:val="en-MY"/>
        </w:rPr>
        <w:t>1997</w:t>
      </w:r>
      <w:r w:rsidR="00C114DF">
        <w:rPr>
          <w:lang w:val="en-MY"/>
        </w:rPr>
        <w:t>)</w:t>
      </w:r>
      <w:r>
        <w:rPr>
          <w:lang w:val="en-MY"/>
        </w:rPr>
        <w:t>.</w:t>
      </w:r>
    </w:p>
  </w:footnote>
  <w:footnote w:id="16">
    <w:p w14:paraId="5829F389" w14:textId="4D224CB1" w:rsidR="00C114DF" w:rsidRPr="00C114DF" w:rsidRDefault="00C114DF">
      <w:pPr>
        <w:pStyle w:val="FootnoteText"/>
        <w:rPr>
          <w:lang w:val="en-MY"/>
        </w:rPr>
      </w:pPr>
      <w:r>
        <w:rPr>
          <w:rStyle w:val="FootnoteReference"/>
        </w:rPr>
        <w:footnoteRef/>
      </w:r>
      <w:r>
        <w:t xml:space="preserve"> </w:t>
      </w:r>
      <w:r>
        <w:rPr>
          <w:lang w:val="en-MY"/>
        </w:rPr>
        <w:t>As described in Articles 19 and 2</w:t>
      </w:r>
      <w:r w:rsidR="00FB07EA">
        <w:rPr>
          <w:lang w:val="en-MY"/>
        </w:rPr>
        <w:t>1</w:t>
      </w:r>
      <w:r>
        <w:rPr>
          <w:lang w:val="en-MY"/>
        </w:rPr>
        <w:t xml:space="preserve">, </w:t>
      </w:r>
      <w:r w:rsidRPr="006E3ABB">
        <w:rPr>
          <w:lang w:val="en-MY"/>
        </w:rPr>
        <w:t xml:space="preserve">UNCITRAL Model Law on Cross-Border Insolvency </w:t>
      </w:r>
      <w:r>
        <w:rPr>
          <w:lang w:val="en-MY"/>
        </w:rPr>
        <w:t>(</w:t>
      </w:r>
      <w:r w:rsidRPr="006E3ABB">
        <w:rPr>
          <w:lang w:val="en-MY"/>
        </w:rPr>
        <w:t>1997</w:t>
      </w:r>
      <w:r>
        <w:rPr>
          <w:lang w:val="en-MY"/>
        </w:rPr>
        <w:t>).</w:t>
      </w:r>
    </w:p>
  </w:footnote>
  <w:footnote w:id="17">
    <w:p w14:paraId="5FF3C746" w14:textId="6C0D9F84" w:rsidR="00D37667" w:rsidRPr="00D37667" w:rsidRDefault="00D37667">
      <w:pPr>
        <w:pStyle w:val="FootnoteText"/>
        <w:rPr>
          <w:lang w:val="en-MY"/>
        </w:rPr>
      </w:pPr>
      <w:r>
        <w:rPr>
          <w:rStyle w:val="FootnoteReference"/>
        </w:rPr>
        <w:footnoteRef/>
      </w:r>
      <w:r>
        <w:t xml:space="preserve"> </w:t>
      </w:r>
      <w:r>
        <w:rPr>
          <w:lang w:val="en-MY"/>
        </w:rPr>
        <w:t xml:space="preserve">Based on Article 29(a)(i), </w:t>
      </w:r>
      <w:r w:rsidRPr="006E3ABB">
        <w:rPr>
          <w:lang w:val="en-MY"/>
        </w:rPr>
        <w:t xml:space="preserve">UNCITRAL Model Law on Cross-Border Insolvency </w:t>
      </w:r>
      <w:r w:rsidR="00C114DF">
        <w:rPr>
          <w:lang w:val="en-MY"/>
        </w:rPr>
        <w:t>(</w:t>
      </w:r>
      <w:r w:rsidRPr="006E3ABB">
        <w:rPr>
          <w:lang w:val="en-MY"/>
        </w:rPr>
        <w:t>1997</w:t>
      </w:r>
      <w:r w:rsidR="00C114DF">
        <w:rPr>
          <w:lang w:val="en-MY"/>
        </w:rPr>
        <w:t>)</w:t>
      </w:r>
      <w:r>
        <w:rPr>
          <w:lang w:val="en-MY"/>
        </w:rPr>
        <w:t>.</w:t>
      </w:r>
    </w:p>
  </w:footnote>
  <w:footnote w:id="18">
    <w:p w14:paraId="0D6DB255" w14:textId="2E884908" w:rsidR="00FB07EA" w:rsidRPr="00FB07EA" w:rsidRDefault="00FB07EA">
      <w:pPr>
        <w:pStyle w:val="FootnoteText"/>
        <w:rPr>
          <w:lang w:val="en-MY"/>
        </w:rPr>
      </w:pPr>
      <w:r>
        <w:rPr>
          <w:rStyle w:val="FootnoteReference"/>
        </w:rPr>
        <w:footnoteRef/>
      </w:r>
      <w:r>
        <w:t xml:space="preserve"> </w:t>
      </w:r>
      <w:r>
        <w:rPr>
          <w:lang w:val="en-MY"/>
        </w:rPr>
        <w:t xml:space="preserve">As described in Article 20, </w:t>
      </w:r>
      <w:r w:rsidRPr="006E3ABB">
        <w:rPr>
          <w:lang w:val="en-MY"/>
        </w:rPr>
        <w:t xml:space="preserve">UNCITRAL Model Law on Cross-Border Insolvency </w:t>
      </w:r>
      <w:r>
        <w:rPr>
          <w:lang w:val="en-MY"/>
        </w:rPr>
        <w:t>(</w:t>
      </w:r>
      <w:r w:rsidRPr="006E3ABB">
        <w:rPr>
          <w:lang w:val="en-MY"/>
        </w:rPr>
        <w:t>1997</w:t>
      </w:r>
      <w:r>
        <w:rPr>
          <w:lang w:val="en-MY"/>
        </w:rPr>
        <w:t>)</w:t>
      </w:r>
      <w:r>
        <w:rPr>
          <w:lang w:val="en-MY"/>
        </w:rPr>
        <w:t>.</w:t>
      </w:r>
    </w:p>
  </w:footnote>
  <w:footnote w:id="19">
    <w:p w14:paraId="11470AA2" w14:textId="7F751F69" w:rsidR="004E192C" w:rsidRPr="004E192C" w:rsidRDefault="004E192C">
      <w:pPr>
        <w:pStyle w:val="FootnoteText"/>
        <w:rPr>
          <w:lang w:val="en-MY"/>
        </w:rPr>
      </w:pPr>
      <w:r>
        <w:rPr>
          <w:rStyle w:val="FootnoteReference"/>
        </w:rPr>
        <w:footnoteRef/>
      </w:r>
      <w:r>
        <w:t xml:space="preserve"> </w:t>
      </w:r>
      <w:r>
        <w:rPr>
          <w:lang w:val="en-MY"/>
        </w:rPr>
        <w:t xml:space="preserve">Based on Article 29(a)(ii), </w:t>
      </w:r>
      <w:r w:rsidRPr="006E3ABB">
        <w:rPr>
          <w:lang w:val="en-MY"/>
        </w:rPr>
        <w:t xml:space="preserve">UNCITRAL Model Law on Cross-Border Insolvency </w:t>
      </w:r>
      <w:r w:rsidR="00C114DF">
        <w:rPr>
          <w:lang w:val="en-MY"/>
        </w:rPr>
        <w:t>(</w:t>
      </w:r>
      <w:r w:rsidRPr="006E3ABB">
        <w:rPr>
          <w:lang w:val="en-MY"/>
        </w:rPr>
        <w:t>1997</w:t>
      </w:r>
      <w:r w:rsidR="00C114DF">
        <w:rPr>
          <w:lang w:val="en-MY"/>
        </w:rPr>
        <w:t>).</w:t>
      </w:r>
    </w:p>
  </w:footnote>
  <w:footnote w:id="20">
    <w:p w14:paraId="057EE942" w14:textId="77777777" w:rsidR="00FB07EA" w:rsidRPr="00C114DF" w:rsidRDefault="00FB07EA" w:rsidP="00FB07EA">
      <w:pPr>
        <w:pStyle w:val="FootnoteText"/>
        <w:rPr>
          <w:lang w:val="en-MY"/>
        </w:rPr>
      </w:pPr>
      <w:r>
        <w:rPr>
          <w:rStyle w:val="FootnoteReference"/>
        </w:rPr>
        <w:footnoteRef/>
      </w:r>
      <w:r>
        <w:t xml:space="preserve"> </w:t>
      </w:r>
      <w:r>
        <w:rPr>
          <w:lang w:val="en-MY"/>
        </w:rPr>
        <w:t xml:space="preserve">As described in Articles 19 and 21, </w:t>
      </w:r>
      <w:r w:rsidRPr="006E3ABB">
        <w:rPr>
          <w:lang w:val="en-MY"/>
        </w:rPr>
        <w:t xml:space="preserve">UNCITRAL Model Law on Cross-Border Insolvency </w:t>
      </w:r>
      <w:r>
        <w:rPr>
          <w:lang w:val="en-MY"/>
        </w:rPr>
        <w:t>(</w:t>
      </w:r>
      <w:r w:rsidRPr="006E3ABB">
        <w:rPr>
          <w:lang w:val="en-MY"/>
        </w:rPr>
        <w:t>1997</w:t>
      </w:r>
      <w:r>
        <w:rPr>
          <w:lang w:val="en-MY"/>
        </w:rPr>
        <w:t>).</w:t>
      </w:r>
    </w:p>
  </w:footnote>
  <w:footnote w:id="21">
    <w:p w14:paraId="70C72BF7" w14:textId="77777777" w:rsidR="00FB07EA" w:rsidRPr="00D37667" w:rsidRDefault="00FB07EA" w:rsidP="00FB07EA">
      <w:pPr>
        <w:pStyle w:val="FootnoteText"/>
        <w:rPr>
          <w:lang w:val="en-MY"/>
        </w:rPr>
      </w:pPr>
      <w:r>
        <w:rPr>
          <w:rStyle w:val="FootnoteReference"/>
        </w:rPr>
        <w:footnoteRef/>
      </w:r>
      <w:r>
        <w:t xml:space="preserve"> </w:t>
      </w:r>
      <w:r>
        <w:rPr>
          <w:lang w:val="en-MY"/>
        </w:rPr>
        <w:t xml:space="preserve">Based on Article 29(a)(i), </w:t>
      </w:r>
      <w:r w:rsidRPr="006E3ABB">
        <w:rPr>
          <w:lang w:val="en-MY"/>
        </w:rPr>
        <w:t xml:space="preserve">UNCITRAL Model Law on Cross-Border Insolvency </w:t>
      </w:r>
      <w:r>
        <w:rPr>
          <w:lang w:val="en-MY"/>
        </w:rPr>
        <w:t>(</w:t>
      </w:r>
      <w:r w:rsidRPr="006E3ABB">
        <w:rPr>
          <w:lang w:val="en-MY"/>
        </w:rPr>
        <w:t>1997</w:t>
      </w:r>
      <w:r>
        <w:rPr>
          <w:lang w:val="en-MY"/>
        </w:rPr>
        <w:t>).</w:t>
      </w:r>
    </w:p>
  </w:footnote>
  <w:footnote w:id="22">
    <w:p w14:paraId="23EEA7C3" w14:textId="77777777" w:rsidR="00FB07EA" w:rsidRPr="00FB07EA" w:rsidRDefault="00FB07EA" w:rsidP="00FB07EA">
      <w:pPr>
        <w:pStyle w:val="FootnoteText"/>
        <w:rPr>
          <w:lang w:val="en-MY"/>
        </w:rPr>
      </w:pPr>
      <w:r>
        <w:rPr>
          <w:rStyle w:val="FootnoteReference"/>
        </w:rPr>
        <w:footnoteRef/>
      </w:r>
      <w:r>
        <w:t xml:space="preserve"> </w:t>
      </w:r>
      <w:r>
        <w:rPr>
          <w:lang w:val="en-MY"/>
        </w:rPr>
        <w:t xml:space="preserve">As described in Article 20, </w:t>
      </w:r>
      <w:r w:rsidRPr="006E3ABB">
        <w:rPr>
          <w:lang w:val="en-MY"/>
        </w:rPr>
        <w:t xml:space="preserve">UNCITRAL Model Law on Cross-Border Insolvency </w:t>
      </w:r>
      <w:r>
        <w:rPr>
          <w:lang w:val="en-MY"/>
        </w:rPr>
        <w:t>(</w:t>
      </w:r>
      <w:r w:rsidRPr="006E3ABB">
        <w:rPr>
          <w:lang w:val="en-MY"/>
        </w:rPr>
        <w:t>1997</w:t>
      </w:r>
      <w:r>
        <w:rPr>
          <w:lang w:val="en-MY"/>
        </w:rPr>
        <w:t>).</w:t>
      </w:r>
    </w:p>
  </w:footnote>
  <w:footnote w:id="23">
    <w:p w14:paraId="15A6B630" w14:textId="77777777" w:rsidR="00FB07EA" w:rsidRPr="004E192C" w:rsidRDefault="00FB07EA" w:rsidP="00FB07EA">
      <w:pPr>
        <w:pStyle w:val="FootnoteText"/>
        <w:rPr>
          <w:lang w:val="en-MY"/>
        </w:rPr>
      </w:pPr>
      <w:r>
        <w:rPr>
          <w:rStyle w:val="FootnoteReference"/>
        </w:rPr>
        <w:footnoteRef/>
      </w:r>
      <w:r>
        <w:t xml:space="preserve"> </w:t>
      </w:r>
      <w:r>
        <w:rPr>
          <w:lang w:val="en-MY"/>
        </w:rPr>
        <w:t xml:space="preserve">Based on Article 29(a)(ii), </w:t>
      </w:r>
      <w:r w:rsidRPr="006E3ABB">
        <w:rPr>
          <w:lang w:val="en-MY"/>
        </w:rPr>
        <w:t xml:space="preserve">UNCITRAL Model Law on Cross-Border Insolvency </w:t>
      </w:r>
      <w:r>
        <w:rPr>
          <w:lang w:val="en-MY"/>
        </w:rPr>
        <w:t>(</w:t>
      </w:r>
      <w:r w:rsidRPr="006E3ABB">
        <w:rPr>
          <w:lang w:val="en-MY"/>
        </w:rPr>
        <w:t>1997</w:t>
      </w:r>
      <w:r>
        <w:rPr>
          <w:lang w:val="en-MY"/>
        </w:rPr>
        <w:t>).</w:t>
      </w:r>
    </w:p>
  </w:footnote>
  <w:footnote w:id="24">
    <w:p w14:paraId="5C357457" w14:textId="4110A05A" w:rsidR="00713654" w:rsidRPr="00713654" w:rsidRDefault="00713654">
      <w:pPr>
        <w:pStyle w:val="FootnoteText"/>
        <w:rPr>
          <w:lang w:val="en-MY"/>
        </w:rPr>
      </w:pPr>
      <w:r>
        <w:rPr>
          <w:rStyle w:val="FootnoteReference"/>
        </w:rPr>
        <w:footnoteRef/>
      </w:r>
      <w:r>
        <w:t xml:space="preserve"> </w:t>
      </w:r>
      <w:r>
        <w:rPr>
          <w:lang w:val="en-MY"/>
        </w:rPr>
        <w:t xml:space="preserve">I F Fletcher, </w:t>
      </w:r>
      <w:r>
        <w:rPr>
          <w:i/>
          <w:lang w:val="en-MY"/>
        </w:rPr>
        <w:t xml:space="preserve">The Law of Insolvency, </w:t>
      </w:r>
      <w:r>
        <w:rPr>
          <w:lang w:val="en-MY"/>
        </w:rPr>
        <w:t>London (Sweet and Maxwell, 5</w:t>
      </w:r>
      <w:r w:rsidRPr="00713654">
        <w:rPr>
          <w:vertAlign w:val="superscript"/>
          <w:lang w:val="en-MY"/>
        </w:rPr>
        <w:t>th</w:t>
      </w:r>
      <w:r>
        <w:rPr>
          <w:lang w:val="en-MY"/>
        </w:rPr>
        <w:t xml:space="preserve"> ed, 2017), [30-052-053]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B439" w14:textId="77777777" w:rsidR="0086757C" w:rsidRDefault="00867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A65D" w14:textId="77777777" w:rsidR="0086757C" w:rsidRDefault="00867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5EB8" w14:textId="77777777" w:rsidR="0086757C" w:rsidRDefault="0086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122D95"/>
    <w:multiLevelType w:val="hybridMultilevel"/>
    <w:tmpl w:val="B5040398"/>
    <w:lvl w:ilvl="0" w:tplc="4A3EC20A">
      <w:start w:val="1"/>
      <w:numFmt w:val="lowerRoman"/>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FB73E5"/>
    <w:multiLevelType w:val="hybridMultilevel"/>
    <w:tmpl w:val="7C9866A6"/>
    <w:lvl w:ilvl="0" w:tplc="3118E38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D6B6ADB"/>
    <w:multiLevelType w:val="hybridMultilevel"/>
    <w:tmpl w:val="CD0AACA4"/>
    <w:lvl w:ilvl="0" w:tplc="80223E3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9DD671E"/>
    <w:multiLevelType w:val="hybridMultilevel"/>
    <w:tmpl w:val="4D0AF2DE"/>
    <w:lvl w:ilvl="0" w:tplc="5B1A481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B3D1D63"/>
    <w:multiLevelType w:val="hybridMultilevel"/>
    <w:tmpl w:val="A1F2693E"/>
    <w:lvl w:ilvl="0" w:tplc="EE32974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E851915"/>
    <w:multiLevelType w:val="hybridMultilevel"/>
    <w:tmpl w:val="9F0CFA8C"/>
    <w:lvl w:ilvl="0" w:tplc="6BDC3C32">
      <w:start w:val="1"/>
      <w:numFmt w:val="lowerRoman"/>
      <w:lvlText w:val="(%1)"/>
      <w:lvlJc w:val="left"/>
      <w:pPr>
        <w:ind w:left="1287" w:hanging="720"/>
      </w:pPr>
      <w:rPr>
        <w:rFonts w:hint="default"/>
        <w:color w:val="7B7B7B" w:themeColor="accent3" w:themeShade="BF"/>
        <w:sz w:val="22"/>
        <w:szCs w:val="22"/>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8"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4A807B0"/>
    <w:multiLevelType w:val="hybridMultilevel"/>
    <w:tmpl w:val="265CF29E"/>
    <w:lvl w:ilvl="0" w:tplc="5B1A4812">
      <w:start w:val="1"/>
      <w:numFmt w:val="lowerRoman"/>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86A9D"/>
    <w:multiLevelType w:val="hybridMultilevel"/>
    <w:tmpl w:val="5EE8411A"/>
    <w:lvl w:ilvl="0" w:tplc="EBDCF5BE">
      <w:start w:val="1"/>
      <w:numFmt w:val="lowerRoman"/>
      <w:lvlText w:val="(%1)"/>
      <w:lvlJc w:val="left"/>
      <w:pPr>
        <w:ind w:left="1287" w:hanging="720"/>
      </w:pPr>
      <w:rPr>
        <w:rFonts w:hint="default"/>
        <w:color w:val="7B7B7B" w:themeColor="accent3" w:themeShade="BF"/>
        <w:sz w:val="22"/>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3"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93A0B"/>
    <w:multiLevelType w:val="hybridMultilevel"/>
    <w:tmpl w:val="1F16D4C4"/>
    <w:lvl w:ilvl="0" w:tplc="913639A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2B34D3"/>
    <w:multiLevelType w:val="hybridMultilevel"/>
    <w:tmpl w:val="4D0AF2DE"/>
    <w:lvl w:ilvl="0" w:tplc="5B1A481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AD5317C"/>
    <w:multiLevelType w:val="hybridMultilevel"/>
    <w:tmpl w:val="23E2057E"/>
    <w:lvl w:ilvl="0" w:tplc="F49E09BC">
      <w:start w:val="1"/>
      <w:numFmt w:val="lowerLetter"/>
      <w:lvlText w:val="(%1)"/>
      <w:lvlJc w:val="left"/>
      <w:pPr>
        <w:ind w:left="720" w:hanging="360"/>
      </w:pPr>
      <w:rPr>
        <w:rFonts w:hint="default"/>
        <w:color w:val="7B7B7B" w:themeColor="accent3" w:themeShade="BF"/>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B832964"/>
    <w:multiLevelType w:val="hybridMultilevel"/>
    <w:tmpl w:val="7C0E891E"/>
    <w:lvl w:ilvl="0" w:tplc="C89EE8EC">
      <w:start w:val="1"/>
      <w:numFmt w:val="lowerLetter"/>
      <w:lvlText w:val="(%1)"/>
      <w:lvlJc w:val="left"/>
      <w:pPr>
        <w:ind w:left="720" w:hanging="360"/>
      </w:pPr>
      <w:rPr>
        <w:rFonts w:hint="default"/>
        <w:i w:val="0"/>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F3580"/>
    <w:multiLevelType w:val="hybridMultilevel"/>
    <w:tmpl w:val="7C6808E8"/>
    <w:lvl w:ilvl="0" w:tplc="5B1A4812">
      <w:start w:val="1"/>
      <w:numFmt w:val="lowerRoman"/>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EF4789D"/>
    <w:multiLevelType w:val="hybridMultilevel"/>
    <w:tmpl w:val="DA822608"/>
    <w:lvl w:ilvl="0" w:tplc="A73AD06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96B7690"/>
    <w:multiLevelType w:val="hybridMultilevel"/>
    <w:tmpl w:val="EA6CEACC"/>
    <w:lvl w:ilvl="0" w:tplc="0292E954">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34"/>
  </w:num>
  <w:num w:numId="3">
    <w:abstractNumId w:val="13"/>
  </w:num>
  <w:num w:numId="4">
    <w:abstractNumId w:val="8"/>
  </w:num>
  <w:num w:numId="5">
    <w:abstractNumId w:val="17"/>
  </w:num>
  <w:num w:numId="6">
    <w:abstractNumId w:val="27"/>
  </w:num>
  <w:num w:numId="7">
    <w:abstractNumId w:val="35"/>
  </w:num>
  <w:num w:numId="8">
    <w:abstractNumId w:val="25"/>
  </w:num>
  <w:num w:numId="9">
    <w:abstractNumId w:val="11"/>
  </w:num>
  <w:num w:numId="10">
    <w:abstractNumId w:val="16"/>
  </w:num>
  <w:num w:numId="11">
    <w:abstractNumId w:val="14"/>
  </w:num>
  <w:num w:numId="12">
    <w:abstractNumId w:val="9"/>
  </w:num>
  <w:num w:numId="13">
    <w:abstractNumId w:val="23"/>
  </w:num>
  <w:num w:numId="14">
    <w:abstractNumId w:val="0"/>
  </w:num>
  <w:num w:numId="15">
    <w:abstractNumId w:val="4"/>
  </w:num>
  <w:num w:numId="16">
    <w:abstractNumId w:val="24"/>
  </w:num>
  <w:num w:numId="17">
    <w:abstractNumId w:val="21"/>
  </w:num>
  <w:num w:numId="18">
    <w:abstractNumId w:val="32"/>
  </w:num>
  <w:num w:numId="19">
    <w:abstractNumId w:val="28"/>
  </w:num>
  <w:num w:numId="20">
    <w:abstractNumId w:val="36"/>
  </w:num>
  <w:num w:numId="21">
    <w:abstractNumId w:val="30"/>
  </w:num>
  <w:num w:numId="22">
    <w:abstractNumId w:val="20"/>
  </w:num>
  <w:num w:numId="23">
    <w:abstractNumId w:val="19"/>
  </w:num>
  <w:num w:numId="24">
    <w:abstractNumId w:val="12"/>
  </w:num>
  <w:num w:numId="25">
    <w:abstractNumId w:val="7"/>
  </w:num>
  <w:num w:numId="26">
    <w:abstractNumId w:val="33"/>
  </w:num>
  <w:num w:numId="27">
    <w:abstractNumId w:val="15"/>
  </w:num>
  <w:num w:numId="28">
    <w:abstractNumId w:val="2"/>
  </w:num>
  <w:num w:numId="29">
    <w:abstractNumId w:val="22"/>
  </w:num>
  <w:num w:numId="30">
    <w:abstractNumId w:val="29"/>
  </w:num>
  <w:num w:numId="31">
    <w:abstractNumId w:val="3"/>
  </w:num>
  <w:num w:numId="32">
    <w:abstractNumId w:val="6"/>
  </w:num>
  <w:num w:numId="33">
    <w:abstractNumId w:val="26"/>
  </w:num>
  <w:num w:numId="34">
    <w:abstractNumId w:val="10"/>
  </w:num>
  <w:num w:numId="35">
    <w:abstractNumId w:val="1"/>
  </w:num>
  <w:num w:numId="36">
    <w:abstractNumId w:val="5"/>
  </w:num>
  <w:num w:numId="3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384"/>
    <w:rsid w:val="00010BA0"/>
    <w:rsid w:val="000250C7"/>
    <w:rsid w:val="00037621"/>
    <w:rsid w:val="00040B37"/>
    <w:rsid w:val="00044D46"/>
    <w:rsid w:val="00045088"/>
    <w:rsid w:val="00045904"/>
    <w:rsid w:val="00055893"/>
    <w:rsid w:val="00065166"/>
    <w:rsid w:val="00082609"/>
    <w:rsid w:val="000851CC"/>
    <w:rsid w:val="00093BE8"/>
    <w:rsid w:val="00093C8F"/>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27BE"/>
    <w:rsid w:val="001830DF"/>
    <w:rsid w:val="001966D9"/>
    <w:rsid w:val="001A7E9A"/>
    <w:rsid w:val="001B34CD"/>
    <w:rsid w:val="001B5016"/>
    <w:rsid w:val="001C08C1"/>
    <w:rsid w:val="001C45FC"/>
    <w:rsid w:val="001D4862"/>
    <w:rsid w:val="001E0017"/>
    <w:rsid w:val="001E25B9"/>
    <w:rsid w:val="001E49E0"/>
    <w:rsid w:val="001E7B5A"/>
    <w:rsid w:val="001F7412"/>
    <w:rsid w:val="0020725B"/>
    <w:rsid w:val="00213024"/>
    <w:rsid w:val="00241B44"/>
    <w:rsid w:val="00245EFB"/>
    <w:rsid w:val="0026515D"/>
    <w:rsid w:val="002668D3"/>
    <w:rsid w:val="0027299F"/>
    <w:rsid w:val="00273D12"/>
    <w:rsid w:val="002743FE"/>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073AB"/>
    <w:rsid w:val="00311989"/>
    <w:rsid w:val="003144EF"/>
    <w:rsid w:val="00330937"/>
    <w:rsid w:val="00330F31"/>
    <w:rsid w:val="00334648"/>
    <w:rsid w:val="0033768C"/>
    <w:rsid w:val="00337938"/>
    <w:rsid w:val="00340769"/>
    <w:rsid w:val="00341AA6"/>
    <w:rsid w:val="00342D75"/>
    <w:rsid w:val="00351881"/>
    <w:rsid w:val="00361A0A"/>
    <w:rsid w:val="0036565C"/>
    <w:rsid w:val="0036625E"/>
    <w:rsid w:val="0037465A"/>
    <w:rsid w:val="00374696"/>
    <w:rsid w:val="00382C98"/>
    <w:rsid w:val="00383E53"/>
    <w:rsid w:val="0038533C"/>
    <w:rsid w:val="00387451"/>
    <w:rsid w:val="003948D5"/>
    <w:rsid w:val="00396821"/>
    <w:rsid w:val="00397D3A"/>
    <w:rsid w:val="003A051E"/>
    <w:rsid w:val="003A2F8D"/>
    <w:rsid w:val="003A6F38"/>
    <w:rsid w:val="003B170F"/>
    <w:rsid w:val="003C4471"/>
    <w:rsid w:val="003D0989"/>
    <w:rsid w:val="003D0A6D"/>
    <w:rsid w:val="003D2DA8"/>
    <w:rsid w:val="003D54FA"/>
    <w:rsid w:val="003E0B16"/>
    <w:rsid w:val="003E67D1"/>
    <w:rsid w:val="003F5758"/>
    <w:rsid w:val="00405DC1"/>
    <w:rsid w:val="00411B48"/>
    <w:rsid w:val="00415F1F"/>
    <w:rsid w:val="0042108F"/>
    <w:rsid w:val="00430FED"/>
    <w:rsid w:val="0043427C"/>
    <w:rsid w:val="00434A8C"/>
    <w:rsid w:val="00436973"/>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E192C"/>
    <w:rsid w:val="004F5FDF"/>
    <w:rsid w:val="005177FE"/>
    <w:rsid w:val="0052263B"/>
    <w:rsid w:val="00524728"/>
    <w:rsid w:val="005331CA"/>
    <w:rsid w:val="00537970"/>
    <w:rsid w:val="00544127"/>
    <w:rsid w:val="00553EB2"/>
    <w:rsid w:val="00556BED"/>
    <w:rsid w:val="00560534"/>
    <w:rsid w:val="0056391B"/>
    <w:rsid w:val="005650E2"/>
    <w:rsid w:val="00567075"/>
    <w:rsid w:val="00570DB7"/>
    <w:rsid w:val="00575B2D"/>
    <w:rsid w:val="00577AAF"/>
    <w:rsid w:val="005833D0"/>
    <w:rsid w:val="005846F3"/>
    <w:rsid w:val="0058622F"/>
    <w:rsid w:val="00592F82"/>
    <w:rsid w:val="005A0CCA"/>
    <w:rsid w:val="005A726D"/>
    <w:rsid w:val="005B67AC"/>
    <w:rsid w:val="005C1158"/>
    <w:rsid w:val="005D257C"/>
    <w:rsid w:val="005D43E0"/>
    <w:rsid w:val="005D58A3"/>
    <w:rsid w:val="005E1B79"/>
    <w:rsid w:val="005F026D"/>
    <w:rsid w:val="005F1008"/>
    <w:rsid w:val="005F2D0B"/>
    <w:rsid w:val="005F4B31"/>
    <w:rsid w:val="005F6250"/>
    <w:rsid w:val="00610388"/>
    <w:rsid w:val="00612CA5"/>
    <w:rsid w:val="00612EA9"/>
    <w:rsid w:val="0061316E"/>
    <w:rsid w:val="006153EC"/>
    <w:rsid w:val="00621A17"/>
    <w:rsid w:val="00627CC9"/>
    <w:rsid w:val="00627E7B"/>
    <w:rsid w:val="00630542"/>
    <w:rsid w:val="00632214"/>
    <w:rsid w:val="00632E44"/>
    <w:rsid w:val="00634622"/>
    <w:rsid w:val="00636110"/>
    <w:rsid w:val="00636808"/>
    <w:rsid w:val="00641515"/>
    <w:rsid w:val="00654C2F"/>
    <w:rsid w:val="00657087"/>
    <w:rsid w:val="00677AEB"/>
    <w:rsid w:val="0068575E"/>
    <w:rsid w:val="00687A1D"/>
    <w:rsid w:val="00695770"/>
    <w:rsid w:val="00697EA1"/>
    <w:rsid w:val="006A2646"/>
    <w:rsid w:val="006A6530"/>
    <w:rsid w:val="006B1CA2"/>
    <w:rsid w:val="006B435A"/>
    <w:rsid w:val="006B4C64"/>
    <w:rsid w:val="006D01C2"/>
    <w:rsid w:val="006E3ABB"/>
    <w:rsid w:val="006E481A"/>
    <w:rsid w:val="006E5298"/>
    <w:rsid w:val="006F734A"/>
    <w:rsid w:val="00700D83"/>
    <w:rsid w:val="007074E9"/>
    <w:rsid w:val="00713654"/>
    <w:rsid w:val="00713DA4"/>
    <w:rsid w:val="00714BF1"/>
    <w:rsid w:val="00721383"/>
    <w:rsid w:val="00732124"/>
    <w:rsid w:val="007333CC"/>
    <w:rsid w:val="0073399A"/>
    <w:rsid w:val="007603F5"/>
    <w:rsid w:val="00764DB0"/>
    <w:rsid w:val="0076764D"/>
    <w:rsid w:val="0077384B"/>
    <w:rsid w:val="0077498C"/>
    <w:rsid w:val="00784128"/>
    <w:rsid w:val="00786CA7"/>
    <w:rsid w:val="00793173"/>
    <w:rsid w:val="007C1459"/>
    <w:rsid w:val="007C1FCC"/>
    <w:rsid w:val="007C6201"/>
    <w:rsid w:val="007D7C92"/>
    <w:rsid w:val="007E1154"/>
    <w:rsid w:val="007F41F8"/>
    <w:rsid w:val="007F44F0"/>
    <w:rsid w:val="007F45F1"/>
    <w:rsid w:val="008031A7"/>
    <w:rsid w:val="0080454E"/>
    <w:rsid w:val="00804C32"/>
    <w:rsid w:val="00806302"/>
    <w:rsid w:val="00807119"/>
    <w:rsid w:val="0082483F"/>
    <w:rsid w:val="008279C0"/>
    <w:rsid w:val="0086757C"/>
    <w:rsid w:val="008723F3"/>
    <w:rsid w:val="00881DE6"/>
    <w:rsid w:val="008837A6"/>
    <w:rsid w:val="0089145D"/>
    <w:rsid w:val="008A6CFE"/>
    <w:rsid w:val="008B5333"/>
    <w:rsid w:val="008B6223"/>
    <w:rsid w:val="008C66E0"/>
    <w:rsid w:val="008D253C"/>
    <w:rsid w:val="008D3A5D"/>
    <w:rsid w:val="008E3339"/>
    <w:rsid w:val="008F20FC"/>
    <w:rsid w:val="008F6301"/>
    <w:rsid w:val="00905A43"/>
    <w:rsid w:val="00912C79"/>
    <w:rsid w:val="0092004B"/>
    <w:rsid w:val="0092488D"/>
    <w:rsid w:val="00936982"/>
    <w:rsid w:val="00942123"/>
    <w:rsid w:val="0095207B"/>
    <w:rsid w:val="00962045"/>
    <w:rsid w:val="00991428"/>
    <w:rsid w:val="00992676"/>
    <w:rsid w:val="0099325B"/>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33F85"/>
    <w:rsid w:val="00A407EF"/>
    <w:rsid w:val="00A458BE"/>
    <w:rsid w:val="00A46B4C"/>
    <w:rsid w:val="00A5117B"/>
    <w:rsid w:val="00A54909"/>
    <w:rsid w:val="00A57008"/>
    <w:rsid w:val="00A60074"/>
    <w:rsid w:val="00A6627C"/>
    <w:rsid w:val="00A71019"/>
    <w:rsid w:val="00A81029"/>
    <w:rsid w:val="00A83A2F"/>
    <w:rsid w:val="00A96489"/>
    <w:rsid w:val="00A97725"/>
    <w:rsid w:val="00AB685C"/>
    <w:rsid w:val="00AB6C2D"/>
    <w:rsid w:val="00AC3839"/>
    <w:rsid w:val="00AC7082"/>
    <w:rsid w:val="00AD6A7D"/>
    <w:rsid w:val="00AF228E"/>
    <w:rsid w:val="00B12D54"/>
    <w:rsid w:val="00B14819"/>
    <w:rsid w:val="00B17AA9"/>
    <w:rsid w:val="00B63E01"/>
    <w:rsid w:val="00B72AE1"/>
    <w:rsid w:val="00B736DF"/>
    <w:rsid w:val="00B74FBD"/>
    <w:rsid w:val="00B82586"/>
    <w:rsid w:val="00B86DB1"/>
    <w:rsid w:val="00B87869"/>
    <w:rsid w:val="00B90CCC"/>
    <w:rsid w:val="00BA0D00"/>
    <w:rsid w:val="00BB0F2B"/>
    <w:rsid w:val="00BF1C6F"/>
    <w:rsid w:val="00BF50F7"/>
    <w:rsid w:val="00C001DE"/>
    <w:rsid w:val="00C02F29"/>
    <w:rsid w:val="00C053F7"/>
    <w:rsid w:val="00C114DF"/>
    <w:rsid w:val="00C22A25"/>
    <w:rsid w:val="00C33C6C"/>
    <w:rsid w:val="00C35671"/>
    <w:rsid w:val="00C35B77"/>
    <w:rsid w:val="00C376EB"/>
    <w:rsid w:val="00C46EC1"/>
    <w:rsid w:val="00C53E2C"/>
    <w:rsid w:val="00C550C8"/>
    <w:rsid w:val="00C606C3"/>
    <w:rsid w:val="00C72848"/>
    <w:rsid w:val="00C7651D"/>
    <w:rsid w:val="00C7736C"/>
    <w:rsid w:val="00C82D87"/>
    <w:rsid w:val="00C8712A"/>
    <w:rsid w:val="00C91306"/>
    <w:rsid w:val="00C963D3"/>
    <w:rsid w:val="00CB2CBB"/>
    <w:rsid w:val="00CB3E1F"/>
    <w:rsid w:val="00CB7CAC"/>
    <w:rsid w:val="00CC4CF1"/>
    <w:rsid w:val="00CC5335"/>
    <w:rsid w:val="00CC5BA4"/>
    <w:rsid w:val="00CD4998"/>
    <w:rsid w:val="00CE1035"/>
    <w:rsid w:val="00CF2819"/>
    <w:rsid w:val="00CF4F9D"/>
    <w:rsid w:val="00CF70DC"/>
    <w:rsid w:val="00D02B56"/>
    <w:rsid w:val="00D104E4"/>
    <w:rsid w:val="00D148DC"/>
    <w:rsid w:val="00D17FDC"/>
    <w:rsid w:val="00D26E33"/>
    <w:rsid w:val="00D37667"/>
    <w:rsid w:val="00D411CF"/>
    <w:rsid w:val="00D54B06"/>
    <w:rsid w:val="00D60BE6"/>
    <w:rsid w:val="00D63EFD"/>
    <w:rsid w:val="00D8137C"/>
    <w:rsid w:val="00D84752"/>
    <w:rsid w:val="00D86B3B"/>
    <w:rsid w:val="00D8748A"/>
    <w:rsid w:val="00D93196"/>
    <w:rsid w:val="00DA4DE2"/>
    <w:rsid w:val="00DB243C"/>
    <w:rsid w:val="00DB482A"/>
    <w:rsid w:val="00DB56F2"/>
    <w:rsid w:val="00DB6EF5"/>
    <w:rsid w:val="00DC0391"/>
    <w:rsid w:val="00DC1D53"/>
    <w:rsid w:val="00DC207E"/>
    <w:rsid w:val="00DC3089"/>
    <w:rsid w:val="00DC4420"/>
    <w:rsid w:val="00DD0802"/>
    <w:rsid w:val="00DD0A36"/>
    <w:rsid w:val="00DD2E11"/>
    <w:rsid w:val="00DE03AF"/>
    <w:rsid w:val="00DE121C"/>
    <w:rsid w:val="00DE1ED3"/>
    <w:rsid w:val="00DE6633"/>
    <w:rsid w:val="00DF75F8"/>
    <w:rsid w:val="00DF7A3A"/>
    <w:rsid w:val="00E00C00"/>
    <w:rsid w:val="00E07C5A"/>
    <w:rsid w:val="00E15BA9"/>
    <w:rsid w:val="00E26E19"/>
    <w:rsid w:val="00E450A4"/>
    <w:rsid w:val="00E47703"/>
    <w:rsid w:val="00E506BE"/>
    <w:rsid w:val="00E55547"/>
    <w:rsid w:val="00E6302B"/>
    <w:rsid w:val="00E6303E"/>
    <w:rsid w:val="00E6452F"/>
    <w:rsid w:val="00E64F45"/>
    <w:rsid w:val="00E6742D"/>
    <w:rsid w:val="00E71CB0"/>
    <w:rsid w:val="00E77C3D"/>
    <w:rsid w:val="00E909F0"/>
    <w:rsid w:val="00E93993"/>
    <w:rsid w:val="00EA0913"/>
    <w:rsid w:val="00EB45AC"/>
    <w:rsid w:val="00EC03E9"/>
    <w:rsid w:val="00ED0BC4"/>
    <w:rsid w:val="00EE4971"/>
    <w:rsid w:val="00EE744D"/>
    <w:rsid w:val="00EF090E"/>
    <w:rsid w:val="00F033DA"/>
    <w:rsid w:val="00F16EE2"/>
    <w:rsid w:val="00F27CD8"/>
    <w:rsid w:val="00F30351"/>
    <w:rsid w:val="00F3323E"/>
    <w:rsid w:val="00F341F4"/>
    <w:rsid w:val="00F35CCE"/>
    <w:rsid w:val="00F44220"/>
    <w:rsid w:val="00F5524B"/>
    <w:rsid w:val="00F61DD2"/>
    <w:rsid w:val="00F66AFF"/>
    <w:rsid w:val="00F71433"/>
    <w:rsid w:val="00F738E7"/>
    <w:rsid w:val="00F86FD5"/>
    <w:rsid w:val="00F97C5B"/>
    <w:rsid w:val="00FA1FE7"/>
    <w:rsid w:val="00FA3D50"/>
    <w:rsid w:val="00FA3D5F"/>
    <w:rsid w:val="00FB07EA"/>
    <w:rsid w:val="00FB1453"/>
    <w:rsid w:val="00FC374A"/>
    <w:rsid w:val="00FC4CFA"/>
    <w:rsid w:val="00FC7B47"/>
    <w:rsid w:val="00FD035C"/>
    <w:rsid w:val="00FD1A35"/>
    <w:rsid w:val="00FD36C5"/>
    <w:rsid w:val="00FD6310"/>
    <w:rsid w:val="00FD7C7B"/>
    <w:rsid w:val="00FE1D12"/>
    <w:rsid w:val="00FE2122"/>
    <w:rsid w:val="00FE2A86"/>
    <w:rsid w:val="00FF226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8ADEF-FC0E-4DF9-AA0B-16B80DB8449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211A68-7E53-4BCB-8E09-A1D95455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13</Pages>
  <Words>4467</Words>
  <Characters>25466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Meerasree Ganasan</cp:lastModifiedBy>
  <cp:revision>30</cp:revision>
  <cp:lastPrinted>2019-09-04T15:45:00Z</cp:lastPrinted>
  <dcterms:created xsi:type="dcterms:W3CDTF">2021-08-17T16:42:00Z</dcterms:created>
  <dcterms:modified xsi:type="dcterms:W3CDTF">2021-10-15T08:24:00Z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6268a871-3f28-405f-9fcc-43db26c131c2</vt:lpwstr>
  </property>
  <property fmtid="{D5CDD505-2E9C-101B-9397-08002B2CF9AE}" pid="3" name="bjSaver">
    <vt:lpwstr>xvOTEhjoycUI5QxlX8vagBRkmH1tYmQ+</vt:lpwstr>
  </property>
  <property fmtid="{D5CDD505-2E9C-101B-9397-08002B2CF9AE}" pid="4"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5" name="bjDocumentLabelXML-0">
    <vt:lpwstr>ames.com/2008/01/sie/internal/label"&gt;&lt;element uid="0396dc7d-9d2f-459d-9e03-6e8dc85fa202" value="" /&gt;&lt;element uid="bc9373da-fcfa-4469-a78f-e552654443e3" value="" /&gt;&lt;/sisl&gt;</vt:lpwstr>
  </property>
  <property fmtid="{D5CDD505-2E9C-101B-9397-08002B2CF9AE}" pid="6" name="bjDocumentSecurityLabel">
    <vt:lpwstr>Personal</vt:lpwstr>
  </property>
  <property fmtid="{D5CDD505-2E9C-101B-9397-08002B2CF9AE}" pid="7" name="DLP">
    <vt:lpwstr>{[*Others Personal*]}</vt:lpwstr>
  </property>
  <property fmtid="{D5CDD505-2E9C-101B-9397-08002B2CF9AE}" pid="8" name="bjFooterBothDocProperty">
    <vt:lpwstr>This information/document has been classified: Personal</vt:lpwstr>
  </property>
  <property fmtid="{D5CDD505-2E9C-101B-9397-08002B2CF9AE}" pid="9" name="bjFooterFirstPageDocProperty">
    <vt:lpwstr>This information/document has been classified: Personal</vt:lpwstr>
  </property>
  <property fmtid="{D5CDD505-2E9C-101B-9397-08002B2CF9AE}" pid="10" name="bjFooterEvenPageDocProperty">
    <vt:lpwstr>This information/document has been classified: Personal</vt:lpwstr>
  </property>
  <property fmtid="{D5CDD505-2E9C-101B-9397-08002B2CF9AE}" pid="11" name="bjClsUserRVM">
    <vt:lpwstr>[{"VisualMarkingType":2,"ShapeName":"","ApplyMarking":false}]</vt:lpwstr>
  </property>
</Properties>
</file>