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BF18F7">
        <w:rPr>
          <w:rFonts w:ascii="Arial" w:hAnsi="Arial" w:cs="Arial"/>
          <w:sz w:val="22"/>
          <w:szCs w:val="22"/>
          <w:highlight w:val="yellow"/>
          <w:lang w:val="en-GB"/>
        </w:rPr>
        <w:t>This statement is untrue since there are huge differences in both the approach and</w:t>
      </w:r>
      <w:r w:rsidRPr="00BF18F7">
        <w:rPr>
          <w:rFonts w:ascii="Arial" w:hAnsi="Arial" w:cs="Arial"/>
          <w:sz w:val="22"/>
          <w:szCs w:val="22"/>
          <w:lang w:val="en-GB"/>
        </w:rPr>
        <w:t xml:space="preserve"> </w:t>
      </w:r>
      <w:r w:rsidRPr="00BF18F7">
        <w:rPr>
          <w:rFonts w:ascii="Arial" w:hAnsi="Arial" w:cs="Arial"/>
          <w:sz w:val="22"/>
          <w:szCs w:val="22"/>
          <w:highlight w:val="yellow"/>
          <w:lang w:val="en-GB"/>
        </w:rPr>
        <w:t>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8F7" w:rsidRDefault="00161F1B" w:rsidP="009E1027">
      <w:pPr>
        <w:pStyle w:val="ListParagraph"/>
        <w:numPr>
          <w:ilvl w:val="0"/>
          <w:numId w:val="13"/>
        </w:numPr>
        <w:ind w:left="426"/>
        <w:jc w:val="both"/>
        <w:rPr>
          <w:rFonts w:ascii="Arial" w:hAnsi="Arial" w:cs="Arial"/>
          <w:sz w:val="22"/>
          <w:szCs w:val="22"/>
          <w:highlight w:val="yellow"/>
          <w:lang w:val="en-GB"/>
        </w:rPr>
      </w:pPr>
      <w:r w:rsidRPr="00BF18F7">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8F7" w:rsidRDefault="009E2E27" w:rsidP="008031A7">
      <w:pPr>
        <w:pStyle w:val="ListParagraph"/>
        <w:numPr>
          <w:ilvl w:val="0"/>
          <w:numId w:val="14"/>
        </w:numPr>
        <w:ind w:left="426"/>
        <w:jc w:val="both"/>
        <w:rPr>
          <w:rFonts w:ascii="Arial" w:hAnsi="Arial" w:cs="Arial"/>
          <w:sz w:val="22"/>
          <w:szCs w:val="22"/>
          <w:highlight w:val="yellow"/>
          <w:lang w:val="en-GB"/>
        </w:rPr>
      </w:pPr>
      <w:r w:rsidRPr="00BF18F7">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CB357F">
        <w:rPr>
          <w:rFonts w:ascii="Arial" w:hAnsi="Arial" w:cs="Arial"/>
          <w:sz w:val="22"/>
          <w:szCs w:val="22"/>
          <w:highlight w:val="yellow"/>
          <w:lang w:val="en-GB"/>
        </w:rPr>
        <w:t>This statement is untrue since there is still a need for both liquidation and rescue procedures in insolvency systems</w:t>
      </w:r>
      <w:r w:rsidRPr="00BF1C6F">
        <w:rPr>
          <w:rFonts w:ascii="Arial" w:hAnsi="Arial" w:cs="Arial"/>
          <w:sz w:val="22"/>
          <w:szCs w:val="22"/>
          <w:lang w:val="en-GB"/>
        </w:rPr>
        <w:t>.</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CB357F">
        <w:rPr>
          <w:rFonts w:ascii="Arial" w:hAnsi="Arial" w:cs="Arial"/>
          <w:sz w:val="22"/>
          <w:szCs w:val="22"/>
          <w:highlight w:val="yellow"/>
          <w:lang w:val="en-GB"/>
        </w:rPr>
        <w:t>The statement</w:t>
      </w:r>
      <w:r w:rsidR="0037465A" w:rsidRPr="00CB357F">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CB357F">
        <w:rPr>
          <w:rFonts w:ascii="Arial" w:eastAsiaTheme="minorHAnsi" w:hAnsi="Arial" w:cs="Arial"/>
          <w:sz w:val="22"/>
          <w:szCs w:val="22"/>
          <w:highlight w:val="yellow"/>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CB357F" w:rsidRDefault="00CB2CBB" w:rsidP="006D01C2">
      <w:pPr>
        <w:pStyle w:val="ListParagraph"/>
        <w:numPr>
          <w:ilvl w:val="0"/>
          <w:numId w:val="17"/>
        </w:numPr>
        <w:ind w:left="426"/>
        <w:jc w:val="both"/>
        <w:rPr>
          <w:rFonts w:ascii="Arial" w:eastAsiaTheme="minorHAnsi" w:hAnsi="Arial" w:cs="Arial"/>
          <w:sz w:val="22"/>
          <w:szCs w:val="22"/>
          <w:lang w:val="en-GB"/>
        </w:rPr>
      </w:pPr>
      <w:r w:rsidRPr="00CB357F">
        <w:rPr>
          <w:rFonts w:ascii="Arial" w:eastAsiaTheme="minorHAnsi" w:hAnsi="Arial" w:cs="Arial"/>
          <w:sz w:val="22"/>
          <w:szCs w:val="22"/>
          <w:lang w:val="en-GB"/>
        </w:rPr>
        <w:t>Private International Law</w:t>
      </w:r>
      <w:r w:rsidR="00991428" w:rsidRPr="00CB357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360618">
        <w:rPr>
          <w:rFonts w:ascii="Arial" w:hAnsi="Arial" w:cs="Arial"/>
          <w:sz w:val="22"/>
          <w:szCs w:val="22"/>
          <w:highlight w:val="yellow"/>
          <w:lang w:val="en-GB"/>
        </w:rPr>
        <w:t>UNCITRAL Model Law on Cross-border Insolvency (1997)</w:t>
      </w:r>
      <w:r w:rsidR="00912C79" w:rsidRPr="00360618">
        <w:rPr>
          <w:rFonts w:ascii="Arial" w:hAnsi="Arial" w:cs="Arial"/>
          <w:sz w:val="22"/>
          <w:szCs w:val="22"/>
          <w:highlight w:val="yellow"/>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360618"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360618">
        <w:rPr>
          <w:rFonts w:ascii="Arial" w:hAnsi="Arial" w:cs="Arial"/>
          <w:sz w:val="22"/>
          <w:szCs w:val="22"/>
          <w:highlight w:val="yellow"/>
          <w:lang w:val="en-GB"/>
        </w:rPr>
        <w:t>Havana Convention on Private International Law (1928)</w:t>
      </w:r>
      <w:r w:rsidRPr="00360618">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6C4584">
        <w:rPr>
          <w:rFonts w:ascii="Arial" w:hAnsi="Arial" w:cs="Arial"/>
          <w:sz w:val="22"/>
          <w:szCs w:val="22"/>
          <w:lang w:val="en-GB"/>
        </w:rPr>
        <w:t>Proceedings to restructure a debtor that is facing the likelihood of insolvency</w:t>
      </w:r>
      <w:r w:rsidRPr="00BF1C6F">
        <w:rPr>
          <w:rFonts w:ascii="Arial" w:hAnsi="Arial" w:cs="Arial"/>
          <w:sz w:val="22"/>
          <w:szCs w:val="22"/>
          <w:lang w:val="en-GB"/>
        </w:rPr>
        <w:t>.</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6C4584">
        <w:rPr>
          <w:rFonts w:ascii="Arial" w:hAnsi="Arial" w:cs="Arial"/>
          <w:sz w:val="22"/>
          <w:szCs w:val="22"/>
          <w:highlight w:val="yellow"/>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6C4584"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6C4584">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1B0D85B8" w:rsidR="009B07AD" w:rsidRPr="00BF1C6F" w:rsidRDefault="0091783C" w:rsidP="0080707A">
      <w:pPr>
        <w:jc w:val="both"/>
        <w:rPr>
          <w:rFonts w:ascii="Arial" w:hAnsi="Arial" w:cs="Arial"/>
          <w:sz w:val="22"/>
          <w:szCs w:val="22"/>
          <w:lang w:val="en-GB"/>
        </w:rPr>
      </w:pPr>
      <w:r>
        <w:rPr>
          <w:rFonts w:ascii="Arial" w:hAnsi="Arial" w:cs="Arial"/>
          <w:color w:val="7B7B7B" w:themeColor="accent3" w:themeShade="BF"/>
          <w:sz w:val="22"/>
          <w:szCs w:val="22"/>
          <w:lang w:val="en-GB"/>
        </w:rPr>
        <w:t xml:space="preserve">It means </w:t>
      </w:r>
      <w:r w:rsidR="0080707A">
        <w:rPr>
          <w:rFonts w:ascii="Arial" w:hAnsi="Arial" w:cs="Arial"/>
          <w:color w:val="7B7B7B" w:themeColor="accent3" w:themeShade="BF"/>
          <w:sz w:val="22"/>
          <w:szCs w:val="22"/>
          <w:lang w:val="en-GB"/>
        </w:rPr>
        <w:t xml:space="preserve">a set of </w:t>
      </w:r>
      <w:r>
        <w:rPr>
          <w:rFonts w:ascii="Arial" w:hAnsi="Arial" w:cs="Arial"/>
          <w:color w:val="7B7B7B" w:themeColor="accent3" w:themeShade="BF"/>
          <w:sz w:val="22"/>
          <w:szCs w:val="22"/>
          <w:lang w:val="en-GB"/>
        </w:rPr>
        <w:t xml:space="preserve">rules that </w:t>
      </w:r>
      <w:r w:rsidR="0080707A">
        <w:rPr>
          <w:rFonts w:ascii="Arial" w:hAnsi="Arial" w:cs="Arial"/>
          <w:color w:val="7B7B7B" w:themeColor="accent3" w:themeShade="BF"/>
          <w:sz w:val="22"/>
          <w:szCs w:val="22"/>
          <w:lang w:val="en-GB"/>
        </w:rPr>
        <w:t xml:space="preserve">try to </w:t>
      </w:r>
      <w:r>
        <w:rPr>
          <w:rFonts w:ascii="Arial" w:hAnsi="Arial" w:cs="Arial"/>
          <w:color w:val="7B7B7B" w:themeColor="accent3" w:themeShade="BF"/>
          <w:sz w:val="22"/>
          <w:szCs w:val="22"/>
          <w:lang w:val="en-GB"/>
        </w:rPr>
        <w:t xml:space="preserve">deal with </w:t>
      </w:r>
      <w:r w:rsidR="0080707A">
        <w:rPr>
          <w:rFonts w:ascii="Arial" w:hAnsi="Arial" w:cs="Arial"/>
          <w:color w:val="7B7B7B" w:themeColor="accent3" w:themeShade="BF"/>
          <w:sz w:val="22"/>
          <w:szCs w:val="22"/>
          <w:lang w:val="en-GB"/>
        </w:rPr>
        <w:t xml:space="preserve">aspects or matters of </w:t>
      </w:r>
      <w:r>
        <w:rPr>
          <w:rFonts w:ascii="Arial" w:hAnsi="Arial" w:cs="Arial"/>
          <w:color w:val="7B7B7B" w:themeColor="accent3" w:themeShade="BF"/>
          <w:sz w:val="22"/>
          <w:szCs w:val="22"/>
          <w:lang w:val="en-GB"/>
        </w:rPr>
        <w:t>insolvenc</w:t>
      </w:r>
      <w:r w:rsidR="0080707A">
        <w:rPr>
          <w:rFonts w:ascii="Arial" w:hAnsi="Arial" w:cs="Arial"/>
          <w:color w:val="7B7B7B" w:themeColor="accent3" w:themeShade="BF"/>
          <w:sz w:val="22"/>
          <w:szCs w:val="22"/>
          <w:lang w:val="en-GB"/>
        </w:rPr>
        <w:t>ies</w:t>
      </w:r>
      <w:r>
        <w:rPr>
          <w:rFonts w:ascii="Arial" w:hAnsi="Arial" w:cs="Arial"/>
          <w:color w:val="7B7B7B" w:themeColor="accent3" w:themeShade="BF"/>
          <w:sz w:val="22"/>
          <w:szCs w:val="22"/>
          <w:lang w:val="en-GB"/>
        </w:rPr>
        <w:t xml:space="preserve"> which </w:t>
      </w:r>
      <w:r w:rsidR="0080707A">
        <w:rPr>
          <w:rFonts w:ascii="Arial" w:hAnsi="Arial" w:cs="Arial"/>
          <w:color w:val="7B7B7B" w:themeColor="accent3" w:themeShade="BF"/>
          <w:sz w:val="22"/>
          <w:szCs w:val="22"/>
          <w:lang w:val="en-GB"/>
        </w:rPr>
        <w:t xml:space="preserve">involve more than one jurisdiction or state. There is no single set of international insolvency law that applies globally and can be fully enforced across all jurisdictions, as different </w:t>
      </w:r>
      <w:r w:rsidR="003D38E0">
        <w:rPr>
          <w:rFonts w:ascii="Arial" w:hAnsi="Arial" w:cs="Arial"/>
          <w:color w:val="7B7B7B" w:themeColor="accent3" w:themeShade="BF"/>
          <w:sz w:val="22"/>
          <w:szCs w:val="22"/>
          <w:lang w:val="en-GB"/>
        </w:rPr>
        <w:t xml:space="preserve">local </w:t>
      </w:r>
      <w:r w:rsidR="0080707A">
        <w:rPr>
          <w:rFonts w:ascii="Arial" w:hAnsi="Arial" w:cs="Arial"/>
          <w:color w:val="7B7B7B" w:themeColor="accent3" w:themeShade="BF"/>
          <w:sz w:val="22"/>
          <w:szCs w:val="22"/>
          <w:lang w:val="en-GB"/>
        </w:rPr>
        <w:t>states may take and adopt different approaches in resolving</w:t>
      </w:r>
      <w:r w:rsidR="003D38E0">
        <w:rPr>
          <w:rFonts w:ascii="Arial" w:hAnsi="Arial" w:cs="Arial"/>
          <w:color w:val="7B7B7B" w:themeColor="accent3" w:themeShade="BF"/>
          <w:sz w:val="22"/>
          <w:szCs w:val="22"/>
          <w:lang w:val="en-GB"/>
        </w:rPr>
        <w:t xml:space="preserve"> matters of insolvencies which involve foreign aspects.</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7550C69D" w14:textId="2B8F0FCE" w:rsidR="00D60C8B" w:rsidRDefault="003D38E0" w:rsidP="003D38E0">
      <w:pPr>
        <w:jc w:val="both"/>
        <w:rPr>
          <w:rFonts w:ascii="Arial" w:hAnsi="Arial" w:cs="Arial"/>
          <w:color w:val="7B7B7B" w:themeColor="accent3" w:themeShade="BF"/>
          <w:sz w:val="22"/>
          <w:szCs w:val="22"/>
          <w:lang w:val="en-GB"/>
        </w:rPr>
      </w:pPr>
      <w:r w:rsidRPr="003D38E0">
        <w:rPr>
          <w:rFonts w:ascii="Arial" w:hAnsi="Arial" w:cs="Arial"/>
          <w:color w:val="7B7B7B" w:themeColor="accent3" w:themeShade="BF"/>
          <w:sz w:val="22"/>
          <w:szCs w:val="22"/>
          <w:lang w:val="en-GB"/>
        </w:rPr>
        <w:t>The concept of</w:t>
      </w:r>
      <w:r>
        <w:rPr>
          <w:rFonts w:ascii="Arial" w:hAnsi="Arial" w:cs="Arial"/>
          <w:color w:val="7B7B7B" w:themeColor="accent3" w:themeShade="BF"/>
          <w:sz w:val="22"/>
          <w:szCs w:val="22"/>
          <w:lang w:val="en-GB"/>
        </w:rPr>
        <w:t xml:space="preserve"> universality</w:t>
      </w:r>
      <w:r w:rsidR="00D60C8B">
        <w:rPr>
          <w:rFonts w:ascii="Arial" w:hAnsi="Arial" w:cs="Arial"/>
          <w:color w:val="7B7B7B" w:themeColor="accent3" w:themeShade="BF"/>
          <w:sz w:val="22"/>
          <w:szCs w:val="22"/>
          <w:lang w:val="en-GB"/>
        </w:rPr>
        <w:t xml:space="preserve"> or universalism</w:t>
      </w:r>
      <w:r>
        <w:rPr>
          <w:rFonts w:ascii="Arial" w:hAnsi="Arial" w:cs="Arial"/>
          <w:color w:val="7B7B7B" w:themeColor="accent3" w:themeShade="BF"/>
          <w:sz w:val="22"/>
          <w:szCs w:val="22"/>
          <w:lang w:val="en-GB"/>
        </w:rPr>
        <w:t xml:space="preserve"> argues that there should only be one insolvency proceeding (and ideally in one forum) that covers the debtor’s assets and debts across different </w:t>
      </w:r>
      <w:r w:rsidR="00D60C8B">
        <w:rPr>
          <w:rFonts w:ascii="Arial" w:hAnsi="Arial" w:cs="Arial"/>
          <w:color w:val="7B7B7B" w:themeColor="accent3" w:themeShade="BF"/>
          <w:sz w:val="22"/>
          <w:szCs w:val="22"/>
          <w:lang w:val="en-GB"/>
        </w:rPr>
        <w:t xml:space="preserve">states or </w:t>
      </w:r>
      <w:r>
        <w:rPr>
          <w:rFonts w:ascii="Arial" w:hAnsi="Arial" w:cs="Arial"/>
          <w:color w:val="7B7B7B" w:themeColor="accent3" w:themeShade="BF"/>
          <w:sz w:val="22"/>
          <w:szCs w:val="22"/>
          <w:lang w:val="en-GB"/>
        </w:rPr>
        <w:t>jurisdiction</w:t>
      </w:r>
      <w:r w:rsidR="00D60C8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and the prevailing insolvency laws of the </w:t>
      </w:r>
      <w:r w:rsidRPr="003D38E0">
        <w:rPr>
          <w:rFonts w:ascii="Arial" w:hAnsi="Arial" w:cs="Arial"/>
          <w:i/>
          <w:iCs/>
          <w:color w:val="7B7B7B" w:themeColor="accent3" w:themeShade="BF"/>
          <w:sz w:val="22"/>
          <w:szCs w:val="22"/>
          <w:lang w:val="en-GB"/>
        </w:rPr>
        <w:t>lex concurcus</w:t>
      </w:r>
      <w:r>
        <w:rPr>
          <w:rFonts w:ascii="Arial" w:hAnsi="Arial" w:cs="Arial"/>
          <w:color w:val="7B7B7B" w:themeColor="accent3" w:themeShade="BF"/>
          <w:sz w:val="22"/>
          <w:szCs w:val="22"/>
          <w:lang w:val="en-GB"/>
        </w:rPr>
        <w:t>, the</w:t>
      </w:r>
      <w:r w:rsidR="00D60C8B">
        <w:rPr>
          <w:rFonts w:ascii="Arial" w:hAnsi="Arial" w:cs="Arial"/>
          <w:color w:val="7B7B7B" w:themeColor="accent3" w:themeShade="BF"/>
          <w:sz w:val="22"/>
          <w:szCs w:val="22"/>
          <w:lang w:val="en-GB"/>
        </w:rPr>
        <w:t xml:space="preserve"> state where the insolvency proceeding is commenced, shall be applied.</w:t>
      </w:r>
    </w:p>
    <w:p w14:paraId="58D6BB52" w14:textId="77777777" w:rsidR="00D60C8B" w:rsidRDefault="00D60C8B" w:rsidP="003D38E0">
      <w:pPr>
        <w:jc w:val="both"/>
        <w:rPr>
          <w:rFonts w:ascii="Arial" w:hAnsi="Arial" w:cs="Arial"/>
          <w:color w:val="7B7B7B" w:themeColor="accent3" w:themeShade="BF"/>
          <w:sz w:val="22"/>
          <w:szCs w:val="22"/>
          <w:lang w:val="en-GB"/>
        </w:rPr>
      </w:pPr>
    </w:p>
    <w:p w14:paraId="5135D53F" w14:textId="464A63DE" w:rsidR="00D60C8B" w:rsidRDefault="00D60C8B" w:rsidP="003D38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other hand, the concept of territoriality or territorialism argues that in cross-border insolvencies, there can be multiple proceedings commenced in multiple states or jurisdictions, where each proceeding shall only deal with properties or parties that are located in the respective state or jurisdiction in which such relevant proceeding is commenced, applying the prevailing insolvency law in such respective state or jurisdiction.</w:t>
      </w:r>
    </w:p>
    <w:p w14:paraId="79961E83" w14:textId="7F7DE0C9" w:rsidR="00D17FDC" w:rsidRDefault="003D38E0" w:rsidP="00D60C8B">
      <w:pPr>
        <w:jc w:val="both"/>
        <w:rPr>
          <w:rFonts w:ascii="Arial" w:hAnsi="Arial" w:cs="Arial"/>
          <w:color w:val="7B7B7B" w:themeColor="accent3" w:themeShade="BF"/>
          <w:sz w:val="22"/>
          <w:szCs w:val="22"/>
          <w:lang w:val="en-GB"/>
        </w:rPr>
      </w:pPr>
      <w:r w:rsidRPr="003D38E0">
        <w:rPr>
          <w:rFonts w:ascii="Arial" w:hAnsi="Arial" w:cs="Arial"/>
          <w:color w:val="7B7B7B" w:themeColor="accent3" w:themeShade="BF"/>
          <w:sz w:val="22"/>
          <w:szCs w:val="22"/>
          <w:lang w:val="en-GB"/>
        </w:rPr>
        <w:t xml:space="preserve"> </w:t>
      </w:r>
    </w:p>
    <w:p w14:paraId="1B257EED" w14:textId="77777777" w:rsidR="00D60C8B" w:rsidRPr="00BF1C6F" w:rsidRDefault="00D60C8B" w:rsidP="00D60C8B">
      <w:pPr>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lastRenderedPageBreak/>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E772305" w14:textId="7D1F3FE7" w:rsidR="008A191C" w:rsidRPr="008A191C" w:rsidRDefault="008A191C" w:rsidP="008A191C">
      <w:pPr>
        <w:pStyle w:val="ListParagraph"/>
        <w:numPr>
          <w:ilvl w:val="0"/>
          <w:numId w:val="23"/>
        </w:numPr>
        <w:jc w:val="both"/>
        <w:rPr>
          <w:rFonts w:ascii="Arial" w:hAnsi="Arial" w:cs="Arial"/>
          <w:color w:val="7B7B7B" w:themeColor="accent3" w:themeShade="BF"/>
          <w:sz w:val="22"/>
          <w:szCs w:val="22"/>
          <w:lang w:val="en-GB"/>
        </w:rPr>
      </w:pPr>
      <w:r w:rsidRPr="008A191C">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regional comparative survey of insolvency systems that was launched in 2009;</w:t>
      </w:r>
    </w:p>
    <w:p w14:paraId="78DB9FD8" w14:textId="6EC413B8" w:rsidR="00C72848" w:rsidRPr="008A191C" w:rsidRDefault="008A191C" w:rsidP="008A191C">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Bahrain and Dubai International Financial Centre adopting the UNCITRAL Model Law on Cross-Border Insolvency, in 2018 and 2019 respectively; and</w:t>
      </w:r>
    </w:p>
    <w:p w14:paraId="454B989E" w14:textId="2088DE37" w:rsidR="008A191C" w:rsidRPr="008A191C" w:rsidRDefault="008A191C" w:rsidP="008A191C">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Recent reform in domestic insolvency laws by UAE (in 2016 and 2019), Saudi Arabia (in 2018) and Dubai (in 2019).</w:t>
      </w:r>
    </w:p>
    <w:p w14:paraId="608DD0BD" w14:textId="0DB5297D"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1895DFAB" w:rsidR="00544127" w:rsidRDefault="008F462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Corporations may end up getting dissolved following insolvency proceedings, while individuals or natural persons in modern-day insolvencies shall live on. As such</w:t>
      </w:r>
      <w:r w:rsidR="00C1433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need to preserve the debtor’s </w:t>
      </w:r>
      <w:r w:rsidR="00C14330">
        <w:rPr>
          <w:rFonts w:ascii="Arial" w:hAnsi="Arial" w:cs="Arial"/>
          <w:color w:val="7B7B7B" w:themeColor="accent3" w:themeShade="BF"/>
          <w:sz w:val="22"/>
          <w:szCs w:val="22"/>
          <w:lang w:val="en-GB"/>
        </w:rPr>
        <w:t>well-being</w:t>
      </w:r>
      <w:r>
        <w:rPr>
          <w:rFonts w:ascii="Arial" w:hAnsi="Arial" w:cs="Arial"/>
          <w:color w:val="7B7B7B" w:themeColor="accent3" w:themeShade="BF"/>
          <w:sz w:val="22"/>
          <w:szCs w:val="22"/>
          <w:lang w:val="en-GB"/>
        </w:rPr>
        <w:t xml:space="preserve"> beyond the insolvency proceedings</w:t>
      </w:r>
      <w:r w:rsidR="00C14330">
        <w:rPr>
          <w:rFonts w:ascii="Arial" w:hAnsi="Arial" w:cs="Arial"/>
          <w:color w:val="7B7B7B" w:themeColor="accent3" w:themeShade="BF"/>
          <w:sz w:val="22"/>
          <w:szCs w:val="22"/>
          <w:lang w:val="en-GB"/>
        </w:rPr>
        <w:t xml:space="preserve"> underpins</w:t>
      </w:r>
      <w:r>
        <w:rPr>
          <w:rFonts w:ascii="Arial" w:hAnsi="Arial" w:cs="Arial"/>
          <w:color w:val="7B7B7B" w:themeColor="accent3" w:themeShade="BF"/>
          <w:sz w:val="22"/>
          <w:szCs w:val="22"/>
          <w:lang w:val="en-GB"/>
        </w:rPr>
        <w:t xml:space="preserve"> </w:t>
      </w:r>
      <w:r w:rsidR="00C14330">
        <w:rPr>
          <w:rFonts w:ascii="Arial" w:hAnsi="Arial" w:cs="Arial"/>
          <w:color w:val="7B7B7B" w:themeColor="accent3" w:themeShade="BF"/>
          <w:sz w:val="22"/>
          <w:szCs w:val="22"/>
          <w:lang w:val="en-GB"/>
        </w:rPr>
        <w:t xml:space="preserve">the objectives for individual insolvencies; collective debt-collecting mechanism to stop harassment against the debtors, discharges of debts to allow a fresh start, mechanism to </w:t>
      </w:r>
      <w:r w:rsidR="00DF587F">
        <w:rPr>
          <w:rFonts w:ascii="Arial" w:hAnsi="Arial" w:cs="Arial"/>
          <w:color w:val="7B7B7B" w:themeColor="accent3" w:themeShade="BF"/>
          <w:sz w:val="22"/>
          <w:szCs w:val="22"/>
          <w:lang w:val="en-GB"/>
        </w:rPr>
        <w:t>allow</w:t>
      </w:r>
      <w:r w:rsidR="00C14330">
        <w:rPr>
          <w:rFonts w:ascii="Arial" w:hAnsi="Arial" w:cs="Arial"/>
          <w:color w:val="7B7B7B" w:themeColor="accent3" w:themeShade="BF"/>
          <w:sz w:val="22"/>
          <w:szCs w:val="22"/>
          <w:lang w:val="en-GB"/>
        </w:rPr>
        <w:t xml:space="preserve"> orderly resolution of the debtor’s debt while maintaining the debtor’s subsistence in the form exempt assets.</w:t>
      </w:r>
    </w:p>
    <w:p w14:paraId="261DA195" w14:textId="59CC9F5A" w:rsidR="00C14330" w:rsidRDefault="00C14330" w:rsidP="00C053F7">
      <w:pPr>
        <w:jc w:val="both"/>
        <w:rPr>
          <w:rFonts w:ascii="Arial" w:hAnsi="Arial" w:cs="Arial"/>
          <w:color w:val="7B7B7B" w:themeColor="accent3" w:themeShade="BF"/>
          <w:sz w:val="22"/>
          <w:szCs w:val="22"/>
          <w:lang w:val="en-GB"/>
        </w:rPr>
      </w:pPr>
    </w:p>
    <w:p w14:paraId="1A0A31D0" w14:textId="1603A7D2" w:rsidR="00C14330" w:rsidRPr="00BF1C6F" w:rsidRDefault="00C14330" w:rsidP="00C053F7">
      <w:pPr>
        <w:jc w:val="both"/>
        <w:rPr>
          <w:rFonts w:ascii="Arial" w:hAnsi="Arial" w:cs="Arial"/>
          <w:sz w:val="24"/>
          <w:lang w:val="en-GB"/>
        </w:rPr>
      </w:pPr>
      <w:r>
        <w:rPr>
          <w:rFonts w:ascii="Arial" w:hAnsi="Arial" w:cs="Arial"/>
          <w:color w:val="7B7B7B" w:themeColor="accent3" w:themeShade="BF"/>
          <w:sz w:val="22"/>
          <w:szCs w:val="22"/>
          <w:lang w:val="en-GB"/>
        </w:rPr>
        <w:t xml:space="preserve">On the other hand, the objectives </w:t>
      </w:r>
      <w:r w:rsidR="00DF587F">
        <w:rPr>
          <w:rFonts w:ascii="Arial" w:hAnsi="Arial" w:cs="Arial"/>
          <w:color w:val="7B7B7B" w:themeColor="accent3" w:themeShade="BF"/>
          <w:sz w:val="22"/>
          <w:szCs w:val="22"/>
          <w:lang w:val="en-GB"/>
        </w:rPr>
        <w:t xml:space="preserve">for insolvency proceedings of corporations </w:t>
      </w:r>
      <w:r>
        <w:rPr>
          <w:rFonts w:ascii="Arial" w:hAnsi="Arial" w:cs="Arial"/>
          <w:color w:val="7B7B7B" w:themeColor="accent3" w:themeShade="BF"/>
          <w:sz w:val="22"/>
          <w:szCs w:val="22"/>
          <w:lang w:val="en-GB"/>
        </w:rPr>
        <w:t xml:space="preserve">are leaning towards the </w:t>
      </w:r>
      <w:r w:rsidR="00DF587F">
        <w:rPr>
          <w:rFonts w:ascii="Arial" w:hAnsi="Arial" w:cs="Arial"/>
          <w:color w:val="7B7B7B" w:themeColor="accent3" w:themeShade="BF"/>
          <w:sz w:val="22"/>
          <w:szCs w:val="22"/>
          <w:lang w:val="en-GB"/>
        </w:rPr>
        <w:t xml:space="preserve">collective interest of the </w:t>
      </w:r>
      <w:r>
        <w:rPr>
          <w:rFonts w:ascii="Arial" w:hAnsi="Arial" w:cs="Arial"/>
          <w:color w:val="7B7B7B" w:themeColor="accent3" w:themeShade="BF"/>
          <w:sz w:val="22"/>
          <w:szCs w:val="22"/>
          <w:lang w:val="en-GB"/>
        </w:rPr>
        <w:t>creditors</w:t>
      </w:r>
      <w:r w:rsidR="00DF587F">
        <w:rPr>
          <w:rFonts w:ascii="Arial" w:hAnsi="Arial" w:cs="Arial"/>
          <w:color w:val="7B7B7B" w:themeColor="accent3" w:themeShade="BF"/>
          <w:sz w:val="22"/>
          <w:szCs w:val="22"/>
          <w:lang w:val="en-GB"/>
        </w:rPr>
        <w:t xml:space="preserve"> and stakeholders; collective debt-collecting mechanism to avoid unfair collection by or distribution to a creditor (or one group of creditors) at the expense of the other creditors or stakeholders, preservation of the debtor’s business if by doing so the interests of the creditors or stakeholders (such as society, in the case of jobs preserved when a business is rehabilitated) is better served.</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0731DB37" w:rsidR="00DF75F8" w:rsidRPr="00BF1C6F" w:rsidRDefault="00DF587F"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Given that there are different </w:t>
      </w:r>
      <w:r w:rsidR="004A51BA">
        <w:rPr>
          <w:rFonts w:ascii="Arial" w:hAnsi="Arial" w:cs="Arial"/>
          <w:color w:val="7B7B7B" w:themeColor="accent3" w:themeShade="BF"/>
          <w:sz w:val="22"/>
          <w:szCs w:val="22"/>
          <w:lang w:val="en-GB"/>
        </w:rPr>
        <w:t xml:space="preserve">principles and systems of </w:t>
      </w:r>
      <w:r>
        <w:rPr>
          <w:rFonts w:ascii="Arial" w:hAnsi="Arial" w:cs="Arial"/>
          <w:color w:val="7B7B7B" w:themeColor="accent3" w:themeShade="BF"/>
          <w:sz w:val="22"/>
          <w:szCs w:val="22"/>
          <w:lang w:val="en-GB"/>
        </w:rPr>
        <w:t xml:space="preserve">international insolvency laws </w:t>
      </w:r>
      <w:r w:rsidR="004A51BA">
        <w:rPr>
          <w:rFonts w:ascii="Arial" w:hAnsi="Arial" w:cs="Arial"/>
          <w:color w:val="7B7B7B" w:themeColor="accent3" w:themeShade="BF"/>
          <w:sz w:val="22"/>
          <w:szCs w:val="22"/>
          <w:lang w:val="en-GB"/>
        </w:rPr>
        <w:t>adopted by</w:t>
      </w:r>
      <w:r>
        <w:rPr>
          <w:rFonts w:ascii="Arial" w:hAnsi="Arial" w:cs="Arial"/>
          <w:color w:val="7B7B7B" w:themeColor="accent3" w:themeShade="BF"/>
          <w:sz w:val="22"/>
          <w:szCs w:val="22"/>
          <w:lang w:val="en-GB"/>
        </w:rPr>
        <w:t xml:space="preserve"> different states or jurisdictions, these different </w:t>
      </w:r>
      <w:r w:rsidR="004A51BA">
        <w:rPr>
          <w:rFonts w:ascii="Arial" w:hAnsi="Arial" w:cs="Arial"/>
          <w:color w:val="7B7B7B" w:themeColor="accent3" w:themeShade="BF"/>
          <w:sz w:val="22"/>
          <w:szCs w:val="22"/>
          <w:lang w:val="en-GB"/>
        </w:rPr>
        <w:t>principles and systems may not be consistent with one another, and in many cases they may even be conflicting with one another. As such, a particular body of rules concerning certain aspects of insolvency may not be fully enforced and applied when the enforcement or application need to go beyond the jurisdictional borders of the state in which the proceeding is held. Consequently, the issues around enforceability and applicability of an insolvency law in a cross-border context will</w:t>
      </w:r>
      <w:r w:rsidR="00ED5254">
        <w:rPr>
          <w:rFonts w:ascii="Arial" w:hAnsi="Arial" w:cs="Arial"/>
          <w:color w:val="7B7B7B" w:themeColor="accent3" w:themeShade="BF"/>
          <w:sz w:val="22"/>
          <w:szCs w:val="22"/>
          <w:lang w:val="en-GB"/>
        </w:rPr>
        <w:t xml:space="preserve"> result in less predictability and more uncertainty of outcomes when there is a cross-border element in an insolvency proceeding.</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68471AEC" w:rsidR="00DF75F8" w:rsidRDefault="008B2ED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Numerous multilateral organisations</w:t>
      </w:r>
      <w:r w:rsidR="000954C6">
        <w:rPr>
          <w:rFonts w:ascii="Arial" w:hAnsi="Arial" w:cs="Arial"/>
          <w:color w:val="7B7B7B" w:themeColor="accent3" w:themeShade="BF"/>
          <w:sz w:val="22"/>
          <w:szCs w:val="22"/>
          <w:lang w:val="en-GB"/>
        </w:rPr>
        <w:t xml:space="preserve">, agencies, as well as international professional organisations </w:t>
      </w:r>
      <w:r>
        <w:rPr>
          <w:rFonts w:ascii="Arial" w:hAnsi="Arial" w:cs="Arial"/>
          <w:color w:val="7B7B7B" w:themeColor="accent3" w:themeShade="BF"/>
          <w:sz w:val="22"/>
          <w:szCs w:val="22"/>
          <w:lang w:val="en-GB"/>
        </w:rPr>
        <w:t>have attempted and promoted harmonisation of insolvency laws</w:t>
      </w:r>
      <w:r w:rsidR="000954C6">
        <w:rPr>
          <w:rFonts w:ascii="Arial" w:hAnsi="Arial" w:cs="Arial"/>
          <w:color w:val="7B7B7B" w:themeColor="accent3" w:themeShade="BF"/>
          <w:sz w:val="22"/>
          <w:szCs w:val="22"/>
          <w:lang w:val="en-GB"/>
        </w:rPr>
        <w:t>. These attempts are made</w:t>
      </w:r>
      <w:r>
        <w:rPr>
          <w:rFonts w:ascii="Arial" w:hAnsi="Arial" w:cs="Arial"/>
          <w:color w:val="7B7B7B" w:themeColor="accent3" w:themeShade="BF"/>
          <w:sz w:val="22"/>
          <w:szCs w:val="22"/>
          <w:lang w:val="en-GB"/>
        </w:rPr>
        <w:t xml:space="preserve"> through</w:t>
      </w:r>
      <w:r w:rsidR="004C495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0954C6">
        <w:rPr>
          <w:rFonts w:ascii="Arial" w:hAnsi="Arial" w:cs="Arial"/>
          <w:color w:val="7B7B7B" w:themeColor="accent3" w:themeShade="BF"/>
          <w:sz w:val="22"/>
          <w:szCs w:val="22"/>
          <w:lang w:val="en-GB"/>
        </w:rPr>
        <w:t xml:space="preserve">(i) </w:t>
      </w:r>
      <w:r>
        <w:rPr>
          <w:rFonts w:ascii="Arial" w:hAnsi="Arial" w:cs="Arial"/>
          <w:color w:val="7B7B7B" w:themeColor="accent3" w:themeShade="BF"/>
          <w:sz w:val="22"/>
          <w:szCs w:val="22"/>
          <w:lang w:val="en-GB"/>
        </w:rPr>
        <w:t>treaties and conventions, which when ratified become hard-laws (such as the EIR Recast by the European Union)</w:t>
      </w:r>
      <w:r w:rsidR="000954C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0954C6">
        <w:rPr>
          <w:rFonts w:ascii="Arial" w:hAnsi="Arial" w:cs="Arial"/>
          <w:color w:val="7B7B7B" w:themeColor="accent3" w:themeShade="BF"/>
          <w:sz w:val="22"/>
          <w:szCs w:val="22"/>
          <w:lang w:val="en-GB"/>
        </w:rPr>
        <w:t xml:space="preserve">(ii) </w:t>
      </w:r>
      <w:r>
        <w:rPr>
          <w:rFonts w:ascii="Arial" w:hAnsi="Arial" w:cs="Arial"/>
          <w:color w:val="7B7B7B" w:themeColor="accent3" w:themeShade="BF"/>
          <w:sz w:val="22"/>
          <w:szCs w:val="22"/>
          <w:lang w:val="en-GB"/>
        </w:rPr>
        <w:t>promotion of soft-laws such as the UNCITRAL Model Law on Cross-Border Insolvency and the UNCITRAL Legislative Guide on Insolvency Law</w:t>
      </w:r>
      <w:r w:rsidR="004C495A">
        <w:rPr>
          <w:rFonts w:ascii="Arial" w:hAnsi="Arial" w:cs="Arial"/>
          <w:color w:val="7B7B7B" w:themeColor="accent3" w:themeShade="BF"/>
          <w:sz w:val="22"/>
          <w:szCs w:val="22"/>
          <w:lang w:val="en-GB"/>
        </w:rPr>
        <w:t>; (iii) promotion and exchange of leadership thoughts, best practices, and cooperation through professional organisation and international association such as the Judicial Insolvency Network</w:t>
      </w:r>
      <w:r>
        <w:rPr>
          <w:rFonts w:ascii="Arial" w:hAnsi="Arial" w:cs="Arial"/>
          <w:color w:val="7B7B7B" w:themeColor="accent3" w:themeShade="BF"/>
          <w:sz w:val="22"/>
          <w:szCs w:val="22"/>
          <w:lang w:val="en-GB"/>
        </w:rPr>
        <w:t>.</w:t>
      </w:r>
    </w:p>
    <w:p w14:paraId="41202401" w14:textId="09120D03" w:rsidR="008B2ED6" w:rsidRDefault="008B2ED6" w:rsidP="00C053F7">
      <w:pPr>
        <w:jc w:val="both"/>
        <w:rPr>
          <w:rFonts w:ascii="Arial" w:hAnsi="Arial" w:cs="Arial"/>
          <w:color w:val="7B7B7B" w:themeColor="accent3" w:themeShade="BF"/>
          <w:sz w:val="22"/>
          <w:szCs w:val="22"/>
          <w:lang w:val="en-GB"/>
        </w:rPr>
      </w:pPr>
    </w:p>
    <w:p w14:paraId="1489ECFB" w14:textId="7F95EE81" w:rsidR="008B2ED6" w:rsidRPr="00BF1C6F" w:rsidRDefault="008B2ED6" w:rsidP="00C053F7">
      <w:pPr>
        <w:jc w:val="both"/>
        <w:rPr>
          <w:rFonts w:ascii="Arial" w:hAnsi="Arial" w:cs="Arial"/>
          <w:sz w:val="22"/>
          <w:szCs w:val="22"/>
          <w:lang w:val="en-GB"/>
        </w:rPr>
      </w:pPr>
      <w:r>
        <w:rPr>
          <w:rFonts w:ascii="Arial" w:hAnsi="Arial" w:cs="Arial"/>
          <w:color w:val="7B7B7B" w:themeColor="accent3" w:themeShade="BF"/>
          <w:sz w:val="22"/>
          <w:szCs w:val="22"/>
          <w:lang w:val="en-GB"/>
        </w:rPr>
        <w:t>In my opinion the</w:t>
      </w:r>
      <w:r w:rsidR="006D4432">
        <w:rPr>
          <w:rFonts w:ascii="Arial" w:hAnsi="Arial" w:cs="Arial"/>
          <w:color w:val="7B7B7B" w:themeColor="accent3" w:themeShade="BF"/>
          <w:sz w:val="22"/>
          <w:szCs w:val="22"/>
          <w:lang w:val="en-GB"/>
        </w:rPr>
        <w:t xml:space="preserve"> harmonisation attempts by these separate multilateral groups</w:t>
      </w:r>
      <w:r w:rsidR="004C495A">
        <w:rPr>
          <w:rFonts w:ascii="Arial" w:hAnsi="Arial" w:cs="Arial"/>
          <w:color w:val="7B7B7B" w:themeColor="accent3" w:themeShade="BF"/>
          <w:sz w:val="22"/>
          <w:szCs w:val="22"/>
          <w:lang w:val="en-GB"/>
        </w:rPr>
        <w:t>, agencies, and organisations,</w:t>
      </w:r>
      <w:r w:rsidR="006D4432">
        <w:rPr>
          <w:rFonts w:ascii="Arial" w:hAnsi="Arial" w:cs="Arial"/>
          <w:color w:val="7B7B7B" w:themeColor="accent3" w:themeShade="BF"/>
          <w:sz w:val="22"/>
          <w:szCs w:val="22"/>
          <w:lang w:val="en-GB"/>
        </w:rPr>
        <w:t xml:space="preserve"> have </w:t>
      </w:r>
      <w:r w:rsidR="000954C6">
        <w:rPr>
          <w:rFonts w:ascii="Arial" w:hAnsi="Arial" w:cs="Arial"/>
          <w:color w:val="7B7B7B" w:themeColor="accent3" w:themeShade="BF"/>
          <w:sz w:val="22"/>
          <w:szCs w:val="22"/>
          <w:lang w:val="en-GB"/>
        </w:rPr>
        <w:t xml:space="preserve">made </w:t>
      </w:r>
      <w:r w:rsidR="006D4432">
        <w:rPr>
          <w:rFonts w:ascii="Arial" w:hAnsi="Arial" w:cs="Arial"/>
          <w:color w:val="7B7B7B" w:themeColor="accent3" w:themeShade="BF"/>
          <w:sz w:val="22"/>
          <w:szCs w:val="22"/>
          <w:lang w:val="en-GB"/>
        </w:rPr>
        <w:t>some fruitful headways</w:t>
      </w:r>
      <w:r w:rsidR="004C495A">
        <w:rPr>
          <w:rFonts w:ascii="Arial" w:hAnsi="Arial" w:cs="Arial"/>
          <w:color w:val="7B7B7B" w:themeColor="accent3" w:themeShade="BF"/>
          <w:sz w:val="22"/>
          <w:szCs w:val="22"/>
          <w:lang w:val="en-GB"/>
        </w:rPr>
        <w:t>. It is evident</w:t>
      </w:r>
      <w:r w:rsidR="000954C6">
        <w:rPr>
          <w:rFonts w:ascii="Arial" w:hAnsi="Arial" w:cs="Arial"/>
          <w:color w:val="7B7B7B" w:themeColor="accent3" w:themeShade="BF"/>
          <w:sz w:val="22"/>
          <w:szCs w:val="22"/>
          <w:lang w:val="en-GB"/>
        </w:rPr>
        <w:t xml:space="preserve"> that</w:t>
      </w:r>
      <w:r w:rsidR="006D4432">
        <w:rPr>
          <w:rFonts w:ascii="Arial" w:hAnsi="Arial" w:cs="Arial"/>
          <w:color w:val="7B7B7B" w:themeColor="accent3" w:themeShade="BF"/>
          <w:sz w:val="22"/>
          <w:szCs w:val="22"/>
          <w:lang w:val="en-GB"/>
        </w:rPr>
        <w:t xml:space="preserve"> certain uniformities can be observed in certain regions such as the Europe and Latin America</w:t>
      </w:r>
      <w:r w:rsidR="004C495A">
        <w:rPr>
          <w:rFonts w:ascii="Arial" w:hAnsi="Arial" w:cs="Arial"/>
          <w:color w:val="7B7B7B" w:themeColor="accent3" w:themeShade="BF"/>
          <w:sz w:val="22"/>
          <w:szCs w:val="22"/>
          <w:lang w:val="en-GB"/>
        </w:rPr>
        <w:t>, and soft-law approaches have also been quite successful in promoting harmonisation in the adoption of best practices and principles</w:t>
      </w:r>
      <w:r w:rsidR="006D4432">
        <w:rPr>
          <w:rFonts w:ascii="Arial" w:hAnsi="Arial" w:cs="Arial"/>
          <w:color w:val="7B7B7B" w:themeColor="accent3" w:themeShade="BF"/>
          <w:sz w:val="22"/>
          <w:szCs w:val="22"/>
          <w:lang w:val="en-GB"/>
        </w:rPr>
        <w:t>.</w:t>
      </w:r>
      <w:r w:rsidR="000954C6">
        <w:rPr>
          <w:rFonts w:ascii="Arial" w:hAnsi="Arial" w:cs="Arial"/>
          <w:color w:val="7B7B7B" w:themeColor="accent3" w:themeShade="BF"/>
          <w:sz w:val="22"/>
          <w:szCs w:val="22"/>
          <w:lang w:val="en-GB"/>
        </w:rPr>
        <w:t xml:space="preserve"> However, </w:t>
      </w:r>
      <w:r w:rsidR="004C495A">
        <w:rPr>
          <w:rFonts w:ascii="Arial" w:hAnsi="Arial" w:cs="Arial"/>
          <w:color w:val="7B7B7B" w:themeColor="accent3" w:themeShade="BF"/>
          <w:sz w:val="22"/>
          <w:szCs w:val="22"/>
          <w:lang w:val="en-GB"/>
        </w:rPr>
        <w:t xml:space="preserve">there still </w:t>
      </w:r>
      <w:r w:rsidR="00303F04">
        <w:rPr>
          <w:rFonts w:ascii="Arial" w:hAnsi="Arial" w:cs="Arial"/>
          <w:color w:val="7B7B7B" w:themeColor="accent3" w:themeShade="BF"/>
          <w:sz w:val="22"/>
          <w:szCs w:val="22"/>
          <w:lang w:val="en-GB"/>
        </w:rPr>
        <w:t xml:space="preserve">remain </w:t>
      </w:r>
      <w:r w:rsidR="004C495A">
        <w:rPr>
          <w:rFonts w:ascii="Arial" w:hAnsi="Arial" w:cs="Arial"/>
          <w:color w:val="7B7B7B" w:themeColor="accent3" w:themeShade="BF"/>
          <w:sz w:val="22"/>
          <w:szCs w:val="22"/>
          <w:lang w:val="en-GB"/>
        </w:rPr>
        <w:t xml:space="preserve">many aspects of domestic insolvency law that </w:t>
      </w:r>
      <w:r w:rsidR="00303F04">
        <w:rPr>
          <w:rFonts w:ascii="Arial" w:hAnsi="Arial" w:cs="Arial"/>
          <w:color w:val="7B7B7B" w:themeColor="accent3" w:themeShade="BF"/>
          <w:sz w:val="22"/>
          <w:szCs w:val="22"/>
          <w:lang w:val="en-GB"/>
        </w:rPr>
        <w:t xml:space="preserve">are rooted in the legal history or socio-economic development of the respective jurisdiction, that may be difficult to be harmonised.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322D6FA3" w14:textId="5AC5C2DE" w:rsidR="00B02D1F" w:rsidRPr="003A0D08" w:rsidRDefault="003A0D08" w:rsidP="00B02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w:t>
      </w:r>
      <w:r w:rsidR="00B02D1F">
        <w:rPr>
          <w:rFonts w:ascii="Arial" w:hAnsi="Arial" w:cs="Arial"/>
          <w:color w:val="7B7B7B" w:themeColor="accent3" w:themeShade="BF"/>
          <w:sz w:val="22"/>
          <w:szCs w:val="22"/>
          <w:lang w:val="en-GB"/>
        </w:rPr>
        <w:t>the Erewhon liquidator is seeking potential way to stop/stay Apex’s lawsuit,</w:t>
      </w:r>
      <w:r>
        <w:rPr>
          <w:rFonts w:ascii="Arial" w:hAnsi="Arial" w:cs="Arial"/>
          <w:color w:val="7B7B7B" w:themeColor="accent3" w:themeShade="BF"/>
          <w:sz w:val="22"/>
          <w:szCs w:val="22"/>
          <w:lang w:val="en-GB"/>
        </w:rPr>
        <w:t xml:space="preserve"> the Cross-border Insolvency Act of Utopia is very relevant and the Utopian court in </w:t>
      </w:r>
      <w:r w:rsidR="00B02D1F">
        <w:rPr>
          <w:rFonts w:ascii="Arial" w:hAnsi="Arial" w:cs="Arial"/>
          <w:color w:val="7B7B7B" w:themeColor="accent3" w:themeShade="BF"/>
          <w:sz w:val="22"/>
          <w:szCs w:val="22"/>
          <w:lang w:val="en-GB"/>
        </w:rPr>
        <w:t xml:space="preserve">adjudicating </w:t>
      </w:r>
      <w:r>
        <w:rPr>
          <w:rFonts w:ascii="Arial" w:hAnsi="Arial" w:cs="Arial"/>
          <w:color w:val="7B7B7B" w:themeColor="accent3" w:themeShade="BF"/>
          <w:sz w:val="22"/>
          <w:szCs w:val="22"/>
          <w:lang w:val="en-GB"/>
        </w:rPr>
        <w:t>Apex</w:t>
      </w:r>
      <w:r w:rsidR="00B02D1F">
        <w:rPr>
          <w:rFonts w:ascii="Arial" w:hAnsi="Arial" w:cs="Arial"/>
          <w:color w:val="7B7B7B" w:themeColor="accent3" w:themeShade="BF"/>
          <w:sz w:val="22"/>
          <w:szCs w:val="22"/>
          <w:lang w:val="en-GB"/>
        </w:rPr>
        <w:t>’s lawsuit</w:t>
      </w:r>
      <w:r>
        <w:rPr>
          <w:rFonts w:ascii="Arial" w:hAnsi="Arial" w:cs="Arial"/>
          <w:color w:val="7B7B7B" w:themeColor="accent3" w:themeShade="BF"/>
          <w:sz w:val="22"/>
          <w:szCs w:val="22"/>
          <w:lang w:val="en-GB"/>
        </w:rPr>
        <w:t xml:space="preserve"> will have to refer to this law (which is modelled towards the UNCITRAL Model Law) </w:t>
      </w:r>
      <w:r w:rsidR="00CF2EAB">
        <w:rPr>
          <w:rFonts w:ascii="Arial" w:hAnsi="Arial" w:cs="Arial"/>
          <w:color w:val="7B7B7B" w:themeColor="accent3" w:themeShade="BF"/>
          <w:sz w:val="22"/>
          <w:szCs w:val="22"/>
          <w:lang w:val="en-GB"/>
        </w:rPr>
        <w:t xml:space="preserve">and other domestic Utopian laws, </w:t>
      </w:r>
      <w:r>
        <w:rPr>
          <w:rFonts w:ascii="Arial" w:hAnsi="Arial" w:cs="Arial"/>
          <w:color w:val="7B7B7B" w:themeColor="accent3" w:themeShade="BF"/>
          <w:sz w:val="22"/>
          <w:szCs w:val="22"/>
          <w:lang w:val="en-GB"/>
        </w:rPr>
        <w:t>in deciding</w:t>
      </w:r>
      <w:r w:rsidR="00B02D1F">
        <w:rPr>
          <w:rFonts w:ascii="Arial" w:hAnsi="Arial" w:cs="Arial"/>
          <w:color w:val="7B7B7B" w:themeColor="accent3" w:themeShade="BF"/>
          <w:sz w:val="22"/>
          <w:szCs w:val="22"/>
          <w:lang w:val="en-GB"/>
        </w:rPr>
        <w:t xml:space="preserve"> w</w:t>
      </w:r>
      <w:r w:rsidR="00B02D1F">
        <w:rPr>
          <w:rFonts w:ascii="Arial" w:hAnsi="Arial" w:cs="Arial"/>
          <w:color w:val="7B7B7B" w:themeColor="accent3" w:themeShade="BF"/>
          <w:sz w:val="22"/>
          <w:szCs w:val="22"/>
          <w:lang w:val="en-GB"/>
        </w:rPr>
        <w:t xml:space="preserve">hether courts in Utopia shall recognise the </w:t>
      </w:r>
      <w:r w:rsidR="00B02D1F">
        <w:rPr>
          <w:rFonts w:ascii="Arial" w:hAnsi="Arial" w:cs="Arial"/>
          <w:color w:val="7B7B7B" w:themeColor="accent3" w:themeShade="BF"/>
          <w:sz w:val="22"/>
          <w:szCs w:val="22"/>
          <w:lang w:val="en-GB"/>
        </w:rPr>
        <w:t xml:space="preserve">insolvency </w:t>
      </w:r>
      <w:r w:rsidR="00B02D1F">
        <w:rPr>
          <w:rFonts w:ascii="Arial" w:hAnsi="Arial" w:cs="Arial"/>
          <w:color w:val="7B7B7B" w:themeColor="accent3" w:themeShade="BF"/>
          <w:sz w:val="22"/>
          <w:szCs w:val="22"/>
          <w:lang w:val="en-GB"/>
        </w:rPr>
        <w:t>proceedings in foreign forums</w:t>
      </w:r>
      <w:r w:rsidR="00B02D1F">
        <w:rPr>
          <w:rFonts w:ascii="Arial" w:hAnsi="Arial" w:cs="Arial"/>
          <w:color w:val="7B7B7B" w:themeColor="accent3" w:themeShade="BF"/>
          <w:sz w:val="22"/>
          <w:szCs w:val="22"/>
          <w:lang w:val="en-GB"/>
        </w:rPr>
        <w:t xml:space="preserve"> (and whether the particular Erewhon court has had competent jurisdiction in the first place - </w:t>
      </w:r>
      <w:r w:rsidR="00B02D1F">
        <w:rPr>
          <w:rFonts w:ascii="Arial" w:hAnsi="Arial" w:cs="Arial"/>
          <w:color w:val="7B7B7B" w:themeColor="accent3" w:themeShade="BF"/>
          <w:sz w:val="22"/>
          <w:szCs w:val="22"/>
          <w:lang w:val="en-GB"/>
        </w:rPr>
        <w:t xml:space="preserve">it is not clear from the narrative of Question 4 above, where Nadir’s </w:t>
      </w:r>
      <w:r w:rsidR="00EB3005">
        <w:rPr>
          <w:rFonts w:ascii="Arial" w:hAnsi="Arial" w:cs="Arial"/>
          <w:color w:val="7B7B7B" w:themeColor="accent3" w:themeShade="BF"/>
          <w:sz w:val="22"/>
          <w:szCs w:val="22"/>
          <w:lang w:val="en-GB"/>
        </w:rPr>
        <w:t>centre of main interests is located</w:t>
      </w:r>
      <w:r w:rsidR="00B02D1F">
        <w:rPr>
          <w:rFonts w:ascii="Arial" w:hAnsi="Arial" w:cs="Arial"/>
          <w:color w:val="7B7B7B" w:themeColor="accent3" w:themeShade="BF"/>
          <w:sz w:val="22"/>
          <w:szCs w:val="22"/>
          <w:lang w:val="en-GB"/>
        </w:rPr>
        <w:t>)</w:t>
      </w:r>
      <w:r w:rsidR="00B02D1F">
        <w:rPr>
          <w:rFonts w:ascii="Arial" w:hAnsi="Arial" w:cs="Arial"/>
          <w:color w:val="7B7B7B" w:themeColor="accent3" w:themeShade="BF"/>
          <w:sz w:val="22"/>
          <w:szCs w:val="22"/>
          <w:lang w:val="en-GB"/>
        </w:rPr>
        <w:t>, and allow the enforcement of decisions or rulings ruled by courts outside of Utopia, such as the winding-up order by the Erewhon court.</w:t>
      </w:r>
    </w:p>
    <w:p w14:paraId="1A4B1EF5" w14:textId="5E879BE8" w:rsidR="00B02D1F" w:rsidRDefault="00B02D1F" w:rsidP="00B02D1F">
      <w:pPr>
        <w:jc w:val="both"/>
        <w:rPr>
          <w:rFonts w:ascii="Arial" w:hAnsi="Arial" w:cs="Arial"/>
          <w:color w:val="7B7B7B" w:themeColor="accent3" w:themeShade="BF"/>
          <w:sz w:val="22"/>
          <w:szCs w:val="22"/>
          <w:lang w:val="en-GB"/>
        </w:rPr>
      </w:pPr>
    </w:p>
    <w:p w14:paraId="2E6FB3E9" w14:textId="29C1774F" w:rsidR="003A0D08" w:rsidRDefault="00B02D1F" w:rsidP="00B02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If Apex’s lawsuit becomes insolvency or bankruptcy lawsuit, the Utopian court will also need to decide w</w:t>
      </w:r>
      <w:r w:rsidR="003A0D08">
        <w:rPr>
          <w:rFonts w:ascii="Arial" w:hAnsi="Arial" w:cs="Arial"/>
          <w:color w:val="7B7B7B" w:themeColor="accent3" w:themeShade="BF"/>
          <w:sz w:val="22"/>
          <w:szCs w:val="22"/>
          <w:lang w:val="en-GB"/>
        </w:rPr>
        <w:t>hether it has jurisdiction to preside over insolvency proceeding on Nadir</w:t>
      </w:r>
      <w:r>
        <w:rPr>
          <w:rFonts w:ascii="Arial" w:hAnsi="Arial" w:cs="Arial"/>
          <w:color w:val="7B7B7B" w:themeColor="accent3" w:themeShade="BF"/>
          <w:sz w:val="22"/>
          <w:szCs w:val="22"/>
          <w:lang w:val="en-GB"/>
        </w:rPr>
        <w:t xml:space="preserve"> as there is already a winding-up order by </w:t>
      </w:r>
      <w:r w:rsidR="00882516">
        <w:rPr>
          <w:rFonts w:ascii="Arial" w:hAnsi="Arial" w:cs="Arial"/>
          <w:color w:val="7B7B7B" w:themeColor="accent3" w:themeShade="BF"/>
          <w:sz w:val="22"/>
          <w:szCs w:val="22"/>
          <w:lang w:val="en-GB"/>
        </w:rPr>
        <w:t>Erewhon court</w:t>
      </w:r>
      <w:r>
        <w:rPr>
          <w:rFonts w:ascii="Arial" w:hAnsi="Arial" w:cs="Arial"/>
          <w:color w:val="7B7B7B" w:themeColor="accent3" w:themeShade="BF"/>
          <w:sz w:val="22"/>
          <w:szCs w:val="22"/>
          <w:lang w:val="en-GB"/>
        </w:rPr>
        <w:t>.</w:t>
      </w:r>
    </w:p>
    <w:p w14:paraId="53D0A15A" w14:textId="7E0AD821" w:rsidR="003A0D08" w:rsidRDefault="003A0D08" w:rsidP="00B02D1F">
      <w:pPr>
        <w:pStyle w:val="ListParagraph"/>
        <w:ind w:left="360"/>
        <w:jc w:val="both"/>
        <w:rPr>
          <w:rFonts w:ascii="Arial" w:hAnsi="Arial" w:cs="Arial"/>
          <w:color w:val="7B7B7B" w:themeColor="accent3" w:themeShade="BF"/>
          <w:sz w:val="22"/>
          <w:szCs w:val="22"/>
          <w:lang w:val="en-GB"/>
        </w:rPr>
      </w:pPr>
    </w:p>
    <w:p w14:paraId="07D47A9E" w14:textId="77777777" w:rsidR="003A0D08" w:rsidRPr="00BF1C6F" w:rsidRDefault="003A0D08"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08609F95" w14:textId="77777777" w:rsidR="00EB3005" w:rsidRDefault="00EB3005" w:rsidP="00EB300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 in 4.1 was on whether the </w:t>
      </w:r>
      <w:r>
        <w:rPr>
          <w:rFonts w:ascii="Arial" w:hAnsi="Arial" w:cs="Arial"/>
          <w:color w:val="7B7B7B" w:themeColor="accent3" w:themeShade="BF"/>
          <w:sz w:val="22"/>
          <w:szCs w:val="22"/>
          <w:lang w:val="en-GB"/>
        </w:rPr>
        <w:t>Cross-border Insolvency Act of Utopia is</w:t>
      </w:r>
      <w:r>
        <w:rPr>
          <w:rFonts w:ascii="Arial" w:hAnsi="Arial" w:cs="Arial"/>
          <w:color w:val="7B7B7B" w:themeColor="accent3" w:themeShade="BF"/>
          <w:sz w:val="22"/>
          <w:szCs w:val="22"/>
          <w:lang w:val="en-GB"/>
        </w:rPr>
        <w:t xml:space="preserve"> potentially</w:t>
      </w:r>
      <w:r>
        <w:rPr>
          <w:rFonts w:ascii="Arial" w:hAnsi="Arial" w:cs="Arial"/>
          <w:color w:val="7B7B7B" w:themeColor="accent3" w:themeShade="BF"/>
          <w:sz w:val="22"/>
          <w:szCs w:val="22"/>
          <w:lang w:val="en-GB"/>
        </w:rPr>
        <w:t xml:space="preserve"> relevant</w:t>
      </w:r>
      <w:r>
        <w:rPr>
          <w:rFonts w:ascii="Arial" w:hAnsi="Arial" w:cs="Arial"/>
          <w:color w:val="7B7B7B" w:themeColor="accent3" w:themeShade="BF"/>
          <w:sz w:val="22"/>
          <w:szCs w:val="22"/>
          <w:lang w:val="en-GB"/>
        </w:rPr>
        <w:t xml:space="preserve">. As such, in the two alternative scenarios, this Act is still very relevant with the following differences; </w:t>
      </w:r>
    </w:p>
    <w:p w14:paraId="323BEF99" w14:textId="77777777" w:rsidR="00EB3005" w:rsidRDefault="00EB3005" w:rsidP="00EB3005">
      <w:pPr>
        <w:autoSpaceDE w:val="0"/>
        <w:autoSpaceDN w:val="0"/>
        <w:adjustRightInd w:val="0"/>
        <w:spacing w:line="276" w:lineRule="auto"/>
        <w:jc w:val="both"/>
        <w:rPr>
          <w:rFonts w:ascii="Arial" w:hAnsi="Arial" w:cs="Arial"/>
          <w:color w:val="7B7B7B" w:themeColor="accent3" w:themeShade="BF"/>
          <w:sz w:val="22"/>
          <w:szCs w:val="22"/>
          <w:lang w:val="en-GB"/>
        </w:rPr>
      </w:pPr>
    </w:p>
    <w:p w14:paraId="58F6E537" w14:textId="6C6D7A38" w:rsidR="00EB3005" w:rsidRDefault="00EB3005" w:rsidP="00EB3005">
      <w:pPr>
        <w:pStyle w:val="ListParagraph"/>
        <w:numPr>
          <w:ilvl w:val="0"/>
          <w:numId w:val="2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Apex had filed winding-up proceeding in Utopia but had not yet been heard, the Utopian court will have to refer to the </w:t>
      </w:r>
      <w:r>
        <w:rPr>
          <w:rFonts w:ascii="Arial" w:hAnsi="Arial" w:cs="Arial"/>
          <w:color w:val="7B7B7B" w:themeColor="accent3" w:themeShade="BF"/>
          <w:sz w:val="22"/>
          <w:szCs w:val="22"/>
          <w:lang w:val="en-GB"/>
        </w:rPr>
        <w:t>Cross-border Insolvency Act</w:t>
      </w:r>
      <w:r>
        <w:rPr>
          <w:rFonts w:ascii="Arial" w:hAnsi="Arial" w:cs="Arial"/>
          <w:color w:val="7B7B7B" w:themeColor="accent3" w:themeShade="BF"/>
          <w:sz w:val="22"/>
          <w:szCs w:val="22"/>
          <w:lang w:val="en-GB"/>
        </w:rPr>
        <w:t xml:space="preserve"> </w:t>
      </w:r>
      <w:r w:rsidR="0071671E">
        <w:rPr>
          <w:rFonts w:ascii="Arial" w:hAnsi="Arial" w:cs="Arial"/>
          <w:color w:val="7B7B7B" w:themeColor="accent3" w:themeShade="BF"/>
          <w:sz w:val="22"/>
          <w:szCs w:val="22"/>
          <w:lang w:val="en-GB"/>
        </w:rPr>
        <w:t xml:space="preserve">of Utopia </w:t>
      </w:r>
      <w:r>
        <w:rPr>
          <w:rFonts w:ascii="Arial" w:hAnsi="Arial" w:cs="Arial"/>
          <w:color w:val="7B7B7B" w:themeColor="accent3" w:themeShade="BF"/>
          <w:sz w:val="22"/>
          <w:szCs w:val="22"/>
          <w:lang w:val="en-GB"/>
        </w:rPr>
        <w:t>to decide if it has jurisdiction over Nadir (not clear from the narrative in the question, where Nadir’s centre of main interests is located), or whether even if Utopia has jurisdiction, whether it should consolidate the wind-up proceeding with Erewhon (after establishing that Erewhon has competent jurisdiction in the first place)</w:t>
      </w:r>
      <w:r w:rsidR="0071671E">
        <w:rPr>
          <w:rFonts w:ascii="Arial" w:hAnsi="Arial" w:cs="Arial"/>
          <w:color w:val="7B7B7B" w:themeColor="accent3" w:themeShade="BF"/>
          <w:sz w:val="22"/>
          <w:szCs w:val="22"/>
          <w:lang w:val="en-GB"/>
        </w:rPr>
        <w:t>.</w:t>
      </w:r>
    </w:p>
    <w:p w14:paraId="3EF698BA" w14:textId="77777777" w:rsidR="0071671E" w:rsidRDefault="0071671E" w:rsidP="0071671E">
      <w:pPr>
        <w:pStyle w:val="ListParagraph"/>
        <w:autoSpaceDE w:val="0"/>
        <w:autoSpaceDN w:val="0"/>
        <w:adjustRightInd w:val="0"/>
        <w:spacing w:line="276" w:lineRule="auto"/>
        <w:ind w:left="360"/>
        <w:jc w:val="both"/>
        <w:rPr>
          <w:rFonts w:ascii="Arial" w:hAnsi="Arial" w:cs="Arial"/>
          <w:color w:val="7B7B7B" w:themeColor="accent3" w:themeShade="BF"/>
          <w:sz w:val="22"/>
          <w:szCs w:val="22"/>
          <w:lang w:val="en-GB"/>
        </w:rPr>
      </w:pPr>
    </w:p>
    <w:p w14:paraId="300220C7" w14:textId="6D783347" w:rsidR="0071671E" w:rsidRPr="00EB3005" w:rsidRDefault="0071671E" w:rsidP="00EB3005">
      <w:pPr>
        <w:pStyle w:val="ListParagraph"/>
        <w:numPr>
          <w:ilvl w:val="0"/>
          <w:numId w:val="28"/>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Apex had obtained winding-up court order in Utopia prior to Erewhon’s court order, the </w:t>
      </w:r>
      <w:r>
        <w:rPr>
          <w:rFonts w:ascii="Arial" w:hAnsi="Arial" w:cs="Arial"/>
          <w:color w:val="7B7B7B" w:themeColor="accent3" w:themeShade="BF"/>
          <w:sz w:val="22"/>
          <w:szCs w:val="22"/>
          <w:lang w:val="en-GB"/>
        </w:rPr>
        <w:t>Cross-border Insolvency Act of Utopia</w:t>
      </w:r>
      <w:r>
        <w:rPr>
          <w:rFonts w:ascii="Arial" w:hAnsi="Arial" w:cs="Arial"/>
          <w:color w:val="7B7B7B" w:themeColor="accent3" w:themeShade="BF"/>
          <w:sz w:val="22"/>
          <w:szCs w:val="22"/>
          <w:lang w:val="en-GB"/>
        </w:rPr>
        <w:t xml:space="preserve"> will guide whether the Utopian court’s order should prevail given that it is an earlier ruling, and whether in such instance, the Erewhon’s court would not have had competent jurisdiction (and as such its court order would not be recognised</w:t>
      </w:r>
      <w:r w:rsidR="00FB4DCE">
        <w:rPr>
          <w:rFonts w:ascii="Arial" w:hAnsi="Arial" w:cs="Arial"/>
          <w:color w:val="7B7B7B" w:themeColor="accent3" w:themeShade="BF"/>
          <w:sz w:val="22"/>
          <w:szCs w:val="22"/>
          <w:lang w:val="en-GB"/>
        </w:rPr>
        <w:t xml:space="preserve"> in Utopia</w:t>
      </w:r>
      <w:r>
        <w:rPr>
          <w:rFonts w:ascii="Arial" w:hAnsi="Arial" w:cs="Arial"/>
          <w:color w:val="7B7B7B" w:themeColor="accent3" w:themeShade="BF"/>
          <w:sz w:val="22"/>
          <w:szCs w:val="22"/>
          <w:lang w:val="en-GB"/>
        </w:rPr>
        <w:t>).</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425579A3" w14:textId="2EA25477" w:rsidR="00F02FB5" w:rsidRDefault="00F02FB5" w:rsidP="00F02F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is incorporated in the Republic of Indonesia. The Laws No. 37 of 2004 (“Laws 37/2004”) is the prevailing bankruptcy and insolvency code. The key international insolvency issues that the Insolvency Representative (“IR”) </w:t>
      </w:r>
      <w:r w:rsidR="006F67D3">
        <w:rPr>
          <w:rFonts w:ascii="Arial" w:hAnsi="Arial" w:cs="Arial"/>
          <w:color w:val="7B7B7B" w:themeColor="accent3" w:themeShade="BF"/>
          <w:sz w:val="22"/>
          <w:szCs w:val="22"/>
          <w:lang w:val="en-GB"/>
        </w:rPr>
        <w:t>will likely face</w:t>
      </w:r>
      <w:r>
        <w:rPr>
          <w:rFonts w:ascii="Arial" w:hAnsi="Arial" w:cs="Arial"/>
          <w:color w:val="7B7B7B" w:themeColor="accent3" w:themeShade="BF"/>
          <w:sz w:val="22"/>
          <w:szCs w:val="22"/>
          <w:lang w:val="en-GB"/>
        </w:rPr>
        <w:t>;</w:t>
      </w:r>
    </w:p>
    <w:p w14:paraId="3E550CC7" w14:textId="410E3DD2" w:rsidR="00F02FB5" w:rsidRDefault="006F67D3" w:rsidP="00F02FB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Indonesian court has jurisdiction over the debtor’s insolvency proceeding based on the Laws 37/2004, however the IR, appointed by the Indonesian court, may have to deal with concurrent insolvency proceeding commenced by creditor(s) in </w:t>
      </w:r>
      <w:r w:rsidR="00335477">
        <w:rPr>
          <w:rFonts w:ascii="Arial" w:hAnsi="Arial" w:cs="Arial"/>
          <w:color w:val="7B7B7B" w:themeColor="accent3" w:themeShade="BF"/>
          <w:sz w:val="22"/>
          <w:szCs w:val="22"/>
          <w:lang w:val="en-GB"/>
        </w:rPr>
        <w:t xml:space="preserve">other </w:t>
      </w:r>
      <w:r>
        <w:rPr>
          <w:rFonts w:ascii="Arial" w:hAnsi="Arial" w:cs="Arial"/>
          <w:color w:val="7B7B7B" w:themeColor="accent3" w:themeShade="BF"/>
          <w:sz w:val="22"/>
          <w:szCs w:val="22"/>
          <w:lang w:val="en-GB"/>
        </w:rPr>
        <w:t>jurisdiction</w:t>
      </w:r>
      <w:r w:rsidR="0033547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 Laws 37/2004 is silent on whether the IR should acknowledge or cooperate in the proceeding commenced outside Indonesia. Indonesia is also not signatory to any treaty or convention with regards to insolvency proceedings. As such the IR can only rely on the Indonesian private international laws to deal with this issue, and the </w:t>
      </w:r>
      <w:r w:rsidR="00335477">
        <w:rPr>
          <w:rFonts w:ascii="Arial" w:hAnsi="Arial" w:cs="Arial"/>
          <w:color w:val="7B7B7B" w:themeColor="accent3" w:themeShade="BF"/>
          <w:sz w:val="22"/>
          <w:szCs w:val="22"/>
          <w:lang w:val="en-GB"/>
        </w:rPr>
        <w:t xml:space="preserve">principle </w:t>
      </w:r>
      <w:r>
        <w:rPr>
          <w:rFonts w:ascii="Arial" w:hAnsi="Arial" w:cs="Arial"/>
          <w:color w:val="7B7B7B" w:themeColor="accent3" w:themeShade="BF"/>
          <w:sz w:val="22"/>
          <w:szCs w:val="22"/>
          <w:lang w:val="en-GB"/>
        </w:rPr>
        <w:t xml:space="preserve">of </w:t>
      </w:r>
      <w:r w:rsidRPr="00335477">
        <w:rPr>
          <w:rFonts w:ascii="Arial" w:hAnsi="Arial" w:cs="Arial"/>
          <w:i/>
          <w:iCs/>
          <w:color w:val="7B7B7B" w:themeColor="accent3" w:themeShade="BF"/>
          <w:sz w:val="22"/>
          <w:szCs w:val="22"/>
          <w:lang w:val="en-GB"/>
        </w:rPr>
        <w:t>forum rei sitae</w:t>
      </w:r>
      <w:r w:rsidR="00335477" w:rsidRPr="00335477">
        <w:rPr>
          <w:rFonts w:ascii="Arial" w:hAnsi="Arial" w:cs="Arial"/>
          <w:color w:val="7B7B7B" w:themeColor="accent3" w:themeShade="BF"/>
          <w:sz w:val="22"/>
          <w:szCs w:val="22"/>
          <w:lang w:val="en-GB"/>
        </w:rPr>
        <w:t>,</w:t>
      </w:r>
      <w:r w:rsidR="00335477">
        <w:rPr>
          <w:rFonts w:ascii="Arial" w:hAnsi="Arial" w:cs="Arial"/>
          <w:color w:val="7B7B7B" w:themeColor="accent3" w:themeShade="BF"/>
          <w:sz w:val="22"/>
          <w:szCs w:val="22"/>
          <w:lang w:val="en-GB"/>
        </w:rPr>
        <w:t xml:space="preserve"> as found in the Indonesian private international laws, may be applied to justify cooperation with foreign proceedings in jurisdictions where the debtor’s assets are located.</w:t>
      </w:r>
    </w:p>
    <w:p w14:paraId="56993E76" w14:textId="75DA6639" w:rsidR="00335477" w:rsidRDefault="00335477" w:rsidP="00F02FB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IR will have to deal with claims submitted by foreign creditors (including foreign taxation / revenue authorities), and/or claims submitted that are based on contracts governed by foreign laws. Laws 37/2004, the Indonesian Civil Code, and the Indonesian private international laws will provide discretion to the IR to admit or reject the respective claims (and where rejected, the creditors can follow the appeal mechanism).</w:t>
      </w:r>
    </w:p>
    <w:p w14:paraId="569080C8" w14:textId="6016BE18" w:rsidR="00EE4860" w:rsidRDefault="00EE4860" w:rsidP="00F02FB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IR will have to deal with security or collateral or encumbrance that are established under the laws in which the underlying assets are located (such as mortgage over the debtor’s real properties in another jurisdiction), and the IR will thus have to decide whether the corresponding claims with such security will be considered as secured or unsecured creditors while the IR may not have access or control over these assets (unlike assets located in Indonesia). The Laws 37/2004 again is silent on this, and as such the</w:t>
      </w:r>
      <w:r w:rsidR="00E6022D">
        <w:rPr>
          <w:rFonts w:ascii="Arial" w:hAnsi="Arial" w:cs="Arial"/>
          <w:color w:val="7B7B7B" w:themeColor="accent3" w:themeShade="BF"/>
          <w:sz w:val="22"/>
          <w:szCs w:val="22"/>
          <w:lang w:val="en-GB"/>
        </w:rPr>
        <w:t xml:space="preserve"> IR will</w:t>
      </w:r>
      <w:r>
        <w:rPr>
          <w:rFonts w:ascii="Arial" w:hAnsi="Arial" w:cs="Arial"/>
          <w:color w:val="7B7B7B" w:themeColor="accent3" w:themeShade="BF"/>
          <w:sz w:val="22"/>
          <w:szCs w:val="22"/>
          <w:lang w:val="en-GB"/>
        </w:rPr>
        <w:t xml:space="preserve"> </w:t>
      </w:r>
      <w:r w:rsidR="00E6022D">
        <w:rPr>
          <w:rFonts w:ascii="Arial" w:hAnsi="Arial" w:cs="Arial"/>
          <w:color w:val="7B7B7B" w:themeColor="accent3" w:themeShade="BF"/>
          <w:sz w:val="22"/>
          <w:szCs w:val="22"/>
          <w:lang w:val="en-GB"/>
        </w:rPr>
        <w:t>likely reject such claim that does not provide reciprocal value-add to the insolvency/bankruptcy estate.</w:t>
      </w:r>
    </w:p>
    <w:p w14:paraId="4BD6C762" w14:textId="13065AE9" w:rsidR="00335477" w:rsidRDefault="00335477" w:rsidP="00335477">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IR will have to carry out his/her mandate </w:t>
      </w:r>
      <w:r w:rsidR="00EE4860">
        <w:rPr>
          <w:rFonts w:ascii="Arial" w:hAnsi="Arial" w:cs="Arial"/>
          <w:color w:val="7B7B7B" w:themeColor="accent3" w:themeShade="BF"/>
          <w:sz w:val="22"/>
          <w:szCs w:val="22"/>
          <w:lang w:val="en-GB"/>
        </w:rPr>
        <w:t xml:space="preserve">to liquidate the debtor’s assets that are located </w:t>
      </w:r>
      <w:r>
        <w:rPr>
          <w:rFonts w:ascii="Arial" w:hAnsi="Arial" w:cs="Arial"/>
          <w:color w:val="7B7B7B" w:themeColor="accent3" w:themeShade="BF"/>
          <w:sz w:val="22"/>
          <w:szCs w:val="22"/>
          <w:lang w:val="en-GB"/>
        </w:rPr>
        <w:t xml:space="preserve">outside </w:t>
      </w:r>
      <w:r w:rsidR="00EE4860">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Indonesian borders, to where the debtor’s assets are located. Given the absent treaties or conventions that Indonesia has, the IR can be guided by the </w:t>
      </w:r>
      <w:r>
        <w:rPr>
          <w:rFonts w:ascii="Arial" w:hAnsi="Arial" w:cs="Arial"/>
          <w:color w:val="7B7B7B" w:themeColor="accent3" w:themeShade="BF"/>
          <w:sz w:val="22"/>
          <w:szCs w:val="22"/>
          <w:lang w:val="en-GB"/>
        </w:rPr>
        <w:t xml:space="preserve">Indonesian private international laws to deal with this issue, and the principle of </w:t>
      </w:r>
      <w:r w:rsidRPr="00335477">
        <w:rPr>
          <w:rFonts w:ascii="Arial" w:hAnsi="Arial" w:cs="Arial"/>
          <w:i/>
          <w:iCs/>
          <w:color w:val="7B7B7B" w:themeColor="accent3" w:themeShade="BF"/>
          <w:sz w:val="22"/>
          <w:szCs w:val="22"/>
          <w:lang w:val="en-GB"/>
        </w:rPr>
        <w:t>forum rei sitae</w:t>
      </w:r>
      <w:r w:rsidRPr="0033547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 found in the Indonesian private international laws, may</w:t>
      </w:r>
      <w:r w:rsidR="00415B57">
        <w:rPr>
          <w:rFonts w:ascii="Arial" w:hAnsi="Arial" w:cs="Arial"/>
          <w:color w:val="7B7B7B" w:themeColor="accent3" w:themeShade="BF"/>
          <w:sz w:val="22"/>
          <w:szCs w:val="22"/>
          <w:lang w:val="en-GB"/>
        </w:rPr>
        <w:t xml:space="preserve"> again</w:t>
      </w:r>
      <w:r>
        <w:rPr>
          <w:rFonts w:ascii="Arial" w:hAnsi="Arial" w:cs="Arial"/>
          <w:color w:val="7B7B7B" w:themeColor="accent3" w:themeShade="BF"/>
          <w:sz w:val="22"/>
          <w:szCs w:val="22"/>
          <w:lang w:val="en-GB"/>
        </w:rPr>
        <w:t xml:space="preserve"> be applied to justify </w:t>
      </w:r>
      <w:r w:rsidR="00415B57">
        <w:rPr>
          <w:rFonts w:ascii="Arial" w:hAnsi="Arial" w:cs="Arial"/>
          <w:color w:val="7B7B7B" w:themeColor="accent3" w:themeShade="BF"/>
          <w:sz w:val="22"/>
          <w:szCs w:val="22"/>
          <w:lang w:val="en-GB"/>
        </w:rPr>
        <w:t xml:space="preserve">seeking </w:t>
      </w:r>
      <w:r>
        <w:rPr>
          <w:rFonts w:ascii="Arial" w:hAnsi="Arial" w:cs="Arial"/>
          <w:color w:val="7B7B7B" w:themeColor="accent3" w:themeShade="BF"/>
          <w:sz w:val="22"/>
          <w:szCs w:val="22"/>
          <w:lang w:val="en-GB"/>
        </w:rPr>
        <w:t xml:space="preserve">cooperation with foreign </w:t>
      </w:r>
      <w:r w:rsidR="00415B57">
        <w:rPr>
          <w:rFonts w:ascii="Arial" w:hAnsi="Arial" w:cs="Arial"/>
          <w:color w:val="7B7B7B" w:themeColor="accent3" w:themeShade="BF"/>
          <w:sz w:val="22"/>
          <w:szCs w:val="22"/>
          <w:lang w:val="en-GB"/>
        </w:rPr>
        <w:t>courts and/or authorities</w:t>
      </w:r>
      <w:r>
        <w:rPr>
          <w:rFonts w:ascii="Arial" w:hAnsi="Arial" w:cs="Arial"/>
          <w:color w:val="7B7B7B" w:themeColor="accent3" w:themeShade="BF"/>
          <w:sz w:val="22"/>
          <w:szCs w:val="22"/>
          <w:lang w:val="en-GB"/>
        </w:rPr>
        <w:t>.</w:t>
      </w:r>
    </w:p>
    <w:p w14:paraId="5A667548" w14:textId="09ABC6A8" w:rsidR="00335477" w:rsidRPr="00F02FB5" w:rsidRDefault="00335477" w:rsidP="00E6022D">
      <w:pPr>
        <w:pStyle w:val="ListParagraph"/>
        <w:ind w:left="360"/>
        <w:jc w:val="both"/>
        <w:rPr>
          <w:rFonts w:ascii="Arial" w:hAnsi="Arial" w:cs="Arial"/>
          <w:color w:val="7B7B7B" w:themeColor="accent3" w:themeShade="BF"/>
          <w:sz w:val="22"/>
          <w:szCs w:val="22"/>
          <w:lang w:val="en-GB"/>
        </w:rPr>
      </w:pP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56DE" w14:textId="77777777" w:rsidR="008B21D2" w:rsidRDefault="008B21D2" w:rsidP="00241B44">
      <w:r>
        <w:separator/>
      </w:r>
    </w:p>
  </w:endnote>
  <w:endnote w:type="continuationSeparator" w:id="0">
    <w:p w14:paraId="6AA3342A" w14:textId="77777777" w:rsidR="008B21D2" w:rsidRDefault="008B21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65136089" w:rsidR="00AD6A7D" w:rsidRPr="00F44220" w:rsidRDefault="001D1AC2" w:rsidP="00AD6A7D">
    <w:pPr>
      <w:pStyle w:val="Footer"/>
      <w:ind w:right="360"/>
      <w:rPr>
        <w:rFonts w:ascii="Arial" w:hAnsi="Arial" w:cs="Arial"/>
        <w:sz w:val="18"/>
        <w:szCs w:val="18"/>
      </w:rPr>
    </w:pPr>
    <w:r w:rsidRPr="001D1AC2">
      <w:rPr>
        <w:rFonts w:ascii="Arial" w:hAnsi="Arial" w:cs="Arial"/>
        <w:sz w:val="18"/>
        <w:szCs w:val="18"/>
      </w:rPr>
      <w:t>202122-504</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1D18" w14:textId="77777777" w:rsidR="008B21D2" w:rsidRDefault="008B21D2" w:rsidP="00241B44">
      <w:r>
        <w:separator/>
      </w:r>
    </w:p>
  </w:footnote>
  <w:footnote w:type="continuationSeparator" w:id="0">
    <w:p w14:paraId="68E24731" w14:textId="77777777" w:rsidR="008B21D2" w:rsidRDefault="008B21D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4E85A59"/>
    <w:multiLevelType w:val="hybridMultilevel"/>
    <w:tmpl w:val="7946FEF8"/>
    <w:lvl w:ilvl="0" w:tplc="BEDE0044">
      <w:start w:val="1"/>
      <w:numFmt w:val="lowerLetter"/>
      <w:lvlText w:val="(%1)"/>
      <w:lvlJc w:val="left"/>
      <w:pPr>
        <w:ind w:left="360" w:hanging="360"/>
      </w:pPr>
      <w:rPr>
        <w:rFonts w:hint="default"/>
        <w:color w:val="7B7B7B" w:themeColor="accent3" w:themeShade="BF"/>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9B3405D"/>
    <w:multiLevelType w:val="hybridMultilevel"/>
    <w:tmpl w:val="EA8C906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6366D"/>
    <w:multiLevelType w:val="hybridMultilevel"/>
    <w:tmpl w:val="1CA8DC1E"/>
    <w:lvl w:ilvl="0" w:tplc="96AE17F2">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277740"/>
    <w:multiLevelType w:val="hybridMultilevel"/>
    <w:tmpl w:val="35684E9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F8051D"/>
    <w:multiLevelType w:val="hybridMultilevel"/>
    <w:tmpl w:val="CEFE9B02"/>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5" w15:restartNumberingAfterBreak="0">
    <w:nsid w:val="7D6F671A"/>
    <w:multiLevelType w:val="hybridMultilevel"/>
    <w:tmpl w:val="1F8C8642"/>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3"/>
  </w:num>
  <w:num w:numId="3">
    <w:abstractNumId w:val="7"/>
  </w:num>
  <w:num w:numId="4">
    <w:abstractNumId w:val="4"/>
  </w:num>
  <w:num w:numId="5">
    <w:abstractNumId w:val="11"/>
  </w:num>
  <w:num w:numId="6">
    <w:abstractNumId w:val="17"/>
  </w:num>
  <w:num w:numId="7">
    <w:abstractNumId w:val="26"/>
  </w:num>
  <w:num w:numId="8">
    <w:abstractNumId w:val="16"/>
  </w:num>
  <w:num w:numId="9">
    <w:abstractNumId w:val="6"/>
  </w:num>
  <w:num w:numId="10">
    <w:abstractNumId w:val="10"/>
  </w:num>
  <w:num w:numId="11">
    <w:abstractNumId w:val="8"/>
  </w:num>
  <w:num w:numId="12">
    <w:abstractNumId w:val="5"/>
  </w:num>
  <w:num w:numId="13">
    <w:abstractNumId w:val="14"/>
  </w:num>
  <w:num w:numId="14">
    <w:abstractNumId w:val="0"/>
  </w:num>
  <w:num w:numId="15">
    <w:abstractNumId w:val="3"/>
  </w:num>
  <w:num w:numId="16">
    <w:abstractNumId w:val="15"/>
  </w:num>
  <w:num w:numId="17">
    <w:abstractNumId w:val="13"/>
  </w:num>
  <w:num w:numId="18">
    <w:abstractNumId w:val="22"/>
  </w:num>
  <w:num w:numId="19">
    <w:abstractNumId w:val="18"/>
  </w:num>
  <w:num w:numId="20">
    <w:abstractNumId w:val="27"/>
  </w:num>
  <w:num w:numId="21">
    <w:abstractNumId w:val="19"/>
  </w:num>
  <w:num w:numId="22">
    <w:abstractNumId w:val="12"/>
  </w:num>
  <w:num w:numId="23">
    <w:abstractNumId w:val="2"/>
  </w:num>
  <w:num w:numId="24">
    <w:abstractNumId w:val="25"/>
  </w:num>
  <w:num w:numId="25">
    <w:abstractNumId w:val="21"/>
  </w:num>
  <w:num w:numId="26">
    <w:abstractNumId w:val="24"/>
  </w:num>
  <w:num w:numId="27">
    <w:abstractNumId w:val="1"/>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46161"/>
    <w:rsid w:val="00055893"/>
    <w:rsid w:val="00065166"/>
    <w:rsid w:val="00082609"/>
    <w:rsid w:val="000851CC"/>
    <w:rsid w:val="00093BE8"/>
    <w:rsid w:val="000954C6"/>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1AC2"/>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03F04"/>
    <w:rsid w:val="003144EF"/>
    <w:rsid w:val="00330937"/>
    <w:rsid w:val="00330F31"/>
    <w:rsid w:val="00334648"/>
    <w:rsid w:val="00335477"/>
    <w:rsid w:val="0033768C"/>
    <w:rsid w:val="00337938"/>
    <w:rsid w:val="00340769"/>
    <w:rsid w:val="00341AA6"/>
    <w:rsid w:val="00360618"/>
    <w:rsid w:val="00361A0A"/>
    <w:rsid w:val="0036565C"/>
    <w:rsid w:val="0036625E"/>
    <w:rsid w:val="0037465A"/>
    <w:rsid w:val="00374696"/>
    <w:rsid w:val="00382C98"/>
    <w:rsid w:val="0038533C"/>
    <w:rsid w:val="003948D5"/>
    <w:rsid w:val="00396821"/>
    <w:rsid w:val="00397D3A"/>
    <w:rsid w:val="003A051E"/>
    <w:rsid w:val="003A0D08"/>
    <w:rsid w:val="003A2F8D"/>
    <w:rsid w:val="003A571D"/>
    <w:rsid w:val="003B170F"/>
    <w:rsid w:val="003C4471"/>
    <w:rsid w:val="003D0A6D"/>
    <w:rsid w:val="003D2DA8"/>
    <w:rsid w:val="003D38E0"/>
    <w:rsid w:val="003E0B16"/>
    <w:rsid w:val="003E67D1"/>
    <w:rsid w:val="003F5758"/>
    <w:rsid w:val="00405DC1"/>
    <w:rsid w:val="00411B48"/>
    <w:rsid w:val="00415B57"/>
    <w:rsid w:val="00415F1F"/>
    <w:rsid w:val="0042108F"/>
    <w:rsid w:val="00430FED"/>
    <w:rsid w:val="0043427C"/>
    <w:rsid w:val="00434A8C"/>
    <w:rsid w:val="00444284"/>
    <w:rsid w:val="00445CE6"/>
    <w:rsid w:val="004534C2"/>
    <w:rsid w:val="0045683E"/>
    <w:rsid w:val="00491675"/>
    <w:rsid w:val="00493855"/>
    <w:rsid w:val="004A16A3"/>
    <w:rsid w:val="004A51BA"/>
    <w:rsid w:val="004A57DD"/>
    <w:rsid w:val="004A7B51"/>
    <w:rsid w:val="004A7D71"/>
    <w:rsid w:val="004A7EF3"/>
    <w:rsid w:val="004B11FD"/>
    <w:rsid w:val="004B23A2"/>
    <w:rsid w:val="004C1306"/>
    <w:rsid w:val="004C495A"/>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C2858"/>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B74F1"/>
    <w:rsid w:val="006C4584"/>
    <w:rsid w:val="006D01C2"/>
    <w:rsid w:val="006D4432"/>
    <w:rsid w:val="006E481A"/>
    <w:rsid w:val="006E5298"/>
    <w:rsid w:val="006F67D3"/>
    <w:rsid w:val="006F734A"/>
    <w:rsid w:val="00700D83"/>
    <w:rsid w:val="007074E9"/>
    <w:rsid w:val="00713DA4"/>
    <w:rsid w:val="00714BF1"/>
    <w:rsid w:val="0071671E"/>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07A"/>
    <w:rsid w:val="00807119"/>
    <w:rsid w:val="0082483F"/>
    <w:rsid w:val="008279C0"/>
    <w:rsid w:val="008723F3"/>
    <w:rsid w:val="00881DE6"/>
    <w:rsid w:val="00882516"/>
    <w:rsid w:val="008837A6"/>
    <w:rsid w:val="0089145D"/>
    <w:rsid w:val="008A191C"/>
    <w:rsid w:val="008A6CFE"/>
    <w:rsid w:val="008B21D2"/>
    <w:rsid w:val="008B2ED6"/>
    <w:rsid w:val="008B5333"/>
    <w:rsid w:val="008B6223"/>
    <w:rsid w:val="008C66E0"/>
    <w:rsid w:val="008E3339"/>
    <w:rsid w:val="008F20FC"/>
    <w:rsid w:val="008F462E"/>
    <w:rsid w:val="008F5BBD"/>
    <w:rsid w:val="008F6301"/>
    <w:rsid w:val="00905A43"/>
    <w:rsid w:val="00912C79"/>
    <w:rsid w:val="0091783C"/>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02D1F"/>
    <w:rsid w:val="00B14819"/>
    <w:rsid w:val="00B17AA9"/>
    <w:rsid w:val="00B72AE1"/>
    <w:rsid w:val="00B736DF"/>
    <w:rsid w:val="00B74FBD"/>
    <w:rsid w:val="00B82586"/>
    <w:rsid w:val="00B86DB1"/>
    <w:rsid w:val="00B87869"/>
    <w:rsid w:val="00BB0F2B"/>
    <w:rsid w:val="00BF18F7"/>
    <w:rsid w:val="00BF1C6F"/>
    <w:rsid w:val="00BF50F7"/>
    <w:rsid w:val="00C02F29"/>
    <w:rsid w:val="00C053F7"/>
    <w:rsid w:val="00C14330"/>
    <w:rsid w:val="00C22A25"/>
    <w:rsid w:val="00C33C6C"/>
    <w:rsid w:val="00C35671"/>
    <w:rsid w:val="00C35B77"/>
    <w:rsid w:val="00C376EB"/>
    <w:rsid w:val="00C42490"/>
    <w:rsid w:val="00C46EC1"/>
    <w:rsid w:val="00C53E2C"/>
    <w:rsid w:val="00C550C8"/>
    <w:rsid w:val="00C606C3"/>
    <w:rsid w:val="00C649D6"/>
    <w:rsid w:val="00C72848"/>
    <w:rsid w:val="00C7736C"/>
    <w:rsid w:val="00C82D87"/>
    <w:rsid w:val="00C8712A"/>
    <w:rsid w:val="00C963D3"/>
    <w:rsid w:val="00CB2CBB"/>
    <w:rsid w:val="00CB357F"/>
    <w:rsid w:val="00CB3E1F"/>
    <w:rsid w:val="00CB7CAC"/>
    <w:rsid w:val="00CC5335"/>
    <w:rsid w:val="00CC5BA4"/>
    <w:rsid w:val="00CD4998"/>
    <w:rsid w:val="00CE1035"/>
    <w:rsid w:val="00CF2819"/>
    <w:rsid w:val="00CF2EAB"/>
    <w:rsid w:val="00CF4F9D"/>
    <w:rsid w:val="00CF70DC"/>
    <w:rsid w:val="00D104E4"/>
    <w:rsid w:val="00D148DC"/>
    <w:rsid w:val="00D17FDC"/>
    <w:rsid w:val="00D60C8B"/>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587F"/>
    <w:rsid w:val="00DF75F8"/>
    <w:rsid w:val="00DF7A3A"/>
    <w:rsid w:val="00E00C00"/>
    <w:rsid w:val="00E07C5A"/>
    <w:rsid w:val="00E15BA9"/>
    <w:rsid w:val="00E26E19"/>
    <w:rsid w:val="00E450A4"/>
    <w:rsid w:val="00E506BE"/>
    <w:rsid w:val="00E55547"/>
    <w:rsid w:val="00E6022D"/>
    <w:rsid w:val="00E6302B"/>
    <w:rsid w:val="00E6452F"/>
    <w:rsid w:val="00E64F45"/>
    <w:rsid w:val="00E6742D"/>
    <w:rsid w:val="00E71CB0"/>
    <w:rsid w:val="00E77C3D"/>
    <w:rsid w:val="00E909F0"/>
    <w:rsid w:val="00E93993"/>
    <w:rsid w:val="00EA0913"/>
    <w:rsid w:val="00EB3005"/>
    <w:rsid w:val="00EB45AC"/>
    <w:rsid w:val="00ED0BC4"/>
    <w:rsid w:val="00ED5254"/>
    <w:rsid w:val="00EE4860"/>
    <w:rsid w:val="00EE4971"/>
    <w:rsid w:val="00EE744D"/>
    <w:rsid w:val="00EF090E"/>
    <w:rsid w:val="00F02FB5"/>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B4DCE"/>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OAKSHIRE</cp:lastModifiedBy>
  <cp:revision>13</cp:revision>
  <cp:lastPrinted>2019-09-04T15:45:00Z</cp:lastPrinted>
  <dcterms:created xsi:type="dcterms:W3CDTF">2021-10-08T16:27:00Z</dcterms:created>
  <dcterms:modified xsi:type="dcterms:W3CDTF">2021-10-15T04:36:00Z</dcterms:modified>
</cp:coreProperties>
</file>