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D47D7" w:rsidRDefault="00B736DF" w:rsidP="009E1027">
      <w:pPr>
        <w:pStyle w:val="ListParagraph"/>
        <w:numPr>
          <w:ilvl w:val="0"/>
          <w:numId w:val="12"/>
        </w:numPr>
        <w:ind w:left="426"/>
        <w:jc w:val="both"/>
        <w:rPr>
          <w:rFonts w:ascii="Arial" w:hAnsi="Arial" w:cs="Arial"/>
          <w:sz w:val="22"/>
          <w:szCs w:val="22"/>
          <w:highlight w:val="yellow"/>
          <w:lang w:val="en-GB"/>
        </w:rPr>
      </w:pPr>
      <w:r w:rsidRPr="00BD47D7">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BD47D7" w:rsidRDefault="00161F1B" w:rsidP="009E1027">
      <w:pPr>
        <w:pStyle w:val="ListParagraph"/>
        <w:numPr>
          <w:ilvl w:val="0"/>
          <w:numId w:val="13"/>
        </w:numPr>
        <w:ind w:left="426"/>
        <w:jc w:val="both"/>
        <w:rPr>
          <w:rFonts w:ascii="Arial" w:hAnsi="Arial" w:cs="Arial"/>
          <w:sz w:val="22"/>
          <w:szCs w:val="22"/>
          <w:highlight w:val="yellow"/>
          <w:lang w:val="en-GB"/>
        </w:rPr>
      </w:pPr>
      <w:r w:rsidRPr="00BD47D7">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D47D7" w:rsidRDefault="009E2E27" w:rsidP="008031A7">
      <w:pPr>
        <w:pStyle w:val="ListParagraph"/>
        <w:numPr>
          <w:ilvl w:val="0"/>
          <w:numId w:val="14"/>
        </w:numPr>
        <w:ind w:left="426"/>
        <w:jc w:val="both"/>
        <w:rPr>
          <w:rFonts w:ascii="Arial" w:hAnsi="Arial" w:cs="Arial"/>
          <w:sz w:val="22"/>
          <w:szCs w:val="22"/>
          <w:highlight w:val="yellow"/>
          <w:lang w:val="en-GB"/>
        </w:rPr>
      </w:pPr>
      <w:r w:rsidRPr="00BD47D7">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D47D7" w:rsidRDefault="009E2E27" w:rsidP="008031A7">
      <w:pPr>
        <w:pStyle w:val="ListParagraph"/>
        <w:numPr>
          <w:ilvl w:val="0"/>
          <w:numId w:val="15"/>
        </w:numPr>
        <w:ind w:left="426"/>
        <w:jc w:val="both"/>
        <w:rPr>
          <w:rFonts w:ascii="Arial" w:hAnsi="Arial" w:cs="Arial"/>
          <w:sz w:val="22"/>
          <w:szCs w:val="22"/>
          <w:highlight w:val="yellow"/>
          <w:lang w:val="en-GB"/>
        </w:rPr>
      </w:pPr>
      <w:r w:rsidRPr="00BD47D7">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BD47D7" w:rsidRDefault="00A235B7" w:rsidP="006D01C2">
      <w:pPr>
        <w:pStyle w:val="ListParagraph"/>
        <w:numPr>
          <w:ilvl w:val="0"/>
          <w:numId w:val="16"/>
        </w:numPr>
        <w:ind w:left="426"/>
        <w:jc w:val="both"/>
        <w:rPr>
          <w:rFonts w:ascii="Arial" w:hAnsi="Arial" w:cs="Arial"/>
          <w:sz w:val="22"/>
          <w:szCs w:val="22"/>
          <w:highlight w:val="yellow"/>
          <w:lang w:val="en-GB"/>
        </w:rPr>
      </w:pPr>
      <w:r w:rsidRPr="00BD47D7">
        <w:rPr>
          <w:rFonts w:ascii="Arial" w:hAnsi="Arial" w:cs="Arial"/>
          <w:sz w:val="22"/>
          <w:szCs w:val="22"/>
          <w:highlight w:val="yellow"/>
          <w:lang w:val="en-GB"/>
        </w:rPr>
        <w:t>The statement</w:t>
      </w:r>
      <w:r w:rsidR="0037465A" w:rsidRPr="00BD47D7">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D47D7"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BD47D7">
        <w:rPr>
          <w:rFonts w:ascii="Arial" w:eastAsiaTheme="minorHAnsi" w:hAnsi="Arial" w:cs="Arial"/>
          <w:sz w:val="22"/>
          <w:szCs w:val="22"/>
          <w:highlight w:val="yellow"/>
          <w:lang w:val="en-GB"/>
        </w:rPr>
        <w:t>Private International Law</w:t>
      </w:r>
      <w:r w:rsidR="00991428" w:rsidRPr="00BD47D7">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D47D7" w:rsidRDefault="004D1A5A" w:rsidP="006D01C2">
      <w:pPr>
        <w:pStyle w:val="ListParagraph"/>
        <w:numPr>
          <w:ilvl w:val="0"/>
          <w:numId w:val="18"/>
        </w:numPr>
        <w:ind w:left="426"/>
        <w:jc w:val="both"/>
        <w:rPr>
          <w:rFonts w:ascii="Arial" w:hAnsi="Arial" w:cs="Arial"/>
          <w:sz w:val="22"/>
          <w:szCs w:val="22"/>
          <w:highlight w:val="yellow"/>
          <w:lang w:val="en-GB"/>
        </w:rPr>
      </w:pPr>
      <w:r w:rsidRPr="00BD47D7">
        <w:rPr>
          <w:rFonts w:ascii="Arial" w:hAnsi="Arial" w:cs="Arial"/>
          <w:sz w:val="22"/>
          <w:szCs w:val="22"/>
          <w:highlight w:val="yellow"/>
          <w:lang w:val="en-GB"/>
        </w:rPr>
        <w:t>UNCITRAL Model Law on Cross-border Insolvency (1997)</w:t>
      </w:r>
      <w:r w:rsidR="00912C79" w:rsidRPr="00BD47D7">
        <w:rPr>
          <w:rFonts w:ascii="Arial" w:hAnsi="Arial" w:cs="Arial"/>
          <w:sz w:val="22"/>
          <w:szCs w:val="22"/>
          <w:highlight w:val="yellow"/>
          <w:lang w:val="en-GB"/>
        </w:rPr>
        <w:t>.</w:t>
      </w:r>
      <w:r w:rsidRPr="00BD47D7">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D47D7"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BD47D7">
        <w:rPr>
          <w:rFonts w:ascii="Arial" w:hAnsi="Arial" w:cs="Arial"/>
          <w:sz w:val="22"/>
          <w:szCs w:val="22"/>
          <w:highlight w:val="yellow"/>
          <w:lang w:val="en-GB"/>
        </w:rPr>
        <w:t>Havana Convention on Private International Law (1928)</w:t>
      </w:r>
      <w:r w:rsidRPr="00BD47D7">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D47D7" w:rsidRDefault="0082483F" w:rsidP="006D01C2">
      <w:pPr>
        <w:pStyle w:val="ListParagraph"/>
        <w:numPr>
          <w:ilvl w:val="0"/>
          <w:numId w:val="20"/>
        </w:numPr>
        <w:ind w:left="426"/>
        <w:jc w:val="both"/>
        <w:rPr>
          <w:rFonts w:ascii="Arial" w:hAnsi="Arial" w:cs="Arial"/>
          <w:sz w:val="22"/>
          <w:szCs w:val="22"/>
          <w:highlight w:val="yellow"/>
          <w:lang w:val="en-GB"/>
        </w:rPr>
      </w:pPr>
      <w:r w:rsidRPr="00BD47D7">
        <w:rPr>
          <w:rFonts w:ascii="Arial" w:hAnsi="Arial" w:cs="Arial"/>
          <w:sz w:val="22"/>
          <w:szCs w:val="22"/>
          <w:highlight w:val="yellow"/>
          <w:lang w:val="en-GB"/>
        </w:rPr>
        <w:t xml:space="preserve">Definition of </w:t>
      </w:r>
      <w:r w:rsidR="006D01C2" w:rsidRPr="00BD47D7">
        <w:rPr>
          <w:rFonts w:ascii="Arial" w:hAnsi="Arial" w:cs="Arial"/>
          <w:sz w:val="22"/>
          <w:szCs w:val="22"/>
          <w:highlight w:val="yellow"/>
          <w:lang w:val="en-GB"/>
        </w:rPr>
        <w:t>“</w:t>
      </w:r>
      <w:r w:rsidRPr="00BD47D7">
        <w:rPr>
          <w:rFonts w:ascii="Arial" w:hAnsi="Arial" w:cs="Arial"/>
          <w:sz w:val="22"/>
          <w:szCs w:val="22"/>
          <w:highlight w:val="yellow"/>
          <w:lang w:val="en-GB"/>
        </w:rPr>
        <w:t>centre of the debtor’s main interests</w:t>
      </w:r>
      <w:r w:rsidR="006D01C2" w:rsidRPr="00BD47D7">
        <w:rPr>
          <w:rFonts w:ascii="Arial" w:hAnsi="Arial" w:cs="Arial"/>
          <w:sz w:val="22"/>
          <w:szCs w:val="22"/>
          <w:highlight w:val="yellow"/>
          <w:lang w:val="en-GB"/>
        </w:rPr>
        <w:t>”</w:t>
      </w:r>
      <w:r w:rsidRPr="00BD47D7">
        <w:rPr>
          <w:rFonts w:ascii="Arial" w:hAnsi="Arial" w:cs="Arial"/>
          <w:sz w:val="22"/>
          <w:szCs w:val="22"/>
          <w:highlight w:val="yellow"/>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 xml:space="preserve">A centralised insolvency </w:t>
      </w:r>
      <w:proofErr w:type="gramStart"/>
      <w:r w:rsidRPr="00BF1C6F">
        <w:rPr>
          <w:rFonts w:ascii="Arial" w:hAnsi="Arial" w:cs="Arial"/>
          <w:sz w:val="22"/>
          <w:szCs w:val="22"/>
          <w:lang w:val="en-GB"/>
        </w:rPr>
        <w:t>register</w:t>
      </w:r>
      <w:proofErr w:type="gramEnd"/>
      <w:r w:rsidRPr="00BF1C6F">
        <w:rPr>
          <w:rFonts w:ascii="Arial" w:hAnsi="Arial" w:cs="Arial"/>
          <w:sz w:val="22"/>
          <w:szCs w:val="22"/>
          <w:lang w:val="en-GB"/>
        </w:rPr>
        <w:t xml:space="preserve">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D47D7"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BD47D7">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4186AF58" w:rsidR="009B07AD" w:rsidRPr="00BD47D7" w:rsidRDefault="00BD47D7" w:rsidP="00BD47D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International insolvency i.e. cross-border insolvency law concerns the domestic and, depending on the country, multilateral treaties that deal with the insolvency of a company or individual where the individual or company has assets and/or creditors in multiple jurisdictions. Notwithstanding that individuals or companies operate on an international scale, most local legal systems are not adequately equipped to deal with foreign elements of insolvency, which </w:t>
      </w:r>
      <w:r w:rsidRPr="00BD47D7">
        <w:rPr>
          <w:rFonts w:ascii="Arial" w:hAnsi="Arial" w:cs="Arial"/>
          <w:color w:val="7B7B7B" w:themeColor="accent3" w:themeShade="BF"/>
          <w:sz w:val="22"/>
          <w:szCs w:val="22"/>
          <w:lang w:val="en-GB"/>
        </w:rPr>
        <w:t>gives rise to many issues, including among other things:</w:t>
      </w:r>
    </w:p>
    <w:p w14:paraId="6701A499" w14:textId="784AE812" w:rsidR="00BD47D7" w:rsidRPr="00BD47D7" w:rsidRDefault="00BD47D7" w:rsidP="00BD47D7">
      <w:pPr>
        <w:pStyle w:val="ListParagraph"/>
        <w:numPr>
          <w:ilvl w:val="0"/>
          <w:numId w:val="23"/>
        </w:numPr>
        <w:jc w:val="both"/>
        <w:rPr>
          <w:rFonts w:ascii="Arial" w:hAnsi="Arial" w:cs="Arial"/>
          <w:color w:val="7B7B7B" w:themeColor="accent3" w:themeShade="BF"/>
          <w:sz w:val="22"/>
          <w:szCs w:val="22"/>
          <w:lang w:val="en-GB"/>
        </w:rPr>
      </w:pPr>
      <w:r w:rsidRPr="00BD47D7">
        <w:rPr>
          <w:rFonts w:ascii="Arial" w:hAnsi="Arial" w:cs="Arial"/>
          <w:color w:val="7B7B7B" w:themeColor="accent3" w:themeShade="BF"/>
          <w:sz w:val="22"/>
          <w:szCs w:val="22"/>
          <w:lang w:val="en-GB"/>
        </w:rPr>
        <w:t>Choice of law;</w:t>
      </w:r>
    </w:p>
    <w:p w14:paraId="6CB5EAA1" w14:textId="6F1AE211" w:rsidR="00BD47D7" w:rsidRPr="00BD47D7" w:rsidRDefault="00BD47D7" w:rsidP="00BD47D7">
      <w:pPr>
        <w:pStyle w:val="ListParagraph"/>
        <w:numPr>
          <w:ilvl w:val="0"/>
          <w:numId w:val="23"/>
        </w:numPr>
        <w:jc w:val="both"/>
        <w:rPr>
          <w:rFonts w:ascii="Arial" w:hAnsi="Arial" w:cs="Arial"/>
          <w:color w:val="7B7B7B" w:themeColor="accent3" w:themeShade="BF"/>
          <w:sz w:val="22"/>
          <w:szCs w:val="22"/>
          <w:lang w:val="en-GB"/>
        </w:rPr>
      </w:pPr>
      <w:r w:rsidRPr="00BD47D7">
        <w:rPr>
          <w:rFonts w:ascii="Arial" w:hAnsi="Arial" w:cs="Arial"/>
          <w:color w:val="7B7B7B" w:themeColor="accent3" w:themeShade="BF"/>
          <w:sz w:val="22"/>
          <w:szCs w:val="22"/>
          <w:lang w:val="en-GB"/>
        </w:rPr>
        <w:t>Recognition and enforcement; and</w:t>
      </w:r>
    </w:p>
    <w:p w14:paraId="755FA58D" w14:textId="5D5D46A4" w:rsidR="00BD47D7" w:rsidRPr="00BD47D7" w:rsidRDefault="00BD47D7" w:rsidP="00BD47D7">
      <w:pPr>
        <w:pStyle w:val="ListParagraph"/>
        <w:numPr>
          <w:ilvl w:val="0"/>
          <w:numId w:val="23"/>
        </w:numPr>
        <w:jc w:val="both"/>
        <w:rPr>
          <w:rFonts w:ascii="Arial" w:hAnsi="Arial" w:cs="Arial"/>
          <w:color w:val="7B7B7B" w:themeColor="accent3" w:themeShade="BF"/>
          <w:sz w:val="22"/>
          <w:szCs w:val="22"/>
          <w:lang w:val="en-GB"/>
        </w:rPr>
      </w:pPr>
      <w:r w:rsidRPr="00BD47D7">
        <w:rPr>
          <w:rFonts w:ascii="Arial" w:hAnsi="Arial" w:cs="Arial"/>
          <w:color w:val="7B7B7B" w:themeColor="accent3" w:themeShade="BF"/>
          <w:sz w:val="22"/>
          <w:szCs w:val="22"/>
          <w:lang w:val="en-GB"/>
        </w:rPr>
        <w:t>Coordination and co-operation.</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42736359" w:rsidR="009B07AD" w:rsidRDefault="002E59D5" w:rsidP="002E59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main difference in approach between Universalism and Territoriality concerns the overarching mechanism to deal with cross-border insolvency. Under the Universalism principle, cross-border insolvency proceedings are administered under the provisions of one global insolvency law. The policy behind this approach is two-fold. First, there should only be one forum where the debtor’s principle place of business or interests are located. Secondly, it affords equal treatment of creditor claims to be dealt with swiftly and in a cost-efficient manner.</w:t>
      </w:r>
    </w:p>
    <w:p w14:paraId="5FB726B8" w14:textId="1055556F" w:rsidR="002C7A51" w:rsidRDefault="002C7A51" w:rsidP="002E59D5">
      <w:pPr>
        <w:jc w:val="both"/>
        <w:rPr>
          <w:rFonts w:ascii="Arial" w:hAnsi="Arial" w:cs="Arial"/>
          <w:sz w:val="22"/>
          <w:szCs w:val="22"/>
          <w:lang w:val="en-GB"/>
        </w:rPr>
      </w:pPr>
    </w:p>
    <w:p w14:paraId="34BB4F14" w14:textId="54F0A068" w:rsidR="002C7A51" w:rsidRPr="002C7A51" w:rsidRDefault="002C7A51" w:rsidP="002E59D5">
      <w:pPr>
        <w:jc w:val="both"/>
        <w:rPr>
          <w:rFonts w:ascii="Arial" w:hAnsi="Arial" w:cs="Arial"/>
          <w:color w:val="7B7B7B" w:themeColor="accent3" w:themeShade="BF"/>
          <w:sz w:val="22"/>
          <w:szCs w:val="22"/>
          <w:lang w:val="en-GB"/>
        </w:rPr>
      </w:pPr>
      <w:r w:rsidRPr="002C7A51">
        <w:rPr>
          <w:rFonts w:ascii="Arial" w:hAnsi="Arial" w:cs="Arial"/>
          <w:color w:val="7B7B7B" w:themeColor="accent3" w:themeShade="BF"/>
          <w:sz w:val="22"/>
          <w:szCs w:val="22"/>
          <w:lang w:val="en-GB"/>
        </w:rPr>
        <w:lastRenderedPageBreak/>
        <w:t>In contrast, the T</w:t>
      </w:r>
      <w:r w:rsidRPr="002C7A51">
        <w:rPr>
          <w:rFonts w:ascii="Arial" w:hAnsi="Arial" w:cs="Arial"/>
          <w:color w:val="7B7B7B" w:themeColor="accent3" w:themeShade="BF"/>
          <w:sz w:val="22"/>
          <w:szCs w:val="22"/>
          <w:lang w:val="en-GB"/>
        </w:rPr>
        <w:t>erritoriality</w:t>
      </w:r>
      <w:r w:rsidRPr="002C7A51">
        <w:rPr>
          <w:rFonts w:ascii="Arial" w:hAnsi="Arial" w:cs="Arial"/>
          <w:color w:val="7B7B7B" w:themeColor="accent3" w:themeShade="BF"/>
          <w:sz w:val="22"/>
          <w:szCs w:val="22"/>
          <w:lang w:val="en-GB"/>
        </w:rPr>
        <w:t xml:space="preserve"> approach accepts that it is not possible to have one forum for insolvency proceedings and that there will be concurrent proceedings in more than one jurisdiction. As a consequence, insolvency proceedings are governed by each jurisdiction’s domestic laws. The advantage of this approach is that it protects the interests of creditors operating within the jurisdiction who may otherwise not be in a position to participate in foreign insolvency proceedings</w:t>
      </w:r>
      <w:r w:rsidRPr="002C7A51">
        <w:rPr>
          <w:rStyle w:val="FootnoteReference"/>
          <w:rFonts w:ascii="Arial" w:hAnsi="Arial" w:cs="Arial"/>
          <w:color w:val="7B7B7B" w:themeColor="accent3" w:themeShade="BF"/>
          <w:sz w:val="22"/>
          <w:szCs w:val="22"/>
          <w:lang w:val="en-GB"/>
        </w:rPr>
        <w:footnoteReference w:id="1"/>
      </w:r>
      <w:r w:rsidRPr="002C7A51">
        <w:rPr>
          <w:rFonts w:ascii="Arial" w:hAnsi="Arial" w:cs="Arial"/>
          <w:color w:val="7B7B7B" w:themeColor="accent3" w:themeShade="BF"/>
          <w:sz w:val="22"/>
          <w:szCs w:val="22"/>
          <w:lang w:val="en-GB"/>
        </w:rPr>
        <w:t xml:space="preserve">. </w:t>
      </w:r>
      <w:r w:rsidR="00812B30">
        <w:rPr>
          <w:rFonts w:ascii="Arial" w:hAnsi="Arial" w:cs="Arial"/>
          <w:color w:val="7B7B7B" w:themeColor="accent3" w:themeShade="BF"/>
          <w:sz w:val="22"/>
          <w:szCs w:val="22"/>
          <w:lang w:val="en-GB"/>
        </w:rPr>
        <w:t xml:space="preserve">This is achieved by confining insolvency proceedings to deal with the creditors and assets located within the jurisdiction. </w:t>
      </w:r>
      <w:r w:rsidRPr="002C7A51">
        <w:rPr>
          <w:rFonts w:ascii="Arial" w:hAnsi="Arial" w:cs="Arial"/>
          <w:color w:val="7B7B7B" w:themeColor="accent3" w:themeShade="BF"/>
          <w:sz w:val="22"/>
          <w:szCs w:val="22"/>
          <w:lang w:val="en-GB"/>
        </w:rPr>
        <w:t>As stated above at 2.1, this gives rise issues concerning international insolvency.</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572227E7" w14:textId="37DBC848" w:rsidR="0045683E" w:rsidRPr="0071291B" w:rsidRDefault="0071291B" w:rsidP="0071291B">
      <w:pPr>
        <w:jc w:val="both"/>
        <w:rPr>
          <w:rFonts w:ascii="Arial" w:hAnsi="Arial" w:cs="Arial"/>
          <w:color w:val="7B7B7B" w:themeColor="accent3" w:themeShade="BF"/>
          <w:sz w:val="22"/>
          <w:szCs w:val="22"/>
          <w:lang w:val="en-GB"/>
        </w:rPr>
      </w:pPr>
      <w:r w:rsidRPr="0071291B">
        <w:rPr>
          <w:rFonts w:ascii="Arial" w:hAnsi="Arial" w:cs="Arial"/>
          <w:color w:val="7B7B7B" w:themeColor="accent3" w:themeShade="BF"/>
          <w:sz w:val="22"/>
          <w:szCs w:val="22"/>
          <w:lang w:val="en-GB"/>
        </w:rPr>
        <w:t>Since the global downturn of 2008, Middle Eastern countries have begun to modernize their insolvency laws. These countries have recognized the importance of having insolvency laws that are familiar to global enterprises to encourage business growth within their country. Notable examples include Saudi Arabia (</w:t>
      </w:r>
      <w:r w:rsidRPr="0071291B">
        <w:rPr>
          <w:rFonts w:ascii="Arial" w:hAnsi="Arial" w:cs="Arial"/>
          <w:b/>
          <w:color w:val="7B7B7B" w:themeColor="accent3" w:themeShade="BF"/>
          <w:sz w:val="22"/>
          <w:szCs w:val="22"/>
          <w:lang w:val="en-GB"/>
        </w:rPr>
        <w:t>KSA</w:t>
      </w:r>
      <w:r w:rsidRPr="0071291B">
        <w:rPr>
          <w:rFonts w:ascii="Arial" w:hAnsi="Arial" w:cs="Arial"/>
          <w:color w:val="7B7B7B" w:themeColor="accent3" w:themeShade="BF"/>
          <w:sz w:val="22"/>
          <w:szCs w:val="22"/>
          <w:lang w:val="en-GB"/>
        </w:rPr>
        <w:t>), the United Arab Emirates (</w:t>
      </w:r>
      <w:r w:rsidRPr="0071291B">
        <w:rPr>
          <w:rFonts w:ascii="Arial" w:hAnsi="Arial" w:cs="Arial"/>
          <w:b/>
          <w:color w:val="7B7B7B" w:themeColor="accent3" w:themeShade="BF"/>
          <w:sz w:val="22"/>
          <w:szCs w:val="22"/>
          <w:lang w:val="en-GB"/>
        </w:rPr>
        <w:t>UAE</w:t>
      </w:r>
      <w:r w:rsidRPr="0071291B">
        <w:rPr>
          <w:rFonts w:ascii="Arial" w:hAnsi="Arial" w:cs="Arial"/>
          <w:color w:val="7B7B7B" w:themeColor="accent3" w:themeShade="BF"/>
          <w:sz w:val="22"/>
          <w:szCs w:val="22"/>
          <w:lang w:val="en-GB"/>
        </w:rPr>
        <w:t>), and the Kingdom of Bahrain (</w:t>
      </w:r>
      <w:r w:rsidRPr="0071291B">
        <w:rPr>
          <w:rFonts w:ascii="Arial" w:hAnsi="Arial" w:cs="Arial"/>
          <w:b/>
          <w:color w:val="7B7B7B" w:themeColor="accent3" w:themeShade="BF"/>
          <w:sz w:val="22"/>
          <w:szCs w:val="22"/>
          <w:lang w:val="en-GB"/>
        </w:rPr>
        <w:t>KB</w:t>
      </w:r>
      <w:r w:rsidRPr="0071291B">
        <w:rPr>
          <w:rFonts w:ascii="Arial" w:hAnsi="Arial" w:cs="Arial"/>
          <w:color w:val="7B7B7B" w:themeColor="accent3" w:themeShade="BF"/>
          <w:sz w:val="22"/>
          <w:szCs w:val="22"/>
          <w:lang w:val="en-GB"/>
        </w:rPr>
        <w:t>).</w:t>
      </w:r>
    </w:p>
    <w:p w14:paraId="383B5930" w14:textId="13545230" w:rsidR="00C550C8" w:rsidRDefault="00C550C8" w:rsidP="00C053F7">
      <w:pPr>
        <w:jc w:val="both"/>
        <w:rPr>
          <w:rFonts w:ascii="Arial" w:hAnsi="Arial" w:cs="Arial"/>
          <w:sz w:val="22"/>
          <w:szCs w:val="22"/>
          <w:lang w:val="en-GB"/>
        </w:rPr>
      </w:pPr>
    </w:p>
    <w:p w14:paraId="24E1B2BD" w14:textId="21CF22C8" w:rsidR="0071291B" w:rsidRPr="00C8799B" w:rsidRDefault="0071291B" w:rsidP="00C053F7">
      <w:pPr>
        <w:jc w:val="both"/>
        <w:rPr>
          <w:rFonts w:ascii="Arial" w:hAnsi="Arial" w:cs="Arial"/>
          <w:color w:val="7B7B7B" w:themeColor="accent3" w:themeShade="BF"/>
          <w:sz w:val="22"/>
          <w:szCs w:val="22"/>
          <w:lang w:val="en-GB"/>
        </w:rPr>
      </w:pPr>
      <w:r w:rsidRPr="00C8799B">
        <w:rPr>
          <w:rFonts w:ascii="Arial" w:hAnsi="Arial" w:cs="Arial"/>
          <w:color w:val="7B7B7B" w:themeColor="accent3" w:themeShade="BF"/>
          <w:sz w:val="22"/>
          <w:szCs w:val="22"/>
          <w:lang w:val="en-GB"/>
        </w:rPr>
        <w:t>KSA</w:t>
      </w:r>
      <w:r w:rsidRPr="00C8799B">
        <w:rPr>
          <w:rStyle w:val="FootnoteReference"/>
          <w:rFonts w:ascii="Arial" w:hAnsi="Arial" w:cs="Arial"/>
          <w:color w:val="7B7B7B" w:themeColor="accent3" w:themeShade="BF"/>
          <w:sz w:val="22"/>
          <w:szCs w:val="22"/>
          <w:lang w:val="en-GB"/>
        </w:rPr>
        <w:footnoteReference w:id="2"/>
      </w:r>
      <w:r w:rsidRPr="00C8799B">
        <w:rPr>
          <w:rFonts w:ascii="Arial" w:hAnsi="Arial" w:cs="Arial"/>
          <w:color w:val="7B7B7B" w:themeColor="accent3" w:themeShade="BF"/>
          <w:sz w:val="22"/>
          <w:szCs w:val="22"/>
          <w:lang w:val="en-GB"/>
        </w:rPr>
        <w:t xml:space="preserve"> has introduced bankruptcy laws that overhaul its laws for restructuring and liquidation of companies. In summary, the new bankruptcy laws provide for, among other things:</w:t>
      </w:r>
    </w:p>
    <w:p w14:paraId="2276077C" w14:textId="65F9F7E0" w:rsidR="0071291B" w:rsidRPr="00C8799B" w:rsidRDefault="0071291B" w:rsidP="0071291B">
      <w:pPr>
        <w:pStyle w:val="ListParagraph"/>
        <w:numPr>
          <w:ilvl w:val="0"/>
          <w:numId w:val="24"/>
        </w:numPr>
        <w:jc w:val="both"/>
        <w:rPr>
          <w:rFonts w:ascii="Arial" w:hAnsi="Arial" w:cs="Arial"/>
          <w:color w:val="7B7B7B" w:themeColor="accent3" w:themeShade="BF"/>
          <w:sz w:val="22"/>
          <w:szCs w:val="22"/>
          <w:lang w:val="en-GB"/>
        </w:rPr>
      </w:pPr>
      <w:r w:rsidRPr="00C8799B">
        <w:rPr>
          <w:rFonts w:ascii="Arial" w:hAnsi="Arial" w:cs="Arial"/>
          <w:color w:val="7B7B7B" w:themeColor="accent3" w:themeShade="BF"/>
          <w:sz w:val="22"/>
          <w:szCs w:val="22"/>
          <w:lang w:val="en-GB"/>
        </w:rPr>
        <w:t>Protective settlements;</w:t>
      </w:r>
    </w:p>
    <w:p w14:paraId="41A73700" w14:textId="5966284A" w:rsidR="0071291B" w:rsidRPr="00C8799B" w:rsidRDefault="0071291B" w:rsidP="0071291B">
      <w:pPr>
        <w:pStyle w:val="ListParagraph"/>
        <w:numPr>
          <w:ilvl w:val="0"/>
          <w:numId w:val="24"/>
        </w:numPr>
        <w:jc w:val="both"/>
        <w:rPr>
          <w:rFonts w:ascii="Arial" w:hAnsi="Arial" w:cs="Arial"/>
          <w:color w:val="7B7B7B" w:themeColor="accent3" w:themeShade="BF"/>
          <w:sz w:val="22"/>
          <w:szCs w:val="22"/>
          <w:lang w:val="en-GB"/>
        </w:rPr>
      </w:pPr>
      <w:r w:rsidRPr="00C8799B">
        <w:rPr>
          <w:rFonts w:ascii="Arial" w:hAnsi="Arial" w:cs="Arial"/>
          <w:color w:val="7B7B7B" w:themeColor="accent3" w:themeShade="BF"/>
          <w:sz w:val="22"/>
          <w:szCs w:val="22"/>
          <w:lang w:val="en-GB"/>
        </w:rPr>
        <w:t>Formal restructuring; and</w:t>
      </w:r>
    </w:p>
    <w:p w14:paraId="3F248649" w14:textId="2D7F1267" w:rsidR="0071291B" w:rsidRPr="00C8799B" w:rsidRDefault="0071291B" w:rsidP="0071291B">
      <w:pPr>
        <w:pStyle w:val="ListParagraph"/>
        <w:numPr>
          <w:ilvl w:val="0"/>
          <w:numId w:val="24"/>
        </w:numPr>
        <w:jc w:val="both"/>
        <w:rPr>
          <w:rFonts w:ascii="Arial" w:hAnsi="Arial" w:cs="Arial"/>
          <w:color w:val="7B7B7B" w:themeColor="accent3" w:themeShade="BF"/>
          <w:sz w:val="22"/>
          <w:szCs w:val="22"/>
          <w:lang w:val="en-GB"/>
        </w:rPr>
      </w:pPr>
      <w:r w:rsidRPr="00C8799B">
        <w:rPr>
          <w:rFonts w:ascii="Arial" w:hAnsi="Arial" w:cs="Arial"/>
          <w:color w:val="7B7B7B" w:themeColor="accent3" w:themeShade="BF"/>
          <w:sz w:val="22"/>
          <w:szCs w:val="22"/>
          <w:lang w:val="en-GB"/>
        </w:rPr>
        <w:t>Liquidation.</w:t>
      </w:r>
    </w:p>
    <w:p w14:paraId="7EF1B488" w14:textId="47248A5D" w:rsidR="0071291B" w:rsidRPr="00C8799B" w:rsidRDefault="0071291B" w:rsidP="0071291B">
      <w:pPr>
        <w:jc w:val="both"/>
        <w:rPr>
          <w:rFonts w:ascii="Arial" w:hAnsi="Arial" w:cs="Arial"/>
          <w:color w:val="7B7B7B" w:themeColor="accent3" w:themeShade="BF"/>
          <w:sz w:val="22"/>
          <w:szCs w:val="22"/>
          <w:lang w:val="en-GB"/>
        </w:rPr>
      </w:pPr>
    </w:p>
    <w:p w14:paraId="0A7E172F" w14:textId="47A357C4" w:rsidR="00C8799B" w:rsidRPr="00C8799B" w:rsidRDefault="0071291B" w:rsidP="0071291B">
      <w:pPr>
        <w:jc w:val="both"/>
        <w:rPr>
          <w:rFonts w:ascii="Arial" w:hAnsi="Arial" w:cs="Arial"/>
          <w:color w:val="7B7B7B" w:themeColor="accent3" w:themeShade="BF"/>
          <w:sz w:val="22"/>
          <w:szCs w:val="22"/>
          <w:lang w:val="en-GB"/>
        </w:rPr>
      </w:pPr>
      <w:r w:rsidRPr="00C8799B">
        <w:rPr>
          <w:rFonts w:ascii="Arial" w:hAnsi="Arial" w:cs="Arial"/>
          <w:color w:val="7B7B7B" w:themeColor="accent3" w:themeShade="BF"/>
          <w:sz w:val="22"/>
          <w:szCs w:val="22"/>
          <w:lang w:val="en-GB"/>
        </w:rPr>
        <w:t>The UAE</w:t>
      </w:r>
      <w:r w:rsidR="00C8799B" w:rsidRPr="00C8799B">
        <w:rPr>
          <w:rStyle w:val="FootnoteReference"/>
          <w:rFonts w:ascii="Arial" w:hAnsi="Arial" w:cs="Arial"/>
          <w:color w:val="7B7B7B" w:themeColor="accent3" w:themeShade="BF"/>
          <w:sz w:val="22"/>
          <w:szCs w:val="22"/>
          <w:lang w:val="en-GB"/>
        </w:rPr>
        <w:footnoteReference w:id="3"/>
      </w:r>
      <w:r w:rsidRPr="00C8799B">
        <w:rPr>
          <w:rFonts w:ascii="Arial" w:hAnsi="Arial" w:cs="Arial"/>
          <w:color w:val="7B7B7B" w:themeColor="accent3" w:themeShade="BF"/>
          <w:sz w:val="22"/>
          <w:szCs w:val="22"/>
          <w:lang w:val="en-GB"/>
        </w:rPr>
        <w:t xml:space="preserve"> reforms provide for new court-driven procedures. In summary:</w:t>
      </w:r>
    </w:p>
    <w:p w14:paraId="0023A832" w14:textId="7107EDB5" w:rsidR="00C8799B" w:rsidRPr="00C8799B" w:rsidRDefault="00C8799B" w:rsidP="00C8799B">
      <w:pPr>
        <w:pStyle w:val="ListParagraph"/>
        <w:numPr>
          <w:ilvl w:val="0"/>
          <w:numId w:val="25"/>
        </w:numPr>
        <w:jc w:val="both"/>
        <w:rPr>
          <w:rFonts w:ascii="Arial" w:hAnsi="Arial" w:cs="Arial"/>
          <w:color w:val="7B7B7B" w:themeColor="accent3" w:themeShade="BF"/>
          <w:sz w:val="22"/>
          <w:szCs w:val="22"/>
          <w:lang w:val="en-GB"/>
        </w:rPr>
      </w:pPr>
      <w:r w:rsidRPr="00C8799B">
        <w:rPr>
          <w:rFonts w:ascii="Arial" w:hAnsi="Arial" w:cs="Arial"/>
          <w:color w:val="7B7B7B" w:themeColor="accent3" w:themeShade="BF"/>
          <w:sz w:val="22"/>
          <w:szCs w:val="22"/>
          <w:lang w:val="en-GB"/>
        </w:rPr>
        <w:t>Preventative Composition – which provides for a ‘business rescue’ framework that allows arrangements to be made between debtors and creditors under the supervision of the court to avoid the consequences of a bankruptcy adjudication.</w:t>
      </w:r>
    </w:p>
    <w:p w14:paraId="58372600" w14:textId="24DA3EC1" w:rsidR="00C8799B" w:rsidRPr="00C8799B" w:rsidRDefault="00C8799B" w:rsidP="00C8799B">
      <w:pPr>
        <w:pStyle w:val="ListParagraph"/>
        <w:numPr>
          <w:ilvl w:val="0"/>
          <w:numId w:val="25"/>
        </w:numPr>
        <w:jc w:val="both"/>
        <w:rPr>
          <w:rFonts w:ascii="Arial" w:hAnsi="Arial" w:cs="Arial"/>
          <w:color w:val="7B7B7B" w:themeColor="accent3" w:themeShade="BF"/>
          <w:sz w:val="22"/>
          <w:szCs w:val="22"/>
          <w:lang w:val="en-GB"/>
        </w:rPr>
      </w:pPr>
      <w:r w:rsidRPr="00C8799B">
        <w:rPr>
          <w:rFonts w:ascii="Arial" w:hAnsi="Arial" w:cs="Arial"/>
          <w:color w:val="7B7B7B" w:themeColor="accent3" w:themeShade="BF"/>
          <w:sz w:val="22"/>
          <w:szCs w:val="22"/>
          <w:lang w:val="en-GB"/>
        </w:rPr>
        <w:t>Bankruptcy – which consists of formal restructuring and insolvent liquidations.</w:t>
      </w:r>
    </w:p>
    <w:p w14:paraId="63A636AC" w14:textId="5118414D" w:rsidR="00C8799B" w:rsidRPr="00C8799B" w:rsidRDefault="00C8799B" w:rsidP="00C8799B">
      <w:pPr>
        <w:jc w:val="both"/>
        <w:rPr>
          <w:rFonts w:ascii="Arial" w:hAnsi="Arial" w:cs="Arial"/>
          <w:color w:val="7B7B7B" w:themeColor="accent3" w:themeShade="BF"/>
          <w:sz w:val="22"/>
          <w:szCs w:val="22"/>
          <w:lang w:val="en-GB"/>
        </w:rPr>
      </w:pPr>
    </w:p>
    <w:p w14:paraId="2A8E05E9" w14:textId="61A5E128" w:rsidR="00C8799B" w:rsidRPr="00C8799B" w:rsidRDefault="00C8799B" w:rsidP="00C8799B">
      <w:pPr>
        <w:jc w:val="both"/>
        <w:rPr>
          <w:rFonts w:ascii="Arial" w:hAnsi="Arial" w:cs="Arial"/>
          <w:color w:val="7B7B7B" w:themeColor="accent3" w:themeShade="BF"/>
          <w:sz w:val="22"/>
          <w:szCs w:val="22"/>
          <w:lang w:val="en-GB"/>
        </w:rPr>
      </w:pPr>
      <w:r w:rsidRPr="00C8799B">
        <w:rPr>
          <w:rFonts w:ascii="Arial" w:hAnsi="Arial" w:cs="Arial"/>
          <w:color w:val="7B7B7B" w:themeColor="accent3" w:themeShade="BF"/>
          <w:sz w:val="22"/>
          <w:szCs w:val="22"/>
          <w:lang w:val="en-GB"/>
        </w:rPr>
        <w:t>The KB</w:t>
      </w:r>
      <w:r w:rsidRPr="00C8799B">
        <w:rPr>
          <w:rStyle w:val="FootnoteReference"/>
          <w:rFonts w:ascii="Arial" w:hAnsi="Arial" w:cs="Arial"/>
          <w:color w:val="7B7B7B" w:themeColor="accent3" w:themeShade="BF"/>
          <w:sz w:val="22"/>
          <w:szCs w:val="22"/>
          <w:lang w:val="en-GB"/>
        </w:rPr>
        <w:footnoteReference w:id="4"/>
      </w:r>
      <w:r w:rsidRPr="00C8799B">
        <w:rPr>
          <w:rFonts w:ascii="Arial" w:hAnsi="Arial" w:cs="Arial"/>
          <w:color w:val="7B7B7B" w:themeColor="accent3" w:themeShade="BF"/>
          <w:sz w:val="22"/>
          <w:szCs w:val="22"/>
          <w:lang w:val="en-GB"/>
        </w:rPr>
        <w:t xml:space="preserve"> modernizations have borrowed concepts from Chapter 11 of the US Bankruptcy Code. KB’s reforms include:</w:t>
      </w:r>
    </w:p>
    <w:p w14:paraId="33BBAA5A" w14:textId="427B75D9" w:rsidR="00C8799B" w:rsidRPr="00C8799B" w:rsidRDefault="00C8799B" w:rsidP="00C8799B">
      <w:pPr>
        <w:pStyle w:val="ListParagraph"/>
        <w:numPr>
          <w:ilvl w:val="0"/>
          <w:numId w:val="26"/>
        </w:numPr>
        <w:jc w:val="both"/>
        <w:rPr>
          <w:rFonts w:ascii="Arial" w:hAnsi="Arial" w:cs="Arial"/>
          <w:color w:val="7B7B7B" w:themeColor="accent3" w:themeShade="BF"/>
          <w:sz w:val="22"/>
          <w:szCs w:val="22"/>
          <w:lang w:val="en-GB"/>
        </w:rPr>
      </w:pPr>
      <w:r w:rsidRPr="00C8799B">
        <w:rPr>
          <w:rFonts w:ascii="Arial" w:hAnsi="Arial" w:cs="Arial"/>
          <w:color w:val="7B7B7B" w:themeColor="accent3" w:themeShade="BF"/>
          <w:sz w:val="22"/>
          <w:szCs w:val="22"/>
          <w:lang w:val="en-GB"/>
        </w:rPr>
        <w:t>Automatic stay of claims against the bankrupt estate;</w:t>
      </w:r>
    </w:p>
    <w:p w14:paraId="3EC675F9" w14:textId="10A8A776" w:rsidR="00C8799B" w:rsidRPr="00C8799B" w:rsidRDefault="00C8799B" w:rsidP="00C8799B">
      <w:pPr>
        <w:pStyle w:val="ListParagraph"/>
        <w:numPr>
          <w:ilvl w:val="0"/>
          <w:numId w:val="26"/>
        </w:numPr>
        <w:jc w:val="both"/>
        <w:rPr>
          <w:rFonts w:ascii="Arial" w:hAnsi="Arial" w:cs="Arial"/>
          <w:color w:val="7B7B7B" w:themeColor="accent3" w:themeShade="BF"/>
          <w:sz w:val="22"/>
          <w:szCs w:val="22"/>
          <w:lang w:val="en-GB"/>
        </w:rPr>
      </w:pPr>
      <w:r w:rsidRPr="00C8799B">
        <w:rPr>
          <w:rFonts w:ascii="Arial" w:hAnsi="Arial" w:cs="Arial"/>
          <w:color w:val="7B7B7B" w:themeColor="accent3" w:themeShade="BF"/>
          <w:sz w:val="22"/>
          <w:szCs w:val="22"/>
          <w:lang w:val="en-GB"/>
        </w:rPr>
        <w:t>Sale of assets out of the estate free from security provided certain statutory requirements are met;</w:t>
      </w:r>
    </w:p>
    <w:p w14:paraId="312D06D3" w14:textId="2BBAD9D5" w:rsidR="00C8799B" w:rsidRPr="00C8799B" w:rsidRDefault="00C8799B" w:rsidP="00C8799B">
      <w:pPr>
        <w:pStyle w:val="ListParagraph"/>
        <w:numPr>
          <w:ilvl w:val="0"/>
          <w:numId w:val="26"/>
        </w:numPr>
        <w:jc w:val="both"/>
        <w:rPr>
          <w:rFonts w:ascii="Arial" w:hAnsi="Arial" w:cs="Arial"/>
          <w:color w:val="7B7B7B" w:themeColor="accent3" w:themeShade="BF"/>
          <w:sz w:val="22"/>
          <w:szCs w:val="22"/>
          <w:lang w:val="en-GB"/>
        </w:rPr>
      </w:pPr>
      <w:r w:rsidRPr="00C8799B">
        <w:rPr>
          <w:rFonts w:ascii="Arial" w:hAnsi="Arial" w:cs="Arial"/>
          <w:color w:val="7B7B7B" w:themeColor="accent3" w:themeShade="BF"/>
          <w:sz w:val="22"/>
          <w:szCs w:val="22"/>
          <w:lang w:val="en-GB"/>
        </w:rPr>
        <w:t>Subject to Court approval, the debtor in possession may raise financing; and</w:t>
      </w:r>
    </w:p>
    <w:p w14:paraId="3A4389E2" w14:textId="3672751C" w:rsidR="00C8799B" w:rsidRPr="00C8799B" w:rsidRDefault="00C8799B" w:rsidP="00C8799B">
      <w:pPr>
        <w:pStyle w:val="ListParagraph"/>
        <w:numPr>
          <w:ilvl w:val="0"/>
          <w:numId w:val="26"/>
        </w:numPr>
        <w:jc w:val="both"/>
        <w:rPr>
          <w:rFonts w:ascii="Arial" w:hAnsi="Arial" w:cs="Arial"/>
          <w:color w:val="7B7B7B" w:themeColor="accent3" w:themeShade="BF"/>
          <w:sz w:val="22"/>
          <w:szCs w:val="22"/>
          <w:lang w:val="en-GB"/>
        </w:rPr>
      </w:pPr>
      <w:r w:rsidRPr="00C8799B">
        <w:rPr>
          <w:rFonts w:ascii="Arial" w:hAnsi="Arial" w:cs="Arial"/>
          <w:color w:val="7B7B7B" w:themeColor="accent3" w:themeShade="BF"/>
          <w:sz w:val="22"/>
          <w:szCs w:val="22"/>
          <w:lang w:val="en-GB"/>
        </w:rPr>
        <w:t xml:space="preserve">Restructuring </w:t>
      </w:r>
    </w:p>
    <w:p w14:paraId="608DD0BD" w14:textId="77777777" w:rsidR="00286AE6" w:rsidRPr="00C8799B" w:rsidRDefault="00286AE6">
      <w:pPr>
        <w:rPr>
          <w:rFonts w:ascii="Arial" w:hAnsi="Arial" w:cs="Arial"/>
          <w:b/>
          <w:color w:val="7B7B7B" w:themeColor="accent3" w:themeShade="BF"/>
          <w:sz w:val="22"/>
          <w:szCs w:val="22"/>
          <w:lang w:val="en-GB"/>
        </w:rPr>
      </w:pPr>
      <w:r w:rsidRPr="00C8799B">
        <w:rPr>
          <w:rFonts w:ascii="Arial" w:hAnsi="Arial" w:cs="Arial"/>
          <w:b/>
          <w:color w:val="7B7B7B" w:themeColor="accent3" w:themeShade="BF"/>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02A2AE40" w:rsidR="00544127" w:rsidRDefault="00A9187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many of the insolvency principles apply to both individuals and companies (i.e. automatic stay), there are significant policy differences underlying each regime. In relation to individuals, the objective is to free the debtor from harassment of his/her creditors and allow the debtor to be granted a ‘fresh start’ or discharge from his/her debt. By way of example, payment of the debt can be achieved from the debtor’s current and future assets. In addition, some jurisdictions have enacted laws to exempt certain classes of assets necessary for the debtor and his/her dependents to live from falling within the debtor’s insolvency estate.</w:t>
      </w:r>
    </w:p>
    <w:p w14:paraId="36036F1E" w14:textId="3CCAAFA3" w:rsidR="005739C4" w:rsidRDefault="005739C4" w:rsidP="00C053F7">
      <w:pPr>
        <w:jc w:val="both"/>
        <w:rPr>
          <w:rFonts w:ascii="Arial" w:hAnsi="Arial" w:cs="Arial"/>
          <w:color w:val="7B7B7B" w:themeColor="accent3" w:themeShade="BF"/>
          <w:sz w:val="22"/>
          <w:szCs w:val="22"/>
          <w:lang w:val="en-GB"/>
        </w:rPr>
      </w:pPr>
    </w:p>
    <w:p w14:paraId="46C0D39C" w14:textId="4DCFB956" w:rsidR="005739C4" w:rsidRDefault="005739C4"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respect of companies, the objectives governing insolvency differ because a company, unlike an individual, are a separate legal personality from the principles (i.e. legal persons). Where possible, a company will be put into business rescue to preserve the company as a going concern. The policy behind this is that the business is good for society by providing jobs. In circumstances where the local law does not provide for, or rehabilitation is not possible, the company will be placed into liquidation; the assets will be collected and distributed to the creditors of the company. Unlike an individual, after completing insolvency proceedings, the company’s affairs are wound up, and it ceases to exist.</w:t>
      </w:r>
    </w:p>
    <w:p w14:paraId="5D5A1FA5" w14:textId="77777777" w:rsidR="00D17FDC" w:rsidRPr="00BF1C6F" w:rsidRDefault="00D17FDC" w:rsidP="006662CD">
      <w:pPr>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6D712AAD" w:rsidR="00DF75F8" w:rsidRDefault="003949C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there is a difference in approach to insolvency across jurisdiction</w:t>
      </w:r>
      <w:r w:rsidR="00A35F15">
        <w:rPr>
          <w:rFonts w:ascii="Arial" w:hAnsi="Arial" w:cs="Arial"/>
          <w:color w:val="7B7B7B" w:themeColor="accent3" w:themeShade="BF"/>
          <w:sz w:val="22"/>
          <w:szCs w:val="22"/>
          <w:lang w:val="en-GB"/>
        </w:rPr>
        <w:t xml:space="preserve">s where domestic law tends to favour the interests of creditors (i.e. pro-creditor). An example of this approach to insolvency is where the domestic law does not provide for an automatic stay. By contrast, other jurisdictions laws adopt a </w:t>
      </w:r>
      <w:proofErr w:type="gramStart"/>
      <w:r w:rsidR="00A35F15">
        <w:rPr>
          <w:rFonts w:ascii="Arial" w:hAnsi="Arial" w:cs="Arial"/>
          <w:color w:val="7B7B7B" w:themeColor="accent3" w:themeShade="BF"/>
          <w:sz w:val="22"/>
          <w:szCs w:val="22"/>
          <w:lang w:val="en-GB"/>
        </w:rPr>
        <w:t>more friendly</w:t>
      </w:r>
      <w:proofErr w:type="gramEnd"/>
      <w:r w:rsidR="00A35F15">
        <w:rPr>
          <w:rFonts w:ascii="Arial" w:hAnsi="Arial" w:cs="Arial"/>
          <w:color w:val="7B7B7B" w:themeColor="accent3" w:themeShade="BF"/>
          <w:sz w:val="22"/>
          <w:szCs w:val="22"/>
          <w:lang w:val="en-GB"/>
        </w:rPr>
        <w:t xml:space="preserve"> approach to debtors (pro-debtor). An example of this approach is where a debtor is allowed to remain in possession and take on further credit to discharge its debts</w:t>
      </w:r>
      <w:r w:rsidR="00A35F15">
        <w:rPr>
          <w:rStyle w:val="FootnoteReference"/>
          <w:rFonts w:ascii="Arial" w:hAnsi="Arial" w:cs="Arial"/>
          <w:color w:val="7B7B7B" w:themeColor="accent3" w:themeShade="BF"/>
          <w:sz w:val="22"/>
          <w:szCs w:val="22"/>
          <w:lang w:val="en-GB"/>
        </w:rPr>
        <w:footnoteReference w:id="5"/>
      </w:r>
      <w:r w:rsidR="00A35F15">
        <w:rPr>
          <w:rFonts w:ascii="Arial" w:hAnsi="Arial" w:cs="Arial"/>
          <w:color w:val="7B7B7B" w:themeColor="accent3" w:themeShade="BF"/>
          <w:sz w:val="22"/>
          <w:szCs w:val="22"/>
          <w:lang w:val="en-GB"/>
        </w:rPr>
        <w:t>.</w:t>
      </w:r>
    </w:p>
    <w:p w14:paraId="464A0DE6" w14:textId="35DF859F" w:rsidR="00A35F15" w:rsidRDefault="00A35F15" w:rsidP="00C053F7">
      <w:pPr>
        <w:jc w:val="both"/>
        <w:rPr>
          <w:rFonts w:ascii="Arial" w:hAnsi="Arial" w:cs="Arial"/>
          <w:color w:val="7B7B7B" w:themeColor="accent3" w:themeShade="BF"/>
          <w:sz w:val="22"/>
          <w:szCs w:val="22"/>
          <w:lang w:val="en-GB"/>
        </w:rPr>
      </w:pPr>
    </w:p>
    <w:p w14:paraId="5B160737" w14:textId="70218EEF" w:rsidR="00C9538A" w:rsidRPr="00C9538A" w:rsidRDefault="00C9538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 the starting point in most insolvency cases is to determine the proper forum to bring the proceedings. The approach varies across jurisdictions but generally speaking a court will may have jurisdiction to determine the matter where an individual/company has assets or a branch within the jurisdiction or the jurisdiction is the principle place of business for the company.  However, in some jurisdictions, like Bermuda, the domestic laws do not give the Court jurisdiction to wind-up foreign companies.</w:t>
      </w:r>
    </w:p>
    <w:p w14:paraId="1C2ADAD9" w14:textId="77777777" w:rsidR="00C9538A" w:rsidRDefault="00C9538A" w:rsidP="00C053F7">
      <w:pPr>
        <w:jc w:val="both"/>
        <w:rPr>
          <w:rFonts w:ascii="Arial" w:hAnsi="Arial" w:cs="Arial"/>
          <w:color w:val="7B7B7B" w:themeColor="accent3" w:themeShade="BF"/>
          <w:sz w:val="22"/>
          <w:szCs w:val="22"/>
          <w:lang w:val="en-GB"/>
        </w:rPr>
      </w:pPr>
    </w:p>
    <w:p w14:paraId="107711B6" w14:textId="2164DF84" w:rsidR="00A35F15" w:rsidRDefault="00C9538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Thirdly</w:t>
      </w:r>
      <w:r w:rsidR="00A35F15" w:rsidRPr="00C9538A">
        <w:rPr>
          <w:rFonts w:ascii="Arial" w:hAnsi="Arial" w:cs="Arial"/>
          <w:color w:val="7B7B7B" w:themeColor="accent3" w:themeShade="BF"/>
          <w:sz w:val="22"/>
          <w:szCs w:val="22"/>
          <w:lang w:val="en-GB"/>
        </w:rPr>
        <w:t xml:space="preserve">, </w:t>
      </w:r>
      <w:r w:rsidRPr="00C9538A">
        <w:rPr>
          <w:rFonts w:ascii="Arial" w:hAnsi="Arial" w:cs="Arial"/>
          <w:color w:val="7B7B7B" w:themeColor="accent3" w:themeShade="BF"/>
          <w:sz w:val="22"/>
          <w:szCs w:val="22"/>
          <w:lang w:val="en-GB"/>
        </w:rPr>
        <w:t xml:space="preserve">another area which presents difficulties where there </w:t>
      </w:r>
      <w:proofErr w:type="gramStart"/>
      <w:r w:rsidRPr="00C9538A">
        <w:rPr>
          <w:rFonts w:ascii="Arial" w:hAnsi="Arial" w:cs="Arial"/>
          <w:color w:val="7B7B7B" w:themeColor="accent3" w:themeShade="BF"/>
          <w:sz w:val="22"/>
          <w:szCs w:val="22"/>
          <w:lang w:val="en-GB"/>
        </w:rPr>
        <w:t>is</w:t>
      </w:r>
      <w:proofErr w:type="gramEnd"/>
      <w:r w:rsidRPr="00C9538A">
        <w:rPr>
          <w:rFonts w:ascii="Arial" w:hAnsi="Arial" w:cs="Arial"/>
          <w:color w:val="7B7B7B" w:themeColor="accent3" w:themeShade="BF"/>
          <w:sz w:val="22"/>
          <w:szCs w:val="22"/>
          <w:lang w:val="en-GB"/>
        </w:rPr>
        <w:t xml:space="preserve"> a cross border elements concerns the choice of law to apply to a matter. Jurisdictions adopt a different approach but in most common law jurisdictions proof of foreign law is a question of fact whereas civil law courts treat choice of law as a question of law. Generally, a party will invoke choice of law arguments where there is there is an advantage to that party to apply the foreign law</w:t>
      </w:r>
      <w:r w:rsidRPr="00C9538A">
        <w:rPr>
          <w:rStyle w:val="FootnoteReference"/>
          <w:rFonts w:ascii="Arial" w:hAnsi="Arial" w:cs="Arial"/>
          <w:color w:val="7B7B7B" w:themeColor="accent3" w:themeShade="BF"/>
          <w:sz w:val="22"/>
          <w:szCs w:val="22"/>
          <w:lang w:val="en-GB"/>
        </w:rPr>
        <w:footnoteReference w:id="6"/>
      </w:r>
      <w:r w:rsidRPr="00C9538A">
        <w:rPr>
          <w:rFonts w:ascii="Arial" w:hAnsi="Arial" w:cs="Arial"/>
          <w:color w:val="7B7B7B" w:themeColor="accent3" w:themeShade="BF"/>
          <w:sz w:val="22"/>
          <w:szCs w:val="22"/>
          <w:lang w:val="en-GB"/>
        </w:rPr>
        <w:t>.</w:t>
      </w:r>
    </w:p>
    <w:p w14:paraId="6A21683E" w14:textId="1EA9040B" w:rsidR="00C9538A" w:rsidRDefault="00C9538A" w:rsidP="00C053F7">
      <w:pPr>
        <w:jc w:val="both"/>
        <w:rPr>
          <w:rFonts w:ascii="Arial" w:hAnsi="Arial" w:cs="Arial"/>
          <w:color w:val="7B7B7B" w:themeColor="accent3" w:themeShade="BF"/>
          <w:sz w:val="22"/>
          <w:szCs w:val="22"/>
          <w:lang w:val="en-GB"/>
        </w:rPr>
      </w:pPr>
    </w:p>
    <w:p w14:paraId="3DAA6780" w14:textId="7AFF8A87" w:rsidR="00962045" w:rsidRDefault="00962045" w:rsidP="00C053F7">
      <w:pPr>
        <w:jc w:val="both"/>
        <w:rPr>
          <w:rFonts w:ascii="Arial" w:hAnsi="Arial" w:cs="Arial"/>
          <w:sz w:val="22"/>
          <w:szCs w:val="22"/>
          <w:shd w:val="clear" w:color="auto" w:fill="FFFFFF"/>
          <w:lang w:val="en-GB"/>
        </w:rPr>
      </w:pPr>
    </w:p>
    <w:p w14:paraId="794F73B5" w14:textId="4BEE3822" w:rsidR="00C9538A" w:rsidRDefault="00C9538A" w:rsidP="00C9538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Fourthly, </w:t>
      </w:r>
      <w:r w:rsidR="0031070A">
        <w:rPr>
          <w:rFonts w:ascii="Arial" w:hAnsi="Arial" w:cs="Arial"/>
          <w:color w:val="7B7B7B" w:themeColor="accent3" w:themeShade="BF"/>
          <w:sz w:val="22"/>
          <w:szCs w:val="22"/>
          <w:lang w:val="en-GB"/>
        </w:rPr>
        <w:t>jurisdictions approach varies in respect of recognition and enforcement. This raises questions concerning whether a jurisdiction will recognize the insolvency proceedings or acts by the liquidators pursuing claims against third parties.  By way of example, difficulties may arise where assets of the company have been transferred at an undervalue to parties located in another jurisdiction or there are claims against a director who resides outside of the jurisdiction. In order for the liquidator to pursue these claims, the liquidator will have to seek recognition or in the case where there is a judgment look to the courts to enforce the judgement.</w:t>
      </w:r>
      <w:bookmarkStart w:id="0" w:name="_GoBack"/>
      <w:bookmarkEnd w:id="0"/>
    </w:p>
    <w:p w14:paraId="1E3A5E46" w14:textId="77777777" w:rsidR="00C9538A" w:rsidRDefault="00C9538A" w:rsidP="00C9538A">
      <w:pPr>
        <w:jc w:val="both"/>
        <w:rPr>
          <w:rFonts w:ascii="Arial" w:hAnsi="Arial" w:cs="Arial"/>
          <w:color w:val="7B7B7B" w:themeColor="accent3" w:themeShade="BF"/>
          <w:sz w:val="22"/>
          <w:szCs w:val="22"/>
          <w:lang w:val="en-GB"/>
        </w:rPr>
      </w:pPr>
    </w:p>
    <w:p w14:paraId="09F4C162" w14:textId="52754E73" w:rsidR="00C9538A" w:rsidRPr="00C9538A" w:rsidRDefault="00C9538A" w:rsidP="00C9538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w:t>
      </w:r>
      <w:r w:rsidRPr="00C9538A">
        <w:rPr>
          <w:rFonts w:ascii="Arial" w:hAnsi="Arial" w:cs="Arial"/>
          <w:color w:val="7B7B7B" w:themeColor="accent3" w:themeShade="BF"/>
          <w:sz w:val="22"/>
          <w:szCs w:val="22"/>
          <w:lang w:val="en-GB"/>
        </w:rPr>
        <w:t>, jurisdictions adopt a different approach with respect to preferential payments. These are statutory payments which are given priority over the unsecured debts of the individual/company. Generally, these payments include among other things, payments to revenue authorities and/or wages due to employees for services rendered.</w:t>
      </w:r>
    </w:p>
    <w:p w14:paraId="2491D713" w14:textId="77777777" w:rsidR="00C9538A" w:rsidRPr="00BF1C6F" w:rsidRDefault="00C9538A"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77147E67" w14:textId="77777777" w:rsidR="006614B3" w:rsidRDefault="006614B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Globally, regions have taken steps to enter into multilateral agreements with the view towards efficiently dealing with cross-border insolvency issues.</w:t>
      </w:r>
    </w:p>
    <w:p w14:paraId="4DD0D4CA" w14:textId="77777777" w:rsidR="006614B3" w:rsidRDefault="006614B3" w:rsidP="00C053F7">
      <w:pPr>
        <w:jc w:val="both"/>
        <w:rPr>
          <w:rFonts w:ascii="Arial" w:hAnsi="Arial" w:cs="Arial"/>
          <w:color w:val="7B7B7B" w:themeColor="accent3" w:themeShade="BF"/>
          <w:sz w:val="22"/>
          <w:szCs w:val="22"/>
          <w:lang w:val="en-GB"/>
        </w:rPr>
      </w:pPr>
    </w:p>
    <w:p w14:paraId="4E83D7AF" w14:textId="0FD547DD" w:rsidR="00DF75F8" w:rsidRDefault="006614B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way of example, North American countries have adopted the UNCITRAL Model Law and protocols dealing with issues arising in corporate insolvency concerning cooperation and reorganization</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The NAFTA Principles provide for the following:</w:t>
      </w:r>
    </w:p>
    <w:p w14:paraId="0432AE99" w14:textId="77777777" w:rsidR="006662CD" w:rsidRDefault="006662CD" w:rsidP="00C053F7">
      <w:pPr>
        <w:jc w:val="both"/>
        <w:rPr>
          <w:rFonts w:ascii="Arial" w:hAnsi="Arial" w:cs="Arial"/>
          <w:color w:val="7B7B7B" w:themeColor="accent3" w:themeShade="BF"/>
          <w:sz w:val="22"/>
          <w:szCs w:val="22"/>
          <w:lang w:val="en-GB"/>
        </w:rPr>
      </w:pPr>
    </w:p>
    <w:p w14:paraId="2D68341C" w14:textId="1EF62602" w:rsidR="006614B3" w:rsidRDefault="006614B3" w:rsidP="006614B3">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Court’s cooperate to maximize the debtor’s global assets</w:t>
      </w:r>
    </w:p>
    <w:p w14:paraId="641CD65E" w14:textId="663FB7D9" w:rsidR="006614B3" w:rsidRDefault="006614B3" w:rsidP="006614B3">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of a debtor in </w:t>
      </w:r>
      <w:proofErr w:type="gramStart"/>
      <w:r>
        <w:rPr>
          <w:rFonts w:ascii="Arial" w:hAnsi="Arial" w:cs="Arial"/>
          <w:color w:val="7B7B7B" w:themeColor="accent3" w:themeShade="BF"/>
          <w:sz w:val="22"/>
          <w:szCs w:val="22"/>
          <w:lang w:val="en-GB"/>
        </w:rPr>
        <w:t>one member</w:t>
      </w:r>
      <w:proofErr w:type="gramEnd"/>
      <w:r>
        <w:rPr>
          <w:rFonts w:ascii="Arial" w:hAnsi="Arial" w:cs="Arial"/>
          <w:color w:val="7B7B7B" w:themeColor="accent3" w:themeShade="BF"/>
          <w:sz w:val="22"/>
          <w:szCs w:val="22"/>
          <w:lang w:val="en-GB"/>
        </w:rPr>
        <w:t xml:space="preserve"> state shall be recognized in other member states swiftly and cost effectively.</w:t>
      </w:r>
    </w:p>
    <w:p w14:paraId="357CFF49" w14:textId="5A5F4FE0" w:rsidR="006614B3" w:rsidRDefault="006614B3" w:rsidP="006614B3">
      <w:pPr>
        <w:jc w:val="both"/>
        <w:rPr>
          <w:rFonts w:ascii="Arial" w:hAnsi="Arial" w:cs="Arial"/>
          <w:color w:val="7B7B7B" w:themeColor="accent3" w:themeShade="BF"/>
          <w:sz w:val="22"/>
          <w:szCs w:val="22"/>
          <w:lang w:val="en-GB"/>
        </w:rPr>
      </w:pPr>
    </w:p>
    <w:p w14:paraId="15883059" w14:textId="17FEA25A" w:rsidR="006614B3" w:rsidRPr="006614B3" w:rsidRDefault="006614B3" w:rsidP="006614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Nevertheless, the member states have been unsuccessful in implementing more radical substantive changes moving towards uniform laws governing insolvency.</w:t>
      </w:r>
    </w:p>
    <w:p w14:paraId="0BDE1DC7" w14:textId="77777777" w:rsidR="006614B3" w:rsidRDefault="006614B3" w:rsidP="00C053F7">
      <w:pPr>
        <w:jc w:val="both"/>
        <w:rPr>
          <w:rFonts w:ascii="Arial" w:hAnsi="Arial" w:cs="Arial"/>
          <w:color w:val="7B7B7B" w:themeColor="accent3" w:themeShade="BF"/>
          <w:sz w:val="22"/>
          <w:szCs w:val="22"/>
          <w:lang w:val="en-GB"/>
        </w:rPr>
      </w:pPr>
    </w:p>
    <w:p w14:paraId="087A18CA" w14:textId="7F7E9043" w:rsidR="00B13F2D" w:rsidRPr="00812B30" w:rsidRDefault="00B13F2D" w:rsidP="00C053F7">
      <w:pPr>
        <w:jc w:val="both"/>
        <w:rPr>
          <w:rFonts w:ascii="Arial" w:hAnsi="Arial" w:cs="Arial"/>
          <w:color w:val="7B7B7B" w:themeColor="accent3" w:themeShade="BF"/>
          <w:sz w:val="22"/>
          <w:szCs w:val="22"/>
          <w:lang w:val="en-GB"/>
        </w:rPr>
      </w:pPr>
      <w:r w:rsidRPr="00812B30">
        <w:rPr>
          <w:rFonts w:ascii="Arial" w:hAnsi="Arial" w:cs="Arial"/>
          <w:color w:val="7B7B7B" w:themeColor="accent3" w:themeShade="BF"/>
          <w:sz w:val="22"/>
          <w:szCs w:val="22"/>
          <w:lang w:val="en-GB"/>
        </w:rPr>
        <w:t xml:space="preserve">While harmonization of domestic insolvency law would be helpful given the globalization of individuals and businesses, I believe that these efforts will not have a significant impact on addressing cross-border issues. First, the underlying policies (i.e. pro-debtor or pro-creditor) of a state’s insolvency laws differ, creating tension in attempting to make universal domestic laws. </w:t>
      </w:r>
      <w:r w:rsidR="00812B30" w:rsidRPr="00812B30">
        <w:rPr>
          <w:rFonts w:ascii="Arial" w:hAnsi="Arial" w:cs="Arial"/>
          <w:color w:val="7B7B7B" w:themeColor="accent3" w:themeShade="BF"/>
          <w:sz w:val="22"/>
          <w:szCs w:val="22"/>
          <w:lang w:val="en-GB"/>
        </w:rPr>
        <w:t>A further example of a tension to harmonizing domestic laws</w:t>
      </w:r>
      <w:r w:rsidRPr="00812B30">
        <w:rPr>
          <w:rFonts w:ascii="Arial" w:hAnsi="Arial" w:cs="Arial"/>
          <w:color w:val="7B7B7B" w:themeColor="accent3" w:themeShade="BF"/>
          <w:sz w:val="22"/>
          <w:szCs w:val="22"/>
          <w:lang w:val="en-GB"/>
        </w:rPr>
        <w:t xml:space="preserve">, </w:t>
      </w:r>
      <w:r w:rsidR="00812B30" w:rsidRPr="00812B30">
        <w:rPr>
          <w:rFonts w:ascii="Arial" w:hAnsi="Arial" w:cs="Arial"/>
          <w:color w:val="7B7B7B" w:themeColor="accent3" w:themeShade="BF"/>
          <w:sz w:val="22"/>
          <w:szCs w:val="22"/>
          <w:lang w:val="en-GB"/>
        </w:rPr>
        <w:t xml:space="preserve">concerns </w:t>
      </w:r>
      <w:r w:rsidRPr="00812B30">
        <w:rPr>
          <w:rFonts w:ascii="Arial" w:hAnsi="Arial" w:cs="Arial"/>
          <w:color w:val="7B7B7B" w:themeColor="accent3" w:themeShade="BF"/>
          <w:sz w:val="22"/>
          <w:szCs w:val="22"/>
          <w:lang w:val="en-GB"/>
        </w:rPr>
        <w:t xml:space="preserve">a state’s domestic laws address </w:t>
      </w:r>
      <w:r w:rsidR="00812B30" w:rsidRPr="00812B30">
        <w:rPr>
          <w:rFonts w:ascii="Arial" w:hAnsi="Arial" w:cs="Arial"/>
          <w:color w:val="7B7B7B" w:themeColor="accent3" w:themeShade="BF"/>
          <w:sz w:val="22"/>
          <w:szCs w:val="22"/>
          <w:lang w:val="en-GB"/>
        </w:rPr>
        <w:t>local interests and creditors operating within the state.</w:t>
      </w:r>
    </w:p>
    <w:p w14:paraId="357151ED" w14:textId="5760C70A" w:rsidR="00812B30" w:rsidRPr="00812B30" w:rsidRDefault="00812B30" w:rsidP="00C053F7">
      <w:pPr>
        <w:jc w:val="both"/>
        <w:rPr>
          <w:rFonts w:ascii="Arial" w:hAnsi="Arial" w:cs="Arial"/>
          <w:color w:val="7B7B7B" w:themeColor="accent3" w:themeShade="BF"/>
          <w:sz w:val="22"/>
          <w:szCs w:val="22"/>
          <w:lang w:val="en-GB"/>
        </w:rPr>
      </w:pPr>
    </w:p>
    <w:p w14:paraId="36C0B196" w14:textId="40C3E858" w:rsidR="00812B30" w:rsidRPr="00812B30" w:rsidRDefault="00812B30" w:rsidP="00C053F7">
      <w:pPr>
        <w:jc w:val="both"/>
        <w:rPr>
          <w:rFonts w:ascii="Arial" w:hAnsi="Arial" w:cs="Arial"/>
          <w:color w:val="7B7B7B" w:themeColor="accent3" w:themeShade="BF"/>
          <w:sz w:val="22"/>
          <w:szCs w:val="22"/>
          <w:lang w:val="en-GB"/>
        </w:rPr>
      </w:pPr>
      <w:r w:rsidRPr="00812B30">
        <w:rPr>
          <w:rFonts w:ascii="Arial" w:hAnsi="Arial" w:cs="Arial"/>
          <w:color w:val="7B7B7B" w:themeColor="accent3" w:themeShade="BF"/>
          <w:sz w:val="22"/>
          <w:szCs w:val="22"/>
          <w:lang w:val="en-GB"/>
        </w:rPr>
        <w:t xml:space="preserve">The area where agreement may be reached, and I believe would have a more significant impact on cross-border matters, is cooperation. </w:t>
      </w:r>
      <w:r w:rsidRPr="00812B30">
        <w:rPr>
          <w:rFonts w:ascii="Arial" w:hAnsi="Arial" w:cs="Arial"/>
          <w:color w:val="7B7B7B" w:themeColor="accent3" w:themeShade="BF"/>
          <w:sz w:val="22"/>
          <w:szCs w:val="22"/>
          <w:lang w:val="en-GB"/>
        </w:rPr>
        <w:t xml:space="preserve">As matters stand, unless a state’s domestic law or multilateral treaty expressly deals with cooperation it is left to the insolvency practitioners and courts to navigate these issues on a case-by-case ad hoc basis. </w:t>
      </w:r>
      <w:r w:rsidRPr="00812B30">
        <w:rPr>
          <w:rFonts w:ascii="Arial" w:hAnsi="Arial" w:cs="Arial"/>
          <w:color w:val="7B7B7B" w:themeColor="accent3" w:themeShade="BF"/>
          <w:sz w:val="22"/>
          <w:szCs w:val="22"/>
          <w:lang w:val="en-GB"/>
        </w:rPr>
        <w:t>This implicitly accepts</w:t>
      </w:r>
      <w:r>
        <w:rPr>
          <w:rFonts w:ascii="Arial" w:hAnsi="Arial" w:cs="Arial"/>
          <w:color w:val="7B7B7B" w:themeColor="accent3" w:themeShade="BF"/>
          <w:sz w:val="22"/>
          <w:szCs w:val="22"/>
          <w:lang w:val="en-GB"/>
        </w:rPr>
        <w:t xml:space="preserve"> the reality</w:t>
      </w:r>
      <w:r w:rsidRPr="00812B30">
        <w:rPr>
          <w:rFonts w:ascii="Arial" w:hAnsi="Arial" w:cs="Arial"/>
          <w:color w:val="7B7B7B" w:themeColor="accent3" w:themeShade="BF"/>
          <w:sz w:val="22"/>
          <w:szCs w:val="22"/>
          <w:lang w:val="en-GB"/>
        </w:rPr>
        <w:t xml:space="preserve"> that harmonization will not be possible but provides some certainty and a framework that, in practice, should reduce the cost of insolvency proceedings. </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lastRenderedPageBreak/>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1"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3BC7D770" w:rsidR="002F75A3" w:rsidRPr="00127B88" w:rsidRDefault="00D66051" w:rsidP="00C053F7">
      <w:pPr>
        <w:jc w:val="both"/>
        <w:rPr>
          <w:rFonts w:ascii="Arial" w:hAnsi="Arial" w:cs="Arial"/>
          <w:color w:val="7B7B7B" w:themeColor="accent3" w:themeShade="BF"/>
          <w:sz w:val="22"/>
          <w:szCs w:val="22"/>
          <w:lang w:val="en-GB"/>
        </w:rPr>
      </w:pPr>
      <w:r w:rsidRPr="00127B88">
        <w:rPr>
          <w:rFonts w:ascii="Arial" w:hAnsi="Arial" w:cs="Arial"/>
          <w:color w:val="7B7B7B" w:themeColor="accent3" w:themeShade="BF"/>
          <w:sz w:val="22"/>
          <w:szCs w:val="22"/>
          <w:lang w:val="en-GB"/>
        </w:rPr>
        <w:t xml:space="preserve">In order to properly advise the </w:t>
      </w:r>
      <w:proofErr w:type="spellStart"/>
      <w:r w:rsidRPr="00127B88">
        <w:rPr>
          <w:rFonts w:ascii="Arial" w:hAnsi="Arial" w:cs="Arial"/>
          <w:color w:val="7B7B7B" w:themeColor="accent3" w:themeShade="BF"/>
          <w:sz w:val="22"/>
          <w:szCs w:val="22"/>
          <w:lang w:val="en-GB"/>
        </w:rPr>
        <w:t>Erewhon</w:t>
      </w:r>
      <w:proofErr w:type="spellEnd"/>
      <w:r w:rsidRPr="00127B88">
        <w:rPr>
          <w:rFonts w:ascii="Arial" w:hAnsi="Arial" w:cs="Arial"/>
          <w:color w:val="7B7B7B" w:themeColor="accent3" w:themeShade="BF"/>
          <w:sz w:val="22"/>
          <w:szCs w:val="22"/>
          <w:lang w:val="en-GB"/>
        </w:rPr>
        <w:t xml:space="preserve"> liquidator, it is necessary to know, firstly, whether </w:t>
      </w:r>
      <w:proofErr w:type="spellStart"/>
      <w:r w:rsidRPr="00127B88">
        <w:rPr>
          <w:rFonts w:ascii="Arial" w:hAnsi="Arial" w:cs="Arial"/>
          <w:color w:val="7B7B7B" w:themeColor="accent3" w:themeShade="BF"/>
          <w:sz w:val="22"/>
          <w:szCs w:val="22"/>
          <w:lang w:val="en-GB"/>
        </w:rPr>
        <w:t>Erewhon</w:t>
      </w:r>
      <w:proofErr w:type="spellEnd"/>
      <w:r w:rsidRPr="00127B88">
        <w:rPr>
          <w:rFonts w:ascii="Arial" w:hAnsi="Arial" w:cs="Arial"/>
          <w:color w:val="7B7B7B" w:themeColor="accent3" w:themeShade="BF"/>
          <w:sz w:val="22"/>
          <w:szCs w:val="22"/>
          <w:lang w:val="en-GB"/>
        </w:rPr>
        <w:t xml:space="preserve"> has entered into any treaties with Utopia. This is important because under Article 3 of the Model Law, to the extent that there is a conflict between the laws of Utopia or obligations under a treaty, the requirements under the treaty shall prevail. Second, the facts are silent as to whether </w:t>
      </w:r>
      <w:r w:rsidR="00127B88" w:rsidRPr="00127B88">
        <w:rPr>
          <w:rFonts w:ascii="Arial" w:hAnsi="Arial" w:cs="Arial"/>
          <w:color w:val="7B7B7B" w:themeColor="accent3" w:themeShade="BF"/>
          <w:sz w:val="22"/>
          <w:szCs w:val="22"/>
          <w:lang w:val="en-GB"/>
        </w:rPr>
        <w:t>the winding-up order was obtained before relocating its principal place of business to Utopia.</w:t>
      </w:r>
    </w:p>
    <w:p w14:paraId="7CA0C817" w14:textId="3F29037B" w:rsidR="00127B88" w:rsidRPr="00127B88" w:rsidRDefault="00127B88" w:rsidP="00C053F7">
      <w:pPr>
        <w:jc w:val="both"/>
        <w:rPr>
          <w:rFonts w:ascii="Arial" w:hAnsi="Arial" w:cs="Arial"/>
          <w:color w:val="7B7B7B" w:themeColor="accent3" w:themeShade="BF"/>
          <w:sz w:val="22"/>
          <w:szCs w:val="22"/>
          <w:lang w:val="en-GB"/>
        </w:rPr>
      </w:pPr>
    </w:p>
    <w:p w14:paraId="23775988" w14:textId="62FB4526" w:rsidR="00127B88" w:rsidRPr="00127B88" w:rsidRDefault="00127B88" w:rsidP="00C053F7">
      <w:pPr>
        <w:jc w:val="both"/>
        <w:rPr>
          <w:rFonts w:ascii="Arial" w:hAnsi="Arial" w:cs="Arial"/>
          <w:color w:val="7B7B7B" w:themeColor="accent3" w:themeShade="BF"/>
          <w:sz w:val="22"/>
          <w:szCs w:val="22"/>
          <w:lang w:val="en-GB"/>
        </w:rPr>
      </w:pPr>
      <w:r w:rsidRPr="00127B88">
        <w:rPr>
          <w:rFonts w:ascii="Arial" w:hAnsi="Arial" w:cs="Arial"/>
          <w:color w:val="7B7B7B" w:themeColor="accent3" w:themeShade="BF"/>
          <w:sz w:val="22"/>
          <w:szCs w:val="22"/>
          <w:lang w:val="en-GB"/>
        </w:rPr>
        <w:t>Subject to the foregoing, for the liquidator to stay the court action in Utopia during the currency of the insolvency proceedings, it will be necessary to make an application to the Utopia Court for recognition of the winding-up order.</w:t>
      </w:r>
    </w:p>
    <w:p w14:paraId="5C98B046" w14:textId="68AF55BA" w:rsidR="00127B88" w:rsidRPr="00127B88" w:rsidRDefault="00127B88" w:rsidP="00C053F7">
      <w:pPr>
        <w:jc w:val="both"/>
        <w:rPr>
          <w:rFonts w:ascii="Arial" w:hAnsi="Arial" w:cs="Arial"/>
          <w:color w:val="7B7B7B" w:themeColor="accent3" w:themeShade="BF"/>
          <w:sz w:val="22"/>
          <w:szCs w:val="22"/>
          <w:lang w:val="en-GB"/>
        </w:rPr>
      </w:pPr>
    </w:p>
    <w:p w14:paraId="2978BAC8" w14:textId="58A42E13" w:rsidR="00127B88" w:rsidRPr="00127B88" w:rsidRDefault="00127B88" w:rsidP="00C053F7">
      <w:pPr>
        <w:jc w:val="both"/>
        <w:rPr>
          <w:rFonts w:ascii="Arial" w:hAnsi="Arial" w:cs="Arial"/>
          <w:color w:val="7B7B7B" w:themeColor="accent3" w:themeShade="BF"/>
          <w:sz w:val="22"/>
          <w:szCs w:val="22"/>
          <w:lang w:val="en-GB"/>
        </w:rPr>
      </w:pPr>
      <w:r w:rsidRPr="00127B88">
        <w:rPr>
          <w:rFonts w:ascii="Arial" w:hAnsi="Arial" w:cs="Arial"/>
          <w:color w:val="7B7B7B" w:themeColor="accent3" w:themeShade="BF"/>
          <w:sz w:val="22"/>
          <w:szCs w:val="22"/>
          <w:lang w:val="en-GB"/>
        </w:rPr>
        <w:t>Such application may be made by lodging an application with the Utopia Court supported by:</w:t>
      </w:r>
    </w:p>
    <w:p w14:paraId="2D8883B8" w14:textId="359637CA" w:rsidR="00127B88" w:rsidRPr="00127B88" w:rsidRDefault="00127B88" w:rsidP="00127B88">
      <w:pPr>
        <w:pStyle w:val="ListParagraph"/>
        <w:numPr>
          <w:ilvl w:val="0"/>
          <w:numId w:val="27"/>
        </w:numPr>
        <w:jc w:val="both"/>
        <w:rPr>
          <w:rFonts w:ascii="Arial" w:hAnsi="Arial" w:cs="Arial"/>
          <w:color w:val="7B7B7B" w:themeColor="accent3" w:themeShade="BF"/>
          <w:sz w:val="22"/>
          <w:szCs w:val="22"/>
          <w:lang w:val="en-GB"/>
        </w:rPr>
      </w:pPr>
      <w:r w:rsidRPr="00127B88">
        <w:rPr>
          <w:rFonts w:ascii="Arial" w:hAnsi="Arial" w:cs="Arial"/>
          <w:color w:val="7B7B7B" w:themeColor="accent3" w:themeShade="BF"/>
          <w:sz w:val="22"/>
          <w:szCs w:val="22"/>
          <w:lang w:val="en-GB"/>
        </w:rPr>
        <w:t>A certified copy of the decision commencing or appointing the foreign representative</w:t>
      </w:r>
      <w:r w:rsidRPr="00127B88">
        <w:rPr>
          <w:rStyle w:val="FootnoteReference"/>
          <w:rFonts w:ascii="Arial" w:hAnsi="Arial" w:cs="Arial"/>
          <w:color w:val="7B7B7B" w:themeColor="accent3" w:themeShade="BF"/>
          <w:sz w:val="22"/>
          <w:szCs w:val="22"/>
          <w:lang w:val="en-GB"/>
        </w:rPr>
        <w:footnoteReference w:id="8"/>
      </w:r>
      <w:r w:rsidRPr="00127B88">
        <w:rPr>
          <w:rFonts w:ascii="Arial" w:hAnsi="Arial" w:cs="Arial"/>
          <w:color w:val="7B7B7B" w:themeColor="accent3" w:themeShade="BF"/>
          <w:sz w:val="22"/>
          <w:szCs w:val="22"/>
          <w:lang w:val="en-GB"/>
        </w:rPr>
        <w:t>; and</w:t>
      </w:r>
    </w:p>
    <w:p w14:paraId="5C2EC0EB" w14:textId="22AB1F10" w:rsidR="00127B88" w:rsidRPr="00127B88" w:rsidRDefault="00127B88" w:rsidP="00127B88">
      <w:pPr>
        <w:pStyle w:val="ListParagraph"/>
        <w:numPr>
          <w:ilvl w:val="0"/>
          <w:numId w:val="27"/>
        </w:numPr>
        <w:jc w:val="both"/>
        <w:rPr>
          <w:rFonts w:ascii="Arial" w:hAnsi="Arial" w:cs="Arial"/>
          <w:color w:val="7B7B7B" w:themeColor="accent3" w:themeShade="BF"/>
          <w:sz w:val="22"/>
          <w:szCs w:val="22"/>
          <w:lang w:val="en-GB"/>
        </w:rPr>
      </w:pPr>
      <w:r w:rsidRPr="00127B88">
        <w:rPr>
          <w:rFonts w:ascii="Arial" w:hAnsi="Arial" w:cs="Arial"/>
          <w:color w:val="7B7B7B" w:themeColor="accent3" w:themeShade="BF"/>
          <w:sz w:val="22"/>
          <w:szCs w:val="22"/>
          <w:lang w:val="en-GB"/>
        </w:rPr>
        <w:t>A statement identifying all foreign proceedings in respect of the debtor known to the foreign representative</w:t>
      </w:r>
      <w:r w:rsidRPr="00127B88">
        <w:rPr>
          <w:rStyle w:val="FootnoteReference"/>
          <w:rFonts w:ascii="Arial" w:hAnsi="Arial" w:cs="Arial"/>
          <w:color w:val="7B7B7B" w:themeColor="accent3" w:themeShade="BF"/>
          <w:sz w:val="22"/>
          <w:szCs w:val="22"/>
          <w:lang w:val="en-GB"/>
        </w:rPr>
        <w:footnoteReference w:id="9"/>
      </w:r>
      <w:r w:rsidRPr="00127B88">
        <w:rPr>
          <w:rFonts w:ascii="Arial" w:hAnsi="Arial" w:cs="Arial"/>
          <w:color w:val="7B7B7B" w:themeColor="accent3" w:themeShade="BF"/>
          <w:sz w:val="22"/>
          <w:szCs w:val="22"/>
          <w:lang w:val="en-GB"/>
        </w:rPr>
        <w:t>.</w:t>
      </w:r>
    </w:p>
    <w:p w14:paraId="19D37E75" w14:textId="13DB71E8" w:rsidR="00127B88" w:rsidRPr="00127B88" w:rsidRDefault="00127B88" w:rsidP="00127B88">
      <w:pPr>
        <w:jc w:val="both"/>
        <w:rPr>
          <w:rFonts w:ascii="Arial" w:hAnsi="Arial" w:cs="Arial"/>
          <w:color w:val="7B7B7B" w:themeColor="accent3" w:themeShade="BF"/>
          <w:sz w:val="22"/>
          <w:szCs w:val="22"/>
          <w:lang w:val="en-GB"/>
        </w:rPr>
      </w:pPr>
    </w:p>
    <w:p w14:paraId="64AD9A7C" w14:textId="17B2A5F8" w:rsidR="00127B88" w:rsidRPr="00127B88" w:rsidRDefault="00127B88" w:rsidP="00127B88">
      <w:pPr>
        <w:jc w:val="both"/>
        <w:rPr>
          <w:rFonts w:ascii="Arial" w:hAnsi="Arial" w:cs="Arial"/>
          <w:color w:val="7B7B7B" w:themeColor="accent3" w:themeShade="BF"/>
          <w:sz w:val="22"/>
          <w:szCs w:val="22"/>
          <w:lang w:val="en-GB"/>
        </w:rPr>
      </w:pPr>
      <w:r w:rsidRPr="00127B88">
        <w:rPr>
          <w:rFonts w:ascii="Arial" w:hAnsi="Arial" w:cs="Arial"/>
          <w:color w:val="7B7B7B" w:themeColor="accent3" w:themeShade="BF"/>
          <w:sz w:val="22"/>
          <w:szCs w:val="22"/>
          <w:lang w:val="en-GB"/>
        </w:rPr>
        <w:t>Under Utopia law, the court will recognize insolvency proceedings as a foreign main proceeding provided it is taking place in a state where the debtor has its “centre of its main interests</w:t>
      </w:r>
      <w:r w:rsidRPr="00127B88">
        <w:rPr>
          <w:rStyle w:val="FootnoteReference"/>
          <w:rFonts w:ascii="Arial" w:hAnsi="Arial" w:cs="Arial"/>
          <w:color w:val="7B7B7B" w:themeColor="accent3" w:themeShade="BF"/>
          <w:sz w:val="22"/>
          <w:szCs w:val="22"/>
          <w:lang w:val="en-GB"/>
        </w:rPr>
        <w:footnoteReference w:id="10"/>
      </w:r>
      <w:r w:rsidRPr="00127B88">
        <w:rPr>
          <w:rFonts w:ascii="Arial" w:hAnsi="Arial" w:cs="Arial"/>
          <w:color w:val="7B7B7B" w:themeColor="accent3" w:themeShade="BF"/>
          <w:sz w:val="22"/>
          <w:szCs w:val="22"/>
          <w:lang w:val="en-GB"/>
        </w:rPr>
        <w:t xml:space="preserve">.” Based on the information available, a Utopia Court would not recognize the </w:t>
      </w:r>
      <w:proofErr w:type="spellStart"/>
      <w:r w:rsidRPr="00127B88">
        <w:rPr>
          <w:rFonts w:ascii="Arial" w:hAnsi="Arial" w:cs="Arial"/>
          <w:color w:val="7B7B7B" w:themeColor="accent3" w:themeShade="BF"/>
          <w:sz w:val="22"/>
          <w:szCs w:val="22"/>
          <w:lang w:val="en-GB"/>
        </w:rPr>
        <w:t>Erewhon</w:t>
      </w:r>
      <w:proofErr w:type="spellEnd"/>
      <w:r w:rsidRPr="00127B88">
        <w:rPr>
          <w:rFonts w:ascii="Arial" w:hAnsi="Arial" w:cs="Arial"/>
          <w:color w:val="7B7B7B" w:themeColor="accent3" w:themeShade="BF"/>
          <w:sz w:val="22"/>
          <w:szCs w:val="22"/>
          <w:lang w:val="en-GB"/>
        </w:rPr>
        <w:t xml:space="preserve"> proceedings as ‘main proceedings’ as its head office has been relocated to Utopia. Nevertheless, the Utopia Court will recognize the </w:t>
      </w:r>
      <w:proofErr w:type="spellStart"/>
      <w:r w:rsidRPr="00127B88">
        <w:rPr>
          <w:rFonts w:ascii="Arial" w:hAnsi="Arial" w:cs="Arial"/>
          <w:color w:val="7B7B7B" w:themeColor="accent3" w:themeShade="BF"/>
          <w:sz w:val="22"/>
          <w:szCs w:val="22"/>
          <w:lang w:val="en-GB"/>
        </w:rPr>
        <w:t>Erewhon</w:t>
      </w:r>
      <w:proofErr w:type="spellEnd"/>
      <w:r w:rsidRPr="00127B88">
        <w:rPr>
          <w:rFonts w:ascii="Arial" w:hAnsi="Arial" w:cs="Arial"/>
          <w:color w:val="7B7B7B" w:themeColor="accent3" w:themeShade="BF"/>
          <w:sz w:val="22"/>
          <w:szCs w:val="22"/>
          <w:lang w:val="en-GB"/>
        </w:rPr>
        <w:t xml:space="preserve"> proceedings as a non-main proceeding provided it retains an establishment within the jurisdiction</w:t>
      </w:r>
      <w:r w:rsidRPr="00127B88">
        <w:rPr>
          <w:rStyle w:val="FootnoteReference"/>
          <w:rFonts w:ascii="Arial" w:hAnsi="Arial" w:cs="Arial"/>
          <w:color w:val="7B7B7B" w:themeColor="accent3" w:themeShade="BF"/>
          <w:sz w:val="22"/>
          <w:szCs w:val="22"/>
          <w:lang w:val="en-GB"/>
        </w:rPr>
        <w:footnoteReference w:id="11"/>
      </w:r>
      <w:r w:rsidRPr="00127B88">
        <w:rPr>
          <w:rFonts w:ascii="Arial" w:hAnsi="Arial" w:cs="Arial"/>
          <w:color w:val="7B7B7B" w:themeColor="accent3" w:themeShade="BF"/>
          <w:sz w:val="22"/>
          <w:szCs w:val="22"/>
          <w:lang w:val="en-GB"/>
        </w:rPr>
        <w:t>.</w:t>
      </w:r>
    </w:p>
    <w:p w14:paraId="3B95DF5B" w14:textId="7FA66BBD" w:rsidR="00127B88" w:rsidRPr="00127B88" w:rsidRDefault="00127B88" w:rsidP="00127B88">
      <w:pPr>
        <w:jc w:val="both"/>
        <w:rPr>
          <w:rFonts w:ascii="Arial" w:hAnsi="Arial" w:cs="Arial"/>
          <w:color w:val="7B7B7B" w:themeColor="accent3" w:themeShade="BF"/>
          <w:sz w:val="22"/>
          <w:szCs w:val="22"/>
          <w:lang w:val="en-GB"/>
        </w:rPr>
      </w:pPr>
    </w:p>
    <w:p w14:paraId="2E802F04" w14:textId="7F630982" w:rsidR="00127B88" w:rsidRDefault="00127B88" w:rsidP="00127B88">
      <w:pPr>
        <w:jc w:val="both"/>
        <w:rPr>
          <w:rFonts w:ascii="Arial" w:hAnsi="Arial" w:cs="Arial"/>
          <w:color w:val="7B7B7B" w:themeColor="accent3" w:themeShade="BF"/>
          <w:sz w:val="22"/>
          <w:szCs w:val="22"/>
          <w:lang w:val="en-GB"/>
        </w:rPr>
      </w:pPr>
      <w:r w:rsidRPr="00127B88">
        <w:rPr>
          <w:rFonts w:ascii="Arial" w:hAnsi="Arial" w:cs="Arial"/>
          <w:color w:val="7B7B7B" w:themeColor="accent3" w:themeShade="BF"/>
          <w:sz w:val="22"/>
          <w:szCs w:val="22"/>
          <w:lang w:val="en-GB"/>
        </w:rPr>
        <w:lastRenderedPageBreak/>
        <w:t>Upon recognition of the foreign insolvency proceedings, the liquidator will have to apply to the Utopia Courts for a stay or continuation of Apex’s claims in Utopia according to Article 20(a) as a ‘foreign main proceeding’ or Article 21(a) ‘non-main proceeding.’</w:t>
      </w:r>
    </w:p>
    <w:p w14:paraId="1570B3D8" w14:textId="77777777" w:rsidR="006614B3" w:rsidRPr="00127B88" w:rsidRDefault="006614B3" w:rsidP="00127B88">
      <w:pPr>
        <w:jc w:val="both"/>
        <w:rPr>
          <w:rFonts w:ascii="Arial" w:hAnsi="Arial" w:cs="Arial"/>
          <w:color w:val="7B7B7B" w:themeColor="accent3" w:themeShade="BF"/>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7C23FDCA" w:rsidR="002D3473" w:rsidRDefault="00127B88"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4.2(a) – No, until presentation of the petition there is no automatic stay.</w:t>
      </w:r>
    </w:p>
    <w:p w14:paraId="0BCC25D3" w14:textId="31D3BCD6" w:rsidR="00127B88" w:rsidRDefault="00127B88" w:rsidP="00C053F7">
      <w:pPr>
        <w:autoSpaceDE w:val="0"/>
        <w:autoSpaceDN w:val="0"/>
        <w:adjustRightInd w:val="0"/>
        <w:spacing w:line="276" w:lineRule="auto"/>
        <w:jc w:val="both"/>
        <w:rPr>
          <w:rFonts w:ascii="Arial" w:hAnsi="Arial" w:cs="Arial"/>
          <w:sz w:val="22"/>
          <w:szCs w:val="22"/>
          <w:lang w:val="en-GB"/>
        </w:rPr>
      </w:pPr>
    </w:p>
    <w:p w14:paraId="1B5E2F08" w14:textId="460A2FB7" w:rsidR="002D3473" w:rsidRPr="006662CD" w:rsidRDefault="00127B88" w:rsidP="00C053F7">
      <w:pPr>
        <w:autoSpaceDE w:val="0"/>
        <w:autoSpaceDN w:val="0"/>
        <w:adjustRightInd w:val="0"/>
        <w:spacing w:line="276" w:lineRule="auto"/>
        <w:jc w:val="both"/>
        <w:rPr>
          <w:rFonts w:ascii="Arial" w:hAnsi="Arial" w:cs="Arial"/>
          <w:color w:val="7B7B7B" w:themeColor="accent3" w:themeShade="BF"/>
          <w:sz w:val="22"/>
          <w:szCs w:val="22"/>
          <w:lang w:val="en-GB"/>
        </w:rPr>
      </w:pPr>
      <w:r w:rsidRPr="006662CD">
        <w:rPr>
          <w:rFonts w:ascii="Arial" w:hAnsi="Arial" w:cs="Arial"/>
          <w:color w:val="7B7B7B" w:themeColor="accent3" w:themeShade="BF"/>
          <w:sz w:val="22"/>
          <w:szCs w:val="22"/>
          <w:lang w:val="en-GB"/>
        </w:rPr>
        <w:t xml:space="preserve">4.2(b) </w:t>
      </w:r>
      <w:r w:rsidR="006614B3" w:rsidRPr="006662CD">
        <w:rPr>
          <w:rFonts w:ascii="Arial" w:hAnsi="Arial" w:cs="Arial"/>
          <w:color w:val="7B7B7B" w:themeColor="accent3" w:themeShade="BF"/>
          <w:sz w:val="22"/>
          <w:szCs w:val="22"/>
          <w:lang w:val="en-GB"/>
        </w:rPr>
        <w:t>–</w:t>
      </w:r>
      <w:r w:rsidRPr="006662CD">
        <w:rPr>
          <w:rFonts w:ascii="Arial" w:hAnsi="Arial" w:cs="Arial"/>
          <w:color w:val="7B7B7B" w:themeColor="accent3" w:themeShade="BF"/>
          <w:sz w:val="22"/>
          <w:szCs w:val="22"/>
          <w:lang w:val="en-GB"/>
        </w:rPr>
        <w:t xml:space="preserve"> Yes</w:t>
      </w:r>
      <w:r w:rsidR="006614B3" w:rsidRPr="006662CD">
        <w:rPr>
          <w:rFonts w:ascii="Arial" w:hAnsi="Arial" w:cs="Arial"/>
          <w:color w:val="7B7B7B" w:themeColor="accent3" w:themeShade="BF"/>
          <w:sz w:val="22"/>
          <w:szCs w:val="22"/>
          <w:lang w:val="en-GB"/>
        </w:rPr>
        <w:t>,</w:t>
      </w:r>
      <w:r w:rsidR="006662CD" w:rsidRPr="006662CD">
        <w:rPr>
          <w:rFonts w:ascii="Arial" w:hAnsi="Arial" w:cs="Arial"/>
          <w:color w:val="7B7B7B" w:themeColor="accent3" w:themeShade="BF"/>
          <w:sz w:val="22"/>
          <w:szCs w:val="22"/>
          <w:lang w:val="en-GB"/>
        </w:rPr>
        <w:t xml:space="preserve"> while the liquidator will still need to apply for recognition the liquidator will not have to apply to stay the proceedings because upon presentation of the petition all claims against the company are stayed.</w:t>
      </w: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1"/>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7F6FA3BD" w:rsidR="0077498C" w:rsidRDefault="002C108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legislative framework for dealing with insolvency is set out in the Companies Act 1981 (the </w:t>
      </w:r>
      <w:r>
        <w:rPr>
          <w:rFonts w:ascii="Arial" w:hAnsi="Arial" w:cs="Arial"/>
          <w:b/>
          <w:color w:val="7B7B7B" w:themeColor="accent3" w:themeShade="BF"/>
          <w:sz w:val="22"/>
          <w:szCs w:val="22"/>
          <w:lang w:val="en-GB"/>
        </w:rPr>
        <w:t>Act</w:t>
      </w:r>
      <w:r>
        <w:rPr>
          <w:rFonts w:ascii="Arial" w:hAnsi="Arial" w:cs="Arial"/>
          <w:color w:val="7B7B7B" w:themeColor="accent3" w:themeShade="BF"/>
          <w:sz w:val="22"/>
          <w:szCs w:val="22"/>
          <w:lang w:val="en-GB"/>
        </w:rPr>
        <w:t>) and the Companies (Winding-Up Rules) 1982. As an international business hub, Bermuda has companies that are part of a group of companies that carry on business outside of the jurisdiction. Bermuda has not adopted the UNCITRAL Model Law on Cross-Border Insolvency, nor is it a party to multilateral treaties. As a consequence, this gives rise to issues in the cross-border context. To deal with this lacuna in Bermuda’s domestic laws, the court has exercised common law principles to address areas where the domestic law is silent.</w:t>
      </w:r>
    </w:p>
    <w:p w14:paraId="78E98B48" w14:textId="329152A7" w:rsidR="002C108D" w:rsidRDefault="002C108D" w:rsidP="00C053F7">
      <w:pPr>
        <w:jc w:val="both"/>
        <w:rPr>
          <w:rFonts w:ascii="Arial" w:hAnsi="Arial" w:cs="Arial"/>
          <w:color w:val="000000" w:themeColor="text1"/>
          <w:sz w:val="22"/>
          <w:szCs w:val="22"/>
          <w:lang w:val="en-GB"/>
        </w:rPr>
      </w:pPr>
    </w:p>
    <w:p w14:paraId="0C1C9023" w14:textId="707884E8" w:rsidR="002C108D" w:rsidRPr="006614B3" w:rsidRDefault="002C108D" w:rsidP="00C053F7">
      <w:pPr>
        <w:jc w:val="both"/>
        <w:rPr>
          <w:rFonts w:ascii="Arial" w:hAnsi="Arial" w:cs="Arial"/>
          <w:color w:val="7B7B7B" w:themeColor="accent3" w:themeShade="BF"/>
          <w:sz w:val="22"/>
          <w:szCs w:val="22"/>
          <w:u w:val="single"/>
          <w:lang w:val="en-GB"/>
        </w:rPr>
      </w:pPr>
      <w:r w:rsidRPr="006614B3">
        <w:rPr>
          <w:rFonts w:ascii="Arial" w:hAnsi="Arial" w:cs="Arial"/>
          <w:color w:val="7B7B7B" w:themeColor="accent3" w:themeShade="BF"/>
          <w:sz w:val="22"/>
          <w:szCs w:val="22"/>
          <w:u w:val="single"/>
          <w:lang w:val="en-GB"/>
        </w:rPr>
        <w:t>Recognition</w:t>
      </w:r>
    </w:p>
    <w:p w14:paraId="5A8FB1E3" w14:textId="55A84A2C" w:rsidR="002C108D" w:rsidRPr="006614B3" w:rsidRDefault="002C108D" w:rsidP="00C053F7">
      <w:pPr>
        <w:jc w:val="both"/>
        <w:rPr>
          <w:rFonts w:ascii="Arial" w:hAnsi="Arial" w:cs="Arial"/>
          <w:color w:val="7B7B7B" w:themeColor="accent3" w:themeShade="BF"/>
          <w:sz w:val="22"/>
          <w:szCs w:val="22"/>
          <w:lang w:val="en-GB"/>
        </w:rPr>
      </w:pPr>
    </w:p>
    <w:p w14:paraId="34326BBA" w14:textId="5561AF97" w:rsidR="002C108D" w:rsidRPr="006614B3" w:rsidRDefault="002C108D" w:rsidP="00C053F7">
      <w:pPr>
        <w:jc w:val="both"/>
        <w:rPr>
          <w:rFonts w:ascii="Arial" w:hAnsi="Arial" w:cs="Arial"/>
          <w:color w:val="7B7B7B" w:themeColor="accent3" w:themeShade="BF"/>
          <w:sz w:val="22"/>
          <w:szCs w:val="22"/>
          <w:lang w:val="en-GB"/>
        </w:rPr>
      </w:pPr>
      <w:r w:rsidRPr="006614B3">
        <w:rPr>
          <w:rFonts w:ascii="Arial" w:hAnsi="Arial" w:cs="Arial"/>
          <w:color w:val="7B7B7B" w:themeColor="accent3" w:themeShade="BF"/>
          <w:sz w:val="22"/>
          <w:szCs w:val="22"/>
          <w:lang w:val="en-GB"/>
        </w:rPr>
        <w:t>Bermuda’s domestic law does not deal with the recognition of foreign proceedings. As an international business hub, the court has adopted a global approach to plug in legislative gaps. For the court to recognize the foreign order in Bermuda, an application must be made to the court seeking recognition. Recognition is achieved by the court ordering to stay proceedings under section 167(4) of the Act.</w:t>
      </w:r>
    </w:p>
    <w:p w14:paraId="1F9A1736" w14:textId="757946E9" w:rsidR="001A7CBC" w:rsidRPr="006614B3" w:rsidRDefault="001A7CBC" w:rsidP="00C053F7">
      <w:pPr>
        <w:jc w:val="both"/>
        <w:rPr>
          <w:rFonts w:ascii="Arial" w:hAnsi="Arial" w:cs="Arial"/>
          <w:color w:val="7B7B7B" w:themeColor="accent3" w:themeShade="BF"/>
          <w:sz w:val="22"/>
          <w:szCs w:val="22"/>
          <w:lang w:val="en-GB"/>
        </w:rPr>
      </w:pPr>
    </w:p>
    <w:p w14:paraId="48A23FBF" w14:textId="6BBEE1FF" w:rsidR="001A7CBC" w:rsidRPr="006614B3" w:rsidRDefault="001A7CBC" w:rsidP="00C053F7">
      <w:pPr>
        <w:jc w:val="both"/>
        <w:rPr>
          <w:rFonts w:ascii="Arial" w:hAnsi="Arial" w:cs="Arial"/>
          <w:color w:val="7B7B7B" w:themeColor="accent3" w:themeShade="BF"/>
          <w:sz w:val="22"/>
          <w:szCs w:val="22"/>
          <w:lang w:val="en-GB"/>
        </w:rPr>
      </w:pPr>
      <w:r w:rsidRPr="006614B3">
        <w:rPr>
          <w:rFonts w:ascii="Arial" w:hAnsi="Arial" w:cs="Arial"/>
          <w:color w:val="7B7B7B" w:themeColor="accent3" w:themeShade="BF"/>
          <w:sz w:val="22"/>
          <w:szCs w:val="22"/>
          <w:lang w:val="en-GB"/>
        </w:rPr>
        <w:lastRenderedPageBreak/>
        <w:t xml:space="preserve">In the case of </w:t>
      </w:r>
      <w:r w:rsidRPr="006614B3">
        <w:rPr>
          <w:rFonts w:ascii="Arial" w:hAnsi="Arial" w:cs="Arial"/>
          <w:i/>
          <w:color w:val="7B7B7B" w:themeColor="accent3" w:themeShade="BF"/>
          <w:sz w:val="22"/>
          <w:szCs w:val="22"/>
          <w:lang w:val="en-GB"/>
        </w:rPr>
        <w:t xml:space="preserve">In the Matter of Energy XXI Ltd </w:t>
      </w:r>
      <w:r w:rsidRPr="006614B3">
        <w:rPr>
          <w:rFonts w:ascii="Arial" w:hAnsi="Arial" w:cs="Arial"/>
          <w:color w:val="7B7B7B" w:themeColor="accent3" w:themeShade="BF"/>
          <w:sz w:val="22"/>
          <w:szCs w:val="22"/>
          <w:lang w:val="en-GB"/>
        </w:rPr>
        <w:t>(2016) SC (</w:t>
      </w:r>
      <w:proofErr w:type="spellStart"/>
      <w:r w:rsidRPr="006614B3">
        <w:rPr>
          <w:rFonts w:ascii="Arial" w:hAnsi="Arial" w:cs="Arial"/>
          <w:color w:val="7B7B7B" w:themeColor="accent3" w:themeShade="BF"/>
          <w:sz w:val="22"/>
          <w:szCs w:val="22"/>
          <w:lang w:val="en-GB"/>
        </w:rPr>
        <w:t>Bda</w:t>
      </w:r>
      <w:proofErr w:type="spellEnd"/>
      <w:r w:rsidRPr="006614B3">
        <w:rPr>
          <w:rFonts w:ascii="Arial" w:hAnsi="Arial" w:cs="Arial"/>
          <w:color w:val="7B7B7B" w:themeColor="accent3" w:themeShade="BF"/>
          <w:sz w:val="22"/>
          <w:szCs w:val="22"/>
          <w:lang w:val="en-GB"/>
        </w:rPr>
        <w:t>) 79 Com</w:t>
      </w:r>
      <w:r w:rsidRPr="006614B3">
        <w:rPr>
          <w:rStyle w:val="FootnoteReference"/>
          <w:rFonts w:ascii="Arial" w:hAnsi="Arial" w:cs="Arial"/>
          <w:color w:val="7B7B7B" w:themeColor="accent3" w:themeShade="BF"/>
          <w:sz w:val="22"/>
          <w:szCs w:val="22"/>
          <w:lang w:val="en-GB"/>
        </w:rPr>
        <w:footnoteReference w:id="12"/>
      </w:r>
      <w:r w:rsidRPr="006614B3">
        <w:rPr>
          <w:rFonts w:ascii="Arial" w:hAnsi="Arial" w:cs="Arial"/>
          <w:color w:val="7B7B7B" w:themeColor="accent3" w:themeShade="BF"/>
          <w:sz w:val="22"/>
          <w:szCs w:val="22"/>
          <w:lang w:val="en-GB"/>
        </w:rPr>
        <w:t xml:space="preserve">, the Court made clear that the Bermuda Court has the jurisdiction to recognize (by way of a stay) and enforce a foreign restructuring where the effect of such recognition extinguishes claims against an insolvent Bermuda company. </w:t>
      </w:r>
    </w:p>
    <w:p w14:paraId="14F0DFB0" w14:textId="77C213B6" w:rsidR="005F2517" w:rsidRPr="006614B3" w:rsidRDefault="005F2517" w:rsidP="00C053F7">
      <w:pPr>
        <w:jc w:val="both"/>
        <w:rPr>
          <w:rFonts w:ascii="Arial" w:hAnsi="Arial" w:cs="Arial"/>
          <w:color w:val="7B7B7B" w:themeColor="accent3" w:themeShade="BF"/>
          <w:sz w:val="22"/>
          <w:szCs w:val="22"/>
          <w:lang w:val="en-GB"/>
        </w:rPr>
      </w:pPr>
    </w:p>
    <w:p w14:paraId="6B7B36D5" w14:textId="3EB4E6A5" w:rsidR="005F2517" w:rsidRPr="006614B3" w:rsidRDefault="00C219FB" w:rsidP="00C053F7">
      <w:pPr>
        <w:jc w:val="both"/>
        <w:rPr>
          <w:rFonts w:ascii="Arial" w:hAnsi="Arial" w:cs="Arial"/>
          <w:color w:val="7B7B7B" w:themeColor="accent3" w:themeShade="BF"/>
          <w:sz w:val="22"/>
          <w:szCs w:val="22"/>
          <w:u w:val="single"/>
          <w:lang w:val="en-GB"/>
        </w:rPr>
      </w:pPr>
      <w:r w:rsidRPr="006614B3">
        <w:rPr>
          <w:rFonts w:ascii="Arial" w:hAnsi="Arial" w:cs="Arial"/>
          <w:color w:val="7B7B7B" w:themeColor="accent3" w:themeShade="BF"/>
          <w:sz w:val="22"/>
          <w:szCs w:val="22"/>
          <w:u w:val="single"/>
          <w:lang w:val="en-GB"/>
        </w:rPr>
        <w:t>Cooperation</w:t>
      </w:r>
      <w:r w:rsidRPr="006614B3">
        <w:rPr>
          <w:rStyle w:val="FootnoteReference"/>
          <w:rFonts w:ascii="Arial" w:hAnsi="Arial" w:cs="Arial"/>
          <w:color w:val="7B7B7B" w:themeColor="accent3" w:themeShade="BF"/>
          <w:sz w:val="22"/>
          <w:szCs w:val="22"/>
          <w:u w:val="single"/>
          <w:lang w:val="en-GB"/>
        </w:rPr>
        <w:footnoteReference w:id="13"/>
      </w:r>
    </w:p>
    <w:p w14:paraId="55B07913" w14:textId="6E21A32B" w:rsidR="005F2517" w:rsidRPr="006614B3" w:rsidRDefault="005F2517" w:rsidP="00C053F7">
      <w:pPr>
        <w:jc w:val="both"/>
        <w:rPr>
          <w:rFonts w:ascii="Arial" w:hAnsi="Arial" w:cs="Arial"/>
          <w:color w:val="7B7B7B" w:themeColor="accent3" w:themeShade="BF"/>
          <w:sz w:val="22"/>
          <w:szCs w:val="22"/>
          <w:u w:val="single"/>
          <w:lang w:val="en-GB"/>
        </w:rPr>
      </w:pPr>
    </w:p>
    <w:p w14:paraId="1B7D9D96" w14:textId="7D249487" w:rsidR="005F2517" w:rsidRPr="006614B3" w:rsidRDefault="005F2517" w:rsidP="00C053F7">
      <w:pPr>
        <w:jc w:val="both"/>
        <w:rPr>
          <w:rFonts w:ascii="Arial" w:hAnsi="Arial" w:cs="Arial"/>
          <w:color w:val="7B7B7B" w:themeColor="accent3" w:themeShade="BF"/>
          <w:sz w:val="22"/>
          <w:szCs w:val="22"/>
          <w:lang w:val="en-GB"/>
        </w:rPr>
      </w:pPr>
      <w:r w:rsidRPr="006614B3">
        <w:rPr>
          <w:rFonts w:ascii="Arial" w:hAnsi="Arial" w:cs="Arial"/>
          <w:color w:val="7B7B7B" w:themeColor="accent3" w:themeShade="BF"/>
          <w:sz w:val="22"/>
          <w:szCs w:val="22"/>
          <w:lang w:val="en-GB"/>
        </w:rPr>
        <w:t xml:space="preserve">As stated above, the Bermuda Court has </w:t>
      </w:r>
      <w:r w:rsidR="00C219FB" w:rsidRPr="006614B3">
        <w:rPr>
          <w:rFonts w:ascii="Arial" w:hAnsi="Arial" w:cs="Arial"/>
          <w:color w:val="7B7B7B" w:themeColor="accent3" w:themeShade="BF"/>
          <w:sz w:val="22"/>
          <w:szCs w:val="22"/>
          <w:lang w:val="en-GB"/>
        </w:rPr>
        <w:t>adopted a global approach and have cooperated with foreign proceedings provided (</w:t>
      </w:r>
      <w:proofErr w:type="spellStart"/>
      <w:r w:rsidR="00C219FB" w:rsidRPr="006614B3">
        <w:rPr>
          <w:rFonts w:ascii="Arial" w:hAnsi="Arial" w:cs="Arial"/>
          <w:color w:val="7B7B7B" w:themeColor="accent3" w:themeShade="BF"/>
          <w:sz w:val="22"/>
          <w:szCs w:val="22"/>
          <w:lang w:val="en-GB"/>
        </w:rPr>
        <w:t>i</w:t>
      </w:r>
      <w:proofErr w:type="spellEnd"/>
      <w:r w:rsidR="00C219FB" w:rsidRPr="006614B3">
        <w:rPr>
          <w:rFonts w:ascii="Arial" w:hAnsi="Arial" w:cs="Arial"/>
          <w:color w:val="7B7B7B" w:themeColor="accent3" w:themeShade="BF"/>
          <w:sz w:val="22"/>
          <w:szCs w:val="22"/>
          <w:lang w:val="en-GB"/>
        </w:rPr>
        <w:t xml:space="preserve">) it is in the best interests of the company; and (ii) the foreign court has the closet connection to the business of the company. Although Bermuda is not a party to multilateral treaties, the Bermuda court has issued the Commercial Court Practice Direction No 6 of 2017 which is modelled upon the Singapore Judicial Network Guidelines. This guidance deals with communication between courts and acceptance of foreign process with the view </w:t>
      </w:r>
      <w:r w:rsidR="006614B3">
        <w:rPr>
          <w:rFonts w:ascii="Arial" w:hAnsi="Arial" w:cs="Arial"/>
          <w:color w:val="7B7B7B" w:themeColor="accent3" w:themeShade="BF"/>
          <w:sz w:val="22"/>
          <w:szCs w:val="22"/>
          <w:lang w:val="en-GB"/>
        </w:rPr>
        <w:t>to swiftly and cost efficiently assist in global insolvencies.</w:t>
      </w:r>
    </w:p>
    <w:p w14:paraId="59E6D843" w14:textId="0B26BD7A" w:rsidR="002C108D" w:rsidRPr="006614B3" w:rsidRDefault="002C108D" w:rsidP="00C053F7">
      <w:pPr>
        <w:jc w:val="both"/>
        <w:rPr>
          <w:rFonts w:ascii="Arial" w:hAnsi="Arial" w:cs="Arial"/>
          <w:color w:val="7B7B7B" w:themeColor="accent3" w:themeShade="BF"/>
          <w:sz w:val="22"/>
          <w:szCs w:val="22"/>
          <w:lang w:val="en-GB"/>
        </w:rPr>
      </w:pPr>
    </w:p>
    <w:p w14:paraId="05A06F1E" w14:textId="1E735610" w:rsidR="002C108D" w:rsidRPr="006614B3" w:rsidRDefault="002C108D" w:rsidP="00C053F7">
      <w:pPr>
        <w:jc w:val="both"/>
        <w:rPr>
          <w:rFonts w:ascii="Arial" w:hAnsi="Arial" w:cs="Arial"/>
          <w:color w:val="7B7B7B" w:themeColor="accent3" w:themeShade="BF"/>
          <w:sz w:val="22"/>
          <w:szCs w:val="22"/>
          <w:u w:val="single"/>
          <w:lang w:val="en-GB"/>
        </w:rPr>
      </w:pPr>
      <w:r w:rsidRPr="006614B3">
        <w:rPr>
          <w:rFonts w:ascii="Arial" w:hAnsi="Arial" w:cs="Arial"/>
          <w:color w:val="7B7B7B" w:themeColor="accent3" w:themeShade="BF"/>
          <w:sz w:val="22"/>
          <w:szCs w:val="22"/>
          <w:u w:val="single"/>
          <w:lang w:val="en-GB"/>
        </w:rPr>
        <w:t>Voidable Transactions</w:t>
      </w:r>
    </w:p>
    <w:p w14:paraId="49B9611B" w14:textId="67CF129C" w:rsidR="002C108D" w:rsidRPr="006614B3" w:rsidRDefault="002C108D" w:rsidP="00C053F7">
      <w:pPr>
        <w:jc w:val="both"/>
        <w:rPr>
          <w:rFonts w:ascii="Arial" w:hAnsi="Arial" w:cs="Arial"/>
          <w:color w:val="7B7B7B" w:themeColor="accent3" w:themeShade="BF"/>
          <w:sz w:val="22"/>
          <w:szCs w:val="22"/>
          <w:u w:val="single"/>
          <w:lang w:val="en-GB"/>
        </w:rPr>
      </w:pPr>
    </w:p>
    <w:p w14:paraId="0E09E7A8" w14:textId="0B1E8A3E" w:rsidR="002C108D" w:rsidRPr="006614B3" w:rsidRDefault="002C108D" w:rsidP="00C053F7">
      <w:pPr>
        <w:jc w:val="both"/>
        <w:rPr>
          <w:rFonts w:ascii="Arial" w:hAnsi="Arial" w:cs="Arial"/>
          <w:color w:val="7B7B7B" w:themeColor="accent3" w:themeShade="BF"/>
          <w:sz w:val="22"/>
          <w:szCs w:val="22"/>
          <w:lang w:val="en-GB"/>
        </w:rPr>
      </w:pPr>
      <w:r w:rsidRPr="006614B3">
        <w:rPr>
          <w:rFonts w:ascii="Arial" w:hAnsi="Arial" w:cs="Arial"/>
          <w:color w:val="7B7B7B" w:themeColor="accent3" w:themeShade="BF"/>
          <w:sz w:val="22"/>
          <w:szCs w:val="22"/>
          <w:lang w:val="en-GB"/>
        </w:rPr>
        <w:t>While assessing the company’s financial affairs, the liquidator will need to consider transactions completed 6 months before the presentation of the petition to wind-up the company. Section 237 of the Act provides that any mortgage, conveyance, delivery of goods, payment or other act relating to the property is deemed a fraudulent preference and void. If such transactions exist, the liquidator will have to issue fresh proceedings in the company’s name to recover such property. Suppose the individual or company resides outside of Bermuda, it will be necessary to make an application to the court to serve proceedings outside of the jurisdiction to bring the company/individual within the jurisdiction of the Bermuda Court.</w:t>
      </w:r>
    </w:p>
    <w:p w14:paraId="2DAA19B5" w14:textId="71A8FC88" w:rsidR="002C108D" w:rsidRPr="006614B3" w:rsidRDefault="002C108D" w:rsidP="00C053F7">
      <w:pPr>
        <w:jc w:val="both"/>
        <w:rPr>
          <w:rFonts w:ascii="Arial" w:hAnsi="Arial" w:cs="Arial"/>
          <w:color w:val="7B7B7B" w:themeColor="accent3" w:themeShade="BF"/>
          <w:sz w:val="22"/>
          <w:szCs w:val="22"/>
          <w:lang w:val="en-GB"/>
        </w:rPr>
      </w:pPr>
    </w:p>
    <w:p w14:paraId="7AECEE0E" w14:textId="6F58A5C2" w:rsidR="002C108D" w:rsidRPr="006614B3" w:rsidRDefault="002C108D" w:rsidP="00C053F7">
      <w:pPr>
        <w:jc w:val="both"/>
        <w:rPr>
          <w:rFonts w:ascii="Arial" w:hAnsi="Arial" w:cs="Arial"/>
          <w:color w:val="7B7B7B" w:themeColor="accent3" w:themeShade="BF"/>
          <w:sz w:val="22"/>
          <w:szCs w:val="22"/>
          <w:u w:val="single"/>
          <w:lang w:val="en-GB"/>
        </w:rPr>
      </w:pPr>
      <w:r w:rsidRPr="006614B3">
        <w:rPr>
          <w:rFonts w:ascii="Arial" w:hAnsi="Arial" w:cs="Arial"/>
          <w:color w:val="7B7B7B" w:themeColor="accent3" w:themeShade="BF"/>
          <w:sz w:val="22"/>
          <w:szCs w:val="22"/>
          <w:u w:val="single"/>
          <w:lang w:val="en-GB"/>
        </w:rPr>
        <w:t>Distributions</w:t>
      </w:r>
    </w:p>
    <w:p w14:paraId="36DBF166" w14:textId="2EC89B84" w:rsidR="002C108D" w:rsidRPr="006614B3" w:rsidRDefault="002C108D" w:rsidP="00C053F7">
      <w:pPr>
        <w:jc w:val="both"/>
        <w:rPr>
          <w:rFonts w:ascii="Arial" w:hAnsi="Arial" w:cs="Arial"/>
          <w:color w:val="7B7B7B" w:themeColor="accent3" w:themeShade="BF"/>
          <w:sz w:val="22"/>
          <w:szCs w:val="22"/>
          <w:u w:val="single"/>
          <w:lang w:val="en-GB"/>
        </w:rPr>
      </w:pPr>
    </w:p>
    <w:p w14:paraId="5F1A3328" w14:textId="5C819C98" w:rsidR="001A7CBC" w:rsidRPr="006614B3" w:rsidRDefault="002C108D" w:rsidP="00C053F7">
      <w:pPr>
        <w:jc w:val="both"/>
        <w:rPr>
          <w:rFonts w:ascii="Arial" w:hAnsi="Arial" w:cs="Arial"/>
          <w:color w:val="7B7B7B" w:themeColor="accent3" w:themeShade="BF"/>
          <w:sz w:val="22"/>
          <w:szCs w:val="22"/>
          <w:lang w:val="en-GB"/>
        </w:rPr>
      </w:pPr>
      <w:r w:rsidRPr="006614B3">
        <w:rPr>
          <w:rFonts w:ascii="Arial" w:hAnsi="Arial" w:cs="Arial"/>
          <w:color w:val="7B7B7B" w:themeColor="accent3" w:themeShade="BF"/>
          <w:sz w:val="22"/>
          <w:szCs w:val="22"/>
          <w:lang w:val="en-GB"/>
        </w:rPr>
        <w:t xml:space="preserve">In Bermuda, the funds available for distribution to the company’s unsecured creditors is on a </w:t>
      </w:r>
      <w:proofErr w:type="spellStart"/>
      <w:r w:rsidRPr="006614B3">
        <w:rPr>
          <w:rFonts w:ascii="Arial" w:hAnsi="Arial" w:cs="Arial"/>
          <w:i/>
          <w:color w:val="7B7B7B" w:themeColor="accent3" w:themeShade="BF"/>
          <w:sz w:val="22"/>
          <w:szCs w:val="22"/>
          <w:lang w:val="en-GB"/>
        </w:rPr>
        <w:t>pari</w:t>
      </w:r>
      <w:proofErr w:type="spellEnd"/>
      <w:r w:rsidRPr="006614B3">
        <w:rPr>
          <w:rFonts w:ascii="Arial" w:hAnsi="Arial" w:cs="Arial"/>
          <w:i/>
          <w:color w:val="7B7B7B" w:themeColor="accent3" w:themeShade="BF"/>
          <w:sz w:val="22"/>
          <w:szCs w:val="22"/>
          <w:lang w:val="en-GB"/>
        </w:rPr>
        <w:t xml:space="preserve"> </w:t>
      </w:r>
      <w:proofErr w:type="spellStart"/>
      <w:r w:rsidRPr="006614B3">
        <w:rPr>
          <w:rFonts w:ascii="Arial" w:hAnsi="Arial" w:cs="Arial"/>
          <w:i/>
          <w:color w:val="7B7B7B" w:themeColor="accent3" w:themeShade="BF"/>
          <w:sz w:val="22"/>
          <w:szCs w:val="22"/>
          <w:lang w:val="en-GB"/>
        </w:rPr>
        <w:t>passu</w:t>
      </w:r>
      <w:proofErr w:type="spellEnd"/>
      <w:r w:rsidRPr="006614B3">
        <w:rPr>
          <w:rFonts w:ascii="Arial" w:hAnsi="Arial" w:cs="Arial"/>
          <w:i/>
          <w:color w:val="7B7B7B" w:themeColor="accent3" w:themeShade="BF"/>
          <w:sz w:val="22"/>
          <w:szCs w:val="22"/>
          <w:lang w:val="en-GB"/>
        </w:rPr>
        <w:t xml:space="preserve"> </w:t>
      </w:r>
      <w:r w:rsidRPr="006614B3">
        <w:rPr>
          <w:rFonts w:ascii="Arial" w:hAnsi="Arial" w:cs="Arial"/>
          <w:color w:val="7B7B7B" w:themeColor="accent3" w:themeShade="BF"/>
          <w:sz w:val="22"/>
          <w:szCs w:val="22"/>
          <w:lang w:val="en-GB"/>
        </w:rPr>
        <w:t xml:space="preserve">basis. Notwithstanding the foregoing, section 236 of the Act provides for preferential payments, which shall be paid as a priority out of all the company debts. In this case, where the company’s creditors include revenue authorities or employees, due regard must be given to section 236. </w:t>
      </w:r>
      <w:r w:rsidR="001A7CBC" w:rsidRPr="006614B3">
        <w:rPr>
          <w:rFonts w:ascii="Arial" w:hAnsi="Arial" w:cs="Arial"/>
          <w:color w:val="7B7B7B" w:themeColor="accent3" w:themeShade="BF"/>
          <w:sz w:val="22"/>
          <w:szCs w:val="22"/>
          <w:lang w:val="en-GB"/>
        </w:rPr>
        <w:t>Preferential payments under the Act are as follows</w:t>
      </w:r>
      <w:r w:rsidR="001A7CBC" w:rsidRPr="006614B3">
        <w:rPr>
          <w:rStyle w:val="FootnoteReference"/>
          <w:rFonts w:ascii="Arial" w:hAnsi="Arial" w:cs="Arial"/>
          <w:color w:val="7B7B7B" w:themeColor="accent3" w:themeShade="BF"/>
          <w:sz w:val="22"/>
          <w:szCs w:val="22"/>
          <w:lang w:val="en-GB"/>
        </w:rPr>
        <w:footnoteReference w:id="14"/>
      </w:r>
      <w:r w:rsidR="001A7CBC" w:rsidRPr="006614B3">
        <w:rPr>
          <w:rFonts w:ascii="Arial" w:hAnsi="Arial" w:cs="Arial"/>
          <w:color w:val="7B7B7B" w:themeColor="accent3" w:themeShade="BF"/>
          <w:sz w:val="22"/>
          <w:szCs w:val="22"/>
          <w:lang w:val="en-GB"/>
        </w:rPr>
        <w:t>:</w:t>
      </w:r>
    </w:p>
    <w:p w14:paraId="05C3C2FE" w14:textId="77777777" w:rsidR="001A7CBC" w:rsidRPr="006614B3" w:rsidRDefault="001A7CBC" w:rsidP="001A7CBC">
      <w:pPr>
        <w:pStyle w:val="ListParagraph"/>
        <w:numPr>
          <w:ilvl w:val="0"/>
          <w:numId w:val="27"/>
        </w:numPr>
        <w:jc w:val="both"/>
        <w:rPr>
          <w:rFonts w:ascii="Arial" w:hAnsi="Arial" w:cs="Arial"/>
          <w:color w:val="7B7B7B" w:themeColor="accent3" w:themeShade="BF"/>
          <w:sz w:val="22"/>
          <w:szCs w:val="22"/>
          <w:lang w:val="en-GB"/>
        </w:rPr>
      </w:pPr>
      <w:r w:rsidRPr="006614B3">
        <w:rPr>
          <w:rFonts w:ascii="Arial" w:hAnsi="Arial" w:cs="Arial"/>
          <w:color w:val="7B7B7B" w:themeColor="accent3" w:themeShade="BF"/>
          <w:sz w:val="22"/>
          <w:szCs w:val="22"/>
          <w:lang w:val="en-GB"/>
        </w:rPr>
        <w:t>All taxed owing to the government;</w:t>
      </w:r>
    </w:p>
    <w:p w14:paraId="127AFF6D" w14:textId="77777777" w:rsidR="001A7CBC" w:rsidRPr="006614B3" w:rsidRDefault="001A7CBC" w:rsidP="001A7CBC">
      <w:pPr>
        <w:pStyle w:val="ListParagraph"/>
        <w:numPr>
          <w:ilvl w:val="0"/>
          <w:numId w:val="27"/>
        </w:numPr>
        <w:jc w:val="both"/>
        <w:rPr>
          <w:rFonts w:ascii="Arial" w:hAnsi="Arial" w:cs="Arial"/>
          <w:color w:val="7B7B7B" w:themeColor="accent3" w:themeShade="BF"/>
          <w:sz w:val="22"/>
          <w:szCs w:val="22"/>
          <w:lang w:val="en-GB"/>
        </w:rPr>
      </w:pPr>
      <w:r w:rsidRPr="006614B3">
        <w:rPr>
          <w:rFonts w:ascii="Arial" w:hAnsi="Arial" w:cs="Arial"/>
          <w:color w:val="7B7B7B" w:themeColor="accent3" w:themeShade="BF"/>
          <w:sz w:val="22"/>
          <w:szCs w:val="22"/>
          <w:lang w:val="en-GB"/>
        </w:rPr>
        <w:t>All wages or salaries to employees for services rendered to the company 4 months before the relevant date (</w:t>
      </w:r>
      <w:proofErr w:type="spellStart"/>
      <w:r w:rsidRPr="006614B3">
        <w:rPr>
          <w:rFonts w:ascii="Arial" w:hAnsi="Arial" w:cs="Arial"/>
          <w:color w:val="7B7B7B" w:themeColor="accent3" w:themeShade="BF"/>
          <w:sz w:val="22"/>
          <w:szCs w:val="22"/>
          <w:lang w:val="en-GB"/>
        </w:rPr>
        <w:t>i.e</w:t>
      </w:r>
      <w:proofErr w:type="spellEnd"/>
      <w:r w:rsidRPr="006614B3">
        <w:rPr>
          <w:rFonts w:ascii="Arial" w:hAnsi="Arial" w:cs="Arial"/>
          <w:color w:val="7B7B7B" w:themeColor="accent3" w:themeShade="BF"/>
          <w:sz w:val="22"/>
          <w:szCs w:val="22"/>
          <w:lang w:val="en-GB"/>
        </w:rPr>
        <w:t xml:space="preserve"> the date the company is wound up);</w:t>
      </w:r>
    </w:p>
    <w:p w14:paraId="6F3D19DE" w14:textId="77777777" w:rsidR="001A7CBC" w:rsidRPr="006614B3" w:rsidRDefault="001A7CBC" w:rsidP="001A7CBC">
      <w:pPr>
        <w:pStyle w:val="ListParagraph"/>
        <w:numPr>
          <w:ilvl w:val="0"/>
          <w:numId w:val="27"/>
        </w:numPr>
        <w:jc w:val="both"/>
        <w:rPr>
          <w:rFonts w:ascii="Arial" w:hAnsi="Arial" w:cs="Arial"/>
          <w:color w:val="7B7B7B" w:themeColor="accent3" w:themeShade="BF"/>
          <w:sz w:val="22"/>
          <w:szCs w:val="22"/>
          <w:lang w:val="en-GB"/>
        </w:rPr>
      </w:pPr>
      <w:r w:rsidRPr="006614B3">
        <w:rPr>
          <w:rFonts w:ascii="Arial" w:hAnsi="Arial" w:cs="Arial"/>
          <w:color w:val="7B7B7B" w:themeColor="accent3" w:themeShade="BF"/>
          <w:sz w:val="22"/>
          <w:szCs w:val="22"/>
          <w:lang w:val="en-GB"/>
        </w:rPr>
        <w:t>All accrued holiday remuneration payable on the termination of employment before or by the date of the winding-up order; and</w:t>
      </w:r>
    </w:p>
    <w:p w14:paraId="6102D90A" w14:textId="5DC7FEAA" w:rsidR="002C108D" w:rsidRPr="006614B3" w:rsidRDefault="001A7CBC" w:rsidP="001A7CBC">
      <w:pPr>
        <w:pStyle w:val="ListParagraph"/>
        <w:numPr>
          <w:ilvl w:val="0"/>
          <w:numId w:val="27"/>
        </w:numPr>
        <w:jc w:val="both"/>
        <w:rPr>
          <w:rFonts w:ascii="Arial" w:hAnsi="Arial" w:cs="Arial"/>
          <w:color w:val="7B7B7B" w:themeColor="accent3" w:themeShade="BF"/>
          <w:sz w:val="22"/>
          <w:szCs w:val="22"/>
          <w:lang w:val="en-GB"/>
        </w:rPr>
      </w:pPr>
      <w:r w:rsidRPr="006614B3">
        <w:rPr>
          <w:rFonts w:ascii="Arial" w:hAnsi="Arial" w:cs="Arial"/>
          <w:color w:val="7B7B7B" w:themeColor="accent3" w:themeShade="BF"/>
          <w:sz w:val="22"/>
          <w:szCs w:val="22"/>
          <w:lang w:val="en-GB"/>
        </w:rPr>
        <w:t>All monies owing in respect of pension payments or any insurance contract unless the company is being wound up voluntarily</w:t>
      </w:r>
      <w:r w:rsidR="002C108D" w:rsidRPr="006614B3">
        <w:rPr>
          <w:rFonts w:ascii="Arial" w:hAnsi="Arial" w:cs="Arial"/>
          <w:color w:val="7B7B7B" w:themeColor="accent3" w:themeShade="BF"/>
          <w:sz w:val="22"/>
          <w:szCs w:val="22"/>
          <w:lang w:val="en-GB"/>
        </w:rPr>
        <w:t xml:space="preserve"> </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F664" w14:textId="77777777" w:rsidR="00613C10" w:rsidRDefault="00613C10" w:rsidP="00241B44">
      <w:r>
        <w:separator/>
      </w:r>
    </w:p>
  </w:endnote>
  <w:endnote w:type="continuationSeparator" w:id="0">
    <w:p w14:paraId="6F9FC0CF" w14:textId="77777777" w:rsidR="00613C10" w:rsidRDefault="00613C1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09A1043B" w:rsidR="00AD6A7D" w:rsidRPr="00F44220" w:rsidRDefault="006614B3" w:rsidP="00AD6A7D">
    <w:pPr>
      <w:pStyle w:val="Footer"/>
      <w:ind w:right="360"/>
      <w:rPr>
        <w:rFonts w:ascii="Arial" w:hAnsi="Arial" w:cs="Arial"/>
        <w:sz w:val="18"/>
        <w:szCs w:val="18"/>
      </w:rPr>
    </w:pPr>
    <w:r>
      <w:rPr>
        <w:rFonts w:ascii="Arial" w:hAnsi="Arial" w:cs="Arial"/>
        <w:sz w:val="18"/>
        <w:szCs w:val="18"/>
      </w:rPr>
      <w:t xml:space="preserve">202122-544 </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9F2C5" w14:textId="77777777" w:rsidR="00613C10" w:rsidRDefault="00613C10" w:rsidP="00241B44">
      <w:r>
        <w:separator/>
      </w:r>
    </w:p>
  </w:footnote>
  <w:footnote w:type="continuationSeparator" w:id="0">
    <w:p w14:paraId="1DB05EB2" w14:textId="77777777" w:rsidR="00613C10" w:rsidRDefault="00613C10" w:rsidP="00241B44">
      <w:r>
        <w:continuationSeparator/>
      </w:r>
    </w:p>
  </w:footnote>
  <w:footnote w:id="1">
    <w:p w14:paraId="091D038B" w14:textId="479F554D" w:rsidR="002C7A51" w:rsidRDefault="002C7A51">
      <w:pPr>
        <w:pStyle w:val="FootnoteText"/>
      </w:pPr>
      <w:r>
        <w:rPr>
          <w:rStyle w:val="FootnoteReference"/>
        </w:rPr>
        <w:footnoteRef/>
      </w:r>
      <w:r>
        <w:t xml:space="preserve"> </w:t>
      </w:r>
      <w:proofErr w:type="gramStart"/>
      <w:r w:rsidR="006614B3">
        <w:t xml:space="preserve">Module </w:t>
      </w:r>
      <w:r>
        <w:t xml:space="preserve"> 1</w:t>
      </w:r>
      <w:proofErr w:type="gramEnd"/>
      <w:r>
        <w:t xml:space="preserve"> at page 28 5.2.3</w:t>
      </w:r>
    </w:p>
  </w:footnote>
  <w:footnote w:id="2">
    <w:p w14:paraId="79E79BD1" w14:textId="1A0A6BAC" w:rsidR="0071291B" w:rsidRDefault="0071291B">
      <w:pPr>
        <w:pStyle w:val="FootnoteText"/>
      </w:pPr>
      <w:r>
        <w:rPr>
          <w:rStyle w:val="FootnoteReference"/>
        </w:rPr>
        <w:footnoteRef/>
      </w:r>
      <w:r>
        <w:t xml:space="preserve"> </w:t>
      </w:r>
      <w:hyperlink r:id="rId1" w:history="1">
        <w:r w:rsidRPr="0071291B">
          <w:rPr>
            <w:rStyle w:val="Hyperlink"/>
          </w:rPr>
          <w:t>Http://www.whitecase.com/plublications/alert/Saudi-bankruptcy-law-sesmic</w:t>
        </w:r>
      </w:hyperlink>
      <w:r w:rsidRPr="0071291B">
        <w:t>-shift</w:t>
      </w:r>
    </w:p>
  </w:footnote>
  <w:footnote w:id="3">
    <w:p w14:paraId="606AE7BF" w14:textId="61AAFAC0" w:rsidR="00C8799B" w:rsidRDefault="00C8799B">
      <w:pPr>
        <w:pStyle w:val="FootnoteText"/>
      </w:pPr>
      <w:r>
        <w:rPr>
          <w:rStyle w:val="FootnoteReference"/>
        </w:rPr>
        <w:footnoteRef/>
      </w:r>
      <w:r>
        <w:t xml:space="preserve"> </w:t>
      </w:r>
      <w:r>
        <w:rPr>
          <w:rStyle w:val="FootnoteReference"/>
        </w:rPr>
        <w:footnoteRef/>
      </w:r>
      <w:r>
        <w:t xml:space="preserve"> </w:t>
      </w:r>
      <w:r w:rsidRPr="008111FF">
        <w:t>https://www.nortonrosefulbright.com/en/knowledge/publications/97324a48/the-new-uae-bankruptcy-law</w:t>
      </w:r>
    </w:p>
  </w:footnote>
  <w:footnote w:id="4">
    <w:p w14:paraId="7305D17D" w14:textId="785E6762" w:rsidR="00C8799B" w:rsidRDefault="00C8799B">
      <w:pPr>
        <w:pStyle w:val="FootnoteText"/>
      </w:pPr>
      <w:r>
        <w:rPr>
          <w:rStyle w:val="FootnoteReference"/>
        </w:rPr>
        <w:footnoteRef/>
      </w:r>
      <w:r>
        <w:t xml:space="preserve"> </w:t>
      </w:r>
      <w:r w:rsidRPr="00046450">
        <w:t>https://www.clearygottlieb.com/-/media/files/emrj-materials/issue-9-2018/bahrains-new-bankruptcy-law-pdf.pdf</w:t>
      </w:r>
    </w:p>
  </w:footnote>
  <w:footnote w:id="5">
    <w:p w14:paraId="26E70F9D" w14:textId="5F24FCCB" w:rsidR="00A35F15" w:rsidRDefault="00A35F15">
      <w:pPr>
        <w:pStyle w:val="FootnoteText"/>
      </w:pPr>
      <w:r>
        <w:rPr>
          <w:rStyle w:val="FootnoteReference"/>
        </w:rPr>
        <w:footnoteRef/>
      </w:r>
      <w:r>
        <w:t xml:space="preserve"> </w:t>
      </w:r>
      <w:hyperlink r:id="rId2" w:history="1">
        <w:r w:rsidRPr="00657439">
          <w:rPr>
            <w:rStyle w:val="Hyperlink"/>
          </w:rPr>
          <w:t>https://prodstoragesam.blob.core.windows.net/highq/2537123/insolvency-review-sixth-edition-2018-england-wales.pdf</w:t>
        </w:r>
      </w:hyperlink>
      <w:r>
        <w:t xml:space="preserve"> at Viii</w:t>
      </w:r>
    </w:p>
  </w:footnote>
  <w:footnote w:id="6">
    <w:p w14:paraId="53C42813" w14:textId="32D39B74" w:rsidR="00C9538A" w:rsidRDefault="00C9538A">
      <w:pPr>
        <w:pStyle w:val="FootnoteText"/>
      </w:pPr>
      <w:r>
        <w:rPr>
          <w:rStyle w:val="FootnoteReference"/>
        </w:rPr>
        <w:footnoteRef/>
      </w:r>
      <w:r>
        <w:t xml:space="preserve"> Module 1 at page 45</w:t>
      </w:r>
    </w:p>
  </w:footnote>
  <w:footnote w:id="7">
    <w:p w14:paraId="2B9A1E13" w14:textId="058D06B2" w:rsidR="006614B3" w:rsidRDefault="006614B3">
      <w:pPr>
        <w:pStyle w:val="FootnoteText"/>
      </w:pPr>
      <w:r>
        <w:rPr>
          <w:rStyle w:val="FootnoteReference"/>
        </w:rPr>
        <w:footnoteRef/>
      </w:r>
      <w:r>
        <w:t xml:space="preserve"> Module 1 at </w:t>
      </w:r>
      <w:proofErr w:type="spellStart"/>
      <w:r>
        <w:t>pg</w:t>
      </w:r>
      <w:proofErr w:type="spellEnd"/>
      <w:r>
        <w:t xml:space="preserve"> 62 5.4.3.2</w:t>
      </w:r>
    </w:p>
  </w:footnote>
  <w:footnote w:id="8">
    <w:p w14:paraId="477DE235" w14:textId="60234AFD" w:rsidR="00127B88" w:rsidRDefault="00127B88">
      <w:pPr>
        <w:pStyle w:val="FootnoteText"/>
      </w:pPr>
      <w:r>
        <w:rPr>
          <w:rStyle w:val="FootnoteReference"/>
        </w:rPr>
        <w:footnoteRef/>
      </w:r>
      <w:r>
        <w:t xml:space="preserve"> See Article 15(2)(a)</w:t>
      </w:r>
    </w:p>
  </w:footnote>
  <w:footnote w:id="9">
    <w:p w14:paraId="25F96169" w14:textId="378F0D69" w:rsidR="00127B88" w:rsidRDefault="00127B88">
      <w:pPr>
        <w:pStyle w:val="FootnoteText"/>
      </w:pPr>
      <w:r>
        <w:rPr>
          <w:rStyle w:val="FootnoteReference"/>
        </w:rPr>
        <w:footnoteRef/>
      </w:r>
      <w:r>
        <w:t xml:space="preserve"> See Article 15(3)</w:t>
      </w:r>
    </w:p>
  </w:footnote>
  <w:footnote w:id="10">
    <w:p w14:paraId="2FD721F3" w14:textId="48BB6C96" w:rsidR="00127B88" w:rsidRDefault="00127B88">
      <w:pPr>
        <w:pStyle w:val="FootnoteText"/>
      </w:pPr>
      <w:r>
        <w:rPr>
          <w:rStyle w:val="FootnoteReference"/>
        </w:rPr>
        <w:footnoteRef/>
      </w:r>
      <w:r>
        <w:t xml:space="preserve"> See Article 17(2)(a)</w:t>
      </w:r>
    </w:p>
  </w:footnote>
  <w:footnote w:id="11">
    <w:p w14:paraId="22025170" w14:textId="69D37DEA" w:rsidR="00127B88" w:rsidRDefault="00127B88">
      <w:pPr>
        <w:pStyle w:val="FootnoteText"/>
      </w:pPr>
      <w:r>
        <w:rPr>
          <w:rStyle w:val="FootnoteReference"/>
        </w:rPr>
        <w:footnoteRef/>
      </w:r>
      <w:r>
        <w:t xml:space="preserve"> See Article 12(2)(b)</w:t>
      </w:r>
    </w:p>
  </w:footnote>
  <w:footnote w:id="12">
    <w:p w14:paraId="18415494" w14:textId="7B7C2DDA" w:rsidR="001A7CBC" w:rsidRDefault="001A7CBC">
      <w:pPr>
        <w:pStyle w:val="FootnoteText"/>
      </w:pPr>
      <w:r>
        <w:rPr>
          <w:rStyle w:val="FootnoteReference"/>
        </w:rPr>
        <w:footnoteRef/>
      </w:r>
      <w:r>
        <w:t xml:space="preserve"> </w:t>
      </w:r>
      <w:r w:rsidRPr="001A7CBC">
        <w:t>http://www.gov.bm/sites/default/files/Reasons-RE-Energy-XXI-LTD.pdf</w:t>
      </w:r>
    </w:p>
  </w:footnote>
  <w:footnote w:id="13">
    <w:p w14:paraId="3D0118DD" w14:textId="74DDA6C4" w:rsidR="00C219FB" w:rsidRPr="00C219FB" w:rsidRDefault="00C219FB">
      <w:pPr>
        <w:pStyle w:val="FootnoteText"/>
        <w:rPr>
          <w:i/>
        </w:rPr>
      </w:pPr>
      <w:r>
        <w:rPr>
          <w:rStyle w:val="FootnoteReference"/>
        </w:rPr>
        <w:footnoteRef/>
      </w:r>
      <w:r>
        <w:t xml:space="preserve"> Practical law </w:t>
      </w:r>
      <w:r>
        <w:rPr>
          <w:i/>
        </w:rPr>
        <w:t>Restructuring and Insolvency in Bermuda: an overview</w:t>
      </w:r>
    </w:p>
  </w:footnote>
  <w:footnote w:id="14">
    <w:p w14:paraId="73614F14" w14:textId="18216D10" w:rsidR="001A7CBC" w:rsidRDefault="001A7CBC">
      <w:pPr>
        <w:pStyle w:val="FootnoteText"/>
      </w:pPr>
      <w:r>
        <w:rPr>
          <w:rStyle w:val="FootnoteReference"/>
        </w:rPr>
        <w:footnoteRef/>
      </w:r>
      <w:r>
        <w:t xml:space="preserve"> See section 236 of the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B4D0D75"/>
    <w:multiLevelType w:val="hybridMultilevel"/>
    <w:tmpl w:val="822AEF96"/>
    <w:lvl w:ilvl="0" w:tplc="5792033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47081"/>
    <w:multiLevelType w:val="hybridMultilevel"/>
    <w:tmpl w:val="56A6A778"/>
    <w:lvl w:ilvl="0" w:tplc="AFD03FE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6C5D74"/>
    <w:multiLevelType w:val="hybridMultilevel"/>
    <w:tmpl w:val="139A7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6540F26"/>
    <w:multiLevelType w:val="hybridMultilevel"/>
    <w:tmpl w:val="8C32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210F8E"/>
    <w:multiLevelType w:val="hybridMultilevel"/>
    <w:tmpl w:val="4646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E765B"/>
    <w:multiLevelType w:val="hybridMultilevel"/>
    <w:tmpl w:val="C8A8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4"/>
  </w:num>
  <w:num w:numId="3">
    <w:abstractNumId w:val="6"/>
  </w:num>
  <w:num w:numId="4">
    <w:abstractNumId w:val="3"/>
  </w:num>
  <w:num w:numId="5">
    <w:abstractNumId w:val="9"/>
  </w:num>
  <w:num w:numId="6">
    <w:abstractNumId w:val="19"/>
  </w:num>
  <w:num w:numId="7">
    <w:abstractNumId w:val="26"/>
  </w:num>
  <w:num w:numId="8">
    <w:abstractNumId w:val="17"/>
  </w:num>
  <w:num w:numId="9">
    <w:abstractNumId w:val="5"/>
  </w:num>
  <w:num w:numId="10">
    <w:abstractNumId w:val="8"/>
  </w:num>
  <w:num w:numId="11">
    <w:abstractNumId w:val="7"/>
  </w:num>
  <w:num w:numId="12">
    <w:abstractNumId w:val="4"/>
  </w:num>
  <w:num w:numId="13">
    <w:abstractNumId w:val="13"/>
  </w:num>
  <w:num w:numId="14">
    <w:abstractNumId w:val="0"/>
  </w:num>
  <w:num w:numId="15">
    <w:abstractNumId w:val="1"/>
  </w:num>
  <w:num w:numId="16">
    <w:abstractNumId w:val="15"/>
  </w:num>
  <w:num w:numId="17">
    <w:abstractNumId w:val="12"/>
  </w:num>
  <w:num w:numId="18">
    <w:abstractNumId w:val="23"/>
  </w:num>
  <w:num w:numId="19">
    <w:abstractNumId w:val="20"/>
  </w:num>
  <w:num w:numId="20">
    <w:abstractNumId w:val="27"/>
  </w:num>
  <w:num w:numId="21">
    <w:abstractNumId w:val="21"/>
  </w:num>
  <w:num w:numId="22">
    <w:abstractNumId w:val="10"/>
  </w:num>
  <w:num w:numId="23">
    <w:abstractNumId w:val="25"/>
  </w:num>
  <w:num w:numId="24">
    <w:abstractNumId w:val="14"/>
  </w:num>
  <w:num w:numId="25">
    <w:abstractNumId w:val="16"/>
  </w:num>
  <w:num w:numId="26">
    <w:abstractNumId w:val="18"/>
  </w:num>
  <w:num w:numId="27">
    <w:abstractNumId w:val="11"/>
  </w:num>
  <w:num w:numId="2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27B88"/>
    <w:rsid w:val="0014622C"/>
    <w:rsid w:val="00152348"/>
    <w:rsid w:val="0015456D"/>
    <w:rsid w:val="00161F1B"/>
    <w:rsid w:val="00162829"/>
    <w:rsid w:val="00180548"/>
    <w:rsid w:val="00180CCE"/>
    <w:rsid w:val="0018267A"/>
    <w:rsid w:val="00182779"/>
    <w:rsid w:val="001830DF"/>
    <w:rsid w:val="001966D9"/>
    <w:rsid w:val="001A7CBC"/>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08D"/>
    <w:rsid w:val="002C13C8"/>
    <w:rsid w:val="002C1671"/>
    <w:rsid w:val="002C3547"/>
    <w:rsid w:val="002C7A51"/>
    <w:rsid w:val="002D0021"/>
    <w:rsid w:val="002D31CD"/>
    <w:rsid w:val="002D3473"/>
    <w:rsid w:val="002E59D5"/>
    <w:rsid w:val="002F1956"/>
    <w:rsid w:val="002F3440"/>
    <w:rsid w:val="002F75A3"/>
    <w:rsid w:val="00303C2F"/>
    <w:rsid w:val="0031070A"/>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49CE"/>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39C4"/>
    <w:rsid w:val="00575B2D"/>
    <w:rsid w:val="005833D0"/>
    <w:rsid w:val="005846F3"/>
    <w:rsid w:val="0058622F"/>
    <w:rsid w:val="00592F82"/>
    <w:rsid w:val="005A0CCA"/>
    <w:rsid w:val="005A726D"/>
    <w:rsid w:val="005B67AC"/>
    <w:rsid w:val="005D43E0"/>
    <w:rsid w:val="005D58A3"/>
    <w:rsid w:val="005E1B79"/>
    <w:rsid w:val="005F026D"/>
    <w:rsid w:val="005F2517"/>
    <w:rsid w:val="005F2D0B"/>
    <w:rsid w:val="005F4B31"/>
    <w:rsid w:val="005F6250"/>
    <w:rsid w:val="00610388"/>
    <w:rsid w:val="00612CA5"/>
    <w:rsid w:val="00613C10"/>
    <w:rsid w:val="006153EC"/>
    <w:rsid w:val="00621A17"/>
    <w:rsid w:val="00627CC9"/>
    <w:rsid w:val="00627E7B"/>
    <w:rsid w:val="00630542"/>
    <w:rsid w:val="00632E44"/>
    <w:rsid w:val="00634622"/>
    <w:rsid w:val="00636110"/>
    <w:rsid w:val="00636808"/>
    <w:rsid w:val="00641515"/>
    <w:rsid w:val="00654C2F"/>
    <w:rsid w:val="00657087"/>
    <w:rsid w:val="006614B3"/>
    <w:rsid w:val="006662CD"/>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291B"/>
    <w:rsid w:val="00713DA4"/>
    <w:rsid w:val="00714BF1"/>
    <w:rsid w:val="00721383"/>
    <w:rsid w:val="007333CC"/>
    <w:rsid w:val="0073399A"/>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12B30"/>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35F15"/>
    <w:rsid w:val="00A407EF"/>
    <w:rsid w:val="00A458BE"/>
    <w:rsid w:val="00A46B4C"/>
    <w:rsid w:val="00A5117B"/>
    <w:rsid w:val="00A54909"/>
    <w:rsid w:val="00A60074"/>
    <w:rsid w:val="00A6627C"/>
    <w:rsid w:val="00A71019"/>
    <w:rsid w:val="00A81029"/>
    <w:rsid w:val="00A83A2F"/>
    <w:rsid w:val="00A91876"/>
    <w:rsid w:val="00A96489"/>
    <w:rsid w:val="00A97725"/>
    <w:rsid w:val="00AB685C"/>
    <w:rsid w:val="00AB6C2D"/>
    <w:rsid w:val="00AC3839"/>
    <w:rsid w:val="00AC7082"/>
    <w:rsid w:val="00AD6A7D"/>
    <w:rsid w:val="00AF228E"/>
    <w:rsid w:val="00B13F2D"/>
    <w:rsid w:val="00B14819"/>
    <w:rsid w:val="00B17AA9"/>
    <w:rsid w:val="00B72AE1"/>
    <w:rsid w:val="00B736DF"/>
    <w:rsid w:val="00B74FBD"/>
    <w:rsid w:val="00B82586"/>
    <w:rsid w:val="00B86DB1"/>
    <w:rsid w:val="00B87869"/>
    <w:rsid w:val="00BB0F2B"/>
    <w:rsid w:val="00BD47D7"/>
    <w:rsid w:val="00BF1C6F"/>
    <w:rsid w:val="00BF50F7"/>
    <w:rsid w:val="00C02F29"/>
    <w:rsid w:val="00C053F7"/>
    <w:rsid w:val="00C219FB"/>
    <w:rsid w:val="00C22A25"/>
    <w:rsid w:val="00C33C6C"/>
    <w:rsid w:val="00C35671"/>
    <w:rsid w:val="00C35B77"/>
    <w:rsid w:val="00C376EB"/>
    <w:rsid w:val="00C46EC1"/>
    <w:rsid w:val="00C53E2C"/>
    <w:rsid w:val="00C550C8"/>
    <w:rsid w:val="00C606C3"/>
    <w:rsid w:val="00C72848"/>
    <w:rsid w:val="00C7736C"/>
    <w:rsid w:val="00C82D87"/>
    <w:rsid w:val="00C8712A"/>
    <w:rsid w:val="00C8799B"/>
    <w:rsid w:val="00C9538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3360C"/>
    <w:rsid w:val="00D63EFD"/>
    <w:rsid w:val="00D66051"/>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3F29"/>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712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rodstoragesam.blob.core.windows.net/highq/2537123/insolvency-review-sixth-edition-2018-england-wales.pdf" TargetMode="External"/><Relationship Id="rId1" Type="http://schemas.openxmlformats.org/officeDocument/2006/relationships/hyperlink" Target="Http://www.whitecase.com/plublications/alert/Saudi-bankruptcy-law-ses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2F648-2FE1-E243-ACAD-C9461675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4418</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2019-09-04T15:45:00Z</cp:lastPrinted>
  <dcterms:created xsi:type="dcterms:W3CDTF">2021-10-11T00:07:00Z</dcterms:created>
  <dcterms:modified xsi:type="dcterms:W3CDTF">2021-10-13T22:30:00Z</dcterms:modified>
</cp:coreProperties>
</file>