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5B517C" w:rsidRDefault="00C7729F" w:rsidP="003C4BCB">
      <w:pPr>
        <w:pStyle w:val="ListParagraph"/>
        <w:numPr>
          <w:ilvl w:val="0"/>
          <w:numId w:val="2"/>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5B517C">
        <w:rPr>
          <w:rFonts w:ascii="Arial" w:hAnsi="Arial" w:cs="Arial"/>
          <w:sz w:val="22"/>
          <w:szCs w:val="22"/>
          <w:highlight w:val="yellow"/>
          <w:lang w:val="en-GB"/>
        </w:rPr>
        <w:t>1960s,</w:t>
      </w:r>
      <w:r w:rsidRPr="005B517C">
        <w:rPr>
          <w:rFonts w:ascii="Arial" w:hAnsi="Arial" w:cs="Arial"/>
          <w:sz w:val="22"/>
          <w:szCs w:val="22"/>
          <w:highlight w:val="yellow"/>
          <w:lang w:val="en-GB"/>
        </w:rPr>
        <w:t xml:space="preserve"> but these initiatives failed.</w:t>
      </w:r>
    </w:p>
    <w:p w14:paraId="25EB1E9D" w14:textId="77E18A8C" w:rsidR="005B79F4" w:rsidRPr="005B517C" w:rsidRDefault="005B79F4" w:rsidP="00C7729F">
      <w:pPr>
        <w:jc w:val="both"/>
        <w:rPr>
          <w:rFonts w:ascii="Arial" w:hAnsi="Arial" w:cs="Arial"/>
          <w:sz w:val="22"/>
          <w:szCs w:val="22"/>
          <w:lang w:val="en-GB"/>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5B517C" w:rsidRDefault="00BB38D1" w:rsidP="003C4BCB">
      <w:pPr>
        <w:pStyle w:val="ListParagraph"/>
        <w:numPr>
          <w:ilvl w:val="0"/>
          <w:numId w:val="3"/>
        </w:numPr>
        <w:ind w:left="426"/>
        <w:jc w:val="both"/>
        <w:rPr>
          <w:rFonts w:ascii="Arial" w:hAnsi="Arial" w:cs="Arial"/>
          <w:iCs/>
          <w:sz w:val="22"/>
          <w:szCs w:val="22"/>
          <w:highlight w:val="yellow"/>
          <w:lang w:val="en-GB"/>
        </w:rPr>
      </w:pPr>
      <w:r w:rsidRPr="005B517C">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5B517C" w:rsidRDefault="00967219" w:rsidP="003C4BCB">
      <w:pPr>
        <w:pStyle w:val="ListParagraph"/>
        <w:numPr>
          <w:ilvl w:val="0"/>
          <w:numId w:val="4"/>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Article 31 EIR Recast (“</w:t>
      </w:r>
      <w:r w:rsidRPr="005B517C">
        <w:rPr>
          <w:rFonts w:ascii="Arial" w:hAnsi="Arial" w:cs="Arial"/>
          <w:bCs/>
          <w:sz w:val="22"/>
          <w:szCs w:val="22"/>
          <w:highlight w:val="yellow"/>
          <w:lang w:val="en-GB"/>
        </w:rPr>
        <w:t>Honouring of an obligation to a debtor”</w:t>
      </w:r>
      <w:r w:rsidRPr="005B517C">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5B517C" w:rsidRDefault="00874240" w:rsidP="003C4BCB">
      <w:pPr>
        <w:pStyle w:val="ListParagraph"/>
        <w:numPr>
          <w:ilvl w:val="0"/>
          <w:numId w:val="5"/>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Default="00874240" w:rsidP="003C4BCB">
      <w:pPr>
        <w:pStyle w:val="ListParagraph"/>
        <w:numPr>
          <w:ilvl w:val="0"/>
          <w:numId w:val="6"/>
        </w:numPr>
        <w:ind w:left="426"/>
        <w:jc w:val="both"/>
        <w:rPr>
          <w:rFonts w:ascii="Arial" w:hAnsi="Arial" w:cs="Arial"/>
          <w:sz w:val="22"/>
          <w:szCs w:val="22"/>
          <w:lang w:val="en-GB"/>
        </w:rPr>
      </w:pPr>
      <w:r w:rsidRPr="005B517C">
        <w:rPr>
          <w:rFonts w:ascii="Arial" w:hAnsi="Arial" w:cs="Arial"/>
          <w:sz w:val="22"/>
          <w:szCs w:val="22"/>
          <w:highlight w:val="yellow"/>
          <w:lang w:val="en-GB"/>
        </w:rPr>
        <w:t>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D56B4E">
        <w:rPr>
          <w:rFonts w:ascii="Arial" w:hAnsi="Arial" w:cs="Arial"/>
          <w:sz w:val="22"/>
          <w:szCs w:val="22"/>
          <w:lang w:val="en-GB"/>
        </w:rPr>
        <w:t xml:space="preserve">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5B517C" w:rsidRDefault="00113E29" w:rsidP="003C4BCB">
      <w:pPr>
        <w:pStyle w:val="ListParagraph"/>
        <w:numPr>
          <w:ilvl w:val="0"/>
          <w:numId w:val="7"/>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5B517C" w:rsidRDefault="00967219" w:rsidP="003C4BCB">
      <w:pPr>
        <w:pStyle w:val="ListParagraph"/>
        <w:numPr>
          <w:ilvl w:val="0"/>
          <w:numId w:val="8"/>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 xml:space="preserve">Actio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5B517C" w:rsidRDefault="00967219" w:rsidP="003C4BCB">
      <w:pPr>
        <w:pStyle w:val="ListParagraph"/>
        <w:numPr>
          <w:ilvl w:val="0"/>
          <w:numId w:val="9"/>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 xml:space="preserve">The contested transactions cannot be avoided if </w:t>
      </w:r>
      <w:proofErr w:type="spellStart"/>
      <w:r w:rsidRPr="005B517C">
        <w:rPr>
          <w:rFonts w:ascii="Arial" w:hAnsi="Arial" w:cs="Arial"/>
          <w:sz w:val="22"/>
          <w:szCs w:val="22"/>
          <w:highlight w:val="yellow"/>
          <w:lang w:val="en-GB"/>
        </w:rPr>
        <w:t>Fema</w:t>
      </w:r>
      <w:proofErr w:type="spellEnd"/>
      <w:r w:rsidRPr="005B517C">
        <w:rPr>
          <w:rFonts w:ascii="Arial" w:hAnsi="Arial" w:cs="Arial"/>
          <w:sz w:val="22"/>
          <w:szCs w:val="22"/>
          <w:highlight w:val="yellow"/>
          <w:lang w:val="en-GB"/>
        </w:rPr>
        <w:t xml:space="preserve"> GmbH can prove that the </w:t>
      </w:r>
      <w:r w:rsidRPr="005B517C">
        <w:rPr>
          <w:rFonts w:ascii="Arial" w:hAnsi="Arial" w:cs="Arial"/>
          <w:i/>
          <w:sz w:val="22"/>
          <w:szCs w:val="22"/>
          <w:highlight w:val="yellow"/>
          <w:lang w:val="en-GB"/>
        </w:rPr>
        <w:t xml:space="preserve">lex </w:t>
      </w:r>
      <w:proofErr w:type="spellStart"/>
      <w:r w:rsidRPr="005B517C">
        <w:rPr>
          <w:rFonts w:ascii="Arial" w:hAnsi="Arial" w:cs="Arial"/>
          <w:i/>
          <w:sz w:val="22"/>
          <w:szCs w:val="22"/>
          <w:highlight w:val="yellow"/>
          <w:lang w:val="en-GB"/>
        </w:rPr>
        <w:t>causae</w:t>
      </w:r>
      <w:proofErr w:type="spellEnd"/>
      <w:r w:rsidRPr="005B517C">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5B517C" w:rsidRDefault="00FC48D8" w:rsidP="003C4BCB">
      <w:pPr>
        <w:pStyle w:val="ListParagraph"/>
        <w:numPr>
          <w:ilvl w:val="0"/>
          <w:numId w:val="10"/>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5B517C" w:rsidRDefault="00FC48D8" w:rsidP="003C4BCB">
      <w:pPr>
        <w:pStyle w:val="ListParagraph"/>
        <w:numPr>
          <w:ilvl w:val="0"/>
          <w:numId w:val="11"/>
        </w:numPr>
        <w:ind w:left="426"/>
        <w:jc w:val="both"/>
        <w:rPr>
          <w:rFonts w:ascii="Arial" w:hAnsi="Arial" w:cs="Arial"/>
          <w:sz w:val="22"/>
          <w:szCs w:val="22"/>
          <w:highlight w:val="yellow"/>
          <w:lang w:val="en-GB"/>
        </w:rPr>
      </w:pPr>
      <w:r w:rsidRPr="005B517C">
        <w:rPr>
          <w:rFonts w:ascii="Arial" w:hAnsi="Arial" w:cs="Arial"/>
          <w:sz w:val="22"/>
          <w:szCs w:val="22"/>
          <w:highlight w:val="yellow"/>
          <w:lang w:val="en-GB"/>
        </w:rPr>
        <w:t xml:space="preserve">Within 15 days, as stipulated in the applicable </w:t>
      </w:r>
      <w:r w:rsidRPr="005B517C">
        <w:rPr>
          <w:rFonts w:ascii="Arial" w:hAnsi="Arial" w:cs="Arial"/>
          <w:i/>
          <w:sz w:val="22"/>
          <w:szCs w:val="22"/>
          <w:highlight w:val="yellow"/>
          <w:lang w:val="en-GB"/>
        </w:rPr>
        <w:t xml:space="preserve">lex concursus </w:t>
      </w:r>
      <w:proofErr w:type="spellStart"/>
      <w:r w:rsidRPr="005B517C">
        <w:rPr>
          <w:rFonts w:ascii="Arial" w:hAnsi="Arial" w:cs="Arial"/>
          <w:i/>
          <w:sz w:val="22"/>
          <w:szCs w:val="22"/>
          <w:highlight w:val="yellow"/>
          <w:lang w:val="en-GB"/>
        </w:rPr>
        <w:t>secundarii</w:t>
      </w:r>
      <w:proofErr w:type="spellEnd"/>
      <w:r w:rsidRPr="005B517C">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5B517C" w:rsidRDefault="00DF75F8" w:rsidP="002A37BB">
      <w:pPr>
        <w:jc w:val="both"/>
        <w:rPr>
          <w:rFonts w:ascii="Arial" w:hAnsi="Arial" w:cs="Arial"/>
          <w:b/>
          <w:sz w:val="22"/>
          <w:szCs w:val="22"/>
          <w:lang w:val="fr-FR"/>
        </w:rPr>
      </w:pPr>
      <w:r w:rsidRPr="005B517C">
        <w:rPr>
          <w:rFonts w:ascii="Arial" w:hAnsi="Arial" w:cs="Arial"/>
          <w:b/>
          <w:sz w:val="22"/>
          <w:szCs w:val="22"/>
          <w:lang w:val="fr-FR"/>
        </w:rPr>
        <w:lastRenderedPageBreak/>
        <w:t>QUESTION 2</w:t>
      </w:r>
      <w:r w:rsidR="00962045" w:rsidRPr="005B517C">
        <w:rPr>
          <w:rFonts w:ascii="Arial" w:hAnsi="Arial" w:cs="Arial"/>
          <w:b/>
          <w:sz w:val="22"/>
          <w:szCs w:val="22"/>
          <w:lang w:val="fr-FR"/>
        </w:rPr>
        <w:t xml:space="preserve"> (direct questions) [10 marks]</w:t>
      </w:r>
    </w:p>
    <w:p w14:paraId="620F47E2" w14:textId="77777777" w:rsidR="00962045" w:rsidRPr="005B517C" w:rsidRDefault="00962045" w:rsidP="002A37BB">
      <w:pPr>
        <w:ind w:left="720" w:hanging="720"/>
        <w:jc w:val="both"/>
        <w:rPr>
          <w:rFonts w:ascii="Arial" w:hAnsi="Arial" w:cs="Arial"/>
          <w:sz w:val="22"/>
          <w:szCs w:val="22"/>
          <w:lang w:val="fr-FR"/>
        </w:rPr>
      </w:pPr>
    </w:p>
    <w:p w14:paraId="40595AA6" w14:textId="00E19C0A" w:rsidR="002C13C8" w:rsidRPr="005B517C" w:rsidRDefault="002C13C8" w:rsidP="002A37BB">
      <w:pPr>
        <w:ind w:left="720" w:hanging="720"/>
        <w:jc w:val="both"/>
        <w:rPr>
          <w:rFonts w:ascii="Arial" w:hAnsi="Arial" w:cs="Arial"/>
          <w:sz w:val="22"/>
          <w:szCs w:val="22"/>
          <w:lang w:val="fr-FR"/>
        </w:rPr>
      </w:pPr>
      <w:r w:rsidRPr="005B517C">
        <w:rPr>
          <w:rFonts w:ascii="Arial" w:hAnsi="Arial" w:cs="Arial"/>
          <w:b/>
          <w:bCs/>
          <w:sz w:val="22"/>
          <w:szCs w:val="22"/>
          <w:lang w:val="fr-FR"/>
        </w:rPr>
        <w:t xml:space="preserve">Question </w:t>
      </w:r>
      <w:r w:rsidR="00962045" w:rsidRPr="005B517C">
        <w:rPr>
          <w:rFonts w:ascii="Arial" w:hAnsi="Arial" w:cs="Arial"/>
          <w:b/>
          <w:bCs/>
          <w:sz w:val="22"/>
          <w:szCs w:val="22"/>
          <w:lang w:val="fr-FR"/>
        </w:rPr>
        <w:t>2.1</w:t>
      </w:r>
      <w:r w:rsidR="00962045" w:rsidRPr="005B517C">
        <w:rPr>
          <w:rFonts w:ascii="Arial" w:hAnsi="Arial" w:cs="Arial"/>
          <w:b/>
          <w:bCs/>
          <w:sz w:val="22"/>
          <w:szCs w:val="22"/>
          <w:lang w:val="fr-FR"/>
        </w:rPr>
        <w:tab/>
      </w:r>
      <w:r w:rsidR="00DE03AF" w:rsidRPr="005B517C">
        <w:rPr>
          <w:rFonts w:ascii="Arial" w:hAnsi="Arial" w:cs="Arial"/>
          <w:b/>
          <w:bCs/>
          <w:sz w:val="22"/>
          <w:szCs w:val="22"/>
          <w:lang w:val="fr-FR"/>
        </w:rPr>
        <w:t>[</w:t>
      </w:r>
      <w:r w:rsidR="00D17FDC" w:rsidRPr="005B517C">
        <w:rPr>
          <w:rFonts w:ascii="Arial" w:hAnsi="Arial" w:cs="Arial"/>
          <w:b/>
          <w:bCs/>
          <w:sz w:val="22"/>
          <w:szCs w:val="22"/>
          <w:lang w:val="fr-FR"/>
        </w:rPr>
        <w:t>m</w:t>
      </w:r>
      <w:r w:rsidR="00DE03AF" w:rsidRPr="005B517C">
        <w:rPr>
          <w:rFonts w:ascii="Arial" w:hAnsi="Arial" w:cs="Arial"/>
          <w:b/>
          <w:bCs/>
          <w:sz w:val="22"/>
          <w:szCs w:val="22"/>
          <w:lang w:val="fr-FR"/>
        </w:rPr>
        <w:t xml:space="preserve">aximum </w:t>
      </w:r>
      <w:r w:rsidR="00CB1983" w:rsidRPr="005B517C">
        <w:rPr>
          <w:rFonts w:ascii="Arial" w:hAnsi="Arial" w:cs="Arial"/>
          <w:b/>
          <w:bCs/>
          <w:sz w:val="22"/>
          <w:szCs w:val="22"/>
          <w:lang w:val="fr-FR"/>
        </w:rPr>
        <w:t>2</w:t>
      </w:r>
      <w:r w:rsidR="00DE03AF" w:rsidRPr="005B517C">
        <w:rPr>
          <w:rFonts w:ascii="Arial" w:hAnsi="Arial" w:cs="Arial"/>
          <w:b/>
          <w:bCs/>
          <w:sz w:val="22"/>
          <w:szCs w:val="22"/>
          <w:lang w:val="fr-FR"/>
        </w:rPr>
        <w:t xml:space="preserve"> marks</w:t>
      </w:r>
      <w:r w:rsidR="00DE03AF" w:rsidRPr="005B517C">
        <w:rPr>
          <w:rFonts w:ascii="Arial" w:hAnsi="Arial" w:cs="Arial"/>
          <w:sz w:val="22"/>
          <w:szCs w:val="22"/>
          <w:lang w:val="fr-FR"/>
        </w:rPr>
        <w:t xml:space="preserve">] </w:t>
      </w:r>
    </w:p>
    <w:p w14:paraId="36EB02DF" w14:textId="77777777" w:rsidR="002C13C8" w:rsidRPr="005B517C" w:rsidRDefault="002C13C8" w:rsidP="002A37BB">
      <w:pPr>
        <w:ind w:left="720" w:hanging="720"/>
        <w:jc w:val="both"/>
        <w:rPr>
          <w:rFonts w:ascii="Arial" w:hAnsi="Arial" w:cs="Arial"/>
          <w:sz w:val="22"/>
          <w:szCs w:val="22"/>
          <w:lang w:val="fr-FR"/>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432D98C7" w14:textId="3A27041B" w:rsidR="0078292F" w:rsidRPr="00A67DB6" w:rsidRDefault="00CA61D0" w:rsidP="002A37BB">
      <w:pPr>
        <w:jc w:val="both"/>
        <w:rPr>
          <w:rFonts w:ascii="Arial" w:hAnsi="Arial" w:cs="Arial"/>
          <w:sz w:val="22"/>
          <w:szCs w:val="22"/>
          <w:lang w:val="en-GB"/>
        </w:rPr>
      </w:pPr>
      <w:r w:rsidRPr="00A67DB6">
        <w:rPr>
          <w:rFonts w:ascii="Arial" w:hAnsi="Arial" w:cs="Arial"/>
          <w:sz w:val="22"/>
          <w:szCs w:val="22"/>
          <w:lang w:val="en-GB"/>
        </w:rPr>
        <w:t>Statement 1 relates to Forum Shopping</w:t>
      </w:r>
      <w:r w:rsidR="00942C99" w:rsidRPr="00A67DB6">
        <w:rPr>
          <w:rFonts w:ascii="Arial" w:hAnsi="Arial" w:cs="Arial"/>
          <w:sz w:val="22"/>
          <w:szCs w:val="22"/>
          <w:lang w:val="en-GB"/>
        </w:rPr>
        <w:t xml:space="preserve">. The EIR Recast deals only with the harmful </w:t>
      </w:r>
      <w:r w:rsidR="00896DCB" w:rsidRPr="00A67DB6">
        <w:rPr>
          <w:rFonts w:ascii="Arial" w:hAnsi="Arial" w:cs="Arial"/>
          <w:sz w:val="22"/>
          <w:szCs w:val="22"/>
          <w:lang w:val="en-GB"/>
        </w:rPr>
        <w:t xml:space="preserve">and abusive form as per </w:t>
      </w:r>
      <w:r w:rsidR="00341BB4" w:rsidRPr="00A67DB6">
        <w:rPr>
          <w:rFonts w:ascii="Arial" w:hAnsi="Arial" w:cs="Arial"/>
          <w:sz w:val="22"/>
          <w:szCs w:val="22"/>
          <w:lang w:val="en-GB"/>
        </w:rPr>
        <w:t>Recital</w:t>
      </w:r>
      <w:r w:rsidR="00896DCB" w:rsidRPr="00A67DB6">
        <w:rPr>
          <w:rFonts w:ascii="Arial" w:hAnsi="Arial" w:cs="Arial"/>
          <w:sz w:val="22"/>
          <w:szCs w:val="22"/>
          <w:lang w:val="en-GB"/>
        </w:rPr>
        <w:t xml:space="preserve"> 29</w:t>
      </w:r>
      <w:r w:rsidR="00341BB4" w:rsidRPr="00A67DB6">
        <w:rPr>
          <w:rFonts w:ascii="Arial" w:hAnsi="Arial" w:cs="Arial"/>
          <w:sz w:val="22"/>
          <w:szCs w:val="22"/>
          <w:lang w:val="en-GB"/>
        </w:rPr>
        <w:t>.</w:t>
      </w:r>
    </w:p>
    <w:p w14:paraId="05D564E4" w14:textId="355E195A" w:rsidR="00341BB4" w:rsidRPr="00A67DB6" w:rsidRDefault="00341BB4" w:rsidP="002A37BB">
      <w:pPr>
        <w:jc w:val="both"/>
        <w:rPr>
          <w:rFonts w:ascii="Arial" w:hAnsi="Arial" w:cs="Arial"/>
          <w:sz w:val="22"/>
          <w:szCs w:val="22"/>
          <w:lang w:val="en-GB"/>
        </w:rPr>
      </w:pPr>
      <w:r w:rsidRPr="00A67DB6">
        <w:rPr>
          <w:rFonts w:ascii="Arial" w:hAnsi="Arial" w:cs="Arial"/>
          <w:sz w:val="22"/>
          <w:szCs w:val="22"/>
          <w:lang w:val="en-GB"/>
        </w:rPr>
        <w:t>Statement 2:</w:t>
      </w:r>
      <w:r w:rsidR="00431C45" w:rsidRPr="00A67DB6">
        <w:rPr>
          <w:rFonts w:ascii="Arial" w:hAnsi="Arial" w:cs="Arial"/>
          <w:sz w:val="22"/>
          <w:szCs w:val="22"/>
          <w:lang w:val="en-GB"/>
        </w:rPr>
        <w:t xml:space="preserve"> The concept is called Synthetic Proceedings covered under Article </w:t>
      </w:r>
      <w:r w:rsidR="00823203" w:rsidRPr="00A67DB6">
        <w:rPr>
          <w:rFonts w:ascii="Arial" w:hAnsi="Arial" w:cs="Arial"/>
          <w:sz w:val="22"/>
          <w:szCs w:val="22"/>
          <w:lang w:val="en-GB"/>
        </w:rPr>
        <w:t>36</w:t>
      </w:r>
      <w:r w:rsidR="00823203">
        <w:rPr>
          <w:rFonts w:ascii="Arial" w:hAnsi="Arial" w:cs="Arial"/>
          <w:sz w:val="22"/>
          <w:szCs w:val="22"/>
          <w:lang w:val="en-GB"/>
        </w:rPr>
        <w:t xml:space="preserve"> and </w:t>
      </w:r>
      <w:r w:rsidR="00A67DB6" w:rsidRPr="00A67DB6">
        <w:rPr>
          <w:rFonts w:ascii="Arial" w:hAnsi="Arial" w:cs="Arial"/>
          <w:sz w:val="22"/>
          <w:szCs w:val="22"/>
          <w:lang w:val="en-GB"/>
        </w:rPr>
        <w:t>38(2).</w:t>
      </w: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6B339ED1" w:rsidR="00222FB5" w:rsidRDefault="00222FB5" w:rsidP="00636C15">
      <w:pPr>
        <w:jc w:val="both"/>
        <w:rPr>
          <w:rFonts w:ascii="Arial" w:hAnsi="Arial" w:cs="Arial"/>
          <w:sz w:val="22"/>
          <w:szCs w:val="22"/>
          <w:lang w:val="en-GB"/>
        </w:rPr>
      </w:pPr>
    </w:p>
    <w:p w14:paraId="7DADCEB6" w14:textId="30F3785A" w:rsidR="00916725" w:rsidRDefault="002A7D94" w:rsidP="00636C15">
      <w:pPr>
        <w:jc w:val="both"/>
        <w:rPr>
          <w:rFonts w:ascii="Arial" w:hAnsi="Arial" w:cs="Arial"/>
          <w:sz w:val="22"/>
          <w:szCs w:val="22"/>
          <w:lang w:val="en-GB"/>
        </w:rPr>
      </w:pPr>
      <w:r w:rsidRPr="00B33387">
        <w:rPr>
          <w:rFonts w:ascii="Arial" w:hAnsi="Arial" w:cs="Arial"/>
          <w:sz w:val="22"/>
          <w:szCs w:val="22"/>
          <w:lang w:val="en-GB"/>
        </w:rPr>
        <w:t>The coordination of parallel proceedings received a lot of legislative attention</w:t>
      </w:r>
      <w:r w:rsidR="00263219">
        <w:rPr>
          <w:rFonts w:ascii="Arial" w:hAnsi="Arial" w:cs="Arial"/>
          <w:sz w:val="22"/>
          <w:szCs w:val="22"/>
          <w:lang w:val="en-GB"/>
        </w:rPr>
        <w:t xml:space="preserve">. </w:t>
      </w:r>
      <w:r w:rsidRPr="00B33387">
        <w:rPr>
          <w:rFonts w:ascii="Arial" w:hAnsi="Arial" w:cs="Arial"/>
          <w:sz w:val="22"/>
          <w:szCs w:val="22"/>
          <w:lang w:val="en-GB"/>
        </w:rPr>
        <w:t xml:space="preserve">The </w:t>
      </w:r>
      <w:r w:rsidR="00263219">
        <w:rPr>
          <w:rFonts w:ascii="Arial" w:hAnsi="Arial" w:cs="Arial"/>
          <w:sz w:val="22"/>
          <w:szCs w:val="22"/>
          <w:lang w:val="en-GB"/>
        </w:rPr>
        <w:t xml:space="preserve">EIR Recast </w:t>
      </w:r>
      <w:r w:rsidRPr="00B33387">
        <w:rPr>
          <w:rFonts w:ascii="Arial" w:hAnsi="Arial" w:cs="Arial"/>
          <w:sz w:val="22"/>
          <w:szCs w:val="22"/>
          <w:lang w:val="en-GB"/>
        </w:rPr>
        <w:t>now provides three separate provisions for the coordination</w:t>
      </w:r>
      <w:r w:rsidR="00916725" w:rsidRPr="00B33387">
        <w:rPr>
          <w:rFonts w:ascii="Arial" w:hAnsi="Arial" w:cs="Arial"/>
          <w:sz w:val="22"/>
          <w:szCs w:val="22"/>
          <w:lang w:val="en-GB"/>
        </w:rPr>
        <w:t>:</w:t>
      </w:r>
    </w:p>
    <w:p w14:paraId="075CD55D" w14:textId="77777777" w:rsidR="00263219" w:rsidRPr="00B33387" w:rsidRDefault="00263219" w:rsidP="00636C15">
      <w:pPr>
        <w:jc w:val="both"/>
        <w:rPr>
          <w:rFonts w:ascii="Arial" w:hAnsi="Arial" w:cs="Arial"/>
          <w:sz w:val="22"/>
          <w:szCs w:val="22"/>
          <w:lang w:val="en-GB"/>
        </w:rPr>
      </w:pPr>
    </w:p>
    <w:p w14:paraId="6959A20A" w14:textId="25B628F4" w:rsidR="00916725" w:rsidRPr="00B33387" w:rsidRDefault="00916725" w:rsidP="00916725">
      <w:pPr>
        <w:pStyle w:val="ListParagraph"/>
        <w:numPr>
          <w:ilvl w:val="0"/>
          <w:numId w:val="15"/>
        </w:numPr>
        <w:jc w:val="both"/>
        <w:rPr>
          <w:rFonts w:ascii="Arial" w:hAnsi="Arial" w:cs="Arial"/>
          <w:sz w:val="22"/>
          <w:szCs w:val="22"/>
          <w:lang w:val="en-GB"/>
        </w:rPr>
      </w:pPr>
      <w:r w:rsidRPr="00B33387">
        <w:rPr>
          <w:rFonts w:ascii="Arial" w:hAnsi="Arial" w:cs="Arial"/>
          <w:sz w:val="22"/>
          <w:szCs w:val="22"/>
          <w:lang w:val="en-GB"/>
        </w:rPr>
        <w:t>Coordination between</w:t>
      </w:r>
      <w:r w:rsidR="002A7D94" w:rsidRPr="00B33387">
        <w:rPr>
          <w:rFonts w:ascii="Arial" w:hAnsi="Arial" w:cs="Arial"/>
          <w:sz w:val="22"/>
          <w:szCs w:val="22"/>
          <w:lang w:val="en-GB"/>
        </w:rPr>
        <w:t xml:space="preserve"> administrators (Article 41 EIR),</w:t>
      </w:r>
    </w:p>
    <w:p w14:paraId="4FDE543F" w14:textId="77A0AEBF" w:rsidR="00916725" w:rsidRPr="00B33387" w:rsidRDefault="00916725" w:rsidP="00916725">
      <w:pPr>
        <w:pStyle w:val="ListParagraph"/>
        <w:numPr>
          <w:ilvl w:val="0"/>
          <w:numId w:val="15"/>
        </w:numPr>
        <w:jc w:val="both"/>
        <w:rPr>
          <w:rFonts w:ascii="Arial" w:hAnsi="Arial" w:cs="Arial"/>
          <w:sz w:val="22"/>
          <w:szCs w:val="22"/>
          <w:lang w:val="en-GB"/>
        </w:rPr>
      </w:pPr>
      <w:r w:rsidRPr="00B33387">
        <w:rPr>
          <w:rFonts w:ascii="Arial" w:hAnsi="Arial" w:cs="Arial"/>
          <w:sz w:val="22"/>
          <w:szCs w:val="22"/>
          <w:lang w:val="en-GB"/>
        </w:rPr>
        <w:t xml:space="preserve">Coordination between </w:t>
      </w:r>
      <w:r w:rsidR="002A7D94" w:rsidRPr="00B33387">
        <w:rPr>
          <w:rFonts w:ascii="Arial" w:hAnsi="Arial" w:cs="Arial"/>
          <w:sz w:val="22"/>
          <w:szCs w:val="22"/>
          <w:lang w:val="en-GB"/>
        </w:rPr>
        <w:t>courts (Article 42 EIR)</w:t>
      </w:r>
      <w:r w:rsidR="00B33387">
        <w:rPr>
          <w:rFonts w:ascii="Arial" w:hAnsi="Arial" w:cs="Arial"/>
          <w:sz w:val="22"/>
          <w:szCs w:val="22"/>
          <w:lang w:val="en-GB"/>
        </w:rPr>
        <w:t>,</w:t>
      </w:r>
      <w:r w:rsidR="002A7D94" w:rsidRPr="00B33387">
        <w:rPr>
          <w:rFonts w:ascii="Arial" w:hAnsi="Arial" w:cs="Arial"/>
          <w:sz w:val="22"/>
          <w:szCs w:val="22"/>
          <w:lang w:val="en-GB"/>
        </w:rPr>
        <w:t xml:space="preserve"> and</w:t>
      </w:r>
      <w:r w:rsidR="00B33387">
        <w:rPr>
          <w:rFonts w:ascii="Arial" w:hAnsi="Arial" w:cs="Arial"/>
          <w:sz w:val="22"/>
          <w:szCs w:val="22"/>
          <w:lang w:val="en-GB"/>
        </w:rPr>
        <w:t>,</w:t>
      </w:r>
      <w:r w:rsidR="002A7D94" w:rsidRPr="00B33387">
        <w:rPr>
          <w:rFonts w:ascii="Arial" w:hAnsi="Arial" w:cs="Arial"/>
          <w:sz w:val="22"/>
          <w:szCs w:val="22"/>
          <w:lang w:val="en-GB"/>
        </w:rPr>
        <w:t xml:space="preserve"> </w:t>
      </w:r>
    </w:p>
    <w:p w14:paraId="3660ABD7" w14:textId="587AC898" w:rsidR="002A7D94" w:rsidRPr="00B33387" w:rsidRDefault="00916725" w:rsidP="00916725">
      <w:pPr>
        <w:pStyle w:val="ListParagraph"/>
        <w:numPr>
          <w:ilvl w:val="0"/>
          <w:numId w:val="15"/>
        </w:numPr>
        <w:jc w:val="both"/>
        <w:rPr>
          <w:rFonts w:ascii="Arial" w:hAnsi="Arial" w:cs="Arial"/>
          <w:sz w:val="22"/>
          <w:szCs w:val="22"/>
          <w:lang w:val="en-GB"/>
        </w:rPr>
      </w:pPr>
      <w:r w:rsidRPr="00B33387">
        <w:rPr>
          <w:rFonts w:ascii="Arial" w:hAnsi="Arial" w:cs="Arial"/>
          <w:sz w:val="22"/>
          <w:szCs w:val="22"/>
          <w:lang w:val="en-GB"/>
        </w:rPr>
        <w:t xml:space="preserve">Coordination </w:t>
      </w:r>
      <w:r w:rsidR="002A7D94" w:rsidRPr="00B33387">
        <w:rPr>
          <w:rFonts w:ascii="Arial" w:hAnsi="Arial" w:cs="Arial"/>
          <w:sz w:val="22"/>
          <w:szCs w:val="22"/>
          <w:lang w:val="en-GB"/>
        </w:rPr>
        <w:t>between administrators and courts (Article 43 EIR-P).</w:t>
      </w:r>
    </w:p>
    <w:p w14:paraId="571E644C" w14:textId="77777777" w:rsidR="002A7D94" w:rsidRPr="008500BD" w:rsidRDefault="002A7D94" w:rsidP="00636C15">
      <w:pPr>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48850D8F" w14:textId="77777777" w:rsidR="007804F2" w:rsidRPr="004C500E" w:rsidRDefault="0078018A" w:rsidP="0078018A">
      <w:pPr>
        <w:pStyle w:val="ListParagraph"/>
        <w:numPr>
          <w:ilvl w:val="0"/>
          <w:numId w:val="16"/>
        </w:numPr>
        <w:jc w:val="both"/>
        <w:rPr>
          <w:rFonts w:ascii="Arial" w:hAnsi="Arial" w:cs="Arial"/>
          <w:sz w:val="22"/>
          <w:szCs w:val="22"/>
          <w:lang w:val="en-GB"/>
        </w:rPr>
      </w:pPr>
      <w:r w:rsidRPr="004C500E">
        <w:rPr>
          <w:rFonts w:ascii="Arial" w:hAnsi="Arial" w:cs="Arial"/>
          <w:sz w:val="22"/>
          <w:szCs w:val="22"/>
          <w:lang w:val="en-GB"/>
        </w:rPr>
        <w:t>Article 1</w:t>
      </w:r>
      <w:r w:rsidR="007804F2" w:rsidRPr="004C500E">
        <w:rPr>
          <w:rFonts w:ascii="Arial" w:hAnsi="Arial" w:cs="Arial"/>
          <w:sz w:val="22"/>
          <w:szCs w:val="22"/>
          <w:lang w:val="en-GB"/>
        </w:rPr>
        <w:t xml:space="preserve">- Applicability of the EIR Recast Regulations </w:t>
      </w:r>
    </w:p>
    <w:p w14:paraId="1C1C3589" w14:textId="4CD86148" w:rsidR="00CA2680" w:rsidRPr="004C500E" w:rsidRDefault="00CA2680" w:rsidP="00CA2680">
      <w:pPr>
        <w:pStyle w:val="ListParagraph"/>
        <w:numPr>
          <w:ilvl w:val="0"/>
          <w:numId w:val="16"/>
        </w:numPr>
        <w:jc w:val="both"/>
        <w:rPr>
          <w:rFonts w:ascii="Arial" w:hAnsi="Arial" w:cs="Arial"/>
          <w:sz w:val="22"/>
          <w:szCs w:val="22"/>
          <w:lang w:val="en-GB"/>
        </w:rPr>
      </w:pPr>
      <w:r w:rsidRPr="004C500E">
        <w:rPr>
          <w:rFonts w:ascii="Arial" w:hAnsi="Arial" w:cs="Arial"/>
          <w:sz w:val="22"/>
          <w:szCs w:val="22"/>
          <w:lang w:val="en-GB"/>
        </w:rPr>
        <w:t>Article 41 (2)(b) which encourages the administrators to actively explore the possibility of restructuring the debtor and</w:t>
      </w:r>
      <w:r w:rsidR="004C500E">
        <w:rPr>
          <w:rFonts w:ascii="Arial" w:hAnsi="Arial" w:cs="Arial"/>
          <w:sz w:val="22"/>
          <w:szCs w:val="22"/>
          <w:lang w:val="en-GB"/>
        </w:rPr>
        <w:t xml:space="preserve"> </w:t>
      </w:r>
      <w:r w:rsidRPr="004C500E">
        <w:rPr>
          <w:rFonts w:ascii="Arial" w:hAnsi="Arial" w:cs="Arial"/>
          <w:sz w:val="22"/>
          <w:szCs w:val="22"/>
          <w:lang w:val="en-GB"/>
        </w:rPr>
        <w:t>coordinate the elaboration and implementation of a restructuring plan</w:t>
      </w:r>
    </w:p>
    <w:p w14:paraId="07CF923B" w14:textId="2418E1AC" w:rsidR="000E7762" w:rsidRPr="004C500E" w:rsidRDefault="000E7762" w:rsidP="00961D28">
      <w:pPr>
        <w:pStyle w:val="ListParagraph"/>
        <w:numPr>
          <w:ilvl w:val="0"/>
          <w:numId w:val="16"/>
        </w:numPr>
        <w:jc w:val="both"/>
        <w:rPr>
          <w:rFonts w:ascii="Arial" w:hAnsi="Arial" w:cs="Arial"/>
          <w:sz w:val="22"/>
          <w:szCs w:val="22"/>
          <w:lang w:val="en-GB"/>
        </w:rPr>
      </w:pPr>
      <w:r w:rsidRPr="004C500E">
        <w:rPr>
          <w:rFonts w:ascii="Arial" w:hAnsi="Arial" w:cs="Arial"/>
          <w:sz w:val="22"/>
          <w:szCs w:val="22"/>
          <w:lang w:val="en-GB"/>
        </w:rPr>
        <w:t xml:space="preserve">Article </w:t>
      </w:r>
      <w:r w:rsidR="0069427F">
        <w:rPr>
          <w:rFonts w:ascii="Arial" w:hAnsi="Arial" w:cs="Arial"/>
          <w:sz w:val="22"/>
          <w:szCs w:val="22"/>
          <w:lang w:val="en-GB"/>
        </w:rPr>
        <w:t>47</w:t>
      </w:r>
      <w:r w:rsidRPr="004C500E">
        <w:rPr>
          <w:rFonts w:ascii="Arial" w:hAnsi="Arial" w:cs="Arial"/>
          <w:sz w:val="22"/>
          <w:szCs w:val="22"/>
          <w:lang w:val="en-GB"/>
        </w:rPr>
        <w:t xml:space="preserve"> EIR provides that the main administrator may propose to close the secondary proceeding without liquidation by a rescue plan, a composition or a comparable measure” assuming such a measure is provided for by the domestic insolvency regime of the secondary proceeding.</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w:t>
      </w:r>
      <w:r w:rsidRPr="002A37BB">
        <w:rPr>
          <w:rFonts w:ascii="Arial" w:hAnsi="Arial" w:cs="Arial"/>
          <w:sz w:val="22"/>
          <w:szCs w:val="22"/>
          <w:lang w:val="en-GB"/>
        </w:rPr>
        <w:lastRenderedPageBreak/>
        <w:t xml:space="preserve">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72B1B1E7" w14:textId="7DF151F8" w:rsidR="004A4CB2" w:rsidRPr="00787121" w:rsidRDefault="004A4CB2" w:rsidP="00787121">
      <w:pPr>
        <w:pStyle w:val="NormalWeb"/>
        <w:shd w:val="clear" w:color="auto" w:fill="FFFFFF"/>
        <w:spacing w:before="0" w:beforeAutospacing="0" w:after="150" w:afterAutospacing="0"/>
        <w:jc w:val="both"/>
        <w:rPr>
          <w:rFonts w:ascii="Arial" w:hAnsi="Arial" w:cs="Arial"/>
          <w:sz w:val="22"/>
          <w:szCs w:val="22"/>
        </w:rPr>
      </w:pPr>
      <w:r w:rsidRPr="00787121">
        <w:rPr>
          <w:rFonts w:ascii="Arial" w:hAnsi="Arial" w:cs="Arial"/>
          <w:sz w:val="22"/>
          <w:szCs w:val="22"/>
        </w:rPr>
        <w:t>the court temporarily stays the opening of secondary proceedings (Article 38 EIR Recast)</w:t>
      </w:r>
      <w:r w:rsidR="00787121">
        <w:rPr>
          <w:rFonts w:ascii="Arial" w:hAnsi="Arial" w:cs="Arial"/>
          <w:sz w:val="22"/>
          <w:szCs w:val="22"/>
        </w:rPr>
        <w:t>.</w:t>
      </w:r>
    </w:p>
    <w:p w14:paraId="536DE754" w14:textId="6B858FFA" w:rsidR="00787121" w:rsidRPr="00787121" w:rsidRDefault="00787121" w:rsidP="00787121">
      <w:pPr>
        <w:pStyle w:val="NormalWeb"/>
        <w:shd w:val="clear" w:color="auto" w:fill="FFFFFF"/>
        <w:spacing w:before="0" w:beforeAutospacing="0" w:after="150" w:afterAutospacing="0"/>
        <w:jc w:val="both"/>
        <w:rPr>
          <w:rFonts w:ascii="Arial" w:hAnsi="Arial" w:cs="Arial"/>
          <w:color w:val="333333"/>
          <w:sz w:val="22"/>
          <w:szCs w:val="22"/>
        </w:rPr>
      </w:pPr>
      <w:r w:rsidRPr="00787121">
        <w:rPr>
          <w:rFonts w:ascii="Arial" w:hAnsi="Arial" w:cs="Arial"/>
          <w:sz w:val="22"/>
          <w:szCs w:val="22"/>
        </w:rPr>
        <w:t>the insolvency practitioner in main proceedings can give an undertaking to local creditors in which they are promised that they will be treated as if secondary proceedings had been opened (Article 36 EIR Recast- Synthetic Proceeding)</w:t>
      </w:r>
      <w:r>
        <w:rPr>
          <w:rFonts w:ascii="Arial" w:hAnsi="Arial" w:cs="Arial"/>
          <w:sz w:val="22"/>
          <w:szCs w:val="22"/>
        </w:rPr>
        <w:t>.</w:t>
      </w:r>
    </w:p>
    <w:p w14:paraId="321358EA" w14:textId="7E4CAA67" w:rsidR="009954B2" w:rsidRPr="00787121" w:rsidRDefault="00B66322" w:rsidP="00787121">
      <w:pPr>
        <w:jc w:val="both"/>
        <w:rPr>
          <w:rFonts w:ascii="Arial" w:hAnsi="Arial" w:cs="Arial"/>
          <w:bCs/>
          <w:sz w:val="22"/>
          <w:szCs w:val="22"/>
          <w:lang w:val="en-GB"/>
        </w:rPr>
      </w:pPr>
      <w:r w:rsidRPr="00787121">
        <w:rPr>
          <w:rFonts w:ascii="Arial" w:hAnsi="Arial" w:cs="Arial"/>
          <w:bCs/>
          <w:sz w:val="22"/>
          <w:szCs w:val="22"/>
          <w:lang w:val="en-GB"/>
        </w:rPr>
        <w:t>A the time of closure of the secondary proceeding</w:t>
      </w:r>
      <w:r w:rsidR="00E84B5E" w:rsidRPr="00787121">
        <w:rPr>
          <w:rFonts w:ascii="Arial" w:hAnsi="Arial" w:cs="Arial"/>
          <w:bCs/>
          <w:sz w:val="22"/>
          <w:szCs w:val="22"/>
          <w:lang w:val="en-GB"/>
        </w:rPr>
        <w:t xml:space="preserve"> the liquidator has to propose a </w:t>
      </w:r>
      <w:r w:rsidR="00067AD5" w:rsidRPr="00787121">
        <w:rPr>
          <w:rFonts w:ascii="Arial" w:hAnsi="Arial" w:cs="Arial"/>
          <w:bCs/>
          <w:sz w:val="22"/>
          <w:szCs w:val="22"/>
          <w:lang w:val="en-GB"/>
        </w:rPr>
        <w:t xml:space="preserve">resolution plan as per Article 47 and if in the member state where the secondary proceedings are to be closed does not have such a provision then the liquidator has to propose </w:t>
      </w:r>
      <w:r w:rsidR="00CE2980" w:rsidRPr="00787121">
        <w:rPr>
          <w:rFonts w:ascii="Arial" w:hAnsi="Arial" w:cs="Arial"/>
          <w:bCs/>
          <w:sz w:val="22"/>
          <w:szCs w:val="22"/>
          <w:lang w:val="en-GB"/>
        </w:rPr>
        <w:t>a composition or a comparable measure.</w:t>
      </w:r>
    </w:p>
    <w:p w14:paraId="5E322A33" w14:textId="4589DF3D" w:rsidR="00F53E5A" w:rsidRPr="00787121" w:rsidRDefault="00F53E5A" w:rsidP="00787121">
      <w:pPr>
        <w:jc w:val="both"/>
        <w:rPr>
          <w:rFonts w:ascii="Arial" w:hAnsi="Arial" w:cs="Arial"/>
          <w:bCs/>
          <w:sz w:val="22"/>
          <w:szCs w:val="22"/>
          <w:lang w:val="en-GB"/>
        </w:rPr>
      </w:pPr>
    </w:p>
    <w:p w14:paraId="777667A1" w14:textId="5BABDE8C" w:rsidR="00F53E5A" w:rsidRPr="00787121" w:rsidRDefault="00F53E5A" w:rsidP="00787121">
      <w:pPr>
        <w:jc w:val="both"/>
        <w:rPr>
          <w:rFonts w:ascii="Arial" w:hAnsi="Arial" w:cs="Arial"/>
          <w:sz w:val="22"/>
          <w:szCs w:val="22"/>
          <w:lang w:val="en-GB"/>
        </w:rPr>
      </w:pPr>
      <w:r w:rsidRPr="00787121">
        <w:rPr>
          <w:rFonts w:ascii="Arial" w:hAnsi="Arial" w:cs="Arial"/>
          <w:sz w:val="22"/>
          <w:szCs w:val="22"/>
          <w:lang w:val="en-GB"/>
        </w:rPr>
        <w:t>Article 41 (2)(b) which encourages the administrators to actively explore the possibility of restructuring the debtor and coordinate the elaboration and implementation of a restructuring plan</w:t>
      </w:r>
      <w:r w:rsidR="00787121">
        <w:rPr>
          <w:rFonts w:ascii="Arial" w:hAnsi="Arial" w:cs="Arial"/>
          <w:sz w:val="22"/>
          <w:szCs w:val="22"/>
          <w:lang w:val="en-GB"/>
        </w:rPr>
        <w:t>.</w:t>
      </w:r>
    </w:p>
    <w:p w14:paraId="5545F289" w14:textId="77777777" w:rsidR="00F53E5A" w:rsidRPr="008500BD" w:rsidRDefault="00F53E5A"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127A6B98" w:rsidR="00C550C8" w:rsidRDefault="00E90991" w:rsidP="002A37BB">
      <w:pPr>
        <w:jc w:val="both"/>
        <w:rPr>
          <w:rFonts w:ascii="Arial" w:hAnsi="Arial" w:cs="Arial"/>
          <w:sz w:val="22"/>
          <w:szCs w:val="22"/>
          <w:lang w:val="en-GB"/>
        </w:rPr>
      </w:pPr>
      <w:r w:rsidRPr="008500BD">
        <w:rPr>
          <w:rFonts w:ascii="Arial" w:hAnsi="Arial" w:cs="Arial"/>
          <w:sz w:val="22"/>
          <w:szCs w:val="22"/>
          <w:lang w:val="en-GB"/>
        </w:rPr>
        <w:t>Explain why the adoption of the new European regulation was needed and recommended by the European Commission in 2012.</w:t>
      </w:r>
    </w:p>
    <w:p w14:paraId="7D7E4ED4" w14:textId="77777777" w:rsidR="006A44DB" w:rsidRDefault="006A44DB" w:rsidP="002A37BB">
      <w:pPr>
        <w:jc w:val="both"/>
        <w:rPr>
          <w:rFonts w:ascii="Arial" w:hAnsi="Arial" w:cs="Arial"/>
          <w:sz w:val="22"/>
          <w:szCs w:val="22"/>
          <w:lang w:val="en-GB"/>
        </w:rPr>
      </w:pPr>
    </w:p>
    <w:p w14:paraId="56E02E23" w14:textId="458EB5F4" w:rsidR="00AF0039" w:rsidRDefault="001C1E47" w:rsidP="002A37BB">
      <w:pPr>
        <w:jc w:val="both"/>
        <w:rPr>
          <w:rFonts w:ascii="Arial" w:hAnsi="Arial" w:cs="Arial"/>
          <w:sz w:val="22"/>
          <w:szCs w:val="22"/>
          <w:lang w:val="en-GB"/>
        </w:rPr>
      </w:pPr>
      <w:r w:rsidRPr="001C1E47">
        <w:rPr>
          <w:rFonts w:ascii="Arial" w:hAnsi="Arial" w:cs="Arial"/>
          <w:sz w:val="22"/>
          <w:szCs w:val="22"/>
          <w:lang w:val="en-GB"/>
        </w:rPr>
        <w:t xml:space="preserve">The </w:t>
      </w:r>
      <w:r w:rsidR="0030460E" w:rsidRPr="001C1E47">
        <w:rPr>
          <w:rFonts w:ascii="Arial" w:hAnsi="Arial" w:cs="Arial"/>
          <w:sz w:val="22"/>
          <w:szCs w:val="22"/>
          <w:lang w:val="en-GB"/>
        </w:rPr>
        <w:t>2002 Insolvency Regulation was in force for more than a decade</w:t>
      </w:r>
      <w:r w:rsidRPr="001C1E47">
        <w:rPr>
          <w:rFonts w:ascii="Arial" w:hAnsi="Arial" w:cs="Arial"/>
          <w:sz w:val="22"/>
          <w:szCs w:val="22"/>
          <w:lang w:val="en-GB"/>
        </w:rPr>
        <w:t xml:space="preserve">. </w:t>
      </w:r>
      <w:r w:rsidR="00F81500">
        <w:rPr>
          <w:rFonts w:ascii="Arial" w:hAnsi="Arial" w:cs="Arial"/>
          <w:sz w:val="22"/>
          <w:szCs w:val="22"/>
          <w:lang w:val="en-GB"/>
        </w:rPr>
        <w:t xml:space="preserve">As per </w:t>
      </w:r>
      <w:r w:rsidR="00FA7DE9">
        <w:rPr>
          <w:rFonts w:ascii="Arial" w:hAnsi="Arial" w:cs="Arial"/>
          <w:sz w:val="22"/>
          <w:szCs w:val="22"/>
          <w:lang w:val="en-GB"/>
        </w:rPr>
        <w:t>Article</w:t>
      </w:r>
      <w:r w:rsidR="00F81500">
        <w:rPr>
          <w:rFonts w:ascii="Arial" w:hAnsi="Arial" w:cs="Arial"/>
          <w:sz w:val="22"/>
          <w:szCs w:val="22"/>
          <w:lang w:val="en-GB"/>
        </w:rPr>
        <w:t xml:space="preserve"> 46 EIR, 2002, </w:t>
      </w:r>
      <w:r w:rsidR="009040B4">
        <w:rPr>
          <w:rFonts w:ascii="Arial" w:hAnsi="Arial" w:cs="Arial"/>
          <w:sz w:val="22"/>
          <w:szCs w:val="22"/>
          <w:lang w:val="en-GB"/>
        </w:rPr>
        <w:t>the European Commission had to present a report on the EU 2002 success</w:t>
      </w:r>
      <w:r w:rsidR="004F55D3">
        <w:rPr>
          <w:rFonts w:ascii="Arial" w:hAnsi="Arial" w:cs="Arial"/>
          <w:sz w:val="22"/>
          <w:szCs w:val="22"/>
          <w:lang w:val="en-GB"/>
        </w:rPr>
        <w:t xml:space="preserve"> not later than 1</w:t>
      </w:r>
      <w:r w:rsidR="004F55D3" w:rsidRPr="004F55D3">
        <w:rPr>
          <w:rFonts w:ascii="Arial" w:hAnsi="Arial" w:cs="Arial"/>
          <w:sz w:val="22"/>
          <w:szCs w:val="22"/>
          <w:vertAlign w:val="superscript"/>
          <w:lang w:val="en-GB"/>
        </w:rPr>
        <w:t>st</w:t>
      </w:r>
      <w:r w:rsidR="004F55D3">
        <w:rPr>
          <w:rFonts w:ascii="Arial" w:hAnsi="Arial" w:cs="Arial"/>
          <w:sz w:val="22"/>
          <w:szCs w:val="22"/>
          <w:lang w:val="en-GB"/>
        </w:rPr>
        <w:t xml:space="preserve"> of June 2012. </w:t>
      </w:r>
      <w:r w:rsidR="008378CE" w:rsidRPr="001C1E47">
        <w:rPr>
          <w:rFonts w:ascii="Arial" w:hAnsi="Arial" w:cs="Arial"/>
          <w:sz w:val="22"/>
          <w:szCs w:val="22"/>
          <w:lang w:val="en-GB"/>
        </w:rPr>
        <w:t xml:space="preserve">It is generally regarded as a successful legal instrument on insolvency in the </w:t>
      </w:r>
      <w:r w:rsidR="00AF0039" w:rsidRPr="001C1E47">
        <w:rPr>
          <w:rFonts w:ascii="Arial" w:hAnsi="Arial" w:cs="Arial"/>
          <w:sz w:val="22"/>
          <w:szCs w:val="22"/>
          <w:lang w:val="en-GB"/>
        </w:rPr>
        <w:t>EU,</w:t>
      </w:r>
      <w:r w:rsidR="008378CE">
        <w:rPr>
          <w:rFonts w:ascii="Arial" w:hAnsi="Arial" w:cs="Arial"/>
          <w:sz w:val="22"/>
          <w:szCs w:val="22"/>
          <w:lang w:val="en-GB"/>
        </w:rPr>
        <w:t xml:space="preserve"> but </w:t>
      </w:r>
      <w:r w:rsidR="00377AF7">
        <w:rPr>
          <w:rFonts w:ascii="Arial" w:hAnsi="Arial" w:cs="Arial"/>
          <w:sz w:val="22"/>
          <w:szCs w:val="22"/>
          <w:lang w:val="en-GB"/>
        </w:rPr>
        <w:t xml:space="preserve">certain changes need to be incorporated as the </w:t>
      </w:r>
      <w:r w:rsidR="006A44DB" w:rsidRPr="001C1E47">
        <w:rPr>
          <w:rFonts w:ascii="Arial" w:hAnsi="Arial" w:cs="Arial"/>
          <w:sz w:val="22"/>
          <w:szCs w:val="22"/>
          <w:lang w:val="en-GB"/>
        </w:rPr>
        <w:t>fundamental premise adopted by 2002 Insolvency Regulation was that the insolvency law is the matter for each Member State</w:t>
      </w:r>
      <w:r w:rsidR="00AF0039">
        <w:rPr>
          <w:rFonts w:ascii="Arial" w:hAnsi="Arial" w:cs="Arial"/>
          <w:sz w:val="22"/>
          <w:szCs w:val="22"/>
          <w:lang w:val="en-GB"/>
        </w:rPr>
        <w:t>. This proved to be a major weakness</w:t>
      </w:r>
      <w:r w:rsidR="001D77B0">
        <w:rPr>
          <w:rFonts w:ascii="Arial" w:hAnsi="Arial" w:cs="Arial"/>
          <w:sz w:val="22"/>
          <w:szCs w:val="22"/>
          <w:lang w:val="en-GB"/>
        </w:rPr>
        <w:t xml:space="preserve">. Other reasons which needed reforms are </w:t>
      </w:r>
      <w:r w:rsidR="00AF0039">
        <w:rPr>
          <w:rFonts w:ascii="Arial" w:hAnsi="Arial" w:cs="Arial"/>
          <w:sz w:val="22"/>
          <w:szCs w:val="22"/>
          <w:lang w:val="en-GB"/>
        </w:rPr>
        <w:t>described</w:t>
      </w:r>
      <w:r w:rsidR="001D77B0">
        <w:rPr>
          <w:rFonts w:ascii="Arial" w:hAnsi="Arial" w:cs="Arial"/>
          <w:sz w:val="22"/>
          <w:szCs w:val="22"/>
          <w:lang w:val="en-GB"/>
        </w:rPr>
        <w:t xml:space="preserve"> as</w:t>
      </w:r>
      <w:r w:rsidR="00AF0039">
        <w:rPr>
          <w:rFonts w:ascii="Arial" w:hAnsi="Arial" w:cs="Arial"/>
          <w:sz w:val="22"/>
          <w:szCs w:val="22"/>
          <w:lang w:val="en-GB"/>
        </w:rPr>
        <w:t xml:space="preserve"> below: </w:t>
      </w:r>
    </w:p>
    <w:p w14:paraId="628EE589" w14:textId="77777777" w:rsidR="00AF0039" w:rsidRDefault="006A44DB" w:rsidP="002A37BB">
      <w:pPr>
        <w:jc w:val="both"/>
        <w:rPr>
          <w:rFonts w:ascii="Arial" w:hAnsi="Arial" w:cs="Arial"/>
          <w:sz w:val="22"/>
          <w:szCs w:val="22"/>
          <w:lang w:val="en-GB"/>
        </w:rPr>
      </w:pPr>
      <w:r w:rsidRPr="001C1E47">
        <w:rPr>
          <w:rFonts w:ascii="Arial" w:hAnsi="Arial" w:cs="Arial"/>
          <w:sz w:val="22"/>
          <w:szCs w:val="22"/>
          <w:lang w:val="en-GB"/>
        </w:rPr>
        <w:t xml:space="preserve"> </w:t>
      </w:r>
    </w:p>
    <w:p w14:paraId="07FECC39" w14:textId="3678BDEF" w:rsidR="00E049A1" w:rsidRDefault="00AF0039" w:rsidP="00894369">
      <w:pPr>
        <w:pStyle w:val="ListParagraph"/>
        <w:numPr>
          <w:ilvl w:val="0"/>
          <w:numId w:val="13"/>
        </w:numPr>
        <w:jc w:val="both"/>
        <w:rPr>
          <w:rFonts w:ascii="Arial" w:hAnsi="Arial" w:cs="Arial"/>
          <w:sz w:val="22"/>
          <w:szCs w:val="22"/>
          <w:lang w:val="en-GB"/>
        </w:rPr>
      </w:pPr>
      <w:r w:rsidRPr="00FA4110">
        <w:rPr>
          <w:rFonts w:ascii="Arial" w:hAnsi="Arial" w:cs="Arial"/>
          <w:sz w:val="22"/>
          <w:szCs w:val="22"/>
          <w:lang w:val="en-GB"/>
        </w:rPr>
        <w:t xml:space="preserve">The </w:t>
      </w:r>
      <w:r w:rsidR="006A44DB" w:rsidRPr="00FA4110">
        <w:rPr>
          <w:rFonts w:ascii="Arial" w:hAnsi="Arial" w:cs="Arial"/>
          <w:sz w:val="22"/>
          <w:szCs w:val="22"/>
          <w:lang w:val="en-GB"/>
        </w:rPr>
        <w:t>2000 Insolvency Regulation did not have significant effect on harmonization of national substantive laws in this field</w:t>
      </w:r>
      <w:r w:rsidR="00FA4110">
        <w:rPr>
          <w:rFonts w:ascii="Arial" w:hAnsi="Arial" w:cs="Arial"/>
          <w:sz w:val="22"/>
          <w:szCs w:val="22"/>
          <w:lang w:val="en-GB"/>
        </w:rPr>
        <w:t xml:space="preserve">. </w:t>
      </w:r>
    </w:p>
    <w:p w14:paraId="511B5B4E" w14:textId="0A371B59" w:rsidR="00FA4110" w:rsidRDefault="00FA4110" w:rsidP="00894369">
      <w:pPr>
        <w:pStyle w:val="ListParagraph"/>
        <w:numPr>
          <w:ilvl w:val="0"/>
          <w:numId w:val="13"/>
        </w:numPr>
        <w:jc w:val="both"/>
        <w:rPr>
          <w:rFonts w:ascii="Arial" w:hAnsi="Arial" w:cs="Arial"/>
          <w:sz w:val="22"/>
          <w:szCs w:val="22"/>
          <w:lang w:val="en-GB"/>
        </w:rPr>
      </w:pPr>
      <w:r>
        <w:rPr>
          <w:rFonts w:ascii="Arial" w:hAnsi="Arial" w:cs="Arial"/>
          <w:sz w:val="22"/>
          <w:szCs w:val="22"/>
          <w:lang w:val="en-GB"/>
        </w:rPr>
        <w:t xml:space="preserve">Liquidation of the debtor </w:t>
      </w:r>
      <w:r w:rsidR="00234084">
        <w:rPr>
          <w:rFonts w:ascii="Arial" w:hAnsi="Arial" w:cs="Arial"/>
          <w:sz w:val="22"/>
          <w:szCs w:val="22"/>
          <w:lang w:val="en-GB"/>
        </w:rPr>
        <w:t xml:space="preserve">had to be broadened to include the scope for </w:t>
      </w:r>
      <w:r w:rsidR="006350C2">
        <w:rPr>
          <w:rFonts w:ascii="Arial" w:hAnsi="Arial" w:cs="Arial"/>
          <w:sz w:val="22"/>
          <w:szCs w:val="22"/>
          <w:lang w:val="en-GB"/>
        </w:rPr>
        <w:t>restructuring proceedings.</w:t>
      </w:r>
      <w:r w:rsidR="00503806">
        <w:rPr>
          <w:rFonts w:ascii="Arial" w:hAnsi="Arial" w:cs="Arial"/>
          <w:sz w:val="22"/>
          <w:szCs w:val="22"/>
          <w:lang w:val="en-GB"/>
        </w:rPr>
        <w:t xml:space="preserve"> </w:t>
      </w:r>
      <w:r w:rsidR="00D267A0">
        <w:rPr>
          <w:rFonts w:ascii="Arial" w:hAnsi="Arial" w:cs="Arial"/>
          <w:sz w:val="22"/>
          <w:szCs w:val="22"/>
          <w:lang w:val="en-GB"/>
        </w:rPr>
        <w:t xml:space="preserve">What needed was </w:t>
      </w:r>
      <w:r w:rsidR="00D267A0" w:rsidRPr="00D267A0">
        <w:rPr>
          <w:rFonts w:ascii="Arial" w:hAnsi="Arial" w:cs="Arial"/>
          <w:sz w:val="22"/>
          <w:szCs w:val="22"/>
          <w:lang w:val="en-GB"/>
        </w:rPr>
        <w:t>encouraging viable business to restructure at the early stage to prevent insolvency</w:t>
      </w:r>
      <w:r w:rsidR="005309A9">
        <w:rPr>
          <w:rFonts w:ascii="Arial" w:hAnsi="Arial" w:cs="Arial"/>
          <w:sz w:val="22"/>
          <w:szCs w:val="22"/>
          <w:lang w:val="en-GB"/>
        </w:rPr>
        <w:t>.</w:t>
      </w:r>
    </w:p>
    <w:p w14:paraId="7F20D595" w14:textId="0F31D44A" w:rsidR="005309A9" w:rsidRDefault="0002474E" w:rsidP="00894369">
      <w:pPr>
        <w:pStyle w:val="ListParagraph"/>
        <w:numPr>
          <w:ilvl w:val="0"/>
          <w:numId w:val="13"/>
        </w:numPr>
        <w:jc w:val="both"/>
        <w:rPr>
          <w:rFonts w:ascii="Arial" w:hAnsi="Arial" w:cs="Arial"/>
          <w:sz w:val="22"/>
          <w:szCs w:val="22"/>
          <w:lang w:val="en-GB"/>
        </w:rPr>
      </w:pPr>
      <w:r>
        <w:rPr>
          <w:rFonts w:ascii="Arial" w:hAnsi="Arial" w:cs="Arial"/>
          <w:sz w:val="22"/>
          <w:szCs w:val="22"/>
          <w:lang w:val="en-GB"/>
        </w:rPr>
        <w:t xml:space="preserve">COMI and secondary proceedings needed more clarity as many courts gave different rulings on COMI leading to uncertainty </w:t>
      </w:r>
      <w:r w:rsidR="00BF72F8">
        <w:rPr>
          <w:rFonts w:ascii="Arial" w:hAnsi="Arial" w:cs="Arial"/>
          <w:sz w:val="22"/>
          <w:szCs w:val="22"/>
          <w:lang w:val="en-GB"/>
        </w:rPr>
        <w:t xml:space="preserve">with increased costs and time. </w:t>
      </w:r>
      <w:r w:rsidR="00C8686A">
        <w:rPr>
          <w:rFonts w:ascii="Arial" w:hAnsi="Arial" w:cs="Arial"/>
          <w:sz w:val="22"/>
          <w:szCs w:val="22"/>
          <w:lang w:val="en-GB"/>
        </w:rPr>
        <w:t xml:space="preserve">Conflicts in COMI such as registered office of the Debtor and the shifting of COMI </w:t>
      </w:r>
      <w:r w:rsidR="003F02EA">
        <w:rPr>
          <w:rFonts w:ascii="Arial" w:hAnsi="Arial" w:cs="Arial"/>
          <w:sz w:val="22"/>
          <w:szCs w:val="22"/>
          <w:lang w:val="en-GB"/>
        </w:rPr>
        <w:t xml:space="preserve">by the debtor for the purpose of forum </w:t>
      </w:r>
      <w:r w:rsidR="003F02EA" w:rsidRPr="00B707EC">
        <w:rPr>
          <w:rFonts w:ascii="Arial" w:hAnsi="Arial" w:cs="Arial"/>
          <w:sz w:val="22"/>
          <w:szCs w:val="22"/>
          <w:lang w:val="en-GB"/>
        </w:rPr>
        <w:t xml:space="preserve">shopping was consuming </w:t>
      </w:r>
      <w:r w:rsidR="00D64821" w:rsidRPr="00B707EC">
        <w:rPr>
          <w:rFonts w:ascii="Arial" w:hAnsi="Arial" w:cs="Arial"/>
          <w:sz w:val="22"/>
          <w:szCs w:val="22"/>
          <w:lang w:val="en-GB"/>
        </w:rPr>
        <w:t>consume a considerable amount of time, and result in different courts concluding and reaching differing decisions</w:t>
      </w:r>
      <w:r w:rsidR="00553E70" w:rsidRPr="00B707EC">
        <w:rPr>
          <w:rFonts w:ascii="Arial" w:hAnsi="Arial" w:cs="Arial"/>
          <w:sz w:val="22"/>
          <w:szCs w:val="22"/>
          <w:lang w:val="en-GB"/>
        </w:rPr>
        <w:t xml:space="preserve">. Landmark judgements on COMI such as </w:t>
      </w:r>
      <w:proofErr w:type="spellStart"/>
      <w:r w:rsidR="00553E70" w:rsidRPr="00B707EC">
        <w:rPr>
          <w:rFonts w:ascii="Arial" w:hAnsi="Arial" w:cs="Arial"/>
          <w:sz w:val="22"/>
          <w:szCs w:val="22"/>
          <w:lang w:val="en-GB"/>
        </w:rPr>
        <w:t>Interedil</w:t>
      </w:r>
      <w:proofErr w:type="spellEnd"/>
      <w:r w:rsidR="00553E70" w:rsidRPr="00B707EC">
        <w:rPr>
          <w:rFonts w:ascii="Arial" w:hAnsi="Arial" w:cs="Arial"/>
          <w:sz w:val="22"/>
          <w:szCs w:val="22"/>
          <w:lang w:val="en-GB"/>
        </w:rPr>
        <w:t xml:space="preserve"> Srl (In Liquidation) v Fallimento </w:t>
      </w:r>
      <w:proofErr w:type="spellStart"/>
      <w:r w:rsidR="00553E70" w:rsidRPr="00B707EC">
        <w:rPr>
          <w:rFonts w:ascii="Arial" w:hAnsi="Arial" w:cs="Arial"/>
          <w:sz w:val="22"/>
          <w:szCs w:val="22"/>
          <w:lang w:val="en-GB"/>
        </w:rPr>
        <w:t>Interedil</w:t>
      </w:r>
      <w:proofErr w:type="spellEnd"/>
      <w:r w:rsidR="00553E70" w:rsidRPr="00B707EC">
        <w:rPr>
          <w:rFonts w:ascii="Arial" w:hAnsi="Arial" w:cs="Arial"/>
          <w:sz w:val="22"/>
          <w:szCs w:val="22"/>
          <w:lang w:val="en-GB"/>
        </w:rPr>
        <w:t xml:space="preserve"> Srl</w:t>
      </w:r>
      <w:r w:rsidR="0074500F" w:rsidRPr="00B707EC">
        <w:rPr>
          <w:rFonts w:ascii="Arial" w:hAnsi="Arial" w:cs="Arial"/>
          <w:sz w:val="22"/>
          <w:szCs w:val="22"/>
          <w:lang w:val="en-GB"/>
        </w:rPr>
        <w:t xml:space="preserve"> bought come clarity </w:t>
      </w:r>
      <w:r w:rsidR="00B707EC" w:rsidRPr="00B707EC">
        <w:rPr>
          <w:rFonts w:ascii="Arial" w:hAnsi="Arial" w:cs="Arial"/>
          <w:sz w:val="22"/>
          <w:szCs w:val="22"/>
          <w:lang w:val="en-GB"/>
        </w:rPr>
        <w:t>but a clear provision was needed.</w:t>
      </w:r>
      <w:r w:rsidR="00B707EC">
        <w:rPr>
          <w:rStyle w:val="Emphasis"/>
          <w:rFonts w:ascii="Segoe UI" w:hAnsi="Segoe UI" w:cs="Segoe UI"/>
          <w:color w:val="212529"/>
          <w:shd w:val="clear" w:color="auto" w:fill="FFFFFF"/>
        </w:rPr>
        <w:t xml:space="preserve"> </w:t>
      </w:r>
    </w:p>
    <w:p w14:paraId="2D836699" w14:textId="0822BA23" w:rsidR="006350C2" w:rsidRDefault="006350C2" w:rsidP="00894369">
      <w:pPr>
        <w:pStyle w:val="ListParagraph"/>
        <w:numPr>
          <w:ilvl w:val="0"/>
          <w:numId w:val="13"/>
        </w:numPr>
        <w:jc w:val="both"/>
        <w:rPr>
          <w:rFonts w:ascii="Arial" w:hAnsi="Arial" w:cs="Arial"/>
          <w:sz w:val="22"/>
          <w:szCs w:val="22"/>
          <w:lang w:val="en-GB"/>
        </w:rPr>
      </w:pPr>
      <w:r>
        <w:rPr>
          <w:rFonts w:ascii="Arial" w:hAnsi="Arial" w:cs="Arial"/>
          <w:sz w:val="22"/>
          <w:szCs w:val="22"/>
          <w:lang w:val="en-GB"/>
        </w:rPr>
        <w:t>Stronger rules for cooperation between insolvency practitioners and the courts</w:t>
      </w:r>
    </w:p>
    <w:p w14:paraId="48B6156F" w14:textId="3447CD00" w:rsidR="000E7B45" w:rsidRDefault="00765BCD" w:rsidP="000E7B45">
      <w:pPr>
        <w:pStyle w:val="ListParagraph"/>
        <w:numPr>
          <w:ilvl w:val="0"/>
          <w:numId w:val="13"/>
        </w:numPr>
        <w:jc w:val="both"/>
        <w:rPr>
          <w:rFonts w:ascii="Arial" w:hAnsi="Arial" w:cs="Arial"/>
          <w:sz w:val="22"/>
          <w:szCs w:val="22"/>
          <w:lang w:val="en-GB"/>
        </w:rPr>
      </w:pPr>
      <w:r>
        <w:rPr>
          <w:rFonts w:ascii="Arial" w:hAnsi="Arial" w:cs="Arial"/>
          <w:sz w:val="22"/>
          <w:szCs w:val="22"/>
          <w:lang w:val="en-GB"/>
        </w:rPr>
        <w:t xml:space="preserve">Coordination </w:t>
      </w:r>
      <w:r>
        <w:rPr>
          <w:rFonts w:ascii="Arial" w:hAnsi="Arial" w:cs="Arial"/>
          <w:color w:val="212529"/>
          <w:sz w:val="22"/>
          <w:szCs w:val="22"/>
          <w:shd w:val="clear" w:color="auto" w:fill="FFFFFF"/>
        </w:rPr>
        <w:t>and cooperation between</w:t>
      </w:r>
      <w:r>
        <w:rPr>
          <w:rFonts w:ascii="Arial" w:hAnsi="Arial" w:cs="Arial"/>
          <w:sz w:val="22"/>
          <w:szCs w:val="22"/>
          <w:lang w:val="en-GB"/>
        </w:rPr>
        <w:t xml:space="preserve"> for </w:t>
      </w:r>
      <w:r w:rsidR="00895B91">
        <w:rPr>
          <w:rFonts w:ascii="Arial" w:hAnsi="Arial" w:cs="Arial"/>
          <w:sz w:val="22"/>
          <w:szCs w:val="22"/>
          <w:lang w:val="en-GB"/>
        </w:rPr>
        <w:t>Group insolvency of companies belonging to the same group were absent</w:t>
      </w:r>
      <w:r w:rsidR="00B21943">
        <w:rPr>
          <w:rFonts w:ascii="Arial" w:hAnsi="Arial" w:cs="Arial"/>
          <w:sz w:val="22"/>
          <w:szCs w:val="22"/>
          <w:lang w:val="en-GB"/>
        </w:rPr>
        <w:t>.</w:t>
      </w:r>
    </w:p>
    <w:p w14:paraId="374B8FBB" w14:textId="7EEB12FF" w:rsidR="00895B91" w:rsidRPr="000E7B45" w:rsidRDefault="00B21943" w:rsidP="000E7B45">
      <w:pPr>
        <w:pStyle w:val="ListParagraph"/>
        <w:numPr>
          <w:ilvl w:val="0"/>
          <w:numId w:val="13"/>
        </w:numPr>
        <w:jc w:val="both"/>
        <w:rPr>
          <w:rFonts w:ascii="Arial" w:hAnsi="Arial" w:cs="Arial"/>
          <w:sz w:val="22"/>
          <w:szCs w:val="22"/>
          <w:lang w:val="en-GB"/>
        </w:rPr>
      </w:pPr>
      <w:r w:rsidRPr="000E7B45">
        <w:rPr>
          <w:rFonts w:ascii="Arial" w:hAnsi="Arial" w:cs="Arial"/>
          <w:color w:val="212529"/>
          <w:sz w:val="22"/>
          <w:szCs w:val="22"/>
          <w:shd w:val="clear" w:color="auto" w:fill="FFFFFF"/>
        </w:rPr>
        <w:lastRenderedPageBreak/>
        <w:t> </w:t>
      </w:r>
      <w:r w:rsidR="000E7B45">
        <w:rPr>
          <w:rFonts w:ascii="Arial" w:hAnsi="Arial" w:cs="Arial"/>
          <w:color w:val="212529"/>
          <w:sz w:val="22"/>
          <w:szCs w:val="22"/>
          <w:shd w:val="clear" w:color="auto" w:fill="FFFFFF"/>
        </w:rPr>
        <w:t>C</w:t>
      </w:r>
      <w:r w:rsidRPr="000E7B45">
        <w:rPr>
          <w:rFonts w:ascii="Arial" w:hAnsi="Arial" w:cs="Arial"/>
          <w:color w:val="212529"/>
          <w:sz w:val="22"/>
          <w:szCs w:val="22"/>
          <w:shd w:val="clear" w:color="auto" w:fill="FFFFFF"/>
        </w:rPr>
        <w:t>ross-</w:t>
      </w:r>
      <w:r w:rsidRPr="00B54990">
        <w:rPr>
          <w:rFonts w:ascii="Arial" w:hAnsi="Arial" w:cs="Arial"/>
          <w:sz w:val="22"/>
          <w:szCs w:val="22"/>
          <w:lang w:val="en-GB"/>
        </w:rPr>
        <w:t>border coordination of national insolvency proceedings. </w:t>
      </w:r>
      <w:r w:rsidR="00D96795" w:rsidRPr="00B54990">
        <w:rPr>
          <w:rFonts w:ascii="Arial" w:hAnsi="Arial" w:cs="Arial"/>
          <w:sz w:val="22"/>
          <w:szCs w:val="22"/>
          <w:lang w:val="en-GB"/>
        </w:rPr>
        <w:t xml:space="preserve"> A new regulation was needed to reduce the</w:t>
      </w:r>
      <w:r w:rsidR="00B54990" w:rsidRPr="00B54990">
        <w:rPr>
          <w:rFonts w:ascii="Arial" w:hAnsi="Arial" w:cs="Arial"/>
          <w:sz w:val="22"/>
          <w:szCs w:val="22"/>
          <w:lang w:val="en-GB"/>
        </w:rPr>
        <w:t xml:space="preserve"> </w:t>
      </w:r>
      <w:r w:rsidR="00D96795" w:rsidRPr="00B54990">
        <w:rPr>
          <w:rFonts w:ascii="Arial" w:hAnsi="Arial" w:cs="Arial"/>
          <w:sz w:val="22"/>
          <w:szCs w:val="22"/>
          <w:lang w:val="en-GB"/>
        </w:rPr>
        <w:t>risk to banks and financial institutions of enforcement against insolvent companies in EU Member States by enabling cross-border cooperation and increasing certainty in the law applicable on insolvency.</w:t>
      </w:r>
    </w:p>
    <w:p w14:paraId="05E146AF" w14:textId="0599FA94" w:rsidR="00895B91" w:rsidRDefault="00776F05" w:rsidP="00894369">
      <w:pPr>
        <w:pStyle w:val="ListParagraph"/>
        <w:numPr>
          <w:ilvl w:val="0"/>
          <w:numId w:val="13"/>
        </w:numPr>
        <w:jc w:val="both"/>
        <w:rPr>
          <w:rFonts w:ascii="Arial" w:hAnsi="Arial" w:cs="Arial"/>
          <w:sz w:val="22"/>
          <w:szCs w:val="22"/>
          <w:lang w:val="en-GB"/>
        </w:rPr>
      </w:pPr>
      <w:r>
        <w:rPr>
          <w:rFonts w:ascii="Arial" w:hAnsi="Arial" w:cs="Arial"/>
          <w:sz w:val="22"/>
          <w:szCs w:val="22"/>
          <w:lang w:val="en-GB"/>
        </w:rPr>
        <w:t xml:space="preserve">Improvement </w:t>
      </w:r>
      <w:r w:rsidR="005F1A88">
        <w:rPr>
          <w:rFonts w:ascii="Arial" w:hAnsi="Arial" w:cs="Arial"/>
          <w:sz w:val="22"/>
          <w:szCs w:val="22"/>
          <w:lang w:val="en-GB"/>
        </w:rPr>
        <w:t>of creditor information</w:t>
      </w:r>
      <w:r w:rsidR="009A2FB6">
        <w:rPr>
          <w:rFonts w:ascii="Arial" w:hAnsi="Arial" w:cs="Arial"/>
          <w:sz w:val="22"/>
          <w:szCs w:val="22"/>
          <w:lang w:val="en-GB"/>
        </w:rPr>
        <w:t>.</w:t>
      </w:r>
      <w:r w:rsidR="00A9062E">
        <w:rPr>
          <w:rFonts w:ascii="Arial" w:hAnsi="Arial" w:cs="Arial"/>
          <w:sz w:val="22"/>
          <w:szCs w:val="22"/>
          <w:lang w:val="en-GB"/>
        </w:rPr>
        <w:t xml:space="preserve"> </w:t>
      </w:r>
      <w:r w:rsidR="00F94EE9">
        <w:rPr>
          <w:rFonts w:ascii="Arial" w:hAnsi="Arial" w:cs="Arial"/>
          <w:sz w:val="22"/>
          <w:szCs w:val="22"/>
          <w:lang w:val="en-GB"/>
        </w:rPr>
        <w:t>The need of information such as preferential creditors if any of the debtor</w:t>
      </w:r>
      <w:r w:rsidR="00E91ED9">
        <w:rPr>
          <w:rFonts w:ascii="Arial" w:hAnsi="Arial" w:cs="Arial"/>
          <w:sz w:val="22"/>
          <w:szCs w:val="22"/>
          <w:lang w:val="en-GB"/>
        </w:rPr>
        <w:t xml:space="preserve"> </w:t>
      </w:r>
      <w:r w:rsidR="00E91ED9">
        <w:rPr>
          <w:rFonts w:ascii="Arial" w:hAnsi="Arial" w:cs="Arial"/>
          <w:color w:val="212529"/>
          <w:sz w:val="22"/>
          <w:szCs w:val="22"/>
          <w:shd w:val="clear" w:color="auto" w:fill="FFFFFF"/>
        </w:rPr>
        <w:t xml:space="preserve">security rights (security in rem, reservation of title) and any claimed set-off rights. </w:t>
      </w:r>
    </w:p>
    <w:p w14:paraId="5ADEB200" w14:textId="62D42E70" w:rsidR="005F1A88" w:rsidRDefault="005F1A88" w:rsidP="00894369">
      <w:pPr>
        <w:pStyle w:val="ListParagraph"/>
        <w:numPr>
          <w:ilvl w:val="0"/>
          <w:numId w:val="13"/>
        </w:numPr>
        <w:jc w:val="both"/>
        <w:rPr>
          <w:rFonts w:ascii="Arial" w:hAnsi="Arial" w:cs="Arial"/>
          <w:sz w:val="22"/>
          <w:szCs w:val="22"/>
          <w:lang w:val="en-GB"/>
        </w:rPr>
      </w:pPr>
      <w:r>
        <w:rPr>
          <w:rFonts w:ascii="Arial" w:hAnsi="Arial" w:cs="Arial"/>
          <w:sz w:val="22"/>
          <w:szCs w:val="22"/>
          <w:lang w:val="en-GB"/>
        </w:rPr>
        <w:t xml:space="preserve">Data protection </w:t>
      </w:r>
      <w:r w:rsidR="00733836">
        <w:rPr>
          <w:rFonts w:ascii="Arial" w:hAnsi="Arial" w:cs="Arial"/>
          <w:sz w:val="22"/>
          <w:szCs w:val="22"/>
          <w:lang w:val="en-GB"/>
        </w:rPr>
        <w:t xml:space="preserve">and </w:t>
      </w:r>
      <w:r w:rsidR="001036AE">
        <w:rPr>
          <w:rFonts w:ascii="Arial" w:hAnsi="Arial" w:cs="Arial"/>
          <w:sz w:val="22"/>
          <w:szCs w:val="22"/>
          <w:lang w:val="en-GB"/>
        </w:rPr>
        <w:t xml:space="preserve">the </w:t>
      </w:r>
      <w:r w:rsidR="00733836">
        <w:rPr>
          <w:rFonts w:ascii="Arial" w:hAnsi="Arial" w:cs="Arial"/>
          <w:color w:val="212529"/>
          <w:sz w:val="22"/>
          <w:szCs w:val="22"/>
          <w:shd w:val="clear" w:color="auto" w:fill="FFFFFF"/>
        </w:rPr>
        <w:t>need of in</w:t>
      </w:r>
      <w:r w:rsidR="004D1AF8">
        <w:rPr>
          <w:rFonts w:ascii="Arial" w:hAnsi="Arial" w:cs="Arial"/>
          <w:color w:val="212529"/>
          <w:sz w:val="22"/>
          <w:szCs w:val="22"/>
          <w:shd w:val="clear" w:color="auto" w:fill="FFFFFF"/>
        </w:rPr>
        <w:t xml:space="preserve">formation symmetry of all insolvency proceedings conducted in </w:t>
      </w:r>
      <w:r w:rsidR="001036AE">
        <w:rPr>
          <w:rFonts w:ascii="Arial" w:hAnsi="Arial" w:cs="Arial"/>
          <w:color w:val="212529"/>
          <w:sz w:val="22"/>
          <w:szCs w:val="22"/>
          <w:shd w:val="clear" w:color="auto" w:fill="FFFFFF"/>
        </w:rPr>
        <w:t xml:space="preserve">all </w:t>
      </w:r>
      <w:r w:rsidR="004D1AF8">
        <w:rPr>
          <w:rFonts w:ascii="Arial" w:hAnsi="Arial" w:cs="Arial"/>
          <w:color w:val="212529"/>
          <w:sz w:val="22"/>
          <w:szCs w:val="22"/>
          <w:shd w:val="clear" w:color="auto" w:fill="FFFFFF"/>
        </w:rPr>
        <w:t xml:space="preserve">member states </w:t>
      </w:r>
      <w:r w:rsidR="00733836">
        <w:rPr>
          <w:rFonts w:ascii="Arial" w:hAnsi="Arial" w:cs="Arial"/>
          <w:color w:val="212529"/>
          <w:sz w:val="22"/>
          <w:szCs w:val="22"/>
          <w:shd w:val="clear" w:color="auto" w:fill="FFFFFF"/>
        </w:rPr>
        <w:t>interconnected</w:t>
      </w:r>
      <w:r w:rsidR="001036AE">
        <w:rPr>
          <w:rFonts w:ascii="Arial" w:hAnsi="Arial" w:cs="Arial"/>
          <w:color w:val="212529"/>
          <w:sz w:val="22"/>
          <w:szCs w:val="22"/>
          <w:shd w:val="clear" w:color="auto" w:fill="FFFFFF"/>
        </w:rPr>
        <w:t>.</w:t>
      </w:r>
    </w:p>
    <w:p w14:paraId="5BF5122A" w14:textId="7F192AAB" w:rsidR="00C912DD" w:rsidRDefault="00C912DD" w:rsidP="00894369">
      <w:pPr>
        <w:pStyle w:val="ListParagraph"/>
        <w:numPr>
          <w:ilvl w:val="0"/>
          <w:numId w:val="13"/>
        </w:numPr>
        <w:jc w:val="both"/>
        <w:rPr>
          <w:rFonts w:ascii="Arial" w:hAnsi="Arial" w:cs="Arial"/>
          <w:color w:val="212529"/>
          <w:sz w:val="22"/>
          <w:szCs w:val="22"/>
          <w:shd w:val="clear" w:color="auto" w:fill="FFFFFF"/>
        </w:rPr>
      </w:pPr>
      <w:r w:rsidRPr="00C912DD">
        <w:rPr>
          <w:rFonts w:ascii="Arial" w:hAnsi="Arial" w:cs="Arial"/>
          <w:sz w:val="22"/>
          <w:szCs w:val="22"/>
          <w:lang w:val="en-GB"/>
        </w:rPr>
        <w:t xml:space="preserve">the economic crisis which affected European countries in period between 2009 and 2011 and which has led to increase in number of failing businesses, indicated that current insolvency regulation on EU level may not be adequate instrument for dealing </w:t>
      </w:r>
      <w:r w:rsidRPr="004F3EDB">
        <w:rPr>
          <w:rFonts w:ascii="Arial" w:hAnsi="Arial" w:cs="Arial"/>
          <w:color w:val="212529"/>
          <w:sz w:val="22"/>
          <w:szCs w:val="22"/>
          <w:shd w:val="clear" w:color="auto" w:fill="FFFFFF"/>
        </w:rPr>
        <w:t>with increased number of insolvency proceedings in enlarged EU.</w:t>
      </w:r>
    </w:p>
    <w:p w14:paraId="0386CCC0" w14:textId="77777777" w:rsidR="004F3EDB" w:rsidRPr="004F3EDB" w:rsidRDefault="004F3EDB" w:rsidP="004F3EDB">
      <w:pPr>
        <w:pStyle w:val="ListParagraph"/>
        <w:jc w:val="both"/>
        <w:rPr>
          <w:rFonts w:ascii="Arial" w:hAnsi="Arial" w:cs="Arial"/>
          <w:color w:val="212529"/>
          <w:sz w:val="22"/>
          <w:szCs w:val="22"/>
          <w:shd w:val="clear" w:color="auto" w:fill="FFFFFF"/>
        </w:rPr>
      </w:pPr>
    </w:p>
    <w:p w14:paraId="346E7EEB" w14:textId="6572C5BF" w:rsidR="00B707EC" w:rsidRPr="004F3EDB" w:rsidRDefault="00B707EC" w:rsidP="00B707EC">
      <w:pPr>
        <w:jc w:val="both"/>
        <w:rPr>
          <w:rFonts w:ascii="Arial" w:hAnsi="Arial" w:cs="Arial"/>
          <w:color w:val="212529"/>
          <w:sz w:val="22"/>
          <w:szCs w:val="22"/>
          <w:shd w:val="clear" w:color="auto" w:fill="FFFFFF"/>
        </w:rPr>
      </w:pPr>
      <w:r w:rsidRPr="004F3EDB">
        <w:rPr>
          <w:rFonts w:ascii="Arial" w:hAnsi="Arial" w:cs="Arial"/>
          <w:color w:val="212529"/>
          <w:sz w:val="22"/>
          <w:szCs w:val="22"/>
          <w:shd w:val="clear" w:color="auto" w:fill="FFFFFF"/>
        </w:rPr>
        <w:t xml:space="preserve">The shortcoming of the EU regulations </w:t>
      </w:r>
      <w:r w:rsidR="004F3EDB" w:rsidRPr="004F3EDB">
        <w:rPr>
          <w:rFonts w:ascii="Arial" w:hAnsi="Arial" w:cs="Arial"/>
          <w:color w:val="212529"/>
          <w:sz w:val="22"/>
          <w:szCs w:val="22"/>
          <w:shd w:val="clear" w:color="auto" w:fill="FFFFFF"/>
        </w:rPr>
        <w:t>was</w:t>
      </w:r>
      <w:r w:rsidRPr="004F3EDB">
        <w:rPr>
          <w:rFonts w:ascii="Arial" w:hAnsi="Arial" w:cs="Arial"/>
          <w:color w:val="212529"/>
          <w:sz w:val="22"/>
          <w:szCs w:val="22"/>
          <w:shd w:val="clear" w:color="auto" w:fill="FFFFFF"/>
        </w:rPr>
        <w:t xml:space="preserve"> addressed in the 2015</w:t>
      </w:r>
      <w:r w:rsidR="004F3EDB" w:rsidRPr="004F3EDB">
        <w:rPr>
          <w:rFonts w:ascii="Arial" w:hAnsi="Arial" w:cs="Arial"/>
          <w:color w:val="212529"/>
          <w:sz w:val="22"/>
          <w:szCs w:val="22"/>
          <w:shd w:val="clear" w:color="auto" w:fill="FFFFFF"/>
        </w:rPr>
        <w:t xml:space="preserve"> EU Recast Regulation and The European Commission expects highly from this legislative reform. </w:t>
      </w:r>
    </w:p>
    <w:p w14:paraId="4098D7DA" w14:textId="77777777" w:rsidR="00241FA3" w:rsidRPr="008500BD" w:rsidRDefault="00241FA3" w:rsidP="002A37BB">
      <w:pPr>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2F029E55" w14:textId="1B8A75CB" w:rsidR="00DF75F8" w:rsidRDefault="00E90991" w:rsidP="002A37BB">
      <w:pPr>
        <w:jc w:val="both"/>
        <w:rPr>
          <w:rFonts w:ascii="Arial" w:hAnsi="Arial" w:cs="Arial"/>
          <w:sz w:val="22"/>
          <w:szCs w:val="22"/>
          <w:lang w:val="en-GB"/>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r w:rsidR="00FE07DA">
        <w:rPr>
          <w:rFonts w:ascii="Arial" w:hAnsi="Arial" w:cs="Arial"/>
          <w:sz w:val="22"/>
          <w:szCs w:val="22"/>
          <w:lang w:val="en-GB"/>
        </w:rPr>
        <w:t>.</w:t>
      </w:r>
    </w:p>
    <w:p w14:paraId="29D5BD98" w14:textId="07D749B0" w:rsidR="00FE07DA" w:rsidRDefault="00FE07DA" w:rsidP="002A37BB">
      <w:pPr>
        <w:jc w:val="both"/>
        <w:rPr>
          <w:rFonts w:ascii="Arial" w:hAnsi="Arial" w:cs="Arial"/>
          <w:sz w:val="22"/>
          <w:szCs w:val="22"/>
          <w:lang w:val="en-GB"/>
        </w:rPr>
      </w:pPr>
    </w:p>
    <w:p w14:paraId="693293C4" w14:textId="3D7A8E61" w:rsidR="00FE07DA" w:rsidRPr="00FE07DA" w:rsidRDefault="00FE07DA" w:rsidP="002A37BB">
      <w:pPr>
        <w:jc w:val="both"/>
        <w:rPr>
          <w:rFonts w:ascii="Arial" w:hAnsi="Arial" w:cs="Arial"/>
          <w:i/>
          <w:iCs/>
          <w:sz w:val="22"/>
          <w:szCs w:val="22"/>
          <w:u w:val="single"/>
          <w:lang w:val="en-GB"/>
        </w:rPr>
      </w:pPr>
      <w:r w:rsidRPr="00FE07DA">
        <w:rPr>
          <w:rFonts w:ascii="Arial" w:hAnsi="Arial" w:cs="Arial"/>
          <w:i/>
          <w:iCs/>
          <w:sz w:val="22"/>
          <w:szCs w:val="22"/>
          <w:u w:val="single"/>
          <w:lang w:val="en-GB"/>
        </w:rPr>
        <w:t>Answer of 3.2 on the next page.</w:t>
      </w:r>
    </w:p>
    <w:tbl>
      <w:tblPr>
        <w:tblStyle w:val="TableGrid"/>
        <w:tblpPr w:leftFromText="180" w:rightFromText="180" w:horzAnchor="margin" w:tblpXSpec="center" w:tblpY="312"/>
        <w:tblW w:w="10140" w:type="dxa"/>
        <w:tblLayout w:type="fixed"/>
        <w:tblLook w:val="04A0" w:firstRow="1" w:lastRow="0" w:firstColumn="1" w:lastColumn="0" w:noHBand="0" w:noVBand="1"/>
      </w:tblPr>
      <w:tblGrid>
        <w:gridCol w:w="706"/>
        <w:gridCol w:w="909"/>
        <w:gridCol w:w="3146"/>
        <w:gridCol w:w="2769"/>
        <w:gridCol w:w="2610"/>
      </w:tblGrid>
      <w:tr w:rsidR="00552D1A" w:rsidRPr="00552D1A" w14:paraId="2B5C8E90" w14:textId="77777777" w:rsidTr="00552D1A">
        <w:tc>
          <w:tcPr>
            <w:tcW w:w="706" w:type="dxa"/>
          </w:tcPr>
          <w:p w14:paraId="006831D3" w14:textId="2D1DC6A5" w:rsidR="00AD475E" w:rsidRPr="00552D1A" w:rsidRDefault="00AD475E" w:rsidP="00DC1CAD">
            <w:pPr>
              <w:jc w:val="both"/>
              <w:rPr>
                <w:rFonts w:ascii="Arial" w:hAnsi="Arial" w:cs="Arial"/>
                <w:color w:val="000000" w:themeColor="text1"/>
                <w:sz w:val="22"/>
                <w:szCs w:val="22"/>
                <w:shd w:val="clear" w:color="auto" w:fill="FFFFFF"/>
              </w:rPr>
            </w:pPr>
            <w:proofErr w:type="spellStart"/>
            <w:r w:rsidRPr="00552D1A">
              <w:rPr>
                <w:rFonts w:ascii="Arial" w:hAnsi="Arial" w:cs="Arial"/>
                <w:color w:val="000000" w:themeColor="text1"/>
                <w:sz w:val="22"/>
                <w:szCs w:val="22"/>
                <w:shd w:val="clear" w:color="auto" w:fill="FFFFFF"/>
              </w:rPr>
              <w:lastRenderedPageBreak/>
              <w:t>S.No</w:t>
            </w:r>
            <w:proofErr w:type="spellEnd"/>
            <w:r w:rsidRPr="00552D1A">
              <w:rPr>
                <w:rFonts w:ascii="Arial" w:hAnsi="Arial" w:cs="Arial"/>
                <w:color w:val="000000" w:themeColor="text1"/>
                <w:sz w:val="22"/>
                <w:szCs w:val="22"/>
                <w:shd w:val="clear" w:color="auto" w:fill="FFFFFF"/>
              </w:rPr>
              <w:t xml:space="preserve"> </w:t>
            </w:r>
          </w:p>
        </w:tc>
        <w:tc>
          <w:tcPr>
            <w:tcW w:w="909" w:type="dxa"/>
          </w:tcPr>
          <w:p w14:paraId="334964F0" w14:textId="1A0D3068" w:rsidR="00AD475E" w:rsidRPr="00552D1A" w:rsidRDefault="00DB1015"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Changes</w:t>
            </w:r>
          </w:p>
        </w:tc>
        <w:tc>
          <w:tcPr>
            <w:tcW w:w="3146" w:type="dxa"/>
          </w:tcPr>
          <w:p w14:paraId="384C2DF7" w14:textId="1D24F1B4" w:rsidR="00AD475E" w:rsidRPr="00552D1A" w:rsidRDefault="00AD475E"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EU 200</w:t>
            </w:r>
            <w:r w:rsidR="00CF73DE" w:rsidRPr="00552D1A">
              <w:rPr>
                <w:rFonts w:ascii="Arial" w:hAnsi="Arial" w:cs="Arial"/>
                <w:color w:val="000000" w:themeColor="text1"/>
                <w:sz w:val="22"/>
                <w:szCs w:val="22"/>
                <w:shd w:val="clear" w:color="auto" w:fill="FFFFFF"/>
              </w:rPr>
              <w:t>0</w:t>
            </w:r>
          </w:p>
        </w:tc>
        <w:tc>
          <w:tcPr>
            <w:tcW w:w="2769" w:type="dxa"/>
          </w:tcPr>
          <w:p w14:paraId="5D8C2D0E" w14:textId="0A9DD07F" w:rsidR="00AD475E" w:rsidRPr="00552D1A" w:rsidRDefault="00AD475E"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EU Recast 2015</w:t>
            </w:r>
          </w:p>
        </w:tc>
        <w:tc>
          <w:tcPr>
            <w:tcW w:w="2610" w:type="dxa"/>
          </w:tcPr>
          <w:p w14:paraId="65A94F85" w14:textId="64E7B001" w:rsidR="00AD475E" w:rsidRPr="00552D1A" w:rsidRDefault="00AD475E"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How stimulate a more effective administration of insolvency proceedings</w:t>
            </w:r>
          </w:p>
        </w:tc>
      </w:tr>
      <w:tr w:rsidR="00552D1A" w:rsidRPr="00552D1A" w14:paraId="091109CF" w14:textId="77777777" w:rsidTr="00552D1A">
        <w:tc>
          <w:tcPr>
            <w:tcW w:w="706" w:type="dxa"/>
          </w:tcPr>
          <w:p w14:paraId="18D5FDB6" w14:textId="76C5E89B" w:rsidR="00AD475E" w:rsidRPr="00552D1A" w:rsidRDefault="00AD475E"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1.</w:t>
            </w:r>
          </w:p>
        </w:tc>
        <w:tc>
          <w:tcPr>
            <w:tcW w:w="909" w:type="dxa"/>
          </w:tcPr>
          <w:p w14:paraId="5EF7B5D4" w14:textId="60075C7B" w:rsidR="00DB1015" w:rsidRPr="00DB1015" w:rsidRDefault="00DB1015" w:rsidP="00DC1CAD">
            <w:pPr>
              <w:shd w:val="clear" w:color="auto" w:fill="FFFFFF"/>
              <w:spacing w:after="165"/>
              <w:outlineLvl w:val="2"/>
              <w:rPr>
                <w:rFonts w:ascii="Arial" w:hAnsi="Arial" w:cs="Arial"/>
                <w:b/>
                <w:bCs/>
                <w:color w:val="000000" w:themeColor="text1"/>
                <w:sz w:val="22"/>
                <w:szCs w:val="22"/>
                <w:lang w:eastAsia="zh-CN"/>
              </w:rPr>
            </w:pPr>
            <w:r w:rsidRPr="00DB1015">
              <w:rPr>
                <w:rFonts w:ascii="Arial" w:hAnsi="Arial" w:cs="Arial"/>
                <w:b/>
                <w:bCs/>
                <w:color w:val="000000" w:themeColor="text1"/>
                <w:sz w:val="22"/>
                <w:szCs w:val="22"/>
                <w:lang w:eastAsia="zh-CN"/>
              </w:rPr>
              <w:t xml:space="preserve">Scope of the Regulation </w:t>
            </w:r>
          </w:p>
          <w:p w14:paraId="2D2E9EFD" w14:textId="77777777" w:rsidR="00AD475E" w:rsidRPr="00552D1A" w:rsidRDefault="00AD475E" w:rsidP="00DC1CAD">
            <w:pPr>
              <w:jc w:val="both"/>
              <w:rPr>
                <w:rFonts w:ascii="Arial" w:hAnsi="Arial" w:cs="Arial"/>
                <w:color w:val="000000" w:themeColor="text1"/>
                <w:sz w:val="22"/>
                <w:szCs w:val="22"/>
                <w:shd w:val="clear" w:color="auto" w:fill="FFFFFF"/>
              </w:rPr>
            </w:pPr>
          </w:p>
        </w:tc>
        <w:tc>
          <w:tcPr>
            <w:tcW w:w="3146" w:type="dxa"/>
          </w:tcPr>
          <w:p w14:paraId="07675874" w14:textId="77777777" w:rsidR="00AD475E" w:rsidRPr="00552D1A" w:rsidRDefault="008B6379"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Regulation did not cover pre-insolvency proceedings or so-called hybrid proceedings, which aim to prevent insolvency and to rescue companies whose financial situation is distressed.</w:t>
            </w:r>
          </w:p>
          <w:p w14:paraId="6472E8F6" w14:textId="14A973B8" w:rsidR="008B6379" w:rsidRPr="00552D1A" w:rsidRDefault="008B6379"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It mentioned only</w:t>
            </w:r>
            <w:r w:rsidR="00734AEC" w:rsidRPr="00552D1A">
              <w:rPr>
                <w:rFonts w:ascii="Arial" w:hAnsi="Arial" w:cs="Arial"/>
                <w:color w:val="000000" w:themeColor="text1"/>
                <w:sz w:val="22"/>
                <w:szCs w:val="22"/>
                <w:shd w:val="clear" w:color="auto" w:fill="FFFFFF"/>
              </w:rPr>
              <w:t xml:space="preserve"> partial or total divestment of debtor and the appointment of the liquidator.</w:t>
            </w:r>
          </w:p>
        </w:tc>
        <w:tc>
          <w:tcPr>
            <w:tcW w:w="2769" w:type="dxa"/>
          </w:tcPr>
          <w:p w14:paraId="7FAEF58D" w14:textId="2986704E" w:rsidR="000344CC" w:rsidRPr="000344CC" w:rsidRDefault="000344CC" w:rsidP="00DC1CAD">
            <w:pPr>
              <w:shd w:val="clear" w:color="auto" w:fill="FFFFFF"/>
              <w:spacing w:after="165"/>
              <w:jc w:val="both"/>
              <w:rPr>
                <w:rFonts w:ascii="Arial" w:hAnsi="Arial" w:cs="Arial"/>
                <w:color w:val="000000" w:themeColor="text1"/>
                <w:sz w:val="22"/>
                <w:szCs w:val="22"/>
                <w:lang w:eastAsia="zh-CN"/>
              </w:rPr>
            </w:pPr>
            <w:r w:rsidRPr="000344CC">
              <w:rPr>
                <w:rFonts w:ascii="Arial" w:hAnsi="Arial" w:cs="Arial"/>
                <w:color w:val="000000" w:themeColor="text1"/>
                <w:sz w:val="22"/>
                <w:szCs w:val="22"/>
                <w:lang w:eastAsia="zh-CN"/>
              </w:rPr>
              <w:t>Article 1 sets out a much broader scope and includes rescue and restructuring proceedings.</w:t>
            </w:r>
          </w:p>
          <w:p w14:paraId="276007E6" w14:textId="16823AE1" w:rsidR="00AD475E" w:rsidRPr="00552D1A" w:rsidRDefault="000344CC" w:rsidP="00DC1CAD">
            <w:pPr>
              <w:shd w:val="clear" w:color="auto" w:fill="FFFFFF"/>
              <w:spacing w:after="165"/>
              <w:jc w:val="both"/>
              <w:rPr>
                <w:rFonts w:ascii="Arial" w:hAnsi="Arial" w:cs="Arial"/>
                <w:color w:val="000000" w:themeColor="text1"/>
                <w:sz w:val="22"/>
                <w:szCs w:val="22"/>
                <w:shd w:val="clear" w:color="auto" w:fill="FFFFFF"/>
              </w:rPr>
            </w:pPr>
            <w:r w:rsidRPr="000344CC">
              <w:rPr>
                <w:rFonts w:ascii="Arial" w:hAnsi="Arial" w:cs="Arial"/>
                <w:color w:val="000000" w:themeColor="text1"/>
                <w:sz w:val="22"/>
                <w:szCs w:val="22"/>
                <w:lang w:eastAsia="zh-CN"/>
              </w:rPr>
              <w:t xml:space="preserve">Moreover, the Regulation makes an explicit reference to its Annex A, which lists the (pre-) insolvency proceedings in the different member states of the European Union that fall within the scope of the Regulation Recast. </w:t>
            </w:r>
          </w:p>
        </w:tc>
        <w:tc>
          <w:tcPr>
            <w:tcW w:w="2610" w:type="dxa"/>
          </w:tcPr>
          <w:p w14:paraId="1D198FE0" w14:textId="6C80B131" w:rsidR="00185BA0" w:rsidRPr="00552D1A" w:rsidRDefault="00185BA0" w:rsidP="00DC1CAD">
            <w:pPr>
              <w:shd w:val="clear" w:color="auto" w:fill="FFFFFF"/>
              <w:spacing w:after="165"/>
              <w:jc w:val="both"/>
              <w:rPr>
                <w:rFonts w:ascii="Arial" w:hAnsi="Arial" w:cs="Arial"/>
                <w:color w:val="000000" w:themeColor="text1"/>
                <w:sz w:val="22"/>
                <w:szCs w:val="22"/>
                <w:lang w:eastAsia="zh-CN"/>
              </w:rPr>
            </w:pPr>
            <w:r w:rsidRPr="000344CC">
              <w:rPr>
                <w:rFonts w:ascii="Arial" w:hAnsi="Arial" w:cs="Arial"/>
                <w:color w:val="000000" w:themeColor="text1"/>
                <w:sz w:val="22"/>
                <w:szCs w:val="22"/>
                <w:lang w:eastAsia="zh-CN"/>
              </w:rPr>
              <w:t>Recital 9 of the Regulation Recast now also clearly states that Annex A is exhaustive and that no further examination by the courts is needed.</w:t>
            </w:r>
            <w:r w:rsidRPr="00552D1A">
              <w:rPr>
                <w:rFonts w:ascii="Arial" w:hAnsi="Arial" w:cs="Arial"/>
                <w:color w:val="000000" w:themeColor="text1"/>
                <w:sz w:val="22"/>
                <w:szCs w:val="22"/>
                <w:lang w:eastAsia="zh-CN"/>
              </w:rPr>
              <w:t xml:space="preserve"> This is </w:t>
            </w:r>
            <w:r w:rsidR="00160F9F" w:rsidRPr="00552D1A">
              <w:rPr>
                <w:rFonts w:ascii="Arial" w:hAnsi="Arial" w:cs="Arial"/>
                <w:color w:val="000000" w:themeColor="text1"/>
                <w:sz w:val="22"/>
                <w:szCs w:val="22"/>
                <w:lang w:eastAsia="zh-CN"/>
              </w:rPr>
              <w:t>facilitating</w:t>
            </w:r>
            <w:r w:rsidRPr="00552D1A">
              <w:rPr>
                <w:rFonts w:ascii="Arial" w:hAnsi="Arial" w:cs="Arial"/>
                <w:color w:val="000000" w:themeColor="text1"/>
                <w:sz w:val="22"/>
                <w:szCs w:val="22"/>
                <w:lang w:eastAsia="zh-CN"/>
              </w:rPr>
              <w:t xml:space="preserve"> in </w:t>
            </w:r>
            <w:r w:rsidR="003E4ECF" w:rsidRPr="00552D1A">
              <w:rPr>
                <w:rFonts w:ascii="Arial" w:hAnsi="Arial" w:cs="Arial"/>
                <w:color w:val="000000" w:themeColor="text1"/>
                <w:sz w:val="22"/>
                <w:szCs w:val="22"/>
                <w:lang w:eastAsia="zh-CN"/>
              </w:rPr>
              <w:t xml:space="preserve">faster </w:t>
            </w:r>
            <w:r w:rsidR="00080E53" w:rsidRPr="00552D1A">
              <w:rPr>
                <w:rFonts w:ascii="Arial" w:hAnsi="Arial" w:cs="Arial"/>
                <w:color w:val="000000" w:themeColor="text1"/>
                <w:sz w:val="22"/>
                <w:szCs w:val="22"/>
                <w:lang w:eastAsia="zh-CN"/>
              </w:rPr>
              <w:t>decision whether Recast will be triggered or not</w:t>
            </w:r>
            <w:r w:rsidR="00160F9F" w:rsidRPr="00552D1A">
              <w:rPr>
                <w:rFonts w:ascii="Arial" w:hAnsi="Arial" w:cs="Arial"/>
                <w:color w:val="000000" w:themeColor="text1"/>
                <w:sz w:val="22"/>
                <w:szCs w:val="22"/>
                <w:lang w:eastAsia="zh-CN"/>
              </w:rPr>
              <w:t xml:space="preserve"> as Annex A has become a determinative factor for the applicability of Recast. </w:t>
            </w:r>
          </w:p>
          <w:p w14:paraId="2A07A965" w14:textId="780682AD" w:rsidR="0000098B" w:rsidRPr="00552D1A" w:rsidRDefault="00A02BEC" w:rsidP="00DC1CAD">
            <w:pPr>
              <w:shd w:val="clear" w:color="auto" w:fill="FFFFFF"/>
              <w:spacing w:after="165"/>
              <w:jc w:val="both"/>
              <w:rPr>
                <w:rFonts w:ascii="Arial" w:hAnsi="Arial" w:cs="Arial"/>
                <w:color w:val="000000" w:themeColor="text1"/>
                <w:sz w:val="22"/>
                <w:szCs w:val="22"/>
                <w:lang w:eastAsia="zh-CN"/>
              </w:rPr>
            </w:pPr>
            <w:r w:rsidRPr="00552D1A">
              <w:rPr>
                <w:rFonts w:ascii="Arial" w:hAnsi="Arial" w:cs="Arial"/>
                <w:color w:val="000000" w:themeColor="text1"/>
                <w:sz w:val="22"/>
                <w:szCs w:val="22"/>
                <w:lang w:eastAsia="zh-CN"/>
              </w:rPr>
              <w:t xml:space="preserve">The broadening of the scope introduced in Recast </w:t>
            </w:r>
            <w:r w:rsidR="001E3A32" w:rsidRPr="00552D1A">
              <w:rPr>
                <w:rFonts w:ascii="Arial" w:hAnsi="Arial" w:cs="Arial"/>
                <w:color w:val="000000" w:themeColor="text1"/>
                <w:sz w:val="22"/>
                <w:szCs w:val="22"/>
                <w:lang w:eastAsia="zh-CN"/>
              </w:rPr>
              <w:t>will promote effective restructuring tools and will maximize the value for creditors</w:t>
            </w:r>
            <w:r w:rsidR="00626B58" w:rsidRPr="00552D1A">
              <w:rPr>
                <w:rFonts w:ascii="Arial" w:hAnsi="Arial" w:cs="Arial"/>
                <w:color w:val="000000" w:themeColor="text1"/>
                <w:sz w:val="22"/>
                <w:szCs w:val="22"/>
                <w:lang w:eastAsia="zh-CN"/>
              </w:rPr>
              <w:t xml:space="preserve"> and will</w:t>
            </w:r>
            <w:r w:rsidR="0000098B" w:rsidRPr="00552D1A">
              <w:rPr>
                <w:rFonts w:ascii="Arial" w:hAnsi="Arial" w:cs="Arial"/>
                <w:color w:val="000000" w:themeColor="text1"/>
                <w:sz w:val="22"/>
                <w:szCs w:val="22"/>
                <w:lang w:eastAsia="zh-CN"/>
              </w:rPr>
              <w:t xml:space="preserve"> </w:t>
            </w:r>
            <w:r w:rsidR="00626B58" w:rsidRPr="00552D1A">
              <w:rPr>
                <w:rFonts w:ascii="Arial" w:hAnsi="Arial" w:cs="Arial"/>
                <w:color w:val="000000" w:themeColor="text1"/>
                <w:sz w:val="22"/>
                <w:szCs w:val="22"/>
                <w:lang w:eastAsia="zh-CN"/>
              </w:rPr>
              <w:t>aim to prevent insolvency and to rescue companies whose financial situation is distressed.</w:t>
            </w:r>
          </w:p>
          <w:p w14:paraId="64C4FDC4" w14:textId="77777777" w:rsidR="00160F9F" w:rsidRPr="000344CC" w:rsidRDefault="00160F9F" w:rsidP="00DC1CAD">
            <w:pPr>
              <w:shd w:val="clear" w:color="auto" w:fill="FFFFFF"/>
              <w:spacing w:after="165"/>
              <w:jc w:val="both"/>
              <w:rPr>
                <w:rFonts w:ascii="Arial" w:hAnsi="Arial" w:cs="Arial"/>
                <w:color w:val="000000" w:themeColor="text1"/>
                <w:sz w:val="22"/>
                <w:szCs w:val="22"/>
                <w:lang w:eastAsia="zh-CN"/>
              </w:rPr>
            </w:pPr>
          </w:p>
          <w:p w14:paraId="2A1BD6ED" w14:textId="77777777" w:rsidR="00AD475E" w:rsidRPr="00552D1A" w:rsidRDefault="00AD475E" w:rsidP="00DC1CAD">
            <w:pPr>
              <w:jc w:val="both"/>
              <w:rPr>
                <w:rFonts w:ascii="Arial" w:hAnsi="Arial" w:cs="Arial"/>
                <w:color w:val="000000" w:themeColor="text1"/>
                <w:sz w:val="22"/>
                <w:szCs w:val="22"/>
                <w:shd w:val="clear" w:color="auto" w:fill="FFFFFF"/>
              </w:rPr>
            </w:pPr>
          </w:p>
        </w:tc>
      </w:tr>
      <w:tr w:rsidR="00552D1A" w:rsidRPr="00552D1A" w14:paraId="3D723CBA" w14:textId="77777777" w:rsidTr="00552D1A">
        <w:tc>
          <w:tcPr>
            <w:tcW w:w="706" w:type="dxa"/>
          </w:tcPr>
          <w:p w14:paraId="6DB1F727" w14:textId="4E48A50F" w:rsidR="00AD475E" w:rsidRPr="00552D1A" w:rsidRDefault="00AD475E"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2.</w:t>
            </w:r>
          </w:p>
        </w:tc>
        <w:tc>
          <w:tcPr>
            <w:tcW w:w="909" w:type="dxa"/>
          </w:tcPr>
          <w:p w14:paraId="1CFD2B10" w14:textId="206FFBBF" w:rsidR="00AD475E" w:rsidRPr="00552D1A" w:rsidRDefault="00FA6AE6" w:rsidP="00DC1CAD">
            <w:pPr>
              <w:jc w:val="both"/>
              <w:rPr>
                <w:rFonts w:ascii="Arial" w:hAnsi="Arial" w:cs="Arial"/>
                <w:b/>
                <w:bCs/>
                <w:color w:val="000000" w:themeColor="text1"/>
                <w:sz w:val="22"/>
                <w:szCs w:val="22"/>
                <w:shd w:val="clear" w:color="auto" w:fill="FFFFFF"/>
              </w:rPr>
            </w:pPr>
            <w:r w:rsidRPr="00552D1A">
              <w:rPr>
                <w:rFonts w:ascii="Arial" w:hAnsi="Arial" w:cs="Arial"/>
                <w:b/>
                <w:bCs/>
                <w:color w:val="000000" w:themeColor="text1"/>
                <w:sz w:val="22"/>
                <w:szCs w:val="22"/>
                <w:shd w:val="clear" w:color="auto" w:fill="FFFFFF"/>
              </w:rPr>
              <w:t>COMI</w:t>
            </w:r>
            <w:r w:rsidR="00C633A8" w:rsidRPr="00552D1A">
              <w:rPr>
                <w:rFonts w:ascii="Arial" w:hAnsi="Arial" w:cs="Arial"/>
                <w:b/>
                <w:bCs/>
                <w:color w:val="000000" w:themeColor="text1"/>
                <w:sz w:val="22"/>
                <w:szCs w:val="22"/>
                <w:shd w:val="clear" w:color="auto" w:fill="FFFFFF"/>
              </w:rPr>
              <w:t xml:space="preserve"> Presumption</w:t>
            </w:r>
          </w:p>
        </w:tc>
        <w:tc>
          <w:tcPr>
            <w:tcW w:w="3146" w:type="dxa"/>
          </w:tcPr>
          <w:p w14:paraId="5F6392C5" w14:textId="2E241D81" w:rsidR="00AD475E" w:rsidRPr="00552D1A" w:rsidRDefault="00CC0217"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 xml:space="preserve">There is no time period mentioned for </w:t>
            </w:r>
            <w:r w:rsidR="005A6D00" w:rsidRPr="00552D1A">
              <w:rPr>
                <w:rFonts w:ascii="Arial" w:hAnsi="Arial" w:cs="Arial"/>
                <w:color w:val="000000" w:themeColor="text1"/>
                <w:sz w:val="22"/>
                <w:szCs w:val="22"/>
                <w:shd w:val="clear" w:color="auto" w:fill="FFFFFF"/>
              </w:rPr>
              <w:t xml:space="preserve">the presumption of registered office of the debtor as the COMI. </w:t>
            </w:r>
          </w:p>
        </w:tc>
        <w:tc>
          <w:tcPr>
            <w:tcW w:w="2769" w:type="dxa"/>
          </w:tcPr>
          <w:p w14:paraId="0A02764C" w14:textId="2C9EE202" w:rsidR="00AD475E" w:rsidRPr="00552D1A" w:rsidRDefault="00AF3CB6"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Presumption of registered office as COMI applies only if the registered office has not been moved to another member state within 3 months period prior to opening of the insolvency proceedings</w:t>
            </w:r>
            <w:r w:rsidR="00BB49E9" w:rsidRPr="00552D1A">
              <w:rPr>
                <w:rFonts w:ascii="Arial" w:hAnsi="Arial" w:cs="Arial"/>
                <w:color w:val="000000" w:themeColor="text1"/>
                <w:sz w:val="22"/>
                <w:szCs w:val="22"/>
                <w:shd w:val="clear" w:color="auto" w:fill="FFFFFF"/>
              </w:rPr>
              <w:t>.</w:t>
            </w:r>
          </w:p>
        </w:tc>
        <w:tc>
          <w:tcPr>
            <w:tcW w:w="2610" w:type="dxa"/>
          </w:tcPr>
          <w:p w14:paraId="1B80F636" w14:textId="5B416D55" w:rsidR="00AD475E" w:rsidRPr="00552D1A" w:rsidRDefault="00BB49E9"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 xml:space="preserve">This innovation will safeguard against </w:t>
            </w:r>
            <w:r w:rsidR="00186C5A" w:rsidRPr="00552D1A">
              <w:rPr>
                <w:rFonts w:ascii="Arial" w:hAnsi="Arial" w:cs="Arial"/>
                <w:color w:val="000000" w:themeColor="text1"/>
                <w:sz w:val="22"/>
                <w:szCs w:val="22"/>
                <w:shd w:val="clear" w:color="auto" w:fill="FFFFFF"/>
              </w:rPr>
              <w:t>forum shopping</w:t>
            </w:r>
            <w:r w:rsidR="00C85E87" w:rsidRPr="00552D1A">
              <w:rPr>
                <w:rFonts w:ascii="Arial" w:hAnsi="Arial" w:cs="Arial"/>
                <w:color w:val="000000" w:themeColor="text1"/>
                <w:sz w:val="22"/>
                <w:szCs w:val="22"/>
                <w:shd w:val="clear" w:color="auto" w:fill="FFFFFF"/>
              </w:rPr>
              <w:t>.</w:t>
            </w:r>
            <w:r w:rsidR="00581F36" w:rsidRPr="00552D1A">
              <w:rPr>
                <w:rFonts w:ascii="Arial" w:hAnsi="Arial" w:cs="Arial"/>
                <w:color w:val="000000" w:themeColor="text1"/>
                <w:sz w:val="22"/>
                <w:szCs w:val="22"/>
                <w:shd w:val="clear" w:color="auto" w:fill="FFFFFF"/>
              </w:rPr>
              <w:t xml:space="preserve"> Preventing forum shopping will maintain the ascertain ability and predictability of the bankruptcy forum and the applicable bankruptcy law</w:t>
            </w:r>
            <w:r w:rsidR="0041543E" w:rsidRPr="00552D1A">
              <w:rPr>
                <w:rFonts w:ascii="Arial" w:hAnsi="Arial" w:cs="Arial"/>
                <w:color w:val="000000" w:themeColor="text1"/>
                <w:sz w:val="22"/>
                <w:szCs w:val="22"/>
                <w:shd w:val="clear" w:color="auto" w:fill="FFFFFF"/>
              </w:rPr>
              <w:t>.</w:t>
            </w:r>
            <w:r w:rsidR="00C85E87" w:rsidRPr="00552D1A">
              <w:rPr>
                <w:rFonts w:ascii="Arial" w:hAnsi="Arial" w:cs="Arial"/>
                <w:color w:val="000000" w:themeColor="text1"/>
                <w:sz w:val="22"/>
                <w:szCs w:val="22"/>
                <w:shd w:val="clear" w:color="auto" w:fill="FFFFFF"/>
              </w:rPr>
              <w:t xml:space="preserve"> Debtors might</w:t>
            </w:r>
            <w:r w:rsidR="009345E4" w:rsidRPr="00552D1A">
              <w:rPr>
                <w:rFonts w:ascii="Arial" w:hAnsi="Arial" w:cs="Arial"/>
                <w:color w:val="000000" w:themeColor="text1"/>
                <w:sz w:val="22"/>
                <w:szCs w:val="22"/>
                <w:shd w:val="clear" w:color="auto" w:fill="FFFFFF"/>
              </w:rPr>
              <w:t xml:space="preserve"> not</w:t>
            </w:r>
            <w:r w:rsidR="00C85E87" w:rsidRPr="00552D1A">
              <w:rPr>
                <w:rFonts w:ascii="Arial" w:hAnsi="Arial" w:cs="Arial"/>
                <w:color w:val="000000" w:themeColor="text1"/>
                <w:sz w:val="22"/>
                <w:szCs w:val="22"/>
                <w:shd w:val="clear" w:color="auto" w:fill="FFFFFF"/>
              </w:rPr>
              <w:t xml:space="preserve"> be able to deliberately manipulate the facts that determine the bankruptcy forum and the applicable law.</w:t>
            </w:r>
            <w:r w:rsidR="0041543E" w:rsidRPr="00552D1A">
              <w:rPr>
                <w:rFonts w:ascii="Arial" w:hAnsi="Arial" w:cs="Arial"/>
                <w:color w:val="000000" w:themeColor="text1"/>
                <w:sz w:val="22"/>
                <w:szCs w:val="22"/>
                <w:shd w:val="clear" w:color="auto" w:fill="FFFFFF"/>
              </w:rPr>
              <w:t xml:space="preserve"> Eventually, the insolvency proceedings will not lose its efficiency and insolvency proceedings must be comp</w:t>
            </w:r>
            <w:r w:rsidR="009C46CF" w:rsidRPr="00552D1A">
              <w:rPr>
                <w:rFonts w:ascii="Arial" w:hAnsi="Arial" w:cs="Arial"/>
                <w:color w:val="000000" w:themeColor="text1"/>
                <w:sz w:val="22"/>
                <w:szCs w:val="22"/>
                <w:shd w:val="clear" w:color="auto" w:fill="FFFFFF"/>
              </w:rPr>
              <w:t xml:space="preserve">leted speedily. </w:t>
            </w:r>
            <w:r w:rsidR="00C85E87" w:rsidRPr="00552D1A">
              <w:rPr>
                <w:rFonts w:ascii="Arial" w:hAnsi="Arial" w:cs="Arial"/>
                <w:color w:val="000000" w:themeColor="text1"/>
                <w:sz w:val="22"/>
                <w:szCs w:val="22"/>
                <w:shd w:val="clear" w:color="auto" w:fill="FFFFFF"/>
              </w:rPr>
              <w:t xml:space="preserve"> </w:t>
            </w:r>
          </w:p>
        </w:tc>
      </w:tr>
      <w:tr w:rsidR="00552D1A" w:rsidRPr="00552D1A" w14:paraId="183DE9F4" w14:textId="77777777" w:rsidTr="00552D1A">
        <w:tc>
          <w:tcPr>
            <w:tcW w:w="706" w:type="dxa"/>
          </w:tcPr>
          <w:p w14:paraId="353219B6" w14:textId="62D69706" w:rsidR="00AD475E" w:rsidRPr="00552D1A" w:rsidRDefault="00AD475E"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lastRenderedPageBreak/>
              <w:t>3.</w:t>
            </w:r>
          </w:p>
        </w:tc>
        <w:tc>
          <w:tcPr>
            <w:tcW w:w="909" w:type="dxa"/>
          </w:tcPr>
          <w:p w14:paraId="236C58FE" w14:textId="4D7539F4" w:rsidR="00AD475E" w:rsidRPr="00552D1A" w:rsidRDefault="009F7491" w:rsidP="00DC1CAD">
            <w:pPr>
              <w:jc w:val="both"/>
              <w:rPr>
                <w:rFonts w:ascii="Arial" w:hAnsi="Arial" w:cs="Arial"/>
                <w:b/>
                <w:bCs/>
                <w:color w:val="000000" w:themeColor="text1"/>
                <w:sz w:val="22"/>
                <w:szCs w:val="22"/>
                <w:shd w:val="clear" w:color="auto" w:fill="FFFFFF"/>
              </w:rPr>
            </w:pPr>
            <w:r w:rsidRPr="00552D1A">
              <w:rPr>
                <w:rFonts w:ascii="Arial" w:hAnsi="Arial" w:cs="Arial"/>
                <w:b/>
                <w:bCs/>
                <w:color w:val="000000" w:themeColor="text1"/>
                <w:sz w:val="22"/>
                <w:szCs w:val="22"/>
                <w:shd w:val="clear" w:color="auto" w:fill="FFFFFF"/>
              </w:rPr>
              <w:t>Secondary Proceedings</w:t>
            </w:r>
          </w:p>
        </w:tc>
        <w:tc>
          <w:tcPr>
            <w:tcW w:w="3146" w:type="dxa"/>
          </w:tcPr>
          <w:p w14:paraId="50AF884C" w14:textId="77777777" w:rsidR="00AD475E" w:rsidRPr="00552D1A" w:rsidRDefault="00A4546A"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secondary insolvency proceedings limited to liquidation proceedings</w:t>
            </w:r>
            <w:r w:rsidR="00905247" w:rsidRPr="00552D1A">
              <w:rPr>
                <w:rFonts w:ascii="Arial" w:hAnsi="Arial" w:cs="Arial"/>
                <w:color w:val="000000" w:themeColor="text1"/>
                <w:sz w:val="22"/>
                <w:szCs w:val="22"/>
                <w:shd w:val="clear" w:color="auto" w:fill="FFFFFF"/>
              </w:rPr>
              <w:t xml:space="preserve">. </w:t>
            </w:r>
          </w:p>
          <w:p w14:paraId="7910D1F5" w14:textId="77777777" w:rsidR="00414785" w:rsidRPr="00552D1A" w:rsidRDefault="00414785" w:rsidP="00DC1CAD">
            <w:pPr>
              <w:jc w:val="both"/>
              <w:rPr>
                <w:rFonts w:ascii="Arial" w:hAnsi="Arial" w:cs="Arial"/>
                <w:color w:val="000000" w:themeColor="text1"/>
                <w:sz w:val="22"/>
                <w:szCs w:val="22"/>
                <w:shd w:val="clear" w:color="auto" w:fill="FFFFFF"/>
              </w:rPr>
            </w:pPr>
          </w:p>
          <w:p w14:paraId="4CB14F84" w14:textId="77777777" w:rsidR="00414785" w:rsidRPr="00552D1A" w:rsidRDefault="00414785"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 xml:space="preserve">There was no suspension of secondary proceedings. </w:t>
            </w:r>
          </w:p>
          <w:p w14:paraId="5B8757A9" w14:textId="77777777" w:rsidR="00414785" w:rsidRPr="00552D1A" w:rsidRDefault="00414785" w:rsidP="00DC1CAD">
            <w:pPr>
              <w:jc w:val="both"/>
              <w:rPr>
                <w:rFonts w:ascii="Arial" w:hAnsi="Arial" w:cs="Arial"/>
                <w:color w:val="000000" w:themeColor="text1"/>
                <w:sz w:val="22"/>
                <w:szCs w:val="22"/>
                <w:shd w:val="clear" w:color="auto" w:fill="FFFFFF"/>
              </w:rPr>
            </w:pPr>
          </w:p>
          <w:p w14:paraId="5E11340E" w14:textId="38F6B3C4" w:rsidR="00414785" w:rsidRPr="00552D1A" w:rsidRDefault="00414785"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 xml:space="preserve">Synthetic proceedings was not included. </w:t>
            </w:r>
          </w:p>
        </w:tc>
        <w:tc>
          <w:tcPr>
            <w:tcW w:w="2769" w:type="dxa"/>
          </w:tcPr>
          <w:p w14:paraId="06004CCD" w14:textId="5781112E" w:rsidR="0070303D" w:rsidRPr="00552D1A" w:rsidRDefault="005474D2"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The types of secondary proceedings were extended: these proceedings can now be any of the proceedings listed in Annex A</w:t>
            </w:r>
            <w:r w:rsidR="009B6BDB" w:rsidRPr="00552D1A">
              <w:rPr>
                <w:rFonts w:ascii="Arial" w:hAnsi="Arial" w:cs="Arial"/>
                <w:color w:val="000000" w:themeColor="text1"/>
                <w:sz w:val="22"/>
                <w:szCs w:val="22"/>
                <w:shd w:val="clear" w:color="auto" w:fill="FFFFFF"/>
              </w:rPr>
              <w:t xml:space="preserve">. </w:t>
            </w:r>
          </w:p>
          <w:p w14:paraId="0D7CFC90" w14:textId="77777777" w:rsidR="009B6BDB" w:rsidRPr="00552D1A" w:rsidRDefault="009B6BDB" w:rsidP="00DC1CAD">
            <w:pPr>
              <w:jc w:val="both"/>
              <w:rPr>
                <w:rFonts w:ascii="Arial" w:hAnsi="Arial" w:cs="Arial"/>
                <w:color w:val="000000" w:themeColor="text1"/>
                <w:sz w:val="22"/>
                <w:szCs w:val="22"/>
                <w:shd w:val="clear" w:color="auto" w:fill="FFFFFF"/>
              </w:rPr>
            </w:pPr>
          </w:p>
          <w:p w14:paraId="57727EA0" w14:textId="77777777" w:rsidR="0070303D" w:rsidRPr="00552D1A" w:rsidRDefault="0070303D"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The insolvency practitioner of the main proceedings can also seek suspension of the secondary proceedings for a maximum of 3 months if there is a temporary stay in the main proceedings, provided that suitable measures are in place to protect the interests of local creditors.</w:t>
            </w:r>
          </w:p>
          <w:p w14:paraId="5506EE3A" w14:textId="45974658" w:rsidR="00AD475E" w:rsidRPr="00552D1A" w:rsidRDefault="00D01FD9"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The concept of synthetic proceedings is also introduced.</w:t>
            </w:r>
            <w:r w:rsidR="00DB047C" w:rsidRPr="00552D1A">
              <w:rPr>
                <w:rFonts w:ascii="Arial" w:hAnsi="Arial" w:cs="Arial"/>
                <w:color w:val="000000" w:themeColor="text1"/>
                <w:sz w:val="22"/>
                <w:szCs w:val="22"/>
                <w:shd w:val="clear" w:color="auto" w:fill="FFFFFF"/>
              </w:rPr>
              <w:t xml:space="preserve"> Synthetic proceedings allows insolvency practitioners in the main proceedings to act as if” there were secondary proceedings opened in other member states and to comply in such member states with local distribution and priority rights with regard to the proceeds of the local assets.</w:t>
            </w:r>
          </w:p>
        </w:tc>
        <w:tc>
          <w:tcPr>
            <w:tcW w:w="2610" w:type="dxa"/>
          </w:tcPr>
          <w:p w14:paraId="6DB81F8D" w14:textId="7CE4A1F8" w:rsidR="009B6BDB" w:rsidRPr="00552D1A" w:rsidRDefault="006A046F"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This will</w:t>
            </w:r>
            <w:r w:rsidR="009B6BDB" w:rsidRPr="00552D1A">
              <w:rPr>
                <w:rFonts w:ascii="Arial" w:hAnsi="Arial" w:cs="Arial"/>
                <w:color w:val="000000" w:themeColor="text1"/>
                <w:sz w:val="22"/>
                <w:szCs w:val="22"/>
                <w:shd w:val="clear" w:color="auto" w:fill="FFFFFF"/>
              </w:rPr>
              <w:t xml:space="preserve"> allow a restructuring procedure to be used in secondary proceedings. </w:t>
            </w:r>
          </w:p>
          <w:p w14:paraId="0152B486" w14:textId="37485A2C" w:rsidR="009B6BDB" w:rsidRPr="00552D1A" w:rsidRDefault="009F7491"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 </w:t>
            </w:r>
          </w:p>
          <w:p w14:paraId="399AE0DA" w14:textId="77777777" w:rsidR="009B6BDB" w:rsidRPr="00552D1A" w:rsidRDefault="009B6BDB" w:rsidP="00DC1CAD">
            <w:pPr>
              <w:jc w:val="both"/>
              <w:rPr>
                <w:rFonts w:ascii="Arial" w:hAnsi="Arial" w:cs="Arial"/>
                <w:color w:val="000000" w:themeColor="text1"/>
                <w:sz w:val="22"/>
                <w:szCs w:val="22"/>
                <w:shd w:val="clear" w:color="auto" w:fill="FFFFFF"/>
              </w:rPr>
            </w:pPr>
          </w:p>
          <w:p w14:paraId="7CA9FED3" w14:textId="77777777" w:rsidR="006A046F" w:rsidRPr="00552D1A" w:rsidRDefault="006A046F" w:rsidP="00DC1CAD">
            <w:pPr>
              <w:jc w:val="both"/>
              <w:rPr>
                <w:rFonts w:ascii="Arial" w:hAnsi="Arial" w:cs="Arial"/>
                <w:color w:val="000000" w:themeColor="text1"/>
                <w:sz w:val="22"/>
                <w:szCs w:val="22"/>
                <w:shd w:val="clear" w:color="auto" w:fill="FFFFFF"/>
              </w:rPr>
            </w:pPr>
          </w:p>
          <w:p w14:paraId="61EB48FC" w14:textId="14041BC5" w:rsidR="009B6BDB" w:rsidRPr="00552D1A" w:rsidRDefault="006A046F"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This will allow the insolvency practitioner to conduct negotiations without having to look after the secondary proceedings that could be taking place all over the European Union.</w:t>
            </w:r>
          </w:p>
          <w:p w14:paraId="4F42A688" w14:textId="77777777" w:rsidR="009B6BDB" w:rsidRPr="00552D1A" w:rsidRDefault="009B6BDB" w:rsidP="00DC1CAD">
            <w:pPr>
              <w:jc w:val="both"/>
              <w:rPr>
                <w:rFonts w:ascii="Arial" w:hAnsi="Arial" w:cs="Arial"/>
                <w:color w:val="000000" w:themeColor="text1"/>
                <w:sz w:val="22"/>
                <w:szCs w:val="22"/>
                <w:shd w:val="clear" w:color="auto" w:fill="FFFFFF"/>
              </w:rPr>
            </w:pPr>
          </w:p>
          <w:p w14:paraId="2E824AEC" w14:textId="77777777" w:rsidR="009B6BDB" w:rsidRPr="00552D1A" w:rsidRDefault="009B6BDB" w:rsidP="00DC1CAD">
            <w:pPr>
              <w:jc w:val="both"/>
              <w:rPr>
                <w:rFonts w:ascii="Arial" w:hAnsi="Arial" w:cs="Arial"/>
                <w:color w:val="000000" w:themeColor="text1"/>
                <w:sz w:val="22"/>
                <w:szCs w:val="22"/>
                <w:shd w:val="clear" w:color="auto" w:fill="FFFFFF"/>
              </w:rPr>
            </w:pPr>
          </w:p>
          <w:p w14:paraId="05EE0B8E" w14:textId="4AFB874C" w:rsidR="00AD475E" w:rsidRPr="00552D1A" w:rsidRDefault="009F7491" w:rsidP="00DC1CAD">
            <w:pPr>
              <w:jc w:val="both"/>
              <w:rPr>
                <w:rFonts w:ascii="Arial" w:hAnsi="Arial" w:cs="Arial"/>
                <w:color w:val="000000" w:themeColor="text1"/>
                <w:sz w:val="22"/>
                <w:szCs w:val="22"/>
                <w:shd w:val="clear" w:color="auto" w:fill="FFFFFF"/>
              </w:rPr>
            </w:pPr>
            <w:r w:rsidRPr="00552D1A">
              <w:rPr>
                <w:rFonts w:ascii="Arial" w:hAnsi="Arial" w:cs="Arial"/>
                <w:color w:val="000000" w:themeColor="text1"/>
                <w:sz w:val="22"/>
                <w:szCs w:val="22"/>
                <w:shd w:val="clear" w:color="auto" w:fill="FFFFFF"/>
              </w:rPr>
              <w:t>enhanced cooperation duties between courts and practitioners.</w:t>
            </w:r>
          </w:p>
        </w:tc>
      </w:tr>
    </w:tbl>
    <w:p w14:paraId="3DAA6780" w14:textId="54F9E2DF"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AE7EA78" w14:textId="615C84AF" w:rsidR="007D7C92" w:rsidRDefault="00190649" w:rsidP="00BD4581">
      <w:pPr>
        <w:pStyle w:val="NoSpacing"/>
        <w:rPr>
          <w:rFonts w:ascii="Arial" w:hAnsi="Arial" w:cs="Arial"/>
          <w:sz w:val="22"/>
          <w:szCs w:val="22"/>
          <w:lang w:val="en-GB"/>
        </w:rPr>
      </w:pPr>
      <w:r w:rsidRPr="00BD4581">
        <w:rPr>
          <w:rFonts w:ascii="Arial" w:hAnsi="Arial" w:cs="Arial"/>
          <w:sz w:val="22"/>
          <w:szCs w:val="22"/>
          <w:lang w:val="en-GB"/>
        </w:rPr>
        <w:t xml:space="preserve">EIR Recast 2015 is a robust </w:t>
      </w:r>
      <w:r w:rsidR="00E808D5" w:rsidRPr="00BD4581">
        <w:rPr>
          <w:rFonts w:ascii="Arial" w:hAnsi="Arial" w:cs="Arial"/>
          <w:sz w:val="22"/>
          <w:szCs w:val="22"/>
          <w:lang w:val="en-GB"/>
        </w:rPr>
        <w:t>legislation which has incorporated the shortcomings of the 2000</w:t>
      </w:r>
      <w:r w:rsidR="00BD4581" w:rsidRPr="00BD4581">
        <w:rPr>
          <w:rFonts w:ascii="Arial" w:hAnsi="Arial" w:cs="Arial"/>
          <w:sz w:val="22"/>
          <w:szCs w:val="22"/>
          <w:lang w:val="en-GB"/>
        </w:rPr>
        <w:t xml:space="preserve"> </w:t>
      </w:r>
      <w:r w:rsidR="00E808D5" w:rsidRPr="00BD4581">
        <w:rPr>
          <w:rFonts w:ascii="Arial" w:hAnsi="Arial" w:cs="Arial"/>
          <w:sz w:val="22"/>
          <w:szCs w:val="22"/>
          <w:lang w:val="en-GB"/>
        </w:rPr>
        <w:t xml:space="preserve">EU regulations and incorporated </w:t>
      </w:r>
      <w:r w:rsidR="00385E1F" w:rsidRPr="00BD4581">
        <w:rPr>
          <w:rFonts w:ascii="Arial" w:hAnsi="Arial" w:cs="Arial"/>
          <w:sz w:val="22"/>
          <w:szCs w:val="22"/>
          <w:lang w:val="en-GB"/>
        </w:rPr>
        <w:t xml:space="preserve">new innovative concepts. However, there are many flaws in the regulation. </w:t>
      </w:r>
      <w:r w:rsidR="00416F7F">
        <w:rPr>
          <w:rFonts w:ascii="Arial" w:hAnsi="Arial" w:cs="Arial"/>
          <w:sz w:val="22"/>
          <w:szCs w:val="22"/>
          <w:lang w:val="en-GB"/>
        </w:rPr>
        <w:t xml:space="preserve">However, according to me </w:t>
      </w:r>
      <w:r w:rsidR="00A22702">
        <w:rPr>
          <w:rFonts w:ascii="Arial" w:hAnsi="Arial" w:cs="Arial"/>
          <w:sz w:val="22"/>
          <w:szCs w:val="22"/>
          <w:lang w:val="en-GB"/>
        </w:rPr>
        <w:t>t</w:t>
      </w:r>
      <w:r w:rsidR="00385E1F" w:rsidRPr="00BD4581">
        <w:rPr>
          <w:rFonts w:ascii="Arial" w:hAnsi="Arial" w:cs="Arial"/>
          <w:sz w:val="22"/>
          <w:szCs w:val="22"/>
          <w:lang w:val="en-GB"/>
        </w:rPr>
        <w:t xml:space="preserve">he two major flaws are: </w:t>
      </w:r>
    </w:p>
    <w:p w14:paraId="0DBFA6C8" w14:textId="77777777" w:rsidR="00BD4581" w:rsidRPr="00BD4581" w:rsidRDefault="00BD4581" w:rsidP="00BD4581">
      <w:pPr>
        <w:pStyle w:val="NoSpacing"/>
        <w:rPr>
          <w:rFonts w:ascii="Arial" w:hAnsi="Arial" w:cs="Arial"/>
          <w:sz w:val="22"/>
          <w:szCs w:val="22"/>
          <w:lang w:val="en-GB"/>
        </w:rPr>
      </w:pPr>
    </w:p>
    <w:p w14:paraId="7955C21F" w14:textId="2558D579" w:rsidR="00385E1F" w:rsidRPr="00BD4581" w:rsidRDefault="00385E1F" w:rsidP="00385E1F">
      <w:pPr>
        <w:pStyle w:val="NormalWeb"/>
        <w:numPr>
          <w:ilvl w:val="0"/>
          <w:numId w:val="14"/>
        </w:numPr>
        <w:shd w:val="clear" w:color="auto" w:fill="FFFFFF"/>
        <w:spacing w:before="0" w:beforeAutospacing="0" w:after="150" w:afterAutospacing="0"/>
        <w:jc w:val="both"/>
        <w:rPr>
          <w:rFonts w:ascii="Arial" w:hAnsi="Arial" w:cs="Arial"/>
          <w:sz w:val="22"/>
          <w:szCs w:val="22"/>
          <w:lang w:val="en-GB"/>
        </w:rPr>
      </w:pPr>
      <w:r w:rsidRPr="00BD4581">
        <w:rPr>
          <w:rFonts w:ascii="Arial" w:hAnsi="Arial" w:cs="Arial"/>
          <w:sz w:val="22"/>
          <w:szCs w:val="22"/>
          <w:lang w:val="en-GB"/>
        </w:rPr>
        <w:t xml:space="preserve">The recast EIR provides that secondary insolvency proceedings are no longer required to be limited to winding up proceedings (as were listed in Annex B of the EIR). </w:t>
      </w:r>
      <w:r w:rsidR="00ED17B9">
        <w:rPr>
          <w:rFonts w:ascii="Arial" w:hAnsi="Arial" w:cs="Arial"/>
          <w:sz w:val="22"/>
          <w:szCs w:val="22"/>
          <w:lang w:val="en-GB"/>
        </w:rPr>
        <w:t xml:space="preserve">According to me this </w:t>
      </w:r>
      <w:r w:rsidRPr="00BD4581">
        <w:rPr>
          <w:rFonts w:ascii="Arial" w:hAnsi="Arial" w:cs="Arial"/>
          <w:sz w:val="22"/>
          <w:szCs w:val="22"/>
          <w:lang w:val="en-GB"/>
        </w:rPr>
        <w:t>frustrat</w:t>
      </w:r>
      <w:r w:rsidR="00ED17B9">
        <w:rPr>
          <w:rFonts w:ascii="Arial" w:hAnsi="Arial" w:cs="Arial"/>
          <w:sz w:val="22"/>
          <w:szCs w:val="22"/>
          <w:lang w:val="en-GB"/>
        </w:rPr>
        <w:t>es</w:t>
      </w:r>
      <w:r w:rsidRPr="00BD4581">
        <w:rPr>
          <w:rFonts w:ascii="Arial" w:hAnsi="Arial" w:cs="Arial"/>
          <w:sz w:val="22"/>
          <w:szCs w:val="22"/>
          <w:lang w:val="en-GB"/>
        </w:rPr>
        <w:t xml:space="preserve"> attempts to rescue group companies or divisions located in multiple different member states.</w:t>
      </w:r>
    </w:p>
    <w:p w14:paraId="6A052216" w14:textId="4F5C0550" w:rsidR="00385E1F" w:rsidRPr="00BD4581" w:rsidRDefault="00385E1F" w:rsidP="00385E1F">
      <w:pPr>
        <w:pStyle w:val="NormalWeb"/>
        <w:numPr>
          <w:ilvl w:val="0"/>
          <w:numId w:val="14"/>
        </w:numPr>
        <w:shd w:val="clear" w:color="auto" w:fill="FFFFFF"/>
        <w:spacing w:before="0" w:beforeAutospacing="0" w:after="150" w:afterAutospacing="0"/>
        <w:jc w:val="both"/>
        <w:rPr>
          <w:rFonts w:ascii="Arial" w:hAnsi="Arial" w:cs="Arial"/>
          <w:sz w:val="22"/>
          <w:szCs w:val="22"/>
          <w:lang w:val="en-GB"/>
        </w:rPr>
      </w:pPr>
      <w:r w:rsidRPr="00BD4581">
        <w:rPr>
          <w:rFonts w:ascii="Arial" w:hAnsi="Arial" w:cs="Arial"/>
          <w:sz w:val="22"/>
          <w:szCs w:val="22"/>
          <w:lang w:val="en-GB"/>
        </w:rPr>
        <w:t xml:space="preserve">Furthermore,  synthetic secondary proceedings are expressly provided for in the recast EIR, whereby the relevant office holder may give a unilateral undertaking to the effect that local creditors, when it comes to distributions, will be treated as if secondary proceedings has been opened. The objective is to limit the cases in which secondary proceedings will be opened, in response to secondary proceedings broadly being seen </w:t>
      </w:r>
      <w:r w:rsidRPr="00BD4581">
        <w:rPr>
          <w:rFonts w:ascii="Arial" w:hAnsi="Arial" w:cs="Arial"/>
          <w:sz w:val="22"/>
          <w:szCs w:val="22"/>
          <w:lang w:val="en-GB"/>
        </w:rPr>
        <w:lastRenderedPageBreak/>
        <w:t xml:space="preserve">as disruptive and an impediment to a rescue and/or an efficient realisation strategy. Known local creditors must approve the undertaking, such approval to be obtained in line with the local rules on the adoption of a restructuring plan. </w:t>
      </w:r>
      <w:r w:rsidR="00AA085C">
        <w:rPr>
          <w:rFonts w:ascii="Arial" w:hAnsi="Arial" w:cs="Arial"/>
          <w:sz w:val="22"/>
          <w:szCs w:val="22"/>
          <w:lang w:val="en-GB"/>
        </w:rPr>
        <w:t xml:space="preserve">According to me it remains </w:t>
      </w:r>
      <w:r w:rsidRPr="00BD4581">
        <w:rPr>
          <w:rFonts w:ascii="Arial" w:hAnsi="Arial" w:cs="Arial"/>
          <w:sz w:val="22"/>
          <w:szCs w:val="22"/>
          <w:lang w:val="en-GB"/>
        </w:rPr>
        <w:t>a point of potential contention that, as a result, local creditors may enjoy greater rights than creditors in the main proceedings</w:t>
      </w:r>
      <w:r w:rsidR="00AA085C">
        <w:rPr>
          <w:rFonts w:ascii="Arial" w:hAnsi="Arial" w:cs="Arial"/>
          <w:sz w:val="22"/>
          <w:szCs w:val="22"/>
          <w:lang w:val="en-GB"/>
        </w:rPr>
        <w:t>.</w:t>
      </w:r>
    </w:p>
    <w:p w14:paraId="470DD94A" w14:textId="2F3521FE" w:rsidR="00385E1F" w:rsidRPr="00DC0079" w:rsidRDefault="00454173" w:rsidP="00EA4338">
      <w:pPr>
        <w:pStyle w:val="NoSpacing"/>
        <w:jc w:val="both"/>
        <w:rPr>
          <w:rFonts w:ascii="Arial" w:hAnsi="Arial" w:cs="Arial"/>
          <w:sz w:val="22"/>
          <w:szCs w:val="22"/>
          <w:lang w:val="en-GB"/>
        </w:rPr>
      </w:pPr>
      <w:r w:rsidRPr="00DC0079">
        <w:rPr>
          <w:rFonts w:ascii="Arial" w:hAnsi="Arial" w:cs="Arial"/>
          <w:sz w:val="22"/>
          <w:szCs w:val="22"/>
          <w:lang w:val="en-GB"/>
        </w:rPr>
        <w:t>The purpose of the EIR Recast is also to prevent insolvencies at the same time treat the ailing</w:t>
      </w:r>
      <w:r w:rsidR="00EA4338" w:rsidRPr="00DC0079">
        <w:rPr>
          <w:rFonts w:ascii="Arial" w:hAnsi="Arial" w:cs="Arial"/>
          <w:sz w:val="22"/>
          <w:szCs w:val="22"/>
          <w:lang w:val="en-GB"/>
        </w:rPr>
        <w:t xml:space="preserve"> </w:t>
      </w:r>
      <w:r w:rsidRPr="00DC0079">
        <w:rPr>
          <w:rFonts w:ascii="Arial" w:hAnsi="Arial" w:cs="Arial"/>
          <w:sz w:val="22"/>
          <w:szCs w:val="22"/>
          <w:lang w:val="en-GB"/>
        </w:rPr>
        <w:t xml:space="preserve">company either through rescue or through liquidation. </w:t>
      </w:r>
      <w:r w:rsidR="008B06C8" w:rsidRPr="00DC0079">
        <w:rPr>
          <w:rFonts w:ascii="Arial" w:hAnsi="Arial" w:cs="Arial"/>
          <w:sz w:val="22"/>
          <w:szCs w:val="22"/>
          <w:lang w:val="en-GB"/>
        </w:rPr>
        <w:t xml:space="preserve"> </w:t>
      </w:r>
      <w:r w:rsidR="00EA4338" w:rsidRPr="00DC0079">
        <w:rPr>
          <w:rFonts w:ascii="Arial" w:hAnsi="Arial" w:cs="Arial"/>
          <w:sz w:val="22"/>
          <w:szCs w:val="22"/>
          <w:lang w:val="en-GB"/>
        </w:rPr>
        <w:t xml:space="preserve">Such flaws may be addressed by </w:t>
      </w:r>
      <w:r w:rsidR="00DC0079" w:rsidRPr="00DC0079">
        <w:rPr>
          <w:rFonts w:ascii="Arial" w:hAnsi="Arial" w:cs="Arial"/>
          <w:sz w:val="22"/>
          <w:szCs w:val="22"/>
          <w:lang w:val="en-GB"/>
        </w:rPr>
        <w:t>limiting the right to request secondary proceedings (to the main administrator and possibly certain, secured creditors), which would lead to in the words of one practitioner the consequence that practically no such proceedings would take place any longer, or  by granting Member States’ courts the right to reject the opening in cases where secondary proceedings are considered detrimental towards the estate while simultaneously ensuring that the main administrator is given ample chance to convince said court that a secondary proceeding would be needless and wasteful</w:t>
      </w:r>
      <w:r w:rsidR="00DC0079">
        <w:rPr>
          <w:rFonts w:ascii="Arial" w:hAnsi="Arial" w:cs="Arial"/>
          <w:sz w:val="22"/>
          <w:szCs w:val="22"/>
          <w:lang w:val="en-GB"/>
        </w:rPr>
        <w:t>.</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4750EEB7" w:rsidR="00241FA3"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06E2C2D8" w14:textId="44597C36" w:rsidR="00ED0829" w:rsidRDefault="00ED0829" w:rsidP="002A37BB">
      <w:pPr>
        <w:autoSpaceDE w:val="0"/>
        <w:autoSpaceDN w:val="0"/>
        <w:adjustRightInd w:val="0"/>
        <w:jc w:val="both"/>
        <w:rPr>
          <w:rFonts w:ascii="Arial" w:hAnsi="Arial" w:cs="Arial"/>
          <w:sz w:val="22"/>
          <w:szCs w:val="22"/>
          <w:lang w:val="en-GB"/>
        </w:rPr>
      </w:pPr>
    </w:p>
    <w:p w14:paraId="277972EC" w14:textId="523E3BBA"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317DD6E7" w14:textId="7BD974B8" w:rsidR="00126A4D" w:rsidRDefault="00246319" w:rsidP="002A37BB">
      <w:pPr>
        <w:jc w:val="both"/>
        <w:rPr>
          <w:rFonts w:ascii="Arial" w:hAnsi="Arial" w:cs="Arial"/>
          <w:sz w:val="22"/>
          <w:szCs w:val="22"/>
          <w:lang w:val="en-GB"/>
        </w:rPr>
      </w:pPr>
      <w:r>
        <w:rPr>
          <w:rFonts w:ascii="Arial" w:hAnsi="Arial" w:cs="Arial"/>
          <w:sz w:val="22"/>
          <w:szCs w:val="22"/>
          <w:lang w:val="en-GB"/>
        </w:rPr>
        <w:t xml:space="preserve">From the perusal of the facts, No, the Strasbourg Court does not have the jurisdiction to open the </w:t>
      </w:r>
      <w:r w:rsidR="00C8041A" w:rsidRPr="008500BD">
        <w:rPr>
          <w:rFonts w:ascii="Arial" w:hAnsi="Arial" w:cs="Arial"/>
          <w:sz w:val="22"/>
          <w:szCs w:val="22"/>
          <w:lang w:val="en-GB"/>
        </w:rPr>
        <w:t>safeguard proceedings (</w:t>
      </w:r>
      <w:proofErr w:type="spellStart"/>
      <w:r w:rsidR="00C8041A" w:rsidRPr="008500BD">
        <w:rPr>
          <w:rFonts w:ascii="Arial" w:hAnsi="Arial" w:cs="Arial"/>
          <w:i/>
          <w:iCs/>
          <w:sz w:val="22"/>
          <w:szCs w:val="22"/>
          <w:lang w:val="en-GB"/>
        </w:rPr>
        <w:t>procédure</w:t>
      </w:r>
      <w:proofErr w:type="spellEnd"/>
      <w:r w:rsidR="00C8041A" w:rsidRPr="008500BD">
        <w:rPr>
          <w:rFonts w:ascii="Arial" w:hAnsi="Arial" w:cs="Arial"/>
          <w:i/>
          <w:iCs/>
          <w:sz w:val="22"/>
          <w:szCs w:val="22"/>
          <w:lang w:val="en-GB"/>
        </w:rPr>
        <w:t xml:space="preserve"> de </w:t>
      </w:r>
      <w:proofErr w:type="spellStart"/>
      <w:r w:rsidR="00C8041A" w:rsidRPr="008500BD">
        <w:rPr>
          <w:rFonts w:ascii="Arial" w:hAnsi="Arial" w:cs="Arial"/>
          <w:i/>
          <w:iCs/>
          <w:sz w:val="22"/>
          <w:szCs w:val="22"/>
          <w:lang w:val="en-GB"/>
        </w:rPr>
        <w:t>sauvegarde</w:t>
      </w:r>
      <w:proofErr w:type="spellEnd"/>
      <w:r w:rsidR="00C8041A" w:rsidRPr="008500BD">
        <w:rPr>
          <w:rFonts w:ascii="Arial" w:hAnsi="Arial" w:cs="Arial"/>
          <w:sz w:val="22"/>
          <w:szCs w:val="22"/>
          <w:lang w:val="en-GB"/>
        </w:rPr>
        <w:t>) in Franc</w:t>
      </w:r>
      <w:r w:rsidR="00C8041A">
        <w:rPr>
          <w:rFonts w:ascii="Arial" w:hAnsi="Arial" w:cs="Arial"/>
          <w:sz w:val="22"/>
          <w:szCs w:val="22"/>
          <w:lang w:val="en-GB"/>
        </w:rPr>
        <w:t xml:space="preserve">e. </w:t>
      </w:r>
    </w:p>
    <w:p w14:paraId="34A6BE26" w14:textId="605FAA88" w:rsidR="00C8041A" w:rsidRDefault="00C8041A" w:rsidP="002A37BB">
      <w:pPr>
        <w:jc w:val="both"/>
        <w:rPr>
          <w:rFonts w:ascii="Arial" w:hAnsi="Arial" w:cs="Arial"/>
          <w:sz w:val="22"/>
          <w:szCs w:val="22"/>
          <w:lang w:val="en-GB"/>
        </w:rPr>
      </w:pPr>
    </w:p>
    <w:p w14:paraId="511E0EA1" w14:textId="38862E54" w:rsidR="00C8041A" w:rsidRDefault="00C8041A" w:rsidP="002A37BB">
      <w:pPr>
        <w:jc w:val="both"/>
        <w:rPr>
          <w:rFonts w:ascii="Arial" w:hAnsi="Arial" w:cs="Arial"/>
          <w:sz w:val="22"/>
          <w:szCs w:val="22"/>
          <w:lang w:val="en-GB"/>
        </w:rPr>
      </w:pPr>
      <w:r>
        <w:rPr>
          <w:rFonts w:ascii="Arial" w:hAnsi="Arial" w:cs="Arial"/>
          <w:sz w:val="22"/>
          <w:szCs w:val="22"/>
          <w:lang w:val="en-GB"/>
        </w:rPr>
        <w:t>According to Article 1</w:t>
      </w:r>
      <w:r w:rsidR="00114D0E">
        <w:rPr>
          <w:rFonts w:ascii="Arial" w:hAnsi="Arial" w:cs="Arial"/>
          <w:sz w:val="22"/>
          <w:szCs w:val="22"/>
          <w:lang w:val="en-GB"/>
        </w:rPr>
        <w:t>(1)</w:t>
      </w:r>
      <w:r>
        <w:rPr>
          <w:rFonts w:ascii="Arial" w:hAnsi="Arial" w:cs="Arial"/>
          <w:sz w:val="22"/>
          <w:szCs w:val="22"/>
          <w:lang w:val="en-GB"/>
        </w:rPr>
        <w:t xml:space="preserve"> of the EU regulations,2000</w:t>
      </w:r>
      <w:r w:rsidR="00745935">
        <w:rPr>
          <w:rFonts w:ascii="Arial" w:hAnsi="Arial" w:cs="Arial"/>
          <w:sz w:val="22"/>
          <w:szCs w:val="22"/>
          <w:lang w:val="en-GB"/>
        </w:rPr>
        <w:t xml:space="preserve"> applies to </w:t>
      </w:r>
      <w:r w:rsidR="00745935" w:rsidRPr="00745935">
        <w:rPr>
          <w:rFonts w:ascii="Arial" w:hAnsi="Arial" w:cs="Arial"/>
          <w:sz w:val="22"/>
          <w:szCs w:val="22"/>
          <w:lang w:val="en-GB"/>
        </w:rPr>
        <w:t>collective insolvency proceedings which entail the partial or total divestment of a debtor and the appointment of a liquidator.</w:t>
      </w:r>
      <w:r w:rsidR="00745935">
        <w:rPr>
          <w:rFonts w:ascii="Arial" w:hAnsi="Arial" w:cs="Arial"/>
          <w:sz w:val="22"/>
          <w:szCs w:val="22"/>
          <w:lang w:val="en-GB"/>
        </w:rPr>
        <w:t xml:space="preserve"> In the instant case the safeguard proceedings are like pre insolvency proceedings </w:t>
      </w:r>
      <w:r w:rsidR="005808A0">
        <w:rPr>
          <w:rFonts w:ascii="Arial" w:hAnsi="Arial" w:cs="Arial"/>
          <w:sz w:val="22"/>
          <w:szCs w:val="22"/>
          <w:lang w:val="en-GB"/>
        </w:rPr>
        <w:t xml:space="preserve">which does not mean that the debtor has collectively divested </w:t>
      </w:r>
      <w:r w:rsidR="00FD6DAA">
        <w:rPr>
          <w:rFonts w:ascii="Arial" w:hAnsi="Arial" w:cs="Arial"/>
          <w:sz w:val="22"/>
          <w:szCs w:val="22"/>
          <w:lang w:val="en-GB"/>
        </w:rPr>
        <w:t xml:space="preserve">the business and there is no need for a liquidator as the proceeding is rescue oriented. The motive of the safeguard proceeding is not </w:t>
      </w:r>
      <w:r w:rsidR="00423FAE">
        <w:rPr>
          <w:rFonts w:ascii="Arial" w:hAnsi="Arial" w:cs="Arial"/>
          <w:sz w:val="22"/>
          <w:szCs w:val="22"/>
          <w:lang w:val="en-GB"/>
        </w:rPr>
        <w:t xml:space="preserve">for liquidation, liquidation might be the last resort. Here, the debtor has come for resolving the debt as there is a likelihood that the debtor in future might become insolvent if the debt fails to get restructured. </w:t>
      </w:r>
    </w:p>
    <w:p w14:paraId="20B7EE31" w14:textId="2F17F9C7" w:rsidR="00B318C4" w:rsidRPr="00B318C4" w:rsidRDefault="00BB34BC" w:rsidP="00B318C4">
      <w:pPr>
        <w:autoSpaceDE w:val="0"/>
        <w:autoSpaceDN w:val="0"/>
        <w:adjustRightInd w:val="0"/>
        <w:jc w:val="both"/>
        <w:rPr>
          <w:rFonts w:ascii="Arial" w:hAnsi="Arial" w:cs="Arial"/>
          <w:color w:val="000000" w:themeColor="text1"/>
          <w:sz w:val="22"/>
          <w:szCs w:val="22"/>
          <w:lang w:val="en-GB"/>
        </w:rPr>
      </w:pPr>
      <w:r w:rsidRPr="00B318C4">
        <w:rPr>
          <w:rFonts w:ascii="Arial" w:hAnsi="Arial" w:cs="Arial"/>
          <w:sz w:val="22"/>
          <w:szCs w:val="22"/>
          <w:lang w:val="en-GB"/>
        </w:rPr>
        <w:t>Even though by virtue of Article 3(1) of the EU Regulation 2000, the COMI lies in Strasbourg as COMI defined in the article is where the debtor has its registered office.</w:t>
      </w:r>
      <w:r w:rsidR="00B318C4" w:rsidRPr="00B318C4">
        <w:rPr>
          <w:rFonts w:ascii="Arial" w:hAnsi="Arial" w:cs="Arial"/>
          <w:sz w:val="22"/>
          <w:szCs w:val="22"/>
          <w:lang w:val="en-GB"/>
        </w:rPr>
        <w:t xml:space="preserve"> Also, </w:t>
      </w:r>
      <w:r w:rsidR="00B318C4" w:rsidRPr="00B318C4">
        <w:rPr>
          <w:rFonts w:ascii="Arial" w:hAnsi="Arial" w:cs="Arial"/>
          <w:color w:val="000000" w:themeColor="text1"/>
          <w:sz w:val="22"/>
          <w:szCs w:val="22"/>
          <w:lang w:val="en-GB"/>
        </w:rPr>
        <w:t xml:space="preserve">The debtor </w:t>
      </w:r>
      <w:r w:rsidR="00B318C4" w:rsidRPr="00B318C4">
        <w:rPr>
          <w:rFonts w:ascii="Arial" w:hAnsi="Arial" w:cs="Arial"/>
          <w:color w:val="000000" w:themeColor="text1"/>
          <w:sz w:val="22"/>
          <w:szCs w:val="22"/>
          <w:lang w:val="en-GB"/>
        </w:rPr>
        <w:lastRenderedPageBreak/>
        <w:t>is not a bank, insurance company or any other excluded entity</w:t>
      </w:r>
      <w:r w:rsidR="008062EA">
        <w:rPr>
          <w:rFonts w:ascii="Arial" w:hAnsi="Arial" w:cs="Arial"/>
          <w:color w:val="000000" w:themeColor="text1"/>
          <w:sz w:val="22"/>
          <w:szCs w:val="22"/>
          <w:lang w:val="en-GB"/>
        </w:rPr>
        <w:t xml:space="preserve"> and therefore, Article </w:t>
      </w:r>
      <w:r w:rsidR="00720086">
        <w:rPr>
          <w:rFonts w:ascii="Arial" w:hAnsi="Arial" w:cs="Arial"/>
          <w:color w:val="000000" w:themeColor="text1"/>
          <w:sz w:val="22"/>
          <w:szCs w:val="22"/>
          <w:lang w:val="en-GB"/>
        </w:rPr>
        <w:t>1(2) gets satisfied.</w:t>
      </w:r>
    </w:p>
    <w:p w14:paraId="656001A5" w14:textId="4B397F1A" w:rsidR="00BB34BC" w:rsidRPr="008500BD" w:rsidRDefault="00BB34BC" w:rsidP="00BB34BC">
      <w:pPr>
        <w:autoSpaceDE w:val="0"/>
        <w:autoSpaceDN w:val="0"/>
        <w:adjustRightInd w:val="0"/>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552AE8" w:rsidRDefault="009B0723" w:rsidP="002A37BB">
      <w:pPr>
        <w:autoSpaceDE w:val="0"/>
        <w:autoSpaceDN w:val="0"/>
        <w:adjustRightInd w:val="0"/>
        <w:jc w:val="both"/>
        <w:rPr>
          <w:rFonts w:ascii="Arial" w:hAnsi="Arial" w:cs="Arial"/>
          <w:color w:val="000000" w:themeColor="text1"/>
          <w:sz w:val="22"/>
          <w:szCs w:val="22"/>
          <w:lang w:val="en-GB"/>
        </w:rPr>
      </w:pPr>
    </w:p>
    <w:p w14:paraId="4D1F17F8" w14:textId="78D3F7CA" w:rsidR="00B04ECE" w:rsidRDefault="00F6502A" w:rsidP="002A37BB">
      <w:pPr>
        <w:autoSpaceDE w:val="0"/>
        <w:autoSpaceDN w:val="0"/>
        <w:adjustRightInd w:val="0"/>
        <w:jc w:val="both"/>
        <w:rPr>
          <w:rFonts w:ascii="Arial" w:hAnsi="Arial" w:cs="Arial"/>
          <w:color w:val="000000" w:themeColor="text1"/>
          <w:sz w:val="22"/>
          <w:szCs w:val="22"/>
          <w:lang w:val="en-GB"/>
        </w:rPr>
      </w:pPr>
      <w:r w:rsidRPr="00552AE8">
        <w:rPr>
          <w:rFonts w:ascii="Arial" w:hAnsi="Arial" w:cs="Arial"/>
          <w:color w:val="000000" w:themeColor="text1"/>
          <w:sz w:val="22"/>
          <w:szCs w:val="22"/>
          <w:lang w:val="en-GB"/>
        </w:rPr>
        <w:t>There are broadly 4 steps involved in addressing the applicability of EIR Recast 2015.</w:t>
      </w:r>
      <w:r w:rsidR="004236A8" w:rsidRPr="00552AE8">
        <w:rPr>
          <w:rFonts w:ascii="Arial" w:hAnsi="Arial" w:cs="Arial"/>
          <w:color w:val="000000" w:themeColor="text1"/>
          <w:sz w:val="22"/>
          <w:szCs w:val="22"/>
          <w:lang w:val="en-GB"/>
        </w:rPr>
        <w:t xml:space="preserve"> If all the 4 steps namely, Temporal scope;</w:t>
      </w:r>
      <w:r w:rsidR="00336FA3" w:rsidRPr="00552AE8">
        <w:rPr>
          <w:rFonts w:ascii="Arial" w:hAnsi="Arial" w:cs="Arial"/>
          <w:color w:val="000000" w:themeColor="text1"/>
          <w:sz w:val="22"/>
          <w:szCs w:val="22"/>
          <w:lang w:val="en-GB"/>
        </w:rPr>
        <w:t xml:space="preserve"> Material Scope; Personal scope; Territorial scope are satisfied </w:t>
      </w:r>
      <w:r w:rsidR="00B04ECE" w:rsidRPr="00552AE8">
        <w:rPr>
          <w:rFonts w:ascii="Arial" w:hAnsi="Arial" w:cs="Arial"/>
          <w:color w:val="000000" w:themeColor="text1"/>
          <w:sz w:val="22"/>
          <w:szCs w:val="22"/>
          <w:lang w:val="en-GB"/>
        </w:rPr>
        <w:t xml:space="preserve">then it proceedings qualify to be governed by EIR Recast. </w:t>
      </w:r>
    </w:p>
    <w:p w14:paraId="76D60993" w14:textId="77777777" w:rsidR="002356E0" w:rsidRPr="00552AE8" w:rsidRDefault="002356E0" w:rsidP="002A37BB">
      <w:pPr>
        <w:autoSpaceDE w:val="0"/>
        <w:autoSpaceDN w:val="0"/>
        <w:adjustRightInd w:val="0"/>
        <w:jc w:val="both"/>
        <w:rPr>
          <w:rFonts w:ascii="Arial" w:hAnsi="Arial" w:cs="Arial"/>
          <w:color w:val="000000" w:themeColor="text1"/>
          <w:sz w:val="22"/>
          <w:szCs w:val="22"/>
          <w:lang w:val="en-GB"/>
        </w:rPr>
      </w:pPr>
    </w:p>
    <w:p w14:paraId="626FA5C6" w14:textId="75B639B3" w:rsidR="002D3473" w:rsidRPr="00552AE8" w:rsidRDefault="009A64B5" w:rsidP="009A64B5">
      <w:pPr>
        <w:pStyle w:val="ListParagraph"/>
        <w:numPr>
          <w:ilvl w:val="0"/>
          <w:numId w:val="12"/>
        </w:numPr>
        <w:autoSpaceDE w:val="0"/>
        <w:autoSpaceDN w:val="0"/>
        <w:adjustRightInd w:val="0"/>
        <w:jc w:val="both"/>
        <w:rPr>
          <w:rFonts w:ascii="Arial" w:hAnsi="Arial" w:cs="Arial"/>
          <w:color w:val="000000" w:themeColor="text1"/>
          <w:sz w:val="22"/>
          <w:szCs w:val="22"/>
          <w:lang w:val="en-GB"/>
        </w:rPr>
      </w:pPr>
      <w:r w:rsidRPr="00552AE8">
        <w:rPr>
          <w:rFonts w:ascii="Arial" w:hAnsi="Arial" w:cs="Arial"/>
          <w:color w:val="000000" w:themeColor="text1"/>
          <w:sz w:val="22"/>
          <w:szCs w:val="22"/>
          <w:lang w:val="en-GB"/>
        </w:rPr>
        <w:t xml:space="preserve">Temporal Scope which </w:t>
      </w:r>
      <w:r w:rsidR="00D07CD1" w:rsidRPr="00552AE8">
        <w:rPr>
          <w:rFonts w:ascii="Arial" w:hAnsi="Arial" w:cs="Arial"/>
          <w:color w:val="000000" w:themeColor="text1"/>
          <w:sz w:val="22"/>
          <w:szCs w:val="22"/>
          <w:lang w:val="en-GB"/>
        </w:rPr>
        <w:t>identifies the commencement of</w:t>
      </w:r>
      <w:r w:rsidR="0015536D" w:rsidRPr="00552AE8">
        <w:rPr>
          <w:rFonts w:ascii="Arial" w:hAnsi="Arial" w:cs="Arial"/>
          <w:color w:val="000000" w:themeColor="text1"/>
          <w:sz w:val="22"/>
          <w:szCs w:val="22"/>
          <w:lang w:val="en-GB"/>
        </w:rPr>
        <w:t xml:space="preserve"> proceedings</w:t>
      </w:r>
      <w:r w:rsidR="00D07CD1" w:rsidRPr="00552AE8">
        <w:rPr>
          <w:rFonts w:ascii="Arial" w:hAnsi="Arial" w:cs="Arial"/>
          <w:color w:val="000000" w:themeColor="text1"/>
          <w:sz w:val="22"/>
          <w:szCs w:val="22"/>
          <w:lang w:val="en-GB"/>
        </w:rPr>
        <w:t xml:space="preserve">. EU recast will be applicable </w:t>
      </w:r>
      <w:r w:rsidR="00925D79" w:rsidRPr="00552AE8">
        <w:rPr>
          <w:rFonts w:ascii="Arial" w:hAnsi="Arial" w:cs="Arial"/>
          <w:color w:val="000000" w:themeColor="text1"/>
          <w:sz w:val="22"/>
          <w:szCs w:val="22"/>
          <w:lang w:val="en-GB"/>
        </w:rPr>
        <w:t>from</w:t>
      </w:r>
      <w:r w:rsidR="00D07CD1" w:rsidRPr="00552AE8">
        <w:rPr>
          <w:rFonts w:ascii="Arial" w:hAnsi="Arial" w:cs="Arial"/>
          <w:color w:val="000000" w:themeColor="text1"/>
          <w:sz w:val="22"/>
          <w:szCs w:val="22"/>
          <w:lang w:val="en-GB"/>
        </w:rPr>
        <w:t xml:space="preserve"> </w:t>
      </w:r>
      <w:r w:rsidR="00925D79" w:rsidRPr="00552AE8">
        <w:rPr>
          <w:rFonts w:ascii="Arial" w:hAnsi="Arial" w:cs="Arial"/>
          <w:color w:val="000000" w:themeColor="text1"/>
          <w:sz w:val="22"/>
          <w:szCs w:val="22"/>
          <w:lang w:val="en-GB"/>
        </w:rPr>
        <w:t xml:space="preserve">26/6/2017. In our case the </w:t>
      </w:r>
      <w:r w:rsidR="00CE738B" w:rsidRPr="00552AE8">
        <w:rPr>
          <w:rFonts w:ascii="Arial" w:hAnsi="Arial" w:cs="Arial"/>
          <w:color w:val="000000" w:themeColor="text1"/>
          <w:sz w:val="22"/>
          <w:szCs w:val="22"/>
          <w:lang w:val="en-GB"/>
        </w:rPr>
        <w:t>proceedings commenced on 19/6/2017. Therefore, the first step stands qualified.</w:t>
      </w:r>
    </w:p>
    <w:p w14:paraId="37E73093" w14:textId="77777777" w:rsidR="00EF04F1" w:rsidRPr="00552AE8" w:rsidRDefault="00B56224" w:rsidP="009A64B5">
      <w:pPr>
        <w:pStyle w:val="ListParagraph"/>
        <w:numPr>
          <w:ilvl w:val="0"/>
          <w:numId w:val="12"/>
        </w:numPr>
        <w:autoSpaceDE w:val="0"/>
        <w:autoSpaceDN w:val="0"/>
        <w:adjustRightInd w:val="0"/>
        <w:jc w:val="both"/>
        <w:rPr>
          <w:rFonts w:ascii="Arial" w:hAnsi="Arial" w:cs="Arial"/>
          <w:color w:val="000000" w:themeColor="text1"/>
          <w:sz w:val="22"/>
          <w:szCs w:val="22"/>
          <w:lang w:val="en-GB"/>
        </w:rPr>
      </w:pPr>
      <w:r w:rsidRPr="00552AE8">
        <w:rPr>
          <w:rFonts w:ascii="Arial" w:hAnsi="Arial" w:cs="Arial"/>
          <w:color w:val="000000" w:themeColor="text1"/>
          <w:sz w:val="22"/>
          <w:szCs w:val="22"/>
          <w:lang w:val="en-GB"/>
        </w:rPr>
        <w:t>Material Scope defines the proceedings covered under Annex A. In the present matter, the proceedings are</w:t>
      </w:r>
      <w:r w:rsidR="00A5740F" w:rsidRPr="00552AE8">
        <w:rPr>
          <w:rFonts w:ascii="Arial" w:hAnsi="Arial" w:cs="Arial"/>
          <w:color w:val="000000" w:themeColor="text1"/>
          <w:sz w:val="22"/>
          <w:szCs w:val="22"/>
          <w:lang w:val="en-GB"/>
        </w:rPr>
        <w:t xml:space="preserve"> opened for Procedure De </w:t>
      </w:r>
      <w:proofErr w:type="spellStart"/>
      <w:r w:rsidR="00A5740F" w:rsidRPr="00552AE8">
        <w:rPr>
          <w:rFonts w:ascii="Arial" w:hAnsi="Arial" w:cs="Arial"/>
          <w:color w:val="000000" w:themeColor="text1"/>
          <w:sz w:val="22"/>
          <w:szCs w:val="22"/>
          <w:lang w:val="en-GB"/>
        </w:rPr>
        <w:t>Sauvegarde</w:t>
      </w:r>
      <w:proofErr w:type="spellEnd"/>
      <w:r w:rsidR="00A5740F" w:rsidRPr="00552AE8">
        <w:rPr>
          <w:rFonts w:ascii="Arial" w:hAnsi="Arial" w:cs="Arial"/>
          <w:color w:val="000000" w:themeColor="text1"/>
          <w:sz w:val="22"/>
          <w:szCs w:val="22"/>
          <w:lang w:val="en-GB"/>
        </w:rPr>
        <w:t xml:space="preserve"> which is listed under </w:t>
      </w:r>
      <w:r w:rsidR="00045034" w:rsidRPr="00552AE8">
        <w:rPr>
          <w:rFonts w:ascii="Arial" w:hAnsi="Arial" w:cs="Arial"/>
          <w:color w:val="000000" w:themeColor="text1"/>
          <w:sz w:val="22"/>
          <w:szCs w:val="22"/>
          <w:lang w:val="en-GB"/>
        </w:rPr>
        <w:t xml:space="preserve">the </w:t>
      </w:r>
      <w:r w:rsidR="00A5740F" w:rsidRPr="00552AE8">
        <w:rPr>
          <w:rFonts w:ascii="Arial" w:hAnsi="Arial" w:cs="Arial"/>
          <w:color w:val="000000" w:themeColor="text1"/>
          <w:sz w:val="22"/>
          <w:szCs w:val="22"/>
          <w:lang w:val="en-GB"/>
        </w:rPr>
        <w:t>France</w:t>
      </w:r>
      <w:r w:rsidR="00045034" w:rsidRPr="00552AE8">
        <w:rPr>
          <w:rFonts w:ascii="Arial" w:hAnsi="Arial" w:cs="Arial"/>
          <w:color w:val="000000" w:themeColor="text1"/>
          <w:sz w:val="22"/>
          <w:szCs w:val="22"/>
          <w:lang w:val="en-GB"/>
        </w:rPr>
        <w:t xml:space="preserve">’s list of permitted proceedings under Annex A. Therefore, the </w:t>
      </w:r>
      <w:r w:rsidR="00EF04F1" w:rsidRPr="00552AE8">
        <w:rPr>
          <w:rFonts w:ascii="Arial" w:hAnsi="Arial" w:cs="Arial"/>
          <w:color w:val="000000" w:themeColor="text1"/>
          <w:sz w:val="22"/>
          <w:szCs w:val="22"/>
          <w:lang w:val="en-GB"/>
        </w:rPr>
        <w:t xml:space="preserve">second step stands satisfied. </w:t>
      </w:r>
    </w:p>
    <w:p w14:paraId="1635C1D9" w14:textId="77777777" w:rsidR="00B7123C" w:rsidRPr="00552AE8" w:rsidRDefault="00EF04F1" w:rsidP="009A64B5">
      <w:pPr>
        <w:pStyle w:val="ListParagraph"/>
        <w:numPr>
          <w:ilvl w:val="0"/>
          <w:numId w:val="12"/>
        </w:numPr>
        <w:autoSpaceDE w:val="0"/>
        <w:autoSpaceDN w:val="0"/>
        <w:adjustRightInd w:val="0"/>
        <w:jc w:val="both"/>
        <w:rPr>
          <w:rFonts w:ascii="Arial" w:hAnsi="Arial" w:cs="Arial"/>
          <w:color w:val="000000" w:themeColor="text1"/>
          <w:sz w:val="22"/>
          <w:szCs w:val="22"/>
          <w:lang w:val="en-GB"/>
        </w:rPr>
      </w:pPr>
      <w:r w:rsidRPr="00552AE8">
        <w:rPr>
          <w:rFonts w:ascii="Arial" w:hAnsi="Arial" w:cs="Arial"/>
          <w:color w:val="000000" w:themeColor="text1"/>
          <w:sz w:val="22"/>
          <w:szCs w:val="22"/>
          <w:lang w:val="en-GB"/>
        </w:rPr>
        <w:t xml:space="preserve">Personal Scope defines </w:t>
      </w:r>
      <w:r w:rsidR="0007077F" w:rsidRPr="00552AE8">
        <w:rPr>
          <w:rFonts w:ascii="Arial" w:hAnsi="Arial" w:cs="Arial"/>
          <w:color w:val="000000" w:themeColor="text1"/>
          <w:sz w:val="22"/>
          <w:szCs w:val="22"/>
          <w:lang w:val="en-GB"/>
        </w:rPr>
        <w:t>who all are allowed In the EIR.</w:t>
      </w:r>
      <w:r w:rsidR="00A47C98" w:rsidRPr="00552AE8">
        <w:rPr>
          <w:rFonts w:ascii="Arial" w:hAnsi="Arial" w:cs="Arial"/>
          <w:color w:val="000000" w:themeColor="text1"/>
          <w:sz w:val="22"/>
          <w:szCs w:val="22"/>
          <w:lang w:val="en-GB"/>
        </w:rPr>
        <w:t xml:space="preserve"> The debtor is not a bank</w:t>
      </w:r>
      <w:r w:rsidR="00B15ECF" w:rsidRPr="00552AE8">
        <w:rPr>
          <w:rFonts w:ascii="Arial" w:hAnsi="Arial" w:cs="Arial"/>
          <w:color w:val="000000" w:themeColor="text1"/>
          <w:sz w:val="22"/>
          <w:szCs w:val="22"/>
          <w:lang w:val="en-GB"/>
        </w:rPr>
        <w:t xml:space="preserve">, insurance company or any other excluded entity. Therefore, the third step also complies with the </w:t>
      </w:r>
      <w:r w:rsidR="00B7123C" w:rsidRPr="00552AE8">
        <w:rPr>
          <w:rFonts w:ascii="Arial" w:hAnsi="Arial" w:cs="Arial"/>
          <w:color w:val="000000" w:themeColor="text1"/>
          <w:sz w:val="22"/>
          <w:szCs w:val="22"/>
          <w:lang w:val="en-GB"/>
        </w:rPr>
        <w:t xml:space="preserve">EIR’s applicability. </w:t>
      </w:r>
    </w:p>
    <w:p w14:paraId="14D3C5DC" w14:textId="4E8AC7A0" w:rsidR="00C11AF4" w:rsidRPr="00552AE8" w:rsidRDefault="00B7123C" w:rsidP="009A64B5">
      <w:pPr>
        <w:pStyle w:val="ListParagraph"/>
        <w:numPr>
          <w:ilvl w:val="0"/>
          <w:numId w:val="12"/>
        </w:numPr>
        <w:autoSpaceDE w:val="0"/>
        <w:autoSpaceDN w:val="0"/>
        <w:adjustRightInd w:val="0"/>
        <w:jc w:val="both"/>
        <w:rPr>
          <w:rFonts w:ascii="Arial" w:hAnsi="Arial" w:cs="Arial"/>
          <w:color w:val="000000" w:themeColor="text1"/>
          <w:sz w:val="22"/>
          <w:szCs w:val="22"/>
          <w:lang w:val="en-GB"/>
        </w:rPr>
      </w:pPr>
      <w:r w:rsidRPr="00552AE8">
        <w:rPr>
          <w:rFonts w:ascii="Arial" w:hAnsi="Arial" w:cs="Arial"/>
          <w:color w:val="000000" w:themeColor="text1"/>
          <w:sz w:val="22"/>
          <w:szCs w:val="22"/>
          <w:lang w:val="en-GB"/>
        </w:rPr>
        <w:t>Territorial Scope defines the geographical limits. In the present case, the proceedings are opened in Stra</w:t>
      </w:r>
      <w:r w:rsidR="001A58FB" w:rsidRPr="00552AE8">
        <w:rPr>
          <w:rFonts w:ascii="Arial" w:hAnsi="Arial" w:cs="Arial"/>
          <w:color w:val="000000" w:themeColor="text1"/>
          <w:sz w:val="22"/>
          <w:szCs w:val="22"/>
          <w:lang w:val="en-GB"/>
        </w:rPr>
        <w:t>sbourg which forms part of the EU</w:t>
      </w:r>
      <w:r w:rsidR="00860AE5">
        <w:rPr>
          <w:rFonts w:ascii="Arial" w:hAnsi="Arial" w:cs="Arial"/>
          <w:color w:val="000000" w:themeColor="text1"/>
          <w:sz w:val="22"/>
          <w:szCs w:val="22"/>
          <w:lang w:val="en-GB"/>
        </w:rPr>
        <w:t>(Denmark not covered</w:t>
      </w:r>
      <w:r w:rsidR="002356E0">
        <w:rPr>
          <w:rFonts w:ascii="Arial" w:hAnsi="Arial" w:cs="Arial"/>
          <w:color w:val="000000" w:themeColor="text1"/>
          <w:sz w:val="22"/>
          <w:szCs w:val="22"/>
          <w:lang w:val="en-GB"/>
        </w:rPr>
        <w:t>)</w:t>
      </w:r>
      <w:r w:rsidR="001A58FB" w:rsidRPr="00552AE8">
        <w:rPr>
          <w:rFonts w:ascii="Arial" w:hAnsi="Arial" w:cs="Arial"/>
          <w:color w:val="000000" w:themeColor="text1"/>
          <w:sz w:val="22"/>
          <w:szCs w:val="22"/>
          <w:lang w:val="en-GB"/>
        </w:rPr>
        <w:t xml:space="preserve">. Therefore, </w:t>
      </w:r>
      <w:r w:rsidR="00C11AF4" w:rsidRPr="00552AE8">
        <w:rPr>
          <w:rFonts w:ascii="Arial" w:hAnsi="Arial" w:cs="Arial"/>
          <w:color w:val="000000" w:themeColor="text1"/>
          <w:sz w:val="22"/>
          <w:szCs w:val="22"/>
          <w:lang w:val="en-GB"/>
        </w:rPr>
        <w:t xml:space="preserve">the last step also falls in the scope of applicability of EIR. </w:t>
      </w:r>
    </w:p>
    <w:p w14:paraId="0863D44B" w14:textId="77777777" w:rsidR="002356E0" w:rsidRDefault="002356E0" w:rsidP="00C11AF4">
      <w:pPr>
        <w:autoSpaceDE w:val="0"/>
        <w:autoSpaceDN w:val="0"/>
        <w:adjustRightInd w:val="0"/>
        <w:ind w:left="360"/>
        <w:jc w:val="both"/>
        <w:rPr>
          <w:rFonts w:ascii="Arial" w:hAnsi="Arial" w:cs="Arial"/>
          <w:color w:val="000000" w:themeColor="text1"/>
          <w:sz w:val="22"/>
          <w:szCs w:val="22"/>
          <w:lang w:val="en-GB"/>
        </w:rPr>
      </w:pPr>
    </w:p>
    <w:p w14:paraId="6AD06E87" w14:textId="3D192316" w:rsidR="00CE738B" w:rsidRPr="00552AE8" w:rsidRDefault="009A2333" w:rsidP="00C11AF4">
      <w:pPr>
        <w:autoSpaceDE w:val="0"/>
        <w:autoSpaceDN w:val="0"/>
        <w:adjustRightInd w:val="0"/>
        <w:ind w:left="360"/>
        <w:jc w:val="both"/>
        <w:rPr>
          <w:rFonts w:ascii="Arial" w:hAnsi="Arial" w:cs="Arial"/>
          <w:color w:val="000000" w:themeColor="text1"/>
          <w:sz w:val="22"/>
          <w:szCs w:val="22"/>
          <w:lang w:val="en-GB"/>
        </w:rPr>
      </w:pPr>
      <w:r w:rsidRPr="00552AE8">
        <w:rPr>
          <w:rFonts w:ascii="Arial" w:hAnsi="Arial" w:cs="Arial"/>
          <w:color w:val="000000" w:themeColor="text1"/>
          <w:sz w:val="22"/>
          <w:szCs w:val="22"/>
          <w:lang w:val="en-GB"/>
        </w:rPr>
        <w:t>All the four above stated scope are satisfied and hence EIR must be made applicable</w:t>
      </w:r>
      <w:r w:rsidR="00552AE8" w:rsidRPr="00552AE8">
        <w:rPr>
          <w:rFonts w:ascii="Arial" w:hAnsi="Arial" w:cs="Arial"/>
          <w:color w:val="000000" w:themeColor="text1"/>
          <w:sz w:val="22"/>
          <w:szCs w:val="22"/>
          <w:lang w:val="en-GB"/>
        </w:rPr>
        <w:t xml:space="preserve"> to the insolvency commenced at </w:t>
      </w:r>
      <w:proofErr w:type="spellStart"/>
      <w:r w:rsidR="00552AE8" w:rsidRPr="00552AE8">
        <w:rPr>
          <w:rFonts w:ascii="Arial" w:hAnsi="Arial" w:cs="Arial"/>
          <w:color w:val="000000" w:themeColor="text1"/>
          <w:sz w:val="22"/>
          <w:szCs w:val="22"/>
          <w:lang w:val="en-GB"/>
        </w:rPr>
        <w:t>Strabourg</w:t>
      </w:r>
      <w:proofErr w:type="spellEnd"/>
      <w:r w:rsidR="00552AE8" w:rsidRPr="00552AE8">
        <w:rPr>
          <w:rFonts w:ascii="Arial" w:hAnsi="Arial" w:cs="Arial"/>
          <w:color w:val="000000" w:themeColor="text1"/>
          <w:sz w:val="22"/>
          <w:szCs w:val="22"/>
          <w:lang w:val="en-GB"/>
        </w:rPr>
        <w: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5A9EE2A1" w14:textId="7917B8D8" w:rsidR="000C6371" w:rsidRDefault="00A112AE" w:rsidP="00FE60C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Yes, the Spanish Bank </w:t>
      </w:r>
      <w:r w:rsidR="002E0E53">
        <w:rPr>
          <w:rFonts w:ascii="Arial" w:hAnsi="Arial" w:cs="Arial"/>
          <w:color w:val="000000" w:themeColor="text1"/>
          <w:sz w:val="22"/>
          <w:szCs w:val="22"/>
          <w:lang w:val="en-GB"/>
        </w:rPr>
        <w:t xml:space="preserve">may open the secondary proceedings in Spain. </w:t>
      </w:r>
      <w:r w:rsidR="00D254A1">
        <w:rPr>
          <w:rFonts w:ascii="Arial" w:hAnsi="Arial" w:cs="Arial"/>
          <w:color w:val="000000" w:themeColor="text1"/>
          <w:sz w:val="22"/>
          <w:szCs w:val="22"/>
          <w:lang w:val="en-GB"/>
        </w:rPr>
        <w:t>In the present case the Spanish Bank wants to secure its ranking in the distribution of proceeds. This concern is well explained in the Virgos-Schmit Report which states that</w:t>
      </w:r>
      <w:r w:rsidR="000C6371">
        <w:rPr>
          <w:rFonts w:ascii="Arial" w:hAnsi="Arial" w:cs="Arial"/>
          <w:color w:val="000000" w:themeColor="text1"/>
          <w:sz w:val="22"/>
          <w:szCs w:val="22"/>
          <w:lang w:val="en-GB"/>
        </w:rPr>
        <w:t>:</w:t>
      </w:r>
    </w:p>
    <w:p w14:paraId="1E1B200C" w14:textId="77777777" w:rsidR="000C6371" w:rsidRDefault="000C6371" w:rsidP="00FE60CB">
      <w:pPr>
        <w:jc w:val="both"/>
        <w:rPr>
          <w:rFonts w:ascii="Arial" w:hAnsi="Arial" w:cs="Arial"/>
          <w:color w:val="000000" w:themeColor="text1"/>
          <w:sz w:val="22"/>
          <w:szCs w:val="22"/>
          <w:lang w:val="en-GB"/>
        </w:rPr>
      </w:pPr>
    </w:p>
    <w:p w14:paraId="4836D8E0" w14:textId="462EB34E" w:rsidR="00D254A1" w:rsidRPr="000C6371" w:rsidRDefault="000C6371" w:rsidP="000C6371">
      <w:pPr>
        <w:jc w:val="center"/>
        <w:rPr>
          <w:rFonts w:ascii="Arial" w:hAnsi="Arial" w:cs="Arial"/>
          <w:b/>
          <w:bCs/>
          <w:i/>
          <w:iCs/>
          <w:sz w:val="22"/>
          <w:szCs w:val="22"/>
          <w:lang w:val="en-GB"/>
        </w:rPr>
      </w:pPr>
      <w:r>
        <w:rPr>
          <w:rFonts w:ascii="Arial" w:hAnsi="Arial" w:cs="Arial"/>
          <w:i/>
          <w:iCs/>
          <w:color w:val="000000" w:themeColor="text1"/>
          <w:sz w:val="22"/>
          <w:szCs w:val="22"/>
          <w:lang w:val="en-GB"/>
        </w:rPr>
        <w:t>“</w:t>
      </w:r>
      <w:r w:rsidR="00D254A1" w:rsidRPr="000C6371">
        <w:rPr>
          <w:rFonts w:ascii="Arial" w:hAnsi="Arial" w:cs="Arial"/>
          <w:i/>
          <w:iCs/>
          <w:color w:val="000000" w:themeColor="text1"/>
          <w:sz w:val="22"/>
          <w:szCs w:val="22"/>
          <w:lang w:val="en-GB"/>
        </w:rPr>
        <w:t>the secondary proceedings make sense for creditors who cannot rely on the recognition of their rights (or their preference rank)</w:t>
      </w:r>
      <w:r w:rsidR="00926253" w:rsidRPr="000C6371">
        <w:rPr>
          <w:rFonts w:ascii="Arial" w:hAnsi="Arial" w:cs="Arial"/>
          <w:i/>
          <w:iCs/>
          <w:color w:val="000000" w:themeColor="text1"/>
          <w:sz w:val="22"/>
          <w:szCs w:val="22"/>
          <w:lang w:val="en-GB"/>
        </w:rPr>
        <w:t xml:space="preserve"> </w:t>
      </w:r>
      <w:r w:rsidR="00D254A1" w:rsidRPr="000C6371">
        <w:rPr>
          <w:rFonts w:ascii="Arial" w:hAnsi="Arial" w:cs="Arial"/>
          <w:i/>
          <w:iCs/>
          <w:color w:val="000000" w:themeColor="text1"/>
          <w:sz w:val="22"/>
          <w:szCs w:val="22"/>
          <w:lang w:val="en-GB"/>
        </w:rPr>
        <w:t>in proceedings in another…state.</w:t>
      </w:r>
      <w:r>
        <w:rPr>
          <w:rFonts w:ascii="Arial" w:hAnsi="Arial" w:cs="Arial"/>
          <w:i/>
          <w:iCs/>
          <w:color w:val="000000" w:themeColor="text1"/>
          <w:sz w:val="22"/>
          <w:szCs w:val="22"/>
          <w:lang w:val="en-GB"/>
        </w:rPr>
        <w:t>”</w:t>
      </w:r>
    </w:p>
    <w:p w14:paraId="7BCED5B3" w14:textId="7B2ADFC4" w:rsidR="00D254A1" w:rsidRDefault="00D254A1" w:rsidP="00FE60CB">
      <w:pPr>
        <w:jc w:val="both"/>
        <w:rPr>
          <w:rFonts w:ascii="Arial" w:hAnsi="Arial" w:cs="Arial"/>
          <w:color w:val="000000" w:themeColor="text1"/>
          <w:sz w:val="22"/>
          <w:szCs w:val="22"/>
          <w:lang w:val="en-GB"/>
        </w:rPr>
      </w:pPr>
    </w:p>
    <w:p w14:paraId="236FDFA8" w14:textId="2E69BE81" w:rsidR="00926253" w:rsidRDefault="002E0E53" w:rsidP="00FE60C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For opening a secondary proceeding</w:t>
      </w:r>
      <w:r w:rsidR="00926253">
        <w:rPr>
          <w:rFonts w:ascii="Arial" w:hAnsi="Arial" w:cs="Arial"/>
          <w:color w:val="000000" w:themeColor="text1"/>
          <w:sz w:val="22"/>
          <w:szCs w:val="22"/>
          <w:lang w:val="en-GB"/>
        </w:rPr>
        <w:t>,</w:t>
      </w:r>
    </w:p>
    <w:p w14:paraId="29BE183B" w14:textId="77777777" w:rsidR="00FE60CB" w:rsidRDefault="00FE60CB" w:rsidP="00FE60CB">
      <w:pPr>
        <w:jc w:val="both"/>
        <w:rPr>
          <w:rFonts w:ascii="Arial" w:hAnsi="Arial" w:cs="Arial"/>
          <w:color w:val="000000" w:themeColor="text1"/>
          <w:sz w:val="22"/>
          <w:szCs w:val="22"/>
          <w:lang w:val="en-GB"/>
        </w:rPr>
      </w:pPr>
    </w:p>
    <w:p w14:paraId="67ED5BFF" w14:textId="343FBF2A" w:rsidR="00926253" w:rsidRPr="009E5EE3" w:rsidRDefault="00926253" w:rsidP="009E5EE3">
      <w:pPr>
        <w:pStyle w:val="ListParagraph"/>
        <w:numPr>
          <w:ilvl w:val="0"/>
          <w:numId w:val="18"/>
        </w:numPr>
        <w:jc w:val="both"/>
        <w:rPr>
          <w:rFonts w:ascii="Arial" w:hAnsi="Arial" w:cs="Arial"/>
          <w:b/>
          <w:bCs/>
          <w:sz w:val="22"/>
          <w:szCs w:val="22"/>
          <w:lang w:val="en-GB"/>
        </w:rPr>
      </w:pPr>
      <w:r w:rsidRPr="009E5EE3">
        <w:rPr>
          <w:rFonts w:ascii="Arial" w:hAnsi="Arial" w:cs="Arial"/>
          <w:color w:val="000000" w:themeColor="text1"/>
          <w:sz w:val="22"/>
          <w:szCs w:val="22"/>
          <w:lang w:val="en-GB"/>
        </w:rPr>
        <w:t xml:space="preserve">Firstly, the secondary proceedings can only </w:t>
      </w:r>
      <w:r w:rsidR="00570B48" w:rsidRPr="009E5EE3">
        <w:rPr>
          <w:rFonts w:ascii="Arial" w:hAnsi="Arial" w:cs="Arial"/>
          <w:color w:val="000000" w:themeColor="text1"/>
          <w:sz w:val="22"/>
          <w:szCs w:val="22"/>
          <w:lang w:val="en-GB"/>
        </w:rPr>
        <w:t>open</w:t>
      </w:r>
      <w:r w:rsidRPr="009E5EE3">
        <w:rPr>
          <w:rFonts w:ascii="Arial" w:hAnsi="Arial" w:cs="Arial"/>
          <w:color w:val="000000" w:themeColor="text1"/>
          <w:sz w:val="22"/>
          <w:szCs w:val="22"/>
          <w:lang w:val="en-GB"/>
        </w:rPr>
        <w:t xml:space="preserve"> afte</w:t>
      </w:r>
      <w:r w:rsidR="00FE60CB" w:rsidRPr="009E5EE3">
        <w:rPr>
          <w:rFonts w:ascii="Arial" w:hAnsi="Arial" w:cs="Arial"/>
          <w:color w:val="000000" w:themeColor="text1"/>
          <w:sz w:val="22"/>
          <w:szCs w:val="22"/>
          <w:lang w:val="en-GB"/>
        </w:rPr>
        <w:t>r the opening of the main proceeding. From the perusal of the facts of the case, the main proceedings have already been commenced.</w:t>
      </w:r>
      <w:r w:rsidR="00570B48" w:rsidRPr="009E5EE3">
        <w:rPr>
          <w:rFonts w:ascii="Arial" w:hAnsi="Arial" w:cs="Arial"/>
          <w:color w:val="000000" w:themeColor="text1"/>
          <w:sz w:val="22"/>
          <w:szCs w:val="22"/>
          <w:lang w:val="en-GB"/>
        </w:rPr>
        <w:t xml:space="preserve"> Article 3(</w:t>
      </w:r>
      <w:r w:rsidR="001A040A" w:rsidRPr="009E5EE3">
        <w:rPr>
          <w:rFonts w:ascii="Arial" w:hAnsi="Arial" w:cs="Arial"/>
          <w:color w:val="000000" w:themeColor="text1"/>
          <w:sz w:val="22"/>
          <w:szCs w:val="22"/>
          <w:lang w:val="en-GB"/>
        </w:rPr>
        <w:t>4</w:t>
      </w:r>
      <w:r w:rsidR="00570B48" w:rsidRPr="009E5EE3">
        <w:rPr>
          <w:rFonts w:ascii="Arial" w:hAnsi="Arial" w:cs="Arial"/>
          <w:color w:val="000000" w:themeColor="text1"/>
          <w:sz w:val="22"/>
          <w:szCs w:val="22"/>
          <w:lang w:val="en-GB"/>
        </w:rPr>
        <w:t xml:space="preserve">) EIR Recast. </w:t>
      </w:r>
    </w:p>
    <w:p w14:paraId="5B512840" w14:textId="77777777" w:rsidR="00570B48" w:rsidRPr="00570B48" w:rsidRDefault="00570B48" w:rsidP="00FE60CB">
      <w:pPr>
        <w:jc w:val="both"/>
        <w:rPr>
          <w:rFonts w:ascii="Arial" w:hAnsi="Arial" w:cs="Arial"/>
          <w:b/>
          <w:bCs/>
          <w:sz w:val="22"/>
          <w:szCs w:val="22"/>
          <w:lang w:val="en-GB"/>
        </w:rPr>
      </w:pPr>
    </w:p>
    <w:p w14:paraId="6616BBD0" w14:textId="37236F8B" w:rsidR="00561788" w:rsidRDefault="00FE60CB" w:rsidP="009E5EE3">
      <w:pPr>
        <w:pStyle w:val="ListParagraph"/>
        <w:numPr>
          <w:ilvl w:val="0"/>
          <w:numId w:val="18"/>
        </w:numPr>
        <w:jc w:val="both"/>
        <w:rPr>
          <w:rFonts w:ascii="Arial" w:hAnsi="Arial" w:cs="Arial"/>
          <w:color w:val="000000" w:themeColor="text1"/>
          <w:sz w:val="22"/>
          <w:szCs w:val="22"/>
          <w:lang w:val="en-GB"/>
        </w:rPr>
      </w:pPr>
      <w:r w:rsidRPr="009E5EE3">
        <w:rPr>
          <w:rFonts w:ascii="Arial" w:hAnsi="Arial" w:cs="Arial"/>
          <w:color w:val="000000" w:themeColor="text1"/>
          <w:sz w:val="22"/>
          <w:szCs w:val="22"/>
          <w:lang w:val="en-GB"/>
        </w:rPr>
        <w:t>Secondly,</w:t>
      </w:r>
      <w:r w:rsidR="00561788">
        <w:rPr>
          <w:rFonts w:ascii="Arial" w:hAnsi="Arial" w:cs="Arial"/>
          <w:color w:val="000000" w:themeColor="text1"/>
          <w:sz w:val="22"/>
          <w:szCs w:val="22"/>
          <w:lang w:val="en-GB"/>
        </w:rPr>
        <w:t xml:space="preserve"> </w:t>
      </w:r>
      <w:r w:rsidR="00B15E30">
        <w:rPr>
          <w:rFonts w:ascii="Arial" w:hAnsi="Arial" w:cs="Arial"/>
          <w:color w:val="000000" w:themeColor="text1"/>
          <w:sz w:val="22"/>
          <w:szCs w:val="22"/>
          <w:lang w:val="en-GB"/>
        </w:rPr>
        <w:t xml:space="preserve"> as per Article 2(11), </w:t>
      </w:r>
      <w:r w:rsidR="00F53CBF">
        <w:rPr>
          <w:rFonts w:ascii="Arial" w:hAnsi="Arial" w:cs="Arial"/>
          <w:color w:val="000000" w:themeColor="text1"/>
          <w:sz w:val="22"/>
          <w:szCs w:val="22"/>
          <w:lang w:val="en-GB"/>
        </w:rPr>
        <w:t>l</w:t>
      </w:r>
      <w:r w:rsidR="00B15E30" w:rsidRPr="00F53CBF">
        <w:rPr>
          <w:rFonts w:ascii="Arial" w:hAnsi="Arial" w:cs="Arial"/>
          <w:color w:val="000000" w:themeColor="text1"/>
          <w:sz w:val="22"/>
          <w:szCs w:val="22"/>
          <w:lang w:val="en-GB"/>
        </w:rPr>
        <w:t xml:space="preserve">ocal creditor’ means a creditor whose claims against a debtor arose from or in connection with the operation of an establishment situated in a Member State other than the Member State in which the centre of the debtor's main </w:t>
      </w:r>
      <w:r w:rsidR="00B15E30" w:rsidRPr="00F53CBF">
        <w:rPr>
          <w:rFonts w:ascii="Arial" w:hAnsi="Arial" w:cs="Arial"/>
          <w:color w:val="000000" w:themeColor="text1"/>
          <w:sz w:val="22"/>
          <w:szCs w:val="22"/>
          <w:lang w:val="en-GB"/>
        </w:rPr>
        <w:lastRenderedPageBreak/>
        <w:t>interests is located</w:t>
      </w:r>
      <w:r w:rsidR="001C495B" w:rsidRPr="00F53CBF">
        <w:rPr>
          <w:rFonts w:ascii="Arial" w:hAnsi="Arial" w:cs="Arial"/>
          <w:color w:val="000000" w:themeColor="text1"/>
          <w:sz w:val="22"/>
          <w:szCs w:val="22"/>
          <w:lang w:val="en-GB"/>
        </w:rPr>
        <w:t xml:space="preserve">. The Spanish bank is a local creditor as </w:t>
      </w:r>
      <w:r w:rsidR="00F53CBF" w:rsidRPr="00F53CBF">
        <w:rPr>
          <w:rFonts w:ascii="Arial" w:hAnsi="Arial" w:cs="Arial"/>
          <w:color w:val="000000" w:themeColor="text1"/>
          <w:sz w:val="22"/>
          <w:szCs w:val="22"/>
          <w:lang w:val="en-GB"/>
        </w:rPr>
        <w:t>the operation of the debtor were conducted in Spain and France</w:t>
      </w:r>
      <w:r w:rsidR="00F53CBF">
        <w:rPr>
          <w:rFonts w:ascii="Arial" w:hAnsi="Arial" w:cs="Arial"/>
          <w:color w:val="000000" w:themeColor="text1"/>
          <w:sz w:val="22"/>
          <w:szCs w:val="22"/>
          <w:lang w:val="en-GB"/>
        </w:rPr>
        <w:t>(</w:t>
      </w:r>
      <w:proofErr w:type="spellStart"/>
      <w:r w:rsidR="00F53CBF" w:rsidRPr="00552AE8">
        <w:rPr>
          <w:rFonts w:ascii="Arial" w:hAnsi="Arial" w:cs="Arial"/>
          <w:color w:val="000000" w:themeColor="text1"/>
          <w:sz w:val="22"/>
          <w:szCs w:val="22"/>
          <w:lang w:val="en-GB"/>
        </w:rPr>
        <w:t>Strabourg</w:t>
      </w:r>
      <w:proofErr w:type="spellEnd"/>
      <w:r w:rsidR="00F53CBF" w:rsidRPr="00552AE8">
        <w:rPr>
          <w:rFonts w:ascii="Arial" w:hAnsi="Arial" w:cs="Arial"/>
          <w:color w:val="000000" w:themeColor="text1"/>
          <w:sz w:val="22"/>
          <w:szCs w:val="22"/>
          <w:lang w:val="en-GB"/>
        </w:rPr>
        <w:t>.</w:t>
      </w:r>
      <w:r w:rsidR="00F53CBF">
        <w:rPr>
          <w:rFonts w:ascii="Arial" w:hAnsi="Arial" w:cs="Arial"/>
          <w:color w:val="000000" w:themeColor="text1"/>
          <w:sz w:val="22"/>
          <w:szCs w:val="22"/>
          <w:lang w:val="en-GB"/>
        </w:rPr>
        <w:t>)</w:t>
      </w:r>
      <w:r w:rsidR="00F53CBF" w:rsidRPr="00F53CBF">
        <w:rPr>
          <w:rFonts w:ascii="Arial" w:hAnsi="Arial" w:cs="Arial"/>
          <w:color w:val="000000" w:themeColor="text1"/>
          <w:sz w:val="22"/>
          <w:szCs w:val="22"/>
          <w:lang w:val="en-GB"/>
        </w:rPr>
        <w:t xml:space="preserve"> is the member state where the main proceedings are being carried out.</w:t>
      </w:r>
    </w:p>
    <w:p w14:paraId="11301287" w14:textId="77777777" w:rsidR="00561788" w:rsidRPr="00561788" w:rsidRDefault="00561788" w:rsidP="00561788">
      <w:pPr>
        <w:pStyle w:val="ListParagraph"/>
        <w:rPr>
          <w:rFonts w:ascii="Arial" w:hAnsi="Arial" w:cs="Arial"/>
          <w:color w:val="000000" w:themeColor="text1"/>
          <w:sz w:val="22"/>
          <w:szCs w:val="22"/>
          <w:lang w:val="en-GB"/>
        </w:rPr>
      </w:pPr>
    </w:p>
    <w:p w14:paraId="572B7682" w14:textId="5A8A2792" w:rsidR="003F42C6" w:rsidRPr="009E5EE3" w:rsidRDefault="00561788" w:rsidP="009E5EE3">
      <w:pPr>
        <w:pStyle w:val="ListParagraph"/>
        <w:numPr>
          <w:ilvl w:val="0"/>
          <w:numId w:val="18"/>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Thirdly, </w:t>
      </w:r>
      <w:r w:rsidR="00FE60CB" w:rsidRPr="009E5EE3">
        <w:rPr>
          <w:rFonts w:ascii="Arial" w:hAnsi="Arial" w:cs="Arial"/>
          <w:color w:val="000000" w:themeColor="text1"/>
          <w:sz w:val="22"/>
          <w:szCs w:val="22"/>
          <w:lang w:val="en-GB"/>
        </w:rPr>
        <w:t xml:space="preserve"> </w:t>
      </w:r>
      <w:r w:rsidR="003F42C6" w:rsidRPr="009E5EE3">
        <w:rPr>
          <w:rFonts w:ascii="Arial" w:hAnsi="Arial" w:cs="Arial"/>
          <w:color w:val="000000" w:themeColor="text1"/>
          <w:sz w:val="22"/>
          <w:szCs w:val="22"/>
          <w:lang w:val="en-GB"/>
        </w:rPr>
        <w:t xml:space="preserve">as per Article </w:t>
      </w:r>
      <w:r w:rsidR="001A040A" w:rsidRPr="009E5EE3">
        <w:rPr>
          <w:rFonts w:ascii="Arial" w:hAnsi="Arial" w:cs="Arial"/>
          <w:color w:val="000000" w:themeColor="text1"/>
          <w:sz w:val="22"/>
          <w:szCs w:val="22"/>
          <w:lang w:val="en-GB"/>
        </w:rPr>
        <w:t>3</w:t>
      </w:r>
      <w:r w:rsidR="003F42C6" w:rsidRPr="009E5EE3">
        <w:rPr>
          <w:rFonts w:ascii="Arial" w:hAnsi="Arial" w:cs="Arial"/>
          <w:color w:val="000000" w:themeColor="text1"/>
          <w:sz w:val="22"/>
          <w:szCs w:val="22"/>
          <w:lang w:val="en-GB"/>
        </w:rPr>
        <w:t>(4)</w:t>
      </w:r>
      <w:r w:rsidR="006B4FDA" w:rsidRPr="009E5EE3">
        <w:rPr>
          <w:rFonts w:ascii="Arial" w:hAnsi="Arial" w:cs="Arial"/>
          <w:color w:val="000000" w:themeColor="text1"/>
          <w:sz w:val="22"/>
          <w:szCs w:val="22"/>
          <w:lang w:val="en-GB"/>
        </w:rPr>
        <w:t>(b)</w:t>
      </w:r>
      <w:r w:rsidR="006F4EF9" w:rsidRPr="009E5EE3">
        <w:rPr>
          <w:rFonts w:ascii="Arial" w:hAnsi="Arial" w:cs="Arial"/>
          <w:color w:val="000000" w:themeColor="text1"/>
          <w:sz w:val="22"/>
          <w:szCs w:val="22"/>
          <w:lang w:val="en-GB"/>
        </w:rPr>
        <w:t>(</w:t>
      </w:r>
      <w:proofErr w:type="spellStart"/>
      <w:r w:rsidR="006F4EF9" w:rsidRPr="009E5EE3">
        <w:rPr>
          <w:rFonts w:ascii="Arial" w:hAnsi="Arial" w:cs="Arial"/>
          <w:color w:val="000000" w:themeColor="text1"/>
          <w:sz w:val="22"/>
          <w:szCs w:val="22"/>
          <w:lang w:val="en-GB"/>
        </w:rPr>
        <w:t>i</w:t>
      </w:r>
      <w:proofErr w:type="spellEnd"/>
      <w:r w:rsidR="006F4EF9" w:rsidRPr="009E5EE3">
        <w:rPr>
          <w:rFonts w:ascii="Arial" w:hAnsi="Arial" w:cs="Arial"/>
          <w:color w:val="000000" w:themeColor="text1"/>
          <w:sz w:val="22"/>
          <w:szCs w:val="22"/>
          <w:lang w:val="en-GB"/>
        </w:rPr>
        <w:t>)</w:t>
      </w:r>
      <w:r w:rsidR="003F42C6" w:rsidRPr="009E5EE3">
        <w:rPr>
          <w:rFonts w:ascii="Arial" w:hAnsi="Arial" w:cs="Arial"/>
          <w:color w:val="000000" w:themeColor="text1"/>
          <w:sz w:val="22"/>
          <w:szCs w:val="22"/>
          <w:lang w:val="en-GB"/>
        </w:rPr>
        <w:t xml:space="preserve">, the </w:t>
      </w:r>
      <w:r w:rsidR="006F4EF9" w:rsidRPr="009E5EE3">
        <w:rPr>
          <w:rFonts w:ascii="Arial" w:hAnsi="Arial" w:cs="Arial"/>
          <w:color w:val="000000" w:themeColor="text1"/>
          <w:sz w:val="22"/>
          <w:szCs w:val="22"/>
          <w:lang w:val="en-GB"/>
        </w:rPr>
        <w:t xml:space="preserve">opening of territorial insolvency proceedings is requested by </w:t>
      </w:r>
      <w:r w:rsidR="00B95000" w:rsidRPr="009E5EE3">
        <w:rPr>
          <w:rFonts w:ascii="Arial" w:hAnsi="Arial" w:cs="Arial"/>
          <w:color w:val="000000" w:themeColor="text1"/>
          <w:sz w:val="22"/>
          <w:szCs w:val="22"/>
          <w:lang w:val="en-GB"/>
        </w:rPr>
        <w:t>“</w:t>
      </w:r>
      <w:r w:rsidR="006F4EF9" w:rsidRPr="009E5EE3">
        <w:rPr>
          <w:rFonts w:ascii="Arial" w:hAnsi="Arial" w:cs="Arial"/>
          <w:color w:val="000000" w:themeColor="text1"/>
          <w:sz w:val="22"/>
          <w:szCs w:val="22"/>
          <w:lang w:val="en-GB"/>
        </w:rPr>
        <w:t>a creditor whose claim arises from or is in connection with the operation of an establishment situated within the territory of the Member State where the opening of territorial proceedings is requested</w:t>
      </w:r>
      <w:r w:rsidR="00B95000" w:rsidRPr="009E5EE3">
        <w:rPr>
          <w:rFonts w:ascii="Arial" w:hAnsi="Arial" w:cs="Arial"/>
          <w:color w:val="000000" w:themeColor="text1"/>
          <w:sz w:val="22"/>
          <w:szCs w:val="22"/>
          <w:lang w:val="en-GB"/>
        </w:rPr>
        <w:t xml:space="preserve">”. </w:t>
      </w:r>
      <w:r w:rsidR="009E5EE3">
        <w:rPr>
          <w:rFonts w:ascii="Arial" w:hAnsi="Arial" w:cs="Arial"/>
          <w:color w:val="000000" w:themeColor="text1"/>
          <w:sz w:val="22"/>
          <w:szCs w:val="22"/>
          <w:lang w:val="en-GB"/>
        </w:rPr>
        <w:br/>
      </w:r>
      <w:r w:rsidR="009E5EE3">
        <w:rPr>
          <w:rFonts w:ascii="Arial" w:hAnsi="Arial" w:cs="Arial"/>
          <w:color w:val="000000" w:themeColor="text1"/>
          <w:sz w:val="22"/>
          <w:szCs w:val="22"/>
          <w:lang w:val="en-GB"/>
        </w:rPr>
        <w:br/>
      </w:r>
      <w:r w:rsidR="00B95000" w:rsidRPr="009E5EE3">
        <w:rPr>
          <w:rFonts w:ascii="Arial" w:hAnsi="Arial" w:cs="Arial"/>
          <w:color w:val="000000" w:themeColor="text1"/>
          <w:sz w:val="22"/>
          <w:szCs w:val="22"/>
          <w:lang w:val="en-GB"/>
        </w:rPr>
        <w:t xml:space="preserve">In our present case, the secondary proceedings </w:t>
      </w:r>
      <w:r w:rsidR="00EE7168" w:rsidRPr="009E5EE3">
        <w:rPr>
          <w:rFonts w:ascii="Arial" w:hAnsi="Arial" w:cs="Arial"/>
          <w:color w:val="000000" w:themeColor="text1"/>
          <w:sz w:val="22"/>
          <w:szCs w:val="22"/>
          <w:lang w:val="en-GB"/>
        </w:rPr>
        <w:t xml:space="preserve">is requested by the creditor of the debtor which the Spain Bank in the territory </w:t>
      </w:r>
      <w:r w:rsidR="006A6F9F" w:rsidRPr="009E5EE3">
        <w:rPr>
          <w:rFonts w:ascii="Arial" w:hAnsi="Arial" w:cs="Arial"/>
          <w:color w:val="000000" w:themeColor="text1"/>
          <w:sz w:val="22"/>
          <w:szCs w:val="22"/>
          <w:lang w:val="en-GB"/>
        </w:rPr>
        <w:t>of Spain itself where the request has been made to open the secondary proceeding.</w:t>
      </w:r>
      <w:r w:rsidR="009E5EE3" w:rsidRPr="009E5EE3">
        <w:rPr>
          <w:rFonts w:ascii="Arial" w:hAnsi="Arial" w:cs="Arial"/>
          <w:color w:val="000000" w:themeColor="text1"/>
          <w:sz w:val="22"/>
          <w:szCs w:val="22"/>
          <w:lang w:val="en-GB"/>
        </w:rPr>
        <w:t xml:space="preserve"> </w:t>
      </w:r>
    </w:p>
    <w:p w14:paraId="4E5BE487" w14:textId="77777777" w:rsidR="009E5EE3" w:rsidRDefault="009E5EE3" w:rsidP="0074253F">
      <w:pPr>
        <w:jc w:val="both"/>
        <w:rPr>
          <w:rFonts w:ascii="Arial" w:hAnsi="Arial" w:cs="Arial"/>
          <w:color w:val="000000" w:themeColor="text1"/>
          <w:sz w:val="22"/>
          <w:szCs w:val="22"/>
          <w:lang w:val="en-GB"/>
        </w:rPr>
      </w:pPr>
    </w:p>
    <w:p w14:paraId="7830A14A" w14:textId="312B9156" w:rsidR="007B48AE" w:rsidRPr="007B48AE" w:rsidRDefault="00FC6916" w:rsidP="007B48AE">
      <w:pPr>
        <w:pStyle w:val="ListParagraph"/>
        <w:numPr>
          <w:ilvl w:val="0"/>
          <w:numId w:val="18"/>
        </w:numPr>
        <w:jc w:val="both"/>
        <w:rPr>
          <w:rFonts w:ascii="Arial" w:hAnsi="Arial" w:cs="Arial"/>
          <w:i/>
          <w:iCs/>
          <w:color w:val="000000" w:themeColor="text1"/>
          <w:sz w:val="22"/>
          <w:szCs w:val="22"/>
          <w:lang w:val="en-GB"/>
        </w:rPr>
      </w:pPr>
      <w:r>
        <w:rPr>
          <w:rFonts w:ascii="Arial" w:hAnsi="Arial" w:cs="Arial"/>
          <w:color w:val="000000" w:themeColor="text1"/>
          <w:sz w:val="22"/>
          <w:szCs w:val="22"/>
          <w:lang w:val="en-GB"/>
        </w:rPr>
        <w:t>Fourthly</w:t>
      </w:r>
      <w:r w:rsidR="000C6371">
        <w:rPr>
          <w:rFonts w:ascii="Arial" w:hAnsi="Arial" w:cs="Arial"/>
          <w:color w:val="000000" w:themeColor="text1"/>
          <w:sz w:val="22"/>
          <w:szCs w:val="22"/>
          <w:lang w:val="en-GB"/>
        </w:rPr>
        <w:t xml:space="preserve">, </w:t>
      </w:r>
      <w:r w:rsidR="00EA593E" w:rsidRPr="009E5EE3">
        <w:rPr>
          <w:rFonts w:ascii="Arial" w:hAnsi="Arial" w:cs="Arial"/>
          <w:color w:val="000000" w:themeColor="text1"/>
          <w:sz w:val="22"/>
          <w:szCs w:val="22"/>
          <w:lang w:val="en-GB"/>
        </w:rPr>
        <w:t>Establishment of the Debtor must exist</w:t>
      </w:r>
      <w:r w:rsidR="00E5245D" w:rsidRPr="009E5EE3">
        <w:rPr>
          <w:rFonts w:ascii="Arial" w:hAnsi="Arial" w:cs="Arial"/>
          <w:color w:val="000000" w:themeColor="text1"/>
          <w:sz w:val="22"/>
          <w:szCs w:val="22"/>
          <w:lang w:val="en-GB"/>
        </w:rPr>
        <w:t xml:space="preserve"> in Spain for the secondary proceeding to open</w:t>
      </w:r>
      <w:r w:rsidR="00EA593E" w:rsidRPr="009E5EE3">
        <w:rPr>
          <w:rFonts w:ascii="Arial" w:hAnsi="Arial" w:cs="Arial"/>
          <w:color w:val="000000" w:themeColor="text1"/>
          <w:sz w:val="22"/>
          <w:szCs w:val="22"/>
          <w:lang w:val="en-GB"/>
        </w:rPr>
        <w:t xml:space="preserve"> as per Article 3(2) EIR Recast.</w:t>
      </w:r>
      <w:r w:rsidR="00F80A8A" w:rsidRPr="009E5EE3">
        <w:rPr>
          <w:rFonts w:ascii="Arial" w:hAnsi="Arial" w:cs="Arial"/>
          <w:color w:val="000000" w:themeColor="text1"/>
          <w:sz w:val="22"/>
          <w:szCs w:val="22"/>
          <w:lang w:val="en-GB"/>
        </w:rPr>
        <w:t xml:space="preserve"> The definition of establishment is </w:t>
      </w:r>
      <w:r w:rsidR="006560DC">
        <w:rPr>
          <w:rFonts w:ascii="Arial" w:hAnsi="Arial" w:cs="Arial"/>
          <w:color w:val="000000" w:themeColor="text1"/>
          <w:sz w:val="22"/>
          <w:szCs w:val="22"/>
          <w:lang w:val="en-GB"/>
        </w:rPr>
        <w:t xml:space="preserve">as per </w:t>
      </w:r>
      <w:r w:rsidR="007B48AE">
        <w:rPr>
          <w:rFonts w:ascii="Arial" w:hAnsi="Arial" w:cs="Arial"/>
          <w:color w:val="000000" w:themeColor="text1"/>
          <w:sz w:val="22"/>
          <w:szCs w:val="22"/>
          <w:lang w:val="en-GB"/>
        </w:rPr>
        <w:t xml:space="preserve">Article 2(10) which reads as </w:t>
      </w:r>
      <w:r w:rsidR="007B48AE" w:rsidRPr="007B48AE">
        <w:rPr>
          <w:rFonts w:ascii="Arial" w:hAnsi="Arial" w:cs="Arial"/>
          <w:color w:val="000000" w:themeColor="text1"/>
          <w:sz w:val="22"/>
          <w:szCs w:val="22"/>
          <w:lang w:val="en-GB"/>
        </w:rPr>
        <w:t>“‘</w:t>
      </w:r>
      <w:r w:rsidR="007B48AE" w:rsidRPr="007B48AE">
        <w:rPr>
          <w:rFonts w:ascii="Arial" w:hAnsi="Arial" w:cs="Arial"/>
          <w:i/>
          <w:iCs/>
          <w:color w:val="000000" w:themeColor="text1"/>
          <w:sz w:val="22"/>
          <w:szCs w:val="22"/>
          <w:lang w:val="en-GB"/>
        </w:rPr>
        <w:t>establishment’ means any place of operations where a debtor carries out or has carried out in the 3-month period prior to the request to open main insolvency proceedings a non-transitory economic activity with human means and assets”</w:t>
      </w:r>
    </w:p>
    <w:p w14:paraId="5BA56603" w14:textId="77777777" w:rsidR="009E5EE3" w:rsidRPr="009E5EE3" w:rsidRDefault="009E5EE3" w:rsidP="009E5EE3">
      <w:pPr>
        <w:pStyle w:val="ListParagraph"/>
        <w:rPr>
          <w:rFonts w:ascii="Arial" w:hAnsi="Arial" w:cs="Arial"/>
          <w:color w:val="000000" w:themeColor="text1"/>
          <w:sz w:val="22"/>
          <w:szCs w:val="22"/>
          <w:lang w:val="en-GB"/>
        </w:rPr>
      </w:pPr>
    </w:p>
    <w:p w14:paraId="6123926B" w14:textId="5F35F8EA" w:rsidR="003E25F5" w:rsidRDefault="003E25F5" w:rsidP="009E5EE3">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We </w:t>
      </w:r>
      <w:r w:rsidR="001D7445">
        <w:rPr>
          <w:rFonts w:ascii="Arial" w:hAnsi="Arial" w:cs="Arial"/>
          <w:color w:val="000000" w:themeColor="text1"/>
          <w:sz w:val="22"/>
          <w:szCs w:val="22"/>
          <w:lang w:val="en-GB"/>
        </w:rPr>
        <w:t>must</w:t>
      </w:r>
      <w:r>
        <w:rPr>
          <w:rFonts w:ascii="Arial" w:hAnsi="Arial" w:cs="Arial"/>
          <w:color w:val="000000" w:themeColor="text1"/>
          <w:sz w:val="22"/>
          <w:szCs w:val="22"/>
          <w:lang w:val="en-GB"/>
        </w:rPr>
        <w:t xml:space="preserve"> look at the following essentials to establish the establishment </w:t>
      </w:r>
    </w:p>
    <w:p w14:paraId="0C3183D1" w14:textId="5F40FBC7" w:rsidR="005B52FB" w:rsidRPr="005B52FB" w:rsidRDefault="001D7445" w:rsidP="001D7445">
      <w:pPr>
        <w:pStyle w:val="ListParagraph"/>
        <w:numPr>
          <w:ilvl w:val="0"/>
          <w:numId w:val="19"/>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Place of operations of the debtor </w:t>
      </w:r>
      <w:r w:rsidR="005B52FB">
        <w:rPr>
          <w:rFonts w:ascii="Arial" w:hAnsi="Arial" w:cs="Arial"/>
          <w:color w:val="000000" w:themeColor="text1"/>
          <w:sz w:val="22"/>
          <w:szCs w:val="22"/>
          <w:lang w:val="en-GB"/>
        </w:rPr>
        <w:t>or a place of business carried out</w:t>
      </w:r>
      <w:r w:rsidR="00AA5E9F" w:rsidRPr="009E5EE3">
        <w:rPr>
          <w:rFonts w:ascii="Arial" w:hAnsi="Arial" w:cs="Arial"/>
          <w:color w:val="000000" w:themeColor="text1"/>
          <w:sz w:val="22"/>
          <w:szCs w:val="22"/>
          <w:lang w:val="en-GB"/>
        </w:rPr>
        <w:t xml:space="preserve"> </w:t>
      </w:r>
      <w:r w:rsidR="005B52FB" w:rsidRPr="007B48AE">
        <w:rPr>
          <w:rFonts w:ascii="Arial" w:hAnsi="Arial" w:cs="Arial"/>
          <w:i/>
          <w:iCs/>
          <w:color w:val="000000" w:themeColor="text1"/>
          <w:sz w:val="22"/>
          <w:szCs w:val="22"/>
          <w:lang w:val="en-GB"/>
        </w:rPr>
        <w:t>in the 3-month period prior to the request to open main insolvency proceedings</w:t>
      </w:r>
    </w:p>
    <w:p w14:paraId="16872EFB" w14:textId="71831285" w:rsidR="005B52FB" w:rsidRPr="007B48AE" w:rsidRDefault="005B52FB" w:rsidP="005B52FB">
      <w:pPr>
        <w:pStyle w:val="ListParagraph"/>
        <w:numPr>
          <w:ilvl w:val="0"/>
          <w:numId w:val="19"/>
        </w:numPr>
        <w:jc w:val="both"/>
        <w:rPr>
          <w:rFonts w:ascii="Arial" w:hAnsi="Arial" w:cs="Arial"/>
          <w:i/>
          <w:iCs/>
          <w:color w:val="000000" w:themeColor="text1"/>
          <w:sz w:val="22"/>
          <w:szCs w:val="22"/>
          <w:lang w:val="en-GB"/>
        </w:rPr>
      </w:pPr>
      <w:r w:rsidRPr="007B48AE">
        <w:rPr>
          <w:rFonts w:ascii="Arial" w:hAnsi="Arial" w:cs="Arial"/>
          <w:i/>
          <w:iCs/>
          <w:color w:val="000000" w:themeColor="text1"/>
          <w:sz w:val="22"/>
          <w:szCs w:val="22"/>
          <w:lang w:val="en-GB"/>
        </w:rPr>
        <w:t>a non-transitory economic activity with human means and assets</w:t>
      </w:r>
    </w:p>
    <w:p w14:paraId="6104665D" w14:textId="77777777" w:rsidR="005B52FB" w:rsidRPr="005B52FB" w:rsidRDefault="005B52FB" w:rsidP="005B52FB">
      <w:pPr>
        <w:pStyle w:val="ListParagraph"/>
        <w:ind w:left="1440"/>
        <w:jc w:val="both"/>
        <w:rPr>
          <w:rFonts w:ascii="Arial" w:hAnsi="Arial" w:cs="Arial"/>
          <w:color w:val="000000" w:themeColor="text1"/>
          <w:sz w:val="22"/>
          <w:szCs w:val="22"/>
          <w:lang w:val="en-GB"/>
        </w:rPr>
      </w:pPr>
    </w:p>
    <w:p w14:paraId="1935E670" w14:textId="2CE7BE57" w:rsidR="001302AB" w:rsidRPr="008500BD" w:rsidRDefault="005B52FB" w:rsidP="001302AB">
      <w:pPr>
        <w:jc w:val="both"/>
        <w:rPr>
          <w:rFonts w:ascii="Arial" w:hAnsi="Arial" w:cs="Arial"/>
          <w:b/>
          <w:bCs/>
          <w:sz w:val="22"/>
          <w:szCs w:val="22"/>
          <w:lang w:val="en-GB"/>
        </w:rPr>
      </w:pPr>
      <w:r w:rsidRPr="005B52FB">
        <w:rPr>
          <w:rFonts w:ascii="Arial" w:hAnsi="Arial" w:cs="Arial"/>
          <w:i/>
          <w:iCs/>
          <w:color w:val="000000" w:themeColor="text1"/>
          <w:sz w:val="22"/>
          <w:szCs w:val="22"/>
          <w:lang w:val="en-GB"/>
        </w:rPr>
        <w:t xml:space="preserve"> </w:t>
      </w:r>
      <w:r w:rsidR="00BA0344" w:rsidRPr="005B52FB">
        <w:rPr>
          <w:rFonts w:ascii="Arial" w:hAnsi="Arial" w:cs="Arial"/>
          <w:color w:val="000000" w:themeColor="text1"/>
          <w:sz w:val="22"/>
          <w:szCs w:val="22"/>
          <w:lang w:val="en-GB"/>
        </w:rPr>
        <w:t>From the facts of the case, the debtor has a warehouse in Spain</w:t>
      </w:r>
      <w:r w:rsidR="0074253F" w:rsidRPr="005B52FB">
        <w:rPr>
          <w:rFonts w:ascii="Arial" w:hAnsi="Arial" w:cs="Arial"/>
          <w:sz w:val="22"/>
          <w:szCs w:val="22"/>
          <w:lang w:val="en-GB"/>
        </w:rPr>
        <w:t xml:space="preserve"> and</w:t>
      </w:r>
      <w:r w:rsidR="0074253F" w:rsidRPr="005B52FB">
        <w:rPr>
          <w:rFonts w:ascii="Arial" w:hAnsi="Arial" w:cs="Arial"/>
          <w:b/>
          <w:bCs/>
          <w:sz w:val="22"/>
          <w:szCs w:val="22"/>
          <w:lang w:val="en-GB"/>
        </w:rPr>
        <w:t xml:space="preserve"> </w:t>
      </w:r>
      <w:r w:rsidR="0074253F" w:rsidRPr="005B52FB">
        <w:rPr>
          <w:rFonts w:ascii="Arial" w:hAnsi="Arial" w:cs="Arial"/>
          <w:sz w:val="22"/>
          <w:szCs w:val="22"/>
          <w:lang w:val="en-GB"/>
        </w:rPr>
        <w:t>this warehouse the debtor</w:t>
      </w:r>
      <w:r w:rsidR="00F80A8A" w:rsidRPr="005B52FB">
        <w:rPr>
          <w:rFonts w:ascii="Arial" w:hAnsi="Arial" w:cs="Arial"/>
          <w:sz w:val="22"/>
          <w:szCs w:val="22"/>
          <w:lang w:val="en-GB"/>
        </w:rPr>
        <w:t xml:space="preserve"> has lent</w:t>
      </w:r>
      <w:r w:rsidR="0074253F" w:rsidRPr="005B52FB">
        <w:rPr>
          <w:rFonts w:ascii="Arial" w:hAnsi="Arial" w:cs="Arial"/>
          <w:sz w:val="22"/>
          <w:szCs w:val="22"/>
          <w:lang w:val="en-GB"/>
        </w:rPr>
        <w:t xml:space="preserve"> to other toy companies</w:t>
      </w:r>
      <w:r>
        <w:rPr>
          <w:rFonts w:ascii="Arial" w:hAnsi="Arial" w:cs="Arial"/>
          <w:sz w:val="22"/>
          <w:szCs w:val="22"/>
          <w:lang w:val="en-GB"/>
        </w:rPr>
        <w:t xml:space="preserve"> on </w:t>
      </w:r>
      <w:r w:rsidR="00251EC5">
        <w:rPr>
          <w:rFonts w:ascii="Arial" w:hAnsi="Arial" w:cs="Arial"/>
          <w:sz w:val="22"/>
          <w:szCs w:val="22"/>
          <w:lang w:val="en-GB"/>
        </w:rPr>
        <w:t xml:space="preserve">lease/rent. </w:t>
      </w:r>
      <w:r w:rsidR="00A62DDE">
        <w:rPr>
          <w:rFonts w:ascii="Arial" w:hAnsi="Arial" w:cs="Arial"/>
          <w:sz w:val="22"/>
          <w:szCs w:val="22"/>
          <w:lang w:val="en-GB"/>
        </w:rPr>
        <w:t xml:space="preserve">In Spain the </w:t>
      </w:r>
      <w:r w:rsidR="007C3F7A">
        <w:rPr>
          <w:rFonts w:ascii="Arial" w:hAnsi="Arial" w:cs="Arial"/>
          <w:sz w:val="22"/>
          <w:szCs w:val="22"/>
          <w:lang w:val="en-GB"/>
        </w:rPr>
        <w:t xml:space="preserve">debtor runs a bank account which means that the creditor here </w:t>
      </w:r>
      <w:proofErr w:type="spellStart"/>
      <w:r w:rsidR="007C3F7A">
        <w:rPr>
          <w:rFonts w:ascii="Arial" w:hAnsi="Arial" w:cs="Arial"/>
          <w:sz w:val="22"/>
          <w:szCs w:val="22"/>
          <w:lang w:val="en-GB"/>
        </w:rPr>
        <w:t>i.e</w:t>
      </w:r>
      <w:proofErr w:type="spellEnd"/>
      <w:r w:rsidR="007C3F7A">
        <w:rPr>
          <w:rFonts w:ascii="Arial" w:hAnsi="Arial" w:cs="Arial"/>
          <w:sz w:val="22"/>
          <w:szCs w:val="22"/>
          <w:lang w:val="en-GB"/>
        </w:rPr>
        <w:t xml:space="preserve"> Spanish Bank identifies the business of the debtor at Spain. </w:t>
      </w:r>
      <w:r w:rsidR="001302AB">
        <w:rPr>
          <w:rFonts w:ascii="Arial" w:hAnsi="Arial" w:cs="Arial"/>
          <w:sz w:val="22"/>
          <w:szCs w:val="22"/>
          <w:lang w:val="en-GB"/>
        </w:rPr>
        <w:t xml:space="preserve">The debtor also </w:t>
      </w:r>
      <w:r w:rsidR="001302AB" w:rsidRPr="008500BD">
        <w:rPr>
          <w:rFonts w:ascii="Arial" w:hAnsi="Arial" w:cs="Arial"/>
          <w:sz w:val="22"/>
          <w:szCs w:val="22"/>
          <w:lang w:val="en-GB"/>
        </w:rPr>
        <w:t>started negotiations with local distributors and some (non-binding) memoranda of understanding have been signed</w:t>
      </w:r>
      <w:r w:rsidR="00A6516B">
        <w:rPr>
          <w:rFonts w:ascii="Arial" w:hAnsi="Arial" w:cs="Arial"/>
          <w:sz w:val="22"/>
          <w:szCs w:val="22"/>
          <w:lang w:val="en-GB"/>
        </w:rPr>
        <w:t xml:space="preserve"> for expanding its busines in Spain suggests that there was </w:t>
      </w:r>
      <w:r w:rsidR="00AC3B38">
        <w:rPr>
          <w:rFonts w:ascii="Arial" w:hAnsi="Arial" w:cs="Arial"/>
          <w:sz w:val="22"/>
          <w:szCs w:val="22"/>
          <w:lang w:val="en-GB"/>
        </w:rPr>
        <w:t>in fact</w:t>
      </w:r>
      <w:r w:rsidR="00A6516B">
        <w:rPr>
          <w:rFonts w:ascii="Arial" w:hAnsi="Arial" w:cs="Arial"/>
          <w:sz w:val="22"/>
          <w:szCs w:val="22"/>
          <w:lang w:val="en-GB"/>
        </w:rPr>
        <w:t xml:space="preserve"> a </w:t>
      </w:r>
      <w:r w:rsidR="00AC3B38">
        <w:rPr>
          <w:rFonts w:ascii="Arial" w:hAnsi="Arial" w:cs="Arial"/>
          <w:sz w:val="22"/>
          <w:szCs w:val="22"/>
          <w:lang w:val="en-GB"/>
        </w:rPr>
        <w:t>non-transitory</w:t>
      </w:r>
      <w:r w:rsidR="00A6516B">
        <w:rPr>
          <w:rFonts w:ascii="Arial" w:hAnsi="Arial" w:cs="Arial"/>
          <w:sz w:val="22"/>
          <w:szCs w:val="22"/>
          <w:lang w:val="en-GB"/>
        </w:rPr>
        <w:t xml:space="preserve"> economic activity with </w:t>
      </w:r>
      <w:r w:rsidR="00AC3B38">
        <w:rPr>
          <w:rFonts w:ascii="Arial" w:hAnsi="Arial" w:cs="Arial"/>
          <w:sz w:val="22"/>
          <w:szCs w:val="22"/>
          <w:lang w:val="en-GB"/>
        </w:rPr>
        <w:t>debtors asset the warehouse and human means deployed by the debtor to expand in the gaming industry in Spain.</w:t>
      </w:r>
    </w:p>
    <w:p w14:paraId="6E8B688C" w14:textId="4B3F33AE" w:rsidR="00F80A8A" w:rsidRDefault="00F80A8A" w:rsidP="005B52FB">
      <w:pPr>
        <w:jc w:val="both"/>
        <w:rPr>
          <w:rFonts w:ascii="Arial" w:hAnsi="Arial" w:cs="Arial"/>
          <w:color w:val="000000" w:themeColor="text1"/>
          <w:sz w:val="22"/>
          <w:szCs w:val="22"/>
          <w:lang w:val="en-GB"/>
        </w:rPr>
      </w:pPr>
    </w:p>
    <w:p w14:paraId="52AE8129" w14:textId="22348487" w:rsidR="006E453C" w:rsidRPr="005B52FB" w:rsidRDefault="00CA547D" w:rsidP="005B52F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the case of </w:t>
      </w:r>
      <w:proofErr w:type="spellStart"/>
      <w:r>
        <w:rPr>
          <w:rFonts w:ascii="Arial" w:hAnsi="Arial" w:cs="Arial"/>
          <w:color w:val="000000" w:themeColor="text1"/>
          <w:sz w:val="22"/>
          <w:szCs w:val="22"/>
          <w:lang w:val="en-GB"/>
        </w:rPr>
        <w:t>Interdil</w:t>
      </w:r>
      <w:proofErr w:type="spellEnd"/>
      <w:r>
        <w:rPr>
          <w:rFonts w:ascii="Arial" w:hAnsi="Arial" w:cs="Arial"/>
          <w:color w:val="000000" w:themeColor="text1"/>
          <w:sz w:val="22"/>
          <w:szCs w:val="22"/>
          <w:lang w:val="en-GB"/>
        </w:rPr>
        <w:t xml:space="preserve"> the CJEU examined the conce</w:t>
      </w:r>
      <w:r w:rsidR="004A7AA1">
        <w:rPr>
          <w:rFonts w:ascii="Arial" w:hAnsi="Arial" w:cs="Arial"/>
          <w:color w:val="000000" w:themeColor="text1"/>
          <w:sz w:val="22"/>
          <w:szCs w:val="22"/>
          <w:lang w:val="en-GB"/>
        </w:rPr>
        <w:t xml:space="preserve">pt </w:t>
      </w:r>
      <w:r>
        <w:rPr>
          <w:rFonts w:ascii="Arial" w:hAnsi="Arial" w:cs="Arial"/>
          <w:color w:val="000000" w:themeColor="text1"/>
          <w:sz w:val="22"/>
          <w:szCs w:val="22"/>
          <w:lang w:val="en-GB"/>
        </w:rPr>
        <w:t xml:space="preserve">of Establishment and held that </w:t>
      </w:r>
      <w:r w:rsidR="00716928">
        <w:rPr>
          <w:rFonts w:ascii="Arial" w:hAnsi="Arial" w:cs="Arial"/>
          <w:color w:val="000000" w:themeColor="text1"/>
          <w:sz w:val="22"/>
          <w:szCs w:val="22"/>
          <w:lang w:val="en-GB"/>
        </w:rPr>
        <w:t>the definition of establishment shows t</w:t>
      </w:r>
      <w:r w:rsidR="00B722AB">
        <w:rPr>
          <w:rFonts w:ascii="Arial" w:hAnsi="Arial" w:cs="Arial"/>
          <w:color w:val="000000" w:themeColor="text1"/>
          <w:sz w:val="22"/>
          <w:szCs w:val="22"/>
          <w:lang w:val="en-GB"/>
        </w:rPr>
        <w:t xml:space="preserve">hat there is some human activity and some degree of </w:t>
      </w:r>
      <w:r w:rsidR="004A7AA1">
        <w:rPr>
          <w:rFonts w:ascii="Arial" w:hAnsi="Arial" w:cs="Arial"/>
          <w:color w:val="000000" w:themeColor="text1"/>
          <w:sz w:val="22"/>
          <w:szCs w:val="22"/>
          <w:lang w:val="en-GB"/>
        </w:rPr>
        <w:t>organisation</w:t>
      </w:r>
      <w:r w:rsidR="00B722AB">
        <w:rPr>
          <w:rFonts w:ascii="Arial" w:hAnsi="Arial" w:cs="Arial"/>
          <w:color w:val="000000" w:themeColor="text1"/>
          <w:sz w:val="22"/>
          <w:szCs w:val="22"/>
          <w:lang w:val="en-GB"/>
        </w:rPr>
        <w:t xml:space="preserve"> and stability is required. </w:t>
      </w:r>
      <w:r w:rsidR="007E4266">
        <w:rPr>
          <w:rFonts w:ascii="Arial" w:hAnsi="Arial" w:cs="Arial"/>
          <w:color w:val="000000" w:themeColor="text1"/>
          <w:sz w:val="22"/>
          <w:szCs w:val="22"/>
          <w:lang w:val="en-GB"/>
        </w:rPr>
        <w:t>Merely, a bank account presence of goods in isolation will not satisfy the definition of establishment.</w:t>
      </w:r>
    </w:p>
    <w:p w14:paraId="5005D8A5" w14:textId="30F6155F" w:rsidR="00F80A8A" w:rsidRDefault="005D2E01" w:rsidP="0074253F">
      <w:pPr>
        <w:jc w:val="both"/>
        <w:rPr>
          <w:rFonts w:ascii="Arial" w:hAnsi="Arial" w:cs="Arial"/>
          <w:sz w:val="22"/>
          <w:szCs w:val="22"/>
          <w:lang w:val="en-GB"/>
        </w:rPr>
      </w:pPr>
      <w:r>
        <w:rPr>
          <w:rFonts w:ascii="Arial" w:hAnsi="Arial" w:cs="Arial"/>
          <w:sz w:val="22"/>
          <w:szCs w:val="22"/>
          <w:lang w:val="en-GB"/>
        </w:rPr>
        <w:t xml:space="preserve">But, in our case, there is a presence of the debtor business in Spain and the debtor was putting in efforts to </w:t>
      </w:r>
      <w:r w:rsidR="00A85C35">
        <w:rPr>
          <w:rFonts w:ascii="Arial" w:hAnsi="Arial" w:cs="Arial"/>
          <w:sz w:val="22"/>
          <w:szCs w:val="22"/>
          <w:lang w:val="en-GB"/>
        </w:rPr>
        <w:t xml:space="preserve">enter into the gaming industry in Spain shows that the debtor’s establishment was not a letter box </w:t>
      </w:r>
      <w:r w:rsidR="00FC6916">
        <w:rPr>
          <w:rFonts w:ascii="Arial" w:hAnsi="Arial" w:cs="Arial"/>
          <w:sz w:val="22"/>
          <w:szCs w:val="22"/>
          <w:lang w:val="en-GB"/>
        </w:rPr>
        <w:t xml:space="preserve">office. </w:t>
      </w:r>
    </w:p>
    <w:p w14:paraId="6B9EB1CE" w14:textId="421812F0" w:rsidR="00FC6916" w:rsidRDefault="00FC6916" w:rsidP="0074253F">
      <w:pPr>
        <w:jc w:val="both"/>
        <w:rPr>
          <w:rFonts w:ascii="Arial" w:hAnsi="Arial" w:cs="Arial"/>
          <w:sz w:val="22"/>
          <w:szCs w:val="22"/>
          <w:lang w:val="en-GB"/>
        </w:rPr>
      </w:pPr>
    </w:p>
    <w:p w14:paraId="309B58A1" w14:textId="4D632EEA" w:rsidR="00FC6916" w:rsidRDefault="00FC6916" w:rsidP="0074253F">
      <w:pPr>
        <w:jc w:val="both"/>
        <w:rPr>
          <w:rFonts w:ascii="Arial" w:hAnsi="Arial" w:cs="Arial"/>
          <w:sz w:val="22"/>
          <w:szCs w:val="22"/>
          <w:lang w:val="en-GB"/>
        </w:rPr>
      </w:pPr>
      <w:r>
        <w:rPr>
          <w:rFonts w:ascii="Arial" w:hAnsi="Arial" w:cs="Arial"/>
          <w:sz w:val="22"/>
          <w:szCs w:val="22"/>
          <w:lang w:val="en-GB"/>
        </w:rPr>
        <w:t xml:space="preserve">Hence, the Spanish Court can open the secondary proceeding in Spain. </w:t>
      </w:r>
    </w:p>
    <w:p w14:paraId="710BA963" w14:textId="77777777" w:rsidR="00FC6916" w:rsidRDefault="00FC6916" w:rsidP="0074253F">
      <w:pPr>
        <w:jc w:val="both"/>
        <w:rPr>
          <w:rFonts w:ascii="Arial" w:hAnsi="Arial" w:cs="Arial"/>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4652" w14:textId="77777777" w:rsidR="00A63BAE" w:rsidRDefault="00A63BAE" w:rsidP="00241B44">
      <w:r>
        <w:separator/>
      </w:r>
    </w:p>
  </w:endnote>
  <w:endnote w:type="continuationSeparator" w:id="0">
    <w:p w14:paraId="29EFC7A0" w14:textId="77777777" w:rsidR="00A63BAE" w:rsidRDefault="00A63B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513506D" w:rsidR="00241FA3" w:rsidRPr="009B4976" w:rsidRDefault="00CC4EDA" w:rsidP="009B4976">
    <w:pPr>
      <w:pStyle w:val="Footer"/>
      <w:ind w:right="360"/>
      <w:rPr>
        <w:rFonts w:ascii="Arial" w:hAnsi="Arial" w:cs="Arial"/>
        <w:sz w:val="18"/>
        <w:szCs w:val="18"/>
        <w:lang w:val="en-GB"/>
      </w:rPr>
    </w:pPr>
    <w:r>
      <w:rPr>
        <w:rFonts w:ascii="Arial" w:hAnsi="Arial" w:cs="Arial"/>
        <w:sz w:val="18"/>
        <w:szCs w:val="18"/>
        <w:lang w:val="en-GB"/>
      </w:rPr>
      <w:t>202021</w:t>
    </w:r>
    <w:r w:rsidR="00C80C08">
      <w:rPr>
        <w:rFonts w:ascii="Arial" w:hAnsi="Arial" w:cs="Arial"/>
        <w:sz w:val="18"/>
        <w:szCs w:val="18"/>
        <w:lang w:val="en-GB"/>
      </w:rPr>
      <w:t>IFU-410</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27A35" w14:textId="77777777" w:rsidR="00A63BAE" w:rsidRDefault="00A63BAE" w:rsidP="00241B44">
      <w:r>
        <w:separator/>
      </w:r>
    </w:p>
  </w:footnote>
  <w:footnote w:type="continuationSeparator" w:id="0">
    <w:p w14:paraId="3817F788" w14:textId="77777777" w:rsidR="00A63BAE" w:rsidRDefault="00A63B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A71"/>
    <w:multiLevelType w:val="hybridMultilevel"/>
    <w:tmpl w:val="542A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50CD"/>
    <w:multiLevelType w:val="hybridMultilevel"/>
    <w:tmpl w:val="542A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4D0F"/>
    <w:multiLevelType w:val="hybridMultilevel"/>
    <w:tmpl w:val="4FCE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43688"/>
    <w:multiLevelType w:val="hybridMultilevel"/>
    <w:tmpl w:val="6EE2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65A5822"/>
    <w:multiLevelType w:val="hybridMultilevel"/>
    <w:tmpl w:val="C76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9F50094"/>
    <w:multiLevelType w:val="hybridMultilevel"/>
    <w:tmpl w:val="DE7CD3C4"/>
    <w:lvl w:ilvl="0" w:tplc="2B20D5A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36E6E95"/>
    <w:multiLevelType w:val="hybridMultilevel"/>
    <w:tmpl w:val="932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F2372B"/>
    <w:multiLevelType w:val="hybridMultilevel"/>
    <w:tmpl w:val="C1FA1788"/>
    <w:lvl w:ilvl="0" w:tplc="3B48C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6"/>
  </w:num>
  <w:num w:numId="3">
    <w:abstractNumId w:val="7"/>
  </w:num>
  <w:num w:numId="4">
    <w:abstractNumId w:val="18"/>
  </w:num>
  <w:num w:numId="5">
    <w:abstractNumId w:val="15"/>
  </w:num>
  <w:num w:numId="6">
    <w:abstractNumId w:val="17"/>
  </w:num>
  <w:num w:numId="7">
    <w:abstractNumId w:val="3"/>
  </w:num>
  <w:num w:numId="8">
    <w:abstractNumId w:val="11"/>
  </w:num>
  <w:num w:numId="9">
    <w:abstractNumId w:val="9"/>
  </w:num>
  <w:num w:numId="10">
    <w:abstractNumId w:val="6"/>
  </w:num>
  <w:num w:numId="11">
    <w:abstractNumId w:val="13"/>
  </w:num>
  <w:num w:numId="12">
    <w:abstractNumId w:val="10"/>
  </w:num>
  <w:num w:numId="13">
    <w:abstractNumId w:val="5"/>
  </w:num>
  <w:num w:numId="14">
    <w:abstractNumId w:val="12"/>
  </w:num>
  <w:num w:numId="15">
    <w:abstractNumId w:val="2"/>
  </w:num>
  <w:num w:numId="16">
    <w:abstractNumId w:val="0"/>
  </w:num>
  <w:num w:numId="17">
    <w:abstractNumId w:val="1"/>
  </w:num>
  <w:num w:numId="18">
    <w:abstractNumId w:val="8"/>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8B"/>
    <w:rsid w:val="00007146"/>
    <w:rsid w:val="00010BA0"/>
    <w:rsid w:val="0001344B"/>
    <w:rsid w:val="00020557"/>
    <w:rsid w:val="0002474E"/>
    <w:rsid w:val="000250C7"/>
    <w:rsid w:val="00026F16"/>
    <w:rsid w:val="000344CC"/>
    <w:rsid w:val="000366EC"/>
    <w:rsid w:val="00037621"/>
    <w:rsid w:val="00044D46"/>
    <w:rsid w:val="00045034"/>
    <w:rsid w:val="00045088"/>
    <w:rsid w:val="00045904"/>
    <w:rsid w:val="00056B85"/>
    <w:rsid w:val="00065166"/>
    <w:rsid w:val="00067AD5"/>
    <w:rsid w:val="0007077F"/>
    <w:rsid w:val="00080E53"/>
    <w:rsid w:val="00082609"/>
    <w:rsid w:val="000851CC"/>
    <w:rsid w:val="00087CD6"/>
    <w:rsid w:val="00093BE8"/>
    <w:rsid w:val="000952B1"/>
    <w:rsid w:val="000A68ED"/>
    <w:rsid w:val="000A7BF9"/>
    <w:rsid w:val="000B4FE5"/>
    <w:rsid w:val="000B5FF1"/>
    <w:rsid w:val="000B609F"/>
    <w:rsid w:val="000C37DA"/>
    <w:rsid w:val="000C6371"/>
    <w:rsid w:val="000C714B"/>
    <w:rsid w:val="000D55A8"/>
    <w:rsid w:val="000E4841"/>
    <w:rsid w:val="000E7762"/>
    <w:rsid w:val="000E7B45"/>
    <w:rsid w:val="000F1677"/>
    <w:rsid w:val="000F3D6C"/>
    <w:rsid w:val="00101707"/>
    <w:rsid w:val="001036AE"/>
    <w:rsid w:val="00107D72"/>
    <w:rsid w:val="00113E29"/>
    <w:rsid w:val="0011473D"/>
    <w:rsid w:val="00114D0E"/>
    <w:rsid w:val="00115C85"/>
    <w:rsid w:val="00123855"/>
    <w:rsid w:val="00126A4D"/>
    <w:rsid w:val="001302AB"/>
    <w:rsid w:val="0013033B"/>
    <w:rsid w:val="0014171F"/>
    <w:rsid w:val="0014622C"/>
    <w:rsid w:val="00152348"/>
    <w:rsid w:val="0015456D"/>
    <w:rsid w:val="0015536D"/>
    <w:rsid w:val="00155FA2"/>
    <w:rsid w:val="00156498"/>
    <w:rsid w:val="00157D47"/>
    <w:rsid w:val="00160F9F"/>
    <w:rsid w:val="00161F1B"/>
    <w:rsid w:val="00162829"/>
    <w:rsid w:val="00174DC4"/>
    <w:rsid w:val="00175A7D"/>
    <w:rsid w:val="00180548"/>
    <w:rsid w:val="00180AC4"/>
    <w:rsid w:val="00180CCE"/>
    <w:rsid w:val="0018267A"/>
    <w:rsid w:val="00182779"/>
    <w:rsid w:val="001830DF"/>
    <w:rsid w:val="00185BA0"/>
    <w:rsid w:val="00186C5A"/>
    <w:rsid w:val="00187A34"/>
    <w:rsid w:val="00190649"/>
    <w:rsid w:val="001966D9"/>
    <w:rsid w:val="001A040A"/>
    <w:rsid w:val="001A3083"/>
    <w:rsid w:val="001A58FB"/>
    <w:rsid w:val="001A7E9A"/>
    <w:rsid w:val="001B0F70"/>
    <w:rsid w:val="001B5016"/>
    <w:rsid w:val="001C1E47"/>
    <w:rsid w:val="001C45FC"/>
    <w:rsid w:val="001C495B"/>
    <w:rsid w:val="001D0469"/>
    <w:rsid w:val="001D4862"/>
    <w:rsid w:val="001D6E1C"/>
    <w:rsid w:val="001D7445"/>
    <w:rsid w:val="001D77B0"/>
    <w:rsid w:val="001E25B9"/>
    <w:rsid w:val="001E3A32"/>
    <w:rsid w:val="001E49E0"/>
    <w:rsid w:val="001E5F8A"/>
    <w:rsid w:val="001E7B5A"/>
    <w:rsid w:val="001F7412"/>
    <w:rsid w:val="00202DFE"/>
    <w:rsid w:val="00203720"/>
    <w:rsid w:val="0020725B"/>
    <w:rsid w:val="002110F1"/>
    <w:rsid w:val="00222FB5"/>
    <w:rsid w:val="0022755D"/>
    <w:rsid w:val="00234084"/>
    <w:rsid w:val="002356E0"/>
    <w:rsid w:val="0024116D"/>
    <w:rsid w:val="00241B44"/>
    <w:rsid w:val="00241FA3"/>
    <w:rsid w:val="00244C44"/>
    <w:rsid w:val="00245EFB"/>
    <w:rsid w:val="00246319"/>
    <w:rsid w:val="00251EC5"/>
    <w:rsid w:val="0025386E"/>
    <w:rsid w:val="00263219"/>
    <w:rsid w:val="002638B0"/>
    <w:rsid w:val="0026647A"/>
    <w:rsid w:val="002668D3"/>
    <w:rsid w:val="0027299F"/>
    <w:rsid w:val="00284EBE"/>
    <w:rsid w:val="0029433F"/>
    <w:rsid w:val="00294829"/>
    <w:rsid w:val="0029690F"/>
    <w:rsid w:val="00297C8A"/>
    <w:rsid w:val="002A2A60"/>
    <w:rsid w:val="002A37BB"/>
    <w:rsid w:val="002A7D94"/>
    <w:rsid w:val="002B1C45"/>
    <w:rsid w:val="002B31FA"/>
    <w:rsid w:val="002C13C8"/>
    <w:rsid w:val="002C3547"/>
    <w:rsid w:val="002D0021"/>
    <w:rsid w:val="002D3473"/>
    <w:rsid w:val="002E0E53"/>
    <w:rsid w:val="002F1956"/>
    <w:rsid w:val="002F3440"/>
    <w:rsid w:val="002F75A3"/>
    <w:rsid w:val="00303C2F"/>
    <w:rsid w:val="0030460E"/>
    <w:rsid w:val="003144EF"/>
    <w:rsid w:val="0031570A"/>
    <w:rsid w:val="003252C2"/>
    <w:rsid w:val="00326292"/>
    <w:rsid w:val="00326415"/>
    <w:rsid w:val="00330937"/>
    <w:rsid w:val="00330F31"/>
    <w:rsid w:val="00331480"/>
    <w:rsid w:val="00334648"/>
    <w:rsid w:val="00336FA3"/>
    <w:rsid w:val="0033768C"/>
    <w:rsid w:val="00337938"/>
    <w:rsid w:val="00340769"/>
    <w:rsid w:val="00341AA6"/>
    <w:rsid w:val="00341BB4"/>
    <w:rsid w:val="00357506"/>
    <w:rsid w:val="00361A0A"/>
    <w:rsid w:val="00364836"/>
    <w:rsid w:val="0036565C"/>
    <w:rsid w:val="0036625E"/>
    <w:rsid w:val="0037465A"/>
    <w:rsid w:val="00377AF7"/>
    <w:rsid w:val="00382C98"/>
    <w:rsid w:val="0038533C"/>
    <w:rsid w:val="00385E1F"/>
    <w:rsid w:val="00386568"/>
    <w:rsid w:val="003874F6"/>
    <w:rsid w:val="00390B57"/>
    <w:rsid w:val="003948D5"/>
    <w:rsid w:val="00396821"/>
    <w:rsid w:val="00397D3A"/>
    <w:rsid w:val="003A051E"/>
    <w:rsid w:val="003B0A27"/>
    <w:rsid w:val="003B170F"/>
    <w:rsid w:val="003B3C5F"/>
    <w:rsid w:val="003C4342"/>
    <w:rsid w:val="003C4471"/>
    <w:rsid w:val="003C4BCB"/>
    <w:rsid w:val="003D0A6D"/>
    <w:rsid w:val="003D1974"/>
    <w:rsid w:val="003D70B1"/>
    <w:rsid w:val="003E0B16"/>
    <w:rsid w:val="003E25F5"/>
    <w:rsid w:val="003E4ECF"/>
    <w:rsid w:val="003E67D1"/>
    <w:rsid w:val="003F02EA"/>
    <w:rsid w:val="003F0629"/>
    <w:rsid w:val="003F42C6"/>
    <w:rsid w:val="00404329"/>
    <w:rsid w:val="00405DC1"/>
    <w:rsid w:val="00414785"/>
    <w:rsid w:val="0041543E"/>
    <w:rsid w:val="00415F1F"/>
    <w:rsid w:val="00416F7F"/>
    <w:rsid w:val="0042108F"/>
    <w:rsid w:val="004236A8"/>
    <w:rsid w:val="00423FAE"/>
    <w:rsid w:val="004308C8"/>
    <w:rsid w:val="00430FED"/>
    <w:rsid w:val="00431C45"/>
    <w:rsid w:val="00434A8C"/>
    <w:rsid w:val="00437297"/>
    <w:rsid w:val="00441EF0"/>
    <w:rsid w:val="00443479"/>
    <w:rsid w:val="00444284"/>
    <w:rsid w:val="00445CE6"/>
    <w:rsid w:val="004534C2"/>
    <w:rsid w:val="00454173"/>
    <w:rsid w:val="0045446F"/>
    <w:rsid w:val="0045683E"/>
    <w:rsid w:val="00465BFF"/>
    <w:rsid w:val="00477C72"/>
    <w:rsid w:val="00491675"/>
    <w:rsid w:val="00493855"/>
    <w:rsid w:val="00495E79"/>
    <w:rsid w:val="004A0692"/>
    <w:rsid w:val="004A4CB2"/>
    <w:rsid w:val="004A57DD"/>
    <w:rsid w:val="004A7AA1"/>
    <w:rsid w:val="004A7B51"/>
    <w:rsid w:val="004A7D71"/>
    <w:rsid w:val="004A7EF3"/>
    <w:rsid w:val="004B11FD"/>
    <w:rsid w:val="004B23A2"/>
    <w:rsid w:val="004C0D03"/>
    <w:rsid w:val="004C0D33"/>
    <w:rsid w:val="004C500E"/>
    <w:rsid w:val="004D1A5A"/>
    <w:rsid w:val="004D1AF8"/>
    <w:rsid w:val="004D2FFF"/>
    <w:rsid w:val="004D3721"/>
    <w:rsid w:val="004D64F9"/>
    <w:rsid w:val="004E3A6B"/>
    <w:rsid w:val="004E622C"/>
    <w:rsid w:val="004F3EDB"/>
    <w:rsid w:val="004F55D3"/>
    <w:rsid w:val="004F5FDF"/>
    <w:rsid w:val="00503806"/>
    <w:rsid w:val="005119F8"/>
    <w:rsid w:val="005177FE"/>
    <w:rsid w:val="00520877"/>
    <w:rsid w:val="0052263B"/>
    <w:rsid w:val="00524728"/>
    <w:rsid w:val="005309A9"/>
    <w:rsid w:val="005331CA"/>
    <w:rsid w:val="00537970"/>
    <w:rsid w:val="0054008A"/>
    <w:rsid w:val="00540E3A"/>
    <w:rsid w:val="00541522"/>
    <w:rsid w:val="00544127"/>
    <w:rsid w:val="00544F6E"/>
    <w:rsid w:val="005463A9"/>
    <w:rsid w:val="005474D2"/>
    <w:rsid w:val="00552AE8"/>
    <w:rsid w:val="00552D1A"/>
    <w:rsid w:val="00553E70"/>
    <w:rsid w:val="00553EB2"/>
    <w:rsid w:val="00560534"/>
    <w:rsid w:val="00561788"/>
    <w:rsid w:val="0056391B"/>
    <w:rsid w:val="005650E2"/>
    <w:rsid w:val="00566B23"/>
    <w:rsid w:val="00567AD7"/>
    <w:rsid w:val="00570B48"/>
    <w:rsid w:val="00575B2D"/>
    <w:rsid w:val="005808A0"/>
    <w:rsid w:val="00581F36"/>
    <w:rsid w:val="005833D0"/>
    <w:rsid w:val="005846F3"/>
    <w:rsid w:val="0058622F"/>
    <w:rsid w:val="00592F82"/>
    <w:rsid w:val="005A0CCA"/>
    <w:rsid w:val="005A6D00"/>
    <w:rsid w:val="005A726D"/>
    <w:rsid w:val="005A7DCC"/>
    <w:rsid w:val="005B517C"/>
    <w:rsid w:val="005B52FB"/>
    <w:rsid w:val="005B67AC"/>
    <w:rsid w:val="005B79F4"/>
    <w:rsid w:val="005D2E01"/>
    <w:rsid w:val="005D43E0"/>
    <w:rsid w:val="005D58A3"/>
    <w:rsid w:val="005E1B79"/>
    <w:rsid w:val="005E7008"/>
    <w:rsid w:val="005F026D"/>
    <w:rsid w:val="005F1A88"/>
    <w:rsid w:val="005F2AEA"/>
    <w:rsid w:val="005F2D0B"/>
    <w:rsid w:val="005F4B31"/>
    <w:rsid w:val="00610388"/>
    <w:rsid w:val="00611DE6"/>
    <w:rsid w:val="00612CA5"/>
    <w:rsid w:val="006153EC"/>
    <w:rsid w:val="00621A17"/>
    <w:rsid w:val="00626B58"/>
    <w:rsid w:val="00627CC9"/>
    <w:rsid w:val="00627E7B"/>
    <w:rsid w:val="00630542"/>
    <w:rsid w:val="00632E44"/>
    <w:rsid w:val="00634622"/>
    <w:rsid w:val="006350C2"/>
    <w:rsid w:val="00636808"/>
    <w:rsid w:val="00636C15"/>
    <w:rsid w:val="00641515"/>
    <w:rsid w:val="00654B27"/>
    <w:rsid w:val="00654C2F"/>
    <w:rsid w:val="006560DC"/>
    <w:rsid w:val="00657087"/>
    <w:rsid w:val="006603F1"/>
    <w:rsid w:val="006639DB"/>
    <w:rsid w:val="006661EF"/>
    <w:rsid w:val="00677AEB"/>
    <w:rsid w:val="00680EF2"/>
    <w:rsid w:val="00687A1D"/>
    <w:rsid w:val="0069427F"/>
    <w:rsid w:val="00697EA1"/>
    <w:rsid w:val="006A046F"/>
    <w:rsid w:val="006A2646"/>
    <w:rsid w:val="006A44DB"/>
    <w:rsid w:val="006A5D35"/>
    <w:rsid w:val="006A6530"/>
    <w:rsid w:val="006A6F9F"/>
    <w:rsid w:val="006B435A"/>
    <w:rsid w:val="006B4C64"/>
    <w:rsid w:val="006B4FDA"/>
    <w:rsid w:val="006D6BD5"/>
    <w:rsid w:val="006E453C"/>
    <w:rsid w:val="006E481A"/>
    <w:rsid w:val="006E5287"/>
    <w:rsid w:val="006E5298"/>
    <w:rsid w:val="006F4A78"/>
    <w:rsid w:val="006F4EF9"/>
    <w:rsid w:val="006F537B"/>
    <w:rsid w:val="006F734A"/>
    <w:rsid w:val="00700D83"/>
    <w:rsid w:val="0070303D"/>
    <w:rsid w:val="00704852"/>
    <w:rsid w:val="007074E9"/>
    <w:rsid w:val="00713DA4"/>
    <w:rsid w:val="00714BF1"/>
    <w:rsid w:val="00716928"/>
    <w:rsid w:val="00720086"/>
    <w:rsid w:val="00721383"/>
    <w:rsid w:val="0073158B"/>
    <w:rsid w:val="007333CC"/>
    <w:rsid w:val="00733836"/>
    <w:rsid w:val="0073399A"/>
    <w:rsid w:val="00734AEC"/>
    <w:rsid w:val="0074253F"/>
    <w:rsid w:val="0074500F"/>
    <w:rsid w:val="00745935"/>
    <w:rsid w:val="007603F5"/>
    <w:rsid w:val="00764DB0"/>
    <w:rsid w:val="00765BCD"/>
    <w:rsid w:val="0076764D"/>
    <w:rsid w:val="0077498C"/>
    <w:rsid w:val="00776F05"/>
    <w:rsid w:val="0078018A"/>
    <w:rsid w:val="007804F2"/>
    <w:rsid w:val="007809BC"/>
    <w:rsid w:val="0078292F"/>
    <w:rsid w:val="00782EE1"/>
    <w:rsid w:val="00784128"/>
    <w:rsid w:val="00787121"/>
    <w:rsid w:val="00793173"/>
    <w:rsid w:val="007A2A33"/>
    <w:rsid w:val="007A7B20"/>
    <w:rsid w:val="007B48AE"/>
    <w:rsid w:val="007C1FCC"/>
    <w:rsid w:val="007C3F7A"/>
    <w:rsid w:val="007C50AA"/>
    <w:rsid w:val="007C6201"/>
    <w:rsid w:val="007D7C92"/>
    <w:rsid w:val="007E1154"/>
    <w:rsid w:val="007E39B3"/>
    <w:rsid w:val="007E4266"/>
    <w:rsid w:val="007E44C4"/>
    <w:rsid w:val="007E6BA4"/>
    <w:rsid w:val="007F0201"/>
    <w:rsid w:val="007F41F8"/>
    <w:rsid w:val="007F6A57"/>
    <w:rsid w:val="00800B76"/>
    <w:rsid w:val="008017F0"/>
    <w:rsid w:val="0080454E"/>
    <w:rsid w:val="00804C32"/>
    <w:rsid w:val="00804DA6"/>
    <w:rsid w:val="00804FF8"/>
    <w:rsid w:val="008062EA"/>
    <w:rsid w:val="00806302"/>
    <w:rsid w:val="00807119"/>
    <w:rsid w:val="00823203"/>
    <w:rsid w:val="0082483F"/>
    <w:rsid w:val="008279C0"/>
    <w:rsid w:val="00836EBE"/>
    <w:rsid w:val="008378CE"/>
    <w:rsid w:val="00841051"/>
    <w:rsid w:val="008500BD"/>
    <w:rsid w:val="00854C22"/>
    <w:rsid w:val="00860723"/>
    <w:rsid w:val="00860AE5"/>
    <w:rsid w:val="00871308"/>
    <w:rsid w:val="008723F3"/>
    <w:rsid w:val="00874240"/>
    <w:rsid w:val="00881DE6"/>
    <w:rsid w:val="008837A6"/>
    <w:rsid w:val="0089145D"/>
    <w:rsid w:val="00894C1D"/>
    <w:rsid w:val="00895B91"/>
    <w:rsid w:val="00896DCB"/>
    <w:rsid w:val="008A19BF"/>
    <w:rsid w:val="008A4DF2"/>
    <w:rsid w:val="008A6CFE"/>
    <w:rsid w:val="008B06C8"/>
    <w:rsid w:val="008B5333"/>
    <w:rsid w:val="008B6223"/>
    <w:rsid w:val="008B6379"/>
    <w:rsid w:val="008C4AC6"/>
    <w:rsid w:val="008C66E0"/>
    <w:rsid w:val="008E0EC8"/>
    <w:rsid w:val="008E3339"/>
    <w:rsid w:val="008F20FC"/>
    <w:rsid w:val="008F5FFE"/>
    <w:rsid w:val="009040B4"/>
    <w:rsid w:val="00905247"/>
    <w:rsid w:val="00905A43"/>
    <w:rsid w:val="00912C79"/>
    <w:rsid w:val="00914A23"/>
    <w:rsid w:val="00916725"/>
    <w:rsid w:val="00925D79"/>
    <w:rsid w:val="00926253"/>
    <w:rsid w:val="009345E4"/>
    <w:rsid w:val="00942123"/>
    <w:rsid w:val="00942C99"/>
    <w:rsid w:val="0095207B"/>
    <w:rsid w:val="00961D28"/>
    <w:rsid w:val="00962045"/>
    <w:rsid w:val="00967219"/>
    <w:rsid w:val="00980E61"/>
    <w:rsid w:val="00991428"/>
    <w:rsid w:val="00992676"/>
    <w:rsid w:val="009954B2"/>
    <w:rsid w:val="00996691"/>
    <w:rsid w:val="009A2333"/>
    <w:rsid w:val="009A2FB6"/>
    <w:rsid w:val="009A64B5"/>
    <w:rsid w:val="009B0723"/>
    <w:rsid w:val="009B07AD"/>
    <w:rsid w:val="009B0883"/>
    <w:rsid w:val="009B15E2"/>
    <w:rsid w:val="009B4976"/>
    <w:rsid w:val="009B6BDB"/>
    <w:rsid w:val="009C0B8E"/>
    <w:rsid w:val="009C1BC8"/>
    <w:rsid w:val="009C2442"/>
    <w:rsid w:val="009C46CF"/>
    <w:rsid w:val="009C5E52"/>
    <w:rsid w:val="009D0811"/>
    <w:rsid w:val="009D0EE1"/>
    <w:rsid w:val="009E2AEB"/>
    <w:rsid w:val="009E2E27"/>
    <w:rsid w:val="009E4DE3"/>
    <w:rsid w:val="009E5EE3"/>
    <w:rsid w:val="009E61C3"/>
    <w:rsid w:val="009F275E"/>
    <w:rsid w:val="009F7491"/>
    <w:rsid w:val="00A02BEC"/>
    <w:rsid w:val="00A047EE"/>
    <w:rsid w:val="00A112AE"/>
    <w:rsid w:val="00A11E80"/>
    <w:rsid w:val="00A17858"/>
    <w:rsid w:val="00A22702"/>
    <w:rsid w:val="00A2274A"/>
    <w:rsid w:val="00A235B7"/>
    <w:rsid w:val="00A27A7A"/>
    <w:rsid w:val="00A407EF"/>
    <w:rsid w:val="00A453B7"/>
    <w:rsid w:val="00A4546A"/>
    <w:rsid w:val="00A46B4C"/>
    <w:rsid w:val="00A47C98"/>
    <w:rsid w:val="00A5117B"/>
    <w:rsid w:val="00A54CB5"/>
    <w:rsid w:val="00A5740F"/>
    <w:rsid w:val="00A60074"/>
    <w:rsid w:val="00A62DDE"/>
    <w:rsid w:val="00A62FDA"/>
    <w:rsid w:val="00A63BAE"/>
    <w:rsid w:val="00A6516B"/>
    <w:rsid w:val="00A6627C"/>
    <w:rsid w:val="00A67DB6"/>
    <w:rsid w:val="00A7050F"/>
    <w:rsid w:val="00A71019"/>
    <w:rsid w:val="00A81029"/>
    <w:rsid w:val="00A85C35"/>
    <w:rsid w:val="00A9062E"/>
    <w:rsid w:val="00A96489"/>
    <w:rsid w:val="00AA085C"/>
    <w:rsid w:val="00AA5E9F"/>
    <w:rsid w:val="00AB685C"/>
    <w:rsid w:val="00AB6C2D"/>
    <w:rsid w:val="00AC08F7"/>
    <w:rsid w:val="00AC3839"/>
    <w:rsid w:val="00AC3B38"/>
    <w:rsid w:val="00AC7082"/>
    <w:rsid w:val="00AD2931"/>
    <w:rsid w:val="00AD475E"/>
    <w:rsid w:val="00AD513F"/>
    <w:rsid w:val="00AE2316"/>
    <w:rsid w:val="00AE74BA"/>
    <w:rsid w:val="00AF0039"/>
    <w:rsid w:val="00AF228E"/>
    <w:rsid w:val="00AF3CB6"/>
    <w:rsid w:val="00B016A8"/>
    <w:rsid w:val="00B04ECE"/>
    <w:rsid w:val="00B14819"/>
    <w:rsid w:val="00B15E2F"/>
    <w:rsid w:val="00B15E30"/>
    <w:rsid w:val="00B15ECF"/>
    <w:rsid w:val="00B17AA9"/>
    <w:rsid w:val="00B21943"/>
    <w:rsid w:val="00B22234"/>
    <w:rsid w:val="00B30D9A"/>
    <w:rsid w:val="00B318C4"/>
    <w:rsid w:val="00B33387"/>
    <w:rsid w:val="00B44713"/>
    <w:rsid w:val="00B54990"/>
    <w:rsid w:val="00B56103"/>
    <w:rsid w:val="00B56224"/>
    <w:rsid w:val="00B63897"/>
    <w:rsid w:val="00B64929"/>
    <w:rsid w:val="00B66322"/>
    <w:rsid w:val="00B707EC"/>
    <w:rsid w:val="00B7123C"/>
    <w:rsid w:val="00B722AB"/>
    <w:rsid w:val="00B736DF"/>
    <w:rsid w:val="00B743D6"/>
    <w:rsid w:val="00B74FBD"/>
    <w:rsid w:val="00B77F46"/>
    <w:rsid w:val="00B82586"/>
    <w:rsid w:val="00B829A3"/>
    <w:rsid w:val="00B86DB1"/>
    <w:rsid w:val="00B87869"/>
    <w:rsid w:val="00B87DE1"/>
    <w:rsid w:val="00B95000"/>
    <w:rsid w:val="00B96CE3"/>
    <w:rsid w:val="00BA0344"/>
    <w:rsid w:val="00BB0F2B"/>
    <w:rsid w:val="00BB34BC"/>
    <w:rsid w:val="00BB38D1"/>
    <w:rsid w:val="00BB49E9"/>
    <w:rsid w:val="00BC2838"/>
    <w:rsid w:val="00BD4581"/>
    <w:rsid w:val="00BE4FF3"/>
    <w:rsid w:val="00BF50F7"/>
    <w:rsid w:val="00BF6BC4"/>
    <w:rsid w:val="00BF72F8"/>
    <w:rsid w:val="00C02F29"/>
    <w:rsid w:val="00C0679D"/>
    <w:rsid w:val="00C11AF4"/>
    <w:rsid w:val="00C20AFE"/>
    <w:rsid w:val="00C22A25"/>
    <w:rsid w:val="00C35671"/>
    <w:rsid w:val="00C35B77"/>
    <w:rsid w:val="00C376EB"/>
    <w:rsid w:val="00C4164D"/>
    <w:rsid w:val="00C46A92"/>
    <w:rsid w:val="00C46EC1"/>
    <w:rsid w:val="00C52796"/>
    <w:rsid w:val="00C53E2C"/>
    <w:rsid w:val="00C550C8"/>
    <w:rsid w:val="00C56B61"/>
    <w:rsid w:val="00C606C3"/>
    <w:rsid w:val="00C620F4"/>
    <w:rsid w:val="00C633A8"/>
    <w:rsid w:val="00C63E03"/>
    <w:rsid w:val="00C72848"/>
    <w:rsid w:val="00C7729F"/>
    <w:rsid w:val="00C7736C"/>
    <w:rsid w:val="00C8041A"/>
    <w:rsid w:val="00C80C08"/>
    <w:rsid w:val="00C82D87"/>
    <w:rsid w:val="00C85E87"/>
    <w:rsid w:val="00C8686A"/>
    <w:rsid w:val="00C8712A"/>
    <w:rsid w:val="00C912DD"/>
    <w:rsid w:val="00C963D3"/>
    <w:rsid w:val="00CA2680"/>
    <w:rsid w:val="00CA547D"/>
    <w:rsid w:val="00CA61D0"/>
    <w:rsid w:val="00CB1983"/>
    <w:rsid w:val="00CB2CBB"/>
    <w:rsid w:val="00CB7CAC"/>
    <w:rsid w:val="00CC0217"/>
    <w:rsid w:val="00CC4EDA"/>
    <w:rsid w:val="00CC5335"/>
    <w:rsid w:val="00CC5BA4"/>
    <w:rsid w:val="00CD3ED7"/>
    <w:rsid w:val="00CD4998"/>
    <w:rsid w:val="00CE1035"/>
    <w:rsid w:val="00CE2980"/>
    <w:rsid w:val="00CE6E50"/>
    <w:rsid w:val="00CE738B"/>
    <w:rsid w:val="00CF10C8"/>
    <w:rsid w:val="00CF2819"/>
    <w:rsid w:val="00CF4F9D"/>
    <w:rsid w:val="00CF70DC"/>
    <w:rsid w:val="00CF73DE"/>
    <w:rsid w:val="00D01FD9"/>
    <w:rsid w:val="00D07CD1"/>
    <w:rsid w:val="00D148DC"/>
    <w:rsid w:val="00D14BC6"/>
    <w:rsid w:val="00D17FDC"/>
    <w:rsid w:val="00D254A1"/>
    <w:rsid w:val="00D267A0"/>
    <w:rsid w:val="00D26E26"/>
    <w:rsid w:val="00D46314"/>
    <w:rsid w:val="00D56B4E"/>
    <w:rsid w:val="00D608A4"/>
    <w:rsid w:val="00D60E46"/>
    <w:rsid w:val="00D63EFD"/>
    <w:rsid w:val="00D64821"/>
    <w:rsid w:val="00D651FD"/>
    <w:rsid w:val="00D75351"/>
    <w:rsid w:val="00D84752"/>
    <w:rsid w:val="00D86B3B"/>
    <w:rsid w:val="00D8748A"/>
    <w:rsid w:val="00D93196"/>
    <w:rsid w:val="00D94503"/>
    <w:rsid w:val="00D95496"/>
    <w:rsid w:val="00D96795"/>
    <w:rsid w:val="00DA0DC0"/>
    <w:rsid w:val="00DB047C"/>
    <w:rsid w:val="00DB1015"/>
    <w:rsid w:val="00DB243C"/>
    <w:rsid w:val="00DB482A"/>
    <w:rsid w:val="00DB56F2"/>
    <w:rsid w:val="00DB6EF5"/>
    <w:rsid w:val="00DC0079"/>
    <w:rsid w:val="00DC1CAD"/>
    <w:rsid w:val="00DC3089"/>
    <w:rsid w:val="00DC4420"/>
    <w:rsid w:val="00DD0802"/>
    <w:rsid w:val="00DD2E11"/>
    <w:rsid w:val="00DD47EF"/>
    <w:rsid w:val="00DE03AF"/>
    <w:rsid w:val="00DE121C"/>
    <w:rsid w:val="00DE6633"/>
    <w:rsid w:val="00DF0864"/>
    <w:rsid w:val="00DF75F8"/>
    <w:rsid w:val="00DF7A3A"/>
    <w:rsid w:val="00E00C00"/>
    <w:rsid w:val="00E049A1"/>
    <w:rsid w:val="00E07C5A"/>
    <w:rsid w:val="00E15BA9"/>
    <w:rsid w:val="00E26E19"/>
    <w:rsid w:val="00E30C8A"/>
    <w:rsid w:val="00E31DF3"/>
    <w:rsid w:val="00E450A4"/>
    <w:rsid w:val="00E506BE"/>
    <w:rsid w:val="00E5245D"/>
    <w:rsid w:val="00E55547"/>
    <w:rsid w:val="00E604A1"/>
    <w:rsid w:val="00E6302B"/>
    <w:rsid w:val="00E6452F"/>
    <w:rsid w:val="00E64F45"/>
    <w:rsid w:val="00E6742D"/>
    <w:rsid w:val="00E71CB0"/>
    <w:rsid w:val="00E77C3D"/>
    <w:rsid w:val="00E808D5"/>
    <w:rsid w:val="00E81160"/>
    <w:rsid w:val="00E83CE8"/>
    <w:rsid w:val="00E84B5E"/>
    <w:rsid w:val="00E90991"/>
    <w:rsid w:val="00E909F0"/>
    <w:rsid w:val="00E90D47"/>
    <w:rsid w:val="00E91ED9"/>
    <w:rsid w:val="00E93993"/>
    <w:rsid w:val="00E95777"/>
    <w:rsid w:val="00E9597C"/>
    <w:rsid w:val="00EA0913"/>
    <w:rsid w:val="00EA4338"/>
    <w:rsid w:val="00EA593E"/>
    <w:rsid w:val="00EA5B00"/>
    <w:rsid w:val="00EB146B"/>
    <w:rsid w:val="00EB45AC"/>
    <w:rsid w:val="00EB5CA4"/>
    <w:rsid w:val="00EC00F9"/>
    <w:rsid w:val="00ED0829"/>
    <w:rsid w:val="00ED0BC4"/>
    <w:rsid w:val="00ED17B9"/>
    <w:rsid w:val="00ED20E8"/>
    <w:rsid w:val="00ED472A"/>
    <w:rsid w:val="00ED54B6"/>
    <w:rsid w:val="00ED6504"/>
    <w:rsid w:val="00EE4971"/>
    <w:rsid w:val="00EE7168"/>
    <w:rsid w:val="00EF04F1"/>
    <w:rsid w:val="00EF090E"/>
    <w:rsid w:val="00F033DA"/>
    <w:rsid w:val="00F13FB1"/>
    <w:rsid w:val="00F27CD8"/>
    <w:rsid w:val="00F30351"/>
    <w:rsid w:val="00F3323E"/>
    <w:rsid w:val="00F341F4"/>
    <w:rsid w:val="00F34F9D"/>
    <w:rsid w:val="00F35CCE"/>
    <w:rsid w:val="00F53CBF"/>
    <w:rsid w:val="00F53E5A"/>
    <w:rsid w:val="00F5524B"/>
    <w:rsid w:val="00F60538"/>
    <w:rsid w:val="00F61DD2"/>
    <w:rsid w:val="00F6502A"/>
    <w:rsid w:val="00F66AFF"/>
    <w:rsid w:val="00F71433"/>
    <w:rsid w:val="00F76CD4"/>
    <w:rsid w:val="00F80A8A"/>
    <w:rsid w:val="00F81500"/>
    <w:rsid w:val="00F83464"/>
    <w:rsid w:val="00F93BE7"/>
    <w:rsid w:val="00F94EE9"/>
    <w:rsid w:val="00F97C5B"/>
    <w:rsid w:val="00FA00F5"/>
    <w:rsid w:val="00FA3D50"/>
    <w:rsid w:val="00FA4110"/>
    <w:rsid w:val="00FA6AE6"/>
    <w:rsid w:val="00FA7DE9"/>
    <w:rsid w:val="00FB7FBD"/>
    <w:rsid w:val="00FC374A"/>
    <w:rsid w:val="00FC48D8"/>
    <w:rsid w:val="00FC6916"/>
    <w:rsid w:val="00FC7B47"/>
    <w:rsid w:val="00FD035C"/>
    <w:rsid w:val="00FD1A35"/>
    <w:rsid w:val="00FD36C5"/>
    <w:rsid w:val="00FD6310"/>
    <w:rsid w:val="00FD6DAA"/>
    <w:rsid w:val="00FD7C7B"/>
    <w:rsid w:val="00FE07DA"/>
    <w:rsid w:val="00FE1D12"/>
    <w:rsid w:val="00FE2122"/>
    <w:rsid w:val="00FE2A86"/>
    <w:rsid w:val="00FE2DE2"/>
    <w:rsid w:val="00FE60C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DB1015"/>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E9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B1015"/>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553E70"/>
    <w:rPr>
      <w:i/>
      <w:iCs/>
    </w:rPr>
  </w:style>
  <w:style w:type="table" w:styleId="GridTable6ColourfulAccent5">
    <w:name w:val="Grid Table 6 Colorful Accent 5"/>
    <w:basedOn w:val="TableNormal"/>
    <w:uiPriority w:val="51"/>
    <w:rsid w:val="00DC1CA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urfulAccent6">
    <w:name w:val="Grid Table 6 Colorful Accent 6"/>
    <w:basedOn w:val="TableNormal"/>
    <w:uiPriority w:val="51"/>
    <w:rsid w:val="00552D1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BD4581"/>
    <w:rPr>
      <w:rFonts w:eastAsia="Times New Roman"/>
      <w:sz w:val="20"/>
    </w:rPr>
  </w:style>
  <w:style w:type="paragraph" w:styleId="Revision">
    <w:name w:val="Revision"/>
    <w:hidden/>
    <w:uiPriority w:val="99"/>
    <w:semiHidden/>
    <w:rsid w:val="003874F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15695598">
      <w:bodyDiv w:val="1"/>
      <w:marLeft w:val="0"/>
      <w:marRight w:val="0"/>
      <w:marTop w:val="0"/>
      <w:marBottom w:val="0"/>
      <w:divBdr>
        <w:top w:val="none" w:sz="0" w:space="0" w:color="auto"/>
        <w:left w:val="none" w:sz="0" w:space="0" w:color="auto"/>
        <w:bottom w:val="none" w:sz="0" w:space="0" w:color="auto"/>
        <w:right w:val="none" w:sz="0" w:space="0" w:color="auto"/>
      </w:divBdr>
    </w:div>
    <w:div w:id="1482697043">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5776</Words>
  <Characters>28592</Characters>
  <Application>Microsoft Office Word</Application>
  <DocSecurity>0</DocSecurity>
  <Lines>733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2021-06-15T04:33:00Z</cp:lastPrinted>
  <dcterms:created xsi:type="dcterms:W3CDTF">2021-09-06T17:57:00Z</dcterms:created>
  <dcterms:modified xsi:type="dcterms:W3CDTF">2021-09-06T17:57:00Z</dcterms:modified>
</cp:coreProperties>
</file>