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2E732E" w:rsidRDefault="00B736DF" w:rsidP="009E1027">
      <w:pPr>
        <w:pStyle w:val="ListParagraph"/>
        <w:numPr>
          <w:ilvl w:val="0"/>
          <w:numId w:val="12"/>
        </w:numPr>
        <w:ind w:left="426"/>
        <w:jc w:val="both"/>
        <w:rPr>
          <w:rFonts w:ascii="Arial" w:hAnsi="Arial" w:cs="Arial"/>
          <w:sz w:val="22"/>
          <w:szCs w:val="22"/>
          <w:highlight w:val="yellow"/>
          <w:lang w:val="en-GB"/>
        </w:rPr>
      </w:pPr>
      <w:r w:rsidRPr="002E732E">
        <w:rPr>
          <w:rFonts w:ascii="Arial" w:hAnsi="Arial" w:cs="Arial"/>
          <w:sz w:val="22"/>
          <w:szCs w:val="22"/>
          <w:highlight w:val="yellow"/>
          <w:lang w:val="en-GB"/>
        </w:rPr>
        <w:t>This statement is true since all countries have implemented the UNCITRAL</w:t>
      </w:r>
      <w:r w:rsidR="0037465A" w:rsidRPr="002E732E">
        <w:rPr>
          <w:rFonts w:ascii="Arial" w:hAnsi="Arial" w:cs="Arial"/>
          <w:sz w:val="22"/>
          <w:szCs w:val="22"/>
          <w:highlight w:val="yellow"/>
          <w:lang w:val="en-GB"/>
        </w:rPr>
        <w:t xml:space="preserve"> </w:t>
      </w:r>
      <w:r w:rsidR="00AB685C" w:rsidRPr="002E732E">
        <w:rPr>
          <w:rFonts w:ascii="Arial" w:hAnsi="Arial" w:cs="Arial"/>
          <w:sz w:val="22"/>
          <w:szCs w:val="22"/>
          <w:highlight w:val="yellow"/>
          <w:lang w:val="en-GB"/>
        </w:rPr>
        <w:t xml:space="preserve">Model Law on </w:t>
      </w:r>
      <w:r w:rsidR="0037465A" w:rsidRPr="002E732E">
        <w:rPr>
          <w:rFonts w:ascii="Arial" w:hAnsi="Arial" w:cs="Arial"/>
          <w:sz w:val="22"/>
          <w:szCs w:val="22"/>
          <w:highlight w:val="yellow"/>
          <w:lang w:val="en-GB"/>
        </w:rPr>
        <w:t>Cross-Border Insolvency</w:t>
      </w:r>
      <w:r w:rsidRPr="002E732E">
        <w:rPr>
          <w:rFonts w:ascii="Arial" w:hAnsi="Arial" w:cs="Arial"/>
          <w:sz w:val="22"/>
          <w:szCs w:val="22"/>
          <w:highlight w:val="yellow"/>
          <w:lang w:val="en-GB"/>
        </w:rPr>
        <w:t>.</w:t>
      </w:r>
    </w:p>
    <w:p w14:paraId="2CA6D4C1" w14:textId="77777777" w:rsidR="009E1027" w:rsidRPr="002E732E"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5D46BB" w:rsidRDefault="00161F1B" w:rsidP="009E1027">
      <w:pPr>
        <w:pStyle w:val="ListParagraph"/>
        <w:numPr>
          <w:ilvl w:val="0"/>
          <w:numId w:val="13"/>
        </w:numPr>
        <w:ind w:left="426"/>
        <w:jc w:val="both"/>
        <w:rPr>
          <w:rFonts w:ascii="Arial" w:hAnsi="Arial" w:cs="Arial"/>
          <w:sz w:val="22"/>
          <w:szCs w:val="22"/>
          <w:highlight w:val="yellow"/>
          <w:lang w:val="en-GB"/>
        </w:rPr>
      </w:pPr>
      <w:r w:rsidRPr="005D46BB">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5D46BB">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C857E1" w:rsidRDefault="009E2E27" w:rsidP="008031A7">
      <w:pPr>
        <w:pStyle w:val="ListParagraph"/>
        <w:numPr>
          <w:ilvl w:val="0"/>
          <w:numId w:val="15"/>
        </w:numPr>
        <w:ind w:left="426"/>
        <w:jc w:val="both"/>
        <w:rPr>
          <w:rFonts w:ascii="Arial" w:hAnsi="Arial" w:cs="Arial"/>
          <w:sz w:val="22"/>
          <w:szCs w:val="22"/>
          <w:highlight w:val="yellow"/>
          <w:lang w:val="en-GB"/>
        </w:rPr>
      </w:pPr>
      <w:r w:rsidRPr="00C857E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C857E1" w:rsidRDefault="00A235B7" w:rsidP="006D01C2">
      <w:pPr>
        <w:pStyle w:val="ListParagraph"/>
        <w:numPr>
          <w:ilvl w:val="0"/>
          <w:numId w:val="16"/>
        </w:numPr>
        <w:ind w:left="426"/>
        <w:jc w:val="both"/>
        <w:rPr>
          <w:rFonts w:ascii="Arial" w:hAnsi="Arial" w:cs="Arial"/>
          <w:sz w:val="22"/>
          <w:szCs w:val="22"/>
          <w:highlight w:val="yellow"/>
          <w:lang w:val="en-GB"/>
        </w:rPr>
      </w:pPr>
      <w:r w:rsidRPr="00C857E1">
        <w:rPr>
          <w:rFonts w:ascii="Arial" w:hAnsi="Arial" w:cs="Arial"/>
          <w:sz w:val="22"/>
          <w:szCs w:val="22"/>
          <w:highlight w:val="yellow"/>
          <w:lang w:val="en-GB"/>
        </w:rPr>
        <w:t>The statement</w:t>
      </w:r>
      <w:r w:rsidR="0037465A" w:rsidRPr="00C857E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C857E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C857E1">
        <w:rPr>
          <w:rFonts w:ascii="Arial" w:eastAsiaTheme="minorHAnsi" w:hAnsi="Arial" w:cs="Arial"/>
          <w:sz w:val="22"/>
          <w:szCs w:val="22"/>
          <w:highlight w:val="yellow"/>
          <w:lang w:val="en-GB"/>
        </w:rPr>
        <w:t>Private International Law</w:t>
      </w:r>
      <w:r w:rsidR="00991428" w:rsidRPr="00C857E1">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AB4A13" w:rsidRDefault="004D1A5A" w:rsidP="006D01C2">
      <w:pPr>
        <w:pStyle w:val="ListParagraph"/>
        <w:numPr>
          <w:ilvl w:val="0"/>
          <w:numId w:val="18"/>
        </w:numPr>
        <w:ind w:left="426"/>
        <w:jc w:val="both"/>
        <w:rPr>
          <w:rFonts w:ascii="Arial" w:hAnsi="Arial" w:cs="Arial"/>
          <w:sz w:val="22"/>
          <w:szCs w:val="22"/>
          <w:highlight w:val="yellow"/>
          <w:lang w:val="en-GB"/>
        </w:rPr>
      </w:pPr>
      <w:r w:rsidRPr="00AB4A13">
        <w:rPr>
          <w:rFonts w:ascii="Arial" w:hAnsi="Arial" w:cs="Arial"/>
          <w:sz w:val="22"/>
          <w:szCs w:val="22"/>
          <w:highlight w:val="yellow"/>
          <w:lang w:val="en-GB"/>
        </w:rPr>
        <w:t>UNCITRAL Model Law on Cross-border Insolvency (1997)</w:t>
      </w:r>
      <w:r w:rsidR="00912C79" w:rsidRPr="00AB4A13">
        <w:rPr>
          <w:rFonts w:ascii="Arial" w:hAnsi="Arial" w:cs="Arial"/>
          <w:sz w:val="22"/>
          <w:szCs w:val="22"/>
          <w:highlight w:val="yellow"/>
          <w:lang w:val="en-GB"/>
        </w:rPr>
        <w:t>.</w:t>
      </w:r>
      <w:r w:rsidRPr="00AB4A13">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C3500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C35001">
        <w:rPr>
          <w:rFonts w:ascii="Arial" w:hAnsi="Arial" w:cs="Arial"/>
          <w:sz w:val="22"/>
          <w:szCs w:val="22"/>
          <w:highlight w:val="yellow"/>
          <w:lang w:val="en-GB"/>
        </w:rPr>
        <w:t>Havana Convention on Private International Law (1928)</w:t>
      </w:r>
      <w:r w:rsidRPr="00C35001">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745BEF">
        <w:rPr>
          <w:rFonts w:ascii="Arial" w:hAnsi="Arial" w:cs="Arial"/>
          <w:sz w:val="22"/>
          <w:szCs w:val="22"/>
          <w:highlight w:val="yellow"/>
          <w:lang w:val="en-GB"/>
        </w:rPr>
        <w:t>Proceedings to restructure a debtor that is facing the likelihood of insolvency</w:t>
      </w:r>
      <w:r w:rsidRPr="00BF1C6F">
        <w:rPr>
          <w:rFonts w:ascii="Arial" w:hAnsi="Arial" w:cs="Arial"/>
          <w:sz w:val="22"/>
          <w:szCs w:val="22"/>
          <w:lang w:val="en-GB"/>
        </w:rPr>
        <w:t>.</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745BEF" w:rsidRDefault="0082483F" w:rsidP="006D01C2">
      <w:pPr>
        <w:pStyle w:val="ListParagraph"/>
        <w:numPr>
          <w:ilvl w:val="0"/>
          <w:numId w:val="20"/>
        </w:numPr>
        <w:ind w:left="426"/>
        <w:jc w:val="both"/>
        <w:rPr>
          <w:rFonts w:ascii="Arial" w:hAnsi="Arial" w:cs="Arial"/>
          <w:sz w:val="22"/>
          <w:szCs w:val="22"/>
          <w:lang w:val="en-GB"/>
        </w:rPr>
      </w:pPr>
      <w:r w:rsidRPr="00745BEF">
        <w:rPr>
          <w:rFonts w:ascii="Arial" w:hAnsi="Arial" w:cs="Arial"/>
          <w:sz w:val="22"/>
          <w:szCs w:val="22"/>
          <w:lang w:val="en-GB"/>
        </w:rPr>
        <w:lastRenderedPageBreak/>
        <w:t>A centralised insolvency register of insolvency proceedings opened in member states</w:t>
      </w:r>
      <w:r w:rsidR="003A2F8D" w:rsidRPr="00745BEF">
        <w:rPr>
          <w:rFonts w:ascii="Arial" w:hAnsi="Arial" w:cs="Arial"/>
          <w:sz w:val="22"/>
          <w:szCs w:val="22"/>
          <w:lang w:val="en-GB"/>
        </w:rPr>
        <w:t>.</w:t>
      </w:r>
    </w:p>
    <w:p w14:paraId="3DA241CC" w14:textId="77777777" w:rsidR="003A2F8D" w:rsidRPr="00745BE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1F0AC5"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F0AC5">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77654D58" w14:textId="5E59397E" w:rsidR="00FD4095" w:rsidRDefault="00531653" w:rsidP="0087597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term “international insolvency law”</w:t>
      </w:r>
      <w:r w:rsidR="000F1607">
        <w:rPr>
          <w:rFonts w:ascii="Arial" w:hAnsi="Arial" w:cs="Arial"/>
          <w:color w:val="7B7B7B" w:themeColor="accent3" w:themeShade="BF"/>
          <w:sz w:val="22"/>
          <w:szCs w:val="22"/>
          <w:lang w:val="en-GB"/>
        </w:rPr>
        <w:t xml:space="preserve"> can be</w:t>
      </w:r>
      <w:r w:rsidR="006B6DD4">
        <w:rPr>
          <w:rFonts w:ascii="Arial" w:hAnsi="Arial" w:cs="Arial"/>
          <w:color w:val="7B7B7B" w:themeColor="accent3" w:themeShade="BF"/>
          <w:sz w:val="22"/>
          <w:szCs w:val="22"/>
          <w:lang w:val="en-GB"/>
        </w:rPr>
        <w:t xml:space="preserve"> said</w:t>
      </w:r>
      <w:r w:rsidR="000F1607">
        <w:rPr>
          <w:rFonts w:ascii="Arial" w:hAnsi="Arial" w:cs="Arial"/>
          <w:color w:val="7B7B7B" w:themeColor="accent3" w:themeShade="BF"/>
          <w:sz w:val="22"/>
          <w:szCs w:val="22"/>
          <w:lang w:val="en-GB"/>
        </w:rPr>
        <w:t xml:space="preserve"> to</w:t>
      </w:r>
      <w:r w:rsidR="0023029C">
        <w:rPr>
          <w:rFonts w:ascii="Arial" w:hAnsi="Arial" w:cs="Arial"/>
          <w:color w:val="7B7B7B" w:themeColor="accent3" w:themeShade="BF"/>
          <w:sz w:val="22"/>
          <w:szCs w:val="22"/>
          <w:lang w:val="en-GB"/>
        </w:rPr>
        <w:t xml:space="preserve"> be</w:t>
      </w:r>
      <w:r w:rsidR="000F1607">
        <w:rPr>
          <w:rFonts w:ascii="Arial" w:hAnsi="Arial" w:cs="Arial"/>
          <w:color w:val="7B7B7B" w:themeColor="accent3" w:themeShade="BF"/>
          <w:sz w:val="22"/>
          <w:szCs w:val="22"/>
          <w:lang w:val="en-GB"/>
        </w:rPr>
        <w:t xml:space="preserve"> the laws</w:t>
      </w:r>
      <w:r w:rsidR="00174A4E">
        <w:rPr>
          <w:rFonts w:ascii="Arial" w:hAnsi="Arial" w:cs="Arial"/>
          <w:color w:val="7B7B7B" w:themeColor="accent3" w:themeShade="BF"/>
          <w:sz w:val="22"/>
          <w:szCs w:val="22"/>
          <w:lang w:val="en-GB"/>
        </w:rPr>
        <w:t xml:space="preserve"> or rules</w:t>
      </w:r>
      <w:r w:rsidR="000F1607">
        <w:rPr>
          <w:rFonts w:ascii="Arial" w:hAnsi="Arial" w:cs="Arial"/>
          <w:color w:val="7B7B7B" w:themeColor="accent3" w:themeShade="BF"/>
          <w:sz w:val="22"/>
          <w:szCs w:val="22"/>
          <w:lang w:val="en-GB"/>
        </w:rPr>
        <w:t xml:space="preserve"> regulating collective debt collection pro</w:t>
      </w:r>
      <w:r w:rsidR="00961982">
        <w:rPr>
          <w:rFonts w:ascii="Arial" w:hAnsi="Arial" w:cs="Arial"/>
          <w:color w:val="7B7B7B" w:themeColor="accent3" w:themeShade="BF"/>
          <w:sz w:val="22"/>
          <w:szCs w:val="22"/>
          <w:lang w:val="en-GB"/>
        </w:rPr>
        <w:t>cess in more than one States</w:t>
      </w:r>
      <w:r w:rsidR="000F1607">
        <w:rPr>
          <w:rFonts w:ascii="Arial" w:hAnsi="Arial" w:cs="Arial"/>
          <w:color w:val="7B7B7B" w:themeColor="accent3" w:themeShade="BF"/>
          <w:sz w:val="22"/>
          <w:szCs w:val="22"/>
          <w:lang w:val="en-GB"/>
        </w:rPr>
        <w:t>.</w:t>
      </w:r>
      <w:r w:rsidR="00B97B49">
        <w:rPr>
          <w:rFonts w:ascii="Arial" w:hAnsi="Arial" w:cs="Arial"/>
          <w:color w:val="7B7B7B" w:themeColor="accent3" w:themeShade="BF"/>
          <w:sz w:val="22"/>
          <w:szCs w:val="22"/>
          <w:lang w:val="en-GB"/>
        </w:rPr>
        <w:t xml:space="preserve"> </w:t>
      </w:r>
      <w:r w:rsidR="0023029C">
        <w:rPr>
          <w:rFonts w:ascii="Arial" w:hAnsi="Arial" w:cs="Arial"/>
          <w:color w:val="7B7B7B" w:themeColor="accent3" w:themeShade="BF"/>
          <w:sz w:val="22"/>
          <w:szCs w:val="22"/>
          <w:lang w:val="en-GB"/>
        </w:rPr>
        <w:t xml:space="preserve">It is also </w:t>
      </w:r>
      <w:r w:rsidR="00961982">
        <w:rPr>
          <w:rFonts w:ascii="Arial" w:hAnsi="Arial" w:cs="Arial"/>
          <w:color w:val="7B7B7B" w:themeColor="accent3" w:themeShade="BF"/>
          <w:sz w:val="22"/>
          <w:szCs w:val="22"/>
          <w:lang w:val="en-GB"/>
        </w:rPr>
        <w:t>referred to as</w:t>
      </w:r>
      <w:r w:rsidR="0023029C">
        <w:rPr>
          <w:rFonts w:ascii="Arial" w:hAnsi="Arial" w:cs="Arial"/>
          <w:color w:val="7B7B7B" w:themeColor="accent3" w:themeShade="BF"/>
          <w:sz w:val="22"/>
          <w:szCs w:val="22"/>
          <w:lang w:val="en-GB"/>
        </w:rPr>
        <w:t xml:space="preserve"> </w:t>
      </w:r>
      <w:r w:rsidR="00961982">
        <w:rPr>
          <w:rFonts w:ascii="Arial" w:hAnsi="Arial" w:cs="Arial"/>
          <w:color w:val="7B7B7B" w:themeColor="accent3" w:themeShade="BF"/>
          <w:sz w:val="22"/>
          <w:szCs w:val="22"/>
          <w:lang w:val="en-GB"/>
        </w:rPr>
        <w:t>C</w:t>
      </w:r>
      <w:r w:rsidR="0023029C">
        <w:rPr>
          <w:rFonts w:ascii="Arial" w:hAnsi="Arial" w:cs="Arial"/>
          <w:color w:val="7B7B7B" w:themeColor="accent3" w:themeShade="BF"/>
          <w:sz w:val="22"/>
          <w:szCs w:val="22"/>
          <w:lang w:val="en-GB"/>
        </w:rPr>
        <w:t>ross</w:t>
      </w:r>
      <w:r w:rsidR="00961982">
        <w:rPr>
          <w:rFonts w:ascii="Arial" w:hAnsi="Arial" w:cs="Arial"/>
          <w:color w:val="7B7B7B" w:themeColor="accent3" w:themeShade="BF"/>
          <w:sz w:val="22"/>
          <w:szCs w:val="22"/>
          <w:lang w:val="en-GB"/>
        </w:rPr>
        <w:t>-</w:t>
      </w:r>
      <w:r w:rsidR="0023029C">
        <w:rPr>
          <w:rFonts w:ascii="Arial" w:hAnsi="Arial" w:cs="Arial"/>
          <w:color w:val="7B7B7B" w:themeColor="accent3" w:themeShade="BF"/>
          <w:sz w:val="22"/>
          <w:szCs w:val="22"/>
          <w:lang w:val="en-GB"/>
        </w:rPr>
        <w:t xml:space="preserve">border insolvency law in some </w:t>
      </w:r>
      <w:r w:rsidR="00961982">
        <w:rPr>
          <w:rFonts w:ascii="Arial" w:hAnsi="Arial" w:cs="Arial"/>
          <w:color w:val="7B7B7B" w:themeColor="accent3" w:themeShade="BF"/>
          <w:sz w:val="22"/>
          <w:szCs w:val="22"/>
          <w:lang w:val="en-GB"/>
        </w:rPr>
        <w:t>S</w:t>
      </w:r>
      <w:r w:rsidR="0023029C">
        <w:rPr>
          <w:rFonts w:ascii="Arial" w:hAnsi="Arial" w:cs="Arial"/>
          <w:color w:val="7B7B7B" w:themeColor="accent3" w:themeShade="BF"/>
          <w:sz w:val="22"/>
          <w:szCs w:val="22"/>
          <w:lang w:val="en-GB"/>
        </w:rPr>
        <w:t>tates like, the United Kingdom and the United States of America.</w:t>
      </w:r>
      <w:r w:rsidR="00723411">
        <w:rPr>
          <w:rFonts w:ascii="Arial" w:hAnsi="Arial" w:cs="Arial"/>
          <w:color w:val="7B7B7B" w:themeColor="accent3" w:themeShade="BF"/>
          <w:sz w:val="22"/>
          <w:szCs w:val="22"/>
          <w:lang w:val="en-GB"/>
        </w:rPr>
        <w:t xml:space="preserve"> It is a collective debt collecting procedure that involves creditors and assets of the debtor’s estate spanning through two or more States.</w:t>
      </w:r>
      <w:r w:rsidR="0023029C">
        <w:rPr>
          <w:rFonts w:ascii="Arial" w:hAnsi="Arial" w:cs="Arial"/>
          <w:color w:val="7B7B7B" w:themeColor="accent3" w:themeShade="BF"/>
          <w:sz w:val="22"/>
          <w:szCs w:val="22"/>
          <w:lang w:val="en-GB"/>
        </w:rPr>
        <w:t xml:space="preserve"> </w:t>
      </w:r>
    </w:p>
    <w:p w14:paraId="4F08921D" w14:textId="77777777" w:rsidR="00FD4095" w:rsidRDefault="00FD4095" w:rsidP="00875974">
      <w:pPr>
        <w:ind w:left="720" w:hanging="720"/>
        <w:jc w:val="both"/>
        <w:rPr>
          <w:rFonts w:ascii="Arial" w:hAnsi="Arial" w:cs="Arial"/>
          <w:color w:val="7B7B7B" w:themeColor="accent3" w:themeShade="BF"/>
          <w:sz w:val="22"/>
          <w:szCs w:val="22"/>
          <w:lang w:val="en-GB"/>
        </w:rPr>
      </w:pPr>
    </w:p>
    <w:p w14:paraId="3501C414" w14:textId="045514B8" w:rsidR="00CD5816" w:rsidRPr="00875974" w:rsidRDefault="00B97B49" w:rsidP="00875974">
      <w:pPr>
        <w:ind w:left="720" w:hanging="720"/>
        <w:jc w:val="both"/>
        <w:rPr>
          <w:rFonts w:ascii="Arial" w:hAnsi="Arial" w:cs="Arial"/>
          <w:color w:val="7B7B7B" w:themeColor="accent3" w:themeShade="BF"/>
          <w:sz w:val="22"/>
          <w:szCs w:val="22"/>
          <w:vertAlign w:val="superscript"/>
          <w:lang w:val="en-GB"/>
        </w:rPr>
      </w:pPr>
      <w:r>
        <w:rPr>
          <w:rFonts w:ascii="Arial" w:hAnsi="Arial" w:cs="Arial"/>
          <w:color w:val="7B7B7B" w:themeColor="accent3" w:themeShade="BF"/>
          <w:sz w:val="22"/>
          <w:szCs w:val="22"/>
          <w:lang w:val="en-GB"/>
        </w:rPr>
        <w:t>According to Wessel,</w:t>
      </w:r>
      <w:r w:rsidR="0053165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International insolvency law is that part of the law that “[i]s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00875974">
        <w:rPr>
          <w:rStyle w:val="FootnoteReference"/>
          <w:rFonts w:ascii="Arial" w:hAnsi="Arial" w:cs="Arial"/>
          <w:color w:val="7B7B7B" w:themeColor="accent3" w:themeShade="BF"/>
          <w:sz w:val="22"/>
          <w:szCs w:val="22"/>
          <w:lang w:val="en-GB"/>
        </w:rPr>
        <w:footnoteReference w:id="1"/>
      </w:r>
      <w:r w:rsidR="00FD4095">
        <w:rPr>
          <w:rFonts w:ascii="Arial" w:hAnsi="Arial" w:cs="Arial"/>
          <w:color w:val="7B7B7B" w:themeColor="accent3" w:themeShade="BF"/>
          <w:sz w:val="22"/>
          <w:szCs w:val="22"/>
          <w:lang w:val="en-GB"/>
        </w:rPr>
        <w:t xml:space="preserve">. </w:t>
      </w:r>
    </w:p>
    <w:p w14:paraId="709B87F0" w14:textId="77777777" w:rsidR="00CD5816" w:rsidRDefault="00CD5816" w:rsidP="00C053F7">
      <w:pPr>
        <w:ind w:left="720" w:hanging="720"/>
        <w:jc w:val="both"/>
        <w:rPr>
          <w:rFonts w:ascii="Arial" w:hAnsi="Arial" w:cs="Arial"/>
          <w:color w:val="7B7B7B" w:themeColor="accent3" w:themeShade="BF"/>
          <w:sz w:val="22"/>
          <w:szCs w:val="22"/>
          <w:lang w:val="en-GB"/>
        </w:rPr>
      </w:pPr>
    </w:p>
    <w:p w14:paraId="4F027E70" w14:textId="74EE4D70" w:rsidR="00854E48" w:rsidRDefault="00CD5816"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w:t>
      </w:r>
      <w:r w:rsidR="002621D1">
        <w:rPr>
          <w:rFonts w:ascii="Arial" w:hAnsi="Arial" w:cs="Arial"/>
          <w:color w:val="7B7B7B" w:themeColor="accent3" w:themeShade="BF"/>
          <w:sz w:val="22"/>
          <w:szCs w:val="22"/>
          <w:lang w:val="en-GB"/>
        </w:rPr>
        <w:t xml:space="preserve"> expressing</w:t>
      </w:r>
      <w:r w:rsidR="00583D90">
        <w:rPr>
          <w:rFonts w:ascii="Arial" w:hAnsi="Arial" w:cs="Arial"/>
          <w:color w:val="7B7B7B" w:themeColor="accent3" w:themeShade="BF"/>
          <w:sz w:val="22"/>
          <w:szCs w:val="22"/>
          <w:lang w:val="en-GB"/>
        </w:rPr>
        <w:t xml:space="preserve"> his view on</w:t>
      </w:r>
      <w:r w:rsidR="00FD4095">
        <w:rPr>
          <w:rFonts w:ascii="Arial" w:hAnsi="Arial" w:cs="Arial"/>
          <w:color w:val="7B7B7B" w:themeColor="accent3" w:themeShade="BF"/>
          <w:sz w:val="22"/>
          <w:szCs w:val="22"/>
          <w:lang w:val="en-GB"/>
        </w:rPr>
        <w:t xml:space="preserve"> the term “international insolvency law”</w:t>
      </w:r>
      <w:r w:rsidR="000A5141">
        <w:rPr>
          <w:rFonts w:ascii="Arial" w:hAnsi="Arial" w:cs="Arial"/>
          <w:color w:val="7B7B7B" w:themeColor="accent3" w:themeShade="BF"/>
          <w:sz w:val="22"/>
          <w:szCs w:val="22"/>
          <w:lang w:val="en-GB"/>
        </w:rPr>
        <w:t xml:space="preserve"> </w:t>
      </w:r>
      <w:r w:rsidR="00FD4095">
        <w:rPr>
          <w:rFonts w:ascii="Arial" w:hAnsi="Arial" w:cs="Arial"/>
          <w:color w:val="7B7B7B" w:themeColor="accent3" w:themeShade="BF"/>
          <w:sz w:val="22"/>
          <w:szCs w:val="22"/>
          <w:lang w:val="en-GB"/>
        </w:rPr>
        <w:t>argued</w:t>
      </w:r>
      <w:r>
        <w:rPr>
          <w:rFonts w:ascii="Arial" w:hAnsi="Arial" w:cs="Arial"/>
          <w:color w:val="7B7B7B" w:themeColor="accent3" w:themeShade="BF"/>
          <w:sz w:val="22"/>
          <w:szCs w:val="22"/>
          <w:lang w:val="en-GB"/>
        </w:rPr>
        <w:t xml:space="preserve"> that “international insolvency”</w:t>
      </w:r>
      <w:r w:rsidR="00945537">
        <w:rPr>
          <w:rFonts w:ascii="Arial" w:hAnsi="Arial" w:cs="Arial"/>
          <w:color w:val="7B7B7B" w:themeColor="accent3" w:themeShade="BF"/>
          <w:sz w:val="22"/>
          <w:szCs w:val="22"/>
          <w:lang w:val="en-GB"/>
        </w:rPr>
        <w:t xml:space="preserve"> or “cross-border insolvency” should be considered as a situation”… in which an insolvency occurs in circumstances which in some way transcend the confines of a single legal system, so that the single set of domestic insolvency law provisions cannot be immediately and exclusively applied without regard to the issue raised by the foreign elements of the case</w:t>
      </w:r>
      <w:r w:rsidR="00FD4095">
        <w:rPr>
          <w:rFonts w:ascii="Arial" w:hAnsi="Arial" w:cs="Arial"/>
          <w:color w:val="7B7B7B" w:themeColor="accent3" w:themeShade="BF"/>
          <w:sz w:val="22"/>
          <w:szCs w:val="22"/>
          <w:lang w:val="en-GB"/>
        </w:rPr>
        <w:t>”</w:t>
      </w:r>
      <w:r w:rsidR="00854E48">
        <w:rPr>
          <w:rFonts w:ascii="Arial" w:hAnsi="Arial" w:cs="Arial"/>
          <w:color w:val="7B7B7B" w:themeColor="accent3" w:themeShade="BF"/>
          <w:sz w:val="22"/>
          <w:szCs w:val="22"/>
          <w:lang w:val="en-GB"/>
        </w:rPr>
        <w:t>.</w:t>
      </w:r>
      <w:r w:rsidR="00FD4095">
        <w:rPr>
          <w:rStyle w:val="FootnoteReference"/>
          <w:rFonts w:ascii="Arial" w:hAnsi="Arial" w:cs="Arial"/>
          <w:color w:val="7B7B7B" w:themeColor="accent3" w:themeShade="BF"/>
          <w:sz w:val="22"/>
          <w:szCs w:val="22"/>
          <w:lang w:val="en-GB"/>
        </w:rPr>
        <w:footnoteReference w:id="2"/>
      </w:r>
    </w:p>
    <w:p w14:paraId="4010B081" w14:textId="77777777" w:rsidR="00854E48" w:rsidRDefault="00854E48" w:rsidP="00C053F7">
      <w:pPr>
        <w:ind w:left="720" w:hanging="720"/>
        <w:jc w:val="both"/>
        <w:rPr>
          <w:rFonts w:ascii="Arial" w:hAnsi="Arial" w:cs="Arial"/>
          <w:color w:val="7B7B7B" w:themeColor="accent3" w:themeShade="BF"/>
          <w:sz w:val="22"/>
          <w:szCs w:val="22"/>
          <w:lang w:val="en-GB"/>
        </w:rPr>
      </w:pPr>
    </w:p>
    <w:p w14:paraId="006F4D84" w14:textId="3DAEE6FD" w:rsidR="00CD5816" w:rsidRDefault="001B5DE0" w:rsidP="001B5D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International insolvency law therefore is that part of the insolvency</w:t>
      </w:r>
      <w:r w:rsidR="006F4E48">
        <w:rPr>
          <w:rFonts w:ascii="Arial" w:hAnsi="Arial" w:cs="Arial"/>
          <w:color w:val="7B7B7B" w:themeColor="accent3" w:themeShade="BF"/>
          <w:sz w:val="22"/>
          <w:szCs w:val="22"/>
          <w:lang w:val="en-GB"/>
        </w:rPr>
        <w:t xml:space="preserve"> rules</w:t>
      </w:r>
      <w:r w:rsidR="00E37812">
        <w:rPr>
          <w:rStyle w:val="FootnoteReference"/>
          <w:rFonts w:ascii="Arial" w:hAnsi="Arial" w:cs="Arial"/>
          <w:color w:val="7B7B7B" w:themeColor="accent3" w:themeShade="BF"/>
          <w:sz w:val="22"/>
          <w:szCs w:val="22"/>
          <w:lang w:val="en-GB"/>
        </w:rPr>
        <w:footnoteReference w:id="3"/>
      </w:r>
      <w:r w:rsidR="006F4E48">
        <w:rPr>
          <w:rFonts w:ascii="Arial" w:hAnsi="Arial" w:cs="Arial"/>
          <w:color w:val="7B7B7B" w:themeColor="accent3" w:themeShade="BF"/>
          <w:sz w:val="22"/>
          <w:szCs w:val="22"/>
          <w:lang w:val="en-GB"/>
        </w:rPr>
        <w:t>, principles or standards</w:t>
      </w:r>
      <w:r>
        <w:rPr>
          <w:rFonts w:ascii="Arial" w:hAnsi="Arial" w:cs="Arial"/>
          <w:color w:val="7B7B7B" w:themeColor="accent3" w:themeShade="BF"/>
          <w:sz w:val="22"/>
          <w:szCs w:val="22"/>
          <w:lang w:val="en-GB"/>
        </w:rPr>
        <w:t xml:space="preserve"> that</w:t>
      </w:r>
      <w:r w:rsidR="006F4E48">
        <w:rPr>
          <w:rFonts w:ascii="Arial" w:hAnsi="Arial" w:cs="Arial"/>
          <w:color w:val="7B7B7B" w:themeColor="accent3" w:themeShade="BF"/>
          <w:sz w:val="22"/>
          <w:szCs w:val="22"/>
          <w:lang w:val="en-GB"/>
        </w:rPr>
        <w:t xml:space="preserve"> regulates the collective debt collect</w:t>
      </w:r>
      <w:r w:rsidR="00BD1FDF">
        <w:rPr>
          <w:rFonts w:ascii="Arial" w:hAnsi="Arial" w:cs="Arial"/>
          <w:color w:val="7B7B7B" w:themeColor="accent3" w:themeShade="BF"/>
          <w:sz w:val="22"/>
          <w:szCs w:val="22"/>
          <w:lang w:val="en-GB"/>
        </w:rPr>
        <w:t>ing</w:t>
      </w:r>
      <w:r w:rsidR="006F4E48">
        <w:rPr>
          <w:rFonts w:ascii="Arial" w:hAnsi="Arial" w:cs="Arial"/>
          <w:color w:val="7B7B7B" w:themeColor="accent3" w:themeShade="BF"/>
          <w:sz w:val="22"/>
          <w:szCs w:val="22"/>
          <w:lang w:val="en-GB"/>
        </w:rPr>
        <w:t xml:space="preserve"> process</w:t>
      </w:r>
      <w:r>
        <w:rPr>
          <w:rFonts w:ascii="Arial" w:hAnsi="Arial" w:cs="Arial"/>
          <w:color w:val="7B7B7B" w:themeColor="accent3" w:themeShade="BF"/>
          <w:sz w:val="22"/>
          <w:szCs w:val="22"/>
          <w:lang w:val="en-GB"/>
        </w:rPr>
        <w:t xml:space="preserve"> </w:t>
      </w:r>
      <w:r w:rsidR="006F4E4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insolvency</w:t>
      </w:r>
      <w:r w:rsidR="006F4E48">
        <w:rPr>
          <w:rFonts w:ascii="Arial" w:hAnsi="Arial" w:cs="Arial"/>
          <w:color w:val="7B7B7B" w:themeColor="accent3" w:themeShade="BF"/>
          <w:sz w:val="22"/>
          <w:szCs w:val="22"/>
          <w:lang w:val="en-GB"/>
        </w:rPr>
        <w:t xml:space="preserve"> proceeding)</w:t>
      </w:r>
      <w:r>
        <w:rPr>
          <w:rFonts w:ascii="Arial" w:hAnsi="Arial" w:cs="Arial"/>
          <w:color w:val="7B7B7B" w:themeColor="accent3" w:themeShade="BF"/>
          <w:sz w:val="22"/>
          <w:szCs w:val="22"/>
          <w:lang w:val="en-GB"/>
        </w:rPr>
        <w:t xml:space="preserve"> that involves foreign creditors of other States, assets in more than one jurisdiction, insolvent company </w:t>
      </w:r>
      <w:r w:rsidR="006F4E48">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operations in</w:t>
      </w:r>
      <w:r w:rsidR="006F4E48">
        <w:rPr>
          <w:rFonts w:ascii="Arial" w:hAnsi="Arial" w:cs="Arial"/>
          <w:color w:val="7B7B7B" w:themeColor="accent3" w:themeShade="BF"/>
          <w:sz w:val="22"/>
          <w:szCs w:val="22"/>
          <w:lang w:val="en-GB"/>
        </w:rPr>
        <w:t xml:space="preserve"> and outside</w:t>
      </w:r>
      <w:r>
        <w:rPr>
          <w:rFonts w:ascii="Arial" w:hAnsi="Arial" w:cs="Arial"/>
          <w:color w:val="7B7B7B" w:themeColor="accent3" w:themeShade="BF"/>
          <w:sz w:val="22"/>
          <w:szCs w:val="22"/>
          <w:lang w:val="en-GB"/>
        </w:rPr>
        <w:t xml:space="preserve"> its Home State</w:t>
      </w:r>
      <w:r w:rsidR="00E644D1">
        <w:rPr>
          <w:rFonts w:ascii="Arial" w:hAnsi="Arial" w:cs="Arial"/>
          <w:color w:val="7B7B7B" w:themeColor="accent3" w:themeShade="BF"/>
          <w:sz w:val="22"/>
          <w:szCs w:val="22"/>
          <w:lang w:val="en-GB"/>
        </w:rPr>
        <w:t xml:space="preserve">, shareholders cutting across </w:t>
      </w:r>
      <w:r w:rsidR="00B561A1">
        <w:rPr>
          <w:rFonts w:ascii="Arial" w:hAnsi="Arial" w:cs="Arial"/>
          <w:color w:val="7B7B7B" w:themeColor="accent3" w:themeShade="BF"/>
          <w:sz w:val="22"/>
          <w:szCs w:val="22"/>
          <w:lang w:val="en-GB"/>
        </w:rPr>
        <w:t>Home</w:t>
      </w:r>
      <w:r w:rsidR="00AE7325">
        <w:rPr>
          <w:rFonts w:ascii="Arial" w:hAnsi="Arial" w:cs="Arial"/>
          <w:color w:val="7B7B7B" w:themeColor="accent3" w:themeShade="BF"/>
          <w:sz w:val="22"/>
          <w:szCs w:val="22"/>
          <w:lang w:val="en-GB"/>
        </w:rPr>
        <w:t xml:space="preserve"> State</w:t>
      </w:r>
      <w:r w:rsidR="00B561A1">
        <w:rPr>
          <w:rFonts w:ascii="Arial" w:hAnsi="Arial" w:cs="Arial"/>
          <w:color w:val="7B7B7B" w:themeColor="accent3" w:themeShade="BF"/>
          <w:sz w:val="22"/>
          <w:szCs w:val="22"/>
          <w:lang w:val="en-GB"/>
        </w:rPr>
        <w:t xml:space="preserve"> of the Insolvent debtor</w:t>
      </w:r>
      <w:r w:rsidR="00AE7325">
        <w:rPr>
          <w:rFonts w:ascii="Arial" w:hAnsi="Arial" w:cs="Arial"/>
          <w:color w:val="7B7B7B" w:themeColor="accent3" w:themeShade="BF"/>
          <w:sz w:val="22"/>
          <w:szCs w:val="22"/>
          <w:lang w:val="en-GB"/>
        </w:rPr>
        <w:t xml:space="preserve"> company</w:t>
      </w:r>
      <w:r w:rsidR="00B561A1">
        <w:rPr>
          <w:rFonts w:ascii="Arial" w:hAnsi="Arial" w:cs="Arial"/>
          <w:color w:val="7B7B7B" w:themeColor="accent3" w:themeShade="BF"/>
          <w:sz w:val="22"/>
          <w:szCs w:val="22"/>
          <w:lang w:val="en-GB"/>
        </w:rPr>
        <w:t xml:space="preserve"> and the insolvency proceedings being subject to courts of different States. </w:t>
      </w:r>
      <w:r>
        <w:rPr>
          <w:rFonts w:ascii="Arial" w:hAnsi="Arial" w:cs="Arial"/>
          <w:color w:val="7B7B7B" w:themeColor="accent3" w:themeShade="BF"/>
          <w:sz w:val="22"/>
          <w:szCs w:val="22"/>
          <w:lang w:val="en-GB"/>
        </w:rPr>
        <w:t xml:space="preserve"> </w:t>
      </w:r>
    </w:p>
    <w:p w14:paraId="22C610C9" w14:textId="17C72FC1" w:rsidR="00DE03AF" w:rsidRPr="00BF1C6F" w:rsidRDefault="00DE03AF" w:rsidP="008B677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35DD7171" w14:textId="77777777" w:rsidR="008628F3" w:rsidRDefault="009B07AD"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8C32F7">
        <w:rPr>
          <w:rFonts w:ascii="Arial" w:hAnsi="Arial" w:cs="Arial"/>
          <w:color w:val="7B7B7B" w:themeColor="accent3" w:themeShade="BF"/>
          <w:sz w:val="22"/>
          <w:szCs w:val="22"/>
          <w:lang w:val="en-GB"/>
        </w:rPr>
        <w:t>Universality and territoriality in cross-border insolvency are the</w:t>
      </w:r>
      <w:r w:rsidR="00966074">
        <w:rPr>
          <w:rFonts w:ascii="Arial" w:hAnsi="Arial" w:cs="Arial"/>
          <w:color w:val="7B7B7B" w:themeColor="accent3" w:themeShade="BF"/>
          <w:sz w:val="22"/>
          <w:szCs w:val="22"/>
          <w:lang w:val="en-GB"/>
        </w:rPr>
        <w:t xml:space="preserve"> two</w:t>
      </w:r>
      <w:r w:rsidR="008C32F7">
        <w:rPr>
          <w:rFonts w:ascii="Arial" w:hAnsi="Arial" w:cs="Arial"/>
          <w:color w:val="7B7B7B" w:themeColor="accent3" w:themeShade="BF"/>
          <w:sz w:val="22"/>
          <w:szCs w:val="22"/>
          <w:lang w:val="en-GB"/>
        </w:rPr>
        <w:t xml:space="preserve"> major approach</w:t>
      </w:r>
      <w:r w:rsidR="00966074">
        <w:rPr>
          <w:rFonts w:ascii="Arial" w:hAnsi="Arial" w:cs="Arial"/>
          <w:color w:val="7B7B7B" w:themeColor="accent3" w:themeShade="BF"/>
          <w:sz w:val="22"/>
          <w:szCs w:val="22"/>
          <w:lang w:val="en-GB"/>
        </w:rPr>
        <w:t>es</w:t>
      </w:r>
      <w:r w:rsidR="008C32F7">
        <w:rPr>
          <w:rFonts w:ascii="Arial" w:hAnsi="Arial" w:cs="Arial"/>
          <w:color w:val="7B7B7B" w:themeColor="accent3" w:themeShade="BF"/>
          <w:sz w:val="22"/>
          <w:szCs w:val="22"/>
          <w:lang w:val="en-GB"/>
        </w:rPr>
        <w:t xml:space="preserve"> and principles that have been adopted by different States in resolving issues relating to cross-border</w:t>
      </w:r>
      <w:r w:rsidR="00966074">
        <w:rPr>
          <w:rFonts w:ascii="Arial" w:hAnsi="Arial" w:cs="Arial"/>
          <w:color w:val="7B7B7B" w:themeColor="accent3" w:themeShade="BF"/>
          <w:sz w:val="22"/>
          <w:szCs w:val="22"/>
          <w:lang w:val="en-GB"/>
        </w:rPr>
        <w:t xml:space="preserve"> insolvencies in their States</w:t>
      </w:r>
      <w:r w:rsidR="008628F3">
        <w:rPr>
          <w:rFonts w:ascii="Arial" w:hAnsi="Arial" w:cs="Arial"/>
          <w:color w:val="7B7B7B" w:themeColor="accent3" w:themeShade="BF"/>
          <w:sz w:val="22"/>
          <w:szCs w:val="22"/>
          <w:lang w:val="en-GB"/>
        </w:rPr>
        <w:t>.</w:t>
      </w:r>
    </w:p>
    <w:p w14:paraId="781510D3" w14:textId="77777777" w:rsidR="008628F3" w:rsidRDefault="008628F3" w:rsidP="00C053F7">
      <w:pPr>
        <w:ind w:left="720" w:hanging="720"/>
        <w:jc w:val="both"/>
        <w:rPr>
          <w:rFonts w:ascii="Arial" w:hAnsi="Arial" w:cs="Arial"/>
          <w:color w:val="7B7B7B" w:themeColor="accent3" w:themeShade="BF"/>
          <w:sz w:val="22"/>
          <w:szCs w:val="22"/>
          <w:lang w:val="en-GB"/>
        </w:rPr>
      </w:pPr>
    </w:p>
    <w:p w14:paraId="3D015A2D" w14:textId="7A532168" w:rsidR="006C452F" w:rsidRPr="001179E2" w:rsidRDefault="008628F3" w:rsidP="001179E2">
      <w:pPr>
        <w:pStyle w:val="ListParagraph"/>
        <w:numPr>
          <w:ilvl w:val="0"/>
          <w:numId w:val="23"/>
        </w:numPr>
        <w:jc w:val="both"/>
        <w:rPr>
          <w:rFonts w:ascii="Arial" w:hAnsi="Arial" w:cs="Arial"/>
          <w:color w:val="7B7B7B" w:themeColor="accent3" w:themeShade="BF"/>
          <w:sz w:val="22"/>
          <w:szCs w:val="22"/>
          <w:lang w:val="en-GB"/>
        </w:rPr>
      </w:pPr>
      <w:r w:rsidRPr="001179E2">
        <w:rPr>
          <w:rFonts w:ascii="Arial" w:hAnsi="Arial" w:cs="Arial"/>
          <w:color w:val="7B7B7B" w:themeColor="accent3" w:themeShade="BF"/>
          <w:sz w:val="22"/>
          <w:szCs w:val="22"/>
          <w:lang w:val="en-GB"/>
        </w:rPr>
        <w:t>Universality approach in cross border insolvency permits more than one insolvency proceeding pending</w:t>
      </w:r>
      <w:r w:rsidR="008400B1" w:rsidRPr="001179E2">
        <w:rPr>
          <w:rFonts w:ascii="Arial" w:hAnsi="Arial" w:cs="Arial"/>
          <w:color w:val="7B7B7B" w:themeColor="accent3" w:themeShade="BF"/>
          <w:sz w:val="22"/>
          <w:szCs w:val="22"/>
          <w:lang w:val="en-GB"/>
        </w:rPr>
        <w:t xml:space="preserve"> or</w:t>
      </w:r>
      <w:r w:rsidRPr="001179E2">
        <w:rPr>
          <w:rFonts w:ascii="Arial" w:hAnsi="Arial" w:cs="Arial"/>
          <w:color w:val="7B7B7B" w:themeColor="accent3" w:themeShade="BF"/>
          <w:sz w:val="22"/>
          <w:szCs w:val="22"/>
          <w:lang w:val="en-GB"/>
        </w:rPr>
        <w:t xml:space="preserve"> originating in different States to be dealt with under the provisions of one insolvency law</w:t>
      </w:r>
      <w:r w:rsidR="008400B1" w:rsidRPr="001179E2">
        <w:rPr>
          <w:rFonts w:ascii="Arial" w:hAnsi="Arial" w:cs="Arial"/>
          <w:color w:val="7B7B7B" w:themeColor="accent3" w:themeShade="BF"/>
          <w:sz w:val="22"/>
          <w:szCs w:val="22"/>
          <w:lang w:val="en-GB"/>
        </w:rPr>
        <w:t xml:space="preserve">, for example, </w:t>
      </w:r>
      <w:r w:rsidR="00080F54" w:rsidRPr="001179E2">
        <w:rPr>
          <w:rFonts w:ascii="Arial" w:hAnsi="Arial" w:cs="Arial"/>
          <w:color w:val="7B7B7B" w:themeColor="accent3" w:themeShade="BF"/>
          <w:sz w:val="22"/>
          <w:szCs w:val="22"/>
          <w:lang w:val="en-GB"/>
        </w:rPr>
        <w:t>in the State where the debtor has its centre of main interest (COMI). This means that the law of the “Main Proceeding”</w:t>
      </w:r>
      <w:r w:rsidR="000A16F4" w:rsidRPr="001179E2">
        <w:rPr>
          <w:rFonts w:ascii="Arial" w:hAnsi="Arial" w:cs="Arial"/>
          <w:color w:val="7B7B7B" w:themeColor="accent3" w:themeShade="BF"/>
          <w:sz w:val="22"/>
          <w:szCs w:val="22"/>
          <w:lang w:val="en-GB"/>
        </w:rPr>
        <w:t xml:space="preserve"> will have world</w:t>
      </w:r>
      <w:r w:rsidR="00207D7F" w:rsidRPr="001179E2">
        <w:rPr>
          <w:rFonts w:ascii="Arial" w:hAnsi="Arial" w:cs="Arial"/>
          <w:color w:val="7B7B7B" w:themeColor="accent3" w:themeShade="BF"/>
          <w:sz w:val="22"/>
          <w:szCs w:val="22"/>
          <w:lang w:val="en-GB"/>
        </w:rPr>
        <w:t>wide effect, even outside the territorial jurisdiction of the State where the main proceeding has been opened</w:t>
      </w:r>
      <w:r w:rsidR="007E450E" w:rsidRPr="001179E2">
        <w:rPr>
          <w:rFonts w:ascii="Arial" w:hAnsi="Arial" w:cs="Arial"/>
          <w:color w:val="7B7B7B" w:themeColor="accent3" w:themeShade="BF"/>
          <w:sz w:val="22"/>
          <w:szCs w:val="22"/>
          <w:lang w:val="en-GB"/>
        </w:rPr>
        <w:t>. This is referred to as “unity of proceeding”, and it allows the law of the State where the “main proceeding” is opened (</w:t>
      </w:r>
      <w:r w:rsidR="007E450E" w:rsidRPr="001179E2">
        <w:rPr>
          <w:rFonts w:ascii="Arial" w:hAnsi="Arial" w:cs="Arial"/>
          <w:i/>
          <w:iCs/>
          <w:color w:val="7B7B7B" w:themeColor="accent3" w:themeShade="BF"/>
          <w:sz w:val="22"/>
          <w:szCs w:val="22"/>
          <w:lang w:val="en-GB"/>
        </w:rPr>
        <w:t>the lex</w:t>
      </w:r>
      <w:r w:rsidR="009C4521" w:rsidRPr="001179E2">
        <w:rPr>
          <w:rFonts w:ascii="Arial" w:hAnsi="Arial" w:cs="Arial"/>
          <w:i/>
          <w:iCs/>
          <w:color w:val="7B7B7B" w:themeColor="accent3" w:themeShade="BF"/>
          <w:sz w:val="22"/>
          <w:szCs w:val="22"/>
          <w:lang w:val="en-GB"/>
        </w:rPr>
        <w:t xml:space="preserve"> concursus</w:t>
      </w:r>
      <w:r w:rsidR="009C4521" w:rsidRPr="001179E2">
        <w:rPr>
          <w:rFonts w:ascii="Arial" w:hAnsi="Arial" w:cs="Arial"/>
          <w:color w:val="7B7B7B" w:themeColor="accent3" w:themeShade="BF"/>
          <w:sz w:val="22"/>
          <w:szCs w:val="22"/>
          <w:lang w:val="en-GB"/>
        </w:rPr>
        <w:t>) to regulate the</w:t>
      </w:r>
      <w:r w:rsidR="005611D8">
        <w:rPr>
          <w:rFonts w:ascii="Arial" w:hAnsi="Arial" w:cs="Arial"/>
          <w:color w:val="7B7B7B" w:themeColor="accent3" w:themeShade="BF"/>
          <w:sz w:val="22"/>
          <w:szCs w:val="22"/>
          <w:lang w:val="en-GB"/>
        </w:rPr>
        <w:t xml:space="preserve"> proceeding</w:t>
      </w:r>
      <w:r w:rsidR="009C4521">
        <w:rPr>
          <w:rStyle w:val="FootnoteReference"/>
          <w:rFonts w:ascii="Arial" w:hAnsi="Arial" w:cs="Arial"/>
          <w:color w:val="7B7B7B" w:themeColor="accent3" w:themeShade="BF"/>
          <w:sz w:val="22"/>
          <w:szCs w:val="22"/>
          <w:lang w:val="en-GB"/>
        </w:rPr>
        <w:footnoteReference w:id="4"/>
      </w:r>
      <w:r w:rsidR="009C4521" w:rsidRPr="001179E2">
        <w:rPr>
          <w:rFonts w:ascii="Arial" w:hAnsi="Arial" w:cs="Arial"/>
          <w:color w:val="7B7B7B" w:themeColor="accent3" w:themeShade="BF"/>
          <w:sz w:val="22"/>
          <w:szCs w:val="22"/>
          <w:lang w:val="en-GB"/>
        </w:rPr>
        <w:t>.</w:t>
      </w:r>
    </w:p>
    <w:p w14:paraId="61CE8CF1" w14:textId="77777777" w:rsidR="006C452F" w:rsidRDefault="006C452F" w:rsidP="00C053F7">
      <w:pPr>
        <w:ind w:left="720" w:hanging="720"/>
        <w:jc w:val="both"/>
        <w:rPr>
          <w:rFonts w:ascii="Arial" w:hAnsi="Arial" w:cs="Arial"/>
          <w:color w:val="7B7B7B" w:themeColor="accent3" w:themeShade="BF"/>
          <w:sz w:val="22"/>
          <w:szCs w:val="22"/>
          <w:lang w:val="en-GB"/>
        </w:rPr>
      </w:pPr>
    </w:p>
    <w:p w14:paraId="24E21D7D" w14:textId="4122E6AC" w:rsidR="001179E2" w:rsidRDefault="001179E2" w:rsidP="001179E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6C452F" w:rsidRPr="001179E2">
        <w:rPr>
          <w:rFonts w:ascii="Arial" w:hAnsi="Arial" w:cs="Arial"/>
          <w:color w:val="7B7B7B" w:themeColor="accent3" w:themeShade="BF"/>
          <w:sz w:val="22"/>
          <w:szCs w:val="22"/>
          <w:lang w:val="en-GB"/>
        </w:rPr>
        <w:t xml:space="preserve">nder the </w:t>
      </w:r>
      <w:r>
        <w:rPr>
          <w:rFonts w:ascii="Arial" w:hAnsi="Arial" w:cs="Arial"/>
          <w:color w:val="7B7B7B" w:themeColor="accent3" w:themeShade="BF"/>
          <w:sz w:val="22"/>
          <w:szCs w:val="22"/>
          <w:lang w:val="en-GB"/>
        </w:rPr>
        <w:t>u</w:t>
      </w:r>
      <w:r w:rsidR="006C452F" w:rsidRPr="001179E2">
        <w:rPr>
          <w:rFonts w:ascii="Arial" w:hAnsi="Arial" w:cs="Arial"/>
          <w:color w:val="7B7B7B" w:themeColor="accent3" w:themeShade="BF"/>
          <w:sz w:val="22"/>
          <w:szCs w:val="22"/>
          <w:lang w:val="en-GB"/>
        </w:rPr>
        <w:t xml:space="preserve">niversality concept, the liquidation </w:t>
      </w:r>
      <w:r w:rsidR="00C925ED" w:rsidRPr="001179E2">
        <w:rPr>
          <w:rFonts w:ascii="Arial" w:hAnsi="Arial" w:cs="Arial"/>
          <w:color w:val="7B7B7B" w:themeColor="accent3" w:themeShade="BF"/>
          <w:sz w:val="22"/>
          <w:szCs w:val="22"/>
          <w:lang w:val="en-GB"/>
        </w:rPr>
        <w:t>of an insolvent debtor with assets in multiple</w:t>
      </w:r>
      <w:r w:rsidR="00145968" w:rsidRPr="001179E2">
        <w:rPr>
          <w:rFonts w:ascii="Arial" w:hAnsi="Arial" w:cs="Arial"/>
          <w:color w:val="7B7B7B" w:themeColor="accent3" w:themeShade="BF"/>
          <w:sz w:val="22"/>
          <w:szCs w:val="22"/>
          <w:lang w:val="en-GB"/>
        </w:rPr>
        <w:t xml:space="preserve"> </w:t>
      </w:r>
      <w:r w:rsidR="00C925ED" w:rsidRPr="001179E2">
        <w:rPr>
          <w:rFonts w:ascii="Arial" w:hAnsi="Arial" w:cs="Arial"/>
          <w:color w:val="7B7B7B" w:themeColor="accent3" w:themeShade="BF"/>
          <w:sz w:val="22"/>
          <w:szCs w:val="22"/>
          <w:lang w:val="en-GB"/>
        </w:rPr>
        <w:t>States/Countries is carried out in the State</w:t>
      </w:r>
      <w:r w:rsidR="00145968" w:rsidRPr="001179E2">
        <w:rPr>
          <w:rFonts w:ascii="Arial" w:hAnsi="Arial" w:cs="Arial"/>
          <w:color w:val="7B7B7B" w:themeColor="accent3" w:themeShade="BF"/>
          <w:sz w:val="22"/>
          <w:szCs w:val="22"/>
          <w:lang w:val="en-GB"/>
        </w:rPr>
        <w:t xml:space="preserve"> where the debtor has its centre of main interest (COMI)</w:t>
      </w:r>
      <w:r w:rsidR="00145968">
        <w:rPr>
          <w:rStyle w:val="FootnoteReference"/>
          <w:rFonts w:ascii="Arial" w:hAnsi="Arial" w:cs="Arial"/>
          <w:color w:val="7B7B7B" w:themeColor="accent3" w:themeShade="BF"/>
          <w:sz w:val="22"/>
          <w:szCs w:val="22"/>
          <w:lang w:val="en-GB"/>
        </w:rPr>
        <w:footnoteReference w:id="5"/>
      </w:r>
      <w:r w:rsidR="00080F54" w:rsidRPr="001179E2">
        <w:rPr>
          <w:rFonts w:ascii="Arial" w:hAnsi="Arial" w:cs="Arial"/>
          <w:color w:val="7B7B7B" w:themeColor="accent3" w:themeShade="BF"/>
          <w:sz w:val="22"/>
          <w:szCs w:val="22"/>
          <w:lang w:val="en-GB"/>
        </w:rPr>
        <w:t xml:space="preserve"> </w:t>
      </w:r>
      <w:r w:rsidR="00094436" w:rsidRPr="001179E2">
        <w:rPr>
          <w:rFonts w:ascii="Arial" w:hAnsi="Arial" w:cs="Arial"/>
          <w:color w:val="7B7B7B" w:themeColor="accent3" w:themeShade="BF"/>
          <w:sz w:val="22"/>
          <w:szCs w:val="22"/>
          <w:lang w:val="en-GB"/>
        </w:rPr>
        <w:t xml:space="preserve">and the Court of COMI will have the global </w:t>
      </w:r>
      <w:r w:rsidR="00035072" w:rsidRPr="001179E2">
        <w:rPr>
          <w:rFonts w:ascii="Arial" w:hAnsi="Arial" w:cs="Arial"/>
          <w:color w:val="7B7B7B" w:themeColor="accent3" w:themeShade="BF"/>
          <w:sz w:val="22"/>
          <w:szCs w:val="22"/>
          <w:lang w:val="en-GB"/>
        </w:rPr>
        <w:t>jurisdiction to cover the debtor’s assets worldwide</w:t>
      </w:r>
      <w:r w:rsidRPr="001179E2">
        <w:rPr>
          <w:rFonts w:ascii="Arial" w:hAnsi="Arial" w:cs="Arial"/>
          <w:color w:val="7B7B7B" w:themeColor="accent3" w:themeShade="BF"/>
          <w:sz w:val="22"/>
          <w:szCs w:val="22"/>
          <w:lang w:val="en-GB"/>
        </w:rPr>
        <w:t>.</w:t>
      </w:r>
    </w:p>
    <w:p w14:paraId="32B646E7" w14:textId="77777777" w:rsidR="001179E2" w:rsidRPr="001179E2" w:rsidRDefault="001179E2" w:rsidP="001179E2">
      <w:pPr>
        <w:pStyle w:val="ListParagraph"/>
        <w:rPr>
          <w:rFonts w:ascii="Arial" w:hAnsi="Arial" w:cs="Arial"/>
          <w:color w:val="7B7B7B" w:themeColor="accent3" w:themeShade="BF"/>
          <w:sz w:val="22"/>
          <w:szCs w:val="22"/>
          <w:lang w:val="en-GB"/>
        </w:rPr>
      </w:pPr>
    </w:p>
    <w:p w14:paraId="55FD1DCD" w14:textId="13EA7F22" w:rsidR="001B7A79" w:rsidRDefault="001179E2" w:rsidP="001179E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applicable law, under the universality concept, is the law of the State of the </w:t>
      </w:r>
      <w:r w:rsidR="00687B0A">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entre of </w:t>
      </w:r>
      <w:r w:rsidR="00687B0A">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ain </w:t>
      </w:r>
      <w:r w:rsidR="00687B0A">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nterest</w:t>
      </w:r>
      <w:r>
        <w:rPr>
          <w:rStyle w:val="FootnoteReference"/>
          <w:rFonts w:ascii="Arial" w:hAnsi="Arial" w:cs="Arial"/>
          <w:color w:val="7B7B7B" w:themeColor="accent3" w:themeShade="BF"/>
          <w:sz w:val="22"/>
          <w:szCs w:val="22"/>
          <w:lang w:val="en-GB"/>
        </w:rPr>
        <w:footnoteReference w:id="6"/>
      </w:r>
      <w:r w:rsidR="001B7A79">
        <w:rPr>
          <w:rFonts w:ascii="Arial" w:hAnsi="Arial" w:cs="Arial"/>
          <w:color w:val="7B7B7B" w:themeColor="accent3" w:themeShade="BF"/>
          <w:sz w:val="22"/>
          <w:szCs w:val="22"/>
          <w:lang w:val="en-GB"/>
        </w:rPr>
        <w:t xml:space="preserve">. </w:t>
      </w:r>
    </w:p>
    <w:p w14:paraId="6A6D16AA" w14:textId="77777777" w:rsidR="001B7A79" w:rsidRPr="001B7A79" w:rsidRDefault="001B7A79" w:rsidP="001B7A79">
      <w:pPr>
        <w:pStyle w:val="ListParagraph"/>
        <w:rPr>
          <w:rFonts w:ascii="Arial" w:hAnsi="Arial" w:cs="Arial"/>
          <w:color w:val="7B7B7B" w:themeColor="accent3" w:themeShade="BF"/>
          <w:sz w:val="22"/>
          <w:szCs w:val="22"/>
          <w:lang w:val="en-GB"/>
        </w:rPr>
      </w:pPr>
    </w:p>
    <w:p w14:paraId="7D4DF4D3" w14:textId="2C303908" w:rsidR="001179E2" w:rsidRPr="001179E2" w:rsidRDefault="001B7A79" w:rsidP="001179E2">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universality concept is cost effective and has globalization approach</w:t>
      </w:r>
      <w:r w:rsidR="00BB4FB4">
        <w:rPr>
          <w:rFonts w:ascii="Arial" w:hAnsi="Arial" w:cs="Arial"/>
          <w:color w:val="7B7B7B" w:themeColor="accent3" w:themeShade="BF"/>
          <w:sz w:val="22"/>
          <w:szCs w:val="22"/>
          <w:lang w:val="en-GB"/>
        </w:rPr>
        <w:t>. This is so due to the minimal proceedings involved in the concept when it</w:t>
      </w:r>
      <w:r w:rsidR="00390358">
        <w:rPr>
          <w:rFonts w:ascii="Arial" w:hAnsi="Arial" w:cs="Arial"/>
          <w:color w:val="7B7B7B" w:themeColor="accent3" w:themeShade="BF"/>
          <w:sz w:val="22"/>
          <w:szCs w:val="22"/>
          <w:lang w:val="en-GB"/>
        </w:rPr>
        <w:t xml:space="preserve"> is</w:t>
      </w:r>
      <w:r w:rsidR="00BB4FB4">
        <w:rPr>
          <w:rFonts w:ascii="Arial" w:hAnsi="Arial" w:cs="Arial"/>
          <w:color w:val="7B7B7B" w:themeColor="accent3" w:themeShade="BF"/>
          <w:sz w:val="22"/>
          <w:szCs w:val="22"/>
          <w:lang w:val="en-GB"/>
        </w:rPr>
        <w:t xml:space="preserve"> compared to the territoriality concept</w:t>
      </w:r>
      <w:r w:rsidR="00492AF7">
        <w:rPr>
          <w:rFonts w:ascii="Arial" w:hAnsi="Arial" w:cs="Arial"/>
          <w:color w:val="7B7B7B" w:themeColor="accent3" w:themeShade="BF"/>
          <w:sz w:val="22"/>
          <w:szCs w:val="22"/>
          <w:lang w:val="en-GB"/>
        </w:rPr>
        <w:t>. The Model Law</w:t>
      </w:r>
      <w:r w:rsidR="003672A4">
        <w:rPr>
          <w:rStyle w:val="FootnoteReference"/>
          <w:rFonts w:ascii="Arial" w:hAnsi="Arial" w:cs="Arial"/>
          <w:color w:val="7B7B7B" w:themeColor="accent3" w:themeShade="BF"/>
          <w:sz w:val="22"/>
          <w:szCs w:val="22"/>
          <w:lang w:val="en-GB"/>
        </w:rPr>
        <w:footnoteReference w:id="7"/>
      </w:r>
      <w:r w:rsidR="00492AF7">
        <w:rPr>
          <w:rFonts w:ascii="Arial" w:hAnsi="Arial" w:cs="Arial"/>
          <w:color w:val="7B7B7B" w:themeColor="accent3" w:themeShade="BF"/>
          <w:sz w:val="22"/>
          <w:szCs w:val="22"/>
          <w:lang w:val="en-GB"/>
        </w:rPr>
        <w:t xml:space="preserve"> </w:t>
      </w:r>
      <w:r w:rsidR="00BD1FDF">
        <w:rPr>
          <w:rFonts w:ascii="Arial" w:hAnsi="Arial" w:cs="Arial"/>
          <w:color w:val="7B7B7B" w:themeColor="accent3" w:themeShade="BF"/>
          <w:sz w:val="22"/>
          <w:szCs w:val="22"/>
          <w:lang w:val="en-GB"/>
        </w:rPr>
        <w:t>and the European Union Regulation 2000 have</w:t>
      </w:r>
      <w:r w:rsidR="00492AF7">
        <w:rPr>
          <w:rFonts w:ascii="Arial" w:hAnsi="Arial" w:cs="Arial"/>
          <w:color w:val="7B7B7B" w:themeColor="accent3" w:themeShade="BF"/>
          <w:sz w:val="22"/>
          <w:szCs w:val="22"/>
          <w:lang w:val="en-GB"/>
        </w:rPr>
        <w:t xml:space="preserve"> been said to subscribe partially </w:t>
      </w:r>
      <w:r w:rsidR="00390358">
        <w:rPr>
          <w:rFonts w:ascii="Arial" w:hAnsi="Arial" w:cs="Arial"/>
          <w:color w:val="7B7B7B" w:themeColor="accent3" w:themeShade="BF"/>
          <w:sz w:val="22"/>
          <w:szCs w:val="22"/>
          <w:lang w:val="en-GB"/>
        </w:rPr>
        <w:t>to the universality concept</w:t>
      </w:r>
      <w:r w:rsidR="0068519B">
        <w:rPr>
          <w:rStyle w:val="FootnoteReference"/>
          <w:rFonts w:ascii="Arial" w:hAnsi="Arial" w:cs="Arial"/>
          <w:color w:val="7B7B7B" w:themeColor="accent3" w:themeShade="BF"/>
          <w:sz w:val="22"/>
          <w:szCs w:val="22"/>
          <w:lang w:val="en-GB"/>
        </w:rPr>
        <w:footnoteReference w:id="8"/>
      </w:r>
      <w:r w:rsidR="00390358">
        <w:rPr>
          <w:rFonts w:ascii="Arial" w:hAnsi="Arial" w:cs="Arial"/>
          <w:color w:val="7B7B7B" w:themeColor="accent3" w:themeShade="BF"/>
          <w:sz w:val="22"/>
          <w:szCs w:val="22"/>
          <w:lang w:val="en-GB"/>
        </w:rPr>
        <w:t xml:space="preserve"> which most States have</w:t>
      </w:r>
      <w:r w:rsidR="00BD1FDF">
        <w:rPr>
          <w:rFonts w:ascii="Arial" w:hAnsi="Arial" w:cs="Arial"/>
          <w:color w:val="7B7B7B" w:themeColor="accent3" w:themeShade="BF"/>
          <w:sz w:val="22"/>
          <w:szCs w:val="22"/>
          <w:lang w:val="en-GB"/>
        </w:rPr>
        <w:t xml:space="preserve"> now</w:t>
      </w:r>
      <w:r w:rsidR="00390358">
        <w:rPr>
          <w:rFonts w:ascii="Arial" w:hAnsi="Arial" w:cs="Arial"/>
          <w:color w:val="7B7B7B" w:themeColor="accent3" w:themeShade="BF"/>
          <w:sz w:val="22"/>
          <w:szCs w:val="22"/>
          <w:lang w:val="en-GB"/>
        </w:rPr>
        <w:t xml:space="preserve"> adopted in resolving their cross-border insolvency issues</w:t>
      </w:r>
      <w:r w:rsidR="00F3535B">
        <w:rPr>
          <w:rStyle w:val="FootnoteReference"/>
          <w:rFonts w:ascii="Arial" w:hAnsi="Arial" w:cs="Arial"/>
          <w:color w:val="7B7B7B" w:themeColor="accent3" w:themeShade="BF"/>
          <w:sz w:val="22"/>
          <w:szCs w:val="22"/>
          <w:lang w:val="en-GB"/>
        </w:rPr>
        <w:footnoteReference w:id="9"/>
      </w:r>
      <w:r w:rsidR="00390358">
        <w:rPr>
          <w:rFonts w:ascii="Arial" w:hAnsi="Arial" w:cs="Arial"/>
          <w:color w:val="7B7B7B" w:themeColor="accent3" w:themeShade="BF"/>
          <w:sz w:val="22"/>
          <w:szCs w:val="22"/>
          <w:lang w:val="en-GB"/>
        </w:rPr>
        <w:t>.</w:t>
      </w:r>
    </w:p>
    <w:p w14:paraId="7D84A301" w14:textId="77777777" w:rsidR="00BA2B32" w:rsidRDefault="008628F3"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99C084B" w14:textId="77777777" w:rsidR="00BA2B32" w:rsidRDefault="00BA2B32"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Conversely, territoriality concept which is said to be diametrically opposed to the principle of universality concept</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is based on the premise that insolvency proceedings may be commenced in every State or jurisdiction where the debtor holds assets, but that they should be territorially limited and restricted to property within the State where the proceedings are opened</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0B6FC1CF" w14:textId="77777777" w:rsidR="00991F35" w:rsidRDefault="00991F35" w:rsidP="00C053F7">
      <w:pPr>
        <w:ind w:left="720" w:hanging="720"/>
        <w:jc w:val="both"/>
        <w:rPr>
          <w:rFonts w:ascii="Arial" w:hAnsi="Arial" w:cs="Arial"/>
          <w:color w:val="7B7B7B" w:themeColor="accent3" w:themeShade="BF"/>
          <w:sz w:val="22"/>
          <w:szCs w:val="22"/>
          <w:lang w:val="en-GB"/>
        </w:rPr>
      </w:pPr>
    </w:p>
    <w:p w14:paraId="7B0AF56C" w14:textId="39821000" w:rsidR="00580B95" w:rsidRPr="00580B95" w:rsidRDefault="00991F35" w:rsidP="00991F35">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territoriality concept </w:t>
      </w:r>
      <w:r w:rsidR="00440101">
        <w:rPr>
          <w:rFonts w:ascii="Arial" w:hAnsi="Arial" w:cs="Arial"/>
          <w:color w:val="7B7B7B" w:themeColor="accent3" w:themeShade="BF"/>
          <w:sz w:val="22"/>
          <w:szCs w:val="22"/>
          <w:lang w:val="en-GB"/>
        </w:rPr>
        <w:t>gives room for</w:t>
      </w:r>
      <w:r>
        <w:rPr>
          <w:rFonts w:ascii="Arial" w:hAnsi="Arial" w:cs="Arial"/>
          <w:color w:val="7B7B7B" w:themeColor="accent3" w:themeShade="BF"/>
          <w:sz w:val="22"/>
          <w:szCs w:val="22"/>
          <w:lang w:val="en-GB"/>
        </w:rPr>
        <w:t xml:space="preserve"> multiple insolvency proceedings running</w:t>
      </w:r>
      <w:r w:rsidR="00440101">
        <w:rPr>
          <w:rFonts w:ascii="Arial" w:hAnsi="Arial" w:cs="Arial"/>
          <w:color w:val="7B7B7B" w:themeColor="accent3" w:themeShade="BF"/>
          <w:sz w:val="22"/>
          <w:szCs w:val="22"/>
          <w:lang w:val="en-GB"/>
        </w:rPr>
        <w:t xml:space="preserve"> or going on</w:t>
      </w:r>
      <w:r>
        <w:rPr>
          <w:rFonts w:ascii="Arial" w:hAnsi="Arial" w:cs="Arial"/>
          <w:color w:val="7B7B7B" w:themeColor="accent3" w:themeShade="BF"/>
          <w:sz w:val="22"/>
          <w:szCs w:val="22"/>
          <w:lang w:val="en-GB"/>
        </w:rPr>
        <w:t xml:space="preserve"> concurrently </w:t>
      </w:r>
      <w:r w:rsidR="00A90C5C">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respect to the same debtor.</w:t>
      </w:r>
    </w:p>
    <w:p w14:paraId="46AE9020" w14:textId="77777777" w:rsidR="00580B95" w:rsidRPr="00580B95" w:rsidRDefault="00580B95" w:rsidP="00580B95">
      <w:pPr>
        <w:pStyle w:val="ListParagraph"/>
        <w:jc w:val="both"/>
        <w:rPr>
          <w:rFonts w:ascii="Arial" w:hAnsi="Arial" w:cs="Arial"/>
          <w:sz w:val="22"/>
          <w:szCs w:val="22"/>
          <w:lang w:val="en-GB"/>
        </w:rPr>
      </w:pPr>
    </w:p>
    <w:p w14:paraId="34527A40" w14:textId="77777777" w:rsidR="00853827" w:rsidRPr="00853827" w:rsidRDefault="00580B95" w:rsidP="00991F35">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The proceedings under the territoriality concept is also restricted in respect of which creditors may file their claims and the office holder would have a mandate restricted to the national borders of the State of the ongoing insolvency proceeding.</w:t>
      </w:r>
    </w:p>
    <w:p w14:paraId="5B28AF02" w14:textId="77777777" w:rsidR="00853827" w:rsidRPr="00853827" w:rsidRDefault="00853827" w:rsidP="00853827">
      <w:pPr>
        <w:pStyle w:val="ListParagraph"/>
        <w:rPr>
          <w:rFonts w:ascii="Arial" w:hAnsi="Arial" w:cs="Arial"/>
          <w:color w:val="7B7B7B" w:themeColor="accent3" w:themeShade="BF"/>
          <w:sz w:val="22"/>
          <w:szCs w:val="22"/>
          <w:lang w:val="en-GB"/>
        </w:rPr>
      </w:pPr>
    </w:p>
    <w:p w14:paraId="2CECDFAC" w14:textId="2FD3DBBD" w:rsidR="00AB4427" w:rsidRPr="00AB4427" w:rsidRDefault="00496862" w:rsidP="00991F35">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N</w:t>
      </w:r>
      <w:r w:rsidR="00853827">
        <w:rPr>
          <w:rFonts w:ascii="Arial" w:hAnsi="Arial" w:cs="Arial"/>
          <w:color w:val="7B7B7B" w:themeColor="accent3" w:themeShade="BF"/>
          <w:sz w:val="22"/>
          <w:szCs w:val="22"/>
          <w:lang w:val="en-GB"/>
        </w:rPr>
        <w:t>ational interest</w:t>
      </w:r>
      <w:r>
        <w:rPr>
          <w:rFonts w:ascii="Arial" w:hAnsi="Arial" w:cs="Arial"/>
          <w:color w:val="7B7B7B" w:themeColor="accent3" w:themeShade="BF"/>
          <w:sz w:val="22"/>
          <w:szCs w:val="22"/>
          <w:lang w:val="en-GB"/>
        </w:rPr>
        <w:t>,</w:t>
      </w:r>
      <w:r w:rsidR="00853827">
        <w:rPr>
          <w:rFonts w:ascii="Arial" w:hAnsi="Arial" w:cs="Arial"/>
          <w:color w:val="7B7B7B" w:themeColor="accent3" w:themeShade="BF"/>
          <w:sz w:val="22"/>
          <w:szCs w:val="22"/>
          <w:lang w:val="en-GB"/>
        </w:rPr>
        <w:t xml:space="preserve"> under this concept</w:t>
      </w:r>
      <w:r>
        <w:rPr>
          <w:rFonts w:ascii="Arial" w:hAnsi="Arial" w:cs="Arial"/>
          <w:color w:val="7B7B7B" w:themeColor="accent3" w:themeShade="BF"/>
          <w:sz w:val="22"/>
          <w:szCs w:val="22"/>
          <w:lang w:val="en-GB"/>
        </w:rPr>
        <w:t>, i.e, interests of local creditors before any assets are transmitted outside the State</w:t>
      </w:r>
      <w:r w:rsidR="00AB442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are </w:t>
      </w:r>
      <w:r w:rsidR="007A4275">
        <w:rPr>
          <w:rFonts w:ascii="Arial" w:hAnsi="Arial" w:cs="Arial"/>
          <w:color w:val="7B7B7B" w:themeColor="accent3" w:themeShade="BF"/>
          <w:sz w:val="22"/>
          <w:szCs w:val="22"/>
          <w:lang w:val="en-GB"/>
        </w:rPr>
        <w:t>preserved and protected</w:t>
      </w:r>
      <w:r>
        <w:rPr>
          <w:rFonts w:ascii="Arial" w:hAnsi="Arial" w:cs="Arial"/>
          <w:color w:val="7B7B7B" w:themeColor="accent3" w:themeShade="BF"/>
          <w:sz w:val="22"/>
          <w:szCs w:val="22"/>
          <w:lang w:val="en-GB"/>
        </w:rPr>
        <w:t>.</w:t>
      </w:r>
    </w:p>
    <w:p w14:paraId="164D964A" w14:textId="77777777" w:rsidR="00AB4427" w:rsidRPr="00AB4427" w:rsidRDefault="00AB4427" w:rsidP="00AB4427">
      <w:pPr>
        <w:pStyle w:val="ListParagraph"/>
        <w:rPr>
          <w:rFonts w:ascii="Arial" w:hAnsi="Arial" w:cs="Arial"/>
          <w:color w:val="7B7B7B" w:themeColor="accent3" w:themeShade="BF"/>
          <w:sz w:val="22"/>
          <w:szCs w:val="22"/>
          <w:lang w:val="en-GB"/>
        </w:rPr>
      </w:pPr>
    </w:p>
    <w:p w14:paraId="1356833F" w14:textId="77777777" w:rsidR="0099453F" w:rsidRPr="0099453F" w:rsidRDefault="00AB4427" w:rsidP="00991F35">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The territoriality concept also address</w:t>
      </w:r>
      <w:r w:rsidR="003B7AC9">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the local interests and local creditors who act within the domestic market, and where only an evaluation of local assets is usually made before credit is given</w:t>
      </w:r>
    </w:p>
    <w:p w14:paraId="78F5B5F7" w14:textId="77777777" w:rsidR="0099453F" w:rsidRPr="0099453F" w:rsidRDefault="0099453F" w:rsidP="0099453F">
      <w:pPr>
        <w:pStyle w:val="ListParagraph"/>
        <w:rPr>
          <w:rFonts w:ascii="Arial" w:hAnsi="Arial" w:cs="Arial"/>
          <w:color w:val="7B7B7B" w:themeColor="accent3" w:themeShade="BF"/>
          <w:sz w:val="22"/>
          <w:szCs w:val="22"/>
          <w:lang w:val="en-GB"/>
        </w:rPr>
      </w:pPr>
    </w:p>
    <w:p w14:paraId="0859E309" w14:textId="48F4BF39" w:rsidR="003B7AC9" w:rsidRPr="003264B7" w:rsidRDefault="0099453F" w:rsidP="00991F35">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Under the territoriality concept, it is likely that the creditors as</w:t>
      </w:r>
      <w:r w:rsidR="003264B7">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whole receive less in the winding up when compared to the universality concept</w:t>
      </w:r>
      <w:r w:rsidR="003264B7">
        <w:rPr>
          <w:rFonts w:ascii="Arial" w:hAnsi="Arial" w:cs="Arial"/>
          <w:color w:val="7B7B7B" w:themeColor="accent3" w:themeShade="BF"/>
          <w:sz w:val="22"/>
          <w:szCs w:val="22"/>
          <w:lang w:val="en-GB"/>
        </w:rPr>
        <w:t>.</w:t>
      </w:r>
    </w:p>
    <w:p w14:paraId="185F3DDF" w14:textId="77777777" w:rsidR="003264B7" w:rsidRPr="003264B7" w:rsidRDefault="003264B7" w:rsidP="003264B7">
      <w:pPr>
        <w:pStyle w:val="ListParagraph"/>
        <w:rPr>
          <w:rFonts w:ascii="Arial" w:hAnsi="Arial" w:cs="Arial"/>
          <w:sz w:val="22"/>
          <w:szCs w:val="22"/>
          <w:lang w:val="en-GB"/>
        </w:rPr>
      </w:pPr>
    </w:p>
    <w:p w14:paraId="7058C3DF" w14:textId="60D0829A" w:rsidR="003264B7" w:rsidRPr="003B7AC9" w:rsidRDefault="003264B7" w:rsidP="00991F35">
      <w:pPr>
        <w:pStyle w:val="ListParagraph"/>
        <w:numPr>
          <w:ilvl w:val="0"/>
          <w:numId w:val="24"/>
        </w:numPr>
        <w:jc w:val="both"/>
        <w:rPr>
          <w:rFonts w:ascii="Arial" w:hAnsi="Arial" w:cs="Arial"/>
          <w:sz w:val="22"/>
          <w:szCs w:val="22"/>
          <w:lang w:val="en-GB"/>
        </w:rPr>
      </w:pPr>
      <w:r>
        <w:rPr>
          <w:rFonts w:ascii="Arial" w:hAnsi="Arial" w:cs="Arial"/>
          <w:sz w:val="22"/>
          <w:szCs w:val="22"/>
          <w:lang w:val="en-GB"/>
        </w:rPr>
        <w:t>There is also the inconsistent application of multiple laws across the world resulting in excessive costs which</w:t>
      </w:r>
      <w:r w:rsidR="000F5D77">
        <w:rPr>
          <w:rFonts w:ascii="Arial" w:hAnsi="Arial" w:cs="Arial"/>
          <w:sz w:val="22"/>
          <w:szCs w:val="22"/>
          <w:lang w:val="en-GB"/>
        </w:rPr>
        <w:t xml:space="preserve"> may affect</w:t>
      </w:r>
      <w:r w:rsidR="006E2509">
        <w:rPr>
          <w:rFonts w:ascii="Arial" w:hAnsi="Arial" w:cs="Arial"/>
          <w:sz w:val="22"/>
          <w:szCs w:val="22"/>
          <w:lang w:val="en-GB"/>
        </w:rPr>
        <w:t xml:space="preserve"> the willingness of creditors to extend credit to companies exposed to potential cross-border insolvency.</w:t>
      </w:r>
    </w:p>
    <w:p w14:paraId="7B6773C8" w14:textId="77777777" w:rsidR="003B7AC9" w:rsidRPr="003B7AC9" w:rsidRDefault="003B7AC9" w:rsidP="003B7AC9">
      <w:pPr>
        <w:pStyle w:val="ListParagraph"/>
        <w:rPr>
          <w:rFonts w:ascii="Arial" w:hAnsi="Arial" w:cs="Arial"/>
          <w:color w:val="7B7B7B" w:themeColor="accent3" w:themeShade="BF"/>
          <w:sz w:val="22"/>
          <w:szCs w:val="22"/>
          <w:lang w:val="en-GB"/>
        </w:rPr>
      </w:pPr>
    </w:p>
    <w:p w14:paraId="6A9D2B72" w14:textId="48405763" w:rsidR="00934FA8" w:rsidRPr="009E2E2B" w:rsidRDefault="00D8298D" w:rsidP="009E2E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B7AC9" w:rsidRPr="009E2E2B">
        <w:rPr>
          <w:rFonts w:ascii="Arial" w:hAnsi="Arial" w:cs="Arial"/>
          <w:color w:val="7B7B7B" w:themeColor="accent3" w:themeShade="BF"/>
          <w:sz w:val="22"/>
          <w:szCs w:val="22"/>
          <w:lang w:val="en-GB"/>
        </w:rPr>
        <w:t>he major challenge</w:t>
      </w:r>
      <w:r>
        <w:rPr>
          <w:rFonts w:ascii="Arial" w:hAnsi="Arial" w:cs="Arial"/>
          <w:color w:val="7B7B7B" w:themeColor="accent3" w:themeShade="BF"/>
          <w:sz w:val="22"/>
          <w:szCs w:val="22"/>
          <w:lang w:val="en-GB"/>
        </w:rPr>
        <w:t xml:space="preserve"> however,</w:t>
      </w:r>
      <w:r w:rsidR="003B7AC9" w:rsidRPr="009E2E2B">
        <w:rPr>
          <w:rFonts w:ascii="Arial" w:hAnsi="Arial" w:cs="Arial"/>
          <w:color w:val="7B7B7B" w:themeColor="accent3" w:themeShade="BF"/>
          <w:sz w:val="22"/>
          <w:szCs w:val="22"/>
          <w:lang w:val="en-GB"/>
        </w:rPr>
        <w:t xml:space="preserve"> to the territoriality concept when compared to the universality concept</w:t>
      </w:r>
      <w:r w:rsidR="00E55645" w:rsidRPr="009E2E2B">
        <w:rPr>
          <w:rFonts w:ascii="Arial" w:hAnsi="Arial" w:cs="Arial"/>
          <w:color w:val="7B7B7B" w:themeColor="accent3" w:themeShade="BF"/>
          <w:sz w:val="22"/>
          <w:szCs w:val="22"/>
          <w:lang w:val="en-GB"/>
        </w:rPr>
        <w:t>, is that the debtor maybe declared insolvent in one State (where the debts are) but not in another (where the assets are located). What this means, is that the debtor could be solvent in one but insolvent in another State.</w:t>
      </w:r>
    </w:p>
    <w:p w14:paraId="3DAC7636" w14:textId="77777777" w:rsidR="00934FA8" w:rsidRDefault="00934FA8" w:rsidP="003B7AC9">
      <w:pPr>
        <w:pStyle w:val="ListParagraph"/>
        <w:jc w:val="both"/>
        <w:rPr>
          <w:rFonts w:ascii="Arial" w:hAnsi="Arial" w:cs="Arial"/>
          <w:color w:val="7B7B7B" w:themeColor="accent3" w:themeShade="BF"/>
          <w:sz w:val="22"/>
          <w:szCs w:val="22"/>
          <w:lang w:val="en-GB"/>
        </w:rPr>
      </w:pPr>
    </w:p>
    <w:p w14:paraId="2F57801B" w14:textId="5F6062EB" w:rsidR="009B07AD" w:rsidRPr="009E2E2B" w:rsidRDefault="00934FA8" w:rsidP="009E2E2B">
      <w:pPr>
        <w:jc w:val="both"/>
        <w:rPr>
          <w:rFonts w:ascii="Arial" w:hAnsi="Arial" w:cs="Arial"/>
          <w:sz w:val="22"/>
          <w:szCs w:val="22"/>
          <w:lang w:val="en-GB"/>
        </w:rPr>
      </w:pPr>
      <w:r w:rsidRPr="009E2E2B">
        <w:rPr>
          <w:rFonts w:ascii="Arial" w:hAnsi="Arial" w:cs="Arial"/>
          <w:color w:val="7B7B7B" w:themeColor="accent3" w:themeShade="BF"/>
          <w:sz w:val="22"/>
          <w:szCs w:val="22"/>
          <w:lang w:val="en-GB"/>
        </w:rPr>
        <w:t>It is sometimes said that civil law countries are more inclined to take a territoriality approach to jurisdiction and that common law countries are more closely aligned with universalism</w:t>
      </w:r>
      <w:r>
        <w:rPr>
          <w:rStyle w:val="FootnoteReference"/>
          <w:rFonts w:ascii="Arial" w:hAnsi="Arial" w:cs="Arial"/>
          <w:color w:val="7B7B7B" w:themeColor="accent3" w:themeShade="BF"/>
          <w:sz w:val="22"/>
          <w:szCs w:val="22"/>
          <w:lang w:val="en-GB"/>
        </w:rPr>
        <w:footnoteReference w:id="12"/>
      </w:r>
      <w:r w:rsidR="007332AF">
        <w:rPr>
          <w:rFonts w:ascii="Arial" w:hAnsi="Arial" w:cs="Arial"/>
          <w:color w:val="7B7B7B" w:themeColor="accent3" w:themeShade="BF"/>
          <w:sz w:val="22"/>
          <w:szCs w:val="22"/>
          <w:lang w:val="en-GB"/>
        </w:rPr>
        <w:t>.</w:t>
      </w:r>
      <w:r w:rsidR="009B07AD" w:rsidRPr="009E2E2B">
        <w:rPr>
          <w:rFonts w:ascii="Arial" w:hAnsi="Arial" w:cs="Arial"/>
          <w:color w:val="7B7B7B" w:themeColor="accent3" w:themeShade="BF"/>
          <w:sz w:val="22"/>
          <w:szCs w:val="22"/>
          <w:lang w:val="en-GB"/>
        </w:rPr>
        <w:t>]</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7D20C5A" w14:textId="77777777" w:rsidR="00D32955" w:rsidRDefault="00C72848" w:rsidP="00C053F7">
      <w:pPr>
        <w:ind w:left="720" w:hanging="720"/>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D32955">
        <w:rPr>
          <w:rFonts w:ascii="Arial" w:hAnsi="Arial" w:cs="Arial"/>
          <w:color w:val="7B7B7B" w:themeColor="accent3" w:themeShade="BF"/>
          <w:sz w:val="22"/>
          <w:szCs w:val="22"/>
          <w:lang w:val="en-GB"/>
        </w:rPr>
        <w:t>The three recent examples of developments in the Middle East region to reform domestic insolvency laws or to address international insolvency issues can be found in UAE, Bahrain and Saudi Arabia respectively.</w:t>
      </w:r>
    </w:p>
    <w:p w14:paraId="576641A1" w14:textId="77777777" w:rsidR="00D32955" w:rsidRDefault="00D32955" w:rsidP="00C053F7">
      <w:pPr>
        <w:ind w:left="720" w:hanging="720"/>
        <w:jc w:val="both"/>
        <w:rPr>
          <w:rFonts w:ascii="Arial" w:hAnsi="Arial" w:cs="Arial"/>
          <w:color w:val="7B7B7B" w:themeColor="accent3" w:themeShade="BF"/>
          <w:sz w:val="22"/>
          <w:szCs w:val="22"/>
          <w:lang w:val="en-GB"/>
        </w:rPr>
      </w:pPr>
    </w:p>
    <w:p w14:paraId="2274C654" w14:textId="7DDB2DF7" w:rsidR="00DA47CF" w:rsidRDefault="00D32955"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United Arab Emirate (UAE)</w:t>
      </w:r>
      <w:r w:rsidR="006D6D7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2016 reformed it domestic insolvency laws by the promulgation of the Federal Bankruptcy Law N0.9 of 2016</w:t>
      </w:r>
      <w:r w:rsidR="006D6D7F">
        <w:rPr>
          <w:rFonts w:ascii="Arial" w:hAnsi="Arial" w:cs="Arial"/>
          <w:color w:val="7B7B7B" w:themeColor="accent3" w:themeShade="BF"/>
          <w:sz w:val="22"/>
          <w:szCs w:val="22"/>
          <w:lang w:val="en-GB"/>
        </w:rPr>
        <w:t xml:space="preserve"> which came into force on 29</w:t>
      </w:r>
      <w:r w:rsidR="006D6D7F" w:rsidRPr="006D6D7F">
        <w:rPr>
          <w:rFonts w:ascii="Arial" w:hAnsi="Arial" w:cs="Arial"/>
          <w:color w:val="7B7B7B" w:themeColor="accent3" w:themeShade="BF"/>
          <w:sz w:val="22"/>
          <w:szCs w:val="22"/>
          <w:vertAlign w:val="superscript"/>
          <w:lang w:val="en-GB"/>
        </w:rPr>
        <w:t>th</w:t>
      </w:r>
      <w:r w:rsidR="006D6D7F">
        <w:rPr>
          <w:rFonts w:ascii="Arial" w:hAnsi="Arial" w:cs="Arial"/>
          <w:color w:val="7B7B7B" w:themeColor="accent3" w:themeShade="BF"/>
          <w:sz w:val="22"/>
          <w:szCs w:val="22"/>
          <w:lang w:val="en-GB"/>
        </w:rPr>
        <w:t xml:space="preserve"> December, 2016</w:t>
      </w:r>
      <w:r>
        <w:rPr>
          <w:rFonts w:ascii="Arial" w:hAnsi="Arial" w:cs="Arial"/>
          <w:color w:val="7B7B7B" w:themeColor="accent3" w:themeShade="BF"/>
          <w:sz w:val="22"/>
          <w:szCs w:val="22"/>
          <w:lang w:val="en-GB"/>
        </w:rPr>
        <w:t>. The law repealed and replaced the commercial code under Book 5 of the Federal Law N0.18</w:t>
      </w:r>
      <w:r w:rsidR="00454CF8">
        <w:rPr>
          <w:rFonts w:ascii="Arial" w:hAnsi="Arial" w:cs="Arial"/>
          <w:color w:val="7B7B7B" w:themeColor="accent3" w:themeShade="BF"/>
          <w:sz w:val="22"/>
          <w:szCs w:val="22"/>
          <w:lang w:val="en-GB"/>
        </w:rPr>
        <w:t xml:space="preserve"> of 1993.</w:t>
      </w:r>
      <w:r w:rsidR="00036136">
        <w:rPr>
          <w:rFonts w:ascii="Arial" w:hAnsi="Arial" w:cs="Arial"/>
          <w:color w:val="7B7B7B" w:themeColor="accent3" w:themeShade="BF"/>
          <w:sz w:val="22"/>
          <w:szCs w:val="22"/>
          <w:lang w:val="en-GB"/>
        </w:rPr>
        <w:t xml:space="preserve"> There also exists the Corporate Liquidation of Companies in the UAE regulated by the Federal Law N0.2 of 2015.</w:t>
      </w:r>
      <w:r w:rsidR="00443409">
        <w:rPr>
          <w:rFonts w:ascii="Arial" w:hAnsi="Arial" w:cs="Arial"/>
          <w:color w:val="7B7B7B" w:themeColor="accent3" w:themeShade="BF"/>
          <w:sz w:val="22"/>
          <w:szCs w:val="22"/>
          <w:lang w:val="en-GB"/>
        </w:rPr>
        <w:t xml:space="preserve"> Recent development</w:t>
      </w:r>
      <w:r w:rsidR="006D6D7F">
        <w:rPr>
          <w:rFonts w:ascii="Arial" w:hAnsi="Arial" w:cs="Arial"/>
          <w:color w:val="7B7B7B" w:themeColor="accent3" w:themeShade="BF"/>
          <w:sz w:val="22"/>
          <w:szCs w:val="22"/>
          <w:lang w:val="en-GB"/>
        </w:rPr>
        <w:t>s</w:t>
      </w:r>
      <w:r w:rsidR="00443409">
        <w:rPr>
          <w:rFonts w:ascii="Arial" w:hAnsi="Arial" w:cs="Arial"/>
          <w:color w:val="7B7B7B" w:themeColor="accent3" w:themeShade="BF"/>
          <w:sz w:val="22"/>
          <w:szCs w:val="22"/>
          <w:lang w:val="en-GB"/>
        </w:rPr>
        <w:t xml:space="preserve"> ha</w:t>
      </w:r>
      <w:r w:rsidR="006D6D7F">
        <w:rPr>
          <w:rFonts w:ascii="Arial" w:hAnsi="Arial" w:cs="Arial"/>
          <w:color w:val="7B7B7B" w:themeColor="accent3" w:themeShade="BF"/>
          <w:sz w:val="22"/>
          <w:szCs w:val="22"/>
          <w:lang w:val="en-GB"/>
        </w:rPr>
        <w:t>ve</w:t>
      </w:r>
      <w:r w:rsidR="00443409">
        <w:rPr>
          <w:rFonts w:ascii="Arial" w:hAnsi="Arial" w:cs="Arial"/>
          <w:color w:val="7B7B7B" w:themeColor="accent3" w:themeShade="BF"/>
          <w:sz w:val="22"/>
          <w:szCs w:val="22"/>
          <w:lang w:val="en-GB"/>
        </w:rPr>
        <w:t xml:space="preserve"> also led to</w:t>
      </w:r>
      <w:r w:rsidR="006D6D7F">
        <w:rPr>
          <w:rFonts w:ascii="Arial" w:hAnsi="Arial" w:cs="Arial"/>
          <w:color w:val="7B7B7B" w:themeColor="accent3" w:themeShade="BF"/>
          <w:sz w:val="22"/>
          <w:szCs w:val="22"/>
          <w:lang w:val="en-GB"/>
        </w:rPr>
        <w:t xml:space="preserve"> the</w:t>
      </w:r>
      <w:r w:rsidR="00443409">
        <w:rPr>
          <w:rFonts w:ascii="Arial" w:hAnsi="Arial" w:cs="Arial"/>
          <w:color w:val="7B7B7B" w:themeColor="accent3" w:themeShade="BF"/>
          <w:sz w:val="22"/>
          <w:szCs w:val="22"/>
          <w:lang w:val="en-GB"/>
        </w:rPr>
        <w:t xml:space="preserve"> further amendment of the Federal Bankruptcy Law </w:t>
      </w:r>
      <w:r w:rsidR="00443409">
        <w:rPr>
          <w:rFonts w:ascii="Arial" w:hAnsi="Arial" w:cs="Arial"/>
          <w:color w:val="7B7B7B" w:themeColor="accent3" w:themeShade="BF"/>
          <w:sz w:val="22"/>
          <w:szCs w:val="22"/>
          <w:lang w:val="en-GB"/>
        </w:rPr>
        <w:lastRenderedPageBreak/>
        <w:t>N0.9 of 2016 by the Federal Bankruptcy Law N0. 21 of 2020</w:t>
      </w:r>
      <w:r w:rsidR="00DA47CF">
        <w:rPr>
          <w:rFonts w:ascii="Arial" w:hAnsi="Arial" w:cs="Arial"/>
          <w:color w:val="7B7B7B" w:themeColor="accent3" w:themeShade="BF"/>
          <w:sz w:val="22"/>
          <w:szCs w:val="22"/>
          <w:lang w:val="en-GB"/>
        </w:rPr>
        <w:t>.</w:t>
      </w:r>
      <w:r w:rsidR="006D6D7F">
        <w:rPr>
          <w:rFonts w:ascii="Arial" w:hAnsi="Arial" w:cs="Arial"/>
          <w:color w:val="7B7B7B" w:themeColor="accent3" w:themeShade="BF"/>
          <w:sz w:val="22"/>
          <w:szCs w:val="22"/>
          <w:lang w:val="en-GB"/>
        </w:rPr>
        <w:t xml:space="preserve"> Similarly,</w:t>
      </w:r>
      <w:r w:rsidR="00DA47CF">
        <w:rPr>
          <w:rFonts w:ascii="Arial" w:hAnsi="Arial" w:cs="Arial"/>
          <w:color w:val="7B7B7B" w:themeColor="accent3" w:themeShade="BF"/>
          <w:sz w:val="22"/>
          <w:szCs w:val="22"/>
          <w:lang w:val="en-GB"/>
        </w:rPr>
        <w:t xml:space="preserve"> In 2019,</w:t>
      </w:r>
      <w:r w:rsidR="006D6D7F">
        <w:rPr>
          <w:rFonts w:ascii="Arial" w:hAnsi="Arial" w:cs="Arial"/>
          <w:color w:val="7B7B7B" w:themeColor="accent3" w:themeShade="BF"/>
          <w:sz w:val="22"/>
          <w:szCs w:val="22"/>
          <w:lang w:val="en-GB"/>
        </w:rPr>
        <w:t xml:space="preserve"> the </w:t>
      </w:r>
      <w:r w:rsidR="00DA47CF">
        <w:rPr>
          <w:rFonts w:ascii="Arial" w:hAnsi="Arial" w:cs="Arial"/>
          <w:color w:val="7B7B7B" w:themeColor="accent3" w:themeShade="BF"/>
          <w:sz w:val="22"/>
          <w:szCs w:val="22"/>
          <w:lang w:val="en-GB"/>
        </w:rPr>
        <w:t xml:space="preserve"> Dubai International Financial Centre adopted the Model law on Cross-Border Insolvency.</w:t>
      </w:r>
    </w:p>
    <w:p w14:paraId="078E1570" w14:textId="70D927D6" w:rsidR="00A61426" w:rsidRDefault="00A61426" w:rsidP="00C053F7">
      <w:pPr>
        <w:ind w:left="720" w:hanging="720"/>
        <w:jc w:val="both"/>
        <w:rPr>
          <w:rFonts w:ascii="Arial" w:hAnsi="Arial" w:cs="Arial"/>
          <w:color w:val="7B7B7B" w:themeColor="accent3" w:themeShade="BF"/>
          <w:sz w:val="22"/>
          <w:szCs w:val="22"/>
          <w:lang w:val="en-GB"/>
        </w:rPr>
      </w:pPr>
    </w:p>
    <w:p w14:paraId="4340B734" w14:textId="77777777" w:rsidR="009B642C" w:rsidRDefault="00B93978"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recent example of developments in the Middle East region to reform domestic insolvency laws or address international insolvency issues can be found in Bahrain. Bahrain has promulgated the Bahrain Bankruptcy law in 2018. The Bahrain Bankruptcy law introduced an insolvency law system that resembles the restructuring laws concepts of the US Bankruptcy Code under Chapter 11 of the Code.</w:t>
      </w:r>
      <w:r w:rsidR="00343B8D">
        <w:rPr>
          <w:rFonts w:ascii="Arial" w:hAnsi="Arial" w:cs="Arial"/>
          <w:color w:val="7B7B7B" w:themeColor="accent3" w:themeShade="BF"/>
          <w:sz w:val="22"/>
          <w:szCs w:val="22"/>
          <w:lang w:val="en-GB"/>
        </w:rPr>
        <w:t xml:space="preserve"> The Reorganization and Bankruptcy Law (Bahrain Law N0.22/2018) is aimed at maximising the value of insolvent estate and promoting corporate rescue and restructuring instead of liquidation in the event of Corporate insolvency.</w:t>
      </w:r>
    </w:p>
    <w:p w14:paraId="1FB19D32" w14:textId="77777777" w:rsidR="009B642C" w:rsidRDefault="009B642C" w:rsidP="00C053F7">
      <w:pPr>
        <w:ind w:left="720" w:hanging="720"/>
        <w:jc w:val="both"/>
        <w:rPr>
          <w:rFonts w:ascii="Arial" w:hAnsi="Arial" w:cs="Arial"/>
          <w:color w:val="7B7B7B" w:themeColor="accent3" w:themeShade="BF"/>
          <w:sz w:val="22"/>
          <w:szCs w:val="22"/>
          <w:lang w:val="en-GB"/>
        </w:rPr>
      </w:pPr>
    </w:p>
    <w:p w14:paraId="78DB9FD8" w14:textId="79999A8C" w:rsidR="00C72848" w:rsidRPr="00BF1C6F" w:rsidRDefault="009B642C"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Saudi Arabia domestic insolvency law development can also be regarded as another recent example of development in the Middle East region to reform domestic insolvency laws or address international insolvency issues.</w:t>
      </w:r>
      <w:r w:rsidR="00C106E0">
        <w:rPr>
          <w:rFonts w:ascii="Arial" w:hAnsi="Arial" w:cs="Arial"/>
          <w:color w:val="7B7B7B" w:themeColor="accent3" w:themeShade="BF"/>
          <w:sz w:val="22"/>
          <w:szCs w:val="22"/>
          <w:lang w:val="en-GB"/>
        </w:rPr>
        <w:t xml:space="preserve"> The Saudi Arabia Bankruptcy law that regulates insolvency law in Saudi Arabia came into effect in August, 2018.</w:t>
      </w:r>
      <w:r w:rsidR="00E64700">
        <w:rPr>
          <w:rFonts w:ascii="Arial" w:hAnsi="Arial" w:cs="Arial"/>
          <w:color w:val="7B7B7B" w:themeColor="accent3" w:themeShade="BF"/>
          <w:sz w:val="22"/>
          <w:szCs w:val="22"/>
          <w:lang w:val="en-GB"/>
        </w:rPr>
        <w:t xml:space="preserve"> The law drew inspiratio</w:t>
      </w:r>
      <w:r w:rsidR="00FE7F44">
        <w:rPr>
          <w:rFonts w:ascii="Arial" w:hAnsi="Arial" w:cs="Arial"/>
          <w:color w:val="7B7B7B" w:themeColor="accent3" w:themeShade="BF"/>
          <w:sz w:val="22"/>
          <w:szCs w:val="22"/>
          <w:lang w:val="en-GB"/>
        </w:rPr>
        <w:t>n from Chapter 11 procedure of the US Bankruptcy Code. Under the law, a specialist Bankruptcy committee which is an independent administrative and financial legal body is in charge of the responsibility to manage bankruptcy register and coordinate the relevant liquidation and bankruptcy procedures under the supervision of the Saudi Arabia Ministry of Commerce and Investment.</w:t>
      </w:r>
      <w:r w:rsidR="00C72848" w:rsidRPr="00BF1C6F">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14CAD65D"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BEF3CCD" w14:textId="433991FC" w:rsidR="002807FF"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2807FF">
        <w:rPr>
          <w:rFonts w:ascii="Arial" w:hAnsi="Arial" w:cs="Arial"/>
          <w:color w:val="7B7B7B" w:themeColor="accent3" w:themeShade="BF"/>
          <w:sz w:val="22"/>
          <w:szCs w:val="22"/>
          <w:lang w:val="en-GB"/>
        </w:rPr>
        <w:t xml:space="preserve">The differences regarding the objectives of insolvency for individuals and corporations can be </w:t>
      </w:r>
      <w:r w:rsidR="008D29D8">
        <w:rPr>
          <w:rFonts w:ascii="Arial" w:hAnsi="Arial" w:cs="Arial"/>
          <w:color w:val="7B7B7B" w:themeColor="accent3" w:themeShade="BF"/>
          <w:sz w:val="22"/>
          <w:szCs w:val="22"/>
          <w:lang w:val="en-GB"/>
        </w:rPr>
        <w:t>identified</w:t>
      </w:r>
      <w:r w:rsidR="002807FF">
        <w:rPr>
          <w:rFonts w:ascii="Arial" w:hAnsi="Arial" w:cs="Arial"/>
          <w:color w:val="7B7B7B" w:themeColor="accent3" w:themeShade="BF"/>
          <w:sz w:val="22"/>
          <w:szCs w:val="22"/>
          <w:lang w:val="en-GB"/>
        </w:rPr>
        <w:t xml:space="preserve"> as follows:</w:t>
      </w:r>
    </w:p>
    <w:p w14:paraId="5344E36A" w14:textId="77777777" w:rsidR="002807FF" w:rsidRDefault="002807FF" w:rsidP="00C053F7">
      <w:pPr>
        <w:jc w:val="both"/>
        <w:rPr>
          <w:rFonts w:ascii="Arial" w:hAnsi="Arial" w:cs="Arial"/>
          <w:color w:val="7B7B7B" w:themeColor="accent3" w:themeShade="BF"/>
          <w:sz w:val="22"/>
          <w:szCs w:val="22"/>
          <w:lang w:val="en-GB"/>
        </w:rPr>
      </w:pPr>
    </w:p>
    <w:p w14:paraId="580D7723" w14:textId="77777777" w:rsidR="002807FF" w:rsidRPr="00CF090F" w:rsidRDefault="002807FF" w:rsidP="00CF090F">
      <w:pPr>
        <w:jc w:val="both"/>
        <w:rPr>
          <w:rFonts w:ascii="Arial" w:hAnsi="Arial" w:cs="Arial"/>
          <w:sz w:val="24"/>
          <w:lang w:val="en-GB"/>
        </w:rPr>
      </w:pPr>
      <w:r w:rsidRPr="00CF090F">
        <w:rPr>
          <w:rFonts w:ascii="Arial" w:hAnsi="Arial" w:cs="Arial"/>
          <w:color w:val="7B7B7B" w:themeColor="accent3" w:themeShade="BF"/>
          <w:sz w:val="22"/>
          <w:szCs w:val="22"/>
          <w:lang w:val="en-GB"/>
        </w:rPr>
        <w:t>The individual debtor is protected from harassment by his creditors.</w:t>
      </w:r>
    </w:p>
    <w:p w14:paraId="374F3D65" w14:textId="774E852C" w:rsidR="00613EB2" w:rsidRPr="00185795" w:rsidRDefault="002807FF" w:rsidP="0018579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major objectives of insolvency for individuals is to protect the individual debtor who sometimes may not have contributed to the reason for the insolvency from </w:t>
      </w:r>
      <w:r w:rsidR="00AF588E">
        <w:rPr>
          <w:rFonts w:ascii="Arial" w:hAnsi="Arial" w:cs="Arial"/>
          <w:color w:val="7B7B7B" w:themeColor="accent3" w:themeShade="BF"/>
          <w:sz w:val="22"/>
          <w:szCs w:val="22"/>
          <w:lang w:val="en-GB"/>
        </w:rPr>
        <w:t>harassment by his creditors.</w:t>
      </w:r>
      <w:r w:rsidR="00613EB2">
        <w:rPr>
          <w:rFonts w:ascii="Arial" w:hAnsi="Arial" w:cs="Arial"/>
          <w:color w:val="7B7B7B" w:themeColor="accent3" w:themeShade="BF"/>
          <w:sz w:val="22"/>
          <w:szCs w:val="22"/>
          <w:lang w:val="en-GB"/>
        </w:rPr>
        <w:t xml:space="preserve"> A situation where every creditor harasses the individual debtor will result to constant conflict </w:t>
      </w:r>
      <w:r w:rsidR="00B0411A">
        <w:rPr>
          <w:rFonts w:ascii="Arial" w:hAnsi="Arial" w:cs="Arial"/>
          <w:color w:val="7B7B7B" w:themeColor="accent3" w:themeShade="BF"/>
          <w:sz w:val="22"/>
          <w:szCs w:val="22"/>
          <w:lang w:val="en-GB"/>
        </w:rPr>
        <w:t xml:space="preserve">in the society. </w:t>
      </w:r>
      <w:r w:rsidR="00185795">
        <w:rPr>
          <w:rFonts w:ascii="Arial" w:hAnsi="Arial" w:cs="Arial"/>
          <w:color w:val="7B7B7B" w:themeColor="accent3" w:themeShade="BF"/>
          <w:sz w:val="22"/>
          <w:szCs w:val="22"/>
          <w:lang w:val="en-GB"/>
        </w:rPr>
        <w:t xml:space="preserve">The objective of insolvency in this regard is to freeze individual creditor pursuit of his debt against the individual debtor. This freezing action is referred to as automatic stay, signifying a moratorium against individual debt enforcement. </w:t>
      </w:r>
      <w:r w:rsidR="00185795" w:rsidRPr="00185795">
        <w:rPr>
          <w:rFonts w:ascii="Arial" w:hAnsi="Arial" w:cs="Arial"/>
          <w:color w:val="7B7B7B" w:themeColor="accent3" w:themeShade="BF"/>
          <w:sz w:val="22"/>
          <w:szCs w:val="22"/>
          <w:lang w:val="en-GB"/>
        </w:rPr>
        <w:t xml:space="preserve">  </w:t>
      </w:r>
    </w:p>
    <w:p w14:paraId="0A025A75" w14:textId="77777777" w:rsidR="00613EB2" w:rsidRDefault="00613EB2" w:rsidP="002807FF">
      <w:pPr>
        <w:pStyle w:val="ListParagraph"/>
        <w:jc w:val="both"/>
        <w:rPr>
          <w:rFonts w:ascii="Arial" w:hAnsi="Arial" w:cs="Arial"/>
          <w:color w:val="7B7B7B" w:themeColor="accent3" w:themeShade="BF"/>
          <w:sz w:val="22"/>
          <w:szCs w:val="22"/>
          <w:lang w:val="en-GB"/>
        </w:rPr>
      </w:pPr>
    </w:p>
    <w:p w14:paraId="7172FBB9" w14:textId="25D98D11" w:rsidR="004F020E" w:rsidRPr="00CF090F" w:rsidRDefault="00AB6753" w:rsidP="00CF090F">
      <w:pPr>
        <w:jc w:val="both"/>
        <w:rPr>
          <w:rFonts w:ascii="Arial" w:hAnsi="Arial" w:cs="Arial"/>
          <w:sz w:val="24"/>
          <w:lang w:val="en-GB"/>
        </w:rPr>
      </w:pPr>
      <w:r w:rsidRPr="00CF090F">
        <w:rPr>
          <w:rFonts w:ascii="Arial" w:hAnsi="Arial" w:cs="Arial"/>
          <w:color w:val="7B7B7B" w:themeColor="accent3" w:themeShade="BF"/>
          <w:sz w:val="22"/>
          <w:szCs w:val="22"/>
          <w:lang w:val="en-GB"/>
        </w:rPr>
        <w:t>Individual i</w:t>
      </w:r>
      <w:r w:rsidR="00566200" w:rsidRPr="00CF090F">
        <w:rPr>
          <w:rFonts w:ascii="Arial" w:hAnsi="Arial" w:cs="Arial"/>
          <w:color w:val="7B7B7B" w:themeColor="accent3" w:themeShade="BF"/>
          <w:sz w:val="22"/>
          <w:szCs w:val="22"/>
          <w:lang w:val="en-GB"/>
        </w:rPr>
        <w:t>nsolvency enable</w:t>
      </w:r>
      <w:r w:rsidRPr="00CF090F">
        <w:rPr>
          <w:rFonts w:ascii="Arial" w:hAnsi="Arial" w:cs="Arial"/>
          <w:color w:val="7B7B7B" w:themeColor="accent3" w:themeShade="BF"/>
          <w:sz w:val="22"/>
          <w:szCs w:val="22"/>
          <w:lang w:val="en-GB"/>
        </w:rPr>
        <w:t>s</w:t>
      </w:r>
      <w:r w:rsidR="00566200" w:rsidRPr="00CF090F">
        <w:rPr>
          <w:rFonts w:ascii="Arial" w:hAnsi="Arial" w:cs="Arial"/>
          <w:color w:val="7B7B7B" w:themeColor="accent3" w:themeShade="BF"/>
          <w:sz w:val="22"/>
          <w:szCs w:val="22"/>
          <w:lang w:val="en-GB"/>
        </w:rPr>
        <w:t xml:space="preserve"> the individual debtor to make a </w:t>
      </w:r>
      <w:r w:rsidR="00613EB2" w:rsidRPr="00CF090F">
        <w:rPr>
          <w:rFonts w:ascii="Arial" w:hAnsi="Arial" w:cs="Arial"/>
          <w:color w:val="7B7B7B" w:themeColor="accent3" w:themeShade="BF"/>
          <w:sz w:val="22"/>
          <w:szCs w:val="22"/>
          <w:lang w:val="en-GB"/>
        </w:rPr>
        <w:t>fresh start</w:t>
      </w:r>
      <w:r w:rsidR="004F020E" w:rsidRPr="00CF090F">
        <w:rPr>
          <w:rFonts w:ascii="Arial" w:hAnsi="Arial" w:cs="Arial"/>
          <w:color w:val="7B7B7B" w:themeColor="accent3" w:themeShade="BF"/>
          <w:sz w:val="22"/>
          <w:szCs w:val="22"/>
          <w:lang w:val="en-GB"/>
        </w:rPr>
        <w:t xml:space="preserve"> especially,</w:t>
      </w:r>
      <w:r w:rsidR="00613EB2" w:rsidRPr="00CF090F">
        <w:rPr>
          <w:rFonts w:ascii="Arial" w:hAnsi="Arial" w:cs="Arial"/>
          <w:color w:val="7B7B7B" w:themeColor="accent3" w:themeShade="BF"/>
          <w:sz w:val="22"/>
          <w:szCs w:val="22"/>
          <w:lang w:val="en-GB"/>
        </w:rPr>
        <w:t xml:space="preserve"> where the individual debtor is less blameworthy in the insolvency. </w:t>
      </w:r>
      <w:r w:rsidR="00242512" w:rsidRPr="00CF090F">
        <w:rPr>
          <w:rFonts w:ascii="Arial" w:hAnsi="Arial" w:cs="Arial"/>
          <w:color w:val="7B7B7B" w:themeColor="accent3" w:themeShade="BF"/>
          <w:sz w:val="22"/>
          <w:szCs w:val="22"/>
          <w:lang w:val="en-GB"/>
        </w:rPr>
        <w:t>A fresh start is a form of a discharge accorded the individual debtor from his or her outstanding debts upon application for grant after surrendering his or her assets for distribution to his or her creditors upon the order of insolvency being issued. Corporations do not enjoy the principle of fresh start or discharge as they do not have life after being wound up by order of court in an insolvency proceeding</w:t>
      </w:r>
      <w:r w:rsidR="004C4D1F">
        <w:rPr>
          <w:rStyle w:val="FootnoteReference"/>
          <w:rFonts w:ascii="Arial" w:hAnsi="Arial" w:cs="Arial"/>
          <w:color w:val="7B7B7B" w:themeColor="accent3" w:themeShade="BF"/>
          <w:sz w:val="22"/>
          <w:szCs w:val="22"/>
          <w:lang w:val="en-GB"/>
        </w:rPr>
        <w:footnoteReference w:id="13"/>
      </w:r>
      <w:r w:rsidR="004F020E" w:rsidRPr="00CF090F">
        <w:rPr>
          <w:rFonts w:ascii="Arial" w:hAnsi="Arial" w:cs="Arial"/>
          <w:color w:val="7B7B7B" w:themeColor="accent3" w:themeShade="BF"/>
          <w:sz w:val="22"/>
          <w:szCs w:val="22"/>
          <w:lang w:val="en-GB"/>
        </w:rPr>
        <w:t>.</w:t>
      </w:r>
    </w:p>
    <w:p w14:paraId="3EEB61CA" w14:textId="77777777" w:rsidR="004F020E" w:rsidRPr="004F020E" w:rsidRDefault="004F020E" w:rsidP="004F020E">
      <w:pPr>
        <w:pStyle w:val="ListParagraph"/>
        <w:jc w:val="both"/>
        <w:rPr>
          <w:rFonts w:ascii="Arial" w:hAnsi="Arial" w:cs="Arial"/>
          <w:sz w:val="24"/>
          <w:lang w:val="en-GB"/>
        </w:rPr>
      </w:pPr>
    </w:p>
    <w:p w14:paraId="40E09409" w14:textId="0B30E1DF" w:rsidR="00321B0A" w:rsidRPr="00CF090F" w:rsidRDefault="00AB6753" w:rsidP="00CF090F">
      <w:pPr>
        <w:jc w:val="both"/>
        <w:rPr>
          <w:rFonts w:ascii="Arial" w:hAnsi="Arial" w:cs="Arial"/>
          <w:sz w:val="24"/>
          <w:lang w:val="en-GB"/>
        </w:rPr>
      </w:pPr>
      <w:r w:rsidRPr="00CF090F">
        <w:rPr>
          <w:rFonts w:ascii="Arial" w:hAnsi="Arial" w:cs="Arial"/>
          <w:color w:val="7B7B7B" w:themeColor="accent3" w:themeShade="BF"/>
          <w:sz w:val="22"/>
          <w:szCs w:val="22"/>
          <w:lang w:val="en-GB"/>
        </w:rPr>
        <w:t>Individual i</w:t>
      </w:r>
      <w:r w:rsidR="002308F2" w:rsidRPr="00CF090F">
        <w:rPr>
          <w:rFonts w:ascii="Arial" w:hAnsi="Arial" w:cs="Arial"/>
          <w:color w:val="7B7B7B" w:themeColor="accent3" w:themeShade="BF"/>
          <w:sz w:val="22"/>
          <w:szCs w:val="22"/>
          <w:lang w:val="en-GB"/>
        </w:rPr>
        <w:t>nsolvency helps the individual to reduce indebtedness by making contributions from present and future income to the estate while at the same time taking his personal circumstances into consideration</w:t>
      </w:r>
      <w:r w:rsidR="00321B0A" w:rsidRPr="00CF090F">
        <w:rPr>
          <w:rFonts w:ascii="Arial" w:hAnsi="Arial" w:cs="Arial"/>
          <w:color w:val="7B7B7B" w:themeColor="accent3" w:themeShade="BF"/>
          <w:sz w:val="22"/>
          <w:szCs w:val="22"/>
          <w:lang w:val="en-GB"/>
        </w:rPr>
        <w:t>.</w:t>
      </w:r>
    </w:p>
    <w:p w14:paraId="029BF5FD" w14:textId="77777777" w:rsidR="00321B0A" w:rsidRPr="00321B0A" w:rsidRDefault="00321B0A" w:rsidP="00321B0A">
      <w:pPr>
        <w:pStyle w:val="ListParagraph"/>
        <w:rPr>
          <w:rFonts w:ascii="Arial" w:hAnsi="Arial" w:cs="Arial"/>
          <w:color w:val="7B7B7B" w:themeColor="accent3" w:themeShade="BF"/>
          <w:sz w:val="22"/>
          <w:szCs w:val="22"/>
          <w:lang w:val="en-GB"/>
        </w:rPr>
      </w:pPr>
    </w:p>
    <w:p w14:paraId="722BDC64" w14:textId="4B076F30" w:rsidR="005A665B" w:rsidRPr="00CF090F" w:rsidRDefault="00AB6753" w:rsidP="00CF090F">
      <w:pPr>
        <w:jc w:val="both"/>
        <w:rPr>
          <w:rFonts w:ascii="Arial" w:hAnsi="Arial" w:cs="Arial"/>
          <w:sz w:val="24"/>
          <w:lang w:val="en-GB"/>
        </w:rPr>
      </w:pPr>
      <w:r w:rsidRPr="00CF090F">
        <w:rPr>
          <w:rFonts w:ascii="Arial" w:hAnsi="Arial" w:cs="Arial"/>
          <w:color w:val="7B7B7B" w:themeColor="accent3" w:themeShade="BF"/>
          <w:sz w:val="22"/>
          <w:szCs w:val="22"/>
          <w:lang w:val="en-GB"/>
        </w:rPr>
        <w:t>Individual i</w:t>
      </w:r>
      <w:r w:rsidR="00321B0A" w:rsidRPr="00CF090F">
        <w:rPr>
          <w:rFonts w:ascii="Arial" w:hAnsi="Arial" w:cs="Arial"/>
          <w:color w:val="7B7B7B" w:themeColor="accent3" w:themeShade="BF"/>
          <w:sz w:val="22"/>
          <w:szCs w:val="22"/>
          <w:lang w:val="en-GB"/>
        </w:rPr>
        <w:t>nsolvency enables the individual to adopt an alternative process to liquidation.</w:t>
      </w:r>
      <w:r w:rsidR="00517969" w:rsidRPr="00CF090F">
        <w:rPr>
          <w:rFonts w:ascii="Arial" w:hAnsi="Arial" w:cs="Arial"/>
          <w:color w:val="7B7B7B" w:themeColor="accent3" w:themeShade="BF"/>
          <w:sz w:val="22"/>
          <w:szCs w:val="22"/>
          <w:lang w:val="en-GB"/>
        </w:rPr>
        <w:t xml:space="preserve"> This is achieved through a formal repayment plan as alternative to the formal bankruptcy of the individual. Such a repayment plan may in some prescribed instances follow a majority vote of acceptance by the debtor’s creditors or creditors </w:t>
      </w:r>
      <w:r w:rsidR="00CF090F" w:rsidRPr="00CF090F">
        <w:rPr>
          <w:rFonts w:ascii="Arial" w:hAnsi="Arial" w:cs="Arial"/>
          <w:color w:val="7B7B7B" w:themeColor="accent3" w:themeShade="BF"/>
          <w:sz w:val="22"/>
          <w:szCs w:val="22"/>
          <w:lang w:val="en-GB"/>
        </w:rPr>
        <w:t>may be</w:t>
      </w:r>
      <w:r w:rsidR="00517969" w:rsidRPr="00CF090F">
        <w:rPr>
          <w:rFonts w:ascii="Arial" w:hAnsi="Arial" w:cs="Arial"/>
          <w:color w:val="7B7B7B" w:themeColor="accent3" w:themeShade="BF"/>
          <w:sz w:val="22"/>
          <w:szCs w:val="22"/>
          <w:lang w:val="en-GB"/>
        </w:rPr>
        <w:t xml:space="preserve"> bound by way of a court order.</w:t>
      </w:r>
    </w:p>
    <w:p w14:paraId="17B2E756" w14:textId="77777777" w:rsidR="005A665B" w:rsidRPr="005A665B" w:rsidRDefault="005A665B" w:rsidP="005A665B">
      <w:pPr>
        <w:pStyle w:val="ListParagraph"/>
        <w:rPr>
          <w:rFonts w:ascii="Arial" w:hAnsi="Arial" w:cs="Arial"/>
          <w:color w:val="7B7B7B" w:themeColor="accent3" w:themeShade="BF"/>
          <w:sz w:val="22"/>
          <w:szCs w:val="22"/>
          <w:lang w:val="en-GB"/>
        </w:rPr>
      </w:pPr>
    </w:p>
    <w:p w14:paraId="460D37F4" w14:textId="582F6C8B" w:rsidR="00521CCD" w:rsidRPr="00CF090F" w:rsidRDefault="00AB6753" w:rsidP="00CF090F">
      <w:pPr>
        <w:jc w:val="both"/>
        <w:rPr>
          <w:rFonts w:ascii="Arial" w:hAnsi="Arial" w:cs="Arial"/>
          <w:sz w:val="24"/>
          <w:lang w:val="en-GB"/>
        </w:rPr>
      </w:pPr>
      <w:r w:rsidRPr="00CF090F">
        <w:rPr>
          <w:rFonts w:ascii="Arial" w:hAnsi="Arial" w:cs="Arial"/>
          <w:color w:val="7B7B7B" w:themeColor="accent3" w:themeShade="BF"/>
          <w:sz w:val="22"/>
          <w:szCs w:val="22"/>
          <w:lang w:val="en-GB"/>
        </w:rPr>
        <w:t>Individual i</w:t>
      </w:r>
      <w:r w:rsidR="005A665B" w:rsidRPr="00CF090F">
        <w:rPr>
          <w:rFonts w:ascii="Arial" w:hAnsi="Arial" w:cs="Arial"/>
          <w:color w:val="7B7B7B" w:themeColor="accent3" w:themeShade="BF"/>
          <w:sz w:val="22"/>
          <w:szCs w:val="22"/>
          <w:lang w:val="en-GB"/>
        </w:rPr>
        <w:t>nsolvency helps to limit the contractual capacity of the individual to obtain new credit by requiring the consent of their estate representatives to obtain credit. The insolvent individual is also not allowed to take up certain positions, such as being a member of a parliament or as a director of a company or to be appointed as an officeholder of an insolvent estate</w:t>
      </w:r>
    </w:p>
    <w:p w14:paraId="04286017" w14:textId="77777777" w:rsidR="00521CCD" w:rsidRPr="00521CCD" w:rsidRDefault="00521CCD" w:rsidP="00521CCD">
      <w:pPr>
        <w:pStyle w:val="ListParagraph"/>
        <w:rPr>
          <w:rFonts w:ascii="Arial" w:hAnsi="Arial" w:cs="Arial"/>
          <w:color w:val="7B7B7B" w:themeColor="accent3" w:themeShade="BF"/>
          <w:sz w:val="22"/>
          <w:szCs w:val="22"/>
          <w:lang w:val="en-GB"/>
        </w:rPr>
      </w:pPr>
    </w:p>
    <w:p w14:paraId="0E719180" w14:textId="7588A927" w:rsidR="008341AC" w:rsidRPr="00CF090F" w:rsidRDefault="00AB6753" w:rsidP="00CF090F">
      <w:pPr>
        <w:jc w:val="both"/>
        <w:rPr>
          <w:rFonts w:ascii="Arial" w:hAnsi="Arial" w:cs="Arial"/>
          <w:sz w:val="24"/>
          <w:lang w:val="en-GB"/>
        </w:rPr>
      </w:pPr>
      <w:r w:rsidRPr="00CF090F">
        <w:rPr>
          <w:rFonts w:ascii="Arial" w:hAnsi="Arial" w:cs="Arial"/>
          <w:color w:val="7B7B7B" w:themeColor="accent3" w:themeShade="BF"/>
          <w:sz w:val="22"/>
          <w:szCs w:val="22"/>
          <w:lang w:val="en-GB"/>
        </w:rPr>
        <w:t>Individual i</w:t>
      </w:r>
      <w:r w:rsidR="00521CCD" w:rsidRPr="00CF090F">
        <w:rPr>
          <w:rFonts w:ascii="Arial" w:hAnsi="Arial" w:cs="Arial"/>
          <w:color w:val="7B7B7B" w:themeColor="accent3" w:themeShade="BF"/>
          <w:sz w:val="22"/>
          <w:szCs w:val="22"/>
          <w:lang w:val="en-GB"/>
        </w:rPr>
        <w:t xml:space="preserve">nsolvency </w:t>
      </w:r>
      <w:r w:rsidR="00CF090F" w:rsidRPr="00CF090F">
        <w:rPr>
          <w:rFonts w:ascii="Arial" w:hAnsi="Arial" w:cs="Arial"/>
          <w:color w:val="7B7B7B" w:themeColor="accent3" w:themeShade="BF"/>
          <w:sz w:val="22"/>
          <w:szCs w:val="22"/>
          <w:lang w:val="en-GB"/>
        </w:rPr>
        <w:t>enables</w:t>
      </w:r>
      <w:r w:rsidR="00521CCD" w:rsidRPr="00CF090F">
        <w:rPr>
          <w:rFonts w:ascii="Arial" w:hAnsi="Arial" w:cs="Arial"/>
          <w:color w:val="7B7B7B" w:themeColor="accent3" w:themeShade="BF"/>
          <w:sz w:val="22"/>
          <w:szCs w:val="22"/>
          <w:lang w:val="en-GB"/>
        </w:rPr>
        <w:t xml:space="preserve"> the individual to exempt or exclude certain assets from the estate, such as essential household goods for necessities</w:t>
      </w:r>
      <w:r w:rsidR="00DF4FF8" w:rsidRPr="00CF090F">
        <w:rPr>
          <w:rFonts w:ascii="Arial" w:hAnsi="Arial" w:cs="Arial"/>
          <w:color w:val="7B7B7B" w:themeColor="accent3" w:themeShade="BF"/>
          <w:sz w:val="22"/>
          <w:szCs w:val="22"/>
          <w:lang w:val="en-GB"/>
        </w:rPr>
        <w:t xml:space="preserve">, tools for trade, house hold furniture </w:t>
      </w:r>
      <w:r w:rsidR="00CF090F" w:rsidRPr="00CF090F">
        <w:rPr>
          <w:rFonts w:ascii="Arial" w:hAnsi="Arial" w:cs="Arial"/>
          <w:color w:val="7B7B7B" w:themeColor="accent3" w:themeShade="BF"/>
          <w:sz w:val="22"/>
          <w:szCs w:val="22"/>
          <w:lang w:val="en-GB"/>
        </w:rPr>
        <w:t>etc,</w:t>
      </w:r>
      <w:r w:rsidR="00521CCD" w:rsidRPr="00CF090F">
        <w:rPr>
          <w:rFonts w:ascii="Arial" w:hAnsi="Arial" w:cs="Arial"/>
          <w:color w:val="7B7B7B" w:themeColor="accent3" w:themeShade="BF"/>
          <w:sz w:val="22"/>
          <w:szCs w:val="22"/>
          <w:lang w:val="en-GB"/>
        </w:rPr>
        <w:t xml:space="preserve"> </w:t>
      </w:r>
      <w:r w:rsidR="00CF090F" w:rsidRPr="00CF090F">
        <w:rPr>
          <w:rFonts w:ascii="Arial" w:hAnsi="Arial" w:cs="Arial"/>
          <w:color w:val="7B7B7B" w:themeColor="accent3" w:themeShade="BF"/>
          <w:sz w:val="22"/>
          <w:szCs w:val="22"/>
          <w:lang w:val="en-GB"/>
        </w:rPr>
        <w:t>while</w:t>
      </w:r>
      <w:r w:rsidR="00521CCD" w:rsidRPr="00CF090F">
        <w:rPr>
          <w:rFonts w:ascii="Arial" w:hAnsi="Arial" w:cs="Arial"/>
          <w:color w:val="7B7B7B" w:themeColor="accent3" w:themeShade="BF"/>
          <w:sz w:val="22"/>
          <w:szCs w:val="22"/>
          <w:lang w:val="en-GB"/>
        </w:rPr>
        <w:t xml:space="preserve"> in corporate liquidation no assets in exempted or excluded</w:t>
      </w:r>
      <w:r w:rsidR="005A665B" w:rsidRPr="00CF090F">
        <w:rPr>
          <w:rFonts w:ascii="Arial" w:hAnsi="Arial" w:cs="Arial"/>
          <w:color w:val="7B7B7B" w:themeColor="accent3" w:themeShade="BF"/>
          <w:sz w:val="22"/>
          <w:szCs w:val="22"/>
          <w:lang w:val="en-GB"/>
        </w:rPr>
        <w:t>.</w:t>
      </w:r>
    </w:p>
    <w:p w14:paraId="35E7A35B" w14:textId="77777777" w:rsidR="008341AC" w:rsidRPr="008341AC" w:rsidRDefault="008341AC" w:rsidP="008341AC">
      <w:pPr>
        <w:pStyle w:val="ListParagraph"/>
        <w:rPr>
          <w:rFonts w:ascii="Arial" w:hAnsi="Arial" w:cs="Arial"/>
          <w:color w:val="7B7B7B" w:themeColor="accent3" w:themeShade="BF"/>
          <w:sz w:val="22"/>
          <w:szCs w:val="22"/>
          <w:lang w:val="en-GB"/>
        </w:rPr>
      </w:pPr>
    </w:p>
    <w:p w14:paraId="5B944193" w14:textId="77777777" w:rsidR="009968D7" w:rsidRDefault="008341AC"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BE1EC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orporation insolvency</w:t>
      </w:r>
      <w:r w:rsidR="00B86D10">
        <w:rPr>
          <w:rFonts w:ascii="Arial" w:hAnsi="Arial" w:cs="Arial"/>
          <w:color w:val="7B7B7B" w:themeColor="accent3" w:themeShade="BF"/>
          <w:sz w:val="22"/>
          <w:szCs w:val="22"/>
          <w:lang w:val="en-GB"/>
        </w:rPr>
        <w:t xml:space="preserve">, </w:t>
      </w:r>
      <w:r w:rsidR="00800129">
        <w:rPr>
          <w:rFonts w:ascii="Arial" w:hAnsi="Arial" w:cs="Arial"/>
          <w:color w:val="7B7B7B" w:themeColor="accent3" w:themeShade="BF"/>
          <w:sz w:val="22"/>
          <w:szCs w:val="22"/>
          <w:lang w:val="en-GB"/>
        </w:rPr>
        <w:t xml:space="preserve">the insolvency, </w:t>
      </w:r>
      <w:r w:rsidR="00B86D10">
        <w:rPr>
          <w:rFonts w:ascii="Arial" w:hAnsi="Arial" w:cs="Arial"/>
          <w:color w:val="7B7B7B" w:themeColor="accent3" w:themeShade="BF"/>
          <w:sz w:val="22"/>
          <w:szCs w:val="22"/>
          <w:lang w:val="en-GB"/>
        </w:rPr>
        <w:t>where possible is aimed at preserving the business, or viable parts of the business.</w:t>
      </w:r>
      <w:r w:rsidR="00800129">
        <w:rPr>
          <w:rFonts w:ascii="Arial" w:hAnsi="Arial" w:cs="Arial"/>
          <w:color w:val="7B7B7B" w:themeColor="accent3" w:themeShade="BF"/>
          <w:sz w:val="22"/>
          <w:szCs w:val="22"/>
          <w:lang w:val="en-GB"/>
        </w:rPr>
        <w:t xml:space="preserve"> </w:t>
      </w:r>
      <w:r w:rsidR="009968D7">
        <w:rPr>
          <w:rFonts w:ascii="Arial" w:hAnsi="Arial" w:cs="Arial"/>
          <w:color w:val="7B7B7B" w:themeColor="accent3" w:themeShade="BF"/>
          <w:sz w:val="22"/>
          <w:szCs w:val="22"/>
          <w:lang w:val="en-GB"/>
        </w:rPr>
        <w:t>This objective is usually by a business rescue mechanism through restructuring.</w:t>
      </w:r>
    </w:p>
    <w:p w14:paraId="7DF0A92D" w14:textId="77777777" w:rsidR="009968D7" w:rsidRDefault="009968D7" w:rsidP="008341AC">
      <w:pPr>
        <w:jc w:val="both"/>
        <w:rPr>
          <w:rFonts w:ascii="Arial" w:hAnsi="Arial" w:cs="Arial"/>
          <w:color w:val="7B7B7B" w:themeColor="accent3" w:themeShade="BF"/>
          <w:sz w:val="22"/>
          <w:szCs w:val="22"/>
          <w:lang w:val="en-GB"/>
        </w:rPr>
      </w:pPr>
    </w:p>
    <w:p w14:paraId="53B2C648" w14:textId="31EE23CD" w:rsidR="00376FBF" w:rsidRDefault="009968D7"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insolvency helps to maximise the value of the assets of the creditors</w:t>
      </w:r>
      <w:r w:rsidR="005E6431">
        <w:rPr>
          <w:rFonts w:ascii="Arial" w:hAnsi="Arial" w:cs="Arial"/>
          <w:color w:val="7B7B7B" w:themeColor="accent3" w:themeShade="BF"/>
          <w:sz w:val="22"/>
          <w:szCs w:val="22"/>
          <w:lang w:val="en-GB"/>
        </w:rPr>
        <w:t>. Here, individual creditor’s collection of debt could frustrate the corporation’s attempt to</w:t>
      </w:r>
      <w:r w:rsidR="00AB6753">
        <w:rPr>
          <w:rFonts w:ascii="Arial" w:hAnsi="Arial" w:cs="Arial"/>
          <w:color w:val="7B7B7B" w:themeColor="accent3" w:themeShade="BF"/>
          <w:sz w:val="22"/>
          <w:szCs w:val="22"/>
          <w:lang w:val="en-GB"/>
        </w:rPr>
        <w:t xml:space="preserve"> maximize the value of the remaining assets for distribution to creditors.</w:t>
      </w:r>
    </w:p>
    <w:p w14:paraId="62CE9213" w14:textId="77777777" w:rsidR="00376FBF" w:rsidRDefault="00376FBF" w:rsidP="008341AC">
      <w:pPr>
        <w:jc w:val="both"/>
        <w:rPr>
          <w:rFonts w:ascii="Arial" w:hAnsi="Arial" w:cs="Arial"/>
          <w:color w:val="7B7B7B" w:themeColor="accent3" w:themeShade="BF"/>
          <w:sz w:val="22"/>
          <w:szCs w:val="22"/>
          <w:lang w:val="en-GB"/>
        </w:rPr>
      </w:pPr>
    </w:p>
    <w:p w14:paraId="3C117B23" w14:textId="2CEE47AF" w:rsidR="000E744D" w:rsidRDefault="00376FBF"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 insolvency helps to initiate a room for statutory compromise where the insolvent company and its creditors can agree on a compromise to preserve the assessed loss of the company</w:t>
      </w:r>
      <w:r w:rsidR="00B16F3A">
        <w:rPr>
          <w:rFonts w:ascii="Arial" w:hAnsi="Arial" w:cs="Arial"/>
          <w:color w:val="7B7B7B" w:themeColor="accent3" w:themeShade="BF"/>
          <w:sz w:val="22"/>
          <w:szCs w:val="22"/>
          <w:lang w:val="en-GB"/>
        </w:rPr>
        <w:t>. If the company ceases trading, the assessed loss is lost, but this loss can be set off against future income if the company is resuscitated before such cessation</w:t>
      </w:r>
      <w:r w:rsidR="00B16F3A">
        <w:rPr>
          <w:rStyle w:val="FootnoteReference"/>
          <w:rFonts w:ascii="Arial" w:hAnsi="Arial" w:cs="Arial"/>
          <w:color w:val="7B7B7B" w:themeColor="accent3" w:themeShade="BF"/>
          <w:sz w:val="22"/>
          <w:szCs w:val="22"/>
          <w:lang w:val="en-GB"/>
        </w:rPr>
        <w:footnoteReference w:id="14"/>
      </w:r>
      <w:r w:rsidR="000E744D">
        <w:rPr>
          <w:rFonts w:ascii="Arial" w:hAnsi="Arial" w:cs="Arial"/>
          <w:color w:val="7B7B7B" w:themeColor="accent3" w:themeShade="BF"/>
          <w:sz w:val="22"/>
          <w:szCs w:val="22"/>
          <w:lang w:val="en-GB"/>
        </w:rPr>
        <w:t>.</w:t>
      </w:r>
    </w:p>
    <w:p w14:paraId="4C40CF94" w14:textId="6D6833C9" w:rsidR="000E744D" w:rsidRDefault="000E744D" w:rsidP="008341AC">
      <w:pPr>
        <w:jc w:val="both"/>
        <w:rPr>
          <w:rFonts w:ascii="Arial" w:hAnsi="Arial" w:cs="Arial"/>
          <w:color w:val="7B7B7B" w:themeColor="accent3" w:themeShade="BF"/>
          <w:sz w:val="22"/>
          <w:szCs w:val="22"/>
          <w:lang w:val="en-GB"/>
        </w:rPr>
      </w:pPr>
    </w:p>
    <w:p w14:paraId="0D542325" w14:textId="77777777" w:rsidR="00C1752F" w:rsidRDefault="000E744D"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insolvency helps to minimise individual creditor’s costs to recover it debts once liquidation order has been granted. The efforts of individual creditor’s in monitoring the debtor’s financial estate is eliminated in corporate insolvency proceedings.</w:t>
      </w:r>
    </w:p>
    <w:p w14:paraId="55CBC27C" w14:textId="77777777" w:rsidR="00C1752F" w:rsidRDefault="00C1752F" w:rsidP="008341AC">
      <w:pPr>
        <w:jc w:val="both"/>
        <w:rPr>
          <w:rFonts w:ascii="Arial" w:hAnsi="Arial" w:cs="Arial"/>
          <w:color w:val="7B7B7B" w:themeColor="accent3" w:themeShade="BF"/>
          <w:sz w:val="22"/>
          <w:szCs w:val="22"/>
          <w:lang w:val="en-GB"/>
        </w:rPr>
      </w:pPr>
    </w:p>
    <w:p w14:paraId="024D0652" w14:textId="022C303E" w:rsidR="00B718A5" w:rsidRDefault="00C1752F"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Insolvency helps to protect public interest. Creditors of an insolvent company are not the only beneficiaries of the estate of the insolvent company upon liquidation. Other interests such as interests of employees, suppliers, government, customers come to attention once an order for liquidation is granted. Such interests are protected alongside the interest of the creditors in corporate insolvency.</w:t>
      </w:r>
    </w:p>
    <w:p w14:paraId="4FA355BD" w14:textId="77777777" w:rsidR="00B718A5" w:rsidRDefault="00B718A5" w:rsidP="008341AC">
      <w:pPr>
        <w:jc w:val="both"/>
        <w:rPr>
          <w:rFonts w:ascii="Arial" w:hAnsi="Arial" w:cs="Arial"/>
          <w:color w:val="7B7B7B" w:themeColor="accent3" w:themeShade="BF"/>
          <w:sz w:val="22"/>
          <w:szCs w:val="22"/>
          <w:lang w:val="en-GB"/>
        </w:rPr>
      </w:pPr>
    </w:p>
    <w:p w14:paraId="30138CE2" w14:textId="19711BF8" w:rsidR="005C2081" w:rsidRDefault="00B718A5" w:rsidP="008341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insolvency helps to protect existing rights of creditors before the liquidation order. This is aimed at protecting the pre-existing creditors of the insolvent company.</w:t>
      </w:r>
      <w:r w:rsidR="005C2081">
        <w:rPr>
          <w:rFonts w:ascii="Arial" w:hAnsi="Arial" w:cs="Arial"/>
          <w:color w:val="7B7B7B" w:themeColor="accent3" w:themeShade="BF"/>
          <w:sz w:val="22"/>
          <w:szCs w:val="22"/>
          <w:lang w:val="en-GB"/>
        </w:rPr>
        <w:t xml:space="preserve"> Any creditor emanating after the liquidation order is excluded from benefiting from the estate of the insolvent company during distribution of assets to discourage and prevent fraudulent transactions.</w:t>
      </w:r>
    </w:p>
    <w:p w14:paraId="08B2B3A4" w14:textId="77777777" w:rsidR="005C2081" w:rsidRDefault="005C2081" w:rsidP="008341AC">
      <w:pPr>
        <w:jc w:val="both"/>
        <w:rPr>
          <w:rFonts w:ascii="Arial" w:hAnsi="Arial" w:cs="Arial"/>
          <w:color w:val="7B7B7B" w:themeColor="accent3" w:themeShade="BF"/>
          <w:sz w:val="22"/>
          <w:szCs w:val="22"/>
          <w:lang w:val="en-GB"/>
        </w:rPr>
      </w:pPr>
    </w:p>
    <w:p w14:paraId="4024A332" w14:textId="5990222C" w:rsidR="00544127" w:rsidRPr="008341AC" w:rsidRDefault="005C2081" w:rsidP="008341AC">
      <w:pPr>
        <w:jc w:val="both"/>
        <w:rPr>
          <w:rFonts w:ascii="Arial" w:hAnsi="Arial" w:cs="Arial"/>
          <w:sz w:val="24"/>
          <w:lang w:val="en-GB"/>
        </w:rPr>
      </w:pPr>
      <w:r>
        <w:rPr>
          <w:rFonts w:ascii="Arial" w:hAnsi="Arial" w:cs="Arial"/>
          <w:color w:val="7B7B7B" w:themeColor="accent3" w:themeShade="BF"/>
          <w:sz w:val="22"/>
          <w:szCs w:val="22"/>
          <w:lang w:val="en-GB"/>
        </w:rPr>
        <w:lastRenderedPageBreak/>
        <w:t>Corporate insolvency helps to promote efficient and effective mode of distribution of insolvent company estate. This achieved by equitable treatment of all creditors and preventing favouritism</w:t>
      </w:r>
      <w:r w:rsidR="00C53409">
        <w:rPr>
          <w:rFonts w:ascii="Arial" w:hAnsi="Arial" w:cs="Arial"/>
          <w:color w:val="7B7B7B" w:themeColor="accent3" w:themeShade="BF"/>
          <w:sz w:val="22"/>
          <w:szCs w:val="22"/>
          <w:lang w:val="en-GB"/>
        </w:rPr>
        <w:t>.</w:t>
      </w:r>
      <w:r w:rsidR="00DF75F8" w:rsidRPr="008341AC">
        <w:rPr>
          <w:rFonts w:ascii="Arial" w:hAnsi="Arial" w:cs="Arial"/>
          <w:color w:val="7B7B7B" w:themeColor="accent3" w:themeShade="BF"/>
          <w:sz w:val="22"/>
          <w:szCs w:val="22"/>
          <w:lang w:val="en-GB"/>
        </w:rPr>
        <w:t>]</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E580A75" w14:textId="2501D2D0" w:rsidR="00BE1E4A"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BE1E4A">
        <w:rPr>
          <w:rFonts w:ascii="Arial" w:hAnsi="Arial" w:cs="Arial"/>
          <w:color w:val="7B7B7B" w:themeColor="accent3" w:themeShade="BF"/>
          <w:sz w:val="22"/>
          <w:szCs w:val="22"/>
          <w:lang w:val="en-GB"/>
        </w:rPr>
        <w:t>Some of the difficulties that may be encountered when dealing with insolvency law in a cross-border context relating to pertinent differences in the relevant systems include the following:</w:t>
      </w:r>
    </w:p>
    <w:p w14:paraId="5201388C" w14:textId="77777777" w:rsidR="000B654F" w:rsidRDefault="000B654F" w:rsidP="00C053F7">
      <w:pPr>
        <w:jc w:val="both"/>
        <w:rPr>
          <w:rFonts w:ascii="Arial" w:hAnsi="Arial" w:cs="Arial"/>
          <w:color w:val="7B7B7B" w:themeColor="accent3" w:themeShade="BF"/>
          <w:sz w:val="22"/>
          <w:szCs w:val="22"/>
          <w:lang w:val="en-GB"/>
        </w:rPr>
      </w:pPr>
    </w:p>
    <w:p w14:paraId="1A23B3D9" w14:textId="1E97051F" w:rsidR="00CE491E" w:rsidRPr="00CE491E" w:rsidRDefault="00F37A47" w:rsidP="00BE1E4A">
      <w:pPr>
        <w:pStyle w:val="ListParagraph"/>
        <w:numPr>
          <w:ilvl w:val="0"/>
          <w:numId w:val="26"/>
        </w:numPr>
        <w:jc w:val="both"/>
        <w:rPr>
          <w:rFonts w:ascii="Arial" w:hAnsi="Arial" w:cs="Arial"/>
          <w:sz w:val="22"/>
          <w:szCs w:val="22"/>
          <w:lang w:val="en-GB"/>
        </w:rPr>
      </w:pPr>
      <w:r w:rsidRPr="008911D7">
        <w:rPr>
          <w:rFonts w:ascii="Arial" w:hAnsi="Arial" w:cs="Arial"/>
          <w:color w:val="7B7B7B" w:themeColor="accent3" w:themeShade="BF"/>
          <w:sz w:val="22"/>
          <w:szCs w:val="22"/>
          <w:lang w:val="en-GB"/>
        </w:rPr>
        <w:t>Difficult</w:t>
      </w:r>
      <w:r w:rsidR="00CE491E" w:rsidRPr="008911D7">
        <w:rPr>
          <w:rFonts w:ascii="Arial" w:hAnsi="Arial" w:cs="Arial"/>
          <w:color w:val="7B7B7B" w:themeColor="accent3" w:themeShade="BF"/>
          <w:sz w:val="22"/>
          <w:szCs w:val="22"/>
          <w:lang w:val="en-GB"/>
        </w:rPr>
        <w:t>y</w:t>
      </w:r>
      <w:r w:rsidRPr="008911D7">
        <w:rPr>
          <w:rFonts w:ascii="Arial" w:hAnsi="Arial" w:cs="Arial"/>
          <w:color w:val="7B7B7B" w:themeColor="accent3" w:themeShade="BF"/>
          <w:sz w:val="22"/>
          <w:szCs w:val="22"/>
          <w:lang w:val="en-GB"/>
        </w:rPr>
        <w:t xml:space="preserve"> of C</w:t>
      </w:r>
      <w:r w:rsidR="00BE1E4A" w:rsidRPr="008911D7">
        <w:rPr>
          <w:rFonts w:ascii="Arial" w:hAnsi="Arial" w:cs="Arial"/>
          <w:color w:val="7B7B7B" w:themeColor="accent3" w:themeShade="BF"/>
          <w:sz w:val="22"/>
          <w:szCs w:val="22"/>
          <w:lang w:val="en-GB"/>
        </w:rPr>
        <w:t>ommon</w:t>
      </w:r>
      <w:r w:rsidRPr="008911D7">
        <w:rPr>
          <w:rFonts w:ascii="Arial" w:hAnsi="Arial" w:cs="Arial"/>
          <w:color w:val="7B7B7B" w:themeColor="accent3" w:themeShade="BF"/>
          <w:sz w:val="22"/>
          <w:szCs w:val="22"/>
          <w:lang w:val="en-GB"/>
        </w:rPr>
        <w:t xml:space="preserve"> Language</w:t>
      </w:r>
      <w:r>
        <w:rPr>
          <w:rFonts w:ascii="Arial" w:hAnsi="Arial" w:cs="Arial"/>
          <w:color w:val="7B7B7B" w:themeColor="accent3" w:themeShade="BF"/>
          <w:sz w:val="22"/>
          <w:szCs w:val="22"/>
          <w:lang w:val="en-GB"/>
        </w:rPr>
        <w:t xml:space="preserve">. Inability in the use of Common language in relevant systems when dealing with insolvency law in a cross-border context is one of the difficulties encountered when dealing with insolvency law in a cross-border context. </w:t>
      </w:r>
      <w:r w:rsidR="008061ED">
        <w:rPr>
          <w:rFonts w:ascii="Arial" w:hAnsi="Arial" w:cs="Arial"/>
          <w:color w:val="7B7B7B" w:themeColor="accent3" w:themeShade="BF"/>
          <w:sz w:val="22"/>
          <w:szCs w:val="22"/>
          <w:lang w:val="en-GB"/>
        </w:rPr>
        <w:t>The</w:t>
      </w:r>
      <w:r w:rsidR="0026777A">
        <w:rPr>
          <w:rFonts w:ascii="Arial" w:hAnsi="Arial" w:cs="Arial"/>
          <w:color w:val="7B7B7B" w:themeColor="accent3" w:themeShade="BF"/>
          <w:sz w:val="22"/>
          <w:szCs w:val="22"/>
          <w:lang w:val="en-GB"/>
        </w:rPr>
        <w:t xml:space="preserve"> meanings attached to certain words such as “secured creditor”. “security interest”, “liquidation” and “reorganisation” may have fundamentally different meanings in different States of systems.</w:t>
      </w:r>
      <w:r w:rsidR="0032628D">
        <w:rPr>
          <w:rFonts w:ascii="Arial" w:hAnsi="Arial" w:cs="Arial"/>
          <w:color w:val="7B7B7B" w:themeColor="accent3" w:themeShade="BF"/>
          <w:sz w:val="22"/>
          <w:szCs w:val="22"/>
          <w:lang w:val="en-GB"/>
        </w:rPr>
        <w:t xml:space="preserve"> The UNCITRAL Model law on cross-border Insolvency is an attempt of promoting uniform approach to cross-border insolvency</w:t>
      </w:r>
      <w:r w:rsidR="008F43B7">
        <w:rPr>
          <w:rFonts w:ascii="Arial" w:hAnsi="Arial" w:cs="Arial"/>
          <w:color w:val="7B7B7B" w:themeColor="accent3" w:themeShade="BF"/>
          <w:sz w:val="22"/>
          <w:szCs w:val="22"/>
          <w:lang w:val="en-GB"/>
        </w:rPr>
        <w:t xml:space="preserve"> and this is what the UNCITRAL Legislative Guide and other UNCITRAL insolvency related texts were set to achieve.</w:t>
      </w:r>
      <w:r w:rsidR="00437774">
        <w:rPr>
          <w:rFonts w:ascii="Arial" w:hAnsi="Arial" w:cs="Arial"/>
          <w:color w:val="7B7B7B" w:themeColor="accent3" w:themeShade="BF"/>
          <w:sz w:val="22"/>
          <w:szCs w:val="22"/>
          <w:lang w:val="en-GB"/>
        </w:rPr>
        <w:t xml:space="preserve"> This difficulty was</w:t>
      </w:r>
      <w:r w:rsidR="00095E04">
        <w:rPr>
          <w:rFonts w:ascii="Arial" w:hAnsi="Arial" w:cs="Arial"/>
          <w:color w:val="7B7B7B" w:themeColor="accent3" w:themeShade="BF"/>
          <w:sz w:val="22"/>
          <w:szCs w:val="22"/>
          <w:lang w:val="en-GB"/>
        </w:rPr>
        <w:t xml:space="preserve"> also</w:t>
      </w:r>
      <w:r w:rsidR="00437774">
        <w:rPr>
          <w:rFonts w:ascii="Arial" w:hAnsi="Arial" w:cs="Arial"/>
          <w:color w:val="7B7B7B" w:themeColor="accent3" w:themeShade="BF"/>
          <w:sz w:val="22"/>
          <w:szCs w:val="22"/>
          <w:lang w:val="en-GB"/>
        </w:rPr>
        <w:t xml:space="preserve"> identified by Friman</w:t>
      </w:r>
      <w:r w:rsidR="0055792A">
        <w:rPr>
          <w:rStyle w:val="FootnoteReference"/>
          <w:rFonts w:ascii="Arial" w:hAnsi="Arial" w:cs="Arial"/>
          <w:color w:val="7B7B7B" w:themeColor="accent3" w:themeShade="BF"/>
          <w:sz w:val="22"/>
          <w:szCs w:val="22"/>
          <w:lang w:val="en-GB"/>
        </w:rPr>
        <w:footnoteReference w:id="15"/>
      </w:r>
      <w:r w:rsidR="00437774">
        <w:rPr>
          <w:rFonts w:ascii="Arial" w:hAnsi="Arial" w:cs="Arial"/>
          <w:color w:val="7B7B7B" w:themeColor="accent3" w:themeShade="BF"/>
          <w:sz w:val="22"/>
          <w:szCs w:val="22"/>
          <w:lang w:val="en-GB"/>
        </w:rPr>
        <w:t xml:space="preserve"> who observed that the difficulty has resulted in not having a common definition of the term </w:t>
      </w:r>
      <w:r w:rsidR="00095E04">
        <w:rPr>
          <w:rFonts w:ascii="Arial" w:hAnsi="Arial" w:cs="Arial"/>
          <w:color w:val="7B7B7B" w:themeColor="accent3" w:themeShade="BF"/>
          <w:sz w:val="22"/>
          <w:szCs w:val="22"/>
          <w:lang w:val="en-GB"/>
        </w:rPr>
        <w:t>“</w:t>
      </w:r>
      <w:r w:rsidR="00437774">
        <w:rPr>
          <w:rFonts w:ascii="Arial" w:hAnsi="Arial" w:cs="Arial"/>
          <w:color w:val="7B7B7B" w:themeColor="accent3" w:themeShade="BF"/>
          <w:sz w:val="22"/>
          <w:szCs w:val="22"/>
          <w:lang w:val="en-GB"/>
        </w:rPr>
        <w:t>insolvency</w:t>
      </w:r>
      <w:r w:rsidR="00095E04">
        <w:rPr>
          <w:rFonts w:ascii="Arial" w:hAnsi="Arial" w:cs="Arial"/>
          <w:color w:val="7B7B7B" w:themeColor="accent3" w:themeShade="BF"/>
          <w:sz w:val="22"/>
          <w:szCs w:val="22"/>
          <w:lang w:val="en-GB"/>
        </w:rPr>
        <w:t>”.</w:t>
      </w:r>
      <w:r w:rsidR="00F22F1A">
        <w:rPr>
          <w:rFonts w:ascii="Arial" w:hAnsi="Arial" w:cs="Arial"/>
          <w:color w:val="7B7B7B" w:themeColor="accent3" w:themeShade="BF"/>
          <w:sz w:val="22"/>
          <w:szCs w:val="22"/>
          <w:lang w:val="en-GB"/>
        </w:rPr>
        <w:t xml:space="preserve"> He opined that insolvency is normally quite clearly defined in a domestic context than international level.</w:t>
      </w:r>
    </w:p>
    <w:p w14:paraId="3993D50F" w14:textId="2DBBD694" w:rsidR="0032628D" w:rsidRPr="0032628D" w:rsidRDefault="0032628D" w:rsidP="00CE491E">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0D9FB7D3" w14:textId="77777777" w:rsidR="006F5696" w:rsidRPr="006F5696" w:rsidRDefault="00CE491E" w:rsidP="00BE1E4A">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Difficulty </w:t>
      </w:r>
      <w:r w:rsidR="0055792A">
        <w:rPr>
          <w:rFonts w:ascii="Arial" w:hAnsi="Arial" w:cs="Arial"/>
          <w:color w:val="7B7B7B" w:themeColor="accent3" w:themeShade="BF"/>
          <w:sz w:val="22"/>
          <w:szCs w:val="22"/>
          <w:lang w:val="en-GB"/>
        </w:rPr>
        <w:t>Relating to Conflict of Laws and</w:t>
      </w:r>
      <w:r>
        <w:rPr>
          <w:rFonts w:ascii="Arial" w:hAnsi="Arial" w:cs="Arial"/>
          <w:color w:val="7B7B7B" w:themeColor="accent3" w:themeShade="BF"/>
          <w:sz w:val="22"/>
          <w:szCs w:val="22"/>
          <w:lang w:val="en-GB"/>
        </w:rPr>
        <w:t xml:space="preserve"> Domestic norms. </w:t>
      </w:r>
      <w:r w:rsidR="00BF4FB9">
        <w:rPr>
          <w:rFonts w:ascii="Arial" w:hAnsi="Arial" w:cs="Arial"/>
          <w:color w:val="7B7B7B" w:themeColor="accent3" w:themeShade="BF"/>
          <w:sz w:val="22"/>
          <w:szCs w:val="22"/>
          <w:lang w:val="en-GB"/>
        </w:rPr>
        <w:t>This difficulty has been identified as another difficulty in relevant systems when dealing with insolvency law in a cross-border context.</w:t>
      </w:r>
      <w:r w:rsidR="00E74D17">
        <w:rPr>
          <w:rFonts w:ascii="Arial" w:hAnsi="Arial" w:cs="Arial"/>
          <w:color w:val="7B7B7B" w:themeColor="accent3" w:themeShade="BF"/>
          <w:sz w:val="22"/>
          <w:szCs w:val="22"/>
          <w:lang w:val="en-GB"/>
        </w:rPr>
        <w:t xml:space="preserve"> According to Omar, “[a]part from the general situation in conflict of laws, differences in domestic norms have </w:t>
      </w:r>
      <w:r w:rsidR="0089590A">
        <w:rPr>
          <w:rFonts w:ascii="Arial" w:hAnsi="Arial" w:cs="Arial"/>
          <w:color w:val="7B7B7B" w:themeColor="accent3" w:themeShade="BF"/>
          <w:sz w:val="22"/>
          <w:szCs w:val="22"/>
          <w:lang w:val="en-GB"/>
        </w:rPr>
        <w:t>a particular impact on the position of creditors and the priorities they assert in insolvency. Where the debtor faces creditors pressing their claims in more than one State, this will inevitably raise issues of conflicts of laws.</w:t>
      </w:r>
      <w:r w:rsidR="008911D7">
        <w:rPr>
          <w:rFonts w:ascii="Arial" w:hAnsi="Arial" w:cs="Arial"/>
          <w:color w:val="7B7B7B" w:themeColor="accent3" w:themeShade="BF"/>
          <w:sz w:val="22"/>
          <w:szCs w:val="22"/>
          <w:lang w:val="en-GB"/>
        </w:rPr>
        <w:t xml:space="preserve"> The conflict may itself be made more complex by the presence of qualifications, including the presence of security, set off and netting arrangement, retention of title clauses and other means of protecting title available to creditors in National laws”</w:t>
      </w:r>
      <w:r w:rsidR="008911D7">
        <w:rPr>
          <w:rStyle w:val="FootnoteReference"/>
          <w:rFonts w:ascii="Arial" w:hAnsi="Arial" w:cs="Arial"/>
          <w:color w:val="7B7B7B" w:themeColor="accent3" w:themeShade="BF"/>
          <w:sz w:val="22"/>
          <w:szCs w:val="22"/>
          <w:lang w:val="en-GB"/>
        </w:rPr>
        <w:footnoteReference w:id="16"/>
      </w:r>
      <w:r w:rsidR="006F5696">
        <w:rPr>
          <w:rFonts w:ascii="Arial" w:hAnsi="Arial" w:cs="Arial"/>
          <w:color w:val="7B7B7B" w:themeColor="accent3" w:themeShade="BF"/>
          <w:sz w:val="22"/>
          <w:szCs w:val="22"/>
          <w:lang w:val="en-GB"/>
        </w:rPr>
        <w:t>.</w:t>
      </w:r>
    </w:p>
    <w:p w14:paraId="435BC08A" w14:textId="77777777" w:rsidR="006F5696" w:rsidRPr="006F5696" w:rsidRDefault="006F5696" w:rsidP="006F5696">
      <w:pPr>
        <w:pStyle w:val="ListParagraph"/>
        <w:rPr>
          <w:rFonts w:ascii="Arial" w:hAnsi="Arial" w:cs="Arial"/>
          <w:color w:val="7B7B7B" w:themeColor="accent3" w:themeShade="BF"/>
          <w:sz w:val="22"/>
          <w:szCs w:val="22"/>
          <w:lang w:val="en-GB"/>
        </w:rPr>
      </w:pPr>
    </w:p>
    <w:p w14:paraId="58D55DAB" w14:textId="77777777" w:rsidR="006D04CE" w:rsidRPr="006D04CE" w:rsidRDefault="006F5696" w:rsidP="00BE1E4A">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Difficulties identified by West </w:t>
      </w:r>
      <w:r w:rsidR="006D04CE">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rook</w:t>
      </w:r>
      <w:r>
        <w:rPr>
          <w:rStyle w:val="FootnoteReference"/>
          <w:rFonts w:ascii="Arial" w:hAnsi="Arial" w:cs="Arial"/>
          <w:color w:val="7B7B7B" w:themeColor="accent3" w:themeShade="BF"/>
          <w:sz w:val="22"/>
          <w:szCs w:val="22"/>
          <w:lang w:val="en-GB"/>
        </w:rPr>
        <w:footnoteReference w:id="17"/>
      </w:r>
      <w:r>
        <w:rPr>
          <w:rFonts w:ascii="Arial" w:hAnsi="Arial" w:cs="Arial"/>
          <w:color w:val="7B7B7B" w:themeColor="accent3" w:themeShade="BF"/>
          <w:sz w:val="22"/>
          <w:szCs w:val="22"/>
          <w:lang w:val="en-GB"/>
        </w:rPr>
        <w:t xml:space="preserve">. West </w:t>
      </w:r>
      <w:r w:rsidR="006D04CE">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rook has identified nine key issues in relevant systems when dealing with insolvency law in a cross-border context. The difficulties identified by West Brook</w:t>
      </w:r>
      <w:r w:rsidR="006D04CE">
        <w:rPr>
          <w:rFonts w:ascii="Arial" w:hAnsi="Arial" w:cs="Arial"/>
          <w:color w:val="7B7B7B" w:themeColor="accent3" w:themeShade="BF"/>
          <w:sz w:val="22"/>
          <w:szCs w:val="22"/>
          <w:lang w:val="en-GB"/>
        </w:rPr>
        <w:t xml:space="preserve"> include the following;</w:t>
      </w:r>
    </w:p>
    <w:p w14:paraId="0C775B2A" w14:textId="77777777" w:rsidR="006D04CE" w:rsidRPr="006D04CE" w:rsidRDefault="006D04CE" w:rsidP="006D04CE">
      <w:pPr>
        <w:pStyle w:val="ListParagraph"/>
        <w:rPr>
          <w:rFonts w:ascii="Arial" w:hAnsi="Arial" w:cs="Arial"/>
          <w:color w:val="7B7B7B" w:themeColor="accent3" w:themeShade="BF"/>
          <w:sz w:val="22"/>
          <w:szCs w:val="22"/>
          <w:lang w:val="en-GB"/>
        </w:rPr>
      </w:pPr>
    </w:p>
    <w:p w14:paraId="799DB4D4" w14:textId="2A0BA325"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Standing for (recognition of) the foreign representative;</w:t>
      </w:r>
    </w:p>
    <w:p w14:paraId="114F3DB4" w14:textId="66355298"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moratorium on creditors’ action;</w:t>
      </w:r>
    </w:p>
    <w:p w14:paraId="7C54DF03" w14:textId="2687156C"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creditors’ participation;</w:t>
      </w:r>
    </w:p>
    <w:p w14:paraId="184E673E" w14:textId="000BDB1B"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executory contracts;</w:t>
      </w:r>
    </w:p>
    <w:p w14:paraId="6335030B" w14:textId="1B0C5DA1"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co-ordinated claims procedures;</w:t>
      </w:r>
    </w:p>
    <w:p w14:paraId="0D8BE3E5" w14:textId="2E6DCAF9"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priority and preferences;</w:t>
      </w:r>
    </w:p>
    <w:p w14:paraId="421305A4" w14:textId="77777777"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avoidance provision powers;</w:t>
      </w:r>
    </w:p>
    <w:p w14:paraId="71FFC51C" w14:textId="77777777" w:rsidR="006D04CE" w:rsidRPr="006D04CE"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discharges; and</w:t>
      </w:r>
    </w:p>
    <w:p w14:paraId="7556CFC6" w14:textId="77777777" w:rsidR="00F7747F" w:rsidRPr="00F7747F" w:rsidRDefault="006D04CE" w:rsidP="006D04CE">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conflicts - of – law issue</w:t>
      </w:r>
      <w:r w:rsidR="00F7747F">
        <w:rPr>
          <w:rFonts w:ascii="Arial" w:hAnsi="Arial" w:cs="Arial"/>
          <w:color w:val="7B7B7B" w:themeColor="accent3" w:themeShade="BF"/>
          <w:sz w:val="22"/>
          <w:szCs w:val="22"/>
          <w:lang w:val="en-GB"/>
        </w:rPr>
        <w:t>s</w:t>
      </w:r>
      <w:r w:rsidR="00F7747F">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w:t>
      </w:r>
      <w:r w:rsidR="006F5696">
        <w:rPr>
          <w:rFonts w:ascii="Arial" w:hAnsi="Arial" w:cs="Arial"/>
          <w:color w:val="7B7B7B" w:themeColor="accent3" w:themeShade="BF"/>
          <w:sz w:val="22"/>
          <w:szCs w:val="22"/>
          <w:lang w:val="en-GB"/>
        </w:rPr>
        <w:t xml:space="preserve"> </w:t>
      </w:r>
    </w:p>
    <w:p w14:paraId="3A66697F" w14:textId="77777777" w:rsidR="00F7747F" w:rsidRDefault="00F7747F" w:rsidP="00F7747F">
      <w:pPr>
        <w:pStyle w:val="ListParagraph"/>
        <w:ind w:left="1080"/>
        <w:jc w:val="both"/>
        <w:rPr>
          <w:rFonts w:ascii="Arial" w:hAnsi="Arial" w:cs="Arial"/>
          <w:color w:val="7B7B7B" w:themeColor="accent3" w:themeShade="BF"/>
          <w:sz w:val="22"/>
          <w:szCs w:val="22"/>
          <w:lang w:val="en-GB"/>
        </w:rPr>
      </w:pPr>
    </w:p>
    <w:p w14:paraId="7D31A0F7" w14:textId="1C138F33" w:rsidR="00F7747F" w:rsidRDefault="00F7747F" w:rsidP="000C7E4F">
      <w:pPr>
        <w:jc w:val="both"/>
        <w:rPr>
          <w:rFonts w:ascii="Arial" w:hAnsi="Arial" w:cs="Arial"/>
          <w:color w:val="7B7B7B" w:themeColor="accent3" w:themeShade="BF"/>
          <w:sz w:val="22"/>
          <w:szCs w:val="22"/>
          <w:lang w:val="en-GB"/>
        </w:rPr>
      </w:pPr>
      <w:r w:rsidRPr="000C7E4F">
        <w:rPr>
          <w:rFonts w:ascii="Arial" w:hAnsi="Arial" w:cs="Arial"/>
          <w:color w:val="7B7B7B" w:themeColor="accent3" w:themeShade="BF"/>
          <w:sz w:val="22"/>
          <w:szCs w:val="22"/>
          <w:lang w:val="en-GB"/>
        </w:rPr>
        <w:t>Gopalan and Guihot summed up these difficulties as follows:</w:t>
      </w:r>
    </w:p>
    <w:p w14:paraId="356953B2" w14:textId="77777777" w:rsidR="00A213D2" w:rsidRPr="000C7E4F" w:rsidRDefault="00A213D2" w:rsidP="000C7E4F">
      <w:pPr>
        <w:jc w:val="both"/>
        <w:rPr>
          <w:rFonts w:ascii="Arial" w:hAnsi="Arial" w:cs="Arial"/>
          <w:color w:val="7B7B7B" w:themeColor="accent3" w:themeShade="BF"/>
          <w:sz w:val="22"/>
          <w:szCs w:val="22"/>
          <w:lang w:val="en-GB"/>
        </w:rPr>
      </w:pPr>
    </w:p>
    <w:p w14:paraId="09D0C92B" w14:textId="2AE12261" w:rsidR="000B654F" w:rsidRDefault="00F37A47" w:rsidP="00F7747F">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0C7E4F">
        <w:rPr>
          <w:rFonts w:ascii="Arial" w:hAnsi="Arial" w:cs="Arial"/>
          <w:color w:val="7B7B7B" w:themeColor="accent3" w:themeShade="BF"/>
          <w:sz w:val="22"/>
          <w:szCs w:val="22"/>
          <w:lang w:val="en-GB"/>
        </w:rPr>
        <w:t>“[t]he problems thrown up by cross-border insolvency include (1) lack of clarity as to applicable laws, (2) uncertainty about participation in proceedings in foreign courts, (3) language, (4) ensuring procedural fairness, (5) equal treatments of creditors, (6) uncertainty about the validity and enforcement of security, (7) protecting the interests of employees and other vulnerable groups (8) increased borrowing costs owing to uncertainty faced by creditors (9) delays in disbursement of assets, and (10) difficulty in protecting a diverse array of national public policy goals</w:t>
      </w:r>
      <w:r w:rsidR="00A213D2">
        <w:rPr>
          <w:rStyle w:val="FootnoteReference"/>
          <w:rFonts w:ascii="Arial" w:hAnsi="Arial" w:cs="Arial"/>
          <w:color w:val="7B7B7B" w:themeColor="accent3" w:themeShade="BF"/>
          <w:sz w:val="22"/>
          <w:szCs w:val="22"/>
          <w:lang w:val="en-GB"/>
        </w:rPr>
        <w:footnoteReference w:id="19"/>
      </w:r>
      <w:r w:rsidR="000C7E4F">
        <w:rPr>
          <w:rFonts w:ascii="Arial" w:hAnsi="Arial" w:cs="Arial"/>
          <w:color w:val="7B7B7B" w:themeColor="accent3" w:themeShade="BF"/>
          <w:sz w:val="22"/>
          <w:szCs w:val="22"/>
          <w:lang w:val="en-GB"/>
        </w:rPr>
        <w:t xml:space="preserve">. </w:t>
      </w:r>
    </w:p>
    <w:p w14:paraId="19F0B7FC" w14:textId="77777777" w:rsidR="000B654F" w:rsidRDefault="000B654F" w:rsidP="00F7747F">
      <w:pPr>
        <w:pStyle w:val="ListParagraph"/>
        <w:ind w:left="1080"/>
        <w:jc w:val="both"/>
        <w:rPr>
          <w:rFonts w:ascii="Arial" w:hAnsi="Arial" w:cs="Arial"/>
          <w:color w:val="7B7B7B" w:themeColor="accent3" w:themeShade="BF"/>
          <w:sz w:val="22"/>
          <w:szCs w:val="22"/>
          <w:lang w:val="en-GB"/>
        </w:rPr>
      </w:pPr>
    </w:p>
    <w:p w14:paraId="7940D274" w14:textId="4CF4A0DA" w:rsidR="00DF75F8" w:rsidRPr="000B654F" w:rsidRDefault="000B654F" w:rsidP="000B654F">
      <w:pPr>
        <w:jc w:val="both"/>
        <w:rPr>
          <w:rFonts w:ascii="Arial" w:hAnsi="Arial" w:cs="Arial"/>
          <w:sz w:val="22"/>
          <w:szCs w:val="22"/>
          <w:lang w:val="en-GB"/>
        </w:rPr>
      </w:pPr>
      <w:r>
        <w:rPr>
          <w:rFonts w:ascii="Arial" w:hAnsi="Arial" w:cs="Arial"/>
          <w:color w:val="7B7B7B" w:themeColor="accent3" w:themeShade="BF"/>
          <w:sz w:val="22"/>
          <w:szCs w:val="22"/>
          <w:lang w:val="en-GB"/>
        </w:rPr>
        <w:t>The Model Law on cross-border insolvency respects the differences among national procedural laws and does not attempt a substantial uni</w:t>
      </w:r>
      <w:r w:rsidR="00D15605">
        <w:rPr>
          <w:rFonts w:ascii="Arial" w:hAnsi="Arial" w:cs="Arial"/>
          <w:color w:val="7B7B7B" w:themeColor="accent3" w:themeShade="BF"/>
          <w:sz w:val="22"/>
          <w:szCs w:val="22"/>
          <w:lang w:val="en-GB"/>
        </w:rPr>
        <w:t>fication of insolvency laws. Hence, it provides a framework for cooperation between jurisdictions, offering solutions that help in several modest but significant ways and facilitate and promote a uniform approach to cross-border insolvency.</w:t>
      </w:r>
      <w:r w:rsidR="00D15605">
        <w:rPr>
          <w:rStyle w:val="FootnoteReference"/>
          <w:rFonts w:ascii="Arial" w:hAnsi="Arial" w:cs="Arial"/>
          <w:color w:val="7B7B7B" w:themeColor="accent3" w:themeShade="BF"/>
          <w:sz w:val="22"/>
          <w:szCs w:val="22"/>
          <w:lang w:val="en-GB"/>
        </w:rPr>
        <w:footnoteReference w:id="20"/>
      </w:r>
      <w:r w:rsidR="00DF75F8" w:rsidRPr="000B654F">
        <w:rPr>
          <w:rFonts w:ascii="Arial" w:hAnsi="Arial" w:cs="Arial"/>
          <w:color w:val="7B7B7B" w:themeColor="accent3" w:themeShade="BF"/>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7061DB5F" w14:textId="77777777" w:rsidR="003519F4"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3519F4">
        <w:rPr>
          <w:rFonts w:ascii="Arial" w:hAnsi="Arial" w:cs="Arial"/>
          <w:color w:val="7B7B7B" w:themeColor="accent3" w:themeShade="BF"/>
          <w:sz w:val="22"/>
          <w:szCs w:val="22"/>
          <w:lang w:val="en-GB"/>
        </w:rPr>
        <w:t>Various multilateral steps have been taken in the 21</w:t>
      </w:r>
      <w:r w:rsidR="003519F4" w:rsidRPr="003519F4">
        <w:rPr>
          <w:rFonts w:ascii="Arial" w:hAnsi="Arial" w:cs="Arial"/>
          <w:color w:val="7B7B7B" w:themeColor="accent3" w:themeShade="BF"/>
          <w:sz w:val="22"/>
          <w:szCs w:val="22"/>
          <w:vertAlign w:val="superscript"/>
          <w:lang w:val="en-GB"/>
        </w:rPr>
        <w:t>st</w:t>
      </w:r>
      <w:r w:rsidR="003519F4">
        <w:rPr>
          <w:rFonts w:ascii="Arial" w:hAnsi="Arial" w:cs="Arial"/>
          <w:color w:val="7B7B7B" w:themeColor="accent3" w:themeShade="BF"/>
          <w:sz w:val="22"/>
          <w:szCs w:val="22"/>
          <w:lang w:val="en-GB"/>
        </w:rPr>
        <w:t xml:space="preserve"> Century to promote harmonisation of domestic insolvency laws. These steps include the following;</w:t>
      </w:r>
    </w:p>
    <w:p w14:paraId="5D2E979C" w14:textId="77777777" w:rsidR="003519F4" w:rsidRDefault="003519F4" w:rsidP="00C053F7">
      <w:pPr>
        <w:jc w:val="both"/>
        <w:rPr>
          <w:rFonts w:ascii="Arial" w:hAnsi="Arial" w:cs="Arial"/>
          <w:color w:val="7B7B7B" w:themeColor="accent3" w:themeShade="BF"/>
          <w:sz w:val="22"/>
          <w:szCs w:val="22"/>
          <w:lang w:val="en-GB"/>
        </w:rPr>
      </w:pPr>
    </w:p>
    <w:p w14:paraId="139D8BCC" w14:textId="77777777" w:rsidR="005161AF" w:rsidRPr="005161AF" w:rsidRDefault="003519F4" w:rsidP="003519F4">
      <w:pPr>
        <w:pStyle w:val="ListParagraph"/>
        <w:numPr>
          <w:ilvl w:val="0"/>
          <w:numId w:val="28"/>
        </w:numPr>
        <w:jc w:val="both"/>
        <w:rPr>
          <w:rFonts w:ascii="Arial" w:hAnsi="Arial" w:cs="Arial"/>
          <w:sz w:val="22"/>
          <w:szCs w:val="22"/>
          <w:lang w:val="en-GB"/>
        </w:rPr>
      </w:pPr>
      <w:r>
        <w:rPr>
          <w:rFonts w:ascii="Arial" w:hAnsi="Arial" w:cs="Arial"/>
          <w:color w:val="7B7B7B" w:themeColor="accent3" w:themeShade="BF"/>
          <w:sz w:val="22"/>
          <w:szCs w:val="22"/>
          <w:lang w:val="en-GB"/>
        </w:rPr>
        <w:t>At the international level, United Nation Commission on International Trade Law (UNCITRAL) adopted the Model Law on Cross-Border insolvency with the objectives of promoting harmonization of domestic insolvency laws through the promotion of predictable and stable Model Law in international insolvency laws.</w:t>
      </w:r>
      <w:r w:rsidR="00E93044">
        <w:rPr>
          <w:rFonts w:ascii="Arial" w:hAnsi="Arial" w:cs="Arial"/>
          <w:color w:val="7B7B7B" w:themeColor="accent3" w:themeShade="BF"/>
          <w:sz w:val="22"/>
          <w:szCs w:val="22"/>
          <w:lang w:val="en-GB"/>
        </w:rPr>
        <w:t xml:space="preserve"> The Model law was promulgated to provide a procedural structure</w:t>
      </w:r>
      <w:r w:rsidR="000E698E">
        <w:rPr>
          <w:rFonts w:ascii="Arial" w:hAnsi="Arial" w:cs="Arial"/>
          <w:color w:val="7B7B7B" w:themeColor="accent3" w:themeShade="BF"/>
          <w:sz w:val="22"/>
          <w:szCs w:val="22"/>
          <w:lang w:val="en-GB"/>
        </w:rPr>
        <w:t xml:space="preserve"> for co-operation between States and to promote a uniform approach to cross-border insolvency.</w:t>
      </w:r>
    </w:p>
    <w:p w14:paraId="519E3DD6" w14:textId="77777777" w:rsidR="005161AF" w:rsidRPr="005161AF" w:rsidRDefault="005161AF" w:rsidP="005161AF">
      <w:pPr>
        <w:pStyle w:val="ListParagraph"/>
        <w:jc w:val="both"/>
        <w:rPr>
          <w:rFonts w:ascii="Arial" w:hAnsi="Arial" w:cs="Arial"/>
          <w:sz w:val="22"/>
          <w:szCs w:val="22"/>
          <w:lang w:val="en-GB"/>
        </w:rPr>
      </w:pPr>
    </w:p>
    <w:p w14:paraId="4D4463DC" w14:textId="1C86202C" w:rsidR="004F308C" w:rsidRDefault="000E698E" w:rsidP="005161A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5161AF">
        <w:rPr>
          <w:rFonts w:ascii="Arial" w:hAnsi="Arial" w:cs="Arial"/>
          <w:color w:val="7B7B7B" w:themeColor="accent3" w:themeShade="BF"/>
          <w:sz w:val="22"/>
          <w:szCs w:val="22"/>
          <w:lang w:val="en-GB"/>
        </w:rPr>
        <w:t>However, following the adoption of the Model Law in 1997, subsequent publications have been produced to assist in interpreting and understanding the Model Law. These publications include; the UNCITRAL Guide to enactment first published in 1997</w:t>
      </w:r>
      <w:r w:rsidR="00421634">
        <w:rPr>
          <w:rFonts w:ascii="Arial" w:hAnsi="Arial" w:cs="Arial"/>
          <w:color w:val="7B7B7B" w:themeColor="accent3" w:themeShade="BF"/>
          <w:sz w:val="22"/>
          <w:szCs w:val="22"/>
          <w:lang w:val="en-GB"/>
        </w:rPr>
        <w:t xml:space="preserve"> and has been amended</w:t>
      </w:r>
      <w:r w:rsidR="009F6A25">
        <w:rPr>
          <w:rFonts w:ascii="Arial" w:hAnsi="Arial" w:cs="Arial"/>
          <w:color w:val="7B7B7B" w:themeColor="accent3" w:themeShade="BF"/>
          <w:sz w:val="22"/>
          <w:szCs w:val="22"/>
          <w:lang w:val="en-GB"/>
        </w:rPr>
        <w:t>; Legislative Guide on Insolvency 2005 – Parts One and Two</w:t>
      </w:r>
      <w:r w:rsidR="003B3DAE">
        <w:rPr>
          <w:rFonts w:ascii="Arial" w:hAnsi="Arial" w:cs="Arial"/>
          <w:color w:val="7B7B7B" w:themeColor="accent3" w:themeShade="BF"/>
          <w:sz w:val="22"/>
          <w:szCs w:val="22"/>
          <w:lang w:val="en-GB"/>
        </w:rPr>
        <w:t>, designed to foster and encourage the adoption of effective national insolvency regimes</w:t>
      </w:r>
      <w:r w:rsidR="003B3DAE">
        <w:rPr>
          <w:rStyle w:val="FootnoteReference"/>
          <w:rFonts w:ascii="Arial" w:hAnsi="Arial" w:cs="Arial"/>
          <w:color w:val="7B7B7B" w:themeColor="accent3" w:themeShade="BF"/>
          <w:sz w:val="22"/>
          <w:szCs w:val="22"/>
          <w:lang w:val="en-GB"/>
        </w:rPr>
        <w:footnoteReference w:id="21"/>
      </w:r>
      <w:r w:rsidR="003B3DAE">
        <w:rPr>
          <w:rFonts w:ascii="Arial" w:hAnsi="Arial" w:cs="Arial"/>
          <w:color w:val="7B7B7B" w:themeColor="accent3" w:themeShade="BF"/>
          <w:sz w:val="22"/>
          <w:szCs w:val="22"/>
          <w:lang w:val="en-GB"/>
        </w:rPr>
        <w:t xml:space="preserve">, the Practice Guide on Cross-Border Insolvency </w:t>
      </w:r>
      <w:r w:rsidR="004D5E4C">
        <w:rPr>
          <w:rFonts w:ascii="Arial" w:hAnsi="Arial" w:cs="Arial"/>
          <w:color w:val="7B7B7B" w:themeColor="accent3" w:themeShade="BF"/>
          <w:sz w:val="22"/>
          <w:szCs w:val="22"/>
          <w:lang w:val="en-GB"/>
        </w:rPr>
        <w:t>Cooperation</w:t>
      </w:r>
      <w:r w:rsidR="003B3DAE">
        <w:rPr>
          <w:rStyle w:val="FootnoteReference"/>
          <w:rFonts w:ascii="Arial" w:hAnsi="Arial" w:cs="Arial"/>
          <w:color w:val="7B7B7B" w:themeColor="accent3" w:themeShade="BF"/>
          <w:sz w:val="22"/>
          <w:szCs w:val="22"/>
          <w:lang w:val="en-GB"/>
        </w:rPr>
        <w:footnoteReference w:id="22"/>
      </w:r>
      <w:r w:rsidR="004F308C">
        <w:rPr>
          <w:rFonts w:ascii="Arial" w:hAnsi="Arial" w:cs="Arial"/>
          <w:color w:val="7B7B7B" w:themeColor="accent3" w:themeShade="BF"/>
          <w:sz w:val="22"/>
          <w:szCs w:val="22"/>
          <w:lang w:val="en-GB"/>
        </w:rPr>
        <w:t>designed to make available information for Practitioners and Judges on the practice of cooperation in relation to Article 27 of the Model Law, the Legislative Guide – Part Three adopted on  1</w:t>
      </w:r>
      <w:r w:rsidR="004F308C" w:rsidRPr="004F308C">
        <w:rPr>
          <w:rFonts w:ascii="Arial" w:hAnsi="Arial" w:cs="Arial"/>
          <w:color w:val="7B7B7B" w:themeColor="accent3" w:themeShade="BF"/>
          <w:sz w:val="22"/>
          <w:szCs w:val="22"/>
          <w:vertAlign w:val="superscript"/>
          <w:lang w:val="en-GB"/>
        </w:rPr>
        <w:t>st</w:t>
      </w:r>
      <w:r w:rsidR="004F308C">
        <w:rPr>
          <w:rFonts w:ascii="Arial" w:hAnsi="Arial" w:cs="Arial"/>
          <w:color w:val="7B7B7B" w:themeColor="accent3" w:themeShade="BF"/>
          <w:sz w:val="22"/>
          <w:szCs w:val="22"/>
          <w:lang w:val="en-GB"/>
        </w:rPr>
        <w:t xml:space="preserve"> July 2010 to deal with treatment of enterprise groups in insolvency and the Judicial Perspective adopted in December 2011 and which has been updated in 2013.</w:t>
      </w:r>
    </w:p>
    <w:p w14:paraId="4C477664" w14:textId="77777777" w:rsidR="004F308C" w:rsidRDefault="004F308C" w:rsidP="005161AF">
      <w:pPr>
        <w:pStyle w:val="ListParagraph"/>
        <w:jc w:val="both"/>
        <w:rPr>
          <w:rFonts w:ascii="Arial" w:hAnsi="Arial" w:cs="Arial"/>
          <w:color w:val="7B7B7B" w:themeColor="accent3" w:themeShade="BF"/>
          <w:sz w:val="22"/>
          <w:szCs w:val="22"/>
          <w:lang w:val="en-GB"/>
        </w:rPr>
      </w:pPr>
    </w:p>
    <w:p w14:paraId="18727BAC" w14:textId="77777777" w:rsidR="006817F2" w:rsidRDefault="004F308C" w:rsidP="005161A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Legislative Guide which is intended to be used as a reference by national authorities and legislative bodies when preparing new laws and regulations or reviewing the adequacy of existing</w:t>
      </w:r>
      <w:r w:rsidR="00070545">
        <w:rPr>
          <w:rFonts w:ascii="Arial" w:hAnsi="Arial" w:cs="Arial"/>
          <w:color w:val="7B7B7B" w:themeColor="accent3" w:themeShade="BF"/>
          <w:sz w:val="22"/>
          <w:szCs w:val="22"/>
          <w:lang w:val="en-GB"/>
        </w:rPr>
        <w:t xml:space="preserve"> laws and regulations recommended that “[t]he insolvency law should include a modern, harmonized and fair framework to address effectively instances of cross-border insolvency”</w:t>
      </w:r>
      <w:r w:rsidR="00070545">
        <w:rPr>
          <w:rStyle w:val="FootnoteReference"/>
          <w:rFonts w:ascii="Arial" w:hAnsi="Arial" w:cs="Arial"/>
          <w:color w:val="7B7B7B" w:themeColor="accent3" w:themeShade="BF"/>
          <w:sz w:val="22"/>
          <w:szCs w:val="22"/>
          <w:lang w:val="en-GB"/>
        </w:rPr>
        <w:footnoteReference w:id="23"/>
      </w:r>
      <w:r w:rsidR="006817F2">
        <w:rPr>
          <w:rFonts w:ascii="Arial" w:hAnsi="Arial" w:cs="Arial"/>
          <w:color w:val="7B7B7B" w:themeColor="accent3" w:themeShade="BF"/>
          <w:sz w:val="22"/>
          <w:szCs w:val="22"/>
          <w:lang w:val="en-GB"/>
        </w:rPr>
        <w:t xml:space="preserve">. </w:t>
      </w:r>
    </w:p>
    <w:p w14:paraId="2CA4B694" w14:textId="77777777" w:rsidR="006817F2" w:rsidRDefault="006817F2" w:rsidP="005161AF">
      <w:pPr>
        <w:pStyle w:val="ListParagraph"/>
        <w:jc w:val="both"/>
        <w:rPr>
          <w:rFonts w:ascii="Arial" w:hAnsi="Arial" w:cs="Arial"/>
          <w:color w:val="7B7B7B" w:themeColor="accent3" w:themeShade="BF"/>
          <w:sz w:val="22"/>
          <w:szCs w:val="22"/>
          <w:lang w:val="en-GB"/>
        </w:rPr>
      </w:pPr>
    </w:p>
    <w:p w14:paraId="35FAF156" w14:textId="668D24B2" w:rsidR="00222013" w:rsidRDefault="006817F2" w:rsidP="005161A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prior to the promulgation of the UNCITRAL Legislative Guide on Insolvency Law 2004, an attempt to adopt a first draft of an EC Convention on Bankruptcy and Related Matters in 1970 failed.</w:t>
      </w:r>
      <w:r w:rsidR="000371BA">
        <w:rPr>
          <w:rFonts w:ascii="Arial" w:hAnsi="Arial" w:cs="Arial"/>
          <w:color w:val="7B7B7B" w:themeColor="accent3" w:themeShade="BF"/>
          <w:sz w:val="22"/>
          <w:szCs w:val="22"/>
          <w:lang w:val="en-GB"/>
        </w:rPr>
        <w:t xml:space="preserve"> The said draft had required contracting States to enact a “Uniform Law” into domestic law, while it permitted States under Article 76 to make reservations on their incorporation. </w:t>
      </w:r>
      <w:r w:rsidR="009F51E7">
        <w:rPr>
          <w:rFonts w:ascii="Arial" w:hAnsi="Arial" w:cs="Arial"/>
          <w:color w:val="7B7B7B" w:themeColor="accent3" w:themeShade="BF"/>
          <w:sz w:val="22"/>
          <w:szCs w:val="22"/>
          <w:lang w:val="en-GB"/>
        </w:rPr>
        <w:t>Its provisions covered issues such as “actions for fraud against Creditors; the doctrine of set-off; the extension of the bankruptcy of firms or legal entities to persons directing or managing them; proof of the spouse’s claim to property, which would otherwise be presumed to be acquired with the funds of the bankrupt; and the bankruptcy of the Vendor in the case of a contract of sale with retention of title”</w:t>
      </w:r>
      <w:r w:rsidR="009F51E7">
        <w:rPr>
          <w:rStyle w:val="FootnoteReference"/>
          <w:rFonts w:ascii="Arial" w:hAnsi="Arial" w:cs="Arial"/>
          <w:color w:val="7B7B7B" w:themeColor="accent3" w:themeShade="BF"/>
          <w:sz w:val="22"/>
          <w:szCs w:val="22"/>
          <w:lang w:val="en-GB"/>
        </w:rPr>
        <w:footnoteReference w:id="24"/>
      </w:r>
      <w:r w:rsidR="00222013">
        <w:rPr>
          <w:rFonts w:ascii="Arial" w:hAnsi="Arial" w:cs="Arial"/>
          <w:color w:val="7B7B7B" w:themeColor="accent3" w:themeShade="BF"/>
          <w:sz w:val="22"/>
          <w:szCs w:val="22"/>
          <w:lang w:val="en-GB"/>
        </w:rPr>
        <w:t>.</w:t>
      </w:r>
    </w:p>
    <w:p w14:paraId="4FC5A405" w14:textId="2D939CFE" w:rsidR="00222013" w:rsidRDefault="00222013" w:rsidP="005161AF">
      <w:pPr>
        <w:pStyle w:val="ListParagraph"/>
        <w:jc w:val="both"/>
        <w:rPr>
          <w:rFonts w:ascii="Arial" w:hAnsi="Arial" w:cs="Arial"/>
          <w:color w:val="7B7B7B" w:themeColor="accent3" w:themeShade="BF"/>
          <w:sz w:val="22"/>
          <w:szCs w:val="22"/>
          <w:lang w:val="en-GB"/>
        </w:rPr>
      </w:pPr>
    </w:p>
    <w:p w14:paraId="12FA8E1A" w14:textId="2B662DE1" w:rsidR="00222013" w:rsidRDefault="00222013" w:rsidP="005161A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the International Bar Association (IBA) in 1997 commenced drafting a Model Bankruptcy Code to be available for any State to consider when developing their domestic insolvency laws</w:t>
      </w:r>
      <w:r w:rsidR="00D34183">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xml:space="preserve">. However, that project could not </w:t>
      </w:r>
      <w:r w:rsidR="0077714A">
        <w:rPr>
          <w:rFonts w:ascii="Arial" w:hAnsi="Arial" w:cs="Arial"/>
          <w:color w:val="7B7B7B" w:themeColor="accent3" w:themeShade="BF"/>
          <w:sz w:val="22"/>
          <w:szCs w:val="22"/>
          <w:lang w:val="en-GB"/>
        </w:rPr>
        <w:t>continue and instead, the IBA participated in contributing to the development of the UNCITRAL project resulting to the Legislative Guide which was also endorsed by the IBA.</w:t>
      </w:r>
      <w:r>
        <w:rPr>
          <w:rFonts w:ascii="Arial" w:hAnsi="Arial" w:cs="Arial"/>
          <w:color w:val="7B7B7B" w:themeColor="accent3" w:themeShade="BF"/>
          <w:sz w:val="22"/>
          <w:szCs w:val="22"/>
          <w:lang w:val="en-GB"/>
        </w:rPr>
        <w:t xml:space="preserve"> </w:t>
      </w:r>
    </w:p>
    <w:p w14:paraId="09FAC9D6" w14:textId="751DD9F3" w:rsidR="00D34183" w:rsidRDefault="00D34183" w:rsidP="005161AF">
      <w:pPr>
        <w:pStyle w:val="ListParagraph"/>
        <w:jc w:val="both"/>
        <w:rPr>
          <w:rFonts w:ascii="Arial" w:hAnsi="Arial" w:cs="Arial"/>
          <w:color w:val="7B7B7B" w:themeColor="accent3" w:themeShade="BF"/>
          <w:sz w:val="22"/>
          <w:szCs w:val="22"/>
          <w:lang w:val="en-GB"/>
        </w:rPr>
      </w:pPr>
    </w:p>
    <w:p w14:paraId="790C0673" w14:textId="77777777" w:rsidR="00EB29E8" w:rsidRDefault="00D34183" w:rsidP="005161A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the World Bank in early 2000 produced guidelines on the regulation of Insolvency, titled “Principles for Effective Insolvency and Creditor/Debtor Regimes</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which has been revised in 2005, 2011, 2015 and in April, 2021. These principles have gained some significance in the context that the International Monetary Funds (IMF) and the World Bank sometimes require bankrupt</w:t>
      </w:r>
      <w:r w:rsidR="000A28B8">
        <w:rPr>
          <w:rFonts w:ascii="Arial" w:hAnsi="Arial" w:cs="Arial"/>
          <w:color w:val="7B7B7B" w:themeColor="accent3" w:themeShade="BF"/>
          <w:sz w:val="22"/>
          <w:szCs w:val="22"/>
          <w:lang w:val="en-GB"/>
        </w:rPr>
        <w:t>cy reform in developing countries as a condition for loan support</w:t>
      </w:r>
      <w:r w:rsidR="000A28B8">
        <w:rPr>
          <w:rStyle w:val="FootnoteReference"/>
          <w:rFonts w:ascii="Arial" w:hAnsi="Arial" w:cs="Arial"/>
          <w:color w:val="7B7B7B" w:themeColor="accent3" w:themeShade="BF"/>
          <w:sz w:val="22"/>
          <w:szCs w:val="22"/>
          <w:lang w:val="en-GB"/>
        </w:rPr>
        <w:footnoteReference w:id="27"/>
      </w:r>
      <w:r w:rsidR="000A28B8">
        <w:rPr>
          <w:rFonts w:ascii="Arial" w:hAnsi="Arial" w:cs="Arial"/>
          <w:color w:val="7B7B7B" w:themeColor="accent3" w:themeShade="BF"/>
          <w:sz w:val="22"/>
          <w:szCs w:val="22"/>
          <w:lang w:val="en-GB"/>
        </w:rPr>
        <w:t>. These principles may refer countries to the Legislative Guide and the principles in order to promote convergence of Insolvency law</w:t>
      </w:r>
      <w:r w:rsidR="000A28B8">
        <w:rPr>
          <w:rStyle w:val="FootnoteReference"/>
          <w:rFonts w:ascii="Arial" w:hAnsi="Arial" w:cs="Arial"/>
          <w:color w:val="7B7B7B" w:themeColor="accent3" w:themeShade="BF"/>
          <w:sz w:val="22"/>
          <w:szCs w:val="22"/>
          <w:lang w:val="en-GB"/>
        </w:rPr>
        <w:footnoteReference w:id="28"/>
      </w:r>
      <w:r w:rsidR="000A28B8">
        <w:rPr>
          <w:rFonts w:ascii="Arial" w:hAnsi="Arial" w:cs="Arial"/>
          <w:color w:val="7B7B7B" w:themeColor="accent3" w:themeShade="BF"/>
          <w:sz w:val="22"/>
          <w:szCs w:val="22"/>
          <w:lang w:val="en-GB"/>
        </w:rPr>
        <w:t>. C15 of the principle states that “Insolvency proceedings may have international aspects and a country’s legal system should establish clear rules pertaining to jurisdiction, recognition of foreign jud</w:t>
      </w:r>
      <w:r w:rsidR="009F552B">
        <w:rPr>
          <w:rFonts w:ascii="Arial" w:hAnsi="Arial" w:cs="Arial"/>
          <w:color w:val="7B7B7B" w:themeColor="accent3" w:themeShade="BF"/>
          <w:sz w:val="22"/>
          <w:szCs w:val="22"/>
          <w:lang w:val="en-GB"/>
        </w:rPr>
        <w:t>g</w:t>
      </w:r>
      <w:r w:rsidR="000A28B8">
        <w:rPr>
          <w:rFonts w:ascii="Arial" w:hAnsi="Arial" w:cs="Arial"/>
          <w:color w:val="7B7B7B" w:themeColor="accent3" w:themeShade="BF"/>
          <w:sz w:val="22"/>
          <w:szCs w:val="22"/>
          <w:lang w:val="en-GB"/>
        </w:rPr>
        <w:t>ments, cooperation among courts in different countries, and choice of law.</w:t>
      </w:r>
      <w:r w:rsidR="009F552B">
        <w:rPr>
          <w:rFonts w:ascii="Arial" w:hAnsi="Arial" w:cs="Arial"/>
          <w:color w:val="7B7B7B" w:themeColor="accent3" w:themeShade="BF"/>
          <w:sz w:val="22"/>
          <w:szCs w:val="22"/>
          <w:lang w:val="en-GB"/>
        </w:rPr>
        <w:t xml:space="preserve"> Key factors to effective handling of cross-border matters t</w:t>
      </w:r>
      <w:r w:rsidR="00EB29E8">
        <w:rPr>
          <w:rFonts w:ascii="Arial" w:hAnsi="Arial" w:cs="Arial"/>
          <w:color w:val="7B7B7B" w:themeColor="accent3" w:themeShade="BF"/>
          <w:sz w:val="22"/>
          <w:szCs w:val="22"/>
          <w:lang w:val="en-GB"/>
        </w:rPr>
        <w:t>ypically include</w:t>
      </w:r>
      <w:r w:rsidR="000A28B8">
        <w:rPr>
          <w:rFonts w:ascii="Arial" w:hAnsi="Arial" w:cs="Arial"/>
          <w:color w:val="7B7B7B" w:themeColor="accent3" w:themeShade="BF"/>
          <w:sz w:val="22"/>
          <w:szCs w:val="22"/>
          <w:lang w:val="en-GB"/>
        </w:rPr>
        <w:t>;</w:t>
      </w:r>
    </w:p>
    <w:p w14:paraId="3CBB807A" w14:textId="77777777" w:rsidR="00EB29E8" w:rsidRDefault="00EB29E8" w:rsidP="00EB29E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clear and speedy process for obtaining recognition of foreign insolvency proceedings;</w:t>
      </w:r>
    </w:p>
    <w:p w14:paraId="767817F6" w14:textId="77777777" w:rsidR="00EB29E8" w:rsidRDefault="00EB29E8" w:rsidP="00EB29E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Relief to be granted upon recognition of foreign insolvency proceedings;</w:t>
      </w:r>
    </w:p>
    <w:p w14:paraId="2531625F" w14:textId="3CCBC71B" w:rsidR="00EB29E8" w:rsidRDefault="00EB29E8" w:rsidP="00EB29E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insolvency representatives to have access to courts and other relevant authorities;</w:t>
      </w:r>
    </w:p>
    <w:p w14:paraId="67A7A34A" w14:textId="77777777" w:rsidR="004A65BC" w:rsidRDefault="004A65BC" w:rsidP="00EB29E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Courts and insolvency representations to cooperate in international insolvency proceeding and</w:t>
      </w:r>
    </w:p>
    <w:p w14:paraId="759E29B1" w14:textId="77777777" w:rsidR="00131F06" w:rsidRDefault="004A65BC" w:rsidP="00EB29E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Non-discrimination between foreign and domestic creditors</w:t>
      </w:r>
      <w:r w:rsidR="00131F06">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w:t>
      </w:r>
    </w:p>
    <w:p w14:paraId="3CEAF263" w14:textId="77777777" w:rsidR="00131F06" w:rsidRDefault="00131F06" w:rsidP="00131F06">
      <w:pPr>
        <w:jc w:val="both"/>
        <w:rPr>
          <w:rFonts w:ascii="Arial" w:hAnsi="Arial" w:cs="Arial"/>
          <w:color w:val="7B7B7B" w:themeColor="accent3" w:themeShade="BF"/>
          <w:sz w:val="22"/>
          <w:szCs w:val="22"/>
          <w:lang w:val="en-GB"/>
        </w:rPr>
      </w:pPr>
    </w:p>
    <w:p w14:paraId="021421F3" w14:textId="77777777" w:rsidR="0009088F" w:rsidRDefault="00131F06" w:rsidP="00131F0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Union has also taken steps in the 21</w:t>
      </w:r>
      <w:r w:rsidRPr="00131F06">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w:t>
      </w:r>
      <w:r w:rsidR="004B5E59">
        <w:rPr>
          <w:rFonts w:ascii="Arial" w:hAnsi="Arial" w:cs="Arial"/>
          <w:color w:val="7B7B7B" w:themeColor="accent3" w:themeShade="BF"/>
          <w:sz w:val="22"/>
          <w:szCs w:val="22"/>
          <w:lang w:val="en-GB"/>
        </w:rPr>
        <w:t>Century to promote harmonization of the domestic insolvency laws. The EU has done this through the report on the Harmonization of Insolvency law at EU level 2010, published by the European parliament.</w:t>
      </w:r>
      <w:r w:rsidR="007168C6">
        <w:rPr>
          <w:rFonts w:ascii="Arial" w:hAnsi="Arial" w:cs="Arial"/>
          <w:color w:val="7B7B7B" w:themeColor="accent3" w:themeShade="BF"/>
          <w:sz w:val="22"/>
          <w:szCs w:val="22"/>
          <w:lang w:val="en-GB"/>
        </w:rPr>
        <w:t xml:space="preserve"> The report outlined </w:t>
      </w:r>
      <w:r w:rsidR="007168C6">
        <w:rPr>
          <w:rFonts w:ascii="Arial" w:hAnsi="Arial" w:cs="Arial"/>
          <w:color w:val="7B7B7B" w:themeColor="accent3" w:themeShade="BF"/>
          <w:sz w:val="22"/>
          <w:szCs w:val="22"/>
          <w:lang w:val="en-GB"/>
        </w:rPr>
        <w:lastRenderedPageBreak/>
        <w:t>differences between domestic insolvency laws within the European Union and identified a number of areas of insolvency law where harmonization at the EU level is believed to be important and achievable</w:t>
      </w:r>
      <w:r w:rsidR="007168C6">
        <w:rPr>
          <w:rStyle w:val="FootnoteReference"/>
          <w:rFonts w:ascii="Arial" w:hAnsi="Arial" w:cs="Arial"/>
          <w:color w:val="7B7B7B" w:themeColor="accent3" w:themeShade="BF"/>
          <w:sz w:val="22"/>
          <w:szCs w:val="22"/>
          <w:lang w:val="en-GB"/>
        </w:rPr>
        <w:footnoteReference w:id="30"/>
      </w:r>
      <w:r w:rsidR="007168C6">
        <w:rPr>
          <w:rFonts w:ascii="Arial" w:hAnsi="Arial" w:cs="Arial"/>
          <w:color w:val="7B7B7B" w:themeColor="accent3" w:themeShade="BF"/>
          <w:sz w:val="22"/>
          <w:szCs w:val="22"/>
          <w:lang w:val="en-GB"/>
        </w:rPr>
        <w:t>.</w:t>
      </w:r>
      <w:r w:rsidR="0009088F">
        <w:rPr>
          <w:rFonts w:ascii="Arial" w:hAnsi="Arial" w:cs="Arial"/>
          <w:color w:val="7B7B7B" w:themeColor="accent3" w:themeShade="BF"/>
          <w:sz w:val="22"/>
          <w:szCs w:val="22"/>
          <w:lang w:val="en-GB"/>
        </w:rPr>
        <w:t xml:space="preserve"> The areas referred to include;</w:t>
      </w:r>
    </w:p>
    <w:p w14:paraId="64E17F9F" w14:textId="77777777" w:rsidR="0009088F" w:rsidRDefault="0009088F" w:rsidP="00131F06">
      <w:pPr>
        <w:jc w:val="both"/>
        <w:rPr>
          <w:rFonts w:ascii="Arial" w:hAnsi="Arial" w:cs="Arial"/>
          <w:color w:val="7B7B7B" w:themeColor="accent3" w:themeShade="BF"/>
          <w:sz w:val="22"/>
          <w:szCs w:val="22"/>
          <w:lang w:val="en-GB"/>
        </w:rPr>
      </w:pPr>
    </w:p>
    <w:p w14:paraId="6461C99E" w14:textId="15E08D60" w:rsidR="0009088F"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09088F">
        <w:rPr>
          <w:rFonts w:ascii="Arial" w:hAnsi="Arial" w:cs="Arial"/>
          <w:color w:val="7B7B7B" w:themeColor="accent3" w:themeShade="BF"/>
          <w:sz w:val="22"/>
          <w:szCs w:val="22"/>
          <w:lang w:val="en-GB"/>
        </w:rPr>
        <w:t xml:space="preserve"> possible common test of insolvency as a requirement of a formal insolvency process;</w:t>
      </w:r>
    </w:p>
    <w:p w14:paraId="39F520BF" w14:textId="20AB8C3C" w:rsidR="0009088F"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09088F">
        <w:rPr>
          <w:rFonts w:ascii="Arial" w:hAnsi="Arial" w:cs="Arial"/>
          <w:color w:val="7B7B7B" w:themeColor="accent3" w:themeShade="BF"/>
          <w:sz w:val="22"/>
          <w:szCs w:val="22"/>
          <w:lang w:val="en-GB"/>
        </w:rPr>
        <w:t>he formal aspects of lodging and dealing with claims in a formal insolvency;</w:t>
      </w:r>
    </w:p>
    <w:p w14:paraId="428963D2" w14:textId="6B5CC753" w:rsidR="00415C9F"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aspects of the manner in which re-organization plans are adopted and their contents;</w:t>
      </w:r>
    </w:p>
    <w:p w14:paraId="07B60975" w14:textId="79F58F41" w:rsidR="00415C9F"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rules regarding so called detrimental acts;</w:t>
      </w:r>
    </w:p>
    <w:p w14:paraId="789F6883" w14:textId="1161224B" w:rsidR="00415C9F"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interrelationship between contractual rights of termination and insolvency;</w:t>
      </w:r>
    </w:p>
    <w:p w14:paraId="153F3CDC" w14:textId="13A7F38D" w:rsidR="00D34183" w:rsidRDefault="00415C9F" w:rsidP="0009088F">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responsibilities. </w:t>
      </w:r>
      <w:r>
        <w:rPr>
          <w:rStyle w:val="FootnoteReference"/>
          <w:rFonts w:ascii="Arial" w:hAnsi="Arial" w:cs="Arial"/>
          <w:color w:val="7B7B7B" w:themeColor="accent3" w:themeShade="BF"/>
          <w:sz w:val="22"/>
          <w:szCs w:val="22"/>
          <w:lang w:val="en-GB"/>
        </w:rPr>
        <w:footnoteReference w:id="31"/>
      </w:r>
      <w:r w:rsidR="000A28B8" w:rsidRPr="0009088F">
        <w:rPr>
          <w:rFonts w:ascii="Arial" w:hAnsi="Arial" w:cs="Arial"/>
          <w:color w:val="7B7B7B" w:themeColor="accent3" w:themeShade="BF"/>
          <w:sz w:val="22"/>
          <w:szCs w:val="22"/>
          <w:lang w:val="en-GB"/>
        </w:rPr>
        <w:t xml:space="preserve"> </w:t>
      </w:r>
      <w:r w:rsidR="00D34183" w:rsidRPr="0009088F">
        <w:rPr>
          <w:rFonts w:ascii="Arial" w:hAnsi="Arial" w:cs="Arial"/>
          <w:color w:val="7B7B7B" w:themeColor="accent3" w:themeShade="BF"/>
          <w:sz w:val="22"/>
          <w:szCs w:val="22"/>
          <w:lang w:val="en-GB"/>
        </w:rPr>
        <w:t xml:space="preserve"> </w:t>
      </w:r>
    </w:p>
    <w:p w14:paraId="2D37199A" w14:textId="6E702866" w:rsidR="00415C9F" w:rsidRDefault="00415C9F" w:rsidP="00415C9F">
      <w:pPr>
        <w:jc w:val="both"/>
        <w:rPr>
          <w:rFonts w:ascii="Arial" w:hAnsi="Arial" w:cs="Arial"/>
          <w:color w:val="7B7B7B" w:themeColor="accent3" w:themeShade="BF"/>
          <w:sz w:val="22"/>
          <w:szCs w:val="22"/>
          <w:lang w:val="en-GB"/>
        </w:rPr>
      </w:pPr>
    </w:p>
    <w:p w14:paraId="5FCAC63E" w14:textId="2D5ABB57" w:rsidR="00415C9F" w:rsidRDefault="00415C9F" w:rsidP="00415C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also an Action Plan on building a Capacity Market Union (CMU) published on 30</w:t>
      </w:r>
      <w:r w:rsidRPr="00415C9F">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September, 2015 by the European Commission. According to the commission, “convergency of insolvency and restructuring proceedings would facilitate greater legal certainty for cross-border investors and encourage the timely restructuring of viable companies in financial distress. The CMU plan has been reviewed and the High</w:t>
      </w:r>
      <w:r w:rsidR="003A3FA0">
        <w:rPr>
          <w:rFonts w:ascii="Arial" w:hAnsi="Arial" w:cs="Arial"/>
          <w:color w:val="7B7B7B" w:themeColor="accent3" w:themeShade="BF"/>
          <w:sz w:val="22"/>
          <w:szCs w:val="22"/>
          <w:lang w:val="en-GB"/>
        </w:rPr>
        <w:t>-</w:t>
      </w:r>
      <w:r w:rsidR="00B6057E">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evel </w:t>
      </w:r>
      <w:r w:rsidR="00B6057E">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orum (HLF) publ</w:t>
      </w:r>
      <w:r w:rsidR="00B6057E">
        <w:rPr>
          <w:rFonts w:ascii="Arial" w:hAnsi="Arial" w:cs="Arial"/>
          <w:color w:val="7B7B7B" w:themeColor="accent3" w:themeShade="BF"/>
          <w:sz w:val="22"/>
          <w:szCs w:val="22"/>
          <w:lang w:val="en-GB"/>
        </w:rPr>
        <w:t>ished its final report on the CMU, ‘A new Vision for Europe’s capital markets’ on 10 June, 2020</w:t>
      </w:r>
      <w:r w:rsidR="00B6057E">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w:t>
      </w:r>
      <w:r w:rsidR="00B6057E">
        <w:rPr>
          <w:rFonts w:ascii="Arial" w:hAnsi="Arial" w:cs="Arial"/>
          <w:color w:val="7B7B7B" w:themeColor="accent3" w:themeShade="BF"/>
          <w:sz w:val="22"/>
          <w:szCs w:val="22"/>
          <w:lang w:val="en-GB"/>
        </w:rPr>
        <w:t xml:space="preserve"> </w:t>
      </w:r>
    </w:p>
    <w:p w14:paraId="30175C9B" w14:textId="0B486567" w:rsidR="00B6057E" w:rsidRDefault="00B6057E" w:rsidP="00415C9F">
      <w:pPr>
        <w:jc w:val="both"/>
        <w:rPr>
          <w:rFonts w:ascii="Arial" w:hAnsi="Arial" w:cs="Arial"/>
          <w:color w:val="7B7B7B" w:themeColor="accent3" w:themeShade="BF"/>
          <w:sz w:val="22"/>
          <w:szCs w:val="22"/>
          <w:lang w:val="en-GB"/>
        </w:rPr>
      </w:pPr>
    </w:p>
    <w:p w14:paraId="7366D1A5" w14:textId="581C9EBA" w:rsidR="00B6057E" w:rsidRDefault="00B6057E" w:rsidP="00415C9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my opinion,</w:t>
      </w:r>
      <w:r w:rsidR="003C6AD3">
        <w:rPr>
          <w:rFonts w:ascii="Arial" w:hAnsi="Arial" w:cs="Arial"/>
          <w:color w:val="7B7B7B" w:themeColor="accent3" w:themeShade="BF"/>
          <w:sz w:val="22"/>
          <w:szCs w:val="22"/>
          <w:lang w:val="en-GB"/>
        </w:rPr>
        <w:t xml:space="preserve"> these are likely to have great impacts in addressing international insolvency issues based on the following reasons;</w:t>
      </w:r>
    </w:p>
    <w:p w14:paraId="5D022C72" w14:textId="376FFA51" w:rsidR="003C6AD3" w:rsidRDefault="003C6AD3" w:rsidP="00415C9F">
      <w:pPr>
        <w:jc w:val="both"/>
        <w:rPr>
          <w:rFonts w:ascii="Arial" w:hAnsi="Arial" w:cs="Arial"/>
          <w:color w:val="7B7B7B" w:themeColor="accent3" w:themeShade="BF"/>
          <w:sz w:val="22"/>
          <w:szCs w:val="22"/>
          <w:lang w:val="en-GB"/>
        </w:rPr>
      </w:pPr>
    </w:p>
    <w:p w14:paraId="5DE2B44A" w14:textId="6672914E" w:rsidR="003C6AD3" w:rsidRDefault="00DE485B" w:rsidP="003C6AD3">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moves can reduce the significance of an insolvency crossing a State boundary because there will now be adequate insolvency laws</w:t>
      </w:r>
      <w:r w:rsidR="003F5E2C">
        <w:rPr>
          <w:rFonts w:ascii="Arial" w:hAnsi="Arial" w:cs="Arial"/>
          <w:color w:val="7B7B7B" w:themeColor="accent3" w:themeShade="BF"/>
          <w:sz w:val="22"/>
          <w:szCs w:val="22"/>
          <w:lang w:val="en-GB"/>
        </w:rPr>
        <w:t xml:space="preserve"> available</w:t>
      </w:r>
      <w:r>
        <w:rPr>
          <w:rFonts w:ascii="Arial" w:hAnsi="Arial" w:cs="Arial"/>
          <w:color w:val="7B7B7B" w:themeColor="accent3" w:themeShade="BF"/>
          <w:sz w:val="22"/>
          <w:szCs w:val="22"/>
          <w:lang w:val="en-GB"/>
        </w:rPr>
        <w:t xml:space="preserve"> to resolve such issues.</w:t>
      </w:r>
    </w:p>
    <w:p w14:paraId="543D5286" w14:textId="13DF5DE9" w:rsidR="003F5E2C" w:rsidRDefault="003F5E2C" w:rsidP="003F5E2C">
      <w:pPr>
        <w:jc w:val="both"/>
        <w:rPr>
          <w:rFonts w:ascii="Arial" w:hAnsi="Arial" w:cs="Arial"/>
          <w:color w:val="7B7B7B" w:themeColor="accent3" w:themeShade="BF"/>
          <w:sz w:val="22"/>
          <w:szCs w:val="22"/>
          <w:lang w:val="en-GB"/>
        </w:rPr>
      </w:pPr>
    </w:p>
    <w:p w14:paraId="7B22744E" w14:textId="0E27225A" w:rsidR="003F5E2C" w:rsidRDefault="003F5E2C" w:rsidP="003F5E2C">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moves will enhance the need for regulators or courts to collaborate to resolve international insolvency issues with minimal challenge due to the existence and available predictable insolvency laws.</w:t>
      </w:r>
    </w:p>
    <w:p w14:paraId="3750B739" w14:textId="77777777" w:rsidR="00D565BF" w:rsidRPr="00D565BF" w:rsidRDefault="00D565BF" w:rsidP="00D565BF">
      <w:pPr>
        <w:pStyle w:val="ListParagraph"/>
        <w:rPr>
          <w:rFonts w:ascii="Arial" w:hAnsi="Arial" w:cs="Arial"/>
          <w:color w:val="7B7B7B" w:themeColor="accent3" w:themeShade="BF"/>
          <w:sz w:val="22"/>
          <w:szCs w:val="22"/>
          <w:lang w:val="en-GB"/>
        </w:rPr>
      </w:pPr>
    </w:p>
    <w:p w14:paraId="62F6A232" w14:textId="77777777" w:rsidR="003A3FA0" w:rsidRDefault="00D565BF" w:rsidP="003A3FA0">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moves will also help to create certainty in insolvency proceedings of domestic State</w:t>
      </w:r>
      <w:r w:rsidR="003A3FA0">
        <w:rPr>
          <w:rFonts w:ascii="Arial" w:hAnsi="Arial" w:cs="Arial"/>
          <w:color w:val="7B7B7B" w:themeColor="accent3" w:themeShade="BF"/>
          <w:sz w:val="22"/>
          <w:szCs w:val="22"/>
          <w:lang w:val="en-GB"/>
        </w:rPr>
        <w:t>s</w:t>
      </w:r>
      <w:r w:rsidR="00A8362F">
        <w:rPr>
          <w:rFonts w:ascii="Arial" w:hAnsi="Arial" w:cs="Arial"/>
          <w:color w:val="7B7B7B" w:themeColor="accent3" w:themeShade="BF"/>
          <w:sz w:val="22"/>
          <w:szCs w:val="22"/>
          <w:lang w:val="en-GB"/>
        </w:rPr>
        <w:t xml:space="preserve"> and</w:t>
      </w:r>
    </w:p>
    <w:p w14:paraId="2AB93E11" w14:textId="77777777" w:rsidR="003A3FA0" w:rsidRPr="003A3FA0" w:rsidRDefault="003A3FA0" w:rsidP="003A3FA0">
      <w:pPr>
        <w:pStyle w:val="ListParagraph"/>
        <w:rPr>
          <w:rFonts w:ascii="Arial" w:hAnsi="Arial" w:cs="Arial"/>
          <w:color w:val="7B7B7B" w:themeColor="accent3" w:themeShade="BF"/>
          <w:sz w:val="22"/>
          <w:szCs w:val="22"/>
          <w:lang w:val="en-GB"/>
        </w:rPr>
      </w:pPr>
    </w:p>
    <w:p w14:paraId="4E83D7AF" w14:textId="53EA6A23" w:rsidR="00DF75F8" w:rsidRPr="003A3FA0" w:rsidRDefault="00A8362F" w:rsidP="003A3FA0">
      <w:pPr>
        <w:pStyle w:val="ListParagraph"/>
        <w:numPr>
          <w:ilvl w:val="0"/>
          <w:numId w:val="32"/>
        </w:numPr>
        <w:jc w:val="both"/>
        <w:rPr>
          <w:rFonts w:ascii="Arial" w:hAnsi="Arial" w:cs="Arial"/>
          <w:color w:val="7B7B7B" w:themeColor="accent3" w:themeShade="BF"/>
          <w:sz w:val="22"/>
          <w:szCs w:val="22"/>
          <w:lang w:val="en-GB"/>
        </w:rPr>
      </w:pPr>
      <w:r w:rsidRPr="003A3FA0">
        <w:rPr>
          <w:rFonts w:ascii="Arial" w:hAnsi="Arial" w:cs="Arial"/>
          <w:color w:val="7B7B7B" w:themeColor="accent3" w:themeShade="BF"/>
          <w:sz w:val="22"/>
          <w:szCs w:val="22"/>
          <w:lang w:val="en-GB"/>
        </w:rPr>
        <w:t xml:space="preserve">Reduce cost in developing insolvency laws in developing States since, there are existing prototypes of the laws that can be adopted with minimal </w:t>
      </w:r>
      <w:r w:rsidR="0028179A" w:rsidRPr="003A3FA0">
        <w:rPr>
          <w:rFonts w:ascii="Arial" w:hAnsi="Arial" w:cs="Arial"/>
          <w:color w:val="7B7B7B" w:themeColor="accent3" w:themeShade="BF"/>
          <w:sz w:val="22"/>
          <w:szCs w:val="22"/>
          <w:lang w:val="en-GB"/>
        </w:rPr>
        <w:t>modifica</w:t>
      </w:r>
      <w:r w:rsidRPr="003A3FA0">
        <w:rPr>
          <w:rFonts w:ascii="Arial" w:hAnsi="Arial" w:cs="Arial"/>
          <w:color w:val="7B7B7B" w:themeColor="accent3" w:themeShade="BF"/>
          <w:sz w:val="22"/>
          <w:szCs w:val="22"/>
          <w:lang w:val="en-GB"/>
        </w:rPr>
        <w:t>tions for the purpose of domestication</w:t>
      </w:r>
      <w:r w:rsidR="00805305" w:rsidRPr="003A3FA0">
        <w:rPr>
          <w:rFonts w:ascii="Arial" w:hAnsi="Arial" w:cs="Arial"/>
          <w:color w:val="7B7B7B" w:themeColor="accent3" w:themeShade="BF"/>
          <w:sz w:val="22"/>
          <w:szCs w:val="22"/>
          <w:lang w:val="en-GB"/>
        </w:rPr>
        <w:t xml:space="preserve"> by such States</w:t>
      </w:r>
      <w:r w:rsidRPr="003A3FA0">
        <w:rPr>
          <w:rFonts w:ascii="Arial" w:hAnsi="Arial" w:cs="Arial"/>
          <w:color w:val="7B7B7B" w:themeColor="accent3" w:themeShade="BF"/>
          <w:sz w:val="22"/>
          <w:szCs w:val="22"/>
          <w:lang w:val="en-GB"/>
        </w:rPr>
        <w:t>.</w:t>
      </w:r>
      <w:r w:rsidR="00DF75F8" w:rsidRPr="003A3FA0">
        <w:rPr>
          <w:rFonts w:ascii="Arial" w:hAnsi="Arial" w:cs="Arial"/>
          <w:color w:val="7B7B7B" w:themeColor="accent3" w:themeShade="BF"/>
          <w:sz w:val="22"/>
          <w:szCs w:val="22"/>
          <w:lang w:val="en-GB"/>
        </w:rPr>
        <w:t>]</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lastRenderedPageBreak/>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2"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EA0A263" w14:textId="0FA6B244" w:rsidR="003470ED"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28179A">
        <w:rPr>
          <w:rFonts w:ascii="Arial" w:hAnsi="Arial" w:cs="Arial"/>
          <w:color w:val="7B7B7B" w:themeColor="accent3" w:themeShade="BF"/>
          <w:sz w:val="22"/>
          <w:szCs w:val="22"/>
          <w:lang w:val="en-GB"/>
        </w:rPr>
        <w:t>My advice to</w:t>
      </w:r>
      <w:r w:rsidR="00C44456">
        <w:rPr>
          <w:rFonts w:ascii="Arial" w:hAnsi="Arial" w:cs="Arial"/>
          <w:color w:val="7B7B7B" w:themeColor="accent3" w:themeShade="BF"/>
          <w:sz w:val="22"/>
          <w:szCs w:val="22"/>
          <w:lang w:val="en-GB"/>
        </w:rPr>
        <w:t xml:space="preserve"> the</w:t>
      </w:r>
      <w:r w:rsidR="0028179A">
        <w:rPr>
          <w:rFonts w:ascii="Arial" w:hAnsi="Arial" w:cs="Arial"/>
          <w:color w:val="7B7B7B" w:themeColor="accent3" w:themeShade="BF"/>
          <w:sz w:val="22"/>
          <w:szCs w:val="22"/>
          <w:lang w:val="en-GB"/>
        </w:rPr>
        <w:t xml:space="preserve"> Erewhon liquidator</w:t>
      </w:r>
      <w:r w:rsidR="003470ED">
        <w:rPr>
          <w:rFonts w:ascii="Arial" w:hAnsi="Arial" w:cs="Arial"/>
          <w:color w:val="7B7B7B" w:themeColor="accent3" w:themeShade="BF"/>
          <w:sz w:val="22"/>
          <w:szCs w:val="22"/>
          <w:lang w:val="en-GB"/>
        </w:rPr>
        <w:t xml:space="preserve"> on the potential relevance of the Cross-Border Insolvency Act of Utopia </w:t>
      </w:r>
      <w:r w:rsidR="00AC57A0">
        <w:rPr>
          <w:rFonts w:ascii="Arial" w:hAnsi="Arial" w:cs="Arial"/>
          <w:color w:val="7B7B7B" w:themeColor="accent3" w:themeShade="BF"/>
          <w:sz w:val="22"/>
          <w:szCs w:val="22"/>
          <w:lang w:val="en-GB"/>
        </w:rPr>
        <w:t>is as follows</w:t>
      </w:r>
      <w:r w:rsidR="003470ED">
        <w:rPr>
          <w:rFonts w:ascii="Arial" w:hAnsi="Arial" w:cs="Arial"/>
          <w:color w:val="7B7B7B" w:themeColor="accent3" w:themeShade="BF"/>
          <w:sz w:val="22"/>
          <w:szCs w:val="22"/>
          <w:lang w:val="en-GB"/>
        </w:rPr>
        <w:t>:</w:t>
      </w:r>
    </w:p>
    <w:p w14:paraId="7E417FCB" w14:textId="77777777" w:rsidR="003470ED" w:rsidRDefault="003470ED" w:rsidP="00C053F7">
      <w:pPr>
        <w:jc w:val="both"/>
        <w:rPr>
          <w:rFonts w:ascii="Arial" w:hAnsi="Arial" w:cs="Arial"/>
          <w:color w:val="7B7B7B" w:themeColor="accent3" w:themeShade="BF"/>
          <w:sz w:val="22"/>
          <w:szCs w:val="22"/>
          <w:lang w:val="en-GB"/>
        </w:rPr>
      </w:pPr>
    </w:p>
    <w:p w14:paraId="79042039" w14:textId="6D7D5BC5" w:rsidR="00AC57A0" w:rsidRDefault="003C44F3" w:rsidP="00AC57A0">
      <w:pPr>
        <w:jc w:val="both"/>
        <w:rPr>
          <w:rFonts w:ascii="Arial" w:hAnsi="Arial" w:cs="Arial"/>
          <w:color w:val="7B7B7B" w:themeColor="accent3" w:themeShade="BF"/>
          <w:sz w:val="22"/>
          <w:szCs w:val="22"/>
          <w:lang w:val="en-GB"/>
        </w:rPr>
      </w:pPr>
      <w:r w:rsidRPr="00AC57A0">
        <w:rPr>
          <w:rFonts w:ascii="Arial" w:hAnsi="Arial" w:cs="Arial"/>
          <w:color w:val="7B7B7B" w:themeColor="accent3" w:themeShade="BF"/>
          <w:sz w:val="22"/>
          <w:szCs w:val="22"/>
          <w:lang w:val="en-GB"/>
        </w:rPr>
        <w:t>Since t</w:t>
      </w:r>
      <w:r w:rsidR="003470ED" w:rsidRPr="00AC57A0">
        <w:rPr>
          <w:rFonts w:ascii="Arial" w:hAnsi="Arial" w:cs="Arial"/>
          <w:color w:val="7B7B7B" w:themeColor="accent3" w:themeShade="BF"/>
          <w:sz w:val="22"/>
          <w:szCs w:val="22"/>
          <w:lang w:val="en-GB"/>
        </w:rPr>
        <w:t>he Cross-Border Insolvency Act of Utopia</w:t>
      </w:r>
      <w:r w:rsidR="00646A54" w:rsidRPr="00AC57A0">
        <w:rPr>
          <w:rFonts w:ascii="Arial" w:hAnsi="Arial" w:cs="Arial"/>
          <w:color w:val="7B7B7B" w:themeColor="accent3" w:themeShade="BF"/>
          <w:sz w:val="22"/>
          <w:szCs w:val="22"/>
          <w:lang w:val="en-GB"/>
        </w:rPr>
        <w:t xml:space="preserve"> has</w:t>
      </w:r>
      <w:r w:rsidR="003470ED" w:rsidRPr="00AC57A0">
        <w:rPr>
          <w:rFonts w:ascii="Arial" w:hAnsi="Arial" w:cs="Arial"/>
          <w:color w:val="7B7B7B" w:themeColor="accent3" w:themeShade="BF"/>
          <w:sz w:val="22"/>
          <w:szCs w:val="22"/>
          <w:lang w:val="en-GB"/>
        </w:rPr>
        <w:t xml:space="preserve"> adopt</w:t>
      </w:r>
      <w:r w:rsidRPr="00AC57A0">
        <w:rPr>
          <w:rFonts w:ascii="Arial" w:hAnsi="Arial" w:cs="Arial"/>
          <w:color w:val="7B7B7B" w:themeColor="accent3" w:themeShade="BF"/>
          <w:sz w:val="22"/>
          <w:szCs w:val="22"/>
          <w:lang w:val="en-GB"/>
        </w:rPr>
        <w:t>ed</w:t>
      </w:r>
      <w:r w:rsidR="003470ED" w:rsidRPr="00AC57A0">
        <w:rPr>
          <w:rFonts w:ascii="Arial" w:hAnsi="Arial" w:cs="Arial"/>
          <w:color w:val="7B7B7B" w:themeColor="accent3" w:themeShade="BF"/>
          <w:sz w:val="22"/>
          <w:szCs w:val="22"/>
          <w:lang w:val="en-GB"/>
        </w:rPr>
        <w:t xml:space="preserve"> the UNCITRAL Model law, </w:t>
      </w:r>
      <w:r w:rsidR="00646A54" w:rsidRPr="00AC57A0">
        <w:rPr>
          <w:rFonts w:ascii="Arial" w:hAnsi="Arial" w:cs="Arial"/>
          <w:color w:val="7B7B7B" w:themeColor="accent3" w:themeShade="BF"/>
          <w:sz w:val="22"/>
          <w:szCs w:val="22"/>
          <w:lang w:val="en-GB"/>
        </w:rPr>
        <w:t>the Model Law will be the law to regulate the insolvency proceedings in Utopia. The relevance of the Cross-border Insolvency Act of Utopia is</w:t>
      </w:r>
      <w:r w:rsidR="00FA44AB" w:rsidRPr="00AC57A0">
        <w:rPr>
          <w:rFonts w:ascii="Arial" w:hAnsi="Arial" w:cs="Arial"/>
          <w:color w:val="7B7B7B" w:themeColor="accent3" w:themeShade="BF"/>
          <w:sz w:val="22"/>
          <w:szCs w:val="22"/>
          <w:lang w:val="en-GB"/>
        </w:rPr>
        <w:t xml:space="preserve"> to the effect</w:t>
      </w:r>
      <w:r w:rsidR="00646A54" w:rsidRPr="00AC57A0">
        <w:rPr>
          <w:rFonts w:ascii="Arial" w:hAnsi="Arial" w:cs="Arial"/>
          <w:color w:val="7B7B7B" w:themeColor="accent3" w:themeShade="BF"/>
          <w:sz w:val="22"/>
          <w:szCs w:val="22"/>
          <w:lang w:val="en-GB"/>
        </w:rPr>
        <w:t xml:space="preserve"> that by th</w:t>
      </w:r>
      <w:r w:rsidR="00FA44AB" w:rsidRPr="00AC57A0">
        <w:rPr>
          <w:rFonts w:ascii="Arial" w:hAnsi="Arial" w:cs="Arial"/>
          <w:color w:val="7B7B7B" w:themeColor="accent3" w:themeShade="BF"/>
          <w:sz w:val="22"/>
          <w:szCs w:val="22"/>
          <w:lang w:val="en-GB"/>
        </w:rPr>
        <w:t>e said</w:t>
      </w:r>
      <w:r w:rsidR="00646A54" w:rsidRPr="00AC57A0">
        <w:rPr>
          <w:rFonts w:ascii="Arial" w:hAnsi="Arial" w:cs="Arial"/>
          <w:color w:val="7B7B7B" w:themeColor="accent3" w:themeShade="BF"/>
          <w:sz w:val="22"/>
          <w:szCs w:val="22"/>
          <w:lang w:val="en-GB"/>
        </w:rPr>
        <w:t xml:space="preserve"> adoption</w:t>
      </w:r>
      <w:r w:rsidR="00FA44AB" w:rsidRPr="00AC57A0">
        <w:rPr>
          <w:rFonts w:ascii="Arial" w:hAnsi="Arial" w:cs="Arial"/>
          <w:color w:val="7B7B7B" w:themeColor="accent3" w:themeShade="BF"/>
          <w:sz w:val="22"/>
          <w:szCs w:val="22"/>
          <w:lang w:val="en-GB"/>
        </w:rPr>
        <w:t xml:space="preserve"> of the Model Law, Erewhon Liquidator cannot stop Apex Court’s action</w:t>
      </w:r>
      <w:r w:rsidR="00AC57A0" w:rsidRPr="00AC57A0">
        <w:rPr>
          <w:rFonts w:ascii="Arial" w:hAnsi="Arial" w:cs="Arial"/>
          <w:color w:val="7B7B7B" w:themeColor="accent3" w:themeShade="BF"/>
          <w:sz w:val="22"/>
          <w:szCs w:val="22"/>
          <w:lang w:val="en-GB"/>
        </w:rPr>
        <w:t xml:space="preserve"> against Nadir in Utopia</w:t>
      </w:r>
      <w:r w:rsidR="005566CF">
        <w:rPr>
          <w:rFonts w:ascii="Arial" w:hAnsi="Arial" w:cs="Arial"/>
          <w:color w:val="7B7B7B" w:themeColor="accent3" w:themeShade="BF"/>
          <w:sz w:val="22"/>
          <w:szCs w:val="22"/>
          <w:lang w:val="en-GB"/>
        </w:rPr>
        <w:t xml:space="preserve"> as the </w:t>
      </w:r>
      <w:r w:rsidR="00FA44AB" w:rsidRPr="00AC57A0">
        <w:rPr>
          <w:rFonts w:ascii="Arial" w:hAnsi="Arial" w:cs="Arial"/>
          <w:color w:val="7B7B7B" w:themeColor="accent3" w:themeShade="BF"/>
          <w:sz w:val="22"/>
          <w:szCs w:val="22"/>
          <w:lang w:val="en-GB"/>
        </w:rPr>
        <w:t>model law</w:t>
      </w:r>
      <w:r w:rsidR="005566CF">
        <w:rPr>
          <w:rFonts w:ascii="Arial" w:hAnsi="Arial" w:cs="Arial"/>
          <w:color w:val="7B7B7B" w:themeColor="accent3" w:themeShade="BF"/>
          <w:sz w:val="22"/>
          <w:szCs w:val="22"/>
          <w:lang w:val="en-GB"/>
        </w:rPr>
        <w:t xml:space="preserve"> made</w:t>
      </w:r>
      <w:r w:rsidR="00FA44AB" w:rsidRPr="00AC57A0">
        <w:rPr>
          <w:rFonts w:ascii="Arial" w:hAnsi="Arial" w:cs="Arial"/>
          <w:color w:val="7B7B7B" w:themeColor="accent3" w:themeShade="BF"/>
          <w:sz w:val="22"/>
          <w:szCs w:val="22"/>
          <w:lang w:val="en-GB"/>
        </w:rPr>
        <w:t xml:space="preserve"> provision</w:t>
      </w:r>
      <w:r w:rsidR="005566CF">
        <w:rPr>
          <w:rFonts w:ascii="Arial" w:hAnsi="Arial" w:cs="Arial"/>
          <w:color w:val="7B7B7B" w:themeColor="accent3" w:themeShade="BF"/>
          <w:sz w:val="22"/>
          <w:szCs w:val="22"/>
          <w:lang w:val="en-GB"/>
        </w:rPr>
        <w:t xml:space="preserve"> to</w:t>
      </w:r>
      <w:r w:rsidR="00FA44AB" w:rsidRPr="00AC57A0">
        <w:rPr>
          <w:rFonts w:ascii="Arial" w:hAnsi="Arial" w:cs="Arial"/>
          <w:color w:val="7B7B7B" w:themeColor="accent3" w:themeShade="BF"/>
          <w:sz w:val="22"/>
          <w:szCs w:val="22"/>
          <w:lang w:val="en-GB"/>
        </w:rPr>
        <w:t xml:space="preserve"> facilitate co-operation and co-o</w:t>
      </w:r>
      <w:r w:rsidR="00EE391C" w:rsidRPr="00AC57A0">
        <w:rPr>
          <w:rFonts w:ascii="Arial" w:hAnsi="Arial" w:cs="Arial"/>
          <w:color w:val="7B7B7B" w:themeColor="accent3" w:themeShade="BF"/>
          <w:sz w:val="22"/>
          <w:szCs w:val="22"/>
          <w:lang w:val="en-GB"/>
        </w:rPr>
        <w:t>rdination of concurrent proceedings</w:t>
      </w:r>
      <w:r w:rsidR="005566CF">
        <w:rPr>
          <w:rFonts w:ascii="Arial" w:hAnsi="Arial" w:cs="Arial"/>
          <w:color w:val="7B7B7B" w:themeColor="accent3" w:themeShade="BF"/>
          <w:sz w:val="22"/>
          <w:szCs w:val="22"/>
          <w:lang w:val="en-GB"/>
        </w:rPr>
        <w:t xml:space="preserve"> with respect to the Nadir’s </w:t>
      </w:r>
      <w:r w:rsidR="007E0E9A">
        <w:rPr>
          <w:rFonts w:ascii="Arial" w:hAnsi="Arial" w:cs="Arial"/>
          <w:color w:val="7B7B7B" w:themeColor="accent3" w:themeShade="BF"/>
          <w:sz w:val="22"/>
          <w:szCs w:val="22"/>
          <w:lang w:val="en-GB"/>
        </w:rPr>
        <w:t>assets located</w:t>
      </w:r>
      <w:r w:rsidR="005566CF">
        <w:rPr>
          <w:rFonts w:ascii="Arial" w:hAnsi="Arial" w:cs="Arial"/>
          <w:color w:val="7B7B7B" w:themeColor="accent3" w:themeShade="BF"/>
          <w:sz w:val="22"/>
          <w:szCs w:val="22"/>
          <w:lang w:val="en-GB"/>
        </w:rPr>
        <w:t xml:space="preserve"> in Erewhon</w:t>
      </w:r>
      <w:r w:rsidR="00EE391C" w:rsidRPr="00AC57A0">
        <w:rPr>
          <w:rFonts w:ascii="Arial" w:hAnsi="Arial" w:cs="Arial"/>
          <w:color w:val="7B7B7B" w:themeColor="accent3" w:themeShade="BF"/>
          <w:sz w:val="22"/>
          <w:szCs w:val="22"/>
          <w:lang w:val="en-GB"/>
        </w:rPr>
        <w:t>.</w:t>
      </w:r>
      <w:r w:rsidR="00AC57A0" w:rsidRPr="00AC57A0">
        <w:rPr>
          <w:rFonts w:ascii="Arial" w:hAnsi="Arial" w:cs="Arial"/>
          <w:color w:val="7B7B7B" w:themeColor="accent3" w:themeShade="BF"/>
          <w:sz w:val="22"/>
          <w:szCs w:val="22"/>
          <w:lang w:val="en-GB"/>
        </w:rPr>
        <w:t xml:space="preserve"> Meaning that Apex court’s action in Utopia can go on concurrently with the Erewhon Liquidation’s action in Erewhon</w:t>
      </w:r>
      <w:r w:rsidR="007E0E9A">
        <w:rPr>
          <w:rFonts w:ascii="Arial" w:hAnsi="Arial" w:cs="Arial"/>
          <w:color w:val="7B7B7B" w:themeColor="accent3" w:themeShade="BF"/>
          <w:sz w:val="22"/>
          <w:szCs w:val="22"/>
          <w:lang w:val="en-GB"/>
        </w:rPr>
        <w:t xml:space="preserve"> as the second proceeding while the proceeding in Utopia is the main proceeding</w:t>
      </w:r>
      <w:r w:rsidR="00ED55AC">
        <w:rPr>
          <w:rStyle w:val="FootnoteReference"/>
          <w:rFonts w:ascii="Arial" w:hAnsi="Arial" w:cs="Arial"/>
          <w:color w:val="7B7B7B" w:themeColor="accent3" w:themeShade="BF"/>
          <w:sz w:val="22"/>
          <w:szCs w:val="22"/>
          <w:lang w:val="en-GB"/>
        </w:rPr>
        <w:footnoteReference w:id="33"/>
      </w:r>
      <w:r w:rsidR="00AC57A0" w:rsidRPr="00AC57A0">
        <w:rPr>
          <w:rFonts w:ascii="Arial" w:hAnsi="Arial" w:cs="Arial"/>
          <w:color w:val="7B7B7B" w:themeColor="accent3" w:themeShade="BF"/>
          <w:sz w:val="22"/>
          <w:szCs w:val="22"/>
          <w:lang w:val="en-GB"/>
        </w:rPr>
        <w:t>.</w:t>
      </w:r>
    </w:p>
    <w:p w14:paraId="0A3C26A1" w14:textId="40A2978D" w:rsidR="00FD2A6D" w:rsidRDefault="00FD2A6D" w:rsidP="00AC57A0">
      <w:pPr>
        <w:jc w:val="both"/>
        <w:rPr>
          <w:rFonts w:ascii="Arial" w:hAnsi="Arial" w:cs="Arial"/>
          <w:color w:val="7B7B7B" w:themeColor="accent3" w:themeShade="BF"/>
          <w:sz w:val="22"/>
          <w:szCs w:val="22"/>
          <w:lang w:val="en-GB"/>
        </w:rPr>
      </w:pPr>
    </w:p>
    <w:p w14:paraId="358AC854" w14:textId="6A52DBC7" w:rsidR="00F631DE" w:rsidRDefault="00DF6084" w:rsidP="00AC57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t>
      </w:r>
      <w:r w:rsidR="00FD2A6D">
        <w:rPr>
          <w:rFonts w:ascii="Arial" w:hAnsi="Arial" w:cs="Arial"/>
          <w:color w:val="7B7B7B" w:themeColor="accent3" w:themeShade="BF"/>
          <w:sz w:val="22"/>
          <w:szCs w:val="22"/>
          <w:lang w:val="en-GB"/>
        </w:rPr>
        <w:t>Chapter IV of the Model Law,</w:t>
      </w:r>
      <w:r w:rsidR="00F631DE">
        <w:rPr>
          <w:rFonts w:ascii="Arial" w:hAnsi="Arial" w:cs="Arial"/>
          <w:color w:val="7B7B7B" w:themeColor="accent3" w:themeShade="BF"/>
          <w:sz w:val="22"/>
          <w:szCs w:val="22"/>
          <w:lang w:val="en-GB"/>
        </w:rPr>
        <w:t xml:space="preserve"> as adopted by the Cross-border Insolvency Act of Utopia, and</w:t>
      </w:r>
      <w:r w:rsidR="00FD2A6D">
        <w:rPr>
          <w:rFonts w:ascii="Arial" w:hAnsi="Arial" w:cs="Arial"/>
          <w:color w:val="7B7B7B" w:themeColor="accent3" w:themeShade="BF"/>
          <w:sz w:val="22"/>
          <w:szCs w:val="22"/>
          <w:lang w:val="en-GB"/>
        </w:rPr>
        <w:t xml:space="preserve"> which recognises cooperation and direct communication between a local </w:t>
      </w:r>
      <w:r w:rsidR="00F631DE">
        <w:rPr>
          <w:rFonts w:ascii="Arial" w:hAnsi="Arial" w:cs="Arial"/>
          <w:color w:val="7B7B7B" w:themeColor="accent3" w:themeShade="BF"/>
          <w:sz w:val="22"/>
          <w:szCs w:val="22"/>
          <w:lang w:val="en-GB"/>
        </w:rPr>
        <w:t>court and foreign courts or foreign representatives, the Erewhon Liquidator can cooperate and directly communicate with Apex representative and agree on the best approach to protect the creditors in both Erewhon and Utopia</w:t>
      </w:r>
      <w:r>
        <w:rPr>
          <w:rFonts w:ascii="Arial" w:hAnsi="Arial" w:cs="Arial"/>
          <w:color w:val="7B7B7B" w:themeColor="accent3" w:themeShade="BF"/>
          <w:sz w:val="22"/>
          <w:szCs w:val="22"/>
          <w:lang w:val="en-GB"/>
        </w:rPr>
        <w:t xml:space="preserve"> and maximise the value of the assets of Nadir</w:t>
      </w:r>
      <w:r w:rsidR="00F631DE">
        <w:rPr>
          <w:rFonts w:ascii="Arial" w:hAnsi="Arial" w:cs="Arial"/>
          <w:color w:val="7B7B7B" w:themeColor="accent3" w:themeShade="BF"/>
          <w:sz w:val="22"/>
          <w:szCs w:val="22"/>
          <w:lang w:val="en-GB"/>
        </w:rPr>
        <w:t>. Once an agreement is reached the courts of Erewhon and that of Utopia can under Article 25 and 26 of the Model approve and Implement the agreement concerning the coordination of proceedings</w:t>
      </w:r>
      <w:r w:rsidR="00F571EE">
        <w:rPr>
          <w:rFonts w:ascii="Arial" w:hAnsi="Arial" w:cs="Arial"/>
          <w:color w:val="7B7B7B" w:themeColor="accent3" w:themeShade="BF"/>
          <w:sz w:val="22"/>
          <w:szCs w:val="22"/>
          <w:lang w:val="en-GB"/>
        </w:rPr>
        <w:t xml:space="preserve"> under Article 27 (d) of the Model Law.</w:t>
      </w:r>
    </w:p>
    <w:p w14:paraId="692581FB" w14:textId="77777777" w:rsidR="009146B6" w:rsidRPr="00BF1C6F" w:rsidRDefault="009146B6" w:rsidP="009146B6">
      <w:pPr>
        <w:spacing w:before="240"/>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13035E0" w14:textId="02519F92" w:rsidR="00AB1CE2" w:rsidRDefault="002D3473"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AB1CE2">
        <w:rPr>
          <w:rFonts w:ascii="Arial" w:hAnsi="Arial" w:cs="Arial"/>
          <w:color w:val="7B7B7B" w:themeColor="accent3" w:themeShade="BF"/>
          <w:sz w:val="22"/>
          <w:szCs w:val="22"/>
          <w:lang w:val="en-GB"/>
        </w:rPr>
        <w:t xml:space="preserve">(a) Yes, it will make a difference to my answer in question 4:1 in the two alternative scenarios </w:t>
      </w:r>
      <w:r w:rsidR="003A3FA0">
        <w:rPr>
          <w:rFonts w:ascii="Arial" w:hAnsi="Arial" w:cs="Arial"/>
          <w:color w:val="7B7B7B" w:themeColor="accent3" w:themeShade="BF"/>
          <w:sz w:val="22"/>
          <w:szCs w:val="22"/>
          <w:lang w:val="en-GB"/>
        </w:rPr>
        <w:t>with</w:t>
      </w:r>
      <w:r w:rsidR="00AB1CE2">
        <w:rPr>
          <w:rFonts w:ascii="Arial" w:hAnsi="Arial" w:cs="Arial"/>
          <w:color w:val="7B7B7B" w:themeColor="accent3" w:themeShade="BF"/>
          <w:sz w:val="22"/>
          <w:szCs w:val="22"/>
          <w:lang w:val="en-GB"/>
        </w:rPr>
        <w:t xml:space="preserve"> Apex suing for its debt as follows:</w:t>
      </w:r>
    </w:p>
    <w:p w14:paraId="53974012" w14:textId="77777777" w:rsidR="00AB1CE2" w:rsidRDefault="00AB1CE2"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79CD3D8C" w14:textId="622B4141" w:rsidR="00B31EAC" w:rsidRDefault="00AB1CE2"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Apex had filed proceedings to wind-up Nadir but the matter had not yet been heard, the UNCITRAL Legislative Guide</w:t>
      </w:r>
      <w:r w:rsidR="003A3FA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component of the Model Law will apply to discourage and discontinue the continuation of the Apex </w:t>
      </w:r>
      <w:r w:rsidR="00AF6048">
        <w:rPr>
          <w:rFonts w:ascii="Arial" w:hAnsi="Arial" w:cs="Arial"/>
          <w:color w:val="7B7B7B" w:themeColor="accent3" w:themeShade="BF"/>
          <w:sz w:val="22"/>
          <w:szCs w:val="22"/>
          <w:lang w:val="en-GB"/>
        </w:rPr>
        <w:t>proceedings to wind-up Nadir</w:t>
      </w:r>
      <w:r w:rsidR="003A3FA0">
        <w:rPr>
          <w:rFonts w:ascii="Arial" w:hAnsi="Arial" w:cs="Arial"/>
          <w:color w:val="7B7B7B" w:themeColor="accent3" w:themeShade="BF"/>
          <w:sz w:val="22"/>
          <w:szCs w:val="22"/>
          <w:lang w:val="en-GB"/>
        </w:rPr>
        <w:t xml:space="preserve"> even if,</w:t>
      </w:r>
      <w:r w:rsidR="00AF6048">
        <w:rPr>
          <w:rFonts w:ascii="Arial" w:hAnsi="Arial" w:cs="Arial"/>
          <w:color w:val="7B7B7B" w:themeColor="accent3" w:themeShade="BF"/>
          <w:sz w:val="22"/>
          <w:szCs w:val="22"/>
          <w:lang w:val="en-GB"/>
        </w:rPr>
        <w:t xml:space="preserve"> already filed, but yet to be heard</w:t>
      </w:r>
      <w:r w:rsidR="007A4E35">
        <w:rPr>
          <w:rFonts w:ascii="Arial" w:hAnsi="Arial" w:cs="Arial"/>
          <w:color w:val="7B7B7B" w:themeColor="accent3" w:themeShade="BF"/>
          <w:sz w:val="22"/>
          <w:szCs w:val="22"/>
          <w:lang w:val="en-GB"/>
        </w:rPr>
        <w:t>.</w:t>
      </w:r>
      <w:r w:rsidR="00140AD1">
        <w:rPr>
          <w:rFonts w:ascii="Arial" w:hAnsi="Arial" w:cs="Arial"/>
          <w:color w:val="7B7B7B" w:themeColor="accent3" w:themeShade="BF"/>
          <w:sz w:val="22"/>
          <w:szCs w:val="22"/>
          <w:lang w:val="en-GB"/>
        </w:rPr>
        <w:t xml:space="preserve"> The assumption is that since insolvency law establishes a collective debt </w:t>
      </w:r>
      <w:r w:rsidR="00140AD1">
        <w:rPr>
          <w:rFonts w:ascii="Arial" w:hAnsi="Arial" w:cs="Arial"/>
          <w:color w:val="7B7B7B" w:themeColor="accent3" w:themeShade="BF"/>
          <w:sz w:val="22"/>
          <w:szCs w:val="22"/>
          <w:lang w:val="en-GB"/>
        </w:rPr>
        <w:lastRenderedPageBreak/>
        <w:t>collection process</w:t>
      </w:r>
      <w:r w:rsidR="00286B9C">
        <w:rPr>
          <w:rFonts w:ascii="Arial" w:hAnsi="Arial" w:cs="Arial"/>
          <w:color w:val="7B7B7B" w:themeColor="accent3" w:themeShade="BF"/>
          <w:sz w:val="22"/>
          <w:szCs w:val="22"/>
          <w:lang w:val="en-GB"/>
        </w:rPr>
        <w:t>. I</w:t>
      </w:r>
      <w:r w:rsidR="00140AD1">
        <w:rPr>
          <w:rFonts w:ascii="Arial" w:hAnsi="Arial" w:cs="Arial"/>
          <w:color w:val="7B7B7B" w:themeColor="accent3" w:themeShade="BF"/>
          <w:sz w:val="22"/>
          <w:szCs w:val="22"/>
          <w:lang w:val="en-GB"/>
        </w:rPr>
        <w:t>t is essential under the Legislative Guide to discourage individual creditors from continuing with individual debt enforcement measures as from the commencement of an insolvency proceeding.</w:t>
      </w:r>
    </w:p>
    <w:p w14:paraId="294814A2" w14:textId="77777777" w:rsidR="00B31EAC" w:rsidRDefault="00B31EAC"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0CA28BD3" w14:textId="40AE218D" w:rsidR="006E0E5B" w:rsidRDefault="00B31EAC"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upon the commencement of the insolvency proceeding by the issuance of the winding-up order by the Erewhon Court and the appointment of the Erewhon Liquidator, the Apex filed proceedings to wind-up Nadir, yet to be heard, which is an individual creditor debt enforcement, will be</w:t>
      </w:r>
      <w:r w:rsidR="00D9428E">
        <w:rPr>
          <w:rFonts w:ascii="Arial" w:hAnsi="Arial" w:cs="Arial"/>
          <w:color w:val="7B7B7B" w:themeColor="accent3" w:themeShade="BF"/>
          <w:sz w:val="22"/>
          <w:szCs w:val="22"/>
          <w:lang w:val="en-GB"/>
        </w:rPr>
        <w:t xml:space="preserve"> </w:t>
      </w:r>
      <w:r w:rsidR="00442C27">
        <w:rPr>
          <w:rFonts w:ascii="Arial" w:hAnsi="Arial" w:cs="Arial"/>
          <w:color w:val="7B7B7B" w:themeColor="accent3" w:themeShade="BF"/>
          <w:sz w:val="22"/>
          <w:szCs w:val="22"/>
          <w:lang w:val="en-GB"/>
        </w:rPr>
        <w:t>abate</w:t>
      </w:r>
      <w:r>
        <w:rPr>
          <w:rFonts w:ascii="Arial" w:hAnsi="Arial" w:cs="Arial"/>
          <w:color w:val="7B7B7B" w:themeColor="accent3" w:themeShade="BF"/>
          <w:sz w:val="22"/>
          <w:szCs w:val="22"/>
          <w:lang w:val="en-GB"/>
        </w:rPr>
        <w:t xml:space="preserve"> under the UNCITRAL Legislative Guide.</w:t>
      </w:r>
    </w:p>
    <w:p w14:paraId="2E763D98" w14:textId="77777777" w:rsidR="006E0E5B" w:rsidRDefault="006E0E5B"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6FA5C6" w14:textId="64813C1F" w:rsidR="002D3473" w:rsidRPr="001A5315" w:rsidRDefault="00CF33C6" w:rsidP="001A5315">
      <w:pPr>
        <w:pStyle w:val="ListParagraph"/>
        <w:numPr>
          <w:ilvl w:val="0"/>
          <w:numId w:val="35"/>
        </w:numPr>
        <w:autoSpaceDE w:val="0"/>
        <w:autoSpaceDN w:val="0"/>
        <w:adjustRightInd w:val="0"/>
        <w:spacing w:line="276" w:lineRule="auto"/>
        <w:jc w:val="both"/>
        <w:rPr>
          <w:rFonts w:ascii="Arial" w:hAnsi="Arial" w:cs="Arial"/>
          <w:color w:val="7B7B7B" w:themeColor="accent3" w:themeShade="BF"/>
          <w:sz w:val="22"/>
          <w:szCs w:val="22"/>
          <w:lang w:val="en-GB"/>
        </w:rPr>
      </w:pPr>
      <w:r w:rsidRPr="001A5315">
        <w:rPr>
          <w:rFonts w:ascii="Arial" w:hAnsi="Arial" w:cs="Arial"/>
          <w:color w:val="7B7B7B" w:themeColor="accent3" w:themeShade="BF"/>
          <w:sz w:val="22"/>
          <w:szCs w:val="22"/>
          <w:lang w:val="en-GB"/>
        </w:rPr>
        <w:t>Where Apex had obtained a court order to wind-up Nadir in Utopia prior to the Erewhon winding-up</w:t>
      </w:r>
      <w:r w:rsidR="00F377DB" w:rsidRPr="001A5315">
        <w:rPr>
          <w:rFonts w:ascii="Arial" w:hAnsi="Arial" w:cs="Arial"/>
          <w:color w:val="7B7B7B" w:themeColor="accent3" w:themeShade="BF"/>
          <w:sz w:val="22"/>
          <w:szCs w:val="22"/>
          <w:lang w:val="en-GB"/>
        </w:rPr>
        <w:t xml:space="preserve"> </w:t>
      </w:r>
      <w:r w:rsidRPr="001A5315">
        <w:rPr>
          <w:rFonts w:ascii="Arial" w:hAnsi="Arial" w:cs="Arial"/>
          <w:color w:val="7B7B7B" w:themeColor="accent3" w:themeShade="BF"/>
          <w:sz w:val="22"/>
          <w:szCs w:val="22"/>
          <w:lang w:val="en-GB"/>
        </w:rPr>
        <w:t xml:space="preserve">order, that proceedings under the Legislative Guide </w:t>
      </w:r>
      <w:r w:rsidR="0088468C" w:rsidRPr="001A5315">
        <w:rPr>
          <w:rFonts w:ascii="Arial" w:hAnsi="Arial" w:cs="Arial"/>
          <w:color w:val="7B7B7B" w:themeColor="accent3" w:themeShade="BF"/>
          <w:sz w:val="22"/>
          <w:szCs w:val="22"/>
          <w:lang w:val="en-GB"/>
        </w:rPr>
        <w:t xml:space="preserve">will </w:t>
      </w:r>
      <w:r w:rsidRPr="001A5315">
        <w:rPr>
          <w:rFonts w:ascii="Arial" w:hAnsi="Arial" w:cs="Arial"/>
          <w:color w:val="7B7B7B" w:themeColor="accent3" w:themeShade="BF"/>
          <w:sz w:val="22"/>
          <w:szCs w:val="22"/>
          <w:lang w:val="en-GB"/>
        </w:rPr>
        <w:t>be</w:t>
      </w:r>
      <w:r w:rsidR="0088468C" w:rsidRPr="001A5315">
        <w:rPr>
          <w:rFonts w:ascii="Arial" w:hAnsi="Arial" w:cs="Arial"/>
          <w:color w:val="7B7B7B" w:themeColor="accent3" w:themeShade="BF"/>
          <w:sz w:val="22"/>
          <w:szCs w:val="22"/>
          <w:lang w:val="en-GB"/>
        </w:rPr>
        <w:t xml:space="preserve"> made</w:t>
      </w:r>
      <w:r w:rsidRPr="001A5315">
        <w:rPr>
          <w:rFonts w:ascii="Arial" w:hAnsi="Arial" w:cs="Arial"/>
          <w:color w:val="7B7B7B" w:themeColor="accent3" w:themeShade="BF"/>
          <w:sz w:val="22"/>
          <w:szCs w:val="22"/>
          <w:lang w:val="en-GB"/>
        </w:rPr>
        <w:t xml:space="preserve"> </w:t>
      </w:r>
      <w:r w:rsidR="0088468C" w:rsidRPr="001A5315">
        <w:rPr>
          <w:rFonts w:ascii="Arial" w:hAnsi="Arial" w:cs="Arial"/>
          <w:color w:val="7B7B7B" w:themeColor="accent3" w:themeShade="BF"/>
          <w:sz w:val="22"/>
          <w:szCs w:val="22"/>
          <w:lang w:val="en-GB"/>
        </w:rPr>
        <w:t xml:space="preserve">subject  to </w:t>
      </w:r>
      <w:r w:rsidRPr="001A5315">
        <w:rPr>
          <w:rFonts w:ascii="Arial" w:hAnsi="Arial" w:cs="Arial"/>
          <w:color w:val="7B7B7B" w:themeColor="accent3" w:themeShade="BF"/>
          <w:sz w:val="22"/>
          <w:szCs w:val="22"/>
          <w:lang w:val="en-GB"/>
        </w:rPr>
        <w:t>investigat</w:t>
      </w:r>
      <w:r w:rsidR="0088468C" w:rsidRPr="001A5315">
        <w:rPr>
          <w:rFonts w:ascii="Arial" w:hAnsi="Arial" w:cs="Arial"/>
          <w:color w:val="7B7B7B" w:themeColor="accent3" w:themeShade="BF"/>
          <w:sz w:val="22"/>
          <w:szCs w:val="22"/>
          <w:lang w:val="en-GB"/>
        </w:rPr>
        <w:t>ion</w:t>
      </w:r>
      <w:r w:rsidRPr="001A5315">
        <w:rPr>
          <w:rFonts w:ascii="Arial" w:hAnsi="Arial" w:cs="Arial"/>
          <w:color w:val="7B7B7B" w:themeColor="accent3" w:themeShade="BF"/>
          <w:sz w:val="22"/>
          <w:szCs w:val="22"/>
          <w:lang w:val="en-GB"/>
        </w:rPr>
        <w:t xml:space="preserve"> to prevent fraud, favouritism, </w:t>
      </w:r>
      <w:r w:rsidR="004F50BB" w:rsidRPr="001A5315">
        <w:rPr>
          <w:rFonts w:ascii="Arial" w:hAnsi="Arial" w:cs="Arial"/>
          <w:color w:val="7B7B7B" w:themeColor="accent3" w:themeShade="BF"/>
          <w:sz w:val="22"/>
          <w:szCs w:val="22"/>
          <w:lang w:val="en-GB"/>
        </w:rPr>
        <w:t>loss of value of Nadir’s as</w:t>
      </w:r>
      <w:r w:rsidR="005619FD" w:rsidRPr="001A5315">
        <w:rPr>
          <w:rFonts w:ascii="Arial" w:hAnsi="Arial" w:cs="Arial"/>
          <w:color w:val="7B7B7B" w:themeColor="accent3" w:themeShade="BF"/>
          <w:sz w:val="22"/>
          <w:szCs w:val="22"/>
          <w:lang w:val="en-GB"/>
        </w:rPr>
        <w:t>sets etc., and where</w:t>
      </w:r>
      <w:r w:rsidR="00F377DB" w:rsidRPr="001A5315">
        <w:rPr>
          <w:rFonts w:ascii="Arial" w:hAnsi="Arial" w:cs="Arial"/>
          <w:color w:val="7B7B7B" w:themeColor="accent3" w:themeShade="BF"/>
          <w:sz w:val="22"/>
          <w:szCs w:val="22"/>
          <w:lang w:val="en-GB"/>
        </w:rPr>
        <w:t xml:space="preserve"> </w:t>
      </w:r>
      <w:r w:rsidR="005619FD" w:rsidRPr="001A5315">
        <w:rPr>
          <w:rFonts w:ascii="Arial" w:hAnsi="Arial" w:cs="Arial"/>
          <w:color w:val="7B7B7B" w:themeColor="accent3" w:themeShade="BF"/>
          <w:sz w:val="22"/>
          <w:szCs w:val="22"/>
          <w:lang w:val="en-GB"/>
        </w:rPr>
        <w:t>it is revealed</w:t>
      </w:r>
      <w:r w:rsidR="00F377DB" w:rsidRPr="001A5315">
        <w:rPr>
          <w:rFonts w:ascii="Arial" w:hAnsi="Arial" w:cs="Arial"/>
          <w:color w:val="7B7B7B" w:themeColor="accent3" w:themeShade="BF"/>
          <w:sz w:val="22"/>
          <w:szCs w:val="22"/>
          <w:lang w:val="en-GB"/>
        </w:rPr>
        <w:t xml:space="preserve"> upon investigation</w:t>
      </w:r>
      <w:r w:rsidR="00875307" w:rsidRPr="001A5315">
        <w:rPr>
          <w:rFonts w:ascii="Arial" w:hAnsi="Arial" w:cs="Arial"/>
          <w:color w:val="7B7B7B" w:themeColor="accent3" w:themeShade="BF"/>
          <w:sz w:val="22"/>
          <w:szCs w:val="22"/>
          <w:lang w:val="en-GB"/>
        </w:rPr>
        <w:t xml:space="preserve"> that there is evidence of fraud in the proceedings leading to the court order, or favouritism etc., the Erewhon liquidator </w:t>
      </w:r>
      <w:r w:rsidR="00F377DB" w:rsidRPr="001A5315">
        <w:rPr>
          <w:rFonts w:ascii="Arial" w:hAnsi="Arial" w:cs="Arial"/>
          <w:color w:val="7B7B7B" w:themeColor="accent3" w:themeShade="BF"/>
          <w:sz w:val="22"/>
          <w:szCs w:val="22"/>
          <w:lang w:val="en-GB"/>
        </w:rPr>
        <w:t>c</w:t>
      </w:r>
      <w:r w:rsidR="0088468C" w:rsidRPr="001A5315">
        <w:rPr>
          <w:rFonts w:ascii="Arial" w:hAnsi="Arial" w:cs="Arial"/>
          <w:color w:val="7B7B7B" w:themeColor="accent3" w:themeShade="BF"/>
          <w:sz w:val="22"/>
          <w:szCs w:val="22"/>
          <w:lang w:val="en-GB"/>
        </w:rPr>
        <w:t>an</w:t>
      </w:r>
      <w:r w:rsidR="00A919F3" w:rsidRPr="001A5315">
        <w:rPr>
          <w:rFonts w:ascii="Arial" w:hAnsi="Arial" w:cs="Arial"/>
          <w:color w:val="7B7B7B" w:themeColor="accent3" w:themeShade="BF"/>
          <w:sz w:val="22"/>
          <w:szCs w:val="22"/>
          <w:lang w:val="en-GB"/>
        </w:rPr>
        <w:t xml:space="preserve"> apply to set aside the proceedings and recover</w:t>
      </w:r>
      <w:r w:rsidR="0058107F" w:rsidRPr="001A5315">
        <w:rPr>
          <w:rFonts w:ascii="Arial" w:hAnsi="Arial" w:cs="Arial"/>
          <w:color w:val="7B7B7B" w:themeColor="accent3" w:themeShade="BF"/>
          <w:sz w:val="22"/>
          <w:szCs w:val="22"/>
          <w:lang w:val="en-GB"/>
        </w:rPr>
        <w:t xml:space="preserve"> any benefit received by the beneficiary and pay same to Nadir</w:t>
      </w:r>
      <w:r w:rsidR="00F377DB" w:rsidRPr="001A5315">
        <w:rPr>
          <w:rFonts w:ascii="Arial" w:hAnsi="Arial" w:cs="Arial"/>
          <w:color w:val="7B7B7B" w:themeColor="accent3" w:themeShade="BF"/>
          <w:sz w:val="22"/>
          <w:szCs w:val="22"/>
          <w:lang w:val="en-GB"/>
        </w:rPr>
        <w:t>’s</w:t>
      </w:r>
      <w:r w:rsidR="0058107F" w:rsidRPr="001A5315">
        <w:rPr>
          <w:rFonts w:ascii="Arial" w:hAnsi="Arial" w:cs="Arial"/>
          <w:color w:val="7B7B7B" w:themeColor="accent3" w:themeShade="BF"/>
          <w:sz w:val="22"/>
          <w:szCs w:val="22"/>
          <w:lang w:val="en-GB"/>
        </w:rPr>
        <w:t xml:space="preserve"> estate</w:t>
      </w:r>
      <w:r w:rsidR="00D37054" w:rsidRPr="001A5315">
        <w:rPr>
          <w:rFonts w:ascii="Arial" w:hAnsi="Arial" w:cs="Arial"/>
          <w:color w:val="7B7B7B" w:themeColor="accent3" w:themeShade="BF"/>
          <w:sz w:val="22"/>
          <w:szCs w:val="22"/>
          <w:lang w:val="en-GB"/>
        </w:rPr>
        <w:t>. The power of the Erewhon liquidator to set aside the proceedings for certain fraudulent transactions is also recognised under the</w:t>
      </w:r>
      <w:r w:rsidR="00F377DB" w:rsidRPr="001A5315">
        <w:rPr>
          <w:rFonts w:ascii="Arial" w:hAnsi="Arial" w:cs="Arial"/>
          <w:color w:val="7B7B7B" w:themeColor="accent3" w:themeShade="BF"/>
          <w:sz w:val="22"/>
          <w:szCs w:val="22"/>
          <w:lang w:val="en-GB"/>
        </w:rPr>
        <w:t xml:space="preserve"> UNCITRAL</w:t>
      </w:r>
      <w:r w:rsidR="00D37054" w:rsidRPr="001A5315">
        <w:rPr>
          <w:rFonts w:ascii="Arial" w:hAnsi="Arial" w:cs="Arial"/>
          <w:color w:val="7B7B7B" w:themeColor="accent3" w:themeShade="BF"/>
          <w:sz w:val="22"/>
          <w:szCs w:val="22"/>
          <w:lang w:val="en-GB"/>
        </w:rPr>
        <w:t xml:space="preserve"> Legislative Guide.</w:t>
      </w:r>
      <w:r w:rsidR="002D3473" w:rsidRPr="001A5315">
        <w:rPr>
          <w:rFonts w:ascii="Arial" w:hAnsi="Arial" w:cs="Arial"/>
          <w:color w:val="7B7B7B" w:themeColor="accent3" w:themeShade="BF"/>
          <w:sz w:val="22"/>
          <w:szCs w:val="22"/>
          <w:lang w:val="en-GB"/>
        </w:rPr>
        <w:t>]</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2"/>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E3D468" w14:textId="77777777" w:rsidR="003B3E49" w:rsidRDefault="0033768C"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DA4A4B">
        <w:rPr>
          <w:rFonts w:ascii="Arial" w:hAnsi="Arial" w:cs="Arial"/>
          <w:color w:val="7B7B7B" w:themeColor="accent3" w:themeShade="BF"/>
          <w:sz w:val="22"/>
          <w:szCs w:val="22"/>
          <w:lang w:val="en-GB"/>
        </w:rPr>
        <w:t xml:space="preserve"> My choice of country for the company’s incorporation is the United Kingdom</w:t>
      </w:r>
      <w:r w:rsidR="003B3E49">
        <w:rPr>
          <w:rFonts w:ascii="Arial" w:hAnsi="Arial" w:cs="Arial"/>
          <w:color w:val="7B7B7B" w:themeColor="accent3" w:themeShade="BF"/>
          <w:sz w:val="22"/>
          <w:szCs w:val="22"/>
          <w:lang w:val="en-GB"/>
        </w:rPr>
        <w:t>, and based on the insolvency laws of the United Kingdom and the brief facts provided, the four key international insolvency issues facing the insolvency representative in this scenario are:</w:t>
      </w:r>
    </w:p>
    <w:p w14:paraId="5B36197E" w14:textId="77777777" w:rsidR="003B3E49" w:rsidRDefault="003B3E49" w:rsidP="00C053F7">
      <w:pPr>
        <w:jc w:val="both"/>
        <w:rPr>
          <w:rFonts w:ascii="Arial" w:hAnsi="Arial" w:cs="Arial"/>
          <w:color w:val="7B7B7B" w:themeColor="accent3" w:themeShade="BF"/>
          <w:sz w:val="22"/>
          <w:szCs w:val="22"/>
          <w:lang w:val="en-GB"/>
        </w:rPr>
      </w:pPr>
    </w:p>
    <w:p w14:paraId="04732C0E" w14:textId="145370BE" w:rsidR="000D467D" w:rsidRPr="000D467D" w:rsidRDefault="00BA6FA6" w:rsidP="003B3E49">
      <w:pPr>
        <w:pStyle w:val="ListParagraph"/>
        <w:numPr>
          <w:ilvl w:val="0"/>
          <w:numId w:val="3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 issue of access of foreign insolvency representati</w:t>
      </w:r>
      <w:r w:rsidR="00FA7171">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to local court</w:t>
      </w:r>
      <w:r w:rsidR="00FA717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 other States where the insolvent debtor company also have assets.</w:t>
      </w:r>
      <w:r w:rsidR="0051085E">
        <w:rPr>
          <w:rFonts w:ascii="Arial" w:hAnsi="Arial" w:cs="Arial"/>
          <w:color w:val="7B7B7B" w:themeColor="accent3" w:themeShade="BF"/>
          <w:sz w:val="22"/>
          <w:szCs w:val="22"/>
          <w:lang w:val="en-GB"/>
        </w:rPr>
        <w:t xml:space="preserve"> Under this issue, prior to “Brexit” the European Union Regulation on Insolvency EC 1346/2000 which later became a recast EU 2015/848</w:t>
      </w:r>
      <w:r w:rsidR="008C15FC">
        <w:rPr>
          <w:rFonts w:ascii="Arial" w:hAnsi="Arial" w:cs="Arial"/>
          <w:color w:val="7B7B7B" w:themeColor="accent3" w:themeShade="BF"/>
          <w:sz w:val="22"/>
          <w:szCs w:val="22"/>
          <w:lang w:val="en-GB"/>
        </w:rPr>
        <w:t>,</w:t>
      </w:r>
      <w:r w:rsidR="0051085E">
        <w:rPr>
          <w:rFonts w:ascii="Arial" w:hAnsi="Arial" w:cs="Arial"/>
          <w:color w:val="7B7B7B" w:themeColor="accent3" w:themeShade="BF"/>
          <w:sz w:val="22"/>
          <w:szCs w:val="22"/>
          <w:lang w:val="en-GB"/>
        </w:rPr>
        <w:t xml:space="preserve"> </w:t>
      </w:r>
      <w:r w:rsidR="006E1B26">
        <w:rPr>
          <w:rFonts w:ascii="Arial" w:hAnsi="Arial" w:cs="Arial"/>
          <w:color w:val="7B7B7B" w:themeColor="accent3" w:themeShade="BF"/>
          <w:sz w:val="22"/>
          <w:szCs w:val="22"/>
          <w:lang w:val="en-GB"/>
        </w:rPr>
        <w:t>regulated Cross-border insolvency proceedings in the United Kingdom being an EU member State.</w:t>
      </w:r>
      <w:r w:rsidR="008C15FC">
        <w:rPr>
          <w:rFonts w:ascii="Arial" w:hAnsi="Arial" w:cs="Arial"/>
          <w:color w:val="7B7B7B" w:themeColor="accent3" w:themeShade="BF"/>
          <w:sz w:val="22"/>
          <w:szCs w:val="22"/>
          <w:lang w:val="en-GB"/>
        </w:rPr>
        <w:t xml:space="preserve"> Under the regulation, where a company has its centre of main interest in the United Kingdom, any appointment made prior to “Brexit” will be recognised automatically in all EU member States and the insolvency representative will be able to exercise all powers, subject to </w:t>
      </w:r>
      <w:r w:rsidR="00D072AB">
        <w:rPr>
          <w:rFonts w:ascii="Arial" w:hAnsi="Arial" w:cs="Arial"/>
          <w:color w:val="7B7B7B" w:themeColor="accent3" w:themeShade="BF"/>
          <w:sz w:val="22"/>
          <w:szCs w:val="22"/>
          <w:lang w:val="en-GB"/>
        </w:rPr>
        <w:t>certain exception</w:t>
      </w:r>
      <w:r w:rsidR="000D467D">
        <w:rPr>
          <w:rFonts w:ascii="Arial" w:hAnsi="Arial" w:cs="Arial"/>
          <w:color w:val="7B7B7B" w:themeColor="accent3" w:themeShade="BF"/>
          <w:sz w:val="22"/>
          <w:szCs w:val="22"/>
          <w:lang w:val="en-GB"/>
        </w:rPr>
        <w:t>s</w:t>
      </w:r>
      <w:r w:rsidR="00D072AB">
        <w:rPr>
          <w:rFonts w:ascii="Arial" w:hAnsi="Arial" w:cs="Arial"/>
          <w:color w:val="7B7B7B" w:themeColor="accent3" w:themeShade="BF"/>
          <w:sz w:val="22"/>
          <w:szCs w:val="22"/>
          <w:lang w:val="en-GB"/>
        </w:rPr>
        <w:t>.</w:t>
      </w:r>
      <w:r w:rsidR="000D467D">
        <w:rPr>
          <w:rFonts w:ascii="Arial" w:hAnsi="Arial" w:cs="Arial"/>
          <w:color w:val="7B7B7B" w:themeColor="accent3" w:themeShade="BF"/>
          <w:sz w:val="22"/>
          <w:szCs w:val="22"/>
          <w:lang w:val="en-GB"/>
        </w:rPr>
        <w:t xml:space="preserve"> Where the company has an establishment in another member State, it is permissible for secondary proceedings to be commenced in that member State and assets belonging to the company in that other member State can be </w:t>
      </w:r>
      <w:r w:rsidR="006A4C63">
        <w:rPr>
          <w:rFonts w:ascii="Arial" w:hAnsi="Arial" w:cs="Arial"/>
          <w:color w:val="7B7B7B" w:themeColor="accent3" w:themeShade="BF"/>
          <w:sz w:val="22"/>
          <w:szCs w:val="22"/>
          <w:lang w:val="en-GB"/>
        </w:rPr>
        <w:t>protected</w:t>
      </w:r>
      <w:r w:rsidR="000D467D">
        <w:rPr>
          <w:rFonts w:ascii="Arial" w:hAnsi="Arial" w:cs="Arial"/>
          <w:color w:val="7B7B7B" w:themeColor="accent3" w:themeShade="BF"/>
          <w:sz w:val="22"/>
          <w:szCs w:val="22"/>
          <w:lang w:val="en-GB"/>
        </w:rPr>
        <w:t xml:space="preserve"> for the benefit of creditors in that other member State as in this scenario.</w:t>
      </w:r>
    </w:p>
    <w:p w14:paraId="7E23D1EB" w14:textId="3F391836" w:rsidR="000D467D" w:rsidRDefault="000D467D" w:rsidP="000D467D">
      <w:pPr>
        <w:pStyle w:val="ListParagraph"/>
        <w:jc w:val="both"/>
        <w:rPr>
          <w:rFonts w:ascii="Arial" w:hAnsi="Arial" w:cs="Arial"/>
          <w:color w:val="000000" w:themeColor="text1"/>
          <w:sz w:val="22"/>
          <w:szCs w:val="22"/>
          <w:lang w:val="en-GB"/>
        </w:rPr>
      </w:pPr>
    </w:p>
    <w:p w14:paraId="0C62A291" w14:textId="6AC9D9B6" w:rsidR="000D467D" w:rsidRDefault="000D467D" w:rsidP="000D467D">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However after “Brexit”, that is, from 11pm UK time on 31 December, 2020, </w:t>
      </w:r>
      <w:r w:rsidR="00265AC6">
        <w:rPr>
          <w:rFonts w:ascii="Arial" w:hAnsi="Arial" w:cs="Arial"/>
          <w:color w:val="000000" w:themeColor="text1"/>
          <w:sz w:val="22"/>
          <w:szCs w:val="22"/>
          <w:lang w:val="en-GB"/>
        </w:rPr>
        <w:t>where a company has its centre of main interest in the UK, as in this scenario, only the United Kingdom will have the jurisdiction to open main insolvency proceedings. The EU Regulation is no longer applicable to the UK insolvencies after the “Brexit”.</w:t>
      </w:r>
    </w:p>
    <w:p w14:paraId="5CB20C42" w14:textId="358D249B" w:rsidR="00265AC6" w:rsidRDefault="00265AC6" w:rsidP="000D467D">
      <w:pPr>
        <w:pStyle w:val="ListParagraph"/>
        <w:jc w:val="both"/>
        <w:rPr>
          <w:rFonts w:ascii="Arial" w:hAnsi="Arial" w:cs="Arial"/>
          <w:color w:val="000000" w:themeColor="text1"/>
          <w:sz w:val="22"/>
          <w:szCs w:val="22"/>
          <w:lang w:val="en-GB"/>
        </w:rPr>
      </w:pPr>
    </w:p>
    <w:p w14:paraId="2B58712D" w14:textId="77777777" w:rsidR="002B0CCA" w:rsidRDefault="00265AC6" w:rsidP="000D467D">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The applicable law after “Brexit” in respect of Cross-Border insolvency in the United Kingdom is now the Model Law which has been adopted with only minor amendments by the UK Cross-Border Insolvency Regulation 2006 SI 2006/10</w:t>
      </w:r>
      <w:r w:rsidR="007F5B5C">
        <w:rPr>
          <w:rFonts w:ascii="Arial" w:hAnsi="Arial" w:cs="Arial"/>
          <w:color w:val="000000" w:themeColor="text1"/>
          <w:sz w:val="22"/>
          <w:szCs w:val="22"/>
          <w:lang w:val="en-GB"/>
        </w:rPr>
        <w:t>30 (CBIR). Under the law, the UK Insolvency Representative can facilitate cooperation and coordinated insolvency proceedings in other States’ local courts by direct communication to the court or insolvency representative of the other States.</w:t>
      </w:r>
    </w:p>
    <w:p w14:paraId="02C225FB" w14:textId="4F7A8BF7" w:rsidR="00265AC6" w:rsidRPr="000D467D" w:rsidRDefault="007F5B5C" w:rsidP="000D467D">
      <w:pPr>
        <w:pStyle w:val="ListParagraph"/>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r w:rsidR="00265AC6">
        <w:rPr>
          <w:rFonts w:ascii="Arial" w:hAnsi="Arial" w:cs="Arial"/>
          <w:color w:val="000000" w:themeColor="text1"/>
          <w:sz w:val="22"/>
          <w:szCs w:val="22"/>
          <w:lang w:val="en-GB"/>
        </w:rPr>
        <w:t xml:space="preserve"> </w:t>
      </w:r>
    </w:p>
    <w:p w14:paraId="4A995782" w14:textId="77777777" w:rsidR="00670332" w:rsidRPr="00670332" w:rsidRDefault="002B0CCA" w:rsidP="003B3E49">
      <w:pPr>
        <w:pStyle w:val="ListParagraph"/>
        <w:numPr>
          <w:ilvl w:val="0"/>
          <w:numId w:val="3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 second issue</w:t>
      </w:r>
      <w:r w:rsidR="00BE6F8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the issue of recognition of foreign insolvency proceeding in the States where the </w:t>
      </w:r>
      <w:r w:rsidR="00366F14">
        <w:rPr>
          <w:rFonts w:ascii="Arial" w:hAnsi="Arial" w:cs="Arial"/>
          <w:color w:val="7B7B7B" w:themeColor="accent3" w:themeShade="BF"/>
          <w:sz w:val="22"/>
          <w:szCs w:val="22"/>
          <w:lang w:val="en-GB"/>
        </w:rPr>
        <w:t>debtor company has assets.</w:t>
      </w:r>
      <w:r w:rsidR="00553129">
        <w:rPr>
          <w:rFonts w:ascii="Arial" w:hAnsi="Arial" w:cs="Arial"/>
          <w:color w:val="7B7B7B" w:themeColor="accent3" w:themeShade="BF"/>
          <w:sz w:val="22"/>
          <w:szCs w:val="22"/>
          <w:lang w:val="en-GB"/>
        </w:rPr>
        <w:t xml:space="preserve"> The United Kingdom has been said to have six potential legal regimes that operate in cross-border insolvency situations</w:t>
      </w:r>
      <w:r w:rsidR="00851C2E">
        <w:rPr>
          <w:rFonts w:ascii="Arial" w:hAnsi="Arial" w:cs="Arial"/>
          <w:color w:val="7B7B7B" w:themeColor="accent3" w:themeShade="BF"/>
          <w:sz w:val="22"/>
          <w:szCs w:val="22"/>
          <w:lang w:val="en-GB"/>
        </w:rPr>
        <w:t xml:space="preserve">: </w:t>
      </w:r>
    </w:p>
    <w:p w14:paraId="65FAB0C0" w14:textId="77777777" w:rsidR="00670332" w:rsidRDefault="00670332" w:rsidP="00670332">
      <w:pPr>
        <w:pStyle w:val="ListParagraph"/>
        <w:jc w:val="both"/>
        <w:rPr>
          <w:rFonts w:ascii="Arial" w:hAnsi="Arial" w:cs="Arial"/>
          <w:color w:val="7B7B7B" w:themeColor="accent3" w:themeShade="BF"/>
          <w:sz w:val="22"/>
          <w:szCs w:val="22"/>
          <w:lang w:val="en-GB"/>
        </w:rPr>
      </w:pPr>
    </w:p>
    <w:p w14:paraId="635E7406" w14:textId="6019E745" w:rsidR="0033579F" w:rsidRDefault="00670332" w:rsidP="00670332">
      <w:pPr>
        <w:pStyle w:val="ListParagraph"/>
        <w:jc w:val="both"/>
        <w:rPr>
          <w:rFonts w:ascii="Arial" w:hAnsi="Arial" w:cs="Arial"/>
          <w:color w:val="7B7B7B" w:themeColor="accent3" w:themeShade="BF"/>
          <w:sz w:val="22"/>
          <w:szCs w:val="22"/>
          <w:lang w:val="en-GB"/>
        </w:rPr>
      </w:pPr>
      <w:r w:rsidRPr="00670332">
        <w:rPr>
          <w:rFonts w:ascii="Arial" w:hAnsi="Arial" w:cs="Arial"/>
          <w:color w:val="7B7B7B" w:themeColor="accent3" w:themeShade="BF"/>
          <w:sz w:val="22"/>
          <w:szCs w:val="22"/>
          <w:lang w:val="en-GB"/>
        </w:rPr>
        <w:t>“</w:t>
      </w:r>
      <w:r w:rsidR="00851C2E" w:rsidRPr="00670332">
        <w:rPr>
          <w:rFonts w:ascii="Arial" w:hAnsi="Arial" w:cs="Arial"/>
          <w:color w:val="7B7B7B" w:themeColor="accent3" w:themeShade="BF"/>
          <w:sz w:val="22"/>
          <w:szCs w:val="22"/>
          <w:lang w:val="en-GB"/>
        </w:rPr>
        <w:t>The first is the common law, which enables courts to provide assistance to forei</w:t>
      </w:r>
      <w:r w:rsidR="00BE6F8B" w:rsidRPr="00670332">
        <w:rPr>
          <w:rFonts w:ascii="Arial" w:hAnsi="Arial" w:cs="Arial"/>
          <w:color w:val="7B7B7B" w:themeColor="accent3" w:themeShade="BF"/>
          <w:sz w:val="22"/>
          <w:szCs w:val="22"/>
          <w:lang w:val="en-GB"/>
        </w:rPr>
        <w:t>gn insolvency proceedings. English courts are authorised to act as they would in domestic insolvency proceedings.</w:t>
      </w:r>
      <w:r w:rsidR="00276593" w:rsidRPr="00670332">
        <w:rPr>
          <w:rFonts w:ascii="Arial" w:hAnsi="Arial" w:cs="Arial"/>
          <w:color w:val="7B7B7B" w:themeColor="accent3" w:themeShade="BF"/>
          <w:sz w:val="22"/>
          <w:szCs w:val="22"/>
          <w:lang w:val="en-GB"/>
        </w:rPr>
        <w:t xml:space="preserve"> The second regime is provided by … Section 426 of the insolvency Act 1986, which </w:t>
      </w:r>
      <w:r w:rsidR="005C396C" w:rsidRPr="00670332">
        <w:rPr>
          <w:rFonts w:ascii="Arial" w:hAnsi="Arial" w:cs="Arial"/>
          <w:color w:val="7B7B7B" w:themeColor="accent3" w:themeShade="BF"/>
          <w:sz w:val="22"/>
          <w:szCs w:val="22"/>
          <w:lang w:val="en-GB"/>
        </w:rPr>
        <w:t>authorised</w:t>
      </w:r>
      <w:r w:rsidR="00276593" w:rsidRPr="00670332">
        <w:rPr>
          <w:rFonts w:ascii="Arial" w:hAnsi="Arial" w:cs="Arial"/>
          <w:color w:val="7B7B7B" w:themeColor="accent3" w:themeShade="BF"/>
          <w:sz w:val="22"/>
          <w:szCs w:val="22"/>
          <w:lang w:val="en-GB"/>
        </w:rPr>
        <w:t xml:space="preserve"> the courts to provide assistance to designated Countries in respect of proceedings commenced in those jurisdiction… The third regime is offered by the Cross-Border Insolvency Regulation, 2006 (UK). This legislation enacted the UNCITRAL Model Law</w:t>
      </w:r>
      <w:r>
        <w:rPr>
          <w:rFonts w:ascii="Arial" w:hAnsi="Arial" w:cs="Arial"/>
          <w:color w:val="7B7B7B" w:themeColor="accent3" w:themeShade="BF"/>
          <w:sz w:val="22"/>
          <w:szCs w:val="22"/>
          <w:lang w:val="en-GB"/>
        </w:rPr>
        <w:t xml:space="preserve"> which</w:t>
      </w:r>
      <w:r w:rsidR="00276593" w:rsidRPr="00670332">
        <w:rPr>
          <w:rFonts w:ascii="Arial" w:hAnsi="Arial" w:cs="Arial"/>
          <w:color w:val="7B7B7B" w:themeColor="accent3" w:themeShade="BF"/>
          <w:sz w:val="22"/>
          <w:szCs w:val="22"/>
          <w:lang w:val="en-GB"/>
        </w:rPr>
        <w:t xml:space="preserve"> enables the recognition of foreign proceedings.</w:t>
      </w:r>
      <w:r w:rsidR="00A93FDE" w:rsidRPr="00670332">
        <w:rPr>
          <w:rFonts w:ascii="Arial" w:hAnsi="Arial" w:cs="Arial"/>
          <w:color w:val="7B7B7B" w:themeColor="accent3" w:themeShade="BF"/>
          <w:sz w:val="22"/>
          <w:szCs w:val="22"/>
          <w:lang w:val="en-GB"/>
        </w:rPr>
        <w:t xml:space="preserve"> Fourth, is the </w:t>
      </w:r>
      <w:r w:rsidR="00E53CB0" w:rsidRPr="00670332">
        <w:rPr>
          <w:rFonts w:ascii="Arial" w:hAnsi="Arial" w:cs="Arial"/>
          <w:color w:val="7B7B7B" w:themeColor="accent3" w:themeShade="BF"/>
          <w:sz w:val="22"/>
          <w:szCs w:val="22"/>
          <w:lang w:val="en-GB"/>
        </w:rPr>
        <w:t>Foreign Judgem</w:t>
      </w:r>
      <w:r w:rsidR="00B27C2D" w:rsidRPr="00670332">
        <w:rPr>
          <w:rFonts w:ascii="Arial" w:hAnsi="Arial" w:cs="Arial"/>
          <w:color w:val="7B7B7B" w:themeColor="accent3" w:themeShade="BF"/>
          <w:sz w:val="22"/>
          <w:szCs w:val="22"/>
          <w:lang w:val="en-GB"/>
        </w:rPr>
        <w:t>e</w:t>
      </w:r>
      <w:r w:rsidR="00E53CB0" w:rsidRPr="00670332">
        <w:rPr>
          <w:rFonts w:ascii="Arial" w:hAnsi="Arial" w:cs="Arial"/>
          <w:color w:val="7B7B7B" w:themeColor="accent3" w:themeShade="BF"/>
          <w:sz w:val="22"/>
          <w:szCs w:val="22"/>
          <w:lang w:val="en-GB"/>
        </w:rPr>
        <w:t>nts (Reciprocal Enforcement) Act, 1933 (UK) which applies to the Enforcement of foreign money judgements from seventeen designated Countries.</w:t>
      </w:r>
      <w:r w:rsidR="00276593" w:rsidRPr="00670332">
        <w:rPr>
          <w:rFonts w:ascii="Arial" w:hAnsi="Arial" w:cs="Arial"/>
          <w:color w:val="7B7B7B" w:themeColor="accent3" w:themeShade="BF"/>
          <w:sz w:val="22"/>
          <w:szCs w:val="22"/>
          <w:lang w:val="en-GB"/>
        </w:rPr>
        <w:t xml:space="preserve"> </w:t>
      </w:r>
      <w:r w:rsidR="00B27C2D" w:rsidRPr="00670332">
        <w:rPr>
          <w:rFonts w:ascii="Arial" w:hAnsi="Arial" w:cs="Arial"/>
          <w:color w:val="7B7B7B" w:themeColor="accent3" w:themeShade="BF"/>
          <w:sz w:val="22"/>
          <w:szCs w:val="22"/>
          <w:lang w:val="en-GB"/>
        </w:rPr>
        <w:t>Fifth, the European Council Regulation (EC) 1346/2000 on insolvency proceedings (Insolvency Regulation) applies when the debtor’s centre of main interest is in the European Union and trumps other regimes when its scope of application is triggered.</w:t>
      </w:r>
      <w:r w:rsidR="00DA412D" w:rsidRPr="00670332">
        <w:rPr>
          <w:rFonts w:ascii="Arial" w:hAnsi="Arial" w:cs="Arial"/>
          <w:color w:val="7B7B7B" w:themeColor="accent3" w:themeShade="BF"/>
          <w:sz w:val="22"/>
          <w:szCs w:val="22"/>
          <w:lang w:val="en-GB"/>
        </w:rPr>
        <w:t xml:space="preserve"> Finally, there is the European Economic Area Directives on the winding-up and reorganization of Credit Institution and Insurers</w:t>
      </w:r>
      <w:r w:rsidRPr="00670332">
        <w:rPr>
          <w:rFonts w:ascii="Arial" w:hAnsi="Arial" w:cs="Arial"/>
          <w:color w:val="7B7B7B" w:themeColor="accent3" w:themeShade="BF"/>
          <w:sz w:val="22"/>
          <w:szCs w:val="22"/>
          <w:lang w:val="en-GB"/>
        </w:rPr>
        <w:t>”</w:t>
      </w:r>
      <w:r w:rsidR="00C61A49" w:rsidRPr="00670332">
        <w:rPr>
          <w:rFonts w:ascii="Arial" w:hAnsi="Arial" w:cs="Arial"/>
          <w:color w:val="7B7B7B" w:themeColor="accent3" w:themeShade="BF"/>
          <w:sz w:val="22"/>
          <w:szCs w:val="22"/>
          <w:lang w:val="en-GB"/>
        </w:rPr>
        <w:t>.</w:t>
      </w:r>
      <w:r w:rsidR="006638DC">
        <w:rPr>
          <w:rStyle w:val="FootnoteReference"/>
          <w:rFonts w:ascii="Arial" w:hAnsi="Arial" w:cs="Arial"/>
          <w:color w:val="7B7B7B" w:themeColor="accent3" w:themeShade="BF"/>
          <w:sz w:val="22"/>
          <w:szCs w:val="22"/>
          <w:lang w:val="en-GB"/>
        </w:rPr>
        <w:footnoteReference w:id="34"/>
      </w:r>
      <w:r w:rsidR="00746C1F" w:rsidRPr="00670332">
        <w:rPr>
          <w:rFonts w:ascii="Arial" w:hAnsi="Arial" w:cs="Arial"/>
          <w:color w:val="7B7B7B" w:themeColor="accent3" w:themeShade="BF"/>
          <w:sz w:val="22"/>
          <w:szCs w:val="22"/>
          <w:lang w:val="en-GB"/>
        </w:rPr>
        <w:t xml:space="preserve"> </w:t>
      </w:r>
    </w:p>
    <w:p w14:paraId="495BC2D4" w14:textId="77777777" w:rsidR="0033579F" w:rsidRDefault="0033579F" w:rsidP="00670332">
      <w:pPr>
        <w:pStyle w:val="ListParagraph"/>
        <w:jc w:val="both"/>
        <w:rPr>
          <w:rFonts w:ascii="Arial" w:hAnsi="Arial" w:cs="Arial"/>
          <w:color w:val="7B7B7B" w:themeColor="accent3" w:themeShade="BF"/>
          <w:sz w:val="22"/>
          <w:szCs w:val="22"/>
          <w:lang w:val="en-GB"/>
        </w:rPr>
      </w:pPr>
    </w:p>
    <w:p w14:paraId="19B14986" w14:textId="17DA9AF1" w:rsidR="00A16824" w:rsidRPr="00A16824" w:rsidRDefault="00D473B4" w:rsidP="0033579F">
      <w:pPr>
        <w:pStyle w:val="ListParagraph"/>
        <w:numPr>
          <w:ilvl w:val="0"/>
          <w:numId w:val="34"/>
        </w:num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The third issue, is the issue of local relief or order for the protection of the assets of the debtor company in other States.</w:t>
      </w:r>
      <w:r w:rsidR="00415E17">
        <w:rPr>
          <w:rFonts w:ascii="Arial" w:hAnsi="Arial" w:cs="Arial"/>
          <w:color w:val="7B7B7B" w:themeColor="accent3" w:themeShade="BF"/>
          <w:sz w:val="22"/>
          <w:szCs w:val="22"/>
          <w:lang w:val="en-GB"/>
        </w:rPr>
        <w:t xml:space="preserve"> The relief principle applies to three distinct situations. Interim relief may be granted to protect assets within the jurisdiction of the receiving court where an application for recognition is pending. Automatic relief applies if a receiving court recognises the foreign proceedings as a main proceeding. Finally, discretionary relief is available, in addition to automatic relief, in respect of main proceedings as well as recognised non-main proceeding</w:t>
      </w:r>
      <w:r w:rsidR="00415E17">
        <w:rPr>
          <w:rStyle w:val="FootnoteReference"/>
          <w:rFonts w:ascii="Arial" w:hAnsi="Arial" w:cs="Arial"/>
          <w:color w:val="7B7B7B" w:themeColor="accent3" w:themeShade="BF"/>
          <w:sz w:val="22"/>
          <w:szCs w:val="22"/>
          <w:lang w:val="en-GB"/>
        </w:rPr>
        <w:footnoteReference w:id="35"/>
      </w:r>
      <w:r w:rsidR="00415E17">
        <w:rPr>
          <w:rFonts w:ascii="Arial" w:hAnsi="Arial" w:cs="Arial"/>
          <w:color w:val="7B7B7B" w:themeColor="accent3" w:themeShade="BF"/>
          <w:sz w:val="22"/>
          <w:szCs w:val="22"/>
          <w:lang w:val="en-GB"/>
        </w:rPr>
        <w:t>.</w:t>
      </w:r>
      <w:r w:rsidR="009B2932">
        <w:rPr>
          <w:rFonts w:ascii="Arial" w:hAnsi="Arial" w:cs="Arial"/>
          <w:color w:val="7B7B7B" w:themeColor="accent3" w:themeShade="BF"/>
          <w:sz w:val="22"/>
          <w:szCs w:val="22"/>
          <w:lang w:val="en-GB"/>
        </w:rPr>
        <w:t xml:space="preserve"> Under Article 19 of the Model Law which has been adopted in the United Kingdom, from the time of filing an application for recognition until the application is decided upon, the court may, at the request of the insolvency representative, where relief is required to protect the assets of the debtor or the value of the assets of the debtor for the interest of the creditors, stay execution against the debtor’s assets or entrust the admin</w:t>
      </w:r>
      <w:r w:rsidR="003642D1">
        <w:rPr>
          <w:rFonts w:ascii="Arial" w:hAnsi="Arial" w:cs="Arial"/>
          <w:color w:val="7B7B7B" w:themeColor="accent3" w:themeShade="BF"/>
          <w:sz w:val="22"/>
          <w:szCs w:val="22"/>
          <w:lang w:val="en-GB"/>
        </w:rPr>
        <w:t>istration or realization of all or parts of the debtor’s assets located in the foreign State to the insolvency representative or another person designated by the court</w:t>
      </w:r>
      <w:r w:rsidR="003642D1">
        <w:rPr>
          <w:rStyle w:val="FootnoteReference"/>
          <w:rFonts w:ascii="Arial" w:hAnsi="Arial" w:cs="Arial"/>
          <w:color w:val="7B7B7B" w:themeColor="accent3" w:themeShade="BF"/>
          <w:sz w:val="22"/>
          <w:szCs w:val="22"/>
          <w:lang w:val="en-GB"/>
        </w:rPr>
        <w:footnoteReference w:id="36"/>
      </w:r>
      <w:r w:rsidR="00A16824">
        <w:rPr>
          <w:rFonts w:ascii="Arial" w:hAnsi="Arial" w:cs="Arial"/>
          <w:color w:val="7B7B7B" w:themeColor="accent3" w:themeShade="BF"/>
          <w:sz w:val="22"/>
          <w:szCs w:val="22"/>
          <w:lang w:val="en-GB"/>
        </w:rPr>
        <w:t xml:space="preserve">. </w:t>
      </w:r>
    </w:p>
    <w:p w14:paraId="5B27392A" w14:textId="77777777" w:rsidR="00A16824" w:rsidRDefault="00A16824" w:rsidP="00A16824">
      <w:pPr>
        <w:pStyle w:val="ListParagraph"/>
        <w:jc w:val="both"/>
        <w:rPr>
          <w:rFonts w:ascii="Arial" w:hAnsi="Arial" w:cs="Arial"/>
          <w:color w:val="7B7B7B" w:themeColor="accent3" w:themeShade="BF"/>
          <w:sz w:val="22"/>
          <w:szCs w:val="22"/>
          <w:lang w:val="en-GB"/>
        </w:rPr>
      </w:pPr>
    </w:p>
    <w:p w14:paraId="73CB6E17" w14:textId="77777777" w:rsidR="00096C9C" w:rsidRDefault="00A16824" w:rsidP="00A1682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‘Brexit”, the issue on reliefs automatically appl</w:t>
      </w:r>
      <w:r w:rsidR="00390EB9">
        <w:rPr>
          <w:rFonts w:ascii="Arial" w:hAnsi="Arial" w:cs="Arial"/>
          <w:color w:val="7B7B7B" w:themeColor="accent3" w:themeShade="BF"/>
          <w:sz w:val="22"/>
          <w:szCs w:val="22"/>
          <w:lang w:val="en-GB"/>
        </w:rPr>
        <w:t xml:space="preserve">y to the European Union States, and United Kingdom being a member of the European Union, can apply under the </w:t>
      </w:r>
      <w:r w:rsidR="00390EB9">
        <w:rPr>
          <w:rFonts w:ascii="Arial" w:hAnsi="Arial" w:cs="Arial"/>
          <w:color w:val="7B7B7B" w:themeColor="accent3" w:themeShade="BF"/>
          <w:sz w:val="22"/>
          <w:szCs w:val="22"/>
          <w:lang w:val="en-GB"/>
        </w:rPr>
        <w:lastRenderedPageBreak/>
        <w:t>European Council Regulation 2000 to stay execution against the assets of the debtor in several States of the European Union.</w:t>
      </w:r>
    </w:p>
    <w:p w14:paraId="0B0BA953" w14:textId="77777777" w:rsidR="00096C9C" w:rsidRDefault="00096C9C" w:rsidP="00A16824">
      <w:pPr>
        <w:pStyle w:val="ListParagraph"/>
        <w:jc w:val="both"/>
        <w:rPr>
          <w:rFonts w:ascii="Arial" w:hAnsi="Arial" w:cs="Arial"/>
          <w:color w:val="7B7B7B" w:themeColor="accent3" w:themeShade="BF"/>
          <w:sz w:val="22"/>
          <w:szCs w:val="22"/>
          <w:lang w:val="en-GB"/>
        </w:rPr>
      </w:pPr>
    </w:p>
    <w:p w14:paraId="139DD71A" w14:textId="77777777" w:rsidR="00DD2C87" w:rsidRDefault="00096C9C" w:rsidP="00A1682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Post “Brexit” insolvency regulations in the United Kingdom no longer supports the automatic relief for stay of execution of the debtor’s assets in other member States of the European Union.</w:t>
      </w:r>
      <w:r w:rsidR="0036746A">
        <w:rPr>
          <w:rFonts w:ascii="Arial" w:hAnsi="Arial" w:cs="Arial"/>
          <w:color w:val="7B7B7B" w:themeColor="accent3" w:themeShade="BF"/>
          <w:sz w:val="22"/>
          <w:szCs w:val="22"/>
          <w:lang w:val="en-GB"/>
        </w:rPr>
        <w:t xml:space="preserve"> Any relief may now be granted under the United Kingdom “post Brexit” insolvency regulations pending the recognition of the insolvency proceedings</w:t>
      </w:r>
      <w:r w:rsidR="00AD089E">
        <w:rPr>
          <w:rFonts w:ascii="Arial" w:hAnsi="Arial" w:cs="Arial"/>
          <w:color w:val="7B7B7B" w:themeColor="accent3" w:themeShade="BF"/>
          <w:sz w:val="22"/>
          <w:szCs w:val="22"/>
          <w:lang w:val="en-GB"/>
        </w:rPr>
        <w:t xml:space="preserve"> by direct application to the local court of the States where the assets are located and recognition is sought</w:t>
      </w:r>
      <w:r w:rsidR="00DD2C87">
        <w:rPr>
          <w:rFonts w:ascii="Arial" w:hAnsi="Arial" w:cs="Arial"/>
          <w:color w:val="7B7B7B" w:themeColor="accent3" w:themeShade="BF"/>
          <w:sz w:val="22"/>
          <w:szCs w:val="22"/>
          <w:lang w:val="en-GB"/>
        </w:rPr>
        <w:t>.</w:t>
      </w:r>
    </w:p>
    <w:p w14:paraId="0D3A02CA" w14:textId="27982A5C" w:rsidR="00DE6BB4" w:rsidRPr="00DE6BB4" w:rsidRDefault="00390EB9" w:rsidP="00A16824">
      <w:pPr>
        <w:pStyle w:val="ListParagraph"/>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  </w:t>
      </w:r>
    </w:p>
    <w:p w14:paraId="77CE8695" w14:textId="64169E21" w:rsidR="0077498C" w:rsidRPr="0050046B" w:rsidRDefault="00B865EE" w:rsidP="005C2C57">
      <w:pPr>
        <w:pStyle w:val="ListParagraph"/>
        <w:numPr>
          <w:ilvl w:val="0"/>
          <w:numId w:val="34"/>
        </w:numPr>
        <w:jc w:val="both"/>
        <w:rPr>
          <w:rFonts w:ascii="Arial" w:hAnsi="Arial" w:cs="Arial"/>
          <w:color w:val="000000" w:themeColor="text1"/>
          <w:sz w:val="22"/>
          <w:szCs w:val="22"/>
          <w:lang w:val="en-GB"/>
        </w:rPr>
      </w:pPr>
      <w:r w:rsidRPr="0050046B">
        <w:rPr>
          <w:rFonts w:ascii="Arial" w:hAnsi="Arial" w:cs="Arial"/>
          <w:color w:val="7B7B7B" w:themeColor="accent3" w:themeShade="BF"/>
          <w:sz w:val="22"/>
          <w:szCs w:val="22"/>
          <w:lang w:val="en-GB"/>
        </w:rPr>
        <w:t xml:space="preserve">The </w:t>
      </w:r>
      <w:r w:rsidR="00AE324A" w:rsidRPr="0050046B">
        <w:rPr>
          <w:rFonts w:ascii="Arial" w:hAnsi="Arial" w:cs="Arial"/>
          <w:color w:val="7B7B7B" w:themeColor="accent3" w:themeShade="BF"/>
          <w:sz w:val="22"/>
          <w:szCs w:val="22"/>
          <w:lang w:val="en-GB"/>
        </w:rPr>
        <w:t>fourth</w:t>
      </w:r>
      <w:r w:rsidRPr="0050046B">
        <w:rPr>
          <w:rFonts w:ascii="Arial" w:hAnsi="Arial" w:cs="Arial"/>
          <w:color w:val="7B7B7B" w:themeColor="accent3" w:themeShade="BF"/>
          <w:sz w:val="22"/>
          <w:szCs w:val="22"/>
          <w:lang w:val="en-GB"/>
        </w:rPr>
        <w:t xml:space="preserve"> issue, is the issue of seeking cooperation with the local courts of other States</w:t>
      </w:r>
      <w:r w:rsidR="00F5667C" w:rsidRPr="0050046B">
        <w:rPr>
          <w:rFonts w:ascii="Arial" w:hAnsi="Arial" w:cs="Arial"/>
          <w:color w:val="7B7B7B" w:themeColor="accent3" w:themeShade="BF"/>
          <w:sz w:val="22"/>
          <w:szCs w:val="22"/>
          <w:lang w:val="en-GB"/>
        </w:rPr>
        <w:t xml:space="preserve"> for a fair and efficient administration of the debtor company’s assets in the various States with a view of maximising benefits to creditors.</w:t>
      </w:r>
      <w:r w:rsidR="004A1DE5" w:rsidRPr="0050046B">
        <w:rPr>
          <w:rFonts w:ascii="Arial" w:hAnsi="Arial" w:cs="Arial"/>
          <w:color w:val="7B7B7B" w:themeColor="accent3" w:themeShade="BF"/>
          <w:sz w:val="22"/>
          <w:szCs w:val="22"/>
          <w:lang w:val="en-GB"/>
        </w:rPr>
        <w:t xml:space="preserve"> This issue of cooperation between the Home State and the foreign court in international insolvency proceedings is relevant to protect creditors interest in the administration </w:t>
      </w:r>
      <w:r w:rsidR="001E4B41" w:rsidRPr="0050046B">
        <w:rPr>
          <w:rFonts w:ascii="Arial" w:hAnsi="Arial" w:cs="Arial"/>
          <w:color w:val="7B7B7B" w:themeColor="accent3" w:themeShade="BF"/>
          <w:sz w:val="22"/>
          <w:szCs w:val="22"/>
          <w:lang w:val="en-GB"/>
        </w:rPr>
        <w:t>of debtor’s assets in other State.</w:t>
      </w:r>
      <w:r w:rsidR="002E3100" w:rsidRPr="0050046B">
        <w:rPr>
          <w:rFonts w:ascii="Arial" w:hAnsi="Arial" w:cs="Arial"/>
          <w:color w:val="7B7B7B" w:themeColor="accent3" w:themeShade="BF"/>
          <w:sz w:val="22"/>
          <w:szCs w:val="22"/>
          <w:lang w:val="en-GB"/>
        </w:rPr>
        <w:t xml:space="preserve"> Under Article 25 of the Model Law</w:t>
      </w:r>
      <w:r w:rsidR="005F3E89" w:rsidRPr="0050046B">
        <w:rPr>
          <w:rFonts w:ascii="Arial" w:hAnsi="Arial" w:cs="Arial"/>
          <w:color w:val="7B7B7B" w:themeColor="accent3" w:themeShade="BF"/>
          <w:sz w:val="22"/>
          <w:szCs w:val="22"/>
          <w:lang w:val="en-GB"/>
        </w:rPr>
        <w:t xml:space="preserve"> an obligation is placed on the courts of the</w:t>
      </w:r>
      <w:r w:rsidR="002E3100" w:rsidRPr="0050046B">
        <w:rPr>
          <w:rFonts w:ascii="Arial" w:hAnsi="Arial" w:cs="Arial"/>
          <w:color w:val="7B7B7B" w:themeColor="accent3" w:themeShade="BF"/>
          <w:sz w:val="22"/>
          <w:szCs w:val="22"/>
          <w:lang w:val="en-GB"/>
        </w:rPr>
        <w:t xml:space="preserve"> United</w:t>
      </w:r>
      <w:r w:rsidR="005F3E89" w:rsidRPr="0050046B">
        <w:rPr>
          <w:rFonts w:ascii="Arial" w:hAnsi="Arial" w:cs="Arial"/>
          <w:color w:val="7B7B7B" w:themeColor="accent3" w:themeShade="BF"/>
          <w:sz w:val="22"/>
          <w:szCs w:val="22"/>
          <w:lang w:val="en-GB"/>
        </w:rPr>
        <w:t xml:space="preserve"> Kingdom and the foreign representatives in different jurisdictions to communicate and cooperate to ensure that a debtor’s insolvent estate is administ</w:t>
      </w:r>
      <w:r w:rsidR="00AE324A" w:rsidRPr="0050046B">
        <w:rPr>
          <w:rFonts w:ascii="Arial" w:hAnsi="Arial" w:cs="Arial"/>
          <w:color w:val="7B7B7B" w:themeColor="accent3" w:themeShade="BF"/>
          <w:sz w:val="22"/>
          <w:szCs w:val="22"/>
          <w:lang w:val="en-GB"/>
        </w:rPr>
        <w:t>e</w:t>
      </w:r>
      <w:r w:rsidR="005F3E89" w:rsidRPr="0050046B">
        <w:rPr>
          <w:rFonts w:ascii="Arial" w:hAnsi="Arial" w:cs="Arial"/>
          <w:color w:val="7B7B7B" w:themeColor="accent3" w:themeShade="BF"/>
          <w:sz w:val="22"/>
          <w:szCs w:val="22"/>
          <w:lang w:val="en-GB"/>
        </w:rPr>
        <w:t>red fairly and efficiently to maximise value of the assets for the benefit of the creditors in the various States where the assets are located.</w:t>
      </w:r>
      <w:r w:rsidR="0033768C" w:rsidRPr="0050046B">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FBD1" w14:textId="77777777" w:rsidR="0041142C" w:rsidRDefault="0041142C" w:rsidP="00241B44">
      <w:r>
        <w:separator/>
      </w:r>
    </w:p>
  </w:endnote>
  <w:endnote w:type="continuationSeparator" w:id="0">
    <w:p w14:paraId="04203E0A" w14:textId="77777777" w:rsidR="0041142C" w:rsidRDefault="004114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B2932" w:rsidRPr="00FC7B47" w:rsidRDefault="009B2932"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9B2932" w:rsidRPr="00FC7B47" w:rsidRDefault="009B2932"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9B2932" w:rsidRPr="00F44220" w:rsidRDefault="009B2932" w:rsidP="009B2932">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D498F78" w:rsidR="009B2932" w:rsidRPr="00F44220" w:rsidRDefault="009B2932" w:rsidP="00AD6A7D">
    <w:pPr>
      <w:pStyle w:val="Footer"/>
      <w:ind w:right="360"/>
      <w:rPr>
        <w:rFonts w:ascii="Arial" w:hAnsi="Arial" w:cs="Arial"/>
        <w:sz w:val="18"/>
        <w:szCs w:val="18"/>
      </w:rPr>
    </w:pPr>
    <w:r>
      <w:rPr>
        <w:rFonts w:ascii="Arial" w:hAnsi="Arial" w:cs="Arial"/>
        <w:sz w:val="18"/>
        <w:szCs w:val="18"/>
      </w:rPr>
      <w:t>202122-365</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F748" w14:textId="77777777" w:rsidR="0041142C" w:rsidRDefault="0041142C" w:rsidP="00241B44">
      <w:r>
        <w:separator/>
      </w:r>
    </w:p>
  </w:footnote>
  <w:footnote w:type="continuationSeparator" w:id="0">
    <w:p w14:paraId="592D3781" w14:textId="77777777" w:rsidR="0041142C" w:rsidRDefault="0041142C" w:rsidP="00241B44">
      <w:r>
        <w:continuationSeparator/>
      </w:r>
    </w:p>
  </w:footnote>
  <w:footnote w:id="1">
    <w:p w14:paraId="604DE63F" w14:textId="1D23CEF2" w:rsidR="009B2932" w:rsidRPr="004D5E4C" w:rsidRDefault="009B2932">
      <w:pPr>
        <w:pStyle w:val="FootnoteText"/>
      </w:pPr>
      <w:r>
        <w:rPr>
          <w:rStyle w:val="FootnoteReference"/>
        </w:rPr>
        <w:footnoteRef/>
      </w:r>
      <w:r>
        <w:t xml:space="preserve"> INSOL INTERNATIONAL, </w:t>
      </w:r>
      <w:r>
        <w:rPr>
          <w:i/>
          <w:iCs/>
        </w:rPr>
        <w:t>Foundation Certificate in International Insolvency Law: Module 1 Guidance Text 20212022</w:t>
      </w:r>
      <w:r>
        <w:t>, p 33.</w:t>
      </w:r>
    </w:p>
  </w:footnote>
  <w:footnote w:id="2">
    <w:p w14:paraId="51C2BE30" w14:textId="22AF2353" w:rsidR="009B2932" w:rsidRPr="00FD4095" w:rsidRDefault="009B2932">
      <w:pPr>
        <w:pStyle w:val="FootnoteText"/>
        <w:rPr>
          <w:lang w:val="en-GB"/>
        </w:rPr>
      </w:pPr>
      <w:r>
        <w:rPr>
          <w:rStyle w:val="FootnoteReference"/>
        </w:rPr>
        <w:footnoteRef/>
      </w:r>
      <w:r>
        <w:t xml:space="preserve"> </w:t>
      </w:r>
      <w:r w:rsidRPr="00135973">
        <w:rPr>
          <w:i/>
          <w:iCs/>
        </w:rPr>
        <w:t>I</w:t>
      </w:r>
      <w:r w:rsidR="006B6DD4" w:rsidRPr="00135973">
        <w:rPr>
          <w:i/>
          <w:iCs/>
        </w:rPr>
        <w:t>dem</w:t>
      </w:r>
      <w:r w:rsidRPr="00135973">
        <w:rPr>
          <w:i/>
          <w:iCs/>
        </w:rPr>
        <w:t>,</w:t>
      </w:r>
      <w:r>
        <w:t xml:space="preserve"> p 34. </w:t>
      </w:r>
    </w:p>
  </w:footnote>
  <w:footnote w:id="3">
    <w:p w14:paraId="2C2A61CC" w14:textId="215657CB" w:rsidR="009B2932" w:rsidRPr="00E37812" w:rsidRDefault="009B2932">
      <w:pPr>
        <w:pStyle w:val="FootnoteText"/>
        <w:rPr>
          <w:lang w:val="en-GB"/>
        </w:rPr>
      </w:pPr>
      <w:r>
        <w:rPr>
          <w:rStyle w:val="FootnoteReference"/>
        </w:rPr>
        <w:footnoteRef/>
      </w:r>
      <w:r>
        <w:t xml:space="preserve"> </w:t>
      </w:r>
      <w:r>
        <w:rPr>
          <w:lang w:val="en-GB"/>
        </w:rPr>
        <w:t xml:space="preserve">These rules include Treaties and Conventions such as the UNCITRAL Model Law on Cross Border Insolvency, 1986; UNCITRAL Legislative Guide on Insolvency Law; European Insolvency Regulation (EIR) 2000 and other binding and non-binding rules.   </w:t>
      </w:r>
    </w:p>
  </w:footnote>
  <w:footnote w:id="4">
    <w:p w14:paraId="061690C0" w14:textId="17C2EA90" w:rsidR="009B2932" w:rsidRPr="009C4521" w:rsidRDefault="009B2932">
      <w:pPr>
        <w:pStyle w:val="FootnoteText"/>
        <w:rPr>
          <w:lang w:val="en-GB"/>
        </w:rPr>
      </w:pPr>
      <w:r>
        <w:rPr>
          <w:rStyle w:val="FootnoteReference"/>
        </w:rPr>
        <w:footnoteRef/>
      </w:r>
      <w:r>
        <w:t xml:space="preserve"> See, </w:t>
      </w:r>
      <w:r w:rsidR="00AF76AE">
        <w:t xml:space="preserve">INSOL Module 1 Guidance Text </w:t>
      </w:r>
      <w:r w:rsidR="00AF76AE" w:rsidRPr="003E2139">
        <w:rPr>
          <w:i/>
          <w:iCs/>
        </w:rPr>
        <w:t>supra</w:t>
      </w:r>
      <w:r w:rsidR="00AF76AE">
        <w:t xml:space="preserve"> </w:t>
      </w:r>
      <w:r>
        <w:t>n</w:t>
      </w:r>
      <w:r w:rsidR="00AF76AE">
        <w:t xml:space="preserve">ote </w:t>
      </w:r>
      <w:r>
        <w:t>1, p</w:t>
      </w:r>
      <w:r w:rsidR="00AF76AE">
        <w:t xml:space="preserve"> </w:t>
      </w:r>
      <w:r>
        <w:t>39.</w:t>
      </w:r>
    </w:p>
  </w:footnote>
  <w:footnote w:id="5">
    <w:p w14:paraId="29DF478E" w14:textId="5C7E6B69" w:rsidR="009B2932" w:rsidRPr="00145968" w:rsidRDefault="009B2932">
      <w:pPr>
        <w:pStyle w:val="FootnoteText"/>
        <w:rPr>
          <w:lang w:val="en-GB"/>
        </w:rPr>
      </w:pPr>
      <w:r>
        <w:rPr>
          <w:rStyle w:val="FootnoteReference"/>
        </w:rPr>
        <w:footnoteRef/>
      </w:r>
      <w:r>
        <w:t xml:space="preserve"> </w:t>
      </w:r>
      <w:r>
        <w:rPr>
          <w:lang w:val="en-GB"/>
        </w:rPr>
        <w:t>Centre of Main Interest (COMI) could be the State of incorporation of the debtor company or place of main activities of the debtor or place of major assets location of the debtor, depending on the available facts.</w:t>
      </w:r>
    </w:p>
  </w:footnote>
  <w:footnote w:id="6">
    <w:p w14:paraId="58121C4E" w14:textId="3F6E829F" w:rsidR="009B2932" w:rsidRPr="00423675" w:rsidRDefault="009B2932">
      <w:pPr>
        <w:pStyle w:val="FootnoteText"/>
        <w:rPr>
          <w:lang w:val="en-GB"/>
        </w:rPr>
      </w:pPr>
      <w:r>
        <w:rPr>
          <w:rStyle w:val="FootnoteReference"/>
        </w:rPr>
        <w:footnoteRef/>
      </w:r>
      <w:r>
        <w:t xml:space="preserve"> </w:t>
      </w:r>
      <w:r>
        <w:rPr>
          <w:lang w:val="en-GB"/>
        </w:rPr>
        <w:t xml:space="preserve">Sandeep Gopalan and Michael Guihot, </w:t>
      </w:r>
      <w:r>
        <w:rPr>
          <w:i/>
          <w:iCs/>
          <w:lang w:val="en-GB"/>
        </w:rPr>
        <w:t xml:space="preserve">Recognition and Enforcement in Cross-Border Insolvency Law; A Proposal for Judicial Gap-Filling. </w:t>
      </w:r>
      <w:r>
        <w:rPr>
          <w:lang w:val="en-GB"/>
        </w:rPr>
        <w:t>Vandebilt J. Int’l L. 48 (2015) P 1267.</w:t>
      </w:r>
    </w:p>
  </w:footnote>
  <w:footnote w:id="7">
    <w:p w14:paraId="25E116A0" w14:textId="3BEAC199" w:rsidR="009B2932" w:rsidRPr="003672A4" w:rsidRDefault="009B2932">
      <w:pPr>
        <w:pStyle w:val="FootnoteText"/>
        <w:rPr>
          <w:lang w:val="en-GB"/>
        </w:rPr>
      </w:pPr>
      <w:r>
        <w:rPr>
          <w:rStyle w:val="FootnoteReference"/>
        </w:rPr>
        <w:footnoteRef/>
      </w:r>
      <w:r>
        <w:t xml:space="preserve"> United Nations Commission on International Trade Law (UNCITRAL) Model Law on Cross-Border Insolvency, 1997.</w:t>
      </w:r>
    </w:p>
  </w:footnote>
  <w:footnote w:id="8">
    <w:p w14:paraId="3F919AB8" w14:textId="7670619D" w:rsidR="009B2932" w:rsidRPr="0068519B" w:rsidRDefault="009B2932">
      <w:pPr>
        <w:pStyle w:val="FootnoteText"/>
        <w:rPr>
          <w:lang w:val="en-GB"/>
        </w:rPr>
      </w:pPr>
      <w:r>
        <w:rPr>
          <w:rStyle w:val="FootnoteReference"/>
        </w:rPr>
        <w:footnoteRef/>
      </w:r>
      <w:r>
        <w:t xml:space="preserve"> </w:t>
      </w:r>
      <w:r>
        <w:rPr>
          <w:lang w:val="en-GB"/>
        </w:rPr>
        <w:t>See,</w:t>
      </w:r>
      <w:r w:rsidR="00E23485">
        <w:rPr>
          <w:lang w:val="en-GB"/>
        </w:rPr>
        <w:t xml:space="preserve"> Gopalan and Guihot </w:t>
      </w:r>
      <w:r w:rsidR="00E23485" w:rsidRPr="00E23485">
        <w:rPr>
          <w:i/>
          <w:iCs/>
          <w:lang w:val="en-GB"/>
        </w:rPr>
        <w:t>supra</w:t>
      </w:r>
      <w:r>
        <w:rPr>
          <w:lang w:val="en-GB"/>
        </w:rPr>
        <w:t xml:space="preserve"> n</w:t>
      </w:r>
      <w:r w:rsidR="00E23485">
        <w:rPr>
          <w:lang w:val="en-GB"/>
        </w:rPr>
        <w:t xml:space="preserve">ote </w:t>
      </w:r>
      <w:r>
        <w:rPr>
          <w:lang w:val="en-GB"/>
        </w:rPr>
        <w:t>6, p 1229.</w:t>
      </w:r>
    </w:p>
  </w:footnote>
  <w:footnote w:id="9">
    <w:p w14:paraId="224C6B35" w14:textId="6F7EF4C7" w:rsidR="009B2932" w:rsidRPr="00F3535B" w:rsidRDefault="009B2932">
      <w:pPr>
        <w:pStyle w:val="FootnoteText"/>
        <w:rPr>
          <w:lang w:val="en-GB"/>
        </w:rPr>
      </w:pPr>
      <w:r>
        <w:rPr>
          <w:rStyle w:val="FootnoteReference"/>
        </w:rPr>
        <w:footnoteRef/>
      </w:r>
      <w:r>
        <w:t xml:space="preserve"> </w:t>
      </w:r>
      <w:r>
        <w:rPr>
          <w:lang w:val="en-GB"/>
        </w:rPr>
        <w:t>The United Kingdom, USA etc, practice the universality concept in their cross-border insolvency matters</w:t>
      </w:r>
      <w:r w:rsidR="0066682E">
        <w:rPr>
          <w:lang w:val="en-GB"/>
        </w:rPr>
        <w:t xml:space="preserve"> through the ad</w:t>
      </w:r>
      <w:r w:rsidR="00F92DCC">
        <w:rPr>
          <w:lang w:val="en-GB"/>
        </w:rPr>
        <w:t>o</w:t>
      </w:r>
      <w:r w:rsidR="0066682E">
        <w:rPr>
          <w:lang w:val="en-GB"/>
        </w:rPr>
        <w:t>ption of the Model Law</w:t>
      </w:r>
      <w:r w:rsidR="00D8298D">
        <w:rPr>
          <w:lang w:val="en-GB"/>
        </w:rPr>
        <w:t>.</w:t>
      </w:r>
    </w:p>
  </w:footnote>
  <w:footnote w:id="10">
    <w:p w14:paraId="51EC942A" w14:textId="33BE8B99" w:rsidR="009B2932" w:rsidRPr="00BA2B32" w:rsidRDefault="009B2932">
      <w:pPr>
        <w:pStyle w:val="FootnoteText"/>
        <w:rPr>
          <w:lang w:val="en-GB"/>
        </w:rPr>
      </w:pPr>
      <w:r>
        <w:rPr>
          <w:rStyle w:val="FootnoteReference"/>
        </w:rPr>
        <w:footnoteRef/>
      </w:r>
      <w:r>
        <w:t xml:space="preserve"> </w:t>
      </w:r>
      <w:r>
        <w:rPr>
          <w:lang w:val="en-GB"/>
        </w:rPr>
        <w:t>See</w:t>
      </w:r>
      <w:r w:rsidR="007D1C02">
        <w:t xml:space="preserve">, INSOL Module 1 Guidance Text </w:t>
      </w:r>
      <w:r w:rsidR="007D1C02" w:rsidRPr="003E2139">
        <w:rPr>
          <w:i/>
          <w:iCs/>
        </w:rPr>
        <w:t>supra</w:t>
      </w:r>
      <w:r w:rsidR="007D1C02">
        <w:t xml:space="preserve"> note</w:t>
      </w:r>
      <w:r>
        <w:rPr>
          <w:lang w:val="en-GB"/>
        </w:rPr>
        <w:t xml:space="preserve"> 1, p38.</w:t>
      </w:r>
    </w:p>
  </w:footnote>
  <w:footnote w:id="11">
    <w:p w14:paraId="0F8D7E1A" w14:textId="45C57A31" w:rsidR="009B2932" w:rsidRPr="00BA2B32" w:rsidRDefault="009B2932">
      <w:pPr>
        <w:pStyle w:val="FootnoteText"/>
        <w:rPr>
          <w:lang w:val="en-GB"/>
        </w:rPr>
      </w:pPr>
      <w:r>
        <w:rPr>
          <w:rStyle w:val="FootnoteReference"/>
        </w:rPr>
        <w:footnoteRef/>
      </w:r>
      <w:r>
        <w:t xml:space="preserve"> </w:t>
      </w:r>
      <w:r w:rsidRPr="00135973">
        <w:rPr>
          <w:i/>
          <w:iCs/>
          <w:lang w:val="en-GB"/>
        </w:rPr>
        <w:t>Ibid.</w:t>
      </w:r>
    </w:p>
  </w:footnote>
  <w:footnote w:id="12">
    <w:p w14:paraId="6923D4D3" w14:textId="2F96305F" w:rsidR="009B2932" w:rsidRPr="00934FA8" w:rsidRDefault="009B2932">
      <w:pPr>
        <w:pStyle w:val="FootnoteText"/>
        <w:rPr>
          <w:lang w:val="en-GB"/>
        </w:rPr>
      </w:pPr>
      <w:r>
        <w:rPr>
          <w:rStyle w:val="FootnoteReference"/>
        </w:rPr>
        <w:footnoteRef/>
      </w:r>
      <w:r>
        <w:t xml:space="preserve"> </w:t>
      </w:r>
      <w:r w:rsidRPr="00135973">
        <w:rPr>
          <w:i/>
          <w:iCs/>
          <w:lang w:val="en-GB"/>
        </w:rPr>
        <w:t>Ibid.</w:t>
      </w:r>
    </w:p>
  </w:footnote>
  <w:footnote w:id="13">
    <w:p w14:paraId="78EA1CA1" w14:textId="175183F6" w:rsidR="009B2932" w:rsidRPr="004C4D1F" w:rsidRDefault="009B2932">
      <w:pPr>
        <w:pStyle w:val="FootnoteText"/>
        <w:rPr>
          <w:lang w:val="en-GB"/>
        </w:rPr>
      </w:pPr>
      <w:r>
        <w:rPr>
          <w:rStyle w:val="FootnoteReference"/>
        </w:rPr>
        <w:footnoteRef/>
      </w:r>
      <w:r>
        <w:t xml:space="preserve"> The US Congress opted to prohibit non-individual debtor from obtaining a discharge under Chapter 7 of the US Bankruptcy Code in order to prevent businesses from evading liability by liquidating debtor corporations and resuming business free of debt. Corporation debt therefore “survives Chapter 7 proceedings” and is “charged against the corporation when it resumes operations”. See, Kevin M. Lewis, </w:t>
      </w:r>
      <w:r>
        <w:rPr>
          <w:i/>
          <w:iCs/>
        </w:rPr>
        <w:t>Bankruptcy Basics; A Primer, Congressional Research Service, 22 March, [2018] p10.</w:t>
      </w:r>
      <w:r>
        <w:t xml:space="preserve"> </w:t>
      </w:r>
    </w:p>
  </w:footnote>
  <w:footnote w:id="14">
    <w:p w14:paraId="4F8AB374" w14:textId="745389E4" w:rsidR="009B2932" w:rsidRPr="00B16F3A" w:rsidRDefault="009B2932">
      <w:pPr>
        <w:pStyle w:val="FootnoteText"/>
        <w:rPr>
          <w:lang w:val="en-GB"/>
        </w:rPr>
      </w:pPr>
      <w:r>
        <w:rPr>
          <w:rStyle w:val="FootnoteReference"/>
        </w:rPr>
        <w:footnoteRef/>
      </w:r>
      <w:r>
        <w:t xml:space="preserve"> </w:t>
      </w:r>
      <w:r>
        <w:rPr>
          <w:lang w:val="en-GB"/>
        </w:rPr>
        <w:t xml:space="preserve">Alastair Smith; Andre Boraine, </w:t>
      </w:r>
      <w:r w:rsidRPr="00B16F3A">
        <w:rPr>
          <w:i/>
          <w:iCs/>
          <w:lang w:val="en-GB"/>
        </w:rPr>
        <w:t>Crossing  Borders into South African Insolvency Law: From the Roman-Dutch Jurist to the UNCITRAL Model Law</w:t>
      </w:r>
      <w:r>
        <w:rPr>
          <w:lang w:val="en-GB"/>
        </w:rPr>
        <w:t>, 10 Am. Bankr. Inst. L. Rev. (2002) p157.</w:t>
      </w:r>
    </w:p>
  </w:footnote>
  <w:footnote w:id="15">
    <w:p w14:paraId="22AC490F" w14:textId="600152C7" w:rsidR="009B2932" w:rsidRPr="0055792A" w:rsidRDefault="009B2932">
      <w:pPr>
        <w:pStyle w:val="FootnoteText"/>
        <w:rPr>
          <w:lang w:val="en-GB"/>
        </w:rPr>
      </w:pPr>
      <w:r>
        <w:rPr>
          <w:rStyle w:val="FootnoteReference"/>
        </w:rPr>
        <w:footnoteRef/>
      </w:r>
      <w:r>
        <w:t xml:space="preserve"> </w:t>
      </w:r>
      <w:r w:rsidR="009A3DA3">
        <w:t xml:space="preserve">INSOL Module 1 Guidance Text </w:t>
      </w:r>
      <w:r w:rsidR="009A3DA3" w:rsidRPr="003E2139">
        <w:rPr>
          <w:i/>
          <w:iCs/>
        </w:rPr>
        <w:t>supra</w:t>
      </w:r>
      <w:r w:rsidR="009A3DA3">
        <w:t xml:space="preserve"> note 1</w:t>
      </w:r>
      <w:r>
        <w:rPr>
          <w:lang w:val="en-GB"/>
        </w:rPr>
        <w:t xml:space="preserve">. </w:t>
      </w:r>
      <w:r w:rsidR="009A3DA3">
        <w:rPr>
          <w:lang w:val="en-GB"/>
        </w:rPr>
        <w:t xml:space="preserve">P </w:t>
      </w:r>
      <w:r>
        <w:rPr>
          <w:lang w:val="en-GB"/>
        </w:rPr>
        <w:t>41.</w:t>
      </w:r>
    </w:p>
  </w:footnote>
  <w:footnote w:id="16">
    <w:p w14:paraId="154A4901" w14:textId="6A752137" w:rsidR="009B2932" w:rsidRPr="008911D7" w:rsidRDefault="009B2932">
      <w:pPr>
        <w:pStyle w:val="FootnoteText"/>
        <w:rPr>
          <w:lang w:val="en-GB"/>
        </w:rPr>
      </w:pPr>
      <w:r>
        <w:rPr>
          <w:rStyle w:val="FootnoteReference"/>
        </w:rPr>
        <w:footnoteRef/>
      </w:r>
      <w:r>
        <w:t xml:space="preserve"> </w:t>
      </w:r>
      <w:r w:rsidRPr="00135973">
        <w:rPr>
          <w:i/>
          <w:iCs/>
          <w:lang w:val="en-GB"/>
        </w:rPr>
        <w:t>Ibid.</w:t>
      </w:r>
    </w:p>
  </w:footnote>
  <w:footnote w:id="17">
    <w:p w14:paraId="2DE2BFA1" w14:textId="3AFBFAC7" w:rsidR="009B2932" w:rsidRPr="006F5696" w:rsidRDefault="009B2932">
      <w:pPr>
        <w:pStyle w:val="FootnoteText"/>
        <w:rPr>
          <w:lang w:val="en-GB"/>
        </w:rPr>
      </w:pPr>
      <w:r>
        <w:rPr>
          <w:rStyle w:val="FootnoteReference"/>
        </w:rPr>
        <w:footnoteRef/>
      </w:r>
      <w:r>
        <w:t xml:space="preserve"> </w:t>
      </w:r>
      <w:r w:rsidRPr="00135973">
        <w:rPr>
          <w:i/>
          <w:iCs/>
          <w:lang w:val="en-GB"/>
        </w:rPr>
        <w:t>Ibid</w:t>
      </w:r>
      <w:r>
        <w:rPr>
          <w:lang w:val="en-GB"/>
        </w:rPr>
        <w:t>.</w:t>
      </w:r>
    </w:p>
  </w:footnote>
  <w:footnote w:id="18">
    <w:p w14:paraId="3D529310" w14:textId="61A3A309" w:rsidR="009B2932" w:rsidRPr="00F7747F" w:rsidRDefault="009B2932">
      <w:pPr>
        <w:pStyle w:val="FootnoteText"/>
        <w:rPr>
          <w:lang w:val="en-GB"/>
        </w:rPr>
      </w:pPr>
      <w:r>
        <w:rPr>
          <w:rStyle w:val="FootnoteReference"/>
        </w:rPr>
        <w:footnoteRef/>
      </w:r>
      <w:r>
        <w:t xml:space="preserve"> </w:t>
      </w:r>
      <w:r w:rsidRPr="00135973">
        <w:rPr>
          <w:i/>
          <w:iCs/>
        </w:rPr>
        <w:t>Ibid</w:t>
      </w:r>
      <w:r w:rsidR="00135973" w:rsidRPr="00135973">
        <w:rPr>
          <w:i/>
          <w:iCs/>
        </w:rPr>
        <w:t>.</w:t>
      </w:r>
    </w:p>
  </w:footnote>
  <w:footnote w:id="19">
    <w:p w14:paraId="748728F9" w14:textId="712E31BB" w:rsidR="009B2932" w:rsidRPr="00086B1E" w:rsidRDefault="009B2932">
      <w:pPr>
        <w:pStyle w:val="FootnoteText"/>
        <w:rPr>
          <w:i/>
          <w:iCs/>
          <w:lang w:val="en-GB"/>
        </w:rPr>
      </w:pPr>
      <w:r>
        <w:rPr>
          <w:rStyle w:val="FootnoteReference"/>
        </w:rPr>
        <w:footnoteRef/>
      </w:r>
      <w:r>
        <w:t xml:space="preserve"> </w:t>
      </w:r>
      <w:bookmarkStart w:id="0" w:name="_Hlk84789431"/>
      <w:r w:rsidR="002424CC">
        <w:rPr>
          <w:lang w:val="en-GB"/>
        </w:rPr>
        <w:t xml:space="preserve">See, Gopalan and Guihot </w:t>
      </w:r>
      <w:r w:rsidR="002424CC" w:rsidRPr="00E23485">
        <w:rPr>
          <w:i/>
          <w:iCs/>
          <w:lang w:val="en-GB"/>
        </w:rPr>
        <w:t>supra</w:t>
      </w:r>
      <w:r w:rsidR="002424CC">
        <w:rPr>
          <w:lang w:val="en-GB"/>
        </w:rPr>
        <w:t xml:space="preserve"> note 6,</w:t>
      </w:r>
      <w:r>
        <w:rPr>
          <w:lang w:val="en-GB"/>
        </w:rPr>
        <w:t xml:space="preserve"> pp</w:t>
      </w:r>
      <w:r w:rsidR="002424CC">
        <w:rPr>
          <w:lang w:val="en-GB"/>
        </w:rPr>
        <w:t xml:space="preserve"> </w:t>
      </w:r>
      <w:r>
        <w:rPr>
          <w:lang w:val="en-GB"/>
        </w:rPr>
        <w:t>1227 – 1228</w:t>
      </w:r>
      <w:bookmarkEnd w:id="0"/>
      <w:r>
        <w:rPr>
          <w:lang w:val="en-GB"/>
        </w:rPr>
        <w:t>.</w:t>
      </w:r>
      <w:r>
        <w:rPr>
          <w:i/>
          <w:iCs/>
          <w:lang w:val="en-GB"/>
        </w:rPr>
        <w:t xml:space="preserve"> </w:t>
      </w:r>
    </w:p>
  </w:footnote>
  <w:footnote w:id="20">
    <w:p w14:paraId="455B4449" w14:textId="4911F195" w:rsidR="009B2932" w:rsidRPr="00D15605" w:rsidRDefault="009B2932">
      <w:pPr>
        <w:pStyle w:val="FootnoteText"/>
        <w:rPr>
          <w:lang w:val="en-GB"/>
        </w:rPr>
      </w:pPr>
      <w:r>
        <w:rPr>
          <w:rStyle w:val="FootnoteReference"/>
        </w:rPr>
        <w:footnoteRef/>
      </w:r>
      <w:r>
        <w:t xml:space="preserve"> </w:t>
      </w:r>
      <w:r>
        <w:rPr>
          <w:lang w:val="en-GB"/>
        </w:rPr>
        <w:t>Introduction to the Digest of Case Law on the UNCITRAL Model Law on Cross-Border Insolvency, p vii, para 2.</w:t>
      </w:r>
    </w:p>
  </w:footnote>
  <w:footnote w:id="21">
    <w:p w14:paraId="716191BA" w14:textId="4F8CC347" w:rsidR="009B2932" w:rsidRPr="004D5E4C" w:rsidRDefault="009B2932">
      <w:pPr>
        <w:pStyle w:val="FootnoteText"/>
      </w:pPr>
      <w:r>
        <w:rPr>
          <w:rStyle w:val="FootnoteReference"/>
        </w:rPr>
        <w:footnoteRef/>
      </w:r>
      <w:r>
        <w:t xml:space="preserve"> </w:t>
      </w:r>
      <w:r>
        <w:rPr>
          <w:lang w:val="en-GB"/>
        </w:rPr>
        <w:t xml:space="preserve">In the Legislative Guide, UNCITRAL makes several comments about the Model Law and how it should be interpreted and its interrelationship with the EIR. See, </w:t>
      </w:r>
      <w:r w:rsidR="004D5E4C">
        <w:t xml:space="preserve">INSOL INTERNATIONAL, </w:t>
      </w:r>
      <w:r w:rsidR="004D5E4C">
        <w:rPr>
          <w:i/>
          <w:iCs/>
        </w:rPr>
        <w:t xml:space="preserve">Foundation Certificate in International Insolvency Law: </w:t>
      </w:r>
      <w:r w:rsidRPr="004D5E4C">
        <w:rPr>
          <w:i/>
          <w:iCs/>
          <w:lang w:val="en-GB"/>
        </w:rPr>
        <w:t>Module 2A Guidance Text</w:t>
      </w:r>
      <w:r>
        <w:rPr>
          <w:lang w:val="en-GB"/>
        </w:rPr>
        <w:t xml:space="preserve">, p 8. </w:t>
      </w:r>
    </w:p>
  </w:footnote>
  <w:footnote w:id="22">
    <w:p w14:paraId="09AB05D5" w14:textId="5B6E43DE" w:rsidR="009B2932" w:rsidRPr="003B3DAE" w:rsidRDefault="009B2932">
      <w:pPr>
        <w:pStyle w:val="FootnoteText"/>
        <w:rPr>
          <w:lang w:val="en-GB"/>
        </w:rPr>
      </w:pPr>
      <w:r>
        <w:rPr>
          <w:rStyle w:val="FootnoteReference"/>
        </w:rPr>
        <w:footnoteRef/>
      </w:r>
      <w:r>
        <w:t xml:space="preserve"> This Guide was adopted on 1 July 2009. See, </w:t>
      </w:r>
      <w:r w:rsidRPr="00135973">
        <w:rPr>
          <w:i/>
          <w:iCs/>
        </w:rPr>
        <w:t>Ibid.</w:t>
      </w:r>
      <w:r>
        <w:t xml:space="preserve"> </w:t>
      </w:r>
    </w:p>
  </w:footnote>
  <w:footnote w:id="23">
    <w:p w14:paraId="58C5071C" w14:textId="352B832E" w:rsidR="009B2932" w:rsidRPr="00070545" w:rsidRDefault="009B2932">
      <w:pPr>
        <w:pStyle w:val="FootnoteText"/>
        <w:rPr>
          <w:lang w:val="en-GB"/>
        </w:rPr>
      </w:pPr>
      <w:r>
        <w:rPr>
          <w:rStyle w:val="FootnoteReference"/>
        </w:rPr>
        <w:footnoteRef/>
      </w:r>
      <w:r>
        <w:t xml:space="preserve"> </w:t>
      </w:r>
      <w:bookmarkStart w:id="1" w:name="_Hlk84788727"/>
      <w:r w:rsidR="00C43EBF">
        <w:t xml:space="preserve">INSOL Module 1 Guidance Text </w:t>
      </w:r>
      <w:r w:rsidR="00C43EBF" w:rsidRPr="003E2139">
        <w:rPr>
          <w:i/>
          <w:iCs/>
        </w:rPr>
        <w:t>supra</w:t>
      </w:r>
      <w:r w:rsidR="00C43EBF">
        <w:t xml:space="preserve"> note 1</w:t>
      </w:r>
      <w:bookmarkEnd w:id="1"/>
      <w:r w:rsidR="00C43EBF">
        <w:rPr>
          <w:lang w:val="en-GB"/>
        </w:rPr>
        <w:t xml:space="preserve">. </w:t>
      </w:r>
      <w:r w:rsidR="00C43EBF">
        <w:rPr>
          <w:lang w:val="en-GB"/>
        </w:rPr>
        <w:t>p</w:t>
      </w:r>
      <w:r>
        <w:rPr>
          <w:lang w:val="en-GB"/>
        </w:rPr>
        <w:t xml:space="preserve"> 52.</w:t>
      </w:r>
    </w:p>
  </w:footnote>
  <w:footnote w:id="24">
    <w:p w14:paraId="09C7F847" w14:textId="0D442D0A" w:rsidR="009B2932" w:rsidRPr="009F51E7" w:rsidRDefault="009B2932">
      <w:pPr>
        <w:pStyle w:val="FootnoteText"/>
        <w:rPr>
          <w:lang w:val="en-GB"/>
        </w:rPr>
      </w:pPr>
      <w:r>
        <w:rPr>
          <w:rStyle w:val="FootnoteReference"/>
        </w:rPr>
        <w:footnoteRef/>
      </w:r>
      <w:r>
        <w:t xml:space="preserve"> </w:t>
      </w:r>
      <w:r w:rsidRPr="00786355">
        <w:rPr>
          <w:i/>
          <w:iCs/>
          <w:lang w:val="en-GB"/>
        </w:rPr>
        <w:t>Ibid</w:t>
      </w:r>
      <w:r>
        <w:rPr>
          <w:lang w:val="en-GB"/>
        </w:rPr>
        <w:t>.</w:t>
      </w:r>
    </w:p>
  </w:footnote>
  <w:footnote w:id="25">
    <w:p w14:paraId="79DD2AAF" w14:textId="50175D61" w:rsidR="009B2932" w:rsidRPr="00D34183" w:rsidRDefault="009B2932">
      <w:pPr>
        <w:pStyle w:val="FootnoteText"/>
        <w:rPr>
          <w:lang w:val="en-GB"/>
        </w:rPr>
      </w:pPr>
      <w:r>
        <w:rPr>
          <w:rStyle w:val="FootnoteReference"/>
        </w:rPr>
        <w:footnoteRef/>
      </w:r>
      <w:r>
        <w:t xml:space="preserve"> </w:t>
      </w:r>
      <w:r w:rsidRPr="00786355">
        <w:rPr>
          <w:i/>
          <w:iCs/>
          <w:lang w:val="en-GB"/>
        </w:rPr>
        <w:t>Ibid.</w:t>
      </w:r>
    </w:p>
  </w:footnote>
  <w:footnote w:id="26">
    <w:p w14:paraId="5B11B7F3" w14:textId="489BC9CA" w:rsidR="009B2932" w:rsidRPr="00D34183" w:rsidRDefault="009B2932">
      <w:pPr>
        <w:pStyle w:val="FootnoteText"/>
        <w:rPr>
          <w:lang w:val="en-GB"/>
        </w:rPr>
      </w:pPr>
      <w:r>
        <w:rPr>
          <w:rStyle w:val="FootnoteReference"/>
        </w:rPr>
        <w:footnoteRef/>
      </w:r>
      <w:r>
        <w:t xml:space="preserve"> </w:t>
      </w:r>
      <w:r w:rsidRPr="00786355">
        <w:rPr>
          <w:i/>
          <w:iCs/>
          <w:lang w:val="en-GB"/>
        </w:rPr>
        <w:t>Ibid.</w:t>
      </w:r>
      <w:r>
        <w:rPr>
          <w:lang w:val="en-GB"/>
        </w:rPr>
        <w:t xml:space="preserve"> </w:t>
      </w:r>
    </w:p>
  </w:footnote>
  <w:footnote w:id="27">
    <w:p w14:paraId="0ACE5A8D" w14:textId="33B74FEA" w:rsidR="009B2932" w:rsidRPr="000A28B8" w:rsidRDefault="009B2932">
      <w:pPr>
        <w:pStyle w:val="FootnoteText"/>
        <w:rPr>
          <w:lang w:val="en-GB"/>
        </w:rPr>
      </w:pPr>
      <w:r>
        <w:rPr>
          <w:rStyle w:val="FootnoteReference"/>
        </w:rPr>
        <w:footnoteRef/>
      </w:r>
      <w:r>
        <w:t xml:space="preserve"> </w:t>
      </w:r>
      <w:r w:rsidRPr="00786355">
        <w:rPr>
          <w:i/>
          <w:iCs/>
          <w:lang w:val="en-GB"/>
        </w:rPr>
        <w:t>I</w:t>
      </w:r>
      <w:r w:rsidR="00786355" w:rsidRPr="00786355">
        <w:rPr>
          <w:i/>
          <w:iCs/>
          <w:lang w:val="en-GB"/>
        </w:rPr>
        <w:t>dem</w:t>
      </w:r>
      <w:r w:rsidRPr="00786355">
        <w:rPr>
          <w:i/>
          <w:iCs/>
          <w:lang w:val="en-GB"/>
        </w:rPr>
        <w:t>,</w:t>
      </w:r>
      <w:r>
        <w:rPr>
          <w:lang w:val="en-GB"/>
        </w:rPr>
        <w:t xml:space="preserve"> p 53.</w:t>
      </w:r>
    </w:p>
  </w:footnote>
  <w:footnote w:id="28">
    <w:p w14:paraId="303AB2FE" w14:textId="4900B30F" w:rsidR="009B2932" w:rsidRPr="000A28B8" w:rsidRDefault="009B2932">
      <w:pPr>
        <w:pStyle w:val="FootnoteText"/>
        <w:rPr>
          <w:lang w:val="en-GB"/>
        </w:rPr>
      </w:pPr>
      <w:r>
        <w:rPr>
          <w:rStyle w:val="FootnoteReference"/>
        </w:rPr>
        <w:footnoteRef/>
      </w:r>
      <w:r>
        <w:t xml:space="preserve"> </w:t>
      </w:r>
      <w:r w:rsidRPr="00786355">
        <w:rPr>
          <w:i/>
          <w:iCs/>
          <w:lang w:val="en-GB"/>
        </w:rPr>
        <w:t>Ibid.</w:t>
      </w:r>
    </w:p>
  </w:footnote>
  <w:footnote w:id="29">
    <w:p w14:paraId="528DDAC7" w14:textId="2BF8169D" w:rsidR="009B2932" w:rsidRPr="00131F06" w:rsidRDefault="009B2932">
      <w:pPr>
        <w:pStyle w:val="FootnoteText"/>
        <w:rPr>
          <w:lang w:val="en-GB"/>
        </w:rPr>
      </w:pPr>
      <w:r>
        <w:rPr>
          <w:rStyle w:val="FootnoteReference"/>
        </w:rPr>
        <w:footnoteRef/>
      </w:r>
      <w:r>
        <w:t xml:space="preserve"> </w:t>
      </w:r>
      <w:r w:rsidRPr="00786355">
        <w:rPr>
          <w:i/>
          <w:iCs/>
          <w:lang w:val="en-GB"/>
        </w:rPr>
        <w:t>Ibid.</w:t>
      </w:r>
    </w:p>
  </w:footnote>
  <w:footnote w:id="30">
    <w:p w14:paraId="725D6329" w14:textId="47979B7F" w:rsidR="009B2932" w:rsidRPr="007168C6" w:rsidRDefault="009B2932">
      <w:pPr>
        <w:pStyle w:val="FootnoteText"/>
        <w:rPr>
          <w:lang w:val="en-GB"/>
        </w:rPr>
      </w:pPr>
      <w:r>
        <w:rPr>
          <w:rStyle w:val="FootnoteReference"/>
        </w:rPr>
        <w:footnoteRef/>
      </w:r>
      <w:r>
        <w:t xml:space="preserve"> </w:t>
      </w:r>
      <w:r w:rsidRPr="003A3FA0">
        <w:rPr>
          <w:i/>
          <w:iCs/>
          <w:lang w:val="en-GB"/>
        </w:rPr>
        <w:t>Ibid</w:t>
      </w:r>
      <w:r>
        <w:rPr>
          <w:lang w:val="en-GB"/>
        </w:rPr>
        <w:t>.</w:t>
      </w:r>
    </w:p>
  </w:footnote>
  <w:footnote w:id="31">
    <w:p w14:paraId="1D06881E" w14:textId="52B1DC2F" w:rsidR="009B2932" w:rsidRPr="00415C9F" w:rsidRDefault="009B2932">
      <w:pPr>
        <w:pStyle w:val="FootnoteText"/>
        <w:rPr>
          <w:lang w:val="en-GB"/>
        </w:rPr>
      </w:pPr>
      <w:r>
        <w:rPr>
          <w:rStyle w:val="FootnoteReference"/>
        </w:rPr>
        <w:footnoteRef/>
      </w:r>
      <w:r>
        <w:t xml:space="preserve"> </w:t>
      </w:r>
      <w:r w:rsidRPr="003A3FA0">
        <w:rPr>
          <w:i/>
          <w:iCs/>
          <w:lang w:val="en-GB"/>
        </w:rPr>
        <w:t>Ibid</w:t>
      </w:r>
      <w:r>
        <w:rPr>
          <w:lang w:val="en-GB"/>
        </w:rPr>
        <w:t>.</w:t>
      </w:r>
    </w:p>
  </w:footnote>
  <w:footnote w:id="32">
    <w:p w14:paraId="64106C80" w14:textId="5646C8CA" w:rsidR="009B2932" w:rsidRPr="00B6057E" w:rsidRDefault="009B2932">
      <w:pPr>
        <w:pStyle w:val="FootnoteText"/>
        <w:rPr>
          <w:lang w:val="en-GB"/>
        </w:rPr>
      </w:pPr>
      <w:r>
        <w:rPr>
          <w:rStyle w:val="FootnoteReference"/>
        </w:rPr>
        <w:footnoteRef/>
      </w:r>
      <w:r>
        <w:t xml:space="preserve"> </w:t>
      </w:r>
      <w:r w:rsidRPr="003A3FA0">
        <w:rPr>
          <w:i/>
          <w:iCs/>
          <w:lang w:val="en-GB"/>
        </w:rPr>
        <w:t>Ibid</w:t>
      </w:r>
      <w:r>
        <w:rPr>
          <w:lang w:val="en-GB"/>
        </w:rPr>
        <w:t>.</w:t>
      </w:r>
    </w:p>
  </w:footnote>
  <w:footnote w:id="33">
    <w:p w14:paraId="7D368328" w14:textId="0F55F353" w:rsidR="00ED55AC" w:rsidRPr="00ED55AC" w:rsidRDefault="00ED55AC">
      <w:pPr>
        <w:pStyle w:val="FootnoteText"/>
        <w:rPr>
          <w:lang w:val="en-GB"/>
        </w:rPr>
      </w:pPr>
      <w:r>
        <w:rPr>
          <w:rStyle w:val="FootnoteReference"/>
        </w:rPr>
        <w:footnoteRef/>
      </w:r>
      <w:r>
        <w:t xml:space="preserve">See generally, </w:t>
      </w:r>
      <w:r>
        <w:t xml:space="preserve">INSOL Module </w:t>
      </w:r>
      <w:r>
        <w:t>2A</w:t>
      </w:r>
      <w:r>
        <w:t xml:space="preserve"> Guidance Text </w:t>
      </w:r>
      <w:r w:rsidRPr="003E2139">
        <w:rPr>
          <w:i/>
          <w:iCs/>
        </w:rPr>
        <w:t>supra</w:t>
      </w:r>
      <w:r>
        <w:t xml:space="preserve"> note </w:t>
      </w:r>
      <w:r>
        <w:t>2</w:t>
      </w:r>
      <w:r>
        <w:t>1</w:t>
      </w:r>
      <w:r>
        <w:t>, pp 43-44.</w:t>
      </w:r>
    </w:p>
  </w:footnote>
  <w:footnote w:id="34">
    <w:p w14:paraId="208ABE97" w14:textId="4175AA2B" w:rsidR="009B2932" w:rsidRPr="000A4F09" w:rsidRDefault="009B2932">
      <w:pPr>
        <w:pStyle w:val="FootnoteText"/>
        <w:rPr>
          <w:i/>
          <w:iCs/>
          <w:lang w:val="en-GB"/>
        </w:rPr>
      </w:pPr>
      <w:r>
        <w:rPr>
          <w:rStyle w:val="FootnoteReference"/>
        </w:rPr>
        <w:footnoteRef/>
      </w:r>
      <w:r w:rsidR="001A5315">
        <w:t xml:space="preserve"> </w:t>
      </w:r>
      <w:r w:rsidR="001A5315">
        <w:rPr>
          <w:lang w:val="en-GB"/>
        </w:rPr>
        <w:t xml:space="preserve">See, Gopalan and Guihot </w:t>
      </w:r>
      <w:r w:rsidR="001A5315" w:rsidRPr="00E23485">
        <w:rPr>
          <w:i/>
          <w:iCs/>
          <w:lang w:val="en-GB"/>
        </w:rPr>
        <w:t>supra</w:t>
      </w:r>
      <w:r w:rsidR="001A5315">
        <w:rPr>
          <w:lang w:val="en-GB"/>
        </w:rPr>
        <w:t xml:space="preserve"> note 6, pp</w:t>
      </w:r>
      <w:r>
        <w:rPr>
          <w:i/>
          <w:iCs/>
          <w:lang w:val="en-GB"/>
        </w:rPr>
        <w:t xml:space="preserve"> 1259-1260; As at 1</w:t>
      </w:r>
      <w:r w:rsidRPr="00230612">
        <w:rPr>
          <w:i/>
          <w:iCs/>
          <w:vertAlign w:val="superscript"/>
          <w:lang w:val="en-GB"/>
        </w:rPr>
        <w:t>st</w:t>
      </w:r>
      <w:r>
        <w:rPr>
          <w:i/>
          <w:iCs/>
          <w:lang w:val="en-GB"/>
        </w:rPr>
        <w:t xml:space="preserve"> January, 2020 EC Regulation 1346/2000 no longer apply in the UK due to the effect of “Brexit”.  </w:t>
      </w:r>
    </w:p>
  </w:footnote>
  <w:footnote w:id="35">
    <w:p w14:paraId="25A8E56F" w14:textId="6AA4A30E" w:rsidR="00415E17" w:rsidRPr="006210BA" w:rsidRDefault="00415E17">
      <w:pPr>
        <w:pStyle w:val="FootnoteText"/>
        <w:rPr>
          <w:lang w:val="en-GB"/>
        </w:rPr>
      </w:pPr>
      <w:r>
        <w:rPr>
          <w:rStyle w:val="FootnoteReference"/>
        </w:rPr>
        <w:footnoteRef/>
      </w:r>
      <w:r>
        <w:t xml:space="preserve"> </w:t>
      </w:r>
      <w:r>
        <w:rPr>
          <w:lang w:val="en-GB"/>
        </w:rPr>
        <w:t xml:space="preserve">Deane, Felicity and Mason, Rosalind, </w:t>
      </w:r>
      <w:r>
        <w:rPr>
          <w:i/>
          <w:iCs/>
          <w:lang w:val="en-GB"/>
        </w:rPr>
        <w:t>The UNCITRAL Model Law on Cross-border Insolvency and the Rule of Law</w:t>
      </w:r>
      <w:r w:rsidR="006210BA">
        <w:rPr>
          <w:i/>
          <w:iCs/>
          <w:lang w:val="en-GB"/>
        </w:rPr>
        <w:t xml:space="preserve">, </w:t>
      </w:r>
      <w:r w:rsidR="006210BA">
        <w:rPr>
          <w:lang w:val="en-GB"/>
        </w:rPr>
        <w:t>International Insolvency Review, (2016) 25(2), p. 13.</w:t>
      </w:r>
    </w:p>
  </w:footnote>
  <w:footnote w:id="36">
    <w:p w14:paraId="20AB6383" w14:textId="57CD10CD" w:rsidR="003642D1" w:rsidRPr="003642D1" w:rsidRDefault="003642D1">
      <w:pPr>
        <w:pStyle w:val="FootnoteText"/>
        <w:rPr>
          <w:lang w:val="en-GB"/>
        </w:rPr>
      </w:pPr>
      <w:r>
        <w:rPr>
          <w:rStyle w:val="FootnoteReference"/>
        </w:rPr>
        <w:footnoteRef/>
      </w:r>
      <w:r>
        <w:t xml:space="preserve"> </w:t>
      </w:r>
      <w:r>
        <w:rPr>
          <w:lang w:val="en-GB"/>
        </w:rPr>
        <w:t>See, UNCITRAL Model Law on Cross-Border Insolvency Law, Art. 15 (1) (a) and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5B2F6E"/>
    <w:multiLevelType w:val="hybridMultilevel"/>
    <w:tmpl w:val="5BAAEE80"/>
    <w:lvl w:ilvl="0" w:tplc="91446D6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A4F61"/>
    <w:multiLevelType w:val="hybridMultilevel"/>
    <w:tmpl w:val="B68EFCD2"/>
    <w:lvl w:ilvl="0" w:tplc="A3545A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F18F2"/>
    <w:multiLevelType w:val="hybridMultilevel"/>
    <w:tmpl w:val="AE522536"/>
    <w:lvl w:ilvl="0" w:tplc="E8C2D9E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15324"/>
    <w:multiLevelType w:val="hybridMultilevel"/>
    <w:tmpl w:val="1A84A2C6"/>
    <w:lvl w:ilvl="0" w:tplc="D01095F4">
      <w:start w:val="1"/>
      <w:numFmt w:val="decimal"/>
      <w:lvlText w:val="%1."/>
      <w:lvlJc w:val="left"/>
      <w:pPr>
        <w:ind w:left="720" w:hanging="360"/>
      </w:pPr>
      <w:rPr>
        <w:rFonts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4697D9B"/>
    <w:multiLevelType w:val="hybridMultilevel"/>
    <w:tmpl w:val="53962A52"/>
    <w:lvl w:ilvl="0" w:tplc="D0F86146">
      <w:start w:val="1"/>
      <w:numFmt w:val="decimal"/>
      <w:lvlText w:val="%1."/>
      <w:lvlJc w:val="left"/>
      <w:pPr>
        <w:ind w:left="1080" w:hanging="360"/>
      </w:pPr>
      <w:rPr>
        <w:rFonts w:hint="default"/>
        <w:color w:val="7B7B7B" w:themeColor="accent3"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56885"/>
    <w:multiLevelType w:val="hybridMultilevel"/>
    <w:tmpl w:val="8582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CEB24C3"/>
    <w:multiLevelType w:val="hybridMultilevel"/>
    <w:tmpl w:val="A318788C"/>
    <w:lvl w:ilvl="0" w:tplc="8C6CA23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16A8B"/>
    <w:multiLevelType w:val="hybridMultilevel"/>
    <w:tmpl w:val="43DE2582"/>
    <w:lvl w:ilvl="0" w:tplc="ECDA09E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3996061"/>
    <w:multiLevelType w:val="hybridMultilevel"/>
    <w:tmpl w:val="B386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F15F99"/>
    <w:multiLevelType w:val="hybridMultilevel"/>
    <w:tmpl w:val="6A0CD6CA"/>
    <w:lvl w:ilvl="0" w:tplc="F87EAF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A63D67"/>
    <w:multiLevelType w:val="hybridMultilevel"/>
    <w:tmpl w:val="1BA87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AE94370"/>
    <w:multiLevelType w:val="hybridMultilevel"/>
    <w:tmpl w:val="36C8F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C79B7"/>
    <w:multiLevelType w:val="hybridMultilevel"/>
    <w:tmpl w:val="2766E438"/>
    <w:lvl w:ilvl="0" w:tplc="7156750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31"/>
  </w:num>
  <w:num w:numId="3">
    <w:abstractNumId w:val="10"/>
  </w:num>
  <w:num w:numId="4">
    <w:abstractNumId w:val="6"/>
  </w:num>
  <w:num w:numId="5">
    <w:abstractNumId w:val="14"/>
  </w:num>
  <w:num w:numId="6">
    <w:abstractNumId w:val="23"/>
  </w:num>
  <w:num w:numId="7">
    <w:abstractNumId w:val="33"/>
  </w:num>
  <w:num w:numId="8">
    <w:abstractNumId w:val="22"/>
  </w:num>
  <w:num w:numId="9">
    <w:abstractNumId w:val="9"/>
  </w:num>
  <w:num w:numId="10">
    <w:abstractNumId w:val="13"/>
  </w:num>
  <w:num w:numId="11">
    <w:abstractNumId w:val="11"/>
  </w:num>
  <w:num w:numId="12">
    <w:abstractNumId w:val="7"/>
  </w:num>
  <w:num w:numId="13">
    <w:abstractNumId w:val="19"/>
  </w:num>
  <w:num w:numId="14">
    <w:abstractNumId w:val="0"/>
  </w:num>
  <w:num w:numId="15">
    <w:abstractNumId w:val="5"/>
  </w:num>
  <w:num w:numId="16">
    <w:abstractNumId w:val="21"/>
  </w:num>
  <w:num w:numId="17">
    <w:abstractNumId w:val="16"/>
  </w:num>
  <w:num w:numId="18">
    <w:abstractNumId w:val="29"/>
  </w:num>
  <w:num w:numId="19">
    <w:abstractNumId w:val="24"/>
  </w:num>
  <w:num w:numId="20">
    <w:abstractNumId w:val="34"/>
  </w:num>
  <w:num w:numId="21">
    <w:abstractNumId w:val="27"/>
  </w:num>
  <w:num w:numId="22">
    <w:abstractNumId w:val="15"/>
  </w:num>
  <w:num w:numId="23">
    <w:abstractNumId w:val="20"/>
  </w:num>
  <w:num w:numId="24">
    <w:abstractNumId w:val="3"/>
  </w:num>
  <w:num w:numId="25">
    <w:abstractNumId w:val="4"/>
  </w:num>
  <w:num w:numId="26">
    <w:abstractNumId w:val="1"/>
  </w:num>
  <w:num w:numId="27">
    <w:abstractNumId w:val="8"/>
  </w:num>
  <w:num w:numId="28">
    <w:abstractNumId w:val="32"/>
  </w:num>
  <w:num w:numId="29">
    <w:abstractNumId w:val="25"/>
  </w:num>
  <w:num w:numId="30">
    <w:abstractNumId w:val="30"/>
  </w:num>
  <w:num w:numId="31">
    <w:abstractNumId w:val="2"/>
  </w:num>
  <w:num w:numId="32">
    <w:abstractNumId w:val="12"/>
  </w:num>
  <w:num w:numId="33">
    <w:abstractNumId w:val="26"/>
  </w:num>
  <w:num w:numId="34">
    <w:abstractNumId w:val="18"/>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F22"/>
    <w:rsid w:val="000250C7"/>
    <w:rsid w:val="000313C4"/>
    <w:rsid w:val="00035072"/>
    <w:rsid w:val="00036136"/>
    <w:rsid w:val="000371BA"/>
    <w:rsid w:val="00037621"/>
    <w:rsid w:val="00044D46"/>
    <w:rsid w:val="00045088"/>
    <w:rsid w:val="00045904"/>
    <w:rsid w:val="00054D7C"/>
    <w:rsid w:val="00055893"/>
    <w:rsid w:val="00065166"/>
    <w:rsid w:val="00070545"/>
    <w:rsid w:val="00071A08"/>
    <w:rsid w:val="00080F54"/>
    <w:rsid w:val="00082609"/>
    <w:rsid w:val="000851CC"/>
    <w:rsid w:val="00086B1E"/>
    <w:rsid w:val="0009088F"/>
    <w:rsid w:val="00093BE8"/>
    <w:rsid w:val="00094436"/>
    <w:rsid w:val="00095E04"/>
    <w:rsid w:val="00096C9C"/>
    <w:rsid w:val="000A16F4"/>
    <w:rsid w:val="000A28B8"/>
    <w:rsid w:val="000A4F09"/>
    <w:rsid w:val="000A5141"/>
    <w:rsid w:val="000A5497"/>
    <w:rsid w:val="000A68ED"/>
    <w:rsid w:val="000B5FF1"/>
    <w:rsid w:val="000B609F"/>
    <w:rsid w:val="000B654F"/>
    <w:rsid w:val="000C7E4F"/>
    <w:rsid w:val="000D467D"/>
    <w:rsid w:val="000D55A8"/>
    <w:rsid w:val="000E4841"/>
    <w:rsid w:val="000E698E"/>
    <w:rsid w:val="000E744D"/>
    <w:rsid w:val="000F1607"/>
    <w:rsid w:val="000F1677"/>
    <w:rsid w:val="000F3D6C"/>
    <w:rsid w:val="000F5D77"/>
    <w:rsid w:val="00101707"/>
    <w:rsid w:val="00110DA3"/>
    <w:rsid w:val="0011473D"/>
    <w:rsid w:val="00115C85"/>
    <w:rsid w:val="001179E2"/>
    <w:rsid w:val="00123661"/>
    <w:rsid w:val="00123855"/>
    <w:rsid w:val="00126A4D"/>
    <w:rsid w:val="00131F06"/>
    <w:rsid w:val="00135973"/>
    <w:rsid w:val="00140AD1"/>
    <w:rsid w:val="00145968"/>
    <w:rsid w:val="0014622C"/>
    <w:rsid w:val="00152348"/>
    <w:rsid w:val="0015456D"/>
    <w:rsid w:val="00161F1B"/>
    <w:rsid w:val="00162829"/>
    <w:rsid w:val="00174A4E"/>
    <w:rsid w:val="00180548"/>
    <w:rsid w:val="00180CCE"/>
    <w:rsid w:val="0018267A"/>
    <w:rsid w:val="00182779"/>
    <w:rsid w:val="001830DF"/>
    <w:rsid w:val="00185795"/>
    <w:rsid w:val="001966D9"/>
    <w:rsid w:val="001A5315"/>
    <w:rsid w:val="001A7E9A"/>
    <w:rsid w:val="001B5016"/>
    <w:rsid w:val="001B5DE0"/>
    <w:rsid w:val="001B7A79"/>
    <w:rsid w:val="001C45FC"/>
    <w:rsid w:val="001D4862"/>
    <w:rsid w:val="001E25B9"/>
    <w:rsid w:val="001E49E0"/>
    <w:rsid w:val="001E4B41"/>
    <w:rsid w:val="001E7B5A"/>
    <w:rsid w:val="001F0AC5"/>
    <w:rsid w:val="001F7412"/>
    <w:rsid w:val="0020071A"/>
    <w:rsid w:val="002070B0"/>
    <w:rsid w:val="0020725B"/>
    <w:rsid w:val="00207D7F"/>
    <w:rsid w:val="00222013"/>
    <w:rsid w:val="002279D2"/>
    <w:rsid w:val="0023029C"/>
    <w:rsid w:val="00230612"/>
    <w:rsid w:val="002308F2"/>
    <w:rsid w:val="00241B44"/>
    <w:rsid w:val="002424CC"/>
    <w:rsid w:val="00242512"/>
    <w:rsid w:val="00245EFB"/>
    <w:rsid w:val="00262016"/>
    <w:rsid w:val="002621D1"/>
    <w:rsid w:val="002622D1"/>
    <w:rsid w:val="00262D2C"/>
    <w:rsid w:val="0026515D"/>
    <w:rsid w:val="00265AC6"/>
    <w:rsid w:val="002668D3"/>
    <w:rsid w:val="0026777A"/>
    <w:rsid w:val="0027299F"/>
    <w:rsid w:val="00275001"/>
    <w:rsid w:val="00276593"/>
    <w:rsid w:val="002807FF"/>
    <w:rsid w:val="0028179A"/>
    <w:rsid w:val="00284EBE"/>
    <w:rsid w:val="00286AE6"/>
    <w:rsid w:val="00286B9C"/>
    <w:rsid w:val="0029433F"/>
    <w:rsid w:val="00294829"/>
    <w:rsid w:val="0029690F"/>
    <w:rsid w:val="002A2A60"/>
    <w:rsid w:val="002B0CCA"/>
    <w:rsid w:val="002B1C45"/>
    <w:rsid w:val="002B5F49"/>
    <w:rsid w:val="002C13C8"/>
    <w:rsid w:val="002C1671"/>
    <w:rsid w:val="002C3547"/>
    <w:rsid w:val="002C69BC"/>
    <w:rsid w:val="002C6B58"/>
    <w:rsid w:val="002D0021"/>
    <w:rsid w:val="002D31CD"/>
    <w:rsid w:val="002D3473"/>
    <w:rsid w:val="002E3100"/>
    <w:rsid w:val="002E732E"/>
    <w:rsid w:val="002F1956"/>
    <w:rsid w:val="002F3440"/>
    <w:rsid w:val="002F75A3"/>
    <w:rsid w:val="00303C2F"/>
    <w:rsid w:val="003144EF"/>
    <w:rsid w:val="00321B0A"/>
    <w:rsid w:val="003254FD"/>
    <w:rsid w:val="0032628D"/>
    <w:rsid w:val="003264B7"/>
    <w:rsid w:val="00330937"/>
    <w:rsid w:val="00330F31"/>
    <w:rsid w:val="00334648"/>
    <w:rsid w:val="0033579F"/>
    <w:rsid w:val="0033768C"/>
    <w:rsid w:val="00337938"/>
    <w:rsid w:val="00340769"/>
    <w:rsid w:val="00341AA6"/>
    <w:rsid w:val="00343B8D"/>
    <w:rsid w:val="00344BD0"/>
    <w:rsid w:val="003470ED"/>
    <w:rsid w:val="00347EAE"/>
    <w:rsid w:val="003519F4"/>
    <w:rsid w:val="00361A0A"/>
    <w:rsid w:val="003642D1"/>
    <w:rsid w:val="0036565C"/>
    <w:rsid w:val="0036625E"/>
    <w:rsid w:val="00366F14"/>
    <w:rsid w:val="003672A4"/>
    <w:rsid w:val="0036746A"/>
    <w:rsid w:val="0037465A"/>
    <w:rsid w:val="00374696"/>
    <w:rsid w:val="00376FBF"/>
    <w:rsid w:val="00382C98"/>
    <w:rsid w:val="0038533C"/>
    <w:rsid w:val="00390358"/>
    <w:rsid w:val="00390EB9"/>
    <w:rsid w:val="003948D5"/>
    <w:rsid w:val="00396821"/>
    <w:rsid w:val="00397D3A"/>
    <w:rsid w:val="003A051E"/>
    <w:rsid w:val="003A2F8D"/>
    <w:rsid w:val="003A3FA0"/>
    <w:rsid w:val="003B170F"/>
    <w:rsid w:val="003B3DAE"/>
    <w:rsid w:val="003B3E49"/>
    <w:rsid w:val="003B7AC9"/>
    <w:rsid w:val="003C4471"/>
    <w:rsid w:val="003C44F3"/>
    <w:rsid w:val="003C6AD3"/>
    <w:rsid w:val="003D0A6D"/>
    <w:rsid w:val="003D2DA8"/>
    <w:rsid w:val="003E0B16"/>
    <w:rsid w:val="003E1B83"/>
    <w:rsid w:val="003E2139"/>
    <w:rsid w:val="003E67D1"/>
    <w:rsid w:val="003F5758"/>
    <w:rsid w:val="003F5E2C"/>
    <w:rsid w:val="00405DC1"/>
    <w:rsid w:val="0041142C"/>
    <w:rsid w:val="00411B48"/>
    <w:rsid w:val="00415C9F"/>
    <w:rsid w:val="00415E17"/>
    <w:rsid w:val="00415F1F"/>
    <w:rsid w:val="0042108F"/>
    <w:rsid w:val="00421634"/>
    <w:rsid w:val="00423675"/>
    <w:rsid w:val="00426AEF"/>
    <w:rsid w:val="00430FED"/>
    <w:rsid w:val="0043427C"/>
    <w:rsid w:val="00434A8C"/>
    <w:rsid w:val="00437774"/>
    <w:rsid w:val="00440101"/>
    <w:rsid w:val="00442C27"/>
    <w:rsid w:val="00443409"/>
    <w:rsid w:val="00444284"/>
    <w:rsid w:val="00445CE6"/>
    <w:rsid w:val="004534C2"/>
    <w:rsid w:val="00454ACF"/>
    <w:rsid w:val="00454CF8"/>
    <w:rsid w:val="0045683E"/>
    <w:rsid w:val="004659D2"/>
    <w:rsid w:val="00491675"/>
    <w:rsid w:val="00492AF7"/>
    <w:rsid w:val="00493855"/>
    <w:rsid w:val="00496862"/>
    <w:rsid w:val="004A16A3"/>
    <w:rsid w:val="004A1DE5"/>
    <w:rsid w:val="004A57DD"/>
    <w:rsid w:val="004A65BC"/>
    <w:rsid w:val="004A7B51"/>
    <w:rsid w:val="004A7D71"/>
    <w:rsid w:val="004A7EF3"/>
    <w:rsid w:val="004B11FD"/>
    <w:rsid w:val="004B23A2"/>
    <w:rsid w:val="004B5E59"/>
    <w:rsid w:val="004C1306"/>
    <w:rsid w:val="004C4D1F"/>
    <w:rsid w:val="004D1A5A"/>
    <w:rsid w:val="004D3721"/>
    <w:rsid w:val="004D5E4C"/>
    <w:rsid w:val="004D64F9"/>
    <w:rsid w:val="004E14A8"/>
    <w:rsid w:val="004F020E"/>
    <w:rsid w:val="004F308C"/>
    <w:rsid w:val="004F50BB"/>
    <w:rsid w:val="004F5FDF"/>
    <w:rsid w:val="0050046B"/>
    <w:rsid w:val="0051085E"/>
    <w:rsid w:val="005161AF"/>
    <w:rsid w:val="005177FE"/>
    <w:rsid w:val="00517969"/>
    <w:rsid w:val="00521CCD"/>
    <w:rsid w:val="0052263B"/>
    <w:rsid w:val="00524728"/>
    <w:rsid w:val="00531653"/>
    <w:rsid w:val="005331CA"/>
    <w:rsid w:val="00537970"/>
    <w:rsid w:val="00544127"/>
    <w:rsid w:val="00553129"/>
    <w:rsid w:val="00553EB2"/>
    <w:rsid w:val="005566CF"/>
    <w:rsid w:val="0055792A"/>
    <w:rsid w:val="00560534"/>
    <w:rsid w:val="005611D8"/>
    <w:rsid w:val="005619FD"/>
    <w:rsid w:val="0056391B"/>
    <w:rsid w:val="005650E2"/>
    <w:rsid w:val="00566200"/>
    <w:rsid w:val="00567075"/>
    <w:rsid w:val="00575B2D"/>
    <w:rsid w:val="00580B95"/>
    <w:rsid w:val="0058107F"/>
    <w:rsid w:val="005833D0"/>
    <w:rsid w:val="00583D90"/>
    <w:rsid w:val="005846F3"/>
    <w:rsid w:val="0058622F"/>
    <w:rsid w:val="00592F82"/>
    <w:rsid w:val="005A0CCA"/>
    <w:rsid w:val="005A1814"/>
    <w:rsid w:val="005A665B"/>
    <w:rsid w:val="005A726D"/>
    <w:rsid w:val="005B67AC"/>
    <w:rsid w:val="005C2081"/>
    <w:rsid w:val="005C396C"/>
    <w:rsid w:val="005D43E0"/>
    <w:rsid w:val="005D46BB"/>
    <w:rsid w:val="005D58A3"/>
    <w:rsid w:val="005E1B79"/>
    <w:rsid w:val="005E6431"/>
    <w:rsid w:val="005F026D"/>
    <w:rsid w:val="005F2D0B"/>
    <w:rsid w:val="005F3E89"/>
    <w:rsid w:val="005F4B31"/>
    <w:rsid w:val="005F6250"/>
    <w:rsid w:val="00610388"/>
    <w:rsid w:val="006118DA"/>
    <w:rsid w:val="00612CA5"/>
    <w:rsid w:val="00613EB2"/>
    <w:rsid w:val="006153EC"/>
    <w:rsid w:val="006210BA"/>
    <w:rsid w:val="00621A17"/>
    <w:rsid w:val="00627CC9"/>
    <w:rsid w:val="00627E7B"/>
    <w:rsid w:val="00630542"/>
    <w:rsid w:val="00632E44"/>
    <w:rsid w:val="00634622"/>
    <w:rsid w:val="00636110"/>
    <w:rsid w:val="00636808"/>
    <w:rsid w:val="00641515"/>
    <w:rsid w:val="00646A54"/>
    <w:rsid w:val="00654C2F"/>
    <w:rsid w:val="00657087"/>
    <w:rsid w:val="006638DC"/>
    <w:rsid w:val="0066682E"/>
    <w:rsid w:val="00670332"/>
    <w:rsid w:val="006749FE"/>
    <w:rsid w:val="00677AEB"/>
    <w:rsid w:val="006817F2"/>
    <w:rsid w:val="0068519B"/>
    <w:rsid w:val="00687A1D"/>
    <w:rsid w:val="00687B0A"/>
    <w:rsid w:val="00697EA1"/>
    <w:rsid w:val="006A13F5"/>
    <w:rsid w:val="006A2646"/>
    <w:rsid w:val="006A4C63"/>
    <w:rsid w:val="006A6530"/>
    <w:rsid w:val="006B1CA2"/>
    <w:rsid w:val="006B435A"/>
    <w:rsid w:val="006B4C64"/>
    <w:rsid w:val="006B6DD4"/>
    <w:rsid w:val="006C452F"/>
    <w:rsid w:val="006D01C2"/>
    <w:rsid w:val="006D04CE"/>
    <w:rsid w:val="006D6D7F"/>
    <w:rsid w:val="006E0E5B"/>
    <w:rsid w:val="006E1B26"/>
    <w:rsid w:val="006E2509"/>
    <w:rsid w:val="006E481A"/>
    <w:rsid w:val="006E5298"/>
    <w:rsid w:val="006F4E48"/>
    <w:rsid w:val="006F5696"/>
    <w:rsid w:val="006F734A"/>
    <w:rsid w:val="00700D83"/>
    <w:rsid w:val="007074E9"/>
    <w:rsid w:val="00713DA4"/>
    <w:rsid w:val="00714BF1"/>
    <w:rsid w:val="007168C6"/>
    <w:rsid w:val="00721383"/>
    <w:rsid w:val="00723411"/>
    <w:rsid w:val="007332AF"/>
    <w:rsid w:val="007333CC"/>
    <w:rsid w:val="0073399A"/>
    <w:rsid w:val="00745BEF"/>
    <w:rsid w:val="00746C1F"/>
    <w:rsid w:val="00756DE9"/>
    <w:rsid w:val="007603F5"/>
    <w:rsid w:val="00764DB0"/>
    <w:rsid w:val="0076764D"/>
    <w:rsid w:val="0077498C"/>
    <w:rsid w:val="0077714A"/>
    <w:rsid w:val="00784128"/>
    <w:rsid w:val="00786355"/>
    <w:rsid w:val="00793173"/>
    <w:rsid w:val="007A4275"/>
    <w:rsid w:val="007A4E35"/>
    <w:rsid w:val="007C1459"/>
    <w:rsid w:val="007C1FCC"/>
    <w:rsid w:val="007C6201"/>
    <w:rsid w:val="007D1C02"/>
    <w:rsid w:val="007D7C92"/>
    <w:rsid w:val="007E0E9A"/>
    <w:rsid w:val="007E1154"/>
    <w:rsid w:val="007E273B"/>
    <w:rsid w:val="007E450E"/>
    <w:rsid w:val="007F3003"/>
    <w:rsid w:val="007F41F8"/>
    <w:rsid w:val="007F45F1"/>
    <w:rsid w:val="007F5B5C"/>
    <w:rsid w:val="00800129"/>
    <w:rsid w:val="008031A7"/>
    <w:rsid w:val="0080454E"/>
    <w:rsid w:val="00804C32"/>
    <w:rsid w:val="00805305"/>
    <w:rsid w:val="008061ED"/>
    <w:rsid w:val="00806302"/>
    <w:rsid w:val="00807119"/>
    <w:rsid w:val="0082483F"/>
    <w:rsid w:val="008279C0"/>
    <w:rsid w:val="008322B4"/>
    <w:rsid w:val="008341AC"/>
    <w:rsid w:val="008400B1"/>
    <w:rsid w:val="00844C35"/>
    <w:rsid w:val="00851C2E"/>
    <w:rsid w:val="00853827"/>
    <w:rsid w:val="00854E48"/>
    <w:rsid w:val="008574FB"/>
    <w:rsid w:val="008628F3"/>
    <w:rsid w:val="00863BEF"/>
    <w:rsid w:val="008723F3"/>
    <w:rsid w:val="00874E9C"/>
    <w:rsid w:val="00875307"/>
    <w:rsid w:val="00875974"/>
    <w:rsid w:val="00881DE6"/>
    <w:rsid w:val="008837A6"/>
    <w:rsid w:val="0088468C"/>
    <w:rsid w:val="00887A7E"/>
    <w:rsid w:val="008911D7"/>
    <w:rsid w:val="0089145D"/>
    <w:rsid w:val="008917DC"/>
    <w:rsid w:val="0089590A"/>
    <w:rsid w:val="008A6CFE"/>
    <w:rsid w:val="008B5333"/>
    <w:rsid w:val="008B6223"/>
    <w:rsid w:val="008B665D"/>
    <w:rsid w:val="008B6777"/>
    <w:rsid w:val="008B7232"/>
    <w:rsid w:val="008C15FC"/>
    <w:rsid w:val="008C32F7"/>
    <w:rsid w:val="008C66E0"/>
    <w:rsid w:val="008D29D8"/>
    <w:rsid w:val="008E3339"/>
    <w:rsid w:val="008F20FC"/>
    <w:rsid w:val="008F43B7"/>
    <w:rsid w:val="008F5417"/>
    <w:rsid w:val="008F6301"/>
    <w:rsid w:val="00905A43"/>
    <w:rsid w:val="00912C79"/>
    <w:rsid w:val="009146B6"/>
    <w:rsid w:val="009229A5"/>
    <w:rsid w:val="00934FA8"/>
    <w:rsid w:val="00942123"/>
    <w:rsid w:val="00945537"/>
    <w:rsid w:val="0095207B"/>
    <w:rsid w:val="00955126"/>
    <w:rsid w:val="00961982"/>
    <w:rsid w:val="00962045"/>
    <w:rsid w:val="00966074"/>
    <w:rsid w:val="00991428"/>
    <w:rsid w:val="00991F35"/>
    <w:rsid w:val="00992676"/>
    <w:rsid w:val="0099453F"/>
    <w:rsid w:val="009968D7"/>
    <w:rsid w:val="009A0596"/>
    <w:rsid w:val="009A3DA3"/>
    <w:rsid w:val="009B0723"/>
    <w:rsid w:val="009B07AD"/>
    <w:rsid w:val="009B0883"/>
    <w:rsid w:val="009B15E2"/>
    <w:rsid w:val="009B2932"/>
    <w:rsid w:val="009B642C"/>
    <w:rsid w:val="009C0B8E"/>
    <w:rsid w:val="009C1BC8"/>
    <w:rsid w:val="009C2442"/>
    <w:rsid w:val="009C4521"/>
    <w:rsid w:val="009D0811"/>
    <w:rsid w:val="009D0EE1"/>
    <w:rsid w:val="009E1027"/>
    <w:rsid w:val="009E2AEB"/>
    <w:rsid w:val="009E2E27"/>
    <w:rsid w:val="009E2E2B"/>
    <w:rsid w:val="009E4DE3"/>
    <w:rsid w:val="009F51E7"/>
    <w:rsid w:val="009F552B"/>
    <w:rsid w:val="009F6A25"/>
    <w:rsid w:val="00A005FC"/>
    <w:rsid w:val="00A047EE"/>
    <w:rsid w:val="00A060F8"/>
    <w:rsid w:val="00A07683"/>
    <w:rsid w:val="00A16824"/>
    <w:rsid w:val="00A213D2"/>
    <w:rsid w:val="00A2274A"/>
    <w:rsid w:val="00A235B7"/>
    <w:rsid w:val="00A407EF"/>
    <w:rsid w:val="00A458BE"/>
    <w:rsid w:val="00A46B4C"/>
    <w:rsid w:val="00A5117B"/>
    <w:rsid w:val="00A54909"/>
    <w:rsid w:val="00A60074"/>
    <w:rsid w:val="00A61426"/>
    <w:rsid w:val="00A6627C"/>
    <w:rsid w:val="00A71019"/>
    <w:rsid w:val="00A81029"/>
    <w:rsid w:val="00A8362F"/>
    <w:rsid w:val="00A83A2F"/>
    <w:rsid w:val="00A90C5C"/>
    <w:rsid w:val="00A919F3"/>
    <w:rsid w:val="00A93FDE"/>
    <w:rsid w:val="00A96489"/>
    <w:rsid w:val="00A97725"/>
    <w:rsid w:val="00AA300E"/>
    <w:rsid w:val="00AB1B7B"/>
    <w:rsid w:val="00AB1CE2"/>
    <w:rsid w:val="00AB4427"/>
    <w:rsid w:val="00AB4A13"/>
    <w:rsid w:val="00AB6753"/>
    <w:rsid w:val="00AB685C"/>
    <w:rsid w:val="00AB6C2D"/>
    <w:rsid w:val="00AC3839"/>
    <w:rsid w:val="00AC57A0"/>
    <w:rsid w:val="00AC7082"/>
    <w:rsid w:val="00AD089E"/>
    <w:rsid w:val="00AD6A7D"/>
    <w:rsid w:val="00AE324A"/>
    <w:rsid w:val="00AE7325"/>
    <w:rsid w:val="00AF228E"/>
    <w:rsid w:val="00AF588E"/>
    <w:rsid w:val="00AF6048"/>
    <w:rsid w:val="00AF76AE"/>
    <w:rsid w:val="00B0411A"/>
    <w:rsid w:val="00B14819"/>
    <w:rsid w:val="00B16F3A"/>
    <w:rsid w:val="00B17AA9"/>
    <w:rsid w:val="00B27C2D"/>
    <w:rsid w:val="00B31EAC"/>
    <w:rsid w:val="00B561A1"/>
    <w:rsid w:val="00B6057E"/>
    <w:rsid w:val="00B718A5"/>
    <w:rsid w:val="00B72AE1"/>
    <w:rsid w:val="00B736DF"/>
    <w:rsid w:val="00B74FBD"/>
    <w:rsid w:val="00B77918"/>
    <w:rsid w:val="00B82586"/>
    <w:rsid w:val="00B865EE"/>
    <w:rsid w:val="00B86D10"/>
    <w:rsid w:val="00B86DB1"/>
    <w:rsid w:val="00B87869"/>
    <w:rsid w:val="00B93978"/>
    <w:rsid w:val="00B97B49"/>
    <w:rsid w:val="00BA2B32"/>
    <w:rsid w:val="00BA5DB0"/>
    <w:rsid w:val="00BA676E"/>
    <w:rsid w:val="00BA6FA6"/>
    <w:rsid w:val="00BB0F2B"/>
    <w:rsid w:val="00BB4FB4"/>
    <w:rsid w:val="00BD1FDF"/>
    <w:rsid w:val="00BE1E4A"/>
    <w:rsid w:val="00BE1EC3"/>
    <w:rsid w:val="00BE6F8B"/>
    <w:rsid w:val="00BF1C6F"/>
    <w:rsid w:val="00BF4FB9"/>
    <w:rsid w:val="00BF50F7"/>
    <w:rsid w:val="00C02F29"/>
    <w:rsid w:val="00C053F7"/>
    <w:rsid w:val="00C106E0"/>
    <w:rsid w:val="00C1752F"/>
    <w:rsid w:val="00C22A25"/>
    <w:rsid w:val="00C33C6C"/>
    <w:rsid w:val="00C35001"/>
    <w:rsid w:val="00C35671"/>
    <w:rsid w:val="00C35B77"/>
    <w:rsid w:val="00C36FD1"/>
    <w:rsid w:val="00C376EB"/>
    <w:rsid w:val="00C43EBF"/>
    <w:rsid w:val="00C44456"/>
    <w:rsid w:val="00C46EC1"/>
    <w:rsid w:val="00C53409"/>
    <w:rsid w:val="00C53E2C"/>
    <w:rsid w:val="00C550C8"/>
    <w:rsid w:val="00C56200"/>
    <w:rsid w:val="00C606C3"/>
    <w:rsid w:val="00C61A49"/>
    <w:rsid w:val="00C72848"/>
    <w:rsid w:val="00C7736C"/>
    <w:rsid w:val="00C827BF"/>
    <w:rsid w:val="00C82D87"/>
    <w:rsid w:val="00C857E1"/>
    <w:rsid w:val="00C8712A"/>
    <w:rsid w:val="00C925ED"/>
    <w:rsid w:val="00C963D3"/>
    <w:rsid w:val="00CB2CBB"/>
    <w:rsid w:val="00CB33FF"/>
    <w:rsid w:val="00CB3E1F"/>
    <w:rsid w:val="00CB7CAC"/>
    <w:rsid w:val="00CC5335"/>
    <w:rsid w:val="00CC5BA4"/>
    <w:rsid w:val="00CD4998"/>
    <w:rsid w:val="00CD5816"/>
    <w:rsid w:val="00CE1035"/>
    <w:rsid w:val="00CE491E"/>
    <w:rsid w:val="00CF061F"/>
    <w:rsid w:val="00CF090F"/>
    <w:rsid w:val="00CF2819"/>
    <w:rsid w:val="00CF33C6"/>
    <w:rsid w:val="00CF4F9D"/>
    <w:rsid w:val="00CF70DC"/>
    <w:rsid w:val="00CF74F9"/>
    <w:rsid w:val="00D072AB"/>
    <w:rsid w:val="00D104E4"/>
    <w:rsid w:val="00D148DC"/>
    <w:rsid w:val="00D15605"/>
    <w:rsid w:val="00D17FDC"/>
    <w:rsid w:val="00D2242B"/>
    <w:rsid w:val="00D32955"/>
    <w:rsid w:val="00D34183"/>
    <w:rsid w:val="00D37054"/>
    <w:rsid w:val="00D473B4"/>
    <w:rsid w:val="00D565BF"/>
    <w:rsid w:val="00D63EFD"/>
    <w:rsid w:val="00D8298D"/>
    <w:rsid w:val="00D84752"/>
    <w:rsid w:val="00D86B3B"/>
    <w:rsid w:val="00D8748A"/>
    <w:rsid w:val="00D93196"/>
    <w:rsid w:val="00D9428E"/>
    <w:rsid w:val="00DA412D"/>
    <w:rsid w:val="00DA47CF"/>
    <w:rsid w:val="00DA4A4B"/>
    <w:rsid w:val="00DB243C"/>
    <w:rsid w:val="00DB482A"/>
    <w:rsid w:val="00DB56F2"/>
    <w:rsid w:val="00DB6EF5"/>
    <w:rsid w:val="00DC0391"/>
    <w:rsid w:val="00DC3089"/>
    <w:rsid w:val="00DC4420"/>
    <w:rsid w:val="00DD0802"/>
    <w:rsid w:val="00DD2C87"/>
    <w:rsid w:val="00DD2E11"/>
    <w:rsid w:val="00DE03AF"/>
    <w:rsid w:val="00DE121C"/>
    <w:rsid w:val="00DE485B"/>
    <w:rsid w:val="00DE6633"/>
    <w:rsid w:val="00DE6BB4"/>
    <w:rsid w:val="00DF4FF8"/>
    <w:rsid w:val="00DF6084"/>
    <w:rsid w:val="00DF75F8"/>
    <w:rsid w:val="00DF7A3A"/>
    <w:rsid w:val="00E00C00"/>
    <w:rsid w:val="00E01C9F"/>
    <w:rsid w:val="00E07C5A"/>
    <w:rsid w:val="00E15BA9"/>
    <w:rsid w:val="00E23485"/>
    <w:rsid w:val="00E26E19"/>
    <w:rsid w:val="00E37812"/>
    <w:rsid w:val="00E4204D"/>
    <w:rsid w:val="00E450A4"/>
    <w:rsid w:val="00E506BE"/>
    <w:rsid w:val="00E53CB0"/>
    <w:rsid w:val="00E55547"/>
    <w:rsid w:val="00E55645"/>
    <w:rsid w:val="00E62340"/>
    <w:rsid w:val="00E62CE3"/>
    <w:rsid w:val="00E6302B"/>
    <w:rsid w:val="00E644D1"/>
    <w:rsid w:val="00E6452F"/>
    <w:rsid w:val="00E64700"/>
    <w:rsid w:val="00E64F45"/>
    <w:rsid w:val="00E6742D"/>
    <w:rsid w:val="00E71CB0"/>
    <w:rsid w:val="00E74D17"/>
    <w:rsid w:val="00E7767D"/>
    <w:rsid w:val="00E77C3D"/>
    <w:rsid w:val="00E909F0"/>
    <w:rsid w:val="00E93044"/>
    <w:rsid w:val="00E93993"/>
    <w:rsid w:val="00EA0913"/>
    <w:rsid w:val="00EB29E8"/>
    <w:rsid w:val="00EB45AC"/>
    <w:rsid w:val="00ED0BC4"/>
    <w:rsid w:val="00ED55AC"/>
    <w:rsid w:val="00EE391C"/>
    <w:rsid w:val="00EE4971"/>
    <w:rsid w:val="00EE744D"/>
    <w:rsid w:val="00EF090E"/>
    <w:rsid w:val="00F033DA"/>
    <w:rsid w:val="00F22F1A"/>
    <w:rsid w:val="00F27CD8"/>
    <w:rsid w:val="00F30351"/>
    <w:rsid w:val="00F3323E"/>
    <w:rsid w:val="00F341F4"/>
    <w:rsid w:val="00F3535B"/>
    <w:rsid w:val="00F35CCE"/>
    <w:rsid w:val="00F377DB"/>
    <w:rsid w:val="00F37A47"/>
    <w:rsid w:val="00F44220"/>
    <w:rsid w:val="00F5524B"/>
    <w:rsid w:val="00F5667C"/>
    <w:rsid w:val="00F571EE"/>
    <w:rsid w:val="00F61DD2"/>
    <w:rsid w:val="00F631DE"/>
    <w:rsid w:val="00F66AFF"/>
    <w:rsid w:val="00F71433"/>
    <w:rsid w:val="00F7747F"/>
    <w:rsid w:val="00F92DCC"/>
    <w:rsid w:val="00F97C5B"/>
    <w:rsid w:val="00FA3D50"/>
    <w:rsid w:val="00FA3D5F"/>
    <w:rsid w:val="00FA44AB"/>
    <w:rsid w:val="00FA7171"/>
    <w:rsid w:val="00FB5FD5"/>
    <w:rsid w:val="00FC374A"/>
    <w:rsid w:val="00FC7B47"/>
    <w:rsid w:val="00FD035C"/>
    <w:rsid w:val="00FD1A35"/>
    <w:rsid w:val="00FD2A6D"/>
    <w:rsid w:val="00FD36C5"/>
    <w:rsid w:val="00FD4095"/>
    <w:rsid w:val="00FD6310"/>
    <w:rsid w:val="00FD7C7B"/>
    <w:rsid w:val="00FE1D12"/>
    <w:rsid w:val="00FE2122"/>
    <w:rsid w:val="00FE2A86"/>
    <w:rsid w:val="00FE7F44"/>
    <w:rsid w:val="00FF011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1639">
      <w:bodyDiv w:val="1"/>
      <w:marLeft w:val="0"/>
      <w:marRight w:val="0"/>
      <w:marTop w:val="0"/>
      <w:marBottom w:val="0"/>
      <w:divBdr>
        <w:top w:val="none" w:sz="0" w:space="0" w:color="auto"/>
        <w:left w:val="none" w:sz="0" w:space="0" w:color="auto"/>
        <w:bottom w:val="none" w:sz="0" w:space="0" w:color="auto"/>
        <w:right w:val="none" w:sz="0" w:space="0" w:color="auto"/>
      </w:divBdr>
    </w:div>
    <w:div w:id="142352291">
      <w:bodyDiv w:val="1"/>
      <w:marLeft w:val="0"/>
      <w:marRight w:val="0"/>
      <w:marTop w:val="0"/>
      <w:marBottom w:val="0"/>
      <w:divBdr>
        <w:top w:val="none" w:sz="0" w:space="0" w:color="auto"/>
        <w:left w:val="none" w:sz="0" w:space="0" w:color="auto"/>
        <w:bottom w:val="none" w:sz="0" w:space="0" w:color="auto"/>
        <w:right w:val="none" w:sz="0" w:space="0" w:color="auto"/>
      </w:divBdr>
    </w:div>
    <w:div w:id="144009533">
      <w:bodyDiv w:val="1"/>
      <w:marLeft w:val="0"/>
      <w:marRight w:val="0"/>
      <w:marTop w:val="0"/>
      <w:marBottom w:val="0"/>
      <w:divBdr>
        <w:top w:val="none" w:sz="0" w:space="0" w:color="auto"/>
        <w:left w:val="none" w:sz="0" w:space="0" w:color="auto"/>
        <w:bottom w:val="none" w:sz="0" w:space="0" w:color="auto"/>
        <w:right w:val="none" w:sz="0" w:space="0" w:color="auto"/>
      </w:divBdr>
    </w:div>
    <w:div w:id="25351723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641426203">
      <w:bodyDiv w:val="1"/>
      <w:marLeft w:val="0"/>
      <w:marRight w:val="0"/>
      <w:marTop w:val="0"/>
      <w:marBottom w:val="0"/>
      <w:divBdr>
        <w:top w:val="none" w:sz="0" w:space="0" w:color="auto"/>
        <w:left w:val="none" w:sz="0" w:space="0" w:color="auto"/>
        <w:bottom w:val="none" w:sz="0" w:space="0" w:color="auto"/>
        <w:right w:val="none" w:sz="0" w:space="0" w:color="auto"/>
      </w:divBdr>
    </w:div>
    <w:div w:id="67620082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9367516">
      <w:bodyDiv w:val="1"/>
      <w:marLeft w:val="0"/>
      <w:marRight w:val="0"/>
      <w:marTop w:val="0"/>
      <w:marBottom w:val="0"/>
      <w:divBdr>
        <w:top w:val="none" w:sz="0" w:space="0" w:color="auto"/>
        <w:left w:val="none" w:sz="0" w:space="0" w:color="auto"/>
        <w:bottom w:val="none" w:sz="0" w:space="0" w:color="auto"/>
        <w:right w:val="none" w:sz="0" w:space="0" w:color="auto"/>
      </w:divBdr>
    </w:div>
    <w:div w:id="915014988">
      <w:bodyDiv w:val="1"/>
      <w:marLeft w:val="0"/>
      <w:marRight w:val="0"/>
      <w:marTop w:val="0"/>
      <w:marBottom w:val="0"/>
      <w:divBdr>
        <w:top w:val="none" w:sz="0" w:space="0" w:color="auto"/>
        <w:left w:val="none" w:sz="0" w:space="0" w:color="auto"/>
        <w:bottom w:val="none" w:sz="0" w:space="0" w:color="auto"/>
        <w:right w:val="none" w:sz="0" w:space="0" w:color="auto"/>
      </w:divBdr>
    </w:div>
    <w:div w:id="918950841">
      <w:bodyDiv w:val="1"/>
      <w:marLeft w:val="0"/>
      <w:marRight w:val="0"/>
      <w:marTop w:val="0"/>
      <w:marBottom w:val="0"/>
      <w:divBdr>
        <w:top w:val="none" w:sz="0" w:space="0" w:color="auto"/>
        <w:left w:val="none" w:sz="0" w:space="0" w:color="auto"/>
        <w:bottom w:val="none" w:sz="0" w:space="0" w:color="auto"/>
        <w:right w:val="none" w:sz="0" w:space="0" w:color="auto"/>
      </w:divBdr>
    </w:div>
    <w:div w:id="959533177">
      <w:bodyDiv w:val="1"/>
      <w:marLeft w:val="0"/>
      <w:marRight w:val="0"/>
      <w:marTop w:val="0"/>
      <w:marBottom w:val="0"/>
      <w:divBdr>
        <w:top w:val="none" w:sz="0" w:space="0" w:color="auto"/>
        <w:left w:val="none" w:sz="0" w:space="0" w:color="auto"/>
        <w:bottom w:val="none" w:sz="0" w:space="0" w:color="auto"/>
        <w:right w:val="none" w:sz="0" w:space="0" w:color="auto"/>
      </w:divBdr>
    </w:div>
    <w:div w:id="1008293900">
      <w:bodyDiv w:val="1"/>
      <w:marLeft w:val="0"/>
      <w:marRight w:val="0"/>
      <w:marTop w:val="0"/>
      <w:marBottom w:val="0"/>
      <w:divBdr>
        <w:top w:val="none" w:sz="0" w:space="0" w:color="auto"/>
        <w:left w:val="none" w:sz="0" w:space="0" w:color="auto"/>
        <w:bottom w:val="none" w:sz="0" w:space="0" w:color="auto"/>
        <w:right w:val="none" w:sz="0" w:space="0" w:color="auto"/>
      </w:divBdr>
    </w:div>
    <w:div w:id="1411847031">
      <w:bodyDiv w:val="1"/>
      <w:marLeft w:val="0"/>
      <w:marRight w:val="0"/>
      <w:marTop w:val="0"/>
      <w:marBottom w:val="0"/>
      <w:divBdr>
        <w:top w:val="none" w:sz="0" w:space="0" w:color="auto"/>
        <w:left w:val="none" w:sz="0" w:space="0" w:color="auto"/>
        <w:bottom w:val="none" w:sz="0" w:space="0" w:color="auto"/>
        <w:right w:val="none" w:sz="0" w:space="0" w:color="auto"/>
      </w:divBdr>
    </w:div>
    <w:div w:id="1432898274">
      <w:bodyDiv w:val="1"/>
      <w:marLeft w:val="0"/>
      <w:marRight w:val="0"/>
      <w:marTop w:val="0"/>
      <w:marBottom w:val="0"/>
      <w:divBdr>
        <w:top w:val="none" w:sz="0" w:space="0" w:color="auto"/>
        <w:left w:val="none" w:sz="0" w:space="0" w:color="auto"/>
        <w:bottom w:val="none" w:sz="0" w:space="0" w:color="auto"/>
        <w:right w:val="none" w:sz="0" w:space="0" w:color="auto"/>
      </w:divBdr>
    </w:div>
    <w:div w:id="1596129315">
      <w:bodyDiv w:val="1"/>
      <w:marLeft w:val="0"/>
      <w:marRight w:val="0"/>
      <w:marTop w:val="0"/>
      <w:marBottom w:val="0"/>
      <w:divBdr>
        <w:top w:val="none" w:sz="0" w:space="0" w:color="auto"/>
        <w:left w:val="none" w:sz="0" w:space="0" w:color="auto"/>
        <w:bottom w:val="none" w:sz="0" w:space="0" w:color="auto"/>
        <w:right w:val="none" w:sz="0" w:space="0" w:color="auto"/>
      </w:divBdr>
    </w:div>
    <w:div w:id="1616709576">
      <w:bodyDiv w:val="1"/>
      <w:marLeft w:val="0"/>
      <w:marRight w:val="0"/>
      <w:marTop w:val="0"/>
      <w:marBottom w:val="0"/>
      <w:divBdr>
        <w:top w:val="none" w:sz="0" w:space="0" w:color="auto"/>
        <w:left w:val="none" w:sz="0" w:space="0" w:color="auto"/>
        <w:bottom w:val="none" w:sz="0" w:space="0" w:color="auto"/>
        <w:right w:val="none" w:sz="0" w:space="0" w:color="auto"/>
      </w:divBdr>
    </w:div>
    <w:div w:id="1809088086">
      <w:bodyDiv w:val="1"/>
      <w:marLeft w:val="0"/>
      <w:marRight w:val="0"/>
      <w:marTop w:val="0"/>
      <w:marBottom w:val="0"/>
      <w:divBdr>
        <w:top w:val="none" w:sz="0" w:space="0" w:color="auto"/>
        <w:left w:val="none" w:sz="0" w:space="0" w:color="auto"/>
        <w:bottom w:val="none" w:sz="0" w:space="0" w:color="auto"/>
        <w:right w:val="none" w:sz="0" w:space="0" w:color="auto"/>
      </w:divBdr>
    </w:div>
    <w:div w:id="1858083034">
      <w:bodyDiv w:val="1"/>
      <w:marLeft w:val="0"/>
      <w:marRight w:val="0"/>
      <w:marTop w:val="0"/>
      <w:marBottom w:val="0"/>
      <w:divBdr>
        <w:top w:val="none" w:sz="0" w:space="0" w:color="auto"/>
        <w:left w:val="none" w:sz="0" w:space="0" w:color="auto"/>
        <w:bottom w:val="none" w:sz="0" w:space="0" w:color="auto"/>
        <w:right w:val="none" w:sz="0" w:space="0" w:color="auto"/>
      </w:divBdr>
    </w:div>
    <w:div w:id="1872306170">
      <w:bodyDiv w:val="1"/>
      <w:marLeft w:val="0"/>
      <w:marRight w:val="0"/>
      <w:marTop w:val="0"/>
      <w:marBottom w:val="0"/>
      <w:divBdr>
        <w:top w:val="none" w:sz="0" w:space="0" w:color="auto"/>
        <w:left w:val="none" w:sz="0" w:space="0" w:color="auto"/>
        <w:bottom w:val="none" w:sz="0" w:space="0" w:color="auto"/>
        <w:right w:val="none" w:sz="0" w:space="0" w:color="auto"/>
      </w:divBdr>
    </w:div>
    <w:div w:id="1877541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3901531">
      <w:bodyDiv w:val="1"/>
      <w:marLeft w:val="0"/>
      <w:marRight w:val="0"/>
      <w:marTop w:val="0"/>
      <w:marBottom w:val="0"/>
      <w:divBdr>
        <w:top w:val="none" w:sz="0" w:space="0" w:color="auto"/>
        <w:left w:val="none" w:sz="0" w:space="0" w:color="auto"/>
        <w:bottom w:val="none" w:sz="0" w:space="0" w:color="auto"/>
        <w:right w:val="none" w:sz="0" w:space="0" w:color="auto"/>
      </w:divBdr>
    </w:div>
    <w:div w:id="2098014818">
      <w:bodyDiv w:val="1"/>
      <w:marLeft w:val="0"/>
      <w:marRight w:val="0"/>
      <w:marTop w:val="0"/>
      <w:marBottom w:val="0"/>
      <w:divBdr>
        <w:top w:val="none" w:sz="0" w:space="0" w:color="auto"/>
        <w:left w:val="none" w:sz="0" w:space="0" w:color="auto"/>
        <w:bottom w:val="none" w:sz="0" w:space="0" w:color="auto"/>
        <w:right w:val="none" w:sz="0" w:space="0" w:color="auto"/>
      </w:divBdr>
    </w:div>
    <w:div w:id="2122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1</b:Tag>
    <b:SourceType>BookSection</b:SourceType>
    <b:Guid>{DC967793-346C-4189-8CF9-29EA1E23C12F}</b:Guid>
    <b:Author>
      <b:Author>
        <b:Corporate>INSOL INTERNATIONAL</b:Corporate>
      </b:Author>
    </b:Author>
    <b:RefOrder>1</b:RefOrder>
  </b:Source>
</b:Sources>
</file>

<file path=customXml/itemProps1.xml><?xml version="1.0" encoding="utf-8"?>
<ds:datastoreItem xmlns:ds="http://schemas.openxmlformats.org/officeDocument/2006/customXml" ds:itemID="{D56058D4-6233-44E3-9C68-3BF34B41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18</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BENSON TEGU</cp:lastModifiedBy>
  <cp:revision>241</cp:revision>
  <cp:lastPrinted>2019-09-04T15:45:00Z</cp:lastPrinted>
  <dcterms:created xsi:type="dcterms:W3CDTF">2021-08-17T16:42:00Z</dcterms:created>
  <dcterms:modified xsi:type="dcterms:W3CDTF">2021-10-10T19:17:00Z</dcterms:modified>
</cp:coreProperties>
</file>