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2664F" w14:textId="77777777" w:rsidR="004B23A2" w:rsidRDefault="0007291B" w:rsidP="00524728">
      <w:pPr>
        <w:jc w:val="center"/>
        <w:rPr>
          <w:rFonts w:ascii="Arial" w:hAnsi="Arial" w:cs="Arial"/>
          <w:b/>
          <w:sz w:val="22"/>
          <w:szCs w:val="22"/>
          <w:lang w:val="en-GB"/>
        </w:rPr>
      </w:pPr>
      <w:r>
        <w:rPr>
          <w:rFonts w:ascii="Arial" w:hAnsi="Arial" w:cs="Arial"/>
          <w:b/>
          <w:noProof/>
          <w:sz w:val="22"/>
          <w:szCs w:val="22"/>
          <w:lang w:val="en-GB" w:eastAsia="zh-CN"/>
        </w:rPr>
        <w:drawing>
          <wp:inline distT="0" distB="0" distL="0" distR="0" wp14:anchorId="5EB8041E" wp14:editId="5482DD5F">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099371" name="FCIIL_Logo_FIN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BBBE0DB" w14:textId="77777777" w:rsidR="004B23A2" w:rsidRDefault="004B23A2" w:rsidP="00592F82">
      <w:pPr>
        <w:jc w:val="center"/>
        <w:rPr>
          <w:rFonts w:ascii="Arial" w:hAnsi="Arial" w:cs="Arial"/>
          <w:b/>
          <w:sz w:val="22"/>
          <w:szCs w:val="22"/>
          <w:lang w:val="en-GB"/>
        </w:rPr>
      </w:pPr>
    </w:p>
    <w:p w14:paraId="61AE0AA6" w14:textId="77777777" w:rsidR="00397D3A" w:rsidRDefault="00397D3A" w:rsidP="00592F82">
      <w:pPr>
        <w:jc w:val="center"/>
        <w:rPr>
          <w:rFonts w:ascii="Arial" w:hAnsi="Arial" w:cs="Arial"/>
          <w:b/>
          <w:sz w:val="22"/>
          <w:szCs w:val="22"/>
          <w:lang w:val="en-GB"/>
        </w:rPr>
      </w:pPr>
    </w:p>
    <w:p w14:paraId="6CDB5B04" w14:textId="77777777" w:rsidR="00437297" w:rsidRDefault="00437297" w:rsidP="00592F82">
      <w:pPr>
        <w:jc w:val="center"/>
        <w:rPr>
          <w:rFonts w:ascii="Arial" w:hAnsi="Arial" w:cs="Arial"/>
          <w:b/>
          <w:sz w:val="22"/>
          <w:szCs w:val="22"/>
          <w:lang w:val="en-GB"/>
        </w:rPr>
      </w:pPr>
    </w:p>
    <w:p w14:paraId="363FAB0E" w14:textId="77777777" w:rsidR="00437297" w:rsidRDefault="00437297" w:rsidP="00592F82">
      <w:pPr>
        <w:jc w:val="center"/>
        <w:rPr>
          <w:rFonts w:ascii="Arial" w:hAnsi="Arial" w:cs="Arial"/>
          <w:b/>
          <w:sz w:val="22"/>
          <w:szCs w:val="22"/>
          <w:lang w:val="en-GB"/>
        </w:rPr>
      </w:pPr>
    </w:p>
    <w:p w14:paraId="439202A4" w14:textId="77777777" w:rsidR="00397D3A" w:rsidRDefault="00397D3A" w:rsidP="00592F82">
      <w:pPr>
        <w:jc w:val="center"/>
        <w:rPr>
          <w:rFonts w:ascii="Arial" w:hAnsi="Arial" w:cs="Arial"/>
          <w:b/>
          <w:sz w:val="22"/>
          <w:szCs w:val="22"/>
          <w:lang w:val="en-GB"/>
        </w:rPr>
      </w:pPr>
    </w:p>
    <w:p w14:paraId="537C1D27" w14:textId="77777777" w:rsidR="00397D3A" w:rsidRDefault="00397D3A" w:rsidP="00592F82">
      <w:pPr>
        <w:jc w:val="center"/>
        <w:rPr>
          <w:rFonts w:ascii="Arial" w:hAnsi="Arial" w:cs="Arial"/>
          <w:b/>
          <w:sz w:val="22"/>
          <w:szCs w:val="22"/>
          <w:lang w:val="en-GB"/>
        </w:rPr>
      </w:pPr>
    </w:p>
    <w:p w14:paraId="5B773742" w14:textId="77777777" w:rsidR="00E93993" w:rsidRDefault="00E93993" w:rsidP="00592F82">
      <w:pPr>
        <w:jc w:val="center"/>
        <w:rPr>
          <w:rFonts w:ascii="Arial" w:hAnsi="Arial" w:cs="Arial"/>
          <w:b/>
          <w:sz w:val="22"/>
          <w:szCs w:val="22"/>
          <w:lang w:val="en-GB"/>
        </w:rPr>
      </w:pPr>
    </w:p>
    <w:p w14:paraId="078FD3DE" w14:textId="77777777" w:rsidR="00434A8C"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3BFACE9" w14:textId="77777777" w:rsidR="0011473D"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 xml:space="preserve">SUMMATIVE (FORMAL) </w:t>
      </w:r>
      <w:r w:rsidR="009D0811" w:rsidRPr="00F83F59">
        <w:rPr>
          <w:rFonts w:ascii="Arial" w:hAnsi="Arial" w:cs="Arial"/>
          <w:b/>
          <w:color w:val="000000" w:themeColor="text1"/>
          <w:sz w:val="28"/>
          <w:szCs w:val="28"/>
          <w:lang w:val="en-GB"/>
        </w:rPr>
        <w:t xml:space="preserve">ASSESSMENT: MODULE </w:t>
      </w:r>
      <w:r w:rsidR="00FF045E" w:rsidRPr="00F83F59">
        <w:rPr>
          <w:rFonts w:ascii="Arial" w:hAnsi="Arial" w:cs="Arial"/>
          <w:b/>
          <w:color w:val="000000" w:themeColor="text1"/>
          <w:sz w:val="28"/>
          <w:szCs w:val="28"/>
          <w:lang w:val="en-GB"/>
        </w:rPr>
        <w:t>8E</w:t>
      </w:r>
    </w:p>
    <w:p w14:paraId="5B594880" w14:textId="77777777" w:rsidR="002638B0" w:rsidRPr="00F83F59" w:rsidRDefault="002638B0"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0B3F38E2" w14:textId="77777777" w:rsidR="002638B0" w:rsidRPr="00F83F59" w:rsidRDefault="0007291B"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F83F59">
        <w:rPr>
          <w:rFonts w:ascii="Arial" w:hAnsi="Arial" w:cs="Arial"/>
          <w:b/>
          <w:color w:val="000000" w:themeColor="text1"/>
          <w:sz w:val="28"/>
          <w:szCs w:val="28"/>
          <w:lang w:val="en-GB"/>
        </w:rPr>
        <w:t>SINGAPORE</w:t>
      </w:r>
    </w:p>
    <w:p w14:paraId="1375FC8A" w14:textId="77777777" w:rsidR="00434A8C" w:rsidRPr="007C6201" w:rsidRDefault="00434A8C" w:rsidP="00EC6A6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3065E3B8" w14:textId="77777777" w:rsidR="009D0811" w:rsidRDefault="009D0811" w:rsidP="00592F82">
      <w:pPr>
        <w:jc w:val="center"/>
        <w:rPr>
          <w:rFonts w:ascii="Arial" w:hAnsi="Arial" w:cs="Arial"/>
          <w:b/>
          <w:sz w:val="22"/>
          <w:szCs w:val="22"/>
          <w:lang w:val="en-GB"/>
        </w:rPr>
      </w:pPr>
    </w:p>
    <w:p w14:paraId="4FDDDC6A" w14:textId="77777777" w:rsidR="00E93993" w:rsidRDefault="00E93993" w:rsidP="00592F82">
      <w:pPr>
        <w:jc w:val="center"/>
        <w:rPr>
          <w:rFonts w:ascii="Arial" w:hAnsi="Arial" w:cs="Arial"/>
          <w:b/>
          <w:sz w:val="22"/>
          <w:szCs w:val="22"/>
          <w:lang w:val="en-GB"/>
        </w:rPr>
      </w:pPr>
    </w:p>
    <w:p w14:paraId="0D5DAECB" w14:textId="77777777" w:rsidR="00397D3A" w:rsidRDefault="00397D3A" w:rsidP="00592F82">
      <w:pPr>
        <w:jc w:val="center"/>
        <w:rPr>
          <w:rFonts w:ascii="Arial" w:hAnsi="Arial" w:cs="Arial"/>
          <w:b/>
          <w:sz w:val="22"/>
          <w:szCs w:val="22"/>
          <w:lang w:val="en-GB"/>
        </w:rPr>
      </w:pPr>
    </w:p>
    <w:p w14:paraId="5E0764E1" w14:textId="77777777" w:rsidR="00397D3A" w:rsidRDefault="00397D3A" w:rsidP="00592F82">
      <w:pPr>
        <w:jc w:val="center"/>
        <w:rPr>
          <w:rFonts w:ascii="Arial" w:hAnsi="Arial" w:cs="Arial"/>
          <w:b/>
          <w:sz w:val="22"/>
          <w:szCs w:val="22"/>
          <w:lang w:val="en-GB"/>
        </w:rPr>
      </w:pPr>
    </w:p>
    <w:p w14:paraId="5CB60259" w14:textId="77777777" w:rsidR="00437297" w:rsidRDefault="00437297" w:rsidP="00592F82">
      <w:pPr>
        <w:jc w:val="center"/>
        <w:rPr>
          <w:rFonts w:ascii="Arial" w:hAnsi="Arial" w:cs="Arial"/>
          <w:b/>
          <w:sz w:val="22"/>
          <w:szCs w:val="22"/>
          <w:lang w:val="en-GB"/>
        </w:rPr>
      </w:pPr>
    </w:p>
    <w:p w14:paraId="4D84FEC7" w14:textId="77777777" w:rsidR="00397D3A" w:rsidRDefault="00397D3A" w:rsidP="00592F82">
      <w:pPr>
        <w:jc w:val="center"/>
        <w:rPr>
          <w:rFonts w:ascii="Arial" w:hAnsi="Arial" w:cs="Arial"/>
          <w:b/>
          <w:sz w:val="22"/>
          <w:szCs w:val="22"/>
          <w:lang w:val="en-GB"/>
        </w:rPr>
      </w:pPr>
    </w:p>
    <w:p w14:paraId="022EE818" w14:textId="77777777" w:rsidR="00397D3A" w:rsidRDefault="00397D3A" w:rsidP="00592F82">
      <w:pPr>
        <w:jc w:val="center"/>
        <w:rPr>
          <w:rFonts w:ascii="Arial" w:hAnsi="Arial" w:cs="Arial"/>
          <w:b/>
          <w:sz w:val="22"/>
          <w:szCs w:val="22"/>
          <w:lang w:val="en-GB"/>
        </w:rPr>
      </w:pPr>
    </w:p>
    <w:p w14:paraId="5C8AA55A"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DF65639" w14:textId="77777777" w:rsidR="004A2D83"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FF045E">
        <w:rPr>
          <w:rFonts w:ascii="Arial" w:hAnsi="Arial" w:cs="Arial"/>
          <w:b/>
          <w:color w:val="767171" w:themeColor="background2" w:themeShade="80"/>
          <w:sz w:val="22"/>
          <w:szCs w:val="22"/>
          <w:lang w:val="en-GB"/>
        </w:rPr>
        <w:t xml:space="preserve">8E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F83F59">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F83F59">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7E56A218"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5C95674E" w14:textId="77777777" w:rsidR="00A94F39" w:rsidRDefault="00A94F39"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AA90D73" w14:textId="77777777" w:rsidR="004A2D83" w:rsidRPr="00DB56F2" w:rsidRDefault="0007291B"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155A9">
        <w:rPr>
          <w:rFonts w:ascii="Arial" w:hAnsi="Arial" w:cs="Arial"/>
          <w:b/>
          <w:color w:val="767171" w:themeColor="background2" w:themeShade="80"/>
          <w:sz w:val="22"/>
          <w:szCs w:val="22"/>
          <w:lang w:val="en-GB"/>
        </w:rPr>
        <w:t>8E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7275E71D"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0304AC8" w14:textId="77777777" w:rsidR="00793173" w:rsidRDefault="00793173" w:rsidP="007C6201">
      <w:pPr>
        <w:jc w:val="both"/>
        <w:rPr>
          <w:rFonts w:ascii="Arial" w:hAnsi="Arial" w:cs="Arial"/>
          <w:b/>
          <w:sz w:val="22"/>
          <w:szCs w:val="22"/>
          <w:lang w:val="en-GB"/>
        </w:rPr>
      </w:pPr>
    </w:p>
    <w:p w14:paraId="47B1AF40" w14:textId="77777777" w:rsidR="00DB56F2" w:rsidRDefault="00DB56F2" w:rsidP="007C6201">
      <w:pPr>
        <w:jc w:val="both"/>
        <w:rPr>
          <w:rFonts w:ascii="Arial" w:hAnsi="Arial" w:cs="Arial"/>
          <w:b/>
          <w:sz w:val="22"/>
          <w:szCs w:val="22"/>
          <w:lang w:val="en-GB"/>
        </w:rPr>
      </w:pPr>
    </w:p>
    <w:p w14:paraId="069D06DD" w14:textId="77777777" w:rsidR="00397D3A" w:rsidRDefault="00397D3A" w:rsidP="007C6201">
      <w:pPr>
        <w:jc w:val="both"/>
        <w:rPr>
          <w:rFonts w:ascii="Arial" w:hAnsi="Arial" w:cs="Arial"/>
          <w:b/>
          <w:sz w:val="22"/>
          <w:szCs w:val="22"/>
          <w:lang w:val="en-GB"/>
        </w:rPr>
      </w:pPr>
    </w:p>
    <w:p w14:paraId="511D133E" w14:textId="77777777" w:rsidR="00397D3A" w:rsidRDefault="00397D3A" w:rsidP="007C6201">
      <w:pPr>
        <w:jc w:val="both"/>
        <w:rPr>
          <w:rFonts w:ascii="Arial" w:hAnsi="Arial" w:cs="Arial"/>
          <w:b/>
          <w:sz w:val="22"/>
          <w:szCs w:val="22"/>
          <w:lang w:val="en-GB"/>
        </w:rPr>
      </w:pPr>
    </w:p>
    <w:p w14:paraId="63780BE3" w14:textId="77777777" w:rsidR="00397D3A" w:rsidRDefault="00397D3A" w:rsidP="007C6201">
      <w:pPr>
        <w:jc w:val="both"/>
        <w:rPr>
          <w:rFonts w:ascii="Arial" w:hAnsi="Arial" w:cs="Arial"/>
          <w:b/>
          <w:sz w:val="22"/>
          <w:szCs w:val="22"/>
          <w:lang w:val="en-GB"/>
        </w:rPr>
      </w:pPr>
    </w:p>
    <w:p w14:paraId="0F6CDF8E" w14:textId="77777777" w:rsidR="00397D3A" w:rsidRDefault="00397D3A" w:rsidP="007C6201">
      <w:pPr>
        <w:jc w:val="both"/>
        <w:rPr>
          <w:rFonts w:ascii="Arial" w:hAnsi="Arial" w:cs="Arial"/>
          <w:b/>
          <w:sz w:val="22"/>
          <w:szCs w:val="22"/>
          <w:lang w:val="en-GB"/>
        </w:rPr>
      </w:pPr>
    </w:p>
    <w:p w14:paraId="5EC90720" w14:textId="77777777" w:rsidR="00397D3A" w:rsidRDefault="00397D3A" w:rsidP="007C6201">
      <w:pPr>
        <w:jc w:val="both"/>
        <w:rPr>
          <w:rFonts w:ascii="Arial" w:hAnsi="Arial" w:cs="Arial"/>
          <w:b/>
          <w:sz w:val="22"/>
          <w:szCs w:val="22"/>
          <w:lang w:val="en-GB"/>
        </w:rPr>
      </w:pPr>
    </w:p>
    <w:p w14:paraId="61234DD6" w14:textId="77777777" w:rsidR="00397D3A" w:rsidRDefault="00397D3A" w:rsidP="007C6201">
      <w:pPr>
        <w:jc w:val="both"/>
        <w:rPr>
          <w:rFonts w:ascii="Arial" w:hAnsi="Arial" w:cs="Arial"/>
          <w:b/>
          <w:sz w:val="22"/>
          <w:szCs w:val="22"/>
          <w:lang w:val="en-GB"/>
        </w:rPr>
      </w:pPr>
    </w:p>
    <w:p w14:paraId="226DE435" w14:textId="77777777" w:rsidR="00397D3A" w:rsidRDefault="00397D3A" w:rsidP="007C6201">
      <w:pPr>
        <w:jc w:val="both"/>
        <w:rPr>
          <w:rFonts w:ascii="Arial" w:hAnsi="Arial" w:cs="Arial"/>
          <w:b/>
          <w:sz w:val="22"/>
          <w:szCs w:val="22"/>
          <w:lang w:val="en-GB"/>
        </w:rPr>
      </w:pPr>
    </w:p>
    <w:p w14:paraId="6CD89A72" w14:textId="77777777" w:rsidR="00A94F39"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4CA9F569" w14:textId="77777777" w:rsidR="005C5B99" w:rsidRDefault="005C5B99" w:rsidP="009D0811">
      <w:pPr>
        <w:jc w:val="center"/>
        <w:rPr>
          <w:rFonts w:ascii="Arial" w:hAnsi="Arial" w:cs="Arial"/>
          <w:b/>
          <w:sz w:val="22"/>
          <w:szCs w:val="22"/>
          <w:u w:val="single"/>
          <w:lang w:val="en-GB"/>
        </w:rPr>
      </w:pPr>
    </w:p>
    <w:p w14:paraId="2F38897F" w14:textId="77777777" w:rsidR="005C5B99" w:rsidRDefault="005C5B99" w:rsidP="009D0811">
      <w:pPr>
        <w:jc w:val="center"/>
        <w:rPr>
          <w:rFonts w:ascii="Arial" w:hAnsi="Arial" w:cs="Arial"/>
          <w:b/>
          <w:sz w:val="22"/>
          <w:szCs w:val="22"/>
          <w:u w:val="single"/>
          <w:lang w:val="en-GB"/>
        </w:rPr>
      </w:pPr>
    </w:p>
    <w:p w14:paraId="26FFAA80" w14:textId="77777777" w:rsidR="005C5B99" w:rsidRDefault="005C5B99" w:rsidP="009D0811">
      <w:pPr>
        <w:jc w:val="center"/>
        <w:rPr>
          <w:rFonts w:ascii="Arial" w:hAnsi="Arial" w:cs="Arial"/>
          <w:b/>
          <w:sz w:val="22"/>
          <w:szCs w:val="22"/>
          <w:u w:val="single"/>
          <w:lang w:val="en-GB"/>
        </w:rPr>
      </w:pPr>
    </w:p>
    <w:p w14:paraId="6EE80064" w14:textId="77777777" w:rsidR="00AE43E0" w:rsidRPr="00592F82" w:rsidRDefault="00AE43E0" w:rsidP="00AE43E0">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5563FA82" w14:textId="77777777" w:rsidR="00AE43E0" w:rsidRPr="00592F82" w:rsidRDefault="00AE43E0" w:rsidP="00AE43E0">
      <w:pPr>
        <w:jc w:val="both"/>
        <w:rPr>
          <w:rFonts w:ascii="Arial" w:hAnsi="Arial" w:cs="Arial"/>
          <w:sz w:val="22"/>
          <w:szCs w:val="22"/>
          <w:lang w:val="en-GB"/>
        </w:rPr>
      </w:pPr>
    </w:p>
    <w:p w14:paraId="778E2291" w14:textId="77777777" w:rsidR="00AE43E0" w:rsidRDefault="00AE43E0" w:rsidP="00AE43E0">
      <w:pPr>
        <w:jc w:val="both"/>
        <w:rPr>
          <w:rFonts w:ascii="Arial" w:hAnsi="Arial" w:cs="Arial"/>
          <w:b/>
          <w:sz w:val="22"/>
          <w:szCs w:val="22"/>
          <w:lang w:val="en-GB"/>
        </w:rPr>
      </w:pPr>
    </w:p>
    <w:p w14:paraId="22D1109C" w14:textId="77777777" w:rsidR="00AE43E0" w:rsidRPr="001E23FD" w:rsidRDefault="00AE43E0" w:rsidP="00AE43E0">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4976F4EE" w14:textId="77777777" w:rsidR="00AE43E0" w:rsidRPr="001E23FD" w:rsidRDefault="00AE43E0" w:rsidP="00AE43E0">
      <w:pPr>
        <w:jc w:val="both"/>
        <w:rPr>
          <w:rFonts w:ascii="Arial" w:hAnsi="Arial" w:cs="Arial"/>
          <w:b/>
          <w:sz w:val="22"/>
          <w:szCs w:val="22"/>
          <w:lang w:val="en-GB"/>
        </w:rPr>
      </w:pPr>
    </w:p>
    <w:p w14:paraId="739F3A81" w14:textId="77777777" w:rsidR="00AE43E0" w:rsidRPr="001E23FD" w:rsidRDefault="00AE43E0" w:rsidP="00AE43E0">
      <w:pPr>
        <w:jc w:val="both"/>
        <w:rPr>
          <w:rFonts w:ascii="Arial" w:hAnsi="Arial" w:cs="Arial"/>
          <w:sz w:val="22"/>
          <w:szCs w:val="22"/>
          <w:lang w:val="en-GB"/>
        </w:rPr>
      </w:pPr>
    </w:p>
    <w:p w14:paraId="3E946438"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DD58DD6" w14:textId="77777777" w:rsidR="00AE43E0" w:rsidRPr="001E23FD" w:rsidRDefault="00AE43E0" w:rsidP="00AE43E0">
      <w:pPr>
        <w:ind w:left="720" w:hanging="720"/>
        <w:jc w:val="both"/>
        <w:rPr>
          <w:rFonts w:ascii="Arial" w:hAnsi="Arial" w:cs="Arial"/>
          <w:sz w:val="22"/>
          <w:szCs w:val="22"/>
          <w:lang w:val="en-GB"/>
        </w:rPr>
      </w:pPr>
    </w:p>
    <w:p w14:paraId="64AF2E3F"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F8E091E" w14:textId="77777777" w:rsidR="00AE43E0" w:rsidRPr="001E23FD" w:rsidRDefault="00AE43E0" w:rsidP="00AE43E0">
      <w:pPr>
        <w:ind w:left="720" w:hanging="720"/>
        <w:jc w:val="both"/>
        <w:rPr>
          <w:rFonts w:ascii="Arial" w:hAnsi="Arial" w:cs="Arial"/>
          <w:sz w:val="22"/>
          <w:szCs w:val="22"/>
          <w:lang w:val="en-GB"/>
        </w:rPr>
      </w:pPr>
    </w:p>
    <w:p w14:paraId="7700A2C1"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E70C4AA" w14:textId="77777777" w:rsidR="00AE43E0" w:rsidRPr="001E23FD" w:rsidRDefault="00AE43E0" w:rsidP="00AE43E0">
      <w:pPr>
        <w:ind w:left="720" w:hanging="720"/>
        <w:jc w:val="both"/>
        <w:rPr>
          <w:rFonts w:ascii="Arial" w:hAnsi="Arial" w:cs="Arial"/>
          <w:sz w:val="22"/>
          <w:szCs w:val="22"/>
          <w:lang w:val="en-GB"/>
        </w:rPr>
      </w:pPr>
    </w:p>
    <w:p w14:paraId="7735A604" w14:textId="724837B6"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8E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8E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02ED5D2" w14:textId="77777777" w:rsidR="00AE43E0" w:rsidRPr="001E23FD" w:rsidRDefault="00AE43E0" w:rsidP="00AE43E0">
      <w:pPr>
        <w:ind w:left="720" w:hanging="720"/>
        <w:jc w:val="both"/>
        <w:rPr>
          <w:rFonts w:ascii="Arial" w:hAnsi="Arial" w:cs="Arial"/>
          <w:sz w:val="22"/>
          <w:szCs w:val="22"/>
          <w:lang w:val="en-GB"/>
        </w:rPr>
      </w:pPr>
    </w:p>
    <w:p w14:paraId="7FCDC88E"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1493E5AD" w14:textId="77777777" w:rsidR="00AE43E0" w:rsidRPr="001E23FD" w:rsidRDefault="00AE43E0" w:rsidP="00AE43E0">
      <w:pPr>
        <w:ind w:left="720" w:hanging="720"/>
        <w:jc w:val="both"/>
        <w:rPr>
          <w:rFonts w:ascii="Arial" w:hAnsi="Arial" w:cs="Arial"/>
          <w:sz w:val="22"/>
          <w:szCs w:val="22"/>
          <w:lang w:val="en-GB"/>
        </w:rPr>
      </w:pPr>
    </w:p>
    <w:p w14:paraId="08DEDB84" w14:textId="77777777" w:rsidR="00AE43E0" w:rsidRPr="001E23FD" w:rsidRDefault="00AE43E0" w:rsidP="00AE43E0">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8981D3C" w14:textId="77777777" w:rsidR="00AE43E0" w:rsidRPr="001E23FD" w:rsidRDefault="00AE43E0" w:rsidP="00AE43E0">
      <w:pPr>
        <w:ind w:left="720" w:hanging="720"/>
        <w:jc w:val="both"/>
        <w:rPr>
          <w:rFonts w:ascii="Arial" w:hAnsi="Arial" w:cs="Arial"/>
          <w:sz w:val="22"/>
          <w:szCs w:val="22"/>
          <w:lang w:val="en-GB"/>
        </w:rPr>
      </w:pPr>
    </w:p>
    <w:p w14:paraId="06A1981E" w14:textId="2EA66F2C" w:rsidR="004A2D83" w:rsidRPr="00592F82" w:rsidRDefault="00AE43E0" w:rsidP="00AE43E0">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00555ACB" w14:textId="77777777" w:rsidR="00F3323E" w:rsidRPr="00592F82" w:rsidRDefault="00F3323E" w:rsidP="00592F82">
      <w:pPr>
        <w:ind w:left="720" w:hanging="720"/>
        <w:jc w:val="both"/>
        <w:rPr>
          <w:rFonts w:ascii="Arial" w:hAnsi="Arial" w:cs="Arial"/>
          <w:sz w:val="22"/>
          <w:szCs w:val="22"/>
          <w:lang w:val="en-GB"/>
        </w:rPr>
      </w:pPr>
    </w:p>
    <w:p w14:paraId="6588D172" w14:textId="77777777" w:rsidR="00F3323E" w:rsidRPr="00592F82" w:rsidRDefault="00F3323E" w:rsidP="00592F82">
      <w:pPr>
        <w:ind w:left="720" w:hanging="720"/>
        <w:jc w:val="both"/>
        <w:rPr>
          <w:rFonts w:ascii="Arial" w:hAnsi="Arial" w:cs="Arial"/>
          <w:sz w:val="22"/>
          <w:szCs w:val="22"/>
          <w:lang w:val="en-GB"/>
        </w:rPr>
      </w:pPr>
    </w:p>
    <w:p w14:paraId="4CD7E8FE" w14:textId="77777777" w:rsidR="00223CAE" w:rsidRDefault="0007291B">
      <w:pPr>
        <w:rPr>
          <w:rFonts w:ascii="Arial" w:hAnsi="Arial" w:cs="Arial"/>
          <w:b/>
          <w:sz w:val="22"/>
          <w:szCs w:val="22"/>
          <w:u w:val="single"/>
          <w:lang w:val="en-GB"/>
        </w:rPr>
      </w:pPr>
      <w:r>
        <w:rPr>
          <w:rFonts w:ascii="Arial" w:hAnsi="Arial" w:cs="Arial"/>
          <w:b/>
          <w:sz w:val="22"/>
          <w:szCs w:val="22"/>
          <w:u w:val="single"/>
          <w:lang w:val="en-GB"/>
        </w:rPr>
        <w:br w:type="page"/>
      </w:r>
    </w:p>
    <w:p w14:paraId="121233B0" w14:textId="77777777" w:rsidR="00F3323E" w:rsidRPr="00B9639B" w:rsidRDefault="0007291B"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5F55B17D" w14:textId="77777777" w:rsidR="00F3323E" w:rsidRPr="00B9639B" w:rsidRDefault="00F3323E" w:rsidP="00B9639B">
      <w:pPr>
        <w:ind w:left="720" w:hanging="720"/>
        <w:jc w:val="both"/>
        <w:rPr>
          <w:rFonts w:ascii="Arial" w:hAnsi="Arial" w:cs="Arial"/>
          <w:sz w:val="22"/>
          <w:szCs w:val="22"/>
          <w:lang w:val="en-GB"/>
        </w:rPr>
      </w:pPr>
    </w:p>
    <w:p w14:paraId="7586FE58" w14:textId="77777777" w:rsidR="005D43E0" w:rsidRPr="00B9639B" w:rsidRDefault="0007291B" w:rsidP="00B9639B">
      <w:pPr>
        <w:jc w:val="both"/>
        <w:rPr>
          <w:rFonts w:ascii="Arial" w:hAnsi="Arial" w:cs="Arial"/>
          <w:b/>
          <w:sz w:val="22"/>
          <w:szCs w:val="22"/>
          <w:lang w:val="en-GB"/>
        </w:rPr>
      </w:pPr>
      <w:r w:rsidRPr="00B9639B">
        <w:rPr>
          <w:rFonts w:ascii="Arial" w:hAnsi="Arial" w:cs="Arial"/>
          <w:b/>
          <w:sz w:val="22"/>
          <w:szCs w:val="22"/>
          <w:lang w:val="en-GB"/>
        </w:rPr>
        <w:t>QUESTION 1 (multiple-choice questions) [10 marks</w:t>
      </w:r>
      <w:r w:rsidR="00D17FDC" w:rsidRPr="00B9639B">
        <w:rPr>
          <w:rFonts w:ascii="Arial" w:hAnsi="Arial" w:cs="Arial"/>
          <w:b/>
          <w:sz w:val="22"/>
          <w:szCs w:val="22"/>
          <w:lang w:val="en-GB"/>
        </w:rPr>
        <w:t xml:space="preserve"> in total</w:t>
      </w:r>
      <w:r w:rsidRPr="00B9639B">
        <w:rPr>
          <w:rFonts w:ascii="Arial" w:hAnsi="Arial" w:cs="Arial"/>
          <w:b/>
          <w:sz w:val="22"/>
          <w:szCs w:val="22"/>
          <w:lang w:val="en-GB"/>
        </w:rPr>
        <w:t>]</w:t>
      </w:r>
    </w:p>
    <w:p w14:paraId="56D8726C" w14:textId="77777777" w:rsidR="00F3323E" w:rsidRPr="00B9639B" w:rsidRDefault="00F3323E" w:rsidP="00B9639B">
      <w:pPr>
        <w:ind w:left="720" w:hanging="720"/>
        <w:jc w:val="both"/>
        <w:rPr>
          <w:rFonts w:ascii="Arial" w:hAnsi="Arial" w:cs="Arial"/>
          <w:sz w:val="22"/>
          <w:szCs w:val="22"/>
          <w:lang w:val="en-GB"/>
        </w:rPr>
      </w:pPr>
    </w:p>
    <w:p w14:paraId="48AA8E32" w14:textId="77777777" w:rsidR="005D43E0" w:rsidRPr="00B9639B" w:rsidRDefault="0007291B"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521E02C2" w14:textId="77777777" w:rsidR="00AF228E" w:rsidRPr="00B9639B" w:rsidRDefault="00AF228E" w:rsidP="00C55824">
      <w:pPr>
        <w:autoSpaceDE w:val="0"/>
        <w:autoSpaceDN w:val="0"/>
        <w:adjustRightInd w:val="0"/>
        <w:jc w:val="both"/>
        <w:rPr>
          <w:rFonts w:ascii="Arial" w:hAnsi="Arial" w:cs="Arial"/>
          <w:sz w:val="22"/>
          <w:szCs w:val="22"/>
        </w:rPr>
      </w:pPr>
    </w:p>
    <w:p w14:paraId="645CAA36"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1FABC5F" w14:textId="77777777" w:rsidR="00E9597C" w:rsidRPr="00B9639B" w:rsidRDefault="00E9597C" w:rsidP="00C55824">
      <w:pPr>
        <w:jc w:val="both"/>
        <w:rPr>
          <w:rFonts w:ascii="Arial" w:hAnsi="Arial" w:cs="Arial"/>
          <w:sz w:val="22"/>
          <w:szCs w:val="22"/>
        </w:rPr>
      </w:pPr>
    </w:p>
    <w:p w14:paraId="1B1971CA" w14:textId="269DDEFC" w:rsidR="00867701" w:rsidRDefault="002B2F9F"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851178">
        <w:rPr>
          <w:rFonts w:ascii="Arial" w:hAnsi="Arial" w:cs="Arial"/>
          <w:b/>
          <w:bCs/>
          <w:sz w:val="22"/>
          <w:szCs w:val="22"/>
          <w:lang w:val="en-GB"/>
        </w:rPr>
        <w:t>is not</w:t>
      </w:r>
      <w:r>
        <w:rPr>
          <w:rFonts w:ascii="Arial" w:hAnsi="Arial" w:cs="Arial"/>
          <w:sz w:val="22"/>
          <w:szCs w:val="22"/>
          <w:lang w:val="en-GB"/>
        </w:rPr>
        <w:t xml:space="preserve"> one of the objectives of the IRDA</w:t>
      </w:r>
      <w:r w:rsidR="0007291B" w:rsidRPr="006D2BBF">
        <w:rPr>
          <w:rFonts w:ascii="Arial" w:hAnsi="Arial" w:cs="Arial"/>
          <w:sz w:val="22"/>
          <w:szCs w:val="22"/>
          <w:lang w:val="en-GB"/>
        </w:rPr>
        <w:t>?</w:t>
      </w:r>
    </w:p>
    <w:p w14:paraId="3A2F0DBA" w14:textId="77777777" w:rsidR="00876F56" w:rsidRPr="006D2BBF" w:rsidRDefault="00876F56" w:rsidP="00C55824">
      <w:pPr>
        <w:jc w:val="both"/>
        <w:rPr>
          <w:rFonts w:ascii="Arial" w:hAnsi="Arial" w:cs="Arial"/>
          <w:sz w:val="22"/>
          <w:szCs w:val="22"/>
          <w:lang w:val="en-GB"/>
        </w:rPr>
      </w:pPr>
    </w:p>
    <w:p w14:paraId="3A2E6D04" w14:textId="5B1E13AB" w:rsidR="00867701" w:rsidRDefault="00851178"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To e</w:t>
      </w:r>
      <w:r w:rsidR="002B2F9F" w:rsidRPr="00851178">
        <w:rPr>
          <w:rFonts w:ascii="Arial" w:hAnsi="Arial" w:cs="Arial"/>
          <w:sz w:val="22"/>
          <w:szCs w:val="22"/>
          <w:lang w:val="en-GB"/>
        </w:rPr>
        <w:t>stablish a regulatory regime for insolvency practitioners</w:t>
      </w:r>
      <w:r w:rsidR="00E95C42" w:rsidRPr="00851178">
        <w:rPr>
          <w:rFonts w:ascii="Arial" w:hAnsi="Arial" w:cs="Arial"/>
          <w:sz w:val="22"/>
          <w:szCs w:val="22"/>
          <w:lang w:val="en-GB"/>
        </w:rPr>
        <w:t>.</w:t>
      </w:r>
    </w:p>
    <w:p w14:paraId="2BE5792A" w14:textId="77777777" w:rsidR="00831582" w:rsidRPr="00831582" w:rsidRDefault="00831582" w:rsidP="00831582">
      <w:pPr>
        <w:jc w:val="both"/>
        <w:rPr>
          <w:rFonts w:ascii="Arial" w:hAnsi="Arial" w:cs="Arial"/>
          <w:sz w:val="22"/>
          <w:szCs w:val="22"/>
          <w:lang w:val="en-GB"/>
        </w:rPr>
      </w:pPr>
    </w:p>
    <w:p w14:paraId="22190121" w14:textId="771ACC26" w:rsidR="00867701" w:rsidRDefault="00831582" w:rsidP="00BE65AA">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To </w:t>
      </w:r>
      <w:r w:rsidR="002B2F9F" w:rsidRPr="00851178">
        <w:rPr>
          <w:rFonts w:ascii="Arial" w:hAnsi="Arial" w:cs="Arial"/>
          <w:sz w:val="22"/>
          <w:szCs w:val="22"/>
          <w:lang w:val="en-GB"/>
        </w:rPr>
        <w:t>introduce a new omnibus legislation that consolidates the personal and corporate insolvency and restructuring laws</w:t>
      </w:r>
      <w:r w:rsidR="00E95C42" w:rsidRPr="00851178">
        <w:rPr>
          <w:rFonts w:ascii="Arial" w:hAnsi="Arial" w:cs="Arial"/>
          <w:sz w:val="22"/>
          <w:szCs w:val="22"/>
          <w:lang w:val="en-GB"/>
        </w:rPr>
        <w:t>.</w:t>
      </w:r>
    </w:p>
    <w:p w14:paraId="5A16C038" w14:textId="77777777" w:rsidR="00831582" w:rsidRPr="00831582" w:rsidRDefault="00831582" w:rsidP="00831582">
      <w:pPr>
        <w:jc w:val="both"/>
        <w:rPr>
          <w:rFonts w:ascii="Arial" w:hAnsi="Arial" w:cs="Arial"/>
          <w:sz w:val="22"/>
          <w:szCs w:val="22"/>
          <w:lang w:val="en-GB"/>
        </w:rPr>
      </w:pPr>
    </w:p>
    <w:p w14:paraId="344D1E30" w14:textId="6FF4ECED" w:rsidR="00867701" w:rsidRPr="00440C42" w:rsidRDefault="002B2F9F" w:rsidP="00BE65AA">
      <w:pPr>
        <w:pStyle w:val="ListParagraph"/>
        <w:numPr>
          <w:ilvl w:val="0"/>
          <w:numId w:val="4"/>
        </w:numPr>
        <w:ind w:left="426"/>
        <w:jc w:val="both"/>
        <w:rPr>
          <w:rFonts w:ascii="Arial" w:hAnsi="Arial" w:cs="Arial"/>
          <w:sz w:val="22"/>
          <w:szCs w:val="22"/>
          <w:highlight w:val="yellow"/>
          <w:lang w:val="en-GB"/>
        </w:rPr>
      </w:pPr>
      <w:r w:rsidRPr="00440C42">
        <w:rPr>
          <w:rFonts w:ascii="Arial" w:hAnsi="Arial" w:cs="Arial"/>
          <w:sz w:val="22"/>
          <w:szCs w:val="22"/>
          <w:highlight w:val="yellow"/>
          <w:lang w:val="en-GB"/>
        </w:rPr>
        <w:t>Adoption of the UNCITRAL Model Law on Cross-Border Insolvency</w:t>
      </w:r>
      <w:r w:rsidR="00E95C42" w:rsidRPr="00440C42">
        <w:rPr>
          <w:rFonts w:ascii="Arial" w:hAnsi="Arial" w:cs="Arial"/>
          <w:sz w:val="22"/>
          <w:szCs w:val="22"/>
          <w:highlight w:val="yellow"/>
          <w:lang w:val="en-GB"/>
        </w:rPr>
        <w:t>.</w:t>
      </w:r>
    </w:p>
    <w:p w14:paraId="223227E0" w14:textId="77777777" w:rsidR="00831582" w:rsidRPr="00831582" w:rsidRDefault="00831582" w:rsidP="00831582">
      <w:pPr>
        <w:jc w:val="both"/>
        <w:rPr>
          <w:rFonts w:ascii="Arial" w:hAnsi="Arial" w:cs="Arial"/>
          <w:sz w:val="22"/>
          <w:szCs w:val="22"/>
          <w:lang w:val="en-GB"/>
        </w:rPr>
      </w:pPr>
    </w:p>
    <w:p w14:paraId="4CAB62DA" w14:textId="45EA3253" w:rsidR="005B79F4" w:rsidRPr="00851178" w:rsidRDefault="00831582" w:rsidP="00BE65AA">
      <w:pPr>
        <w:pStyle w:val="ListParagraph"/>
        <w:numPr>
          <w:ilvl w:val="0"/>
          <w:numId w:val="4"/>
        </w:numPr>
        <w:ind w:left="426"/>
        <w:jc w:val="both"/>
        <w:rPr>
          <w:rFonts w:ascii="Arial" w:hAnsi="Arial" w:cs="Arial"/>
          <w:sz w:val="22"/>
          <w:szCs w:val="22"/>
        </w:rPr>
      </w:pPr>
      <w:r>
        <w:rPr>
          <w:rFonts w:ascii="Arial" w:hAnsi="Arial" w:cs="Arial"/>
          <w:sz w:val="22"/>
          <w:szCs w:val="22"/>
          <w:lang w:val="en-GB"/>
        </w:rPr>
        <w:t>To e</w:t>
      </w:r>
      <w:r w:rsidR="002B2F9F" w:rsidRPr="00851178">
        <w:rPr>
          <w:rFonts w:ascii="Arial" w:hAnsi="Arial" w:cs="Arial"/>
          <w:sz w:val="22"/>
          <w:szCs w:val="22"/>
          <w:lang w:val="en-GB"/>
        </w:rPr>
        <w:t>nhance Singapore’s insolvency and restructuring laws</w:t>
      </w:r>
      <w:r w:rsidR="002B2F9F" w:rsidRPr="00851178" w:rsidDel="002B2F9F">
        <w:rPr>
          <w:rFonts w:ascii="Arial" w:hAnsi="Arial" w:cs="Arial"/>
          <w:sz w:val="22"/>
          <w:szCs w:val="22"/>
          <w:lang w:val="en-GB"/>
        </w:rPr>
        <w:t xml:space="preserve"> </w:t>
      </w:r>
      <w:r w:rsidR="00E95C42" w:rsidRPr="00851178">
        <w:rPr>
          <w:rFonts w:ascii="Arial" w:hAnsi="Arial" w:cs="Arial"/>
          <w:sz w:val="22"/>
          <w:szCs w:val="22"/>
          <w:lang w:val="en-GB"/>
        </w:rPr>
        <w:t>.</w:t>
      </w:r>
    </w:p>
    <w:p w14:paraId="580E634B" w14:textId="77777777" w:rsidR="002B2F9F" w:rsidRDefault="002B2F9F" w:rsidP="00C55824">
      <w:pPr>
        <w:jc w:val="both"/>
        <w:rPr>
          <w:rFonts w:ascii="Arial" w:hAnsi="Arial" w:cs="Arial"/>
          <w:b/>
          <w:bCs/>
          <w:sz w:val="22"/>
          <w:szCs w:val="22"/>
        </w:rPr>
      </w:pPr>
    </w:p>
    <w:p w14:paraId="65FC2AF2" w14:textId="7F2F63A3"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1.2</w:t>
      </w:r>
    </w:p>
    <w:p w14:paraId="16087962" w14:textId="77777777" w:rsidR="00E9597C" w:rsidRPr="00B9639B" w:rsidRDefault="00E9597C" w:rsidP="00C55824">
      <w:pPr>
        <w:jc w:val="both"/>
        <w:rPr>
          <w:rFonts w:ascii="Arial" w:hAnsi="Arial" w:cs="Arial"/>
          <w:sz w:val="22"/>
          <w:szCs w:val="22"/>
        </w:rPr>
      </w:pPr>
    </w:p>
    <w:p w14:paraId="5E25548E" w14:textId="08FD9ACC" w:rsidR="00867701" w:rsidRDefault="0007291B" w:rsidP="00C55824">
      <w:pPr>
        <w:jc w:val="both"/>
        <w:rPr>
          <w:rFonts w:ascii="Arial" w:hAnsi="Arial" w:cs="Arial"/>
          <w:sz w:val="22"/>
          <w:szCs w:val="22"/>
          <w:lang w:val="en-GB"/>
        </w:rPr>
      </w:pPr>
      <w:r w:rsidRPr="00EA6F96">
        <w:rPr>
          <w:rFonts w:ascii="Arial" w:hAnsi="Arial" w:cs="Arial"/>
          <w:sz w:val="22"/>
          <w:szCs w:val="22"/>
          <w:lang w:val="en-GB"/>
        </w:rPr>
        <w:t>Who may app</w:t>
      </w:r>
      <w:r w:rsidR="00784E9B" w:rsidRPr="00EA6F96">
        <w:rPr>
          <w:rFonts w:ascii="Arial" w:hAnsi="Arial" w:cs="Arial"/>
          <w:sz w:val="22"/>
          <w:szCs w:val="22"/>
          <w:lang w:val="en-GB"/>
        </w:rPr>
        <w:t>ly</w:t>
      </w:r>
      <w:r w:rsidR="00784E9B">
        <w:rPr>
          <w:rFonts w:ascii="Arial" w:hAnsi="Arial" w:cs="Arial"/>
          <w:sz w:val="22"/>
          <w:szCs w:val="22"/>
          <w:lang w:val="en-GB"/>
        </w:rPr>
        <w:t xml:space="preserve"> to court to</w:t>
      </w:r>
      <w:r w:rsidR="00C041E8">
        <w:rPr>
          <w:rFonts w:ascii="Arial" w:hAnsi="Arial" w:cs="Arial"/>
          <w:sz w:val="22"/>
          <w:szCs w:val="22"/>
          <w:lang w:val="en-GB"/>
        </w:rPr>
        <w:t xml:space="preserve"> stay or</w:t>
      </w:r>
      <w:r w:rsidR="00784E9B">
        <w:rPr>
          <w:rFonts w:ascii="Arial" w:hAnsi="Arial" w:cs="Arial"/>
          <w:sz w:val="22"/>
          <w:szCs w:val="22"/>
          <w:lang w:val="en-GB"/>
        </w:rPr>
        <w:t xml:space="preserve"> </w:t>
      </w:r>
      <w:r w:rsidR="00C041E8">
        <w:rPr>
          <w:rFonts w:ascii="Arial" w:hAnsi="Arial" w:cs="Arial"/>
          <w:sz w:val="22"/>
          <w:szCs w:val="22"/>
          <w:lang w:val="en-GB"/>
        </w:rPr>
        <w:t>terminate the winding up of a Company?</w:t>
      </w:r>
    </w:p>
    <w:p w14:paraId="5929AF04" w14:textId="77777777" w:rsidR="00876F56" w:rsidRPr="006D2BBF" w:rsidRDefault="00876F56" w:rsidP="00C55824">
      <w:pPr>
        <w:jc w:val="both"/>
        <w:rPr>
          <w:rFonts w:ascii="Arial" w:hAnsi="Arial" w:cs="Arial"/>
          <w:sz w:val="22"/>
          <w:szCs w:val="22"/>
          <w:lang w:val="en-GB"/>
        </w:rPr>
      </w:pPr>
    </w:p>
    <w:p w14:paraId="2F2C07B8" w14:textId="3E42A2AA"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w:t>
      </w:r>
      <w:r w:rsidR="001A4484" w:rsidRPr="000F0B79">
        <w:rPr>
          <w:rFonts w:ascii="Arial" w:hAnsi="Arial" w:cs="Arial"/>
          <w:sz w:val="22"/>
          <w:szCs w:val="22"/>
          <w:lang w:val="en-GB"/>
        </w:rPr>
        <w:t xml:space="preserve"> </w:t>
      </w:r>
      <w:r w:rsidR="00784E9B" w:rsidRPr="000F0B79">
        <w:rPr>
          <w:rFonts w:ascii="Arial" w:hAnsi="Arial" w:cs="Arial"/>
          <w:sz w:val="22"/>
          <w:szCs w:val="22"/>
          <w:lang w:val="en-GB"/>
        </w:rPr>
        <w:t>creditor</w:t>
      </w:r>
      <w:r w:rsidR="0007291B" w:rsidRPr="000F0B79">
        <w:rPr>
          <w:rFonts w:ascii="Arial" w:hAnsi="Arial" w:cs="Arial"/>
          <w:sz w:val="22"/>
          <w:szCs w:val="22"/>
          <w:lang w:val="en-GB"/>
        </w:rPr>
        <w:t>.</w:t>
      </w:r>
    </w:p>
    <w:p w14:paraId="1D672788" w14:textId="77777777" w:rsidR="000F0B79" w:rsidRPr="00EA6F96" w:rsidRDefault="000F0B79" w:rsidP="00EA6F96">
      <w:pPr>
        <w:jc w:val="both"/>
        <w:rPr>
          <w:rFonts w:ascii="Arial" w:hAnsi="Arial" w:cs="Arial"/>
          <w:sz w:val="22"/>
          <w:szCs w:val="22"/>
          <w:lang w:val="en-GB"/>
        </w:rPr>
      </w:pPr>
    </w:p>
    <w:p w14:paraId="4730DA76" w14:textId="196442BB" w:rsidR="00867701" w:rsidRDefault="00C041E8"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A contributory</w:t>
      </w:r>
      <w:r w:rsidR="0007291B" w:rsidRPr="000F0B79">
        <w:rPr>
          <w:rFonts w:ascii="Arial" w:hAnsi="Arial" w:cs="Arial"/>
          <w:sz w:val="22"/>
          <w:szCs w:val="22"/>
          <w:lang w:val="en-GB"/>
        </w:rPr>
        <w:t>.</w:t>
      </w:r>
    </w:p>
    <w:p w14:paraId="3660CDDC" w14:textId="77777777" w:rsidR="000F0B79" w:rsidRPr="00EA6F96" w:rsidRDefault="000F0B79" w:rsidP="00EA6F96">
      <w:pPr>
        <w:jc w:val="both"/>
        <w:rPr>
          <w:rFonts w:ascii="Arial" w:hAnsi="Arial" w:cs="Arial"/>
          <w:sz w:val="22"/>
          <w:szCs w:val="22"/>
          <w:lang w:val="en-GB"/>
        </w:rPr>
      </w:pPr>
    </w:p>
    <w:p w14:paraId="3839B8AF" w14:textId="3AC6472A" w:rsidR="00867701" w:rsidRDefault="0007291B" w:rsidP="00BE65AA">
      <w:pPr>
        <w:pStyle w:val="ListParagraph"/>
        <w:numPr>
          <w:ilvl w:val="0"/>
          <w:numId w:val="5"/>
        </w:numPr>
        <w:ind w:left="426"/>
        <w:jc w:val="both"/>
        <w:rPr>
          <w:rFonts w:ascii="Arial" w:hAnsi="Arial" w:cs="Arial"/>
          <w:sz w:val="22"/>
          <w:szCs w:val="22"/>
          <w:lang w:val="en-GB"/>
        </w:rPr>
      </w:pPr>
      <w:r w:rsidRPr="000F0B79">
        <w:rPr>
          <w:rFonts w:ascii="Arial" w:hAnsi="Arial" w:cs="Arial"/>
          <w:sz w:val="22"/>
          <w:szCs w:val="22"/>
          <w:lang w:val="en-GB"/>
        </w:rPr>
        <w:t>T</w:t>
      </w:r>
      <w:r w:rsidR="00C041E8" w:rsidRPr="000F0B79">
        <w:rPr>
          <w:rFonts w:ascii="Arial" w:hAnsi="Arial" w:cs="Arial"/>
          <w:sz w:val="22"/>
          <w:szCs w:val="22"/>
          <w:lang w:val="en-GB"/>
        </w:rPr>
        <w:t>he liquidator</w:t>
      </w:r>
      <w:r w:rsidRPr="000F0B79">
        <w:rPr>
          <w:rFonts w:ascii="Arial" w:hAnsi="Arial" w:cs="Arial"/>
          <w:sz w:val="22"/>
          <w:szCs w:val="22"/>
          <w:lang w:val="en-GB"/>
        </w:rPr>
        <w:t>.</w:t>
      </w:r>
    </w:p>
    <w:p w14:paraId="63A4F2B8" w14:textId="77777777" w:rsidR="000F0B79" w:rsidRPr="00EA6F96" w:rsidRDefault="000F0B79" w:rsidP="00EA6F96">
      <w:pPr>
        <w:jc w:val="both"/>
        <w:rPr>
          <w:rFonts w:ascii="Arial" w:hAnsi="Arial" w:cs="Arial"/>
          <w:sz w:val="22"/>
          <w:szCs w:val="22"/>
          <w:lang w:val="en-GB"/>
        </w:rPr>
      </w:pPr>
    </w:p>
    <w:p w14:paraId="196EE6EC" w14:textId="77777777" w:rsidR="00867701" w:rsidRPr="00857E26" w:rsidRDefault="0007291B" w:rsidP="00BE65AA">
      <w:pPr>
        <w:pStyle w:val="ListParagraph"/>
        <w:numPr>
          <w:ilvl w:val="0"/>
          <w:numId w:val="5"/>
        </w:numPr>
        <w:ind w:left="426"/>
        <w:jc w:val="both"/>
        <w:rPr>
          <w:rFonts w:ascii="Arial" w:hAnsi="Arial" w:cs="Arial"/>
          <w:sz w:val="22"/>
          <w:szCs w:val="22"/>
          <w:highlight w:val="yellow"/>
          <w:lang w:val="en-GB"/>
        </w:rPr>
      </w:pPr>
      <w:r w:rsidRPr="00857E26">
        <w:rPr>
          <w:rFonts w:ascii="Arial" w:hAnsi="Arial" w:cs="Arial"/>
          <w:sz w:val="22"/>
          <w:szCs w:val="22"/>
          <w:highlight w:val="yellow"/>
          <w:lang w:val="en-GB"/>
        </w:rPr>
        <w:t>A</w:t>
      </w:r>
      <w:r w:rsidR="001A4484" w:rsidRPr="00857E26">
        <w:rPr>
          <w:rFonts w:ascii="Arial" w:hAnsi="Arial" w:cs="Arial"/>
          <w:sz w:val="22"/>
          <w:szCs w:val="22"/>
          <w:highlight w:val="yellow"/>
          <w:lang w:val="en-GB"/>
        </w:rPr>
        <w:t>ny of the above</w:t>
      </w:r>
      <w:r w:rsidRPr="00857E26">
        <w:rPr>
          <w:rFonts w:ascii="Arial" w:hAnsi="Arial" w:cs="Arial"/>
          <w:sz w:val="22"/>
          <w:szCs w:val="22"/>
          <w:highlight w:val="yellow"/>
          <w:lang w:val="en-GB"/>
        </w:rPr>
        <w:t>.</w:t>
      </w:r>
    </w:p>
    <w:p w14:paraId="4E9D9AF0" w14:textId="77777777" w:rsidR="005B79F4" w:rsidRDefault="005B79F4" w:rsidP="00C55824">
      <w:pPr>
        <w:ind w:left="66"/>
        <w:jc w:val="both"/>
        <w:rPr>
          <w:rFonts w:ascii="Arial" w:hAnsi="Arial" w:cs="Arial"/>
          <w:iCs/>
          <w:sz w:val="22"/>
          <w:szCs w:val="22"/>
          <w:lang w:val="en-GB"/>
        </w:rPr>
      </w:pPr>
    </w:p>
    <w:p w14:paraId="0F4DD3AA" w14:textId="77777777" w:rsidR="00E9597C" w:rsidRPr="00B9639B" w:rsidRDefault="0007291B" w:rsidP="00C55824">
      <w:pPr>
        <w:jc w:val="both"/>
        <w:rPr>
          <w:rFonts w:ascii="Arial" w:hAnsi="Arial" w:cs="Arial"/>
          <w:b/>
          <w:bCs/>
          <w:sz w:val="22"/>
          <w:szCs w:val="22"/>
        </w:rPr>
      </w:pPr>
      <w:r w:rsidRPr="00B9639B">
        <w:rPr>
          <w:rFonts w:ascii="Arial" w:hAnsi="Arial" w:cs="Arial"/>
          <w:b/>
          <w:bCs/>
          <w:sz w:val="22"/>
          <w:szCs w:val="22"/>
        </w:rPr>
        <w:t>Question 1.3</w:t>
      </w:r>
    </w:p>
    <w:p w14:paraId="37BDD881" w14:textId="77777777" w:rsidR="00E9597C" w:rsidRPr="00B9639B" w:rsidRDefault="00E9597C" w:rsidP="00C55824">
      <w:pPr>
        <w:jc w:val="both"/>
        <w:rPr>
          <w:rFonts w:ascii="Arial" w:hAnsi="Arial" w:cs="Arial"/>
          <w:sz w:val="22"/>
          <w:szCs w:val="22"/>
        </w:rPr>
      </w:pPr>
    </w:p>
    <w:p w14:paraId="0927AC1A" w14:textId="5444FC2B" w:rsidR="00867701" w:rsidRDefault="00FC32B6" w:rsidP="00C55824">
      <w:pPr>
        <w:jc w:val="both"/>
        <w:rPr>
          <w:rFonts w:ascii="Arial" w:hAnsi="Arial" w:cs="Arial"/>
          <w:sz w:val="22"/>
          <w:szCs w:val="22"/>
          <w:lang w:val="en-GB"/>
        </w:rPr>
      </w:pPr>
      <w:r>
        <w:rPr>
          <w:rFonts w:ascii="Arial" w:hAnsi="Arial" w:cs="Arial"/>
          <w:sz w:val="22"/>
          <w:szCs w:val="22"/>
          <w:lang w:val="en-GB"/>
        </w:rPr>
        <w:t>Which of the following factors may enable a foreign debtor to establish a “substantial connection” to Singapore</w:t>
      </w:r>
      <w:r w:rsidR="0007291B" w:rsidRPr="006D2BBF">
        <w:rPr>
          <w:rFonts w:ascii="Arial" w:hAnsi="Arial" w:cs="Arial"/>
          <w:sz w:val="22"/>
          <w:szCs w:val="22"/>
          <w:lang w:val="en-GB"/>
        </w:rPr>
        <w:t>?</w:t>
      </w:r>
    </w:p>
    <w:p w14:paraId="52020FC0" w14:textId="77777777" w:rsidR="00C55824" w:rsidRPr="006D2BBF" w:rsidRDefault="00C55824" w:rsidP="00C55824">
      <w:pPr>
        <w:jc w:val="both"/>
        <w:rPr>
          <w:rFonts w:ascii="Arial" w:hAnsi="Arial" w:cs="Arial"/>
          <w:sz w:val="22"/>
          <w:szCs w:val="22"/>
          <w:lang w:val="en-GB"/>
        </w:rPr>
      </w:pPr>
    </w:p>
    <w:p w14:paraId="7B826637" w14:textId="28543AE7"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chosen Singapore law as the law governing a loan or other transaction</w:t>
      </w:r>
      <w:r>
        <w:rPr>
          <w:rFonts w:ascii="Arial" w:hAnsi="Arial" w:cs="Arial"/>
          <w:sz w:val="22"/>
          <w:szCs w:val="22"/>
          <w:lang w:val="en-GB"/>
        </w:rPr>
        <w:t>.</w:t>
      </w:r>
    </w:p>
    <w:p w14:paraId="42647BBF" w14:textId="77777777" w:rsidR="00EA6F96" w:rsidRPr="00EA6F96" w:rsidRDefault="00EA6F96" w:rsidP="00EA6F96">
      <w:pPr>
        <w:ind w:left="66"/>
        <w:jc w:val="both"/>
        <w:rPr>
          <w:rFonts w:ascii="Arial" w:hAnsi="Arial" w:cs="Arial"/>
          <w:sz w:val="22"/>
          <w:szCs w:val="22"/>
          <w:lang w:val="en-GB"/>
        </w:rPr>
      </w:pPr>
    </w:p>
    <w:p w14:paraId="54984AE8" w14:textId="23EC2156"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centre of main interests of the debtor is located in Singapore</w:t>
      </w:r>
      <w:r>
        <w:rPr>
          <w:rFonts w:ascii="Arial" w:hAnsi="Arial" w:cs="Arial"/>
          <w:sz w:val="22"/>
          <w:szCs w:val="22"/>
          <w:lang w:val="en-GB"/>
        </w:rPr>
        <w:t>.</w:t>
      </w:r>
    </w:p>
    <w:p w14:paraId="34C796A4" w14:textId="77777777" w:rsidR="00EA6F96" w:rsidRPr="00EA6F96" w:rsidRDefault="00EA6F96" w:rsidP="00EA6F96">
      <w:pPr>
        <w:ind w:left="66"/>
        <w:jc w:val="both"/>
        <w:rPr>
          <w:rFonts w:ascii="Arial" w:hAnsi="Arial" w:cs="Arial"/>
          <w:sz w:val="22"/>
          <w:szCs w:val="22"/>
          <w:lang w:val="en-GB"/>
        </w:rPr>
      </w:pPr>
    </w:p>
    <w:p w14:paraId="717E9B17" w14:textId="67EAE678" w:rsidR="00867701" w:rsidRDefault="00EA6F96" w:rsidP="00BE65AA">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T</w:t>
      </w:r>
      <w:r w:rsidR="00FC32B6" w:rsidRPr="00FC32B6">
        <w:rPr>
          <w:rFonts w:ascii="Arial" w:hAnsi="Arial" w:cs="Arial"/>
          <w:sz w:val="22"/>
          <w:szCs w:val="22"/>
          <w:lang w:val="en-GB"/>
        </w:rPr>
        <w:t>he debtor has substantial assets in Singapore</w:t>
      </w:r>
      <w:r>
        <w:rPr>
          <w:rFonts w:ascii="Arial" w:hAnsi="Arial" w:cs="Arial"/>
          <w:sz w:val="22"/>
          <w:szCs w:val="22"/>
          <w:lang w:val="en-GB"/>
        </w:rPr>
        <w:t>.</w:t>
      </w:r>
    </w:p>
    <w:p w14:paraId="39988214" w14:textId="77777777" w:rsidR="00EA6F96" w:rsidRPr="00EA6F96" w:rsidRDefault="00EA6F96" w:rsidP="00EA6F96">
      <w:pPr>
        <w:ind w:left="66"/>
        <w:jc w:val="both"/>
        <w:rPr>
          <w:rFonts w:ascii="Arial" w:hAnsi="Arial" w:cs="Arial"/>
          <w:sz w:val="22"/>
          <w:szCs w:val="22"/>
          <w:lang w:val="en-GB"/>
        </w:rPr>
      </w:pPr>
    </w:p>
    <w:p w14:paraId="2110C861" w14:textId="6F14706B" w:rsidR="00867701" w:rsidRPr="00857E26" w:rsidRDefault="00FC32B6" w:rsidP="00BE65AA">
      <w:pPr>
        <w:pStyle w:val="ListParagraph"/>
        <w:numPr>
          <w:ilvl w:val="0"/>
          <w:numId w:val="6"/>
        </w:numPr>
        <w:ind w:left="426"/>
        <w:jc w:val="both"/>
        <w:rPr>
          <w:rFonts w:ascii="Arial" w:hAnsi="Arial" w:cs="Arial"/>
          <w:sz w:val="22"/>
          <w:szCs w:val="22"/>
          <w:highlight w:val="yellow"/>
          <w:lang w:val="en-GB"/>
        </w:rPr>
      </w:pPr>
      <w:r w:rsidRPr="00857E26">
        <w:rPr>
          <w:rFonts w:ascii="Arial" w:hAnsi="Arial" w:cs="Arial"/>
          <w:sz w:val="22"/>
          <w:szCs w:val="22"/>
          <w:highlight w:val="yellow"/>
          <w:lang w:val="en-GB"/>
        </w:rPr>
        <w:t>Any of the above</w:t>
      </w:r>
      <w:r w:rsidR="00EA6F96" w:rsidRPr="00857E26">
        <w:rPr>
          <w:rFonts w:ascii="Arial" w:hAnsi="Arial" w:cs="Arial"/>
          <w:sz w:val="22"/>
          <w:szCs w:val="22"/>
          <w:highlight w:val="yellow"/>
          <w:lang w:val="en-GB"/>
        </w:rPr>
        <w:t>.</w:t>
      </w:r>
    </w:p>
    <w:p w14:paraId="1BE3F101" w14:textId="13EA3A02" w:rsidR="00DB50FB" w:rsidRDefault="00DB50FB" w:rsidP="00C55824">
      <w:pPr>
        <w:jc w:val="both"/>
        <w:rPr>
          <w:rFonts w:ascii="Arial" w:hAnsi="Arial" w:cs="Arial"/>
          <w:sz w:val="22"/>
          <w:szCs w:val="22"/>
        </w:rPr>
      </w:pPr>
    </w:p>
    <w:p w14:paraId="1BC01FFE" w14:textId="34980EC4" w:rsidR="00EA6F96" w:rsidRDefault="00EA6F96" w:rsidP="00C55824">
      <w:pPr>
        <w:jc w:val="both"/>
        <w:rPr>
          <w:rFonts w:ascii="Arial" w:hAnsi="Arial" w:cs="Arial"/>
          <w:sz w:val="22"/>
          <w:szCs w:val="22"/>
        </w:rPr>
      </w:pPr>
    </w:p>
    <w:p w14:paraId="487B5795" w14:textId="3EDBDBED" w:rsidR="00EA6F96" w:rsidRDefault="00EA6F96" w:rsidP="00C55824">
      <w:pPr>
        <w:jc w:val="both"/>
        <w:rPr>
          <w:rFonts w:ascii="Arial" w:hAnsi="Arial" w:cs="Arial"/>
          <w:sz w:val="22"/>
          <w:szCs w:val="22"/>
        </w:rPr>
      </w:pPr>
    </w:p>
    <w:p w14:paraId="1390E30D" w14:textId="386315EE" w:rsidR="00EA6F96" w:rsidRDefault="00EA6F96" w:rsidP="00C55824">
      <w:pPr>
        <w:jc w:val="both"/>
        <w:rPr>
          <w:rFonts w:ascii="Arial" w:hAnsi="Arial" w:cs="Arial"/>
          <w:sz w:val="22"/>
          <w:szCs w:val="22"/>
        </w:rPr>
      </w:pPr>
    </w:p>
    <w:p w14:paraId="4C4D2BBE" w14:textId="47940186" w:rsidR="00EA6F96" w:rsidRDefault="00EA6F96" w:rsidP="00C55824">
      <w:pPr>
        <w:jc w:val="both"/>
        <w:rPr>
          <w:rFonts w:ascii="Arial" w:hAnsi="Arial" w:cs="Arial"/>
          <w:sz w:val="22"/>
          <w:szCs w:val="22"/>
        </w:rPr>
      </w:pPr>
    </w:p>
    <w:p w14:paraId="140B41EE" w14:textId="77777777" w:rsidR="00EA6F96" w:rsidRDefault="00EA6F96" w:rsidP="00C55824">
      <w:pPr>
        <w:jc w:val="both"/>
        <w:rPr>
          <w:rFonts w:ascii="Arial" w:hAnsi="Arial" w:cs="Arial"/>
          <w:sz w:val="22"/>
          <w:szCs w:val="22"/>
        </w:rPr>
      </w:pPr>
    </w:p>
    <w:p w14:paraId="12A17CF2"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584311A0" w14:textId="77777777" w:rsidR="00E9597C" w:rsidRPr="00B9639B" w:rsidRDefault="00E9597C" w:rsidP="00C55824">
      <w:pPr>
        <w:jc w:val="both"/>
        <w:rPr>
          <w:rFonts w:ascii="Arial" w:hAnsi="Arial" w:cs="Arial"/>
          <w:sz w:val="22"/>
          <w:szCs w:val="22"/>
        </w:rPr>
      </w:pPr>
    </w:p>
    <w:p w14:paraId="20080C6E" w14:textId="77777777" w:rsidR="00867701" w:rsidRDefault="0007291B" w:rsidP="00C55824">
      <w:pPr>
        <w:jc w:val="both"/>
        <w:rPr>
          <w:rFonts w:ascii="Arial" w:hAnsi="Arial" w:cs="Arial"/>
          <w:sz w:val="22"/>
          <w:szCs w:val="22"/>
          <w:lang w:val="en-GB"/>
        </w:rPr>
      </w:pPr>
      <w:r w:rsidRPr="006D2BBF">
        <w:rPr>
          <w:rFonts w:ascii="Arial" w:hAnsi="Arial" w:cs="Arial"/>
          <w:sz w:val="22"/>
          <w:szCs w:val="22"/>
          <w:lang w:val="en-GB"/>
        </w:rPr>
        <w:t xml:space="preserve">What percentage of </w:t>
      </w:r>
      <w:r w:rsidR="00661BA6">
        <w:rPr>
          <w:rFonts w:ascii="Arial" w:hAnsi="Arial" w:cs="Arial"/>
          <w:sz w:val="22"/>
          <w:szCs w:val="22"/>
          <w:lang w:val="en-GB"/>
        </w:rPr>
        <w:t>each class of creditors must approve a scheme of arrangement for it to be binding</w:t>
      </w:r>
      <w:r w:rsidRPr="006D2BBF">
        <w:rPr>
          <w:rFonts w:ascii="Arial" w:hAnsi="Arial" w:cs="Arial"/>
          <w:sz w:val="22"/>
          <w:szCs w:val="22"/>
          <w:lang w:val="en-GB"/>
        </w:rPr>
        <w:t>?</w:t>
      </w:r>
    </w:p>
    <w:p w14:paraId="6FD1A19D" w14:textId="77777777" w:rsidR="00C55824" w:rsidRPr="006D2BBF" w:rsidRDefault="00C55824" w:rsidP="00C55824">
      <w:pPr>
        <w:jc w:val="both"/>
        <w:rPr>
          <w:rFonts w:ascii="Arial" w:hAnsi="Arial" w:cs="Arial"/>
          <w:sz w:val="22"/>
          <w:szCs w:val="22"/>
          <w:lang w:val="en-GB"/>
        </w:rPr>
      </w:pPr>
    </w:p>
    <w:p w14:paraId="5831F314" w14:textId="0FFF60D7" w:rsidR="00867701" w:rsidRDefault="0007291B" w:rsidP="00BE65AA">
      <w:pPr>
        <w:pStyle w:val="ListParagraph"/>
        <w:numPr>
          <w:ilvl w:val="0"/>
          <w:numId w:val="7"/>
        </w:numPr>
        <w:ind w:left="426"/>
        <w:jc w:val="both"/>
        <w:rPr>
          <w:rFonts w:ascii="Arial" w:hAnsi="Arial" w:cs="Arial"/>
          <w:sz w:val="22"/>
          <w:szCs w:val="22"/>
          <w:lang w:val="en-GB"/>
        </w:rPr>
      </w:pPr>
      <w:r w:rsidRPr="009A3AB7">
        <w:rPr>
          <w:rFonts w:ascii="Arial" w:hAnsi="Arial" w:cs="Arial"/>
          <w:sz w:val="22"/>
          <w:szCs w:val="22"/>
          <w:lang w:val="en-GB"/>
        </w:rPr>
        <w:t xml:space="preserve">Over 50% in </w:t>
      </w:r>
      <w:r w:rsidR="00416B96">
        <w:rPr>
          <w:rFonts w:ascii="Arial" w:hAnsi="Arial" w:cs="Arial"/>
          <w:sz w:val="22"/>
          <w:szCs w:val="22"/>
          <w:lang w:val="en-GB"/>
        </w:rPr>
        <w:t>number</w:t>
      </w:r>
      <w:r w:rsidR="00F50041">
        <w:rPr>
          <w:rFonts w:ascii="Arial" w:hAnsi="Arial" w:cs="Arial"/>
          <w:sz w:val="22"/>
          <w:szCs w:val="22"/>
          <w:lang w:val="en-GB"/>
        </w:rPr>
        <w:t>.</w:t>
      </w:r>
    </w:p>
    <w:p w14:paraId="5332C74F" w14:textId="77777777" w:rsidR="001957E8" w:rsidRPr="001957E8" w:rsidRDefault="001957E8" w:rsidP="001957E8">
      <w:pPr>
        <w:ind w:left="66"/>
        <w:jc w:val="both"/>
        <w:rPr>
          <w:rFonts w:ascii="Arial" w:hAnsi="Arial" w:cs="Arial"/>
          <w:sz w:val="22"/>
          <w:szCs w:val="22"/>
          <w:lang w:val="en-GB"/>
        </w:rPr>
      </w:pPr>
    </w:p>
    <w:p w14:paraId="0F47279A" w14:textId="5E150C2C" w:rsidR="00867701" w:rsidRDefault="0007291B" w:rsidP="00BE65AA">
      <w:pPr>
        <w:pStyle w:val="ListParagraph"/>
        <w:numPr>
          <w:ilvl w:val="0"/>
          <w:numId w:val="7"/>
        </w:numPr>
        <w:ind w:left="426"/>
        <w:jc w:val="both"/>
        <w:rPr>
          <w:rFonts w:ascii="Arial" w:hAnsi="Arial" w:cs="Arial"/>
          <w:sz w:val="22"/>
          <w:szCs w:val="22"/>
          <w:lang w:val="en-GB"/>
        </w:rPr>
      </w:pPr>
      <w:r w:rsidRPr="00857E26">
        <w:rPr>
          <w:rFonts w:ascii="Arial" w:hAnsi="Arial" w:cs="Arial"/>
          <w:sz w:val="22"/>
          <w:szCs w:val="22"/>
          <w:highlight w:val="yellow"/>
          <w:lang w:val="en-GB"/>
        </w:rPr>
        <w:t xml:space="preserve">50% or more in </w:t>
      </w:r>
      <w:r w:rsidR="00416B96" w:rsidRPr="00857E26">
        <w:rPr>
          <w:rFonts w:ascii="Arial" w:hAnsi="Arial" w:cs="Arial"/>
          <w:sz w:val="22"/>
          <w:szCs w:val="22"/>
          <w:highlight w:val="yellow"/>
          <w:lang w:val="en-GB"/>
        </w:rPr>
        <w:t>number</w:t>
      </w:r>
      <w:r w:rsidR="00F50041">
        <w:rPr>
          <w:rFonts w:ascii="Arial" w:hAnsi="Arial" w:cs="Arial"/>
          <w:sz w:val="22"/>
          <w:szCs w:val="22"/>
          <w:lang w:val="en-GB"/>
        </w:rPr>
        <w:t>.</w:t>
      </w:r>
    </w:p>
    <w:p w14:paraId="6880D218" w14:textId="77777777" w:rsidR="001957E8" w:rsidRPr="001957E8" w:rsidRDefault="001957E8" w:rsidP="001957E8">
      <w:pPr>
        <w:ind w:left="66"/>
        <w:jc w:val="both"/>
        <w:rPr>
          <w:rFonts w:ascii="Arial" w:hAnsi="Arial" w:cs="Arial"/>
          <w:sz w:val="22"/>
          <w:szCs w:val="22"/>
          <w:lang w:val="en-GB"/>
        </w:rPr>
      </w:pPr>
    </w:p>
    <w:p w14:paraId="37C6F08C" w14:textId="3108C1F4" w:rsidR="00867701"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Over 75% in </w:t>
      </w:r>
      <w:r w:rsidR="00416B96">
        <w:rPr>
          <w:rFonts w:ascii="Arial" w:hAnsi="Arial" w:cs="Arial"/>
          <w:sz w:val="22"/>
          <w:szCs w:val="22"/>
          <w:lang w:val="en-GB"/>
        </w:rPr>
        <w:t>number</w:t>
      </w:r>
      <w:r w:rsidR="00F50041">
        <w:rPr>
          <w:rFonts w:ascii="Arial" w:hAnsi="Arial" w:cs="Arial"/>
          <w:sz w:val="22"/>
          <w:szCs w:val="22"/>
          <w:lang w:val="en-GB"/>
        </w:rPr>
        <w:t>.</w:t>
      </w:r>
    </w:p>
    <w:p w14:paraId="3805824F" w14:textId="77777777" w:rsidR="001957E8" w:rsidRPr="001957E8" w:rsidRDefault="001957E8" w:rsidP="001957E8">
      <w:pPr>
        <w:ind w:left="66"/>
        <w:jc w:val="both"/>
        <w:rPr>
          <w:rFonts w:ascii="Arial" w:hAnsi="Arial" w:cs="Arial"/>
          <w:sz w:val="22"/>
          <w:szCs w:val="22"/>
          <w:lang w:val="en-GB"/>
        </w:rPr>
      </w:pPr>
    </w:p>
    <w:p w14:paraId="66070E23" w14:textId="5F6A367A" w:rsidR="00867701" w:rsidRPr="00C55824" w:rsidRDefault="0007291B" w:rsidP="00BE65AA">
      <w:pPr>
        <w:pStyle w:val="ListParagraph"/>
        <w:numPr>
          <w:ilvl w:val="0"/>
          <w:numId w:val="7"/>
        </w:numPr>
        <w:ind w:left="426"/>
        <w:jc w:val="both"/>
        <w:rPr>
          <w:rFonts w:ascii="Arial" w:hAnsi="Arial" w:cs="Arial"/>
          <w:sz w:val="22"/>
          <w:szCs w:val="22"/>
          <w:lang w:val="en-GB"/>
        </w:rPr>
      </w:pPr>
      <w:r w:rsidRPr="00C55824">
        <w:rPr>
          <w:rFonts w:ascii="Arial" w:hAnsi="Arial" w:cs="Arial"/>
          <w:sz w:val="22"/>
          <w:szCs w:val="22"/>
          <w:lang w:val="en-GB"/>
        </w:rPr>
        <w:t xml:space="preserve">75% or more in </w:t>
      </w:r>
      <w:r w:rsidR="00416B96">
        <w:rPr>
          <w:rFonts w:ascii="Arial" w:hAnsi="Arial" w:cs="Arial"/>
          <w:sz w:val="22"/>
          <w:szCs w:val="22"/>
          <w:lang w:val="en-GB"/>
        </w:rPr>
        <w:t>number</w:t>
      </w:r>
      <w:r w:rsidR="00F50041">
        <w:rPr>
          <w:rFonts w:ascii="Arial" w:hAnsi="Arial" w:cs="Arial"/>
          <w:sz w:val="22"/>
          <w:szCs w:val="22"/>
          <w:lang w:val="en-GB"/>
        </w:rPr>
        <w:t>.</w:t>
      </w:r>
    </w:p>
    <w:p w14:paraId="37B64868" w14:textId="77777777" w:rsidR="0020090A" w:rsidRDefault="0020090A" w:rsidP="00C55824">
      <w:pPr>
        <w:jc w:val="both"/>
        <w:rPr>
          <w:rFonts w:ascii="Arial" w:hAnsi="Arial" w:cs="Arial"/>
          <w:sz w:val="22"/>
          <w:szCs w:val="22"/>
        </w:rPr>
      </w:pPr>
    </w:p>
    <w:p w14:paraId="670482A3" w14:textId="77777777" w:rsidR="00E9597C" w:rsidRPr="00B9639B" w:rsidRDefault="0007291B" w:rsidP="0020090A">
      <w:pPr>
        <w:keepNext/>
        <w:jc w:val="both"/>
        <w:rPr>
          <w:rFonts w:ascii="Arial" w:hAnsi="Arial" w:cs="Arial"/>
          <w:b/>
          <w:bCs/>
          <w:sz w:val="22"/>
          <w:szCs w:val="22"/>
        </w:rPr>
      </w:pPr>
      <w:r w:rsidRPr="00B9639B">
        <w:rPr>
          <w:rFonts w:ascii="Arial" w:hAnsi="Arial" w:cs="Arial"/>
          <w:b/>
          <w:bCs/>
          <w:sz w:val="22"/>
          <w:szCs w:val="22"/>
        </w:rPr>
        <w:t>Question 1.5</w:t>
      </w:r>
    </w:p>
    <w:p w14:paraId="3314A4A5" w14:textId="77777777" w:rsidR="00E9597C" w:rsidRPr="00B9639B" w:rsidRDefault="00E9597C" w:rsidP="0020090A">
      <w:pPr>
        <w:keepNext/>
        <w:jc w:val="both"/>
        <w:rPr>
          <w:rFonts w:ascii="Arial" w:hAnsi="Arial" w:cs="Arial"/>
          <w:b/>
          <w:bCs/>
          <w:sz w:val="22"/>
          <w:szCs w:val="22"/>
        </w:rPr>
      </w:pPr>
    </w:p>
    <w:p w14:paraId="39FD2A54" w14:textId="34D66E02" w:rsidR="00867701" w:rsidRDefault="00C041E8" w:rsidP="0020090A">
      <w:pPr>
        <w:keepNext/>
        <w:jc w:val="both"/>
        <w:rPr>
          <w:rFonts w:ascii="Arial" w:hAnsi="Arial" w:cs="Arial"/>
          <w:sz w:val="22"/>
          <w:szCs w:val="22"/>
          <w:lang w:val="en-GB"/>
        </w:rPr>
      </w:pPr>
      <w:r>
        <w:rPr>
          <w:rFonts w:ascii="Arial" w:hAnsi="Arial" w:cs="Arial"/>
          <w:sz w:val="22"/>
          <w:szCs w:val="22"/>
          <w:lang w:val="en-GB"/>
        </w:rPr>
        <w:t xml:space="preserve">Which of </w:t>
      </w:r>
      <w:r w:rsidR="0007291B" w:rsidRPr="006D2BBF">
        <w:rPr>
          <w:rFonts w:ascii="Arial" w:hAnsi="Arial" w:cs="Arial"/>
          <w:sz w:val="22"/>
          <w:szCs w:val="22"/>
          <w:lang w:val="en-GB"/>
        </w:rPr>
        <w:t xml:space="preserve">the </w:t>
      </w:r>
      <w:r>
        <w:rPr>
          <w:rFonts w:ascii="Arial" w:hAnsi="Arial" w:cs="Arial"/>
          <w:sz w:val="22"/>
          <w:szCs w:val="22"/>
          <w:lang w:val="en-GB"/>
        </w:rPr>
        <w:t xml:space="preserve">following in respect of the </w:t>
      </w:r>
      <w:r w:rsidR="00062F53">
        <w:rPr>
          <w:rFonts w:ascii="Arial" w:hAnsi="Arial" w:cs="Arial"/>
          <w:sz w:val="22"/>
          <w:szCs w:val="22"/>
          <w:lang w:val="en-GB"/>
        </w:rPr>
        <w:t xml:space="preserve">automatic moratorium under Section </w:t>
      </w:r>
      <w:r>
        <w:rPr>
          <w:rFonts w:ascii="Arial" w:hAnsi="Arial" w:cs="Arial"/>
          <w:sz w:val="22"/>
          <w:szCs w:val="22"/>
          <w:lang w:val="en-GB"/>
        </w:rPr>
        <w:t>64(1)</w:t>
      </w:r>
      <w:r w:rsidR="00062F53">
        <w:rPr>
          <w:rFonts w:ascii="Arial" w:hAnsi="Arial" w:cs="Arial"/>
          <w:sz w:val="22"/>
          <w:szCs w:val="22"/>
          <w:lang w:val="en-GB"/>
        </w:rPr>
        <w:t xml:space="preserve"> of </w:t>
      </w:r>
      <w:r>
        <w:rPr>
          <w:rFonts w:ascii="Arial" w:hAnsi="Arial" w:cs="Arial"/>
          <w:sz w:val="22"/>
          <w:szCs w:val="22"/>
          <w:lang w:val="en-GB"/>
        </w:rPr>
        <w:t xml:space="preserve">the IRDA </w:t>
      </w:r>
      <w:r w:rsidRPr="00ED29B3">
        <w:rPr>
          <w:rFonts w:ascii="Arial" w:hAnsi="Arial" w:cs="Arial"/>
          <w:b/>
          <w:bCs/>
          <w:sz w:val="22"/>
          <w:szCs w:val="22"/>
          <w:lang w:val="en-GB"/>
        </w:rPr>
        <w:t>is incorrect</w:t>
      </w:r>
      <w:r w:rsidR="0007291B" w:rsidRPr="006D2BBF">
        <w:rPr>
          <w:rFonts w:ascii="Arial" w:hAnsi="Arial" w:cs="Arial"/>
          <w:sz w:val="22"/>
          <w:szCs w:val="22"/>
          <w:lang w:val="en-GB"/>
        </w:rPr>
        <w:t>?</w:t>
      </w:r>
    </w:p>
    <w:p w14:paraId="404DB0EE" w14:textId="77777777" w:rsidR="00C55824" w:rsidRPr="006D2BBF" w:rsidRDefault="00C55824" w:rsidP="00C55824">
      <w:pPr>
        <w:jc w:val="both"/>
        <w:rPr>
          <w:rFonts w:ascii="Arial" w:hAnsi="Arial" w:cs="Arial"/>
          <w:sz w:val="22"/>
          <w:szCs w:val="22"/>
          <w:lang w:val="en-GB"/>
        </w:rPr>
      </w:pPr>
    </w:p>
    <w:p w14:paraId="7F89812F" w14:textId="48025B79" w:rsidR="00867701" w:rsidRDefault="003E22E2"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w:t>
      </w:r>
      <w:r w:rsidR="00C041E8" w:rsidRPr="003E22E2">
        <w:rPr>
          <w:rFonts w:ascii="Arial" w:hAnsi="Arial" w:cs="Arial"/>
          <w:sz w:val="22"/>
          <w:szCs w:val="22"/>
          <w:lang w:val="en-GB"/>
        </w:rPr>
        <w:t xml:space="preserve"> lasts for </w:t>
      </w:r>
      <w:r w:rsidR="0007291B" w:rsidRPr="003E22E2">
        <w:rPr>
          <w:rFonts w:ascii="Arial" w:hAnsi="Arial" w:cs="Arial"/>
          <w:sz w:val="22"/>
          <w:szCs w:val="22"/>
          <w:lang w:val="en-GB"/>
        </w:rPr>
        <w:t>30 days</w:t>
      </w:r>
      <w:r w:rsidR="00F50041" w:rsidRPr="003E22E2">
        <w:rPr>
          <w:rFonts w:ascii="Arial" w:hAnsi="Arial" w:cs="Arial"/>
          <w:sz w:val="22"/>
          <w:szCs w:val="22"/>
          <w:lang w:val="en-GB"/>
        </w:rPr>
        <w:t>.</w:t>
      </w:r>
    </w:p>
    <w:p w14:paraId="1D7C033B" w14:textId="77777777" w:rsidR="003E22E2" w:rsidRPr="003E22E2" w:rsidRDefault="003E22E2" w:rsidP="003E22E2">
      <w:pPr>
        <w:jc w:val="both"/>
        <w:rPr>
          <w:rFonts w:ascii="Arial" w:hAnsi="Arial" w:cs="Arial"/>
          <w:sz w:val="22"/>
          <w:szCs w:val="22"/>
          <w:lang w:val="en-GB"/>
        </w:rPr>
      </w:pPr>
    </w:p>
    <w:p w14:paraId="592DE966" w14:textId="536F5E76" w:rsidR="00867701" w:rsidRDefault="00C041E8"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automatic moratorium may be extended</w:t>
      </w:r>
      <w:r w:rsidR="003E22E2" w:rsidRPr="003E22E2">
        <w:rPr>
          <w:rFonts w:ascii="Arial" w:hAnsi="Arial" w:cs="Arial"/>
          <w:sz w:val="22"/>
          <w:szCs w:val="22"/>
          <w:lang w:val="en-GB"/>
        </w:rPr>
        <w:t>.</w:t>
      </w:r>
    </w:p>
    <w:p w14:paraId="189DDC17" w14:textId="77777777" w:rsidR="003E22E2" w:rsidRPr="003E22E2" w:rsidRDefault="003E22E2" w:rsidP="003E22E2">
      <w:pPr>
        <w:jc w:val="both"/>
        <w:rPr>
          <w:rFonts w:ascii="Arial" w:hAnsi="Arial" w:cs="Arial"/>
          <w:sz w:val="22"/>
          <w:szCs w:val="22"/>
          <w:lang w:val="en-GB"/>
        </w:rPr>
      </w:pPr>
    </w:p>
    <w:p w14:paraId="515FDBAD" w14:textId="7B112D1A" w:rsidR="00867701" w:rsidRPr="00E91E9F" w:rsidRDefault="00C041E8" w:rsidP="00BE65AA">
      <w:pPr>
        <w:pStyle w:val="ListParagraph"/>
        <w:numPr>
          <w:ilvl w:val="0"/>
          <w:numId w:val="8"/>
        </w:numPr>
        <w:ind w:left="426"/>
        <w:jc w:val="both"/>
        <w:rPr>
          <w:rFonts w:ascii="Arial" w:hAnsi="Arial" w:cs="Arial"/>
          <w:sz w:val="22"/>
          <w:szCs w:val="22"/>
          <w:highlight w:val="yellow"/>
          <w:lang w:val="en-GB"/>
        </w:rPr>
      </w:pPr>
      <w:r w:rsidRPr="00E91E9F">
        <w:rPr>
          <w:rFonts w:ascii="Arial" w:hAnsi="Arial" w:cs="Arial"/>
          <w:sz w:val="22"/>
          <w:szCs w:val="22"/>
          <w:highlight w:val="yellow"/>
          <w:lang w:val="en-GB"/>
        </w:rPr>
        <w:t>The automatic moratorium can be obtained without filing an application to Court</w:t>
      </w:r>
      <w:r w:rsidR="003E22E2" w:rsidRPr="00E91E9F">
        <w:rPr>
          <w:rFonts w:ascii="Arial" w:hAnsi="Arial" w:cs="Arial"/>
          <w:sz w:val="22"/>
          <w:szCs w:val="22"/>
          <w:highlight w:val="yellow"/>
          <w:lang w:val="en-GB"/>
        </w:rPr>
        <w:t>.</w:t>
      </w:r>
    </w:p>
    <w:p w14:paraId="5CFC3AFA" w14:textId="77777777" w:rsidR="003E22E2" w:rsidRPr="003E22E2" w:rsidRDefault="003E22E2" w:rsidP="003E22E2">
      <w:pPr>
        <w:jc w:val="both"/>
        <w:rPr>
          <w:rFonts w:ascii="Arial" w:hAnsi="Arial" w:cs="Arial"/>
          <w:sz w:val="22"/>
          <w:szCs w:val="22"/>
          <w:lang w:val="en-GB"/>
        </w:rPr>
      </w:pPr>
    </w:p>
    <w:p w14:paraId="657B4BB8" w14:textId="025B82BB" w:rsidR="00867701" w:rsidRPr="003E22E2" w:rsidRDefault="00FC32B6" w:rsidP="00BE65AA">
      <w:pPr>
        <w:pStyle w:val="ListParagraph"/>
        <w:numPr>
          <w:ilvl w:val="0"/>
          <w:numId w:val="8"/>
        </w:numPr>
        <w:ind w:left="426"/>
        <w:jc w:val="both"/>
        <w:rPr>
          <w:rFonts w:ascii="Arial" w:hAnsi="Arial" w:cs="Arial"/>
          <w:sz w:val="22"/>
          <w:szCs w:val="22"/>
          <w:lang w:val="en-GB"/>
        </w:rPr>
      </w:pPr>
      <w:r w:rsidRPr="003E22E2">
        <w:rPr>
          <w:rFonts w:ascii="Arial" w:hAnsi="Arial" w:cs="Arial"/>
          <w:sz w:val="22"/>
          <w:szCs w:val="22"/>
          <w:lang w:val="en-GB"/>
        </w:rPr>
        <w:t>The debtor has to either propose or intend to propose a scheme of arrangement</w:t>
      </w:r>
      <w:r w:rsidR="003E22E2" w:rsidRPr="003E22E2">
        <w:rPr>
          <w:rFonts w:ascii="Arial" w:hAnsi="Arial" w:cs="Arial"/>
          <w:sz w:val="22"/>
          <w:szCs w:val="22"/>
          <w:lang w:val="en-GB"/>
        </w:rPr>
        <w:t>.</w:t>
      </w:r>
    </w:p>
    <w:p w14:paraId="4614C3CF" w14:textId="77777777" w:rsidR="005B79F4" w:rsidRDefault="005B79F4" w:rsidP="00C55824">
      <w:pPr>
        <w:autoSpaceDE w:val="0"/>
        <w:autoSpaceDN w:val="0"/>
        <w:adjustRightInd w:val="0"/>
        <w:jc w:val="both"/>
        <w:rPr>
          <w:rFonts w:ascii="Arial" w:hAnsi="Arial" w:cs="Arial"/>
          <w:sz w:val="22"/>
          <w:szCs w:val="22"/>
        </w:rPr>
      </w:pPr>
    </w:p>
    <w:p w14:paraId="25A8C09B" w14:textId="77777777" w:rsidR="00E9597C" w:rsidRPr="00B9639B" w:rsidRDefault="0007291B"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5F1BD12" w14:textId="77777777" w:rsidR="00E9597C" w:rsidRPr="00B9639B" w:rsidRDefault="00E9597C" w:rsidP="00C55824">
      <w:pPr>
        <w:autoSpaceDE w:val="0"/>
        <w:autoSpaceDN w:val="0"/>
        <w:adjustRightInd w:val="0"/>
        <w:jc w:val="both"/>
        <w:rPr>
          <w:rFonts w:ascii="Arial" w:hAnsi="Arial" w:cs="Arial"/>
          <w:sz w:val="22"/>
          <w:szCs w:val="22"/>
        </w:rPr>
      </w:pPr>
    </w:p>
    <w:p w14:paraId="35EF2F4F" w14:textId="7B67B5CC" w:rsidR="00876F56" w:rsidRDefault="00262940" w:rsidP="00C55824">
      <w:pPr>
        <w:jc w:val="both"/>
        <w:rPr>
          <w:rFonts w:ascii="Arial" w:hAnsi="Arial" w:cs="Arial"/>
          <w:sz w:val="22"/>
          <w:szCs w:val="22"/>
          <w:lang w:val="en-GB"/>
        </w:rPr>
      </w:pPr>
      <w:r>
        <w:rPr>
          <w:rFonts w:ascii="Arial" w:hAnsi="Arial" w:cs="Arial"/>
          <w:sz w:val="22"/>
          <w:szCs w:val="22"/>
          <w:lang w:val="en-GB"/>
        </w:rPr>
        <w:t xml:space="preserve">Which of the following </w:t>
      </w:r>
      <w:r w:rsidRPr="00FE26F6">
        <w:rPr>
          <w:rFonts w:ascii="Arial" w:hAnsi="Arial" w:cs="Arial"/>
          <w:b/>
          <w:bCs/>
          <w:sz w:val="22"/>
          <w:szCs w:val="22"/>
          <w:lang w:val="en-GB"/>
        </w:rPr>
        <w:t>does not</w:t>
      </w:r>
      <w:r>
        <w:rPr>
          <w:rFonts w:ascii="Arial" w:hAnsi="Arial" w:cs="Arial"/>
          <w:sz w:val="22"/>
          <w:szCs w:val="22"/>
          <w:lang w:val="en-GB"/>
        </w:rPr>
        <w:t xml:space="preserve"> lead to the discharge of a judicial management order</w:t>
      </w:r>
      <w:r w:rsidR="00067A22">
        <w:rPr>
          <w:rFonts w:ascii="Arial" w:hAnsi="Arial" w:cs="Arial"/>
          <w:sz w:val="22"/>
          <w:szCs w:val="22"/>
          <w:lang w:val="en-GB"/>
        </w:rPr>
        <w:t xml:space="preserve">? </w:t>
      </w:r>
    </w:p>
    <w:p w14:paraId="33F6C663" w14:textId="77777777" w:rsidR="00C55824" w:rsidRPr="006D2BBF" w:rsidRDefault="00C55824" w:rsidP="00C55824">
      <w:pPr>
        <w:ind w:left="720" w:hanging="720"/>
        <w:jc w:val="both"/>
        <w:rPr>
          <w:rFonts w:ascii="Arial" w:hAnsi="Arial" w:cs="Arial"/>
          <w:sz w:val="22"/>
          <w:szCs w:val="22"/>
          <w:lang w:val="en-GB"/>
        </w:rPr>
      </w:pPr>
    </w:p>
    <w:p w14:paraId="1D2591E5" w14:textId="03B3365C" w:rsidR="00876F56" w:rsidRPr="00E91E9F" w:rsidRDefault="00A92054" w:rsidP="00BE65AA">
      <w:pPr>
        <w:pStyle w:val="ListParagraph"/>
        <w:numPr>
          <w:ilvl w:val="0"/>
          <w:numId w:val="9"/>
        </w:numPr>
        <w:ind w:left="426"/>
        <w:jc w:val="both"/>
        <w:rPr>
          <w:rFonts w:ascii="Arial" w:hAnsi="Arial" w:cs="Arial"/>
          <w:sz w:val="22"/>
          <w:szCs w:val="22"/>
          <w:highlight w:val="yellow"/>
          <w:lang w:val="en-GB"/>
        </w:rPr>
      </w:pPr>
      <w:r w:rsidRPr="00E91E9F">
        <w:rPr>
          <w:rFonts w:ascii="Arial" w:hAnsi="Arial" w:cs="Arial"/>
          <w:sz w:val="22"/>
          <w:szCs w:val="22"/>
          <w:highlight w:val="yellow"/>
          <w:lang w:val="en-GB"/>
        </w:rPr>
        <w:t>A receiver is appointed over the assets of the company</w:t>
      </w:r>
      <w:r w:rsidR="00B50EA0" w:rsidRPr="00E91E9F">
        <w:rPr>
          <w:rFonts w:ascii="Arial" w:hAnsi="Arial" w:cs="Arial"/>
          <w:sz w:val="22"/>
          <w:szCs w:val="22"/>
          <w:highlight w:val="yellow"/>
          <w:lang w:val="en-GB"/>
        </w:rPr>
        <w:t>.</w:t>
      </w:r>
    </w:p>
    <w:p w14:paraId="0D390B77" w14:textId="77777777" w:rsidR="00B50EA0" w:rsidRPr="00B50EA0" w:rsidRDefault="00B50EA0" w:rsidP="00B50EA0">
      <w:pPr>
        <w:jc w:val="both"/>
        <w:rPr>
          <w:rFonts w:ascii="Arial" w:hAnsi="Arial" w:cs="Arial"/>
          <w:sz w:val="22"/>
          <w:szCs w:val="22"/>
          <w:lang w:val="en-GB"/>
        </w:rPr>
      </w:pPr>
    </w:p>
    <w:p w14:paraId="455AAE12" w14:textId="607995DE" w:rsidR="00876F56" w:rsidRDefault="00262940"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creditors decline to approve the judicial manager’s proposals</w:t>
      </w:r>
      <w:r w:rsidR="00B50EA0" w:rsidRPr="00B50EA0">
        <w:rPr>
          <w:rFonts w:ascii="Arial" w:hAnsi="Arial" w:cs="Arial"/>
          <w:sz w:val="22"/>
          <w:szCs w:val="22"/>
          <w:lang w:val="en-GB"/>
        </w:rPr>
        <w:t>.</w:t>
      </w:r>
    </w:p>
    <w:p w14:paraId="337743FC" w14:textId="77777777" w:rsidR="00B50EA0" w:rsidRPr="00B50EA0" w:rsidRDefault="00B50EA0" w:rsidP="00B50EA0">
      <w:pPr>
        <w:jc w:val="both"/>
        <w:rPr>
          <w:rFonts w:ascii="Arial" w:hAnsi="Arial" w:cs="Arial"/>
          <w:sz w:val="22"/>
          <w:szCs w:val="22"/>
          <w:lang w:val="en-GB"/>
        </w:rPr>
      </w:pPr>
    </w:p>
    <w:p w14:paraId="42D4C500" w14:textId="0177E854" w:rsidR="00876F56"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is of the view that the purposes specified in the judicial management order cannot be achieved</w:t>
      </w:r>
      <w:r w:rsidR="00F50041" w:rsidRPr="00B50EA0">
        <w:rPr>
          <w:rFonts w:ascii="Arial" w:hAnsi="Arial" w:cs="Arial"/>
          <w:sz w:val="22"/>
          <w:szCs w:val="22"/>
          <w:lang w:val="en-GB"/>
        </w:rPr>
        <w:t>.</w:t>
      </w:r>
    </w:p>
    <w:p w14:paraId="70188075" w14:textId="77777777" w:rsidR="00B50EA0" w:rsidRPr="00B50EA0" w:rsidRDefault="00B50EA0" w:rsidP="00B50EA0">
      <w:pPr>
        <w:jc w:val="both"/>
        <w:rPr>
          <w:rFonts w:ascii="Arial" w:hAnsi="Arial" w:cs="Arial"/>
          <w:sz w:val="22"/>
          <w:szCs w:val="22"/>
          <w:lang w:val="en-GB"/>
        </w:rPr>
      </w:pPr>
    </w:p>
    <w:p w14:paraId="77967061" w14:textId="3DB73178" w:rsidR="00876F56" w:rsidRPr="00B50EA0" w:rsidRDefault="00A92054" w:rsidP="00BE65AA">
      <w:pPr>
        <w:pStyle w:val="ListParagraph"/>
        <w:numPr>
          <w:ilvl w:val="0"/>
          <w:numId w:val="9"/>
        </w:numPr>
        <w:ind w:left="426"/>
        <w:jc w:val="both"/>
        <w:rPr>
          <w:rFonts w:ascii="Arial" w:hAnsi="Arial" w:cs="Arial"/>
          <w:sz w:val="22"/>
          <w:szCs w:val="22"/>
          <w:lang w:val="en-GB"/>
        </w:rPr>
      </w:pPr>
      <w:r w:rsidRPr="00B50EA0">
        <w:rPr>
          <w:rFonts w:ascii="Arial" w:hAnsi="Arial" w:cs="Arial"/>
          <w:sz w:val="22"/>
          <w:szCs w:val="22"/>
          <w:lang w:val="en-GB"/>
        </w:rPr>
        <w:t>The judicial manager has acted or will act in a manner that would be unfairly prejudicial to the interests of creditors or members of the company.</w:t>
      </w:r>
    </w:p>
    <w:p w14:paraId="61624235" w14:textId="77777777" w:rsidR="005B79F4" w:rsidRDefault="005B79F4" w:rsidP="00C55824">
      <w:pPr>
        <w:jc w:val="both"/>
        <w:rPr>
          <w:rFonts w:ascii="Arial" w:hAnsi="Arial" w:cs="Arial"/>
          <w:sz w:val="22"/>
          <w:szCs w:val="22"/>
        </w:rPr>
      </w:pPr>
    </w:p>
    <w:p w14:paraId="1192C698"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46D978CE" w14:textId="77777777" w:rsidR="00E9597C" w:rsidRPr="00B9639B" w:rsidRDefault="00E9597C" w:rsidP="00C55824">
      <w:pPr>
        <w:jc w:val="both"/>
        <w:rPr>
          <w:rFonts w:ascii="Arial" w:hAnsi="Arial" w:cs="Arial"/>
          <w:sz w:val="22"/>
          <w:szCs w:val="22"/>
        </w:rPr>
      </w:pPr>
    </w:p>
    <w:p w14:paraId="1FFC4A88" w14:textId="5E13F800" w:rsidR="00876F56" w:rsidRDefault="0007291B" w:rsidP="00C55824">
      <w:pPr>
        <w:jc w:val="both"/>
        <w:rPr>
          <w:rFonts w:ascii="Arial" w:hAnsi="Arial" w:cs="Arial"/>
          <w:sz w:val="22"/>
          <w:szCs w:val="22"/>
          <w:lang w:val="en-GB"/>
        </w:rPr>
      </w:pPr>
      <w:r>
        <w:rPr>
          <w:rFonts w:ascii="Arial" w:hAnsi="Arial" w:cs="Arial"/>
          <w:sz w:val="22"/>
          <w:szCs w:val="22"/>
          <w:lang w:val="en-GB"/>
        </w:rPr>
        <w:t>Which of th</w:t>
      </w:r>
      <w:r w:rsidR="00F50041">
        <w:rPr>
          <w:rFonts w:ascii="Arial" w:hAnsi="Arial" w:cs="Arial"/>
          <w:sz w:val="22"/>
          <w:szCs w:val="22"/>
          <w:lang w:val="en-GB"/>
        </w:rPr>
        <w:t xml:space="preserve">e following </w:t>
      </w:r>
      <w:r w:rsidRPr="00DA124D">
        <w:rPr>
          <w:rFonts w:ascii="Arial" w:hAnsi="Arial" w:cs="Arial"/>
          <w:b/>
          <w:bCs/>
          <w:sz w:val="22"/>
          <w:szCs w:val="22"/>
          <w:lang w:val="en-GB"/>
        </w:rPr>
        <w:t>is</w:t>
      </w:r>
      <w:r w:rsidR="009E2A56" w:rsidRPr="00DA124D">
        <w:rPr>
          <w:rFonts w:ascii="Arial" w:hAnsi="Arial" w:cs="Arial"/>
          <w:b/>
          <w:bCs/>
          <w:sz w:val="22"/>
          <w:szCs w:val="22"/>
          <w:lang w:val="en-GB"/>
        </w:rPr>
        <w:t xml:space="preserve"> </w:t>
      </w:r>
      <w:r w:rsidRPr="00DA124D">
        <w:rPr>
          <w:rFonts w:ascii="Arial" w:hAnsi="Arial" w:cs="Arial"/>
          <w:b/>
          <w:bCs/>
          <w:sz w:val="22"/>
          <w:szCs w:val="22"/>
          <w:lang w:val="en-GB"/>
        </w:rPr>
        <w:t>one of the three</w:t>
      </w:r>
      <w:r>
        <w:rPr>
          <w:rFonts w:ascii="Arial" w:hAnsi="Arial" w:cs="Arial"/>
          <w:sz w:val="22"/>
          <w:szCs w:val="22"/>
          <w:lang w:val="en-GB"/>
        </w:rPr>
        <w:t xml:space="preserve"> aims of a judicial management? </w:t>
      </w:r>
    </w:p>
    <w:p w14:paraId="2CC41920" w14:textId="77777777" w:rsidR="00C55824" w:rsidRPr="006D2BBF" w:rsidRDefault="00C55824" w:rsidP="00C55824">
      <w:pPr>
        <w:jc w:val="both"/>
        <w:rPr>
          <w:rFonts w:ascii="Arial" w:hAnsi="Arial" w:cs="Arial"/>
          <w:sz w:val="22"/>
          <w:szCs w:val="22"/>
          <w:lang w:val="en-GB"/>
        </w:rPr>
      </w:pPr>
    </w:p>
    <w:p w14:paraId="7A04B2AB" w14:textId="63D0AD6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416B96" w:rsidRPr="003541EB">
        <w:rPr>
          <w:rFonts w:ascii="Arial" w:hAnsi="Arial" w:cs="Arial"/>
          <w:sz w:val="22"/>
          <w:szCs w:val="22"/>
          <w:lang w:val="en-GB"/>
        </w:rPr>
        <w:t>o allow the directors to oversee the restructuring of the company</w:t>
      </w:r>
      <w:r w:rsidR="00654C95" w:rsidRPr="003541EB">
        <w:rPr>
          <w:rFonts w:ascii="Arial" w:hAnsi="Arial" w:cs="Arial"/>
          <w:sz w:val="22"/>
          <w:szCs w:val="22"/>
          <w:lang w:val="en-GB"/>
        </w:rPr>
        <w:t>.</w:t>
      </w:r>
    </w:p>
    <w:p w14:paraId="579A2F64" w14:textId="77777777" w:rsidR="003541EB" w:rsidRPr="003541EB" w:rsidRDefault="003541EB" w:rsidP="003541EB">
      <w:pPr>
        <w:jc w:val="both"/>
        <w:rPr>
          <w:rFonts w:ascii="Arial" w:hAnsi="Arial" w:cs="Arial"/>
          <w:sz w:val="22"/>
          <w:szCs w:val="22"/>
          <w:lang w:val="en-GB"/>
        </w:rPr>
      </w:pPr>
    </w:p>
    <w:p w14:paraId="2147465B" w14:textId="5118E319" w:rsidR="00876F56" w:rsidRPr="005438E5" w:rsidRDefault="0007291B" w:rsidP="00BE65AA">
      <w:pPr>
        <w:pStyle w:val="ListParagraph"/>
        <w:numPr>
          <w:ilvl w:val="0"/>
          <w:numId w:val="10"/>
        </w:numPr>
        <w:ind w:left="426"/>
        <w:jc w:val="both"/>
        <w:rPr>
          <w:rFonts w:ascii="Arial" w:hAnsi="Arial" w:cs="Arial"/>
          <w:sz w:val="22"/>
          <w:szCs w:val="22"/>
          <w:highlight w:val="yellow"/>
          <w:lang w:val="en-GB"/>
        </w:rPr>
      </w:pPr>
      <w:r w:rsidRPr="005438E5">
        <w:rPr>
          <w:rFonts w:ascii="Arial" w:hAnsi="Arial" w:cs="Arial"/>
          <w:sz w:val="22"/>
          <w:szCs w:val="22"/>
          <w:highlight w:val="yellow"/>
          <w:lang w:val="en-GB"/>
        </w:rPr>
        <w:t>P</w:t>
      </w:r>
      <w:r w:rsidR="001A4484" w:rsidRPr="005438E5">
        <w:rPr>
          <w:rFonts w:ascii="Arial" w:hAnsi="Arial" w:cs="Arial"/>
          <w:sz w:val="22"/>
          <w:szCs w:val="22"/>
          <w:highlight w:val="yellow"/>
          <w:lang w:val="en-GB"/>
        </w:rPr>
        <w:t>reserving all or part of the company</w:t>
      </w:r>
      <w:r w:rsidR="004D7749" w:rsidRPr="005438E5">
        <w:rPr>
          <w:rFonts w:ascii="Arial" w:hAnsi="Arial" w:cs="Arial"/>
          <w:sz w:val="22"/>
          <w:szCs w:val="22"/>
          <w:highlight w:val="yellow"/>
          <w:lang w:val="en-GB"/>
        </w:rPr>
        <w:t>’</w:t>
      </w:r>
      <w:r w:rsidR="001A4484" w:rsidRPr="005438E5">
        <w:rPr>
          <w:rFonts w:ascii="Arial" w:hAnsi="Arial" w:cs="Arial"/>
          <w:sz w:val="22"/>
          <w:szCs w:val="22"/>
          <w:highlight w:val="yellow"/>
          <w:lang w:val="en-GB"/>
        </w:rPr>
        <w:t>s business as a going concern</w:t>
      </w:r>
      <w:r w:rsidRPr="005438E5">
        <w:rPr>
          <w:rFonts w:ascii="Arial" w:hAnsi="Arial" w:cs="Arial"/>
          <w:sz w:val="22"/>
          <w:szCs w:val="22"/>
          <w:highlight w:val="yellow"/>
          <w:lang w:val="en-GB"/>
        </w:rPr>
        <w:t>.</w:t>
      </w:r>
    </w:p>
    <w:p w14:paraId="42CD12C5" w14:textId="77777777" w:rsidR="003541EB" w:rsidRPr="003541EB" w:rsidRDefault="003541EB" w:rsidP="003541EB">
      <w:pPr>
        <w:jc w:val="both"/>
        <w:rPr>
          <w:rFonts w:ascii="Arial" w:hAnsi="Arial" w:cs="Arial"/>
          <w:sz w:val="22"/>
          <w:szCs w:val="22"/>
          <w:lang w:val="en-GB"/>
        </w:rPr>
      </w:pPr>
    </w:p>
    <w:p w14:paraId="4662CAD4" w14:textId="5055DD7E" w:rsidR="00876F56"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A</w:t>
      </w:r>
      <w:r w:rsidR="001A4484" w:rsidRPr="003541EB">
        <w:rPr>
          <w:rFonts w:ascii="Arial" w:hAnsi="Arial" w:cs="Arial"/>
          <w:sz w:val="22"/>
          <w:szCs w:val="22"/>
          <w:lang w:val="en-GB"/>
        </w:rPr>
        <w:t>s a means for the secured creditors to realise their security</w:t>
      </w:r>
      <w:r w:rsidRPr="003541EB">
        <w:rPr>
          <w:rFonts w:ascii="Arial" w:hAnsi="Arial" w:cs="Arial"/>
          <w:sz w:val="22"/>
          <w:szCs w:val="22"/>
          <w:lang w:val="en-GB"/>
        </w:rPr>
        <w:t>.</w:t>
      </w:r>
    </w:p>
    <w:p w14:paraId="091F0105" w14:textId="77777777" w:rsidR="003541EB" w:rsidRPr="003541EB" w:rsidRDefault="003541EB" w:rsidP="003541EB">
      <w:pPr>
        <w:jc w:val="both"/>
        <w:rPr>
          <w:rFonts w:ascii="Arial" w:hAnsi="Arial" w:cs="Arial"/>
          <w:sz w:val="22"/>
          <w:szCs w:val="22"/>
          <w:lang w:val="en-GB"/>
        </w:rPr>
      </w:pPr>
    </w:p>
    <w:p w14:paraId="570C0294" w14:textId="016B9399" w:rsidR="00876F56" w:rsidRPr="003541EB" w:rsidRDefault="0007291B" w:rsidP="00BE65AA">
      <w:pPr>
        <w:pStyle w:val="ListParagraph"/>
        <w:numPr>
          <w:ilvl w:val="0"/>
          <w:numId w:val="10"/>
        </w:numPr>
        <w:ind w:left="426"/>
        <w:jc w:val="both"/>
        <w:rPr>
          <w:rFonts w:ascii="Arial" w:hAnsi="Arial" w:cs="Arial"/>
          <w:sz w:val="22"/>
          <w:szCs w:val="22"/>
          <w:lang w:val="en-GB"/>
        </w:rPr>
      </w:pPr>
      <w:r w:rsidRPr="003541EB">
        <w:rPr>
          <w:rFonts w:ascii="Arial" w:hAnsi="Arial" w:cs="Arial"/>
          <w:sz w:val="22"/>
          <w:szCs w:val="22"/>
          <w:lang w:val="en-GB"/>
        </w:rPr>
        <w:t>T</w:t>
      </w:r>
      <w:r w:rsidR="009E2A56" w:rsidRPr="003541EB">
        <w:rPr>
          <w:rFonts w:ascii="Arial" w:hAnsi="Arial" w:cs="Arial"/>
          <w:sz w:val="22"/>
          <w:szCs w:val="22"/>
          <w:lang w:val="en-GB"/>
        </w:rPr>
        <w:t>o liquidate the company in a fast</w:t>
      </w:r>
      <w:r w:rsidR="003541EB" w:rsidRPr="003541EB">
        <w:rPr>
          <w:rFonts w:ascii="Arial" w:hAnsi="Arial" w:cs="Arial"/>
          <w:sz w:val="22"/>
          <w:szCs w:val="22"/>
          <w:lang w:val="en-GB"/>
        </w:rPr>
        <w:t>-</w:t>
      </w:r>
      <w:r w:rsidR="009E2A56" w:rsidRPr="003541EB">
        <w:rPr>
          <w:rFonts w:ascii="Arial" w:hAnsi="Arial" w:cs="Arial"/>
          <w:sz w:val="22"/>
          <w:szCs w:val="22"/>
          <w:lang w:val="en-GB"/>
        </w:rPr>
        <w:t>track and cost-efficient manner</w:t>
      </w:r>
      <w:r w:rsidR="003541EB" w:rsidRPr="003541EB">
        <w:rPr>
          <w:rFonts w:ascii="Arial" w:hAnsi="Arial" w:cs="Arial"/>
          <w:sz w:val="22"/>
          <w:szCs w:val="22"/>
          <w:lang w:val="en-GB"/>
        </w:rPr>
        <w:t>.</w:t>
      </w:r>
    </w:p>
    <w:p w14:paraId="02CBC043" w14:textId="49053413" w:rsidR="005B79F4" w:rsidRDefault="005B79F4" w:rsidP="00C55824">
      <w:pPr>
        <w:jc w:val="both"/>
        <w:rPr>
          <w:rFonts w:ascii="Arial" w:eastAsiaTheme="minorHAnsi" w:hAnsi="Arial" w:cs="Arial"/>
          <w:sz w:val="22"/>
          <w:szCs w:val="22"/>
          <w:lang w:val="en-GB"/>
        </w:rPr>
      </w:pPr>
    </w:p>
    <w:p w14:paraId="67AB9671" w14:textId="3CB74937" w:rsidR="003541EB" w:rsidRDefault="003541EB" w:rsidP="00C55824">
      <w:pPr>
        <w:jc w:val="both"/>
        <w:rPr>
          <w:rFonts w:ascii="Arial" w:eastAsiaTheme="minorHAnsi" w:hAnsi="Arial" w:cs="Arial"/>
          <w:sz w:val="22"/>
          <w:szCs w:val="22"/>
          <w:lang w:val="en-GB"/>
        </w:rPr>
      </w:pPr>
    </w:p>
    <w:p w14:paraId="5E80867D" w14:textId="03B45C81" w:rsidR="003541EB" w:rsidRDefault="003541EB" w:rsidP="00C55824">
      <w:pPr>
        <w:jc w:val="both"/>
        <w:rPr>
          <w:rFonts w:ascii="Arial" w:eastAsiaTheme="minorHAnsi" w:hAnsi="Arial" w:cs="Arial"/>
          <w:sz w:val="22"/>
          <w:szCs w:val="22"/>
          <w:lang w:val="en-GB"/>
        </w:rPr>
      </w:pPr>
    </w:p>
    <w:p w14:paraId="394D7457" w14:textId="77777777" w:rsidR="003541EB" w:rsidRDefault="003541EB" w:rsidP="00C55824">
      <w:pPr>
        <w:jc w:val="both"/>
        <w:rPr>
          <w:rFonts w:ascii="Arial" w:eastAsiaTheme="minorHAnsi" w:hAnsi="Arial" w:cs="Arial"/>
          <w:sz w:val="22"/>
          <w:szCs w:val="22"/>
          <w:lang w:val="en-GB"/>
        </w:rPr>
      </w:pPr>
    </w:p>
    <w:p w14:paraId="5D9B6B4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08C8B" w14:textId="77777777" w:rsidR="00E9597C" w:rsidRPr="00B9639B" w:rsidRDefault="00E9597C" w:rsidP="00C55824">
      <w:pPr>
        <w:jc w:val="both"/>
        <w:rPr>
          <w:rFonts w:ascii="Arial" w:hAnsi="Arial" w:cs="Arial"/>
          <w:sz w:val="22"/>
          <w:szCs w:val="22"/>
        </w:rPr>
      </w:pPr>
    </w:p>
    <w:p w14:paraId="2ECC8EFB" w14:textId="12EBCF73" w:rsidR="00A01DDA" w:rsidRDefault="006F2457"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0C2AB6">
        <w:rPr>
          <w:rFonts w:ascii="Arial" w:hAnsi="Arial" w:cs="Arial"/>
          <w:b/>
          <w:bCs/>
          <w:sz w:val="22"/>
          <w:szCs w:val="22"/>
          <w:lang w:val="en-GB"/>
        </w:rPr>
        <w:t>is not</w:t>
      </w:r>
      <w:r>
        <w:rPr>
          <w:rFonts w:ascii="Arial" w:hAnsi="Arial" w:cs="Arial"/>
          <w:sz w:val="22"/>
          <w:szCs w:val="22"/>
          <w:lang w:val="en-GB"/>
        </w:rPr>
        <w:t xml:space="preserve"> a corporate rescue mechanism</w:t>
      </w:r>
      <w:r w:rsidR="000C2AB6">
        <w:rPr>
          <w:rFonts w:ascii="Arial" w:hAnsi="Arial" w:cs="Arial"/>
          <w:sz w:val="22"/>
          <w:szCs w:val="22"/>
          <w:lang w:val="en-GB"/>
        </w:rPr>
        <w:t xml:space="preserve"> in Singapore?</w:t>
      </w:r>
      <w:r w:rsidR="0007291B">
        <w:rPr>
          <w:rFonts w:ascii="Arial" w:hAnsi="Arial" w:cs="Arial"/>
          <w:sz w:val="22"/>
          <w:szCs w:val="22"/>
          <w:lang w:val="en-GB"/>
        </w:rPr>
        <w:t>:</w:t>
      </w:r>
    </w:p>
    <w:p w14:paraId="78960EE5" w14:textId="77777777" w:rsidR="00C55824" w:rsidRPr="006D2BBF" w:rsidRDefault="00C55824" w:rsidP="00F674C7">
      <w:pPr>
        <w:jc w:val="both"/>
        <w:rPr>
          <w:rFonts w:ascii="Arial" w:hAnsi="Arial" w:cs="Arial"/>
          <w:sz w:val="22"/>
          <w:szCs w:val="22"/>
          <w:lang w:val="en-GB"/>
        </w:rPr>
      </w:pPr>
    </w:p>
    <w:p w14:paraId="2FC64D9F" w14:textId="6FAEA8E8"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Informal creditor workouts</w:t>
      </w:r>
      <w:r w:rsidR="000C2AB6">
        <w:rPr>
          <w:rFonts w:ascii="Arial" w:hAnsi="Arial" w:cs="Arial"/>
          <w:sz w:val="22"/>
          <w:szCs w:val="22"/>
          <w:lang w:val="en-GB"/>
        </w:rPr>
        <w:t>.</w:t>
      </w:r>
    </w:p>
    <w:p w14:paraId="5C585436" w14:textId="77777777" w:rsidR="005B5514" w:rsidRPr="005B5514" w:rsidRDefault="005B5514" w:rsidP="005B5514">
      <w:pPr>
        <w:jc w:val="both"/>
        <w:rPr>
          <w:rFonts w:ascii="Arial" w:hAnsi="Arial" w:cs="Arial"/>
          <w:sz w:val="22"/>
          <w:szCs w:val="22"/>
          <w:lang w:val="en-GB"/>
        </w:rPr>
      </w:pPr>
    </w:p>
    <w:p w14:paraId="659C8BED" w14:textId="59041944" w:rsidR="00876F56" w:rsidRDefault="006F2457" w:rsidP="00BE65AA">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Judicial Management</w:t>
      </w:r>
      <w:r w:rsidR="000C2AB6">
        <w:rPr>
          <w:rFonts w:ascii="Arial" w:hAnsi="Arial" w:cs="Arial"/>
          <w:sz w:val="22"/>
          <w:szCs w:val="22"/>
          <w:lang w:val="en-GB"/>
        </w:rPr>
        <w:t>.</w:t>
      </w:r>
    </w:p>
    <w:p w14:paraId="71B57179" w14:textId="77777777" w:rsidR="005B5514" w:rsidRPr="005B5514" w:rsidRDefault="005B5514" w:rsidP="005B5514">
      <w:pPr>
        <w:jc w:val="both"/>
        <w:rPr>
          <w:rFonts w:ascii="Arial" w:hAnsi="Arial" w:cs="Arial"/>
          <w:sz w:val="22"/>
          <w:szCs w:val="22"/>
          <w:lang w:val="en-GB"/>
        </w:rPr>
      </w:pPr>
    </w:p>
    <w:p w14:paraId="41B0E1A8" w14:textId="18AD8ACA" w:rsidR="00876F56" w:rsidRDefault="006F2457" w:rsidP="00BE65AA">
      <w:pPr>
        <w:pStyle w:val="ListParagraph"/>
        <w:numPr>
          <w:ilvl w:val="0"/>
          <w:numId w:val="11"/>
        </w:numPr>
        <w:ind w:left="426"/>
        <w:jc w:val="both"/>
        <w:rPr>
          <w:rFonts w:ascii="Arial" w:hAnsi="Arial" w:cs="Arial"/>
          <w:sz w:val="22"/>
          <w:szCs w:val="22"/>
          <w:lang w:val="en-GB"/>
        </w:rPr>
      </w:pPr>
      <w:r w:rsidRPr="005438E5">
        <w:rPr>
          <w:rFonts w:ascii="Arial" w:hAnsi="Arial" w:cs="Arial"/>
          <w:sz w:val="22"/>
          <w:szCs w:val="22"/>
          <w:highlight w:val="yellow"/>
          <w:lang w:val="en-GB"/>
        </w:rPr>
        <w:t>Receivership</w:t>
      </w:r>
      <w:r w:rsidR="000C2AB6" w:rsidRPr="005438E5">
        <w:rPr>
          <w:rFonts w:ascii="Arial" w:hAnsi="Arial" w:cs="Arial"/>
          <w:sz w:val="22"/>
          <w:szCs w:val="22"/>
          <w:highlight w:val="yellow"/>
          <w:lang w:val="en-GB"/>
        </w:rPr>
        <w:t>.</w:t>
      </w:r>
    </w:p>
    <w:p w14:paraId="1EEC6E18" w14:textId="77777777" w:rsidR="005B5514" w:rsidRPr="005B5514" w:rsidRDefault="005B5514" w:rsidP="005B5514">
      <w:pPr>
        <w:jc w:val="both"/>
        <w:rPr>
          <w:rFonts w:ascii="Arial" w:hAnsi="Arial" w:cs="Arial"/>
          <w:sz w:val="22"/>
          <w:szCs w:val="22"/>
          <w:lang w:val="en-GB"/>
        </w:rPr>
      </w:pPr>
    </w:p>
    <w:p w14:paraId="339170DA" w14:textId="64184E53" w:rsidR="006F2457" w:rsidRPr="005B5514" w:rsidRDefault="006F2457">
      <w:pPr>
        <w:pStyle w:val="ListParagraph"/>
        <w:numPr>
          <w:ilvl w:val="0"/>
          <w:numId w:val="11"/>
        </w:numPr>
        <w:ind w:left="426"/>
        <w:jc w:val="both"/>
        <w:rPr>
          <w:rFonts w:ascii="Arial" w:hAnsi="Arial" w:cs="Arial"/>
          <w:sz w:val="22"/>
          <w:szCs w:val="22"/>
          <w:lang w:val="en-GB"/>
        </w:rPr>
      </w:pPr>
      <w:r>
        <w:rPr>
          <w:rFonts w:ascii="Arial" w:hAnsi="Arial" w:cs="Arial"/>
          <w:sz w:val="22"/>
          <w:szCs w:val="22"/>
          <w:lang w:val="en-GB"/>
        </w:rPr>
        <w:t>Scheme of arrangement</w:t>
      </w:r>
      <w:r w:rsidR="000C2AB6">
        <w:rPr>
          <w:rFonts w:ascii="Arial" w:hAnsi="Arial" w:cs="Arial"/>
          <w:sz w:val="22"/>
          <w:szCs w:val="22"/>
          <w:lang w:val="en-GB"/>
        </w:rPr>
        <w:t>.</w:t>
      </w:r>
    </w:p>
    <w:p w14:paraId="2733446D" w14:textId="77777777" w:rsidR="005B79F4" w:rsidRPr="006F2457" w:rsidRDefault="005B79F4" w:rsidP="000C2AB6">
      <w:pPr>
        <w:pStyle w:val="ListParagraph"/>
        <w:ind w:left="426"/>
        <w:jc w:val="both"/>
        <w:rPr>
          <w:rFonts w:ascii="Arial" w:eastAsiaTheme="minorHAnsi" w:hAnsi="Arial" w:cs="Arial"/>
          <w:sz w:val="22"/>
          <w:szCs w:val="22"/>
          <w:lang w:val="en-GB"/>
        </w:rPr>
      </w:pPr>
    </w:p>
    <w:p w14:paraId="74D4C90F" w14:textId="77777777" w:rsidR="00E9597C" w:rsidRPr="00B9639B" w:rsidRDefault="0007291B"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22323EE2" w14:textId="77777777" w:rsidR="00E9597C" w:rsidRDefault="00E9597C" w:rsidP="00C55824">
      <w:pPr>
        <w:jc w:val="both"/>
        <w:rPr>
          <w:rFonts w:ascii="Arial" w:hAnsi="Arial" w:cs="Arial"/>
          <w:sz w:val="22"/>
          <w:szCs w:val="22"/>
        </w:rPr>
      </w:pPr>
    </w:p>
    <w:p w14:paraId="7CA33672" w14:textId="77777777" w:rsidR="00876F56" w:rsidRDefault="0007291B" w:rsidP="00C55824">
      <w:pPr>
        <w:jc w:val="both"/>
        <w:rPr>
          <w:rFonts w:ascii="Arial" w:hAnsi="Arial" w:cs="Arial"/>
          <w:sz w:val="22"/>
          <w:szCs w:val="22"/>
          <w:lang w:val="en-GB"/>
        </w:rPr>
      </w:pPr>
      <w:r>
        <w:rPr>
          <w:rFonts w:ascii="Arial" w:hAnsi="Arial" w:cs="Arial"/>
          <w:sz w:val="22"/>
          <w:szCs w:val="22"/>
          <w:lang w:val="en-GB"/>
        </w:rPr>
        <w:t>Which one of the</w:t>
      </w:r>
      <w:r w:rsidR="00361BAA">
        <w:rPr>
          <w:rFonts w:ascii="Arial" w:hAnsi="Arial" w:cs="Arial"/>
          <w:sz w:val="22"/>
          <w:szCs w:val="22"/>
          <w:lang w:val="en-GB"/>
        </w:rPr>
        <w:t xml:space="preserve"> following</w:t>
      </w:r>
      <w:r>
        <w:rPr>
          <w:rFonts w:ascii="Arial" w:hAnsi="Arial" w:cs="Arial"/>
          <w:sz w:val="22"/>
          <w:szCs w:val="22"/>
          <w:lang w:val="en-GB"/>
        </w:rPr>
        <w:t xml:space="preserve"> countries </w:t>
      </w:r>
      <w:r w:rsidRPr="00361BAA">
        <w:rPr>
          <w:rFonts w:ascii="Arial" w:hAnsi="Arial" w:cs="Arial"/>
          <w:b/>
          <w:bCs/>
          <w:sz w:val="22"/>
          <w:szCs w:val="22"/>
          <w:lang w:val="en-GB"/>
        </w:rPr>
        <w:t>is not</w:t>
      </w:r>
      <w:r>
        <w:rPr>
          <w:rFonts w:ascii="Arial" w:hAnsi="Arial" w:cs="Arial"/>
          <w:sz w:val="22"/>
          <w:szCs w:val="22"/>
          <w:lang w:val="en-GB"/>
        </w:rPr>
        <w:t xml:space="preserve"> one of the jurisdictions that Singapore has modelled its insolvency laws on?</w:t>
      </w:r>
    </w:p>
    <w:p w14:paraId="1C6CA528" w14:textId="77777777" w:rsidR="00C55824" w:rsidRPr="00C55824" w:rsidRDefault="00C55824" w:rsidP="00C55824">
      <w:pPr>
        <w:jc w:val="both"/>
        <w:rPr>
          <w:rFonts w:ascii="Arial" w:hAnsi="Arial" w:cs="Arial"/>
          <w:sz w:val="22"/>
          <w:szCs w:val="22"/>
          <w:lang w:val="en-GB"/>
        </w:rPr>
      </w:pPr>
    </w:p>
    <w:p w14:paraId="0F08BF2F" w14:textId="60FEBCF4"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England</w:t>
      </w:r>
      <w:r w:rsidR="00853901" w:rsidRPr="00853901">
        <w:rPr>
          <w:rFonts w:ascii="Arial" w:hAnsi="Arial" w:cs="Arial"/>
          <w:sz w:val="22"/>
          <w:szCs w:val="22"/>
          <w:lang w:val="en-GB"/>
        </w:rPr>
        <w:t xml:space="preserve"> and Wales</w:t>
      </w:r>
      <w:r w:rsidR="00361BAA" w:rsidRPr="00853901">
        <w:rPr>
          <w:rFonts w:ascii="Arial" w:hAnsi="Arial" w:cs="Arial"/>
          <w:sz w:val="22"/>
          <w:szCs w:val="22"/>
          <w:lang w:val="en-GB"/>
        </w:rPr>
        <w:t>.</w:t>
      </w:r>
    </w:p>
    <w:p w14:paraId="27A3BE93" w14:textId="77777777" w:rsidR="00853901" w:rsidRPr="00853901" w:rsidRDefault="00853901" w:rsidP="00853901">
      <w:pPr>
        <w:jc w:val="both"/>
        <w:rPr>
          <w:rFonts w:ascii="Arial" w:hAnsi="Arial" w:cs="Arial"/>
          <w:sz w:val="22"/>
          <w:szCs w:val="22"/>
          <w:lang w:val="en-GB"/>
        </w:rPr>
      </w:pPr>
    </w:p>
    <w:p w14:paraId="5D9B24C5" w14:textId="4FD2D063" w:rsidR="00876F56" w:rsidRPr="005438E5" w:rsidRDefault="00C041E8" w:rsidP="00BE65AA">
      <w:pPr>
        <w:pStyle w:val="ListParagraph"/>
        <w:numPr>
          <w:ilvl w:val="0"/>
          <w:numId w:val="12"/>
        </w:numPr>
        <w:ind w:left="426"/>
        <w:jc w:val="both"/>
        <w:rPr>
          <w:rFonts w:ascii="Arial" w:hAnsi="Arial" w:cs="Arial"/>
          <w:sz w:val="22"/>
          <w:szCs w:val="22"/>
          <w:highlight w:val="yellow"/>
          <w:lang w:val="en-GB"/>
        </w:rPr>
      </w:pPr>
      <w:r w:rsidRPr="005438E5">
        <w:rPr>
          <w:rFonts w:ascii="Arial" w:hAnsi="Arial" w:cs="Arial"/>
          <w:sz w:val="22"/>
          <w:szCs w:val="22"/>
          <w:highlight w:val="yellow"/>
          <w:lang w:val="en-GB"/>
        </w:rPr>
        <w:t>Brunei</w:t>
      </w:r>
      <w:r w:rsidR="00361BAA" w:rsidRPr="005438E5">
        <w:rPr>
          <w:rFonts w:ascii="Arial" w:hAnsi="Arial" w:cs="Arial"/>
          <w:sz w:val="22"/>
          <w:szCs w:val="22"/>
          <w:highlight w:val="yellow"/>
          <w:lang w:val="en-GB"/>
        </w:rPr>
        <w:t>.</w:t>
      </w:r>
    </w:p>
    <w:p w14:paraId="65914EA3" w14:textId="77777777" w:rsidR="00853901" w:rsidRPr="00853901" w:rsidRDefault="00853901" w:rsidP="00853901">
      <w:pPr>
        <w:jc w:val="both"/>
        <w:rPr>
          <w:rFonts w:ascii="Arial" w:hAnsi="Arial" w:cs="Arial"/>
          <w:sz w:val="22"/>
          <w:szCs w:val="22"/>
          <w:lang w:val="en-GB"/>
        </w:rPr>
      </w:pPr>
    </w:p>
    <w:p w14:paraId="23DE8A56" w14:textId="1282B9E8" w:rsidR="00876F56" w:rsidRDefault="00C041E8" w:rsidP="00BE65AA">
      <w:pPr>
        <w:pStyle w:val="ListParagraph"/>
        <w:numPr>
          <w:ilvl w:val="0"/>
          <w:numId w:val="12"/>
        </w:numPr>
        <w:ind w:left="426"/>
        <w:jc w:val="both"/>
        <w:rPr>
          <w:rFonts w:ascii="Arial" w:hAnsi="Arial" w:cs="Arial"/>
          <w:sz w:val="22"/>
          <w:szCs w:val="22"/>
          <w:lang w:val="en-GB"/>
        </w:rPr>
      </w:pPr>
      <w:r w:rsidRPr="00853901">
        <w:rPr>
          <w:rFonts w:ascii="Arial" w:hAnsi="Arial" w:cs="Arial"/>
          <w:sz w:val="22"/>
          <w:szCs w:val="22"/>
          <w:lang w:val="en-GB"/>
        </w:rPr>
        <w:t>The USA</w:t>
      </w:r>
      <w:r w:rsidR="00361BAA" w:rsidRPr="00853901">
        <w:rPr>
          <w:rFonts w:ascii="Arial" w:hAnsi="Arial" w:cs="Arial"/>
          <w:sz w:val="22"/>
          <w:szCs w:val="22"/>
          <w:lang w:val="en-GB"/>
        </w:rPr>
        <w:t>.</w:t>
      </w:r>
    </w:p>
    <w:p w14:paraId="3C22A1F8" w14:textId="77777777" w:rsidR="00853901" w:rsidRPr="00853901" w:rsidRDefault="00853901" w:rsidP="00853901">
      <w:pPr>
        <w:jc w:val="both"/>
        <w:rPr>
          <w:rFonts w:ascii="Arial" w:hAnsi="Arial" w:cs="Arial"/>
          <w:sz w:val="22"/>
          <w:szCs w:val="22"/>
          <w:lang w:val="en-GB"/>
        </w:rPr>
      </w:pPr>
    </w:p>
    <w:p w14:paraId="2B6DC6E2" w14:textId="77777777" w:rsidR="00876F56" w:rsidRPr="00853901" w:rsidRDefault="0007291B" w:rsidP="00BE65AA">
      <w:pPr>
        <w:pStyle w:val="ListParagraph"/>
        <w:widowControl w:val="0"/>
        <w:numPr>
          <w:ilvl w:val="0"/>
          <w:numId w:val="12"/>
        </w:numPr>
        <w:ind w:left="426"/>
        <w:jc w:val="both"/>
        <w:rPr>
          <w:rFonts w:ascii="Arial" w:hAnsi="Arial" w:cs="Arial"/>
          <w:sz w:val="22"/>
          <w:szCs w:val="22"/>
          <w:lang w:val="en-GB"/>
        </w:rPr>
      </w:pPr>
      <w:r w:rsidRPr="00853901">
        <w:rPr>
          <w:rFonts w:ascii="Arial" w:hAnsi="Arial" w:cs="Arial"/>
          <w:sz w:val="22"/>
          <w:szCs w:val="22"/>
          <w:lang w:val="en-GB"/>
        </w:rPr>
        <w:t>Australia</w:t>
      </w:r>
      <w:r w:rsidR="00361BAA" w:rsidRPr="00853901">
        <w:rPr>
          <w:rFonts w:ascii="Arial" w:hAnsi="Arial" w:cs="Arial"/>
          <w:sz w:val="22"/>
          <w:szCs w:val="22"/>
          <w:lang w:val="en-GB"/>
        </w:rPr>
        <w:t>.</w:t>
      </w:r>
    </w:p>
    <w:p w14:paraId="2D738413" w14:textId="77777777" w:rsidR="007E40F0" w:rsidRDefault="007E40F0" w:rsidP="007E40F0">
      <w:pPr>
        <w:widowControl w:val="0"/>
        <w:jc w:val="both"/>
        <w:rPr>
          <w:rFonts w:ascii="Arial" w:hAnsi="Arial" w:cs="Arial"/>
          <w:sz w:val="22"/>
          <w:szCs w:val="22"/>
          <w:lang w:val="en-GB"/>
        </w:rPr>
      </w:pPr>
    </w:p>
    <w:p w14:paraId="4E74D7EF" w14:textId="77777777" w:rsidR="00E9597C" w:rsidRPr="00B9639B" w:rsidRDefault="0007291B" w:rsidP="007E40F0">
      <w:pPr>
        <w:widowControl w:val="0"/>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38CBC5F" w14:textId="77777777" w:rsidR="00E9597C" w:rsidRPr="00B9639B" w:rsidRDefault="00E9597C" w:rsidP="007E40F0">
      <w:pPr>
        <w:widowControl w:val="0"/>
        <w:jc w:val="both"/>
        <w:rPr>
          <w:rFonts w:ascii="Arial" w:hAnsi="Arial" w:cs="Arial"/>
          <w:sz w:val="22"/>
          <w:szCs w:val="22"/>
        </w:rPr>
      </w:pPr>
    </w:p>
    <w:p w14:paraId="79236C77" w14:textId="77777777" w:rsidR="00876F56" w:rsidRDefault="0007291B" w:rsidP="007E40F0">
      <w:pPr>
        <w:widowControl w:val="0"/>
        <w:jc w:val="both"/>
        <w:rPr>
          <w:rFonts w:ascii="Arial" w:hAnsi="Arial" w:cs="Arial"/>
          <w:sz w:val="22"/>
          <w:szCs w:val="22"/>
          <w:lang w:val="en-GB"/>
        </w:rPr>
      </w:pPr>
      <w:r>
        <w:rPr>
          <w:rFonts w:ascii="Arial" w:hAnsi="Arial" w:cs="Arial"/>
          <w:sz w:val="22"/>
          <w:szCs w:val="22"/>
          <w:lang w:val="en-GB"/>
        </w:rPr>
        <w:t xml:space="preserve">Which </w:t>
      </w:r>
      <w:r w:rsidR="00726B93">
        <w:rPr>
          <w:rFonts w:ascii="Arial" w:hAnsi="Arial" w:cs="Arial"/>
          <w:sz w:val="22"/>
          <w:szCs w:val="22"/>
          <w:lang w:val="en-GB"/>
        </w:rPr>
        <w:t xml:space="preserve">one </w:t>
      </w:r>
      <w:r>
        <w:rPr>
          <w:rFonts w:ascii="Arial" w:hAnsi="Arial" w:cs="Arial"/>
          <w:sz w:val="22"/>
          <w:szCs w:val="22"/>
          <w:lang w:val="en-GB"/>
        </w:rPr>
        <w:t>of the</w:t>
      </w:r>
      <w:r w:rsidR="00726B93">
        <w:rPr>
          <w:rFonts w:ascii="Arial" w:hAnsi="Arial" w:cs="Arial"/>
          <w:sz w:val="22"/>
          <w:szCs w:val="22"/>
          <w:lang w:val="en-GB"/>
        </w:rPr>
        <w:t xml:space="preserve"> following</w:t>
      </w:r>
      <w:r>
        <w:rPr>
          <w:rFonts w:ascii="Arial" w:hAnsi="Arial" w:cs="Arial"/>
          <w:sz w:val="22"/>
          <w:szCs w:val="22"/>
          <w:lang w:val="en-GB"/>
        </w:rPr>
        <w:t xml:space="preserve"> points </w:t>
      </w:r>
      <w:r w:rsidR="00726B93">
        <w:rPr>
          <w:rFonts w:ascii="Arial" w:hAnsi="Arial" w:cs="Arial"/>
          <w:sz w:val="22"/>
          <w:szCs w:val="22"/>
          <w:lang w:val="en-GB"/>
        </w:rPr>
        <w:t>regarding</w:t>
      </w:r>
      <w:r>
        <w:rPr>
          <w:rFonts w:ascii="Arial" w:hAnsi="Arial" w:cs="Arial"/>
          <w:sz w:val="22"/>
          <w:szCs w:val="22"/>
          <w:lang w:val="en-GB"/>
        </w:rPr>
        <w:t xml:space="preserve"> </w:t>
      </w:r>
      <w:r w:rsidRPr="00670CB1">
        <w:rPr>
          <w:rFonts w:ascii="Arial" w:hAnsi="Arial" w:cs="Arial"/>
          <w:sz w:val="22"/>
          <w:szCs w:val="22"/>
          <w:lang w:val="en-GB"/>
        </w:rPr>
        <w:t xml:space="preserve">the landmark decision of </w:t>
      </w:r>
      <w:r w:rsidRPr="00670CB1">
        <w:rPr>
          <w:rFonts w:ascii="Arial" w:hAnsi="Arial" w:cs="Arial"/>
          <w:i/>
          <w:iCs/>
          <w:sz w:val="22"/>
          <w:szCs w:val="22"/>
          <w:lang w:val="en-GB"/>
        </w:rPr>
        <w:t>Re Zetta Jet Pte Ltd</w:t>
      </w:r>
      <w:r>
        <w:rPr>
          <w:rFonts w:ascii="Arial" w:hAnsi="Arial" w:cs="Arial"/>
          <w:sz w:val="22"/>
          <w:szCs w:val="22"/>
          <w:lang w:val="en-GB"/>
        </w:rPr>
        <w:t xml:space="preserve"> is </w:t>
      </w:r>
      <w:r w:rsidR="00726B93" w:rsidRPr="00726B93">
        <w:rPr>
          <w:rFonts w:ascii="Arial" w:hAnsi="Arial" w:cs="Arial"/>
          <w:b/>
          <w:bCs/>
          <w:sz w:val="22"/>
          <w:szCs w:val="22"/>
          <w:lang w:val="en-GB"/>
        </w:rPr>
        <w:t xml:space="preserve">not </w:t>
      </w:r>
      <w:r w:rsidRPr="00726B93">
        <w:rPr>
          <w:rFonts w:ascii="Arial" w:hAnsi="Arial" w:cs="Arial"/>
          <w:b/>
          <w:bCs/>
          <w:sz w:val="22"/>
          <w:szCs w:val="22"/>
          <w:lang w:val="en-GB"/>
        </w:rPr>
        <w:t>correct</w:t>
      </w:r>
      <w:r>
        <w:rPr>
          <w:rFonts w:ascii="Arial" w:hAnsi="Arial" w:cs="Arial"/>
          <w:sz w:val="22"/>
          <w:szCs w:val="22"/>
          <w:lang w:val="en-GB"/>
        </w:rPr>
        <w:t xml:space="preserve">? </w:t>
      </w:r>
    </w:p>
    <w:p w14:paraId="5F04F70E" w14:textId="77777777" w:rsidR="00C55824" w:rsidRPr="00C55824" w:rsidRDefault="00C55824" w:rsidP="0020090A">
      <w:pPr>
        <w:keepNext/>
        <w:jc w:val="both"/>
        <w:rPr>
          <w:rFonts w:ascii="Arial" w:hAnsi="Arial" w:cs="Arial"/>
          <w:sz w:val="22"/>
          <w:szCs w:val="22"/>
          <w:lang w:val="en-GB"/>
        </w:rPr>
      </w:pPr>
    </w:p>
    <w:p w14:paraId="5C86CE98" w14:textId="64E0086F" w:rsidR="00876F56" w:rsidRPr="0015523B" w:rsidRDefault="0007291B" w:rsidP="00BE65AA">
      <w:pPr>
        <w:pStyle w:val="ListParagraph"/>
        <w:keepNext/>
        <w:numPr>
          <w:ilvl w:val="0"/>
          <w:numId w:val="13"/>
        </w:numPr>
        <w:ind w:left="426"/>
        <w:jc w:val="both"/>
        <w:rPr>
          <w:rFonts w:ascii="Arial" w:hAnsi="Arial" w:cs="Arial"/>
          <w:sz w:val="22"/>
          <w:szCs w:val="22"/>
          <w:lang w:val="en-GB"/>
        </w:rPr>
      </w:pPr>
      <w:r w:rsidRPr="0015523B">
        <w:rPr>
          <w:rFonts w:ascii="Arial" w:hAnsi="Arial" w:cs="Arial"/>
          <w:sz w:val="22"/>
          <w:szCs w:val="22"/>
          <w:lang w:val="en-GB"/>
        </w:rPr>
        <w:t xml:space="preserve">The High Court </w:t>
      </w:r>
      <w:r w:rsidR="00416B96" w:rsidRPr="0015523B">
        <w:rPr>
          <w:rFonts w:ascii="Arial" w:hAnsi="Arial" w:cs="Arial"/>
          <w:sz w:val="22"/>
          <w:szCs w:val="22"/>
          <w:lang w:val="en-GB"/>
        </w:rPr>
        <w:t xml:space="preserve">did not grant </w:t>
      </w:r>
      <w:r w:rsidRPr="0015523B">
        <w:rPr>
          <w:rFonts w:ascii="Arial" w:hAnsi="Arial" w:cs="Arial"/>
          <w:sz w:val="22"/>
          <w:szCs w:val="22"/>
          <w:lang w:val="en-GB"/>
        </w:rPr>
        <w:t>full recognition of the US Chapter 7 proceedings</w:t>
      </w:r>
      <w:r w:rsidR="00726B93" w:rsidRPr="0015523B">
        <w:rPr>
          <w:rFonts w:ascii="Arial" w:hAnsi="Arial" w:cs="Arial"/>
          <w:sz w:val="22"/>
          <w:szCs w:val="22"/>
          <w:lang w:val="en-GB"/>
        </w:rPr>
        <w:t>.</w:t>
      </w:r>
    </w:p>
    <w:p w14:paraId="01B065BE" w14:textId="77777777" w:rsidR="00C66D43" w:rsidRPr="00C66D43" w:rsidRDefault="00C66D43" w:rsidP="00C66D43">
      <w:pPr>
        <w:keepNext/>
        <w:jc w:val="both"/>
        <w:rPr>
          <w:rFonts w:ascii="Arial" w:hAnsi="Arial" w:cs="Arial"/>
          <w:sz w:val="22"/>
          <w:szCs w:val="22"/>
          <w:lang w:val="en-GB"/>
        </w:rPr>
      </w:pPr>
    </w:p>
    <w:p w14:paraId="3AB07662" w14:textId="673BCE36"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 xml:space="preserve">The </w:t>
      </w:r>
      <w:r w:rsidR="00416B96" w:rsidRPr="00C66D43">
        <w:rPr>
          <w:rFonts w:ascii="Arial" w:hAnsi="Arial" w:cs="Arial"/>
          <w:sz w:val="22"/>
          <w:szCs w:val="22"/>
          <w:lang w:val="en-GB"/>
        </w:rPr>
        <w:t>US bankruptcy proceedings continued in breach of the Singapore injunction</w:t>
      </w:r>
      <w:r w:rsidR="00C66D43" w:rsidRPr="00C66D43">
        <w:rPr>
          <w:rFonts w:ascii="Arial" w:hAnsi="Arial" w:cs="Arial"/>
          <w:sz w:val="22"/>
          <w:szCs w:val="22"/>
          <w:lang w:val="en-GB"/>
        </w:rPr>
        <w:t>.</w:t>
      </w:r>
    </w:p>
    <w:p w14:paraId="7C62E38E" w14:textId="77777777" w:rsidR="00C66D43" w:rsidRPr="00C66D43" w:rsidRDefault="00C66D43" w:rsidP="00C66D43">
      <w:pPr>
        <w:jc w:val="both"/>
        <w:rPr>
          <w:rFonts w:ascii="Arial" w:hAnsi="Arial" w:cs="Arial"/>
          <w:sz w:val="22"/>
          <w:szCs w:val="22"/>
          <w:lang w:val="en-GB"/>
        </w:rPr>
      </w:pPr>
    </w:p>
    <w:p w14:paraId="1EBA6D4A" w14:textId="78C0ABAE" w:rsidR="00876F56" w:rsidRDefault="0007291B" w:rsidP="00BE65AA">
      <w:pPr>
        <w:pStyle w:val="ListParagraph"/>
        <w:numPr>
          <w:ilvl w:val="0"/>
          <w:numId w:val="13"/>
        </w:numPr>
        <w:ind w:left="426"/>
        <w:jc w:val="both"/>
        <w:rPr>
          <w:rFonts w:ascii="Arial" w:hAnsi="Arial" w:cs="Arial"/>
          <w:sz w:val="22"/>
          <w:szCs w:val="22"/>
          <w:lang w:val="en-GB"/>
        </w:rPr>
      </w:pPr>
      <w:r w:rsidRPr="00C66D43">
        <w:rPr>
          <w:rFonts w:ascii="Arial" w:hAnsi="Arial" w:cs="Arial"/>
          <w:sz w:val="22"/>
          <w:szCs w:val="22"/>
          <w:lang w:val="en-GB"/>
        </w:rPr>
        <w:t>This is the first reported decision where a Singapore court has been faced with the question of public policy in an application for recognition of a foreign insolvency proceeding</w:t>
      </w:r>
      <w:r w:rsidR="00726B93" w:rsidRPr="00C66D43">
        <w:rPr>
          <w:rFonts w:ascii="Arial" w:hAnsi="Arial" w:cs="Arial"/>
          <w:sz w:val="22"/>
          <w:szCs w:val="22"/>
          <w:lang w:val="en-GB"/>
        </w:rPr>
        <w:t>.</w:t>
      </w:r>
    </w:p>
    <w:p w14:paraId="12871E09" w14:textId="77777777" w:rsidR="00C66D43" w:rsidRPr="00C66D43" w:rsidRDefault="00C66D43" w:rsidP="00C66D43">
      <w:pPr>
        <w:jc w:val="both"/>
        <w:rPr>
          <w:rFonts w:ascii="Arial" w:hAnsi="Arial" w:cs="Arial"/>
          <w:sz w:val="22"/>
          <w:szCs w:val="22"/>
          <w:lang w:val="en-GB"/>
        </w:rPr>
      </w:pPr>
    </w:p>
    <w:p w14:paraId="70FF61A2" w14:textId="31BB22FE" w:rsidR="00876F56" w:rsidRPr="0015523B" w:rsidRDefault="0007291B" w:rsidP="00BE65AA">
      <w:pPr>
        <w:pStyle w:val="ListParagraph"/>
        <w:numPr>
          <w:ilvl w:val="0"/>
          <w:numId w:val="13"/>
        </w:numPr>
        <w:ind w:left="426"/>
        <w:jc w:val="both"/>
        <w:rPr>
          <w:rFonts w:ascii="Arial" w:hAnsi="Arial" w:cs="Arial"/>
          <w:sz w:val="22"/>
          <w:szCs w:val="22"/>
          <w:highlight w:val="yellow"/>
          <w:lang w:val="en-GB"/>
        </w:rPr>
      </w:pPr>
      <w:r w:rsidRPr="0015523B">
        <w:rPr>
          <w:rFonts w:ascii="Arial" w:hAnsi="Arial" w:cs="Arial"/>
          <w:sz w:val="22"/>
          <w:szCs w:val="22"/>
          <w:highlight w:val="yellow"/>
          <w:lang w:val="en-GB"/>
        </w:rPr>
        <w:t xml:space="preserve">The Court held that the omission of the word </w:t>
      </w:r>
      <w:r w:rsidR="004D7749" w:rsidRPr="0015523B">
        <w:rPr>
          <w:rFonts w:ascii="Arial" w:hAnsi="Arial" w:cs="Arial"/>
          <w:sz w:val="22"/>
          <w:szCs w:val="22"/>
          <w:highlight w:val="yellow"/>
          <w:lang w:val="en-GB"/>
        </w:rPr>
        <w:t>“</w:t>
      </w:r>
      <w:r w:rsidRPr="0015523B">
        <w:rPr>
          <w:rFonts w:ascii="Arial" w:hAnsi="Arial" w:cs="Arial"/>
          <w:sz w:val="22"/>
          <w:szCs w:val="22"/>
          <w:highlight w:val="yellow"/>
          <w:lang w:val="en-GB"/>
        </w:rPr>
        <w:t>manifestly</w:t>
      </w:r>
      <w:r w:rsidR="004D7749" w:rsidRPr="0015523B">
        <w:rPr>
          <w:rFonts w:ascii="Arial" w:hAnsi="Arial" w:cs="Arial"/>
          <w:sz w:val="22"/>
          <w:szCs w:val="22"/>
          <w:highlight w:val="yellow"/>
          <w:lang w:val="en-GB"/>
        </w:rPr>
        <w:t>”</w:t>
      </w:r>
      <w:r w:rsidRPr="0015523B">
        <w:rPr>
          <w:rFonts w:ascii="Arial" w:hAnsi="Arial" w:cs="Arial"/>
          <w:sz w:val="22"/>
          <w:szCs w:val="22"/>
          <w:highlight w:val="yellow"/>
          <w:lang w:val="en-GB"/>
        </w:rPr>
        <w:t xml:space="preserve"> from Article 6 of the Singapore Model Law meant that the standard of exclusion on public policy grounds was </w:t>
      </w:r>
      <w:r w:rsidR="00416B96" w:rsidRPr="0015523B">
        <w:rPr>
          <w:rFonts w:ascii="Arial" w:hAnsi="Arial" w:cs="Arial"/>
          <w:sz w:val="22"/>
          <w:szCs w:val="22"/>
          <w:highlight w:val="yellow"/>
          <w:lang w:val="en-GB"/>
        </w:rPr>
        <w:t>higher</w:t>
      </w:r>
      <w:r w:rsidRPr="0015523B">
        <w:rPr>
          <w:rFonts w:ascii="Arial" w:hAnsi="Arial" w:cs="Arial"/>
          <w:sz w:val="22"/>
          <w:szCs w:val="22"/>
          <w:highlight w:val="yellow"/>
          <w:lang w:val="en-GB"/>
        </w:rPr>
        <w:t xml:space="preserve"> than in jurisdictions where the Model Law had been enacted unmodified</w:t>
      </w:r>
      <w:r w:rsidR="00726B93" w:rsidRPr="0015523B">
        <w:rPr>
          <w:rFonts w:ascii="Arial" w:hAnsi="Arial" w:cs="Arial"/>
          <w:sz w:val="22"/>
          <w:szCs w:val="22"/>
          <w:highlight w:val="yellow"/>
          <w:lang w:val="en-GB"/>
        </w:rPr>
        <w:t>.</w:t>
      </w:r>
    </w:p>
    <w:p w14:paraId="10517512" w14:textId="77777777" w:rsidR="005B79F4" w:rsidRDefault="005B79F4" w:rsidP="00C55824">
      <w:pPr>
        <w:jc w:val="both"/>
        <w:rPr>
          <w:rFonts w:ascii="Arial" w:hAnsi="Arial" w:cs="Arial"/>
          <w:b/>
          <w:sz w:val="22"/>
          <w:szCs w:val="22"/>
          <w:lang w:val="en-GB"/>
        </w:rPr>
      </w:pPr>
    </w:p>
    <w:p w14:paraId="2004F8B3" w14:textId="77777777" w:rsidR="00C55824" w:rsidRPr="00C55824" w:rsidRDefault="00C55824" w:rsidP="002A37BB">
      <w:pPr>
        <w:jc w:val="both"/>
        <w:rPr>
          <w:rFonts w:ascii="Arial" w:hAnsi="Arial" w:cs="Arial"/>
          <w:bCs/>
          <w:sz w:val="22"/>
          <w:szCs w:val="22"/>
          <w:lang w:val="en-GB"/>
        </w:rPr>
      </w:pPr>
    </w:p>
    <w:p w14:paraId="79C5B79A" w14:textId="77777777" w:rsidR="00962045" w:rsidRPr="00440C42" w:rsidRDefault="0007291B" w:rsidP="002A37BB">
      <w:pPr>
        <w:jc w:val="both"/>
        <w:rPr>
          <w:rFonts w:ascii="Arial" w:hAnsi="Arial" w:cs="Arial"/>
          <w:b/>
          <w:sz w:val="22"/>
          <w:szCs w:val="22"/>
          <w:lang w:val="fr-FR"/>
        </w:rPr>
      </w:pPr>
      <w:r w:rsidRPr="00440C42">
        <w:rPr>
          <w:rFonts w:ascii="Arial" w:hAnsi="Arial" w:cs="Arial"/>
          <w:b/>
          <w:sz w:val="22"/>
          <w:szCs w:val="22"/>
          <w:lang w:val="fr-FR"/>
        </w:rPr>
        <w:t xml:space="preserve">QUESTION 2 (direct questions) [10 marks] </w:t>
      </w:r>
    </w:p>
    <w:p w14:paraId="31218136" w14:textId="77777777" w:rsidR="00962045" w:rsidRPr="00440C42" w:rsidRDefault="00962045" w:rsidP="002A37BB">
      <w:pPr>
        <w:ind w:left="720" w:hanging="720"/>
        <w:jc w:val="both"/>
        <w:rPr>
          <w:rFonts w:ascii="Arial" w:hAnsi="Arial" w:cs="Arial"/>
          <w:sz w:val="22"/>
          <w:szCs w:val="22"/>
          <w:lang w:val="fr-FR"/>
        </w:rPr>
      </w:pPr>
    </w:p>
    <w:p w14:paraId="6D66CE9B" w14:textId="77777777" w:rsidR="002C13C8" w:rsidRPr="00440C42" w:rsidRDefault="0007291B" w:rsidP="002A37BB">
      <w:pPr>
        <w:ind w:left="720" w:hanging="720"/>
        <w:jc w:val="both"/>
        <w:rPr>
          <w:rFonts w:ascii="Arial" w:hAnsi="Arial" w:cs="Arial"/>
          <w:sz w:val="22"/>
          <w:szCs w:val="22"/>
          <w:lang w:val="fr-FR"/>
        </w:rPr>
      </w:pPr>
      <w:r w:rsidRPr="00440C42">
        <w:rPr>
          <w:rFonts w:ascii="Arial" w:hAnsi="Arial" w:cs="Arial"/>
          <w:b/>
          <w:bCs/>
          <w:sz w:val="22"/>
          <w:szCs w:val="22"/>
          <w:lang w:val="fr-FR"/>
        </w:rPr>
        <w:t xml:space="preserve">Question </w:t>
      </w:r>
      <w:r w:rsidR="00962045" w:rsidRPr="00440C42">
        <w:rPr>
          <w:rFonts w:ascii="Arial" w:hAnsi="Arial" w:cs="Arial"/>
          <w:b/>
          <w:bCs/>
          <w:sz w:val="22"/>
          <w:szCs w:val="22"/>
          <w:lang w:val="fr-FR"/>
        </w:rPr>
        <w:t>2.1</w:t>
      </w:r>
      <w:r w:rsidR="00962045" w:rsidRPr="00440C42">
        <w:rPr>
          <w:rFonts w:ascii="Arial" w:hAnsi="Arial" w:cs="Arial"/>
          <w:b/>
          <w:bCs/>
          <w:sz w:val="22"/>
          <w:szCs w:val="22"/>
          <w:lang w:val="fr-FR"/>
        </w:rPr>
        <w:tab/>
      </w:r>
      <w:r w:rsidR="00DE03AF" w:rsidRPr="00440C42">
        <w:rPr>
          <w:rFonts w:ascii="Arial" w:hAnsi="Arial" w:cs="Arial"/>
          <w:b/>
          <w:bCs/>
          <w:sz w:val="22"/>
          <w:szCs w:val="22"/>
          <w:lang w:val="fr-FR"/>
        </w:rPr>
        <w:t>[</w:t>
      </w:r>
      <w:r w:rsidR="00D17FDC" w:rsidRPr="00440C42">
        <w:rPr>
          <w:rFonts w:ascii="Arial" w:hAnsi="Arial" w:cs="Arial"/>
          <w:b/>
          <w:bCs/>
          <w:sz w:val="22"/>
          <w:szCs w:val="22"/>
          <w:lang w:val="fr-FR"/>
        </w:rPr>
        <w:t>m</w:t>
      </w:r>
      <w:r w:rsidR="00DE03AF" w:rsidRPr="00440C42">
        <w:rPr>
          <w:rFonts w:ascii="Arial" w:hAnsi="Arial" w:cs="Arial"/>
          <w:b/>
          <w:bCs/>
          <w:sz w:val="22"/>
          <w:szCs w:val="22"/>
          <w:lang w:val="fr-FR"/>
        </w:rPr>
        <w:t xml:space="preserve">aximum </w:t>
      </w:r>
      <w:r w:rsidR="0020090A" w:rsidRPr="00440C42">
        <w:rPr>
          <w:rFonts w:ascii="Arial" w:hAnsi="Arial" w:cs="Arial"/>
          <w:b/>
          <w:bCs/>
          <w:sz w:val="22"/>
          <w:szCs w:val="22"/>
          <w:lang w:val="fr-FR"/>
        </w:rPr>
        <w:t>4</w:t>
      </w:r>
      <w:r w:rsidR="00DE03AF" w:rsidRPr="00440C42">
        <w:rPr>
          <w:rFonts w:ascii="Arial" w:hAnsi="Arial" w:cs="Arial"/>
          <w:b/>
          <w:bCs/>
          <w:sz w:val="22"/>
          <w:szCs w:val="22"/>
          <w:lang w:val="fr-FR"/>
        </w:rPr>
        <w:t xml:space="preserve"> marks]</w:t>
      </w:r>
      <w:r w:rsidR="00DE03AF" w:rsidRPr="00440C42">
        <w:rPr>
          <w:rFonts w:ascii="Arial" w:hAnsi="Arial" w:cs="Arial"/>
          <w:sz w:val="22"/>
          <w:szCs w:val="22"/>
          <w:lang w:val="fr-FR"/>
        </w:rPr>
        <w:t xml:space="preserve"> </w:t>
      </w:r>
    </w:p>
    <w:p w14:paraId="1C10EFEB" w14:textId="77777777" w:rsidR="002C13C8" w:rsidRPr="00440C42" w:rsidRDefault="002C13C8" w:rsidP="002A37BB">
      <w:pPr>
        <w:ind w:left="720" w:hanging="720"/>
        <w:jc w:val="both"/>
        <w:rPr>
          <w:rFonts w:ascii="Arial" w:hAnsi="Arial" w:cs="Arial"/>
          <w:sz w:val="22"/>
          <w:szCs w:val="22"/>
          <w:lang w:val="fr-FR"/>
        </w:rPr>
      </w:pPr>
    </w:p>
    <w:p w14:paraId="50D0DB85" w14:textId="4A7952B8" w:rsidR="00241FA3" w:rsidRDefault="009C5286" w:rsidP="004D1C16">
      <w:pPr>
        <w:jc w:val="both"/>
        <w:rPr>
          <w:rFonts w:ascii="Arial" w:hAnsi="Arial" w:cs="Arial"/>
          <w:sz w:val="22"/>
          <w:szCs w:val="22"/>
          <w:lang w:val="en-GB"/>
        </w:rPr>
      </w:pPr>
      <w:r>
        <w:rPr>
          <w:rFonts w:ascii="Arial" w:hAnsi="Arial" w:cs="Arial"/>
          <w:sz w:val="22"/>
          <w:szCs w:val="22"/>
          <w:lang w:val="en-GB"/>
        </w:rPr>
        <w:t xml:space="preserve">Explain the elements </w:t>
      </w:r>
      <w:r w:rsidR="00226EAA">
        <w:rPr>
          <w:rFonts w:ascii="Arial" w:hAnsi="Arial" w:cs="Arial"/>
          <w:sz w:val="22"/>
          <w:szCs w:val="22"/>
          <w:lang w:val="en-GB"/>
        </w:rPr>
        <w:t>of</w:t>
      </w:r>
      <w:r w:rsidR="006E4183">
        <w:rPr>
          <w:rFonts w:ascii="Arial" w:hAnsi="Arial" w:cs="Arial"/>
          <w:sz w:val="22"/>
          <w:szCs w:val="22"/>
          <w:lang w:val="en-GB"/>
        </w:rPr>
        <w:t xml:space="preserve"> </w:t>
      </w:r>
      <w:r w:rsidR="006E4183" w:rsidRPr="00226EAA">
        <w:rPr>
          <w:rFonts w:ascii="Arial" w:hAnsi="Arial" w:cs="Arial"/>
          <w:b/>
          <w:bCs/>
          <w:sz w:val="22"/>
          <w:szCs w:val="22"/>
          <w:lang w:val="en-GB"/>
        </w:rPr>
        <w:t>two</w:t>
      </w:r>
      <w:r w:rsidR="006E4183">
        <w:rPr>
          <w:rFonts w:ascii="Arial" w:hAnsi="Arial" w:cs="Arial"/>
          <w:sz w:val="22"/>
          <w:szCs w:val="22"/>
          <w:lang w:val="en-GB"/>
        </w:rPr>
        <w:t xml:space="preserve"> </w:t>
      </w:r>
      <w:r w:rsidR="009E717E">
        <w:rPr>
          <w:rFonts w:ascii="Arial" w:hAnsi="Arial" w:cs="Arial"/>
          <w:sz w:val="22"/>
          <w:szCs w:val="22"/>
          <w:lang w:val="en-GB"/>
        </w:rPr>
        <w:t>types</w:t>
      </w:r>
      <w:r w:rsidR="006E4183">
        <w:rPr>
          <w:rFonts w:ascii="Arial" w:hAnsi="Arial" w:cs="Arial"/>
          <w:sz w:val="22"/>
          <w:szCs w:val="22"/>
          <w:lang w:val="en-GB"/>
        </w:rPr>
        <w:t xml:space="preserve"> of impeachable transactions</w:t>
      </w:r>
      <w:r w:rsidR="009E717E">
        <w:rPr>
          <w:rFonts w:ascii="Arial" w:hAnsi="Arial" w:cs="Arial"/>
          <w:sz w:val="22"/>
          <w:szCs w:val="22"/>
          <w:lang w:val="en-GB"/>
        </w:rPr>
        <w:t xml:space="preserve"> under </w:t>
      </w:r>
      <w:r w:rsidR="004F5DE9">
        <w:rPr>
          <w:rFonts w:ascii="Arial" w:hAnsi="Arial" w:cs="Arial"/>
          <w:sz w:val="22"/>
          <w:szCs w:val="22"/>
          <w:lang w:val="en-GB"/>
        </w:rPr>
        <w:t>Singapore insolvency law</w:t>
      </w:r>
      <w:r>
        <w:rPr>
          <w:rFonts w:ascii="Arial" w:hAnsi="Arial" w:cs="Arial"/>
          <w:sz w:val="22"/>
          <w:szCs w:val="22"/>
          <w:lang w:val="en-GB"/>
        </w:rPr>
        <w:t xml:space="preserve"> and what defences there may be</w:t>
      </w:r>
      <w:r w:rsidR="004D1C16">
        <w:rPr>
          <w:rFonts w:ascii="Arial" w:hAnsi="Arial" w:cs="Arial"/>
          <w:sz w:val="22"/>
          <w:szCs w:val="22"/>
          <w:lang w:val="en-GB"/>
        </w:rPr>
        <w:t xml:space="preserve"> to the two you have identified</w:t>
      </w:r>
      <w:r w:rsidR="006E4183">
        <w:rPr>
          <w:rFonts w:ascii="Arial" w:hAnsi="Arial" w:cs="Arial"/>
          <w:sz w:val="22"/>
          <w:szCs w:val="22"/>
          <w:lang w:val="en-GB"/>
        </w:rPr>
        <w:t xml:space="preserve">. </w:t>
      </w:r>
    </w:p>
    <w:p w14:paraId="77824C4A" w14:textId="77777777" w:rsidR="0020090A" w:rsidRPr="002A37BB" w:rsidRDefault="0020090A" w:rsidP="002A37BB">
      <w:pPr>
        <w:ind w:left="720" w:hanging="720"/>
        <w:jc w:val="both"/>
        <w:rPr>
          <w:rFonts w:ascii="Arial" w:hAnsi="Arial" w:cs="Arial"/>
          <w:sz w:val="22"/>
          <w:szCs w:val="22"/>
          <w:lang w:val="en-GB"/>
        </w:rPr>
      </w:pPr>
    </w:p>
    <w:tbl>
      <w:tblPr>
        <w:tblStyle w:val="TableGrid"/>
        <w:tblW w:w="10490" w:type="dxa"/>
        <w:tblInd w:w="-714" w:type="dxa"/>
        <w:tblLook w:val="04A0" w:firstRow="1" w:lastRow="0" w:firstColumn="1" w:lastColumn="0" w:noHBand="0" w:noVBand="1"/>
      </w:tblPr>
      <w:tblGrid>
        <w:gridCol w:w="707"/>
        <w:gridCol w:w="1278"/>
        <w:gridCol w:w="5341"/>
        <w:gridCol w:w="3164"/>
      </w:tblGrid>
      <w:tr w:rsidR="0060782D" w14:paraId="5D70A3CD" w14:textId="77777777" w:rsidTr="0060782D">
        <w:tc>
          <w:tcPr>
            <w:tcW w:w="707" w:type="dxa"/>
          </w:tcPr>
          <w:p w14:paraId="1600CB82" w14:textId="64A6534F" w:rsidR="0060782D" w:rsidRDefault="0060782D" w:rsidP="002A37BB">
            <w:pPr>
              <w:jc w:val="both"/>
              <w:rPr>
                <w:rFonts w:ascii="Arial" w:hAnsi="Arial" w:cs="Arial"/>
                <w:sz w:val="22"/>
                <w:szCs w:val="22"/>
              </w:rPr>
            </w:pPr>
            <w:proofErr w:type="spellStart"/>
            <w:r>
              <w:rPr>
                <w:rFonts w:ascii="Arial" w:hAnsi="Arial" w:cs="Arial"/>
                <w:sz w:val="22"/>
                <w:szCs w:val="22"/>
              </w:rPr>
              <w:t>S.No</w:t>
            </w:r>
            <w:proofErr w:type="spellEnd"/>
          </w:p>
        </w:tc>
        <w:tc>
          <w:tcPr>
            <w:tcW w:w="1278" w:type="dxa"/>
          </w:tcPr>
          <w:p w14:paraId="378BFAE4" w14:textId="2C2397C8" w:rsidR="0060782D" w:rsidRDefault="0060782D" w:rsidP="002A37BB">
            <w:pPr>
              <w:jc w:val="both"/>
              <w:rPr>
                <w:rFonts w:ascii="Arial" w:hAnsi="Arial" w:cs="Arial"/>
                <w:sz w:val="22"/>
                <w:szCs w:val="22"/>
              </w:rPr>
            </w:pPr>
            <w:r>
              <w:rPr>
                <w:rFonts w:ascii="Arial" w:hAnsi="Arial" w:cs="Arial"/>
                <w:sz w:val="22"/>
                <w:szCs w:val="22"/>
              </w:rPr>
              <w:t>Particulars</w:t>
            </w:r>
          </w:p>
        </w:tc>
        <w:tc>
          <w:tcPr>
            <w:tcW w:w="5341" w:type="dxa"/>
          </w:tcPr>
          <w:p w14:paraId="1024CD4E" w14:textId="78F2D3B2" w:rsidR="0060782D" w:rsidRDefault="0060782D" w:rsidP="002A37BB">
            <w:pPr>
              <w:jc w:val="both"/>
              <w:rPr>
                <w:rFonts w:ascii="Arial" w:hAnsi="Arial" w:cs="Arial"/>
                <w:sz w:val="22"/>
                <w:szCs w:val="22"/>
              </w:rPr>
            </w:pPr>
            <w:r>
              <w:rPr>
                <w:rFonts w:ascii="Arial" w:hAnsi="Arial" w:cs="Arial"/>
                <w:sz w:val="22"/>
                <w:szCs w:val="22"/>
              </w:rPr>
              <w:t>Undervalued</w:t>
            </w:r>
          </w:p>
        </w:tc>
        <w:tc>
          <w:tcPr>
            <w:tcW w:w="3164" w:type="dxa"/>
          </w:tcPr>
          <w:p w14:paraId="6EE4DFF5" w14:textId="67831EC9" w:rsidR="0060782D" w:rsidRDefault="0060782D" w:rsidP="002A37BB">
            <w:pPr>
              <w:jc w:val="both"/>
              <w:rPr>
                <w:rFonts w:ascii="Arial" w:hAnsi="Arial" w:cs="Arial"/>
                <w:sz w:val="22"/>
                <w:szCs w:val="22"/>
              </w:rPr>
            </w:pPr>
            <w:r>
              <w:rPr>
                <w:rFonts w:ascii="Arial" w:hAnsi="Arial" w:cs="Arial"/>
                <w:sz w:val="22"/>
                <w:szCs w:val="22"/>
              </w:rPr>
              <w:t xml:space="preserve">Unfair Preference </w:t>
            </w:r>
          </w:p>
        </w:tc>
      </w:tr>
      <w:tr w:rsidR="0060782D" w14:paraId="1D0D1F0C" w14:textId="77777777" w:rsidTr="0060782D">
        <w:tc>
          <w:tcPr>
            <w:tcW w:w="707" w:type="dxa"/>
          </w:tcPr>
          <w:p w14:paraId="4548DB98" w14:textId="77777777" w:rsidR="0060782D" w:rsidRDefault="0060782D" w:rsidP="002A37BB">
            <w:pPr>
              <w:jc w:val="both"/>
              <w:rPr>
                <w:rFonts w:ascii="Arial" w:hAnsi="Arial" w:cs="Arial"/>
                <w:sz w:val="22"/>
                <w:szCs w:val="22"/>
              </w:rPr>
            </w:pPr>
          </w:p>
        </w:tc>
        <w:tc>
          <w:tcPr>
            <w:tcW w:w="1278" w:type="dxa"/>
          </w:tcPr>
          <w:p w14:paraId="171D342F" w14:textId="64C67103" w:rsidR="0060782D" w:rsidRDefault="0060782D" w:rsidP="002A37BB">
            <w:pPr>
              <w:jc w:val="both"/>
              <w:rPr>
                <w:rFonts w:ascii="Arial" w:hAnsi="Arial" w:cs="Arial"/>
                <w:sz w:val="22"/>
                <w:szCs w:val="22"/>
              </w:rPr>
            </w:pPr>
            <w:r>
              <w:rPr>
                <w:rFonts w:ascii="Arial" w:hAnsi="Arial" w:cs="Arial"/>
                <w:sz w:val="22"/>
                <w:szCs w:val="22"/>
              </w:rPr>
              <w:t>Elements</w:t>
            </w:r>
          </w:p>
        </w:tc>
        <w:tc>
          <w:tcPr>
            <w:tcW w:w="5341" w:type="dxa"/>
          </w:tcPr>
          <w:p w14:paraId="4D5989C2" w14:textId="77777777" w:rsidR="0060782D" w:rsidRPr="00AA7518" w:rsidRDefault="0060782D" w:rsidP="0060782D">
            <w:pPr>
              <w:numPr>
                <w:ilvl w:val="0"/>
                <w:numId w:val="29"/>
              </w:numPr>
              <w:jc w:val="both"/>
              <w:rPr>
                <w:rFonts w:ascii="Arial" w:hAnsi="Arial" w:cs="Arial"/>
                <w:sz w:val="22"/>
                <w:szCs w:val="22"/>
                <w:lang w:val="en-GB"/>
              </w:rPr>
            </w:pPr>
            <w:r w:rsidRPr="00AA7518">
              <w:rPr>
                <w:rFonts w:ascii="Arial" w:hAnsi="Arial" w:cs="Arial"/>
                <w:sz w:val="22"/>
                <w:szCs w:val="22"/>
                <w:lang w:val="en-GB"/>
              </w:rPr>
              <w:t>The bankrupt makes a gift or otherwise enters into a transaction for no consideration.</w:t>
            </w:r>
          </w:p>
          <w:p w14:paraId="7F06C8C4" w14:textId="77777777" w:rsidR="0060782D" w:rsidRPr="00AA7518" w:rsidRDefault="0060782D" w:rsidP="0060782D">
            <w:pPr>
              <w:numPr>
                <w:ilvl w:val="0"/>
                <w:numId w:val="29"/>
              </w:numPr>
              <w:jc w:val="both"/>
              <w:rPr>
                <w:rFonts w:ascii="Arial" w:hAnsi="Arial" w:cs="Arial"/>
                <w:sz w:val="22"/>
                <w:szCs w:val="22"/>
                <w:lang w:val="en-GB"/>
              </w:rPr>
            </w:pPr>
            <w:r w:rsidRPr="00AA7518">
              <w:rPr>
                <w:rFonts w:ascii="Arial" w:hAnsi="Arial" w:cs="Arial"/>
                <w:sz w:val="22"/>
                <w:szCs w:val="22"/>
                <w:lang w:val="en-GB"/>
              </w:rPr>
              <w:lastRenderedPageBreak/>
              <w:t xml:space="preserve">The consideration for the transaction is marriage; or </w:t>
            </w:r>
          </w:p>
          <w:p w14:paraId="4250F99E" w14:textId="77777777" w:rsidR="0060782D" w:rsidRPr="00AA7518" w:rsidRDefault="0060782D" w:rsidP="0060782D">
            <w:pPr>
              <w:numPr>
                <w:ilvl w:val="0"/>
                <w:numId w:val="29"/>
              </w:numPr>
              <w:jc w:val="both"/>
              <w:rPr>
                <w:rFonts w:ascii="Arial" w:hAnsi="Arial" w:cs="Arial"/>
                <w:sz w:val="22"/>
                <w:szCs w:val="22"/>
                <w:lang w:val="en-GB"/>
              </w:rPr>
            </w:pPr>
            <w:r w:rsidRPr="00AA7518">
              <w:rPr>
                <w:rFonts w:ascii="Arial" w:hAnsi="Arial" w:cs="Arial"/>
                <w:sz w:val="22"/>
                <w:szCs w:val="22"/>
                <w:lang w:val="en-GB"/>
              </w:rPr>
              <w:t xml:space="preserve">The consideration for the transaction is significantly less in money or the consideration provided by the bankrupt. </w:t>
            </w:r>
          </w:p>
          <w:p w14:paraId="37850A53" w14:textId="77777777" w:rsidR="0060782D" w:rsidRPr="00AA7518" w:rsidRDefault="0060782D" w:rsidP="0060782D">
            <w:pPr>
              <w:numPr>
                <w:ilvl w:val="0"/>
                <w:numId w:val="29"/>
              </w:numPr>
              <w:jc w:val="both"/>
              <w:rPr>
                <w:rFonts w:ascii="Arial" w:hAnsi="Arial" w:cs="Arial"/>
                <w:sz w:val="22"/>
                <w:szCs w:val="22"/>
                <w:lang w:val="en-GB"/>
              </w:rPr>
            </w:pPr>
            <w:r w:rsidRPr="00AA7518">
              <w:rPr>
                <w:rFonts w:ascii="Arial" w:hAnsi="Arial" w:cs="Arial"/>
                <w:sz w:val="22"/>
                <w:szCs w:val="22"/>
                <w:lang w:val="en-GB"/>
              </w:rPr>
              <w:t>The company become insolvent as a result of that transaction.</w:t>
            </w:r>
          </w:p>
          <w:p w14:paraId="56679A02" w14:textId="77777777" w:rsidR="0060782D" w:rsidRDefault="0060782D" w:rsidP="002A37BB">
            <w:pPr>
              <w:jc w:val="both"/>
              <w:rPr>
                <w:rFonts w:ascii="Arial" w:hAnsi="Arial" w:cs="Arial"/>
                <w:sz w:val="22"/>
                <w:szCs w:val="22"/>
              </w:rPr>
            </w:pPr>
          </w:p>
        </w:tc>
        <w:tc>
          <w:tcPr>
            <w:tcW w:w="3164" w:type="dxa"/>
          </w:tcPr>
          <w:p w14:paraId="7F7C9700" w14:textId="77777777" w:rsidR="0060782D" w:rsidRPr="00AA7518" w:rsidRDefault="0060782D" w:rsidP="0060782D">
            <w:pPr>
              <w:numPr>
                <w:ilvl w:val="0"/>
                <w:numId w:val="30"/>
              </w:numPr>
              <w:jc w:val="both"/>
              <w:rPr>
                <w:rFonts w:ascii="Arial" w:hAnsi="Arial" w:cs="Arial"/>
                <w:sz w:val="22"/>
                <w:szCs w:val="22"/>
                <w:lang w:val="en-GB"/>
              </w:rPr>
            </w:pPr>
            <w:r w:rsidRPr="00AA7518">
              <w:rPr>
                <w:rFonts w:ascii="Arial" w:hAnsi="Arial" w:cs="Arial"/>
                <w:sz w:val="22"/>
                <w:szCs w:val="22"/>
                <w:lang w:val="en-GB"/>
              </w:rPr>
              <w:lastRenderedPageBreak/>
              <w:t xml:space="preserve">Person with whom the transaction took place is </w:t>
            </w:r>
            <w:r w:rsidRPr="00AA7518">
              <w:rPr>
                <w:rFonts w:ascii="Arial" w:hAnsi="Arial" w:cs="Arial"/>
                <w:sz w:val="22"/>
                <w:szCs w:val="22"/>
                <w:lang w:val="en-GB"/>
              </w:rPr>
              <w:lastRenderedPageBreak/>
              <w:t xml:space="preserve">bankrupt’s creditor or surety or guarantee, </w:t>
            </w:r>
          </w:p>
          <w:p w14:paraId="69B9E876" w14:textId="77777777" w:rsidR="0060782D" w:rsidRPr="00AA7518" w:rsidRDefault="0060782D" w:rsidP="0060782D">
            <w:pPr>
              <w:numPr>
                <w:ilvl w:val="0"/>
                <w:numId w:val="30"/>
              </w:numPr>
              <w:jc w:val="both"/>
              <w:rPr>
                <w:rFonts w:ascii="Arial" w:hAnsi="Arial" w:cs="Arial"/>
                <w:sz w:val="22"/>
                <w:szCs w:val="22"/>
                <w:lang w:val="en-GB"/>
              </w:rPr>
            </w:pPr>
            <w:r w:rsidRPr="00AA7518">
              <w:rPr>
                <w:rFonts w:ascii="Arial" w:hAnsi="Arial" w:cs="Arial"/>
                <w:sz w:val="22"/>
                <w:szCs w:val="22"/>
                <w:lang w:val="en-GB"/>
              </w:rPr>
              <w:t xml:space="preserve">The transaction puts the person in a better position than they would have. </w:t>
            </w:r>
          </w:p>
          <w:p w14:paraId="1C17F4AD" w14:textId="77777777" w:rsidR="0060782D" w:rsidRPr="00AA7518" w:rsidRDefault="0060782D" w:rsidP="0060782D">
            <w:pPr>
              <w:numPr>
                <w:ilvl w:val="0"/>
                <w:numId w:val="30"/>
              </w:numPr>
              <w:jc w:val="both"/>
              <w:rPr>
                <w:rFonts w:ascii="Arial" w:hAnsi="Arial" w:cs="Arial"/>
                <w:sz w:val="22"/>
                <w:szCs w:val="22"/>
                <w:lang w:val="en-GB"/>
              </w:rPr>
            </w:pPr>
            <w:r w:rsidRPr="00AA7518">
              <w:rPr>
                <w:rFonts w:ascii="Arial" w:hAnsi="Arial" w:cs="Arial"/>
                <w:sz w:val="22"/>
                <w:szCs w:val="22"/>
                <w:lang w:val="en-GB"/>
              </w:rPr>
              <w:t xml:space="preserve">The bankrupt must be influenced by a desire to prefer the other party such they would be in a better position on bankruptcy. </w:t>
            </w:r>
          </w:p>
          <w:p w14:paraId="5F8C1BA3" w14:textId="77777777" w:rsidR="0060782D" w:rsidRDefault="0060782D" w:rsidP="002A37BB">
            <w:pPr>
              <w:jc w:val="both"/>
              <w:rPr>
                <w:rFonts w:ascii="Arial" w:hAnsi="Arial" w:cs="Arial"/>
                <w:sz w:val="22"/>
                <w:szCs w:val="22"/>
              </w:rPr>
            </w:pPr>
          </w:p>
        </w:tc>
      </w:tr>
      <w:tr w:rsidR="0060782D" w14:paraId="5A1F04BD" w14:textId="77777777" w:rsidTr="0060782D">
        <w:tc>
          <w:tcPr>
            <w:tcW w:w="707" w:type="dxa"/>
          </w:tcPr>
          <w:p w14:paraId="1B6CD93E" w14:textId="77777777" w:rsidR="0060782D" w:rsidRDefault="0060782D" w:rsidP="002A37BB">
            <w:pPr>
              <w:jc w:val="both"/>
              <w:rPr>
                <w:rFonts w:ascii="Arial" w:hAnsi="Arial" w:cs="Arial"/>
                <w:sz w:val="22"/>
                <w:szCs w:val="22"/>
              </w:rPr>
            </w:pPr>
          </w:p>
        </w:tc>
        <w:tc>
          <w:tcPr>
            <w:tcW w:w="1278" w:type="dxa"/>
          </w:tcPr>
          <w:p w14:paraId="39D6D6BF" w14:textId="59988596" w:rsidR="0060782D" w:rsidRDefault="0060782D" w:rsidP="002A37BB">
            <w:pPr>
              <w:jc w:val="both"/>
              <w:rPr>
                <w:rFonts w:ascii="Arial" w:hAnsi="Arial" w:cs="Arial"/>
                <w:sz w:val="22"/>
                <w:szCs w:val="22"/>
              </w:rPr>
            </w:pPr>
            <w:proofErr w:type="spellStart"/>
            <w:r>
              <w:rPr>
                <w:rFonts w:ascii="Arial" w:hAnsi="Arial" w:cs="Arial"/>
                <w:sz w:val="22"/>
                <w:szCs w:val="22"/>
              </w:rPr>
              <w:t>Defences</w:t>
            </w:r>
            <w:proofErr w:type="spellEnd"/>
          </w:p>
        </w:tc>
        <w:tc>
          <w:tcPr>
            <w:tcW w:w="5341" w:type="dxa"/>
          </w:tcPr>
          <w:p w14:paraId="5A8B777E" w14:textId="77777777" w:rsidR="0060782D" w:rsidRPr="00AA7518" w:rsidRDefault="0060782D" w:rsidP="0060782D">
            <w:pPr>
              <w:numPr>
                <w:ilvl w:val="0"/>
                <w:numId w:val="31"/>
              </w:numPr>
              <w:jc w:val="both"/>
              <w:rPr>
                <w:rFonts w:ascii="Arial" w:hAnsi="Arial" w:cs="Arial"/>
                <w:sz w:val="22"/>
                <w:szCs w:val="22"/>
                <w:lang w:val="en-GB"/>
              </w:rPr>
            </w:pPr>
            <w:r w:rsidRPr="00AA7518">
              <w:rPr>
                <w:rFonts w:ascii="Arial" w:hAnsi="Arial" w:cs="Arial"/>
                <w:sz w:val="22"/>
                <w:szCs w:val="22"/>
                <w:lang w:val="en-GB"/>
              </w:rPr>
              <w:t>The transaction was performed in the ordinary course of business.</w:t>
            </w:r>
          </w:p>
          <w:p w14:paraId="33740FA4" w14:textId="77777777" w:rsidR="0060782D" w:rsidRPr="00AA7518" w:rsidRDefault="0060782D" w:rsidP="0060782D">
            <w:pPr>
              <w:numPr>
                <w:ilvl w:val="0"/>
                <w:numId w:val="31"/>
              </w:numPr>
              <w:jc w:val="both"/>
              <w:rPr>
                <w:rFonts w:ascii="Arial" w:hAnsi="Arial" w:cs="Arial"/>
                <w:sz w:val="22"/>
                <w:szCs w:val="22"/>
                <w:lang w:val="en-GB"/>
              </w:rPr>
            </w:pPr>
            <w:r w:rsidRPr="00AA7518">
              <w:rPr>
                <w:rFonts w:ascii="Arial" w:hAnsi="Arial" w:cs="Arial"/>
                <w:sz w:val="22"/>
                <w:szCs w:val="22"/>
                <w:lang w:val="en-GB"/>
              </w:rPr>
              <w:t xml:space="preserve">It is necessity for the bankrupt to perform the transaction and no other option to secure the asset or property. </w:t>
            </w:r>
          </w:p>
          <w:p w14:paraId="01F93236" w14:textId="77777777" w:rsidR="0060782D" w:rsidRDefault="0060782D" w:rsidP="002A37BB">
            <w:pPr>
              <w:jc w:val="both"/>
              <w:rPr>
                <w:rFonts w:ascii="Arial" w:hAnsi="Arial" w:cs="Arial"/>
                <w:sz w:val="22"/>
                <w:szCs w:val="22"/>
              </w:rPr>
            </w:pPr>
          </w:p>
        </w:tc>
        <w:tc>
          <w:tcPr>
            <w:tcW w:w="3164" w:type="dxa"/>
          </w:tcPr>
          <w:p w14:paraId="020E4A6E" w14:textId="77777777" w:rsidR="0060782D" w:rsidRPr="00AA7518" w:rsidRDefault="0060782D" w:rsidP="0060782D">
            <w:pPr>
              <w:numPr>
                <w:ilvl w:val="0"/>
                <w:numId w:val="30"/>
              </w:numPr>
              <w:jc w:val="both"/>
              <w:rPr>
                <w:rFonts w:ascii="Arial" w:hAnsi="Arial" w:cs="Arial"/>
                <w:sz w:val="22"/>
                <w:szCs w:val="22"/>
                <w:lang w:val="en-GB"/>
              </w:rPr>
            </w:pPr>
            <w:r w:rsidRPr="00AA7518">
              <w:rPr>
                <w:rFonts w:ascii="Arial" w:hAnsi="Arial" w:cs="Arial"/>
                <w:sz w:val="22"/>
                <w:szCs w:val="22"/>
                <w:lang w:val="en-GB"/>
              </w:rPr>
              <w:t xml:space="preserve">The transaction was performed in good faith and in ordinary course of business. </w:t>
            </w:r>
          </w:p>
          <w:p w14:paraId="794A0C30" w14:textId="77777777" w:rsidR="0060782D" w:rsidRPr="00AA7518" w:rsidRDefault="0060782D" w:rsidP="0060782D">
            <w:pPr>
              <w:numPr>
                <w:ilvl w:val="0"/>
                <w:numId w:val="30"/>
              </w:numPr>
              <w:jc w:val="both"/>
              <w:rPr>
                <w:rFonts w:ascii="Arial" w:hAnsi="Arial" w:cs="Arial"/>
                <w:sz w:val="22"/>
                <w:szCs w:val="22"/>
                <w:lang w:val="en-GB"/>
              </w:rPr>
            </w:pPr>
            <w:r w:rsidRPr="00AA7518">
              <w:rPr>
                <w:rFonts w:ascii="Arial" w:hAnsi="Arial" w:cs="Arial"/>
                <w:sz w:val="22"/>
                <w:szCs w:val="22"/>
                <w:lang w:val="en-GB"/>
              </w:rPr>
              <w:t>The party who acquired such property bought it in good faith for value and without notice of the undervalue or unfair preference.</w:t>
            </w:r>
          </w:p>
          <w:p w14:paraId="5007E668" w14:textId="77777777" w:rsidR="0060782D" w:rsidRDefault="0060782D" w:rsidP="002A37BB">
            <w:pPr>
              <w:jc w:val="both"/>
              <w:rPr>
                <w:rFonts w:ascii="Arial" w:hAnsi="Arial" w:cs="Arial"/>
                <w:sz w:val="22"/>
                <w:szCs w:val="22"/>
              </w:rPr>
            </w:pPr>
          </w:p>
        </w:tc>
      </w:tr>
    </w:tbl>
    <w:p w14:paraId="3E798936" w14:textId="77777777" w:rsidR="00DE03AF" w:rsidRPr="002A37BB" w:rsidRDefault="00DE03AF" w:rsidP="002A37BB">
      <w:pPr>
        <w:jc w:val="both"/>
        <w:rPr>
          <w:rFonts w:ascii="Arial" w:hAnsi="Arial" w:cs="Arial"/>
          <w:sz w:val="22"/>
          <w:szCs w:val="22"/>
        </w:rPr>
      </w:pPr>
    </w:p>
    <w:p w14:paraId="5791A1DA" w14:textId="0181E0EF" w:rsidR="00020557" w:rsidRDefault="00020557" w:rsidP="002A37BB">
      <w:pPr>
        <w:jc w:val="both"/>
        <w:rPr>
          <w:rFonts w:ascii="Arial" w:hAnsi="Arial" w:cs="Arial"/>
          <w:sz w:val="22"/>
          <w:szCs w:val="22"/>
        </w:rPr>
      </w:pPr>
    </w:p>
    <w:p w14:paraId="6E9EE340" w14:textId="6080F174" w:rsidR="004F5DE9" w:rsidRDefault="004F5DE9" w:rsidP="002A37BB">
      <w:pPr>
        <w:jc w:val="both"/>
        <w:rPr>
          <w:rFonts w:ascii="Arial" w:hAnsi="Arial" w:cs="Arial"/>
          <w:sz w:val="22"/>
          <w:szCs w:val="22"/>
        </w:rPr>
      </w:pPr>
    </w:p>
    <w:p w14:paraId="4DBBE766" w14:textId="77777777" w:rsidR="004F5DE9" w:rsidRPr="002A37BB" w:rsidRDefault="004F5DE9" w:rsidP="002A37BB">
      <w:pPr>
        <w:jc w:val="both"/>
        <w:rPr>
          <w:rFonts w:ascii="Arial" w:hAnsi="Arial" w:cs="Arial"/>
          <w:sz w:val="22"/>
          <w:szCs w:val="22"/>
        </w:rPr>
      </w:pPr>
    </w:p>
    <w:p w14:paraId="08FAFBBE" w14:textId="77777777" w:rsidR="00C7284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DE03AF" w:rsidRPr="002A37BB">
        <w:rPr>
          <w:rFonts w:ascii="Arial" w:hAnsi="Arial" w:cs="Arial"/>
          <w:b/>
          <w:bCs/>
          <w:sz w:val="22"/>
          <w:szCs w:val="22"/>
        </w:rPr>
        <w:t>2.2</w:t>
      </w:r>
      <w:r w:rsidR="00DE03AF" w:rsidRPr="002A37BB">
        <w:rPr>
          <w:rFonts w:ascii="Arial" w:hAnsi="Arial" w:cs="Arial"/>
          <w:b/>
          <w:bCs/>
          <w:sz w:val="22"/>
          <w:szCs w:val="22"/>
        </w:rPr>
        <w:tab/>
        <w:t>[</w:t>
      </w:r>
      <w:r w:rsidR="00D17FDC" w:rsidRPr="002A37BB">
        <w:rPr>
          <w:rFonts w:ascii="Arial" w:hAnsi="Arial" w:cs="Arial"/>
          <w:b/>
          <w:bCs/>
          <w:sz w:val="22"/>
          <w:szCs w:val="22"/>
        </w:rPr>
        <w:t>m</w:t>
      </w:r>
      <w:r w:rsidR="00DE03AF" w:rsidRPr="002A37BB">
        <w:rPr>
          <w:rFonts w:ascii="Arial" w:hAnsi="Arial" w:cs="Arial"/>
          <w:b/>
          <w:bCs/>
          <w:sz w:val="22"/>
          <w:szCs w:val="22"/>
        </w:rPr>
        <w:t xml:space="preserve">aximum </w:t>
      </w:r>
      <w:r w:rsidR="005A6FF2">
        <w:rPr>
          <w:rFonts w:ascii="Arial" w:hAnsi="Arial" w:cs="Arial"/>
          <w:b/>
          <w:bCs/>
          <w:sz w:val="22"/>
          <w:szCs w:val="22"/>
        </w:rPr>
        <w:t>2</w:t>
      </w:r>
      <w:r w:rsidR="00DE03AF" w:rsidRPr="002A37BB">
        <w:rPr>
          <w:rFonts w:ascii="Arial" w:hAnsi="Arial" w:cs="Arial"/>
          <w:b/>
          <w:bCs/>
          <w:sz w:val="22"/>
          <w:szCs w:val="22"/>
        </w:rPr>
        <w:t xml:space="preserve"> marks]</w:t>
      </w:r>
      <w:r w:rsidR="00DE03AF" w:rsidRPr="002A37BB">
        <w:rPr>
          <w:rFonts w:ascii="Arial" w:hAnsi="Arial" w:cs="Arial"/>
          <w:sz w:val="22"/>
          <w:szCs w:val="22"/>
        </w:rPr>
        <w:t xml:space="preserve"> </w:t>
      </w:r>
    </w:p>
    <w:p w14:paraId="1F986FCF" w14:textId="77777777" w:rsidR="00C72848" w:rsidRPr="002A37BB" w:rsidRDefault="00C72848" w:rsidP="002A37BB">
      <w:pPr>
        <w:ind w:left="720" w:hanging="720"/>
        <w:jc w:val="both"/>
        <w:rPr>
          <w:rFonts w:ascii="Arial" w:hAnsi="Arial" w:cs="Arial"/>
          <w:sz w:val="22"/>
          <w:szCs w:val="22"/>
        </w:rPr>
      </w:pPr>
    </w:p>
    <w:p w14:paraId="36060C20" w14:textId="725769BE" w:rsidR="00DE03AF" w:rsidRDefault="009C5286" w:rsidP="002A37BB">
      <w:pPr>
        <w:jc w:val="both"/>
        <w:rPr>
          <w:rFonts w:ascii="Arial" w:hAnsi="Arial" w:cs="Arial"/>
          <w:sz w:val="22"/>
          <w:szCs w:val="22"/>
          <w:lang w:val="en-GB"/>
        </w:rPr>
      </w:pPr>
      <w:r>
        <w:rPr>
          <w:rFonts w:ascii="Arial" w:hAnsi="Arial" w:cs="Arial"/>
          <w:sz w:val="22"/>
          <w:szCs w:val="22"/>
          <w:lang w:val="en-GB"/>
        </w:rPr>
        <w:t>What is the objective and significance of</w:t>
      </w:r>
      <w:r w:rsidR="001A4484">
        <w:rPr>
          <w:rFonts w:ascii="Arial" w:hAnsi="Arial" w:cs="Arial"/>
          <w:sz w:val="22"/>
          <w:szCs w:val="22"/>
          <w:lang w:val="en-GB"/>
        </w:rPr>
        <w:t xml:space="preserve"> the </w:t>
      </w:r>
      <w:r w:rsidR="00F927F0">
        <w:rPr>
          <w:rFonts w:ascii="Arial" w:hAnsi="Arial" w:cs="Arial"/>
          <w:sz w:val="22"/>
          <w:szCs w:val="22"/>
          <w:lang w:val="en-GB"/>
        </w:rPr>
        <w:t>JIN Guidelines</w:t>
      </w:r>
      <w:r>
        <w:rPr>
          <w:rFonts w:ascii="Arial" w:hAnsi="Arial" w:cs="Arial"/>
          <w:sz w:val="22"/>
          <w:szCs w:val="22"/>
          <w:lang w:val="en-GB"/>
        </w:rPr>
        <w:t>?</w:t>
      </w:r>
      <w:r w:rsidDel="009C5286">
        <w:rPr>
          <w:rFonts w:ascii="Arial" w:hAnsi="Arial" w:cs="Arial"/>
          <w:sz w:val="22"/>
          <w:szCs w:val="22"/>
          <w:lang w:val="en-GB"/>
        </w:rPr>
        <w:t xml:space="preserve"> </w:t>
      </w:r>
    </w:p>
    <w:p w14:paraId="1E80A160" w14:textId="77777777" w:rsidR="00DE57E3" w:rsidRPr="002A37BB" w:rsidRDefault="00DE57E3" w:rsidP="002A37BB">
      <w:pPr>
        <w:jc w:val="both"/>
        <w:rPr>
          <w:rFonts w:ascii="Arial" w:hAnsi="Arial" w:cs="Arial"/>
          <w:sz w:val="22"/>
          <w:szCs w:val="22"/>
        </w:rPr>
      </w:pPr>
    </w:p>
    <w:p w14:paraId="3DCEA5D1" w14:textId="173DCEA6" w:rsidR="00DE57E3" w:rsidRPr="00DE57E3" w:rsidRDefault="00DE57E3" w:rsidP="00DE57E3">
      <w:pPr>
        <w:jc w:val="both"/>
        <w:rPr>
          <w:rFonts w:ascii="Arial" w:hAnsi="Arial" w:cs="Arial"/>
          <w:sz w:val="22"/>
          <w:szCs w:val="22"/>
          <w:lang w:val="en-GB"/>
        </w:rPr>
      </w:pPr>
      <w:r w:rsidRPr="00DE57E3">
        <w:rPr>
          <w:rFonts w:ascii="Arial" w:hAnsi="Arial" w:cs="Arial"/>
          <w:sz w:val="22"/>
          <w:szCs w:val="22"/>
          <w:lang w:val="en-GB"/>
        </w:rPr>
        <w:t>The JIN Guidelines are the first set of guidelines developed by insolvency judges to promote cooperation and communication between courts from various jurisdictions when they are faced with two or more proceedings on the same subject across the globe. They are meant only to supplement the procedural rules of the courts and do not have any effect on the substantive laws</w:t>
      </w:r>
      <w:r>
        <w:rPr>
          <w:rFonts w:ascii="Arial" w:hAnsi="Arial" w:cs="Arial"/>
          <w:sz w:val="22"/>
          <w:szCs w:val="22"/>
          <w:lang w:val="en-GB"/>
        </w:rPr>
        <w:t xml:space="preserve">. </w:t>
      </w:r>
      <w:r w:rsidRPr="00DE57E3">
        <w:rPr>
          <w:rFonts w:ascii="Arial" w:hAnsi="Arial" w:cs="Arial"/>
          <w:sz w:val="22"/>
          <w:szCs w:val="22"/>
          <w:lang w:val="en-GB"/>
        </w:rPr>
        <w:t>The provisions aim to reduce the amount of legal costs incurred during cross-border insolvency proceedings, and in doing so, preserve the value of financially distressed businesses and their assets.</w:t>
      </w:r>
      <w:r>
        <w:rPr>
          <w:rFonts w:ascii="Arial" w:hAnsi="Arial" w:cs="Arial"/>
          <w:sz w:val="22"/>
          <w:szCs w:val="22"/>
          <w:lang w:val="en-GB"/>
        </w:rPr>
        <w:t xml:space="preserve"> JIN Guidelines also </w:t>
      </w:r>
      <w:r w:rsidRPr="00DE57E3">
        <w:rPr>
          <w:rFonts w:ascii="Arial" w:hAnsi="Arial" w:cs="Arial"/>
          <w:sz w:val="22"/>
          <w:szCs w:val="22"/>
          <w:lang w:val="en-GB"/>
        </w:rPr>
        <w:t>insolvency representatives and other parties address key aspects of and the modalities for communication and cooperation amongst courts, insolvency representatives and other parties involved in cross-border insolvency proceedings.</w:t>
      </w:r>
    </w:p>
    <w:p w14:paraId="3BBC2994" w14:textId="77777777" w:rsidR="00DE57E3" w:rsidRPr="00DE57E3" w:rsidRDefault="00DE57E3" w:rsidP="00DE57E3">
      <w:pPr>
        <w:jc w:val="both"/>
        <w:rPr>
          <w:rFonts w:ascii="Arial" w:hAnsi="Arial" w:cs="Arial"/>
          <w:sz w:val="22"/>
          <w:szCs w:val="22"/>
          <w:lang w:val="en-GB"/>
        </w:rPr>
      </w:pPr>
    </w:p>
    <w:p w14:paraId="55DB7E26" w14:textId="3C93E6C3" w:rsidR="00FE2DE2" w:rsidRPr="00DE57E3" w:rsidRDefault="00DE57E3" w:rsidP="00DE57E3">
      <w:pPr>
        <w:jc w:val="both"/>
        <w:rPr>
          <w:rFonts w:ascii="Arial" w:hAnsi="Arial" w:cs="Arial"/>
          <w:sz w:val="22"/>
          <w:szCs w:val="22"/>
        </w:rPr>
      </w:pPr>
      <w:r w:rsidRPr="00DE57E3">
        <w:rPr>
          <w:rFonts w:ascii="Arial" w:hAnsi="Arial" w:cs="Arial"/>
          <w:sz w:val="22"/>
          <w:szCs w:val="22"/>
          <w:lang w:val="en-GB"/>
        </w:rPr>
        <w:t>One such instance is the provision of a platform for the conduct of a joint hearing between the courts. Under the JIN Guidelines, the courts can simultaneously hear the proceedings in one court, permit a foreign counsel to appear in front of it and communicate with the other court in advance of such a joint hearing to establish the procedures for the orderly making of submissions and rendering of decisions.</w:t>
      </w:r>
    </w:p>
    <w:p w14:paraId="3B74DA24" w14:textId="77777777" w:rsidR="00DE57E3" w:rsidRPr="00DE57E3" w:rsidRDefault="00DE57E3" w:rsidP="00DE57E3">
      <w:pPr>
        <w:jc w:val="both"/>
        <w:rPr>
          <w:rFonts w:ascii="Arial" w:hAnsi="Arial" w:cs="Arial"/>
          <w:sz w:val="22"/>
          <w:szCs w:val="22"/>
          <w:lang w:val="en-GB"/>
        </w:rPr>
      </w:pPr>
    </w:p>
    <w:p w14:paraId="608361AD" w14:textId="77777777" w:rsidR="00C72848" w:rsidRPr="002A37BB" w:rsidRDefault="0007291B"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2.3</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2B471CF0" w14:textId="77777777" w:rsidR="00C72848" w:rsidRPr="002A37BB" w:rsidRDefault="00C72848" w:rsidP="002A37BB">
      <w:pPr>
        <w:ind w:left="720" w:hanging="720"/>
        <w:jc w:val="both"/>
        <w:rPr>
          <w:rFonts w:ascii="Arial" w:hAnsi="Arial" w:cs="Arial"/>
          <w:b/>
          <w:bCs/>
          <w:sz w:val="22"/>
          <w:szCs w:val="22"/>
          <w:lang w:val="en-GB"/>
        </w:rPr>
      </w:pPr>
    </w:p>
    <w:p w14:paraId="21E65027" w14:textId="77777777" w:rsidR="00DB6103" w:rsidRDefault="00631DDB" w:rsidP="002A37BB">
      <w:pPr>
        <w:jc w:val="both"/>
        <w:rPr>
          <w:rFonts w:ascii="Arial" w:hAnsi="Arial" w:cs="Arial"/>
          <w:sz w:val="22"/>
          <w:szCs w:val="22"/>
          <w:lang w:val="en-GB"/>
        </w:rPr>
      </w:pPr>
      <w:r>
        <w:rPr>
          <w:rFonts w:ascii="Arial" w:hAnsi="Arial" w:cs="Arial"/>
          <w:sz w:val="22"/>
          <w:szCs w:val="22"/>
          <w:lang w:val="en-GB"/>
        </w:rPr>
        <w:t>How can a bankrupt obtain</w:t>
      </w:r>
      <w:r w:rsidR="006E4183">
        <w:rPr>
          <w:rFonts w:ascii="Arial" w:hAnsi="Arial" w:cs="Arial"/>
          <w:sz w:val="22"/>
          <w:szCs w:val="22"/>
          <w:lang w:val="en-GB"/>
        </w:rPr>
        <w:t xml:space="preserve"> </w:t>
      </w:r>
    </w:p>
    <w:p w14:paraId="0CDB2767" w14:textId="77777777" w:rsidR="00DB6103" w:rsidRDefault="00DB6103" w:rsidP="002A37BB">
      <w:pPr>
        <w:jc w:val="both"/>
        <w:rPr>
          <w:rFonts w:ascii="Arial" w:hAnsi="Arial" w:cs="Arial"/>
          <w:sz w:val="22"/>
          <w:szCs w:val="22"/>
          <w:lang w:val="en-GB"/>
        </w:rPr>
      </w:pPr>
    </w:p>
    <w:p w14:paraId="158CE988" w14:textId="1BC5633F" w:rsidR="00DB6103" w:rsidRPr="00DB6103" w:rsidRDefault="00751747"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an </w:t>
      </w:r>
      <w:r w:rsidR="006E4183" w:rsidRPr="00DB6103">
        <w:rPr>
          <w:rFonts w:ascii="Arial" w:hAnsi="Arial" w:cs="Arial"/>
          <w:sz w:val="22"/>
          <w:szCs w:val="22"/>
          <w:lang w:val="en-GB"/>
        </w:rPr>
        <w:t>annulment</w:t>
      </w:r>
      <w:r w:rsidR="00DB6103" w:rsidRPr="00DB6103">
        <w:rPr>
          <w:rFonts w:ascii="Arial" w:hAnsi="Arial" w:cs="Arial"/>
          <w:sz w:val="22"/>
          <w:szCs w:val="22"/>
          <w:lang w:val="en-GB"/>
        </w:rPr>
        <w:t>;</w:t>
      </w:r>
      <w:r w:rsidR="006E4183" w:rsidRPr="00DB6103">
        <w:rPr>
          <w:rFonts w:ascii="Arial" w:hAnsi="Arial" w:cs="Arial"/>
          <w:sz w:val="22"/>
          <w:szCs w:val="22"/>
          <w:lang w:val="en-GB"/>
        </w:rPr>
        <w:t xml:space="preserve"> </w:t>
      </w:r>
      <w:r w:rsidR="003D55C1" w:rsidRPr="00DB6103">
        <w:rPr>
          <w:rFonts w:ascii="Arial" w:hAnsi="Arial" w:cs="Arial"/>
          <w:sz w:val="22"/>
          <w:szCs w:val="22"/>
          <w:lang w:val="en-GB"/>
        </w:rPr>
        <w:t>and</w:t>
      </w:r>
      <w:r w:rsidR="00631DDB" w:rsidRPr="00DB6103">
        <w:rPr>
          <w:rFonts w:ascii="Arial" w:hAnsi="Arial" w:cs="Arial"/>
          <w:sz w:val="22"/>
          <w:szCs w:val="22"/>
          <w:lang w:val="en-GB"/>
        </w:rPr>
        <w:t xml:space="preserve"> </w:t>
      </w:r>
    </w:p>
    <w:p w14:paraId="297F8887" w14:textId="77777777" w:rsidR="00DB6103" w:rsidRDefault="00DB6103" w:rsidP="00DB6103">
      <w:pPr>
        <w:ind w:left="426"/>
        <w:jc w:val="both"/>
        <w:rPr>
          <w:rFonts w:ascii="Arial" w:hAnsi="Arial" w:cs="Arial"/>
          <w:sz w:val="22"/>
          <w:szCs w:val="22"/>
          <w:lang w:val="en-GB"/>
        </w:rPr>
      </w:pPr>
    </w:p>
    <w:p w14:paraId="0E8D5723" w14:textId="48F29ADD" w:rsidR="00DB6103" w:rsidRPr="00DB6103" w:rsidRDefault="003D55C1" w:rsidP="00DB6103">
      <w:pPr>
        <w:pStyle w:val="ListParagraph"/>
        <w:numPr>
          <w:ilvl w:val="0"/>
          <w:numId w:val="16"/>
        </w:numPr>
        <w:ind w:left="426"/>
        <w:jc w:val="both"/>
        <w:rPr>
          <w:rFonts w:ascii="Arial" w:hAnsi="Arial" w:cs="Arial"/>
          <w:sz w:val="22"/>
          <w:szCs w:val="22"/>
          <w:lang w:val="en-GB"/>
        </w:rPr>
      </w:pPr>
      <w:r w:rsidRPr="00DB6103">
        <w:rPr>
          <w:rFonts w:ascii="Arial" w:hAnsi="Arial" w:cs="Arial"/>
          <w:sz w:val="22"/>
          <w:szCs w:val="22"/>
          <w:lang w:val="en-GB"/>
        </w:rPr>
        <w:t xml:space="preserve">a </w:t>
      </w:r>
      <w:r w:rsidR="006E4183" w:rsidRPr="00DB6103">
        <w:rPr>
          <w:rFonts w:ascii="Arial" w:hAnsi="Arial" w:cs="Arial"/>
          <w:sz w:val="22"/>
          <w:szCs w:val="22"/>
          <w:lang w:val="en-GB"/>
        </w:rPr>
        <w:t xml:space="preserve">discharge </w:t>
      </w:r>
    </w:p>
    <w:p w14:paraId="4B6B6EF2" w14:textId="77777777" w:rsidR="00DB6103" w:rsidRDefault="00DB6103" w:rsidP="002A37BB">
      <w:pPr>
        <w:jc w:val="both"/>
        <w:rPr>
          <w:rFonts w:ascii="Arial" w:hAnsi="Arial" w:cs="Arial"/>
          <w:sz w:val="22"/>
          <w:szCs w:val="22"/>
          <w:lang w:val="en-GB"/>
        </w:rPr>
      </w:pPr>
    </w:p>
    <w:p w14:paraId="622DFD06" w14:textId="5F549881" w:rsidR="00C82D87" w:rsidRPr="002A37BB" w:rsidRDefault="006E4183" w:rsidP="002A37BB">
      <w:pPr>
        <w:jc w:val="both"/>
        <w:rPr>
          <w:rFonts w:ascii="Arial" w:hAnsi="Arial" w:cs="Arial"/>
          <w:sz w:val="22"/>
          <w:szCs w:val="22"/>
          <w:lang w:val="en-GB"/>
        </w:rPr>
      </w:pPr>
      <w:r>
        <w:rPr>
          <w:rFonts w:ascii="Arial" w:hAnsi="Arial" w:cs="Arial"/>
          <w:sz w:val="22"/>
          <w:szCs w:val="22"/>
          <w:lang w:val="en-GB"/>
        </w:rPr>
        <w:t xml:space="preserve">of </w:t>
      </w:r>
      <w:r w:rsidR="00631DDB">
        <w:rPr>
          <w:rFonts w:ascii="Arial" w:hAnsi="Arial" w:cs="Arial"/>
          <w:sz w:val="22"/>
          <w:szCs w:val="22"/>
          <w:lang w:val="en-GB"/>
        </w:rPr>
        <w:t>his</w:t>
      </w:r>
      <w:r w:rsidR="00F0392F">
        <w:rPr>
          <w:rFonts w:ascii="Arial" w:hAnsi="Arial" w:cs="Arial"/>
          <w:sz w:val="22"/>
          <w:szCs w:val="22"/>
          <w:lang w:val="en-GB"/>
        </w:rPr>
        <w:t xml:space="preserve"> </w:t>
      </w:r>
      <w:r>
        <w:rPr>
          <w:rFonts w:ascii="Arial" w:hAnsi="Arial" w:cs="Arial"/>
          <w:sz w:val="22"/>
          <w:szCs w:val="22"/>
          <w:lang w:val="en-GB"/>
        </w:rPr>
        <w:t>bankruptcy</w:t>
      </w:r>
      <w:r w:rsidR="00195E02">
        <w:rPr>
          <w:rFonts w:ascii="Arial" w:hAnsi="Arial" w:cs="Arial"/>
          <w:sz w:val="22"/>
          <w:szCs w:val="22"/>
          <w:lang w:val="en-GB"/>
        </w:rPr>
        <w:t xml:space="preserve"> under the Singapore IRDA</w:t>
      </w:r>
      <w:r w:rsidR="003D55C1">
        <w:rPr>
          <w:rFonts w:ascii="Arial" w:hAnsi="Arial" w:cs="Arial"/>
          <w:sz w:val="22"/>
          <w:szCs w:val="22"/>
          <w:lang w:val="en-GB"/>
        </w:rPr>
        <w:t>?</w:t>
      </w:r>
    </w:p>
    <w:p w14:paraId="74F0421F" w14:textId="2B80249A" w:rsidR="00B61255" w:rsidRPr="00B61255" w:rsidRDefault="00B61255" w:rsidP="00B61255">
      <w:pPr>
        <w:pStyle w:val="NormalWeb"/>
        <w:shd w:val="clear" w:color="auto" w:fill="FFFFFF"/>
        <w:jc w:val="both"/>
        <w:rPr>
          <w:rFonts w:ascii="Arial" w:hAnsi="Arial" w:cs="Arial"/>
          <w:sz w:val="22"/>
          <w:szCs w:val="22"/>
          <w:lang w:val="en-GB"/>
        </w:rPr>
      </w:pPr>
      <w:r w:rsidRPr="00B61255">
        <w:rPr>
          <w:rFonts w:ascii="Arial" w:hAnsi="Arial" w:cs="Arial"/>
          <w:sz w:val="22"/>
          <w:szCs w:val="22"/>
          <w:lang w:val="en-GB"/>
        </w:rPr>
        <w:t>When a bankrupt repays his debt in full or makes a settlement offer which is accepted by a majority (in number) of his creditors representing at least 75% of the total debt owed, the Bankruptcy Order made against him will be annulled. In the case of a settlement offer, the outcome of the annulment is dependent on the creditors. If the creditors accept the proposal, a Certificate of Annulment will be issued under Section 95A of the Bankruptcy Act (Chapter 20). The annulment of the Bankruptcy Order has the effect of putting the debtor in the same position as if no Bankruptcy Order had been made against him, but it does not release the debtor from any provable debts which have not been filed against him when the bankruptcy was in force.</w:t>
      </w:r>
    </w:p>
    <w:p w14:paraId="2F2CAF01" w14:textId="52A5330A" w:rsidR="00B61255" w:rsidRPr="00B61255" w:rsidRDefault="00B61255" w:rsidP="00B61255">
      <w:pPr>
        <w:pStyle w:val="NormalWeb"/>
        <w:shd w:val="clear" w:color="auto" w:fill="FFFFFF"/>
        <w:jc w:val="both"/>
        <w:rPr>
          <w:rFonts w:ascii="Arial" w:hAnsi="Arial" w:cs="Arial"/>
          <w:sz w:val="22"/>
          <w:szCs w:val="22"/>
          <w:lang w:val="en-GB"/>
        </w:rPr>
      </w:pPr>
      <w:r w:rsidRPr="00B61255">
        <w:rPr>
          <w:rFonts w:ascii="Arial" w:hAnsi="Arial" w:cs="Arial"/>
          <w:sz w:val="22"/>
          <w:szCs w:val="22"/>
          <w:lang w:val="en-GB"/>
        </w:rPr>
        <w:t>A bankrupt may apply to the High Court to grant him an Order of Discharge. The Official Assignee may also apply to the High Court for the bankrupt’s discharge under Section 124 of the Bankruptcy Act (Chapter 20) if the proven debts exceed S$500,000. The High Court will take into consideration the views of the Official Assignee and the bankrupt’s creditors before deciding whether to discharge him from bankruptcy. The High Court will consider facts such as the bankrupt’s age, earning capacity and his assets before deciding whether to discharge him. In addition, the High Court will also consider the amount of monthly instalment payments the bankrupt has contributed to his bankruptcy estate for the benefit of his creditors, whether any bankruptcy offences were committed, and generally, whether the bankrupt has co-operated fully with the Official Assignee in the administration of the bankruptcy estate. The Official Assignee may discharge the bankrupt from bankruptcy provided at least three years have lapsed since the commencement of the bankruptcy and where the proven debts do not exceed S$500,000.</w:t>
      </w:r>
    </w:p>
    <w:p w14:paraId="6E08E6F5" w14:textId="77777777" w:rsidR="00B61255" w:rsidRPr="00B61255" w:rsidRDefault="00B61255" w:rsidP="00B61255">
      <w:pPr>
        <w:pStyle w:val="NormalWeb"/>
        <w:shd w:val="clear" w:color="auto" w:fill="FFFFFF"/>
        <w:jc w:val="both"/>
        <w:rPr>
          <w:rFonts w:ascii="Arial" w:hAnsi="Arial" w:cs="Arial"/>
          <w:sz w:val="22"/>
          <w:szCs w:val="22"/>
          <w:lang w:val="en-GB"/>
        </w:rPr>
      </w:pPr>
    </w:p>
    <w:p w14:paraId="150DB26A" w14:textId="77777777" w:rsidR="00C550C8" w:rsidRPr="00B61255" w:rsidRDefault="00C550C8" w:rsidP="002A37BB">
      <w:pPr>
        <w:jc w:val="both"/>
        <w:rPr>
          <w:rFonts w:ascii="Arial" w:hAnsi="Arial" w:cs="Arial"/>
          <w:bCs/>
          <w:sz w:val="22"/>
          <w:szCs w:val="22"/>
        </w:rPr>
      </w:pPr>
    </w:p>
    <w:p w14:paraId="4982587C" w14:textId="77777777" w:rsidR="00962045" w:rsidRPr="002A37BB" w:rsidRDefault="0007291B" w:rsidP="002A37BB">
      <w:pPr>
        <w:jc w:val="both"/>
        <w:rPr>
          <w:rFonts w:ascii="Arial" w:hAnsi="Arial" w:cs="Arial"/>
          <w:b/>
          <w:sz w:val="22"/>
          <w:szCs w:val="22"/>
          <w:lang w:val="en-GB"/>
        </w:rPr>
      </w:pPr>
      <w:r w:rsidRPr="002A37BB">
        <w:rPr>
          <w:rFonts w:ascii="Arial" w:hAnsi="Arial" w:cs="Arial"/>
          <w:b/>
          <w:sz w:val="22"/>
          <w:szCs w:val="22"/>
          <w:lang w:val="en-GB"/>
        </w:rPr>
        <w:t>QUESTION 3 (essay-type questions)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 xml:space="preserve">] </w:t>
      </w:r>
    </w:p>
    <w:p w14:paraId="28896DEE" w14:textId="77777777" w:rsidR="00962045" w:rsidRPr="002A37BB" w:rsidRDefault="00962045" w:rsidP="002A37BB">
      <w:pPr>
        <w:jc w:val="both"/>
        <w:rPr>
          <w:rFonts w:ascii="Arial" w:hAnsi="Arial" w:cs="Arial"/>
          <w:sz w:val="22"/>
          <w:szCs w:val="22"/>
          <w:lang w:val="en-GB"/>
        </w:rPr>
      </w:pPr>
    </w:p>
    <w:p w14:paraId="3B4B17FB" w14:textId="77777777" w:rsidR="00C550C8" w:rsidRPr="002A37BB" w:rsidRDefault="0007291B"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087F21">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14:paraId="4AE3CDD4" w14:textId="77777777" w:rsidR="00C550C8" w:rsidRPr="002A37BB" w:rsidRDefault="00C550C8" w:rsidP="002A37BB">
      <w:pPr>
        <w:ind w:left="720" w:hanging="720"/>
        <w:jc w:val="both"/>
        <w:rPr>
          <w:rFonts w:ascii="Arial" w:hAnsi="Arial" w:cs="Arial"/>
          <w:sz w:val="22"/>
          <w:szCs w:val="22"/>
        </w:rPr>
      </w:pPr>
    </w:p>
    <w:p w14:paraId="6E4E9686" w14:textId="77777777" w:rsidR="00E426B2" w:rsidRDefault="0007291B" w:rsidP="002A37BB">
      <w:pPr>
        <w:jc w:val="both"/>
        <w:rPr>
          <w:rFonts w:ascii="Arial" w:hAnsi="Arial" w:cs="Arial"/>
          <w:sz w:val="22"/>
          <w:szCs w:val="22"/>
          <w:lang w:val="en-GB"/>
        </w:rPr>
      </w:pPr>
      <w:r>
        <w:rPr>
          <w:rFonts w:ascii="Arial" w:hAnsi="Arial" w:cs="Arial"/>
          <w:sz w:val="22"/>
          <w:szCs w:val="22"/>
          <w:lang w:val="en-GB"/>
        </w:rPr>
        <w:t>Write a</w:t>
      </w:r>
      <w:r w:rsidR="008277A3">
        <w:rPr>
          <w:rFonts w:ascii="Arial" w:hAnsi="Arial" w:cs="Arial"/>
          <w:sz w:val="22"/>
          <w:szCs w:val="22"/>
          <w:lang w:val="en-GB"/>
        </w:rPr>
        <w:t xml:space="preserve"> brief </w:t>
      </w:r>
      <w:r>
        <w:rPr>
          <w:rFonts w:ascii="Arial" w:hAnsi="Arial" w:cs="Arial"/>
          <w:sz w:val="22"/>
          <w:szCs w:val="22"/>
          <w:lang w:val="en-GB"/>
        </w:rPr>
        <w:t>essay on</w:t>
      </w:r>
      <w:r w:rsidR="009C526D">
        <w:rPr>
          <w:rFonts w:ascii="Arial" w:hAnsi="Arial" w:cs="Arial"/>
          <w:sz w:val="22"/>
          <w:szCs w:val="22"/>
          <w:lang w:val="en-GB"/>
        </w:rPr>
        <w:t xml:space="preserve"> </w:t>
      </w:r>
    </w:p>
    <w:p w14:paraId="677D725D" w14:textId="77777777" w:rsidR="00E426B2" w:rsidRDefault="00E426B2" w:rsidP="002A37BB">
      <w:pPr>
        <w:jc w:val="both"/>
        <w:rPr>
          <w:rFonts w:ascii="Arial" w:hAnsi="Arial" w:cs="Arial"/>
          <w:sz w:val="22"/>
          <w:szCs w:val="22"/>
          <w:lang w:val="en-GB"/>
        </w:rPr>
      </w:pPr>
    </w:p>
    <w:p w14:paraId="5E214779" w14:textId="1528F221" w:rsidR="00E426B2" w:rsidRPr="0050319C" w:rsidRDefault="0013379E"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the</w:t>
      </w:r>
      <w:r w:rsidR="00954F89" w:rsidRPr="0050319C">
        <w:rPr>
          <w:rFonts w:ascii="Arial" w:hAnsi="Arial" w:cs="Arial"/>
          <w:sz w:val="22"/>
          <w:szCs w:val="22"/>
          <w:lang w:val="en-GB"/>
        </w:rPr>
        <w:t xml:space="preserve"> restrictions on</w:t>
      </w:r>
      <w:r w:rsidR="00631DDB" w:rsidRPr="0050319C">
        <w:rPr>
          <w:rFonts w:ascii="Arial" w:hAnsi="Arial" w:cs="Arial"/>
          <w:sz w:val="22"/>
          <w:szCs w:val="22"/>
          <w:lang w:val="en-GB"/>
        </w:rPr>
        <w:t xml:space="preserve"> </w:t>
      </w:r>
      <w:r w:rsidR="00954F89" w:rsidRPr="0050319C">
        <w:rPr>
          <w:rFonts w:ascii="Arial" w:hAnsi="Arial" w:cs="Arial"/>
          <w:i/>
          <w:iCs/>
          <w:sz w:val="22"/>
          <w:szCs w:val="22"/>
          <w:lang w:val="en-GB"/>
        </w:rPr>
        <w:t>ipso facto</w:t>
      </w:r>
      <w:r w:rsidR="00954F89" w:rsidRPr="0050319C">
        <w:rPr>
          <w:rFonts w:ascii="Arial" w:hAnsi="Arial" w:cs="Arial"/>
          <w:sz w:val="22"/>
          <w:szCs w:val="22"/>
          <w:lang w:val="en-GB"/>
        </w:rPr>
        <w:t xml:space="preserve"> clauses</w:t>
      </w:r>
      <w:r w:rsidR="0050319C" w:rsidRPr="0050319C">
        <w:rPr>
          <w:rFonts w:ascii="Arial" w:hAnsi="Arial" w:cs="Arial"/>
          <w:sz w:val="22"/>
          <w:szCs w:val="22"/>
          <w:lang w:val="en-GB"/>
        </w:rPr>
        <w:t>;</w:t>
      </w:r>
      <w:r w:rsidR="00954F89" w:rsidRPr="0050319C">
        <w:rPr>
          <w:rFonts w:ascii="Arial" w:hAnsi="Arial" w:cs="Arial"/>
          <w:sz w:val="22"/>
          <w:szCs w:val="22"/>
          <w:lang w:val="en-GB"/>
        </w:rPr>
        <w:t xml:space="preserve"> and </w:t>
      </w:r>
    </w:p>
    <w:p w14:paraId="013D31A8" w14:textId="77777777" w:rsidR="00E426B2" w:rsidRDefault="00E426B2" w:rsidP="0050319C">
      <w:pPr>
        <w:ind w:left="426"/>
        <w:jc w:val="both"/>
        <w:rPr>
          <w:rFonts w:ascii="Arial" w:hAnsi="Arial" w:cs="Arial"/>
          <w:sz w:val="22"/>
          <w:szCs w:val="22"/>
          <w:lang w:val="en-GB"/>
        </w:rPr>
      </w:pPr>
    </w:p>
    <w:p w14:paraId="4BABCDCA" w14:textId="2716E284" w:rsidR="00E426B2" w:rsidRPr="0050319C" w:rsidRDefault="00954F89" w:rsidP="0050319C">
      <w:pPr>
        <w:pStyle w:val="ListParagraph"/>
        <w:numPr>
          <w:ilvl w:val="0"/>
          <w:numId w:val="14"/>
        </w:numPr>
        <w:ind w:left="426"/>
        <w:jc w:val="both"/>
        <w:rPr>
          <w:rFonts w:ascii="Arial" w:hAnsi="Arial" w:cs="Arial"/>
          <w:sz w:val="22"/>
          <w:szCs w:val="22"/>
          <w:lang w:val="en-GB"/>
        </w:rPr>
      </w:pPr>
      <w:r w:rsidRPr="0050319C">
        <w:rPr>
          <w:rFonts w:ascii="Arial" w:hAnsi="Arial" w:cs="Arial"/>
          <w:sz w:val="22"/>
          <w:szCs w:val="22"/>
          <w:lang w:val="en-GB"/>
        </w:rPr>
        <w:t>wrongful trading</w:t>
      </w:r>
    </w:p>
    <w:p w14:paraId="12AC4EE2" w14:textId="77777777" w:rsidR="00E426B2" w:rsidRDefault="00E426B2" w:rsidP="002A37BB">
      <w:pPr>
        <w:jc w:val="both"/>
        <w:rPr>
          <w:rFonts w:ascii="Arial" w:hAnsi="Arial" w:cs="Arial"/>
          <w:sz w:val="22"/>
          <w:szCs w:val="22"/>
          <w:lang w:val="en-GB"/>
        </w:rPr>
      </w:pPr>
    </w:p>
    <w:p w14:paraId="205C0919" w14:textId="59DD7B45" w:rsidR="00C550C8" w:rsidRDefault="00546D65" w:rsidP="002A37BB">
      <w:pPr>
        <w:jc w:val="both"/>
        <w:rPr>
          <w:rFonts w:ascii="Arial" w:hAnsi="Arial" w:cs="Arial"/>
          <w:sz w:val="22"/>
          <w:szCs w:val="22"/>
          <w:lang w:val="en-GB"/>
        </w:rPr>
      </w:pPr>
      <w:r>
        <w:rPr>
          <w:rFonts w:ascii="Arial" w:hAnsi="Arial" w:cs="Arial"/>
          <w:sz w:val="22"/>
          <w:szCs w:val="22"/>
          <w:lang w:val="en-GB"/>
        </w:rPr>
        <w:t>under the Singapore IRDA</w:t>
      </w:r>
      <w:r w:rsidR="00954F89">
        <w:rPr>
          <w:rFonts w:ascii="Arial" w:hAnsi="Arial" w:cs="Arial"/>
          <w:sz w:val="22"/>
          <w:szCs w:val="22"/>
          <w:lang w:val="en-GB"/>
        </w:rPr>
        <w:t xml:space="preserve">. </w:t>
      </w:r>
    </w:p>
    <w:p w14:paraId="20CEF1E4" w14:textId="3E2279EA" w:rsidR="007C16D0" w:rsidRDefault="007C16D0" w:rsidP="002A37BB">
      <w:pPr>
        <w:jc w:val="both"/>
        <w:rPr>
          <w:rFonts w:ascii="Arial" w:hAnsi="Arial" w:cs="Arial"/>
          <w:sz w:val="22"/>
          <w:szCs w:val="22"/>
          <w:lang w:val="en-GB"/>
        </w:rPr>
      </w:pPr>
    </w:p>
    <w:p w14:paraId="4BABE7CA" w14:textId="1CE80BCC" w:rsidR="007C16D0" w:rsidRDefault="007C16D0" w:rsidP="002A37BB">
      <w:pPr>
        <w:jc w:val="both"/>
        <w:rPr>
          <w:rFonts w:ascii="Arial" w:hAnsi="Arial" w:cs="Arial"/>
          <w:sz w:val="22"/>
          <w:szCs w:val="22"/>
          <w:lang w:val="en-GB"/>
        </w:rPr>
      </w:pPr>
    </w:p>
    <w:p w14:paraId="0D195BAB" w14:textId="20DE5855" w:rsidR="007C16D0" w:rsidRDefault="007C16D0" w:rsidP="002A37BB">
      <w:pPr>
        <w:jc w:val="both"/>
        <w:rPr>
          <w:rFonts w:ascii="Arial" w:hAnsi="Arial" w:cs="Arial"/>
          <w:sz w:val="22"/>
          <w:szCs w:val="22"/>
          <w:lang w:val="en-GB"/>
        </w:rPr>
      </w:pPr>
    </w:p>
    <w:p w14:paraId="0CEF8AFA" w14:textId="77777777" w:rsidR="007C16D0" w:rsidRPr="002A37BB" w:rsidRDefault="007C16D0" w:rsidP="002A37BB">
      <w:pPr>
        <w:jc w:val="both"/>
        <w:rPr>
          <w:rFonts w:ascii="Arial" w:hAnsi="Arial" w:cs="Arial"/>
          <w:sz w:val="22"/>
          <w:szCs w:val="22"/>
        </w:rPr>
      </w:pPr>
    </w:p>
    <w:p w14:paraId="72F57A5C" w14:textId="3044F60B" w:rsidR="00544127" w:rsidRPr="007C16D0" w:rsidRDefault="00544127" w:rsidP="002A37BB">
      <w:pPr>
        <w:jc w:val="both"/>
        <w:rPr>
          <w:rFonts w:ascii="Arial" w:hAnsi="Arial" w:cs="Arial"/>
          <w:sz w:val="22"/>
          <w:szCs w:val="22"/>
          <w:lang w:val="en-GB"/>
        </w:rPr>
      </w:pPr>
    </w:p>
    <w:p w14:paraId="293DDD2E" w14:textId="114808C9" w:rsidR="00A90827" w:rsidRPr="007C16D0" w:rsidRDefault="00A90827" w:rsidP="007C16D0">
      <w:pPr>
        <w:jc w:val="center"/>
        <w:rPr>
          <w:rFonts w:ascii="Arial" w:hAnsi="Arial" w:cs="Arial"/>
          <w:sz w:val="22"/>
          <w:szCs w:val="22"/>
          <w:lang w:val="en-GB"/>
        </w:rPr>
      </w:pPr>
      <w:r w:rsidRPr="007C16D0">
        <w:rPr>
          <w:rFonts w:ascii="Arial" w:hAnsi="Arial" w:cs="Arial"/>
          <w:sz w:val="22"/>
          <w:szCs w:val="22"/>
          <w:lang w:val="en-GB"/>
        </w:rPr>
        <w:lastRenderedPageBreak/>
        <w:t>THE RESTRICTIONS ON IPSO FACTO CLAUSES</w:t>
      </w:r>
    </w:p>
    <w:p w14:paraId="04018153" w14:textId="5F67B955" w:rsidR="00A90827" w:rsidRPr="007C16D0" w:rsidRDefault="00A90827" w:rsidP="007C16D0">
      <w:pPr>
        <w:jc w:val="both"/>
        <w:rPr>
          <w:rFonts w:ascii="Arial" w:hAnsi="Arial" w:cs="Arial"/>
          <w:sz w:val="22"/>
          <w:szCs w:val="22"/>
          <w:lang w:val="en-GB"/>
        </w:rPr>
      </w:pPr>
      <w:r w:rsidRPr="007C16D0">
        <w:rPr>
          <w:rFonts w:ascii="Arial" w:hAnsi="Arial" w:cs="Arial"/>
          <w:sz w:val="22"/>
          <w:szCs w:val="22"/>
          <w:lang w:val="en-GB"/>
        </w:rPr>
        <w:t xml:space="preserve"> The term ‘ipso facto’ is a Latin word which means “by the fact itself”. In the insolvency context, ipso facto clauses refer to clauses, which are usually contained in a commercial contract which allow one party to terminate or modify the contract upon the other party’s insolvency. To illustrate this, if Party A and Party B enter into a commercial contract containing an ipso facto clause, if Party A subsequently becomes insolvent (</w:t>
      </w:r>
      <w:proofErr w:type="spellStart"/>
      <w:r w:rsidRPr="007C16D0">
        <w:rPr>
          <w:rFonts w:ascii="Arial" w:hAnsi="Arial" w:cs="Arial"/>
          <w:sz w:val="22"/>
          <w:szCs w:val="22"/>
          <w:lang w:val="en-GB"/>
        </w:rPr>
        <w:t>i.e</w:t>
      </w:r>
      <w:proofErr w:type="spellEnd"/>
      <w:r w:rsidRPr="007C16D0">
        <w:rPr>
          <w:rFonts w:ascii="Arial" w:hAnsi="Arial" w:cs="Arial"/>
          <w:sz w:val="22"/>
          <w:szCs w:val="22"/>
          <w:lang w:val="en-GB"/>
        </w:rPr>
        <w:t xml:space="preserve"> it is unable to pay its debts when they falls due), then Party B can rely on the ipso facto clause to immediately terminate the contract and to thereafter stop performing any further contractual obligations it may have owed under the contract.</w:t>
      </w:r>
    </w:p>
    <w:p w14:paraId="48CB0653" w14:textId="77777777" w:rsidR="00A90827" w:rsidRPr="007C16D0" w:rsidRDefault="00A90827" w:rsidP="007C16D0">
      <w:pPr>
        <w:jc w:val="both"/>
        <w:rPr>
          <w:rFonts w:ascii="Arial" w:hAnsi="Arial" w:cs="Arial"/>
          <w:sz w:val="22"/>
          <w:szCs w:val="22"/>
          <w:lang w:val="en-GB"/>
        </w:rPr>
      </w:pPr>
      <w:r w:rsidRPr="007C16D0">
        <w:rPr>
          <w:rFonts w:ascii="Arial" w:hAnsi="Arial" w:cs="Arial"/>
          <w:sz w:val="22"/>
          <w:szCs w:val="22"/>
          <w:lang w:val="en-GB"/>
        </w:rPr>
        <w:t>Such ipso facto clauses have often proven detrimental to businesses which are technically insolvent and that are trying to undergo restructuring. These ipso facto clauses cause a cascading effect which makes it difficult for such companies to obtain rescue financing and to trade their way out of debt.</w:t>
      </w:r>
    </w:p>
    <w:p w14:paraId="2FBE6855" w14:textId="77777777" w:rsidR="00A90827" w:rsidRPr="007C16D0" w:rsidRDefault="00A90827" w:rsidP="007C16D0">
      <w:pPr>
        <w:jc w:val="both"/>
        <w:rPr>
          <w:rFonts w:ascii="Arial" w:hAnsi="Arial" w:cs="Arial"/>
          <w:sz w:val="22"/>
          <w:szCs w:val="22"/>
          <w:lang w:val="en-GB"/>
        </w:rPr>
      </w:pPr>
      <w:r w:rsidRPr="007C16D0">
        <w:rPr>
          <w:rFonts w:ascii="Arial" w:hAnsi="Arial" w:cs="Arial"/>
          <w:sz w:val="22"/>
          <w:szCs w:val="22"/>
          <w:lang w:val="en-GB"/>
        </w:rPr>
        <w:t>Before the enactment of the IRDA, such ipso facto clauses were not restricted. This was detrimental for struggling companies that sought to restructure their assets, as they lost valuable contracts due to this clause even though they might be in a position to fulfil their contractual obligations going forward. Therefore, to address this problem, the IRDA included section 440(1) which restricts the use of this clause to terminate contracts solely due to the insolvency of the counterparty.</w:t>
      </w:r>
    </w:p>
    <w:p w14:paraId="36B557FA" w14:textId="5013CCBA" w:rsidR="00A90827" w:rsidRPr="007C16D0" w:rsidRDefault="00A90827" w:rsidP="007C16D0">
      <w:pPr>
        <w:jc w:val="both"/>
        <w:rPr>
          <w:rFonts w:ascii="Arial" w:hAnsi="Arial" w:cs="Arial"/>
          <w:sz w:val="22"/>
          <w:szCs w:val="22"/>
          <w:lang w:val="en-GB"/>
        </w:rPr>
      </w:pPr>
      <w:r w:rsidRPr="007C16D0">
        <w:rPr>
          <w:rFonts w:ascii="Arial" w:hAnsi="Arial" w:cs="Arial"/>
          <w:sz w:val="22"/>
          <w:szCs w:val="22"/>
          <w:lang w:val="en-GB"/>
        </w:rPr>
        <w:t>The enactment of this provision aligns the country’s restructuring framework with that of countries like the UK, the US and Australia which place similar restrictions on ipso facto clauses.</w:t>
      </w:r>
    </w:p>
    <w:p w14:paraId="4A0AD0B7" w14:textId="77777777" w:rsidR="009E28E3" w:rsidRPr="009E28E3" w:rsidRDefault="009E28E3" w:rsidP="00185CA6">
      <w:pPr>
        <w:pStyle w:val="NormalWeb"/>
        <w:shd w:val="clear" w:color="auto" w:fill="FFFFFF"/>
        <w:spacing w:line="276" w:lineRule="auto"/>
        <w:rPr>
          <w:rFonts w:ascii="Arial" w:hAnsi="Arial" w:cs="Arial"/>
          <w:sz w:val="22"/>
          <w:szCs w:val="22"/>
          <w:lang w:val="en-GB"/>
        </w:rPr>
      </w:pPr>
      <w:r w:rsidRPr="009E28E3">
        <w:rPr>
          <w:rFonts w:ascii="Arial" w:hAnsi="Arial" w:cs="Arial"/>
          <w:sz w:val="22"/>
          <w:szCs w:val="22"/>
          <w:lang w:val="en-GB"/>
        </w:rPr>
        <w:t>section 440 of the IRDA restricts a party from:</w:t>
      </w:r>
    </w:p>
    <w:p w14:paraId="1BF5E036" w14:textId="77777777" w:rsidR="009E28E3" w:rsidRPr="009E28E3" w:rsidRDefault="009E28E3" w:rsidP="00185CA6">
      <w:pPr>
        <w:pStyle w:val="indent1"/>
        <w:shd w:val="clear" w:color="auto" w:fill="FFFFFF"/>
        <w:spacing w:line="276" w:lineRule="auto"/>
        <w:rPr>
          <w:rFonts w:ascii="Arial" w:hAnsi="Arial" w:cs="Arial"/>
          <w:sz w:val="22"/>
          <w:szCs w:val="22"/>
          <w:lang w:val="en-GB" w:eastAsia="en-US"/>
        </w:rPr>
      </w:pPr>
      <w:r w:rsidRPr="009E28E3">
        <w:rPr>
          <w:rFonts w:ascii="Arial" w:hAnsi="Arial" w:cs="Arial"/>
          <w:sz w:val="22"/>
          <w:szCs w:val="22"/>
          <w:lang w:val="en-GB" w:eastAsia="en-US"/>
        </w:rPr>
        <w:t>(a)    terminating, amending, or claiming an accelerated payment or forfeiture of a term under any agreement; or</w:t>
      </w:r>
    </w:p>
    <w:p w14:paraId="42A74864" w14:textId="77777777" w:rsidR="009E28E3" w:rsidRPr="009E28E3" w:rsidRDefault="009E28E3" w:rsidP="00185CA6">
      <w:pPr>
        <w:pStyle w:val="indent1"/>
        <w:shd w:val="clear" w:color="auto" w:fill="FFFFFF"/>
        <w:spacing w:line="276" w:lineRule="auto"/>
        <w:rPr>
          <w:rFonts w:ascii="Arial" w:hAnsi="Arial" w:cs="Arial"/>
          <w:sz w:val="22"/>
          <w:szCs w:val="22"/>
          <w:lang w:val="en-GB" w:eastAsia="en-US"/>
        </w:rPr>
      </w:pPr>
      <w:r w:rsidRPr="009E28E3">
        <w:rPr>
          <w:rFonts w:ascii="Arial" w:hAnsi="Arial" w:cs="Arial"/>
          <w:sz w:val="22"/>
          <w:szCs w:val="22"/>
          <w:lang w:val="en-GB" w:eastAsia="en-US"/>
        </w:rPr>
        <w:t>(b)    terminating or modifying any right or obligation under any agreement (including a security agreement),</w:t>
      </w:r>
    </w:p>
    <w:p w14:paraId="2690F6D3" w14:textId="77777777" w:rsidR="009E28E3" w:rsidRPr="009E28E3" w:rsidRDefault="009E28E3" w:rsidP="00185CA6">
      <w:pPr>
        <w:pStyle w:val="NormalWeb"/>
        <w:shd w:val="clear" w:color="auto" w:fill="FFFFFF"/>
        <w:spacing w:line="276" w:lineRule="auto"/>
        <w:rPr>
          <w:rFonts w:ascii="Arial" w:hAnsi="Arial" w:cs="Arial"/>
          <w:sz w:val="22"/>
          <w:szCs w:val="22"/>
          <w:lang w:val="en-GB"/>
        </w:rPr>
      </w:pPr>
      <w:r w:rsidRPr="009E28E3">
        <w:rPr>
          <w:rFonts w:ascii="Arial" w:hAnsi="Arial" w:cs="Arial"/>
          <w:sz w:val="22"/>
          <w:szCs w:val="22"/>
          <w:lang w:val="en-GB"/>
        </w:rPr>
        <w:t>with a company by reason only that the company has commenced proceedings for judicial management or a scheme of arrangement or that the company is insolvent. The restriction applies to contracts entered into on or after 30 July 2020. The restriction does not have retroactive effect.</w:t>
      </w:r>
    </w:p>
    <w:p w14:paraId="22A1D928" w14:textId="5A65EF1E" w:rsidR="009E28E3" w:rsidRPr="007C16D0" w:rsidRDefault="009E28E3" w:rsidP="007C16D0">
      <w:pPr>
        <w:jc w:val="both"/>
        <w:rPr>
          <w:rFonts w:ascii="Arial" w:hAnsi="Arial" w:cs="Arial"/>
          <w:sz w:val="22"/>
          <w:szCs w:val="22"/>
          <w:lang w:val="en-GB"/>
        </w:rPr>
      </w:pPr>
      <w:r w:rsidRPr="007C16D0">
        <w:rPr>
          <w:rFonts w:ascii="Arial" w:hAnsi="Arial" w:cs="Arial"/>
          <w:sz w:val="22"/>
          <w:szCs w:val="22"/>
          <w:lang w:val="en-GB"/>
        </w:rPr>
        <w:t>The restriction is not all encompassing. Certain contracts are excluded from the restriction. In addition, a counterparty may obtain a declaration from the court that such restriction does not apply to it on the basis that restricting the application of ipso facto clauses would likely cause the applicant significant financial hardship.</w:t>
      </w:r>
    </w:p>
    <w:p w14:paraId="1393364E" w14:textId="39C0738D" w:rsidR="009E28E3" w:rsidRPr="007C16D0" w:rsidRDefault="009E28E3" w:rsidP="007C16D0">
      <w:pPr>
        <w:jc w:val="both"/>
        <w:rPr>
          <w:rFonts w:ascii="Arial" w:hAnsi="Arial" w:cs="Arial"/>
          <w:sz w:val="22"/>
          <w:szCs w:val="22"/>
          <w:lang w:val="en-GB"/>
        </w:rPr>
      </w:pPr>
      <w:r w:rsidRPr="007C16D0">
        <w:rPr>
          <w:rFonts w:ascii="Arial" w:hAnsi="Arial" w:cs="Arial"/>
          <w:sz w:val="22"/>
          <w:szCs w:val="22"/>
          <w:lang w:val="en-GB"/>
        </w:rPr>
        <w:t>Section 440 ensures that genuine restructuring efforts are not thwarted. </w:t>
      </w:r>
    </w:p>
    <w:p w14:paraId="609FC748" w14:textId="16BC15B5" w:rsidR="00B61255" w:rsidRPr="00A90827" w:rsidRDefault="00B61255" w:rsidP="00A90827">
      <w:pPr>
        <w:pStyle w:val="ListParagraph"/>
        <w:ind w:left="1080"/>
        <w:jc w:val="both"/>
        <w:rPr>
          <w:rFonts w:ascii="Arial" w:hAnsi="Arial" w:cs="Arial"/>
          <w:sz w:val="22"/>
          <w:szCs w:val="22"/>
        </w:rPr>
      </w:pPr>
    </w:p>
    <w:p w14:paraId="4E6412EF" w14:textId="53A2BD46" w:rsidR="00544127" w:rsidRDefault="009E28E3" w:rsidP="009E28E3">
      <w:pPr>
        <w:ind w:left="720" w:hanging="720"/>
        <w:jc w:val="center"/>
        <w:rPr>
          <w:rFonts w:ascii="Arial" w:hAnsi="Arial" w:cs="Arial"/>
          <w:b/>
          <w:bCs/>
          <w:sz w:val="22"/>
          <w:szCs w:val="22"/>
          <w:u w:val="single"/>
          <w:lang w:val="en-GB"/>
        </w:rPr>
      </w:pPr>
      <w:r w:rsidRPr="009E28E3">
        <w:rPr>
          <w:rFonts w:ascii="Arial" w:hAnsi="Arial" w:cs="Arial"/>
          <w:b/>
          <w:bCs/>
          <w:sz w:val="22"/>
          <w:szCs w:val="22"/>
          <w:u w:val="single"/>
          <w:lang w:val="en-GB"/>
        </w:rPr>
        <w:t>WRONGFUL TRADING</w:t>
      </w:r>
    </w:p>
    <w:p w14:paraId="327D2751" w14:textId="77777777" w:rsidR="000A1CD4" w:rsidRPr="000A1CD4" w:rsidRDefault="000A1CD4" w:rsidP="000A1CD4">
      <w:pPr>
        <w:pStyle w:val="NormalWeb"/>
        <w:shd w:val="clear" w:color="auto" w:fill="FFFFFF"/>
        <w:jc w:val="both"/>
        <w:rPr>
          <w:rFonts w:ascii="Arial" w:hAnsi="Arial" w:cs="Arial"/>
          <w:sz w:val="22"/>
          <w:szCs w:val="22"/>
          <w:lang w:val="en-GB"/>
        </w:rPr>
      </w:pPr>
      <w:r w:rsidRPr="000A1CD4">
        <w:rPr>
          <w:rFonts w:ascii="Arial" w:hAnsi="Arial" w:cs="Arial"/>
          <w:sz w:val="22"/>
          <w:szCs w:val="22"/>
          <w:lang w:val="en-GB"/>
        </w:rPr>
        <w:t>The IRDA introduces a new concept of "wrongful trading", where a company is deemed to "trade wrongfully" if it incurs debts or other liabilities, when insolvent (or becomes insolvent as a result of incurring such debts or other liabilities), without reasonable prospect of meeting them in full.9  Any director, company secretary or any executive officer of the company (an "Officer") does not need actual knowledge to be found liable for wrongful trading. An Officer may be found liable for wrongful trading if he or she ought to have known that the company was trading wrongfully. In addition, any person (this is wider than just an Officer) party to such wrongful trade, who knew that the company was trading wrongfully, may be liable for such wrongful trading. </w:t>
      </w:r>
    </w:p>
    <w:p w14:paraId="065A153D" w14:textId="77777777" w:rsidR="000A1CD4" w:rsidRPr="000A1CD4" w:rsidRDefault="000A1CD4" w:rsidP="000A1CD4">
      <w:pPr>
        <w:pStyle w:val="NormalWeb"/>
        <w:shd w:val="clear" w:color="auto" w:fill="FFFFFF"/>
        <w:jc w:val="both"/>
        <w:rPr>
          <w:rFonts w:ascii="Arial" w:hAnsi="Arial" w:cs="Arial"/>
          <w:sz w:val="22"/>
          <w:szCs w:val="22"/>
          <w:lang w:val="en-GB"/>
        </w:rPr>
      </w:pPr>
      <w:r w:rsidRPr="000A1CD4">
        <w:rPr>
          <w:rFonts w:ascii="Arial" w:hAnsi="Arial" w:cs="Arial"/>
          <w:sz w:val="22"/>
          <w:szCs w:val="22"/>
          <w:lang w:val="en-GB"/>
        </w:rPr>
        <w:lastRenderedPageBreak/>
        <w:t>The courts are empowered to declare that any person who was a knowing party to a company's wrongful trading be personally liable for its debts or liabilities if found guilty without the need to establish criminal liability. The previous regime was viewed as unsatisfactory as criminal liability had to be found as a prerequisite before the making of an application to impose civil liability against the officer of the company. The current regime under the IRDA makes it easier for liability to be established as the standard of proof for civil liabilities is lower than for criminal liabilities. As such, directors of distressed companies considering entering into contracts will have to exercise greater care. However, the courts may relieve the person from personal liability if the courts are satisfied that the person acted honestly, having regard to all the circumstances of the case, and ought fairly to be relieved from personal liability. </w:t>
      </w:r>
    </w:p>
    <w:p w14:paraId="48ED6B39" w14:textId="77777777" w:rsidR="000A1CD4" w:rsidRPr="000A1CD4" w:rsidRDefault="000A1CD4" w:rsidP="000A1CD4">
      <w:pPr>
        <w:pStyle w:val="NormalWeb"/>
        <w:shd w:val="clear" w:color="auto" w:fill="FFFFFF"/>
        <w:jc w:val="both"/>
        <w:rPr>
          <w:rFonts w:ascii="Arial" w:hAnsi="Arial" w:cs="Arial"/>
          <w:sz w:val="22"/>
          <w:szCs w:val="22"/>
          <w:lang w:val="en-GB"/>
        </w:rPr>
      </w:pPr>
      <w:r w:rsidRPr="000A1CD4">
        <w:rPr>
          <w:rFonts w:ascii="Arial" w:hAnsi="Arial" w:cs="Arial"/>
          <w:sz w:val="22"/>
          <w:szCs w:val="22"/>
          <w:lang w:val="en-GB"/>
        </w:rPr>
        <w:t>Section 239(10) of the IRDA provides that a company or any person party to, or interested in becoming a party to, the carrying on of business with a company, may apply to the courts for a declaration that a particular course of conduct, transaction or series of transactions would not constitute wrongful trading.</w:t>
      </w:r>
    </w:p>
    <w:p w14:paraId="25441B9F" w14:textId="77777777" w:rsidR="009E28E3" w:rsidRPr="009E28E3" w:rsidRDefault="009E28E3" w:rsidP="009E28E3">
      <w:pPr>
        <w:ind w:left="720" w:hanging="720"/>
        <w:rPr>
          <w:rFonts w:ascii="Arial" w:hAnsi="Arial" w:cs="Arial"/>
          <w:b/>
          <w:bCs/>
          <w:sz w:val="22"/>
          <w:szCs w:val="22"/>
          <w:u w:val="single"/>
        </w:rPr>
      </w:pPr>
    </w:p>
    <w:p w14:paraId="703729DF" w14:textId="77777777" w:rsidR="007E40F0" w:rsidRPr="00323BF3" w:rsidRDefault="007E40F0" w:rsidP="002A37BB">
      <w:pPr>
        <w:ind w:left="720" w:hanging="720"/>
        <w:jc w:val="both"/>
        <w:rPr>
          <w:rFonts w:ascii="Arial" w:hAnsi="Arial" w:cs="Arial"/>
          <w:sz w:val="22"/>
          <w:szCs w:val="22"/>
        </w:rPr>
      </w:pPr>
    </w:p>
    <w:p w14:paraId="21E8E558" w14:textId="77777777" w:rsidR="00C550C8" w:rsidRPr="002A37BB" w:rsidRDefault="0007291B" w:rsidP="00C5332A">
      <w:pPr>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087F21">
        <w:rPr>
          <w:rFonts w:ascii="Arial" w:hAnsi="Arial" w:cs="Arial"/>
          <w:b/>
          <w:bCs/>
          <w:sz w:val="22"/>
          <w:szCs w:val="22"/>
          <w:lang w:val="en-GB"/>
        </w:rPr>
        <w:t>7</w:t>
      </w:r>
      <w:r w:rsidRPr="002A37BB">
        <w:rPr>
          <w:rFonts w:ascii="Arial" w:hAnsi="Arial" w:cs="Arial"/>
          <w:b/>
          <w:bCs/>
          <w:sz w:val="22"/>
          <w:szCs w:val="22"/>
          <w:lang w:val="en-GB"/>
        </w:rPr>
        <w:t xml:space="preserve"> marks]</w:t>
      </w:r>
    </w:p>
    <w:p w14:paraId="7EB3363C" w14:textId="77777777" w:rsidR="00C550C8" w:rsidRPr="002A37BB" w:rsidRDefault="00C550C8" w:rsidP="002A37BB">
      <w:pPr>
        <w:ind w:left="720" w:hanging="720"/>
        <w:jc w:val="both"/>
        <w:rPr>
          <w:rFonts w:ascii="Arial" w:hAnsi="Arial" w:cs="Arial"/>
          <w:sz w:val="22"/>
          <w:szCs w:val="22"/>
        </w:rPr>
      </w:pPr>
    </w:p>
    <w:p w14:paraId="3C3490C3" w14:textId="4C533562" w:rsidR="00807119" w:rsidRDefault="0007291B" w:rsidP="002A37BB">
      <w:pPr>
        <w:jc w:val="both"/>
        <w:rPr>
          <w:rFonts w:ascii="Arial" w:hAnsi="Arial" w:cs="Arial"/>
          <w:sz w:val="22"/>
          <w:szCs w:val="22"/>
          <w:lang w:val="en-GB"/>
        </w:rPr>
      </w:pPr>
      <w:r>
        <w:rPr>
          <w:rFonts w:ascii="Arial" w:hAnsi="Arial" w:cs="Arial"/>
          <w:sz w:val="22"/>
          <w:szCs w:val="22"/>
          <w:lang w:val="en-GB"/>
        </w:rPr>
        <w:t>Write a</w:t>
      </w:r>
      <w:r w:rsidR="00C5332A">
        <w:rPr>
          <w:rFonts w:ascii="Arial" w:hAnsi="Arial" w:cs="Arial"/>
          <w:sz w:val="22"/>
          <w:szCs w:val="22"/>
          <w:lang w:val="en-GB"/>
        </w:rPr>
        <w:t xml:space="preserve"> brief</w:t>
      </w:r>
      <w:r>
        <w:rPr>
          <w:rFonts w:ascii="Arial" w:hAnsi="Arial" w:cs="Arial"/>
          <w:sz w:val="22"/>
          <w:szCs w:val="22"/>
          <w:lang w:val="en-GB"/>
        </w:rPr>
        <w:t xml:space="preserve"> essay in which you discuss </w:t>
      </w:r>
      <w:r w:rsidR="001A4484">
        <w:rPr>
          <w:rFonts w:ascii="Arial" w:hAnsi="Arial" w:cs="Arial"/>
          <w:sz w:val="22"/>
          <w:szCs w:val="22"/>
          <w:lang w:val="en-GB"/>
        </w:rPr>
        <w:t xml:space="preserve">the differences between a judicial management and </w:t>
      </w:r>
      <w:r w:rsidR="00406AE7">
        <w:rPr>
          <w:rFonts w:ascii="Arial" w:hAnsi="Arial" w:cs="Arial"/>
          <w:sz w:val="22"/>
          <w:szCs w:val="22"/>
          <w:lang w:val="en-GB"/>
        </w:rPr>
        <w:t>liquidation</w:t>
      </w:r>
      <w:r>
        <w:rPr>
          <w:rFonts w:ascii="Arial" w:hAnsi="Arial" w:cs="Arial"/>
          <w:sz w:val="22"/>
          <w:szCs w:val="22"/>
          <w:lang w:val="en-GB"/>
        </w:rPr>
        <w:t>.</w:t>
      </w:r>
    </w:p>
    <w:p w14:paraId="2F33C7F8" w14:textId="708B46FD" w:rsidR="00DA5BFA" w:rsidRDefault="00DA5BFA" w:rsidP="002A37BB">
      <w:pPr>
        <w:jc w:val="both"/>
        <w:rPr>
          <w:rFonts w:ascii="Arial" w:hAnsi="Arial" w:cs="Arial"/>
          <w:sz w:val="22"/>
          <w:szCs w:val="22"/>
          <w:lang w:val="en-GB"/>
        </w:rPr>
      </w:pPr>
    </w:p>
    <w:p w14:paraId="2A2F4635" w14:textId="72A5211D" w:rsidR="00DA5BFA" w:rsidRDefault="00DA5BFA" w:rsidP="002A37BB">
      <w:pPr>
        <w:jc w:val="both"/>
        <w:rPr>
          <w:rFonts w:ascii="Arial" w:hAnsi="Arial" w:cs="Arial"/>
          <w:sz w:val="22"/>
          <w:szCs w:val="22"/>
          <w:lang w:val="en-GB"/>
        </w:rPr>
      </w:pPr>
    </w:p>
    <w:p w14:paraId="43F448C6" w14:textId="0D98BBDC" w:rsidR="00DA5BFA" w:rsidRDefault="00DA5BFA" w:rsidP="002A37BB">
      <w:pPr>
        <w:jc w:val="both"/>
        <w:rPr>
          <w:rFonts w:ascii="Arial" w:hAnsi="Arial" w:cs="Arial"/>
          <w:sz w:val="22"/>
          <w:szCs w:val="22"/>
          <w:lang w:val="en-GB"/>
        </w:rPr>
      </w:pPr>
    </w:p>
    <w:p w14:paraId="376B97ED" w14:textId="77777777" w:rsidR="00DA5BFA" w:rsidRPr="002A37BB" w:rsidRDefault="00DA5BFA" w:rsidP="002A37BB">
      <w:pPr>
        <w:jc w:val="both"/>
        <w:rPr>
          <w:rFonts w:ascii="Arial" w:hAnsi="Arial" w:cs="Arial"/>
          <w:sz w:val="22"/>
          <w:szCs w:val="22"/>
        </w:rPr>
      </w:pPr>
    </w:p>
    <w:p w14:paraId="47A25125" w14:textId="77777777" w:rsidR="00DF75F8" w:rsidRPr="002A37BB" w:rsidRDefault="00DF75F8" w:rsidP="002A37BB">
      <w:pPr>
        <w:jc w:val="both"/>
        <w:rPr>
          <w:rFonts w:ascii="Arial" w:hAnsi="Arial" w:cs="Arial"/>
          <w:sz w:val="22"/>
          <w:szCs w:val="22"/>
        </w:rPr>
      </w:pPr>
    </w:p>
    <w:tbl>
      <w:tblPr>
        <w:tblStyle w:val="TableGrid"/>
        <w:tblW w:w="10496" w:type="dxa"/>
        <w:tblInd w:w="-635" w:type="dxa"/>
        <w:tblLook w:val="04A0" w:firstRow="1" w:lastRow="0" w:firstColumn="1" w:lastColumn="0" w:noHBand="0" w:noVBand="1"/>
      </w:tblPr>
      <w:tblGrid>
        <w:gridCol w:w="669"/>
        <w:gridCol w:w="1688"/>
        <w:gridCol w:w="4256"/>
        <w:gridCol w:w="3883"/>
      </w:tblGrid>
      <w:tr w:rsidR="000A1CD4" w14:paraId="455A47AC" w14:textId="77777777" w:rsidTr="00144811">
        <w:tc>
          <w:tcPr>
            <w:tcW w:w="669" w:type="dxa"/>
          </w:tcPr>
          <w:p w14:paraId="62E39BC8" w14:textId="0976356C" w:rsidR="000A1CD4" w:rsidRDefault="000A1CD4" w:rsidP="002A37BB">
            <w:pPr>
              <w:jc w:val="both"/>
              <w:rPr>
                <w:rFonts w:ascii="Arial" w:hAnsi="Arial" w:cs="Arial"/>
                <w:sz w:val="22"/>
                <w:szCs w:val="22"/>
                <w:lang w:val="en-GB"/>
              </w:rPr>
            </w:pPr>
            <w:r>
              <w:rPr>
                <w:rFonts w:ascii="Arial" w:hAnsi="Arial" w:cs="Arial"/>
                <w:sz w:val="22"/>
                <w:szCs w:val="22"/>
                <w:lang w:val="en-GB"/>
              </w:rPr>
              <w:t>S.no</w:t>
            </w:r>
          </w:p>
        </w:tc>
        <w:tc>
          <w:tcPr>
            <w:tcW w:w="1688" w:type="dxa"/>
          </w:tcPr>
          <w:p w14:paraId="50DC2C0F" w14:textId="15896312" w:rsidR="000A1CD4" w:rsidRDefault="000A1CD4" w:rsidP="002A37BB">
            <w:pPr>
              <w:jc w:val="both"/>
              <w:rPr>
                <w:rFonts w:ascii="Arial" w:hAnsi="Arial" w:cs="Arial"/>
                <w:sz w:val="22"/>
                <w:szCs w:val="22"/>
                <w:lang w:val="en-GB"/>
              </w:rPr>
            </w:pPr>
            <w:r>
              <w:rPr>
                <w:rFonts w:ascii="Arial" w:hAnsi="Arial" w:cs="Arial"/>
                <w:sz w:val="22"/>
                <w:szCs w:val="22"/>
                <w:lang w:val="en-GB"/>
              </w:rPr>
              <w:t>Title</w:t>
            </w:r>
          </w:p>
        </w:tc>
        <w:tc>
          <w:tcPr>
            <w:tcW w:w="4256" w:type="dxa"/>
          </w:tcPr>
          <w:p w14:paraId="29932493" w14:textId="75C8212E" w:rsidR="000A1CD4" w:rsidRDefault="000A1CD4" w:rsidP="002A37BB">
            <w:pPr>
              <w:jc w:val="both"/>
              <w:rPr>
                <w:rFonts w:ascii="Arial" w:hAnsi="Arial" w:cs="Arial"/>
                <w:sz w:val="22"/>
                <w:szCs w:val="22"/>
                <w:lang w:val="en-GB"/>
              </w:rPr>
            </w:pPr>
            <w:r>
              <w:rPr>
                <w:rFonts w:ascii="Arial" w:hAnsi="Arial" w:cs="Arial"/>
                <w:sz w:val="22"/>
                <w:szCs w:val="22"/>
                <w:lang w:val="en-GB"/>
              </w:rPr>
              <w:t>Liquidation</w:t>
            </w:r>
          </w:p>
        </w:tc>
        <w:tc>
          <w:tcPr>
            <w:tcW w:w="3883" w:type="dxa"/>
          </w:tcPr>
          <w:p w14:paraId="0CEEEF2D" w14:textId="024D6202" w:rsidR="000A1CD4" w:rsidRDefault="000A1CD4" w:rsidP="002A37BB">
            <w:pPr>
              <w:jc w:val="both"/>
              <w:rPr>
                <w:rFonts w:ascii="Arial" w:hAnsi="Arial" w:cs="Arial"/>
                <w:sz w:val="22"/>
                <w:szCs w:val="22"/>
                <w:lang w:val="en-GB"/>
              </w:rPr>
            </w:pPr>
            <w:r>
              <w:rPr>
                <w:rFonts w:ascii="Arial" w:hAnsi="Arial" w:cs="Arial"/>
                <w:sz w:val="22"/>
                <w:szCs w:val="22"/>
                <w:lang w:val="en-GB"/>
              </w:rPr>
              <w:t>Judicial Management</w:t>
            </w:r>
          </w:p>
        </w:tc>
      </w:tr>
      <w:tr w:rsidR="001E0A56" w14:paraId="6ECFD36B" w14:textId="77777777" w:rsidTr="00144811">
        <w:trPr>
          <w:trHeight w:val="1583"/>
        </w:trPr>
        <w:tc>
          <w:tcPr>
            <w:tcW w:w="669" w:type="dxa"/>
          </w:tcPr>
          <w:p w14:paraId="7DFC2011" w14:textId="43F956D4" w:rsidR="001E0A56" w:rsidRDefault="00144811" w:rsidP="002A37BB">
            <w:pPr>
              <w:jc w:val="both"/>
              <w:rPr>
                <w:rFonts w:ascii="Arial" w:hAnsi="Arial" w:cs="Arial"/>
                <w:sz w:val="22"/>
                <w:szCs w:val="22"/>
                <w:lang w:val="en-GB"/>
              </w:rPr>
            </w:pPr>
            <w:r>
              <w:rPr>
                <w:rFonts w:ascii="Arial" w:hAnsi="Arial" w:cs="Arial"/>
                <w:sz w:val="22"/>
                <w:szCs w:val="22"/>
                <w:lang w:val="en-GB"/>
              </w:rPr>
              <w:t>1</w:t>
            </w:r>
          </w:p>
        </w:tc>
        <w:tc>
          <w:tcPr>
            <w:tcW w:w="1688" w:type="dxa"/>
          </w:tcPr>
          <w:p w14:paraId="4C6717B3" w14:textId="332C6867" w:rsidR="001E0A56" w:rsidRDefault="001E0A56" w:rsidP="002A37BB">
            <w:pPr>
              <w:jc w:val="both"/>
              <w:rPr>
                <w:rFonts w:ascii="Arial" w:hAnsi="Arial" w:cs="Arial"/>
                <w:sz w:val="22"/>
                <w:szCs w:val="22"/>
                <w:lang w:val="en-GB"/>
              </w:rPr>
            </w:pPr>
            <w:r>
              <w:rPr>
                <w:rFonts w:ascii="Arial" w:hAnsi="Arial" w:cs="Arial"/>
                <w:sz w:val="22"/>
                <w:szCs w:val="22"/>
                <w:lang w:val="en-GB"/>
              </w:rPr>
              <w:t>Meaning</w:t>
            </w:r>
          </w:p>
        </w:tc>
        <w:tc>
          <w:tcPr>
            <w:tcW w:w="4256" w:type="dxa"/>
          </w:tcPr>
          <w:p w14:paraId="2A04FAAE" w14:textId="3C002807" w:rsidR="001E0A56" w:rsidRPr="001E0A56" w:rsidRDefault="001E0A56" w:rsidP="002A37BB">
            <w:pPr>
              <w:jc w:val="both"/>
              <w:rPr>
                <w:rFonts w:ascii="Arial" w:hAnsi="Arial" w:cs="Arial"/>
                <w:sz w:val="22"/>
                <w:szCs w:val="22"/>
              </w:rPr>
            </w:pPr>
            <w:r w:rsidRPr="001E0A56">
              <w:rPr>
                <w:rFonts w:ascii="Arial" w:hAnsi="Arial" w:cs="Arial"/>
                <w:sz w:val="22"/>
                <w:szCs w:val="22"/>
              </w:rPr>
              <w:t>​​​The liquidation of a company is the process by which a company is brought to an end, and the assets and property of the company are redistributed.</w:t>
            </w:r>
          </w:p>
        </w:tc>
        <w:tc>
          <w:tcPr>
            <w:tcW w:w="3883" w:type="dxa"/>
          </w:tcPr>
          <w:p w14:paraId="1C11B816" w14:textId="41F917D0" w:rsidR="001E0A56" w:rsidRPr="00144811" w:rsidRDefault="00144811" w:rsidP="002A37BB">
            <w:pPr>
              <w:jc w:val="both"/>
              <w:rPr>
                <w:rFonts w:ascii="Arial" w:hAnsi="Arial" w:cs="Arial"/>
                <w:sz w:val="22"/>
                <w:szCs w:val="22"/>
              </w:rPr>
            </w:pPr>
            <w:r w:rsidRPr="00144811">
              <w:rPr>
                <w:rFonts w:ascii="Arial" w:hAnsi="Arial" w:cs="Arial"/>
                <w:sz w:val="22"/>
                <w:szCs w:val="22"/>
              </w:rPr>
              <w:t>Judicial management generally refers to situations where a company is unable to pay its debts but the Court finds that the inability is due to mismanagement or an event that can be overcome.</w:t>
            </w:r>
          </w:p>
        </w:tc>
      </w:tr>
      <w:tr w:rsidR="00144811" w14:paraId="43CCF5BC" w14:textId="77777777" w:rsidTr="00144811">
        <w:tc>
          <w:tcPr>
            <w:tcW w:w="669" w:type="dxa"/>
          </w:tcPr>
          <w:p w14:paraId="0E822EE5" w14:textId="77777777" w:rsidR="00144811" w:rsidRDefault="00144811" w:rsidP="002A37BB">
            <w:pPr>
              <w:jc w:val="both"/>
              <w:rPr>
                <w:rFonts w:ascii="Arial" w:hAnsi="Arial" w:cs="Arial"/>
                <w:sz w:val="22"/>
                <w:szCs w:val="22"/>
                <w:lang w:val="en-GB"/>
              </w:rPr>
            </w:pPr>
          </w:p>
        </w:tc>
        <w:tc>
          <w:tcPr>
            <w:tcW w:w="1688" w:type="dxa"/>
          </w:tcPr>
          <w:p w14:paraId="334DC54F" w14:textId="77777777" w:rsidR="00144811" w:rsidRDefault="00144811" w:rsidP="002A37BB">
            <w:pPr>
              <w:jc w:val="both"/>
              <w:rPr>
                <w:rFonts w:ascii="Arial" w:hAnsi="Arial" w:cs="Arial"/>
                <w:sz w:val="22"/>
                <w:szCs w:val="22"/>
                <w:lang w:val="en-GB"/>
              </w:rPr>
            </w:pPr>
          </w:p>
        </w:tc>
        <w:tc>
          <w:tcPr>
            <w:tcW w:w="4256" w:type="dxa"/>
          </w:tcPr>
          <w:p w14:paraId="4997316E" w14:textId="1217BB57" w:rsidR="00144811" w:rsidRPr="001E0A56" w:rsidRDefault="00144811" w:rsidP="002A37BB">
            <w:pPr>
              <w:jc w:val="both"/>
              <w:rPr>
                <w:rFonts w:ascii="Arial" w:hAnsi="Arial" w:cs="Arial"/>
                <w:sz w:val="22"/>
                <w:szCs w:val="22"/>
              </w:rPr>
            </w:pPr>
            <w:r w:rsidRPr="00144811">
              <w:rPr>
                <w:rFonts w:ascii="Arial" w:hAnsi="Arial" w:cs="Arial"/>
                <w:sz w:val="22"/>
                <w:szCs w:val="22"/>
              </w:rPr>
              <w:t>Governed by Part X, Companies Act</w:t>
            </w:r>
          </w:p>
        </w:tc>
        <w:tc>
          <w:tcPr>
            <w:tcW w:w="3883" w:type="dxa"/>
          </w:tcPr>
          <w:p w14:paraId="0A1DBF45" w14:textId="3A06B046" w:rsidR="00144811" w:rsidRPr="00144811" w:rsidRDefault="00144811" w:rsidP="00144811">
            <w:pPr>
              <w:jc w:val="both"/>
              <w:rPr>
                <w:rFonts w:ascii="Arial" w:hAnsi="Arial" w:cs="Arial"/>
                <w:sz w:val="22"/>
                <w:szCs w:val="22"/>
              </w:rPr>
            </w:pPr>
            <w:r w:rsidRPr="00144811">
              <w:rPr>
                <w:rFonts w:ascii="Arial" w:hAnsi="Arial" w:cs="Arial"/>
                <w:sz w:val="22"/>
                <w:szCs w:val="22"/>
              </w:rPr>
              <w:t>Governed by Part VIIIA,</w:t>
            </w:r>
          </w:p>
          <w:p w14:paraId="4850189C" w14:textId="2DA52E78" w:rsidR="00144811" w:rsidRPr="00144811" w:rsidRDefault="00144811" w:rsidP="00144811">
            <w:pPr>
              <w:jc w:val="both"/>
              <w:rPr>
                <w:rFonts w:ascii="Arial" w:hAnsi="Arial" w:cs="Arial"/>
                <w:sz w:val="22"/>
                <w:szCs w:val="22"/>
              </w:rPr>
            </w:pPr>
            <w:r w:rsidRPr="00144811">
              <w:rPr>
                <w:rFonts w:ascii="Arial" w:hAnsi="Arial" w:cs="Arial"/>
                <w:sz w:val="22"/>
                <w:szCs w:val="22"/>
              </w:rPr>
              <w:t>Companies Act (Cap 50)</w:t>
            </w:r>
          </w:p>
        </w:tc>
      </w:tr>
      <w:tr w:rsidR="000A1CD4" w14:paraId="76108EC9" w14:textId="77777777" w:rsidTr="00144811">
        <w:tc>
          <w:tcPr>
            <w:tcW w:w="669" w:type="dxa"/>
          </w:tcPr>
          <w:p w14:paraId="337C5F69" w14:textId="3833428F" w:rsidR="000A1CD4" w:rsidRDefault="00144811" w:rsidP="002A37BB">
            <w:pPr>
              <w:jc w:val="both"/>
              <w:rPr>
                <w:rFonts w:ascii="Arial" w:hAnsi="Arial" w:cs="Arial"/>
                <w:sz w:val="22"/>
                <w:szCs w:val="22"/>
                <w:lang w:val="en-GB"/>
              </w:rPr>
            </w:pPr>
            <w:r>
              <w:rPr>
                <w:rFonts w:ascii="Arial" w:hAnsi="Arial" w:cs="Arial"/>
                <w:sz w:val="22"/>
                <w:szCs w:val="22"/>
                <w:lang w:val="en-GB"/>
              </w:rPr>
              <w:t>2</w:t>
            </w:r>
          </w:p>
        </w:tc>
        <w:tc>
          <w:tcPr>
            <w:tcW w:w="1688" w:type="dxa"/>
          </w:tcPr>
          <w:p w14:paraId="45651563" w14:textId="41D98FE5" w:rsidR="000A1CD4" w:rsidRDefault="00692A18" w:rsidP="002A37BB">
            <w:pPr>
              <w:jc w:val="both"/>
              <w:rPr>
                <w:rFonts w:ascii="Arial" w:hAnsi="Arial" w:cs="Arial"/>
                <w:sz w:val="22"/>
                <w:szCs w:val="22"/>
                <w:lang w:val="en-GB"/>
              </w:rPr>
            </w:pPr>
            <w:r w:rsidRPr="00692A18">
              <w:rPr>
                <w:rFonts w:ascii="Arial" w:hAnsi="Arial" w:cs="Arial"/>
                <w:sz w:val="22"/>
                <w:szCs w:val="22"/>
                <w:lang w:val="en-GB"/>
              </w:rPr>
              <w:t xml:space="preserve">Statutory framework </w:t>
            </w:r>
          </w:p>
        </w:tc>
        <w:tc>
          <w:tcPr>
            <w:tcW w:w="4256" w:type="dxa"/>
          </w:tcPr>
          <w:p w14:paraId="51F2536D" w14:textId="287E1CA3" w:rsidR="000A1CD4" w:rsidRDefault="00692A18" w:rsidP="002A37BB">
            <w:pPr>
              <w:jc w:val="both"/>
              <w:rPr>
                <w:rFonts w:ascii="Arial" w:hAnsi="Arial" w:cs="Arial"/>
                <w:sz w:val="22"/>
                <w:szCs w:val="22"/>
                <w:lang w:val="en-GB"/>
              </w:rPr>
            </w:pPr>
            <w:r>
              <w:rPr>
                <w:rFonts w:ascii="Arial" w:hAnsi="Arial" w:cs="Arial"/>
                <w:sz w:val="22"/>
                <w:szCs w:val="22"/>
                <w:lang w:val="en-GB"/>
              </w:rPr>
              <w:t>For winding up</w:t>
            </w:r>
          </w:p>
        </w:tc>
        <w:tc>
          <w:tcPr>
            <w:tcW w:w="3883" w:type="dxa"/>
          </w:tcPr>
          <w:p w14:paraId="58775BFB" w14:textId="13FA010F" w:rsidR="000A1CD4" w:rsidRDefault="00692A18" w:rsidP="002A37BB">
            <w:pPr>
              <w:jc w:val="both"/>
              <w:rPr>
                <w:rFonts w:ascii="Arial" w:hAnsi="Arial" w:cs="Arial"/>
                <w:sz w:val="22"/>
                <w:szCs w:val="22"/>
                <w:lang w:val="en-GB"/>
              </w:rPr>
            </w:pPr>
            <w:r>
              <w:rPr>
                <w:rFonts w:ascii="Arial" w:hAnsi="Arial" w:cs="Arial"/>
                <w:sz w:val="22"/>
                <w:szCs w:val="22"/>
                <w:lang w:val="en-GB"/>
              </w:rPr>
              <w:t>For rehabilitative purpose</w:t>
            </w:r>
          </w:p>
        </w:tc>
      </w:tr>
      <w:tr w:rsidR="00144811" w14:paraId="6FB135A4" w14:textId="77777777" w:rsidTr="00144811">
        <w:tc>
          <w:tcPr>
            <w:tcW w:w="669" w:type="dxa"/>
          </w:tcPr>
          <w:p w14:paraId="4F18205D" w14:textId="218D2D1C" w:rsidR="00144811" w:rsidRDefault="00144811" w:rsidP="002A37BB">
            <w:pPr>
              <w:jc w:val="both"/>
              <w:rPr>
                <w:rFonts w:ascii="Arial" w:hAnsi="Arial" w:cs="Arial"/>
                <w:sz w:val="22"/>
                <w:szCs w:val="22"/>
                <w:lang w:val="en-GB"/>
              </w:rPr>
            </w:pPr>
            <w:r>
              <w:rPr>
                <w:rFonts w:ascii="Arial" w:hAnsi="Arial" w:cs="Arial"/>
                <w:sz w:val="22"/>
                <w:szCs w:val="22"/>
                <w:lang w:val="en-GB"/>
              </w:rPr>
              <w:t>3</w:t>
            </w:r>
          </w:p>
        </w:tc>
        <w:tc>
          <w:tcPr>
            <w:tcW w:w="1688" w:type="dxa"/>
          </w:tcPr>
          <w:p w14:paraId="6B9E7935" w14:textId="7233E416" w:rsidR="00144811" w:rsidRPr="00692A18" w:rsidRDefault="00144811" w:rsidP="002A37BB">
            <w:pPr>
              <w:jc w:val="both"/>
              <w:rPr>
                <w:rFonts w:ascii="Arial" w:hAnsi="Arial" w:cs="Arial"/>
                <w:sz w:val="22"/>
                <w:szCs w:val="22"/>
                <w:lang w:val="en-GB"/>
              </w:rPr>
            </w:pPr>
            <w:r>
              <w:rPr>
                <w:rFonts w:ascii="Arial" w:hAnsi="Arial" w:cs="Arial"/>
                <w:sz w:val="22"/>
                <w:szCs w:val="22"/>
                <w:lang w:val="en-GB"/>
              </w:rPr>
              <w:t>Purpose</w:t>
            </w:r>
          </w:p>
        </w:tc>
        <w:tc>
          <w:tcPr>
            <w:tcW w:w="4256" w:type="dxa"/>
          </w:tcPr>
          <w:p w14:paraId="399CD5E6" w14:textId="1B13B693" w:rsidR="00144811" w:rsidRPr="00144811" w:rsidRDefault="00144811" w:rsidP="002A37BB">
            <w:pPr>
              <w:jc w:val="both"/>
              <w:rPr>
                <w:rFonts w:ascii="Arial" w:hAnsi="Arial" w:cs="Arial"/>
                <w:sz w:val="22"/>
                <w:szCs w:val="22"/>
              </w:rPr>
            </w:pPr>
            <w:r w:rsidRPr="00144811">
              <w:rPr>
                <w:rFonts w:ascii="Arial" w:hAnsi="Arial" w:cs="Arial"/>
                <w:sz w:val="22"/>
                <w:szCs w:val="22"/>
              </w:rPr>
              <w:t>A liquidation generally occurs where the company is insolvent and the purpose of the liquidation is to collect its assets, determine the outstanding claims against the company, and satisfy those claims in the manner and order prescribed by law.</w:t>
            </w:r>
          </w:p>
        </w:tc>
        <w:tc>
          <w:tcPr>
            <w:tcW w:w="3883" w:type="dxa"/>
          </w:tcPr>
          <w:p w14:paraId="50C6A4E8" w14:textId="2280D85E" w:rsidR="00144811" w:rsidRDefault="00144811" w:rsidP="002A37BB">
            <w:pPr>
              <w:jc w:val="both"/>
              <w:rPr>
                <w:rFonts w:ascii="Arial" w:hAnsi="Arial" w:cs="Arial"/>
                <w:sz w:val="22"/>
                <w:szCs w:val="22"/>
                <w:lang w:val="en-GB"/>
              </w:rPr>
            </w:pPr>
            <w:r>
              <w:rPr>
                <w:rFonts w:ascii="Arial" w:hAnsi="Arial" w:cs="Arial"/>
                <w:sz w:val="22"/>
                <w:szCs w:val="22"/>
                <w:lang w:val="en-GB"/>
              </w:rPr>
              <w:t>J</w:t>
            </w:r>
            <w:r w:rsidRPr="00144811">
              <w:rPr>
                <w:rFonts w:ascii="Arial" w:hAnsi="Arial" w:cs="Arial"/>
                <w:sz w:val="22"/>
                <w:szCs w:val="22"/>
                <w:lang w:val="en-GB"/>
              </w:rPr>
              <w:t>udicial management seeks to assist this type of company to overcome a temporary setback without going out of business. An order will be made by court placing the company under judicial management.</w:t>
            </w:r>
          </w:p>
        </w:tc>
      </w:tr>
      <w:tr w:rsidR="000A1CD4" w14:paraId="7377BEB4" w14:textId="77777777" w:rsidTr="00144811">
        <w:tc>
          <w:tcPr>
            <w:tcW w:w="669" w:type="dxa"/>
          </w:tcPr>
          <w:p w14:paraId="7442B6B8" w14:textId="71FDC876" w:rsidR="000A1CD4" w:rsidRDefault="00144811" w:rsidP="002A37BB">
            <w:pPr>
              <w:jc w:val="both"/>
              <w:rPr>
                <w:rFonts w:ascii="Arial" w:hAnsi="Arial" w:cs="Arial"/>
                <w:sz w:val="22"/>
                <w:szCs w:val="22"/>
                <w:lang w:val="en-GB"/>
              </w:rPr>
            </w:pPr>
            <w:r>
              <w:rPr>
                <w:rFonts w:ascii="Arial" w:hAnsi="Arial" w:cs="Arial"/>
                <w:sz w:val="22"/>
                <w:szCs w:val="22"/>
                <w:lang w:val="en-GB"/>
              </w:rPr>
              <w:t>4</w:t>
            </w:r>
          </w:p>
        </w:tc>
        <w:tc>
          <w:tcPr>
            <w:tcW w:w="1688" w:type="dxa"/>
          </w:tcPr>
          <w:p w14:paraId="3E689ADE" w14:textId="65DBE27D" w:rsidR="000A1CD4" w:rsidRDefault="00692A18" w:rsidP="002A37BB">
            <w:pPr>
              <w:jc w:val="both"/>
              <w:rPr>
                <w:rFonts w:ascii="Arial" w:hAnsi="Arial" w:cs="Arial"/>
                <w:sz w:val="22"/>
                <w:szCs w:val="22"/>
                <w:lang w:val="en-GB"/>
              </w:rPr>
            </w:pPr>
            <w:r>
              <w:rPr>
                <w:rFonts w:ascii="Arial" w:hAnsi="Arial" w:cs="Arial"/>
                <w:sz w:val="22"/>
                <w:szCs w:val="22"/>
                <w:lang w:val="en-GB"/>
              </w:rPr>
              <w:t>Procedure</w:t>
            </w:r>
          </w:p>
        </w:tc>
        <w:tc>
          <w:tcPr>
            <w:tcW w:w="4256" w:type="dxa"/>
          </w:tcPr>
          <w:p w14:paraId="4E0A1163" w14:textId="2C7C94DB" w:rsidR="000A1CD4" w:rsidRDefault="00692A18" w:rsidP="002A37BB">
            <w:pPr>
              <w:jc w:val="both"/>
              <w:rPr>
                <w:rFonts w:ascii="Arial" w:hAnsi="Arial" w:cs="Arial"/>
                <w:sz w:val="22"/>
                <w:szCs w:val="22"/>
                <w:lang w:val="en-GB"/>
              </w:rPr>
            </w:pPr>
            <w:r>
              <w:rPr>
                <w:rFonts w:ascii="Arial" w:hAnsi="Arial" w:cs="Arial"/>
                <w:sz w:val="22"/>
                <w:szCs w:val="22"/>
                <w:lang w:val="en-GB"/>
              </w:rPr>
              <w:t>In court procedure</w:t>
            </w:r>
          </w:p>
        </w:tc>
        <w:tc>
          <w:tcPr>
            <w:tcW w:w="3883" w:type="dxa"/>
          </w:tcPr>
          <w:p w14:paraId="7349DB87" w14:textId="36C66177" w:rsidR="000A1CD4" w:rsidRDefault="00692A18" w:rsidP="002A37BB">
            <w:pPr>
              <w:jc w:val="both"/>
              <w:rPr>
                <w:rFonts w:ascii="Arial" w:hAnsi="Arial" w:cs="Arial"/>
                <w:sz w:val="22"/>
                <w:szCs w:val="22"/>
                <w:lang w:val="en-GB"/>
              </w:rPr>
            </w:pPr>
            <w:r w:rsidRPr="00692A18">
              <w:rPr>
                <w:rFonts w:ascii="Arial" w:hAnsi="Arial" w:cs="Arial"/>
                <w:sz w:val="22"/>
                <w:szCs w:val="22"/>
                <w:lang w:val="en-GB"/>
              </w:rPr>
              <w:t>An</w:t>
            </w:r>
            <w:r>
              <w:rPr>
                <w:rFonts w:ascii="Arial" w:hAnsi="Arial" w:cs="Arial"/>
                <w:sz w:val="22"/>
                <w:szCs w:val="22"/>
                <w:lang w:val="en-GB"/>
              </w:rPr>
              <w:t xml:space="preserve"> </w:t>
            </w:r>
            <w:r w:rsidRPr="00692A18">
              <w:rPr>
                <w:rFonts w:ascii="Arial" w:hAnsi="Arial" w:cs="Arial"/>
                <w:sz w:val="22"/>
                <w:szCs w:val="22"/>
                <w:lang w:val="en-GB"/>
              </w:rPr>
              <w:t>out-of-court appointment procedure</w:t>
            </w:r>
            <w:r w:rsidR="001E0A56">
              <w:rPr>
                <w:rFonts w:ascii="Arial" w:hAnsi="Arial" w:cs="Arial"/>
                <w:sz w:val="22"/>
                <w:szCs w:val="22"/>
                <w:lang w:val="en-GB"/>
              </w:rPr>
              <w:t xml:space="preserve">. However, </w:t>
            </w:r>
            <w:r w:rsidR="001E0A56" w:rsidRPr="001E0A56">
              <w:rPr>
                <w:rFonts w:ascii="Arial" w:hAnsi="Arial" w:cs="Arial"/>
                <w:sz w:val="22"/>
                <w:szCs w:val="22"/>
                <w:lang w:val="en-GB"/>
              </w:rPr>
              <w:t>The court retains ultimate oversight of the judicial management of a company</w:t>
            </w:r>
          </w:p>
        </w:tc>
      </w:tr>
      <w:tr w:rsidR="000A1CD4" w14:paraId="2E035D4F" w14:textId="77777777" w:rsidTr="00144811">
        <w:tc>
          <w:tcPr>
            <w:tcW w:w="669" w:type="dxa"/>
          </w:tcPr>
          <w:p w14:paraId="53DBF88C" w14:textId="1752C849" w:rsidR="000A1CD4" w:rsidRDefault="00144811" w:rsidP="002A37BB">
            <w:pPr>
              <w:jc w:val="both"/>
              <w:rPr>
                <w:rFonts w:ascii="Arial" w:hAnsi="Arial" w:cs="Arial"/>
                <w:sz w:val="22"/>
                <w:szCs w:val="22"/>
                <w:lang w:val="en-GB"/>
              </w:rPr>
            </w:pPr>
            <w:r>
              <w:rPr>
                <w:rFonts w:ascii="Arial" w:hAnsi="Arial" w:cs="Arial"/>
                <w:sz w:val="22"/>
                <w:szCs w:val="22"/>
                <w:lang w:val="en-GB"/>
              </w:rPr>
              <w:t>5</w:t>
            </w:r>
          </w:p>
        </w:tc>
        <w:tc>
          <w:tcPr>
            <w:tcW w:w="1688" w:type="dxa"/>
          </w:tcPr>
          <w:p w14:paraId="38DB081F" w14:textId="44774D3F" w:rsidR="000A1CD4" w:rsidRDefault="001E0A56" w:rsidP="002A37BB">
            <w:pPr>
              <w:jc w:val="both"/>
              <w:rPr>
                <w:rFonts w:ascii="Arial" w:hAnsi="Arial" w:cs="Arial"/>
                <w:sz w:val="22"/>
                <w:szCs w:val="22"/>
                <w:lang w:val="en-GB"/>
              </w:rPr>
            </w:pPr>
            <w:r>
              <w:rPr>
                <w:rFonts w:ascii="Arial" w:hAnsi="Arial" w:cs="Arial"/>
                <w:sz w:val="22"/>
                <w:szCs w:val="22"/>
                <w:lang w:val="en-GB"/>
              </w:rPr>
              <w:t>Types</w:t>
            </w:r>
          </w:p>
        </w:tc>
        <w:tc>
          <w:tcPr>
            <w:tcW w:w="4256" w:type="dxa"/>
          </w:tcPr>
          <w:p w14:paraId="45D3715E" w14:textId="282928A0" w:rsidR="000A1CD4" w:rsidRDefault="00692A18" w:rsidP="002A37BB">
            <w:pPr>
              <w:jc w:val="both"/>
              <w:rPr>
                <w:rFonts w:ascii="Arial" w:hAnsi="Arial" w:cs="Arial"/>
                <w:sz w:val="22"/>
                <w:szCs w:val="22"/>
                <w:lang w:val="en-GB"/>
              </w:rPr>
            </w:pPr>
            <w:r w:rsidRPr="00692A18">
              <w:rPr>
                <w:rFonts w:ascii="Arial" w:hAnsi="Arial" w:cs="Arial"/>
                <w:sz w:val="22"/>
                <w:szCs w:val="22"/>
                <w:lang w:val="en-GB"/>
              </w:rPr>
              <w:t>compulsory or voluntary basis</w:t>
            </w:r>
          </w:p>
        </w:tc>
        <w:tc>
          <w:tcPr>
            <w:tcW w:w="3883" w:type="dxa"/>
          </w:tcPr>
          <w:p w14:paraId="5BB0F066" w14:textId="76D5FFA0" w:rsidR="000A1CD4" w:rsidRDefault="002A0D64" w:rsidP="002A37BB">
            <w:pPr>
              <w:jc w:val="both"/>
              <w:rPr>
                <w:rFonts w:ascii="Arial" w:hAnsi="Arial" w:cs="Arial"/>
                <w:sz w:val="22"/>
                <w:szCs w:val="22"/>
                <w:lang w:val="en-GB"/>
              </w:rPr>
            </w:pPr>
            <w:r>
              <w:rPr>
                <w:rFonts w:ascii="Arial" w:hAnsi="Arial" w:cs="Arial"/>
                <w:sz w:val="22"/>
                <w:szCs w:val="22"/>
                <w:lang w:val="en-GB"/>
              </w:rPr>
              <w:t>By order of court or by creditors resolution</w:t>
            </w:r>
          </w:p>
        </w:tc>
      </w:tr>
      <w:tr w:rsidR="001E0A56" w14:paraId="3798083D" w14:textId="77777777" w:rsidTr="00144811">
        <w:tc>
          <w:tcPr>
            <w:tcW w:w="669" w:type="dxa"/>
          </w:tcPr>
          <w:p w14:paraId="02389551" w14:textId="5DDA694A" w:rsidR="001E0A56" w:rsidRDefault="00144811" w:rsidP="002A37BB">
            <w:pPr>
              <w:jc w:val="both"/>
              <w:rPr>
                <w:rFonts w:ascii="Arial" w:hAnsi="Arial" w:cs="Arial"/>
                <w:sz w:val="22"/>
                <w:szCs w:val="22"/>
                <w:lang w:val="en-GB"/>
              </w:rPr>
            </w:pPr>
            <w:r>
              <w:rPr>
                <w:rFonts w:ascii="Arial" w:hAnsi="Arial" w:cs="Arial"/>
                <w:sz w:val="22"/>
                <w:szCs w:val="22"/>
                <w:lang w:val="en-GB"/>
              </w:rPr>
              <w:t>6</w:t>
            </w:r>
          </w:p>
        </w:tc>
        <w:tc>
          <w:tcPr>
            <w:tcW w:w="1688" w:type="dxa"/>
          </w:tcPr>
          <w:p w14:paraId="4FC4EDDC" w14:textId="42CFC547" w:rsidR="001E0A56" w:rsidRDefault="001E0A56" w:rsidP="002A37BB">
            <w:pPr>
              <w:jc w:val="both"/>
              <w:rPr>
                <w:rFonts w:ascii="Arial" w:hAnsi="Arial" w:cs="Arial"/>
                <w:sz w:val="22"/>
                <w:szCs w:val="22"/>
                <w:lang w:val="en-GB"/>
              </w:rPr>
            </w:pPr>
            <w:r>
              <w:rPr>
                <w:rFonts w:ascii="Arial" w:hAnsi="Arial" w:cs="Arial"/>
                <w:sz w:val="22"/>
                <w:szCs w:val="22"/>
                <w:lang w:val="en-GB"/>
              </w:rPr>
              <w:t>Who can initiate</w:t>
            </w:r>
          </w:p>
        </w:tc>
        <w:tc>
          <w:tcPr>
            <w:tcW w:w="4256" w:type="dxa"/>
          </w:tcPr>
          <w:p w14:paraId="50E5FBEC" w14:textId="486FE9EF" w:rsidR="001E0A56" w:rsidRPr="00692A18" w:rsidRDefault="001E0A56" w:rsidP="002A37BB">
            <w:pPr>
              <w:jc w:val="both"/>
              <w:rPr>
                <w:rFonts w:ascii="Arial" w:hAnsi="Arial" w:cs="Arial"/>
                <w:sz w:val="22"/>
                <w:szCs w:val="22"/>
                <w:lang w:val="en-GB"/>
              </w:rPr>
            </w:pPr>
            <w:r w:rsidRPr="001E0A56">
              <w:rPr>
                <w:rFonts w:ascii="Arial" w:hAnsi="Arial" w:cs="Arial"/>
                <w:sz w:val="22"/>
                <w:szCs w:val="22"/>
                <w:lang w:val="en-GB"/>
              </w:rPr>
              <w:t>application may be filed to the High Court by the company, its creditors, its contributories, the liquidator, the judicial manager or the Minister for Finance.</w:t>
            </w:r>
          </w:p>
        </w:tc>
        <w:tc>
          <w:tcPr>
            <w:tcW w:w="3883" w:type="dxa"/>
          </w:tcPr>
          <w:p w14:paraId="21FE65E7" w14:textId="0AF7154C" w:rsidR="001E0A56" w:rsidRDefault="001E0A56" w:rsidP="002A37BB">
            <w:pPr>
              <w:jc w:val="both"/>
              <w:rPr>
                <w:rFonts w:ascii="Arial" w:hAnsi="Arial" w:cs="Arial"/>
                <w:sz w:val="22"/>
                <w:szCs w:val="22"/>
                <w:lang w:val="en-GB"/>
              </w:rPr>
            </w:pPr>
            <w:r w:rsidRPr="001E0A56">
              <w:rPr>
                <w:rFonts w:ascii="Arial" w:hAnsi="Arial" w:cs="Arial"/>
                <w:sz w:val="22"/>
                <w:szCs w:val="22"/>
                <w:lang w:val="en-GB"/>
              </w:rPr>
              <w:t>initiated by the company, its directors or its creditors (including contingent or prospective creditors), by filing an application to the High Court</w:t>
            </w:r>
          </w:p>
        </w:tc>
      </w:tr>
      <w:tr w:rsidR="001E0A56" w14:paraId="486ADB73" w14:textId="77777777" w:rsidTr="00144811">
        <w:tc>
          <w:tcPr>
            <w:tcW w:w="669" w:type="dxa"/>
          </w:tcPr>
          <w:p w14:paraId="0607D363" w14:textId="1F0634BF" w:rsidR="001E0A56" w:rsidRDefault="00144811" w:rsidP="002A37BB">
            <w:pPr>
              <w:jc w:val="both"/>
              <w:rPr>
                <w:rFonts w:ascii="Arial" w:hAnsi="Arial" w:cs="Arial"/>
                <w:sz w:val="22"/>
                <w:szCs w:val="22"/>
                <w:lang w:val="en-GB"/>
              </w:rPr>
            </w:pPr>
            <w:r>
              <w:rPr>
                <w:rFonts w:ascii="Arial" w:hAnsi="Arial" w:cs="Arial"/>
                <w:sz w:val="22"/>
                <w:szCs w:val="22"/>
                <w:lang w:val="en-GB"/>
              </w:rPr>
              <w:lastRenderedPageBreak/>
              <w:t>7</w:t>
            </w:r>
          </w:p>
        </w:tc>
        <w:tc>
          <w:tcPr>
            <w:tcW w:w="1688" w:type="dxa"/>
          </w:tcPr>
          <w:p w14:paraId="75453874" w14:textId="2D94197C" w:rsidR="001E0A56" w:rsidRDefault="001E0A56" w:rsidP="002A37BB">
            <w:pPr>
              <w:jc w:val="both"/>
              <w:rPr>
                <w:rFonts w:ascii="Arial" w:hAnsi="Arial" w:cs="Arial"/>
                <w:sz w:val="22"/>
                <w:szCs w:val="22"/>
                <w:lang w:val="en-GB"/>
              </w:rPr>
            </w:pPr>
            <w:r w:rsidRPr="001E0A56">
              <w:rPr>
                <w:rFonts w:ascii="Arial" w:hAnsi="Arial" w:cs="Arial"/>
                <w:sz w:val="22"/>
                <w:szCs w:val="22"/>
                <w:lang w:val="en-GB"/>
              </w:rPr>
              <w:t>Control of insolvency proceedings</w:t>
            </w:r>
          </w:p>
        </w:tc>
        <w:tc>
          <w:tcPr>
            <w:tcW w:w="4256" w:type="dxa"/>
          </w:tcPr>
          <w:p w14:paraId="7B93C2E2" w14:textId="209BEE37" w:rsidR="001E0A56" w:rsidRPr="001E0A56" w:rsidRDefault="001E0A56" w:rsidP="002A37BB">
            <w:pPr>
              <w:jc w:val="both"/>
              <w:rPr>
                <w:rFonts w:ascii="Arial" w:hAnsi="Arial" w:cs="Arial"/>
                <w:sz w:val="22"/>
                <w:szCs w:val="22"/>
                <w:lang w:val="en-GB"/>
              </w:rPr>
            </w:pPr>
            <w:r w:rsidRPr="001E0A56">
              <w:rPr>
                <w:rFonts w:ascii="Arial" w:hAnsi="Arial" w:cs="Arial"/>
                <w:sz w:val="22"/>
                <w:szCs w:val="22"/>
                <w:lang w:val="en-GB"/>
              </w:rPr>
              <w:t>The powers conferred and duties imposed on the company's directors effectively cease when the winding up order is made. The liquidator takes the company's property into his or her custody or under his or her control,68 and may carry on the business of the company for the first four weeks so far as is necessary for the winding up thereof. Thereafter, the liquidator can only carry on the company's business with authority of either the court, or the committee of inspection</w:t>
            </w:r>
          </w:p>
        </w:tc>
        <w:tc>
          <w:tcPr>
            <w:tcW w:w="3883" w:type="dxa"/>
          </w:tcPr>
          <w:p w14:paraId="6EA844F8" w14:textId="26A2D540" w:rsidR="001E0A56" w:rsidRPr="001E0A56" w:rsidRDefault="001E0A56" w:rsidP="002A37BB">
            <w:pPr>
              <w:jc w:val="both"/>
              <w:rPr>
                <w:rFonts w:ascii="Arial" w:hAnsi="Arial" w:cs="Arial"/>
                <w:sz w:val="22"/>
                <w:szCs w:val="22"/>
                <w:lang w:val="en-GB"/>
              </w:rPr>
            </w:pPr>
            <w:r w:rsidRPr="001E0A56">
              <w:rPr>
                <w:rFonts w:ascii="Arial" w:hAnsi="Arial" w:cs="Arial"/>
                <w:sz w:val="22"/>
                <w:szCs w:val="22"/>
                <w:lang w:val="en-GB"/>
              </w:rPr>
              <w:t>Likewise, on appointment of a judicial manager, all powers conferred and duties imposed on the directors are exercised and performed by the judicial manager in their place,72 who does all things as may be necessary for the management of the company's affairs, business and property, and such other things as the court may sanction</w:t>
            </w:r>
          </w:p>
        </w:tc>
      </w:tr>
      <w:tr w:rsidR="001E0A56" w14:paraId="01A0746D" w14:textId="77777777" w:rsidTr="00144811">
        <w:tc>
          <w:tcPr>
            <w:tcW w:w="669" w:type="dxa"/>
          </w:tcPr>
          <w:p w14:paraId="2977ECD7" w14:textId="578B6EDC" w:rsidR="001E0A56" w:rsidRDefault="00144811" w:rsidP="002A37BB">
            <w:pPr>
              <w:jc w:val="both"/>
              <w:rPr>
                <w:rFonts w:ascii="Arial" w:hAnsi="Arial" w:cs="Arial"/>
                <w:sz w:val="22"/>
                <w:szCs w:val="22"/>
                <w:lang w:val="en-GB"/>
              </w:rPr>
            </w:pPr>
            <w:r>
              <w:rPr>
                <w:rFonts w:ascii="Arial" w:hAnsi="Arial" w:cs="Arial"/>
                <w:sz w:val="22"/>
                <w:szCs w:val="22"/>
                <w:lang w:val="en-GB"/>
              </w:rPr>
              <w:t>8</w:t>
            </w:r>
          </w:p>
        </w:tc>
        <w:tc>
          <w:tcPr>
            <w:tcW w:w="1688" w:type="dxa"/>
          </w:tcPr>
          <w:p w14:paraId="78C5C939" w14:textId="2AC9E0EC" w:rsidR="001E0A56" w:rsidRDefault="001E0A56" w:rsidP="002A37BB">
            <w:pPr>
              <w:jc w:val="both"/>
              <w:rPr>
                <w:rFonts w:ascii="Arial" w:hAnsi="Arial" w:cs="Arial"/>
                <w:sz w:val="22"/>
                <w:szCs w:val="22"/>
                <w:lang w:val="en-GB"/>
              </w:rPr>
            </w:pPr>
            <w:r>
              <w:rPr>
                <w:rFonts w:ascii="Arial" w:hAnsi="Arial" w:cs="Arial"/>
                <w:sz w:val="22"/>
                <w:szCs w:val="22"/>
                <w:lang w:val="en-GB"/>
              </w:rPr>
              <w:t>Appointment</w:t>
            </w:r>
            <w:r w:rsidR="00144811">
              <w:rPr>
                <w:rFonts w:ascii="Arial" w:hAnsi="Arial" w:cs="Arial"/>
                <w:sz w:val="22"/>
                <w:szCs w:val="22"/>
                <w:lang w:val="en-GB"/>
              </w:rPr>
              <w:t xml:space="preserve"> &amp; Grounds</w:t>
            </w:r>
          </w:p>
        </w:tc>
        <w:tc>
          <w:tcPr>
            <w:tcW w:w="4256" w:type="dxa"/>
          </w:tcPr>
          <w:p w14:paraId="01ECDDEC" w14:textId="20725669" w:rsidR="001E0A56" w:rsidRPr="001E0A56" w:rsidRDefault="001E0A56" w:rsidP="002A37BB">
            <w:pPr>
              <w:jc w:val="both"/>
              <w:rPr>
                <w:rFonts w:ascii="Arial" w:hAnsi="Arial" w:cs="Arial"/>
                <w:sz w:val="22"/>
                <w:szCs w:val="22"/>
                <w:lang w:val="en-GB"/>
              </w:rPr>
            </w:pPr>
            <w:r w:rsidRPr="001E0A56">
              <w:rPr>
                <w:rFonts w:ascii="Arial" w:hAnsi="Arial" w:cs="Arial"/>
                <w:sz w:val="22"/>
                <w:szCs w:val="22"/>
                <w:lang w:val="en-GB"/>
              </w:rPr>
              <w:t>Compulsory winding up by the court is initiated by the filing of an application to the High Court. </w:t>
            </w:r>
          </w:p>
          <w:p w14:paraId="5D69BF9A" w14:textId="77777777" w:rsidR="001E0A56" w:rsidRPr="001E0A56" w:rsidRDefault="001E0A56" w:rsidP="002A37BB">
            <w:pPr>
              <w:jc w:val="both"/>
              <w:rPr>
                <w:rFonts w:ascii="Arial" w:hAnsi="Arial" w:cs="Arial"/>
                <w:sz w:val="22"/>
                <w:szCs w:val="22"/>
                <w:lang w:val="en-GB"/>
              </w:rPr>
            </w:pPr>
          </w:p>
          <w:p w14:paraId="07758D48" w14:textId="77777777" w:rsidR="001E0A56" w:rsidRDefault="001E0A56" w:rsidP="002A37BB">
            <w:pPr>
              <w:jc w:val="both"/>
              <w:rPr>
                <w:rFonts w:ascii="Arial" w:hAnsi="Arial" w:cs="Arial"/>
                <w:sz w:val="22"/>
                <w:szCs w:val="22"/>
                <w:lang w:val="en-GB"/>
              </w:rPr>
            </w:pPr>
            <w:r w:rsidRPr="001E0A56">
              <w:rPr>
                <w:rFonts w:ascii="Arial" w:hAnsi="Arial" w:cs="Arial"/>
                <w:sz w:val="22"/>
                <w:szCs w:val="22"/>
                <w:lang w:val="en-GB"/>
              </w:rPr>
              <w:t>Voluntary winding up takes place out of court and involves only filings to the Accounting and Corporate Regulatory Authority (ACRA)</w:t>
            </w:r>
          </w:p>
          <w:p w14:paraId="48F61BA0" w14:textId="77777777" w:rsidR="00144811" w:rsidRDefault="00144811" w:rsidP="002A37BB">
            <w:pPr>
              <w:jc w:val="both"/>
              <w:rPr>
                <w:rFonts w:ascii="Arial" w:hAnsi="Arial" w:cs="Arial"/>
                <w:sz w:val="22"/>
                <w:szCs w:val="22"/>
                <w:lang w:val="en-GB"/>
              </w:rPr>
            </w:pPr>
          </w:p>
          <w:p w14:paraId="17AADC13" w14:textId="77777777" w:rsidR="00144811" w:rsidRDefault="00144811" w:rsidP="00144811">
            <w:pPr>
              <w:jc w:val="both"/>
              <w:rPr>
                <w:rFonts w:ascii="Arial" w:hAnsi="Arial" w:cs="Arial"/>
                <w:sz w:val="22"/>
                <w:szCs w:val="22"/>
                <w:lang w:val="en-GB"/>
              </w:rPr>
            </w:pPr>
            <w:r>
              <w:rPr>
                <w:rFonts w:ascii="Arial" w:hAnsi="Arial" w:cs="Arial"/>
                <w:sz w:val="22"/>
                <w:szCs w:val="22"/>
                <w:lang w:val="en-GB"/>
              </w:rPr>
              <w:t xml:space="preserve">Grounds of winding up: </w:t>
            </w:r>
            <w:r>
              <w:rPr>
                <w:rFonts w:ascii="Arial" w:hAnsi="Arial" w:cs="Arial"/>
                <w:sz w:val="22"/>
                <w:szCs w:val="22"/>
                <w:lang w:val="en-GB"/>
              </w:rPr>
              <w:br/>
            </w:r>
          </w:p>
          <w:p w14:paraId="5BF9F03C" w14:textId="77777777" w:rsidR="00144811" w:rsidRDefault="00144811" w:rsidP="00144811">
            <w:pPr>
              <w:pStyle w:val="ListParagraph"/>
              <w:numPr>
                <w:ilvl w:val="0"/>
                <w:numId w:val="21"/>
              </w:numPr>
              <w:jc w:val="both"/>
              <w:rPr>
                <w:rFonts w:ascii="Arial" w:hAnsi="Arial" w:cs="Arial"/>
                <w:sz w:val="22"/>
                <w:szCs w:val="22"/>
                <w:lang w:val="en-GB"/>
              </w:rPr>
            </w:pPr>
            <w:r w:rsidRPr="00144811">
              <w:rPr>
                <w:rFonts w:ascii="Arial" w:hAnsi="Arial" w:cs="Arial"/>
                <w:sz w:val="22"/>
                <w:szCs w:val="22"/>
                <w:lang w:val="en-GB"/>
              </w:rPr>
              <w:t>Section 254, Companies Act</w:t>
            </w:r>
          </w:p>
          <w:p w14:paraId="24447650" w14:textId="24F4BCC1" w:rsidR="00144811" w:rsidRPr="00144811" w:rsidRDefault="00144811" w:rsidP="00144811">
            <w:pPr>
              <w:pStyle w:val="ListParagraph"/>
              <w:numPr>
                <w:ilvl w:val="0"/>
                <w:numId w:val="21"/>
              </w:numPr>
              <w:jc w:val="both"/>
              <w:rPr>
                <w:rFonts w:ascii="Arial" w:hAnsi="Arial" w:cs="Arial"/>
                <w:sz w:val="22"/>
                <w:szCs w:val="22"/>
                <w:lang w:val="en-GB"/>
              </w:rPr>
            </w:pPr>
            <w:r w:rsidRPr="00144811">
              <w:rPr>
                <w:rFonts w:ascii="Arial" w:hAnsi="Arial" w:cs="Arial"/>
                <w:sz w:val="22"/>
                <w:szCs w:val="22"/>
                <w:lang w:val="en-GB"/>
              </w:rPr>
              <w:t>Common ground company is</w:t>
            </w:r>
          </w:p>
          <w:p w14:paraId="4C8BFCCB" w14:textId="77777777" w:rsidR="00144811" w:rsidRDefault="00144811" w:rsidP="00144811">
            <w:pPr>
              <w:jc w:val="both"/>
              <w:rPr>
                <w:rFonts w:ascii="Arial" w:hAnsi="Arial" w:cs="Arial"/>
                <w:sz w:val="22"/>
                <w:szCs w:val="22"/>
                <w:lang w:val="en-GB"/>
              </w:rPr>
            </w:pPr>
            <w:r w:rsidRPr="00144811">
              <w:rPr>
                <w:rFonts w:ascii="Arial" w:hAnsi="Arial" w:cs="Arial"/>
                <w:sz w:val="22"/>
                <w:szCs w:val="22"/>
                <w:lang w:val="en-GB"/>
              </w:rPr>
              <w:t>unable to pay its debts</w:t>
            </w:r>
          </w:p>
          <w:p w14:paraId="30E93E53" w14:textId="224F0553" w:rsidR="00144811" w:rsidRPr="00144811" w:rsidRDefault="00144811" w:rsidP="00144811">
            <w:pPr>
              <w:pStyle w:val="NoSpacing"/>
              <w:numPr>
                <w:ilvl w:val="0"/>
                <w:numId w:val="23"/>
              </w:numPr>
              <w:jc w:val="both"/>
              <w:rPr>
                <w:rFonts w:ascii="Arial" w:hAnsi="Arial" w:cs="Arial"/>
                <w:sz w:val="22"/>
                <w:szCs w:val="22"/>
                <w:lang w:val="en-GB"/>
              </w:rPr>
            </w:pPr>
            <w:r w:rsidRPr="00144811">
              <w:rPr>
                <w:rFonts w:ascii="Arial" w:hAnsi="Arial" w:cs="Arial"/>
                <w:sz w:val="22"/>
                <w:szCs w:val="22"/>
                <w:lang w:val="en-GB"/>
              </w:rPr>
              <w:t>Company deemed to be unable to</w:t>
            </w:r>
          </w:p>
          <w:p w14:paraId="7F08CC64" w14:textId="77777777" w:rsidR="00144811" w:rsidRPr="00144811" w:rsidRDefault="00144811" w:rsidP="00144811">
            <w:pPr>
              <w:pStyle w:val="NoSpacing"/>
              <w:jc w:val="both"/>
              <w:rPr>
                <w:rFonts w:ascii="Arial" w:hAnsi="Arial" w:cs="Arial"/>
                <w:sz w:val="22"/>
                <w:szCs w:val="22"/>
                <w:lang w:val="en-GB"/>
              </w:rPr>
            </w:pPr>
            <w:r w:rsidRPr="00144811">
              <w:rPr>
                <w:rFonts w:ascii="Arial" w:hAnsi="Arial" w:cs="Arial"/>
                <w:sz w:val="22"/>
                <w:szCs w:val="22"/>
                <w:lang w:val="en-GB"/>
              </w:rPr>
              <w:t>pay its debt if, upon statutory</w:t>
            </w:r>
          </w:p>
          <w:p w14:paraId="0F961B28" w14:textId="77777777" w:rsidR="00144811" w:rsidRPr="00144811" w:rsidRDefault="00144811" w:rsidP="00144811">
            <w:pPr>
              <w:pStyle w:val="NoSpacing"/>
              <w:jc w:val="both"/>
              <w:rPr>
                <w:rFonts w:ascii="Arial" w:hAnsi="Arial" w:cs="Arial"/>
                <w:sz w:val="22"/>
                <w:szCs w:val="22"/>
                <w:lang w:val="en-GB"/>
              </w:rPr>
            </w:pPr>
            <w:r w:rsidRPr="00144811">
              <w:rPr>
                <w:rFonts w:ascii="Arial" w:hAnsi="Arial" w:cs="Arial"/>
                <w:sz w:val="22"/>
                <w:szCs w:val="22"/>
                <w:lang w:val="en-GB"/>
              </w:rPr>
              <w:t>demand being made for payment</w:t>
            </w:r>
          </w:p>
          <w:p w14:paraId="0C9C86B4" w14:textId="77777777" w:rsidR="00144811" w:rsidRPr="00144811" w:rsidRDefault="00144811" w:rsidP="00144811">
            <w:pPr>
              <w:pStyle w:val="NoSpacing"/>
              <w:jc w:val="both"/>
              <w:rPr>
                <w:rFonts w:ascii="Arial" w:hAnsi="Arial" w:cs="Arial"/>
                <w:sz w:val="22"/>
                <w:szCs w:val="22"/>
                <w:lang w:val="en-GB"/>
              </w:rPr>
            </w:pPr>
            <w:r w:rsidRPr="00144811">
              <w:rPr>
                <w:rFonts w:ascii="Arial" w:hAnsi="Arial" w:cs="Arial"/>
                <w:sz w:val="22"/>
                <w:szCs w:val="22"/>
                <w:lang w:val="en-GB"/>
              </w:rPr>
              <w:t>of exceeding $10,000, company</w:t>
            </w:r>
          </w:p>
          <w:p w14:paraId="56C576BB" w14:textId="6BE87191" w:rsidR="00144811" w:rsidRPr="00692A18" w:rsidRDefault="00144811" w:rsidP="00144811">
            <w:pPr>
              <w:pStyle w:val="NoSpacing"/>
              <w:jc w:val="both"/>
              <w:rPr>
                <w:lang w:val="en-GB"/>
              </w:rPr>
            </w:pPr>
            <w:r w:rsidRPr="00144811">
              <w:rPr>
                <w:rFonts w:ascii="Arial" w:hAnsi="Arial" w:cs="Arial"/>
                <w:sz w:val="22"/>
                <w:szCs w:val="22"/>
                <w:lang w:val="en-GB"/>
              </w:rPr>
              <w:t>fails to make payment</w:t>
            </w:r>
          </w:p>
        </w:tc>
        <w:tc>
          <w:tcPr>
            <w:tcW w:w="3883" w:type="dxa"/>
          </w:tcPr>
          <w:p w14:paraId="4611A5D3" w14:textId="22A7893E" w:rsidR="001E0A56" w:rsidRPr="001E0A56" w:rsidRDefault="001E0A56" w:rsidP="001E0A56">
            <w:pPr>
              <w:pStyle w:val="NormalWeb"/>
              <w:shd w:val="clear" w:color="auto" w:fill="FFFFFF"/>
              <w:spacing w:before="0" w:beforeAutospacing="0" w:after="0" w:afterAutospacing="0" w:line="375" w:lineRule="atLeast"/>
              <w:rPr>
                <w:rFonts w:ascii="Arial" w:hAnsi="Arial" w:cs="Arial"/>
                <w:sz w:val="22"/>
                <w:szCs w:val="22"/>
                <w:lang w:val="en-GB"/>
              </w:rPr>
            </w:pPr>
            <w:r>
              <w:rPr>
                <w:rFonts w:ascii="Arial" w:hAnsi="Arial" w:cs="Arial"/>
                <w:sz w:val="22"/>
                <w:szCs w:val="22"/>
                <w:lang w:val="en-GB"/>
              </w:rPr>
              <w:t>i</w:t>
            </w:r>
            <w:r w:rsidRPr="001E0A56">
              <w:rPr>
                <w:rFonts w:ascii="Arial" w:hAnsi="Arial" w:cs="Arial"/>
                <w:sz w:val="22"/>
                <w:szCs w:val="22"/>
                <w:lang w:val="en-GB"/>
              </w:rPr>
              <w:t>nvolves the appointment of a judicial manager who takes control of the company to achieve one or more of the following statutorily-specified objectives:</w:t>
            </w:r>
            <w:r w:rsidR="00144811" w:rsidRPr="001E0A56">
              <w:rPr>
                <w:rFonts w:ascii="Arial" w:hAnsi="Arial" w:cs="Arial"/>
                <w:sz w:val="22"/>
                <w:szCs w:val="22"/>
                <w:lang w:val="en-GB"/>
              </w:rPr>
              <w:t xml:space="preserve"> </w:t>
            </w:r>
          </w:p>
          <w:p w14:paraId="39C2D872" w14:textId="33276831" w:rsidR="001E0A56" w:rsidRPr="00144811" w:rsidRDefault="001E0A56" w:rsidP="00144811">
            <w:pPr>
              <w:numPr>
                <w:ilvl w:val="0"/>
                <w:numId w:val="19"/>
              </w:numPr>
              <w:shd w:val="clear" w:color="auto" w:fill="FFFFFF"/>
              <w:spacing w:after="390"/>
              <w:ind w:left="330"/>
              <w:rPr>
                <w:rFonts w:ascii="Arial" w:hAnsi="Arial" w:cs="Arial"/>
                <w:sz w:val="22"/>
                <w:szCs w:val="22"/>
                <w:lang w:val="en-GB"/>
              </w:rPr>
            </w:pPr>
            <w:r w:rsidRPr="001E0A56">
              <w:rPr>
                <w:rFonts w:ascii="Arial" w:hAnsi="Arial" w:cs="Arial"/>
                <w:sz w:val="22"/>
                <w:szCs w:val="22"/>
                <w:lang w:val="en-GB"/>
              </w:rPr>
              <w:t>the survival of the company;</w:t>
            </w:r>
            <w:r w:rsidR="00144811">
              <w:rPr>
                <w:rFonts w:ascii="Arial" w:hAnsi="Arial" w:cs="Arial"/>
                <w:sz w:val="22"/>
                <w:szCs w:val="22"/>
                <w:lang w:val="en-GB"/>
              </w:rPr>
              <w:br/>
              <w:t xml:space="preserve">b. </w:t>
            </w:r>
            <w:r w:rsidR="00144811" w:rsidRPr="00144811">
              <w:rPr>
                <w:rFonts w:ascii="Arial" w:hAnsi="Arial" w:cs="Arial"/>
                <w:sz w:val="22"/>
                <w:szCs w:val="22"/>
                <w:lang w:val="en-GB"/>
              </w:rPr>
              <w:t xml:space="preserve"> </w:t>
            </w:r>
            <w:r w:rsidRPr="00144811">
              <w:rPr>
                <w:rFonts w:ascii="Arial" w:hAnsi="Arial" w:cs="Arial"/>
                <w:sz w:val="22"/>
                <w:szCs w:val="22"/>
                <w:lang w:val="en-GB"/>
              </w:rPr>
              <w:t>the approval of a scheme of arrangement; or</w:t>
            </w:r>
          </w:p>
          <w:p w14:paraId="02F666CF" w14:textId="4960927F" w:rsidR="001E0A56" w:rsidRPr="00144811" w:rsidRDefault="001E0A56" w:rsidP="00144811">
            <w:pPr>
              <w:pStyle w:val="ListParagraph"/>
              <w:numPr>
                <w:ilvl w:val="0"/>
                <w:numId w:val="20"/>
              </w:numPr>
              <w:shd w:val="clear" w:color="auto" w:fill="FFFFFF"/>
              <w:spacing w:after="390" w:line="375" w:lineRule="atLeast"/>
              <w:rPr>
                <w:rFonts w:ascii="Arial" w:hAnsi="Arial" w:cs="Arial"/>
                <w:sz w:val="22"/>
                <w:szCs w:val="22"/>
                <w:lang w:val="en-GB"/>
              </w:rPr>
            </w:pPr>
            <w:r w:rsidRPr="00144811">
              <w:rPr>
                <w:rFonts w:ascii="Arial" w:hAnsi="Arial" w:cs="Arial"/>
                <w:sz w:val="22"/>
                <w:szCs w:val="22"/>
                <w:lang w:val="en-GB"/>
              </w:rPr>
              <w:t>a more advantageous realisation of the company's assets than on a winding up.</w:t>
            </w:r>
          </w:p>
          <w:p w14:paraId="7068DAD8" w14:textId="77777777" w:rsidR="001E0A56" w:rsidRPr="001E0A56" w:rsidRDefault="001E0A56" w:rsidP="002A37BB">
            <w:pPr>
              <w:jc w:val="both"/>
              <w:rPr>
                <w:rFonts w:ascii="Arial" w:hAnsi="Arial" w:cs="Arial"/>
                <w:sz w:val="22"/>
                <w:szCs w:val="22"/>
              </w:rPr>
            </w:pPr>
          </w:p>
        </w:tc>
      </w:tr>
    </w:tbl>
    <w:p w14:paraId="390FDD25" w14:textId="2F01E2AC" w:rsidR="00DF75F8" w:rsidRPr="002A37BB" w:rsidRDefault="00DF75F8" w:rsidP="002A37BB">
      <w:pPr>
        <w:jc w:val="both"/>
        <w:rPr>
          <w:rFonts w:ascii="Arial" w:hAnsi="Arial" w:cs="Arial"/>
          <w:sz w:val="22"/>
          <w:szCs w:val="22"/>
          <w:lang w:val="en-GB"/>
        </w:rPr>
      </w:pPr>
    </w:p>
    <w:p w14:paraId="30A3B314" w14:textId="77777777" w:rsidR="007E40F0" w:rsidRPr="007E40F0" w:rsidRDefault="007E40F0" w:rsidP="00087F21">
      <w:pPr>
        <w:jc w:val="both"/>
        <w:rPr>
          <w:rFonts w:ascii="Arial" w:hAnsi="Arial" w:cs="Arial"/>
          <w:bCs/>
          <w:sz w:val="22"/>
          <w:szCs w:val="22"/>
          <w:lang w:val="en-GB"/>
        </w:rPr>
      </w:pPr>
    </w:p>
    <w:p w14:paraId="1319C98E" w14:textId="77777777" w:rsidR="007E40F0" w:rsidRPr="007E40F0" w:rsidRDefault="007E40F0" w:rsidP="00087F21">
      <w:pPr>
        <w:jc w:val="both"/>
        <w:rPr>
          <w:rFonts w:ascii="Arial" w:hAnsi="Arial" w:cs="Arial"/>
          <w:bCs/>
          <w:sz w:val="22"/>
          <w:szCs w:val="22"/>
          <w:lang w:val="en-GB"/>
        </w:rPr>
      </w:pPr>
    </w:p>
    <w:p w14:paraId="5F560468" w14:textId="77777777" w:rsidR="009B0723" w:rsidRPr="002A37BB" w:rsidRDefault="0007291B" w:rsidP="00087F21">
      <w:pPr>
        <w:jc w:val="both"/>
        <w:rPr>
          <w:rFonts w:ascii="Arial" w:hAnsi="Arial" w:cs="Arial"/>
          <w:b/>
          <w:sz w:val="22"/>
          <w:szCs w:val="22"/>
          <w:lang w:val="en-GB"/>
        </w:rPr>
      </w:pPr>
      <w:r w:rsidRPr="002A37BB">
        <w:rPr>
          <w:rFonts w:ascii="Arial" w:hAnsi="Arial" w:cs="Arial"/>
          <w:b/>
          <w:sz w:val="22"/>
          <w:szCs w:val="22"/>
          <w:lang w:val="en-GB"/>
        </w:rPr>
        <w:t>QUESTION 4 (fact-based application-type question) [15 marks</w:t>
      </w:r>
      <w:r w:rsidR="006A2646" w:rsidRPr="002A37BB">
        <w:rPr>
          <w:rFonts w:ascii="Arial" w:hAnsi="Arial" w:cs="Arial"/>
          <w:b/>
          <w:sz w:val="22"/>
          <w:szCs w:val="22"/>
          <w:lang w:val="en-GB"/>
        </w:rPr>
        <w:t xml:space="preserve"> in total</w:t>
      </w:r>
      <w:r w:rsidRPr="002A37BB">
        <w:rPr>
          <w:rFonts w:ascii="Arial" w:hAnsi="Arial" w:cs="Arial"/>
          <w:b/>
          <w:sz w:val="22"/>
          <w:szCs w:val="22"/>
          <w:lang w:val="en-GB"/>
        </w:rPr>
        <w:t>]</w:t>
      </w:r>
    </w:p>
    <w:p w14:paraId="01F3EFFD" w14:textId="77777777" w:rsidR="009B0723" w:rsidRPr="002A37BB" w:rsidRDefault="009B0723" w:rsidP="00087F21">
      <w:pPr>
        <w:jc w:val="both"/>
        <w:rPr>
          <w:rFonts w:ascii="Arial" w:hAnsi="Arial" w:cs="Arial"/>
          <w:sz w:val="22"/>
          <w:szCs w:val="22"/>
          <w:lang w:val="en-GB"/>
        </w:rPr>
      </w:pPr>
    </w:p>
    <w:p w14:paraId="064A6719" w14:textId="54FD7B90" w:rsidR="003D70A7" w:rsidRDefault="007D3C92" w:rsidP="00087F21">
      <w:pPr>
        <w:jc w:val="both"/>
        <w:rPr>
          <w:rFonts w:ascii="Arial" w:hAnsi="Arial" w:cs="Arial"/>
          <w:sz w:val="22"/>
          <w:szCs w:val="22"/>
          <w:lang w:val="en-GB"/>
        </w:rPr>
      </w:pPr>
      <w:bookmarkStart w:id="0" w:name="_Hlk17745211"/>
      <w:r>
        <w:rPr>
          <w:rFonts w:ascii="Arial" w:hAnsi="Arial" w:cs="Arial"/>
          <w:sz w:val="22"/>
          <w:szCs w:val="22"/>
          <w:lang w:val="en-GB"/>
        </w:rPr>
        <w:t>Paladin</w:t>
      </w:r>
      <w:r w:rsidR="0007291B">
        <w:rPr>
          <w:rFonts w:ascii="Arial" w:hAnsi="Arial" w:cs="Arial"/>
          <w:sz w:val="22"/>
          <w:szCs w:val="22"/>
          <w:lang w:val="en-GB"/>
        </w:rPr>
        <w:t xml:space="preserve"> Energy </w:t>
      </w:r>
      <w:r>
        <w:rPr>
          <w:rFonts w:ascii="Arial" w:hAnsi="Arial" w:cs="Arial"/>
          <w:sz w:val="22"/>
          <w:szCs w:val="22"/>
          <w:lang w:val="en-GB"/>
        </w:rPr>
        <w:t xml:space="preserve">Corporation </w:t>
      </w:r>
      <w:r w:rsidR="0007291B">
        <w:rPr>
          <w:rFonts w:ascii="Arial" w:hAnsi="Arial" w:cs="Arial"/>
          <w:sz w:val="22"/>
          <w:szCs w:val="22"/>
          <w:lang w:val="en-GB"/>
        </w:rPr>
        <w:t>Ltd (</w:t>
      </w:r>
      <w:r>
        <w:rPr>
          <w:rFonts w:ascii="Arial" w:hAnsi="Arial" w:cs="Arial"/>
          <w:sz w:val="22"/>
          <w:szCs w:val="22"/>
          <w:lang w:val="en-GB"/>
        </w:rPr>
        <w:t>PEC</w:t>
      </w:r>
      <w:r w:rsidR="0007291B">
        <w:rPr>
          <w:rFonts w:ascii="Arial" w:hAnsi="Arial" w:cs="Arial"/>
          <w:sz w:val="22"/>
          <w:szCs w:val="22"/>
          <w:lang w:val="en-GB"/>
        </w:rPr>
        <w:t xml:space="preserve">) is a </w:t>
      </w:r>
      <w:r>
        <w:rPr>
          <w:rFonts w:ascii="Arial" w:hAnsi="Arial" w:cs="Arial"/>
          <w:sz w:val="22"/>
          <w:szCs w:val="22"/>
          <w:lang w:val="en-GB"/>
        </w:rPr>
        <w:t>Cayman</w:t>
      </w:r>
      <w:r w:rsidR="002F7D0F">
        <w:rPr>
          <w:rFonts w:ascii="Arial" w:hAnsi="Arial" w:cs="Arial"/>
          <w:sz w:val="22"/>
          <w:szCs w:val="22"/>
          <w:lang w:val="en-GB"/>
        </w:rPr>
        <w:t>-</w:t>
      </w:r>
      <w:r w:rsidR="0007291B">
        <w:rPr>
          <w:rFonts w:ascii="Arial" w:hAnsi="Arial" w:cs="Arial"/>
          <w:sz w:val="22"/>
          <w:szCs w:val="22"/>
          <w:lang w:val="en-GB"/>
        </w:rPr>
        <w:t xml:space="preserve">incorporated company listed on the Singapore stock exchange. </w:t>
      </w:r>
      <w:r>
        <w:rPr>
          <w:rFonts w:ascii="Arial" w:hAnsi="Arial" w:cs="Arial"/>
          <w:sz w:val="22"/>
          <w:szCs w:val="22"/>
          <w:lang w:val="en-GB"/>
        </w:rPr>
        <w:t>PEC</w:t>
      </w:r>
      <w:r w:rsidR="0007291B">
        <w:rPr>
          <w:rFonts w:ascii="Arial" w:hAnsi="Arial" w:cs="Arial"/>
          <w:sz w:val="22"/>
          <w:szCs w:val="22"/>
          <w:lang w:val="en-GB"/>
        </w:rPr>
        <w:t xml:space="preserve"> was formed to become the dominant market player in all aspects of energy in South East Asia</w:t>
      </w:r>
      <w:r>
        <w:rPr>
          <w:rFonts w:ascii="Arial" w:hAnsi="Arial" w:cs="Arial"/>
          <w:sz w:val="22"/>
          <w:szCs w:val="22"/>
          <w:lang w:val="en-GB"/>
        </w:rPr>
        <w:t xml:space="preserve"> and China</w:t>
      </w:r>
      <w:r w:rsidR="0007291B">
        <w:rPr>
          <w:rFonts w:ascii="Arial" w:hAnsi="Arial" w:cs="Arial"/>
          <w:sz w:val="22"/>
          <w:szCs w:val="22"/>
          <w:lang w:val="en-GB"/>
        </w:rPr>
        <w:t>. Its primary lines of business are:</w:t>
      </w:r>
    </w:p>
    <w:p w14:paraId="6F61E7AC" w14:textId="77777777" w:rsidR="003D70A7" w:rsidRDefault="003D70A7" w:rsidP="00087F21">
      <w:pPr>
        <w:jc w:val="both"/>
        <w:rPr>
          <w:rFonts w:ascii="Arial" w:hAnsi="Arial" w:cs="Arial"/>
          <w:sz w:val="22"/>
          <w:szCs w:val="22"/>
          <w:lang w:val="en-GB"/>
        </w:rPr>
      </w:pPr>
    </w:p>
    <w:p w14:paraId="1A01AE29" w14:textId="4083396A"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 xml:space="preserve">oil and gas exploration and production </w:t>
      </w:r>
      <w:r w:rsidR="00AF5D9C">
        <w:rPr>
          <w:rFonts w:ascii="Arial" w:hAnsi="Arial" w:cs="Arial"/>
          <w:sz w:val="22"/>
          <w:szCs w:val="22"/>
          <w:lang w:val="en-GB"/>
        </w:rPr>
        <w:t xml:space="preserve">with assets and fields </w:t>
      </w:r>
      <w:r>
        <w:rPr>
          <w:rFonts w:ascii="Arial" w:hAnsi="Arial" w:cs="Arial"/>
          <w:sz w:val="22"/>
          <w:szCs w:val="22"/>
          <w:lang w:val="en-GB"/>
        </w:rPr>
        <w:t xml:space="preserve">in </w:t>
      </w:r>
      <w:r w:rsidR="007D3C92">
        <w:rPr>
          <w:rFonts w:ascii="Arial" w:hAnsi="Arial" w:cs="Arial"/>
          <w:sz w:val="22"/>
          <w:szCs w:val="22"/>
          <w:lang w:val="en-GB"/>
        </w:rPr>
        <w:t>Malaysia</w:t>
      </w:r>
      <w:r>
        <w:rPr>
          <w:rFonts w:ascii="Arial" w:hAnsi="Arial" w:cs="Arial"/>
          <w:sz w:val="22"/>
          <w:szCs w:val="22"/>
          <w:lang w:val="en-GB"/>
        </w:rPr>
        <w:t>, Thailand and Cambodia;</w:t>
      </w:r>
    </w:p>
    <w:p w14:paraId="053E7AA4" w14:textId="77777777" w:rsidR="005A6ED5" w:rsidRPr="005A6ED5" w:rsidRDefault="005A6ED5" w:rsidP="005A6ED5">
      <w:pPr>
        <w:jc w:val="both"/>
        <w:rPr>
          <w:rFonts w:ascii="Arial" w:hAnsi="Arial" w:cs="Arial"/>
          <w:sz w:val="22"/>
          <w:szCs w:val="22"/>
          <w:lang w:val="en-GB"/>
        </w:rPr>
      </w:pPr>
    </w:p>
    <w:p w14:paraId="4D8308D3" w14:textId="48F3A4F8" w:rsid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Renewable energy, specifically solar and wind</w:t>
      </w:r>
      <w:r w:rsidR="002F7D0F">
        <w:rPr>
          <w:rFonts w:ascii="Arial" w:hAnsi="Arial" w:cs="Arial"/>
          <w:sz w:val="22"/>
          <w:szCs w:val="22"/>
          <w:lang w:val="en-GB"/>
        </w:rPr>
        <w:t>,</w:t>
      </w:r>
      <w:r w:rsidR="00AB4451">
        <w:rPr>
          <w:rFonts w:ascii="Arial" w:hAnsi="Arial" w:cs="Arial"/>
          <w:sz w:val="22"/>
          <w:szCs w:val="22"/>
          <w:lang w:val="en-GB"/>
        </w:rPr>
        <w:t xml:space="preserve"> with projects in </w:t>
      </w:r>
      <w:r w:rsidR="007D3C92">
        <w:rPr>
          <w:rFonts w:ascii="Arial" w:hAnsi="Arial" w:cs="Arial"/>
          <w:sz w:val="22"/>
          <w:szCs w:val="22"/>
          <w:lang w:val="en-GB"/>
        </w:rPr>
        <w:t>Malaysia</w:t>
      </w:r>
      <w:r w:rsidR="00AB4451">
        <w:rPr>
          <w:rFonts w:ascii="Arial" w:hAnsi="Arial" w:cs="Arial"/>
          <w:sz w:val="22"/>
          <w:szCs w:val="22"/>
          <w:lang w:val="en-GB"/>
        </w:rPr>
        <w:t>, Vietnam and the United States</w:t>
      </w:r>
      <w:r>
        <w:rPr>
          <w:rFonts w:ascii="Arial" w:hAnsi="Arial" w:cs="Arial"/>
          <w:sz w:val="22"/>
          <w:szCs w:val="22"/>
          <w:lang w:val="en-GB"/>
        </w:rPr>
        <w:t>; and</w:t>
      </w:r>
    </w:p>
    <w:p w14:paraId="460C8B32" w14:textId="77777777" w:rsidR="005A6ED5" w:rsidRPr="005A6ED5" w:rsidRDefault="005A6ED5" w:rsidP="005A6ED5">
      <w:pPr>
        <w:jc w:val="both"/>
        <w:rPr>
          <w:rFonts w:ascii="Arial" w:hAnsi="Arial" w:cs="Arial"/>
          <w:sz w:val="22"/>
          <w:szCs w:val="22"/>
          <w:lang w:val="en-GB"/>
        </w:rPr>
      </w:pPr>
    </w:p>
    <w:p w14:paraId="36F66DC1" w14:textId="77777777" w:rsidR="003D70A7" w:rsidRPr="003D70A7" w:rsidRDefault="0007291B" w:rsidP="00BE65AA">
      <w:pPr>
        <w:pStyle w:val="ListParagraph"/>
        <w:numPr>
          <w:ilvl w:val="0"/>
          <w:numId w:val="1"/>
        </w:numPr>
        <w:ind w:left="426" w:hanging="426"/>
        <w:jc w:val="both"/>
        <w:rPr>
          <w:rFonts w:ascii="Arial" w:hAnsi="Arial" w:cs="Arial"/>
          <w:sz w:val="22"/>
          <w:szCs w:val="22"/>
          <w:lang w:val="en-GB"/>
        </w:rPr>
      </w:pPr>
      <w:r>
        <w:rPr>
          <w:rFonts w:ascii="Arial" w:hAnsi="Arial" w:cs="Arial"/>
          <w:sz w:val="22"/>
          <w:szCs w:val="22"/>
          <w:lang w:val="en-GB"/>
        </w:rPr>
        <w:t>Water and waste to energy</w:t>
      </w:r>
      <w:r w:rsidR="00AB4451">
        <w:rPr>
          <w:rFonts w:ascii="Arial" w:hAnsi="Arial" w:cs="Arial"/>
          <w:sz w:val="22"/>
          <w:szCs w:val="22"/>
          <w:lang w:val="en-GB"/>
        </w:rPr>
        <w:t xml:space="preserve"> with plants in Singapore and China</w:t>
      </w:r>
      <w:r>
        <w:rPr>
          <w:rFonts w:ascii="Arial" w:hAnsi="Arial" w:cs="Arial"/>
          <w:sz w:val="22"/>
          <w:szCs w:val="22"/>
          <w:lang w:val="en-GB"/>
        </w:rPr>
        <w:t>.</w:t>
      </w:r>
    </w:p>
    <w:p w14:paraId="26DD5C8E" w14:textId="77777777" w:rsidR="003D70A7" w:rsidRDefault="003D70A7" w:rsidP="00087F21">
      <w:pPr>
        <w:jc w:val="both"/>
        <w:rPr>
          <w:rFonts w:ascii="Arial" w:hAnsi="Arial" w:cs="Arial"/>
          <w:sz w:val="22"/>
          <w:szCs w:val="22"/>
          <w:lang w:val="en-GB"/>
        </w:rPr>
      </w:pPr>
    </w:p>
    <w:p w14:paraId="15348C74" w14:textId="17497A63"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w:t>
      </w:r>
      <w:r w:rsidR="00AB4451">
        <w:rPr>
          <w:rFonts w:ascii="Arial" w:hAnsi="Arial" w:cs="Arial"/>
          <w:sz w:val="22"/>
          <w:szCs w:val="22"/>
          <w:lang w:val="en-GB"/>
        </w:rPr>
        <w:t>has three wholly</w:t>
      </w:r>
      <w:r w:rsidR="00AB6201">
        <w:rPr>
          <w:rFonts w:ascii="Arial" w:hAnsi="Arial" w:cs="Arial"/>
          <w:sz w:val="22"/>
          <w:szCs w:val="22"/>
          <w:lang w:val="en-GB"/>
        </w:rPr>
        <w:t>-</w:t>
      </w:r>
      <w:r w:rsidR="00AB4451">
        <w:rPr>
          <w:rFonts w:ascii="Arial" w:hAnsi="Arial" w:cs="Arial"/>
          <w:sz w:val="22"/>
          <w:szCs w:val="22"/>
          <w:lang w:val="en-GB"/>
        </w:rPr>
        <w:t xml:space="preserve">owned Singapore incorporated subsidiaries </w:t>
      </w:r>
      <w:r w:rsidR="005A6ED5">
        <w:rPr>
          <w:rFonts w:ascii="Arial" w:hAnsi="Arial" w:cs="Arial"/>
          <w:sz w:val="22"/>
          <w:szCs w:val="22"/>
          <w:lang w:val="en-GB"/>
        </w:rPr>
        <w:t>that</w:t>
      </w:r>
      <w:r w:rsidR="00AB4451">
        <w:rPr>
          <w:rFonts w:ascii="Arial" w:hAnsi="Arial" w:cs="Arial"/>
          <w:sz w:val="22"/>
          <w:szCs w:val="22"/>
          <w:lang w:val="en-GB"/>
        </w:rPr>
        <w:t xml:space="preserve"> run each</w:t>
      </w:r>
      <w:r w:rsidR="0007291B">
        <w:rPr>
          <w:rFonts w:ascii="Arial" w:hAnsi="Arial" w:cs="Arial"/>
          <w:sz w:val="22"/>
          <w:szCs w:val="22"/>
          <w:lang w:val="en-GB"/>
        </w:rPr>
        <w:t xml:space="preserve"> of the three lines of business:</w:t>
      </w:r>
    </w:p>
    <w:p w14:paraId="78E8E913" w14:textId="77777777" w:rsidR="00DB6103" w:rsidRDefault="00DB6103" w:rsidP="00087F21">
      <w:pPr>
        <w:jc w:val="both"/>
        <w:rPr>
          <w:rFonts w:ascii="Arial" w:hAnsi="Arial" w:cs="Arial"/>
          <w:sz w:val="22"/>
          <w:szCs w:val="22"/>
          <w:lang w:val="en-GB"/>
        </w:rPr>
      </w:pPr>
    </w:p>
    <w:p w14:paraId="5440AFE0" w14:textId="347521C8" w:rsidR="00B81AE8" w:rsidRDefault="00235D7D" w:rsidP="00BE65AA">
      <w:pPr>
        <w:pStyle w:val="ListParagraph"/>
        <w:numPr>
          <w:ilvl w:val="0"/>
          <w:numId w:val="2"/>
        </w:numPr>
        <w:ind w:left="426" w:hanging="426"/>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Oil and Gas Pte Ltd;</w:t>
      </w:r>
    </w:p>
    <w:p w14:paraId="0C9DB2E0" w14:textId="77777777" w:rsidR="005A6ED5" w:rsidRPr="005A6ED5" w:rsidRDefault="005A6ED5" w:rsidP="005A6ED5">
      <w:pPr>
        <w:jc w:val="both"/>
        <w:rPr>
          <w:rFonts w:ascii="Arial" w:hAnsi="Arial" w:cs="Arial"/>
          <w:sz w:val="22"/>
          <w:szCs w:val="22"/>
          <w:lang w:val="en-GB"/>
        </w:rPr>
      </w:pPr>
    </w:p>
    <w:p w14:paraId="0C984307" w14:textId="77777777" w:rsid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Renewables Pte Ltd; and</w:t>
      </w:r>
    </w:p>
    <w:p w14:paraId="48502A5A" w14:textId="77777777" w:rsidR="005A6ED5" w:rsidRPr="005A6ED5" w:rsidRDefault="005A6ED5" w:rsidP="005A6ED5">
      <w:pPr>
        <w:pStyle w:val="ListParagraph"/>
        <w:rPr>
          <w:rFonts w:ascii="Arial" w:hAnsi="Arial" w:cs="Arial"/>
          <w:sz w:val="22"/>
          <w:szCs w:val="22"/>
          <w:lang w:val="en-GB"/>
        </w:rPr>
      </w:pPr>
    </w:p>
    <w:p w14:paraId="5B17AFE3" w14:textId="58D207AF" w:rsidR="00B81AE8" w:rsidRPr="005A6ED5" w:rsidRDefault="00235D7D" w:rsidP="00BE65AA">
      <w:pPr>
        <w:pStyle w:val="ListParagraph"/>
        <w:numPr>
          <w:ilvl w:val="0"/>
          <w:numId w:val="2"/>
        </w:numPr>
        <w:ind w:left="426" w:hanging="426"/>
        <w:jc w:val="both"/>
        <w:rPr>
          <w:rFonts w:ascii="Arial" w:hAnsi="Arial" w:cs="Arial"/>
          <w:sz w:val="22"/>
          <w:szCs w:val="22"/>
          <w:lang w:val="en-GB"/>
        </w:rPr>
      </w:pPr>
      <w:r w:rsidRPr="005A6ED5">
        <w:rPr>
          <w:rFonts w:ascii="Arial" w:hAnsi="Arial" w:cs="Arial"/>
          <w:sz w:val="22"/>
          <w:szCs w:val="22"/>
          <w:lang w:val="en-GB"/>
        </w:rPr>
        <w:t>PEC</w:t>
      </w:r>
      <w:r w:rsidR="0007291B" w:rsidRPr="005A6ED5">
        <w:rPr>
          <w:rFonts w:ascii="Arial" w:hAnsi="Arial" w:cs="Arial"/>
          <w:sz w:val="22"/>
          <w:szCs w:val="22"/>
          <w:lang w:val="en-GB"/>
        </w:rPr>
        <w:t xml:space="preserve"> </w:t>
      </w:r>
      <w:r w:rsidR="00BE5B8E">
        <w:rPr>
          <w:rFonts w:ascii="Arial" w:hAnsi="Arial" w:cs="Arial"/>
          <w:sz w:val="22"/>
          <w:szCs w:val="22"/>
          <w:lang w:val="en-GB"/>
        </w:rPr>
        <w:t xml:space="preserve">WWE </w:t>
      </w:r>
      <w:r w:rsidR="0007291B" w:rsidRPr="005A6ED5">
        <w:rPr>
          <w:rFonts w:ascii="Arial" w:hAnsi="Arial" w:cs="Arial"/>
          <w:sz w:val="22"/>
          <w:szCs w:val="22"/>
          <w:lang w:val="en-GB"/>
        </w:rPr>
        <w:t>Pte Ltd.</w:t>
      </w:r>
    </w:p>
    <w:p w14:paraId="703FC1F5" w14:textId="77777777" w:rsidR="00105948" w:rsidRDefault="00105948" w:rsidP="00B81AE8">
      <w:pPr>
        <w:jc w:val="both"/>
        <w:rPr>
          <w:rFonts w:ascii="Arial" w:hAnsi="Arial" w:cs="Arial"/>
          <w:sz w:val="22"/>
          <w:szCs w:val="22"/>
          <w:lang w:val="en-GB"/>
        </w:rPr>
      </w:pPr>
    </w:p>
    <w:p w14:paraId="0670A5E3" w14:textId="010D248C" w:rsidR="00AB4451" w:rsidRPr="00B81AE8" w:rsidRDefault="0007291B" w:rsidP="00B81AE8">
      <w:pPr>
        <w:jc w:val="both"/>
        <w:rPr>
          <w:rFonts w:ascii="Arial" w:hAnsi="Arial" w:cs="Arial"/>
          <w:sz w:val="22"/>
          <w:szCs w:val="22"/>
          <w:lang w:val="en-GB"/>
        </w:rPr>
      </w:pPr>
      <w:r w:rsidRPr="00B81AE8">
        <w:rPr>
          <w:rFonts w:ascii="Arial" w:hAnsi="Arial" w:cs="Arial"/>
          <w:sz w:val="22"/>
          <w:szCs w:val="22"/>
          <w:lang w:val="en-GB"/>
        </w:rPr>
        <w:t xml:space="preserve">Each entity in turn owns all, or substantially all, of the shares in </w:t>
      </w:r>
      <w:r w:rsidR="00B81AE8">
        <w:rPr>
          <w:rFonts w:ascii="Arial" w:hAnsi="Arial" w:cs="Arial"/>
          <w:sz w:val="22"/>
          <w:szCs w:val="22"/>
          <w:lang w:val="en-GB"/>
        </w:rPr>
        <w:t xml:space="preserve">the relevant entities incorporated in the local </w:t>
      </w:r>
      <w:r w:rsidRPr="00B81AE8">
        <w:rPr>
          <w:rFonts w:ascii="Arial" w:hAnsi="Arial" w:cs="Arial"/>
          <w:sz w:val="22"/>
          <w:szCs w:val="22"/>
          <w:lang w:val="en-GB"/>
        </w:rPr>
        <w:t>relevant overseas jurisdiction.</w:t>
      </w:r>
    </w:p>
    <w:p w14:paraId="2A98A259" w14:textId="77777777" w:rsidR="00AB4451" w:rsidRDefault="00AB4451" w:rsidP="00087F21">
      <w:pPr>
        <w:jc w:val="both"/>
        <w:rPr>
          <w:rFonts w:ascii="Arial" w:hAnsi="Arial" w:cs="Arial"/>
          <w:sz w:val="22"/>
          <w:szCs w:val="22"/>
          <w:lang w:val="en-GB"/>
        </w:rPr>
      </w:pPr>
    </w:p>
    <w:p w14:paraId="3C99029B" w14:textId="458FE38B" w:rsidR="00B81AE8"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had traditionally funded its business via bank lending, with project financing facilities advanced directly to a combination of the three Singapore subsidiaries reference</w:t>
      </w:r>
      <w:r w:rsidR="00AB6201">
        <w:rPr>
          <w:rFonts w:ascii="Arial" w:hAnsi="Arial" w:cs="Arial"/>
          <w:sz w:val="22"/>
          <w:szCs w:val="22"/>
          <w:lang w:val="en-GB"/>
        </w:rPr>
        <w:t>d</w:t>
      </w:r>
      <w:r w:rsidR="0007291B">
        <w:rPr>
          <w:rFonts w:ascii="Arial" w:hAnsi="Arial" w:cs="Arial"/>
          <w:sz w:val="22"/>
          <w:szCs w:val="22"/>
          <w:lang w:val="en-GB"/>
        </w:rPr>
        <w:t xml:space="preserve"> above and directly to the underlying project companies.</w:t>
      </w:r>
      <w:r w:rsidR="00152FD4">
        <w:rPr>
          <w:rFonts w:ascii="Arial" w:hAnsi="Arial" w:cs="Arial"/>
          <w:sz w:val="22"/>
          <w:szCs w:val="22"/>
          <w:lang w:val="en-GB"/>
        </w:rPr>
        <w:t xml:space="preserve"> </w:t>
      </w:r>
      <w:r w:rsidR="0007291B">
        <w:rPr>
          <w:rFonts w:ascii="Arial" w:hAnsi="Arial" w:cs="Arial"/>
          <w:sz w:val="22"/>
          <w:szCs w:val="22"/>
          <w:lang w:val="en-GB"/>
        </w:rPr>
        <w:t xml:space="preserve">As at 2016, the group had raised SGD 2 billion in bank lending, all of which was guaranteed by </w:t>
      </w:r>
      <w:r>
        <w:rPr>
          <w:rFonts w:ascii="Arial" w:hAnsi="Arial" w:cs="Arial"/>
          <w:sz w:val="22"/>
          <w:szCs w:val="22"/>
          <w:lang w:val="en-GB"/>
        </w:rPr>
        <w:t>PEC</w:t>
      </w:r>
      <w:r w:rsidR="0007291B">
        <w:rPr>
          <w:rFonts w:ascii="Arial" w:hAnsi="Arial" w:cs="Arial"/>
          <w:sz w:val="22"/>
          <w:szCs w:val="22"/>
          <w:lang w:val="en-GB"/>
        </w:rPr>
        <w:t>.</w:t>
      </w:r>
      <w:r w:rsidR="00152FD4">
        <w:rPr>
          <w:rFonts w:ascii="Arial" w:hAnsi="Arial" w:cs="Arial"/>
          <w:sz w:val="22"/>
          <w:szCs w:val="22"/>
          <w:lang w:val="en-GB"/>
        </w:rPr>
        <w:t xml:space="preserve"> </w:t>
      </w:r>
    </w:p>
    <w:p w14:paraId="5505B8B8" w14:textId="77777777" w:rsidR="00B81AE8" w:rsidRDefault="00B81AE8" w:rsidP="00087F21">
      <w:pPr>
        <w:jc w:val="both"/>
        <w:rPr>
          <w:rFonts w:ascii="Arial" w:hAnsi="Arial" w:cs="Arial"/>
          <w:sz w:val="22"/>
          <w:szCs w:val="22"/>
          <w:lang w:val="en-GB"/>
        </w:rPr>
      </w:pPr>
    </w:p>
    <w:p w14:paraId="578C3E76" w14:textId="2E4C684D" w:rsidR="00AB4451" w:rsidRDefault="0007291B" w:rsidP="00087F21">
      <w:pPr>
        <w:jc w:val="both"/>
        <w:rPr>
          <w:rFonts w:ascii="Arial" w:hAnsi="Arial" w:cs="Arial"/>
          <w:sz w:val="22"/>
          <w:szCs w:val="22"/>
          <w:lang w:val="en-GB"/>
        </w:rPr>
      </w:pPr>
      <w:r>
        <w:rPr>
          <w:rFonts w:ascii="Arial" w:hAnsi="Arial" w:cs="Arial"/>
          <w:sz w:val="22"/>
          <w:szCs w:val="22"/>
          <w:lang w:val="en-GB"/>
        </w:rPr>
        <w:t xml:space="preserve">In 2018, </w:t>
      </w:r>
      <w:r w:rsidR="00235D7D">
        <w:rPr>
          <w:rFonts w:ascii="Arial" w:hAnsi="Arial" w:cs="Arial"/>
          <w:sz w:val="22"/>
          <w:szCs w:val="22"/>
          <w:lang w:val="en-GB"/>
        </w:rPr>
        <w:t>PEC</w:t>
      </w:r>
      <w:r>
        <w:rPr>
          <w:rFonts w:ascii="Arial" w:hAnsi="Arial" w:cs="Arial"/>
          <w:sz w:val="22"/>
          <w:szCs w:val="22"/>
          <w:lang w:val="en-GB"/>
        </w:rPr>
        <w:t xml:space="preserve"> wanted to take advantage of an opportunity to </w:t>
      </w:r>
      <w:r w:rsidR="00D77884">
        <w:rPr>
          <w:rFonts w:ascii="Arial" w:hAnsi="Arial" w:cs="Arial"/>
          <w:sz w:val="22"/>
          <w:szCs w:val="22"/>
          <w:lang w:val="en-GB"/>
        </w:rPr>
        <w:t>expand their water and waste to energy business and raised an additional SGD 1 billion in retail bonds for working capital purposes.</w:t>
      </w:r>
      <w:r w:rsidR="00152FD4">
        <w:rPr>
          <w:rFonts w:ascii="Arial" w:hAnsi="Arial" w:cs="Arial"/>
          <w:sz w:val="22"/>
          <w:szCs w:val="22"/>
          <w:lang w:val="en-GB"/>
        </w:rPr>
        <w:t xml:space="preserve"> </w:t>
      </w:r>
      <w:r w:rsidR="00D77884">
        <w:rPr>
          <w:rFonts w:ascii="Arial" w:hAnsi="Arial" w:cs="Arial"/>
          <w:sz w:val="22"/>
          <w:szCs w:val="22"/>
          <w:lang w:val="en-GB"/>
        </w:rPr>
        <w:t>Water</w:t>
      </w:r>
      <w:r w:rsidR="00AF5D9C">
        <w:rPr>
          <w:rFonts w:ascii="Arial" w:hAnsi="Arial" w:cs="Arial"/>
          <w:sz w:val="22"/>
          <w:szCs w:val="22"/>
          <w:lang w:val="en-GB"/>
        </w:rPr>
        <w:t xml:space="preserve"> </w:t>
      </w:r>
      <w:r w:rsidR="00AB6201">
        <w:rPr>
          <w:rFonts w:ascii="Arial" w:hAnsi="Arial" w:cs="Arial"/>
          <w:sz w:val="22"/>
          <w:szCs w:val="22"/>
          <w:lang w:val="en-GB"/>
        </w:rPr>
        <w:t>(</w:t>
      </w:r>
      <w:r w:rsidR="00AF5D9C">
        <w:rPr>
          <w:rFonts w:ascii="Arial" w:hAnsi="Arial" w:cs="Arial"/>
          <w:sz w:val="22"/>
          <w:szCs w:val="22"/>
          <w:lang w:val="en-GB"/>
        </w:rPr>
        <w:t>and energy needs in general</w:t>
      </w:r>
      <w:r w:rsidR="00AB6201">
        <w:rPr>
          <w:rFonts w:ascii="Arial" w:hAnsi="Arial" w:cs="Arial"/>
          <w:sz w:val="22"/>
          <w:szCs w:val="22"/>
          <w:lang w:val="en-GB"/>
        </w:rPr>
        <w:t>)</w:t>
      </w:r>
      <w:r w:rsidR="00D77884">
        <w:rPr>
          <w:rFonts w:ascii="Arial" w:hAnsi="Arial" w:cs="Arial"/>
          <w:sz w:val="22"/>
          <w:szCs w:val="22"/>
          <w:lang w:val="en-GB"/>
        </w:rPr>
        <w:t xml:space="preserve"> is of strategic importance to Singapore given its geographical position and many retail investors took up the bond issue.</w:t>
      </w:r>
      <w:r w:rsidR="00152FD4">
        <w:rPr>
          <w:rFonts w:ascii="Arial" w:hAnsi="Arial" w:cs="Arial"/>
          <w:sz w:val="22"/>
          <w:szCs w:val="22"/>
          <w:lang w:val="en-GB"/>
        </w:rPr>
        <w:t xml:space="preserve"> </w:t>
      </w:r>
      <w:r w:rsidR="00D77884">
        <w:rPr>
          <w:rFonts w:ascii="Arial" w:hAnsi="Arial" w:cs="Arial"/>
          <w:sz w:val="22"/>
          <w:szCs w:val="22"/>
          <w:lang w:val="en-GB"/>
        </w:rPr>
        <w:t xml:space="preserve">The retail bonds were stated to be specifically subordinated to all other debt of the </w:t>
      </w:r>
      <w:r w:rsidR="00235D7D">
        <w:rPr>
          <w:rFonts w:ascii="Arial" w:hAnsi="Arial" w:cs="Arial"/>
          <w:sz w:val="22"/>
          <w:szCs w:val="22"/>
          <w:lang w:val="en-GB"/>
        </w:rPr>
        <w:t>PEC</w:t>
      </w:r>
      <w:r w:rsidR="00D77884">
        <w:rPr>
          <w:rFonts w:ascii="Arial" w:hAnsi="Arial" w:cs="Arial"/>
          <w:sz w:val="22"/>
          <w:szCs w:val="22"/>
          <w:lang w:val="en-GB"/>
        </w:rPr>
        <w:t xml:space="preserve"> group.</w:t>
      </w:r>
      <w:r>
        <w:rPr>
          <w:rFonts w:ascii="Arial" w:hAnsi="Arial" w:cs="Arial"/>
          <w:sz w:val="22"/>
          <w:szCs w:val="22"/>
          <w:lang w:val="en-GB"/>
        </w:rPr>
        <w:t xml:space="preserve"> </w:t>
      </w:r>
    </w:p>
    <w:p w14:paraId="3A4529FB" w14:textId="77777777" w:rsidR="00AB4451" w:rsidRDefault="00AB4451" w:rsidP="00087F21">
      <w:pPr>
        <w:jc w:val="both"/>
        <w:rPr>
          <w:rFonts w:ascii="Arial" w:hAnsi="Arial" w:cs="Arial"/>
          <w:sz w:val="22"/>
          <w:szCs w:val="22"/>
          <w:lang w:val="en-GB"/>
        </w:rPr>
      </w:pPr>
    </w:p>
    <w:p w14:paraId="0A68585B" w14:textId="47F120D5" w:rsidR="00AF44E3" w:rsidRDefault="00235D7D" w:rsidP="00087F21">
      <w:pPr>
        <w:jc w:val="both"/>
        <w:rPr>
          <w:rFonts w:ascii="Arial" w:hAnsi="Arial" w:cs="Arial"/>
          <w:sz w:val="22"/>
          <w:szCs w:val="22"/>
          <w:lang w:val="en-GB"/>
        </w:rPr>
      </w:pPr>
      <w:r>
        <w:rPr>
          <w:rFonts w:ascii="Arial" w:hAnsi="Arial" w:cs="Arial"/>
          <w:sz w:val="22"/>
          <w:szCs w:val="22"/>
          <w:lang w:val="en-GB"/>
        </w:rPr>
        <w:t>PEC</w:t>
      </w:r>
      <w:r w:rsidR="0007291B">
        <w:rPr>
          <w:rFonts w:ascii="Arial" w:hAnsi="Arial" w:cs="Arial"/>
          <w:sz w:val="22"/>
          <w:szCs w:val="22"/>
          <w:lang w:val="en-GB"/>
        </w:rPr>
        <w:t xml:space="preserve"> traded positively throughout 2018 and 2019</w:t>
      </w:r>
      <w:r w:rsidR="00A83871">
        <w:rPr>
          <w:rFonts w:ascii="Arial" w:hAnsi="Arial" w:cs="Arial"/>
          <w:sz w:val="22"/>
          <w:szCs w:val="22"/>
          <w:lang w:val="en-GB"/>
        </w:rPr>
        <w:t>.</w:t>
      </w:r>
      <w:r w:rsidR="0007291B">
        <w:rPr>
          <w:rFonts w:ascii="Arial" w:hAnsi="Arial" w:cs="Arial"/>
          <w:sz w:val="22"/>
          <w:szCs w:val="22"/>
          <w:lang w:val="en-GB"/>
        </w:rPr>
        <w:t xml:space="preserve"> </w:t>
      </w:r>
      <w:r w:rsidR="00A83871">
        <w:rPr>
          <w:rFonts w:ascii="Arial" w:hAnsi="Arial" w:cs="Arial"/>
          <w:sz w:val="22"/>
          <w:szCs w:val="22"/>
          <w:lang w:val="en-GB"/>
        </w:rPr>
        <w:t>H</w:t>
      </w:r>
      <w:r w:rsidR="0007291B">
        <w:rPr>
          <w:rFonts w:ascii="Arial" w:hAnsi="Arial" w:cs="Arial"/>
          <w:sz w:val="22"/>
          <w:szCs w:val="22"/>
          <w:lang w:val="en-GB"/>
        </w:rPr>
        <w:t>owever</w:t>
      </w:r>
      <w:r w:rsidR="00A83871">
        <w:rPr>
          <w:rFonts w:ascii="Arial" w:hAnsi="Arial" w:cs="Arial"/>
          <w:sz w:val="22"/>
          <w:szCs w:val="22"/>
          <w:lang w:val="en-GB"/>
        </w:rPr>
        <w:t>,</w:t>
      </w:r>
      <w:r w:rsidR="0007291B">
        <w:rPr>
          <w:rFonts w:ascii="Arial" w:hAnsi="Arial" w:cs="Arial"/>
          <w:sz w:val="22"/>
          <w:szCs w:val="22"/>
          <w:lang w:val="en-GB"/>
        </w:rPr>
        <w:t xml:space="preserve"> in late 2019 it started informing some of its bank lenders that they may require waivers on certain terms in the loan and potentially further time to repay certain amount</w:t>
      </w:r>
      <w:r w:rsidR="00342A74">
        <w:rPr>
          <w:rFonts w:ascii="Arial" w:hAnsi="Arial" w:cs="Arial"/>
          <w:sz w:val="22"/>
          <w:szCs w:val="22"/>
          <w:lang w:val="en-GB"/>
        </w:rPr>
        <w:t>s</w:t>
      </w:r>
      <w:r w:rsidR="0007291B">
        <w:rPr>
          <w:rFonts w:ascii="Arial" w:hAnsi="Arial" w:cs="Arial"/>
          <w:sz w:val="22"/>
          <w:szCs w:val="22"/>
          <w:lang w:val="en-GB"/>
        </w:rPr>
        <w:t xml:space="preserve"> owing.</w:t>
      </w:r>
      <w:r w:rsidR="00152FD4">
        <w:rPr>
          <w:rFonts w:ascii="Arial" w:hAnsi="Arial" w:cs="Arial"/>
          <w:sz w:val="22"/>
          <w:szCs w:val="22"/>
          <w:lang w:val="en-GB"/>
        </w:rPr>
        <w:t xml:space="preserve"> </w:t>
      </w:r>
      <w:r w:rsidR="0007291B">
        <w:rPr>
          <w:rFonts w:ascii="Arial" w:hAnsi="Arial" w:cs="Arial"/>
          <w:sz w:val="22"/>
          <w:szCs w:val="22"/>
          <w:lang w:val="en-GB"/>
        </w:rPr>
        <w:t xml:space="preserve">In early 2020, </w:t>
      </w:r>
      <w:r>
        <w:rPr>
          <w:rFonts w:ascii="Arial" w:hAnsi="Arial" w:cs="Arial"/>
          <w:sz w:val="22"/>
          <w:szCs w:val="22"/>
          <w:lang w:val="en-GB"/>
        </w:rPr>
        <w:t>PEC</w:t>
      </w:r>
      <w:r w:rsidR="0007291B">
        <w:rPr>
          <w:rFonts w:ascii="Arial" w:hAnsi="Arial" w:cs="Arial"/>
          <w:sz w:val="22"/>
          <w:szCs w:val="22"/>
          <w:lang w:val="en-GB"/>
        </w:rPr>
        <w:t xml:space="preserve"> appointed legal and financial advisors to provide it with advice as to the best steps to take.</w:t>
      </w:r>
      <w:r w:rsidR="00152FD4">
        <w:rPr>
          <w:rFonts w:ascii="Arial" w:hAnsi="Arial" w:cs="Arial"/>
          <w:sz w:val="22"/>
          <w:szCs w:val="22"/>
          <w:lang w:val="en-GB"/>
        </w:rPr>
        <w:t xml:space="preserve"> </w:t>
      </w:r>
      <w:r w:rsidR="0007291B">
        <w:rPr>
          <w:rFonts w:ascii="Arial" w:hAnsi="Arial" w:cs="Arial"/>
          <w:sz w:val="22"/>
          <w:szCs w:val="22"/>
          <w:lang w:val="en-GB"/>
        </w:rPr>
        <w:t xml:space="preserve">Shortly thereafter, </w:t>
      </w:r>
      <w:r>
        <w:rPr>
          <w:rFonts w:ascii="Arial" w:hAnsi="Arial" w:cs="Arial"/>
          <w:sz w:val="22"/>
          <w:szCs w:val="22"/>
          <w:lang w:val="en-GB"/>
        </w:rPr>
        <w:t>PEC</w:t>
      </w:r>
      <w:r w:rsidR="00B81AE8">
        <w:rPr>
          <w:rFonts w:ascii="Arial" w:hAnsi="Arial" w:cs="Arial"/>
          <w:sz w:val="22"/>
          <w:szCs w:val="22"/>
          <w:lang w:val="en-GB"/>
        </w:rPr>
        <w:t xml:space="preserve"> announced that it </w:t>
      </w:r>
      <w:r w:rsidR="0007291B">
        <w:rPr>
          <w:rFonts w:ascii="Arial" w:hAnsi="Arial" w:cs="Arial"/>
          <w:sz w:val="22"/>
          <w:szCs w:val="22"/>
          <w:lang w:val="en-GB"/>
        </w:rPr>
        <w:t>had filed for protection under section 211B of the Companies (Amendment) Act 2017.</w:t>
      </w:r>
      <w:r w:rsidR="00152FD4">
        <w:rPr>
          <w:rFonts w:ascii="Arial" w:hAnsi="Arial" w:cs="Arial"/>
          <w:sz w:val="22"/>
          <w:szCs w:val="22"/>
          <w:lang w:val="en-GB"/>
        </w:rPr>
        <w:t xml:space="preserve"> </w:t>
      </w:r>
      <w:r w:rsidR="00B81AE8">
        <w:rPr>
          <w:rFonts w:ascii="Arial" w:hAnsi="Arial" w:cs="Arial"/>
          <w:sz w:val="22"/>
          <w:szCs w:val="22"/>
          <w:lang w:val="en-GB"/>
        </w:rPr>
        <w:t xml:space="preserve">Further to this, </w:t>
      </w:r>
      <w:r>
        <w:rPr>
          <w:rFonts w:ascii="Arial" w:hAnsi="Arial" w:cs="Arial"/>
          <w:sz w:val="22"/>
          <w:szCs w:val="22"/>
          <w:lang w:val="en-GB"/>
        </w:rPr>
        <w:t>PEC</w:t>
      </w:r>
      <w:r w:rsidR="00B81AE8">
        <w:rPr>
          <w:rFonts w:ascii="Arial" w:hAnsi="Arial" w:cs="Arial"/>
          <w:sz w:val="22"/>
          <w:szCs w:val="22"/>
          <w:lang w:val="en-GB"/>
        </w:rPr>
        <w:t xml:space="preserve"> Oil and Gas Pte Ltd, </w:t>
      </w:r>
      <w:r>
        <w:rPr>
          <w:rFonts w:ascii="Arial" w:hAnsi="Arial" w:cs="Arial"/>
          <w:sz w:val="22"/>
          <w:szCs w:val="22"/>
          <w:lang w:val="en-GB"/>
        </w:rPr>
        <w:t>PEC</w:t>
      </w:r>
      <w:r w:rsidR="00B81AE8">
        <w:rPr>
          <w:rFonts w:ascii="Arial" w:hAnsi="Arial" w:cs="Arial"/>
          <w:sz w:val="22"/>
          <w:szCs w:val="22"/>
          <w:lang w:val="en-GB"/>
        </w:rPr>
        <w:t xml:space="preserve"> Renewables Pte Ltd and </w:t>
      </w:r>
      <w:r>
        <w:rPr>
          <w:rFonts w:ascii="Arial" w:hAnsi="Arial" w:cs="Arial"/>
          <w:sz w:val="22"/>
          <w:szCs w:val="22"/>
          <w:lang w:val="en-GB"/>
        </w:rPr>
        <w:t>PEC</w:t>
      </w:r>
      <w:r w:rsidR="00B81AE8">
        <w:rPr>
          <w:rFonts w:ascii="Arial" w:hAnsi="Arial" w:cs="Arial"/>
          <w:sz w:val="22"/>
          <w:szCs w:val="22"/>
          <w:lang w:val="en-GB"/>
        </w:rPr>
        <w:t xml:space="preserve"> WWE Pte Ltd file</w:t>
      </w:r>
      <w:r w:rsidR="009D62BD">
        <w:rPr>
          <w:rFonts w:ascii="Arial" w:hAnsi="Arial" w:cs="Arial"/>
          <w:sz w:val="22"/>
          <w:szCs w:val="22"/>
          <w:lang w:val="en-GB"/>
        </w:rPr>
        <w:t>d</w:t>
      </w:r>
      <w:r w:rsidR="00B81AE8">
        <w:rPr>
          <w:rFonts w:ascii="Arial" w:hAnsi="Arial" w:cs="Arial"/>
          <w:sz w:val="22"/>
          <w:szCs w:val="22"/>
          <w:lang w:val="en-GB"/>
        </w:rPr>
        <w:t xml:space="preserve"> for protection under section 211C</w:t>
      </w:r>
      <w:r w:rsidR="007237A9">
        <w:rPr>
          <w:rFonts w:ascii="Arial" w:hAnsi="Arial" w:cs="Arial"/>
          <w:sz w:val="22"/>
          <w:szCs w:val="22"/>
          <w:lang w:val="en-GB"/>
        </w:rPr>
        <w:t xml:space="preserve"> of the Companies (Amendment) Act 2017.</w:t>
      </w:r>
    </w:p>
    <w:p w14:paraId="60124A30" w14:textId="77777777" w:rsidR="00AF44E3" w:rsidRDefault="00AF44E3" w:rsidP="00087F21">
      <w:pPr>
        <w:jc w:val="both"/>
        <w:rPr>
          <w:rFonts w:ascii="Arial" w:hAnsi="Arial" w:cs="Arial"/>
          <w:sz w:val="22"/>
          <w:szCs w:val="22"/>
          <w:lang w:val="en-GB"/>
        </w:rPr>
      </w:pPr>
    </w:p>
    <w:p w14:paraId="38B4F6F1" w14:textId="0F145D34" w:rsidR="00AF5D9C" w:rsidRDefault="008B155E" w:rsidP="00087F21">
      <w:pPr>
        <w:jc w:val="both"/>
        <w:rPr>
          <w:rFonts w:ascii="Arial" w:hAnsi="Arial" w:cs="Arial"/>
          <w:sz w:val="22"/>
          <w:szCs w:val="22"/>
          <w:lang w:val="en-GB"/>
        </w:rPr>
      </w:pPr>
      <w:r>
        <w:rPr>
          <w:rFonts w:ascii="Arial" w:hAnsi="Arial" w:cs="Arial"/>
          <w:sz w:val="22"/>
          <w:szCs w:val="22"/>
          <w:lang w:val="en-GB"/>
        </w:rPr>
        <w:t>Into the first six (6) months</w:t>
      </w:r>
      <w:r w:rsidR="00661D51">
        <w:rPr>
          <w:rFonts w:ascii="Arial" w:hAnsi="Arial" w:cs="Arial"/>
          <w:sz w:val="22"/>
          <w:szCs w:val="22"/>
          <w:lang w:val="en-GB"/>
        </w:rPr>
        <w:t>’</w:t>
      </w:r>
      <w:r w:rsidDel="008B155E">
        <w:rPr>
          <w:rFonts w:ascii="Arial" w:hAnsi="Arial" w:cs="Arial"/>
          <w:sz w:val="22"/>
          <w:szCs w:val="22"/>
          <w:lang w:val="en-GB"/>
        </w:rPr>
        <w:t xml:space="preserve"> </w:t>
      </w:r>
      <w:r w:rsidR="0007291B">
        <w:rPr>
          <w:rFonts w:ascii="Arial" w:hAnsi="Arial" w:cs="Arial"/>
          <w:sz w:val="22"/>
          <w:szCs w:val="22"/>
          <w:lang w:val="en-GB"/>
        </w:rPr>
        <w:t xml:space="preserve">extension of the moratorium, </w:t>
      </w:r>
      <w:r>
        <w:rPr>
          <w:rFonts w:ascii="Arial" w:hAnsi="Arial" w:cs="Arial"/>
          <w:sz w:val="22"/>
          <w:szCs w:val="22"/>
          <w:lang w:val="en-GB"/>
        </w:rPr>
        <w:t>the bank lenders decide that they ha</w:t>
      </w:r>
      <w:r w:rsidR="00BF42A8">
        <w:rPr>
          <w:rFonts w:ascii="Arial" w:hAnsi="Arial" w:cs="Arial"/>
          <w:sz w:val="22"/>
          <w:szCs w:val="22"/>
          <w:lang w:val="en-GB"/>
        </w:rPr>
        <w:t>ve</w:t>
      </w:r>
      <w:r>
        <w:rPr>
          <w:rFonts w:ascii="Arial" w:hAnsi="Arial" w:cs="Arial"/>
          <w:sz w:val="22"/>
          <w:szCs w:val="22"/>
          <w:lang w:val="en-GB"/>
        </w:rPr>
        <w:t xml:space="preserve"> lost their patience and no longer ha</w:t>
      </w:r>
      <w:r w:rsidR="00BF42A8">
        <w:rPr>
          <w:rFonts w:ascii="Arial" w:hAnsi="Arial" w:cs="Arial"/>
          <w:sz w:val="22"/>
          <w:szCs w:val="22"/>
          <w:lang w:val="en-GB"/>
        </w:rPr>
        <w:t>ve</w:t>
      </w:r>
      <w:r>
        <w:rPr>
          <w:rFonts w:ascii="Arial" w:hAnsi="Arial" w:cs="Arial"/>
          <w:sz w:val="22"/>
          <w:szCs w:val="22"/>
          <w:lang w:val="en-GB"/>
        </w:rPr>
        <w:t xml:space="preserve"> confidence in PEC’s management. They have therefore decided to apply to </w:t>
      </w:r>
      <w:r w:rsidR="00BF42A8">
        <w:rPr>
          <w:rFonts w:ascii="Arial" w:hAnsi="Arial" w:cs="Arial"/>
          <w:sz w:val="22"/>
          <w:szCs w:val="22"/>
          <w:lang w:val="en-GB"/>
        </w:rPr>
        <w:t>c</w:t>
      </w:r>
      <w:r>
        <w:rPr>
          <w:rFonts w:ascii="Arial" w:hAnsi="Arial" w:cs="Arial"/>
          <w:sz w:val="22"/>
          <w:szCs w:val="22"/>
          <w:lang w:val="en-GB"/>
        </w:rPr>
        <w:t xml:space="preserve">ourt to place PEC under judicial management. </w:t>
      </w:r>
    </w:p>
    <w:p w14:paraId="11725DC9" w14:textId="77777777" w:rsidR="00AF5D9C" w:rsidRDefault="00AF5D9C" w:rsidP="00087F21">
      <w:pPr>
        <w:jc w:val="both"/>
        <w:rPr>
          <w:rFonts w:ascii="Arial" w:hAnsi="Arial" w:cs="Arial"/>
          <w:sz w:val="22"/>
          <w:szCs w:val="22"/>
          <w:lang w:val="en-GB"/>
        </w:rPr>
      </w:pPr>
    </w:p>
    <w:p w14:paraId="02EE1D58" w14:textId="77777777" w:rsidR="00087F21" w:rsidRDefault="0007291B" w:rsidP="00087F21">
      <w:pPr>
        <w:jc w:val="both"/>
        <w:rPr>
          <w:rFonts w:ascii="Arial" w:hAnsi="Arial" w:cs="Arial"/>
          <w:sz w:val="22"/>
          <w:szCs w:val="22"/>
          <w:lang w:val="en-GB"/>
        </w:rPr>
      </w:pPr>
      <w:r w:rsidRPr="00EE6CB0">
        <w:rPr>
          <w:rFonts w:ascii="Arial" w:hAnsi="Arial" w:cs="Arial"/>
          <w:b/>
          <w:bCs/>
          <w:sz w:val="22"/>
          <w:szCs w:val="22"/>
          <w:u w:val="single"/>
          <w:lang w:val="en-GB"/>
        </w:rPr>
        <w:t>Using the facts above</w:t>
      </w:r>
      <w:r w:rsidR="00EE6CB0" w:rsidRPr="00EE6CB0">
        <w:rPr>
          <w:rFonts w:ascii="Arial" w:hAnsi="Arial" w:cs="Arial"/>
          <w:b/>
          <w:bCs/>
          <w:sz w:val="22"/>
          <w:szCs w:val="22"/>
          <w:u w:val="single"/>
          <w:lang w:val="en-GB"/>
        </w:rPr>
        <w:t>, a</w:t>
      </w:r>
      <w:r w:rsidRPr="00EE6CB0">
        <w:rPr>
          <w:rFonts w:ascii="Arial" w:hAnsi="Arial" w:cs="Arial"/>
          <w:b/>
          <w:bCs/>
          <w:sz w:val="22"/>
          <w:szCs w:val="22"/>
          <w:u w:val="single"/>
          <w:lang w:val="en-GB"/>
        </w:rPr>
        <w:t xml:space="preserve">nswer the </w:t>
      </w:r>
      <w:r w:rsidR="001A007A" w:rsidRPr="00EE6CB0">
        <w:rPr>
          <w:rFonts w:ascii="Arial" w:hAnsi="Arial" w:cs="Arial"/>
          <w:b/>
          <w:bCs/>
          <w:sz w:val="22"/>
          <w:szCs w:val="22"/>
          <w:u w:val="single"/>
          <w:lang w:val="en-GB"/>
        </w:rPr>
        <w:t>questions that follow</w:t>
      </w:r>
      <w:r w:rsidR="001A007A">
        <w:rPr>
          <w:rFonts w:ascii="Arial" w:hAnsi="Arial" w:cs="Arial"/>
          <w:sz w:val="22"/>
          <w:szCs w:val="22"/>
          <w:lang w:val="en-GB"/>
        </w:rPr>
        <w:t>.</w:t>
      </w:r>
    </w:p>
    <w:p w14:paraId="03E85A8A" w14:textId="77777777" w:rsidR="00F130CF" w:rsidRPr="00F130CF" w:rsidRDefault="00F130CF" w:rsidP="00087F21">
      <w:pPr>
        <w:jc w:val="both"/>
        <w:rPr>
          <w:rFonts w:ascii="Arial" w:hAnsi="Arial" w:cs="Arial"/>
          <w:sz w:val="22"/>
          <w:szCs w:val="22"/>
          <w:lang w:val="en-GB"/>
        </w:rPr>
      </w:pPr>
    </w:p>
    <w:p w14:paraId="03E62200" w14:textId="77777777" w:rsidR="002F75A3" w:rsidRPr="002A37BB" w:rsidRDefault="0007291B" w:rsidP="00087F21">
      <w:pPr>
        <w:jc w:val="both"/>
        <w:rPr>
          <w:rFonts w:ascii="Arial" w:hAnsi="Arial" w:cs="Arial"/>
          <w:b/>
          <w:bCs/>
          <w:sz w:val="22"/>
          <w:szCs w:val="22"/>
          <w:lang w:val="en-GB"/>
        </w:rPr>
      </w:pPr>
      <w:r w:rsidRPr="002A37BB">
        <w:rPr>
          <w:rFonts w:ascii="Arial" w:hAnsi="Arial" w:cs="Arial"/>
          <w:b/>
          <w:bCs/>
          <w:sz w:val="22"/>
          <w:szCs w:val="22"/>
          <w:lang w:val="en-GB"/>
        </w:rPr>
        <w:t>Question 4.</w:t>
      </w:r>
      <w:r w:rsidR="00087F21">
        <w:rPr>
          <w:rFonts w:ascii="Arial" w:hAnsi="Arial" w:cs="Arial"/>
          <w:b/>
          <w:bCs/>
          <w:sz w:val="22"/>
          <w:szCs w:val="22"/>
          <w:lang w:val="en-GB"/>
        </w:rPr>
        <w:t>1 [maximum 7 marks]</w:t>
      </w:r>
    </w:p>
    <w:p w14:paraId="2EB31782" w14:textId="77777777" w:rsidR="002F75A3" w:rsidRPr="002A37BB" w:rsidRDefault="002F75A3" w:rsidP="00087F21">
      <w:pPr>
        <w:jc w:val="both"/>
        <w:rPr>
          <w:rFonts w:ascii="Arial" w:hAnsi="Arial" w:cs="Arial"/>
          <w:b/>
          <w:bCs/>
          <w:sz w:val="22"/>
          <w:szCs w:val="22"/>
          <w:lang w:val="en-GB"/>
        </w:rPr>
      </w:pPr>
    </w:p>
    <w:p w14:paraId="2799A5AE" w14:textId="4ED3CE5A" w:rsidR="009B0723" w:rsidRDefault="008B155E" w:rsidP="00087F21">
      <w:pPr>
        <w:jc w:val="both"/>
        <w:rPr>
          <w:rFonts w:ascii="Arial" w:hAnsi="Arial" w:cs="Arial"/>
          <w:sz w:val="22"/>
          <w:szCs w:val="22"/>
          <w:lang w:val="en-GB"/>
        </w:rPr>
      </w:pPr>
      <w:r>
        <w:rPr>
          <w:rFonts w:ascii="Arial" w:hAnsi="Arial" w:cs="Arial"/>
          <w:sz w:val="22"/>
          <w:szCs w:val="22"/>
          <w:lang w:val="en-GB"/>
        </w:rPr>
        <w:t>The working group of the bank lenders</w:t>
      </w:r>
      <w:r w:rsidR="0007291B">
        <w:rPr>
          <w:rFonts w:ascii="Arial" w:hAnsi="Arial" w:cs="Arial"/>
          <w:sz w:val="22"/>
          <w:szCs w:val="22"/>
          <w:lang w:val="en-GB"/>
        </w:rPr>
        <w:t xml:space="preserve"> has asked its advisors to provide it with </w:t>
      </w:r>
      <w:r w:rsidR="00BF42A8">
        <w:rPr>
          <w:rFonts w:ascii="Arial" w:hAnsi="Arial" w:cs="Arial"/>
          <w:sz w:val="22"/>
          <w:szCs w:val="22"/>
          <w:lang w:val="en-GB"/>
        </w:rPr>
        <w:t xml:space="preserve">a </w:t>
      </w:r>
      <w:r w:rsidR="0007291B">
        <w:rPr>
          <w:rFonts w:ascii="Arial" w:hAnsi="Arial" w:cs="Arial"/>
          <w:sz w:val="22"/>
          <w:szCs w:val="22"/>
          <w:lang w:val="en-GB"/>
        </w:rPr>
        <w:t xml:space="preserve">written analysis covering the following critical issues for </w:t>
      </w:r>
      <w:r>
        <w:rPr>
          <w:rFonts w:ascii="Arial" w:hAnsi="Arial" w:cs="Arial"/>
          <w:sz w:val="22"/>
          <w:szCs w:val="22"/>
          <w:lang w:val="en-GB"/>
        </w:rPr>
        <w:t>PEC</w:t>
      </w:r>
      <w:r w:rsidR="00342A74">
        <w:rPr>
          <w:rFonts w:ascii="Arial" w:hAnsi="Arial" w:cs="Arial"/>
          <w:sz w:val="22"/>
          <w:szCs w:val="22"/>
          <w:lang w:val="en-GB"/>
        </w:rPr>
        <w:t>.</w:t>
      </w:r>
      <w:r w:rsidR="00152FD4">
        <w:rPr>
          <w:rFonts w:ascii="Arial" w:hAnsi="Arial" w:cs="Arial"/>
          <w:sz w:val="22"/>
          <w:szCs w:val="22"/>
          <w:lang w:val="en-GB"/>
        </w:rPr>
        <w:t xml:space="preserve"> </w:t>
      </w:r>
      <w:r w:rsidR="00342A74">
        <w:rPr>
          <w:rFonts w:ascii="Arial" w:hAnsi="Arial" w:cs="Arial"/>
          <w:sz w:val="22"/>
          <w:szCs w:val="22"/>
          <w:lang w:val="en-GB"/>
        </w:rPr>
        <w:t>Please provide analysis on the following issues</w:t>
      </w:r>
      <w:r w:rsidR="0007291B">
        <w:rPr>
          <w:rFonts w:ascii="Arial" w:hAnsi="Arial" w:cs="Arial"/>
          <w:sz w:val="22"/>
          <w:szCs w:val="22"/>
          <w:lang w:val="en-GB"/>
        </w:rPr>
        <w:t>:</w:t>
      </w:r>
    </w:p>
    <w:p w14:paraId="4C75D3C9" w14:textId="77777777" w:rsidR="00376303" w:rsidRDefault="00376303" w:rsidP="00087F21">
      <w:pPr>
        <w:jc w:val="both"/>
        <w:rPr>
          <w:rFonts w:ascii="Arial" w:hAnsi="Arial" w:cs="Arial"/>
          <w:sz w:val="22"/>
          <w:szCs w:val="22"/>
          <w:lang w:val="en-GB"/>
        </w:rPr>
      </w:pPr>
    </w:p>
    <w:p w14:paraId="5F4A9C1C" w14:textId="058BC67E" w:rsidR="00376303" w:rsidRDefault="00856BD4" w:rsidP="00BE65AA">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C</w:t>
      </w:r>
      <w:r w:rsidR="0007291B" w:rsidRPr="00F130CF">
        <w:rPr>
          <w:rFonts w:ascii="Arial" w:hAnsi="Arial" w:cs="Arial"/>
          <w:sz w:val="22"/>
          <w:szCs w:val="22"/>
          <w:lang w:val="en-GB"/>
        </w:rPr>
        <w:t xml:space="preserve">onfirmation of the purpose of </w:t>
      </w:r>
      <w:r w:rsidR="00954F89">
        <w:rPr>
          <w:rFonts w:ascii="Arial" w:hAnsi="Arial" w:cs="Arial"/>
          <w:sz w:val="22"/>
          <w:szCs w:val="22"/>
          <w:lang w:val="en-GB"/>
        </w:rPr>
        <w:t>judicial management proceedings</w:t>
      </w:r>
      <w:r w:rsidR="0007291B" w:rsidRPr="00F130CF">
        <w:rPr>
          <w:rFonts w:ascii="Arial" w:hAnsi="Arial" w:cs="Arial"/>
          <w:sz w:val="22"/>
          <w:szCs w:val="22"/>
          <w:lang w:val="en-GB"/>
        </w:rPr>
        <w:t xml:space="preserve"> and what must </w:t>
      </w:r>
      <w:r w:rsidR="00954F89">
        <w:rPr>
          <w:rFonts w:ascii="Arial" w:hAnsi="Arial" w:cs="Arial"/>
          <w:sz w:val="22"/>
          <w:szCs w:val="22"/>
          <w:lang w:val="en-GB"/>
        </w:rPr>
        <w:t xml:space="preserve">be </w:t>
      </w:r>
      <w:r w:rsidR="0007291B" w:rsidRPr="00F130CF">
        <w:rPr>
          <w:rFonts w:ascii="Arial" w:hAnsi="Arial" w:cs="Arial"/>
          <w:sz w:val="22"/>
          <w:szCs w:val="22"/>
          <w:lang w:val="en-GB"/>
        </w:rPr>
        <w:t xml:space="preserve"> present</w:t>
      </w:r>
      <w:r w:rsidR="00954F89">
        <w:rPr>
          <w:rFonts w:ascii="Arial" w:hAnsi="Arial" w:cs="Arial"/>
          <w:sz w:val="22"/>
          <w:szCs w:val="22"/>
          <w:lang w:val="en-GB"/>
        </w:rPr>
        <w:t>ed</w:t>
      </w:r>
      <w:r w:rsidR="0007291B" w:rsidRPr="00F130CF">
        <w:rPr>
          <w:rFonts w:ascii="Arial" w:hAnsi="Arial" w:cs="Arial"/>
          <w:sz w:val="22"/>
          <w:szCs w:val="22"/>
          <w:lang w:val="en-GB"/>
        </w:rPr>
        <w:t xml:space="preserve"> to the court </w:t>
      </w:r>
      <w:r w:rsidR="00105948">
        <w:rPr>
          <w:rFonts w:ascii="Arial" w:hAnsi="Arial" w:cs="Arial"/>
          <w:sz w:val="22"/>
          <w:szCs w:val="22"/>
          <w:lang w:val="en-GB"/>
        </w:rPr>
        <w:t xml:space="preserve">in order </w:t>
      </w:r>
      <w:r w:rsidR="00631DDB">
        <w:rPr>
          <w:rFonts w:ascii="Arial" w:hAnsi="Arial" w:cs="Arial"/>
          <w:sz w:val="22"/>
          <w:szCs w:val="22"/>
          <w:lang w:val="en-GB"/>
        </w:rPr>
        <w:t>to obtain a judicial management order</w:t>
      </w:r>
      <w:r w:rsidR="00667F67">
        <w:rPr>
          <w:rFonts w:ascii="Arial" w:hAnsi="Arial" w:cs="Arial"/>
          <w:sz w:val="22"/>
          <w:szCs w:val="22"/>
          <w:lang w:val="en-GB"/>
        </w:rPr>
        <w:t>;</w:t>
      </w:r>
      <w:r w:rsidR="00CC158E">
        <w:rPr>
          <w:rFonts w:ascii="Arial" w:hAnsi="Arial" w:cs="Arial"/>
          <w:sz w:val="22"/>
          <w:szCs w:val="22"/>
          <w:lang w:val="en-GB"/>
        </w:rPr>
        <w:t xml:space="preserve"> </w:t>
      </w:r>
      <w:r w:rsidR="00CC158E" w:rsidRPr="004E6D1C">
        <w:rPr>
          <w:rFonts w:ascii="Arial" w:hAnsi="Arial" w:cs="Arial"/>
          <w:b/>
          <w:bCs/>
          <w:sz w:val="22"/>
          <w:szCs w:val="22"/>
          <w:lang w:val="en-GB"/>
        </w:rPr>
        <w:t>(</w:t>
      </w:r>
      <w:r w:rsidR="00954F89">
        <w:rPr>
          <w:rFonts w:ascii="Arial" w:hAnsi="Arial" w:cs="Arial"/>
          <w:b/>
          <w:bCs/>
          <w:sz w:val="22"/>
          <w:szCs w:val="22"/>
          <w:lang w:val="en-GB"/>
        </w:rPr>
        <w:t>2</w:t>
      </w:r>
      <w:r w:rsidR="00CC158E" w:rsidRPr="004E6D1C">
        <w:rPr>
          <w:rFonts w:ascii="Arial" w:hAnsi="Arial" w:cs="Arial"/>
          <w:b/>
          <w:bCs/>
          <w:sz w:val="22"/>
          <w:szCs w:val="22"/>
          <w:lang w:val="en-GB"/>
        </w:rPr>
        <w:t xml:space="preserve"> mark</w:t>
      </w:r>
      <w:r w:rsidR="00954F89">
        <w:rPr>
          <w:rFonts w:ascii="Arial" w:hAnsi="Arial" w:cs="Arial"/>
          <w:b/>
          <w:bCs/>
          <w:sz w:val="22"/>
          <w:szCs w:val="22"/>
          <w:lang w:val="en-GB"/>
        </w:rPr>
        <w:t>s</w:t>
      </w:r>
      <w:r w:rsidR="00CC158E" w:rsidRPr="004E6D1C">
        <w:rPr>
          <w:rFonts w:ascii="Arial" w:hAnsi="Arial" w:cs="Arial"/>
          <w:b/>
          <w:bCs/>
          <w:sz w:val="22"/>
          <w:szCs w:val="22"/>
          <w:lang w:val="en-GB"/>
        </w:rPr>
        <w:t>)</w:t>
      </w:r>
    </w:p>
    <w:p w14:paraId="2E5F85EB" w14:textId="77777777" w:rsidR="00CF14BE" w:rsidRPr="00CF14BE" w:rsidRDefault="00CF14BE" w:rsidP="00CF14BE">
      <w:pPr>
        <w:ind w:left="66"/>
        <w:jc w:val="both"/>
        <w:rPr>
          <w:rFonts w:ascii="Arial" w:hAnsi="Arial" w:cs="Arial"/>
          <w:sz w:val="22"/>
          <w:szCs w:val="22"/>
          <w:lang w:val="en-GB"/>
        </w:rPr>
      </w:pPr>
    </w:p>
    <w:p w14:paraId="54453F50" w14:textId="5807A94A" w:rsidR="00CF14BE" w:rsidRPr="00CF14BE" w:rsidRDefault="00631DDB" w:rsidP="00BE65AA">
      <w:pPr>
        <w:pStyle w:val="ListParagraph"/>
        <w:numPr>
          <w:ilvl w:val="0"/>
          <w:numId w:val="3"/>
        </w:numPr>
        <w:ind w:left="426"/>
        <w:jc w:val="both"/>
        <w:rPr>
          <w:lang w:val="en-GB"/>
        </w:rPr>
      </w:pPr>
      <w:r>
        <w:rPr>
          <w:rFonts w:ascii="Arial" w:hAnsi="Arial" w:cs="Arial"/>
          <w:sz w:val="22"/>
          <w:szCs w:val="22"/>
          <w:lang w:val="en-GB"/>
        </w:rPr>
        <w:t xml:space="preserve">Assuming  that PEC is placed </w:t>
      </w:r>
      <w:r w:rsidR="00667F67">
        <w:rPr>
          <w:rFonts w:ascii="Arial" w:hAnsi="Arial" w:cs="Arial"/>
          <w:sz w:val="22"/>
          <w:szCs w:val="22"/>
          <w:lang w:val="en-GB"/>
        </w:rPr>
        <w:t>under</w:t>
      </w:r>
      <w:r>
        <w:rPr>
          <w:rFonts w:ascii="Arial" w:hAnsi="Arial" w:cs="Arial"/>
          <w:sz w:val="22"/>
          <w:szCs w:val="22"/>
          <w:lang w:val="en-GB"/>
        </w:rPr>
        <w:t xml:space="preserve"> judicial management, w</w:t>
      </w:r>
      <w:r w:rsidR="0007291B" w:rsidRPr="00CF14BE">
        <w:rPr>
          <w:rFonts w:ascii="Arial" w:hAnsi="Arial" w:cs="Arial"/>
          <w:sz w:val="22"/>
          <w:szCs w:val="22"/>
          <w:lang w:val="en-GB"/>
        </w:rPr>
        <w:t xml:space="preserve">hat </w:t>
      </w:r>
      <w:r w:rsidR="00CC158E" w:rsidRPr="00CF14BE">
        <w:rPr>
          <w:rFonts w:ascii="Arial" w:hAnsi="Arial" w:cs="Arial"/>
          <w:sz w:val="22"/>
          <w:szCs w:val="22"/>
          <w:lang w:val="en-GB"/>
        </w:rPr>
        <w:t>requirements must be satisfied in order for</w:t>
      </w:r>
      <w:r w:rsidR="008B155E" w:rsidRPr="00CF14BE">
        <w:rPr>
          <w:rFonts w:ascii="Arial" w:hAnsi="Arial" w:cs="Arial"/>
          <w:sz w:val="22"/>
          <w:szCs w:val="22"/>
          <w:lang w:val="en-GB"/>
        </w:rPr>
        <w:t xml:space="preserve"> PEC</w:t>
      </w:r>
      <w:r w:rsidR="00CC158E" w:rsidRPr="00CF14BE">
        <w:rPr>
          <w:rFonts w:ascii="Arial" w:hAnsi="Arial" w:cs="Arial"/>
          <w:sz w:val="22"/>
          <w:szCs w:val="22"/>
          <w:lang w:val="en-GB"/>
        </w:rPr>
        <w:t xml:space="preserve"> to be able to access rescue financing under the </w:t>
      </w:r>
      <w:r w:rsidR="008B155E" w:rsidRPr="00CF14BE">
        <w:rPr>
          <w:rFonts w:ascii="Arial" w:hAnsi="Arial" w:cs="Arial"/>
          <w:sz w:val="22"/>
          <w:szCs w:val="22"/>
          <w:lang w:val="en-GB"/>
        </w:rPr>
        <w:t>IRDA</w:t>
      </w:r>
      <w:r w:rsidR="00A57EFB">
        <w:rPr>
          <w:rFonts w:ascii="Arial" w:hAnsi="Arial" w:cs="Arial"/>
          <w:sz w:val="22"/>
          <w:szCs w:val="22"/>
          <w:lang w:val="en-GB"/>
        </w:rPr>
        <w:t>?;</w:t>
      </w:r>
      <w:r w:rsidR="004D7749" w:rsidRPr="00CF14BE">
        <w:rPr>
          <w:rFonts w:ascii="Arial" w:hAnsi="Arial" w:cs="Arial"/>
          <w:sz w:val="22"/>
          <w:szCs w:val="22"/>
          <w:lang w:val="en-GB"/>
        </w:rPr>
        <w:t xml:space="preserve"> </w:t>
      </w:r>
      <w:r w:rsidR="009D23C6" w:rsidRPr="00CF14BE">
        <w:rPr>
          <w:rFonts w:ascii="Arial" w:hAnsi="Arial" w:cs="Arial"/>
          <w:b/>
          <w:bCs/>
          <w:sz w:val="22"/>
          <w:szCs w:val="22"/>
          <w:lang w:val="en-GB"/>
        </w:rPr>
        <w:t>(</w:t>
      </w:r>
      <w:r w:rsidR="00954F89" w:rsidRPr="00CF14BE">
        <w:rPr>
          <w:rFonts w:ascii="Arial" w:hAnsi="Arial" w:cs="Arial"/>
          <w:b/>
          <w:bCs/>
          <w:sz w:val="22"/>
          <w:szCs w:val="22"/>
          <w:lang w:val="en-GB"/>
        </w:rPr>
        <w:t>2</w:t>
      </w:r>
      <w:r w:rsidR="009D23C6" w:rsidRPr="00CF14BE">
        <w:rPr>
          <w:rFonts w:ascii="Arial" w:hAnsi="Arial" w:cs="Arial"/>
          <w:b/>
          <w:bCs/>
          <w:sz w:val="22"/>
          <w:szCs w:val="22"/>
          <w:lang w:val="en-GB"/>
        </w:rPr>
        <w:t xml:space="preserve"> marks)</w:t>
      </w:r>
    </w:p>
    <w:p w14:paraId="7F9AB40E" w14:textId="77777777" w:rsidR="00CF14BE" w:rsidRPr="00CF14BE" w:rsidRDefault="00CF14BE" w:rsidP="00CF14BE">
      <w:pPr>
        <w:pStyle w:val="ListParagraph"/>
        <w:rPr>
          <w:rFonts w:ascii="Arial" w:hAnsi="Arial" w:cs="Arial"/>
          <w:sz w:val="22"/>
          <w:szCs w:val="22"/>
          <w:lang w:val="en-GB"/>
        </w:rPr>
      </w:pPr>
    </w:p>
    <w:p w14:paraId="46D4CE13" w14:textId="6512A414" w:rsidR="004E6D1C" w:rsidRPr="00CF14BE" w:rsidRDefault="008B155E" w:rsidP="00BE65AA">
      <w:pPr>
        <w:pStyle w:val="ListParagraph"/>
        <w:numPr>
          <w:ilvl w:val="0"/>
          <w:numId w:val="3"/>
        </w:numPr>
        <w:ind w:left="426"/>
        <w:jc w:val="both"/>
        <w:rPr>
          <w:lang w:val="en-GB"/>
        </w:rPr>
      </w:pPr>
      <w:r w:rsidRPr="00CF14BE">
        <w:rPr>
          <w:rFonts w:ascii="Arial" w:hAnsi="Arial" w:cs="Arial"/>
          <w:sz w:val="22"/>
          <w:szCs w:val="22"/>
          <w:lang w:val="en-GB"/>
        </w:rPr>
        <w:t>W</w:t>
      </w:r>
      <w:r w:rsidR="0007291B" w:rsidRPr="00CF14BE">
        <w:rPr>
          <w:rFonts w:ascii="Arial" w:hAnsi="Arial" w:cs="Arial"/>
          <w:sz w:val="22"/>
          <w:szCs w:val="22"/>
          <w:lang w:val="en-GB"/>
        </w:rPr>
        <w:t xml:space="preserve">hat </w:t>
      </w:r>
      <w:r w:rsidRPr="00CF14BE">
        <w:rPr>
          <w:rFonts w:ascii="Arial" w:hAnsi="Arial" w:cs="Arial"/>
          <w:sz w:val="22"/>
          <w:szCs w:val="22"/>
          <w:lang w:val="en-GB"/>
        </w:rPr>
        <w:t xml:space="preserve">are the steps </w:t>
      </w:r>
      <w:r w:rsidR="00C960CA">
        <w:rPr>
          <w:rFonts w:ascii="Arial" w:hAnsi="Arial" w:cs="Arial"/>
          <w:sz w:val="22"/>
          <w:szCs w:val="22"/>
          <w:lang w:val="en-GB"/>
        </w:rPr>
        <w:t xml:space="preserve">that need to be taken in order </w:t>
      </w:r>
      <w:r w:rsidRPr="00CF14BE">
        <w:rPr>
          <w:rFonts w:ascii="Arial" w:hAnsi="Arial" w:cs="Arial"/>
          <w:sz w:val="22"/>
          <w:szCs w:val="22"/>
          <w:lang w:val="en-GB"/>
        </w:rPr>
        <w:t xml:space="preserve">to place PEC’s </w:t>
      </w:r>
      <w:r w:rsidR="00954F89" w:rsidRPr="00CF14BE">
        <w:rPr>
          <w:rFonts w:ascii="Arial" w:hAnsi="Arial" w:cs="Arial"/>
          <w:sz w:val="22"/>
          <w:szCs w:val="22"/>
          <w:lang w:val="en-GB"/>
        </w:rPr>
        <w:t xml:space="preserve">subsidiaries </w:t>
      </w:r>
      <w:r w:rsidR="006358BA">
        <w:rPr>
          <w:rFonts w:ascii="Arial" w:hAnsi="Arial" w:cs="Arial"/>
          <w:sz w:val="22"/>
          <w:szCs w:val="22"/>
          <w:lang w:val="en-GB"/>
        </w:rPr>
        <w:t>under</w:t>
      </w:r>
      <w:r w:rsidR="00954F89" w:rsidRPr="00CF14BE">
        <w:rPr>
          <w:rFonts w:ascii="Arial" w:hAnsi="Arial" w:cs="Arial"/>
          <w:sz w:val="22"/>
          <w:szCs w:val="22"/>
          <w:lang w:val="en-GB"/>
        </w:rPr>
        <w:t xml:space="preserve"> judicial management out of court</w:t>
      </w:r>
      <w:r w:rsidR="009D23C6" w:rsidRPr="00CF14BE">
        <w:rPr>
          <w:rFonts w:ascii="Arial" w:hAnsi="Arial" w:cs="Arial"/>
          <w:sz w:val="22"/>
          <w:szCs w:val="22"/>
          <w:lang w:val="en-GB"/>
        </w:rPr>
        <w:t>?</w:t>
      </w:r>
      <w:r w:rsidR="002311E3" w:rsidRPr="00CF14BE">
        <w:rPr>
          <w:rFonts w:ascii="Arial" w:hAnsi="Arial" w:cs="Arial"/>
          <w:sz w:val="22"/>
          <w:szCs w:val="22"/>
          <w:lang w:val="en-GB"/>
        </w:rPr>
        <w:t xml:space="preserve"> </w:t>
      </w:r>
      <w:r w:rsidR="002311E3" w:rsidRPr="00CF14BE">
        <w:rPr>
          <w:rFonts w:ascii="Arial" w:hAnsi="Arial" w:cs="Arial"/>
          <w:b/>
          <w:bCs/>
          <w:sz w:val="22"/>
          <w:szCs w:val="22"/>
          <w:lang w:val="en-GB"/>
        </w:rPr>
        <w:t>(3 marks)</w:t>
      </w:r>
    </w:p>
    <w:p w14:paraId="6CF290C2" w14:textId="77777777" w:rsidR="004E6D1C" w:rsidRPr="00D65741" w:rsidRDefault="004E6D1C" w:rsidP="00306957">
      <w:pPr>
        <w:ind w:left="66"/>
        <w:jc w:val="both"/>
        <w:rPr>
          <w:rFonts w:ascii="Arial" w:hAnsi="Arial" w:cs="Arial"/>
          <w:sz w:val="22"/>
          <w:szCs w:val="22"/>
          <w:lang w:val="en-GB"/>
        </w:rPr>
      </w:pPr>
    </w:p>
    <w:p w14:paraId="30A844DC" w14:textId="4BA6D1FF" w:rsidR="001A007A" w:rsidRPr="00306957" w:rsidRDefault="00604112" w:rsidP="009E3DF6">
      <w:pPr>
        <w:ind w:left="66"/>
        <w:jc w:val="both"/>
        <w:rPr>
          <w:rFonts w:ascii="Arial" w:hAnsi="Arial" w:cs="Arial"/>
          <w:sz w:val="22"/>
          <w:szCs w:val="22"/>
          <w:lang w:val="en-GB"/>
        </w:rPr>
      </w:pPr>
      <w:r w:rsidRPr="00306957">
        <w:rPr>
          <w:rFonts w:ascii="Arial" w:hAnsi="Arial" w:cs="Arial"/>
          <w:sz w:val="22"/>
          <w:szCs w:val="22"/>
          <w:lang w:val="en-GB"/>
        </w:rPr>
        <w:t xml:space="preserve">Answer 1. </w:t>
      </w:r>
    </w:p>
    <w:p w14:paraId="59D30737" w14:textId="52ACBC8C" w:rsidR="00604112" w:rsidRDefault="00604112" w:rsidP="00604112">
      <w:pPr>
        <w:ind w:left="66"/>
        <w:jc w:val="both"/>
        <w:rPr>
          <w:rFonts w:ascii="Arial" w:hAnsi="Arial" w:cs="Arial"/>
          <w:sz w:val="22"/>
          <w:szCs w:val="22"/>
          <w:lang w:val="en-GB"/>
        </w:rPr>
      </w:pPr>
      <w:r>
        <w:rPr>
          <w:rFonts w:ascii="Arial" w:hAnsi="Arial" w:cs="Arial"/>
          <w:sz w:val="22"/>
          <w:szCs w:val="22"/>
          <w:lang w:val="en-GB"/>
        </w:rPr>
        <w:t xml:space="preserve">Currently the </w:t>
      </w:r>
      <w:r w:rsidRPr="00604112">
        <w:rPr>
          <w:rFonts w:ascii="Arial" w:hAnsi="Arial" w:cs="Arial"/>
          <w:sz w:val="22"/>
          <w:szCs w:val="22"/>
          <w:lang w:val="en-GB"/>
        </w:rPr>
        <w:t xml:space="preserve">scheme of arrangement </w:t>
      </w:r>
      <w:r>
        <w:rPr>
          <w:rFonts w:ascii="Arial" w:hAnsi="Arial" w:cs="Arial"/>
          <w:sz w:val="22"/>
          <w:szCs w:val="22"/>
          <w:lang w:val="en-GB"/>
        </w:rPr>
        <w:t xml:space="preserve">is </w:t>
      </w:r>
      <w:r w:rsidRPr="00604112">
        <w:rPr>
          <w:rFonts w:ascii="Arial" w:hAnsi="Arial" w:cs="Arial"/>
          <w:sz w:val="22"/>
          <w:szCs w:val="22"/>
          <w:lang w:val="en-GB"/>
        </w:rPr>
        <w:t>operat</w:t>
      </w:r>
      <w:r>
        <w:rPr>
          <w:rFonts w:ascii="Arial" w:hAnsi="Arial" w:cs="Arial"/>
          <w:sz w:val="22"/>
          <w:szCs w:val="22"/>
          <w:lang w:val="en-GB"/>
        </w:rPr>
        <w:t>ing</w:t>
      </w:r>
      <w:r w:rsidRPr="00604112">
        <w:rPr>
          <w:rFonts w:ascii="Arial" w:hAnsi="Arial" w:cs="Arial"/>
          <w:sz w:val="22"/>
          <w:szCs w:val="22"/>
          <w:lang w:val="en-GB"/>
        </w:rPr>
        <w:t xml:space="preserve"> under the supervision of the company’s management</w:t>
      </w:r>
      <w:r>
        <w:rPr>
          <w:rFonts w:ascii="Arial" w:hAnsi="Arial" w:cs="Arial"/>
          <w:sz w:val="22"/>
          <w:szCs w:val="22"/>
          <w:lang w:val="en-GB"/>
        </w:rPr>
        <w:t xml:space="preserve"> but J</w:t>
      </w:r>
      <w:r w:rsidRPr="00604112">
        <w:rPr>
          <w:rFonts w:ascii="Arial" w:hAnsi="Arial" w:cs="Arial"/>
          <w:sz w:val="22"/>
          <w:szCs w:val="22"/>
          <w:lang w:val="en-GB"/>
        </w:rPr>
        <w:t>udicial management may be more useful in cases where the creditors consider the company management to be untrustworthy</w:t>
      </w:r>
      <w:r>
        <w:rPr>
          <w:rFonts w:ascii="Arial" w:hAnsi="Arial" w:cs="Arial"/>
          <w:sz w:val="22"/>
          <w:szCs w:val="22"/>
          <w:lang w:val="en-GB"/>
        </w:rPr>
        <w:t xml:space="preserve"> because</w:t>
      </w:r>
      <w:r w:rsidR="002A0D64" w:rsidRPr="002A0D64">
        <w:rPr>
          <w:rFonts w:ascii="Arial" w:hAnsi="Arial" w:cs="Arial"/>
          <w:sz w:val="22"/>
          <w:szCs w:val="22"/>
          <w:lang w:val="en-GB"/>
        </w:rPr>
        <w:t xml:space="preserve"> judicial management is supervised by an external judicial manager instead</w:t>
      </w:r>
      <w:r w:rsidR="002A0D64">
        <w:rPr>
          <w:rFonts w:ascii="Arial" w:hAnsi="Arial" w:cs="Arial"/>
          <w:sz w:val="22"/>
          <w:szCs w:val="22"/>
          <w:lang w:val="en-GB"/>
        </w:rPr>
        <w:t xml:space="preserve"> by the management of the insolvent company</w:t>
      </w:r>
      <w:r w:rsidR="002A0D64" w:rsidRPr="002A0D64">
        <w:rPr>
          <w:rFonts w:ascii="Arial" w:hAnsi="Arial" w:cs="Arial"/>
          <w:sz w:val="22"/>
          <w:szCs w:val="22"/>
          <w:lang w:val="en-GB"/>
        </w:rPr>
        <w:t>.</w:t>
      </w:r>
      <w:r w:rsidR="002A0D64">
        <w:rPr>
          <w:rFonts w:ascii="Arial" w:hAnsi="Arial" w:cs="Arial"/>
          <w:sz w:val="22"/>
          <w:szCs w:val="22"/>
          <w:lang w:val="en-GB"/>
        </w:rPr>
        <w:t xml:space="preserve"> </w:t>
      </w:r>
      <w:r>
        <w:rPr>
          <w:rFonts w:ascii="Arial" w:hAnsi="Arial" w:cs="Arial"/>
          <w:sz w:val="22"/>
          <w:szCs w:val="22"/>
          <w:lang w:val="en-GB"/>
        </w:rPr>
        <w:t>Bankers</w:t>
      </w:r>
      <w:r w:rsidRPr="00604112">
        <w:rPr>
          <w:rFonts w:ascii="Arial" w:hAnsi="Arial" w:cs="Arial"/>
          <w:sz w:val="22"/>
          <w:szCs w:val="22"/>
          <w:lang w:val="en-GB"/>
        </w:rPr>
        <w:t xml:space="preserve"> must satisfy the court that the making of a judicial management order will </w:t>
      </w:r>
      <w:r w:rsidRPr="00604112">
        <w:rPr>
          <w:rFonts w:ascii="Arial" w:hAnsi="Arial" w:cs="Arial"/>
          <w:sz w:val="22"/>
          <w:szCs w:val="22"/>
          <w:lang w:val="en-GB"/>
        </w:rPr>
        <w:lastRenderedPageBreak/>
        <w:t>cause disproportionately greater prejudice to the said creditor</w:t>
      </w:r>
      <w:r>
        <w:rPr>
          <w:rFonts w:ascii="Arial" w:hAnsi="Arial" w:cs="Arial"/>
          <w:sz w:val="22"/>
          <w:szCs w:val="22"/>
          <w:lang w:val="en-GB"/>
        </w:rPr>
        <w:t xml:space="preserve"> </w:t>
      </w:r>
      <w:r w:rsidRPr="00604112">
        <w:rPr>
          <w:rFonts w:ascii="Arial" w:hAnsi="Arial" w:cs="Arial"/>
          <w:sz w:val="22"/>
          <w:szCs w:val="22"/>
          <w:lang w:val="en-GB"/>
        </w:rPr>
        <w:t>than the prejudice caused to unsecured creditors if the judicial management order is not made.</w:t>
      </w:r>
    </w:p>
    <w:p w14:paraId="47CA2BDD" w14:textId="3201916E" w:rsidR="002A0D64" w:rsidRDefault="002A0D64" w:rsidP="00604112">
      <w:pPr>
        <w:ind w:left="66"/>
        <w:jc w:val="both"/>
        <w:rPr>
          <w:rFonts w:ascii="Arial" w:hAnsi="Arial" w:cs="Arial"/>
          <w:sz w:val="22"/>
          <w:szCs w:val="22"/>
          <w:lang w:val="en-GB"/>
        </w:rPr>
      </w:pPr>
    </w:p>
    <w:p w14:paraId="01350221" w14:textId="68E61220" w:rsidR="002A0D64" w:rsidRDefault="002A0D64" w:rsidP="00604112">
      <w:pPr>
        <w:ind w:left="66"/>
        <w:jc w:val="both"/>
        <w:rPr>
          <w:rFonts w:ascii="Arial" w:hAnsi="Arial" w:cs="Arial"/>
          <w:sz w:val="22"/>
          <w:szCs w:val="22"/>
          <w:lang w:val="en-GB"/>
        </w:rPr>
      </w:pPr>
      <w:r>
        <w:rPr>
          <w:rFonts w:ascii="Arial" w:hAnsi="Arial" w:cs="Arial"/>
          <w:sz w:val="22"/>
          <w:szCs w:val="22"/>
          <w:lang w:val="en-GB"/>
        </w:rPr>
        <w:t>Answer 2</w:t>
      </w:r>
    </w:p>
    <w:p w14:paraId="230FB729" w14:textId="77777777" w:rsidR="002A0D64" w:rsidRPr="00306957" w:rsidRDefault="002A0D64" w:rsidP="00604112">
      <w:pPr>
        <w:ind w:left="66"/>
        <w:jc w:val="both"/>
        <w:rPr>
          <w:rFonts w:ascii="Arial" w:hAnsi="Arial" w:cs="Arial"/>
          <w:sz w:val="22"/>
          <w:szCs w:val="22"/>
          <w:lang w:val="en-GB"/>
        </w:rPr>
      </w:pPr>
      <w:r w:rsidRPr="00306957">
        <w:rPr>
          <w:rFonts w:ascii="Arial" w:hAnsi="Arial" w:cs="Arial"/>
          <w:sz w:val="22"/>
          <w:szCs w:val="22"/>
          <w:lang w:val="en-GB"/>
        </w:rPr>
        <w:t xml:space="preserve">Rescue financing is financing that is necessary for the survival of the company as a going concern, or to achieve a more advantageous realization of the company’s assets than would be realized on a winding-up. The IRDA empowers the court, on the application of the company, to order that </w:t>
      </w:r>
      <w:proofErr w:type="spellStart"/>
      <w:r w:rsidRPr="00306957">
        <w:rPr>
          <w:rFonts w:ascii="Arial" w:hAnsi="Arial" w:cs="Arial"/>
          <w:sz w:val="22"/>
          <w:szCs w:val="22"/>
          <w:lang w:val="en-GB"/>
        </w:rPr>
        <w:t>superpriority</w:t>
      </w:r>
      <w:proofErr w:type="spellEnd"/>
      <w:r w:rsidRPr="00306957">
        <w:rPr>
          <w:rFonts w:ascii="Arial" w:hAnsi="Arial" w:cs="Arial"/>
          <w:sz w:val="22"/>
          <w:szCs w:val="22"/>
          <w:lang w:val="en-GB"/>
        </w:rPr>
        <w:t xml:space="preserve"> be granted to a person that provides rescue financing to the company. </w:t>
      </w:r>
    </w:p>
    <w:p w14:paraId="6901E356" w14:textId="77777777" w:rsidR="002A0D64" w:rsidRPr="00306957" w:rsidRDefault="002A0D64" w:rsidP="00604112">
      <w:pPr>
        <w:ind w:left="66"/>
        <w:jc w:val="both"/>
        <w:rPr>
          <w:rFonts w:ascii="Arial" w:hAnsi="Arial" w:cs="Arial"/>
          <w:sz w:val="22"/>
          <w:szCs w:val="22"/>
          <w:lang w:val="en-GB"/>
        </w:rPr>
      </w:pPr>
      <w:proofErr w:type="spellStart"/>
      <w:r w:rsidRPr="00306957">
        <w:rPr>
          <w:rFonts w:ascii="Arial" w:hAnsi="Arial" w:cs="Arial"/>
          <w:sz w:val="22"/>
          <w:szCs w:val="22"/>
          <w:lang w:val="en-GB"/>
        </w:rPr>
        <w:t>Superpriority</w:t>
      </w:r>
      <w:proofErr w:type="spellEnd"/>
      <w:r w:rsidRPr="00306957">
        <w:rPr>
          <w:rFonts w:ascii="Arial" w:hAnsi="Arial" w:cs="Arial"/>
          <w:sz w:val="22"/>
          <w:szCs w:val="22"/>
          <w:lang w:val="en-GB"/>
        </w:rPr>
        <w:t xml:space="preserve"> may be granted by the court upon the application of the company if it can establish that: </w:t>
      </w:r>
    </w:p>
    <w:p w14:paraId="7A7B506F" w14:textId="77777777" w:rsidR="002A0D64" w:rsidRPr="00306957" w:rsidRDefault="002A0D64" w:rsidP="00604112">
      <w:pPr>
        <w:ind w:left="66"/>
        <w:jc w:val="both"/>
        <w:rPr>
          <w:rFonts w:ascii="Arial" w:hAnsi="Arial" w:cs="Arial"/>
          <w:sz w:val="22"/>
          <w:szCs w:val="22"/>
          <w:lang w:val="en-GB"/>
        </w:rPr>
      </w:pPr>
      <w:r w:rsidRPr="00306957">
        <w:rPr>
          <w:rFonts w:ascii="Arial" w:hAnsi="Arial" w:cs="Arial"/>
          <w:sz w:val="22"/>
          <w:szCs w:val="22"/>
          <w:lang w:val="en-GB"/>
        </w:rPr>
        <w:t xml:space="preserve">(1) reasonable efforts were made to secure rescue financing without </w:t>
      </w:r>
      <w:proofErr w:type="spellStart"/>
      <w:r w:rsidRPr="00306957">
        <w:rPr>
          <w:rFonts w:ascii="Arial" w:hAnsi="Arial" w:cs="Arial"/>
          <w:sz w:val="22"/>
          <w:szCs w:val="22"/>
          <w:lang w:val="en-GB"/>
        </w:rPr>
        <w:t>superpriority</w:t>
      </w:r>
      <w:proofErr w:type="spellEnd"/>
      <w:r w:rsidRPr="00306957">
        <w:rPr>
          <w:rFonts w:ascii="Arial" w:hAnsi="Arial" w:cs="Arial"/>
          <w:sz w:val="22"/>
          <w:szCs w:val="22"/>
          <w:lang w:val="en-GB"/>
        </w:rPr>
        <w:t xml:space="preserve"> and the person would not provide the financing without it; </w:t>
      </w:r>
    </w:p>
    <w:p w14:paraId="3F9EF91E" w14:textId="77777777" w:rsidR="002A0D64" w:rsidRPr="00306957" w:rsidRDefault="002A0D64" w:rsidP="00604112">
      <w:pPr>
        <w:ind w:left="66"/>
        <w:jc w:val="both"/>
        <w:rPr>
          <w:rFonts w:ascii="Arial" w:hAnsi="Arial" w:cs="Arial"/>
          <w:sz w:val="22"/>
          <w:szCs w:val="22"/>
          <w:lang w:val="en-GB"/>
        </w:rPr>
      </w:pPr>
      <w:r w:rsidRPr="00306957">
        <w:rPr>
          <w:rFonts w:ascii="Arial" w:hAnsi="Arial" w:cs="Arial"/>
          <w:sz w:val="22"/>
          <w:szCs w:val="22"/>
          <w:lang w:val="en-GB"/>
        </w:rPr>
        <w:t xml:space="preserve">(2) there is adequate protection for the interests of the holder of the existing security in the event that security is “primed”, ie where the rescue financing is secured by security over already secured property of the company; and </w:t>
      </w:r>
    </w:p>
    <w:p w14:paraId="5D524019" w14:textId="0CFBA105" w:rsidR="002A0D64" w:rsidRDefault="002A0D64" w:rsidP="00604112">
      <w:pPr>
        <w:ind w:left="66"/>
        <w:jc w:val="both"/>
        <w:rPr>
          <w:rFonts w:ascii="Arial" w:hAnsi="Arial" w:cs="Arial"/>
          <w:sz w:val="22"/>
          <w:szCs w:val="22"/>
          <w:lang w:val="en-GB"/>
        </w:rPr>
      </w:pPr>
      <w:r w:rsidRPr="00306957">
        <w:rPr>
          <w:rFonts w:ascii="Arial" w:hAnsi="Arial" w:cs="Arial"/>
          <w:sz w:val="22"/>
          <w:szCs w:val="22"/>
          <w:lang w:val="en-GB"/>
        </w:rPr>
        <w:t>(3) the financing constitutes “rescue financing”.</w:t>
      </w:r>
    </w:p>
    <w:p w14:paraId="2C5CF1B8" w14:textId="04B1DC77" w:rsidR="00306957" w:rsidRDefault="00306957" w:rsidP="00604112">
      <w:pPr>
        <w:ind w:left="66"/>
        <w:jc w:val="both"/>
        <w:rPr>
          <w:rFonts w:ascii="Arial" w:hAnsi="Arial" w:cs="Arial"/>
          <w:sz w:val="22"/>
          <w:szCs w:val="22"/>
          <w:lang w:val="en-GB"/>
        </w:rPr>
      </w:pPr>
    </w:p>
    <w:p w14:paraId="366372AF" w14:textId="44D90106" w:rsidR="00306957" w:rsidRDefault="00306957" w:rsidP="00604112">
      <w:pPr>
        <w:ind w:left="66"/>
        <w:jc w:val="both"/>
        <w:rPr>
          <w:rFonts w:ascii="Arial" w:hAnsi="Arial" w:cs="Arial"/>
          <w:sz w:val="22"/>
          <w:szCs w:val="22"/>
          <w:lang w:val="en-GB"/>
        </w:rPr>
      </w:pPr>
      <w:r>
        <w:rPr>
          <w:rFonts w:ascii="Arial" w:hAnsi="Arial" w:cs="Arial"/>
          <w:sz w:val="22"/>
          <w:szCs w:val="22"/>
          <w:lang w:val="en-GB"/>
        </w:rPr>
        <w:t>Answer 3</w:t>
      </w:r>
    </w:p>
    <w:p w14:paraId="54092DA7" w14:textId="77777777" w:rsidR="00306957" w:rsidRPr="00306957" w:rsidRDefault="00306957" w:rsidP="00604112">
      <w:pPr>
        <w:ind w:left="66"/>
        <w:jc w:val="both"/>
        <w:rPr>
          <w:rFonts w:ascii="Arial" w:hAnsi="Arial" w:cs="Arial"/>
          <w:sz w:val="22"/>
          <w:szCs w:val="22"/>
          <w:lang w:val="en-GB"/>
        </w:rPr>
      </w:pPr>
    </w:p>
    <w:p w14:paraId="4ABEF400" w14:textId="77777777" w:rsidR="00D87F6E" w:rsidRDefault="00D87F6E" w:rsidP="00D87F6E">
      <w:pPr>
        <w:jc w:val="both"/>
        <w:rPr>
          <w:rFonts w:ascii="Arial" w:hAnsi="Arial" w:cs="Arial"/>
          <w:sz w:val="22"/>
          <w:szCs w:val="22"/>
          <w:lang w:val="en-GB"/>
        </w:rPr>
      </w:pPr>
      <w:r>
        <w:rPr>
          <w:rFonts w:ascii="Arial" w:hAnsi="Arial" w:cs="Arial"/>
          <w:sz w:val="22"/>
          <w:szCs w:val="22"/>
          <w:lang w:val="en-GB"/>
        </w:rPr>
        <w:t>Section 94 of the IRDA now provides that instead of applying to Court for a Judicial Management order, a company can be placed under Judicial Management if a majority of the creditors (in number and value) so approve after requisite notices and documents have been filed and a creditors’ meeting called.</w:t>
      </w:r>
    </w:p>
    <w:p w14:paraId="1AA38FF9" w14:textId="77777777" w:rsidR="00D87F6E" w:rsidRDefault="00D87F6E" w:rsidP="00D87F6E">
      <w:pPr>
        <w:ind w:left="66"/>
        <w:jc w:val="both"/>
        <w:rPr>
          <w:rFonts w:ascii="Arial" w:hAnsi="Arial" w:cs="Arial"/>
          <w:sz w:val="22"/>
          <w:szCs w:val="22"/>
          <w:lang w:val="en-GB"/>
        </w:rPr>
      </w:pPr>
      <w:r>
        <w:rPr>
          <w:rFonts w:ascii="Arial" w:hAnsi="Arial" w:cs="Arial"/>
          <w:sz w:val="22"/>
          <w:szCs w:val="22"/>
          <w:lang w:val="en-GB"/>
        </w:rPr>
        <w:t xml:space="preserve">Once the company is placed into Judicial Management pursuant to Section 94, it is under the supervision of the Court and in the same manner as a Court-ordered Judicial Management to ensure that there is no abuse. The important steps which needs to be placed to keep PEC’s subsidiaries under judicial management out of court are. </w:t>
      </w:r>
    </w:p>
    <w:p w14:paraId="0FD7137C" w14:textId="77777777" w:rsidR="00D87F6E" w:rsidRDefault="00D87F6E" w:rsidP="00D87F6E">
      <w:pPr>
        <w:numPr>
          <w:ilvl w:val="1"/>
          <w:numId w:val="24"/>
        </w:numPr>
        <w:jc w:val="both"/>
        <w:rPr>
          <w:rFonts w:ascii="Arial" w:hAnsi="Arial" w:cs="Arial"/>
          <w:sz w:val="22"/>
          <w:szCs w:val="22"/>
          <w:lang w:val="en-GB"/>
        </w:rPr>
      </w:pPr>
      <w:r>
        <w:rPr>
          <w:rFonts w:ascii="Arial" w:hAnsi="Arial" w:cs="Arial"/>
          <w:sz w:val="22"/>
          <w:szCs w:val="22"/>
          <w:lang w:val="en-GB"/>
        </w:rPr>
        <w:t>Subsidiaries are, or likely to become, unable to pay its debts</w:t>
      </w:r>
    </w:p>
    <w:p w14:paraId="49132F39" w14:textId="77777777" w:rsidR="00D87F6E" w:rsidRDefault="00D87F6E" w:rsidP="00D87F6E">
      <w:pPr>
        <w:numPr>
          <w:ilvl w:val="1"/>
          <w:numId w:val="24"/>
        </w:numPr>
        <w:jc w:val="both"/>
        <w:rPr>
          <w:rFonts w:ascii="Arial" w:hAnsi="Arial" w:cs="Arial"/>
          <w:sz w:val="22"/>
          <w:szCs w:val="22"/>
          <w:lang w:val="en-GB"/>
        </w:rPr>
      </w:pPr>
      <w:r>
        <w:rPr>
          <w:rFonts w:ascii="Arial" w:hAnsi="Arial" w:cs="Arial"/>
          <w:sz w:val="22"/>
          <w:szCs w:val="22"/>
          <w:lang w:val="en-GB"/>
        </w:rPr>
        <w:t xml:space="preserve">There is a reasonable probability of achieving purpose and objective of judicial management order. </w:t>
      </w:r>
    </w:p>
    <w:p w14:paraId="000779E0" w14:textId="6B8EF94E" w:rsidR="00D87F6E" w:rsidRDefault="00AC2FA7" w:rsidP="00D87F6E">
      <w:pPr>
        <w:ind w:left="66"/>
        <w:jc w:val="both"/>
        <w:rPr>
          <w:rFonts w:ascii="Arial" w:hAnsi="Arial" w:cs="Arial"/>
          <w:sz w:val="22"/>
          <w:szCs w:val="22"/>
          <w:lang w:val="en-GB"/>
        </w:rPr>
      </w:pPr>
      <w:r>
        <w:rPr>
          <w:rFonts w:ascii="Arial" w:hAnsi="Arial" w:cs="Arial"/>
          <w:sz w:val="22"/>
          <w:szCs w:val="22"/>
          <w:lang w:val="en-GB"/>
        </w:rPr>
        <w:t xml:space="preserve">Hence, the </w:t>
      </w:r>
      <w:r w:rsidR="00D87F6E">
        <w:rPr>
          <w:rFonts w:ascii="Arial" w:hAnsi="Arial" w:cs="Arial"/>
          <w:sz w:val="22"/>
          <w:szCs w:val="22"/>
          <w:lang w:val="en-GB"/>
        </w:rPr>
        <w:t xml:space="preserve"> resolution of its creditors </w:t>
      </w:r>
      <w:r>
        <w:rPr>
          <w:rFonts w:ascii="Arial" w:hAnsi="Arial" w:cs="Arial"/>
          <w:sz w:val="22"/>
          <w:szCs w:val="22"/>
          <w:lang w:val="en-GB"/>
        </w:rPr>
        <w:t xml:space="preserve">gets </w:t>
      </w:r>
      <w:r w:rsidR="00D87F6E">
        <w:rPr>
          <w:rFonts w:ascii="Arial" w:hAnsi="Arial" w:cs="Arial"/>
          <w:sz w:val="22"/>
          <w:szCs w:val="22"/>
          <w:lang w:val="en-GB"/>
        </w:rPr>
        <w:t>obtained</w:t>
      </w:r>
      <w:r>
        <w:rPr>
          <w:rFonts w:ascii="Arial" w:hAnsi="Arial" w:cs="Arial"/>
          <w:sz w:val="22"/>
          <w:szCs w:val="22"/>
          <w:lang w:val="en-GB"/>
        </w:rPr>
        <w:t>.</w:t>
      </w:r>
    </w:p>
    <w:p w14:paraId="4266726E" w14:textId="77777777" w:rsidR="001A007A" w:rsidRDefault="001A007A" w:rsidP="00087F21">
      <w:pPr>
        <w:jc w:val="both"/>
        <w:rPr>
          <w:rFonts w:ascii="Arial" w:hAnsi="Arial" w:cs="Arial"/>
          <w:sz w:val="22"/>
          <w:szCs w:val="22"/>
          <w:lang w:val="en-GB"/>
        </w:rPr>
      </w:pPr>
    </w:p>
    <w:p w14:paraId="6F40BCE0" w14:textId="77777777" w:rsidR="007F659B" w:rsidRDefault="007F659B" w:rsidP="00087F21">
      <w:pPr>
        <w:jc w:val="both"/>
        <w:rPr>
          <w:rFonts w:ascii="Arial" w:hAnsi="Arial" w:cs="Arial"/>
          <w:sz w:val="22"/>
          <w:szCs w:val="22"/>
          <w:lang w:val="en-GB"/>
        </w:rPr>
      </w:pPr>
    </w:p>
    <w:p w14:paraId="219AD231" w14:textId="77777777" w:rsidR="007F659B" w:rsidRPr="00087F21" w:rsidRDefault="0007291B"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087F21" w:rsidRPr="00087F21">
        <w:rPr>
          <w:rFonts w:ascii="Arial" w:hAnsi="Arial" w:cs="Arial"/>
          <w:b/>
          <w:bCs/>
          <w:sz w:val="22"/>
          <w:szCs w:val="22"/>
          <w:lang w:val="en-GB"/>
        </w:rPr>
        <w:t>8</w:t>
      </w:r>
      <w:r w:rsidRPr="00087F21">
        <w:rPr>
          <w:rFonts w:ascii="Arial" w:hAnsi="Arial" w:cs="Arial"/>
          <w:b/>
          <w:bCs/>
          <w:sz w:val="22"/>
          <w:szCs w:val="22"/>
          <w:lang w:val="en-GB"/>
        </w:rPr>
        <w:t xml:space="preserve"> marks</w:t>
      </w:r>
      <w:r w:rsidR="003B6014">
        <w:rPr>
          <w:rFonts w:ascii="Arial" w:hAnsi="Arial" w:cs="Arial"/>
          <w:b/>
          <w:bCs/>
          <w:sz w:val="22"/>
          <w:szCs w:val="22"/>
          <w:lang w:val="en-GB"/>
        </w:rPr>
        <w:t xml:space="preserve"> in total</w:t>
      </w:r>
      <w:r w:rsidR="00087F21">
        <w:rPr>
          <w:rFonts w:ascii="Arial" w:hAnsi="Arial" w:cs="Arial"/>
          <w:b/>
          <w:bCs/>
          <w:sz w:val="22"/>
          <w:szCs w:val="22"/>
          <w:lang w:val="en-GB"/>
        </w:rPr>
        <w:t>]</w:t>
      </w:r>
    </w:p>
    <w:p w14:paraId="4B7E5C2B" w14:textId="77777777" w:rsidR="00102CC9" w:rsidRDefault="00102CC9" w:rsidP="00087F21">
      <w:pPr>
        <w:jc w:val="both"/>
        <w:rPr>
          <w:rFonts w:ascii="Arial" w:hAnsi="Arial" w:cs="Arial"/>
          <w:sz w:val="22"/>
          <w:szCs w:val="22"/>
          <w:lang w:val="en-GB"/>
        </w:rPr>
      </w:pPr>
    </w:p>
    <w:p w14:paraId="49A2CA91" w14:textId="40BB2430" w:rsidR="00000774" w:rsidRDefault="008B155E" w:rsidP="00B54D7D">
      <w:pPr>
        <w:jc w:val="both"/>
        <w:rPr>
          <w:rFonts w:ascii="Arial" w:hAnsi="Arial" w:cs="Arial"/>
          <w:sz w:val="22"/>
          <w:szCs w:val="22"/>
          <w:lang w:val="en-GB"/>
        </w:rPr>
      </w:pPr>
      <w:r>
        <w:rPr>
          <w:rFonts w:ascii="Arial" w:hAnsi="Arial" w:cs="Arial"/>
          <w:sz w:val="22"/>
          <w:szCs w:val="22"/>
          <w:lang w:val="en-GB"/>
        </w:rPr>
        <w:t xml:space="preserve">As things transpired, PEC was placed </w:t>
      </w:r>
      <w:r w:rsidR="00CF14BE">
        <w:rPr>
          <w:rFonts w:ascii="Arial" w:hAnsi="Arial" w:cs="Arial"/>
          <w:sz w:val="22"/>
          <w:szCs w:val="22"/>
          <w:lang w:val="en-GB"/>
        </w:rPr>
        <w:t>under</w:t>
      </w:r>
      <w:r>
        <w:rPr>
          <w:rFonts w:ascii="Arial" w:hAnsi="Arial" w:cs="Arial"/>
          <w:sz w:val="22"/>
          <w:szCs w:val="22"/>
          <w:lang w:val="en-GB"/>
        </w:rPr>
        <w:t xml:space="preserve"> judicial management. </w:t>
      </w:r>
      <w:r w:rsidR="00DC7761">
        <w:rPr>
          <w:rFonts w:ascii="Arial" w:hAnsi="Arial" w:cs="Arial"/>
          <w:sz w:val="22"/>
          <w:szCs w:val="22"/>
          <w:lang w:val="en-GB"/>
        </w:rPr>
        <w:t>Private equity</w:t>
      </w:r>
      <w:r w:rsidR="0007291B">
        <w:rPr>
          <w:rFonts w:ascii="Arial" w:hAnsi="Arial" w:cs="Arial"/>
          <w:sz w:val="22"/>
          <w:szCs w:val="22"/>
          <w:lang w:val="en-GB"/>
        </w:rPr>
        <w:t xml:space="preserve"> funds are actively talking to </w:t>
      </w:r>
      <w:r w:rsidR="00AE2020">
        <w:rPr>
          <w:rFonts w:ascii="Arial" w:hAnsi="Arial" w:cs="Arial"/>
          <w:sz w:val="22"/>
          <w:szCs w:val="22"/>
          <w:lang w:val="en-GB"/>
        </w:rPr>
        <w:t>PEC</w:t>
      </w:r>
      <w:r w:rsidR="004D7749">
        <w:rPr>
          <w:rFonts w:ascii="Arial" w:hAnsi="Arial" w:cs="Arial"/>
          <w:sz w:val="22"/>
          <w:szCs w:val="22"/>
          <w:lang w:val="en-GB"/>
        </w:rPr>
        <w:t>’</w:t>
      </w:r>
      <w:r w:rsidR="0007291B">
        <w:rPr>
          <w:rFonts w:ascii="Arial" w:hAnsi="Arial" w:cs="Arial"/>
          <w:sz w:val="22"/>
          <w:szCs w:val="22"/>
          <w:lang w:val="en-GB"/>
        </w:rPr>
        <w:t xml:space="preserve">s </w:t>
      </w:r>
      <w:r w:rsidR="00DC7761">
        <w:rPr>
          <w:rFonts w:ascii="Arial" w:hAnsi="Arial" w:cs="Arial"/>
          <w:sz w:val="22"/>
          <w:szCs w:val="22"/>
          <w:lang w:val="en-GB"/>
        </w:rPr>
        <w:t>Judicial Managers</w:t>
      </w:r>
      <w:r w:rsidR="0007291B">
        <w:rPr>
          <w:rFonts w:ascii="Arial" w:hAnsi="Arial" w:cs="Arial"/>
          <w:sz w:val="22"/>
          <w:szCs w:val="22"/>
          <w:lang w:val="en-GB"/>
        </w:rPr>
        <w:t xml:space="preserve"> </w:t>
      </w:r>
      <w:r w:rsidR="00645F3A">
        <w:rPr>
          <w:rFonts w:ascii="Arial" w:hAnsi="Arial" w:cs="Arial"/>
          <w:sz w:val="22"/>
          <w:szCs w:val="22"/>
          <w:lang w:val="en-GB"/>
        </w:rPr>
        <w:t xml:space="preserve">in order </w:t>
      </w:r>
      <w:r w:rsidR="0007291B">
        <w:rPr>
          <w:rFonts w:ascii="Arial" w:hAnsi="Arial" w:cs="Arial"/>
          <w:sz w:val="22"/>
          <w:szCs w:val="22"/>
          <w:lang w:val="en-GB"/>
        </w:rPr>
        <w:t xml:space="preserve">to determine whether or not they might </w:t>
      </w:r>
      <w:r w:rsidR="00994947">
        <w:rPr>
          <w:rFonts w:ascii="Arial" w:hAnsi="Arial" w:cs="Arial"/>
          <w:sz w:val="22"/>
          <w:szCs w:val="22"/>
          <w:lang w:val="en-GB"/>
        </w:rPr>
        <w:t xml:space="preserve">make an investment in </w:t>
      </w:r>
      <w:r w:rsidR="00DC7761">
        <w:rPr>
          <w:rFonts w:ascii="Arial" w:hAnsi="Arial" w:cs="Arial"/>
          <w:sz w:val="22"/>
          <w:szCs w:val="22"/>
          <w:lang w:val="en-GB"/>
        </w:rPr>
        <w:t>PEC</w:t>
      </w:r>
      <w:r w:rsidR="00645F3A">
        <w:rPr>
          <w:rFonts w:ascii="Arial" w:hAnsi="Arial" w:cs="Arial"/>
          <w:sz w:val="22"/>
          <w:szCs w:val="22"/>
          <w:lang w:val="en-GB"/>
        </w:rPr>
        <w:t>,</w:t>
      </w:r>
      <w:r w:rsidR="00994947">
        <w:rPr>
          <w:rFonts w:ascii="Arial" w:hAnsi="Arial" w:cs="Arial"/>
          <w:sz w:val="22"/>
          <w:szCs w:val="22"/>
          <w:lang w:val="en-GB"/>
        </w:rPr>
        <w:t xml:space="preserve"> or </w:t>
      </w:r>
      <w:r w:rsidR="0007291B">
        <w:rPr>
          <w:rFonts w:ascii="Arial" w:hAnsi="Arial" w:cs="Arial"/>
          <w:sz w:val="22"/>
          <w:szCs w:val="22"/>
          <w:lang w:val="en-GB"/>
        </w:rPr>
        <w:t xml:space="preserve">acquire </w:t>
      </w:r>
      <w:r w:rsidR="00DC7761">
        <w:rPr>
          <w:rFonts w:ascii="Arial" w:hAnsi="Arial" w:cs="Arial"/>
          <w:sz w:val="22"/>
          <w:szCs w:val="22"/>
          <w:lang w:val="en-GB"/>
        </w:rPr>
        <w:t>its assets</w:t>
      </w:r>
      <w:r w:rsidR="0007291B">
        <w:rPr>
          <w:rFonts w:ascii="Arial" w:hAnsi="Arial" w:cs="Arial"/>
          <w:sz w:val="22"/>
          <w:szCs w:val="22"/>
          <w:lang w:val="en-GB"/>
        </w:rPr>
        <w:t>.</w:t>
      </w:r>
      <w:r w:rsidR="00152FD4">
        <w:rPr>
          <w:rFonts w:ascii="Arial" w:hAnsi="Arial" w:cs="Arial"/>
          <w:sz w:val="22"/>
          <w:szCs w:val="22"/>
          <w:lang w:val="en-GB"/>
        </w:rPr>
        <w:t xml:space="preserve"> </w:t>
      </w:r>
      <w:r w:rsidR="00E45B05">
        <w:rPr>
          <w:rFonts w:ascii="Arial" w:hAnsi="Arial" w:cs="Arial"/>
          <w:sz w:val="22"/>
          <w:szCs w:val="22"/>
          <w:lang w:val="en-GB"/>
        </w:rPr>
        <w:t>One particular</w:t>
      </w:r>
      <w:r w:rsidR="0007291B">
        <w:rPr>
          <w:rFonts w:ascii="Arial" w:hAnsi="Arial" w:cs="Arial"/>
          <w:sz w:val="22"/>
          <w:szCs w:val="22"/>
          <w:lang w:val="en-GB"/>
        </w:rPr>
        <w:t xml:space="preserve"> </w:t>
      </w:r>
      <w:r w:rsidR="00DC7761">
        <w:rPr>
          <w:rFonts w:ascii="Arial" w:hAnsi="Arial" w:cs="Arial"/>
          <w:sz w:val="22"/>
          <w:szCs w:val="22"/>
          <w:lang w:val="en-GB"/>
        </w:rPr>
        <w:t>private equity</w:t>
      </w:r>
      <w:r w:rsidR="0007291B">
        <w:rPr>
          <w:rFonts w:ascii="Arial" w:hAnsi="Arial" w:cs="Arial"/>
          <w:sz w:val="22"/>
          <w:szCs w:val="22"/>
          <w:lang w:val="en-GB"/>
        </w:rPr>
        <w:t xml:space="preserve"> fund, </w:t>
      </w:r>
      <w:r w:rsidR="00DC7761">
        <w:rPr>
          <w:rFonts w:ascii="Arial" w:hAnsi="Arial" w:cs="Arial"/>
          <w:sz w:val="22"/>
          <w:szCs w:val="22"/>
          <w:lang w:val="en-GB"/>
        </w:rPr>
        <w:t>Forty Thieves</w:t>
      </w:r>
      <w:r w:rsidR="0007291B">
        <w:rPr>
          <w:rFonts w:ascii="Arial" w:hAnsi="Arial" w:cs="Arial"/>
          <w:sz w:val="22"/>
          <w:szCs w:val="22"/>
          <w:lang w:val="en-GB"/>
        </w:rPr>
        <w:t xml:space="preserve"> </w:t>
      </w:r>
      <w:r w:rsidR="00DC7761">
        <w:rPr>
          <w:rFonts w:ascii="Arial" w:hAnsi="Arial" w:cs="Arial"/>
          <w:sz w:val="22"/>
          <w:szCs w:val="22"/>
          <w:lang w:val="en-GB"/>
        </w:rPr>
        <w:t>Capital</w:t>
      </w:r>
      <w:r w:rsidR="0007291B">
        <w:rPr>
          <w:rFonts w:ascii="Arial" w:hAnsi="Arial" w:cs="Arial"/>
          <w:sz w:val="22"/>
          <w:szCs w:val="22"/>
          <w:lang w:val="en-GB"/>
        </w:rPr>
        <w:t xml:space="preserve">, is particularly interested in acquiring debt relating to </w:t>
      </w:r>
      <w:r w:rsidR="003D1EF3">
        <w:rPr>
          <w:rFonts w:ascii="Arial" w:hAnsi="Arial" w:cs="Arial"/>
          <w:sz w:val="22"/>
          <w:szCs w:val="22"/>
          <w:lang w:val="en-GB"/>
        </w:rPr>
        <w:t>the various projects across the oil and gas, renewables and water lines of business with a view to either enforcing over the security of the assets to realise value,</w:t>
      </w:r>
      <w:r>
        <w:rPr>
          <w:rFonts w:ascii="Arial" w:hAnsi="Arial" w:cs="Arial"/>
          <w:sz w:val="22"/>
          <w:szCs w:val="22"/>
          <w:lang w:val="en-GB"/>
        </w:rPr>
        <w:t xml:space="preserve"> </w:t>
      </w:r>
      <w:r w:rsidR="003D1EF3">
        <w:rPr>
          <w:rFonts w:ascii="Arial" w:hAnsi="Arial" w:cs="Arial"/>
          <w:sz w:val="22"/>
          <w:szCs w:val="22"/>
          <w:lang w:val="en-GB"/>
        </w:rPr>
        <w:t xml:space="preserve">or </w:t>
      </w:r>
      <w:r w:rsidR="00796810">
        <w:rPr>
          <w:rFonts w:ascii="Arial" w:hAnsi="Arial" w:cs="Arial"/>
          <w:sz w:val="22"/>
          <w:szCs w:val="22"/>
          <w:lang w:val="en-GB"/>
        </w:rPr>
        <w:t xml:space="preserve">to </w:t>
      </w:r>
      <w:r w:rsidR="003D1EF3">
        <w:rPr>
          <w:rFonts w:ascii="Arial" w:hAnsi="Arial" w:cs="Arial"/>
          <w:sz w:val="22"/>
          <w:szCs w:val="22"/>
          <w:lang w:val="en-GB"/>
        </w:rPr>
        <w:t>see if a loan</w:t>
      </w:r>
      <w:r w:rsidR="00CF6E14">
        <w:rPr>
          <w:rFonts w:ascii="Arial" w:hAnsi="Arial" w:cs="Arial"/>
          <w:sz w:val="22"/>
          <w:szCs w:val="22"/>
          <w:lang w:val="en-GB"/>
        </w:rPr>
        <w:t>-</w:t>
      </w:r>
      <w:r w:rsidR="003D1EF3">
        <w:rPr>
          <w:rFonts w:ascii="Arial" w:hAnsi="Arial" w:cs="Arial"/>
          <w:sz w:val="22"/>
          <w:szCs w:val="22"/>
          <w:lang w:val="en-GB"/>
        </w:rPr>
        <w:t>to</w:t>
      </w:r>
      <w:r w:rsidR="00CF6E14">
        <w:rPr>
          <w:rFonts w:ascii="Arial" w:hAnsi="Arial" w:cs="Arial"/>
          <w:sz w:val="22"/>
          <w:szCs w:val="22"/>
          <w:lang w:val="en-GB"/>
        </w:rPr>
        <w:t>-</w:t>
      </w:r>
      <w:r w:rsidR="003D1EF3">
        <w:rPr>
          <w:rFonts w:ascii="Arial" w:hAnsi="Arial" w:cs="Arial"/>
          <w:sz w:val="22"/>
          <w:szCs w:val="22"/>
          <w:lang w:val="en-GB"/>
        </w:rPr>
        <w:t>own</w:t>
      </w:r>
      <w:r w:rsidR="00E96FB1">
        <w:rPr>
          <w:rFonts w:ascii="Arial" w:hAnsi="Arial" w:cs="Arial"/>
          <w:sz w:val="22"/>
          <w:szCs w:val="22"/>
          <w:lang w:val="en-GB"/>
        </w:rPr>
        <w:t>-</w:t>
      </w:r>
      <w:r w:rsidR="003D1EF3">
        <w:rPr>
          <w:rFonts w:ascii="Arial" w:hAnsi="Arial" w:cs="Arial"/>
          <w:sz w:val="22"/>
          <w:szCs w:val="22"/>
          <w:lang w:val="en-GB"/>
        </w:rPr>
        <w:t>type structure can be successfully implemented.</w:t>
      </w:r>
      <w:r w:rsidR="00152FD4">
        <w:rPr>
          <w:rFonts w:ascii="Arial" w:hAnsi="Arial" w:cs="Arial"/>
          <w:sz w:val="22"/>
          <w:szCs w:val="22"/>
          <w:lang w:val="en-GB"/>
        </w:rPr>
        <w:t xml:space="preserve"> </w:t>
      </w:r>
      <w:r w:rsidR="00994947">
        <w:rPr>
          <w:rFonts w:ascii="Arial" w:hAnsi="Arial" w:cs="Arial"/>
          <w:sz w:val="22"/>
          <w:szCs w:val="22"/>
          <w:lang w:val="en-GB"/>
        </w:rPr>
        <w:t xml:space="preserve">Ideally, they would like to do this outside of </w:t>
      </w:r>
      <w:r>
        <w:rPr>
          <w:rFonts w:ascii="Arial" w:hAnsi="Arial" w:cs="Arial"/>
          <w:sz w:val="22"/>
          <w:szCs w:val="22"/>
          <w:lang w:val="en-GB"/>
        </w:rPr>
        <w:t xml:space="preserve">the judicial management proceedings. </w:t>
      </w:r>
    </w:p>
    <w:p w14:paraId="0541FA91" w14:textId="77777777" w:rsidR="00000774" w:rsidRDefault="00000774" w:rsidP="00B54D7D">
      <w:pPr>
        <w:jc w:val="both"/>
        <w:rPr>
          <w:rFonts w:ascii="Arial" w:hAnsi="Arial" w:cs="Arial"/>
          <w:sz w:val="22"/>
          <w:szCs w:val="22"/>
          <w:lang w:val="en-GB"/>
        </w:rPr>
      </w:pPr>
    </w:p>
    <w:p w14:paraId="4F3630A4" w14:textId="17B45BD5" w:rsidR="00B54D7D" w:rsidRDefault="0007291B" w:rsidP="00B54D7D">
      <w:pPr>
        <w:jc w:val="both"/>
        <w:rPr>
          <w:rFonts w:ascii="Arial" w:hAnsi="Arial" w:cs="Arial"/>
          <w:sz w:val="22"/>
          <w:szCs w:val="22"/>
          <w:lang w:val="en-GB"/>
        </w:rPr>
      </w:pPr>
      <w:r>
        <w:rPr>
          <w:rFonts w:ascii="Arial" w:hAnsi="Arial" w:cs="Arial"/>
          <w:sz w:val="22"/>
          <w:szCs w:val="22"/>
          <w:lang w:val="en-GB"/>
        </w:rPr>
        <w:t xml:space="preserve">To try and protect against this risk, </w:t>
      </w:r>
      <w:r w:rsidR="00235D7D">
        <w:rPr>
          <w:rFonts w:ascii="Arial" w:hAnsi="Arial" w:cs="Arial"/>
          <w:sz w:val="22"/>
          <w:szCs w:val="22"/>
          <w:lang w:val="en-GB"/>
        </w:rPr>
        <w:t>PEC</w:t>
      </w:r>
      <w:r>
        <w:rPr>
          <w:rFonts w:ascii="Arial" w:hAnsi="Arial" w:cs="Arial"/>
          <w:sz w:val="22"/>
          <w:szCs w:val="22"/>
          <w:lang w:val="en-GB"/>
        </w:rPr>
        <w:t xml:space="preserve"> has commenced local insolvency proceedings </w:t>
      </w:r>
      <w:r w:rsidR="00000774">
        <w:rPr>
          <w:rFonts w:ascii="Arial" w:hAnsi="Arial" w:cs="Arial"/>
          <w:sz w:val="22"/>
          <w:szCs w:val="22"/>
          <w:lang w:val="en-GB"/>
        </w:rPr>
        <w:t xml:space="preserve">in </w:t>
      </w:r>
      <w:r w:rsidR="00235D7D">
        <w:rPr>
          <w:rFonts w:ascii="Arial" w:hAnsi="Arial" w:cs="Arial"/>
          <w:sz w:val="22"/>
          <w:szCs w:val="22"/>
          <w:lang w:val="en-GB"/>
        </w:rPr>
        <w:t>Malaysia</w:t>
      </w:r>
      <w:r w:rsidR="00000774">
        <w:rPr>
          <w:rFonts w:ascii="Arial" w:hAnsi="Arial" w:cs="Arial"/>
          <w:sz w:val="22"/>
          <w:szCs w:val="22"/>
          <w:lang w:val="en-GB"/>
        </w:rPr>
        <w:t xml:space="preserve">, China and the United States to seek protection </w:t>
      </w:r>
      <w:r>
        <w:rPr>
          <w:rFonts w:ascii="Arial" w:hAnsi="Arial" w:cs="Arial"/>
          <w:sz w:val="22"/>
          <w:szCs w:val="22"/>
          <w:lang w:val="en-GB"/>
        </w:rPr>
        <w:t>for the c</w:t>
      </w:r>
      <w:r w:rsidR="00000774">
        <w:rPr>
          <w:rFonts w:ascii="Arial" w:hAnsi="Arial" w:cs="Arial"/>
          <w:sz w:val="22"/>
          <w:szCs w:val="22"/>
          <w:lang w:val="en-GB"/>
        </w:rPr>
        <w:t>ompanies that own assets in each of those jurisdictions.</w:t>
      </w:r>
    </w:p>
    <w:p w14:paraId="6CF4E49C" w14:textId="77777777" w:rsidR="003D1EF3" w:rsidRDefault="003D1EF3" w:rsidP="00B54D7D">
      <w:pPr>
        <w:jc w:val="both"/>
        <w:rPr>
          <w:rFonts w:ascii="Arial" w:hAnsi="Arial" w:cs="Arial"/>
          <w:sz w:val="22"/>
          <w:szCs w:val="22"/>
          <w:lang w:val="en-GB"/>
        </w:rPr>
      </w:pPr>
    </w:p>
    <w:p w14:paraId="09F31722" w14:textId="77777777" w:rsidR="00EC1A1D" w:rsidRPr="005C529D" w:rsidRDefault="0007291B" w:rsidP="00B54D7D">
      <w:pPr>
        <w:jc w:val="both"/>
        <w:rPr>
          <w:rFonts w:ascii="Arial" w:hAnsi="Arial" w:cs="Arial"/>
          <w:b/>
          <w:bCs/>
          <w:sz w:val="22"/>
          <w:szCs w:val="22"/>
          <w:lang w:val="en-GB"/>
        </w:rPr>
      </w:pPr>
      <w:r w:rsidRPr="005C529D">
        <w:rPr>
          <w:rFonts w:ascii="Arial" w:hAnsi="Arial" w:cs="Arial"/>
          <w:b/>
          <w:bCs/>
          <w:sz w:val="22"/>
          <w:szCs w:val="22"/>
          <w:u w:val="single"/>
          <w:lang w:val="en-GB"/>
        </w:rPr>
        <w:t xml:space="preserve">Taking these additional facts above into consideration, answer the </w:t>
      </w:r>
      <w:r w:rsidR="005C529D" w:rsidRPr="005C529D">
        <w:rPr>
          <w:rFonts w:ascii="Arial" w:hAnsi="Arial" w:cs="Arial"/>
          <w:b/>
          <w:bCs/>
          <w:sz w:val="22"/>
          <w:szCs w:val="22"/>
          <w:u w:val="single"/>
          <w:lang w:val="en-GB"/>
        </w:rPr>
        <w:t>questions below</w:t>
      </w:r>
      <w:r w:rsidR="005C529D" w:rsidRPr="005C529D">
        <w:rPr>
          <w:rFonts w:ascii="Arial" w:hAnsi="Arial" w:cs="Arial"/>
          <w:b/>
          <w:bCs/>
          <w:sz w:val="22"/>
          <w:szCs w:val="22"/>
          <w:lang w:val="en-GB"/>
        </w:rPr>
        <w:t>.</w:t>
      </w:r>
    </w:p>
    <w:p w14:paraId="4DCB1A8A" w14:textId="77777777" w:rsidR="00EC1A1D" w:rsidRDefault="00EC1A1D" w:rsidP="00B54D7D">
      <w:pPr>
        <w:jc w:val="both"/>
        <w:rPr>
          <w:rFonts w:ascii="Arial" w:hAnsi="Arial" w:cs="Arial"/>
          <w:sz w:val="22"/>
          <w:szCs w:val="22"/>
          <w:lang w:val="en-GB"/>
        </w:rPr>
      </w:pPr>
    </w:p>
    <w:p w14:paraId="03C5F9E7" w14:textId="77777777" w:rsidR="005C529D" w:rsidRPr="005C529D" w:rsidRDefault="0007291B" w:rsidP="00B54D7D">
      <w:pPr>
        <w:jc w:val="both"/>
        <w:rPr>
          <w:rFonts w:ascii="Arial" w:hAnsi="Arial" w:cs="Arial"/>
          <w:b/>
          <w:bCs/>
          <w:sz w:val="22"/>
          <w:szCs w:val="22"/>
          <w:lang w:val="en-GB"/>
        </w:rPr>
      </w:pPr>
      <w:r w:rsidRPr="00051719">
        <w:rPr>
          <w:rFonts w:ascii="Arial" w:hAnsi="Arial" w:cs="Arial"/>
          <w:b/>
          <w:bCs/>
          <w:sz w:val="22"/>
          <w:szCs w:val="22"/>
          <w:lang w:val="en-GB"/>
        </w:rPr>
        <w:t xml:space="preserve">Question 4.2.1 [maximum </w:t>
      </w:r>
      <w:r w:rsidR="00D0080B" w:rsidRPr="00051719">
        <w:rPr>
          <w:rFonts w:ascii="Arial" w:hAnsi="Arial" w:cs="Arial"/>
          <w:b/>
          <w:bCs/>
          <w:sz w:val="22"/>
          <w:szCs w:val="22"/>
          <w:lang w:val="en-GB"/>
        </w:rPr>
        <w:t>4</w:t>
      </w:r>
      <w:r w:rsidR="00051719">
        <w:rPr>
          <w:rFonts w:ascii="Arial" w:hAnsi="Arial" w:cs="Arial"/>
          <w:b/>
          <w:bCs/>
          <w:sz w:val="22"/>
          <w:szCs w:val="22"/>
          <w:lang w:val="en-GB"/>
        </w:rPr>
        <w:t xml:space="preserve"> </w:t>
      </w:r>
      <w:r w:rsidRPr="00051719">
        <w:rPr>
          <w:rFonts w:ascii="Arial" w:hAnsi="Arial" w:cs="Arial"/>
          <w:b/>
          <w:bCs/>
          <w:sz w:val="22"/>
          <w:szCs w:val="22"/>
          <w:lang w:val="en-GB"/>
        </w:rPr>
        <w:t>marks]</w:t>
      </w:r>
    </w:p>
    <w:p w14:paraId="5D10B742" w14:textId="77777777" w:rsidR="005C529D" w:rsidRDefault="005C529D" w:rsidP="00B54D7D">
      <w:pPr>
        <w:jc w:val="both"/>
        <w:rPr>
          <w:rFonts w:ascii="Arial" w:hAnsi="Arial" w:cs="Arial"/>
          <w:sz w:val="22"/>
          <w:szCs w:val="22"/>
          <w:lang w:val="en-GB"/>
        </w:rPr>
      </w:pPr>
    </w:p>
    <w:p w14:paraId="65533C7C" w14:textId="2C3342CD" w:rsidR="002311E3" w:rsidRDefault="0007291B" w:rsidP="00B54D7D">
      <w:pPr>
        <w:jc w:val="both"/>
        <w:rPr>
          <w:rFonts w:ascii="Arial" w:hAnsi="Arial" w:cs="Arial"/>
          <w:sz w:val="22"/>
          <w:szCs w:val="22"/>
          <w:lang w:val="en-GB"/>
        </w:rPr>
      </w:pPr>
      <w:r>
        <w:rPr>
          <w:rFonts w:ascii="Arial" w:hAnsi="Arial" w:cs="Arial"/>
          <w:sz w:val="22"/>
          <w:szCs w:val="22"/>
          <w:lang w:val="en-GB"/>
        </w:rPr>
        <w:lastRenderedPageBreak/>
        <w:t xml:space="preserve">Do the </w:t>
      </w:r>
      <w:r w:rsidR="00E45B05">
        <w:rPr>
          <w:rFonts w:ascii="Arial" w:hAnsi="Arial" w:cs="Arial"/>
          <w:sz w:val="22"/>
          <w:szCs w:val="22"/>
          <w:lang w:val="en-GB"/>
        </w:rPr>
        <w:t xml:space="preserve">judicial management </w:t>
      </w:r>
      <w:r>
        <w:rPr>
          <w:rFonts w:ascii="Arial" w:hAnsi="Arial" w:cs="Arial"/>
          <w:sz w:val="22"/>
          <w:szCs w:val="22"/>
          <w:lang w:val="en-GB"/>
        </w:rPr>
        <w:t>moratori</w:t>
      </w:r>
      <w:r w:rsidR="004D363D">
        <w:rPr>
          <w:rFonts w:ascii="Arial" w:hAnsi="Arial" w:cs="Arial"/>
          <w:sz w:val="22"/>
          <w:szCs w:val="22"/>
          <w:lang w:val="en-GB"/>
        </w:rPr>
        <w:t>a</w:t>
      </w:r>
      <w:r>
        <w:rPr>
          <w:rFonts w:ascii="Arial" w:hAnsi="Arial" w:cs="Arial"/>
          <w:sz w:val="22"/>
          <w:szCs w:val="22"/>
          <w:lang w:val="en-GB"/>
        </w:rPr>
        <w:t xml:space="preserve"> obtained by </w:t>
      </w:r>
      <w:r w:rsidR="00E45B05">
        <w:rPr>
          <w:rFonts w:ascii="Arial" w:hAnsi="Arial" w:cs="Arial"/>
          <w:sz w:val="22"/>
          <w:szCs w:val="22"/>
          <w:lang w:val="en-GB"/>
        </w:rPr>
        <w:t>PEC</w:t>
      </w:r>
      <w:r>
        <w:rPr>
          <w:rFonts w:ascii="Arial" w:hAnsi="Arial" w:cs="Arial"/>
          <w:sz w:val="22"/>
          <w:szCs w:val="22"/>
          <w:lang w:val="en-GB"/>
        </w:rPr>
        <w:t xml:space="preserve"> and its subsidiaries have extra</w:t>
      </w:r>
      <w:r w:rsidR="00EF4D30">
        <w:rPr>
          <w:rFonts w:ascii="Arial" w:hAnsi="Arial" w:cs="Arial"/>
          <w:sz w:val="22"/>
          <w:szCs w:val="22"/>
          <w:lang w:val="en-GB"/>
        </w:rPr>
        <w:t>-</w:t>
      </w:r>
      <w:r>
        <w:rPr>
          <w:rFonts w:ascii="Arial" w:hAnsi="Arial" w:cs="Arial"/>
          <w:sz w:val="22"/>
          <w:szCs w:val="22"/>
          <w:lang w:val="en-GB"/>
        </w:rPr>
        <w:t>territorial effect such that assets owned by the group in jurisdictions outside of Singapore will also be protected?</w:t>
      </w:r>
    </w:p>
    <w:p w14:paraId="45445543" w14:textId="77777777" w:rsidR="002311E3" w:rsidRDefault="002311E3" w:rsidP="00B54D7D">
      <w:pPr>
        <w:jc w:val="both"/>
        <w:rPr>
          <w:rFonts w:ascii="Arial" w:hAnsi="Arial" w:cs="Arial"/>
          <w:sz w:val="22"/>
          <w:szCs w:val="22"/>
          <w:lang w:val="en-GB"/>
        </w:rPr>
      </w:pPr>
    </w:p>
    <w:p w14:paraId="4C07DF43" w14:textId="77777777" w:rsidR="00D679BA" w:rsidRDefault="00D679BA" w:rsidP="00D679BA">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Normally, the moratorium arising from Judicial Management does not have extra-territorial effect; in other words, it is unlikely to be capable of barring foreign proceedings. </w:t>
      </w:r>
    </w:p>
    <w:p w14:paraId="650CE1EF" w14:textId="77777777" w:rsidR="00D679BA" w:rsidRDefault="00D679BA" w:rsidP="00D679BA">
      <w:pPr>
        <w:jc w:val="both"/>
        <w:rPr>
          <w:rFonts w:ascii="Arial" w:hAnsi="Arial" w:cs="Arial"/>
          <w:color w:val="000000" w:themeColor="text1"/>
          <w:sz w:val="22"/>
          <w:szCs w:val="22"/>
          <w:lang w:val="en-GB"/>
        </w:rPr>
      </w:pPr>
    </w:p>
    <w:p w14:paraId="3A446A70" w14:textId="323293B4" w:rsidR="00D679BA" w:rsidRDefault="00F76739" w:rsidP="00D679BA">
      <w:pPr>
        <w:jc w:val="both"/>
        <w:rPr>
          <w:rFonts w:ascii="Arial" w:hAnsi="Arial" w:cs="Arial"/>
          <w:color w:val="000000" w:themeColor="text1"/>
          <w:sz w:val="22"/>
          <w:szCs w:val="22"/>
          <w:lang w:val="en-GB"/>
        </w:rPr>
      </w:pPr>
      <w:r>
        <w:rPr>
          <w:rFonts w:ascii="Arial" w:hAnsi="Arial" w:cs="Arial"/>
          <w:color w:val="000000" w:themeColor="text1"/>
          <w:sz w:val="22"/>
          <w:szCs w:val="22"/>
          <w:lang w:val="en-GB"/>
        </w:rPr>
        <w:t>However, t</w:t>
      </w:r>
      <w:r w:rsidR="00D679BA">
        <w:rPr>
          <w:rFonts w:ascii="Arial" w:hAnsi="Arial" w:cs="Arial"/>
          <w:color w:val="000000" w:themeColor="text1"/>
          <w:sz w:val="22"/>
          <w:szCs w:val="22"/>
          <w:lang w:val="en-GB"/>
        </w:rPr>
        <w:t>he exception is the Enhanced Moratorium arising from section 211B of the Companies Act</w:t>
      </w:r>
      <w:r>
        <w:rPr>
          <w:rFonts w:ascii="Arial" w:hAnsi="Arial" w:cs="Arial"/>
          <w:color w:val="000000" w:themeColor="text1"/>
          <w:sz w:val="22"/>
          <w:szCs w:val="22"/>
          <w:lang w:val="en-GB"/>
        </w:rPr>
        <w:t xml:space="preserve"> </w:t>
      </w:r>
      <w:r w:rsidR="00D679BA">
        <w:rPr>
          <w:rFonts w:ascii="Arial" w:hAnsi="Arial" w:cs="Arial"/>
          <w:color w:val="000000" w:themeColor="text1"/>
          <w:sz w:val="22"/>
          <w:szCs w:val="22"/>
          <w:lang w:val="en-GB"/>
        </w:rPr>
        <w:t xml:space="preserve">may be ordered to apply to extraterritorial acts, so long as the person is in Singapore or within the jurisdiction of the Singapore High Court. This extraterritorial feature is a newer development arising from changes in Singapore's Companies (Amendment) Act 2017, which introduced various enhancements for debt restructuring purposes. The Court has taken a cautious approach to this, indicating that the extraterritorial feature would only be ordered for specific acts or acts of a specific party within the jurisdiction of the Singapore Courts. This feature was recently recognised in an English judgement: </w:t>
      </w:r>
      <w:r w:rsidR="00D679BA">
        <w:rPr>
          <w:rFonts w:ascii="Arial" w:hAnsi="Arial" w:cs="Arial"/>
          <w:i/>
          <w:iCs/>
          <w:color w:val="000000" w:themeColor="text1"/>
          <w:sz w:val="22"/>
          <w:szCs w:val="22"/>
          <w:lang w:val="en-GB"/>
        </w:rPr>
        <w:t>H &amp; CS Holdings Pte Ltd v. Glencore International AG [2019] EWHC (Ch).</w:t>
      </w:r>
    </w:p>
    <w:p w14:paraId="6DB411A4" w14:textId="00828AAA" w:rsidR="00D679BA" w:rsidRDefault="00D679BA" w:rsidP="00D679BA">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Hence, under the new section 211B(5), a moratorium under the new section 211B may be ordered to have extraterritorial </w:t>
      </w:r>
      <w:r>
        <w:rPr>
          <w:rFonts w:ascii="Arial" w:hAnsi="Arial" w:cs="Arial"/>
          <w:color w:val="000000" w:themeColor="text1"/>
          <w:sz w:val="22"/>
          <w:szCs w:val="22"/>
        </w:rPr>
        <w:t>effect for PES subsidiaries</w:t>
      </w:r>
      <w:r w:rsidR="005F22E3">
        <w:rPr>
          <w:rFonts w:ascii="Arial" w:hAnsi="Arial" w:cs="Arial"/>
          <w:color w:val="000000" w:themeColor="text1"/>
          <w:sz w:val="22"/>
          <w:szCs w:val="22"/>
        </w:rPr>
        <w:t xml:space="preserve">. </w:t>
      </w:r>
    </w:p>
    <w:p w14:paraId="170EF99F" w14:textId="77777777" w:rsidR="005C529D" w:rsidRPr="00EF4D30" w:rsidRDefault="005C529D" w:rsidP="00B54D7D">
      <w:pPr>
        <w:jc w:val="both"/>
        <w:rPr>
          <w:rFonts w:ascii="Arial" w:hAnsi="Arial" w:cs="Arial"/>
          <w:sz w:val="22"/>
          <w:szCs w:val="22"/>
          <w:lang w:val="en-GB"/>
        </w:rPr>
      </w:pPr>
    </w:p>
    <w:p w14:paraId="348B0169" w14:textId="77777777" w:rsidR="005C529D" w:rsidRPr="00EF4D30" w:rsidRDefault="005C529D" w:rsidP="00B54D7D">
      <w:pPr>
        <w:jc w:val="both"/>
        <w:rPr>
          <w:rFonts w:ascii="Arial" w:hAnsi="Arial" w:cs="Arial"/>
          <w:sz w:val="22"/>
          <w:szCs w:val="22"/>
          <w:lang w:val="en-GB"/>
        </w:rPr>
      </w:pPr>
    </w:p>
    <w:p w14:paraId="054A4E07" w14:textId="77777777" w:rsidR="005C529D" w:rsidRPr="005C529D" w:rsidRDefault="0007291B" w:rsidP="00B54D7D">
      <w:pPr>
        <w:jc w:val="both"/>
        <w:rPr>
          <w:rFonts w:ascii="Arial" w:hAnsi="Arial" w:cs="Arial"/>
          <w:b/>
          <w:bCs/>
          <w:sz w:val="22"/>
          <w:szCs w:val="22"/>
          <w:lang w:val="en-GB"/>
        </w:rPr>
      </w:pPr>
      <w:r w:rsidRPr="007C23F2">
        <w:rPr>
          <w:rFonts w:ascii="Arial" w:hAnsi="Arial" w:cs="Arial"/>
          <w:b/>
          <w:bCs/>
          <w:sz w:val="22"/>
          <w:szCs w:val="22"/>
          <w:lang w:val="en-GB"/>
        </w:rPr>
        <w:t xml:space="preserve">Question 4.2.2 [maximum </w:t>
      </w:r>
      <w:r w:rsidR="002311E3" w:rsidRPr="007C23F2">
        <w:rPr>
          <w:rFonts w:ascii="Arial" w:hAnsi="Arial" w:cs="Arial"/>
          <w:b/>
          <w:bCs/>
          <w:sz w:val="22"/>
          <w:szCs w:val="22"/>
          <w:lang w:val="en-GB"/>
        </w:rPr>
        <w:t>4</w:t>
      </w:r>
      <w:r w:rsidRPr="007C23F2">
        <w:rPr>
          <w:rFonts w:ascii="Arial" w:hAnsi="Arial" w:cs="Arial"/>
          <w:b/>
          <w:bCs/>
          <w:sz w:val="22"/>
          <w:szCs w:val="22"/>
          <w:lang w:val="en-GB"/>
        </w:rPr>
        <w:t xml:space="preserve"> marks]</w:t>
      </w:r>
    </w:p>
    <w:p w14:paraId="0EA004DD" w14:textId="77777777" w:rsidR="005C529D" w:rsidRDefault="005C529D" w:rsidP="00B54D7D">
      <w:pPr>
        <w:jc w:val="both"/>
        <w:rPr>
          <w:rFonts w:ascii="Arial" w:hAnsi="Arial" w:cs="Arial"/>
          <w:sz w:val="22"/>
          <w:szCs w:val="22"/>
          <w:lang w:val="en-GB"/>
        </w:rPr>
      </w:pPr>
    </w:p>
    <w:p w14:paraId="2BE74D1B" w14:textId="77777777" w:rsidR="00D0080B" w:rsidRDefault="0007291B" w:rsidP="00B54D7D">
      <w:pPr>
        <w:jc w:val="both"/>
        <w:rPr>
          <w:rFonts w:ascii="Arial" w:hAnsi="Arial" w:cs="Arial"/>
          <w:sz w:val="22"/>
          <w:szCs w:val="22"/>
          <w:lang w:val="en-GB"/>
        </w:rPr>
      </w:pPr>
      <w:r>
        <w:rPr>
          <w:rFonts w:ascii="Arial" w:hAnsi="Arial" w:cs="Arial"/>
          <w:sz w:val="22"/>
          <w:szCs w:val="22"/>
          <w:lang w:val="en-GB"/>
        </w:rPr>
        <w:t>What cross</w:t>
      </w:r>
      <w:r w:rsidR="007C23F2">
        <w:rPr>
          <w:rFonts w:ascii="Arial" w:hAnsi="Arial" w:cs="Arial"/>
          <w:sz w:val="22"/>
          <w:szCs w:val="22"/>
          <w:lang w:val="en-GB"/>
        </w:rPr>
        <w:t>-</w:t>
      </w:r>
      <w:r>
        <w:rPr>
          <w:rFonts w:ascii="Arial" w:hAnsi="Arial" w:cs="Arial"/>
          <w:sz w:val="22"/>
          <w:szCs w:val="22"/>
          <w:lang w:val="en-GB"/>
        </w:rPr>
        <w:t>border insolvency laws are available in Singapore to recognise foreign insolvency proceedings</w:t>
      </w:r>
      <w:r w:rsidR="00000774">
        <w:rPr>
          <w:rFonts w:ascii="Arial" w:hAnsi="Arial" w:cs="Arial"/>
          <w:sz w:val="22"/>
          <w:szCs w:val="22"/>
          <w:lang w:val="en-GB"/>
        </w:rPr>
        <w:t>?</w:t>
      </w:r>
      <w:r w:rsidR="004D7749">
        <w:rPr>
          <w:rFonts w:ascii="Arial" w:hAnsi="Arial" w:cs="Arial"/>
          <w:sz w:val="22"/>
          <w:szCs w:val="22"/>
          <w:lang w:val="en-GB"/>
        </w:rPr>
        <w:t xml:space="preserve"> </w:t>
      </w:r>
      <w:r w:rsidR="00000774">
        <w:rPr>
          <w:rFonts w:ascii="Arial" w:hAnsi="Arial" w:cs="Arial"/>
          <w:sz w:val="22"/>
          <w:szCs w:val="22"/>
          <w:lang w:val="en-GB"/>
        </w:rPr>
        <w:t xml:space="preserve">Explain the general requirements in order for a Singapore court </w:t>
      </w:r>
      <w:r w:rsidR="00EF4D30">
        <w:rPr>
          <w:rFonts w:ascii="Arial" w:hAnsi="Arial" w:cs="Arial"/>
          <w:sz w:val="22"/>
          <w:szCs w:val="22"/>
          <w:lang w:val="en-GB"/>
        </w:rPr>
        <w:t>t</w:t>
      </w:r>
      <w:r w:rsidR="00000774">
        <w:rPr>
          <w:rFonts w:ascii="Arial" w:hAnsi="Arial" w:cs="Arial"/>
          <w:sz w:val="22"/>
          <w:szCs w:val="22"/>
          <w:lang w:val="en-GB"/>
        </w:rPr>
        <w:t>o reco</w:t>
      </w:r>
      <w:r w:rsidR="007C23F2">
        <w:rPr>
          <w:rFonts w:ascii="Arial" w:hAnsi="Arial" w:cs="Arial"/>
          <w:sz w:val="22"/>
          <w:szCs w:val="22"/>
          <w:lang w:val="en-GB"/>
        </w:rPr>
        <w:t>gn</w:t>
      </w:r>
      <w:r w:rsidR="00000774">
        <w:rPr>
          <w:rFonts w:ascii="Arial" w:hAnsi="Arial" w:cs="Arial"/>
          <w:sz w:val="22"/>
          <w:szCs w:val="22"/>
          <w:lang w:val="en-GB"/>
        </w:rPr>
        <w:t xml:space="preserve">ise a foreign insolvency proceeding and what the effect </w:t>
      </w:r>
      <w:r w:rsidR="000D2BEC">
        <w:rPr>
          <w:rFonts w:ascii="Arial" w:hAnsi="Arial" w:cs="Arial"/>
          <w:sz w:val="22"/>
          <w:szCs w:val="22"/>
          <w:lang w:val="en-GB"/>
        </w:rPr>
        <w:t xml:space="preserve">will be </w:t>
      </w:r>
      <w:r w:rsidR="00000774">
        <w:rPr>
          <w:rFonts w:ascii="Arial" w:hAnsi="Arial" w:cs="Arial"/>
          <w:sz w:val="22"/>
          <w:szCs w:val="22"/>
          <w:lang w:val="en-GB"/>
        </w:rPr>
        <w:t>if the court were to do so.</w:t>
      </w:r>
    </w:p>
    <w:p w14:paraId="6385CED6" w14:textId="77777777" w:rsidR="00D0080B" w:rsidRDefault="00D0080B" w:rsidP="00B54D7D">
      <w:pPr>
        <w:jc w:val="both"/>
        <w:rPr>
          <w:rFonts w:ascii="Arial" w:hAnsi="Arial" w:cs="Arial"/>
          <w:sz w:val="22"/>
          <w:szCs w:val="22"/>
          <w:lang w:val="en-GB"/>
        </w:rPr>
      </w:pPr>
    </w:p>
    <w:p w14:paraId="02F30FF9" w14:textId="77777777" w:rsidR="0010010C" w:rsidRDefault="0010010C" w:rsidP="0010010C">
      <w:pPr>
        <w:autoSpaceDE w:val="0"/>
        <w:autoSpaceDN w:val="0"/>
        <w:adjustRightInd w:val="0"/>
        <w:jc w:val="both"/>
        <w:rPr>
          <w:rFonts w:ascii="Arial" w:hAnsi="Arial" w:cs="Arial"/>
          <w:sz w:val="22"/>
          <w:szCs w:val="22"/>
          <w:lang w:val="en-GB"/>
        </w:rPr>
      </w:pPr>
      <w:r>
        <w:rPr>
          <w:rFonts w:ascii="Arial" w:hAnsi="Arial" w:cs="Arial"/>
          <w:sz w:val="22"/>
          <w:szCs w:val="22"/>
          <w:lang w:val="en-GB"/>
        </w:rPr>
        <w:t>Previously, Judgement of foreign countries was recognised in Singapore or enforced through common law. There are two statutory registration regimes are in place in Singapore. The first regime is Reciprocal Enforcement of Commonwealth judgements which enables judgments from the United Kingdom and Australia, and certain specific commonwealth countries to be registered in Singapore High Court. The second regime is under the reciprocal enforcement of Foreign Judgement Act, under this only Hong Kong and SAR has been a gazetted country recognised for registration.  Singapore common law recognises certain foreign judgement if below mentions conditions are met:</w:t>
      </w:r>
    </w:p>
    <w:p w14:paraId="41B87030" w14:textId="77777777" w:rsidR="0010010C" w:rsidRDefault="0010010C" w:rsidP="0010010C">
      <w:pPr>
        <w:autoSpaceDE w:val="0"/>
        <w:autoSpaceDN w:val="0"/>
        <w:adjustRightInd w:val="0"/>
        <w:jc w:val="both"/>
        <w:rPr>
          <w:rFonts w:ascii="Arial" w:hAnsi="Arial" w:cs="Arial"/>
          <w:sz w:val="22"/>
          <w:szCs w:val="22"/>
          <w:lang w:val="en-GB"/>
        </w:rPr>
      </w:pPr>
    </w:p>
    <w:p w14:paraId="5BB4CC23" w14:textId="77777777" w:rsidR="0010010C" w:rsidRDefault="0010010C" w:rsidP="0010010C">
      <w:pPr>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Judgement should be of fixed sum of money from a foreign court of law and should be capable of recognition. </w:t>
      </w:r>
    </w:p>
    <w:p w14:paraId="42083E5F" w14:textId="77777777" w:rsidR="0010010C" w:rsidRDefault="0010010C" w:rsidP="0010010C">
      <w:pPr>
        <w:numPr>
          <w:ilvl w:val="0"/>
          <w:numId w:val="25"/>
        </w:numPr>
        <w:autoSpaceDE w:val="0"/>
        <w:autoSpaceDN w:val="0"/>
        <w:adjustRightInd w:val="0"/>
        <w:jc w:val="both"/>
        <w:rPr>
          <w:rFonts w:ascii="Arial" w:hAnsi="Arial" w:cs="Arial"/>
          <w:sz w:val="22"/>
          <w:szCs w:val="22"/>
          <w:lang w:val="en-GB"/>
        </w:rPr>
      </w:pPr>
      <w:r>
        <w:rPr>
          <w:rFonts w:ascii="Arial" w:hAnsi="Arial" w:cs="Arial"/>
          <w:sz w:val="22"/>
          <w:szCs w:val="22"/>
          <w:lang w:val="en-GB"/>
        </w:rPr>
        <w:t>It should be final and conclusive award by the law of the country and court must have international jurisdiction over parties.</w:t>
      </w:r>
    </w:p>
    <w:p w14:paraId="143CE6ED" w14:textId="77777777" w:rsidR="0014104B" w:rsidRDefault="0014104B" w:rsidP="0014104B">
      <w:pPr>
        <w:autoSpaceDE w:val="0"/>
        <w:autoSpaceDN w:val="0"/>
        <w:adjustRightInd w:val="0"/>
        <w:jc w:val="both"/>
        <w:rPr>
          <w:rFonts w:ascii="Arial" w:hAnsi="Arial" w:cs="Arial"/>
          <w:sz w:val="22"/>
          <w:szCs w:val="22"/>
          <w:lang w:val="en-GB"/>
        </w:rPr>
      </w:pPr>
    </w:p>
    <w:p w14:paraId="4808E265" w14:textId="20205A82" w:rsidR="0014104B" w:rsidRDefault="0014104B" w:rsidP="0014104B">
      <w:pPr>
        <w:autoSpaceDE w:val="0"/>
        <w:autoSpaceDN w:val="0"/>
        <w:adjustRightInd w:val="0"/>
        <w:jc w:val="both"/>
        <w:rPr>
          <w:rFonts w:ascii="Arial" w:hAnsi="Arial" w:cs="Arial"/>
          <w:sz w:val="22"/>
          <w:szCs w:val="22"/>
        </w:rPr>
      </w:pPr>
      <w:r>
        <w:rPr>
          <w:rFonts w:ascii="Arial" w:hAnsi="Arial" w:cs="Arial"/>
          <w:sz w:val="22"/>
          <w:szCs w:val="22"/>
          <w:lang w:val="en-GB"/>
        </w:rPr>
        <w:t xml:space="preserve">In a landmark decision of Re Zetta Jet Pte Ltd, </w:t>
      </w:r>
      <w:r>
        <w:rPr>
          <w:rFonts w:ascii="Arial" w:hAnsi="Arial" w:cs="Arial"/>
          <w:sz w:val="22"/>
          <w:szCs w:val="22"/>
        </w:rPr>
        <w:t xml:space="preserve">a number of issues were raised but Singapore High Court considered only two main areas: </w:t>
      </w:r>
    </w:p>
    <w:p w14:paraId="17E219C1" w14:textId="77777777" w:rsidR="0014104B" w:rsidRDefault="0014104B" w:rsidP="0014104B">
      <w:pPr>
        <w:numPr>
          <w:ilvl w:val="0"/>
          <w:numId w:val="27"/>
        </w:numPr>
        <w:autoSpaceDE w:val="0"/>
        <w:autoSpaceDN w:val="0"/>
        <w:adjustRightInd w:val="0"/>
        <w:jc w:val="both"/>
        <w:rPr>
          <w:rFonts w:ascii="Arial" w:hAnsi="Arial" w:cs="Arial"/>
          <w:sz w:val="22"/>
          <w:szCs w:val="22"/>
          <w:lang w:val="en-GB"/>
        </w:rPr>
      </w:pPr>
      <w:r>
        <w:rPr>
          <w:rFonts w:ascii="Arial" w:hAnsi="Arial" w:cs="Arial"/>
          <w:sz w:val="22"/>
          <w:szCs w:val="22"/>
        </w:rPr>
        <w:t>the determination of the COMI,</w:t>
      </w:r>
    </w:p>
    <w:p w14:paraId="5802CB84" w14:textId="77777777" w:rsidR="0014104B" w:rsidRDefault="0014104B" w:rsidP="0014104B">
      <w:pPr>
        <w:numPr>
          <w:ilvl w:val="0"/>
          <w:numId w:val="27"/>
        </w:numPr>
        <w:autoSpaceDE w:val="0"/>
        <w:autoSpaceDN w:val="0"/>
        <w:adjustRightInd w:val="0"/>
        <w:jc w:val="both"/>
        <w:rPr>
          <w:rFonts w:ascii="Arial" w:hAnsi="Arial" w:cs="Arial"/>
          <w:sz w:val="22"/>
          <w:szCs w:val="22"/>
          <w:lang w:val="en-GB"/>
        </w:rPr>
      </w:pPr>
      <w:r>
        <w:rPr>
          <w:rFonts w:ascii="Arial" w:hAnsi="Arial" w:cs="Arial"/>
          <w:sz w:val="22"/>
          <w:szCs w:val="22"/>
        </w:rPr>
        <w:t xml:space="preserve">whether recognition would be contrary to public policy. </w:t>
      </w:r>
    </w:p>
    <w:p w14:paraId="7E466EF3" w14:textId="77777777" w:rsidR="0014104B" w:rsidRDefault="0014104B" w:rsidP="0014104B">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It was held that the breach of Singapore injunction by the US trustee, the public policy exception was invoked, as to allows recognition would undermine the administration of justice in Singapore. </w:t>
      </w:r>
    </w:p>
    <w:p w14:paraId="514D8C51" w14:textId="77777777" w:rsidR="0010010C" w:rsidRDefault="0010010C" w:rsidP="0010010C">
      <w:pPr>
        <w:autoSpaceDE w:val="0"/>
        <w:autoSpaceDN w:val="0"/>
        <w:adjustRightInd w:val="0"/>
        <w:jc w:val="both"/>
        <w:rPr>
          <w:rFonts w:ascii="Arial" w:hAnsi="Arial" w:cs="Arial"/>
          <w:sz w:val="22"/>
          <w:szCs w:val="22"/>
          <w:lang w:val="en-GB"/>
        </w:rPr>
      </w:pPr>
    </w:p>
    <w:p w14:paraId="270CD60B" w14:textId="77777777" w:rsidR="0010010C" w:rsidRDefault="0010010C" w:rsidP="0010010C">
      <w:pPr>
        <w:autoSpaceDE w:val="0"/>
        <w:autoSpaceDN w:val="0"/>
        <w:adjustRightInd w:val="0"/>
        <w:jc w:val="both"/>
        <w:rPr>
          <w:rFonts w:ascii="Arial" w:hAnsi="Arial" w:cs="Arial"/>
          <w:sz w:val="22"/>
          <w:szCs w:val="22"/>
        </w:rPr>
      </w:pPr>
      <w:r>
        <w:rPr>
          <w:rFonts w:ascii="Arial" w:hAnsi="Arial" w:cs="Arial"/>
          <w:sz w:val="22"/>
          <w:szCs w:val="22"/>
        </w:rPr>
        <w:t>Recently, the UNCITRAL Model Law on Cross Border Insolvency was adopted with certain modifications in Singapore under new section 354B(1). There are few defenses which are available to resist recognition and enforcement of foreign insolvency proceeding. There are certain defenses available to resist recognition and enforcement of foreign awards.</w:t>
      </w:r>
    </w:p>
    <w:p w14:paraId="327C3CF0" w14:textId="77777777" w:rsidR="0010010C" w:rsidRDefault="0010010C" w:rsidP="0010010C">
      <w:pPr>
        <w:autoSpaceDE w:val="0"/>
        <w:autoSpaceDN w:val="0"/>
        <w:adjustRightInd w:val="0"/>
        <w:jc w:val="both"/>
        <w:rPr>
          <w:rFonts w:ascii="Arial" w:hAnsi="Arial" w:cs="Arial"/>
          <w:sz w:val="22"/>
          <w:szCs w:val="22"/>
        </w:rPr>
      </w:pPr>
      <w:r>
        <w:rPr>
          <w:rFonts w:ascii="Arial" w:hAnsi="Arial" w:cs="Arial"/>
          <w:sz w:val="22"/>
          <w:szCs w:val="22"/>
        </w:rPr>
        <w:t xml:space="preserve"> </w:t>
      </w:r>
    </w:p>
    <w:p w14:paraId="633A8DF7" w14:textId="77777777" w:rsidR="0010010C" w:rsidRDefault="0010010C" w:rsidP="0010010C">
      <w:pPr>
        <w:numPr>
          <w:ilvl w:val="0"/>
          <w:numId w:val="26"/>
        </w:numPr>
        <w:autoSpaceDE w:val="0"/>
        <w:autoSpaceDN w:val="0"/>
        <w:adjustRightInd w:val="0"/>
        <w:jc w:val="both"/>
        <w:rPr>
          <w:rFonts w:ascii="Arial" w:hAnsi="Arial" w:cs="Arial"/>
          <w:sz w:val="22"/>
          <w:szCs w:val="22"/>
          <w:lang w:val="en-GB"/>
        </w:rPr>
      </w:pPr>
      <w:r>
        <w:rPr>
          <w:rFonts w:ascii="Arial" w:hAnsi="Arial" w:cs="Arial"/>
          <w:sz w:val="22"/>
          <w:szCs w:val="22"/>
        </w:rPr>
        <w:t xml:space="preserve">Under Article 17 of the Singapore Model Law, the Court must grant recognition if the various requirements are met. A foreign proceeding is recognized as a foreign main </w:t>
      </w:r>
      <w:r>
        <w:rPr>
          <w:rFonts w:ascii="Arial" w:hAnsi="Arial" w:cs="Arial"/>
          <w:sz w:val="22"/>
          <w:szCs w:val="22"/>
        </w:rPr>
        <w:lastRenderedPageBreak/>
        <w:t>proceeding, if the foreign proceeding takes place where the debtor has its COMI, or as a foreign nonmain proceeding where the debtor has an establishment there, as defined under Article 2(d). Whether or not the foreign proceeding was properly commenced is not relevant to the granting of recognition.</w:t>
      </w:r>
    </w:p>
    <w:p w14:paraId="58652135" w14:textId="77777777" w:rsidR="0010010C" w:rsidRDefault="0010010C" w:rsidP="0010010C">
      <w:pPr>
        <w:numPr>
          <w:ilvl w:val="0"/>
          <w:numId w:val="26"/>
        </w:numPr>
        <w:autoSpaceDE w:val="0"/>
        <w:autoSpaceDN w:val="0"/>
        <w:adjustRightInd w:val="0"/>
        <w:jc w:val="both"/>
        <w:rPr>
          <w:rFonts w:ascii="Arial" w:hAnsi="Arial" w:cs="Arial"/>
          <w:sz w:val="22"/>
          <w:szCs w:val="22"/>
          <w:lang w:val="en-GB"/>
        </w:rPr>
      </w:pPr>
      <w:r>
        <w:rPr>
          <w:rFonts w:ascii="Arial" w:hAnsi="Arial" w:cs="Arial"/>
          <w:sz w:val="22"/>
          <w:szCs w:val="22"/>
        </w:rPr>
        <w:t>Under Article 6 of the Singapore Model Law, to which Article 17 is subject, a Singapore court may refuse recognition if such recognition would be “contrary” to the public policy of Singapore. Article 6 of the Model Law on the other hand requires recognition to be “manifestly contrary” to public policy for it to be refused.</w:t>
      </w:r>
    </w:p>
    <w:p w14:paraId="3AB7DE59" w14:textId="77777777" w:rsidR="0010010C" w:rsidRDefault="0010010C" w:rsidP="0010010C">
      <w:pPr>
        <w:autoSpaceDE w:val="0"/>
        <w:autoSpaceDN w:val="0"/>
        <w:adjustRightInd w:val="0"/>
        <w:jc w:val="both"/>
        <w:rPr>
          <w:rFonts w:ascii="Arial" w:hAnsi="Arial" w:cs="Arial"/>
          <w:sz w:val="22"/>
          <w:szCs w:val="22"/>
          <w:lang w:val="en-GB"/>
        </w:rPr>
      </w:pPr>
    </w:p>
    <w:p w14:paraId="4721A448" w14:textId="77777777" w:rsidR="002D3473" w:rsidRDefault="002D3473" w:rsidP="00087F21">
      <w:pPr>
        <w:autoSpaceDE w:val="0"/>
        <w:autoSpaceDN w:val="0"/>
        <w:adjustRightInd w:val="0"/>
        <w:jc w:val="both"/>
        <w:rPr>
          <w:rFonts w:ascii="Arial" w:hAnsi="Arial" w:cs="Arial"/>
          <w:sz w:val="22"/>
          <w:szCs w:val="22"/>
          <w:lang w:val="en-GB"/>
        </w:rPr>
      </w:pPr>
    </w:p>
    <w:p w14:paraId="70A82A0E" w14:textId="77777777" w:rsidR="000D2BEC" w:rsidRDefault="000D2BEC" w:rsidP="00087F21">
      <w:pPr>
        <w:autoSpaceDE w:val="0"/>
        <w:autoSpaceDN w:val="0"/>
        <w:adjustRightInd w:val="0"/>
        <w:jc w:val="both"/>
        <w:rPr>
          <w:rFonts w:ascii="Arial" w:hAnsi="Arial" w:cs="Arial"/>
          <w:sz w:val="22"/>
          <w:szCs w:val="22"/>
          <w:lang w:val="en-GB"/>
        </w:rPr>
      </w:pPr>
    </w:p>
    <w:p w14:paraId="7E625B5C" w14:textId="77777777" w:rsidR="000D2BEC" w:rsidRDefault="000D2BEC" w:rsidP="00087F21">
      <w:pPr>
        <w:autoSpaceDE w:val="0"/>
        <w:autoSpaceDN w:val="0"/>
        <w:adjustRightInd w:val="0"/>
        <w:jc w:val="both"/>
        <w:rPr>
          <w:rFonts w:ascii="Arial" w:hAnsi="Arial" w:cs="Arial"/>
          <w:sz w:val="22"/>
          <w:szCs w:val="22"/>
          <w:lang w:val="en-GB"/>
        </w:rPr>
      </w:pPr>
    </w:p>
    <w:p w14:paraId="1E57D76D" w14:textId="77777777" w:rsidR="000D2BEC" w:rsidRPr="002A37BB" w:rsidRDefault="000D2BEC" w:rsidP="00087F21">
      <w:pPr>
        <w:autoSpaceDE w:val="0"/>
        <w:autoSpaceDN w:val="0"/>
        <w:adjustRightInd w:val="0"/>
        <w:jc w:val="both"/>
        <w:rPr>
          <w:rFonts w:ascii="Arial" w:hAnsi="Arial" w:cs="Arial"/>
          <w:sz w:val="22"/>
          <w:szCs w:val="22"/>
          <w:lang w:val="en-GB"/>
        </w:rPr>
      </w:pPr>
    </w:p>
    <w:bookmarkEnd w:id="0"/>
    <w:p w14:paraId="2AF045F1" w14:textId="77777777" w:rsidR="00B77F46" w:rsidRPr="004E3A6B" w:rsidRDefault="0007291B"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0"/>
      <w:footerReference w:type="defaul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D5CA1" w14:textId="77777777" w:rsidR="0035670A" w:rsidRDefault="0035670A">
      <w:r>
        <w:separator/>
      </w:r>
    </w:p>
  </w:endnote>
  <w:endnote w:type="continuationSeparator" w:id="0">
    <w:p w14:paraId="7565DFE2" w14:textId="77777777" w:rsidR="0035670A" w:rsidRDefault="0035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71CA4A86" w14:textId="77777777" w:rsidR="00E450A4" w:rsidRPr="00FC7B47" w:rsidRDefault="0007291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899F0F6" w14:textId="77777777" w:rsidR="00E450A4" w:rsidRPr="00FC7B47" w:rsidRDefault="0007291B"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6DF9108" w14:textId="77777777" w:rsidR="009B4976" w:rsidRPr="009B4976" w:rsidRDefault="0007291B"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Pr="0010593A">
          <w:rPr>
            <w:rStyle w:val="PageNumber"/>
            <w:rFonts w:ascii="Arial" w:hAnsi="Arial" w:cs="Arial"/>
            <w:b/>
            <w:bCs/>
            <w:sz w:val="18"/>
            <w:szCs w:val="18"/>
          </w:rPr>
          <w:t>8</w:t>
        </w:r>
        <w:r w:rsidRPr="0010593A">
          <w:rPr>
            <w:rStyle w:val="PageNumber"/>
            <w:rFonts w:ascii="Arial" w:hAnsi="Arial" w:cs="Arial"/>
            <w:b/>
            <w:bCs/>
            <w:sz w:val="18"/>
            <w:szCs w:val="18"/>
          </w:rPr>
          <w:fldChar w:fldCharType="end"/>
        </w:r>
      </w:p>
    </w:sdtContent>
  </w:sdt>
  <w:p w14:paraId="09CBBDDF" w14:textId="1F07CBC9" w:rsidR="00241FA3" w:rsidRPr="009B4976" w:rsidRDefault="007A558B" w:rsidP="009B4976">
    <w:pPr>
      <w:pStyle w:val="Footer"/>
      <w:ind w:right="360"/>
      <w:rPr>
        <w:rFonts w:ascii="Arial" w:hAnsi="Arial" w:cs="Arial"/>
        <w:sz w:val="18"/>
        <w:szCs w:val="18"/>
        <w:lang w:val="en-GB"/>
      </w:rPr>
    </w:pPr>
    <w:r w:rsidRPr="007A558B">
      <w:rPr>
        <w:rFonts w:ascii="Arial" w:hAnsi="Arial" w:cs="Arial"/>
        <w:sz w:val="18"/>
        <w:szCs w:val="18"/>
        <w:lang w:val="en-GB"/>
      </w:rPr>
      <w:t>202021IFU-</w:t>
    </w:r>
    <w:r>
      <w:rPr>
        <w:rFonts w:ascii="Arial" w:hAnsi="Arial" w:cs="Arial"/>
        <w:sz w:val="18"/>
        <w:szCs w:val="18"/>
        <w:lang w:val="en-GB"/>
      </w:rPr>
      <w:t>410</w:t>
    </w:r>
    <w:r w:rsidR="0007291B" w:rsidRPr="009B4976">
      <w:rPr>
        <w:rFonts w:ascii="Arial" w:hAnsi="Arial" w:cs="Arial"/>
        <w:sz w:val="18"/>
        <w:szCs w:val="18"/>
        <w:lang w:val="en-GB"/>
      </w:rPr>
      <w:t>.assessment</w:t>
    </w:r>
    <w:r w:rsidR="00CF6E14">
      <w:rPr>
        <w:rFonts w:ascii="Arial" w:hAnsi="Arial" w:cs="Arial"/>
        <w:sz w:val="18"/>
        <w:szCs w:val="18"/>
        <w:lang w:val="en-GB"/>
      </w:rPr>
      <w:t>8E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AEFF" w14:textId="77777777" w:rsidR="0035670A" w:rsidRDefault="0035670A">
      <w:r>
        <w:separator/>
      </w:r>
    </w:p>
  </w:footnote>
  <w:footnote w:type="continuationSeparator" w:id="0">
    <w:p w14:paraId="6346532B" w14:textId="77777777" w:rsidR="0035670A" w:rsidRDefault="0035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5EAE"/>
    <w:multiLevelType w:val="hybridMultilevel"/>
    <w:tmpl w:val="FBC8F04C"/>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B3CFE"/>
    <w:multiLevelType w:val="hybridMultilevel"/>
    <w:tmpl w:val="242C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1D27"/>
    <w:multiLevelType w:val="hybridMultilevel"/>
    <w:tmpl w:val="1120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F2430"/>
    <w:multiLevelType w:val="hybridMultilevel"/>
    <w:tmpl w:val="023C15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23C9F"/>
    <w:multiLevelType w:val="hybridMultilevel"/>
    <w:tmpl w:val="E01AE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E00584"/>
    <w:multiLevelType w:val="hybridMultilevel"/>
    <w:tmpl w:val="4078A03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70E7C"/>
    <w:multiLevelType w:val="hybridMultilevel"/>
    <w:tmpl w:val="DB248490"/>
    <w:lvl w:ilvl="0" w:tplc="DDC6A722">
      <w:start w:val="1"/>
      <w:numFmt w:val="lowerLetter"/>
      <w:lvlText w:val="(%1)"/>
      <w:lvlJc w:val="left"/>
      <w:pPr>
        <w:ind w:left="720" w:hanging="360"/>
      </w:pPr>
      <w:rPr>
        <w:rFonts w:hint="default"/>
      </w:rPr>
    </w:lvl>
    <w:lvl w:ilvl="1" w:tplc="320EA476" w:tentative="1">
      <w:start w:val="1"/>
      <w:numFmt w:val="lowerLetter"/>
      <w:lvlText w:val="%2."/>
      <w:lvlJc w:val="left"/>
      <w:pPr>
        <w:ind w:left="1440" w:hanging="360"/>
      </w:pPr>
    </w:lvl>
    <w:lvl w:ilvl="2" w:tplc="F474C616" w:tentative="1">
      <w:start w:val="1"/>
      <w:numFmt w:val="lowerRoman"/>
      <w:lvlText w:val="%3."/>
      <w:lvlJc w:val="right"/>
      <w:pPr>
        <w:ind w:left="2160" w:hanging="180"/>
      </w:pPr>
    </w:lvl>
    <w:lvl w:ilvl="3" w:tplc="D4344A04" w:tentative="1">
      <w:start w:val="1"/>
      <w:numFmt w:val="decimal"/>
      <w:lvlText w:val="%4."/>
      <w:lvlJc w:val="left"/>
      <w:pPr>
        <w:ind w:left="2880" w:hanging="360"/>
      </w:pPr>
    </w:lvl>
    <w:lvl w:ilvl="4" w:tplc="E3E2F970" w:tentative="1">
      <w:start w:val="1"/>
      <w:numFmt w:val="lowerLetter"/>
      <w:lvlText w:val="%5."/>
      <w:lvlJc w:val="left"/>
      <w:pPr>
        <w:ind w:left="3600" w:hanging="360"/>
      </w:pPr>
    </w:lvl>
    <w:lvl w:ilvl="5" w:tplc="E87C6524" w:tentative="1">
      <w:start w:val="1"/>
      <w:numFmt w:val="lowerRoman"/>
      <w:lvlText w:val="%6."/>
      <w:lvlJc w:val="right"/>
      <w:pPr>
        <w:ind w:left="4320" w:hanging="180"/>
      </w:pPr>
    </w:lvl>
    <w:lvl w:ilvl="6" w:tplc="786AEDC2" w:tentative="1">
      <w:start w:val="1"/>
      <w:numFmt w:val="decimal"/>
      <w:lvlText w:val="%7."/>
      <w:lvlJc w:val="left"/>
      <w:pPr>
        <w:ind w:left="5040" w:hanging="360"/>
      </w:pPr>
    </w:lvl>
    <w:lvl w:ilvl="7" w:tplc="E04AFB62" w:tentative="1">
      <w:start w:val="1"/>
      <w:numFmt w:val="lowerLetter"/>
      <w:lvlText w:val="%8."/>
      <w:lvlJc w:val="left"/>
      <w:pPr>
        <w:ind w:left="5760" w:hanging="360"/>
      </w:pPr>
    </w:lvl>
    <w:lvl w:ilvl="8" w:tplc="95B231AC" w:tentative="1">
      <w:start w:val="1"/>
      <w:numFmt w:val="lowerRoman"/>
      <w:lvlText w:val="%9."/>
      <w:lvlJc w:val="right"/>
      <w:pPr>
        <w:ind w:left="6480" w:hanging="180"/>
      </w:pPr>
    </w:lvl>
  </w:abstractNum>
  <w:abstractNum w:abstractNumId="7" w15:restartNumberingAfterBreak="0">
    <w:nsid w:val="1E445F93"/>
    <w:multiLevelType w:val="multilevel"/>
    <w:tmpl w:val="A2485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0E3295"/>
    <w:multiLevelType w:val="hybridMultilevel"/>
    <w:tmpl w:val="62386DF8"/>
    <w:lvl w:ilvl="0" w:tplc="4934BF9C">
      <w:start w:val="1"/>
      <w:numFmt w:val="bullet"/>
      <w:lvlText w:val=""/>
      <w:lvlJc w:val="left"/>
      <w:pPr>
        <w:ind w:left="840" w:hanging="360"/>
      </w:pPr>
      <w:rPr>
        <w:rFonts w:ascii="Symbol" w:hAnsi="Symbol" w:hint="default"/>
      </w:rPr>
    </w:lvl>
    <w:lvl w:ilvl="1" w:tplc="3E162D5A" w:tentative="1">
      <w:start w:val="1"/>
      <w:numFmt w:val="bullet"/>
      <w:lvlText w:val="o"/>
      <w:lvlJc w:val="left"/>
      <w:pPr>
        <w:ind w:left="1560" w:hanging="360"/>
      </w:pPr>
      <w:rPr>
        <w:rFonts w:ascii="Courier New" w:hAnsi="Courier New" w:cs="Courier New" w:hint="default"/>
      </w:rPr>
    </w:lvl>
    <w:lvl w:ilvl="2" w:tplc="2C24E302" w:tentative="1">
      <w:start w:val="1"/>
      <w:numFmt w:val="bullet"/>
      <w:lvlText w:val=""/>
      <w:lvlJc w:val="left"/>
      <w:pPr>
        <w:ind w:left="2280" w:hanging="360"/>
      </w:pPr>
      <w:rPr>
        <w:rFonts w:ascii="Wingdings" w:hAnsi="Wingdings" w:hint="default"/>
      </w:rPr>
    </w:lvl>
    <w:lvl w:ilvl="3" w:tplc="82DE0C8E" w:tentative="1">
      <w:start w:val="1"/>
      <w:numFmt w:val="bullet"/>
      <w:lvlText w:val=""/>
      <w:lvlJc w:val="left"/>
      <w:pPr>
        <w:ind w:left="3000" w:hanging="360"/>
      </w:pPr>
      <w:rPr>
        <w:rFonts w:ascii="Symbol" w:hAnsi="Symbol" w:hint="default"/>
      </w:rPr>
    </w:lvl>
    <w:lvl w:ilvl="4" w:tplc="E9563534" w:tentative="1">
      <w:start w:val="1"/>
      <w:numFmt w:val="bullet"/>
      <w:lvlText w:val="o"/>
      <w:lvlJc w:val="left"/>
      <w:pPr>
        <w:ind w:left="3720" w:hanging="360"/>
      </w:pPr>
      <w:rPr>
        <w:rFonts w:ascii="Courier New" w:hAnsi="Courier New" w:cs="Courier New" w:hint="default"/>
      </w:rPr>
    </w:lvl>
    <w:lvl w:ilvl="5" w:tplc="99DC03C0" w:tentative="1">
      <w:start w:val="1"/>
      <w:numFmt w:val="bullet"/>
      <w:lvlText w:val=""/>
      <w:lvlJc w:val="left"/>
      <w:pPr>
        <w:ind w:left="4440" w:hanging="360"/>
      </w:pPr>
      <w:rPr>
        <w:rFonts w:ascii="Wingdings" w:hAnsi="Wingdings" w:hint="default"/>
      </w:rPr>
    </w:lvl>
    <w:lvl w:ilvl="6" w:tplc="56EE5EA2" w:tentative="1">
      <w:start w:val="1"/>
      <w:numFmt w:val="bullet"/>
      <w:lvlText w:val=""/>
      <w:lvlJc w:val="left"/>
      <w:pPr>
        <w:ind w:left="5160" w:hanging="360"/>
      </w:pPr>
      <w:rPr>
        <w:rFonts w:ascii="Symbol" w:hAnsi="Symbol" w:hint="default"/>
      </w:rPr>
    </w:lvl>
    <w:lvl w:ilvl="7" w:tplc="D0DACA18" w:tentative="1">
      <w:start w:val="1"/>
      <w:numFmt w:val="bullet"/>
      <w:lvlText w:val="o"/>
      <w:lvlJc w:val="left"/>
      <w:pPr>
        <w:ind w:left="5880" w:hanging="360"/>
      </w:pPr>
      <w:rPr>
        <w:rFonts w:ascii="Courier New" w:hAnsi="Courier New" w:cs="Courier New" w:hint="default"/>
      </w:rPr>
    </w:lvl>
    <w:lvl w:ilvl="8" w:tplc="A54037A2" w:tentative="1">
      <w:start w:val="1"/>
      <w:numFmt w:val="bullet"/>
      <w:lvlText w:val=""/>
      <w:lvlJc w:val="left"/>
      <w:pPr>
        <w:ind w:left="6600" w:hanging="360"/>
      </w:pPr>
      <w:rPr>
        <w:rFonts w:ascii="Wingdings" w:hAnsi="Wingdings" w:hint="default"/>
      </w:rPr>
    </w:lvl>
  </w:abstractNum>
  <w:abstractNum w:abstractNumId="9" w15:restartNumberingAfterBreak="0">
    <w:nsid w:val="29C658A2"/>
    <w:multiLevelType w:val="hybridMultilevel"/>
    <w:tmpl w:val="072A29E8"/>
    <w:lvl w:ilvl="0" w:tplc="EC5657B6">
      <w:start w:val="1"/>
      <w:numFmt w:val="bullet"/>
      <w:lvlText w:val=""/>
      <w:lvlJc w:val="left"/>
      <w:pPr>
        <w:ind w:left="720" w:hanging="360"/>
      </w:pPr>
      <w:rPr>
        <w:rFonts w:ascii="Symbol" w:hAnsi="Symbol" w:hint="default"/>
      </w:rPr>
    </w:lvl>
    <w:lvl w:ilvl="1" w:tplc="6C9053DA" w:tentative="1">
      <w:start w:val="1"/>
      <w:numFmt w:val="bullet"/>
      <w:lvlText w:val="o"/>
      <w:lvlJc w:val="left"/>
      <w:pPr>
        <w:ind w:left="1440" w:hanging="360"/>
      </w:pPr>
      <w:rPr>
        <w:rFonts w:ascii="Courier New" w:hAnsi="Courier New" w:cs="Courier New" w:hint="default"/>
      </w:rPr>
    </w:lvl>
    <w:lvl w:ilvl="2" w:tplc="362C9D34" w:tentative="1">
      <w:start w:val="1"/>
      <w:numFmt w:val="bullet"/>
      <w:lvlText w:val=""/>
      <w:lvlJc w:val="left"/>
      <w:pPr>
        <w:ind w:left="2160" w:hanging="360"/>
      </w:pPr>
      <w:rPr>
        <w:rFonts w:ascii="Wingdings" w:hAnsi="Wingdings" w:hint="default"/>
      </w:rPr>
    </w:lvl>
    <w:lvl w:ilvl="3" w:tplc="40B84FD8" w:tentative="1">
      <w:start w:val="1"/>
      <w:numFmt w:val="bullet"/>
      <w:lvlText w:val=""/>
      <w:lvlJc w:val="left"/>
      <w:pPr>
        <w:ind w:left="2880" w:hanging="360"/>
      </w:pPr>
      <w:rPr>
        <w:rFonts w:ascii="Symbol" w:hAnsi="Symbol" w:hint="default"/>
      </w:rPr>
    </w:lvl>
    <w:lvl w:ilvl="4" w:tplc="67D8544A" w:tentative="1">
      <w:start w:val="1"/>
      <w:numFmt w:val="bullet"/>
      <w:lvlText w:val="o"/>
      <w:lvlJc w:val="left"/>
      <w:pPr>
        <w:ind w:left="3600" w:hanging="360"/>
      </w:pPr>
      <w:rPr>
        <w:rFonts w:ascii="Courier New" w:hAnsi="Courier New" w:cs="Courier New" w:hint="default"/>
      </w:rPr>
    </w:lvl>
    <w:lvl w:ilvl="5" w:tplc="ED64CA6E" w:tentative="1">
      <w:start w:val="1"/>
      <w:numFmt w:val="bullet"/>
      <w:lvlText w:val=""/>
      <w:lvlJc w:val="left"/>
      <w:pPr>
        <w:ind w:left="4320" w:hanging="360"/>
      </w:pPr>
      <w:rPr>
        <w:rFonts w:ascii="Wingdings" w:hAnsi="Wingdings" w:hint="default"/>
      </w:rPr>
    </w:lvl>
    <w:lvl w:ilvl="6" w:tplc="89F63CB0" w:tentative="1">
      <w:start w:val="1"/>
      <w:numFmt w:val="bullet"/>
      <w:lvlText w:val=""/>
      <w:lvlJc w:val="left"/>
      <w:pPr>
        <w:ind w:left="5040" w:hanging="360"/>
      </w:pPr>
      <w:rPr>
        <w:rFonts w:ascii="Symbol" w:hAnsi="Symbol" w:hint="default"/>
      </w:rPr>
    </w:lvl>
    <w:lvl w:ilvl="7" w:tplc="7DE4F39C" w:tentative="1">
      <w:start w:val="1"/>
      <w:numFmt w:val="bullet"/>
      <w:lvlText w:val="o"/>
      <w:lvlJc w:val="left"/>
      <w:pPr>
        <w:ind w:left="5760" w:hanging="360"/>
      </w:pPr>
      <w:rPr>
        <w:rFonts w:ascii="Courier New" w:hAnsi="Courier New" w:cs="Courier New" w:hint="default"/>
      </w:rPr>
    </w:lvl>
    <w:lvl w:ilvl="8" w:tplc="3DD0BBF0" w:tentative="1">
      <w:start w:val="1"/>
      <w:numFmt w:val="bullet"/>
      <w:lvlText w:val=""/>
      <w:lvlJc w:val="left"/>
      <w:pPr>
        <w:ind w:left="6480" w:hanging="360"/>
      </w:pPr>
      <w:rPr>
        <w:rFonts w:ascii="Wingdings" w:hAnsi="Wingdings" w:hint="default"/>
      </w:rPr>
    </w:lvl>
  </w:abstractNum>
  <w:abstractNum w:abstractNumId="10" w15:restartNumberingAfterBreak="0">
    <w:nsid w:val="2E105D0B"/>
    <w:multiLevelType w:val="hybridMultilevel"/>
    <w:tmpl w:val="63BA6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D606B"/>
    <w:multiLevelType w:val="hybridMultilevel"/>
    <w:tmpl w:val="806E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20278"/>
    <w:multiLevelType w:val="hybridMultilevel"/>
    <w:tmpl w:val="A420F18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8678C"/>
    <w:multiLevelType w:val="hybridMultilevel"/>
    <w:tmpl w:val="567C3618"/>
    <w:lvl w:ilvl="0" w:tplc="0EBA447C">
      <w:start w:val="1"/>
      <w:numFmt w:val="bullet"/>
      <w:lvlText w:val=""/>
      <w:lvlJc w:val="left"/>
      <w:pPr>
        <w:ind w:left="720" w:hanging="360"/>
      </w:pPr>
      <w:rPr>
        <w:rFonts w:ascii="Symbol" w:hAnsi="Symbol" w:cs="Symbol" w:hint="default"/>
      </w:rPr>
    </w:lvl>
    <w:lvl w:ilvl="1" w:tplc="C5F26204" w:tentative="1">
      <w:start w:val="1"/>
      <w:numFmt w:val="bullet"/>
      <w:lvlText w:val="o"/>
      <w:lvlJc w:val="left"/>
      <w:pPr>
        <w:ind w:left="1440" w:hanging="360"/>
      </w:pPr>
      <w:rPr>
        <w:rFonts w:ascii="Courier New" w:hAnsi="Courier New" w:cs="Courier New" w:hint="default"/>
      </w:rPr>
    </w:lvl>
    <w:lvl w:ilvl="2" w:tplc="9E3036A2" w:tentative="1">
      <w:start w:val="1"/>
      <w:numFmt w:val="bullet"/>
      <w:lvlText w:val=""/>
      <w:lvlJc w:val="left"/>
      <w:pPr>
        <w:ind w:left="2160" w:hanging="360"/>
      </w:pPr>
      <w:rPr>
        <w:rFonts w:ascii="Wingdings" w:hAnsi="Wingdings" w:cs="Wingdings" w:hint="default"/>
      </w:rPr>
    </w:lvl>
    <w:lvl w:ilvl="3" w:tplc="653AF65E" w:tentative="1">
      <w:start w:val="1"/>
      <w:numFmt w:val="bullet"/>
      <w:lvlText w:val=""/>
      <w:lvlJc w:val="left"/>
      <w:pPr>
        <w:ind w:left="2880" w:hanging="360"/>
      </w:pPr>
      <w:rPr>
        <w:rFonts w:ascii="Symbol" w:hAnsi="Symbol" w:cs="Symbol" w:hint="default"/>
      </w:rPr>
    </w:lvl>
    <w:lvl w:ilvl="4" w:tplc="40545C1C" w:tentative="1">
      <w:start w:val="1"/>
      <w:numFmt w:val="bullet"/>
      <w:lvlText w:val="o"/>
      <w:lvlJc w:val="left"/>
      <w:pPr>
        <w:ind w:left="3600" w:hanging="360"/>
      </w:pPr>
      <w:rPr>
        <w:rFonts w:ascii="Courier New" w:hAnsi="Courier New" w:cs="Courier New" w:hint="default"/>
      </w:rPr>
    </w:lvl>
    <w:lvl w:ilvl="5" w:tplc="0A5A5FD8" w:tentative="1">
      <w:start w:val="1"/>
      <w:numFmt w:val="bullet"/>
      <w:lvlText w:val=""/>
      <w:lvlJc w:val="left"/>
      <w:pPr>
        <w:ind w:left="4320" w:hanging="360"/>
      </w:pPr>
      <w:rPr>
        <w:rFonts w:ascii="Wingdings" w:hAnsi="Wingdings" w:cs="Wingdings" w:hint="default"/>
      </w:rPr>
    </w:lvl>
    <w:lvl w:ilvl="6" w:tplc="363C144E" w:tentative="1">
      <w:start w:val="1"/>
      <w:numFmt w:val="bullet"/>
      <w:lvlText w:val=""/>
      <w:lvlJc w:val="left"/>
      <w:pPr>
        <w:ind w:left="5040" w:hanging="360"/>
      </w:pPr>
      <w:rPr>
        <w:rFonts w:ascii="Symbol" w:hAnsi="Symbol" w:cs="Symbol" w:hint="default"/>
      </w:rPr>
    </w:lvl>
    <w:lvl w:ilvl="7" w:tplc="6116F2BE" w:tentative="1">
      <w:start w:val="1"/>
      <w:numFmt w:val="bullet"/>
      <w:lvlText w:val="o"/>
      <w:lvlJc w:val="left"/>
      <w:pPr>
        <w:ind w:left="5760" w:hanging="360"/>
      </w:pPr>
      <w:rPr>
        <w:rFonts w:ascii="Courier New" w:hAnsi="Courier New" w:cs="Courier New" w:hint="default"/>
      </w:rPr>
    </w:lvl>
    <w:lvl w:ilvl="8" w:tplc="E4F89BE2" w:tentative="1">
      <w:start w:val="1"/>
      <w:numFmt w:val="bullet"/>
      <w:lvlText w:val=""/>
      <w:lvlJc w:val="left"/>
      <w:pPr>
        <w:ind w:left="6480" w:hanging="360"/>
      </w:pPr>
      <w:rPr>
        <w:rFonts w:ascii="Wingdings" w:hAnsi="Wingdings" w:cs="Wingdings" w:hint="default"/>
      </w:rPr>
    </w:lvl>
  </w:abstractNum>
  <w:abstractNum w:abstractNumId="14" w15:restartNumberingAfterBreak="0">
    <w:nsid w:val="36A172AA"/>
    <w:multiLevelType w:val="hybridMultilevel"/>
    <w:tmpl w:val="4A5C3E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21244C"/>
    <w:multiLevelType w:val="hybridMultilevel"/>
    <w:tmpl w:val="7472BA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FA24F4"/>
    <w:multiLevelType w:val="hybridMultilevel"/>
    <w:tmpl w:val="B6F2E2F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4620B"/>
    <w:multiLevelType w:val="hybridMultilevel"/>
    <w:tmpl w:val="F2B255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8449B"/>
    <w:multiLevelType w:val="hybridMultilevel"/>
    <w:tmpl w:val="ECC027B4"/>
    <w:lvl w:ilvl="0" w:tplc="6EFE7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A2583"/>
    <w:multiLevelType w:val="hybridMultilevel"/>
    <w:tmpl w:val="1116D236"/>
    <w:lvl w:ilvl="0" w:tplc="D0840BB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1211D77"/>
    <w:multiLevelType w:val="hybridMultilevel"/>
    <w:tmpl w:val="3FDC2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2659EF"/>
    <w:multiLevelType w:val="hybridMultilevel"/>
    <w:tmpl w:val="F6800E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EDC7461"/>
    <w:multiLevelType w:val="hybridMultilevel"/>
    <w:tmpl w:val="31CE3020"/>
    <w:lvl w:ilvl="0" w:tplc="02607C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310A46"/>
    <w:multiLevelType w:val="hybridMultilevel"/>
    <w:tmpl w:val="8814D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FB3899"/>
    <w:multiLevelType w:val="hybridMultilevel"/>
    <w:tmpl w:val="D6BA4358"/>
    <w:lvl w:ilvl="0" w:tplc="04090001">
      <w:start w:val="1"/>
      <w:numFmt w:val="bullet"/>
      <w:lvlText w:val=""/>
      <w:lvlJc w:val="left"/>
      <w:pPr>
        <w:ind w:left="450" w:hanging="360"/>
      </w:pPr>
      <w:rPr>
        <w:rFonts w:ascii="Symbol" w:hAnsi="Symbol" w:hint="default"/>
      </w:rPr>
    </w:lvl>
    <w:lvl w:ilvl="1" w:tplc="04090017">
      <w:start w:val="1"/>
      <w:numFmt w:val="lowerLetter"/>
      <w:lvlText w:val="%2)"/>
      <w:lvlJc w:val="left"/>
      <w:pPr>
        <w:ind w:left="1170" w:hanging="360"/>
      </w:p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5" w15:restartNumberingAfterBreak="0">
    <w:nsid w:val="6BA913D9"/>
    <w:multiLevelType w:val="hybridMultilevel"/>
    <w:tmpl w:val="25B05A6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B013E"/>
    <w:multiLevelType w:val="hybridMultilevel"/>
    <w:tmpl w:val="91087A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8B5E87"/>
    <w:multiLevelType w:val="hybridMultilevel"/>
    <w:tmpl w:val="7150A5E8"/>
    <w:lvl w:ilvl="0" w:tplc="287A28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D73E94"/>
    <w:multiLevelType w:val="hybridMultilevel"/>
    <w:tmpl w:val="D1067B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8212C"/>
    <w:multiLevelType w:val="hybridMultilevel"/>
    <w:tmpl w:val="881638C6"/>
    <w:lvl w:ilvl="0" w:tplc="DDC6A722">
      <w:start w:val="1"/>
      <w:numFmt w:val="lowerLetter"/>
      <w:lvlText w:val="(%1)"/>
      <w:lvlJc w:val="left"/>
      <w:pPr>
        <w:ind w:left="720" w:hanging="360"/>
      </w:pPr>
      <w:rPr>
        <w:rFonts w:hint="default"/>
      </w:rPr>
    </w:lvl>
    <w:lvl w:ilvl="1" w:tplc="51C4665A" w:tentative="1">
      <w:start w:val="1"/>
      <w:numFmt w:val="lowerLetter"/>
      <w:lvlText w:val="%2."/>
      <w:lvlJc w:val="left"/>
      <w:pPr>
        <w:ind w:left="1440" w:hanging="360"/>
      </w:pPr>
    </w:lvl>
    <w:lvl w:ilvl="2" w:tplc="F030E078" w:tentative="1">
      <w:start w:val="1"/>
      <w:numFmt w:val="lowerRoman"/>
      <w:lvlText w:val="%3."/>
      <w:lvlJc w:val="right"/>
      <w:pPr>
        <w:ind w:left="2160" w:hanging="180"/>
      </w:pPr>
    </w:lvl>
    <w:lvl w:ilvl="3" w:tplc="EE7CBC9E" w:tentative="1">
      <w:start w:val="1"/>
      <w:numFmt w:val="decimal"/>
      <w:lvlText w:val="%4."/>
      <w:lvlJc w:val="left"/>
      <w:pPr>
        <w:ind w:left="2880" w:hanging="360"/>
      </w:pPr>
    </w:lvl>
    <w:lvl w:ilvl="4" w:tplc="778EE7A6" w:tentative="1">
      <w:start w:val="1"/>
      <w:numFmt w:val="lowerLetter"/>
      <w:lvlText w:val="%5."/>
      <w:lvlJc w:val="left"/>
      <w:pPr>
        <w:ind w:left="3600" w:hanging="360"/>
      </w:pPr>
    </w:lvl>
    <w:lvl w:ilvl="5" w:tplc="70C46D92" w:tentative="1">
      <w:start w:val="1"/>
      <w:numFmt w:val="lowerRoman"/>
      <w:lvlText w:val="%6."/>
      <w:lvlJc w:val="right"/>
      <w:pPr>
        <w:ind w:left="4320" w:hanging="180"/>
      </w:pPr>
    </w:lvl>
    <w:lvl w:ilvl="6" w:tplc="F2E2645A" w:tentative="1">
      <w:start w:val="1"/>
      <w:numFmt w:val="decimal"/>
      <w:lvlText w:val="%7."/>
      <w:lvlJc w:val="left"/>
      <w:pPr>
        <w:ind w:left="5040" w:hanging="360"/>
      </w:pPr>
    </w:lvl>
    <w:lvl w:ilvl="7" w:tplc="41409CF0" w:tentative="1">
      <w:start w:val="1"/>
      <w:numFmt w:val="lowerLetter"/>
      <w:lvlText w:val="%8."/>
      <w:lvlJc w:val="left"/>
      <w:pPr>
        <w:ind w:left="5760" w:hanging="360"/>
      </w:pPr>
    </w:lvl>
    <w:lvl w:ilvl="8" w:tplc="18CEDF4A" w:tentative="1">
      <w:start w:val="1"/>
      <w:numFmt w:val="lowerRoman"/>
      <w:lvlText w:val="%9."/>
      <w:lvlJc w:val="right"/>
      <w:pPr>
        <w:ind w:left="6480" w:hanging="180"/>
      </w:pPr>
    </w:lvl>
  </w:abstractNum>
  <w:abstractNum w:abstractNumId="30" w15:restartNumberingAfterBreak="0">
    <w:nsid w:val="7E7C23CE"/>
    <w:multiLevelType w:val="hybridMultilevel"/>
    <w:tmpl w:val="F148DC78"/>
    <w:lvl w:ilvl="0" w:tplc="ECE49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3"/>
  </w:num>
  <w:num w:numId="5">
    <w:abstractNumId w:val="15"/>
  </w:num>
  <w:num w:numId="6">
    <w:abstractNumId w:val="29"/>
  </w:num>
  <w:num w:numId="7">
    <w:abstractNumId w:val="6"/>
  </w:num>
  <w:num w:numId="8">
    <w:abstractNumId w:val="26"/>
  </w:num>
  <w:num w:numId="9">
    <w:abstractNumId w:val="28"/>
  </w:num>
  <w:num w:numId="10">
    <w:abstractNumId w:val="12"/>
  </w:num>
  <w:num w:numId="11">
    <w:abstractNumId w:val="25"/>
  </w:num>
  <w:num w:numId="12">
    <w:abstractNumId w:val="16"/>
  </w:num>
  <w:num w:numId="13">
    <w:abstractNumId w:val="17"/>
  </w:num>
  <w:num w:numId="14">
    <w:abstractNumId w:val="0"/>
  </w:num>
  <w:num w:numId="15">
    <w:abstractNumId w:val="22"/>
  </w:num>
  <w:num w:numId="16">
    <w:abstractNumId w:val="27"/>
  </w:num>
  <w:num w:numId="17">
    <w:abstractNumId w:val="30"/>
  </w:num>
  <w:num w:numId="18">
    <w:abstractNumId w:val="18"/>
  </w:num>
  <w:num w:numId="19">
    <w:abstractNumId w:val="7"/>
  </w:num>
  <w:num w:numId="20">
    <w:abstractNumId w:val="5"/>
  </w:num>
  <w:num w:numId="21">
    <w:abstractNumId w:val="2"/>
  </w:num>
  <w:num w:numId="22">
    <w:abstractNumId w:val="11"/>
  </w:num>
  <w:num w:numId="23">
    <w:abstractNumId w:val="1"/>
  </w:num>
  <w:num w:numId="24">
    <w:abstractNumId w:val="24"/>
    <w:lvlOverride w:ilvl="0"/>
    <w:lvlOverride w:ilvl="1">
      <w:startOverride w:val="1"/>
    </w:lvlOverride>
    <w:lvlOverride w:ilvl="2"/>
    <w:lvlOverride w:ilvl="3"/>
    <w:lvlOverride w:ilvl="4"/>
    <w:lvlOverride w:ilvl="5"/>
    <w:lvlOverride w:ilvl="6"/>
    <w:lvlOverride w:ilvl="7"/>
    <w:lvlOverride w:ilvl="8"/>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3"/>
  </w:num>
  <w:num w:numId="30">
    <w:abstractNumId w:val="20"/>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0774"/>
    <w:rsid w:val="000036E5"/>
    <w:rsid w:val="00010BA0"/>
    <w:rsid w:val="00015FF5"/>
    <w:rsid w:val="00020557"/>
    <w:rsid w:val="00021FC2"/>
    <w:rsid w:val="000232A1"/>
    <w:rsid w:val="000250C7"/>
    <w:rsid w:val="00026F16"/>
    <w:rsid w:val="00033C8E"/>
    <w:rsid w:val="00037621"/>
    <w:rsid w:val="00044D46"/>
    <w:rsid w:val="00045088"/>
    <w:rsid w:val="00045904"/>
    <w:rsid w:val="00046211"/>
    <w:rsid w:val="000502FD"/>
    <w:rsid w:val="00051719"/>
    <w:rsid w:val="00052B3C"/>
    <w:rsid w:val="00062F53"/>
    <w:rsid w:val="00065166"/>
    <w:rsid w:val="00067A22"/>
    <w:rsid w:val="0007291B"/>
    <w:rsid w:val="00082609"/>
    <w:rsid w:val="000851CC"/>
    <w:rsid w:val="00087F21"/>
    <w:rsid w:val="00093BE8"/>
    <w:rsid w:val="000A1CD4"/>
    <w:rsid w:val="000A407B"/>
    <w:rsid w:val="000A68ED"/>
    <w:rsid w:val="000B4074"/>
    <w:rsid w:val="000B5FF1"/>
    <w:rsid w:val="000B609F"/>
    <w:rsid w:val="000C2AB6"/>
    <w:rsid w:val="000D2BEC"/>
    <w:rsid w:val="000D55A8"/>
    <w:rsid w:val="000E1246"/>
    <w:rsid w:val="000E4841"/>
    <w:rsid w:val="000F0B79"/>
    <w:rsid w:val="000F0CF2"/>
    <w:rsid w:val="000F1677"/>
    <w:rsid w:val="000F3D6C"/>
    <w:rsid w:val="0010010C"/>
    <w:rsid w:val="00101707"/>
    <w:rsid w:val="00102CC9"/>
    <w:rsid w:val="0010593A"/>
    <w:rsid w:val="00105948"/>
    <w:rsid w:val="0011473D"/>
    <w:rsid w:val="00115C85"/>
    <w:rsid w:val="00123855"/>
    <w:rsid w:val="00126A4D"/>
    <w:rsid w:val="0013379E"/>
    <w:rsid w:val="0014104B"/>
    <w:rsid w:val="0014171F"/>
    <w:rsid w:val="00144811"/>
    <w:rsid w:val="0014622C"/>
    <w:rsid w:val="00151F58"/>
    <w:rsid w:val="00152348"/>
    <w:rsid w:val="00152FD4"/>
    <w:rsid w:val="0015456D"/>
    <w:rsid w:val="0015523B"/>
    <w:rsid w:val="00155FA2"/>
    <w:rsid w:val="00161F1B"/>
    <w:rsid w:val="00162829"/>
    <w:rsid w:val="0016368E"/>
    <w:rsid w:val="00166A82"/>
    <w:rsid w:val="00180548"/>
    <w:rsid w:val="00180AC4"/>
    <w:rsid w:val="00180CCE"/>
    <w:rsid w:val="00181A91"/>
    <w:rsid w:val="0018267A"/>
    <w:rsid w:val="00182779"/>
    <w:rsid w:val="001830DF"/>
    <w:rsid w:val="00185CA6"/>
    <w:rsid w:val="001957E8"/>
    <w:rsid w:val="00195E02"/>
    <w:rsid w:val="001966D9"/>
    <w:rsid w:val="001A007A"/>
    <w:rsid w:val="001A4484"/>
    <w:rsid w:val="001A7E9A"/>
    <w:rsid w:val="001B0F70"/>
    <w:rsid w:val="001B5016"/>
    <w:rsid w:val="001B73FB"/>
    <w:rsid w:val="001C45FC"/>
    <w:rsid w:val="001D0469"/>
    <w:rsid w:val="001D29C0"/>
    <w:rsid w:val="001D4862"/>
    <w:rsid w:val="001E0A56"/>
    <w:rsid w:val="001E25B9"/>
    <w:rsid w:val="001E49E0"/>
    <w:rsid w:val="001E7B5A"/>
    <w:rsid w:val="001F7412"/>
    <w:rsid w:val="0020090A"/>
    <w:rsid w:val="00202DFE"/>
    <w:rsid w:val="0020725B"/>
    <w:rsid w:val="002110F1"/>
    <w:rsid w:val="002208D9"/>
    <w:rsid w:val="00223CAE"/>
    <w:rsid w:val="00226EAA"/>
    <w:rsid w:val="002311E3"/>
    <w:rsid w:val="002356EA"/>
    <w:rsid w:val="00235D7D"/>
    <w:rsid w:val="00240B0E"/>
    <w:rsid w:val="0024116D"/>
    <w:rsid w:val="00241B44"/>
    <w:rsid w:val="00241FA3"/>
    <w:rsid w:val="00245EFB"/>
    <w:rsid w:val="0024716F"/>
    <w:rsid w:val="0025386E"/>
    <w:rsid w:val="00255890"/>
    <w:rsid w:val="00262940"/>
    <w:rsid w:val="002638B0"/>
    <w:rsid w:val="0026647A"/>
    <w:rsid w:val="002668D3"/>
    <w:rsid w:val="0027299F"/>
    <w:rsid w:val="00284EBE"/>
    <w:rsid w:val="002903A7"/>
    <w:rsid w:val="0029433F"/>
    <w:rsid w:val="00294829"/>
    <w:rsid w:val="0029690F"/>
    <w:rsid w:val="00297C8A"/>
    <w:rsid w:val="002A0D64"/>
    <w:rsid w:val="002A2A60"/>
    <w:rsid w:val="002A37BB"/>
    <w:rsid w:val="002B1C45"/>
    <w:rsid w:val="002B2F9F"/>
    <w:rsid w:val="002C13C8"/>
    <w:rsid w:val="002C3547"/>
    <w:rsid w:val="002C72F3"/>
    <w:rsid w:val="002D0021"/>
    <w:rsid w:val="002D0C55"/>
    <w:rsid w:val="002D299D"/>
    <w:rsid w:val="002D3473"/>
    <w:rsid w:val="002E38E2"/>
    <w:rsid w:val="002F1956"/>
    <w:rsid w:val="002F3440"/>
    <w:rsid w:val="002F75A3"/>
    <w:rsid w:val="002F7D0F"/>
    <w:rsid w:val="00303C2F"/>
    <w:rsid w:val="00306957"/>
    <w:rsid w:val="003144EF"/>
    <w:rsid w:val="00323BF3"/>
    <w:rsid w:val="00326292"/>
    <w:rsid w:val="00326415"/>
    <w:rsid w:val="00330937"/>
    <w:rsid w:val="00330F31"/>
    <w:rsid w:val="00334648"/>
    <w:rsid w:val="0033768C"/>
    <w:rsid w:val="00337938"/>
    <w:rsid w:val="00340769"/>
    <w:rsid w:val="00341AA6"/>
    <w:rsid w:val="00342A74"/>
    <w:rsid w:val="003541EB"/>
    <w:rsid w:val="0035670A"/>
    <w:rsid w:val="00361A0A"/>
    <w:rsid w:val="00361BAA"/>
    <w:rsid w:val="00364836"/>
    <w:rsid w:val="0036565C"/>
    <w:rsid w:val="0036625E"/>
    <w:rsid w:val="0037465A"/>
    <w:rsid w:val="00376303"/>
    <w:rsid w:val="00380BAB"/>
    <w:rsid w:val="00382C98"/>
    <w:rsid w:val="0038533C"/>
    <w:rsid w:val="00386568"/>
    <w:rsid w:val="00390B57"/>
    <w:rsid w:val="003948D5"/>
    <w:rsid w:val="00396821"/>
    <w:rsid w:val="00397D3A"/>
    <w:rsid w:val="003A051E"/>
    <w:rsid w:val="003B170F"/>
    <w:rsid w:val="003B3C5F"/>
    <w:rsid w:val="003B6014"/>
    <w:rsid w:val="003C4471"/>
    <w:rsid w:val="003D0A6D"/>
    <w:rsid w:val="003D1EF3"/>
    <w:rsid w:val="003D55C1"/>
    <w:rsid w:val="003D70A7"/>
    <w:rsid w:val="003E0B16"/>
    <w:rsid w:val="003E22E2"/>
    <w:rsid w:val="003E67D1"/>
    <w:rsid w:val="003F6783"/>
    <w:rsid w:val="00404329"/>
    <w:rsid w:val="00405DC1"/>
    <w:rsid w:val="00406AE7"/>
    <w:rsid w:val="00415F1F"/>
    <w:rsid w:val="00416B96"/>
    <w:rsid w:val="0042108F"/>
    <w:rsid w:val="00430C5C"/>
    <w:rsid w:val="00430FED"/>
    <w:rsid w:val="00434A8C"/>
    <w:rsid w:val="00437297"/>
    <w:rsid w:val="00440C42"/>
    <w:rsid w:val="00444284"/>
    <w:rsid w:val="00445CE6"/>
    <w:rsid w:val="004534C2"/>
    <w:rsid w:val="0045446F"/>
    <w:rsid w:val="0045683E"/>
    <w:rsid w:val="00465497"/>
    <w:rsid w:val="0046555A"/>
    <w:rsid w:val="00477C72"/>
    <w:rsid w:val="00491675"/>
    <w:rsid w:val="00493855"/>
    <w:rsid w:val="00494E28"/>
    <w:rsid w:val="00495E79"/>
    <w:rsid w:val="004A2D83"/>
    <w:rsid w:val="004A57DD"/>
    <w:rsid w:val="004A7B51"/>
    <w:rsid w:val="004A7D71"/>
    <w:rsid w:val="004A7EF3"/>
    <w:rsid w:val="004B11FD"/>
    <w:rsid w:val="004B23A2"/>
    <w:rsid w:val="004D1A5A"/>
    <w:rsid w:val="004D1C16"/>
    <w:rsid w:val="004D2FFF"/>
    <w:rsid w:val="004D363D"/>
    <w:rsid w:val="004D3721"/>
    <w:rsid w:val="004D64F9"/>
    <w:rsid w:val="004D7749"/>
    <w:rsid w:val="004E30B0"/>
    <w:rsid w:val="004E3A6B"/>
    <w:rsid w:val="004E622C"/>
    <w:rsid w:val="004E6D1C"/>
    <w:rsid w:val="004E7D70"/>
    <w:rsid w:val="004F5DE9"/>
    <w:rsid w:val="004F5FDF"/>
    <w:rsid w:val="0050319C"/>
    <w:rsid w:val="00510B34"/>
    <w:rsid w:val="005177FE"/>
    <w:rsid w:val="0052263B"/>
    <w:rsid w:val="00524728"/>
    <w:rsid w:val="005312B3"/>
    <w:rsid w:val="00531721"/>
    <w:rsid w:val="005331CA"/>
    <w:rsid w:val="00537970"/>
    <w:rsid w:val="00540E3A"/>
    <w:rsid w:val="005438E5"/>
    <w:rsid w:val="00544127"/>
    <w:rsid w:val="005463A9"/>
    <w:rsid w:val="00546D65"/>
    <w:rsid w:val="00553EB2"/>
    <w:rsid w:val="00560534"/>
    <w:rsid w:val="0056391B"/>
    <w:rsid w:val="005650E2"/>
    <w:rsid w:val="00567AD7"/>
    <w:rsid w:val="005758A7"/>
    <w:rsid w:val="00575B2D"/>
    <w:rsid w:val="005771EA"/>
    <w:rsid w:val="0058230B"/>
    <w:rsid w:val="005833D0"/>
    <w:rsid w:val="005846F3"/>
    <w:rsid w:val="0058622F"/>
    <w:rsid w:val="00592F82"/>
    <w:rsid w:val="005A0CCA"/>
    <w:rsid w:val="005A6ED5"/>
    <w:rsid w:val="005A6FF2"/>
    <w:rsid w:val="005A726D"/>
    <w:rsid w:val="005B5514"/>
    <w:rsid w:val="005B67AC"/>
    <w:rsid w:val="005B79F4"/>
    <w:rsid w:val="005C523F"/>
    <w:rsid w:val="005C529D"/>
    <w:rsid w:val="005C5B99"/>
    <w:rsid w:val="005D0680"/>
    <w:rsid w:val="005D16DD"/>
    <w:rsid w:val="005D43E0"/>
    <w:rsid w:val="005D58A3"/>
    <w:rsid w:val="005E1B79"/>
    <w:rsid w:val="005E6076"/>
    <w:rsid w:val="005E7008"/>
    <w:rsid w:val="005E7EC1"/>
    <w:rsid w:val="005F026D"/>
    <w:rsid w:val="005F22E3"/>
    <w:rsid w:val="005F2AEA"/>
    <w:rsid w:val="005F2D0B"/>
    <w:rsid w:val="005F4B31"/>
    <w:rsid w:val="00604112"/>
    <w:rsid w:val="0060782D"/>
    <w:rsid w:val="00610388"/>
    <w:rsid w:val="00610AC7"/>
    <w:rsid w:val="00612CA5"/>
    <w:rsid w:val="006153EC"/>
    <w:rsid w:val="006155A9"/>
    <w:rsid w:val="00621A17"/>
    <w:rsid w:val="00622586"/>
    <w:rsid w:val="00627CC9"/>
    <w:rsid w:val="00627E7B"/>
    <w:rsid w:val="00630542"/>
    <w:rsid w:val="00631DDB"/>
    <w:rsid w:val="00632E44"/>
    <w:rsid w:val="00634622"/>
    <w:rsid w:val="006358BA"/>
    <w:rsid w:val="00636808"/>
    <w:rsid w:val="0063729B"/>
    <w:rsid w:val="00641515"/>
    <w:rsid w:val="00645F3A"/>
    <w:rsid w:val="006532AA"/>
    <w:rsid w:val="00654AF0"/>
    <w:rsid w:val="00654C2F"/>
    <w:rsid w:val="00654C95"/>
    <w:rsid w:val="00657087"/>
    <w:rsid w:val="00661BA6"/>
    <w:rsid w:val="00661D51"/>
    <w:rsid w:val="006639DB"/>
    <w:rsid w:val="006661EF"/>
    <w:rsid w:val="00667F67"/>
    <w:rsid w:val="00670CB1"/>
    <w:rsid w:val="00677AEB"/>
    <w:rsid w:val="00680EF2"/>
    <w:rsid w:val="00682EEC"/>
    <w:rsid w:val="00684441"/>
    <w:rsid w:val="00687A1D"/>
    <w:rsid w:val="00692A18"/>
    <w:rsid w:val="00697EA1"/>
    <w:rsid w:val="006A2646"/>
    <w:rsid w:val="006A6530"/>
    <w:rsid w:val="006B435A"/>
    <w:rsid w:val="006B4C64"/>
    <w:rsid w:val="006D2BBF"/>
    <w:rsid w:val="006D6BD5"/>
    <w:rsid w:val="006E06B2"/>
    <w:rsid w:val="006E4183"/>
    <w:rsid w:val="006E481A"/>
    <w:rsid w:val="006E5298"/>
    <w:rsid w:val="006F2457"/>
    <w:rsid w:val="006F4A78"/>
    <w:rsid w:val="006F734A"/>
    <w:rsid w:val="00700D83"/>
    <w:rsid w:val="00704852"/>
    <w:rsid w:val="007074E9"/>
    <w:rsid w:val="00713DA4"/>
    <w:rsid w:val="00714BF1"/>
    <w:rsid w:val="00721383"/>
    <w:rsid w:val="00723343"/>
    <w:rsid w:val="007237A9"/>
    <w:rsid w:val="00726B93"/>
    <w:rsid w:val="00730E8C"/>
    <w:rsid w:val="0073158B"/>
    <w:rsid w:val="007333CC"/>
    <w:rsid w:val="0073399A"/>
    <w:rsid w:val="00737587"/>
    <w:rsid w:val="00740DAD"/>
    <w:rsid w:val="00751747"/>
    <w:rsid w:val="007603F5"/>
    <w:rsid w:val="00764DB0"/>
    <w:rsid w:val="0076764D"/>
    <w:rsid w:val="0077498C"/>
    <w:rsid w:val="007809BC"/>
    <w:rsid w:val="00781734"/>
    <w:rsid w:val="007818AF"/>
    <w:rsid w:val="00784128"/>
    <w:rsid w:val="00784E9B"/>
    <w:rsid w:val="00787BCC"/>
    <w:rsid w:val="0079309B"/>
    <w:rsid w:val="00793173"/>
    <w:rsid w:val="00796810"/>
    <w:rsid w:val="007A0F86"/>
    <w:rsid w:val="007A2A33"/>
    <w:rsid w:val="007A50B0"/>
    <w:rsid w:val="007A558B"/>
    <w:rsid w:val="007B5C89"/>
    <w:rsid w:val="007C16D0"/>
    <w:rsid w:val="007C1FCC"/>
    <w:rsid w:val="007C23F2"/>
    <w:rsid w:val="007C6201"/>
    <w:rsid w:val="007D3C92"/>
    <w:rsid w:val="007D7C92"/>
    <w:rsid w:val="007E1154"/>
    <w:rsid w:val="007E40F0"/>
    <w:rsid w:val="007E6BA4"/>
    <w:rsid w:val="007E7678"/>
    <w:rsid w:val="007F41F8"/>
    <w:rsid w:val="007F659B"/>
    <w:rsid w:val="0080454E"/>
    <w:rsid w:val="00804C32"/>
    <w:rsid w:val="00806302"/>
    <w:rsid w:val="00807119"/>
    <w:rsid w:val="0082483F"/>
    <w:rsid w:val="0082694D"/>
    <w:rsid w:val="008277A3"/>
    <w:rsid w:val="008279C0"/>
    <w:rsid w:val="00831582"/>
    <w:rsid w:val="0084683C"/>
    <w:rsid w:val="00851178"/>
    <w:rsid w:val="00853901"/>
    <w:rsid w:val="00856BD4"/>
    <w:rsid w:val="00857E26"/>
    <w:rsid w:val="00867701"/>
    <w:rsid w:val="008723F3"/>
    <w:rsid w:val="00876F56"/>
    <w:rsid w:val="00881DE6"/>
    <w:rsid w:val="008837A6"/>
    <w:rsid w:val="0089145D"/>
    <w:rsid w:val="008A4DF2"/>
    <w:rsid w:val="008A6CFE"/>
    <w:rsid w:val="008B0F78"/>
    <w:rsid w:val="008B155E"/>
    <w:rsid w:val="008B5333"/>
    <w:rsid w:val="008B6223"/>
    <w:rsid w:val="008B779D"/>
    <w:rsid w:val="008C66E0"/>
    <w:rsid w:val="008E3339"/>
    <w:rsid w:val="008F20FC"/>
    <w:rsid w:val="008F5FFE"/>
    <w:rsid w:val="00905A43"/>
    <w:rsid w:val="00912C79"/>
    <w:rsid w:val="00921B8C"/>
    <w:rsid w:val="00942123"/>
    <w:rsid w:val="0095207B"/>
    <w:rsid w:val="00954F89"/>
    <w:rsid w:val="00962045"/>
    <w:rsid w:val="00980E61"/>
    <w:rsid w:val="00981184"/>
    <w:rsid w:val="00982D07"/>
    <w:rsid w:val="00987CB1"/>
    <w:rsid w:val="00991428"/>
    <w:rsid w:val="00992676"/>
    <w:rsid w:val="00994947"/>
    <w:rsid w:val="009954B2"/>
    <w:rsid w:val="00995576"/>
    <w:rsid w:val="00996691"/>
    <w:rsid w:val="009A3AB7"/>
    <w:rsid w:val="009B0723"/>
    <w:rsid w:val="009B07AD"/>
    <w:rsid w:val="009B0883"/>
    <w:rsid w:val="009B15E2"/>
    <w:rsid w:val="009B4976"/>
    <w:rsid w:val="009C0B8E"/>
    <w:rsid w:val="009C1BC8"/>
    <w:rsid w:val="009C2442"/>
    <w:rsid w:val="009C526D"/>
    <w:rsid w:val="009C5286"/>
    <w:rsid w:val="009C616E"/>
    <w:rsid w:val="009D0811"/>
    <w:rsid w:val="009D0EE1"/>
    <w:rsid w:val="009D23C6"/>
    <w:rsid w:val="009D62BD"/>
    <w:rsid w:val="009E28E3"/>
    <w:rsid w:val="009E2A56"/>
    <w:rsid w:val="009E2AEB"/>
    <w:rsid w:val="009E2E27"/>
    <w:rsid w:val="009E3DF6"/>
    <w:rsid w:val="009E45DF"/>
    <w:rsid w:val="009E4DE3"/>
    <w:rsid w:val="009E717E"/>
    <w:rsid w:val="009F1595"/>
    <w:rsid w:val="009F206F"/>
    <w:rsid w:val="009F275E"/>
    <w:rsid w:val="00A01DDA"/>
    <w:rsid w:val="00A047EE"/>
    <w:rsid w:val="00A13170"/>
    <w:rsid w:val="00A2274A"/>
    <w:rsid w:val="00A235B7"/>
    <w:rsid w:val="00A27A7A"/>
    <w:rsid w:val="00A34ABE"/>
    <w:rsid w:val="00A407EF"/>
    <w:rsid w:val="00A46B4C"/>
    <w:rsid w:val="00A5117B"/>
    <w:rsid w:val="00A56D34"/>
    <w:rsid w:val="00A57EFB"/>
    <w:rsid w:val="00A60074"/>
    <w:rsid w:val="00A64900"/>
    <w:rsid w:val="00A6627C"/>
    <w:rsid w:val="00A71019"/>
    <w:rsid w:val="00A81029"/>
    <w:rsid w:val="00A83871"/>
    <w:rsid w:val="00A845F5"/>
    <w:rsid w:val="00A90827"/>
    <w:rsid w:val="00A92054"/>
    <w:rsid w:val="00A94F39"/>
    <w:rsid w:val="00A96489"/>
    <w:rsid w:val="00AB2425"/>
    <w:rsid w:val="00AB4451"/>
    <w:rsid w:val="00AB6201"/>
    <w:rsid w:val="00AB685C"/>
    <w:rsid w:val="00AB6C2D"/>
    <w:rsid w:val="00AC08F7"/>
    <w:rsid w:val="00AC2FA7"/>
    <w:rsid w:val="00AC3839"/>
    <w:rsid w:val="00AC7082"/>
    <w:rsid w:val="00AD4BE8"/>
    <w:rsid w:val="00AE2020"/>
    <w:rsid w:val="00AE43E0"/>
    <w:rsid w:val="00AF228E"/>
    <w:rsid w:val="00AF44E3"/>
    <w:rsid w:val="00AF5D9C"/>
    <w:rsid w:val="00B016A8"/>
    <w:rsid w:val="00B14819"/>
    <w:rsid w:val="00B15E2F"/>
    <w:rsid w:val="00B17AA9"/>
    <w:rsid w:val="00B32DE4"/>
    <w:rsid w:val="00B40EA4"/>
    <w:rsid w:val="00B44713"/>
    <w:rsid w:val="00B44D9A"/>
    <w:rsid w:val="00B50EA0"/>
    <w:rsid w:val="00B51B95"/>
    <w:rsid w:val="00B54D7D"/>
    <w:rsid w:val="00B56103"/>
    <w:rsid w:val="00B61255"/>
    <w:rsid w:val="00B64929"/>
    <w:rsid w:val="00B736DF"/>
    <w:rsid w:val="00B743D6"/>
    <w:rsid w:val="00B74FBD"/>
    <w:rsid w:val="00B77F46"/>
    <w:rsid w:val="00B81AE8"/>
    <w:rsid w:val="00B82586"/>
    <w:rsid w:val="00B829A3"/>
    <w:rsid w:val="00B86DB1"/>
    <w:rsid w:val="00B87869"/>
    <w:rsid w:val="00B9639B"/>
    <w:rsid w:val="00BB0F2B"/>
    <w:rsid w:val="00BE4FF3"/>
    <w:rsid w:val="00BE5B8E"/>
    <w:rsid w:val="00BE65AA"/>
    <w:rsid w:val="00BF42A8"/>
    <w:rsid w:val="00BF50F7"/>
    <w:rsid w:val="00C02F29"/>
    <w:rsid w:val="00C041E8"/>
    <w:rsid w:val="00C17718"/>
    <w:rsid w:val="00C20AFE"/>
    <w:rsid w:val="00C22A25"/>
    <w:rsid w:val="00C35671"/>
    <w:rsid w:val="00C35B77"/>
    <w:rsid w:val="00C376EB"/>
    <w:rsid w:val="00C46A92"/>
    <w:rsid w:val="00C46EC1"/>
    <w:rsid w:val="00C52796"/>
    <w:rsid w:val="00C5332A"/>
    <w:rsid w:val="00C53E2C"/>
    <w:rsid w:val="00C550C8"/>
    <w:rsid w:val="00C55824"/>
    <w:rsid w:val="00C56B61"/>
    <w:rsid w:val="00C606C3"/>
    <w:rsid w:val="00C620F4"/>
    <w:rsid w:val="00C66D43"/>
    <w:rsid w:val="00C72848"/>
    <w:rsid w:val="00C7736C"/>
    <w:rsid w:val="00C82D87"/>
    <w:rsid w:val="00C8712A"/>
    <w:rsid w:val="00C902C8"/>
    <w:rsid w:val="00C919D1"/>
    <w:rsid w:val="00C960CA"/>
    <w:rsid w:val="00C963D3"/>
    <w:rsid w:val="00CB1983"/>
    <w:rsid w:val="00CB2480"/>
    <w:rsid w:val="00CB2CBB"/>
    <w:rsid w:val="00CB5FD0"/>
    <w:rsid w:val="00CB7CAC"/>
    <w:rsid w:val="00CC158E"/>
    <w:rsid w:val="00CC5335"/>
    <w:rsid w:val="00CC5BA4"/>
    <w:rsid w:val="00CC6E5B"/>
    <w:rsid w:val="00CD4998"/>
    <w:rsid w:val="00CE1035"/>
    <w:rsid w:val="00CE6E50"/>
    <w:rsid w:val="00CF14BE"/>
    <w:rsid w:val="00CF2819"/>
    <w:rsid w:val="00CF3A5A"/>
    <w:rsid w:val="00CF4F9D"/>
    <w:rsid w:val="00CF6E14"/>
    <w:rsid w:val="00CF70DC"/>
    <w:rsid w:val="00D0080B"/>
    <w:rsid w:val="00D148DC"/>
    <w:rsid w:val="00D17FDC"/>
    <w:rsid w:val="00D21D8C"/>
    <w:rsid w:val="00D21F25"/>
    <w:rsid w:val="00D307FA"/>
    <w:rsid w:val="00D53719"/>
    <w:rsid w:val="00D63EFD"/>
    <w:rsid w:val="00D65741"/>
    <w:rsid w:val="00D679BA"/>
    <w:rsid w:val="00D77884"/>
    <w:rsid w:val="00D80DC2"/>
    <w:rsid w:val="00D84752"/>
    <w:rsid w:val="00D86B3B"/>
    <w:rsid w:val="00D8748A"/>
    <w:rsid w:val="00D87F6E"/>
    <w:rsid w:val="00D93196"/>
    <w:rsid w:val="00DA0DC0"/>
    <w:rsid w:val="00DA124D"/>
    <w:rsid w:val="00DA5BFA"/>
    <w:rsid w:val="00DB243C"/>
    <w:rsid w:val="00DB482A"/>
    <w:rsid w:val="00DB50FB"/>
    <w:rsid w:val="00DB56F2"/>
    <w:rsid w:val="00DB6103"/>
    <w:rsid w:val="00DB6EF5"/>
    <w:rsid w:val="00DC3089"/>
    <w:rsid w:val="00DC4420"/>
    <w:rsid w:val="00DC7761"/>
    <w:rsid w:val="00DD0802"/>
    <w:rsid w:val="00DD2E11"/>
    <w:rsid w:val="00DD7F33"/>
    <w:rsid w:val="00DE03AF"/>
    <w:rsid w:val="00DE121C"/>
    <w:rsid w:val="00DE28CA"/>
    <w:rsid w:val="00DE57E3"/>
    <w:rsid w:val="00DE6633"/>
    <w:rsid w:val="00DF75F8"/>
    <w:rsid w:val="00DF7A3A"/>
    <w:rsid w:val="00E00C00"/>
    <w:rsid w:val="00E07C5A"/>
    <w:rsid w:val="00E15BA9"/>
    <w:rsid w:val="00E23A7A"/>
    <w:rsid w:val="00E26E19"/>
    <w:rsid w:val="00E3041B"/>
    <w:rsid w:val="00E30CC7"/>
    <w:rsid w:val="00E31DF3"/>
    <w:rsid w:val="00E426B2"/>
    <w:rsid w:val="00E450A4"/>
    <w:rsid w:val="00E45B05"/>
    <w:rsid w:val="00E506BE"/>
    <w:rsid w:val="00E522E3"/>
    <w:rsid w:val="00E534E3"/>
    <w:rsid w:val="00E55547"/>
    <w:rsid w:val="00E6302B"/>
    <w:rsid w:val="00E6452F"/>
    <w:rsid w:val="00E64F45"/>
    <w:rsid w:val="00E6742D"/>
    <w:rsid w:val="00E700E4"/>
    <w:rsid w:val="00E71CB0"/>
    <w:rsid w:val="00E73133"/>
    <w:rsid w:val="00E73C3B"/>
    <w:rsid w:val="00E77C3D"/>
    <w:rsid w:val="00E90991"/>
    <w:rsid w:val="00E909F0"/>
    <w:rsid w:val="00E90D47"/>
    <w:rsid w:val="00E91E1D"/>
    <w:rsid w:val="00E91E9F"/>
    <w:rsid w:val="00E93993"/>
    <w:rsid w:val="00E9597C"/>
    <w:rsid w:val="00E95C42"/>
    <w:rsid w:val="00E966D9"/>
    <w:rsid w:val="00E96FB1"/>
    <w:rsid w:val="00EA0913"/>
    <w:rsid w:val="00EA5B00"/>
    <w:rsid w:val="00EA6F96"/>
    <w:rsid w:val="00EB146B"/>
    <w:rsid w:val="00EB45AC"/>
    <w:rsid w:val="00EC1A1D"/>
    <w:rsid w:val="00EC441F"/>
    <w:rsid w:val="00EC4755"/>
    <w:rsid w:val="00EC6A65"/>
    <w:rsid w:val="00ED0BC4"/>
    <w:rsid w:val="00ED21C1"/>
    <w:rsid w:val="00ED29B3"/>
    <w:rsid w:val="00ED447D"/>
    <w:rsid w:val="00EE4971"/>
    <w:rsid w:val="00EE6CB0"/>
    <w:rsid w:val="00EF05B2"/>
    <w:rsid w:val="00EF090E"/>
    <w:rsid w:val="00EF4D30"/>
    <w:rsid w:val="00EF4EE8"/>
    <w:rsid w:val="00EF5572"/>
    <w:rsid w:val="00F033DA"/>
    <w:rsid w:val="00F0392F"/>
    <w:rsid w:val="00F130CF"/>
    <w:rsid w:val="00F13691"/>
    <w:rsid w:val="00F13FB1"/>
    <w:rsid w:val="00F22C53"/>
    <w:rsid w:val="00F27CD8"/>
    <w:rsid w:val="00F30351"/>
    <w:rsid w:val="00F3323E"/>
    <w:rsid w:val="00F341F4"/>
    <w:rsid w:val="00F34F9D"/>
    <w:rsid w:val="00F35CCE"/>
    <w:rsid w:val="00F50041"/>
    <w:rsid w:val="00F5524B"/>
    <w:rsid w:val="00F5682A"/>
    <w:rsid w:val="00F60538"/>
    <w:rsid w:val="00F61DD2"/>
    <w:rsid w:val="00F66AFF"/>
    <w:rsid w:val="00F674C7"/>
    <w:rsid w:val="00F71433"/>
    <w:rsid w:val="00F7197D"/>
    <w:rsid w:val="00F74EAE"/>
    <w:rsid w:val="00F76739"/>
    <w:rsid w:val="00F83F59"/>
    <w:rsid w:val="00F860C9"/>
    <w:rsid w:val="00F927F0"/>
    <w:rsid w:val="00F97C5B"/>
    <w:rsid w:val="00FA3D50"/>
    <w:rsid w:val="00FA721C"/>
    <w:rsid w:val="00FB7FBD"/>
    <w:rsid w:val="00FC32B6"/>
    <w:rsid w:val="00FC374A"/>
    <w:rsid w:val="00FC74C8"/>
    <w:rsid w:val="00FC7B47"/>
    <w:rsid w:val="00FD035C"/>
    <w:rsid w:val="00FD1A35"/>
    <w:rsid w:val="00FD2EA4"/>
    <w:rsid w:val="00FD36C5"/>
    <w:rsid w:val="00FD6310"/>
    <w:rsid w:val="00FD7C7B"/>
    <w:rsid w:val="00FE1D12"/>
    <w:rsid w:val="00FE2122"/>
    <w:rsid w:val="00FE26F6"/>
    <w:rsid w:val="00FE2A86"/>
    <w:rsid w:val="00FE2DE2"/>
    <w:rsid w:val="00FF045E"/>
    <w:rsid w:val="00FF296F"/>
    <w:rsid w:val="00FF5E23"/>
    <w:rsid w:val="00FF6AEF"/>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FBC4B"/>
  <w15:docId w15:val="{CC9F5DA0-D587-7B4E-A8BF-D390C49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ootnote,Footnote Text Char Char1 Char,Footnote Text Char2 Char,Footnote Text1,Fußnotentext Char Char Char Char,Fußnotentext Char Char Char Char Char Char,Fußnotentext Char Char Char Char Char Char Char Char,Fußnotentextf,fn,footnotes,ft"/>
    <w:basedOn w:val="Normal"/>
    <w:link w:val="FootnoteTextChar"/>
    <w:unhideWhenUsed/>
    <w:rsid w:val="00241B44"/>
    <w:rPr>
      <w:szCs w:val="20"/>
    </w:rPr>
  </w:style>
  <w:style w:type="character" w:customStyle="1" w:styleId="FootnoteTextChar">
    <w:name w:val="Footnote Text Char"/>
    <w:aliases w:val="Footnote Char,Footnote Text Char Char1 Char Char,Footnote Text Char2 Char Char,Footnote Text1 Char,Fußnotentext Char Char Char Char Char,Fußnotentext Char Char Char Char Char Char Char,Fußnotentextf Char,fn Char,footnotes Char,ft Char"/>
    <w:basedOn w:val="DefaultParagraphFont"/>
    <w:link w:val="FootnoteText"/>
    <w:rsid w:val="00241B44"/>
    <w:rPr>
      <w:sz w:val="20"/>
      <w:szCs w:val="20"/>
    </w:rPr>
  </w:style>
  <w:style w:type="character" w:styleId="FootnoteReference">
    <w:name w:val="footnote reference"/>
    <w:aliases w:val=" BVI fnr,-E Fußnotenzeichen,-E Fuûnotenzeichen,-E Fuﬂnotenzeichen,16 Point,BVI fnr,EN Footnote Reference,Footnote Reference Superscript,Footnote Refernece,Footnote numbe,Ref,SUPERS,Superscript 6 Point,callout,de nota al pie,fr,numbe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NoSpacing">
    <w:name w:val="No Spacing"/>
    <w:uiPriority w:val="1"/>
    <w:qFormat/>
    <w:rsid w:val="00DE57E3"/>
    <w:rPr>
      <w:rFonts w:eastAsia="Times New Roman"/>
      <w:sz w:val="20"/>
    </w:rPr>
  </w:style>
  <w:style w:type="paragraph" w:customStyle="1" w:styleId="indent1">
    <w:name w:val="indent1"/>
    <w:basedOn w:val="Normal"/>
    <w:rsid w:val="009E28E3"/>
    <w:pPr>
      <w:spacing w:before="100" w:beforeAutospacing="1" w:after="100" w:afterAutospacing="1"/>
    </w:pPr>
    <w:rPr>
      <w:rFonts w:ascii="Times New Roman" w:hAnsi="Times New Roman" w:cs="Times New Roman"/>
      <w:sz w:val="24"/>
      <w:lang w:eastAsia="zh-CN"/>
    </w:rPr>
  </w:style>
  <w:style w:type="table" w:styleId="TableGrid">
    <w:name w:val="Table Grid"/>
    <w:basedOn w:val="TableNormal"/>
    <w:uiPriority w:val="39"/>
    <w:rsid w:val="000A1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2EE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9086">
      <w:bodyDiv w:val="1"/>
      <w:marLeft w:val="0"/>
      <w:marRight w:val="0"/>
      <w:marTop w:val="0"/>
      <w:marBottom w:val="0"/>
      <w:divBdr>
        <w:top w:val="none" w:sz="0" w:space="0" w:color="auto"/>
        <w:left w:val="none" w:sz="0" w:space="0" w:color="auto"/>
        <w:bottom w:val="none" w:sz="0" w:space="0" w:color="auto"/>
        <w:right w:val="none" w:sz="0" w:space="0" w:color="auto"/>
      </w:divBdr>
    </w:div>
    <w:div w:id="299002885">
      <w:bodyDiv w:val="1"/>
      <w:marLeft w:val="0"/>
      <w:marRight w:val="0"/>
      <w:marTop w:val="0"/>
      <w:marBottom w:val="0"/>
      <w:divBdr>
        <w:top w:val="none" w:sz="0" w:space="0" w:color="auto"/>
        <w:left w:val="none" w:sz="0" w:space="0" w:color="auto"/>
        <w:bottom w:val="none" w:sz="0" w:space="0" w:color="auto"/>
        <w:right w:val="none" w:sz="0" w:space="0" w:color="auto"/>
      </w:divBdr>
    </w:div>
    <w:div w:id="427579906">
      <w:bodyDiv w:val="1"/>
      <w:marLeft w:val="0"/>
      <w:marRight w:val="0"/>
      <w:marTop w:val="0"/>
      <w:marBottom w:val="0"/>
      <w:divBdr>
        <w:top w:val="none" w:sz="0" w:space="0" w:color="auto"/>
        <w:left w:val="none" w:sz="0" w:space="0" w:color="auto"/>
        <w:bottom w:val="none" w:sz="0" w:space="0" w:color="auto"/>
        <w:right w:val="none" w:sz="0" w:space="0" w:color="auto"/>
      </w:divBdr>
    </w:div>
    <w:div w:id="597829948">
      <w:bodyDiv w:val="1"/>
      <w:marLeft w:val="0"/>
      <w:marRight w:val="0"/>
      <w:marTop w:val="0"/>
      <w:marBottom w:val="0"/>
      <w:divBdr>
        <w:top w:val="none" w:sz="0" w:space="0" w:color="auto"/>
        <w:left w:val="none" w:sz="0" w:space="0" w:color="auto"/>
        <w:bottom w:val="none" w:sz="0" w:space="0" w:color="auto"/>
        <w:right w:val="none" w:sz="0" w:space="0" w:color="auto"/>
      </w:divBdr>
    </w:div>
    <w:div w:id="755710273">
      <w:bodyDiv w:val="1"/>
      <w:marLeft w:val="0"/>
      <w:marRight w:val="0"/>
      <w:marTop w:val="0"/>
      <w:marBottom w:val="0"/>
      <w:divBdr>
        <w:top w:val="none" w:sz="0" w:space="0" w:color="auto"/>
        <w:left w:val="none" w:sz="0" w:space="0" w:color="auto"/>
        <w:bottom w:val="none" w:sz="0" w:space="0" w:color="auto"/>
        <w:right w:val="none" w:sz="0" w:space="0" w:color="auto"/>
      </w:divBdr>
    </w:div>
    <w:div w:id="783696709">
      <w:bodyDiv w:val="1"/>
      <w:marLeft w:val="0"/>
      <w:marRight w:val="0"/>
      <w:marTop w:val="0"/>
      <w:marBottom w:val="0"/>
      <w:divBdr>
        <w:top w:val="none" w:sz="0" w:space="0" w:color="auto"/>
        <w:left w:val="none" w:sz="0" w:space="0" w:color="auto"/>
        <w:bottom w:val="none" w:sz="0" w:space="0" w:color="auto"/>
        <w:right w:val="none" w:sz="0" w:space="0" w:color="auto"/>
      </w:divBdr>
    </w:div>
    <w:div w:id="821696749">
      <w:bodyDiv w:val="1"/>
      <w:marLeft w:val="0"/>
      <w:marRight w:val="0"/>
      <w:marTop w:val="0"/>
      <w:marBottom w:val="0"/>
      <w:divBdr>
        <w:top w:val="none" w:sz="0" w:space="0" w:color="auto"/>
        <w:left w:val="none" w:sz="0" w:space="0" w:color="auto"/>
        <w:bottom w:val="none" w:sz="0" w:space="0" w:color="auto"/>
        <w:right w:val="none" w:sz="0" w:space="0" w:color="auto"/>
      </w:divBdr>
    </w:div>
    <w:div w:id="865102041">
      <w:bodyDiv w:val="1"/>
      <w:marLeft w:val="0"/>
      <w:marRight w:val="0"/>
      <w:marTop w:val="0"/>
      <w:marBottom w:val="0"/>
      <w:divBdr>
        <w:top w:val="none" w:sz="0" w:space="0" w:color="auto"/>
        <w:left w:val="none" w:sz="0" w:space="0" w:color="auto"/>
        <w:bottom w:val="none" w:sz="0" w:space="0" w:color="auto"/>
        <w:right w:val="none" w:sz="0" w:space="0" w:color="auto"/>
      </w:divBdr>
    </w:div>
    <w:div w:id="888228181">
      <w:bodyDiv w:val="1"/>
      <w:marLeft w:val="0"/>
      <w:marRight w:val="0"/>
      <w:marTop w:val="0"/>
      <w:marBottom w:val="0"/>
      <w:divBdr>
        <w:top w:val="none" w:sz="0" w:space="0" w:color="auto"/>
        <w:left w:val="none" w:sz="0" w:space="0" w:color="auto"/>
        <w:bottom w:val="none" w:sz="0" w:space="0" w:color="auto"/>
        <w:right w:val="none" w:sz="0" w:space="0" w:color="auto"/>
      </w:divBdr>
    </w:div>
    <w:div w:id="1265923729">
      <w:bodyDiv w:val="1"/>
      <w:marLeft w:val="0"/>
      <w:marRight w:val="0"/>
      <w:marTop w:val="0"/>
      <w:marBottom w:val="0"/>
      <w:divBdr>
        <w:top w:val="none" w:sz="0" w:space="0" w:color="auto"/>
        <w:left w:val="none" w:sz="0" w:space="0" w:color="auto"/>
        <w:bottom w:val="none" w:sz="0" w:space="0" w:color="auto"/>
        <w:right w:val="none" w:sz="0" w:space="0" w:color="auto"/>
      </w:divBdr>
    </w:div>
    <w:div w:id="1296527437">
      <w:bodyDiv w:val="1"/>
      <w:marLeft w:val="0"/>
      <w:marRight w:val="0"/>
      <w:marTop w:val="0"/>
      <w:marBottom w:val="0"/>
      <w:divBdr>
        <w:top w:val="none" w:sz="0" w:space="0" w:color="auto"/>
        <w:left w:val="none" w:sz="0" w:space="0" w:color="auto"/>
        <w:bottom w:val="none" w:sz="0" w:space="0" w:color="auto"/>
        <w:right w:val="none" w:sz="0" w:space="0" w:color="auto"/>
      </w:divBdr>
    </w:div>
    <w:div w:id="1331300189">
      <w:bodyDiv w:val="1"/>
      <w:marLeft w:val="0"/>
      <w:marRight w:val="0"/>
      <w:marTop w:val="0"/>
      <w:marBottom w:val="0"/>
      <w:divBdr>
        <w:top w:val="none" w:sz="0" w:space="0" w:color="auto"/>
        <w:left w:val="none" w:sz="0" w:space="0" w:color="auto"/>
        <w:bottom w:val="none" w:sz="0" w:space="0" w:color="auto"/>
        <w:right w:val="none" w:sz="0" w:space="0" w:color="auto"/>
      </w:divBdr>
    </w:div>
    <w:div w:id="1753352283">
      <w:bodyDiv w:val="1"/>
      <w:marLeft w:val="0"/>
      <w:marRight w:val="0"/>
      <w:marTop w:val="0"/>
      <w:marBottom w:val="0"/>
      <w:divBdr>
        <w:top w:val="none" w:sz="0" w:space="0" w:color="auto"/>
        <w:left w:val="none" w:sz="0" w:space="0" w:color="auto"/>
        <w:bottom w:val="none" w:sz="0" w:space="0" w:color="auto"/>
        <w:right w:val="none" w:sz="0" w:space="0" w:color="auto"/>
      </w:divBdr>
    </w:div>
    <w:div w:id="1827354495">
      <w:bodyDiv w:val="1"/>
      <w:marLeft w:val="0"/>
      <w:marRight w:val="0"/>
      <w:marTop w:val="0"/>
      <w:marBottom w:val="0"/>
      <w:divBdr>
        <w:top w:val="none" w:sz="0" w:space="0" w:color="auto"/>
        <w:left w:val="none" w:sz="0" w:space="0" w:color="auto"/>
        <w:bottom w:val="none" w:sz="0" w:space="0" w:color="auto"/>
        <w:right w:val="none" w:sz="0" w:space="0" w:color="auto"/>
      </w:divBdr>
    </w:div>
    <w:div w:id="1910386257">
      <w:bodyDiv w:val="1"/>
      <w:marLeft w:val="0"/>
      <w:marRight w:val="0"/>
      <w:marTop w:val="0"/>
      <w:marBottom w:val="0"/>
      <w:divBdr>
        <w:top w:val="none" w:sz="0" w:space="0" w:color="auto"/>
        <w:left w:val="none" w:sz="0" w:space="0" w:color="auto"/>
        <w:bottom w:val="none" w:sz="0" w:space="0" w:color="auto"/>
        <w:right w:val="none" w:sz="0" w:space="0" w:color="auto"/>
      </w:divBdr>
    </w:div>
    <w:div w:id="20225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ocument xmlns="http://hoganlovells.com/word2010/custom">
  <fields>
    <field id="Author" dmfield="AUTHOR_ID" type="string">LANGHORS</field>
    <field id="AuthorName" dmfield="" type="string"/>
    <field id="ClientNumber" dmfield="CLIENT_ID" type="string">1N9999</field>
    <field id="MatterNumber" dmfield="MATTER_ID" type="string">999999</field>
    <field id="DocumentType" dmfield="TYPE_ID" type="string">OTH</field>
    <field id="DocumentTitle" dmfield="DOCNAME" type="string"/>
    <field id="DocumentNumber" dmfield="DOCNUM" type="string">252549</field>
    <field id="Library" dmfield="" type="string">SNGLIB01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252549</field>
    <field id="FirstPageHeaded" dmfield="" type="">False</field>
    <field id="ContPage" dmfield="" type="">False</field>
    <field id="DraftSpacing" dmfield="" type="">False</field>
    <field id="DocID" dmfield="" type="">SNGLIB01/LANGHORS/252549.1</field>
    <field id="FirmName" dmfield="" type="">Hogan Lovells</field>
  </fields>
</customdocument>
</file>

<file path=customXml/itemProps1.xml><?xml version="1.0" encoding="utf-8"?>
<ds:datastoreItem xmlns:ds="http://schemas.openxmlformats.org/officeDocument/2006/customXml" ds:itemID="{F4E8187C-6961-4FDE-8518-DD8A2585D87D}">
  <ds:schemaRefs>
    <ds:schemaRef ds:uri="http://schemas.openxmlformats.org/officeDocument/2006/bibliography"/>
  </ds:schemaRefs>
</ds:datastoreItem>
</file>

<file path=customXml/itemProps2.xml><?xml version="1.0" encoding="utf-8"?>
<ds:datastoreItem xmlns:ds="http://schemas.openxmlformats.org/officeDocument/2006/customXml" ds:itemID="{7C452ADE-064E-4737-A46F-1B2D5DB905D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5195</Words>
  <Characters>25720</Characters>
  <Application>Microsoft Office Word</Application>
  <DocSecurity>0</DocSecurity>
  <Lines>659</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Mittal, Anu</dc:creator>
  <cp:lastModifiedBy>David Burdette</cp:lastModifiedBy>
  <cp:revision>2</cp:revision>
  <dcterms:created xsi:type="dcterms:W3CDTF">2021-09-06T18:01:00Z</dcterms:created>
  <dcterms:modified xsi:type="dcterms:W3CDTF">2021-09-06T18:01:00Z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20200324125407849</vt:lpwstr>
  </property>
</Properties>
</file>