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F71FB1" w:rsidRDefault="002B2F9F" w:rsidP="00BE65AA">
      <w:pPr>
        <w:pStyle w:val="ListParagraph"/>
        <w:numPr>
          <w:ilvl w:val="0"/>
          <w:numId w:val="4"/>
        </w:numPr>
        <w:ind w:left="426"/>
        <w:jc w:val="both"/>
        <w:rPr>
          <w:rFonts w:ascii="Arial" w:hAnsi="Arial" w:cs="Arial"/>
          <w:sz w:val="22"/>
          <w:szCs w:val="22"/>
          <w:lang w:val="en-GB"/>
        </w:rPr>
      </w:pPr>
      <w:r w:rsidRPr="00F71FB1">
        <w:rPr>
          <w:rFonts w:ascii="Arial" w:hAnsi="Arial" w:cs="Arial"/>
          <w:sz w:val="22"/>
          <w:szCs w:val="22"/>
          <w:lang w:val="en-GB"/>
        </w:rPr>
        <w:t>Adoption of the UNCITRAL Model Law on Cross-Border Insolvency</w:t>
      </w:r>
      <w:r w:rsidR="00E95C42" w:rsidRPr="00F71FB1">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F71FB1" w:rsidRDefault="00831582" w:rsidP="00BE65AA">
      <w:pPr>
        <w:pStyle w:val="ListParagraph"/>
        <w:numPr>
          <w:ilvl w:val="0"/>
          <w:numId w:val="4"/>
        </w:numPr>
        <w:ind w:left="426"/>
        <w:jc w:val="both"/>
        <w:rPr>
          <w:rFonts w:ascii="Arial" w:hAnsi="Arial" w:cs="Arial"/>
          <w:sz w:val="22"/>
          <w:szCs w:val="22"/>
          <w:highlight w:val="yellow"/>
        </w:rPr>
      </w:pPr>
      <w:r w:rsidRPr="00F71FB1">
        <w:rPr>
          <w:rFonts w:ascii="Arial" w:hAnsi="Arial" w:cs="Arial"/>
          <w:sz w:val="22"/>
          <w:szCs w:val="22"/>
          <w:highlight w:val="yellow"/>
          <w:lang w:val="en-GB"/>
        </w:rPr>
        <w:t>To e</w:t>
      </w:r>
      <w:r w:rsidR="002B2F9F" w:rsidRPr="00F71FB1">
        <w:rPr>
          <w:rFonts w:ascii="Arial" w:hAnsi="Arial" w:cs="Arial"/>
          <w:sz w:val="22"/>
          <w:szCs w:val="22"/>
          <w:highlight w:val="yellow"/>
          <w:lang w:val="en-GB"/>
        </w:rPr>
        <w:t>nhance Singapore’s insolvency and restructuring laws</w:t>
      </w:r>
      <w:r w:rsidR="002B2F9F" w:rsidRPr="00F71FB1" w:rsidDel="002B2F9F">
        <w:rPr>
          <w:rFonts w:ascii="Arial" w:hAnsi="Arial" w:cs="Arial"/>
          <w:sz w:val="22"/>
          <w:szCs w:val="22"/>
          <w:highlight w:val="yellow"/>
          <w:lang w:val="en-GB"/>
        </w:rPr>
        <w:t xml:space="preserve"> </w:t>
      </w:r>
      <w:r w:rsidR="00E95C42" w:rsidRPr="00F71FB1">
        <w:rPr>
          <w:rFonts w:ascii="Arial" w:hAnsi="Arial" w:cs="Arial"/>
          <w:sz w:val="22"/>
          <w:szCs w:val="22"/>
          <w:highlight w:val="yellow"/>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D83894">
        <w:rPr>
          <w:rFonts w:ascii="Arial" w:hAnsi="Arial" w:cs="Arial"/>
          <w:sz w:val="22"/>
          <w:szCs w:val="22"/>
          <w:highlight w:val="yellow"/>
          <w:lang w:val="en-GB"/>
        </w:rPr>
        <w:t>A</w:t>
      </w:r>
      <w:r w:rsidR="001A4484" w:rsidRPr="00D83894">
        <w:rPr>
          <w:rFonts w:ascii="Arial" w:hAnsi="Arial" w:cs="Arial"/>
          <w:sz w:val="22"/>
          <w:szCs w:val="22"/>
          <w:highlight w:val="yellow"/>
          <w:lang w:val="en-GB"/>
        </w:rPr>
        <w:t>ny of the above</w:t>
      </w:r>
      <w:r w:rsidRPr="000F0B79">
        <w:rPr>
          <w:rFonts w:ascii="Arial" w:hAnsi="Arial" w:cs="Arial"/>
          <w:sz w:val="22"/>
          <w:szCs w:val="22"/>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D83894" w:rsidRDefault="00FC32B6" w:rsidP="00BE65AA">
      <w:pPr>
        <w:pStyle w:val="ListParagraph"/>
        <w:numPr>
          <w:ilvl w:val="0"/>
          <w:numId w:val="6"/>
        </w:numPr>
        <w:ind w:left="426"/>
        <w:jc w:val="both"/>
        <w:rPr>
          <w:rFonts w:ascii="Arial" w:hAnsi="Arial" w:cs="Arial"/>
          <w:sz w:val="22"/>
          <w:szCs w:val="22"/>
          <w:highlight w:val="yellow"/>
          <w:lang w:val="en-GB"/>
        </w:rPr>
      </w:pPr>
      <w:r w:rsidRPr="00D83894">
        <w:rPr>
          <w:rFonts w:ascii="Arial" w:hAnsi="Arial" w:cs="Arial"/>
          <w:sz w:val="22"/>
          <w:szCs w:val="22"/>
          <w:highlight w:val="yellow"/>
          <w:lang w:val="en-GB"/>
        </w:rPr>
        <w:t>Any of the above</w:t>
      </w:r>
      <w:r w:rsidR="00EA6F96" w:rsidRPr="00D83894">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Pr="00503885" w:rsidRDefault="0007291B" w:rsidP="00BE65AA">
      <w:pPr>
        <w:pStyle w:val="ListParagraph"/>
        <w:numPr>
          <w:ilvl w:val="0"/>
          <w:numId w:val="7"/>
        </w:numPr>
        <w:ind w:left="426"/>
        <w:jc w:val="both"/>
        <w:rPr>
          <w:rFonts w:ascii="Arial" w:hAnsi="Arial" w:cs="Arial"/>
          <w:sz w:val="22"/>
          <w:szCs w:val="22"/>
          <w:highlight w:val="yellow"/>
          <w:lang w:val="en-GB"/>
        </w:rPr>
      </w:pPr>
      <w:r w:rsidRPr="00503885">
        <w:rPr>
          <w:rFonts w:ascii="Arial" w:hAnsi="Arial" w:cs="Arial"/>
          <w:sz w:val="22"/>
          <w:szCs w:val="22"/>
          <w:highlight w:val="yellow"/>
          <w:lang w:val="en-GB"/>
        </w:rPr>
        <w:t xml:space="preserve">Over 75% in </w:t>
      </w:r>
      <w:r w:rsidR="00416B96" w:rsidRPr="00503885">
        <w:rPr>
          <w:rFonts w:ascii="Arial" w:hAnsi="Arial" w:cs="Arial"/>
          <w:sz w:val="22"/>
          <w:szCs w:val="22"/>
          <w:highlight w:val="yellow"/>
          <w:lang w:val="en-GB"/>
        </w:rPr>
        <w:t>number</w:t>
      </w:r>
      <w:r w:rsidR="00F50041" w:rsidRPr="00503885">
        <w:rPr>
          <w:rFonts w:ascii="Arial" w:hAnsi="Arial" w:cs="Arial"/>
          <w:sz w:val="22"/>
          <w:szCs w:val="22"/>
          <w:highlight w:val="yellow"/>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503885" w:rsidRDefault="00C041E8" w:rsidP="00BE65AA">
      <w:pPr>
        <w:pStyle w:val="ListParagraph"/>
        <w:numPr>
          <w:ilvl w:val="0"/>
          <w:numId w:val="8"/>
        </w:numPr>
        <w:ind w:left="426"/>
        <w:jc w:val="both"/>
        <w:rPr>
          <w:rFonts w:ascii="Arial" w:hAnsi="Arial" w:cs="Arial"/>
          <w:sz w:val="22"/>
          <w:szCs w:val="22"/>
          <w:highlight w:val="yellow"/>
          <w:lang w:val="en-GB"/>
        </w:rPr>
      </w:pPr>
      <w:r w:rsidRPr="00503885">
        <w:rPr>
          <w:rFonts w:ascii="Arial" w:hAnsi="Arial" w:cs="Arial"/>
          <w:sz w:val="22"/>
          <w:szCs w:val="22"/>
          <w:highlight w:val="yellow"/>
          <w:lang w:val="en-GB"/>
        </w:rPr>
        <w:t>The automatic moratorium can be obtained without filing an application to Court</w:t>
      </w:r>
      <w:r w:rsidR="003E22E2" w:rsidRPr="00503885">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905625" w:rsidRDefault="00A92054" w:rsidP="00BE65AA">
      <w:pPr>
        <w:pStyle w:val="ListParagraph"/>
        <w:numPr>
          <w:ilvl w:val="0"/>
          <w:numId w:val="9"/>
        </w:numPr>
        <w:ind w:left="426"/>
        <w:jc w:val="both"/>
        <w:rPr>
          <w:rFonts w:ascii="Arial" w:hAnsi="Arial" w:cs="Arial"/>
          <w:sz w:val="22"/>
          <w:szCs w:val="22"/>
          <w:highlight w:val="yellow"/>
          <w:lang w:val="en-GB"/>
        </w:rPr>
      </w:pPr>
      <w:r w:rsidRPr="00905625">
        <w:rPr>
          <w:rFonts w:ascii="Arial" w:hAnsi="Arial" w:cs="Arial"/>
          <w:sz w:val="22"/>
          <w:szCs w:val="22"/>
          <w:highlight w:val="yellow"/>
          <w:lang w:val="en-GB"/>
        </w:rPr>
        <w:t>A receiver is appointed over the assets of the company</w:t>
      </w:r>
      <w:r w:rsidR="00B50EA0" w:rsidRPr="00905625">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P</w:t>
      </w:r>
      <w:r w:rsidR="001A4484" w:rsidRPr="003541EB">
        <w:rPr>
          <w:rFonts w:ascii="Arial" w:hAnsi="Arial" w:cs="Arial"/>
          <w:sz w:val="22"/>
          <w:szCs w:val="22"/>
          <w:lang w:val="en-GB"/>
        </w:rPr>
        <w:t>reserving all or part of the company</w:t>
      </w:r>
      <w:r w:rsidR="004D7749" w:rsidRPr="003541EB">
        <w:rPr>
          <w:rFonts w:ascii="Arial" w:hAnsi="Arial" w:cs="Arial"/>
          <w:sz w:val="22"/>
          <w:szCs w:val="22"/>
          <w:lang w:val="en-GB"/>
        </w:rPr>
        <w:t>’</w:t>
      </w:r>
      <w:r w:rsidR="001A4484" w:rsidRPr="003541EB">
        <w:rPr>
          <w:rFonts w:ascii="Arial" w:hAnsi="Arial" w:cs="Arial"/>
          <w:sz w:val="22"/>
          <w:szCs w:val="22"/>
          <w:lang w:val="en-GB"/>
        </w:rPr>
        <w:t>s business as a going concern</w:t>
      </w:r>
      <w:r w:rsidRPr="003541EB">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Pr="00F71FB1" w:rsidRDefault="0007291B" w:rsidP="00BE65AA">
      <w:pPr>
        <w:pStyle w:val="ListParagraph"/>
        <w:numPr>
          <w:ilvl w:val="0"/>
          <w:numId w:val="10"/>
        </w:numPr>
        <w:ind w:left="426"/>
        <w:jc w:val="both"/>
        <w:rPr>
          <w:rFonts w:ascii="Arial" w:hAnsi="Arial" w:cs="Arial"/>
          <w:sz w:val="22"/>
          <w:szCs w:val="22"/>
          <w:lang w:val="en-GB"/>
        </w:rPr>
      </w:pPr>
      <w:r w:rsidRPr="00F71FB1">
        <w:rPr>
          <w:rFonts w:ascii="Arial" w:hAnsi="Arial" w:cs="Arial"/>
          <w:sz w:val="22"/>
          <w:szCs w:val="22"/>
          <w:lang w:val="en-GB"/>
        </w:rPr>
        <w:t>A</w:t>
      </w:r>
      <w:r w:rsidR="001A4484" w:rsidRPr="00F71FB1">
        <w:rPr>
          <w:rFonts w:ascii="Arial" w:hAnsi="Arial" w:cs="Arial"/>
          <w:sz w:val="22"/>
          <w:szCs w:val="22"/>
          <w:lang w:val="en-GB"/>
        </w:rPr>
        <w:t>s a means for the secured creditors to realise their security</w:t>
      </w:r>
      <w:r w:rsidRPr="00F71FB1">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F71FB1">
        <w:rPr>
          <w:rFonts w:ascii="Arial" w:hAnsi="Arial" w:cs="Arial"/>
          <w:sz w:val="22"/>
          <w:szCs w:val="22"/>
          <w:highlight w:val="yellow"/>
          <w:lang w:val="en-GB"/>
        </w:rPr>
        <w:t>T</w:t>
      </w:r>
      <w:r w:rsidR="009E2A56" w:rsidRPr="00F71FB1">
        <w:rPr>
          <w:rFonts w:ascii="Arial" w:hAnsi="Arial" w:cs="Arial"/>
          <w:sz w:val="22"/>
          <w:szCs w:val="22"/>
          <w:highlight w:val="yellow"/>
          <w:lang w:val="en-GB"/>
        </w:rPr>
        <w:t>o liquidate the company in a fast</w:t>
      </w:r>
      <w:r w:rsidR="003541EB" w:rsidRPr="00F71FB1">
        <w:rPr>
          <w:rFonts w:ascii="Arial" w:hAnsi="Arial" w:cs="Arial"/>
          <w:sz w:val="22"/>
          <w:szCs w:val="22"/>
          <w:highlight w:val="yellow"/>
          <w:lang w:val="en-GB"/>
        </w:rPr>
        <w:t>-</w:t>
      </w:r>
      <w:r w:rsidR="009E2A56" w:rsidRPr="00F71FB1">
        <w:rPr>
          <w:rFonts w:ascii="Arial" w:hAnsi="Arial" w:cs="Arial"/>
          <w:sz w:val="22"/>
          <w:szCs w:val="22"/>
          <w:highlight w:val="yellow"/>
          <w:lang w:val="en-GB"/>
        </w:rPr>
        <w:t>track and cost-efficient manner</w:t>
      </w:r>
      <w:r w:rsidR="003541EB" w:rsidRPr="00F71FB1">
        <w:rPr>
          <w:rFonts w:ascii="Arial" w:hAnsi="Arial" w:cs="Arial"/>
          <w:sz w:val="22"/>
          <w:szCs w:val="22"/>
          <w:highlight w:val="yellow"/>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74640D" w:rsidRDefault="006F2457" w:rsidP="00BE65AA">
      <w:pPr>
        <w:pStyle w:val="ListParagraph"/>
        <w:numPr>
          <w:ilvl w:val="0"/>
          <w:numId w:val="11"/>
        </w:numPr>
        <w:ind w:left="426"/>
        <w:jc w:val="both"/>
        <w:rPr>
          <w:rFonts w:ascii="Arial" w:hAnsi="Arial" w:cs="Arial"/>
          <w:sz w:val="22"/>
          <w:szCs w:val="22"/>
          <w:highlight w:val="yellow"/>
          <w:lang w:val="en-GB"/>
        </w:rPr>
      </w:pPr>
      <w:r w:rsidRPr="0074640D">
        <w:rPr>
          <w:rFonts w:ascii="Arial" w:hAnsi="Arial" w:cs="Arial"/>
          <w:sz w:val="22"/>
          <w:szCs w:val="22"/>
          <w:highlight w:val="yellow"/>
          <w:lang w:val="en-GB"/>
        </w:rPr>
        <w:t>Receivership</w:t>
      </w:r>
      <w:r w:rsidR="000C2AB6" w:rsidRPr="0074640D">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74640D" w:rsidRDefault="00C041E8" w:rsidP="00BE65AA">
      <w:pPr>
        <w:pStyle w:val="ListParagraph"/>
        <w:numPr>
          <w:ilvl w:val="0"/>
          <w:numId w:val="12"/>
        </w:numPr>
        <w:ind w:left="426"/>
        <w:jc w:val="both"/>
        <w:rPr>
          <w:rFonts w:ascii="Arial" w:hAnsi="Arial" w:cs="Arial"/>
          <w:sz w:val="22"/>
          <w:szCs w:val="22"/>
          <w:highlight w:val="yellow"/>
          <w:lang w:val="en-GB"/>
        </w:rPr>
      </w:pPr>
      <w:r w:rsidRPr="0074640D">
        <w:rPr>
          <w:rFonts w:ascii="Arial" w:hAnsi="Arial" w:cs="Arial"/>
          <w:sz w:val="22"/>
          <w:szCs w:val="22"/>
          <w:highlight w:val="yellow"/>
          <w:lang w:val="en-GB"/>
        </w:rPr>
        <w:t>Brunei</w:t>
      </w:r>
      <w:r w:rsidR="00361BAA" w:rsidRPr="0074640D">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F131F6">
        <w:rPr>
          <w:rFonts w:ascii="Arial" w:hAnsi="Arial" w:cs="Arial"/>
          <w:sz w:val="22"/>
          <w:szCs w:val="22"/>
          <w:highlight w:val="yellow"/>
          <w:lang w:val="en-GB"/>
        </w:rPr>
        <w:t xml:space="preserve">The High Court </w:t>
      </w:r>
      <w:r w:rsidR="00416B96" w:rsidRPr="00F131F6">
        <w:rPr>
          <w:rFonts w:ascii="Arial" w:hAnsi="Arial" w:cs="Arial"/>
          <w:sz w:val="22"/>
          <w:szCs w:val="22"/>
          <w:highlight w:val="yellow"/>
          <w:lang w:val="en-GB"/>
        </w:rPr>
        <w:t xml:space="preserve">did not grant </w:t>
      </w:r>
      <w:r w:rsidRPr="00F131F6">
        <w:rPr>
          <w:rFonts w:ascii="Arial" w:hAnsi="Arial" w:cs="Arial"/>
          <w:sz w:val="22"/>
          <w:szCs w:val="22"/>
          <w:highlight w:val="yellow"/>
          <w:lang w:val="en-GB"/>
        </w:rPr>
        <w:t>full recognition of the US Chapter 7 proceedings</w:t>
      </w:r>
      <w:r w:rsidR="00726B93" w:rsidRPr="00F131F6">
        <w:rPr>
          <w:rFonts w:ascii="Arial" w:hAnsi="Arial" w:cs="Arial"/>
          <w:sz w:val="22"/>
          <w:szCs w:val="22"/>
          <w:highlight w:val="yellow"/>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Pr="00F131F6" w:rsidRDefault="0007291B" w:rsidP="00BE65AA">
      <w:pPr>
        <w:pStyle w:val="ListParagraph"/>
        <w:numPr>
          <w:ilvl w:val="0"/>
          <w:numId w:val="13"/>
        </w:numPr>
        <w:ind w:left="426"/>
        <w:jc w:val="both"/>
        <w:rPr>
          <w:rFonts w:ascii="Arial" w:hAnsi="Arial" w:cs="Arial"/>
          <w:sz w:val="22"/>
          <w:szCs w:val="22"/>
          <w:lang w:val="en-GB"/>
        </w:rPr>
      </w:pPr>
      <w:r w:rsidRPr="00F131F6">
        <w:rPr>
          <w:rFonts w:ascii="Arial" w:hAnsi="Arial" w:cs="Arial"/>
          <w:sz w:val="22"/>
          <w:szCs w:val="22"/>
          <w:lang w:val="en-GB"/>
        </w:rPr>
        <w:t xml:space="preserve">The </w:t>
      </w:r>
      <w:r w:rsidR="00416B96" w:rsidRPr="00F131F6">
        <w:rPr>
          <w:rFonts w:ascii="Arial" w:hAnsi="Arial" w:cs="Arial"/>
          <w:sz w:val="22"/>
          <w:szCs w:val="22"/>
          <w:lang w:val="en-GB"/>
        </w:rPr>
        <w:t>US bankruptcy proceedings continued in breach of the Singapore injunction</w:t>
      </w:r>
      <w:r w:rsidR="00C66D43" w:rsidRPr="00F131F6">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66D43"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Court held that the omission of the word </w:t>
      </w:r>
      <w:r w:rsidR="004D7749" w:rsidRPr="00C66D43">
        <w:rPr>
          <w:rFonts w:ascii="Arial" w:hAnsi="Arial" w:cs="Arial"/>
          <w:sz w:val="22"/>
          <w:szCs w:val="22"/>
          <w:lang w:val="en-GB"/>
        </w:rPr>
        <w:t>“</w:t>
      </w:r>
      <w:r w:rsidRPr="00C66D43">
        <w:rPr>
          <w:rFonts w:ascii="Arial" w:hAnsi="Arial" w:cs="Arial"/>
          <w:sz w:val="22"/>
          <w:szCs w:val="22"/>
          <w:lang w:val="en-GB"/>
        </w:rPr>
        <w:t>manifestly</w:t>
      </w:r>
      <w:r w:rsidR="004D7749" w:rsidRPr="00C66D43">
        <w:rPr>
          <w:rFonts w:ascii="Arial" w:hAnsi="Arial" w:cs="Arial"/>
          <w:sz w:val="22"/>
          <w:szCs w:val="22"/>
          <w:lang w:val="en-GB"/>
        </w:rPr>
        <w:t>”</w:t>
      </w:r>
      <w:r w:rsidRPr="00C66D43">
        <w:rPr>
          <w:rFonts w:ascii="Arial" w:hAnsi="Arial" w:cs="Arial"/>
          <w:sz w:val="22"/>
          <w:szCs w:val="22"/>
          <w:lang w:val="en-GB"/>
        </w:rPr>
        <w:t xml:space="preserve"> from Article 6 of the Singapore Model Law meant that the standard of exclusion on public policy grounds was </w:t>
      </w:r>
      <w:r w:rsidR="00416B96" w:rsidRPr="00C66D43">
        <w:rPr>
          <w:rFonts w:ascii="Arial" w:hAnsi="Arial" w:cs="Arial"/>
          <w:sz w:val="22"/>
          <w:szCs w:val="22"/>
          <w:lang w:val="en-GB"/>
        </w:rPr>
        <w:t>higher</w:t>
      </w:r>
      <w:r w:rsidRPr="00C66D43">
        <w:rPr>
          <w:rFonts w:ascii="Arial" w:hAnsi="Arial" w:cs="Arial"/>
          <w:sz w:val="22"/>
          <w:szCs w:val="22"/>
          <w:lang w:val="en-GB"/>
        </w:rPr>
        <w:t xml:space="preserve"> than in jurisdictions where the Model Law had been enacted unmodified</w:t>
      </w:r>
      <w:r w:rsidR="00726B93" w:rsidRPr="00C66D43">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Default="00C55824" w:rsidP="002A37BB">
      <w:pPr>
        <w:jc w:val="both"/>
        <w:rPr>
          <w:rFonts w:ascii="Arial" w:hAnsi="Arial" w:cs="Arial"/>
          <w:bCs/>
          <w:sz w:val="22"/>
          <w:szCs w:val="22"/>
          <w:lang w:val="en-GB"/>
        </w:rPr>
      </w:pPr>
    </w:p>
    <w:p w14:paraId="235EB353" w14:textId="77777777" w:rsidR="0071191D" w:rsidRDefault="0071191D" w:rsidP="002A37BB">
      <w:pPr>
        <w:jc w:val="both"/>
        <w:rPr>
          <w:rFonts w:ascii="Arial" w:hAnsi="Arial" w:cs="Arial"/>
          <w:bCs/>
          <w:sz w:val="22"/>
          <w:szCs w:val="22"/>
          <w:lang w:val="en-GB"/>
        </w:rPr>
      </w:pPr>
    </w:p>
    <w:p w14:paraId="03123965" w14:textId="77777777" w:rsidR="0071191D" w:rsidRDefault="0071191D" w:rsidP="002A37BB">
      <w:pPr>
        <w:jc w:val="both"/>
        <w:rPr>
          <w:rFonts w:ascii="Arial" w:hAnsi="Arial" w:cs="Arial"/>
          <w:bCs/>
          <w:sz w:val="22"/>
          <w:szCs w:val="22"/>
          <w:lang w:val="en-GB"/>
        </w:rPr>
      </w:pPr>
    </w:p>
    <w:p w14:paraId="6D307AAE" w14:textId="77777777" w:rsidR="0071191D" w:rsidRDefault="0071191D" w:rsidP="002A37BB">
      <w:pPr>
        <w:jc w:val="both"/>
        <w:rPr>
          <w:rFonts w:ascii="Arial" w:hAnsi="Arial" w:cs="Arial"/>
          <w:bCs/>
          <w:sz w:val="22"/>
          <w:szCs w:val="22"/>
          <w:lang w:val="en-GB"/>
        </w:rPr>
      </w:pPr>
    </w:p>
    <w:p w14:paraId="77DF5EBE" w14:textId="77777777" w:rsidR="0071191D" w:rsidRDefault="0071191D" w:rsidP="002A37BB">
      <w:pPr>
        <w:jc w:val="both"/>
        <w:rPr>
          <w:rFonts w:ascii="Arial" w:hAnsi="Arial" w:cs="Arial"/>
          <w:bCs/>
          <w:sz w:val="22"/>
          <w:szCs w:val="22"/>
          <w:lang w:val="en-GB"/>
        </w:rPr>
      </w:pPr>
    </w:p>
    <w:p w14:paraId="4F42A7C4" w14:textId="77777777" w:rsidR="0071191D" w:rsidRDefault="0071191D" w:rsidP="002A37BB">
      <w:pPr>
        <w:jc w:val="both"/>
        <w:rPr>
          <w:rFonts w:ascii="Arial" w:hAnsi="Arial" w:cs="Arial"/>
          <w:bCs/>
          <w:sz w:val="22"/>
          <w:szCs w:val="22"/>
          <w:lang w:val="en-GB"/>
        </w:rPr>
      </w:pPr>
    </w:p>
    <w:p w14:paraId="4B2AF713" w14:textId="77777777" w:rsidR="0071191D" w:rsidRDefault="0071191D" w:rsidP="002A37BB">
      <w:pPr>
        <w:jc w:val="both"/>
        <w:rPr>
          <w:rFonts w:ascii="Arial" w:hAnsi="Arial" w:cs="Arial"/>
          <w:bCs/>
          <w:sz w:val="22"/>
          <w:szCs w:val="22"/>
          <w:lang w:val="en-GB"/>
        </w:rPr>
      </w:pPr>
    </w:p>
    <w:p w14:paraId="4A556AD2" w14:textId="77777777" w:rsidR="0071191D" w:rsidRDefault="0071191D" w:rsidP="002A37BB">
      <w:pPr>
        <w:jc w:val="both"/>
        <w:rPr>
          <w:rFonts w:ascii="Arial" w:hAnsi="Arial" w:cs="Arial"/>
          <w:bCs/>
          <w:sz w:val="22"/>
          <w:szCs w:val="22"/>
          <w:lang w:val="en-GB"/>
        </w:rPr>
      </w:pPr>
    </w:p>
    <w:p w14:paraId="49EFC8BD" w14:textId="77777777" w:rsidR="0071191D" w:rsidRDefault="0071191D" w:rsidP="002A37BB">
      <w:pPr>
        <w:jc w:val="both"/>
        <w:rPr>
          <w:rFonts w:ascii="Arial" w:hAnsi="Arial" w:cs="Arial"/>
          <w:bCs/>
          <w:sz w:val="22"/>
          <w:szCs w:val="22"/>
          <w:lang w:val="en-GB"/>
        </w:rPr>
      </w:pPr>
    </w:p>
    <w:p w14:paraId="0EF4DB52" w14:textId="77777777" w:rsidR="0071191D" w:rsidRDefault="0071191D" w:rsidP="002A37BB">
      <w:pPr>
        <w:jc w:val="both"/>
        <w:rPr>
          <w:rFonts w:ascii="Arial" w:hAnsi="Arial" w:cs="Arial"/>
          <w:bCs/>
          <w:sz w:val="22"/>
          <w:szCs w:val="22"/>
          <w:lang w:val="en-GB"/>
        </w:rPr>
      </w:pPr>
    </w:p>
    <w:p w14:paraId="628E9867" w14:textId="77777777" w:rsidR="0071191D" w:rsidRDefault="0071191D" w:rsidP="002A37BB">
      <w:pPr>
        <w:jc w:val="both"/>
        <w:rPr>
          <w:rFonts w:ascii="Arial" w:hAnsi="Arial" w:cs="Arial"/>
          <w:bCs/>
          <w:sz w:val="22"/>
          <w:szCs w:val="22"/>
          <w:lang w:val="en-GB"/>
        </w:rPr>
      </w:pPr>
    </w:p>
    <w:p w14:paraId="1379896D" w14:textId="77777777" w:rsidR="0071191D" w:rsidRDefault="0071191D" w:rsidP="002A37BB">
      <w:pPr>
        <w:jc w:val="both"/>
        <w:rPr>
          <w:rFonts w:ascii="Arial" w:hAnsi="Arial" w:cs="Arial"/>
          <w:bCs/>
          <w:sz w:val="22"/>
          <w:szCs w:val="22"/>
          <w:lang w:val="en-GB"/>
        </w:rPr>
      </w:pPr>
    </w:p>
    <w:p w14:paraId="3899E48D" w14:textId="77777777" w:rsidR="0071191D" w:rsidRDefault="0071191D" w:rsidP="002A37BB">
      <w:pPr>
        <w:jc w:val="both"/>
        <w:rPr>
          <w:rFonts w:ascii="Arial" w:hAnsi="Arial" w:cs="Arial"/>
          <w:bCs/>
          <w:sz w:val="22"/>
          <w:szCs w:val="22"/>
          <w:lang w:val="en-GB"/>
        </w:rPr>
      </w:pPr>
    </w:p>
    <w:p w14:paraId="02E1D9C8" w14:textId="77777777" w:rsidR="0071191D" w:rsidRPr="00C55824" w:rsidRDefault="0071191D"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Pr="00E64236" w:rsidRDefault="009C5286" w:rsidP="004D1C16">
      <w:pPr>
        <w:jc w:val="both"/>
        <w:rPr>
          <w:rFonts w:ascii="Arial" w:hAnsi="Arial" w:cs="Arial"/>
          <w:b/>
          <w:sz w:val="22"/>
          <w:szCs w:val="22"/>
          <w:lang w:val="en-GB"/>
        </w:rPr>
      </w:pPr>
      <w:r w:rsidRPr="00E64236">
        <w:rPr>
          <w:rFonts w:ascii="Arial" w:hAnsi="Arial" w:cs="Arial"/>
          <w:b/>
          <w:sz w:val="22"/>
          <w:szCs w:val="22"/>
          <w:lang w:val="en-GB"/>
        </w:rPr>
        <w:t xml:space="preserve">Explain the elements </w:t>
      </w:r>
      <w:r w:rsidR="00226EAA" w:rsidRPr="00E64236">
        <w:rPr>
          <w:rFonts w:ascii="Arial" w:hAnsi="Arial" w:cs="Arial"/>
          <w:b/>
          <w:sz w:val="22"/>
          <w:szCs w:val="22"/>
          <w:lang w:val="en-GB"/>
        </w:rPr>
        <w:t>of</w:t>
      </w:r>
      <w:r w:rsidR="006E4183" w:rsidRPr="00E64236">
        <w:rPr>
          <w:rFonts w:ascii="Arial" w:hAnsi="Arial" w:cs="Arial"/>
          <w:b/>
          <w:sz w:val="22"/>
          <w:szCs w:val="22"/>
          <w:lang w:val="en-GB"/>
        </w:rPr>
        <w:t xml:space="preserve"> </w:t>
      </w:r>
      <w:r w:rsidR="006E4183" w:rsidRPr="00E64236">
        <w:rPr>
          <w:rFonts w:ascii="Arial" w:hAnsi="Arial" w:cs="Arial"/>
          <w:b/>
          <w:bCs/>
          <w:sz w:val="22"/>
          <w:szCs w:val="22"/>
          <w:lang w:val="en-GB"/>
        </w:rPr>
        <w:t>two</w:t>
      </w:r>
      <w:r w:rsidR="006E4183" w:rsidRPr="00E64236">
        <w:rPr>
          <w:rFonts w:ascii="Arial" w:hAnsi="Arial" w:cs="Arial"/>
          <w:b/>
          <w:sz w:val="22"/>
          <w:szCs w:val="22"/>
          <w:lang w:val="en-GB"/>
        </w:rPr>
        <w:t xml:space="preserve"> </w:t>
      </w:r>
      <w:r w:rsidR="009E717E" w:rsidRPr="00E64236">
        <w:rPr>
          <w:rFonts w:ascii="Arial" w:hAnsi="Arial" w:cs="Arial"/>
          <w:b/>
          <w:sz w:val="22"/>
          <w:szCs w:val="22"/>
          <w:lang w:val="en-GB"/>
        </w:rPr>
        <w:t>types</w:t>
      </w:r>
      <w:r w:rsidR="006E4183" w:rsidRPr="00E64236">
        <w:rPr>
          <w:rFonts w:ascii="Arial" w:hAnsi="Arial" w:cs="Arial"/>
          <w:b/>
          <w:sz w:val="22"/>
          <w:szCs w:val="22"/>
          <w:lang w:val="en-GB"/>
        </w:rPr>
        <w:t xml:space="preserve"> of impeachable transactions</w:t>
      </w:r>
      <w:r w:rsidR="009E717E" w:rsidRPr="00E64236">
        <w:rPr>
          <w:rFonts w:ascii="Arial" w:hAnsi="Arial" w:cs="Arial"/>
          <w:b/>
          <w:sz w:val="22"/>
          <w:szCs w:val="22"/>
          <w:lang w:val="en-GB"/>
        </w:rPr>
        <w:t xml:space="preserve"> under </w:t>
      </w:r>
      <w:r w:rsidR="004F5DE9" w:rsidRPr="00E64236">
        <w:rPr>
          <w:rFonts w:ascii="Arial" w:hAnsi="Arial" w:cs="Arial"/>
          <w:b/>
          <w:sz w:val="22"/>
          <w:szCs w:val="22"/>
          <w:lang w:val="en-GB"/>
        </w:rPr>
        <w:t>Singapore insolvency law</w:t>
      </w:r>
      <w:r w:rsidRPr="00E64236">
        <w:rPr>
          <w:rFonts w:ascii="Arial" w:hAnsi="Arial" w:cs="Arial"/>
          <w:b/>
          <w:sz w:val="22"/>
          <w:szCs w:val="22"/>
          <w:lang w:val="en-GB"/>
        </w:rPr>
        <w:t xml:space="preserve"> and what defences there may be</w:t>
      </w:r>
      <w:r w:rsidR="004D1C16" w:rsidRPr="00E64236">
        <w:rPr>
          <w:rFonts w:ascii="Arial" w:hAnsi="Arial" w:cs="Arial"/>
          <w:b/>
          <w:sz w:val="22"/>
          <w:szCs w:val="22"/>
          <w:lang w:val="en-GB"/>
        </w:rPr>
        <w:t xml:space="preserve"> to the two you have identified</w:t>
      </w:r>
      <w:r w:rsidR="006E4183" w:rsidRPr="00E64236">
        <w:rPr>
          <w:rFonts w:ascii="Arial" w:hAnsi="Arial" w:cs="Arial"/>
          <w:b/>
          <w:sz w:val="22"/>
          <w:szCs w:val="22"/>
          <w:lang w:val="en-GB"/>
        </w:rPr>
        <w:t xml:space="preserve">. </w:t>
      </w:r>
    </w:p>
    <w:p w14:paraId="77824C4A" w14:textId="77777777" w:rsidR="0020090A" w:rsidRPr="00E64236" w:rsidRDefault="0020090A" w:rsidP="002A37BB">
      <w:pPr>
        <w:ind w:left="720" w:hanging="720"/>
        <w:jc w:val="both"/>
        <w:rPr>
          <w:rFonts w:ascii="Arial" w:hAnsi="Arial" w:cs="Arial"/>
          <w:b/>
          <w:sz w:val="22"/>
          <w:szCs w:val="22"/>
          <w:lang w:val="en-GB"/>
        </w:rPr>
      </w:pPr>
    </w:p>
    <w:p w14:paraId="5CB59DF4" w14:textId="618DDF30" w:rsidR="009B07AD" w:rsidRPr="00E64236" w:rsidRDefault="00E64236" w:rsidP="002A37BB">
      <w:pPr>
        <w:ind w:left="720" w:hanging="720"/>
        <w:jc w:val="both"/>
        <w:rPr>
          <w:rFonts w:ascii="Arial" w:hAnsi="Arial" w:cs="Arial"/>
          <w:b/>
          <w:sz w:val="22"/>
          <w:szCs w:val="22"/>
          <w:lang w:val="en-GB"/>
        </w:rPr>
      </w:pPr>
      <w:r w:rsidRPr="00E64236">
        <w:rPr>
          <w:rFonts w:ascii="Arial" w:hAnsi="Arial" w:cs="Arial"/>
          <w:b/>
          <w:sz w:val="22"/>
          <w:szCs w:val="22"/>
          <w:lang w:val="en-GB"/>
        </w:rPr>
        <w:t xml:space="preserve">The elements of </w:t>
      </w:r>
      <w:r w:rsidRPr="00E64236">
        <w:rPr>
          <w:rFonts w:ascii="Arial" w:hAnsi="Arial" w:cs="Arial"/>
          <w:b/>
          <w:bCs/>
          <w:sz w:val="22"/>
          <w:szCs w:val="22"/>
          <w:lang w:val="en-GB"/>
        </w:rPr>
        <w:t>two</w:t>
      </w:r>
      <w:r w:rsidRPr="00E64236">
        <w:rPr>
          <w:rFonts w:ascii="Arial" w:hAnsi="Arial" w:cs="Arial"/>
          <w:b/>
          <w:sz w:val="22"/>
          <w:szCs w:val="22"/>
          <w:lang w:val="en-GB"/>
        </w:rPr>
        <w:t xml:space="preserve"> types of impeachable transactions under Singapore insolvency law</w:t>
      </w:r>
    </w:p>
    <w:p w14:paraId="3E798936" w14:textId="77777777" w:rsidR="00DE03AF" w:rsidRPr="002A37BB" w:rsidRDefault="00DE03AF" w:rsidP="002A37BB">
      <w:pPr>
        <w:jc w:val="both"/>
        <w:rPr>
          <w:rFonts w:ascii="Arial" w:hAnsi="Arial" w:cs="Arial"/>
          <w:sz w:val="22"/>
          <w:szCs w:val="22"/>
        </w:rPr>
      </w:pPr>
    </w:p>
    <w:p w14:paraId="0C23FF82" w14:textId="77777777" w:rsidR="0031380A" w:rsidRDefault="0031380A" w:rsidP="0031380A">
      <w:pPr>
        <w:pStyle w:val="BodyText"/>
        <w:spacing w:before="2"/>
        <w:rPr>
          <w:rFonts w:eastAsia="Times New Roman"/>
          <w:color w:val="7B7B7B" w:themeColor="accent3" w:themeShade="BF"/>
          <w:lang w:val="en-GB"/>
        </w:rPr>
      </w:pPr>
    </w:p>
    <w:p w14:paraId="7791873E" w14:textId="77777777" w:rsidR="0071191D" w:rsidRDefault="0071191D" w:rsidP="0071191D">
      <w:pPr>
        <w:pStyle w:val="BodyText"/>
        <w:spacing w:before="2"/>
        <w:ind w:right="-64"/>
        <w:rPr>
          <w:rFonts w:eastAsia="Times New Roman"/>
          <w:color w:val="7B7B7B" w:themeColor="accent3" w:themeShade="BF"/>
          <w:lang w:val="en-GB"/>
        </w:rPr>
      </w:pPr>
      <w:r>
        <w:rPr>
          <w:rFonts w:eastAsia="Times New Roman"/>
          <w:color w:val="7B7B7B" w:themeColor="accent3" w:themeShade="BF"/>
          <w:lang w:val="en-GB"/>
        </w:rPr>
        <w:t xml:space="preserve">The two types of impeachable transactions are </w:t>
      </w:r>
    </w:p>
    <w:p w14:paraId="2D6C77FE" w14:textId="24FE5EA5" w:rsidR="0071191D" w:rsidRPr="00E64236" w:rsidRDefault="0071191D" w:rsidP="0071191D">
      <w:pPr>
        <w:pStyle w:val="BodyText"/>
        <w:spacing w:before="2"/>
        <w:ind w:right="-64"/>
        <w:rPr>
          <w:rFonts w:eastAsia="Times New Roman"/>
          <w:color w:val="7B7B7B" w:themeColor="accent3" w:themeShade="BF"/>
          <w:lang w:val="en-GB"/>
        </w:rPr>
      </w:pPr>
      <w:r>
        <w:rPr>
          <w:rFonts w:eastAsia="Times New Roman"/>
          <w:color w:val="7B7B7B" w:themeColor="accent3" w:themeShade="BF"/>
          <w:lang w:val="en-GB"/>
        </w:rPr>
        <w:t xml:space="preserve"> </w:t>
      </w:r>
    </w:p>
    <w:p w14:paraId="5C0DD78C" w14:textId="1ED5B5B8" w:rsidR="0031380A" w:rsidRPr="00E64236" w:rsidRDefault="0031380A" w:rsidP="0071191D">
      <w:pPr>
        <w:pStyle w:val="ListParagraph"/>
        <w:widowControl w:val="0"/>
        <w:numPr>
          <w:ilvl w:val="0"/>
          <w:numId w:val="28"/>
        </w:numPr>
        <w:tabs>
          <w:tab w:val="left" w:pos="1247"/>
        </w:tabs>
        <w:autoSpaceDE w:val="0"/>
        <w:autoSpaceDN w:val="0"/>
        <w:spacing w:before="1"/>
        <w:ind w:right="-64"/>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an unfair or undue preference was given; or</w:t>
      </w:r>
    </w:p>
    <w:p w14:paraId="1A12EDFA" w14:textId="77777777" w:rsidR="0031380A" w:rsidRPr="00E64236" w:rsidRDefault="0031380A" w:rsidP="0071191D">
      <w:pPr>
        <w:pStyle w:val="BodyText"/>
        <w:spacing w:before="9"/>
        <w:ind w:right="-64"/>
        <w:jc w:val="both"/>
        <w:rPr>
          <w:rFonts w:eastAsia="Times New Roman"/>
          <w:color w:val="7B7B7B" w:themeColor="accent3" w:themeShade="BF"/>
          <w:lang w:val="en-GB"/>
        </w:rPr>
      </w:pPr>
    </w:p>
    <w:p w14:paraId="63405AAC" w14:textId="62028ACC" w:rsidR="0031380A" w:rsidRDefault="0031380A" w:rsidP="0071191D">
      <w:pPr>
        <w:pStyle w:val="ListParagraph"/>
        <w:widowControl w:val="0"/>
        <w:numPr>
          <w:ilvl w:val="0"/>
          <w:numId w:val="28"/>
        </w:numPr>
        <w:tabs>
          <w:tab w:val="left" w:pos="1246"/>
        </w:tabs>
        <w:autoSpaceDE w:val="0"/>
        <w:autoSpaceDN w:val="0"/>
        <w:ind w:right="-64"/>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transaction was conducted at an undervalue.</w:t>
      </w:r>
    </w:p>
    <w:p w14:paraId="59B16048" w14:textId="77777777" w:rsidR="00E64236" w:rsidRPr="00E64236" w:rsidRDefault="00E64236" w:rsidP="0071191D">
      <w:pPr>
        <w:pStyle w:val="ListParagraph"/>
        <w:ind w:right="-64"/>
        <w:jc w:val="both"/>
        <w:rPr>
          <w:rFonts w:ascii="Arial" w:hAnsi="Arial" w:cs="Arial"/>
          <w:color w:val="7B7B7B" w:themeColor="accent3" w:themeShade="BF"/>
          <w:sz w:val="22"/>
          <w:szCs w:val="22"/>
          <w:lang w:val="en-GB"/>
        </w:rPr>
      </w:pPr>
    </w:p>
    <w:p w14:paraId="5791A1DA" w14:textId="0181E0EF" w:rsidR="00020557" w:rsidRPr="00E64236" w:rsidRDefault="00020557" w:rsidP="0071191D">
      <w:pPr>
        <w:ind w:right="-64"/>
        <w:jc w:val="both"/>
        <w:rPr>
          <w:rFonts w:ascii="Arial" w:hAnsi="Arial" w:cs="Arial"/>
          <w:color w:val="7B7B7B" w:themeColor="accent3" w:themeShade="BF"/>
          <w:sz w:val="22"/>
          <w:szCs w:val="22"/>
          <w:lang w:val="en-GB"/>
        </w:rPr>
      </w:pPr>
    </w:p>
    <w:p w14:paraId="0CF7AFE6" w14:textId="0574BE38" w:rsidR="0031380A" w:rsidRPr="00E64236" w:rsidRDefault="0031380A" w:rsidP="0071191D">
      <w:pPr>
        <w:pStyle w:val="BodyText"/>
        <w:numPr>
          <w:ilvl w:val="0"/>
          <w:numId w:val="29"/>
        </w:numPr>
        <w:ind w:left="1080" w:right="-64" w:hanging="720"/>
        <w:jc w:val="both"/>
        <w:rPr>
          <w:rFonts w:eastAsia="Times New Roman"/>
          <w:color w:val="7B7B7B" w:themeColor="accent3" w:themeShade="BF"/>
          <w:lang w:val="en-GB"/>
        </w:rPr>
      </w:pPr>
      <w:r w:rsidRPr="00E64236">
        <w:rPr>
          <w:rFonts w:eastAsia="Times New Roman"/>
          <w:color w:val="7B7B7B" w:themeColor="accent3" w:themeShade="BF"/>
          <w:lang w:val="en-GB"/>
        </w:rPr>
        <w:t>For an unfair preference transaction, the liquidator must show four elements:</w:t>
      </w:r>
    </w:p>
    <w:p w14:paraId="1523B724" w14:textId="77777777" w:rsidR="0031380A" w:rsidRPr="00E64236" w:rsidRDefault="0031380A" w:rsidP="0071191D">
      <w:pPr>
        <w:pStyle w:val="BodyText"/>
        <w:spacing w:before="9"/>
        <w:ind w:left="1080" w:right="-64" w:hanging="360"/>
        <w:jc w:val="both"/>
        <w:rPr>
          <w:rFonts w:eastAsia="Times New Roman"/>
          <w:color w:val="7B7B7B" w:themeColor="accent3" w:themeShade="BF"/>
          <w:lang w:val="en-GB"/>
        </w:rPr>
      </w:pPr>
    </w:p>
    <w:p w14:paraId="1635967B" w14:textId="77777777" w:rsidR="0031380A" w:rsidRPr="00E64236" w:rsidRDefault="0031380A" w:rsidP="0071191D">
      <w:pPr>
        <w:pStyle w:val="ListParagraph"/>
        <w:widowControl w:val="0"/>
        <w:numPr>
          <w:ilvl w:val="0"/>
          <w:numId w:val="20"/>
        </w:numPr>
        <w:tabs>
          <w:tab w:val="left" w:pos="1246"/>
        </w:tabs>
        <w:autoSpaceDE w:val="0"/>
        <w:autoSpaceDN w:val="0"/>
        <w:ind w:left="1080" w:right="-64"/>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preferred party (the beneficiary of the transaction) is a creditor or guarantor for any of the company’s debts or liabilities;</w:t>
      </w:r>
    </w:p>
    <w:p w14:paraId="20DA9B37" w14:textId="77777777" w:rsidR="0031380A" w:rsidRPr="00E64236" w:rsidRDefault="0031380A" w:rsidP="0071191D">
      <w:pPr>
        <w:pStyle w:val="BodyText"/>
        <w:spacing w:before="11"/>
        <w:ind w:left="1080" w:right="-64" w:hanging="360"/>
        <w:jc w:val="both"/>
        <w:rPr>
          <w:rFonts w:eastAsia="Times New Roman"/>
          <w:color w:val="7B7B7B" w:themeColor="accent3" w:themeShade="BF"/>
          <w:lang w:val="en-GB"/>
        </w:rPr>
      </w:pPr>
    </w:p>
    <w:p w14:paraId="7D815F19" w14:textId="77777777" w:rsidR="0031380A" w:rsidRPr="00E64236" w:rsidRDefault="0031380A" w:rsidP="0071191D">
      <w:pPr>
        <w:pStyle w:val="ListParagraph"/>
        <w:widowControl w:val="0"/>
        <w:numPr>
          <w:ilvl w:val="0"/>
          <w:numId w:val="20"/>
        </w:numPr>
        <w:tabs>
          <w:tab w:val="left" w:pos="1246"/>
        </w:tabs>
        <w:autoSpaceDE w:val="0"/>
        <w:autoSpaceDN w:val="0"/>
        <w:ind w:left="1080" w:right="-64"/>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company was insolvent (or became insolvent as a consequence of the transaction) at the time of giving the preference;</w:t>
      </w:r>
    </w:p>
    <w:p w14:paraId="672A4548" w14:textId="77777777" w:rsidR="0031380A" w:rsidRPr="00E64236" w:rsidRDefault="0031380A" w:rsidP="0071191D">
      <w:pPr>
        <w:pStyle w:val="BodyText"/>
        <w:spacing w:before="11"/>
        <w:ind w:left="1080" w:right="-64" w:hanging="360"/>
        <w:jc w:val="both"/>
        <w:rPr>
          <w:rFonts w:eastAsia="Times New Roman"/>
          <w:color w:val="7B7B7B" w:themeColor="accent3" w:themeShade="BF"/>
          <w:lang w:val="en-GB"/>
        </w:rPr>
      </w:pPr>
    </w:p>
    <w:p w14:paraId="5BB0B718" w14:textId="77777777" w:rsidR="0031380A" w:rsidRPr="00E64236" w:rsidRDefault="0031380A" w:rsidP="0071191D">
      <w:pPr>
        <w:pStyle w:val="ListParagraph"/>
        <w:widowControl w:val="0"/>
        <w:numPr>
          <w:ilvl w:val="0"/>
          <w:numId w:val="20"/>
        </w:numPr>
        <w:tabs>
          <w:tab w:val="left" w:pos="1246"/>
        </w:tabs>
        <w:autoSpaceDE w:val="0"/>
        <w:autoSpaceDN w:val="0"/>
        <w:ind w:left="1080" w:right="-64"/>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company has done anything which puts the preferred party in a better position than the preferred party would otherwise have been had the transaction not been entered in the event of the company’s liquidation; and</w:t>
      </w:r>
    </w:p>
    <w:p w14:paraId="256CE8B0" w14:textId="77777777" w:rsidR="0031380A" w:rsidRPr="00E64236" w:rsidRDefault="0031380A" w:rsidP="0071191D">
      <w:pPr>
        <w:pStyle w:val="BodyText"/>
        <w:ind w:left="1080" w:right="-64" w:hanging="360"/>
        <w:jc w:val="both"/>
        <w:rPr>
          <w:rFonts w:eastAsia="Times New Roman"/>
          <w:color w:val="7B7B7B" w:themeColor="accent3" w:themeShade="BF"/>
          <w:lang w:val="en-GB"/>
        </w:rPr>
      </w:pPr>
    </w:p>
    <w:p w14:paraId="5E278107" w14:textId="77777777" w:rsidR="0031380A" w:rsidRPr="00E64236" w:rsidRDefault="0031380A" w:rsidP="0071191D">
      <w:pPr>
        <w:pStyle w:val="ListParagraph"/>
        <w:widowControl w:val="0"/>
        <w:numPr>
          <w:ilvl w:val="0"/>
          <w:numId w:val="20"/>
        </w:numPr>
        <w:tabs>
          <w:tab w:val="left" w:pos="1246"/>
        </w:tabs>
        <w:autoSpaceDE w:val="0"/>
        <w:autoSpaceDN w:val="0"/>
        <w:spacing w:before="1"/>
        <w:ind w:left="1080" w:right="-64"/>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company was influenced in deciding to enter the transaction by a desire to prefer the preferred party, noting that the company is presumed to have been influenced by a desire to prefer if the preferred party is an associate of the company.</w:t>
      </w:r>
    </w:p>
    <w:p w14:paraId="2C8DC242" w14:textId="77777777" w:rsidR="0031380A" w:rsidRPr="00E64236" w:rsidRDefault="0031380A" w:rsidP="0071191D">
      <w:pPr>
        <w:pStyle w:val="BodyText"/>
        <w:spacing w:before="1"/>
        <w:ind w:left="1080" w:right="-64" w:hanging="360"/>
        <w:jc w:val="both"/>
        <w:rPr>
          <w:rFonts w:eastAsia="Times New Roman"/>
          <w:color w:val="7B7B7B" w:themeColor="accent3" w:themeShade="BF"/>
          <w:lang w:val="en-GB"/>
        </w:rPr>
      </w:pPr>
    </w:p>
    <w:p w14:paraId="55623A36" w14:textId="77777777" w:rsidR="0031380A" w:rsidRPr="00E64236" w:rsidRDefault="0031380A" w:rsidP="0071191D">
      <w:pPr>
        <w:pStyle w:val="BodyText"/>
        <w:spacing w:before="1"/>
        <w:ind w:left="1080" w:right="-64"/>
        <w:jc w:val="both"/>
        <w:rPr>
          <w:rFonts w:eastAsia="Times New Roman"/>
          <w:color w:val="7B7B7B" w:themeColor="accent3" w:themeShade="BF"/>
          <w:lang w:val="en-GB"/>
        </w:rPr>
      </w:pPr>
      <w:r w:rsidRPr="00E64236">
        <w:rPr>
          <w:rFonts w:eastAsia="Times New Roman"/>
          <w:color w:val="7B7B7B" w:themeColor="accent3" w:themeShade="BF"/>
          <w:lang w:val="en-GB"/>
        </w:rPr>
        <w:t>The relevant time period during which assets may be clawed back for an unfair preference is two years from the date of the winding-up application where the preferred party is an associate and six months for unrelated parties.</w:t>
      </w:r>
    </w:p>
    <w:p w14:paraId="34601A76" w14:textId="77777777" w:rsidR="0031380A" w:rsidRPr="00E64236" w:rsidRDefault="0031380A" w:rsidP="0071191D">
      <w:pPr>
        <w:pStyle w:val="BodyText"/>
        <w:spacing w:before="7"/>
        <w:ind w:right="386"/>
        <w:jc w:val="both"/>
        <w:rPr>
          <w:rFonts w:eastAsia="Times New Roman"/>
          <w:color w:val="7B7B7B" w:themeColor="accent3" w:themeShade="BF"/>
          <w:lang w:val="en-GB"/>
        </w:rPr>
      </w:pPr>
    </w:p>
    <w:p w14:paraId="65E3E979" w14:textId="6A9FC55D" w:rsidR="0031380A" w:rsidRPr="00E64236" w:rsidRDefault="0031380A" w:rsidP="0071191D">
      <w:pPr>
        <w:pStyle w:val="BodyText"/>
        <w:numPr>
          <w:ilvl w:val="0"/>
          <w:numId w:val="29"/>
        </w:numPr>
        <w:ind w:left="1080" w:right="386" w:hanging="819"/>
        <w:jc w:val="both"/>
        <w:rPr>
          <w:rFonts w:eastAsia="Times New Roman"/>
          <w:color w:val="7B7B7B" w:themeColor="accent3" w:themeShade="BF"/>
          <w:lang w:val="en-GB"/>
        </w:rPr>
      </w:pPr>
      <w:r w:rsidRPr="00E64236">
        <w:rPr>
          <w:rFonts w:eastAsia="Times New Roman"/>
          <w:color w:val="7B7B7B" w:themeColor="accent3" w:themeShade="BF"/>
          <w:lang w:val="en-GB"/>
        </w:rPr>
        <w:t>For a transaction at an undervalue, the liquidator must show two elements:</w:t>
      </w:r>
    </w:p>
    <w:p w14:paraId="7380A12B" w14:textId="77777777" w:rsidR="0031380A" w:rsidRPr="00E64236" w:rsidRDefault="0031380A" w:rsidP="0071191D">
      <w:pPr>
        <w:pStyle w:val="BodyText"/>
        <w:spacing w:before="2"/>
        <w:ind w:right="386"/>
        <w:jc w:val="both"/>
        <w:rPr>
          <w:rFonts w:eastAsia="Times New Roman"/>
          <w:color w:val="7B7B7B" w:themeColor="accent3" w:themeShade="BF"/>
          <w:lang w:val="en-GB"/>
        </w:rPr>
      </w:pPr>
    </w:p>
    <w:p w14:paraId="28B3E323" w14:textId="77777777" w:rsidR="0031380A" w:rsidRPr="00E64236" w:rsidRDefault="0031380A" w:rsidP="0071191D">
      <w:pPr>
        <w:pStyle w:val="ListParagraph"/>
        <w:widowControl w:val="0"/>
        <w:numPr>
          <w:ilvl w:val="0"/>
          <w:numId w:val="19"/>
        </w:numPr>
        <w:tabs>
          <w:tab w:val="left" w:pos="1246"/>
        </w:tabs>
        <w:autoSpaceDE w:val="0"/>
        <w:autoSpaceDN w:val="0"/>
        <w:spacing w:before="1"/>
        <w:ind w:right="386"/>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company makes a gift to the recipient or the company enters into a transaction where the value of consideration received is significantly less than the value of the consideration provided; and</w:t>
      </w:r>
    </w:p>
    <w:p w14:paraId="181D7A94" w14:textId="77777777" w:rsidR="0031380A" w:rsidRPr="00E64236" w:rsidRDefault="0031380A" w:rsidP="0071191D">
      <w:pPr>
        <w:pStyle w:val="BodyText"/>
        <w:ind w:right="386"/>
        <w:jc w:val="both"/>
        <w:rPr>
          <w:rFonts w:eastAsia="Times New Roman"/>
          <w:color w:val="7B7B7B" w:themeColor="accent3" w:themeShade="BF"/>
          <w:lang w:val="en-GB"/>
        </w:rPr>
      </w:pPr>
    </w:p>
    <w:p w14:paraId="3DF43078" w14:textId="77777777" w:rsidR="0031380A" w:rsidRPr="00E64236" w:rsidRDefault="0031380A" w:rsidP="0071191D">
      <w:pPr>
        <w:pStyle w:val="ListParagraph"/>
        <w:widowControl w:val="0"/>
        <w:numPr>
          <w:ilvl w:val="0"/>
          <w:numId w:val="19"/>
        </w:numPr>
        <w:tabs>
          <w:tab w:val="left" w:pos="1246"/>
        </w:tabs>
        <w:autoSpaceDE w:val="0"/>
        <w:autoSpaceDN w:val="0"/>
        <w:ind w:right="386" w:hanging="361"/>
        <w:contextualSpacing w:val="0"/>
        <w:jc w:val="both"/>
        <w:rPr>
          <w:rFonts w:ascii="Arial" w:hAnsi="Arial" w:cs="Arial"/>
          <w:color w:val="7B7B7B" w:themeColor="accent3" w:themeShade="BF"/>
          <w:sz w:val="22"/>
          <w:szCs w:val="22"/>
          <w:lang w:val="en-GB"/>
        </w:rPr>
      </w:pPr>
      <w:r w:rsidRPr="00E64236">
        <w:rPr>
          <w:rFonts w:ascii="Arial" w:hAnsi="Arial" w:cs="Arial"/>
          <w:color w:val="7B7B7B" w:themeColor="accent3" w:themeShade="BF"/>
          <w:sz w:val="22"/>
          <w:szCs w:val="22"/>
          <w:lang w:val="en-GB"/>
        </w:rPr>
        <w:t>the company was or became insolvent as a result of that transaction.</w:t>
      </w:r>
    </w:p>
    <w:p w14:paraId="5BF447FB" w14:textId="77777777" w:rsidR="0031380A" w:rsidRPr="00E64236" w:rsidRDefault="0031380A" w:rsidP="0071191D">
      <w:pPr>
        <w:pStyle w:val="BodyText"/>
        <w:spacing w:before="10"/>
        <w:ind w:right="386"/>
        <w:jc w:val="both"/>
        <w:rPr>
          <w:rFonts w:eastAsia="Times New Roman"/>
          <w:color w:val="7B7B7B" w:themeColor="accent3" w:themeShade="BF"/>
          <w:lang w:val="en-GB"/>
        </w:rPr>
      </w:pPr>
    </w:p>
    <w:p w14:paraId="457A4099" w14:textId="77777777" w:rsidR="0031380A" w:rsidRPr="00E64236" w:rsidRDefault="0031380A" w:rsidP="0071191D">
      <w:pPr>
        <w:pStyle w:val="BodyText"/>
        <w:ind w:left="819" w:right="386"/>
        <w:jc w:val="both"/>
        <w:rPr>
          <w:rFonts w:eastAsia="Times New Roman"/>
          <w:color w:val="7B7B7B" w:themeColor="accent3" w:themeShade="BF"/>
          <w:lang w:val="en-GB"/>
        </w:rPr>
      </w:pPr>
      <w:r w:rsidRPr="00E64236">
        <w:rPr>
          <w:rFonts w:eastAsia="Times New Roman"/>
          <w:color w:val="7B7B7B" w:themeColor="accent3" w:themeShade="BF"/>
          <w:lang w:val="en-GB"/>
        </w:rPr>
        <w:t>The company is presumed to have undertaken a transaction at an undervalue if the preferred party is an associate of the company. The relevant time period during which assets may be clawed back is five years from the date of the winding-up application, regardless of whether the undervalue transaction was with an associate or not.</w:t>
      </w:r>
    </w:p>
    <w:p w14:paraId="429FF145" w14:textId="77777777" w:rsidR="0031380A" w:rsidRPr="00E64236" w:rsidRDefault="0031380A" w:rsidP="002A37BB">
      <w:pPr>
        <w:jc w:val="both"/>
        <w:rPr>
          <w:rFonts w:ascii="Arial" w:hAnsi="Arial" w:cs="Arial"/>
          <w:color w:val="7B7B7B" w:themeColor="accent3" w:themeShade="BF"/>
          <w:sz w:val="22"/>
          <w:szCs w:val="22"/>
          <w:lang w:val="en-GB"/>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87775F" w:rsidRDefault="009C5286" w:rsidP="0087775F">
      <w:pPr>
        <w:rPr>
          <w:rFonts w:ascii="Arial" w:hAnsi="Arial" w:cs="Arial"/>
          <w:b/>
          <w:sz w:val="22"/>
          <w:szCs w:val="22"/>
        </w:rPr>
      </w:pPr>
      <w:r w:rsidRPr="0087775F">
        <w:rPr>
          <w:rFonts w:ascii="Arial" w:hAnsi="Arial" w:cs="Arial"/>
          <w:b/>
          <w:sz w:val="22"/>
          <w:szCs w:val="22"/>
          <w:lang w:val="en-GB"/>
        </w:rPr>
        <w:t>What is the objective and significance of</w:t>
      </w:r>
      <w:r w:rsidR="001A4484" w:rsidRPr="0087775F">
        <w:rPr>
          <w:rFonts w:ascii="Arial" w:hAnsi="Arial" w:cs="Arial"/>
          <w:b/>
          <w:sz w:val="22"/>
          <w:szCs w:val="22"/>
          <w:lang w:val="en-GB"/>
        </w:rPr>
        <w:t xml:space="preserve"> the </w:t>
      </w:r>
      <w:r w:rsidR="00F927F0" w:rsidRPr="0087775F">
        <w:rPr>
          <w:rFonts w:ascii="Arial" w:hAnsi="Arial" w:cs="Arial"/>
          <w:b/>
          <w:sz w:val="22"/>
          <w:szCs w:val="22"/>
          <w:lang w:val="en-GB"/>
        </w:rPr>
        <w:t>JIN Guidelines</w:t>
      </w:r>
      <w:r w:rsidRPr="0087775F">
        <w:rPr>
          <w:rFonts w:ascii="Arial" w:hAnsi="Arial" w:cs="Arial"/>
          <w:b/>
          <w:sz w:val="22"/>
          <w:szCs w:val="22"/>
          <w:lang w:val="en-GB"/>
        </w:rPr>
        <w:t>?</w:t>
      </w:r>
      <w:r w:rsidRPr="0087775F" w:rsidDel="009C5286">
        <w:rPr>
          <w:rFonts w:ascii="Arial" w:hAnsi="Arial" w:cs="Arial"/>
          <w:b/>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7C9CAC6E" w14:textId="77777777" w:rsidR="008B5FB5" w:rsidRDefault="008B5FB5" w:rsidP="0071191D">
      <w:pPr>
        <w:ind w:left="720" w:right="296"/>
        <w:jc w:val="both"/>
        <w:rPr>
          <w:rFonts w:ascii="Arial" w:hAnsi="Arial" w:cs="Arial"/>
          <w:color w:val="7B7B7B" w:themeColor="accent3" w:themeShade="BF"/>
          <w:sz w:val="22"/>
          <w:szCs w:val="22"/>
        </w:rPr>
      </w:pPr>
      <w:r w:rsidRPr="00211C53">
        <w:rPr>
          <w:rFonts w:ascii="Arial" w:hAnsi="Arial" w:cs="Arial"/>
          <w:b/>
          <w:color w:val="7B7B7B" w:themeColor="accent3" w:themeShade="BF"/>
          <w:sz w:val="28"/>
          <w:szCs w:val="28"/>
        </w:rPr>
        <w:t>The objectives</w:t>
      </w:r>
      <w:r w:rsidRPr="008B5FB5">
        <w:rPr>
          <w:rFonts w:ascii="Arial" w:hAnsi="Arial" w:cs="Arial"/>
          <w:color w:val="7B7B7B" w:themeColor="accent3" w:themeShade="BF"/>
          <w:sz w:val="36"/>
          <w:szCs w:val="36"/>
        </w:rPr>
        <w:t xml:space="preserve"> </w:t>
      </w:r>
      <w:r>
        <w:rPr>
          <w:rFonts w:ascii="Arial" w:hAnsi="Arial" w:cs="Arial"/>
          <w:color w:val="7B7B7B" w:themeColor="accent3" w:themeShade="BF"/>
          <w:sz w:val="22"/>
          <w:szCs w:val="22"/>
        </w:rPr>
        <w:t>of JIN Guidelines give importance to the cross border insolvency including international co operation, communication between the courts the process of applications to be made by foreign representatives.</w:t>
      </w:r>
    </w:p>
    <w:p w14:paraId="3670F61E" w14:textId="77777777" w:rsidR="0071191D" w:rsidRDefault="0071191D" w:rsidP="0071191D">
      <w:pPr>
        <w:ind w:left="720" w:right="296"/>
        <w:jc w:val="both"/>
        <w:rPr>
          <w:rFonts w:ascii="Arial" w:hAnsi="Arial" w:cs="Arial"/>
          <w:color w:val="7B7B7B" w:themeColor="accent3" w:themeShade="BF"/>
          <w:sz w:val="22"/>
          <w:szCs w:val="22"/>
        </w:rPr>
      </w:pPr>
    </w:p>
    <w:p w14:paraId="62C1DBC2" w14:textId="2BD12DC4" w:rsidR="00974665" w:rsidRDefault="008B5FB5" w:rsidP="0071191D">
      <w:pPr>
        <w:ind w:left="720" w:right="296"/>
        <w:jc w:val="both"/>
      </w:pPr>
      <w:r>
        <w:rPr>
          <w:rFonts w:ascii="Arial" w:hAnsi="Arial" w:cs="Arial"/>
          <w:color w:val="7B7B7B" w:themeColor="accent3" w:themeShade="BF"/>
          <w:sz w:val="22"/>
          <w:szCs w:val="22"/>
        </w:rPr>
        <w:t xml:space="preserve">JIN Guidelines includes the adoption of the Model Law, through the new </w:t>
      </w:r>
      <w:r w:rsidR="00974665" w:rsidRPr="008B5FB5">
        <w:rPr>
          <w:rFonts w:ascii="Arial" w:hAnsi="Arial" w:cs="Arial"/>
          <w:color w:val="7B7B7B" w:themeColor="accent3" w:themeShade="BF"/>
          <w:sz w:val="22"/>
          <w:szCs w:val="22"/>
        </w:rPr>
        <w:t xml:space="preserve">Amendment </w:t>
      </w:r>
      <w:r>
        <w:rPr>
          <w:rFonts w:ascii="Arial" w:hAnsi="Arial" w:cs="Arial"/>
          <w:color w:val="7B7B7B" w:themeColor="accent3" w:themeShade="BF"/>
          <w:sz w:val="22"/>
          <w:szCs w:val="22"/>
        </w:rPr>
        <w:t xml:space="preserve">where in the amended </w:t>
      </w:r>
      <w:r w:rsidR="00974665" w:rsidRPr="008B5FB5">
        <w:rPr>
          <w:rFonts w:ascii="Arial" w:hAnsi="Arial" w:cs="Arial"/>
          <w:color w:val="7B7B7B" w:themeColor="accent3" w:themeShade="BF"/>
          <w:sz w:val="22"/>
          <w:szCs w:val="22"/>
        </w:rPr>
        <w:t>Act allows foreign representatives to apply to the High Court of Singapore for the recognition of foreign proceedings.</w:t>
      </w:r>
    </w:p>
    <w:p w14:paraId="421898FD" w14:textId="77777777" w:rsidR="00974665" w:rsidRDefault="00974665" w:rsidP="0071191D">
      <w:pPr>
        <w:pStyle w:val="BodyText"/>
        <w:ind w:left="720" w:right="296"/>
        <w:jc w:val="both"/>
      </w:pPr>
    </w:p>
    <w:p w14:paraId="4ACDFC7A" w14:textId="375D9BD5" w:rsidR="00974665" w:rsidRPr="008B5FB5" w:rsidRDefault="00974665" w:rsidP="0071191D">
      <w:pPr>
        <w:pStyle w:val="BodyText"/>
        <w:ind w:left="720" w:right="296"/>
        <w:jc w:val="both"/>
        <w:rPr>
          <w:rFonts w:eastAsia="Times New Roman"/>
          <w:color w:val="7B7B7B" w:themeColor="accent3" w:themeShade="BF"/>
        </w:rPr>
      </w:pPr>
      <w:r w:rsidRPr="008B5FB5">
        <w:rPr>
          <w:rFonts w:eastAsia="Times New Roman"/>
          <w:color w:val="7B7B7B" w:themeColor="accent3" w:themeShade="BF"/>
        </w:rPr>
        <w:t>The Model Law as adopted in Singapore provides for international co-operation and communication between courts and representatives, and for concurrent insolvency proceedings.</w:t>
      </w:r>
      <w:r w:rsidR="008B5FB5">
        <w:rPr>
          <w:rFonts w:eastAsia="Times New Roman"/>
          <w:color w:val="7B7B7B" w:themeColor="accent3" w:themeShade="BF"/>
        </w:rPr>
        <w:t xml:space="preserve"> Further this law has </w:t>
      </w:r>
      <w:r w:rsidRPr="008B5FB5">
        <w:rPr>
          <w:rFonts w:eastAsia="Times New Roman"/>
          <w:color w:val="7B7B7B" w:themeColor="accent3" w:themeShade="BF"/>
        </w:rPr>
        <w:t>no requirement of reciprocity with the State in which the foreign proceeding is occurring.</w:t>
      </w:r>
    </w:p>
    <w:p w14:paraId="5B5BB8F3" w14:textId="77777777" w:rsidR="00974665" w:rsidRDefault="00974665" w:rsidP="0071191D">
      <w:pPr>
        <w:ind w:left="720" w:right="296"/>
        <w:jc w:val="both"/>
        <w:rPr>
          <w:rFonts w:ascii="Arial" w:hAnsi="Arial" w:cs="Arial"/>
          <w:color w:val="7B7B7B" w:themeColor="accent3" w:themeShade="BF"/>
          <w:sz w:val="22"/>
          <w:szCs w:val="22"/>
        </w:rPr>
      </w:pPr>
    </w:p>
    <w:p w14:paraId="68D319F1" w14:textId="77777777" w:rsidR="00974665" w:rsidRDefault="00974665" w:rsidP="0071191D">
      <w:pPr>
        <w:ind w:left="720" w:right="296"/>
        <w:jc w:val="both"/>
        <w:rPr>
          <w:rFonts w:ascii="Arial" w:hAnsi="Arial" w:cs="Arial"/>
          <w:color w:val="7B7B7B" w:themeColor="accent3" w:themeShade="BF"/>
          <w:sz w:val="22"/>
          <w:szCs w:val="22"/>
        </w:rPr>
      </w:pPr>
    </w:p>
    <w:p w14:paraId="75282718" w14:textId="65E80E40" w:rsidR="00974665" w:rsidRDefault="008B5FB5" w:rsidP="0071191D">
      <w:pPr>
        <w:ind w:left="720" w:right="296"/>
        <w:jc w:val="both"/>
        <w:rPr>
          <w:rFonts w:ascii="Arial" w:hAnsi="Arial" w:cs="Arial"/>
          <w:color w:val="7B7B7B" w:themeColor="accent3" w:themeShade="BF"/>
          <w:sz w:val="22"/>
          <w:szCs w:val="22"/>
        </w:rPr>
      </w:pPr>
      <w:r>
        <w:rPr>
          <w:rFonts w:ascii="Arial" w:hAnsi="Arial" w:cs="Arial"/>
          <w:color w:val="7B7B7B" w:themeColor="accent3" w:themeShade="BF"/>
          <w:sz w:val="22"/>
          <w:szCs w:val="22"/>
        </w:rPr>
        <w:t>One of the important objective of J</w:t>
      </w:r>
      <w:r w:rsidR="00974665" w:rsidRPr="008B5FB5">
        <w:rPr>
          <w:rFonts w:ascii="Arial" w:hAnsi="Arial" w:cs="Arial"/>
          <w:color w:val="7B7B7B" w:themeColor="accent3" w:themeShade="BF"/>
          <w:sz w:val="22"/>
          <w:szCs w:val="22"/>
        </w:rPr>
        <w:t>IN Guidelines </w:t>
      </w:r>
      <w:r>
        <w:rPr>
          <w:rFonts w:ascii="Arial" w:hAnsi="Arial" w:cs="Arial"/>
          <w:color w:val="7B7B7B" w:themeColor="accent3" w:themeShade="BF"/>
          <w:sz w:val="22"/>
          <w:szCs w:val="22"/>
        </w:rPr>
        <w:t xml:space="preserve">is to </w:t>
      </w:r>
      <w:r w:rsidR="00974665" w:rsidRPr="008B5FB5">
        <w:rPr>
          <w:rFonts w:ascii="Arial" w:hAnsi="Arial" w:cs="Arial"/>
          <w:color w:val="7B7B7B" w:themeColor="accent3" w:themeShade="BF"/>
          <w:sz w:val="22"/>
          <w:szCs w:val="22"/>
        </w:rPr>
        <w:t>strengthen court-to-court cross-border cooperation in insolvency cases. JIN, a network of insolvency judges from around the world, aims to encourage communication and cooperation amongst national courts by pulling together the best practices in cross-border restructuring and insolvency.</w:t>
      </w:r>
    </w:p>
    <w:p w14:paraId="1FC8C114" w14:textId="77777777" w:rsidR="00974665" w:rsidRDefault="00974665" w:rsidP="0071191D">
      <w:pPr>
        <w:ind w:left="720" w:right="296"/>
        <w:jc w:val="both"/>
        <w:rPr>
          <w:rFonts w:ascii="Arial" w:hAnsi="Arial" w:cs="Arial"/>
          <w:color w:val="7B7B7B" w:themeColor="accent3" w:themeShade="BF"/>
          <w:sz w:val="22"/>
          <w:szCs w:val="22"/>
        </w:rPr>
      </w:pPr>
    </w:p>
    <w:p w14:paraId="338BFEDD" w14:textId="710CFE15" w:rsidR="00974665" w:rsidRPr="008B5FB5" w:rsidRDefault="008B5FB5" w:rsidP="0071191D">
      <w:pPr>
        <w:ind w:left="720" w:right="296"/>
        <w:jc w:val="both"/>
        <w:rPr>
          <w:rFonts w:ascii="Arial" w:hAnsi="Arial" w:cs="Arial"/>
          <w:color w:val="7B7B7B" w:themeColor="accent3" w:themeShade="BF"/>
          <w:sz w:val="22"/>
          <w:szCs w:val="22"/>
        </w:rPr>
      </w:pPr>
      <w:r w:rsidRPr="00211C53">
        <w:rPr>
          <w:rFonts w:ascii="Arial" w:hAnsi="Arial" w:cs="Arial"/>
          <w:b/>
          <w:color w:val="7B7B7B" w:themeColor="accent3" w:themeShade="BF"/>
          <w:sz w:val="28"/>
          <w:szCs w:val="28"/>
        </w:rPr>
        <w:t>Next the Significance</w:t>
      </w:r>
      <w:r>
        <w:rPr>
          <w:rFonts w:ascii="Arial" w:hAnsi="Arial" w:cs="Arial"/>
          <w:color w:val="7B7B7B" w:themeColor="accent3" w:themeShade="BF"/>
          <w:sz w:val="22"/>
          <w:szCs w:val="22"/>
        </w:rPr>
        <w:t xml:space="preserve"> of the </w:t>
      </w:r>
      <w:r w:rsidR="00974665" w:rsidRPr="008B5FB5">
        <w:rPr>
          <w:rFonts w:ascii="Arial" w:hAnsi="Arial" w:cs="Arial"/>
          <w:color w:val="7B7B7B" w:themeColor="accent3" w:themeShade="BF"/>
          <w:sz w:val="22"/>
          <w:szCs w:val="22"/>
        </w:rPr>
        <w:t xml:space="preserve">JIN Guidelines </w:t>
      </w:r>
      <w:r>
        <w:rPr>
          <w:rFonts w:ascii="Arial" w:hAnsi="Arial" w:cs="Arial"/>
          <w:color w:val="7B7B7B" w:themeColor="accent3" w:themeShade="BF"/>
          <w:sz w:val="22"/>
          <w:szCs w:val="22"/>
        </w:rPr>
        <w:t xml:space="preserve">is that it </w:t>
      </w:r>
      <w:r w:rsidR="00974665" w:rsidRPr="008B5FB5">
        <w:rPr>
          <w:rFonts w:ascii="Arial" w:hAnsi="Arial" w:cs="Arial"/>
          <w:color w:val="7B7B7B" w:themeColor="accent3" w:themeShade="BF"/>
          <w:sz w:val="22"/>
          <w:szCs w:val="22"/>
        </w:rPr>
        <w:t>address 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p>
    <w:p w14:paraId="20D1BCA6" w14:textId="77777777" w:rsidR="00974665" w:rsidRPr="008B5FB5" w:rsidRDefault="00974665" w:rsidP="0071191D">
      <w:pPr>
        <w:ind w:left="720" w:right="296" w:hanging="720"/>
        <w:jc w:val="both"/>
        <w:rPr>
          <w:rFonts w:ascii="Arial" w:hAnsi="Arial" w:cs="Arial"/>
          <w:color w:val="7B7B7B" w:themeColor="accent3" w:themeShade="BF"/>
          <w:sz w:val="22"/>
          <w:szCs w:val="22"/>
        </w:rPr>
      </w:pPr>
    </w:p>
    <w:p w14:paraId="3418A925" w14:textId="425BBD7B" w:rsidR="007B507E" w:rsidRDefault="008B5FB5" w:rsidP="0071191D">
      <w:pPr>
        <w:ind w:left="720" w:right="296" w:hanging="720"/>
        <w:jc w:val="both"/>
        <w:rPr>
          <w:rFonts w:ascii="Arial" w:hAnsi="Arial" w:cs="Arial"/>
          <w:color w:val="7B7B7B" w:themeColor="accent3" w:themeShade="BF"/>
          <w:sz w:val="22"/>
          <w:szCs w:val="22"/>
        </w:rPr>
      </w:pPr>
      <w:r w:rsidRPr="008B5FB5">
        <w:rPr>
          <w:rFonts w:ascii="Arial" w:hAnsi="Arial" w:cs="Arial"/>
          <w:color w:val="7B7B7B" w:themeColor="accent3" w:themeShade="BF"/>
          <w:sz w:val="22"/>
          <w:szCs w:val="22"/>
        </w:rPr>
        <w:tab/>
      </w:r>
      <w:r>
        <w:rPr>
          <w:rFonts w:ascii="Arial" w:hAnsi="Arial" w:cs="Arial"/>
          <w:color w:val="7B7B7B" w:themeColor="accent3" w:themeShade="BF"/>
          <w:sz w:val="22"/>
          <w:szCs w:val="22"/>
        </w:rPr>
        <w:t xml:space="preserve">Further JIN Guidelines significantly </w:t>
      </w:r>
      <w:r w:rsidR="00211C53">
        <w:rPr>
          <w:rFonts w:ascii="Arial" w:hAnsi="Arial" w:cs="Arial"/>
          <w:color w:val="7B7B7B" w:themeColor="accent3" w:themeShade="BF"/>
          <w:sz w:val="22"/>
          <w:szCs w:val="22"/>
        </w:rPr>
        <w:t xml:space="preserve">indicates </w:t>
      </w:r>
      <w:r w:rsidR="00974665" w:rsidRPr="008B5FB5">
        <w:rPr>
          <w:rFonts w:ascii="Arial" w:hAnsi="Arial" w:cs="Arial"/>
          <w:color w:val="7B7B7B" w:themeColor="accent3" w:themeShade="BF"/>
          <w:sz w:val="22"/>
          <w:szCs w:val="22"/>
        </w:rPr>
        <w:t xml:space="preserve">the </w:t>
      </w:r>
      <w:r w:rsidR="00211C53">
        <w:rPr>
          <w:rFonts w:ascii="Arial" w:hAnsi="Arial" w:cs="Arial"/>
          <w:color w:val="7B7B7B" w:themeColor="accent3" w:themeShade="BF"/>
          <w:sz w:val="22"/>
          <w:szCs w:val="22"/>
        </w:rPr>
        <w:t xml:space="preserve">steps to </w:t>
      </w:r>
      <w:r w:rsidR="00974665" w:rsidRPr="008B5FB5">
        <w:rPr>
          <w:rFonts w:ascii="Arial" w:hAnsi="Arial" w:cs="Arial"/>
          <w:color w:val="7B7B7B" w:themeColor="accent3" w:themeShade="BF"/>
          <w:sz w:val="22"/>
          <w:szCs w:val="22"/>
        </w:rPr>
        <w:t xml:space="preserve">supplement all legislation, rules and procedure concerning insolvency. They shall be considered in any case involving cross-border proceedings relating to insolvency or adjustment of debt commenced in more than one jurisdiction. </w:t>
      </w:r>
    </w:p>
    <w:p w14:paraId="5EF45D2E" w14:textId="77777777" w:rsidR="007B507E" w:rsidRDefault="007B507E" w:rsidP="0071191D">
      <w:pPr>
        <w:ind w:left="720" w:right="296" w:hanging="720"/>
        <w:jc w:val="both"/>
        <w:rPr>
          <w:rFonts w:ascii="Arial" w:hAnsi="Arial" w:cs="Arial"/>
          <w:color w:val="7B7B7B" w:themeColor="accent3" w:themeShade="BF"/>
          <w:sz w:val="22"/>
          <w:szCs w:val="22"/>
        </w:rPr>
      </w:pPr>
    </w:p>
    <w:p w14:paraId="63EBEC0C" w14:textId="2783F3A1" w:rsidR="009B07AD" w:rsidRPr="008B5FB5" w:rsidRDefault="007B507E" w:rsidP="0071191D">
      <w:pPr>
        <w:ind w:left="720" w:right="296"/>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
    <w:p w14:paraId="6CCB7F31" w14:textId="77777777" w:rsidR="00E90991" w:rsidRDefault="00E90991" w:rsidP="002A37BB">
      <w:pPr>
        <w:ind w:left="720" w:hanging="720"/>
        <w:jc w:val="both"/>
        <w:rPr>
          <w:rFonts w:ascii="Arial" w:hAnsi="Arial" w:cs="Arial"/>
          <w:sz w:val="22"/>
          <w:szCs w:val="22"/>
          <w:lang w:val="en-GB"/>
        </w:rPr>
      </w:pPr>
    </w:p>
    <w:p w14:paraId="4D81A300" w14:textId="77777777" w:rsidR="0071191D" w:rsidRDefault="0071191D" w:rsidP="002A37BB">
      <w:pPr>
        <w:ind w:left="720" w:hanging="720"/>
        <w:jc w:val="both"/>
        <w:rPr>
          <w:rFonts w:ascii="Arial" w:hAnsi="Arial" w:cs="Arial"/>
          <w:sz w:val="22"/>
          <w:szCs w:val="22"/>
          <w:lang w:val="en-GB"/>
        </w:rPr>
      </w:pPr>
    </w:p>
    <w:p w14:paraId="015726A6" w14:textId="77777777" w:rsidR="0071191D" w:rsidRDefault="0071191D" w:rsidP="002A37BB">
      <w:pPr>
        <w:ind w:left="720" w:hanging="720"/>
        <w:jc w:val="both"/>
        <w:rPr>
          <w:rFonts w:ascii="Arial" w:hAnsi="Arial" w:cs="Arial"/>
          <w:sz w:val="22"/>
          <w:szCs w:val="22"/>
          <w:lang w:val="en-GB"/>
        </w:rPr>
      </w:pPr>
    </w:p>
    <w:p w14:paraId="07725426" w14:textId="77777777" w:rsidR="0071191D" w:rsidRDefault="0071191D" w:rsidP="002A37BB">
      <w:pPr>
        <w:ind w:left="720" w:hanging="720"/>
        <w:jc w:val="both"/>
        <w:rPr>
          <w:rFonts w:ascii="Arial" w:hAnsi="Arial" w:cs="Arial"/>
          <w:sz w:val="22"/>
          <w:szCs w:val="22"/>
          <w:lang w:val="en-GB"/>
        </w:rPr>
      </w:pPr>
    </w:p>
    <w:p w14:paraId="4812DEDE" w14:textId="77777777" w:rsidR="0071191D" w:rsidRDefault="0071191D" w:rsidP="002A37BB">
      <w:pPr>
        <w:ind w:left="720" w:hanging="720"/>
        <w:jc w:val="both"/>
        <w:rPr>
          <w:rFonts w:ascii="Arial" w:hAnsi="Arial" w:cs="Arial"/>
          <w:sz w:val="22"/>
          <w:szCs w:val="22"/>
          <w:lang w:val="en-GB"/>
        </w:rPr>
      </w:pPr>
    </w:p>
    <w:p w14:paraId="16FCBE4F" w14:textId="77777777" w:rsidR="0071191D" w:rsidRDefault="0071191D" w:rsidP="002A37BB">
      <w:pPr>
        <w:ind w:left="720" w:hanging="720"/>
        <w:jc w:val="both"/>
        <w:rPr>
          <w:rFonts w:ascii="Arial" w:hAnsi="Arial" w:cs="Arial"/>
          <w:sz w:val="22"/>
          <w:szCs w:val="22"/>
          <w:lang w:val="en-GB"/>
        </w:rPr>
      </w:pPr>
    </w:p>
    <w:p w14:paraId="791D9BC9" w14:textId="77777777" w:rsidR="0071191D" w:rsidRDefault="0071191D" w:rsidP="002A37BB">
      <w:pPr>
        <w:ind w:left="720" w:hanging="720"/>
        <w:jc w:val="both"/>
        <w:rPr>
          <w:rFonts w:ascii="Arial" w:hAnsi="Arial" w:cs="Arial"/>
          <w:sz w:val="22"/>
          <w:szCs w:val="22"/>
          <w:lang w:val="en-GB"/>
        </w:rPr>
      </w:pPr>
    </w:p>
    <w:p w14:paraId="7FEE6BF8" w14:textId="77777777" w:rsidR="0071191D" w:rsidRDefault="0071191D" w:rsidP="002A37BB">
      <w:pPr>
        <w:ind w:left="720" w:hanging="720"/>
        <w:jc w:val="both"/>
        <w:rPr>
          <w:rFonts w:ascii="Arial" w:hAnsi="Arial" w:cs="Arial"/>
          <w:sz w:val="22"/>
          <w:szCs w:val="22"/>
          <w:lang w:val="en-GB"/>
        </w:rPr>
      </w:pPr>
    </w:p>
    <w:p w14:paraId="78B11655" w14:textId="77777777" w:rsidR="0071191D" w:rsidRDefault="0071191D" w:rsidP="002A37BB">
      <w:pPr>
        <w:ind w:left="720" w:hanging="720"/>
        <w:jc w:val="both"/>
        <w:rPr>
          <w:rFonts w:ascii="Arial" w:hAnsi="Arial" w:cs="Arial"/>
          <w:sz w:val="22"/>
          <w:szCs w:val="22"/>
          <w:lang w:val="en-GB"/>
        </w:rPr>
      </w:pPr>
    </w:p>
    <w:p w14:paraId="3CB2A3DB" w14:textId="77777777" w:rsidR="0071191D" w:rsidRDefault="0071191D" w:rsidP="002A37BB">
      <w:pPr>
        <w:ind w:left="720" w:hanging="720"/>
        <w:jc w:val="both"/>
        <w:rPr>
          <w:rFonts w:ascii="Arial" w:hAnsi="Arial" w:cs="Arial"/>
          <w:sz w:val="22"/>
          <w:szCs w:val="22"/>
          <w:lang w:val="en-GB"/>
        </w:rPr>
      </w:pPr>
    </w:p>
    <w:p w14:paraId="2C44CE78" w14:textId="77777777" w:rsidR="0071191D" w:rsidRDefault="0071191D" w:rsidP="002A37BB">
      <w:pPr>
        <w:ind w:left="720" w:hanging="720"/>
        <w:jc w:val="both"/>
        <w:rPr>
          <w:rFonts w:ascii="Arial" w:hAnsi="Arial" w:cs="Arial"/>
          <w:sz w:val="22"/>
          <w:szCs w:val="22"/>
          <w:lang w:val="en-GB"/>
        </w:rPr>
      </w:pPr>
    </w:p>
    <w:p w14:paraId="66B19720" w14:textId="77777777" w:rsidR="0071191D" w:rsidRDefault="0071191D" w:rsidP="002A37BB">
      <w:pPr>
        <w:ind w:left="720" w:hanging="720"/>
        <w:jc w:val="both"/>
        <w:rPr>
          <w:rFonts w:ascii="Arial" w:hAnsi="Arial" w:cs="Arial"/>
          <w:sz w:val="22"/>
          <w:szCs w:val="22"/>
          <w:lang w:val="en-GB"/>
        </w:rPr>
      </w:pPr>
    </w:p>
    <w:p w14:paraId="45FF960B" w14:textId="77777777" w:rsidR="0071191D" w:rsidRDefault="0071191D" w:rsidP="002A37BB">
      <w:pPr>
        <w:ind w:left="720" w:hanging="720"/>
        <w:jc w:val="both"/>
        <w:rPr>
          <w:rFonts w:ascii="Arial" w:hAnsi="Arial" w:cs="Arial"/>
          <w:sz w:val="22"/>
          <w:szCs w:val="22"/>
          <w:lang w:val="en-GB"/>
        </w:rPr>
      </w:pPr>
    </w:p>
    <w:p w14:paraId="792C01A7" w14:textId="77777777" w:rsidR="0071191D" w:rsidRDefault="0071191D" w:rsidP="002A37BB">
      <w:pPr>
        <w:ind w:left="720" w:hanging="720"/>
        <w:jc w:val="both"/>
        <w:rPr>
          <w:rFonts w:ascii="Arial" w:hAnsi="Arial" w:cs="Arial"/>
          <w:sz w:val="22"/>
          <w:szCs w:val="22"/>
          <w:lang w:val="en-GB"/>
        </w:rPr>
      </w:pPr>
    </w:p>
    <w:p w14:paraId="284865D2" w14:textId="77777777" w:rsidR="0071191D" w:rsidRDefault="0071191D" w:rsidP="002A37BB">
      <w:pPr>
        <w:ind w:left="720" w:hanging="720"/>
        <w:jc w:val="both"/>
        <w:rPr>
          <w:rFonts w:ascii="Arial" w:hAnsi="Arial" w:cs="Arial"/>
          <w:sz w:val="22"/>
          <w:szCs w:val="22"/>
          <w:lang w:val="en-GB"/>
        </w:rPr>
      </w:pPr>
    </w:p>
    <w:p w14:paraId="7C76F065" w14:textId="77777777" w:rsidR="0071191D" w:rsidRDefault="0071191D" w:rsidP="002A37BB">
      <w:pPr>
        <w:ind w:left="720" w:hanging="720"/>
        <w:jc w:val="both"/>
        <w:rPr>
          <w:rFonts w:ascii="Arial" w:hAnsi="Arial" w:cs="Arial"/>
          <w:sz w:val="22"/>
          <w:szCs w:val="22"/>
          <w:lang w:val="en-GB"/>
        </w:rPr>
      </w:pPr>
    </w:p>
    <w:p w14:paraId="79F13AFD" w14:textId="77777777" w:rsidR="0071191D" w:rsidRPr="002A37BB" w:rsidRDefault="0071191D"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Pr="00211C53" w:rsidRDefault="00631DDB" w:rsidP="002A37BB">
      <w:pPr>
        <w:jc w:val="both"/>
        <w:rPr>
          <w:rFonts w:ascii="Arial" w:hAnsi="Arial" w:cs="Arial"/>
          <w:b/>
          <w:sz w:val="22"/>
          <w:szCs w:val="22"/>
          <w:lang w:val="en-GB"/>
        </w:rPr>
      </w:pPr>
      <w:r w:rsidRPr="00211C53">
        <w:rPr>
          <w:rFonts w:ascii="Arial" w:hAnsi="Arial" w:cs="Arial"/>
          <w:b/>
          <w:sz w:val="22"/>
          <w:szCs w:val="22"/>
          <w:lang w:val="en-GB"/>
        </w:rPr>
        <w:t>How can a bankrupt obtain</w:t>
      </w:r>
      <w:r w:rsidR="006E4183" w:rsidRPr="00211C53">
        <w:rPr>
          <w:rFonts w:ascii="Arial" w:hAnsi="Arial" w:cs="Arial"/>
          <w:b/>
          <w:sz w:val="22"/>
          <w:szCs w:val="22"/>
          <w:lang w:val="en-GB"/>
        </w:rPr>
        <w:t xml:space="preserve"> </w:t>
      </w:r>
    </w:p>
    <w:p w14:paraId="0CDB2767" w14:textId="77777777" w:rsidR="00DB6103" w:rsidRPr="00211C53" w:rsidRDefault="00DB6103" w:rsidP="002A37BB">
      <w:pPr>
        <w:jc w:val="both"/>
        <w:rPr>
          <w:rFonts w:ascii="Arial" w:hAnsi="Arial" w:cs="Arial"/>
          <w:b/>
          <w:sz w:val="22"/>
          <w:szCs w:val="22"/>
          <w:lang w:val="en-GB"/>
        </w:rPr>
      </w:pPr>
    </w:p>
    <w:p w14:paraId="158CE988" w14:textId="1BC5633F" w:rsidR="00DB6103" w:rsidRPr="00211C53" w:rsidRDefault="00751747" w:rsidP="00DB6103">
      <w:pPr>
        <w:pStyle w:val="ListParagraph"/>
        <w:numPr>
          <w:ilvl w:val="0"/>
          <w:numId w:val="16"/>
        </w:numPr>
        <w:ind w:left="426"/>
        <w:jc w:val="both"/>
        <w:rPr>
          <w:rFonts w:ascii="Arial" w:hAnsi="Arial" w:cs="Arial"/>
          <w:b/>
          <w:sz w:val="22"/>
          <w:szCs w:val="22"/>
          <w:lang w:val="en-GB"/>
        </w:rPr>
      </w:pPr>
      <w:r w:rsidRPr="00211C53">
        <w:rPr>
          <w:rFonts w:ascii="Arial" w:hAnsi="Arial" w:cs="Arial"/>
          <w:b/>
          <w:sz w:val="22"/>
          <w:szCs w:val="22"/>
          <w:lang w:val="en-GB"/>
        </w:rPr>
        <w:t xml:space="preserve">an </w:t>
      </w:r>
      <w:r w:rsidR="006E4183" w:rsidRPr="00211C53">
        <w:rPr>
          <w:rFonts w:ascii="Arial" w:hAnsi="Arial" w:cs="Arial"/>
          <w:b/>
          <w:sz w:val="22"/>
          <w:szCs w:val="22"/>
          <w:lang w:val="en-GB"/>
        </w:rPr>
        <w:t>annulment</w:t>
      </w:r>
      <w:r w:rsidR="00DB6103" w:rsidRPr="00211C53">
        <w:rPr>
          <w:rFonts w:ascii="Arial" w:hAnsi="Arial" w:cs="Arial"/>
          <w:b/>
          <w:sz w:val="22"/>
          <w:szCs w:val="22"/>
          <w:lang w:val="en-GB"/>
        </w:rPr>
        <w:t>;</w:t>
      </w:r>
      <w:r w:rsidR="006E4183" w:rsidRPr="00211C53">
        <w:rPr>
          <w:rFonts w:ascii="Arial" w:hAnsi="Arial" w:cs="Arial"/>
          <w:b/>
          <w:sz w:val="22"/>
          <w:szCs w:val="22"/>
          <w:lang w:val="en-GB"/>
        </w:rPr>
        <w:t xml:space="preserve"> </w:t>
      </w:r>
      <w:r w:rsidR="003D55C1" w:rsidRPr="00211C53">
        <w:rPr>
          <w:rFonts w:ascii="Arial" w:hAnsi="Arial" w:cs="Arial"/>
          <w:b/>
          <w:sz w:val="22"/>
          <w:szCs w:val="22"/>
          <w:lang w:val="en-GB"/>
        </w:rPr>
        <w:t>and</w:t>
      </w:r>
      <w:r w:rsidR="00631DDB" w:rsidRPr="00211C53">
        <w:rPr>
          <w:rFonts w:ascii="Arial" w:hAnsi="Arial" w:cs="Arial"/>
          <w:b/>
          <w:sz w:val="22"/>
          <w:szCs w:val="22"/>
          <w:lang w:val="en-GB"/>
        </w:rPr>
        <w:t xml:space="preserve"> </w:t>
      </w:r>
    </w:p>
    <w:p w14:paraId="297F8887" w14:textId="77777777" w:rsidR="00DB6103" w:rsidRPr="00211C53" w:rsidRDefault="00DB6103" w:rsidP="00DB6103">
      <w:pPr>
        <w:ind w:left="426"/>
        <w:jc w:val="both"/>
        <w:rPr>
          <w:rFonts w:ascii="Arial" w:hAnsi="Arial" w:cs="Arial"/>
          <w:b/>
          <w:sz w:val="22"/>
          <w:szCs w:val="22"/>
          <w:lang w:val="en-GB"/>
        </w:rPr>
      </w:pPr>
    </w:p>
    <w:p w14:paraId="0E8D5723" w14:textId="48F29ADD" w:rsidR="00DB6103" w:rsidRPr="00211C53" w:rsidRDefault="003D55C1" w:rsidP="00DB6103">
      <w:pPr>
        <w:pStyle w:val="ListParagraph"/>
        <w:numPr>
          <w:ilvl w:val="0"/>
          <w:numId w:val="16"/>
        </w:numPr>
        <w:ind w:left="426"/>
        <w:jc w:val="both"/>
        <w:rPr>
          <w:rFonts w:ascii="Arial" w:hAnsi="Arial" w:cs="Arial"/>
          <w:b/>
          <w:sz w:val="22"/>
          <w:szCs w:val="22"/>
          <w:lang w:val="en-GB"/>
        </w:rPr>
      </w:pPr>
      <w:r w:rsidRPr="00211C53">
        <w:rPr>
          <w:rFonts w:ascii="Arial" w:hAnsi="Arial" w:cs="Arial"/>
          <w:b/>
          <w:sz w:val="22"/>
          <w:szCs w:val="22"/>
          <w:lang w:val="en-GB"/>
        </w:rPr>
        <w:t xml:space="preserve">a </w:t>
      </w:r>
      <w:r w:rsidR="006E4183" w:rsidRPr="00211C53">
        <w:rPr>
          <w:rFonts w:ascii="Arial" w:hAnsi="Arial" w:cs="Arial"/>
          <w:b/>
          <w:sz w:val="22"/>
          <w:szCs w:val="22"/>
          <w:lang w:val="en-GB"/>
        </w:rPr>
        <w:t xml:space="preserve">discharge </w:t>
      </w:r>
    </w:p>
    <w:p w14:paraId="4B6B6EF2" w14:textId="77777777" w:rsidR="00DB6103" w:rsidRPr="00211C53" w:rsidRDefault="00DB6103" w:rsidP="002A37BB">
      <w:pPr>
        <w:jc w:val="both"/>
        <w:rPr>
          <w:rFonts w:ascii="Arial" w:hAnsi="Arial" w:cs="Arial"/>
          <w:b/>
          <w:sz w:val="22"/>
          <w:szCs w:val="22"/>
          <w:lang w:val="en-GB"/>
        </w:rPr>
      </w:pPr>
    </w:p>
    <w:p w14:paraId="622DFD06" w14:textId="5F549881" w:rsidR="00C82D87" w:rsidRPr="00211C53" w:rsidRDefault="006E4183" w:rsidP="002A37BB">
      <w:pPr>
        <w:jc w:val="both"/>
        <w:rPr>
          <w:rFonts w:ascii="Arial" w:hAnsi="Arial" w:cs="Arial"/>
          <w:b/>
          <w:sz w:val="22"/>
          <w:szCs w:val="22"/>
          <w:lang w:val="en-GB"/>
        </w:rPr>
      </w:pPr>
      <w:r w:rsidRPr="00211C53">
        <w:rPr>
          <w:rFonts w:ascii="Arial" w:hAnsi="Arial" w:cs="Arial"/>
          <w:b/>
          <w:sz w:val="22"/>
          <w:szCs w:val="22"/>
          <w:lang w:val="en-GB"/>
        </w:rPr>
        <w:t xml:space="preserve">of </w:t>
      </w:r>
      <w:r w:rsidR="00631DDB" w:rsidRPr="00211C53">
        <w:rPr>
          <w:rFonts w:ascii="Arial" w:hAnsi="Arial" w:cs="Arial"/>
          <w:b/>
          <w:sz w:val="22"/>
          <w:szCs w:val="22"/>
          <w:lang w:val="en-GB"/>
        </w:rPr>
        <w:t>his</w:t>
      </w:r>
      <w:r w:rsidR="00F0392F" w:rsidRPr="00211C53">
        <w:rPr>
          <w:rFonts w:ascii="Arial" w:hAnsi="Arial" w:cs="Arial"/>
          <w:b/>
          <w:sz w:val="22"/>
          <w:szCs w:val="22"/>
          <w:lang w:val="en-GB"/>
        </w:rPr>
        <w:t xml:space="preserve"> </w:t>
      </w:r>
      <w:r w:rsidRPr="00211C53">
        <w:rPr>
          <w:rFonts w:ascii="Arial" w:hAnsi="Arial" w:cs="Arial"/>
          <w:b/>
          <w:sz w:val="22"/>
          <w:szCs w:val="22"/>
          <w:lang w:val="en-GB"/>
        </w:rPr>
        <w:t>bankruptcy</w:t>
      </w:r>
      <w:r w:rsidR="00195E02" w:rsidRPr="00211C53">
        <w:rPr>
          <w:rFonts w:ascii="Arial" w:hAnsi="Arial" w:cs="Arial"/>
          <w:b/>
          <w:sz w:val="22"/>
          <w:szCs w:val="22"/>
          <w:lang w:val="en-GB"/>
        </w:rPr>
        <w:t xml:space="preserve"> under the Singapore IRDA</w:t>
      </w:r>
      <w:r w:rsidR="003D55C1" w:rsidRPr="00211C53">
        <w:rPr>
          <w:rFonts w:ascii="Arial" w:hAnsi="Arial" w:cs="Arial"/>
          <w:b/>
          <w:sz w:val="22"/>
          <w:szCs w:val="22"/>
          <w:lang w:val="en-GB"/>
        </w:rPr>
        <w:t>?</w:t>
      </w:r>
    </w:p>
    <w:p w14:paraId="1950C738" w14:textId="77777777" w:rsidR="00962045" w:rsidRPr="00211C53" w:rsidRDefault="00962045" w:rsidP="002A37BB">
      <w:pPr>
        <w:ind w:left="720" w:hanging="720"/>
        <w:jc w:val="both"/>
        <w:rPr>
          <w:rFonts w:ascii="Arial" w:hAnsi="Arial" w:cs="Arial"/>
          <w:b/>
          <w:sz w:val="22"/>
          <w:szCs w:val="22"/>
          <w:lang w:val="en-GB"/>
        </w:rPr>
      </w:pPr>
    </w:p>
    <w:p w14:paraId="6BC7D6EF" w14:textId="143F21C0" w:rsidR="00974665" w:rsidRPr="00211C53" w:rsidRDefault="00211C53" w:rsidP="0071191D">
      <w:pPr>
        <w:widowControl w:val="0"/>
        <w:tabs>
          <w:tab w:val="left" w:pos="1551"/>
          <w:tab w:val="left" w:pos="1552"/>
        </w:tabs>
        <w:autoSpaceDE w:val="0"/>
        <w:autoSpaceDN w:val="0"/>
        <w:spacing w:before="1"/>
        <w:ind w:left="110" w:firstLine="610"/>
        <w:rPr>
          <w:rFonts w:ascii="Arial" w:hAnsi="Arial" w:cs="Arial"/>
          <w:b/>
          <w:sz w:val="22"/>
          <w:szCs w:val="22"/>
          <w:lang w:val="en-GB"/>
        </w:rPr>
      </w:pPr>
      <w:r w:rsidRPr="00211C53">
        <w:rPr>
          <w:rFonts w:ascii="Arial" w:hAnsi="Arial" w:cs="Arial"/>
          <w:b/>
          <w:sz w:val="22"/>
          <w:szCs w:val="22"/>
          <w:lang w:val="en-GB"/>
        </w:rPr>
        <w:t>Bankrupt obtaining Annualment</w:t>
      </w:r>
    </w:p>
    <w:p w14:paraId="6C8D739A" w14:textId="77777777" w:rsidR="00974665" w:rsidRDefault="00974665" w:rsidP="00974665">
      <w:pPr>
        <w:pStyle w:val="BodyText"/>
        <w:spacing w:before="9"/>
        <w:rPr>
          <w:i/>
          <w:sz w:val="21"/>
        </w:rPr>
      </w:pPr>
    </w:p>
    <w:p w14:paraId="269EC0A1" w14:textId="77777777" w:rsidR="0071191D" w:rsidRDefault="0071191D" w:rsidP="00974665">
      <w:pPr>
        <w:pStyle w:val="BodyText"/>
        <w:spacing w:before="9"/>
        <w:rPr>
          <w:i/>
          <w:sz w:val="21"/>
        </w:rPr>
      </w:pPr>
    </w:p>
    <w:p w14:paraId="0998C0A0" w14:textId="276D2780" w:rsidR="00974665" w:rsidRPr="007A709E" w:rsidRDefault="00211C53" w:rsidP="0071191D">
      <w:pPr>
        <w:pStyle w:val="BodyText"/>
        <w:ind w:left="720" w:right="386"/>
        <w:jc w:val="both"/>
        <w:rPr>
          <w:rFonts w:eastAsia="Times New Roman"/>
          <w:color w:val="7B7B7B" w:themeColor="accent3" w:themeShade="BF"/>
        </w:rPr>
      </w:pPr>
      <w:r w:rsidRPr="007A709E">
        <w:rPr>
          <w:rFonts w:eastAsia="Times New Roman"/>
          <w:color w:val="7B7B7B" w:themeColor="accent3" w:themeShade="BF"/>
        </w:rPr>
        <w:t>A bankrupt shall apply to the court for annulment and t</w:t>
      </w:r>
      <w:r w:rsidR="00974665" w:rsidRPr="007A709E">
        <w:rPr>
          <w:rFonts w:eastAsia="Times New Roman"/>
          <w:color w:val="7B7B7B" w:themeColor="accent3" w:themeShade="BF"/>
        </w:rPr>
        <w:t>he Court may annul a bankruptcy if:</w:t>
      </w:r>
    </w:p>
    <w:p w14:paraId="44228055" w14:textId="77777777" w:rsidR="00974665" w:rsidRPr="007A709E" w:rsidRDefault="00974665" w:rsidP="0071191D">
      <w:pPr>
        <w:pStyle w:val="BodyText"/>
        <w:spacing w:before="3"/>
        <w:ind w:left="720" w:right="386"/>
        <w:jc w:val="both"/>
        <w:rPr>
          <w:rFonts w:eastAsia="Times New Roman"/>
          <w:color w:val="7B7B7B" w:themeColor="accent3" w:themeShade="BF"/>
        </w:rPr>
      </w:pPr>
    </w:p>
    <w:p w14:paraId="7AA21E48" w14:textId="77777777" w:rsidR="00974665" w:rsidRPr="007A709E" w:rsidRDefault="00974665" w:rsidP="0071191D">
      <w:pPr>
        <w:pStyle w:val="ListParagraph"/>
        <w:widowControl w:val="0"/>
        <w:numPr>
          <w:ilvl w:val="4"/>
          <w:numId w:val="21"/>
        </w:numPr>
        <w:tabs>
          <w:tab w:val="left" w:pos="1246"/>
        </w:tabs>
        <w:autoSpaceDE w:val="0"/>
        <w:autoSpaceDN w:val="0"/>
        <w:ind w:left="720" w:right="386" w:firstLine="0"/>
        <w:contextualSpacing w:val="0"/>
        <w:jc w:val="both"/>
        <w:rPr>
          <w:rFonts w:ascii="Arial" w:hAnsi="Arial" w:cs="Arial"/>
          <w:color w:val="7B7B7B" w:themeColor="accent3" w:themeShade="BF"/>
          <w:sz w:val="22"/>
          <w:szCs w:val="22"/>
        </w:rPr>
      </w:pPr>
      <w:r w:rsidRPr="007A709E">
        <w:rPr>
          <w:rFonts w:ascii="Arial" w:hAnsi="Arial" w:cs="Arial"/>
          <w:color w:val="7B7B7B" w:themeColor="accent3" w:themeShade="BF"/>
          <w:sz w:val="22"/>
          <w:szCs w:val="22"/>
        </w:rPr>
        <w:t>the order ought not to have been made on grounds existing at the time;</w:t>
      </w:r>
    </w:p>
    <w:p w14:paraId="3870B574" w14:textId="77777777" w:rsidR="00974665" w:rsidRPr="007A709E" w:rsidRDefault="00974665" w:rsidP="0071191D">
      <w:pPr>
        <w:pStyle w:val="BodyText"/>
        <w:spacing w:before="9"/>
        <w:ind w:left="720" w:right="386"/>
        <w:jc w:val="both"/>
        <w:rPr>
          <w:rFonts w:eastAsia="Times New Roman"/>
          <w:color w:val="7B7B7B" w:themeColor="accent3" w:themeShade="BF"/>
        </w:rPr>
      </w:pPr>
    </w:p>
    <w:p w14:paraId="56EE0260" w14:textId="77777777" w:rsidR="00974665" w:rsidRPr="007A709E" w:rsidRDefault="00974665" w:rsidP="0071191D">
      <w:pPr>
        <w:pStyle w:val="ListParagraph"/>
        <w:widowControl w:val="0"/>
        <w:numPr>
          <w:ilvl w:val="4"/>
          <w:numId w:val="21"/>
        </w:numPr>
        <w:tabs>
          <w:tab w:val="left" w:pos="1246"/>
        </w:tabs>
        <w:autoSpaceDE w:val="0"/>
        <w:autoSpaceDN w:val="0"/>
        <w:ind w:left="720" w:right="386" w:firstLine="0"/>
        <w:contextualSpacing w:val="0"/>
        <w:jc w:val="both"/>
        <w:rPr>
          <w:rFonts w:ascii="Arial" w:hAnsi="Arial" w:cs="Arial"/>
          <w:color w:val="7B7B7B" w:themeColor="accent3" w:themeShade="BF"/>
          <w:sz w:val="22"/>
          <w:szCs w:val="22"/>
        </w:rPr>
      </w:pPr>
      <w:r w:rsidRPr="007A709E">
        <w:rPr>
          <w:rFonts w:ascii="Arial" w:hAnsi="Arial" w:cs="Arial"/>
          <w:color w:val="7B7B7B" w:themeColor="accent3" w:themeShade="BF"/>
          <w:sz w:val="22"/>
          <w:szCs w:val="22"/>
        </w:rPr>
        <w:t>debts and expenses of the bankruptcy have been paid or secured to the satisfaction of the Court;</w:t>
      </w:r>
    </w:p>
    <w:p w14:paraId="03DDF18C"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74884513" w14:textId="77777777" w:rsidR="00974665" w:rsidRPr="007A709E" w:rsidRDefault="00974665" w:rsidP="0071191D">
      <w:pPr>
        <w:pStyle w:val="ListParagraph"/>
        <w:widowControl w:val="0"/>
        <w:numPr>
          <w:ilvl w:val="4"/>
          <w:numId w:val="21"/>
        </w:numPr>
        <w:tabs>
          <w:tab w:val="left" w:pos="1246"/>
        </w:tabs>
        <w:autoSpaceDE w:val="0"/>
        <w:autoSpaceDN w:val="0"/>
        <w:ind w:left="720" w:right="386" w:firstLine="0"/>
        <w:contextualSpacing w:val="0"/>
        <w:jc w:val="both"/>
        <w:rPr>
          <w:rFonts w:ascii="Arial" w:hAnsi="Arial" w:cs="Arial"/>
          <w:color w:val="7B7B7B" w:themeColor="accent3" w:themeShade="BF"/>
          <w:sz w:val="22"/>
          <w:szCs w:val="22"/>
        </w:rPr>
      </w:pPr>
      <w:r w:rsidRPr="007A709E">
        <w:rPr>
          <w:rFonts w:ascii="Arial" w:hAnsi="Arial" w:cs="Arial"/>
          <w:color w:val="7B7B7B" w:themeColor="accent3" w:themeShade="BF"/>
          <w:sz w:val="22"/>
          <w:szCs w:val="22"/>
        </w:rPr>
        <w:t>distribution of the estate will take place in Malaysia or the majority of creditors are residents in Malaysia and the distribution ought to happen there.77</w:t>
      </w:r>
    </w:p>
    <w:p w14:paraId="2ACED31A" w14:textId="77777777" w:rsidR="00974665" w:rsidRPr="007A709E" w:rsidRDefault="00974665" w:rsidP="0071191D">
      <w:pPr>
        <w:pStyle w:val="BodyText"/>
        <w:ind w:left="720" w:right="386"/>
        <w:jc w:val="both"/>
        <w:rPr>
          <w:rFonts w:eastAsia="Times New Roman"/>
          <w:color w:val="7B7B7B" w:themeColor="accent3" w:themeShade="BF"/>
        </w:rPr>
      </w:pPr>
    </w:p>
    <w:p w14:paraId="5B85672F" w14:textId="18CA5FAE" w:rsidR="00974665" w:rsidRPr="007A709E" w:rsidRDefault="00974665" w:rsidP="0071191D">
      <w:pPr>
        <w:pStyle w:val="BodyText"/>
        <w:ind w:left="720" w:right="386"/>
        <w:jc w:val="both"/>
        <w:rPr>
          <w:rFonts w:eastAsia="Times New Roman"/>
          <w:color w:val="7B7B7B" w:themeColor="accent3" w:themeShade="BF"/>
        </w:rPr>
      </w:pPr>
      <w:r w:rsidRPr="007A709E">
        <w:rPr>
          <w:rFonts w:eastAsia="Times New Roman"/>
          <w:color w:val="7B7B7B" w:themeColor="accent3" w:themeShade="BF"/>
        </w:rPr>
        <w:t xml:space="preserve">An application to annul must be made within 12 months of the bankruptcy order being made, unless leave is given for the application to be made </w:t>
      </w:r>
      <w:r w:rsidR="007A709E">
        <w:rPr>
          <w:rFonts w:eastAsia="Times New Roman"/>
          <w:color w:val="7B7B7B" w:themeColor="accent3" w:themeShade="BF"/>
        </w:rPr>
        <w:t>later</w:t>
      </w:r>
    </w:p>
    <w:p w14:paraId="2E0A27DA" w14:textId="77777777" w:rsidR="007A709E" w:rsidRPr="007A709E" w:rsidRDefault="007A709E" w:rsidP="0071191D">
      <w:pPr>
        <w:widowControl w:val="0"/>
        <w:tabs>
          <w:tab w:val="left" w:pos="1551"/>
          <w:tab w:val="left" w:pos="1552"/>
        </w:tabs>
        <w:autoSpaceDE w:val="0"/>
        <w:autoSpaceDN w:val="0"/>
        <w:spacing w:before="1"/>
        <w:ind w:left="720" w:right="386"/>
        <w:rPr>
          <w:rFonts w:ascii="Arial" w:hAnsi="Arial" w:cs="Arial"/>
          <w:color w:val="7B7B7B" w:themeColor="accent3" w:themeShade="BF"/>
          <w:sz w:val="22"/>
          <w:szCs w:val="22"/>
        </w:rPr>
      </w:pPr>
    </w:p>
    <w:p w14:paraId="5B718BB9" w14:textId="780DF27A" w:rsidR="007A709E" w:rsidRPr="00211C53" w:rsidRDefault="007A709E" w:rsidP="0071191D">
      <w:pPr>
        <w:widowControl w:val="0"/>
        <w:tabs>
          <w:tab w:val="left" w:pos="1551"/>
          <w:tab w:val="left" w:pos="1552"/>
        </w:tabs>
        <w:autoSpaceDE w:val="0"/>
        <w:autoSpaceDN w:val="0"/>
        <w:spacing w:before="1"/>
        <w:ind w:left="720" w:right="386"/>
        <w:rPr>
          <w:rFonts w:ascii="Arial" w:hAnsi="Arial" w:cs="Arial"/>
          <w:b/>
          <w:sz w:val="22"/>
          <w:szCs w:val="22"/>
          <w:lang w:val="en-GB"/>
        </w:rPr>
      </w:pPr>
      <w:r w:rsidRPr="00211C53">
        <w:rPr>
          <w:rFonts w:ascii="Arial" w:hAnsi="Arial" w:cs="Arial"/>
          <w:b/>
          <w:sz w:val="22"/>
          <w:szCs w:val="22"/>
          <w:lang w:val="en-GB"/>
        </w:rPr>
        <w:t xml:space="preserve">Bankrupt obtaining </w:t>
      </w:r>
      <w:r>
        <w:rPr>
          <w:rFonts w:ascii="Arial" w:hAnsi="Arial" w:cs="Arial"/>
          <w:b/>
          <w:sz w:val="22"/>
          <w:szCs w:val="22"/>
          <w:lang w:val="en-GB"/>
        </w:rPr>
        <w:t>Discharge</w:t>
      </w:r>
    </w:p>
    <w:p w14:paraId="39700576" w14:textId="77777777" w:rsidR="00974665" w:rsidRDefault="00974665" w:rsidP="0071191D">
      <w:pPr>
        <w:pStyle w:val="BodyText"/>
        <w:spacing w:before="3"/>
        <w:ind w:left="720" w:right="386"/>
        <w:rPr>
          <w:i/>
        </w:rPr>
      </w:pPr>
    </w:p>
    <w:p w14:paraId="198E47BA" w14:textId="02649E64" w:rsidR="00974665" w:rsidRPr="007A709E" w:rsidRDefault="00974665" w:rsidP="0071191D">
      <w:pPr>
        <w:pStyle w:val="BodyText"/>
        <w:spacing w:before="11"/>
        <w:ind w:left="720" w:right="386"/>
        <w:jc w:val="both"/>
        <w:rPr>
          <w:rFonts w:eastAsia="Times New Roman"/>
          <w:color w:val="7B7B7B" w:themeColor="accent3" w:themeShade="BF"/>
        </w:rPr>
      </w:pPr>
      <w:r w:rsidRPr="007A709E">
        <w:rPr>
          <w:rFonts w:eastAsia="Times New Roman"/>
          <w:color w:val="7B7B7B" w:themeColor="accent3" w:themeShade="BF"/>
        </w:rPr>
        <w:t>The bankrupt may apply to the Court for an order of discharge any time after the bankruptcy order is made.</w:t>
      </w:r>
    </w:p>
    <w:p w14:paraId="02626578"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1961EDF7" w14:textId="77777777" w:rsidR="007A709E" w:rsidRDefault="00974665" w:rsidP="0071191D">
      <w:pPr>
        <w:pStyle w:val="BodyText"/>
        <w:spacing w:before="11"/>
        <w:ind w:left="720" w:right="386"/>
        <w:jc w:val="both"/>
        <w:rPr>
          <w:rFonts w:eastAsia="Times New Roman"/>
          <w:color w:val="7B7B7B" w:themeColor="accent3" w:themeShade="BF"/>
        </w:rPr>
      </w:pPr>
      <w:r w:rsidRPr="007A709E">
        <w:rPr>
          <w:rFonts w:eastAsia="Times New Roman"/>
          <w:color w:val="7B7B7B" w:themeColor="accent3" w:themeShade="BF"/>
        </w:rPr>
        <w:t>Any application must be served on each creditor who has filed a proof of debt in the bankruptcy and the Court will hear any creditor before making an order for discharge.</w:t>
      </w:r>
    </w:p>
    <w:p w14:paraId="65F31B8C" w14:textId="77777777" w:rsidR="007A709E" w:rsidRDefault="007A709E" w:rsidP="0071191D">
      <w:pPr>
        <w:pStyle w:val="BodyText"/>
        <w:spacing w:before="11"/>
        <w:ind w:left="720" w:right="386"/>
        <w:jc w:val="both"/>
        <w:rPr>
          <w:rFonts w:eastAsia="Times New Roman"/>
          <w:color w:val="7B7B7B" w:themeColor="accent3" w:themeShade="BF"/>
        </w:rPr>
      </w:pPr>
    </w:p>
    <w:p w14:paraId="13DB573B" w14:textId="21D0E522" w:rsidR="00974665" w:rsidRPr="007A709E" w:rsidRDefault="007A709E" w:rsidP="0071191D">
      <w:pPr>
        <w:pStyle w:val="BodyText"/>
        <w:spacing w:before="11"/>
        <w:ind w:left="720" w:right="386"/>
        <w:jc w:val="both"/>
        <w:rPr>
          <w:rFonts w:eastAsia="Times New Roman"/>
          <w:color w:val="7B7B7B" w:themeColor="accent3" w:themeShade="BF"/>
        </w:rPr>
      </w:pPr>
      <w:r>
        <w:rPr>
          <w:rFonts w:eastAsia="Times New Roman"/>
          <w:color w:val="7B7B7B" w:themeColor="accent3" w:themeShade="BF"/>
        </w:rPr>
        <w:t xml:space="preserve">The </w:t>
      </w:r>
      <w:r w:rsidR="00974665" w:rsidRPr="007A709E">
        <w:rPr>
          <w:rFonts w:eastAsia="Times New Roman"/>
          <w:color w:val="7B7B7B" w:themeColor="accent3" w:themeShade="BF"/>
        </w:rPr>
        <w:t>Court may:</w:t>
      </w:r>
    </w:p>
    <w:p w14:paraId="60AE3379"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15F98CEA" w14:textId="77777777" w:rsidR="00974665" w:rsidRPr="007A709E" w:rsidRDefault="00974665" w:rsidP="0071191D">
      <w:pPr>
        <w:pStyle w:val="BodyText"/>
        <w:numPr>
          <w:ilvl w:val="0"/>
          <w:numId w:val="30"/>
        </w:numPr>
        <w:spacing w:before="11"/>
        <w:ind w:left="720" w:right="386" w:firstLine="0"/>
        <w:jc w:val="both"/>
        <w:rPr>
          <w:rFonts w:eastAsia="Times New Roman"/>
          <w:color w:val="7B7B7B" w:themeColor="accent3" w:themeShade="BF"/>
        </w:rPr>
      </w:pPr>
      <w:r w:rsidRPr="007A709E">
        <w:rPr>
          <w:rFonts w:eastAsia="Times New Roman"/>
          <w:color w:val="7B7B7B" w:themeColor="accent3" w:themeShade="BF"/>
        </w:rPr>
        <w:t>refuse to discharge;</w:t>
      </w:r>
    </w:p>
    <w:p w14:paraId="219FAC53"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05A2B24A" w14:textId="77777777" w:rsidR="00974665" w:rsidRPr="007A709E" w:rsidRDefault="00974665" w:rsidP="0071191D">
      <w:pPr>
        <w:pStyle w:val="BodyText"/>
        <w:numPr>
          <w:ilvl w:val="0"/>
          <w:numId w:val="30"/>
        </w:numPr>
        <w:spacing w:before="11"/>
        <w:ind w:left="720" w:right="386" w:firstLine="0"/>
        <w:jc w:val="both"/>
        <w:rPr>
          <w:rFonts w:eastAsia="Times New Roman"/>
          <w:color w:val="7B7B7B" w:themeColor="accent3" w:themeShade="BF"/>
        </w:rPr>
      </w:pPr>
      <w:r w:rsidRPr="007A709E">
        <w:rPr>
          <w:rFonts w:eastAsia="Times New Roman"/>
          <w:color w:val="7B7B7B" w:themeColor="accent3" w:themeShade="BF"/>
        </w:rPr>
        <w:t>make an order discharging the bankruptcy absolutely; or</w:t>
      </w:r>
    </w:p>
    <w:p w14:paraId="4D9E74F5"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52F9BE0F" w14:textId="5A03231C" w:rsidR="00974665" w:rsidRPr="007A709E" w:rsidRDefault="00974665" w:rsidP="0071191D">
      <w:pPr>
        <w:pStyle w:val="BodyText"/>
        <w:numPr>
          <w:ilvl w:val="0"/>
          <w:numId w:val="30"/>
        </w:numPr>
        <w:spacing w:before="11"/>
        <w:ind w:left="720" w:right="386" w:firstLine="0"/>
        <w:jc w:val="both"/>
        <w:rPr>
          <w:rFonts w:eastAsia="Times New Roman"/>
          <w:color w:val="7B7B7B" w:themeColor="accent3" w:themeShade="BF"/>
        </w:rPr>
      </w:pPr>
      <w:r w:rsidRPr="007A709E">
        <w:rPr>
          <w:rFonts w:eastAsia="Times New Roman"/>
          <w:color w:val="7B7B7B" w:themeColor="accent3" w:themeShade="BF"/>
        </w:rPr>
        <w:t xml:space="preserve">make an order discharging on conditions as it thinks fit, including conditions with respect to future income or </w:t>
      </w:r>
      <w:r w:rsidR="007A709E">
        <w:rPr>
          <w:rFonts w:eastAsia="Times New Roman"/>
          <w:color w:val="7B7B7B" w:themeColor="accent3" w:themeShade="BF"/>
        </w:rPr>
        <w:t>property</w:t>
      </w:r>
    </w:p>
    <w:p w14:paraId="1B4C0657"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7763E304" w14:textId="77777777" w:rsidR="00974665" w:rsidRPr="00567160" w:rsidRDefault="00974665" w:rsidP="0071191D">
      <w:pPr>
        <w:pStyle w:val="BodyText"/>
        <w:spacing w:before="11"/>
        <w:ind w:left="720" w:right="386"/>
        <w:jc w:val="both"/>
        <w:rPr>
          <w:rFonts w:eastAsia="Times New Roman"/>
          <w:b/>
          <w:color w:val="7B7B7B" w:themeColor="accent3" w:themeShade="BF"/>
        </w:rPr>
      </w:pPr>
      <w:r w:rsidRPr="00567160">
        <w:rPr>
          <w:rFonts w:eastAsia="Times New Roman"/>
          <w:b/>
          <w:color w:val="7B7B7B" w:themeColor="accent3" w:themeShade="BF"/>
        </w:rPr>
        <w:t>Discharge by the Official Assignee</w:t>
      </w:r>
    </w:p>
    <w:p w14:paraId="4E090CC2" w14:textId="77777777" w:rsidR="00974665" w:rsidRPr="007A709E" w:rsidRDefault="00974665" w:rsidP="0071191D">
      <w:pPr>
        <w:pStyle w:val="BodyText"/>
        <w:spacing w:before="11"/>
        <w:ind w:left="720" w:right="386"/>
        <w:jc w:val="both"/>
        <w:rPr>
          <w:rFonts w:eastAsia="Times New Roman"/>
          <w:color w:val="7B7B7B" w:themeColor="accent3" w:themeShade="BF"/>
        </w:rPr>
      </w:pPr>
    </w:p>
    <w:p w14:paraId="4C3B5581" w14:textId="1963FA6B" w:rsidR="00974665" w:rsidRDefault="00974665" w:rsidP="0071191D">
      <w:pPr>
        <w:pStyle w:val="BodyText"/>
        <w:spacing w:before="11"/>
        <w:ind w:left="720" w:right="386"/>
        <w:jc w:val="both"/>
      </w:pPr>
      <w:r w:rsidRPr="007A709E">
        <w:rPr>
          <w:rFonts w:eastAsia="Times New Roman"/>
          <w:color w:val="7B7B7B" w:themeColor="accent3" w:themeShade="BF"/>
        </w:rPr>
        <w:t xml:space="preserve">The Official Assignee may, in his discretion, issue a certificate of discharge </w:t>
      </w:r>
    </w:p>
    <w:p w14:paraId="0F85A4BD" w14:textId="77777777" w:rsidR="0045683E" w:rsidRDefault="0045683E" w:rsidP="0071191D">
      <w:pPr>
        <w:ind w:left="720" w:right="386"/>
        <w:jc w:val="both"/>
        <w:rPr>
          <w:rFonts w:ascii="Arial" w:hAnsi="Arial" w:cs="Arial"/>
          <w:bCs/>
          <w:sz w:val="22"/>
          <w:szCs w:val="22"/>
          <w:lang w:val="en-GB"/>
        </w:rPr>
      </w:pPr>
    </w:p>
    <w:p w14:paraId="68B08517" w14:textId="77777777" w:rsidR="0071191D" w:rsidRDefault="0071191D" w:rsidP="0071191D">
      <w:pPr>
        <w:ind w:left="720" w:right="386"/>
        <w:jc w:val="both"/>
        <w:rPr>
          <w:rFonts w:ascii="Arial" w:hAnsi="Arial" w:cs="Arial"/>
          <w:bCs/>
          <w:sz w:val="22"/>
          <w:szCs w:val="22"/>
          <w:lang w:val="en-GB"/>
        </w:rPr>
      </w:pPr>
    </w:p>
    <w:p w14:paraId="56EEA7C2" w14:textId="77777777" w:rsidR="0071191D" w:rsidRDefault="0071191D" w:rsidP="0071191D">
      <w:pPr>
        <w:ind w:left="720" w:right="386"/>
        <w:jc w:val="both"/>
        <w:rPr>
          <w:rFonts w:ascii="Arial" w:hAnsi="Arial" w:cs="Arial"/>
          <w:bCs/>
          <w:sz w:val="22"/>
          <w:szCs w:val="22"/>
          <w:lang w:val="en-GB"/>
        </w:rPr>
      </w:pPr>
    </w:p>
    <w:p w14:paraId="1CA6A69A" w14:textId="77777777" w:rsidR="0071191D" w:rsidRDefault="0071191D" w:rsidP="0071191D">
      <w:pPr>
        <w:ind w:left="720" w:right="386"/>
        <w:jc w:val="both"/>
        <w:rPr>
          <w:rFonts w:ascii="Arial" w:hAnsi="Arial" w:cs="Arial"/>
          <w:bCs/>
          <w:sz w:val="22"/>
          <w:szCs w:val="22"/>
          <w:lang w:val="en-GB"/>
        </w:rPr>
      </w:pPr>
    </w:p>
    <w:p w14:paraId="405235B7" w14:textId="77777777" w:rsidR="0071191D" w:rsidRPr="002A37BB" w:rsidRDefault="0071191D" w:rsidP="0071191D">
      <w:pPr>
        <w:ind w:left="720" w:right="386"/>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Pr="002901F4" w:rsidRDefault="0007291B" w:rsidP="002A37BB">
      <w:pPr>
        <w:jc w:val="both"/>
        <w:rPr>
          <w:rFonts w:ascii="Arial" w:hAnsi="Arial" w:cs="Arial"/>
          <w:b/>
          <w:sz w:val="22"/>
          <w:szCs w:val="22"/>
          <w:lang w:val="en-GB"/>
        </w:rPr>
      </w:pPr>
      <w:r w:rsidRPr="002901F4">
        <w:rPr>
          <w:rFonts w:ascii="Arial" w:hAnsi="Arial" w:cs="Arial"/>
          <w:b/>
          <w:sz w:val="22"/>
          <w:szCs w:val="22"/>
          <w:lang w:val="en-GB"/>
        </w:rPr>
        <w:t>Write a</w:t>
      </w:r>
      <w:r w:rsidR="008277A3" w:rsidRPr="002901F4">
        <w:rPr>
          <w:rFonts w:ascii="Arial" w:hAnsi="Arial" w:cs="Arial"/>
          <w:b/>
          <w:sz w:val="22"/>
          <w:szCs w:val="22"/>
          <w:lang w:val="en-GB"/>
        </w:rPr>
        <w:t xml:space="preserve"> brief </w:t>
      </w:r>
      <w:r w:rsidRPr="002901F4">
        <w:rPr>
          <w:rFonts w:ascii="Arial" w:hAnsi="Arial" w:cs="Arial"/>
          <w:b/>
          <w:sz w:val="22"/>
          <w:szCs w:val="22"/>
          <w:lang w:val="en-GB"/>
        </w:rPr>
        <w:t>essay on</w:t>
      </w:r>
      <w:r w:rsidR="009C526D" w:rsidRPr="002901F4">
        <w:rPr>
          <w:rFonts w:ascii="Arial" w:hAnsi="Arial" w:cs="Arial"/>
          <w:b/>
          <w:sz w:val="22"/>
          <w:szCs w:val="22"/>
          <w:lang w:val="en-GB"/>
        </w:rPr>
        <w:t xml:space="preserve"> </w:t>
      </w:r>
    </w:p>
    <w:p w14:paraId="677D725D" w14:textId="77777777" w:rsidR="00E426B2" w:rsidRPr="002901F4" w:rsidRDefault="00E426B2" w:rsidP="002A37BB">
      <w:pPr>
        <w:jc w:val="both"/>
        <w:rPr>
          <w:rFonts w:ascii="Arial" w:hAnsi="Arial" w:cs="Arial"/>
          <w:b/>
          <w:sz w:val="22"/>
          <w:szCs w:val="22"/>
          <w:lang w:val="en-GB"/>
        </w:rPr>
      </w:pPr>
    </w:p>
    <w:p w14:paraId="5E214779" w14:textId="1528F221" w:rsidR="00E426B2" w:rsidRPr="002901F4" w:rsidRDefault="0013379E" w:rsidP="0050319C">
      <w:pPr>
        <w:pStyle w:val="ListParagraph"/>
        <w:numPr>
          <w:ilvl w:val="0"/>
          <w:numId w:val="14"/>
        </w:numPr>
        <w:ind w:left="426"/>
        <w:jc w:val="both"/>
        <w:rPr>
          <w:rFonts w:ascii="Arial" w:hAnsi="Arial" w:cs="Arial"/>
          <w:b/>
          <w:sz w:val="22"/>
          <w:szCs w:val="22"/>
          <w:lang w:val="en-GB"/>
        </w:rPr>
      </w:pPr>
      <w:r w:rsidRPr="002901F4">
        <w:rPr>
          <w:rFonts w:ascii="Arial" w:hAnsi="Arial" w:cs="Arial"/>
          <w:b/>
          <w:sz w:val="22"/>
          <w:szCs w:val="22"/>
          <w:lang w:val="en-GB"/>
        </w:rPr>
        <w:t>the</w:t>
      </w:r>
      <w:r w:rsidR="00954F89" w:rsidRPr="002901F4">
        <w:rPr>
          <w:rFonts w:ascii="Arial" w:hAnsi="Arial" w:cs="Arial"/>
          <w:b/>
          <w:sz w:val="22"/>
          <w:szCs w:val="22"/>
          <w:lang w:val="en-GB"/>
        </w:rPr>
        <w:t xml:space="preserve"> restrictions on</w:t>
      </w:r>
      <w:r w:rsidR="00631DDB" w:rsidRPr="002901F4">
        <w:rPr>
          <w:rFonts w:ascii="Arial" w:hAnsi="Arial" w:cs="Arial"/>
          <w:b/>
          <w:sz w:val="22"/>
          <w:szCs w:val="22"/>
          <w:lang w:val="en-GB"/>
        </w:rPr>
        <w:t xml:space="preserve"> </w:t>
      </w:r>
      <w:r w:rsidR="00954F89" w:rsidRPr="002901F4">
        <w:rPr>
          <w:rFonts w:ascii="Arial" w:hAnsi="Arial" w:cs="Arial"/>
          <w:b/>
          <w:i/>
          <w:iCs/>
          <w:sz w:val="22"/>
          <w:szCs w:val="22"/>
          <w:lang w:val="en-GB"/>
        </w:rPr>
        <w:t>ipso facto</w:t>
      </w:r>
      <w:r w:rsidR="00954F89" w:rsidRPr="002901F4">
        <w:rPr>
          <w:rFonts w:ascii="Arial" w:hAnsi="Arial" w:cs="Arial"/>
          <w:b/>
          <w:sz w:val="22"/>
          <w:szCs w:val="22"/>
          <w:lang w:val="en-GB"/>
        </w:rPr>
        <w:t xml:space="preserve"> clauses</w:t>
      </w:r>
      <w:r w:rsidR="0050319C" w:rsidRPr="002901F4">
        <w:rPr>
          <w:rFonts w:ascii="Arial" w:hAnsi="Arial" w:cs="Arial"/>
          <w:b/>
          <w:sz w:val="22"/>
          <w:szCs w:val="22"/>
          <w:lang w:val="en-GB"/>
        </w:rPr>
        <w:t>;</w:t>
      </w:r>
      <w:r w:rsidR="00954F89" w:rsidRPr="002901F4">
        <w:rPr>
          <w:rFonts w:ascii="Arial" w:hAnsi="Arial" w:cs="Arial"/>
          <w:b/>
          <w:sz w:val="22"/>
          <w:szCs w:val="22"/>
          <w:lang w:val="en-GB"/>
        </w:rPr>
        <w:t xml:space="preserve"> and </w:t>
      </w:r>
    </w:p>
    <w:p w14:paraId="013D31A8" w14:textId="77777777" w:rsidR="00E426B2" w:rsidRPr="002901F4" w:rsidRDefault="00E426B2" w:rsidP="0050319C">
      <w:pPr>
        <w:ind w:left="426"/>
        <w:jc w:val="both"/>
        <w:rPr>
          <w:rFonts w:ascii="Arial" w:hAnsi="Arial" w:cs="Arial"/>
          <w:b/>
          <w:sz w:val="22"/>
          <w:szCs w:val="22"/>
          <w:lang w:val="en-GB"/>
        </w:rPr>
      </w:pPr>
    </w:p>
    <w:p w14:paraId="4BABCDCA" w14:textId="2716E284" w:rsidR="00E426B2" w:rsidRPr="002901F4" w:rsidRDefault="00954F89" w:rsidP="0050319C">
      <w:pPr>
        <w:pStyle w:val="ListParagraph"/>
        <w:numPr>
          <w:ilvl w:val="0"/>
          <w:numId w:val="14"/>
        </w:numPr>
        <w:ind w:left="426"/>
        <w:jc w:val="both"/>
        <w:rPr>
          <w:rFonts w:ascii="Arial" w:hAnsi="Arial" w:cs="Arial"/>
          <w:b/>
          <w:sz w:val="22"/>
          <w:szCs w:val="22"/>
          <w:lang w:val="en-GB"/>
        </w:rPr>
      </w:pPr>
      <w:r w:rsidRPr="002901F4">
        <w:rPr>
          <w:rFonts w:ascii="Arial" w:hAnsi="Arial" w:cs="Arial"/>
          <w:b/>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71191D" w:rsidRDefault="00241FA3" w:rsidP="002A37BB">
      <w:pPr>
        <w:jc w:val="both"/>
        <w:rPr>
          <w:rFonts w:ascii="Arial" w:hAnsi="Arial" w:cs="Arial"/>
          <w:b/>
          <w:sz w:val="22"/>
          <w:szCs w:val="22"/>
        </w:rPr>
      </w:pPr>
    </w:p>
    <w:p w14:paraId="2CE38A2B" w14:textId="77777777" w:rsidR="0071191D" w:rsidRPr="0071191D" w:rsidRDefault="0071191D" w:rsidP="002A37BB">
      <w:pPr>
        <w:jc w:val="both"/>
        <w:rPr>
          <w:rFonts w:ascii="Arial" w:hAnsi="Arial" w:cs="Arial"/>
          <w:b/>
          <w:sz w:val="22"/>
          <w:szCs w:val="22"/>
        </w:rPr>
      </w:pPr>
    </w:p>
    <w:p w14:paraId="54B8A557" w14:textId="3A8B0D2F" w:rsidR="002901F4" w:rsidRPr="0071191D" w:rsidRDefault="002901F4" w:rsidP="0071191D">
      <w:pPr>
        <w:pStyle w:val="ListParagraph"/>
        <w:numPr>
          <w:ilvl w:val="0"/>
          <w:numId w:val="22"/>
        </w:numPr>
        <w:ind w:right="386" w:firstLine="0"/>
        <w:jc w:val="both"/>
        <w:rPr>
          <w:rFonts w:ascii="Arial" w:hAnsi="Arial" w:cs="Arial"/>
          <w:b/>
          <w:color w:val="7B7B7B" w:themeColor="accent3" w:themeShade="BF"/>
          <w:sz w:val="22"/>
          <w:szCs w:val="22"/>
          <w:lang w:val="en-GB"/>
        </w:rPr>
      </w:pPr>
      <w:r w:rsidRPr="0071191D">
        <w:rPr>
          <w:rFonts w:ascii="Arial" w:hAnsi="Arial" w:cs="Arial"/>
          <w:b/>
          <w:color w:val="7B7B7B" w:themeColor="accent3" w:themeShade="BF"/>
          <w:sz w:val="22"/>
          <w:szCs w:val="22"/>
          <w:lang w:val="en-GB"/>
        </w:rPr>
        <w:t>the restrictions on ipso facto clause</w:t>
      </w:r>
    </w:p>
    <w:p w14:paraId="3864A7C0" w14:textId="77777777" w:rsidR="002901F4" w:rsidRDefault="002901F4" w:rsidP="0071191D">
      <w:pPr>
        <w:ind w:right="386"/>
        <w:jc w:val="both"/>
        <w:rPr>
          <w:rFonts w:ascii="Arial" w:hAnsi="Arial" w:cs="Arial"/>
          <w:sz w:val="22"/>
          <w:szCs w:val="22"/>
        </w:rPr>
      </w:pPr>
    </w:p>
    <w:p w14:paraId="088440DA" w14:textId="77777777" w:rsidR="002901F4" w:rsidRPr="002A37BB" w:rsidRDefault="002901F4" w:rsidP="0071191D">
      <w:pPr>
        <w:ind w:right="386"/>
        <w:jc w:val="both"/>
        <w:rPr>
          <w:rFonts w:ascii="Arial" w:hAnsi="Arial" w:cs="Arial"/>
          <w:sz w:val="22"/>
          <w:szCs w:val="22"/>
        </w:rPr>
      </w:pPr>
    </w:p>
    <w:p w14:paraId="04B80358" w14:textId="0D06CA4E" w:rsidR="00974665" w:rsidRPr="002901F4" w:rsidRDefault="00974665" w:rsidP="0071191D">
      <w:pPr>
        <w:pStyle w:val="ListParagraph"/>
        <w:ind w:right="386"/>
        <w:jc w:val="both"/>
        <w:rPr>
          <w:rFonts w:ascii="Arial" w:hAnsi="Arial" w:cs="Arial"/>
          <w:color w:val="7B7B7B" w:themeColor="accent3" w:themeShade="BF"/>
          <w:sz w:val="22"/>
          <w:szCs w:val="22"/>
          <w:lang w:val="en-GB"/>
        </w:rPr>
      </w:pPr>
      <w:r w:rsidRPr="002901F4">
        <w:rPr>
          <w:rFonts w:ascii="Arial" w:hAnsi="Arial" w:cs="Arial"/>
          <w:color w:val="7B7B7B" w:themeColor="accent3" w:themeShade="BF"/>
          <w:sz w:val="22"/>
          <w:szCs w:val="22"/>
          <w:lang w:val="en-GB"/>
        </w:rPr>
        <w:t xml:space="preserve">In Singapore, section 440 of the IRD Act 2018 restricts the enforcement of ipso facto </w:t>
      </w:r>
      <w:r w:rsidR="002901F4" w:rsidRPr="002901F4">
        <w:rPr>
          <w:rFonts w:ascii="Arial" w:hAnsi="Arial" w:cs="Arial"/>
          <w:color w:val="7B7B7B" w:themeColor="accent3" w:themeShade="BF"/>
          <w:sz w:val="22"/>
          <w:szCs w:val="22"/>
          <w:lang w:val="en-GB"/>
        </w:rPr>
        <w:t xml:space="preserve"> </w:t>
      </w:r>
      <w:r w:rsidRPr="002901F4">
        <w:rPr>
          <w:rFonts w:ascii="Arial" w:hAnsi="Arial" w:cs="Arial"/>
          <w:color w:val="7B7B7B" w:themeColor="accent3" w:themeShade="BF"/>
          <w:sz w:val="22"/>
          <w:szCs w:val="22"/>
          <w:lang w:val="en-GB"/>
        </w:rPr>
        <w:t>clauses once any proceedings relating to any applications under judicial management or a scheme of arrangement involving the “supercharged” scheme process are commenced by a company.</w:t>
      </w:r>
    </w:p>
    <w:p w14:paraId="2264FD98" w14:textId="77777777" w:rsidR="00974665" w:rsidRDefault="00974665" w:rsidP="0071191D">
      <w:pPr>
        <w:pStyle w:val="BodyText"/>
        <w:spacing w:before="2"/>
        <w:ind w:right="386"/>
      </w:pPr>
    </w:p>
    <w:p w14:paraId="4AABD2A5" w14:textId="77777777" w:rsidR="002901F4" w:rsidRDefault="00974665" w:rsidP="0071191D">
      <w:pPr>
        <w:pStyle w:val="BodyText"/>
        <w:spacing w:before="1"/>
        <w:ind w:left="820" w:right="386"/>
        <w:rPr>
          <w:rFonts w:eastAsia="Times New Roman"/>
          <w:color w:val="7B7B7B" w:themeColor="accent3" w:themeShade="BF"/>
          <w:lang w:val="en-GB"/>
        </w:rPr>
      </w:pPr>
      <w:r w:rsidRPr="002901F4">
        <w:rPr>
          <w:rFonts w:eastAsia="Times New Roman"/>
          <w:color w:val="7B7B7B" w:themeColor="accent3" w:themeShade="BF"/>
          <w:lang w:val="en-GB"/>
        </w:rPr>
        <w:t xml:space="preserve">However, a list of contracts is expressly excluded from the restrictions. These include: </w:t>
      </w:r>
    </w:p>
    <w:p w14:paraId="329C745E" w14:textId="77777777" w:rsidR="004C41FC" w:rsidRPr="002901F4" w:rsidRDefault="004C41FC" w:rsidP="0071191D">
      <w:pPr>
        <w:pStyle w:val="BodyText"/>
        <w:spacing w:before="1"/>
        <w:ind w:left="820" w:right="386"/>
        <w:rPr>
          <w:rFonts w:eastAsia="Times New Roman"/>
          <w:color w:val="7B7B7B" w:themeColor="accent3" w:themeShade="BF"/>
          <w:lang w:val="en-GB"/>
        </w:rPr>
      </w:pPr>
    </w:p>
    <w:p w14:paraId="370A9702" w14:textId="11426CEA" w:rsidR="002901F4" w:rsidRPr="002901F4" w:rsidRDefault="00974665" w:rsidP="0071191D">
      <w:pPr>
        <w:pStyle w:val="BodyText"/>
        <w:numPr>
          <w:ilvl w:val="5"/>
          <w:numId w:val="21"/>
        </w:numPr>
        <w:spacing w:before="1"/>
        <w:ind w:right="386" w:firstLine="0"/>
        <w:rPr>
          <w:rFonts w:eastAsia="Times New Roman"/>
          <w:color w:val="7B7B7B" w:themeColor="accent3" w:themeShade="BF"/>
          <w:lang w:val="en-GB"/>
        </w:rPr>
      </w:pPr>
      <w:r w:rsidRPr="002901F4">
        <w:rPr>
          <w:rFonts w:eastAsia="Times New Roman"/>
          <w:color w:val="7B7B7B" w:themeColor="accent3" w:themeShade="BF"/>
          <w:lang w:val="en-GB"/>
        </w:rPr>
        <w:t xml:space="preserve">any prescribed eligible financial contract, </w:t>
      </w:r>
    </w:p>
    <w:p w14:paraId="3C5914CA" w14:textId="3D0CC02E" w:rsidR="002901F4" w:rsidRPr="002901F4" w:rsidRDefault="00974665" w:rsidP="0071191D">
      <w:pPr>
        <w:pStyle w:val="BodyText"/>
        <w:numPr>
          <w:ilvl w:val="5"/>
          <w:numId w:val="21"/>
        </w:numPr>
        <w:spacing w:before="1"/>
        <w:ind w:right="386" w:firstLine="0"/>
        <w:rPr>
          <w:rFonts w:eastAsia="Times New Roman"/>
          <w:color w:val="7B7B7B" w:themeColor="accent3" w:themeShade="BF"/>
          <w:lang w:val="en-GB"/>
        </w:rPr>
      </w:pPr>
      <w:r w:rsidRPr="002901F4">
        <w:rPr>
          <w:rFonts w:eastAsia="Times New Roman"/>
          <w:color w:val="7B7B7B" w:themeColor="accent3" w:themeShade="BF"/>
          <w:lang w:val="en-GB"/>
        </w:rPr>
        <w:t xml:space="preserve">any contract that is a license, permit or approval issued by the government or a statutory body, </w:t>
      </w:r>
    </w:p>
    <w:p w14:paraId="404804F9" w14:textId="77777777" w:rsidR="002901F4" w:rsidRPr="002901F4" w:rsidRDefault="00974665" w:rsidP="0071191D">
      <w:pPr>
        <w:pStyle w:val="BodyText"/>
        <w:numPr>
          <w:ilvl w:val="5"/>
          <w:numId w:val="21"/>
        </w:numPr>
        <w:spacing w:before="1"/>
        <w:ind w:right="386" w:firstLine="0"/>
        <w:rPr>
          <w:rFonts w:eastAsia="Times New Roman"/>
          <w:color w:val="7B7B7B" w:themeColor="accent3" w:themeShade="BF"/>
          <w:lang w:val="en-GB"/>
        </w:rPr>
      </w:pPr>
      <w:r w:rsidRPr="002901F4">
        <w:rPr>
          <w:rFonts w:eastAsia="Times New Roman"/>
          <w:color w:val="7B7B7B" w:themeColor="accent3" w:themeShade="BF"/>
          <w:lang w:val="en-GB"/>
        </w:rPr>
        <w:t xml:space="preserve">any commercial charter of a ship; and </w:t>
      </w:r>
    </w:p>
    <w:p w14:paraId="06D73AA9" w14:textId="0CA82B52" w:rsidR="00974665" w:rsidRDefault="00974665" w:rsidP="0071191D">
      <w:pPr>
        <w:pStyle w:val="BodyText"/>
        <w:numPr>
          <w:ilvl w:val="5"/>
          <w:numId w:val="21"/>
        </w:numPr>
        <w:spacing w:before="1"/>
        <w:ind w:right="386" w:firstLine="0"/>
      </w:pPr>
      <w:r w:rsidRPr="002901F4">
        <w:rPr>
          <w:rFonts w:eastAsia="Times New Roman"/>
          <w:color w:val="7B7B7B" w:themeColor="accent3" w:themeShade="BF"/>
          <w:lang w:val="en-GB"/>
        </w:rPr>
        <w:t>any agreement that is the subject of a prescribed treaty to which Singapore is a party</w:t>
      </w:r>
      <w:r>
        <w:t>.</w:t>
      </w:r>
    </w:p>
    <w:p w14:paraId="09F210A2" w14:textId="77777777" w:rsidR="00974665" w:rsidRDefault="00974665" w:rsidP="0071191D">
      <w:pPr>
        <w:pStyle w:val="BodyText"/>
        <w:spacing w:before="9"/>
        <w:ind w:right="386"/>
        <w:rPr>
          <w:sz w:val="21"/>
        </w:rPr>
      </w:pPr>
    </w:p>
    <w:p w14:paraId="2674C2E9" w14:textId="3703E1C5" w:rsidR="00974665" w:rsidRPr="002901F4" w:rsidRDefault="00974665" w:rsidP="0071191D">
      <w:pPr>
        <w:pStyle w:val="BodyText"/>
        <w:spacing w:before="1"/>
        <w:ind w:left="820" w:right="386"/>
        <w:jc w:val="both"/>
        <w:rPr>
          <w:rFonts w:eastAsia="Times New Roman"/>
          <w:color w:val="7B7B7B" w:themeColor="accent3" w:themeShade="BF"/>
          <w:lang w:val="en-GB"/>
        </w:rPr>
      </w:pPr>
      <w:r w:rsidRPr="002901F4">
        <w:rPr>
          <w:rFonts w:eastAsia="Times New Roman"/>
          <w:color w:val="7B7B7B" w:themeColor="accent3" w:themeShade="BF"/>
          <w:lang w:val="en-GB"/>
        </w:rPr>
        <w:t>Although contracts will remain on foot, counter parties are not required to continue to advance new money or credit to an insolvent company.</w:t>
      </w:r>
    </w:p>
    <w:p w14:paraId="686636FD" w14:textId="77777777" w:rsidR="00974665" w:rsidRPr="002901F4" w:rsidRDefault="00974665" w:rsidP="0071191D">
      <w:pPr>
        <w:pStyle w:val="BodyText"/>
        <w:spacing w:before="10"/>
        <w:ind w:right="386"/>
        <w:jc w:val="both"/>
        <w:rPr>
          <w:rFonts w:eastAsia="Times New Roman"/>
          <w:color w:val="7B7B7B" w:themeColor="accent3" w:themeShade="BF"/>
          <w:lang w:val="en-GB"/>
        </w:rPr>
      </w:pPr>
    </w:p>
    <w:p w14:paraId="345879A7" w14:textId="4F0968BC" w:rsidR="00974665" w:rsidRPr="002901F4" w:rsidRDefault="00974665" w:rsidP="0071191D">
      <w:pPr>
        <w:pStyle w:val="BodyText"/>
        <w:ind w:left="820" w:right="386"/>
        <w:jc w:val="both"/>
        <w:rPr>
          <w:rFonts w:eastAsia="Times New Roman"/>
          <w:color w:val="7B7B7B" w:themeColor="accent3" w:themeShade="BF"/>
          <w:lang w:val="en-GB"/>
        </w:rPr>
      </w:pPr>
      <w:r w:rsidRPr="002901F4">
        <w:rPr>
          <w:rFonts w:eastAsia="Times New Roman"/>
          <w:color w:val="7B7B7B" w:themeColor="accent3" w:themeShade="BF"/>
          <w:lang w:val="en-GB"/>
        </w:rPr>
        <w:t xml:space="preserve">Singapore courts </w:t>
      </w:r>
      <w:r w:rsidR="002901F4">
        <w:rPr>
          <w:rFonts w:eastAsia="Times New Roman"/>
          <w:color w:val="7B7B7B" w:themeColor="accent3" w:themeShade="BF"/>
          <w:lang w:val="en-GB"/>
        </w:rPr>
        <w:t xml:space="preserve">have been given an </w:t>
      </w:r>
      <w:r w:rsidRPr="002901F4">
        <w:rPr>
          <w:rFonts w:eastAsia="Times New Roman"/>
          <w:color w:val="7B7B7B" w:themeColor="accent3" w:themeShade="BF"/>
          <w:lang w:val="en-GB"/>
        </w:rPr>
        <w:t xml:space="preserve">overriding power to rule on the applicability of the restrictions </w:t>
      </w:r>
      <w:r w:rsidR="002901F4">
        <w:rPr>
          <w:rFonts w:eastAsia="Times New Roman"/>
          <w:color w:val="7B7B7B" w:themeColor="accent3" w:themeShade="BF"/>
          <w:lang w:val="en-GB"/>
        </w:rPr>
        <w:t xml:space="preserve">under </w:t>
      </w:r>
      <w:r w:rsidR="002901F4" w:rsidRPr="002901F4">
        <w:rPr>
          <w:rFonts w:eastAsia="Times New Roman"/>
          <w:color w:val="7B7B7B" w:themeColor="accent3" w:themeShade="BF"/>
          <w:lang w:val="en-GB"/>
        </w:rPr>
        <w:t xml:space="preserve">section 440(4) </w:t>
      </w:r>
      <w:r w:rsidRPr="002901F4">
        <w:rPr>
          <w:rFonts w:eastAsia="Times New Roman"/>
          <w:color w:val="7B7B7B" w:themeColor="accent3" w:themeShade="BF"/>
          <w:lang w:val="en-GB"/>
        </w:rPr>
        <w:t xml:space="preserve">and their extent if the applicant can demonstrate that it will suffer significant financial </w:t>
      </w:r>
      <w:r w:rsidR="004C41FC">
        <w:rPr>
          <w:rFonts w:eastAsia="Times New Roman"/>
          <w:color w:val="7B7B7B" w:themeColor="accent3" w:themeShade="BF"/>
          <w:lang w:val="en-GB"/>
        </w:rPr>
        <w:t>hardship.</w:t>
      </w:r>
    </w:p>
    <w:p w14:paraId="209803B1" w14:textId="4249F980" w:rsidR="00C13403" w:rsidRDefault="002901F4" w:rsidP="0071191D">
      <w:pPr>
        <w:ind w:right="38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91FFAC4" w14:textId="77777777" w:rsidR="00C13403" w:rsidRPr="0071191D" w:rsidRDefault="00C13403" w:rsidP="0071191D">
      <w:pPr>
        <w:ind w:left="426" w:right="386"/>
        <w:jc w:val="both"/>
        <w:rPr>
          <w:rFonts w:ascii="Arial" w:hAnsi="Arial" w:cs="Arial"/>
          <w:b/>
          <w:sz w:val="22"/>
          <w:szCs w:val="22"/>
          <w:lang w:val="en-GB"/>
        </w:rPr>
      </w:pPr>
    </w:p>
    <w:p w14:paraId="2AE3D7DE" w14:textId="2E2E9CB6" w:rsidR="00C13403" w:rsidRPr="0071191D" w:rsidRDefault="00C13403" w:rsidP="0071191D">
      <w:pPr>
        <w:pStyle w:val="ListParagraph"/>
        <w:numPr>
          <w:ilvl w:val="0"/>
          <w:numId w:val="22"/>
        </w:numPr>
        <w:ind w:right="386" w:firstLine="0"/>
        <w:jc w:val="both"/>
        <w:rPr>
          <w:rFonts w:ascii="Arial" w:hAnsi="Arial" w:cs="Arial"/>
          <w:b/>
          <w:color w:val="7B7B7B" w:themeColor="accent3" w:themeShade="BF"/>
          <w:sz w:val="22"/>
          <w:szCs w:val="22"/>
          <w:lang w:val="en-GB"/>
        </w:rPr>
      </w:pPr>
      <w:r w:rsidRPr="0071191D">
        <w:rPr>
          <w:rFonts w:ascii="Arial" w:hAnsi="Arial" w:cs="Arial"/>
          <w:b/>
          <w:color w:val="7B7B7B" w:themeColor="accent3" w:themeShade="BF"/>
          <w:sz w:val="22"/>
          <w:szCs w:val="22"/>
          <w:lang w:val="en-GB"/>
        </w:rPr>
        <w:t>wrongful trading</w:t>
      </w:r>
    </w:p>
    <w:p w14:paraId="4DEB21AF" w14:textId="77777777" w:rsidR="00C13403" w:rsidRDefault="00C13403" w:rsidP="0071191D">
      <w:pPr>
        <w:ind w:right="386"/>
        <w:jc w:val="both"/>
        <w:rPr>
          <w:rFonts w:ascii="Arial" w:hAnsi="Arial" w:cs="Arial"/>
          <w:color w:val="7B7B7B" w:themeColor="accent3" w:themeShade="BF"/>
          <w:sz w:val="22"/>
          <w:szCs w:val="22"/>
          <w:lang w:val="en-GB"/>
        </w:rPr>
      </w:pPr>
    </w:p>
    <w:p w14:paraId="05653194" w14:textId="412796F0" w:rsidR="004C41FC" w:rsidRDefault="004C41FC" w:rsidP="0071191D">
      <w:pPr>
        <w:pStyle w:val="BodyText"/>
        <w:spacing w:before="101"/>
        <w:ind w:left="819" w:right="386"/>
        <w:jc w:val="both"/>
      </w:pPr>
      <w:r w:rsidRPr="00D01A62">
        <w:rPr>
          <w:rFonts w:eastAsia="Times New Roman"/>
          <w:color w:val="7B7B7B" w:themeColor="accent3" w:themeShade="BF"/>
          <w:lang w:val="en-GB"/>
        </w:rPr>
        <w:t xml:space="preserve">Wrongful trading is defined as the incurrence of debt or other liabilities without a </w:t>
      </w:r>
      <w:r w:rsidR="00D01A62">
        <w:rPr>
          <w:rFonts w:eastAsia="Times New Roman"/>
          <w:color w:val="7B7B7B" w:themeColor="accent3" w:themeShade="BF"/>
          <w:lang w:val="en-GB"/>
        </w:rPr>
        <w:t xml:space="preserve">   </w:t>
      </w:r>
      <w:r w:rsidRPr="00D01A62">
        <w:rPr>
          <w:rFonts w:eastAsia="Times New Roman"/>
          <w:color w:val="7B7B7B" w:themeColor="accent3" w:themeShade="BF"/>
          <w:lang w:val="en-GB"/>
        </w:rPr>
        <w:t>reasonable prospect of meeting them in full when the company is insolvent or becomes insolvent as a result of such debt</w:t>
      </w:r>
      <w:r>
        <w:t>.</w:t>
      </w:r>
    </w:p>
    <w:p w14:paraId="50782851" w14:textId="77777777" w:rsidR="00C13403" w:rsidRDefault="00C13403" w:rsidP="0071191D">
      <w:pPr>
        <w:ind w:right="386"/>
        <w:jc w:val="both"/>
        <w:rPr>
          <w:rFonts w:ascii="Arial" w:hAnsi="Arial" w:cs="Arial"/>
          <w:color w:val="7B7B7B" w:themeColor="accent3" w:themeShade="BF"/>
          <w:sz w:val="22"/>
          <w:szCs w:val="22"/>
          <w:lang w:val="en-GB"/>
        </w:rPr>
      </w:pPr>
    </w:p>
    <w:p w14:paraId="630BA538" w14:textId="77777777" w:rsidR="00C13403" w:rsidRDefault="00C13403" w:rsidP="0071191D">
      <w:pPr>
        <w:pStyle w:val="BodyText"/>
        <w:spacing w:before="3"/>
        <w:ind w:right="386"/>
        <w:rPr>
          <w:b/>
        </w:rPr>
      </w:pPr>
    </w:p>
    <w:p w14:paraId="50CE4E5A" w14:textId="78DC18F2" w:rsidR="00C13403" w:rsidRDefault="004C41FC" w:rsidP="0071191D">
      <w:pPr>
        <w:pStyle w:val="BodyText"/>
        <w:ind w:left="819" w:right="386"/>
        <w:jc w:val="both"/>
      </w:pPr>
      <w:r w:rsidRPr="00D01A62">
        <w:rPr>
          <w:rFonts w:eastAsia="Times New Roman"/>
          <w:color w:val="7B7B7B" w:themeColor="accent3" w:themeShade="BF"/>
          <w:lang w:val="en-GB"/>
        </w:rPr>
        <w:t xml:space="preserve">As per the provisions of </w:t>
      </w:r>
      <w:r w:rsidR="00C13403" w:rsidRPr="00D01A62">
        <w:rPr>
          <w:rFonts w:eastAsia="Times New Roman"/>
          <w:color w:val="7B7B7B" w:themeColor="accent3" w:themeShade="BF"/>
          <w:lang w:val="en-GB"/>
        </w:rPr>
        <w:t xml:space="preserve">wrongful trading, the court is empowered to make a declaration that any person who was a knowingly party to the company trading wrongfully, is personally responsible for the debts or liabilities of the company. A company or any person party to, or interested in becoming party to, the carrying on of business with a company, may apply to the court for a declaration that a particular course of conduct, transaction or series of transactions would not constitute wrongful trading. A company trades wrongfully if the company incurs </w:t>
      </w:r>
      <w:r w:rsidR="00C13403" w:rsidRPr="00D01A62">
        <w:rPr>
          <w:rFonts w:eastAsia="Times New Roman"/>
          <w:color w:val="7B7B7B" w:themeColor="accent3" w:themeShade="BF"/>
          <w:lang w:val="en-GB"/>
        </w:rPr>
        <w:lastRenderedPageBreak/>
        <w:t>debt or liabilities without reasonable prospect of meeting them in full when the company is insolvent, or becomes insolvent as a result of the incurrence of such debt or liability</w:t>
      </w:r>
      <w:r w:rsidR="00C13403">
        <w:t>.</w:t>
      </w:r>
    </w:p>
    <w:p w14:paraId="15A0B9F3" w14:textId="77777777" w:rsidR="00C13403" w:rsidRDefault="00C13403" w:rsidP="0071191D">
      <w:pPr>
        <w:pStyle w:val="BodyText"/>
        <w:spacing w:before="11"/>
        <w:ind w:right="386"/>
        <w:rPr>
          <w:sz w:val="21"/>
        </w:rPr>
      </w:pPr>
    </w:p>
    <w:p w14:paraId="520A5E4B" w14:textId="35BBD71F" w:rsidR="00C13403" w:rsidRPr="00D01A62" w:rsidRDefault="00C13403" w:rsidP="0071191D">
      <w:pPr>
        <w:pStyle w:val="BodyText"/>
        <w:ind w:left="819" w:right="386"/>
        <w:jc w:val="both"/>
        <w:rPr>
          <w:rFonts w:eastAsia="Times New Roman"/>
          <w:color w:val="7B7B7B" w:themeColor="accent3" w:themeShade="BF"/>
          <w:lang w:val="en-GB"/>
        </w:rPr>
      </w:pPr>
      <w:r w:rsidRPr="00D01A62">
        <w:rPr>
          <w:rFonts w:eastAsia="Times New Roman"/>
          <w:color w:val="7B7B7B" w:themeColor="accent3" w:themeShade="BF"/>
          <w:lang w:val="en-GB"/>
        </w:rPr>
        <w:t xml:space="preserve">Section 239 </w:t>
      </w:r>
      <w:r w:rsidR="00D01A62">
        <w:rPr>
          <w:rFonts w:eastAsia="Times New Roman"/>
          <w:color w:val="7B7B7B" w:themeColor="accent3" w:themeShade="BF"/>
          <w:lang w:val="en-GB"/>
        </w:rPr>
        <w:t>deliberati</w:t>
      </w:r>
      <w:r w:rsidR="004C41FC" w:rsidRPr="00D01A62">
        <w:rPr>
          <w:rFonts w:eastAsia="Times New Roman"/>
          <w:color w:val="7B7B7B" w:themeColor="accent3" w:themeShade="BF"/>
          <w:lang w:val="en-GB"/>
        </w:rPr>
        <w:t xml:space="preserve">ng on </w:t>
      </w:r>
      <w:r w:rsidRPr="00D01A62">
        <w:rPr>
          <w:rFonts w:eastAsia="Times New Roman"/>
          <w:color w:val="7B7B7B" w:themeColor="accent3" w:themeShade="BF"/>
          <w:lang w:val="en-GB"/>
        </w:rPr>
        <w:t xml:space="preserve">Responsibility for wrongful trading imposes personal liability </w:t>
      </w:r>
      <w:r w:rsidR="004C41FC" w:rsidRPr="00D01A62">
        <w:rPr>
          <w:rFonts w:eastAsia="Times New Roman"/>
          <w:color w:val="7B7B7B" w:themeColor="accent3" w:themeShade="BF"/>
          <w:lang w:val="en-GB"/>
        </w:rPr>
        <w:t xml:space="preserve">which is not a criminal liability </w:t>
      </w:r>
      <w:r w:rsidRPr="00D01A62">
        <w:rPr>
          <w:rFonts w:eastAsia="Times New Roman"/>
          <w:color w:val="7B7B7B" w:themeColor="accent3" w:themeShade="BF"/>
          <w:lang w:val="en-GB"/>
        </w:rPr>
        <w:t>for the company’s debts on a person if:</w:t>
      </w:r>
    </w:p>
    <w:p w14:paraId="72D033DE" w14:textId="77777777" w:rsidR="00C13403" w:rsidRPr="00D01A62" w:rsidRDefault="00C13403" w:rsidP="0071191D">
      <w:pPr>
        <w:pStyle w:val="BodyText"/>
        <w:spacing w:before="7"/>
        <w:ind w:right="386"/>
        <w:rPr>
          <w:rFonts w:eastAsia="Times New Roman"/>
          <w:color w:val="7B7B7B" w:themeColor="accent3" w:themeShade="BF"/>
          <w:lang w:val="en-GB"/>
        </w:rPr>
      </w:pPr>
    </w:p>
    <w:p w14:paraId="3862B692" w14:textId="77777777" w:rsidR="00C13403" w:rsidRPr="00D01A62" w:rsidRDefault="00C13403" w:rsidP="0071191D">
      <w:pPr>
        <w:pStyle w:val="ListParagraph"/>
        <w:widowControl w:val="0"/>
        <w:numPr>
          <w:ilvl w:val="0"/>
          <w:numId w:val="23"/>
        </w:numPr>
        <w:tabs>
          <w:tab w:val="left" w:pos="1246"/>
        </w:tabs>
        <w:autoSpaceDE w:val="0"/>
        <w:autoSpaceDN w:val="0"/>
        <w:ind w:right="386" w:firstLine="0"/>
        <w:contextualSpacing w:val="0"/>
        <w:rPr>
          <w:rFonts w:ascii="Arial" w:hAnsi="Arial" w:cs="Arial"/>
          <w:color w:val="7B7B7B" w:themeColor="accent3" w:themeShade="BF"/>
          <w:sz w:val="22"/>
          <w:szCs w:val="22"/>
          <w:lang w:val="en-GB"/>
        </w:rPr>
      </w:pPr>
      <w:r w:rsidRPr="00D01A62">
        <w:rPr>
          <w:rFonts w:ascii="Arial" w:hAnsi="Arial" w:cs="Arial"/>
          <w:color w:val="7B7B7B" w:themeColor="accent3" w:themeShade="BF"/>
          <w:sz w:val="22"/>
          <w:szCs w:val="22"/>
          <w:lang w:val="en-GB"/>
        </w:rPr>
        <w:t>they knew that the company was trading wrongfully; or</w:t>
      </w:r>
    </w:p>
    <w:p w14:paraId="3E02E0AC" w14:textId="77777777" w:rsidR="00C13403" w:rsidRPr="00D01A62" w:rsidRDefault="00C13403" w:rsidP="0071191D">
      <w:pPr>
        <w:pStyle w:val="BodyText"/>
        <w:spacing w:before="3"/>
        <w:ind w:right="386"/>
        <w:rPr>
          <w:rFonts w:eastAsia="Times New Roman"/>
          <w:color w:val="7B7B7B" w:themeColor="accent3" w:themeShade="BF"/>
          <w:lang w:val="en-GB"/>
        </w:rPr>
      </w:pPr>
    </w:p>
    <w:p w14:paraId="72F57A5C" w14:textId="7CE6B688" w:rsidR="00544127" w:rsidRPr="00D01A62" w:rsidRDefault="00C13403" w:rsidP="00CC0239">
      <w:pPr>
        <w:pStyle w:val="ListParagraph"/>
        <w:widowControl w:val="0"/>
        <w:numPr>
          <w:ilvl w:val="0"/>
          <w:numId w:val="23"/>
        </w:numPr>
        <w:tabs>
          <w:tab w:val="left" w:pos="2160"/>
        </w:tabs>
        <w:autoSpaceDE w:val="0"/>
        <w:autoSpaceDN w:val="0"/>
        <w:ind w:left="1244" w:right="386" w:firstLine="0"/>
        <w:contextualSpacing w:val="0"/>
        <w:rPr>
          <w:rFonts w:ascii="Arial" w:hAnsi="Arial" w:cs="Arial"/>
          <w:color w:val="7B7B7B" w:themeColor="accent3" w:themeShade="BF"/>
          <w:sz w:val="22"/>
          <w:szCs w:val="22"/>
          <w:lang w:val="en-GB"/>
        </w:rPr>
      </w:pPr>
      <w:r w:rsidRPr="00D01A62">
        <w:rPr>
          <w:rFonts w:ascii="Arial" w:hAnsi="Arial" w:cs="Arial"/>
          <w:color w:val="7B7B7B" w:themeColor="accent3" w:themeShade="BF"/>
          <w:sz w:val="22"/>
          <w:szCs w:val="22"/>
          <w:lang w:val="en-GB"/>
        </w:rPr>
        <w:t>as an officer of the company, ought, in all the circumstances, to have known that the company was trading wrongfully.</w:t>
      </w:r>
      <w:bookmarkStart w:id="0" w:name="9.6_Termination_of_winding-up"/>
      <w:bookmarkEnd w:id="0"/>
    </w:p>
    <w:p w14:paraId="4E6412EF" w14:textId="77777777" w:rsidR="00544127" w:rsidRPr="00323BF3" w:rsidRDefault="00544127" w:rsidP="0071191D">
      <w:pPr>
        <w:ind w:left="720" w:right="386"/>
        <w:jc w:val="both"/>
        <w:rPr>
          <w:rFonts w:ascii="Arial" w:hAnsi="Arial" w:cs="Arial"/>
          <w:sz w:val="22"/>
          <w:szCs w:val="22"/>
        </w:rPr>
      </w:pPr>
    </w:p>
    <w:p w14:paraId="703729DF" w14:textId="77777777" w:rsidR="007E40F0" w:rsidRPr="00323BF3" w:rsidRDefault="007E40F0" w:rsidP="0071191D">
      <w:pPr>
        <w:ind w:left="720" w:right="386"/>
        <w:jc w:val="both"/>
        <w:rPr>
          <w:rFonts w:ascii="Arial" w:hAnsi="Arial" w:cs="Arial"/>
          <w:sz w:val="22"/>
          <w:szCs w:val="22"/>
        </w:rPr>
      </w:pPr>
    </w:p>
    <w:p w14:paraId="32EAA029" w14:textId="77777777" w:rsidR="00561083" w:rsidRDefault="00561083" w:rsidP="0071191D">
      <w:pPr>
        <w:ind w:right="386"/>
        <w:jc w:val="both"/>
        <w:rPr>
          <w:rFonts w:ascii="Arial" w:hAnsi="Arial" w:cs="Arial"/>
          <w:b/>
          <w:bCs/>
          <w:sz w:val="22"/>
          <w:szCs w:val="22"/>
        </w:rPr>
      </w:pPr>
    </w:p>
    <w:p w14:paraId="6E0F10CB" w14:textId="77777777" w:rsidR="00561083" w:rsidRDefault="00561083" w:rsidP="0071191D">
      <w:pPr>
        <w:ind w:right="386"/>
        <w:jc w:val="both"/>
        <w:rPr>
          <w:rFonts w:ascii="Arial" w:hAnsi="Arial" w:cs="Arial"/>
          <w:b/>
          <w:bCs/>
          <w:sz w:val="22"/>
          <w:szCs w:val="22"/>
        </w:rPr>
      </w:pPr>
    </w:p>
    <w:p w14:paraId="53043C06" w14:textId="77777777" w:rsidR="00561083" w:rsidRDefault="00561083" w:rsidP="0071191D">
      <w:pPr>
        <w:ind w:right="386"/>
        <w:jc w:val="both"/>
        <w:rPr>
          <w:rFonts w:ascii="Arial" w:hAnsi="Arial" w:cs="Arial"/>
          <w:b/>
          <w:bCs/>
          <w:sz w:val="22"/>
          <w:szCs w:val="22"/>
        </w:rPr>
      </w:pPr>
    </w:p>
    <w:p w14:paraId="647F8AD1" w14:textId="77777777" w:rsidR="00561083" w:rsidRDefault="00561083" w:rsidP="0071191D">
      <w:pPr>
        <w:ind w:right="386"/>
        <w:jc w:val="both"/>
        <w:rPr>
          <w:rFonts w:ascii="Arial" w:hAnsi="Arial" w:cs="Arial"/>
          <w:b/>
          <w:bCs/>
          <w:sz w:val="22"/>
          <w:szCs w:val="22"/>
        </w:rPr>
      </w:pPr>
    </w:p>
    <w:p w14:paraId="0BFD6F90" w14:textId="77777777" w:rsidR="00561083" w:rsidRDefault="00561083" w:rsidP="0071191D">
      <w:pPr>
        <w:ind w:right="386"/>
        <w:jc w:val="both"/>
        <w:rPr>
          <w:rFonts w:ascii="Arial" w:hAnsi="Arial" w:cs="Arial"/>
          <w:b/>
          <w:bCs/>
          <w:sz w:val="22"/>
          <w:szCs w:val="22"/>
        </w:rPr>
      </w:pPr>
    </w:p>
    <w:p w14:paraId="14AD8F8D" w14:textId="77777777" w:rsidR="00561083" w:rsidRDefault="00561083" w:rsidP="0071191D">
      <w:pPr>
        <w:ind w:right="386"/>
        <w:jc w:val="both"/>
        <w:rPr>
          <w:rFonts w:ascii="Arial" w:hAnsi="Arial" w:cs="Arial"/>
          <w:b/>
          <w:bCs/>
          <w:sz w:val="22"/>
          <w:szCs w:val="22"/>
        </w:rPr>
      </w:pPr>
    </w:p>
    <w:p w14:paraId="6168DC74" w14:textId="77777777" w:rsidR="00561083" w:rsidRDefault="00561083" w:rsidP="0071191D">
      <w:pPr>
        <w:ind w:right="386"/>
        <w:jc w:val="both"/>
        <w:rPr>
          <w:rFonts w:ascii="Arial" w:hAnsi="Arial" w:cs="Arial"/>
          <w:b/>
          <w:bCs/>
          <w:sz w:val="22"/>
          <w:szCs w:val="22"/>
        </w:rPr>
      </w:pPr>
    </w:p>
    <w:p w14:paraId="0EDE2BE1" w14:textId="77777777" w:rsidR="00561083" w:rsidRDefault="00561083" w:rsidP="0071191D">
      <w:pPr>
        <w:ind w:right="386"/>
        <w:jc w:val="both"/>
        <w:rPr>
          <w:rFonts w:ascii="Arial" w:hAnsi="Arial" w:cs="Arial"/>
          <w:b/>
          <w:bCs/>
          <w:sz w:val="22"/>
          <w:szCs w:val="22"/>
        </w:rPr>
      </w:pPr>
    </w:p>
    <w:p w14:paraId="7C461321" w14:textId="77777777" w:rsidR="00561083" w:rsidRDefault="00561083" w:rsidP="0071191D">
      <w:pPr>
        <w:ind w:right="386"/>
        <w:jc w:val="both"/>
        <w:rPr>
          <w:rFonts w:ascii="Arial" w:hAnsi="Arial" w:cs="Arial"/>
          <w:b/>
          <w:bCs/>
          <w:sz w:val="22"/>
          <w:szCs w:val="22"/>
        </w:rPr>
      </w:pPr>
    </w:p>
    <w:p w14:paraId="2758C244" w14:textId="77777777" w:rsidR="00561083" w:rsidRDefault="00561083" w:rsidP="0071191D">
      <w:pPr>
        <w:ind w:right="386"/>
        <w:jc w:val="both"/>
        <w:rPr>
          <w:rFonts w:ascii="Arial" w:hAnsi="Arial" w:cs="Arial"/>
          <w:b/>
          <w:bCs/>
          <w:sz w:val="22"/>
          <w:szCs w:val="22"/>
        </w:rPr>
      </w:pPr>
    </w:p>
    <w:p w14:paraId="13216620" w14:textId="77777777" w:rsidR="00561083" w:rsidRDefault="00561083" w:rsidP="0071191D">
      <w:pPr>
        <w:ind w:right="386"/>
        <w:jc w:val="both"/>
        <w:rPr>
          <w:rFonts w:ascii="Arial" w:hAnsi="Arial" w:cs="Arial"/>
          <w:b/>
          <w:bCs/>
          <w:sz w:val="22"/>
          <w:szCs w:val="22"/>
        </w:rPr>
      </w:pPr>
    </w:p>
    <w:p w14:paraId="03578EAE" w14:textId="77777777" w:rsidR="00561083" w:rsidRDefault="00561083" w:rsidP="0071191D">
      <w:pPr>
        <w:ind w:right="386"/>
        <w:jc w:val="both"/>
        <w:rPr>
          <w:rFonts w:ascii="Arial" w:hAnsi="Arial" w:cs="Arial"/>
          <w:b/>
          <w:bCs/>
          <w:sz w:val="22"/>
          <w:szCs w:val="22"/>
        </w:rPr>
      </w:pPr>
    </w:p>
    <w:p w14:paraId="51094D67" w14:textId="77777777" w:rsidR="00561083" w:rsidRDefault="00561083" w:rsidP="0071191D">
      <w:pPr>
        <w:ind w:right="386"/>
        <w:jc w:val="both"/>
        <w:rPr>
          <w:rFonts w:ascii="Arial" w:hAnsi="Arial" w:cs="Arial"/>
          <w:b/>
          <w:bCs/>
          <w:sz w:val="22"/>
          <w:szCs w:val="22"/>
        </w:rPr>
      </w:pPr>
    </w:p>
    <w:p w14:paraId="6CEB37FD" w14:textId="77777777" w:rsidR="00561083" w:rsidRDefault="00561083" w:rsidP="0071191D">
      <w:pPr>
        <w:ind w:right="386"/>
        <w:jc w:val="both"/>
        <w:rPr>
          <w:rFonts w:ascii="Arial" w:hAnsi="Arial" w:cs="Arial"/>
          <w:b/>
          <w:bCs/>
          <w:sz w:val="22"/>
          <w:szCs w:val="22"/>
        </w:rPr>
      </w:pPr>
    </w:p>
    <w:p w14:paraId="16CFE15E" w14:textId="77777777" w:rsidR="00561083" w:rsidRDefault="00561083" w:rsidP="0071191D">
      <w:pPr>
        <w:ind w:right="386"/>
        <w:jc w:val="both"/>
        <w:rPr>
          <w:rFonts w:ascii="Arial" w:hAnsi="Arial" w:cs="Arial"/>
          <w:b/>
          <w:bCs/>
          <w:sz w:val="22"/>
          <w:szCs w:val="22"/>
        </w:rPr>
      </w:pPr>
    </w:p>
    <w:p w14:paraId="4005A1C0" w14:textId="77777777" w:rsidR="00561083" w:rsidRDefault="00561083" w:rsidP="0071191D">
      <w:pPr>
        <w:ind w:right="386"/>
        <w:jc w:val="both"/>
        <w:rPr>
          <w:rFonts w:ascii="Arial" w:hAnsi="Arial" w:cs="Arial"/>
          <w:b/>
          <w:bCs/>
          <w:sz w:val="22"/>
          <w:szCs w:val="22"/>
        </w:rPr>
      </w:pPr>
    </w:p>
    <w:p w14:paraId="331B0AFB" w14:textId="77777777" w:rsidR="00561083" w:rsidRDefault="00561083" w:rsidP="0071191D">
      <w:pPr>
        <w:ind w:right="386"/>
        <w:jc w:val="both"/>
        <w:rPr>
          <w:rFonts w:ascii="Arial" w:hAnsi="Arial" w:cs="Arial"/>
          <w:b/>
          <w:bCs/>
          <w:sz w:val="22"/>
          <w:szCs w:val="22"/>
        </w:rPr>
      </w:pPr>
    </w:p>
    <w:p w14:paraId="2F811CEC" w14:textId="77777777" w:rsidR="00561083" w:rsidRDefault="00561083" w:rsidP="0071191D">
      <w:pPr>
        <w:ind w:right="386"/>
        <w:jc w:val="both"/>
        <w:rPr>
          <w:rFonts w:ascii="Arial" w:hAnsi="Arial" w:cs="Arial"/>
          <w:b/>
          <w:bCs/>
          <w:sz w:val="22"/>
          <w:szCs w:val="22"/>
        </w:rPr>
      </w:pPr>
    </w:p>
    <w:p w14:paraId="073F4621" w14:textId="77777777" w:rsidR="00561083" w:rsidRDefault="00561083" w:rsidP="00C5332A">
      <w:pPr>
        <w:jc w:val="both"/>
        <w:rPr>
          <w:rFonts w:ascii="Arial" w:hAnsi="Arial" w:cs="Arial"/>
          <w:b/>
          <w:bCs/>
          <w:sz w:val="22"/>
          <w:szCs w:val="22"/>
        </w:rPr>
      </w:pPr>
    </w:p>
    <w:p w14:paraId="217222E7" w14:textId="77777777" w:rsidR="00561083" w:rsidRDefault="00561083" w:rsidP="00C5332A">
      <w:pPr>
        <w:jc w:val="both"/>
        <w:rPr>
          <w:rFonts w:ascii="Arial" w:hAnsi="Arial" w:cs="Arial"/>
          <w:b/>
          <w:bCs/>
          <w:sz w:val="22"/>
          <w:szCs w:val="22"/>
        </w:rPr>
      </w:pPr>
    </w:p>
    <w:p w14:paraId="32B1B343" w14:textId="77777777" w:rsidR="00561083" w:rsidRDefault="00561083" w:rsidP="00C5332A">
      <w:pPr>
        <w:jc w:val="both"/>
        <w:rPr>
          <w:rFonts w:ascii="Arial" w:hAnsi="Arial" w:cs="Arial"/>
          <w:b/>
          <w:bCs/>
          <w:sz w:val="22"/>
          <w:szCs w:val="22"/>
        </w:rPr>
      </w:pPr>
    </w:p>
    <w:p w14:paraId="6636E5C8" w14:textId="77777777" w:rsidR="00561083" w:rsidRDefault="00561083" w:rsidP="00C5332A">
      <w:pPr>
        <w:jc w:val="both"/>
        <w:rPr>
          <w:rFonts w:ascii="Arial" w:hAnsi="Arial" w:cs="Arial"/>
          <w:b/>
          <w:bCs/>
          <w:sz w:val="22"/>
          <w:szCs w:val="22"/>
        </w:rPr>
      </w:pPr>
    </w:p>
    <w:p w14:paraId="2F59B582" w14:textId="77777777" w:rsidR="00CC0239" w:rsidRDefault="00CC0239" w:rsidP="00C5332A">
      <w:pPr>
        <w:jc w:val="both"/>
        <w:rPr>
          <w:rFonts w:ascii="Arial" w:hAnsi="Arial" w:cs="Arial"/>
          <w:b/>
          <w:bCs/>
          <w:sz w:val="22"/>
          <w:szCs w:val="22"/>
        </w:rPr>
      </w:pPr>
    </w:p>
    <w:p w14:paraId="1F95056F" w14:textId="77777777" w:rsidR="00CC0239" w:rsidRDefault="00CC0239" w:rsidP="00C5332A">
      <w:pPr>
        <w:jc w:val="both"/>
        <w:rPr>
          <w:rFonts w:ascii="Arial" w:hAnsi="Arial" w:cs="Arial"/>
          <w:b/>
          <w:bCs/>
          <w:sz w:val="22"/>
          <w:szCs w:val="22"/>
        </w:rPr>
      </w:pPr>
    </w:p>
    <w:p w14:paraId="32FE388F" w14:textId="77777777" w:rsidR="00CC0239" w:rsidRDefault="00CC0239" w:rsidP="00C5332A">
      <w:pPr>
        <w:jc w:val="both"/>
        <w:rPr>
          <w:rFonts w:ascii="Arial" w:hAnsi="Arial" w:cs="Arial"/>
          <w:b/>
          <w:bCs/>
          <w:sz w:val="22"/>
          <w:szCs w:val="22"/>
        </w:rPr>
      </w:pPr>
    </w:p>
    <w:p w14:paraId="5DCC997E" w14:textId="77777777" w:rsidR="00CC0239" w:rsidRDefault="00CC0239" w:rsidP="00C5332A">
      <w:pPr>
        <w:jc w:val="both"/>
        <w:rPr>
          <w:rFonts w:ascii="Arial" w:hAnsi="Arial" w:cs="Arial"/>
          <w:b/>
          <w:bCs/>
          <w:sz w:val="22"/>
          <w:szCs w:val="22"/>
        </w:rPr>
      </w:pPr>
    </w:p>
    <w:p w14:paraId="0D2964EC" w14:textId="77777777" w:rsidR="00CC0239" w:rsidRDefault="00CC0239" w:rsidP="00C5332A">
      <w:pPr>
        <w:jc w:val="both"/>
        <w:rPr>
          <w:rFonts w:ascii="Arial" w:hAnsi="Arial" w:cs="Arial"/>
          <w:b/>
          <w:bCs/>
          <w:sz w:val="22"/>
          <w:szCs w:val="22"/>
        </w:rPr>
      </w:pPr>
    </w:p>
    <w:p w14:paraId="081165AA" w14:textId="77777777" w:rsidR="00CC0239" w:rsidRDefault="00CC0239" w:rsidP="00C5332A">
      <w:pPr>
        <w:jc w:val="both"/>
        <w:rPr>
          <w:rFonts w:ascii="Arial" w:hAnsi="Arial" w:cs="Arial"/>
          <w:b/>
          <w:bCs/>
          <w:sz w:val="22"/>
          <w:szCs w:val="22"/>
        </w:rPr>
      </w:pPr>
    </w:p>
    <w:p w14:paraId="1E75D984" w14:textId="77777777" w:rsidR="00CC0239" w:rsidRDefault="00CC0239" w:rsidP="00C5332A">
      <w:pPr>
        <w:jc w:val="both"/>
        <w:rPr>
          <w:rFonts w:ascii="Arial" w:hAnsi="Arial" w:cs="Arial"/>
          <w:b/>
          <w:bCs/>
          <w:sz w:val="22"/>
          <w:szCs w:val="22"/>
        </w:rPr>
      </w:pPr>
    </w:p>
    <w:p w14:paraId="2A265D9E" w14:textId="77777777" w:rsidR="00CC0239" w:rsidRDefault="00CC0239" w:rsidP="00C5332A">
      <w:pPr>
        <w:jc w:val="both"/>
        <w:rPr>
          <w:rFonts w:ascii="Arial" w:hAnsi="Arial" w:cs="Arial"/>
          <w:b/>
          <w:bCs/>
          <w:sz w:val="22"/>
          <w:szCs w:val="22"/>
        </w:rPr>
      </w:pPr>
    </w:p>
    <w:p w14:paraId="1CE246E0" w14:textId="77777777" w:rsidR="00CC0239" w:rsidRDefault="00CC0239" w:rsidP="00C5332A">
      <w:pPr>
        <w:jc w:val="both"/>
        <w:rPr>
          <w:rFonts w:ascii="Arial" w:hAnsi="Arial" w:cs="Arial"/>
          <w:b/>
          <w:bCs/>
          <w:sz w:val="22"/>
          <w:szCs w:val="22"/>
        </w:rPr>
      </w:pPr>
    </w:p>
    <w:p w14:paraId="2FC5B600" w14:textId="77777777" w:rsidR="00CC0239" w:rsidRDefault="00CC0239" w:rsidP="00C5332A">
      <w:pPr>
        <w:jc w:val="both"/>
        <w:rPr>
          <w:rFonts w:ascii="Arial" w:hAnsi="Arial" w:cs="Arial"/>
          <w:b/>
          <w:bCs/>
          <w:sz w:val="22"/>
          <w:szCs w:val="22"/>
        </w:rPr>
      </w:pPr>
    </w:p>
    <w:p w14:paraId="4EE3E16F" w14:textId="77777777" w:rsidR="00CC0239" w:rsidRDefault="00CC0239" w:rsidP="00C5332A">
      <w:pPr>
        <w:jc w:val="both"/>
        <w:rPr>
          <w:rFonts w:ascii="Arial" w:hAnsi="Arial" w:cs="Arial"/>
          <w:b/>
          <w:bCs/>
          <w:sz w:val="22"/>
          <w:szCs w:val="22"/>
        </w:rPr>
      </w:pPr>
    </w:p>
    <w:p w14:paraId="174C4B73" w14:textId="77777777" w:rsidR="00CC0239" w:rsidRDefault="00CC0239" w:rsidP="00C5332A">
      <w:pPr>
        <w:jc w:val="both"/>
        <w:rPr>
          <w:rFonts w:ascii="Arial" w:hAnsi="Arial" w:cs="Arial"/>
          <w:b/>
          <w:bCs/>
          <w:sz w:val="22"/>
          <w:szCs w:val="22"/>
        </w:rPr>
      </w:pPr>
    </w:p>
    <w:p w14:paraId="64F7325F" w14:textId="77777777" w:rsidR="00CC0239" w:rsidRDefault="00CC0239" w:rsidP="00C5332A">
      <w:pPr>
        <w:jc w:val="both"/>
        <w:rPr>
          <w:rFonts w:ascii="Arial" w:hAnsi="Arial" w:cs="Arial"/>
          <w:b/>
          <w:bCs/>
          <w:sz w:val="22"/>
          <w:szCs w:val="22"/>
        </w:rPr>
      </w:pPr>
    </w:p>
    <w:p w14:paraId="7A545E2B" w14:textId="77777777" w:rsidR="00CC0239" w:rsidRDefault="00CC0239" w:rsidP="00C5332A">
      <w:pPr>
        <w:jc w:val="both"/>
        <w:rPr>
          <w:rFonts w:ascii="Arial" w:hAnsi="Arial" w:cs="Arial"/>
          <w:b/>
          <w:bCs/>
          <w:sz w:val="22"/>
          <w:szCs w:val="22"/>
        </w:rPr>
      </w:pPr>
    </w:p>
    <w:p w14:paraId="11AD9AE6" w14:textId="77777777" w:rsidR="00CC0239" w:rsidRDefault="00CC0239" w:rsidP="00C5332A">
      <w:pPr>
        <w:jc w:val="both"/>
        <w:rPr>
          <w:rFonts w:ascii="Arial" w:hAnsi="Arial" w:cs="Arial"/>
          <w:b/>
          <w:bCs/>
          <w:sz w:val="22"/>
          <w:szCs w:val="22"/>
        </w:rPr>
      </w:pPr>
    </w:p>
    <w:p w14:paraId="4C1C2605" w14:textId="77777777" w:rsidR="00CC0239" w:rsidRDefault="00CC0239" w:rsidP="00C5332A">
      <w:pPr>
        <w:jc w:val="both"/>
        <w:rPr>
          <w:rFonts w:ascii="Arial" w:hAnsi="Arial" w:cs="Arial"/>
          <w:b/>
          <w:bCs/>
          <w:sz w:val="22"/>
          <w:szCs w:val="22"/>
        </w:rPr>
      </w:pPr>
    </w:p>
    <w:p w14:paraId="6EEB7E0E" w14:textId="77777777" w:rsidR="00CC0239" w:rsidRDefault="00CC0239" w:rsidP="00C5332A">
      <w:pPr>
        <w:jc w:val="both"/>
        <w:rPr>
          <w:rFonts w:ascii="Arial" w:hAnsi="Arial" w:cs="Arial"/>
          <w:b/>
          <w:bCs/>
          <w:sz w:val="22"/>
          <w:szCs w:val="22"/>
        </w:rPr>
      </w:pPr>
    </w:p>
    <w:p w14:paraId="5B4FE309" w14:textId="77777777" w:rsidR="00CC0239" w:rsidRDefault="00CC0239" w:rsidP="00C5332A">
      <w:pPr>
        <w:jc w:val="both"/>
        <w:rPr>
          <w:rFonts w:ascii="Arial" w:hAnsi="Arial" w:cs="Arial"/>
          <w:b/>
          <w:bCs/>
          <w:sz w:val="22"/>
          <w:szCs w:val="22"/>
        </w:rPr>
      </w:pPr>
    </w:p>
    <w:p w14:paraId="22C5A52A" w14:textId="77777777" w:rsidR="00CC0239" w:rsidRDefault="00CC0239" w:rsidP="00C5332A">
      <w:pPr>
        <w:jc w:val="both"/>
        <w:rPr>
          <w:rFonts w:ascii="Arial" w:hAnsi="Arial" w:cs="Arial"/>
          <w:b/>
          <w:bCs/>
          <w:sz w:val="22"/>
          <w:szCs w:val="22"/>
        </w:rPr>
      </w:pPr>
    </w:p>
    <w:p w14:paraId="135E0E62" w14:textId="77777777" w:rsidR="00CC0239" w:rsidRDefault="00CC0239" w:rsidP="00C5332A">
      <w:pPr>
        <w:jc w:val="both"/>
        <w:rPr>
          <w:rFonts w:ascii="Arial" w:hAnsi="Arial" w:cs="Arial"/>
          <w:b/>
          <w:bCs/>
          <w:sz w:val="22"/>
          <w:szCs w:val="22"/>
        </w:rPr>
      </w:pPr>
    </w:p>
    <w:p w14:paraId="1A5A7C14" w14:textId="77777777" w:rsidR="00CC0239" w:rsidRDefault="00CC0239" w:rsidP="00C5332A">
      <w:pPr>
        <w:jc w:val="both"/>
        <w:rPr>
          <w:rFonts w:ascii="Arial" w:hAnsi="Arial" w:cs="Arial"/>
          <w:b/>
          <w:bCs/>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Default="00DF75F8" w:rsidP="002A37BB">
      <w:pPr>
        <w:jc w:val="both"/>
        <w:rPr>
          <w:rFonts w:ascii="Arial" w:hAnsi="Arial" w:cs="Arial"/>
          <w:sz w:val="22"/>
          <w:szCs w:val="22"/>
        </w:rPr>
      </w:pPr>
    </w:p>
    <w:p w14:paraId="00362C79" w14:textId="3954CEF6" w:rsidR="00CC0239" w:rsidRPr="002A37BB" w:rsidRDefault="00CC0239" w:rsidP="002A37BB">
      <w:pPr>
        <w:jc w:val="both"/>
        <w:rPr>
          <w:rFonts w:ascii="Arial" w:hAnsi="Arial" w:cs="Arial"/>
          <w:sz w:val="22"/>
          <w:szCs w:val="22"/>
        </w:rPr>
      </w:pPr>
      <w:r>
        <w:rPr>
          <w:rFonts w:ascii="Arial" w:hAnsi="Arial" w:cs="Arial"/>
          <w:sz w:val="22"/>
          <w:szCs w:val="22"/>
        </w:rPr>
        <w:t>A few of the differences between Judicial Management and Liquidation are deliberated below</w:t>
      </w:r>
    </w:p>
    <w:p w14:paraId="31C30CC2" w14:textId="508E6D01" w:rsidR="00D01A62" w:rsidRPr="002A37BB" w:rsidRDefault="00D01A62" w:rsidP="002A37BB">
      <w:pPr>
        <w:jc w:val="both"/>
        <w:rPr>
          <w:rFonts w:ascii="Arial" w:hAnsi="Arial" w:cs="Arial"/>
          <w:color w:val="7B7B7B" w:themeColor="accent3" w:themeShade="BF"/>
          <w:sz w:val="22"/>
          <w:szCs w:val="22"/>
          <w:lang w:val="en-GB"/>
        </w:rPr>
      </w:pPr>
    </w:p>
    <w:tbl>
      <w:tblPr>
        <w:tblStyle w:val="TableGrid"/>
        <w:tblW w:w="0" w:type="auto"/>
        <w:tblLook w:val="04A0" w:firstRow="1" w:lastRow="0" w:firstColumn="1" w:lastColumn="0" w:noHBand="0" w:noVBand="1"/>
      </w:tblPr>
      <w:tblGrid>
        <w:gridCol w:w="760"/>
        <w:gridCol w:w="3887"/>
        <w:gridCol w:w="787"/>
        <w:gridCol w:w="3808"/>
      </w:tblGrid>
      <w:tr w:rsidR="00CC0239" w14:paraId="6A94EBE9" w14:textId="77777777" w:rsidTr="00CC0239">
        <w:tc>
          <w:tcPr>
            <w:tcW w:w="664" w:type="dxa"/>
          </w:tcPr>
          <w:p w14:paraId="0CE56DD7" w14:textId="77777777" w:rsidR="00CC0239" w:rsidRPr="00CC0239" w:rsidRDefault="00CC0239" w:rsidP="002A37BB">
            <w:pPr>
              <w:jc w:val="both"/>
              <w:rPr>
                <w:rFonts w:ascii="Arial" w:hAnsi="Arial" w:cs="Arial"/>
                <w:b/>
                <w:color w:val="7B7B7B" w:themeColor="accent3" w:themeShade="BF"/>
                <w:sz w:val="22"/>
                <w:szCs w:val="22"/>
                <w:lang w:val="en-GB"/>
              </w:rPr>
            </w:pPr>
          </w:p>
        </w:tc>
        <w:tc>
          <w:tcPr>
            <w:tcW w:w="4155" w:type="dxa"/>
          </w:tcPr>
          <w:p w14:paraId="700EFD64" w14:textId="672EE3C8" w:rsidR="00CC0239" w:rsidRPr="00CC0239" w:rsidRDefault="00CC0239" w:rsidP="002A37BB">
            <w:pPr>
              <w:jc w:val="both"/>
              <w:rPr>
                <w:rFonts w:ascii="Arial" w:hAnsi="Arial" w:cs="Arial"/>
                <w:b/>
                <w:color w:val="7B7B7B" w:themeColor="accent3" w:themeShade="BF"/>
                <w:sz w:val="22"/>
                <w:szCs w:val="22"/>
                <w:lang w:val="en-GB"/>
              </w:rPr>
            </w:pPr>
            <w:r w:rsidRPr="00CC0239">
              <w:rPr>
                <w:rFonts w:ascii="Arial" w:hAnsi="Arial" w:cs="Arial"/>
                <w:b/>
                <w:color w:val="7B7B7B" w:themeColor="accent3" w:themeShade="BF"/>
                <w:sz w:val="22"/>
                <w:szCs w:val="22"/>
                <w:lang w:val="en-GB"/>
              </w:rPr>
              <w:t>Judicial Management</w:t>
            </w:r>
          </w:p>
        </w:tc>
        <w:tc>
          <w:tcPr>
            <w:tcW w:w="363" w:type="dxa"/>
          </w:tcPr>
          <w:p w14:paraId="634FC451" w14:textId="77777777" w:rsidR="00CC0239" w:rsidRPr="00CC0239" w:rsidRDefault="00CC0239" w:rsidP="002A37BB">
            <w:pPr>
              <w:jc w:val="both"/>
              <w:rPr>
                <w:rFonts w:ascii="Arial" w:hAnsi="Arial" w:cs="Arial"/>
                <w:b/>
                <w:color w:val="7B7B7B" w:themeColor="accent3" w:themeShade="BF"/>
                <w:sz w:val="22"/>
                <w:szCs w:val="22"/>
                <w:lang w:val="en-GB"/>
              </w:rPr>
            </w:pPr>
          </w:p>
        </w:tc>
        <w:tc>
          <w:tcPr>
            <w:tcW w:w="4060" w:type="dxa"/>
          </w:tcPr>
          <w:p w14:paraId="0A1BE10A" w14:textId="4631106B" w:rsidR="00CC0239" w:rsidRPr="00CC0239" w:rsidRDefault="00CC0239" w:rsidP="002A37BB">
            <w:pPr>
              <w:jc w:val="both"/>
              <w:rPr>
                <w:rFonts w:ascii="Arial" w:hAnsi="Arial" w:cs="Arial"/>
                <w:b/>
                <w:color w:val="7B7B7B" w:themeColor="accent3" w:themeShade="BF"/>
                <w:sz w:val="22"/>
                <w:szCs w:val="22"/>
                <w:lang w:val="en-GB"/>
              </w:rPr>
            </w:pPr>
            <w:r w:rsidRPr="00CC0239">
              <w:rPr>
                <w:rFonts w:ascii="Arial" w:hAnsi="Arial" w:cs="Arial"/>
                <w:b/>
                <w:color w:val="7B7B7B" w:themeColor="accent3" w:themeShade="BF"/>
                <w:sz w:val="22"/>
                <w:szCs w:val="22"/>
                <w:lang w:val="en-GB"/>
              </w:rPr>
              <w:t>Liquidation</w:t>
            </w:r>
          </w:p>
        </w:tc>
      </w:tr>
      <w:tr w:rsidR="00CC0239" w14:paraId="54060495" w14:textId="77777777" w:rsidTr="00CC0239">
        <w:tc>
          <w:tcPr>
            <w:tcW w:w="664" w:type="dxa"/>
          </w:tcPr>
          <w:p w14:paraId="7945A18F" w14:textId="2C1EE790"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p>
        </w:tc>
        <w:tc>
          <w:tcPr>
            <w:tcW w:w="4155" w:type="dxa"/>
          </w:tcPr>
          <w:p w14:paraId="2A8EFFEA" w14:textId="58B38016" w:rsidR="00CC0239" w:rsidRPr="00561083"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It is an alternative to formal liquidation</w:t>
            </w:r>
          </w:p>
        </w:tc>
        <w:tc>
          <w:tcPr>
            <w:tcW w:w="363" w:type="dxa"/>
          </w:tcPr>
          <w:p w14:paraId="44C57014" w14:textId="1F15D092"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p>
        </w:tc>
        <w:tc>
          <w:tcPr>
            <w:tcW w:w="4060" w:type="dxa"/>
          </w:tcPr>
          <w:p w14:paraId="4AFC81A2" w14:textId="1086485D"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 last resort</w:t>
            </w:r>
          </w:p>
        </w:tc>
      </w:tr>
      <w:tr w:rsidR="00CC0239" w14:paraId="5D64B28D" w14:textId="77777777" w:rsidTr="00CC0239">
        <w:tc>
          <w:tcPr>
            <w:tcW w:w="664" w:type="dxa"/>
          </w:tcPr>
          <w:p w14:paraId="4E2F6E6B" w14:textId="77777777" w:rsidR="00CC0239" w:rsidRPr="00561083" w:rsidRDefault="00CC0239" w:rsidP="002A37BB">
            <w:pPr>
              <w:jc w:val="both"/>
              <w:rPr>
                <w:rFonts w:ascii="Arial" w:hAnsi="Arial" w:cs="Arial"/>
                <w:color w:val="7B7B7B" w:themeColor="accent3" w:themeShade="BF"/>
                <w:sz w:val="22"/>
                <w:szCs w:val="22"/>
                <w:lang w:val="en-GB"/>
              </w:rPr>
            </w:pPr>
          </w:p>
        </w:tc>
        <w:tc>
          <w:tcPr>
            <w:tcW w:w="4155" w:type="dxa"/>
          </w:tcPr>
          <w:p w14:paraId="6026EE36" w14:textId="7F53D56B" w:rsidR="00CC0239" w:rsidRPr="00561083" w:rsidRDefault="00CC0239" w:rsidP="002A37BB">
            <w:pPr>
              <w:jc w:val="both"/>
              <w:rPr>
                <w:rFonts w:ascii="Arial" w:hAnsi="Arial" w:cs="Arial"/>
                <w:color w:val="7B7B7B" w:themeColor="accent3" w:themeShade="BF"/>
                <w:sz w:val="22"/>
                <w:szCs w:val="22"/>
                <w:lang w:val="en-GB"/>
              </w:rPr>
            </w:pPr>
          </w:p>
        </w:tc>
        <w:tc>
          <w:tcPr>
            <w:tcW w:w="363" w:type="dxa"/>
          </w:tcPr>
          <w:p w14:paraId="1CB22300" w14:textId="77777777" w:rsidR="00CC0239" w:rsidRPr="00561083" w:rsidRDefault="00CC0239" w:rsidP="002A37BB">
            <w:pPr>
              <w:jc w:val="both"/>
              <w:rPr>
                <w:rFonts w:ascii="Arial" w:hAnsi="Arial" w:cs="Arial"/>
                <w:color w:val="7B7B7B" w:themeColor="accent3" w:themeShade="BF"/>
                <w:sz w:val="22"/>
                <w:szCs w:val="22"/>
                <w:lang w:val="en-GB"/>
              </w:rPr>
            </w:pPr>
          </w:p>
        </w:tc>
        <w:tc>
          <w:tcPr>
            <w:tcW w:w="4060" w:type="dxa"/>
          </w:tcPr>
          <w:p w14:paraId="508D723F" w14:textId="656988CE" w:rsidR="00CC0239" w:rsidRPr="00561083" w:rsidRDefault="00CC0239" w:rsidP="002A37BB">
            <w:pPr>
              <w:jc w:val="both"/>
              <w:rPr>
                <w:rFonts w:ascii="Arial" w:hAnsi="Arial" w:cs="Arial"/>
                <w:color w:val="7B7B7B" w:themeColor="accent3" w:themeShade="BF"/>
                <w:sz w:val="22"/>
                <w:szCs w:val="22"/>
                <w:lang w:val="en-GB"/>
              </w:rPr>
            </w:pPr>
          </w:p>
        </w:tc>
      </w:tr>
      <w:tr w:rsidR="00CC0239" w14:paraId="450E40DE" w14:textId="77777777" w:rsidTr="00CC0239">
        <w:tc>
          <w:tcPr>
            <w:tcW w:w="664" w:type="dxa"/>
          </w:tcPr>
          <w:p w14:paraId="3982BA52" w14:textId="38A64D04"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p>
        </w:tc>
        <w:tc>
          <w:tcPr>
            <w:tcW w:w="4155" w:type="dxa"/>
          </w:tcPr>
          <w:p w14:paraId="6E2B3B15" w14:textId="0CABE527" w:rsidR="00CC0239"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Judicial management is a method of debt restructuring where an independent judicial manager is appointed to manage the affairs, business and property of a company under financial distress. The company is also temporarily shielded from legal proceedings by third parties, giving it the opportunity to rehabilitate</w:t>
            </w:r>
          </w:p>
        </w:tc>
        <w:tc>
          <w:tcPr>
            <w:tcW w:w="363" w:type="dxa"/>
          </w:tcPr>
          <w:p w14:paraId="7C69C050" w14:textId="22EF3EAB"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p>
        </w:tc>
        <w:tc>
          <w:tcPr>
            <w:tcW w:w="4060" w:type="dxa"/>
          </w:tcPr>
          <w:p w14:paraId="0B8694FC" w14:textId="78F57A82" w:rsidR="00CC0239"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Upon the completion of the liquidation, the company goes into dissolution and it ceases to exist. The purposes of a liquidation are: to ensure a just distribution of the company's assets among creditors and contributories. to terminate the company's existence by its eventual dissolution.</w:t>
            </w:r>
          </w:p>
        </w:tc>
      </w:tr>
      <w:tr w:rsidR="00CC0239" w14:paraId="3CC38289" w14:textId="77777777" w:rsidTr="00CC0239">
        <w:tc>
          <w:tcPr>
            <w:tcW w:w="664" w:type="dxa"/>
          </w:tcPr>
          <w:p w14:paraId="2054A8D1" w14:textId="77777777" w:rsidR="00CC0239" w:rsidRDefault="00CC0239" w:rsidP="002A37BB">
            <w:pPr>
              <w:jc w:val="both"/>
              <w:rPr>
                <w:rFonts w:ascii="Arial" w:hAnsi="Arial" w:cs="Arial"/>
                <w:color w:val="7B7B7B" w:themeColor="accent3" w:themeShade="BF"/>
                <w:sz w:val="22"/>
                <w:szCs w:val="22"/>
                <w:lang w:val="en-GB"/>
              </w:rPr>
            </w:pPr>
          </w:p>
        </w:tc>
        <w:tc>
          <w:tcPr>
            <w:tcW w:w="4155" w:type="dxa"/>
          </w:tcPr>
          <w:p w14:paraId="4EDB5CC3" w14:textId="6732BB9F" w:rsidR="00CC0239" w:rsidRDefault="00CC0239" w:rsidP="002A37BB">
            <w:pPr>
              <w:jc w:val="both"/>
              <w:rPr>
                <w:rFonts w:ascii="Arial" w:hAnsi="Arial" w:cs="Arial"/>
                <w:color w:val="7B7B7B" w:themeColor="accent3" w:themeShade="BF"/>
                <w:sz w:val="22"/>
                <w:szCs w:val="22"/>
                <w:lang w:val="en-GB"/>
              </w:rPr>
            </w:pPr>
          </w:p>
        </w:tc>
        <w:tc>
          <w:tcPr>
            <w:tcW w:w="363" w:type="dxa"/>
          </w:tcPr>
          <w:p w14:paraId="2A80AB74"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5082960E" w14:textId="0003BD45" w:rsidR="00CC0239" w:rsidRDefault="00CC0239" w:rsidP="002A37BB">
            <w:pPr>
              <w:jc w:val="both"/>
              <w:rPr>
                <w:rFonts w:ascii="Arial" w:hAnsi="Arial" w:cs="Arial"/>
                <w:color w:val="7B7B7B" w:themeColor="accent3" w:themeShade="BF"/>
                <w:sz w:val="22"/>
                <w:szCs w:val="22"/>
                <w:lang w:val="en-GB"/>
              </w:rPr>
            </w:pPr>
          </w:p>
        </w:tc>
      </w:tr>
      <w:tr w:rsidR="00CC0239" w14:paraId="3C972EC1" w14:textId="77777777" w:rsidTr="00CC0239">
        <w:tc>
          <w:tcPr>
            <w:tcW w:w="664" w:type="dxa"/>
          </w:tcPr>
          <w:p w14:paraId="3F9C9FF7" w14:textId="1FEDB084" w:rsidR="00CC0239" w:rsidRPr="00561083" w:rsidRDefault="00CC0239" w:rsidP="00EA03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p>
        </w:tc>
        <w:tc>
          <w:tcPr>
            <w:tcW w:w="4155" w:type="dxa"/>
          </w:tcPr>
          <w:p w14:paraId="1BDA6609" w14:textId="6ADD1C89" w:rsidR="00CC0239" w:rsidRPr="00561083" w:rsidRDefault="00CC0239" w:rsidP="00EA037E">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Judicial Management entails the appointment of an insolvency practitioner as the judicial manager, which appointment is made by the court</w:t>
            </w:r>
          </w:p>
        </w:tc>
        <w:tc>
          <w:tcPr>
            <w:tcW w:w="363" w:type="dxa"/>
          </w:tcPr>
          <w:p w14:paraId="5F6F85A4" w14:textId="4F43E07D"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p>
        </w:tc>
        <w:tc>
          <w:tcPr>
            <w:tcW w:w="4060" w:type="dxa"/>
          </w:tcPr>
          <w:p w14:paraId="24892683" w14:textId="253E3B23" w:rsidR="00CC0239"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On the appointment of a liquidator, in a voluntary winding-up, all the powers of the company’s directors cease, except in so far as the liquidator or the members of the company with the liquidators' consent approve the continuance of such powers or duties.</w:t>
            </w:r>
          </w:p>
        </w:tc>
      </w:tr>
      <w:tr w:rsidR="00CC0239" w14:paraId="557C3A05" w14:textId="77777777" w:rsidTr="00CC0239">
        <w:tc>
          <w:tcPr>
            <w:tcW w:w="664" w:type="dxa"/>
          </w:tcPr>
          <w:p w14:paraId="19133F93"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073CCE7A" w14:textId="76B1ABA8"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08684532" w14:textId="77777777" w:rsidR="00CC0239" w:rsidRPr="00561083" w:rsidRDefault="00CC0239" w:rsidP="00561083">
            <w:pPr>
              <w:pStyle w:val="BodyText"/>
              <w:ind w:right="448"/>
              <w:jc w:val="both"/>
              <w:rPr>
                <w:rFonts w:eastAsia="Times New Roman"/>
                <w:color w:val="7B7B7B" w:themeColor="accent3" w:themeShade="BF"/>
                <w:lang w:val="en-GB"/>
              </w:rPr>
            </w:pPr>
          </w:p>
        </w:tc>
        <w:tc>
          <w:tcPr>
            <w:tcW w:w="4060" w:type="dxa"/>
          </w:tcPr>
          <w:p w14:paraId="42C9DEFC" w14:textId="5466D78E" w:rsidR="00CC0239" w:rsidRPr="00561083" w:rsidRDefault="00CC0239" w:rsidP="00561083">
            <w:pPr>
              <w:pStyle w:val="BodyText"/>
              <w:ind w:right="448"/>
              <w:jc w:val="both"/>
              <w:rPr>
                <w:rFonts w:eastAsia="Times New Roman"/>
                <w:color w:val="7B7B7B" w:themeColor="accent3" w:themeShade="BF"/>
                <w:lang w:val="en-GB"/>
              </w:rPr>
            </w:pPr>
          </w:p>
        </w:tc>
      </w:tr>
      <w:tr w:rsidR="00CC0239" w14:paraId="33D90F31" w14:textId="77777777" w:rsidTr="00CC0239">
        <w:tc>
          <w:tcPr>
            <w:tcW w:w="664" w:type="dxa"/>
          </w:tcPr>
          <w:p w14:paraId="05918C35" w14:textId="7C997EC2" w:rsidR="00CC0239" w:rsidRPr="00561083" w:rsidRDefault="00CC0239" w:rsidP="00EA03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p>
        </w:tc>
        <w:tc>
          <w:tcPr>
            <w:tcW w:w="4155" w:type="dxa"/>
          </w:tcPr>
          <w:p w14:paraId="72282636" w14:textId="127AA17A" w:rsidR="00CC0239" w:rsidRPr="00561083" w:rsidRDefault="00CC0239" w:rsidP="00EA037E">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The judicial manager replaces the company’s directors and management and takes over responsibility for the running of the company.</w:t>
            </w:r>
          </w:p>
        </w:tc>
        <w:tc>
          <w:tcPr>
            <w:tcW w:w="363" w:type="dxa"/>
          </w:tcPr>
          <w:p w14:paraId="00C9DCAB" w14:textId="7A08085A" w:rsidR="00CC0239" w:rsidRPr="00561083" w:rsidRDefault="00CC0239" w:rsidP="00561083">
            <w:pPr>
              <w:pStyle w:val="BodyText"/>
              <w:ind w:right="448"/>
              <w:jc w:val="both"/>
              <w:rPr>
                <w:rFonts w:eastAsia="Times New Roman"/>
                <w:color w:val="7B7B7B" w:themeColor="accent3" w:themeShade="BF"/>
                <w:lang w:val="en-GB"/>
              </w:rPr>
            </w:pPr>
            <w:r>
              <w:rPr>
                <w:rFonts w:eastAsia="Times New Roman"/>
                <w:color w:val="7B7B7B" w:themeColor="accent3" w:themeShade="BF"/>
                <w:lang w:val="en-GB"/>
              </w:rPr>
              <w:t>4</w:t>
            </w:r>
          </w:p>
        </w:tc>
        <w:tc>
          <w:tcPr>
            <w:tcW w:w="4060" w:type="dxa"/>
          </w:tcPr>
          <w:p w14:paraId="5128AA2C" w14:textId="23334424" w:rsidR="00CC0239" w:rsidRPr="00561083" w:rsidRDefault="00CC0239" w:rsidP="00561083">
            <w:pPr>
              <w:pStyle w:val="BodyText"/>
              <w:ind w:right="448"/>
              <w:jc w:val="both"/>
              <w:rPr>
                <w:rFonts w:eastAsia="Times New Roman"/>
                <w:color w:val="7B7B7B" w:themeColor="accent3" w:themeShade="BF"/>
                <w:lang w:val="en-GB"/>
              </w:rPr>
            </w:pPr>
            <w:r w:rsidRPr="00561083">
              <w:rPr>
                <w:rFonts w:eastAsia="Times New Roman"/>
                <w:color w:val="7B7B7B" w:themeColor="accent3" w:themeShade="BF"/>
                <w:lang w:val="en-GB"/>
              </w:rPr>
              <w:t>A liquidator may, however, apply to the Court to appoint the directors as special managers to assist the liquidator, if the liquidator is satisfied that the nature of the estate or business of the company, or the interests of the creditors or contributories generally, require such appointment.12</w:t>
            </w:r>
          </w:p>
          <w:p w14:paraId="094EECA4" w14:textId="77777777" w:rsidR="00CC0239" w:rsidRDefault="00CC0239" w:rsidP="002A37BB">
            <w:pPr>
              <w:jc w:val="both"/>
              <w:rPr>
                <w:rFonts w:ascii="Arial" w:hAnsi="Arial" w:cs="Arial"/>
                <w:color w:val="7B7B7B" w:themeColor="accent3" w:themeShade="BF"/>
                <w:sz w:val="22"/>
                <w:szCs w:val="22"/>
                <w:lang w:val="en-GB"/>
              </w:rPr>
            </w:pPr>
          </w:p>
        </w:tc>
      </w:tr>
      <w:tr w:rsidR="00CC0239" w14:paraId="33211A7D" w14:textId="77777777" w:rsidTr="00CC0239">
        <w:tc>
          <w:tcPr>
            <w:tcW w:w="664" w:type="dxa"/>
          </w:tcPr>
          <w:p w14:paraId="48AC22BA"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673C257C" w14:textId="3BBC7A49"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715FECDB"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0976F1A6" w14:textId="5B233974" w:rsidR="00CC0239" w:rsidRDefault="00CC0239" w:rsidP="002A37BB">
            <w:pPr>
              <w:jc w:val="both"/>
              <w:rPr>
                <w:rFonts w:ascii="Arial" w:hAnsi="Arial" w:cs="Arial"/>
                <w:color w:val="7B7B7B" w:themeColor="accent3" w:themeShade="BF"/>
                <w:sz w:val="22"/>
                <w:szCs w:val="22"/>
                <w:lang w:val="en-GB"/>
              </w:rPr>
            </w:pPr>
          </w:p>
        </w:tc>
      </w:tr>
      <w:tr w:rsidR="00CC0239" w14:paraId="2DBC67CF" w14:textId="77777777" w:rsidTr="00CC0239">
        <w:tc>
          <w:tcPr>
            <w:tcW w:w="664" w:type="dxa"/>
          </w:tcPr>
          <w:p w14:paraId="07EBE5D1" w14:textId="27A0CB45" w:rsidR="00CC0239" w:rsidRPr="00561083" w:rsidRDefault="00CC0239" w:rsidP="00EA03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p>
        </w:tc>
        <w:tc>
          <w:tcPr>
            <w:tcW w:w="4155" w:type="dxa"/>
          </w:tcPr>
          <w:p w14:paraId="26A1FBB9" w14:textId="0EBD1C1B" w:rsidR="00CC0239" w:rsidRPr="00561083" w:rsidRDefault="00CC0239" w:rsidP="00EA037E">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Creditors play a limited role in the management and direction of the company. They form Creditors Committee</w:t>
            </w:r>
          </w:p>
        </w:tc>
        <w:tc>
          <w:tcPr>
            <w:tcW w:w="363" w:type="dxa"/>
          </w:tcPr>
          <w:p w14:paraId="31EE1D2D" w14:textId="213568F2"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p>
        </w:tc>
        <w:tc>
          <w:tcPr>
            <w:tcW w:w="4060" w:type="dxa"/>
          </w:tcPr>
          <w:p w14:paraId="2F42B8E8" w14:textId="7E4F86F3"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all in the hands of the liquidator</w:t>
            </w:r>
          </w:p>
        </w:tc>
      </w:tr>
      <w:tr w:rsidR="00CC0239" w14:paraId="3EB8E9D6" w14:textId="77777777" w:rsidTr="00CC0239">
        <w:tc>
          <w:tcPr>
            <w:tcW w:w="664" w:type="dxa"/>
          </w:tcPr>
          <w:p w14:paraId="4127FC2C"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272C8E51" w14:textId="7FDC4AA1"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7A8AB257"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735C8074" w14:textId="16E216A0" w:rsidR="00CC0239" w:rsidRDefault="00CC0239" w:rsidP="002A37BB">
            <w:pPr>
              <w:jc w:val="both"/>
              <w:rPr>
                <w:rFonts w:ascii="Arial" w:hAnsi="Arial" w:cs="Arial"/>
                <w:color w:val="7B7B7B" w:themeColor="accent3" w:themeShade="BF"/>
                <w:sz w:val="22"/>
                <w:szCs w:val="22"/>
                <w:lang w:val="en-GB"/>
              </w:rPr>
            </w:pPr>
          </w:p>
        </w:tc>
      </w:tr>
      <w:tr w:rsidR="00CC0239" w14:paraId="3EFD99CE" w14:textId="77777777" w:rsidTr="00CC0239">
        <w:tc>
          <w:tcPr>
            <w:tcW w:w="664" w:type="dxa"/>
          </w:tcPr>
          <w:p w14:paraId="055C5A5D" w14:textId="5EA2D408" w:rsidR="00CC0239" w:rsidRPr="00561083" w:rsidRDefault="00CC0239" w:rsidP="00EA03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p>
        </w:tc>
        <w:tc>
          <w:tcPr>
            <w:tcW w:w="4155" w:type="dxa"/>
          </w:tcPr>
          <w:p w14:paraId="7AE1D30B" w14:textId="3601FD3A" w:rsidR="00CC0239" w:rsidRPr="00561083" w:rsidRDefault="00CC0239" w:rsidP="00EA037E">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 xml:space="preserve">The Committee require the judicial manager to attend before it and furnish it with such information relating to the carrying out of his </w:t>
            </w:r>
            <w:r w:rsidRPr="00561083">
              <w:rPr>
                <w:rFonts w:ascii="Arial" w:hAnsi="Arial" w:cs="Arial"/>
                <w:color w:val="7B7B7B" w:themeColor="accent3" w:themeShade="BF"/>
                <w:sz w:val="22"/>
                <w:szCs w:val="22"/>
                <w:lang w:val="en-GB"/>
              </w:rPr>
              <w:lastRenderedPageBreak/>
              <w:t>functions as the committee may reasonably require</w:t>
            </w:r>
          </w:p>
        </w:tc>
        <w:tc>
          <w:tcPr>
            <w:tcW w:w="363" w:type="dxa"/>
          </w:tcPr>
          <w:p w14:paraId="3C0D34F3" w14:textId="1907D652"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6</w:t>
            </w:r>
          </w:p>
        </w:tc>
        <w:tc>
          <w:tcPr>
            <w:tcW w:w="4060" w:type="dxa"/>
          </w:tcPr>
          <w:p w14:paraId="446A59A3" w14:textId="4BF9267E"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 is answerable to the court</w:t>
            </w:r>
          </w:p>
        </w:tc>
      </w:tr>
      <w:tr w:rsidR="00CC0239" w14:paraId="1EA640D4" w14:textId="77777777" w:rsidTr="00CC0239">
        <w:tc>
          <w:tcPr>
            <w:tcW w:w="664" w:type="dxa"/>
          </w:tcPr>
          <w:p w14:paraId="710A8719"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1CF5DD76" w14:textId="43034F6B"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7B6114A1"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1F3DBDC7" w14:textId="61B517DB" w:rsidR="00CC0239" w:rsidRDefault="00CC0239" w:rsidP="002A37BB">
            <w:pPr>
              <w:jc w:val="both"/>
              <w:rPr>
                <w:rFonts w:ascii="Arial" w:hAnsi="Arial" w:cs="Arial"/>
                <w:color w:val="7B7B7B" w:themeColor="accent3" w:themeShade="BF"/>
                <w:sz w:val="22"/>
                <w:szCs w:val="22"/>
                <w:lang w:val="en-GB"/>
              </w:rPr>
            </w:pPr>
          </w:p>
        </w:tc>
      </w:tr>
      <w:tr w:rsidR="00CC0239" w14:paraId="46BB83DB" w14:textId="77777777" w:rsidTr="00CC0239">
        <w:tc>
          <w:tcPr>
            <w:tcW w:w="664" w:type="dxa"/>
          </w:tcPr>
          <w:p w14:paraId="28D2CE2B" w14:textId="27AD1910" w:rsidR="00CC0239" w:rsidRPr="00561083" w:rsidRDefault="00CC0239" w:rsidP="00EA03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w:t>
            </w:r>
          </w:p>
        </w:tc>
        <w:tc>
          <w:tcPr>
            <w:tcW w:w="4155" w:type="dxa"/>
          </w:tcPr>
          <w:p w14:paraId="2DF3E140" w14:textId="3BEDB202" w:rsidR="00CC0239" w:rsidRPr="00561083" w:rsidRDefault="00CC0239" w:rsidP="00EA037E">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 xml:space="preserve">Committee may also seek the intervention of the court to give direction to the judicial manager </w:t>
            </w:r>
          </w:p>
        </w:tc>
        <w:tc>
          <w:tcPr>
            <w:tcW w:w="363" w:type="dxa"/>
          </w:tcPr>
          <w:p w14:paraId="7318782F" w14:textId="5CB5C96D"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w:t>
            </w:r>
          </w:p>
        </w:tc>
        <w:tc>
          <w:tcPr>
            <w:tcW w:w="4060" w:type="dxa"/>
          </w:tcPr>
          <w:p w14:paraId="00152866" w14:textId="2F09F593"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or Stake holders apply to the court to seek intervention.</w:t>
            </w:r>
          </w:p>
        </w:tc>
      </w:tr>
      <w:tr w:rsidR="00CC0239" w14:paraId="52E92F19" w14:textId="77777777" w:rsidTr="00CC0239">
        <w:tc>
          <w:tcPr>
            <w:tcW w:w="664" w:type="dxa"/>
          </w:tcPr>
          <w:p w14:paraId="2FB71F39"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07A4A17F" w14:textId="3A3C207D"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5F3D6A3B"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51D42701" w14:textId="0CC7921F" w:rsidR="00CC0239" w:rsidRDefault="00CC0239" w:rsidP="002A37BB">
            <w:pPr>
              <w:jc w:val="both"/>
              <w:rPr>
                <w:rFonts w:ascii="Arial" w:hAnsi="Arial" w:cs="Arial"/>
                <w:color w:val="7B7B7B" w:themeColor="accent3" w:themeShade="BF"/>
                <w:sz w:val="22"/>
                <w:szCs w:val="22"/>
                <w:lang w:val="en-GB"/>
              </w:rPr>
            </w:pPr>
          </w:p>
        </w:tc>
      </w:tr>
      <w:tr w:rsidR="00CC0239" w14:paraId="2110BB48" w14:textId="77777777" w:rsidTr="00CC0239">
        <w:tc>
          <w:tcPr>
            <w:tcW w:w="664" w:type="dxa"/>
          </w:tcPr>
          <w:p w14:paraId="64E00044" w14:textId="36A752B4" w:rsidR="00CC0239" w:rsidRPr="00561083" w:rsidRDefault="00CC0239" w:rsidP="00561083">
            <w:pPr>
              <w:pStyle w:val="BodyText"/>
              <w:ind w:right="325"/>
              <w:jc w:val="both"/>
              <w:rPr>
                <w:rFonts w:eastAsia="Times New Roman"/>
                <w:color w:val="7B7B7B" w:themeColor="accent3" w:themeShade="BF"/>
                <w:lang w:val="en-GB"/>
              </w:rPr>
            </w:pPr>
            <w:r>
              <w:rPr>
                <w:rFonts w:eastAsia="Times New Roman"/>
                <w:color w:val="7B7B7B" w:themeColor="accent3" w:themeShade="BF"/>
                <w:lang w:val="en-GB"/>
              </w:rPr>
              <w:t>8</w:t>
            </w:r>
          </w:p>
        </w:tc>
        <w:tc>
          <w:tcPr>
            <w:tcW w:w="4155" w:type="dxa"/>
          </w:tcPr>
          <w:p w14:paraId="538C236D" w14:textId="1F358FF2" w:rsidR="00CC0239" w:rsidRPr="00561083" w:rsidRDefault="00CC0239" w:rsidP="00561083">
            <w:pPr>
              <w:pStyle w:val="BodyText"/>
              <w:ind w:right="325"/>
              <w:jc w:val="both"/>
              <w:rPr>
                <w:rFonts w:eastAsia="Times New Roman"/>
                <w:color w:val="7B7B7B" w:themeColor="accent3" w:themeShade="BF"/>
                <w:lang w:val="en-GB"/>
              </w:rPr>
            </w:pPr>
            <w:r w:rsidRPr="00561083">
              <w:rPr>
                <w:rFonts w:eastAsia="Times New Roman"/>
                <w:color w:val="7B7B7B" w:themeColor="accent3" w:themeShade="BF"/>
                <w:lang w:val="en-GB"/>
              </w:rPr>
              <w:t>In Singapore, section 440 of the IRD Act 2018 restricts the enforcement of ipso facto clauses once any proceedings relating to any applications under judicial management or a scheme of arrangement involving the “supercharged” scheme process are commenced by a company.</w:t>
            </w:r>
          </w:p>
          <w:p w14:paraId="4237DE0B" w14:textId="77777777" w:rsidR="00CC0239" w:rsidRPr="00561083" w:rsidRDefault="00CC0239" w:rsidP="00EA037E">
            <w:pPr>
              <w:pStyle w:val="BodyText"/>
              <w:spacing w:before="2"/>
              <w:rPr>
                <w:rFonts w:eastAsia="Times New Roman"/>
                <w:color w:val="7B7B7B" w:themeColor="accent3" w:themeShade="BF"/>
                <w:lang w:val="en-GB"/>
              </w:rPr>
            </w:pPr>
          </w:p>
          <w:p w14:paraId="55D7FE29" w14:textId="77777777"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5E70F955" w14:textId="44FD38EF"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8</w:t>
            </w:r>
          </w:p>
        </w:tc>
        <w:tc>
          <w:tcPr>
            <w:tcW w:w="4060" w:type="dxa"/>
          </w:tcPr>
          <w:p w14:paraId="5A3E3F56" w14:textId="52213166" w:rsidR="00CC0239" w:rsidRDefault="00CC0239" w:rsidP="002A37BB">
            <w:pPr>
              <w:jc w:val="both"/>
              <w:rPr>
                <w:rFonts w:ascii="Arial" w:hAnsi="Arial" w:cs="Arial"/>
                <w:color w:val="7B7B7B" w:themeColor="accent3" w:themeShade="BF"/>
                <w:sz w:val="22"/>
                <w:szCs w:val="22"/>
                <w:lang w:val="en-GB"/>
              </w:rPr>
            </w:pPr>
          </w:p>
        </w:tc>
      </w:tr>
      <w:tr w:rsidR="00CC0239" w14:paraId="7B96737B" w14:textId="77777777" w:rsidTr="00CC0239">
        <w:tc>
          <w:tcPr>
            <w:tcW w:w="664" w:type="dxa"/>
          </w:tcPr>
          <w:p w14:paraId="769C3176" w14:textId="77777777" w:rsidR="00CC0239" w:rsidRPr="00561083" w:rsidRDefault="00CC0239" w:rsidP="00EA037E">
            <w:pPr>
              <w:jc w:val="both"/>
              <w:rPr>
                <w:rFonts w:ascii="Arial" w:hAnsi="Arial" w:cs="Arial"/>
                <w:color w:val="7B7B7B" w:themeColor="accent3" w:themeShade="BF"/>
                <w:sz w:val="22"/>
                <w:szCs w:val="22"/>
                <w:lang w:val="en-GB"/>
              </w:rPr>
            </w:pPr>
          </w:p>
        </w:tc>
        <w:tc>
          <w:tcPr>
            <w:tcW w:w="4155" w:type="dxa"/>
          </w:tcPr>
          <w:p w14:paraId="13157D9E" w14:textId="00772A3E"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192016E7" w14:textId="77777777" w:rsidR="00CC0239" w:rsidRDefault="00CC0239" w:rsidP="002A37BB">
            <w:pPr>
              <w:jc w:val="both"/>
              <w:rPr>
                <w:rFonts w:ascii="Arial" w:hAnsi="Arial" w:cs="Arial"/>
                <w:color w:val="7B7B7B" w:themeColor="accent3" w:themeShade="BF"/>
                <w:sz w:val="22"/>
                <w:szCs w:val="22"/>
                <w:lang w:val="en-GB"/>
              </w:rPr>
            </w:pPr>
          </w:p>
        </w:tc>
        <w:tc>
          <w:tcPr>
            <w:tcW w:w="4060" w:type="dxa"/>
          </w:tcPr>
          <w:p w14:paraId="3A80D5CA" w14:textId="2F1A2592" w:rsidR="00CC0239" w:rsidRDefault="00CC0239" w:rsidP="002A37BB">
            <w:pPr>
              <w:jc w:val="both"/>
              <w:rPr>
                <w:rFonts w:ascii="Arial" w:hAnsi="Arial" w:cs="Arial"/>
                <w:color w:val="7B7B7B" w:themeColor="accent3" w:themeShade="BF"/>
                <w:sz w:val="22"/>
                <w:szCs w:val="22"/>
                <w:lang w:val="en-GB"/>
              </w:rPr>
            </w:pPr>
          </w:p>
        </w:tc>
      </w:tr>
      <w:tr w:rsidR="00CC0239" w14:paraId="59B017C1" w14:textId="77777777" w:rsidTr="00CC0239">
        <w:tc>
          <w:tcPr>
            <w:tcW w:w="664" w:type="dxa"/>
          </w:tcPr>
          <w:p w14:paraId="241D0C47" w14:textId="4C1C9FB4" w:rsidR="00CC0239" w:rsidRPr="00561083" w:rsidRDefault="00CC0239" w:rsidP="00FD69FD">
            <w:pPr>
              <w:pStyle w:val="BodyText"/>
              <w:ind w:right="299"/>
              <w:rPr>
                <w:rFonts w:eastAsia="Times New Roman"/>
                <w:color w:val="7B7B7B" w:themeColor="accent3" w:themeShade="BF"/>
                <w:lang w:val="en-GB"/>
              </w:rPr>
            </w:pPr>
            <w:r>
              <w:rPr>
                <w:rFonts w:eastAsia="Times New Roman"/>
                <w:color w:val="7B7B7B" w:themeColor="accent3" w:themeShade="BF"/>
                <w:lang w:val="en-GB"/>
              </w:rPr>
              <w:t>9</w:t>
            </w:r>
          </w:p>
        </w:tc>
        <w:tc>
          <w:tcPr>
            <w:tcW w:w="4155" w:type="dxa"/>
          </w:tcPr>
          <w:p w14:paraId="779AD70E" w14:textId="7B206058" w:rsidR="00CC0239" w:rsidRPr="00561083" w:rsidRDefault="00CC0239" w:rsidP="00FD69FD">
            <w:pPr>
              <w:pStyle w:val="BodyText"/>
              <w:ind w:right="299"/>
              <w:rPr>
                <w:rFonts w:eastAsia="Times New Roman"/>
                <w:color w:val="7B7B7B" w:themeColor="accent3" w:themeShade="BF"/>
                <w:lang w:val="en-GB"/>
              </w:rPr>
            </w:pPr>
            <w:r w:rsidRPr="00561083">
              <w:rPr>
                <w:rFonts w:eastAsia="Times New Roman"/>
                <w:color w:val="7B7B7B" w:themeColor="accent3" w:themeShade="BF"/>
                <w:lang w:val="en-GB"/>
              </w:rPr>
              <w:t>In a judicial management a creditor’s right of set-off continues to be applicable and is not affected by the moratorium on civil proceedings against the company.</w:t>
            </w:r>
          </w:p>
          <w:p w14:paraId="7E98023D" w14:textId="77777777" w:rsidR="00CC0239" w:rsidRPr="00561083" w:rsidRDefault="00CC0239" w:rsidP="00EA037E">
            <w:pPr>
              <w:jc w:val="both"/>
              <w:rPr>
                <w:rFonts w:ascii="Arial" w:hAnsi="Arial" w:cs="Arial"/>
                <w:color w:val="7B7B7B" w:themeColor="accent3" w:themeShade="BF"/>
                <w:sz w:val="22"/>
                <w:szCs w:val="22"/>
                <w:lang w:val="en-GB"/>
              </w:rPr>
            </w:pPr>
          </w:p>
        </w:tc>
        <w:tc>
          <w:tcPr>
            <w:tcW w:w="363" w:type="dxa"/>
          </w:tcPr>
          <w:p w14:paraId="59F6F8F1" w14:textId="417DF69A" w:rsidR="00CC0239"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9</w:t>
            </w:r>
          </w:p>
        </w:tc>
        <w:tc>
          <w:tcPr>
            <w:tcW w:w="4060" w:type="dxa"/>
          </w:tcPr>
          <w:p w14:paraId="63B424C7" w14:textId="1111264C"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561083">
              <w:rPr>
                <w:rFonts w:ascii="Arial" w:hAnsi="Arial" w:cs="Arial"/>
                <w:color w:val="7B7B7B" w:themeColor="accent3" w:themeShade="BF"/>
                <w:sz w:val="22"/>
                <w:szCs w:val="22"/>
                <w:lang w:val="en-GB"/>
              </w:rPr>
              <w:t>n a winding-up, debts or dealings may be set off against each other where there have been mutual credits, debts or other dealings between the company and any creditor</w:t>
            </w:r>
          </w:p>
          <w:p w14:paraId="6705E47F" w14:textId="77777777" w:rsidR="00CC0239" w:rsidRPr="00561083" w:rsidRDefault="00CC0239" w:rsidP="002A37BB">
            <w:pPr>
              <w:jc w:val="both"/>
              <w:rPr>
                <w:rFonts w:ascii="Arial" w:hAnsi="Arial" w:cs="Arial"/>
                <w:color w:val="7B7B7B" w:themeColor="accent3" w:themeShade="BF"/>
                <w:sz w:val="22"/>
                <w:szCs w:val="22"/>
                <w:lang w:val="en-GB"/>
              </w:rPr>
            </w:pPr>
          </w:p>
          <w:p w14:paraId="10F3C1C9" w14:textId="5776A14F" w:rsidR="00CC0239" w:rsidRPr="00561083"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Set-off is not possible in respect of any debt that is not provable, or which arises by reason of an obligation incurred at a time when the creditor had notice that a winding-up application was pending//</w:t>
            </w:r>
          </w:p>
          <w:p w14:paraId="725DE72D" w14:textId="77777777" w:rsidR="00CC0239" w:rsidRPr="00561083" w:rsidRDefault="00CC0239" w:rsidP="002A37BB">
            <w:pPr>
              <w:jc w:val="both"/>
              <w:rPr>
                <w:rFonts w:ascii="Arial" w:hAnsi="Arial" w:cs="Arial"/>
                <w:color w:val="7B7B7B" w:themeColor="accent3" w:themeShade="BF"/>
                <w:sz w:val="22"/>
                <w:szCs w:val="22"/>
                <w:lang w:val="en-GB"/>
              </w:rPr>
            </w:pPr>
          </w:p>
          <w:p w14:paraId="177A9B2B" w14:textId="77777777" w:rsidR="00CC0239" w:rsidRPr="00561083" w:rsidRDefault="00CC0239" w:rsidP="002A37BB">
            <w:pPr>
              <w:jc w:val="both"/>
              <w:rPr>
                <w:rFonts w:ascii="Arial" w:hAnsi="Arial" w:cs="Arial"/>
                <w:color w:val="7B7B7B" w:themeColor="accent3" w:themeShade="BF"/>
                <w:sz w:val="22"/>
                <w:szCs w:val="22"/>
                <w:lang w:val="en-GB"/>
              </w:rPr>
            </w:pPr>
          </w:p>
          <w:p w14:paraId="289AE781" w14:textId="0A028EF0" w:rsidR="00CC0239" w:rsidRDefault="00CC0239" w:rsidP="002A37BB">
            <w:pPr>
              <w:jc w:val="both"/>
              <w:rPr>
                <w:rFonts w:ascii="Arial" w:hAnsi="Arial" w:cs="Arial"/>
                <w:color w:val="7B7B7B" w:themeColor="accent3" w:themeShade="BF"/>
                <w:sz w:val="22"/>
                <w:szCs w:val="22"/>
                <w:lang w:val="en-GB"/>
              </w:rPr>
            </w:pPr>
          </w:p>
        </w:tc>
      </w:tr>
      <w:tr w:rsidR="00CC0239" w14:paraId="14E40831" w14:textId="77777777" w:rsidTr="00CC0239">
        <w:tc>
          <w:tcPr>
            <w:tcW w:w="664" w:type="dxa"/>
          </w:tcPr>
          <w:p w14:paraId="2E480026" w14:textId="77777777" w:rsidR="00CC0239" w:rsidRPr="00561083" w:rsidRDefault="00CC0239" w:rsidP="00561083">
            <w:pPr>
              <w:pStyle w:val="BodyText"/>
              <w:ind w:right="299"/>
              <w:jc w:val="both"/>
              <w:rPr>
                <w:rFonts w:eastAsia="Times New Roman"/>
                <w:color w:val="7B7B7B" w:themeColor="accent3" w:themeShade="BF"/>
                <w:lang w:val="en-GB"/>
              </w:rPr>
            </w:pPr>
          </w:p>
        </w:tc>
        <w:tc>
          <w:tcPr>
            <w:tcW w:w="4155" w:type="dxa"/>
          </w:tcPr>
          <w:p w14:paraId="353A2C08" w14:textId="096CCED9" w:rsidR="00CC0239" w:rsidRPr="00561083" w:rsidRDefault="00CC0239" w:rsidP="00561083">
            <w:pPr>
              <w:pStyle w:val="BodyText"/>
              <w:ind w:right="299"/>
              <w:jc w:val="both"/>
              <w:rPr>
                <w:rFonts w:eastAsia="Times New Roman"/>
                <w:color w:val="7B7B7B" w:themeColor="accent3" w:themeShade="BF"/>
                <w:lang w:val="en-GB"/>
              </w:rPr>
            </w:pPr>
          </w:p>
        </w:tc>
        <w:tc>
          <w:tcPr>
            <w:tcW w:w="363" w:type="dxa"/>
          </w:tcPr>
          <w:p w14:paraId="401D462C" w14:textId="77777777" w:rsidR="00CC0239" w:rsidRPr="00561083" w:rsidRDefault="00CC0239" w:rsidP="002A37BB">
            <w:pPr>
              <w:jc w:val="both"/>
              <w:rPr>
                <w:rFonts w:ascii="Arial" w:hAnsi="Arial" w:cs="Arial"/>
                <w:color w:val="7B7B7B" w:themeColor="accent3" w:themeShade="BF"/>
                <w:sz w:val="22"/>
                <w:szCs w:val="22"/>
                <w:lang w:val="en-GB"/>
              </w:rPr>
            </w:pPr>
          </w:p>
        </w:tc>
        <w:tc>
          <w:tcPr>
            <w:tcW w:w="4060" w:type="dxa"/>
          </w:tcPr>
          <w:p w14:paraId="13B7FFFB" w14:textId="72B90C64" w:rsidR="00CC0239" w:rsidRPr="00561083" w:rsidRDefault="00CC0239" w:rsidP="002A37BB">
            <w:pPr>
              <w:jc w:val="both"/>
              <w:rPr>
                <w:rFonts w:ascii="Arial" w:hAnsi="Arial" w:cs="Arial"/>
                <w:color w:val="7B7B7B" w:themeColor="accent3" w:themeShade="BF"/>
                <w:sz w:val="22"/>
                <w:szCs w:val="22"/>
                <w:lang w:val="en-GB"/>
              </w:rPr>
            </w:pPr>
          </w:p>
        </w:tc>
      </w:tr>
      <w:tr w:rsidR="00CC0239" w14:paraId="5D7AAF6E" w14:textId="77777777" w:rsidTr="00CC0239">
        <w:tc>
          <w:tcPr>
            <w:tcW w:w="664" w:type="dxa"/>
          </w:tcPr>
          <w:p w14:paraId="2CECEE91" w14:textId="01278DD8" w:rsidR="00CC0239" w:rsidRPr="00561083" w:rsidRDefault="00CC0239" w:rsidP="00561083">
            <w:pPr>
              <w:pStyle w:val="BodyText"/>
              <w:ind w:right="299"/>
              <w:jc w:val="both"/>
              <w:rPr>
                <w:rFonts w:eastAsia="Times New Roman"/>
                <w:color w:val="7B7B7B" w:themeColor="accent3" w:themeShade="BF"/>
                <w:lang w:val="en-GB"/>
              </w:rPr>
            </w:pPr>
            <w:r>
              <w:rPr>
                <w:rFonts w:eastAsia="Times New Roman"/>
                <w:color w:val="7B7B7B" w:themeColor="accent3" w:themeShade="BF"/>
                <w:lang w:val="en-GB"/>
              </w:rPr>
              <w:t>10</w:t>
            </w:r>
          </w:p>
        </w:tc>
        <w:tc>
          <w:tcPr>
            <w:tcW w:w="4155" w:type="dxa"/>
          </w:tcPr>
          <w:p w14:paraId="77763660" w14:textId="1B3A76D1" w:rsidR="00CC0239" w:rsidRPr="00561083" w:rsidRDefault="00CC0239" w:rsidP="00561083">
            <w:pPr>
              <w:pStyle w:val="BodyText"/>
              <w:ind w:right="299"/>
              <w:jc w:val="both"/>
              <w:rPr>
                <w:rFonts w:eastAsia="Times New Roman"/>
                <w:color w:val="7B7B7B" w:themeColor="accent3" w:themeShade="BF"/>
                <w:lang w:val="en-GB"/>
              </w:rPr>
            </w:pPr>
            <w:r w:rsidRPr="00561083">
              <w:rPr>
                <w:rFonts w:eastAsia="Times New Roman"/>
                <w:color w:val="7B7B7B" w:themeColor="accent3" w:themeShade="BF"/>
                <w:lang w:val="en-GB"/>
              </w:rPr>
              <w:t xml:space="preserve">An application for judicial management should only be made where a company, or where a creditor or creditors of the company or a director, when the company is unable to pay its debts or there is a reasonable probability of rehabilitating the company or preserving assets or repaying the creditors. </w:t>
            </w:r>
          </w:p>
        </w:tc>
        <w:tc>
          <w:tcPr>
            <w:tcW w:w="363" w:type="dxa"/>
          </w:tcPr>
          <w:p w14:paraId="0355E030" w14:textId="186A3A41" w:rsidR="00CC0239" w:rsidRPr="00561083" w:rsidRDefault="00CC02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10</w:t>
            </w:r>
          </w:p>
        </w:tc>
        <w:tc>
          <w:tcPr>
            <w:tcW w:w="4060" w:type="dxa"/>
          </w:tcPr>
          <w:p w14:paraId="0D10EDAD" w14:textId="3E19EAEA" w:rsidR="00CC0239" w:rsidRPr="00561083" w:rsidRDefault="00CC0239" w:rsidP="002A37BB">
            <w:pPr>
              <w:jc w:val="both"/>
              <w:rPr>
                <w:rFonts w:ascii="Arial" w:hAnsi="Arial" w:cs="Arial"/>
                <w:color w:val="7B7B7B" w:themeColor="accent3" w:themeShade="BF"/>
                <w:sz w:val="22"/>
                <w:szCs w:val="22"/>
                <w:lang w:val="en-GB"/>
              </w:rPr>
            </w:pPr>
            <w:r w:rsidRPr="00561083">
              <w:rPr>
                <w:rFonts w:ascii="Arial" w:hAnsi="Arial" w:cs="Arial"/>
                <w:color w:val="7B7B7B" w:themeColor="accent3" w:themeShade="BF"/>
                <w:sz w:val="22"/>
                <w:szCs w:val="22"/>
                <w:lang w:val="en-GB"/>
              </w:rPr>
              <w:t>Moratorium comes to an end  there is no sanctioned scheme, then stake holders will apply for</w:t>
            </w:r>
            <w:r>
              <w:rPr>
                <w:rFonts w:ascii="Arial" w:hAnsi="Arial" w:cs="Arial"/>
                <w:color w:val="7B7B7B" w:themeColor="accent3" w:themeShade="BF"/>
                <w:sz w:val="22"/>
                <w:szCs w:val="22"/>
                <w:lang w:val="en-GB"/>
              </w:rPr>
              <w:t xml:space="preserve"> </w:t>
            </w:r>
            <w:r w:rsidRPr="00561083">
              <w:rPr>
                <w:rFonts w:ascii="Arial" w:hAnsi="Arial" w:cs="Arial"/>
                <w:color w:val="7B7B7B" w:themeColor="accent3" w:themeShade="BF"/>
                <w:sz w:val="22"/>
                <w:szCs w:val="22"/>
                <w:lang w:val="en-GB"/>
              </w:rPr>
              <w:t>liquidatio</w:t>
            </w:r>
            <w:r>
              <w:rPr>
                <w:rFonts w:ascii="Arial" w:hAnsi="Arial" w:cs="Arial"/>
                <w:color w:val="7B7B7B" w:themeColor="accent3" w:themeShade="BF"/>
                <w:sz w:val="22"/>
                <w:szCs w:val="22"/>
                <w:lang w:val="en-GB"/>
              </w:rPr>
              <w:t>n</w:t>
            </w:r>
            <w:r w:rsidRPr="00561083">
              <w:rPr>
                <w:rFonts w:ascii="Arial" w:hAnsi="Arial" w:cs="Arial"/>
                <w:color w:val="7B7B7B" w:themeColor="accent3" w:themeShade="BF"/>
                <w:sz w:val="22"/>
                <w:szCs w:val="22"/>
                <w:lang w:val="en-GB"/>
              </w:rPr>
              <w:t xml:space="preserve">. </w:t>
            </w:r>
          </w:p>
        </w:tc>
      </w:tr>
    </w:tbl>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1C56C0C4" w14:textId="77777777" w:rsidR="00CC0239" w:rsidRDefault="00CC0239" w:rsidP="00087F21">
      <w:pPr>
        <w:jc w:val="both"/>
        <w:rPr>
          <w:rFonts w:ascii="Arial" w:hAnsi="Arial" w:cs="Arial"/>
          <w:b/>
          <w:sz w:val="22"/>
          <w:szCs w:val="22"/>
          <w:lang w:val="en-GB"/>
        </w:rPr>
      </w:pPr>
    </w:p>
    <w:p w14:paraId="472DED34" w14:textId="77777777" w:rsidR="00CC0239" w:rsidRDefault="00CC0239" w:rsidP="00087F21">
      <w:pPr>
        <w:jc w:val="both"/>
        <w:rPr>
          <w:rFonts w:ascii="Arial" w:hAnsi="Arial" w:cs="Arial"/>
          <w:b/>
          <w:sz w:val="22"/>
          <w:szCs w:val="22"/>
          <w:lang w:val="en-GB"/>
        </w:rPr>
      </w:pPr>
    </w:p>
    <w:p w14:paraId="47F1C11A" w14:textId="77777777" w:rsidR="00CC0239" w:rsidRDefault="00CC0239" w:rsidP="00087F21">
      <w:pPr>
        <w:jc w:val="both"/>
        <w:rPr>
          <w:rFonts w:ascii="Arial" w:hAnsi="Arial" w:cs="Arial"/>
          <w:b/>
          <w:sz w:val="22"/>
          <w:szCs w:val="22"/>
          <w:lang w:val="en-GB"/>
        </w:rPr>
      </w:pPr>
    </w:p>
    <w:p w14:paraId="2089DACA" w14:textId="77777777" w:rsidR="00CC0239" w:rsidRDefault="00CC0239" w:rsidP="00087F21">
      <w:pPr>
        <w:jc w:val="both"/>
        <w:rPr>
          <w:rFonts w:ascii="Arial" w:hAnsi="Arial" w:cs="Arial"/>
          <w:b/>
          <w:sz w:val="22"/>
          <w:szCs w:val="22"/>
          <w:lang w:val="en-GB"/>
        </w:rPr>
      </w:pPr>
    </w:p>
    <w:p w14:paraId="639B30C7" w14:textId="77777777" w:rsidR="00CC0239" w:rsidRDefault="00CC0239" w:rsidP="00087F21">
      <w:pPr>
        <w:jc w:val="both"/>
        <w:rPr>
          <w:rFonts w:ascii="Arial" w:hAnsi="Arial" w:cs="Arial"/>
          <w:b/>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1"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3F5A2893" w:rsidR="00DB6103" w:rsidRDefault="00EA037E" w:rsidP="00087F21">
      <w:pPr>
        <w:jc w:val="both"/>
        <w:rPr>
          <w:rFonts w:ascii="Arial" w:hAnsi="Arial" w:cs="Arial"/>
          <w:sz w:val="22"/>
          <w:szCs w:val="22"/>
          <w:lang w:val="en-GB"/>
        </w:rPr>
      </w:pPr>
      <w:r>
        <w:rPr>
          <w:rFonts w:ascii="Arial" w:hAnsi="Arial" w:cs="Arial"/>
          <w:sz w:val="22"/>
          <w:szCs w:val="22"/>
          <w:lang w:val="en-GB"/>
        </w:rPr>
        <w:t xml:space="preserve">. </w:t>
      </w: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26E954E2" w14:textId="77777777" w:rsidR="00E71F79" w:rsidRDefault="00E71F79" w:rsidP="00087F21">
      <w:pPr>
        <w:jc w:val="both"/>
        <w:rPr>
          <w:rFonts w:ascii="Arial" w:hAnsi="Arial" w:cs="Arial"/>
          <w:b/>
          <w:bCs/>
          <w:sz w:val="22"/>
          <w:szCs w:val="22"/>
          <w:u w:val="single"/>
          <w:lang w:val="en-GB"/>
        </w:rPr>
      </w:pPr>
    </w:p>
    <w:p w14:paraId="606A3A71" w14:textId="77777777" w:rsidR="00E71F79" w:rsidRDefault="00E71F79" w:rsidP="00087F21">
      <w:pPr>
        <w:jc w:val="both"/>
        <w:rPr>
          <w:rFonts w:ascii="Arial" w:hAnsi="Arial" w:cs="Arial"/>
          <w:b/>
          <w:bCs/>
          <w:sz w:val="22"/>
          <w:szCs w:val="22"/>
          <w:u w:val="single"/>
          <w:lang w:val="en-GB"/>
        </w:rPr>
      </w:pPr>
    </w:p>
    <w:p w14:paraId="6650E0CF" w14:textId="77777777" w:rsidR="00E71F79" w:rsidRDefault="00E71F79" w:rsidP="00087F21">
      <w:pPr>
        <w:jc w:val="both"/>
        <w:rPr>
          <w:rFonts w:ascii="Arial" w:hAnsi="Arial" w:cs="Arial"/>
          <w:b/>
          <w:bCs/>
          <w:sz w:val="22"/>
          <w:szCs w:val="22"/>
          <w:u w:val="single"/>
          <w:lang w:val="en-GB"/>
        </w:rPr>
      </w:pPr>
    </w:p>
    <w:p w14:paraId="47CD4448" w14:textId="77777777" w:rsidR="00E71F79" w:rsidRDefault="00E71F79" w:rsidP="00087F21">
      <w:pPr>
        <w:jc w:val="both"/>
        <w:rPr>
          <w:rFonts w:ascii="Arial" w:hAnsi="Arial" w:cs="Arial"/>
          <w:b/>
          <w:bCs/>
          <w:sz w:val="22"/>
          <w:szCs w:val="22"/>
          <w:u w:val="single"/>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D94CD3" w:rsidRDefault="0007291B" w:rsidP="00087F21">
      <w:pPr>
        <w:jc w:val="both"/>
        <w:rPr>
          <w:rFonts w:ascii="Arial" w:hAnsi="Arial" w:cs="Arial"/>
          <w:b/>
          <w:bCs/>
          <w:color w:val="FF0000"/>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D94CD3" w:rsidRDefault="002F75A3" w:rsidP="00087F21">
      <w:pPr>
        <w:jc w:val="both"/>
        <w:rPr>
          <w:rFonts w:ascii="Arial" w:hAnsi="Arial" w:cs="Arial"/>
          <w:b/>
          <w:bCs/>
          <w:color w:val="FF0000"/>
          <w:sz w:val="22"/>
          <w:szCs w:val="22"/>
          <w:lang w:val="en-GB"/>
        </w:rPr>
      </w:pPr>
    </w:p>
    <w:p w14:paraId="2799A5AE" w14:textId="4ED3CE5A" w:rsidR="009B0723" w:rsidRPr="003A77C3" w:rsidRDefault="008B155E" w:rsidP="00087F21">
      <w:pPr>
        <w:jc w:val="both"/>
        <w:rPr>
          <w:rFonts w:ascii="Arial" w:hAnsi="Arial" w:cs="Arial"/>
          <w:b/>
          <w:sz w:val="22"/>
          <w:szCs w:val="22"/>
          <w:lang w:val="en-GB"/>
        </w:rPr>
      </w:pPr>
      <w:r w:rsidRPr="003A77C3">
        <w:rPr>
          <w:rFonts w:ascii="Arial" w:hAnsi="Arial" w:cs="Arial"/>
          <w:b/>
          <w:sz w:val="22"/>
          <w:szCs w:val="22"/>
          <w:lang w:val="en-GB"/>
        </w:rPr>
        <w:t>The working group of the bank lenders</w:t>
      </w:r>
      <w:r w:rsidR="0007291B" w:rsidRPr="003A77C3">
        <w:rPr>
          <w:rFonts w:ascii="Arial" w:hAnsi="Arial" w:cs="Arial"/>
          <w:b/>
          <w:sz w:val="22"/>
          <w:szCs w:val="22"/>
          <w:lang w:val="en-GB"/>
        </w:rPr>
        <w:t xml:space="preserve"> has asked its advisors to provide it with </w:t>
      </w:r>
      <w:r w:rsidR="00BF42A8" w:rsidRPr="003A77C3">
        <w:rPr>
          <w:rFonts w:ascii="Arial" w:hAnsi="Arial" w:cs="Arial"/>
          <w:b/>
          <w:sz w:val="22"/>
          <w:szCs w:val="22"/>
          <w:lang w:val="en-GB"/>
        </w:rPr>
        <w:t xml:space="preserve">a </w:t>
      </w:r>
      <w:r w:rsidR="0007291B" w:rsidRPr="003A77C3">
        <w:rPr>
          <w:rFonts w:ascii="Arial" w:hAnsi="Arial" w:cs="Arial"/>
          <w:b/>
          <w:sz w:val="22"/>
          <w:szCs w:val="22"/>
          <w:lang w:val="en-GB"/>
        </w:rPr>
        <w:t xml:space="preserve">written analysis covering the following critical issues for </w:t>
      </w:r>
      <w:r w:rsidRPr="003A77C3">
        <w:rPr>
          <w:rFonts w:ascii="Arial" w:hAnsi="Arial" w:cs="Arial"/>
          <w:b/>
          <w:sz w:val="22"/>
          <w:szCs w:val="22"/>
          <w:lang w:val="en-GB"/>
        </w:rPr>
        <w:t>PEC</w:t>
      </w:r>
      <w:r w:rsidR="00342A74" w:rsidRPr="003A77C3">
        <w:rPr>
          <w:rFonts w:ascii="Arial" w:hAnsi="Arial" w:cs="Arial"/>
          <w:b/>
          <w:sz w:val="22"/>
          <w:szCs w:val="22"/>
          <w:lang w:val="en-GB"/>
        </w:rPr>
        <w:t>.</w:t>
      </w:r>
      <w:r w:rsidR="00152FD4" w:rsidRPr="003A77C3">
        <w:rPr>
          <w:rFonts w:ascii="Arial" w:hAnsi="Arial" w:cs="Arial"/>
          <w:b/>
          <w:sz w:val="22"/>
          <w:szCs w:val="22"/>
          <w:lang w:val="en-GB"/>
        </w:rPr>
        <w:t xml:space="preserve"> </w:t>
      </w:r>
      <w:r w:rsidR="00342A74" w:rsidRPr="003A77C3">
        <w:rPr>
          <w:rFonts w:ascii="Arial" w:hAnsi="Arial" w:cs="Arial"/>
          <w:b/>
          <w:sz w:val="22"/>
          <w:szCs w:val="22"/>
          <w:lang w:val="en-GB"/>
        </w:rPr>
        <w:t>Please provide analysis on the following issues</w:t>
      </w:r>
      <w:r w:rsidR="0007291B" w:rsidRPr="003A77C3">
        <w:rPr>
          <w:rFonts w:ascii="Arial" w:hAnsi="Arial" w:cs="Arial"/>
          <w:b/>
          <w:sz w:val="22"/>
          <w:szCs w:val="22"/>
          <w:lang w:val="en-GB"/>
        </w:rPr>
        <w:t>:</w:t>
      </w:r>
    </w:p>
    <w:p w14:paraId="4C75D3C9" w14:textId="77777777" w:rsidR="00376303" w:rsidRPr="003A77C3" w:rsidRDefault="00376303" w:rsidP="00087F21">
      <w:pPr>
        <w:jc w:val="both"/>
        <w:rPr>
          <w:rFonts w:ascii="Arial" w:hAnsi="Arial" w:cs="Arial"/>
          <w:b/>
          <w:sz w:val="22"/>
          <w:szCs w:val="22"/>
          <w:lang w:val="en-GB"/>
        </w:rPr>
      </w:pPr>
    </w:p>
    <w:p w14:paraId="5F4A9C1C" w14:textId="058BC67E" w:rsidR="00376303" w:rsidRPr="003A77C3" w:rsidRDefault="00856BD4" w:rsidP="00BE65AA">
      <w:pPr>
        <w:pStyle w:val="ListParagraph"/>
        <w:numPr>
          <w:ilvl w:val="0"/>
          <w:numId w:val="3"/>
        </w:numPr>
        <w:ind w:left="426"/>
        <w:jc w:val="both"/>
        <w:rPr>
          <w:rFonts w:ascii="Arial" w:hAnsi="Arial" w:cs="Arial"/>
          <w:b/>
          <w:sz w:val="22"/>
          <w:szCs w:val="22"/>
          <w:lang w:val="en-GB"/>
        </w:rPr>
      </w:pPr>
      <w:r w:rsidRPr="003A77C3">
        <w:rPr>
          <w:rFonts w:ascii="Arial" w:hAnsi="Arial" w:cs="Arial"/>
          <w:b/>
          <w:sz w:val="22"/>
          <w:szCs w:val="22"/>
          <w:lang w:val="en-GB"/>
        </w:rPr>
        <w:t>C</w:t>
      </w:r>
      <w:r w:rsidR="0007291B" w:rsidRPr="003A77C3">
        <w:rPr>
          <w:rFonts w:ascii="Arial" w:hAnsi="Arial" w:cs="Arial"/>
          <w:b/>
          <w:sz w:val="22"/>
          <w:szCs w:val="22"/>
          <w:lang w:val="en-GB"/>
        </w:rPr>
        <w:t xml:space="preserve">onfirmation of the purpose of </w:t>
      </w:r>
      <w:r w:rsidR="00954F89" w:rsidRPr="003A77C3">
        <w:rPr>
          <w:rFonts w:ascii="Arial" w:hAnsi="Arial" w:cs="Arial"/>
          <w:b/>
          <w:sz w:val="22"/>
          <w:szCs w:val="22"/>
          <w:lang w:val="en-GB"/>
        </w:rPr>
        <w:t>judicial management proceedings</w:t>
      </w:r>
      <w:r w:rsidR="0007291B" w:rsidRPr="003A77C3">
        <w:rPr>
          <w:rFonts w:ascii="Arial" w:hAnsi="Arial" w:cs="Arial"/>
          <w:b/>
          <w:sz w:val="22"/>
          <w:szCs w:val="22"/>
          <w:lang w:val="en-GB"/>
        </w:rPr>
        <w:t xml:space="preserve"> and what must </w:t>
      </w:r>
      <w:r w:rsidR="00954F89" w:rsidRPr="003A77C3">
        <w:rPr>
          <w:rFonts w:ascii="Arial" w:hAnsi="Arial" w:cs="Arial"/>
          <w:b/>
          <w:sz w:val="22"/>
          <w:szCs w:val="22"/>
          <w:lang w:val="en-GB"/>
        </w:rPr>
        <w:t xml:space="preserve">be </w:t>
      </w:r>
      <w:r w:rsidR="0007291B" w:rsidRPr="003A77C3">
        <w:rPr>
          <w:rFonts w:ascii="Arial" w:hAnsi="Arial" w:cs="Arial"/>
          <w:b/>
          <w:sz w:val="22"/>
          <w:szCs w:val="22"/>
          <w:lang w:val="en-GB"/>
        </w:rPr>
        <w:t xml:space="preserve"> present</w:t>
      </w:r>
      <w:r w:rsidR="00954F89" w:rsidRPr="003A77C3">
        <w:rPr>
          <w:rFonts w:ascii="Arial" w:hAnsi="Arial" w:cs="Arial"/>
          <w:b/>
          <w:sz w:val="22"/>
          <w:szCs w:val="22"/>
          <w:lang w:val="en-GB"/>
        </w:rPr>
        <w:t>ed</w:t>
      </w:r>
      <w:r w:rsidR="0007291B" w:rsidRPr="003A77C3">
        <w:rPr>
          <w:rFonts w:ascii="Arial" w:hAnsi="Arial" w:cs="Arial"/>
          <w:b/>
          <w:sz w:val="22"/>
          <w:szCs w:val="22"/>
          <w:lang w:val="en-GB"/>
        </w:rPr>
        <w:t xml:space="preserve"> to the court </w:t>
      </w:r>
      <w:r w:rsidR="00105948" w:rsidRPr="003A77C3">
        <w:rPr>
          <w:rFonts w:ascii="Arial" w:hAnsi="Arial" w:cs="Arial"/>
          <w:b/>
          <w:sz w:val="22"/>
          <w:szCs w:val="22"/>
          <w:lang w:val="en-GB"/>
        </w:rPr>
        <w:t xml:space="preserve">in order </w:t>
      </w:r>
      <w:r w:rsidR="00631DDB" w:rsidRPr="003A77C3">
        <w:rPr>
          <w:rFonts w:ascii="Arial" w:hAnsi="Arial" w:cs="Arial"/>
          <w:b/>
          <w:sz w:val="22"/>
          <w:szCs w:val="22"/>
          <w:lang w:val="en-GB"/>
        </w:rPr>
        <w:t>to obtain a judicial management order</w:t>
      </w:r>
      <w:r w:rsidR="00667F67" w:rsidRPr="003A77C3">
        <w:rPr>
          <w:rFonts w:ascii="Arial" w:hAnsi="Arial" w:cs="Arial"/>
          <w:b/>
          <w:sz w:val="22"/>
          <w:szCs w:val="22"/>
          <w:lang w:val="en-GB"/>
        </w:rPr>
        <w:t>;</w:t>
      </w:r>
      <w:r w:rsidR="00CC158E" w:rsidRPr="003A77C3">
        <w:rPr>
          <w:rFonts w:ascii="Arial" w:hAnsi="Arial" w:cs="Arial"/>
          <w:b/>
          <w:sz w:val="22"/>
          <w:szCs w:val="22"/>
          <w:lang w:val="en-GB"/>
        </w:rPr>
        <w:t xml:space="preserve"> </w:t>
      </w:r>
      <w:r w:rsidR="00CC158E" w:rsidRPr="003A77C3">
        <w:rPr>
          <w:rFonts w:ascii="Arial" w:hAnsi="Arial" w:cs="Arial"/>
          <w:b/>
          <w:bCs/>
          <w:sz w:val="22"/>
          <w:szCs w:val="22"/>
          <w:lang w:val="en-GB"/>
        </w:rPr>
        <w:t>(</w:t>
      </w:r>
      <w:r w:rsidR="00954F89" w:rsidRPr="003A77C3">
        <w:rPr>
          <w:rFonts w:ascii="Arial" w:hAnsi="Arial" w:cs="Arial"/>
          <w:b/>
          <w:bCs/>
          <w:sz w:val="22"/>
          <w:szCs w:val="22"/>
          <w:lang w:val="en-GB"/>
        </w:rPr>
        <w:t>2</w:t>
      </w:r>
      <w:r w:rsidR="00CC158E" w:rsidRPr="003A77C3">
        <w:rPr>
          <w:rFonts w:ascii="Arial" w:hAnsi="Arial" w:cs="Arial"/>
          <w:b/>
          <w:bCs/>
          <w:sz w:val="22"/>
          <w:szCs w:val="22"/>
          <w:lang w:val="en-GB"/>
        </w:rPr>
        <w:t xml:space="preserve"> mark</w:t>
      </w:r>
      <w:r w:rsidR="00954F89" w:rsidRPr="003A77C3">
        <w:rPr>
          <w:rFonts w:ascii="Arial" w:hAnsi="Arial" w:cs="Arial"/>
          <w:b/>
          <w:bCs/>
          <w:sz w:val="22"/>
          <w:szCs w:val="22"/>
          <w:lang w:val="en-GB"/>
        </w:rPr>
        <w:t>s</w:t>
      </w:r>
      <w:r w:rsidR="00CC158E" w:rsidRPr="003A77C3">
        <w:rPr>
          <w:rFonts w:ascii="Arial" w:hAnsi="Arial" w:cs="Arial"/>
          <w:b/>
          <w:bCs/>
          <w:sz w:val="22"/>
          <w:szCs w:val="22"/>
          <w:lang w:val="en-GB"/>
        </w:rPr>
        <w:t>)</w:t>
      </w:r>
    </w:p>
    <w:p w14:paraId="2E5F85EB" w14:textId="77777777" w:rsidR="00CF14BE" w:rsidRDefault="00CF14BE" w:rsidP="00CF14BE">
      <w:pPr>
        <w:ind w:left="66"/>
        <w:jc w:val="both"/>
        <w:rPr>
          <w:rFonts w:ascii="Arial" w:hAnsi="Arial" w:cs="Arial"/>
          <w:b/>
          <w:sz w:val="22"/>
          <w:szCs w:val="22"/>
          <w:lang w:val="en-GB"/>
        </w:rPr>
      </w:pPr>
    </w:p>
    <w:p w14:paraId="336D883C" w14:textId="5D65A525" w:rsidR="003A77C3" w:rsidRPr="009918B9" w:rsidRDefault="009918B9" w:rsidP="009918B9">
      <w:pPr>
        <w:ind w:left="426"/>
        <w:jc w:val="both"/>
        <w:rPr>
          <w:rFonts w:ascii="Arial" w:hAnsi="Arial" w:cs="Arial"/>
          <w:b/>
          <w:color w:val="7B7B7B" w:themeColor="accent3" w:themeShade="BF"/>
          <w:sz w:val="22"/>
          <w:szCs w:val="22"/>
          <w:lang w:val="en-GB"/>
        </w:rPr>
      </w:pPr>
      <w:r w:rsidRPr="009918B9">
        <w:rPr>
          <w:rFonts w:ascii="Arial" w:hAnsi="Arial" w:cs="Arial"/>
          <w:b/>
          <w:color w:val="7B7B7B" w:themeColor="accent3" w:themeShade="BF"/>
          <w:sz w:val="22"/>
          <w:szCs w:val="22"/>
          <w:lang w:val="en-GB"/>
        </w:rPr>
        <w:t>Confirmation of the purpose</w:t>
      </w:r>
    </w:p>
    <w:p w14:paraId="1E77C4AF" w14:textId="77777777" w:rsidR="009918B9" w:rsidRDefault="009918B9" w:rsidP="00E6270A">
      <w:pPr>
        <w:ind w:left="426"/>
        <w:jc w:val="both"/>
        <w:rPr>
          <w:rFonts w:ascii="Arial" w:hAnsi="Arial" w:cs="Arial"/>
          <w:color w:val="7B7B7B" w:themeColor="accent3" w:themeShade="BF"/>
          <w:sz w:val="22"/>
          <w:szCs w:val="22"/>
          <w:lang w:val="en-GB"/>
        </w:rPr>
      </w:pPr>
    </w:p>
    <w:p w14:paraId="61C699B9" w14:textId="43EF7994" w:rsidR="003A77C3" w:rsidRDefault="00D41877" w:rsidP="00E6270A">
      <w:pPr>
        <w:ind w:left="426"/>
        <w:jc w:val="both"/>
        <w:rPr>
          <w:rFonts w:ascii="Arial" w:hAnsi="Arial" w:cs="Arial"/>
          <w:color w:val="7B7B7B" w:themeColor="accent3" w:themeShade="BF"/>
          <w:sz w:val="22"/>
          <w:szCs w:val="22"/>
          <w:lang w:val="en-GB"/>
        </w:rPr>
      </w:pPr>
      <w:r w:rsidRPr="00E6270A">
        <w:rPr>
          <w:rFonts w:ascii="Arial" w:hAnsi="Arial" w:cs="Arial"/>
          <w:color w:val="7B7B7B" w:themeColor="accent3" w:themeShade="BF"/>
          <w:sz w:val="22"/>
          <w:szCs w:val="22"/>
          <w:lang w:val="en-GB"/>
        </w:rPr>
        <w:t>The Bankers will apply for Judicial management and seek an appointment of Judic</w:t>
      </w:r>
      <w:r w:rsidR="00E6270A">
        <w:rPr>
          <w:rFonts w:ascii="Arial" w:hAnsi="Arial" w:cs="Arial"/>
          <w:color w:val="7B7B7B" w:themeColor="accent3" w:themeShade="BF"/>
          <w:sz w:val="22"/>
          <w:szCs w:val="22"/>
          <w:lang w:val="en-GB"/>
        </w:rPr>
        <w:t>i</w:t>
      </w:r>
      <w:r w:rsidRPr="00E6270A">
        <w:rPr>
          <w:rFonts w:ascii="Arial" w:hAnsi="Arial" w:cs="Arial"/>
          <w:color w:val="7B7B7B" w:themeColor="accent3" w:themeShade="BF"/>
          <w:sz w:val="22"/>
          <w:szCs w:val="22"/>
          <w:lang w:val="en-GB"/>
        </w:rPr>
        <w:t>al Manager</w:t>
      </w:r>
      <w:r w:rsidR="00E6270A" w:rsidRPr="00E6270A">
        <w:rPr>
          <w:rFonts w:ascii="Arial" w:hAnsi="Arial" w:cs="Arial"/>
          <w:color w:val="7B7B7B" w:themeColor="accent3" w:themeShade="BF"/>
          <w:sz w:val="22"/>
          <w:szCs w:val="22"/>
          <w:lang w:val="en-GB"/>
        </w:rPr>
        <w:t>. T</w:t>
      </w:r>
      <w:r w:rsidRPr="00E6270A">
        <w:rPr>
          <w:rFonts w:ascii="Arial" w:hAnsi="Arial" w:cs="Arial"/>
          <w:color w:val="7B7B7B" w:themeColor="accent3" w:themeShade="BF"/>
          <w:sz w:val="22"/>
          <w:szCs w:val="22"/>
          <w:lang w:val="en-GB"/>
        </w:rPr>
        <w:t>he company and/or at least one of its creditors may make such an application by originating summons, supported by an affidavit stating the grounds for the application.</w:t>
      </w:r>
    </w:p>
    <w:p w14:paraId="4B35891B" w14:textId="77777777" w:rsidR="00E6270A" w:rsidRDefault="00E6270A" w:rsidP="00E6270A">
      <w:pPr>
        <w:ind w:left="426"/>
        <w:jc w:val="both"/>
        <w:rPr>
          <w:rFonts w:ascii="Arial" w:hAnsi="Arial" w:cs="Arial"/>
          <w:color w:val="7B7B7B" w:themeColor="accent3" w:themeShade="BF"/>
          <w:sz w:val="22"/>
          <w:szCs w:val="22"/>
          <w:lang w:val="en-GB"/>
        </w:rPr>
      </w:pPr>
    </w:p>
    <w:p w14:paraId="6289494B" w14:textId="6CF3B4EF" w:rsidR="00E6270A" w:rsidRPr="00E6270A" w:rsidRDefault="00E6270A" w:rsidP="00E6270A">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PEC is </w:t>
      </w:r>
      <w:r w:rsidRPr="00E6270A">
        <w:rPr>
          <w:rFonts w:ascii="Arial" w:hAnsi="Arial" w:cs="Arial"/>
          <w:color w:val="7B7B7B" w:themeColor="accent3" w:themeShade="BF"/>
          <w:sz w:val="22"/>
          <w:szCs w:val="22"/>
          <w:lang w:val="en-GB"/>
        </w:rPr>
        <w:t>unable to pay its debts, unable to meet its obligations</w:t>
      </w:r>
      <w:r>
        <w:rPr>
          <w:rFonts w:ascii="Arial" w:hAnsi="Arial" w:cs="Arial"/>
          <w:color w:val="7B7B7B" w:themeColor="accent3" w:themeShade="BF"/>
          <w:sz w:val="22"/>
          <w:szCs w:val="22"/>
          <w:lang w:val="en-GB"/>
        </w:rPr>
        <w:t xml:space="preserve"> and seeking extension of morotorium</w:t>
      </w:r>
      <w:r w:rsidRPr="00E6270A">
        <w:rPr>
          <w:rFonts w:ascii="Arial" w:hAnsi="Arial" w:cs="Arial"/>
          <w:color w:val="7B7B7B" w:themeColor="accent3" w:themeShade="BF"/>
          <w:sz w:val="22"/>
          <w:szCs w:val="22"/>
          <w:lang w:val="en-GB"/>
        </w:rPr>
        <w:t>, and has not become or is prevented from becoming a successful concern by reason of mismanagement or for any other cause. This cause must be identified by the </w:t>
      </w:r>
      <w:r w:rsidR="00115181">
        <w:rPr>
          <w:rFonts w:ascii="Arial" w:hAnsi="Arial" w:cs="Arial"/>
          <w:color w:val="7B7B7B" w:themeColor="accent3" w:themeShade="BF"/>
          <w:sz w:val="22"/>
          <w:szCs w:val="22"/>
          <w:lang w:val="en-GB"/>
        </w:rPr>
        <w:t>Bankers of PEC</w:t>
      </w:r>
      <w:r>
        <w:rPr>
          <w:rFonts w:ascii="Arial" w:hAnsi="Arial" w:cs="Arial"/>
          <w:color w:val="202124"/>
          <w:shd w:val="clear" w:color="auto" w:fill="FFFFFF"/>
        </w:rPr>
        <w:t>.</w:t>
      </w:r>
    </w:p>
    <w:p w14:paraId="1B043636" w14:textId="77777777" w:rsidR="003A77C3" w:rsidRDefault="003A77C3" w:rsidP="00CF14BE">
      <w:pPr>
        <w:ind w:left="66"/>
        <w:jc w:val="both"/>
        <w:rPr>
          <w:rFonts w:ascii="Arial" w:hAnsi="Arial" w:cs="Arial"/>
          <w:b/>
          <w:sz w:val="22"/>
          <w:szCs w:val="22"/>
          <w:lang w:val="en-GB"/>
        </w:rPr>
      </w:pPr>
    </w:p>
    <w:p w14:paraId="5C711BC6" w14:textId="77777777" w:rsidR="00115181" w:rsidRDefault="00115181" w:rsidP="00CF14BE">
      <w:pPr>
        <w:ind w:left="66"/>
        <w:jc w:val="both"/>
        <w:rPr>
          <w:rFonts w:ascii="Arial" w:hAnsi="Arial" w:cs="Arial"/>
          <w:b/>
          <w:sz w:val="22"/>
          <w:szCs w:val="22"/>
          <w:lang w:val="en-GB"/>
        </w:rPr>
      </w:pPr>
    </w:p>
    <w:p w14:paraId="7A436ACB" w14:textId="183F1D04" w:rsidR="00115181" w:rsidRPr="009918B9" w:rsidRDefault="00115181" w:rsidP="009918B9">
      <w:pPr>
        <w:ind w:left="426"/>
        <w:jc w:val="both"/>
        <w:rPr>
          <w:rFonts w:ascii="Arial" w:hAnsi="Arial" w:cs="Arial"/>
          <w:b/>
          <w:color w:val="7B7B7B" w:themeColor="accent3" w:themeShade="BF"/>
          <w:sz w:val="22"/>
          <w:szCs w:val="22"/>
          <w:lang w:val="en-GB"/>
        </w:rPr>
      </w:pPr>
      <w:r w:rsidRPr="009918B9">
        <w:rPr>
          <w:rFonts w:ascii="Arial" w:hAnsi="Arial" w:cs="Arial"/>
          <w:b/>
          <w:color w:val="7B7B7B" w:themeColor="accent3" w:themeShade="BF"/>
          <w:sz w:val="22"/>
          <w:szCs w:val="22"/>
          <w:lang w:val="en-GB"/>
        </w:rPr>
        <w:t>The Bankers of PEC will place the following information for seeking Judicial Management Order</w:t>
      </w:r>
    </w:p>
    <w:p w14:paraId="4C1F83F5" w14:textId="77777777" w:rsidR="00115181" w:rsidRPr="009918B9" w:rsidRDefault="00115181" w:rsidP="00CF14BE">
      <w:pPr>
        <w:ind w:left="66"/>
        <w:jc w:val="both"/>
        <w:rPr>
          <w:rFonts w:ascii="Arial" w:hAnsi="Arial" w:cs="Arial"/>
          <w:color w:val="7B7B7B" w:themeColor="accent3" w:themeShade="BF"/>
          <w:sz w:val="22"/>
          <w:szCs w:val="22"/>
          <w:lang w:val="en-GB"/>
        </w:rPr>
      </w:pPr>
    </w:p>
    <w:p w14:paraId="701634E1" w14:textId="69C83F88" w:rsidR="00115181" w:rsidRPr="009918B9" w:rsidRDefault="00115181" w:rsidP="00115181">
      <w:pPr>
        <w:pStyle w:val="ListParagraph"/>
        <w:numPr>
          <w:ilvl w:val="0"/>
          <w:numId w:val="31"/>
        </w:numPr>
        <w:jc w:val="both"/>
        <w:rPr>
          <w:rFonts w:ascii="Arial" w:hAnsi="Arial" w:cs="Arial"/>
          <w:color w:val="7B7B7B" w:themeColor="accent3" w:themeShade="BF"/>
          <w:sz w:val="22"/>
          <w:szCs w:val="22"/>
          <w:lang w:val="en-GB"/>
        </w:rPr>
      </w:pPr>
      <w:r w:rsidRPr="009918B9">
        <w:rPr>
          <w:rFonts w:ascii="Arial" w:hAnsi="Arial" w:cs="Arial"/>
          <w:color w:val="7B7B7B" w:themeColor="accent3" w:themeShade="BF"/>
          <w:sz w:val="22"/>
          <w:szCs w:val="22"/>
          <w:lang w:val="en-GB"/>
        </w:rPr>
        <w:t>Various Communications from PEC requiring  waivers on certain terms in the loan and potentially further time to repay certain amounts owing</w:t>
      </w:r>
    </w:p>
    <w:p w14:paraId="19AF0738" w14:textId="77777777" w:rsidR="00115181" w:rsidRPr="009918B9" w:rsidRDefault="00115181" w:rsidP="00CF14BE">
      <w:pPr>
        <w:ind w:left="66"/>
        <w:jc w:val="both"/>
        <w:rPr>
          <w:rFonts w:ascii="Arial" w:hAnsi="Arial" w:cs="Arial"/>
          <w:color w:val="7B7B7B" w:themeColor="accent3" w:themeShade="BF"/>
          <w:sz w:val="22"/>
          <w:szCs w:val="22"/>
          <w:lang w:val="en-GB"/>
        </w:rPr>
      </w:pPr>
    </w:p>
    <w:p w14:paraId="7E980A47" w14:textId="77777777" w:rsidR="009918B9" w:rsidRPr="009918B9" w:rsidRDefault="009918B9" w:rsidP="00115181">
      <w:pPr>
        <w:pStyle w:val="ListParagraph"/>
        <w:numPr>
          <w:ilvl w:val="0"/>
          <w:numId w:val="31"/>
        </w:numPr>
        <w:jc w:val="both"/>
        <w:rPr>
          <w:rFonts w:ascii="Arial" w:hAnsi="Arial" w:cs="Arial"/>
          <w:color w:val="7B7B7B" w:themeColor="accent3" w:themeShade="BF"/>
          <w:sz w:val="22"/>
          <w:szCs w:val="22"/>
          <w:lang w:val="en-GB"/>
        </w:rPr>
      </w:pPr>
      <w:r w:rsidRPr="009918B9">
        <w:rPr>
          <w:rFonts w:ascii="Arial" w:hAnsi="Arial" w:cs="Arial"/>
          <w:color w:val="7B7B7B" w:themeColor="accent3" w:themeShade="BF"/>
          <w:sz w:val="22"/>
          <w:szCs w:val="22"/>
          <w:lang w:val="en-GB"/>
        </w:rPr>
        <w:t xml:space="preserve">The Details of appointment of </w:t>
      </w:r>
      <w:r w:rsidR="00115181" w:rsidRPr="009918B9">
        <w:rPr>
          <w:rFonts w:ascii="Arial" w:hAnsi="Arial" w:cs="Arial"/>
          <w:color w:val="7B7B7B" w:themeColor="accent3" w:themeShade="BF"/>
          <w:sz w:val="22"/>
          <w:szCs w:val="22"/>
          <w:lang w:val="en-GB"/>
        </w:rPr>
        <w:t xml:space="preserve">legal and financial advisors to provide it with advice as to the best steps </w:t>
      </w:r>
      <w:r w:rsidRPr="009918B9">
        <w:rPr>
          <w:rFonts w:ascii="Arial" w:hAnsi="Arial" w:cs="Arial"/>
          <w:color w:val="7B7B7B" w:themeColor="accent3" w:themeShade="BF"/>
          <w:sz w:val="22"/>
          <w:szCs w:val="22"/>
          <w:lang w:val="en-GB"/>
        </w:rPr>
        <w:t>In early 2020 by PEC.</w:t>
      </w:r>
    </w:p>
    <w:p w14:paraId="0EDCE379" w14:textId="77777777" w:rsidR="009918B9" w:rsidRPr="009918B9" w:rsidRDefault="009918B9" w:rsidP="009918B9">
      <w:pPr>
        <w:pStyle w:val="ListParagraph"/>
        <w:rPr>
          <w:rFonts w:ascii="Arial" w:hAnsi="Arial" w:cs="Arial"/>
          <w:color w:val="7B7B7B" w:themeColor="accent3" w:themeShade="BF"/>
          <w:sz w:val="22"/>
          <w:szCs w:val="22"/>
          <w:lang w:val="en-GB"/>
        </w:rPr>
      </w:pPr>
    </w:p>
    <w:p w14:paraId="19410078" w14:textId="77777777" w:rsidR="009918B9" w:rsidRPr="009918B9" w:rsidRDefault="009918B9" w:rsidP="00115181">
      <w:pPr>
        <w:pStyle w:val="ListParagraph"/>
        <w:numPr>
          <w:ilvl w:val="0"/>
          <w:numId w:val="31"/>
        </w:numPr>
        <w:jc w:val="both"/>
        <w:rPr>
          <w:rFonts w:ascii="Arial" w:hAnsi="Arial" w:cs="Arial"/>
          <w:color w:val="7B7B7B" w:themeColor="accent3" w:themeShade="BF"/>
          <w:sz w:val="22"/>
          <w:szCs w:val="22"/>
          <w:lang w:val="en-GB"/>
        </w:rPr>
      </w:pPr>
      <w:r w:rsidRPr="009918B9">
        <w:rPr>
          <w:rFonts w:ascii="Arial" w:hAnsi="Arial" w:cs="Arial"/>
          <w:color w:val="7B7B7B" w:themeColor="accent3" w:themeShade="BF"/>
          <w:sz w:val="22"/>
          <w:szCs w:val="22"/>
          <w:lang w:val="en-GB"/>
        </w:rPr>
        <w:t xml:space="preserve">The details of the PEC has </w:t>
      </w:r>
      <w:r w:rsidR="00115181" w:rsidRPr="009918B9">
        <w:rPr>
          <w:rFonts w:ascii="Arial" w:hAnsi="Arial" w:cs="Arial"/>
          <w:color w:val="7B7B7B" w:themeColor="accent3" w:themeShade="BF"/>
          <w:sz w:val="22"/>
          <w:szCs w:val="22"/>
          <w:lang w:val="en-GB"/>
        </w:rPr>
        <w:t xml:space="preserve">filed for protection under section 211B of the Companies (Amendment) Act 2017. </w:t>
      </w:r>
    </w:p>
    <w:p w14:paraId="54F8AE8C" w14:textId="77777777" w:rsidR="009918B9" w:rsidRPr="009918B9" w:rsidRDefault="009918B9" w:rsidP="009918B9">
      <w:pPr>
        <w:pStyle w:val="ListParagraph"/>
        <w:rPr>
          <w:rFonts w:ascii="Arial" w:hAnsi="Arial" w:cs="Arial"/>
          <w:color w:val="7B7B7B" w:themeColor="accent3" w:themeShade="BF"/>
          <w:sz w:val="22"/>
          <w:szCs w:val="22"/>
          <w:lang w:val="en-GB"/>
        </w:rPr>
      </w:pPr>
    </w:p>
    <w:p w14:paraId="2ED44417" w14:textId="4C69BC9A" w:rsidR="00115181" w:rsidRPr="009918B9" w:rsidRDefault="009918B9" w:rsidP="00115181">
      <w:pPr>
        <w:pStyle w:val="ListParagraph"/>
        <w:numPr>
          <w:ilvl w:val="0"/>
          <w:numId w:val="31"/>
        </w:numPr>
        <w:jc w:val="both"/>
        <w:rPr>
          <w:rFonts w:ascii="Arial" w:hAnsi="Arial" w:cs="Arial"/>
          <w:color w:val="7B7B7B" w:themeColor="accent3" w:themeShade="BF"/>
          <w:sz w:val="22"/>
          <w:szCs w:val="22"/>
          <w:lang w:val="en-GB"/>
        </w:rPr>
      </w:pPr>
      <w:r w:rsidRPr="009918B9">
        <w:rPr>
          <w:rFonts w:ascii="Arial" w:hAnsi="Arial" w:cs="Arial"/>
          <w:color w:val="7B7B7B" w:themeColor="accent3" w:themeShade="BF"/>
          <w:sz w:val="22"/>
          <w:szCs w:val="22"/>
          <w:lang w:val="en-GB"/>
        </w:rPr>
        <w:t xml:space="preserve">Further information that PEC’s Subsidiary </w:t>
      </w:r>
      <w:r w:rsidR="00115181" w:rsidRPr="009918B9">
        <w:rPr>
          <w:rFonts w:ascii="Arial" w:hAnsi="Arial" w:cs="Arial"/>
          <w:color w:val="7B7B7B" w:themeColor="accent3" w:themeShade="BF"/>
          <w:sz w:val="22"/>
          <w:szCs w:val="22"/>
          <w:lang w:val="en-GB"/>
        </w:rPr>
        <w:t xml:space="preserve">PEC Oil and Gas Pte Ltd, PEC Renewables Pte Ltd and PEC WWE Pte Ltd </w:t>
      </w:r>
      <w:r w:rsidRPr="009918B9">
        <w:rPr>
          <w:rFonts w:ascii="Arial" w:hAnsi="Arial" w:cs="Arial"/>
          <w:color w:val="7B7B7B" w:themeColor="accent3" w:themeShade="BF"/>
          <w:sz w:val="22"/>
          <w:szCs w:val="22"/>
          <w:lang w:val="en-GB"/>
        </w:rPr>
        <w:t xml:space="preserve">have </w:t>
      </w:r>
      <w:r w:rsidR="00115181" w:rsidRPr="009918B9">
        <w:rPr>
          <w:rFonts w:ascii="Arial" w:hAnsi="Arial" w:cs="Arial"/>
          <w:color w:val="7B7B7B" w:themeColor="accent3" w:themeShade="BF"/>
          <w:sz w:val="22"/>
          <w:szCs w:val="22"/>
          <w:lang w:val="en-GB"/>
        </w:rPr>
        <w:t>filed for protection under section 211C of the Companies (Amendment) Act 2017.</w:t>
      </w:r>
    </w:p>
    <w:p w14:paraId="6AB4A2BE" w14:textId="77777777" w:rsidR="00115181" w:rsidRDefault="00115181" w:rsidP="00CF14BE">
      <w:pPr>
        <w:ind w:left="66"/>
        <w:jc w:val="both"/>
        <w:rPr>
          <w:rFonts w:ascii="Arial" w:hAnsi="Arial" w:cs="Arial"/>
          <w:color w:val="7B7B7B" w:themeColor="accent3" w:themeShade="BF"/>
          <w:sz w:val="22"/>
          <w:szCs w:val="22"/>
          <w:lang w:val="en-GB"/>
        </w:rPr>
      </w:pPr>
    </w:p>
    <w:p w14:paraId="74879E09" w14:textId="77777777" w:rsidR="00D01093" w:rsidRDefault="00D01093" w:rsidP="00CF14BE">
      <w:pPr>
        <w:ind w:left="66"/>
        <w:jc w:val="both"/>
        <w:rPr>
          <w:rFonts w:ascii="Arial" w:hAnsi="Arial" w:cs="Arial"/>
          <w:color w:val="7B7B7B" w:themeColor="accent3" w:themeShade="BF"/>
          <w:sz w:val="22"/>
          <w:szCs w:val="22"/>
          <w:lang w:val="en-GB"/>
        </w:rPr>
      </w:pPr>
    </w:p>
    <w:p w14:paraId="11C6B31D" w14:textId="77777777" w:rsidR="00D01093" w:rsidRDefault="00D01093" w:rsidP="00CF14BE">
      <w:pPr>
        <w:ind w:left="66"/>
        <w:jc w:val="both"/>
        <w:rPr>
          <w:rFonts w:ascii="Arial" w:hAnsi="Arial" w:cs="Arial"/>
          <w:color w:val="7B7B7B" w:themeColor="accent3" w:themeShade="BF"/>
          <w:sz w:val="22"/>
          <w:szCs w:val="22"/>
          <w:lang w:val="en-GB"/>
        </w:rPr>
      </w:pPr>
    </w:p>
    <w:p w14:paraId="0ED20C1F" w14:textId="77777777" w:rsidR="00D01093" w:rsidRDefault="00D01093" w:rsidP="00CF14BE">
      <w:pPr>
        <w:ind w:left="66"/>
        <w:jc w:val="both"/>
        <w:rPr>
          <w:rFonts w:ascii="Arial" w:hAnsi="Arial" w:cs="Arial"/>
          <w:color w:val="7B7B7B" w:themeColor="accent3" w:themeShade="BF"/>
          <w:sz w:val="22"/>
          <w:szCs w:val="22"/>
          <w:lang w:val="en-GB"/>
        </w:rPr>
      </w:pPr>
    </w:p>
    <w:p w14:paraId="2B27B7A9" w14:textId="77777777" w:rsidR="00D01093" w:rsidRDefault="00D01093" w:rsidP="00CF14BE">
      <w:pPr>
        <w:ind w:left="66"/>
        <w:jc w:val="both"/>
        <w:rPr>
          <w:rFonts w:ascii="Arial" w:hAnsi="Arial" w:cs="Arial"/>
          <w:color w:val="7B7B7B" w:themeColor="accent3" w:themeShade="BF"/>
          <w:sz w:val="22"/>
          <w:szCs w:val="22"/>
          <w:lang w:val="en-GB"/>
        </w:rPr>
      </w:pPr>
    </w:p>
    <w:p w14:paraId="2DBDA34A" w14:textId="77777777" w:rsidR="00D01093" w:rsidRDefault="00D01093" w:rsidP="00CF14BE">
      <w:pPr>
        <w:ind w:left="66"/>
        <w:jc w:val="both"/>
        <w:rPr>
          <w:rFonts w:ascii="Arial" w:hAnsi="Arial" w:cs="Arial"/>
          <w:color w:val="7B7B7B" w:themeColor="accent3" w:themeShade="BF"/>
          <w:sz w:val="22"/>
          <w:szCs w:val="22"/>
          <w:lang w:val="en-GB"/>
        </w:rPr>
      </w:pPr>
    </w:p>
    <w:p w14:paraId="5F2E2001" w14:textId="77777777" w:rsidR="00D01093" w:rsidRDefault="00D01093" w:rsidP="00CF14BE">
      <w:pPr>
        <w:ind w:left="66"/>
        <w:jc w:val="both"/>
        <w:rPr>
          <w:rFonts w:ascii="Arial" w:hAnsi="Arial" w:cs="Arial"/>
          <w:color w:val="7B7B7B" w:themeColor="accent3" w:themeShade="BF"/>
          <w:sz w:val="22"/>
          <w:szCs w:val="22"/>
          <w:lang w:val="en-GB"/>
        </w:rPr>
      </w:pPr>
    </w:p>
    <w:p w14:paraId="078EA334" w14:textId="77777777" w:rsidR="00D01093" w:rsidRDefault="00D01093" w:rsidP="00CF14BE">
      <w:pPr>
        <w:ind w:left="66"/>
        <w:jc w:val="both"/>
        <w:rPr>
          <w:rFonts w:ascii="Arial" w:hAnsi="Arial" w:cs="Arial"/>
          <w:color w:val="7B7B7B" w:themeColor="accent3" w:themeShade="BF"/>
          <w:sz w:val="22"/>
          <w:szCs w:val="22"/>
          <w:lang w:val="en-GB"/>
        </w:rPr>
      </w:pPr>
    </w:p>
    <w:p w14:paraId="0617B765" w14:textId="77777777" w:rsidR="00D01093" w:rsidRDefault="00D01093" w:rsidP="00CF14BE">
      <w:pPr>
        <w:ind w:left="66"/>
        <w:jc w:val="both"/>
        <w:rPr>
          <w:rFonts w:ascii="Arial" w:hAnsi="Arial" w:cs="Arial"/>
          <w:color w:val="7B7B7B" w:themeColor="accent3" w:themeShade="BF"/>
          <w:sz w:val="22"/>
          <w:szCs w:val="22"/>
          <w:lang w:val="en-GB"/>
        </w:rPr>
      </w:pPr>
    </w:p>
    <w:p w14:paraId="56E34554" w14:textId="77777777" w:rsidR="00D01093" w:rsidRDefault="00D01093" w:rsidP="00CF14BE">
      <w:pPr>
        <w:ind w:left="66"/>
        <w:jc w:val="both"/>
        <w:rPr>
          <w:rFonts w:ascii="Arial" w:hAnsi="Arial" w:cs="Arial"/>
          <w:color w:val="7B7B7B" w:themeColor="accent3" w:themeShade="BF"/>
          <w:sz w:val="22"/>
          <w:szCs w:val="22"/>
          <w:lang w:val="en-GB"/>
        </w:rPr>
      </w:pPr>
    </w:p>
    <w:p w14:paraId="67E784B9" w14:textId="77777777" w:rsidR="00D01093" w:rsidRDefault="00D01093" w:rsidP="00CF14BE">
      <w:pPr>
        <w:ind w:left="66"/>
        <w:jc w:val="both"/>
        <w:rPr>
          <w:rFonts w:ascii="Arial" w:hAnsi="Arial" w:cs="Arial"/>
          <w:color w:val="7B7B7B" w:themeColor="accent3" w:themeShade="BF"/>
          <w:sz w:val="22"/>
          <w:szCs w:val="22"/>
          <w:lang w:val="en-GB"/>
        </w:rPr>
      </w:pPr>
    </w:p>
    <w:p w14:paraId="37DBABE9" w14:textId="77777777" w:rsidR="00D01093" w:rsidRDefault="00D01093" w:rsidP="00CF14BE">
      <w:pPr>
        <w:ind w:left="66"/>
        <w:jc w:val="both"/>
        <w:rPr>
          <w:rFonts w:ascii="Arial" w:hAnsi="Arial" w:cs="Arial"/>
          <w:color w:val="7B7B7B" w:themeColor="accent3" w:themeShade="BF"/>
          <w:sz w:val="22"/>
          <w:szCs w:val="22"/>
          <w:lang w:val="en-GB"/>
        </w:rPr>
      </w:pPr>
    </w:p>
    <w:p w14:paraId="015EE968" w14:textId="77777777" w:rsidR="00D01093" w:rsidRPr="009918B9" w:rsidRDefault="00D01093" w:rsidP="00CF14BE">
      <w:pPr>
        <w:ind w:left="66"/>
        <w:jc w:val="both"/>
        <w:rPr>
          <w:rFonts w:ascii="Arial" w:hAnsi="Arial" w:cs="Arial"/>
          <w:color w:val="7B7B7B" w:themeColor="accent3" w:themeShade="BF"/>
          <w:sz w:val="22"/>
          <w:szCs w:val="22"/>
          <w:lang w:val="en-GB"/>
        </w:rPr>
      </w:pPr>
    </w:p>
    <w:p w14:paraId="0AA3461B" w14:textId="77777777" w:rsidR="00115181" w:rsidRPr="003A77C3" w:rsidRDefault="00115181" w:rsidP="00D01093">
      <w:pPr>
        <w:tabs>
          <w:tab w:val="left" w:pos="8640"/>
        </w:tabs>
        <w:ind w:left="66"/>
        <w:jc w:val="both"/>
        <w:rPr>
          <w:rFonts w:ascii="Arial" w:hAnsi="Arial" w:cs="Arial"/>
          <w:b/>
          <w:sz w:val="22"/>
          <w:szCs w:val="22"/>
          <w:lang w:val="en-GB"/>
        </w:rPr>
      </w:pPr>
    </w:p>
    <w:p w14:paraId="54453F50" w14:textId="5807A94A" w:rsidR="00CF14BE" w:rsidRPr="003A77C3" w:rsidRDefault="00631DDB" w:rsidP="009918B9">
      <w:pPr>
        <w:pStyle w:val="ListParagraph"/>
        <w:ind w:left="426"/>
        <w:jc w:val="both"/>
        <w:rPr>
          <w:b/>
          <w:lang w:val="en-GB"/>
        </w:rPr>
      </w:pPr>
      <w:r w:rsidRPr="003A77C3">
        <w:rPr>
          <w:rFonts w:ascii="Arial" w:hAnsi="Arial" w:cs="Arial"/>
          <w:b/>
          <w:sz w:val="22"/>
          <w:szCs w:val="22"/>
          <w:lang w:val="en-GB"/>
        </w:rPr>
        <w:lastRenderedPageBreak/>
        <w:t xml:space="preserve">Assuming  that PEC is placed </w:t>
      </w:r>
      <w:r w:rsidR="00667F67" w:rsidRPr="003A77C3">
        <w:rPr>
          <w:rFonts w:ascii="Arial" w:hAnsi="Arial" w:cs="Arial"/>
          <w:b/>
          <w:sz w:val="22"/>
          <w:szCs w:val="22"/>
          <w:lang w:val="en-GB"/>
        </w:rPr>
        <w:t>under</w:t>
      </w:r>
      <w:r w:rsidRPr="003A77C3">
        <w:rPr>
          <w:rFonts w:ascii="Arial" w:hAnsi="Arial" w:cs="Arial"/>
          <w:b/>
          <w:sz w:val="22"/>
          <w:szCs w:val="22"/>
          <w:lang w:val="en-GB"/>
        </w:rPr>
        <w:t xml:space="preserve"> judicial management, w</w:t>
      </w:r>
      <w:r w:rsidR="0007291B" w:rsidRPr="003A77C3">
        <w:rPr>
          <w:rFonts w:ascii="Arial" w:hAnsi="Arial" w:cs="Arial"/>
          <w:b/>
          <w:sz w:val="22"/>
          <w:szCs w:val="22"/>
          <w:lang w:val="en-GB"/>
        </w:rPr>
        <w:t xml:space="preserve">hat </w:t>
      </w:r>
      <w:r w:rsidR="00CC158E" w:rsidRPr="003A77C3">
        <w:rPr>
          <w:rFonts w:ascii="Arial" w:hAnsi="Arial" w:cs="Arial"/>
          <w:b/>
          <w:sz w:val="22"/>
          <w:szCs w:val="22"/>
          <w:lang w:val="en-GB"/>
        </w:rPr>
        <w:t>requirements must be satisfied in order for</w:t>
      </w:r>
      <w:r w:rsidR="008B155E" w:rsidRPr="003A77C3">
        <w:rPr>
          <w:rFonts w:ascii="Arial" w:hAnsi="Arial" w:cs="Arial"/>
          <w:b/>
          <w:sz w:val="22"/>
          <w:szCs w:val="22"/>
          <w:lang w:val="en-GB"/>
        </w:rPr>
        <w:t xml:space="preserve"> PEC</w:t>
      </w:r>
      <w:r w:rsidR="00CC158E" w:rsidRPr="003A77C3">
        <w:rPr>
          <w:rFonts w:ascii="Arial" w:hAnsi="Arial" w:cs="Arial"/>
          <w:b/>
          <w:sz w:val="22"/>
          <w:szCs w:val="22"/>
          <w:lang w:val="en-GB"/>
        </w:rPr>
        <w:t xml:space="preserve"> to be able to access rescue financing under the </w:t>
      </w:r>
      <w:r w:rsidR="008B155E" w:rsidRPr="003A77C3">
        <w:rPr>
          <w:rFonts w:ascii="Arial" w:hAnsi="Arial" w:cs="Arial"/>
          <w:b/>
          <w:sz w:val="22"/>
          <w:szCs w:val="22"/>
          <w:lang w:val="en-GB"/>
        </w:rPr>
        <w:t>IRDA</w:t>
      </w:r>
      <w:r w:rsidR="00A57EFB" w:rsidRPr="003A77C3">
        <w:rPr>
          <w:rFonts w:ascii="Arial" w:hAnsi="Arial" w:cs="Arial"/>
          <w:b/>
          <w:sz w:val="22"/>
          <w:szCs w:val="22"/>
          <w:lang w:val="en-GB"/>
        </w:rPr>
        <w:t>?;</w:t>
      </w:r>
      <w:r w:rsidR="004D7749" w:rsidRPr="003A77C3">
        <w:rPr>
          <w:rFonts w:ascii="Arial" w:hAnsi="Arial" w:cs="Arial"/>
          <w:b/>
          <w:sz w:val="22"/>
          <w:szCs w:val="22"/>
          <w:lang w:val="en-GB"/>
        </w:rPr>
        <w:t xml:space="preserve"> </w:t>
      </w:r>
      <w:r w:rsidR="009D23C6" w:rsidRPr="003A77C3">
        <w:rPr>
          <w:rFonts w:ascii="Arial" w:hAnsi="Arial" w:cs="Arial"/>
          <w:b/>
          <w:bCs/>
          <w:sz w:val="22"/>
          <w:szCs w:val="22"/>
          <w:lang w:val="en-GB"/>
        </w:rPr>
        <w:t>(</w:t>
      </w:r>
      <w:r w:rsidR="00954F89" w:rsidRPr="003A77C3">
        <w:rPr>
          <w:rFonts w:ascii="Arial" w:hAnsi="Arial" w:cs="Arial"/>
          <w:b/>
          <w:bCs/>
          <w:sz w:val="22"/>
          <w:szCs w:val="22"/>
          <w:lang w:val="en-GB"/>
        </w:rPr>
        <w:t>2</w:t>
      </w:r>
      <w:r w:rsidR="009D23C6" w:rsidRPr="003A77C3">
        <w:rPr>
          <w:rFonts w:ascii="Arial" w:hAnsi="Arial" w:cs="Arial"/>
          <w:b/>
          <w:bCs/>
          <w:sz w:val="22"/>
          <w:szCs w:val="22"/>
          <w:lang w:val="en-GB"/>
        </w:rPr>
        <w:t xml:space="preserve"> marks)</w:t>
      </w:r>
    </w:p>
    <w:p w14:paraId="7F9AB40E" w14:textId="77777777" w:rsidR="00CF14BE" w:rsidRDefault="00CF14BE" w:rsidP="00CF14BE">
      <w:pPr>
        <w:pStyle w:val="ListParagraph"/>
        <w:rPr>
          <w:rFonts w:ascii="Arial" w:hAnsi="Arial" w:cs="Arial"/>
          <w:b/>
          <w:sz w:val="22"/>
          <w:szCs w:val="22"/>
          <w:lang w:val="en-GB"/>
        </w:rPr>
      </w:pPr>
    </w:p>
    <w:p w14:paraId="53BC0EA0" w14:textId="77777777" w:rsidR="006938E5" w:rsidRPr="006938E5" w:rsidRDefault="006938E5" w:rsidP="00E71F79">
      <w:pPr>
        <w:pStyle w:val="BodyText"/>
        <w:ind w:left="360" w:right="386"/>
        <w:jc w:val="both"/>
        <w:rPr>
          <w:rFonts w:eastAsia="Times New Roman"/>
          <w:color w:val="7B7B7B" w:themeColor="accent3" w:themeShade="BF"/>
          <w:lang w:val="en-GB"/>
        </w:rPr>
      </w:pPr>
      <w:r w:rsidRPr="006938E5">
        <w:rPr>
          <w:rFonts w:eastAsia="Times New Roman"/>
          <w:color w:val="7B7B7B" w:themeColor="accent3" w:themeShade="BF"/>
          <w:lang w:val="en-GB"/>
        </w:rPr>
        <w:t>Rescue financing is financing that is either or both:</w:t>
      </w:r>
    </w:p>
    <w:p w14:paraId="7089F1E7" w14:textId="77777777" w:rsidR="006938E5" w:rsidRPr="006938E5" w:rsidRDefault="006938E5" w:rsidP="00E71F79">
      <w:pPr>
        <w:pStyle w:val="BodyText"/>
        <w:spacing w:before="3"/>
        <w:ind w:left="360" w:right="386"/>
        <w:jc w:val="both"/>
        <w:rPr>
          <w:rFonts w:eastAsia="Times New Roman"/>
          <w:color w:val="7B7B7B" w:themeColor="accent3" w:themeShade="BF"/>
          <w:lang w:val="en-GB"/>
        </w:rPr>
      </w:pPr>
    </w:p>
    <w:p w14:paraId="77122CB1" w14:textId="77777777" w:rsidR="006938E5" w:rsidRPr="006938E5" w:rsidRDefault="006938E5" w:rsidP="00E71F79">
      <w:pPr>
        <w:pStyle w:val="ListParagraph"/>
        <w:widowControl w:val="0"/>
        <w:numPr>
          <w:ilvl w:val="0"/>
          <w:numId w:val="33"/>
        </w:numPr>
        <w:tabs>
          <w:tab w:val="left" w:pos="1246"/>
        </w:tabs>
        <w:autoSpaceDE w:val="0"/>
        <w:autoSpaceDN w:val="0"/>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necessary for the survival of a debtor that obtains the financing;</w:t>
      </w:r>
    </w:p>
    <w:p w14:paraId="0F497339" w14:textId="77777777" w:rsidR="006938E5" w:rsidRPr="006938E5" w:rsidRDefault="006938E5" w:rsidP="00E71F79">
      <w:pPr>
        <w:pStyle w:val="BodyText"/>
        <w:spacing w:before="9"/>
        <w:ind w:left="360" w:right="386"/>
        <w:jc w:val="both"/>
        <w:rPr>
          <w:rFonts w:eastAsia="Times New Roman"/>
          <w:color w:val="7B7B7B" w:themeColor="accent3" w:themeShade="BF"/>
          <w:lang w:val="en-GB"/>
        </w:rPr>
      </w:pPr>
    </w:p>
    <w:p w14:paraId="0FD5FAFF" w14:textId="77777777" w:rsidR="006938E5" w:rsidRPr="006938E5" w:rsidRDefault="006938E5" w:rsidP="00E71F79">
      <w:pPr>
        <w:pStyle w:val="ListParagraph"/>
        <w:widowControl w:val="0"/>
        <w:numPr>
          <w:ilvl w:val="0"/>
          <w:numId w:val="33"/>
        </w:numPr>
        <w:tabs>
          <w:tab w:val="left" w:pos="1246"/>
        </w:tabs>
        <w:autoSpaceDE w:val="0"/>
        <w:autoSpaceDN w:val="0"/>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necessary to achieve a more advantageous realisation of the assets of a debtor that obtains the financing, than on a winding-up of that debtor.</w:t>
      </w:r>
    </w:p>
    <w:p w14:paraId="7AF949CE" w14:textId="77777777" w:rsidR="009918B9" w:rsidRDefault="009918B9" w:rsidP="00E71F79">
      <w:pPr>
        <w:pStyle w:val="ListParagraph"/>
        <w:ind w:left="360" w:right="386"/>
        <w:jc w:val="both"/>
        <w:rPr>
          <w:rFonts w:ascii="Arial" w:hAnsi="Arial" w:cs="Arial"/>
          <w:color w:val="7B7B7B" w:themeColor="accent3" w:themeShade="BF"/>
          <w:sz w:val="22"/>
          <w:szCs w:val="22"/>
          <w:lang w:val="en-GB"/>
        </w:rPr>
      </w:pPr>
    </w:p>
    <w:p w14:paraId="67273CE1" w14:textId="30EBBA3E" w:rsidR="006938E5" w:rsidRPr="006938E5" w:rsidRDefault="006938E5" w:rsidP="00E71F79">
      <w:pPr>
        <w:pStyle w:val="BodyText"/>
        <w:ind w:left="360" w:right="386"/>
        <w:jc w:val="both"/>
        <w:rPr>
          <w:rFonts w:eastAsia="Times New Roman"/>
          <w:color w:val="7B7B7B" w:themeColor="accent3" w:themeShade="BF"/>
          <w:lang w:val="en-GB"/>
        </w:rPr>
      </w:pPr>
      <w:r>
        <w:rPr>
          <w:rFonts w:eastAsia="Times New Roman"/>
          <w:color w:val="7B7B7B" w:themeColor="accent3" w:themeShade="BF"/>
          <w:lang w:val="en-GB"/>
        </w:rPr>
        <w:t xml:space="preserve">IN a </w:t>
      </w:r>
      <w:r w:rsidRPr="006938E5">
        <w:rPr>
          <w:rFonts w:eastAsia="Times New Roman"/>
          <w:color w:val="7B7B7B" w:themeColor="accent3" w:themeShade="BF"/>
          <w:lang w:val="en-GB"/>
        </w:rPr>
        <w:t>judicial management, a Singapore Court may, on application by the debtor, make an order that any rescue financing obtained by a debtor will:</w:t>
      </w:r>
    </w:p>
    <w:p w14:paraId="675778C6" w14:textId="77777777" w:rsidR="006938E5" w:rsidRPr="006938E5" w:rsidRDefault="006938E5" w:rsidP="00E71F79">
      <w:pPr>
        <w:pStyle w:val="BodyText"/>
        <w:spacing w:before="1"/>
        <w:ind w:left="360" w:right="386"/>
        <w:jc w:val="both"/>
        <w:rPr>
          <w:rFonts w:eastAsia="Times New Roman"/>
          <w:color w:val="7B7B7B" w:themeColor="accent3" w:themeShade="BF"/>
          <w:lang w:val="en-GB"/>
        </w:rPr>
      </w:pPr>
    </w:p>
    <w:p w14:paraId="21C1397F" w14:textId="77777777" w:rsidR="006938E5" w:rsidRPr="006938E5" w:rsidRDefault="006938E5" w:rsidP="00E71F79">
      <w:pPr>
        <w:pStyle w:val="ListParagraph"/>
        <w:widowControl w:val="0"/>
        <w:numPr>
          <w:ilvl w:val="0"/>
          <w:numId w:val="32"/>
        </w:numPr>
        <w:tabs>
          <w:tab w:val="left" w:pos="1246"/>
        </w:tabs>
        <w:autoSpaceDE w:val="0"/>
        <w:autoSpaceDN w:val="0"/>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 xml:space="preserve">be treated as part of the costs and expenses of the winding-up if the debtor is </w:t>
      </w:r>
      <w:bookmarkStart w:id="2" w:name="6.5.13_Preferential_treatment_of_post-co"/>
      <w:bookmarkEnd w:id="2"/>
      <w:r w:rsidRPr="006938E5">
        <w:rPr>
          <w:rFonts w:ascii="Arial" w:hAnsi="Arial" w:cs="Arial"/>
          <w:color w:val="7B7B7B" w:themeColor="accent3" w:themeShade="BF"/>
          <w:sz w:val="22"/>
          <w:szCs w:val="22"/>
          <w:lang w:val="en-GB"/>
        </w:rPr>
        <w:t>later wound up;</w:t>
      </w:r>
    </w:p>
    <w:p w14:paraId="0CC77064" w14:textId="77777777" w:rsidR="006938E5" w:rsidRPr="006938E5" w:rsidRDefault="006938E5" w:rsidP="00E71F79">
      <w:pPr>
        <w:pStyle w:val="BodyText"/>
        <w:spacing w:before="11"/>
        <w:ind w:left="360" w:right="386"/>
        <w:jc w:val="both"/>
        <w:rPr>
          <w:rFonts w:eastAsia="Times New Roman"/>
          <w:color w:val="7B7B7B" w:themeColor="accent3" w:themeShade="BF"/>
          <w:lang w:val="en-GB"/>
        </w:rPr>
      </w:pPr>
    </w:p>
    <w:p w14:paraId="5A2F6918" w14:textId="77777777" w:rsidR="006938E5" w:rsidRPr="006938E5" w:rsidRDefault="006938E5" w:rsidP="00E71F79">
      <w:pPr>
        <w:pStyle w:val="ListParagraph"/>
        <w:widowControl w:val="0"/>
        <w:numPr>
          <w:ilvl w:val="0"/>
          <w:numId w:val="32"/>
        </w:numPr>
        <w:tabs>
          <w:tab w:val="left" w:pos="1246"/>
        </w:tabs>
        <w:autoSpaceDE w:val="0"/>
        <w:autoSpaceDN w:val="0"/>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enjoy priority over preferential debts if the debtor is later wound up;</w:t>
      </w:r>
    </w:p>
    <w:p w14:paraId="67DFA378" w14:textId="77777777" w:rsidR="006938E5" w:rsidRPr="006938E5" w:rsidRDefault="006938E5" w:rsidP="00E71F79">
      <w:pPr>
        <w:pStyle w:val="BodyText"/>
        <w:spacing w:before="2"/>
        <w:ind w:left="360" w:right="386"/>
        <w:jc w:val="both"/>
        <w:rPr>
          <w:rFonts w:eastAsia="Times New Roman"/>
          <w:color w:val="7B7B7B" w:themeColor="accent3" w:themeShade="BF"/>
          <w:lang w:val="en-GB"/>
        </w:rPr>
      </w:pPr>
    </w:p>
    <w:p w14:paraId="098F2610" w14:textId="77777777" w:rsidR="006938E5" w:rsidRPr="006938E5" w:rsidRDefault="006938E5" w:rsidP="00E71F79">
      <w:pPr>
        <w:pStyle w:val="ListParagraph"/>
        <w:widowControl w:val="0"/>
        <w:numPr>
          <w:ilvl w:val="0"/>
          <w:numId w:val="32"/>
        </w:numPr>
        <w:tabs>
          <w:tab w:val="left" w:pos="1246"/>
        </w:tabs>
        <w:autoSpaceDE w:val="0"/>
        <w:autoSpaceDN w:val="0"/>
        <w:spacing w:before="1"/>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w:t>
      </w:r>
    </w:p>
    <w:p w14:paraId="53B3E3C4" w14:textId="77777777" w:rsidR="006938E5" w:rsidRPr="006938E5" w:rsidRDefault="006938E5" w:rsidP="00E71F79">
      <w:pPr>
        <w:pStyle w:val="BodyText"/>
        <w:spacing w:before="9"/>
        <w:ind w:left="360" w:right="386"/>
        <w:jc w:val="both"/>
        <w:rPr>
          <w:rFonts w:eastAsia="Times New Roman"/>
          <w:color w:val="7B7B7B" w:themeColor="accent3" w:themeShade="BF"/>
          <w:lang w:val="en-GB"/>
        </w:rPr>
      </w:pPr>
    </w:p>
    <w:p w14:paraId="3735B9A2" w14:textId="77777777" w:rsidR="006938E5" w:rsidRPr="006938E5" w:rsidRDefault="006938E5" w:rsidP="00E71F79">
      <w:pPr>
        <w:pStyle w:val="ListParagraph"/>
        <w:widowControl w:val="0"/>
        <w:numPr>
          <w:ilvl w:val="0"/>
          <w:numId w:val="32"/>
        </w:numPr>
        <w:tabs>
          <w:tab w:val="left" w:pos="1246"/>
        </w:tabs>
        <w:autoSpaceDE w:val="0"/>
        <w:autoSpaceDN w:val="0"/>
        <w:spacing w:before="1"/>
        <w:ind w:left="360" w:right="386" w:firstLine="0"/>
        <w:contextualSpacing w:val="0"/>
        <w:jc w:val="both"/>
        <w:rPr>
          <w:rFonts w:ascii="Arial" w:hAnsi="Arial" w:cs="Arial"/>
          <w:color w:val="7B7B7B" w:themeColor="accent3" w:themeShade="BF"/>
          <w:sz w:val="22"/>
          <w:szCs w:val="22"/>
          <w:lang w:val="en-GB"/>
        </w:rPr>
      </w:pPr>
      <w:r w:rsidRPr="006938E5">
        <w:rPr>
          <w:rFonts w:ascii="Arial" w:hAnsi="Arial" w:cs="Arial"/>
          <w:color w:val="7B7B7B" w:themeColor="accent3" w:themeShade="BF"/>
          <w:sz w:val="22"/>
          <w:szCs w:val="22"/>
          <w:lang w:val="en-GB"/>
        </w:rPr>
        <w:t>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adequate protection for the interests of the existing security interest.</w:t>
      </w:r>
    </w:p>
    <w:p w14:paraId="231F571E" w14:textId="77777777" w:rsidR="006938E5" w:rsidRPr="006938E5" w:rsidRDefault="006938E5" w:rsidP="00E71F79">
      <w:pPr>
        <w:pStyle w:val="BodyText"/>
        <w:spacing w:before="10"/>
        <w:ind w:left="360" w:right="386"/>
        <w:jc w:val="both"/>
        <w:rPr>
          <w:rFonts w:eastAsia="Times New Roman"/>
          <w:color w:val="7B7B7B" w:themeColor="accent3" w:themeShade="BF"/>
          <w:lang w:val="en-GB"/>
        </w:rPr>
      </w:pPr>
    </w:p>
    <w:p w14:paraId="05009A7B" w14:textId="77777777" w:rsidR="006938E5" w:rsidRPr="003A77C3" w:rsidRDefault="006938E5" w:rsidP="00E71F79">
      <w:pPr>
        <w:pStyle w:val="ListParagraph"/>
        <w:ind w:left="360" w:right="386"/>
        <w:rPr>
          <w:rFonts w:ascii="Arial" w:hAnsi="Arial" w:cs="Arial"/>
          <w:b/>
          <w:sz w:val="22"/>
          <w:szCs w:val="22"/>
          <w:lang w:val="en-GB"/>
        </w:rPr>
      </w:pPr>
    </w:p>
    <w:p w14:paraId="46D4CE13" w14:textId="6512A414" w:rsidR="004E6D1C" w:rsidRPr="003A77C3" w:rsidRDefault="008B155E" w:rsidP="00E71F79">
      <w:pPr>
        <w:pStyle w:val="ListParagraph"/>
        <w:numPr>
          <w:ilvl w:val="0"/>
          <w:numId w:val="3"/>
        </w:numPr>
        <w:ind w:left="360" w:right="386" w:firstLine="0"/>
        <w:jc w:val="both"/>
        <w:rPr>
          <w:b/>
          <w:lang w:val="en-GB"/>
        </w:rPr>
      </w:pPr>
      <w:r w:rsidRPr="003A77C3">
        <w:rPr>
          <w:rFonts w:ascii="Arial" w:hAnsi="Arial" w:cs="Arial"/>
          <w:b/>
          <w:sz w:val="22"/>
          <w:szCs w:val="22"/>
          <w:lang w:val="en-GB"/>
        </w:rPr>
        <w:t>W</w:t>
      </w:r>
      <w:r w:rsidR="0007291B" w:rsidRPr="003A77C3">
        <w:rPr>
          <w:rFonts w:ascii="Arial" w:hAnsi="Arial" w:cs="Arial"/>
          <w:b/>
          <w:sz w:val="22"/>
          <w:szCs w:val="22"/>
          <w:lang w:val="en-GB"/>
        </w:rPr>
        <w:t xml:space="preserve">hat </w:t>
      </w:r>
      <w:r w:rsidRPr="003A77C3">
        <w:rPr>
          <w:rFonts w:ascii="Arial" w:hAnsi="Arial" w:cs="Arial"/>
          <w:b/>
          <w:sz w:val="22"/>
          <w:szCs w:val="22"/>
          <w:lang w:val="en-GB"/>
        </w:rPr>
        <w:t xml:space="preserve">are the steps </w:t>
      </w:r>
      <w:r w:rsidR="00C960CA" w:rsidRPr="003A77C3">
        <w:rPr>
          <w:rFonts w:ascii="Arial" w:hAnsi="Arial" w:cs="Arial"/>
          <w:b/>
          <w:sz w:val="22"/>
          <w:szCs w:val="22"/>
          <w:lang w:val="en-GB"/>
        </w:rPr>
        <w:t xml:space="preserve">that need to be taken in order </w:t>
      </w:r>
      <w:r w:rsidRPr="003A77C3">
        <w:rPr>
          <w:rFonts w:ascii="Arial" w:hAnsi="Arial" w:cs="Arial"/>
          <w:b/>
          <w:sz w:val="22"/>
          <w:szCs w:val="22"/>
          <w:lang w:val="en-GB"/>
        </w:rPr>
        <w:t xml:space="preserve">to place PEC’s </w:t>
      </w:r>
      <w:r w:rsidR="00954F89" w:rsidRPr="003A77C3">
        <w:rPr>
          <w:rFonts w:ascii="Arial" w:hAnsi="Arial" w:cs="Arial"/>
          <w:b/>
          <w:sz w:val="22"/>
          <w:szCs w:val="22"/>
          <w:lang w:val="en-GB"/>
        </w:rPr>
        <w:t xml:space="preserve">subsidiaries </w:t>
      </w:r>
      <w:r w:rsidR="006358BA" w:rsidRPr="003A77C3">
        <w:rPr>
          <w:rFonts w:ascii="Arial" w:hAnsi="Arial" w:cs="Arial"/>
          <w:b/>
          <w:sz w:val="22"/>
          <w:szCs w:val="22"/>
          <w:lang w:val="en-GB"/>
        </w:rPr>
        <w:t>under</w:t>
      </w:r>
      <w:r w:rsidR="00954F89" w:rsidRPr="003A77C3">
        <w:rPr>
          <w:rFonts w:ascii="Arial" w:hAnsi="Arial" w:cs="Arial"/>
          <w:b/>
          <w:sz w:val="22"/>
          <w:szCs w:val="22"/>
          <w:lang w:val="en-GB"/>
        </w:rPr>
        <w:t xml:space="preserve"> judicial management out of court</w:t>
      </w:r>
      <w:r w:rsidR="009D23C6" w:rsidRPr="003A77C3">
        <w:rPr>
          <w:rFonts w:ascii="Arial" w:hAnsi="Arial" w:cs="Arial"/>
          <w:b/>
          <w:sz w:val="22"/>
          <w:szCs w:val="22"/>
          <w:lang w:val="en-GB"/>
        </w:rPr>
        <w:t>?</w:t>
      </w:r>
      <w:r w:rsidR="002311E3" w:rsidRPr="003A77C3">
        <w:rPr>
          <w:rFonts w:ascii="Arial" w:hAnsi="Arial" w:cs="Arial"/>
          <w:b/>
          <w:sz w:val="22"/>
          <w:szCs w:val="22"/>
          <w:lang w:val="en-GB"/>
        </w:rPr>
        <w:t xml:space="preserve"> </w:t>
      </w:r>
      <w:r w:rsidR="002311E3" w:rsidRPr="003A77C3">
        <w:rPr>
          <w:rFonts w:ascii="Arial" w:hAnsi="Arial" w:cs="Arial"/>
          <w:b/>
          <w:bCs/>
          <w:sz w:val="22"/>
          <w:szCs w:val="22"/>
          <w:lang w:val="en-GB"/>
        </w:rPr>
        <w:t>(3 marks)</w:t>
      </w:r>
    </w:p>
    <w:p w14:paraId="6CF290C2" w14:textId="77777777" w:rsidR="004E6D1C" w:rsidRPr="003A77C3" w:rsidRDefault="004E6D1C" w:rsidP="00E71F79">
      <w:pPr>
        <w:ind w:left="360" w:right="386"/>
        <w:jc w:val="both"/>
        <w:rPr>
          <w:rFonts w:ascii="Arial" w:hAnsi="Arial" w:cs="Arial"/>
          <w:b/>
          <w:sz w:val="22"/>
          <w:szCs w:val="22"/>
          <w:lang w:val="en-GB"/>
        </w:rPr>
      </w:pPr>
    </w:p>
    <w:p w14:paraId="38A1AD2C" w14:textId="2ED9BFEC" w:rsidR="00E12405" w:rsidRPr="007A7387" w:rsidRDefault="007A7387" w:rsidP="00E71F79">
      <w:pPr>
        <w:pStyle w:val="BodyText"/>
        <w:spacing w:before="1"/>
        <w:ind w:left="360" w:right="386"/>
        <w:jc w:val="both"/>
        <w:rPr>
          <w:rFonts w:eastAsia="Times New Roman"/>
          <w:color w:val="7B7B7B" w:themeColor="accent3" w:themeShade="BF"/>
          <w:lang w:val="en-GB"/>
        </w:rPr>
      </w:pPr>
      <w:r w:rsidRPr="007A7387">
        <w:rPr>
          <w:rFonts w:eastAsia="Times New Roman"/>
          <w:color w:val="7B7B7B" w:themeColor="accent3" w:themeShade="BF"/>
          <w:lang w:val="en-GB"/>
        </w:rPr>
        <w:t>U</w:t>
      </w:r>
      <w:r w:rsidR="00E12405" w:rsidRPr="007A7387">
        <w:rPr>
          <w:rFonts w:eastAsia="Times New Roman"/>
          <w:color w:val="7B7B7B" w:themeColor="accent3" w:themeShade="BF"/>
          <w:lang w:val="en-GB"/>
        </w:rPr>
        <w:t>nder section 65 the Court can grant moratorium orders relating to subsidiaries or related companies which play a necessary and integral role in the compromise or arrangement to be proposed the company under the section 64 moratorium.</w:t>
      </w:r>
    </w:p>
    <w:p w14:paraId="0F023539" w14:textId="77777777" w:rsidR="00A625C8" w:rsidRPr="007A7387" w:rsidRDefault="00A625C8" w:rsidP="00E71F79">
      <w:pPr>
        <w:pStyle w:val="BodyText"/>
        <w:spacing w:before="1"/>
        <w:ind w:left="360" w:right="386"/>
        <w:jc w:val="both"/>
        <w:rPr>
          <w:rFonts w:eastAsia="Times New Roman"/>
          <w:color w:val="7B7B7B" w:themeColor="accent3" w:themeShade="BF"/>
          <w:lang w:val="en-GB"/>
        </w:rPr>
      </w:pPr>
    </w:p>
    <w:p w14:paraId="62C07E22" w14:textId="2ED0E1BA" w:rsidR="00A625C8" w:rsidRPr="007A7387" w:rsidRDefault="007A7387" w:rsidP="00E71F79">
      <w:pPr>
        <w:pStyle w:val="BodyText"/>
        <w:spacing w:before="1"/>
        <w:ind w:left="360" w:right="386"/>
        <w:jc w:val="both"/>
        <w:rPr>
          <w:rFonts w:eastAsia="Times New Roman"/>
          <w:color w:val="7B7B7B" w:themeColor="accent3" w:themeShade="BF"/>
          <w:lang w:val="en-GB"/>
        </w:rPr>
      </w:pPr>
      <w:r w:rsidRPr="007A7387">
        <w:rPr>
          <w:rFonts w:eastAsia="Times New Roman"/>
          <w:color w:val="7B7B7B" w:themeColor="accent3" w:themeShade="BF"/>
          <w:lang w:val="en-GB"/>
        </w:rPr>
        <w:t>However t</w:t>
      </w:r>
      <w:r w:rsidR="00A625C8" w:rsidRPr="007A7387">
        <w:rPr>
          <w:rFonts w:eastAsia="Times New Roman"/>
          <w:color w:val="7B7B7B" w:themeColor="accent3" w:themeShade="BF"/>
          <w:lang w:val="en-GB"/>
        </w:rPr>
        <w:t xml:space="preserve">he </w:t>
      </w:r>
      <w:r w:rsidRPr="007A7387">
        <w:rPr>
          <w:rFonts w:eastAsia="Times New Roman"/>
          <w:color w:val="7B7B7B" w:themeColor="accent3" w:themeShade="BF"/>
          <w:lang w:val="en-GB"/>
        </w:rPr>
        <w:t xml:space="preserve">subsidiary </w:t>
      </w:r>
      <w:r w:rsidR="00A625C8" w:rsidRPr="007A7387">
        <w:rPr>
          <w:rFonts w:eastAsia="Times New Roman"/>
          <w:color w:val="7B7B7B" w:themeColor="accent3" w:themeShade="BF"/>
          <w:lang w:val="en-GB"/>
        </w:rPr>
        <w:t xml:space="preserve">company </w:t>
      </w:r>
      <w:r w:rsidRPr="007A7387">
        <w:rPr>
          <w:rFonts w:eastAsia="Times New Roman"/>
          <w:color w:val="7B7B7B" w:themeColor="accent3" w:themeShade="BF"/>
          <w:lang w:val="en-GB"/>
        </w:rPr>
        <w:t xml:space="preserve">can </w:t>
      </w:r>
      <w:r w:rsidR="00A625C8" w:rsidRPr="007A7387">
        <w:rPr>
          <w:rFonts w:eastAsia="Times New Roman"/>
          <w:color w:val="7B7B7B" w:themeColor="accent3" w:themeShade="BF"/>
          <w:lang w:val="en-GB"/>
        </w:rPr>
        <w:t xml:space="preserve">give the details of the subsidiary companies and give confidence to the court that the companies are run as independent </w:t>
      </w:r>
      <w:r w:rsidR="003F53F0" w:rsidRPr="007A7387">
        <w:rPr>
          <w:rFonts w:eastAsia="Times New Roman"/>
          <w:color w:val="7B7B7B" w:themeColor="accent3" w:themeShade="BF"/>
          <w:lang w:val="en-GB"/>
        </w:rPr>
        <w:t>of the holding company</w:t>
      </w:r>
      <w:r w:rsidRPr="007A7387">
        <w:rPr>
          <w:rFonts w:eastAsia="Times New Roman"/>
          <w:color w:val="7B7B7B" w:themeColor="accent3" w:themeShade="BF"/>
          <w:lang w:val="en-GB"/>
        </w:rPr>
        <w:t xml:space="preserve"> and are financially viable. They need not be covered for judicial management as non of the creditors are having credit challenges with these companies. Further they can also give documental evidence to the fact that there are no transactions of an kind with the PEC, the holding company. These can be substantiated with the court as well as the Judicial Manager and an application can be moved to that effect.</w:t>
      </w:r>
    </w:p>
    <w:p w14:paraId="74DC0B12" w14:textId="77777777" w:rsidR="00E12405" w:rsidRPr="007A7387" w:rsidRDefault="00E12405" w:rsidP="00E71F79">
      <w:pPr>
        <w:ind w:left="360" w:right="386"/>
        <w:jc w:val="both"/>
        <w:rPr>
          <w:rFonts w:ascii="Arial" w:hAnsi="Arial" w:cs="Arial"/>
          <w:color w:val="7B7B7B" w:themeColor="accent3" w:themeShade="BF"/>
          <w:sz w:val="22"/>
          <w:szCs w:val="22"/>
          <w:lang w:val="en-GB"/>
        </w:rPr>
      </w:pPr>
    </w:p>
    <w:p w14:paraId="4266726E" w14:textId="77777777" w:rsidR="001A007A" w:rsidRPr="00D94CD3" w:rsidRDefault="001A007A" w:rsidP="00087F21">
      <w:pPr>
        <w:jc w:val="both"/>
        <w:rPr>
          <w:rFonts w:ascii="Arial" w:hAnsi="Arial" w:cs="Arial"/>
          <w:color w:val="FF0000"/>
          <w:sz w:val="22"/>
          <w:szCs w:val="22"/>
          <w:lang w:val="en-GB"/>
        </w:rPr>
      </w:pPr>
    </w:p>
    <w:p w14:paraId="6F40BCE0" w14:textId="77777777" w:rsidR="007F659B" w:rsidRDefault="007F659B" w:rsidP="00087F21">
      <w:pPr>
        <w:jc w:val="both"/>
        <w:rPr>
          <w:rFonts w:ascii="Arial" w:hAnsi="Arial" w:cs="Arial"/>
          <w:color w:val="FF0000"/>
          <w:sz w:val="22"/>
          <w:szCs w:val="22"/>
          <w:lang w:val="en-GB"/>
        </w:rPr>
      </w:pPr>
    </w:p>
    <w:p w14:paraId="451065B3" w14:textId="77777777" w:rsidR="00D01093" w:rsidRDefault="00D01093" w:rsidP="00087F21">
      <w:pPr>
        <w:jc w:val="both"/>
        <w:rPr>
          <w:rFonts w:ascii="Arial" w:hAnsi="Arial" w:cs="Arial"/>
          <w:color w:val="FF0000"/>
          <w:sz w:val="22"/>
          <w:szCs w:val="22"/>
          <w:lang w:val="en-GB"/>
        </w:rPr>
      </w:pPr>
    </w:p>
    <w:p w14:paraId="211A557A" w14:textId="77777777" w:rsidR="00D01093" w:rsidRDefault="00D01093" w:rsidP="00087F21">
      <w:pPr>
        <w:jc w:val="both"/>
        <w:rPr>
          <w:rFonts w:ascii="Arial" w:hAnsi="Arial" w:cs="Arial"/>
          <w:color w:val="FF0000"/>
          <w:sz w:val="22"/>
          <w:szCs w:val="22"/>
          <w:lang w:val="en-GB"/>
        </w:rPr>
      </w:pPr>
    </w:p>
    <w:p w14:paraId="0A4DEDCF" w14:textId="77777777" w:rsidR="00D01093" w:rsidRDefault="00D01093" w:rsidP="00087F21">
      <w:pPr>
        <w:jc w:val="both"/>
        <w:rPr>
          <w:rFonts w:ascii="Arial" w:hAnsi="Arial" w:cs="Arial"/>
          <w:color w:val="FF0000"/>
          <w:sz w:val="22"/>
          <w:szCs w:val="22"/>
          <w:lang w:val="en-GB"/>
        </w:rPr>
      </w:pPr>
    </w:p>
    <w:p w14:paraId="6AA8D26C" w14:textId="77777777" w:rsidR="00D01093" w:rsidRPr="00D94CD3" w:rsidRDefault="00D01093" w:rsidP="00087F21">
      <w:pPr>
        <w:jc w:val="both"/>
        <w:rPr>
          <w:rFonts w:ascii="Arial" w:hAnsi="Arial" w:cs="Arial"/>
          <w:color w:val="FF0000"/>
          <w:sz w:val="22"/>
          <w:szCs w:val="22"/>
          <w:lang w:val="en-GB"/>
        </w:rPr>
      </w:pPr>
    </w:p>
    <w:p w14:paraId="219AD231" w14:textId="77777777" w:rsidR="007F659B" w:rsidRPr="00FB4207" w:rsidRDefault="0007291B" w:rsidP="00087F21">
      <w:pPr>
        <w:jc w:val="both"/>
        <w:rPr>
          <w:rFonts w:ascii="Arial" w:hAnsi="Arial" w:cs="Arial"/>
          <w:b/>
          <w:bCs/>
          <w:sz w:val="22"/>
          <w:szCs w:val="22"/>
          <w:lang w:val="en-GB"/>
        </w:rPr>
      </w:pPr>
      <w:r w:rsidRPr="00FB4207">
        <w:rPr>
          <w:rFonts w:ascii="Arial" w:hAnsi="Arial" w:cs="Arial"/>
          <w:b/>
          <w:bCs/>
          <w:sz w:val="22"/>
          <w:szCs w:val="22"/>
          <w:lang w:val="en-GB"/>
        </w:rPr>
        <w:lastRenderedPageBreak/>
        <w:t xml:space="preserve">Question 4.2 [maximum </w:t>
      </w:r>
      <w:r w:rsidR="00087F21" w:rsidRPr="00FB4207">
        <w:rPr>
          <w:rFonts w:ascii="Arial" w:hAnsi="Arial" w:cs="Arial"/>
          <w:b/>
          <w:bCs/>
          <w:sz w:val="22"/>
          <w:szCs w:val="22"/>
          <w:lang w:val="en-GB"/>
        </w:rPr>
        <w:t>8</w:t>
      </w:r>
      <w:r w:rsidRPr="00FB4207">
        <w:rPr>
          <w:rFonts w:ascii="Arial" w:hAnsi="Arial" w:cs="Arial"/>
          <w:b/>
          <w:bCs/>
          <w:sz w:val="22"/>
          <w:szCs w:val="22"/>
          <w:lang w:val="en-GB"/>
        </w:rPr>
        <w:t xml:space="preserve"> marks</w:t>
      </w:r>
      <w:r w:rsidR="003B6014" w:rsidRPr="00FB4207">
        <w:rPr>
          <w:rFonts w:ascii="Arial" w:hAnsi="Arial" w:cs="Arial"/>
          <w:b/>
          <w:bCs/>
          <w:sz w:val="22"/>
          <w:szCs w:val="22"/>
          <w:lang w:val="en-GB"/>
        </w:rPr>
        <w:t xml:space="preserve"> in total</w:t>
      </w:r>
      <w:r w:rsidR="00087F21" w:rsidRPr="00FB4207">
        <w:rPr>
          <w:rFonts w:ascii="Arial" w:hAnsi="Arial" w:cs="Arial"/>
          <w:b/>
          <w:bCs/>
          <w:sz w:val="22"/>
          <w:szCs w:val="22"/>
          <w:lang w:val="en-GB"/>
        </w:rPr>
        <w:t>]</w:t>
      </w:r>
    </w:p>
    <w:p w14:paraId="4B7E5C2B" w14:textId="77777777" w:rsidR="00102CC9" w:rsidRPr="00FB4207" w:rsidRDefault="00102CC9" w:rsidP="00087F21">
      <w:pPr>
        <w:jc w:val="both"/>
        <w:rPr>
          <w:rFonts w:ascii="Arial" w:hAnsi="Arial" w:cs="Arial"/>
          <w:sz w:val="22"/>
          <w:szCs w:val="22"/>
          <w:lang w:val="en-GB"/>
        </w:rPr>
      </w:pPr>
    </w:p>
    <w:p w14:paraId="7D5B1CFF" w14:textId="77777777" w:rsidR="00E12405" w:rsidRPr="00FB4207" w:rsidRDefault="008B155E" w:rsidP="00B54D7D">
      <w:pPr>
        <w:jc w:val="both"/>
        <w:rPr>
          <w:rFonts w:ascii="Arial" w:hAnsi="Arial" w:cs="Arial"/>
          <w:sz w:val="22"/>
          <w:szCs w:val="22"/>
          <w:lang w:val="en-GB"/>
        </w:rPr>
      </w:pPr>
      <w:r w:rsidRPr="00FB4207">
        <w:rPr>
          <w:rFonts w:ascii="Arial" w:hAnsi="Arial" w:cs="Arial"/>
          <w:sz w:val="22"/>
          <w:szCs w:val="22"/>
          <w:lang w:val="en-GB"/>
        </w:rPr>
        <w:t xml:space="preserve">As things transpired, PEC was placed </w:t>
      </w:r>
      <w:r w:rsidR="00CF14BE" w:rsidRPr="00FB4207">
        <w:rPr>
          <w:rFonts w:ascii="Arial" w:hAnsi="Arial" w:cs="Arial"/>
          <w:sz w:val="22"/>
          <w:szCs w:val="22"/>
          <w:lang w:val="en-GB"/>
        </w:rPr>
        <w:t>under</w:t>
      </w:r>
      <w:r w:rsidRPr="00FB4207">
        <w:rPr>
          <w:rFonts w:ascii="Arial" w:hAnsi="Arial" w:cs="Arial"/>
          <w:sz w:val="22"/>
          <w:szCs w:val="22"/>
          <w:lang w:val="en-GB"/>
        </w:rPr>
        <w:t xml:space="preserve"> judicial management. </w:t>
      </w:r>
      <w:r w:rsidR="00DC7761" w:rsidRPr="00FB4207">
        <w:rPr>
          <w:rFonts w:ascii="Arial" w:hAnsi="Arial" w:cs="Arial"/>
          <w:sz w:val="22"/>
          <w:szCs w:val="22"/>
          <w:lang w:val="en-GB"/>
        </w:rPr>
        <w:t>Private equity</w:t>
      </w:r>
      <w:r w:rsidR="0007291B" w:rsidRPr="00FB4207">
        <w:rPr>
          <w:rFonts w:ascii="Arial" w:hAnsi="Arial" w:cs="Arial"/>
          <w:sz w:val="22"/>
          <w:szCs w:val="22"/>
          <w:lang w:val="en-GB"/>
        </w:rPr>
        <w:t xml:space="preserve"> funds are actively talking to </w:t>
      </w:r>
      <w:r w:rsidR="00AE2020" w:rsidRPr="00FB4207">
        <w:rPr>
          <w:rFonts w:ascii="Arial" w:hAnsi="Arial" w:cs="Arial"/>
          <w:sz w:val="22"/>
          <w:szCs w:val="22"/>
          <w:lang w:val="en-GB"/>
        </w:rPr>
        <w:t>PEC</w:t>
      </w:r>
      <w:r w:rsidR="004D7749" w:rsidRPr="00FB4207">
        <w:rPr>
          <w:rFonts w:ascii="Arial" w:hAnsi="Arial" w:cs="Arial"/>
          <w:sz w:val="22"/>
          <w:szCs w:val="22"/>
          <w:lang w:val="en-GB"/>
        </w:rPr>
        <w:t>’</w:t>
      </w:r>
      <w:r w:rsidR="0007291B" w:rsidRPr="00FB4207">
        <w:rPr>
          <w:rFonts w:ascii="Arial" w:hAnsi="Arial" w:cs="Arial"/>
          <w:sz w:val="22"/>
          <w:szCs w:val="22"/>
          <w:lang w:val="en-GB"/>
        </w:rPr>
        <w:t xml:space="preserve">s </w:t>
      </w:r>
      <w:r w:rsidR="00DC7761" w:rsidRPr="00FB4207">
        <w:rPr>
          <w:rFonts w:ascii="Arial" w:hAnsi="Arial" w:cs="Arial"/>
          <w:sz w:val="22"/>
          <w:szCs w:val="22"/>
          <w:lang w:val="en-GB"/>
        </w:rPr>
        <w:t>Judicial Managers</w:t>
      </w:r>
      <w:r w:rsidR="0007291B" w:rsidRPr="00FB4207">
        <w:rPr>
          <w:rFonts w:ascii="Arial" w:hAnsi="Arial" w:cs="Arial"/>
          <w:sz w:val="22"/>
          <w:szCs w:val="22"/>
          <w:lang w:val="en-GB"/>
        </w:rPr>
        <w:t xml:space="preserve"> </w:t>
      </w:r>
      <w:r w:rsidR="00645F3A" w:rsidRPr="00FB4207">
        <w:rPr>
          <w:rFonts w:ascii="Arial" w:hAnsi="Arial" w:cs="Arial"/>
          <w:sz w:val="22"/>
          <w:szCs w:val="22"/>
          <w:lang w:val="en-GB"/>
        </w:rPr>
        <w:t xml:space="preserve">in order </w:t>
      </w:r>
      <w:r w:rsidR="0007291B" w:rsidRPr="00FB4207">
        <w:rPr>
          <w:rFonts w:ascii="Arial" w:hAnsi="Arial" w:cs="Arial"/>
          <w:sz w:val="22"/>
          <w:szCs w:val="22"/>
          <w:lang w:val="en-GB"/>
        </w:rPr>
        <w:t xml:space="preserve">to determine whether or not they might </w:t>
      </w:r>
      <w:r w:rsidR="00994947" w:rsidRPr="00FB4207">
        <w:rPr>
          <w:rFonts w:ascii="Arial" w:hAnsi="Arial" w:cs="Arial"/>
          <w:sz w:val="22"/>
          <w:szCs w:val="22"/>
          <w:lang w:val="en-GB"/>
        </w:rPr>
        <w:t xml:space="preserve">make an investment in </w:t>
      </w:r>
      <w:r w:rsidR="00DC7761" w:rsidRPr="00FB4207">
        <w:rPr>
          <w:rFonts w:ascii="Arial" w:hAnsi="Arial" w:cs="Arial"/>
          <w:sz w:val="22"/>
          <w:szCs w:val="22"/>
          <w:lang w:val="en-GB"/>
        </w:rPr>
        <w:t>PEC</w:t>
      </w:r>
      <w:r w:rsidR="00645F3A" w:rsidRPr="00FB4207">
        <w:rPr>
          <w:rFonts w:ascii="Arial" w:hAnsi="Arial" w:cs="Arial"/>
          <w:sz w:val="22"/>
          <w:szCs w:val="22"/>
          <w:lang w:val="en-GB"/>
        </w:rPr>
        <w:t>,</w:t>
      </w:r>
      <w:r w:rsidR="00994947" w:rsidRPr="00FB4207">
        <w:rPr>
          <w:rFonts w:ascii="Arial" w:hAnsi="Arial" w:cs="Arial"/>
          <w:sz w:val="22"/>
          <w:szCs w:val="22"/>
          <w:lang w:val="en-GB"/>
        </w:rPr>
        <w:t xml:space="preserve"> or </w:t>
      </w:r>
      <w:r w:rsidR="0007291B" w:rsidRPr="00FB4207">
        <w:rPr>
          <w:rFonts w:ascii="Arial" w:hAnsi="Arial" w:cs="Arial"/>
          <w:sz w:val="22"/>
          <w:szCs w:val="22"/>
          <w:lang w:val="en-GB"/>
        </w:rPr>
        <w:t xml:space="preserve">acquire </w:t>
      </w:r>
      <w:r w:rsidR="00DC7761" w:rsidRPr="00FB4207">
        <w:rPr>
          <w:rFonts w:ascii="Arial" w:hAnsi="Arial" w:cs="Arial"/>
          <w:sz w:val="22"/>
          <w:szCs w:val="22"/>
          <w:lang w:val="en-GB"/>
        </w:rPr>
        <w:t>its</w:t>
      </w:r>
    </w:p>
    <w:p w14:paraId="28B07E7F" w14:textId="77777777" w:rsidR="00E12405" w:rsidRPr="00FB4207" w:rsidRDefault="00E12405" w:rsidP="00B54D7D">
      <w:pPr>
        <w:jc w:val="both"/>
        <w:rPr>
          <w:rFonts w:ascii="Arial" w:hAnsi="Arial" w:cs="Arial"/>
          <w:sz w:val="22"/>
          <w:szCs w:val="22"/>
          <w:lang w:val="en-GB"/>
        </w:rPr>
      </w:pPr>
    </w:p>
    <w:p w14:paraId="49A2CA91" w14:textId="2B745368" w:rsidR="00000774" w:rsidRPr="00FB4207" w:rsidRDefault="00DC7761" w:rsidP="00B54D7D">
      <w:pPr>
        <w:jc w:val="both"/>
        <w:rPr>
          <w:rFonts w:ascii="Arial" w:hAnsi="Arial" w:cs="Arial"/>
          <w:sz w:val="22"/>
          <w:szCs w:val="22"/>
          <w:lang w:val="en-GB"/>
        </w:rPr>
      </w:pPr>
      <w:r w:rsidRPr="00FB4207">
        <w:rPr>
          <w:rFonts w:ascii="Arial" w:hAnsi="Arial" w:cs="Arial"/>
          <w:sz w:val="22"/>
          <w:szCs w:val="22"/>
          <w:lang w:val="en-GB"/>
        </w:rPr>
        <w:t xml:space="preserve"> assets</w:t>
      </w:r>
      <w:r w:rsidR="0007291B" w:rsidRPr="00FB4207">
        <w:rPr>
          <w:rFonts w:ascii="Arial" w:hAnsi="Arial" w:cs="Arial"/>
          <w:sz w:val="22"/>
          <w:szCs w:val="22"/>
          <w:lang w:val="en-GB"/>
        </w:rPr>
        <w:t>.</w:t>
      </w:r>
      <w:r w:rsidR="00152FD4" w:rsidRPr="00FB4207">
        <w:rPr>
          <w:rFonts w:ascii="Arial" w:hAnsi="Arial" w:cs="Arial"/>
          <w:sz w:val="22"/>
          <w:szCs w:val="22"/>
          <w:lang w:val="en-GB"/>
        </w:rPr>
        <w:t xml:space="preserve"> </w:t>
      </w:r>
      <w:r w:rsidR="00E45B05" w:rsidRPr="00FB4207">
        <w:rPr>
          <w:rFonts w:ascii="Arial" w:hAnsi="Arial" w:cs="Arial"/>
          <w:sz w:val="22"/>
          <w:szCs w:val="22"/>
          <w:lang w:val="en-GB"/>
        </w:rPr>
        <w:t>One particular</w:t>
      </w:r>
      <w:r w:rsidR="0007291B" w:rsidRPr="00FB4207">
        <w:rPr>
          <w:rFonts w:ascii="Arial" w:hAnsi="Arial" w:cs="Arial"/>
          <w:sz w:val="22"/>
          <w:szCs w:val="22"/>
          <w:lang w:val="en-GB"/>
        </w:rPr>
        <w:t xml:space="preserve"> </w:t>
      </w:r>
      <w:r w:rsidRPr="00FB4207">
        <w:rPr>
          <w:rFonts w:ascii="Arial" w:hAnsi="Arial" w:cs="Arial"/>
          <w:sz w:val="22"/>
          <w:szCs w:val="22"/>
          <w:lang w:val="en-GB"/>
        </w:rPr>
        <w:t>private equity</w:t>
      </w:r>
      <w:r w:rsidR="0007291B" w:rsidRPr="00FB4207">
        <w:rPr>
          <w:rFonts w:ascii="Arial" w:hAnsi="Arial" w:cs="Arial"/>
          <w:sz w:val="22"/>
          <w:szCs w:val="22"/>
          <w:lang w:val="en-GB"/>
        </w:rPr>
        <w:t xml:space="preserve"> fund, </w:t>
      </w:r>
      <w:r w:rsidRPr="00FB4207">
        <w:rPr>
          <w:rFonts w:ascii="Arial" w:hAnsi="Arial" w:cs="Arial"/>
          <w:sz w:val="22"/>
          <w:szCs w:val="22"/>
          <w:lang w:val="en-GB"/>
        </w:rPr>
        <w:t>Forty Thieves</w:t>
      </w:r>
      <w:r w:rsidR="0007291B" w:rsidRPr="00FB4207">
        <w:rPr>
          <w:rFonts w:ascii="Arial" w:hAnsi="Arial" w:cs="Arial"/>
          <w:sz w:val="22"/>
          <w:szCs w:val="22"/>
          <w:lang w:val="en-GB"/>
        </w:rPr>
        <w:t xml:space="preserve"> </w:t>
      </w:r>
      <w:r w:rsidRPr="00FB4207">
        <w:rPr>
          <w:rFonts w:ascii="Arial" w:hAnsi="Arial" w:cs="Arial"/>
          <w:sz w:val="22"/>
          <w:szCs w:val="22"/>
          <w:lang w:val="en-GB"/>
        </w:rPr>
        <w:t>Capital</w:t>
      </w:r>
      <w:r w:rsidR="0007291B" w:rsidRPr="00FB4207">
        <w:rPr>
          <w:rFonts w:ascii="Arial" w:hAnsi="Arial" w:cs="Arial"/>
          <w:sz w:val="22"/>
          <w:szCs w:val="22"/>
          <w:lang w:val="en-GB"/>
        </w:rPr>
        <w:t xml:space="preserve">, is particularly interested in acquiring debt relating to </w:t>
      </w:r>
      <w:r w:rsidR="003D1EF3" w:rsidRPr="00FB4207">
        <w:rPr>
          <w:rFonts w:ascii="Arial" w:hAnsi="Arial" w:cs="Arial"/>
          <w:sz w:val="22"/>
          <w:szCs w:val="22"/>
          <w:lang w:val="en-GB"/>
        </w:rPr>
        <w:t>the various projects across the oil and gas, renewables and water lines of business with a view to either enforcing over the security of the assets to realise value,</w:t>
      </w:r>
      <w:r w:rsidR="008B155E" w:rsidRPr="00FB4207">
        <w:rPr>
          <w:rFonts w:ascii="Arial" w:hAnsi="Arial" w:cs="Arial"/>
          <w:sz w:val="22"/>
          <w:szCs w:val="22"/>
          <w:lang w:val="en-GB"/>
        </w:rPr>
        <w:t xml:space="preserve"> </w:t>
      </w:r>
      <w:r w:rsidR="003D1EF3" w:rsidRPr="00FB4207">
        <w:rPr>
          <w:rFonts w:ascii="Arial" w:hAnsi="Arial" w:cs="Arial"/>
          <w:sz w:val="22"/>
          <w:szCs w:val="22"/>
          <w:lang w:val="en-GB"/>
        </w:rPr>
        <w:t xml:space="preserve">or </w:t>
      </w:r>
      <w:r w:rsidR="00796810" w:rsidRPr="00FB4207">
        <w:rPr>
          <w:rFonts w:ascii="Arial" w:hAnsi="Arial" w:cs="Arial"/>
          <w:sz w:val="22"/>
          <w:szCs w:val="22"/>
          <w:lang w:val="en-GB"/>
        </w:rPr>
        <w:t xml:space="preserve">to </w:t>
      </w:r>
      <w:r w:rsidR="003D1EF3" w:rsidRPr="00FB4207">
        <w:rPr>
          <w:rFonts w:ascii="Arial" w:hAnsi="Arial" w:cs="Arial"/>
          <w:sz w:val="22"/>
          <w:szCs w:val="22"/>
          <w:lang w:val="en-GB"/>
        </w:rPr>
        <w:t>see if a loan</w:t>
      </w:r>
      <w:r w:rsidR="00CF6E14" w:rsidRPr="00FB4207">
        <w:rPr>
          <w:rFonts w:ascii="Arial" w:hAnsi="Arial" w:cs="Arial"/>
          <w:sz w:val="22"/>
          <w:szCs w:val="22"/>
          <w:lang w:val="en-GB"/>
        </w:rPr>
        <w:t>-</w:t>
      </w:r>
      <w:r w:rsidR="003D1EF3" w:rsidRPr="00FB4207">
        <w:rPr>
          <w:rFonts w:ascii="Arial" w:hAnsi="Arial" w:cs="Arial"/>
          <w:sz w:val="22"/>
          <w:szCs w:val="22"/>
          <w:lang w:val="en-GB"/>
        </w:rPr>
        <w:t>to</w:t>
      </w:r>
      <w:r w:rsidR="00CF6E14" w:rsidRPr="00FB4207">
        <w:rPr>
          <w:rFonts w:ascii="Arial" w:hAnsi="Arial" w:cs="Arial"/>
          <w:sz w:val="22"/>
          <w:szCs w:val="22"/>
          <w:lang w:val="en-GB"/>
        </w:rPr>
        <w:t>-</w:t>
      </w:r>
      <w:r w:rsidR="003D1EF3" w:rsidRPr="00FB4207">
        <w:rPr>
          <w:rFonts w:ascii="Arial" w:hAnsi="Arial" w:cs="Arial"/>
          <w:sz w:val="22"/>
          <w:szCs w:val="22"/>
          <w:lang w:val="en-GB"/>
        </w:rPr>
        <w:t>own</w:t>
      </w:r>
      <w:r w:rsidR="00E96FB1" w:rsidRPr="00FB4207">
        <w:rPr>
          <w:rFonts w:ascii="Arial" w:hAnsi="Arial" w:cs="Arial"/>
          <w:sz w:val="22"/>
          <w:szCs w:val="22"/>
          <w:lang w:val="en-GB"/>
        </w:rPr>
        <w:t>-</w:t>
      </w:r>
      <w:r w:rsidR="003D1EF3" w:rsidRPr="00FB4207">
        <w:rPr>
          <w:rFonts w:ascii="Arial" w:hAnsi="Arial" w:cs="Arial"/>
          <w:sz w:val="22"/>
          <w:szCs w:val="22"/>
          <w:lang w:val="en-GB"/>
        </w:rPr>
        <w:t>type structure can be successfully implemented.</w:t>
      </w:r>
      <w:r w:rsidR="00152FD4" w:rsidRPr="00FB4207">
        <w:rPr>
          <w:rFonts w:ascii="Arial" w:hAnsi="Arial" w:cs="Arial"/>
          <w:sz w:val="22"/>
          <w:szCs w:val="22"/>
          <w:lang w:val="en-GB"/>
        </w:rPr>
        <w:t xml:space="preserve"> </w:t>
      </w:r>
      <w:r w:rsidR="00994947" w:rsidRPr="00FB4207">
        <w:rPr>
          <w:rFonts w:ascii="Arial" w:hAnsi="Arial" w:cs="Arial"/>
          <w:sz w:val="22"/>
          <w:szCs w:val="22"/>
          <w:lang w:val="en-GB"/>
        </w:rPr>
        <w:t xml:space="preserve">Ideally, they would like to do this outside of </w:t>
      </w:r>
      <w:r w:rsidR="008B155E" w:rsidRPr="00FB4207">
        <w:rPr>
          <w:rFonts w:ascii="Arial" w:hAnsi="Arial" w:cs="Arial"/>
          <w:sz w:val="22"/>
          <w:szCs w:val="22"/>
          <w:lang w:val="en-GB"/>
        </w:rPr>
        <w:t xml:space="preserve">the judicial management proceedings. </w:t>
      </w:r>
    </w:p>
    <w:p w14:paraId="0541FA91" w14:textId="77777777" w:rsidR="00000774" w:rsidRPr="00FB4207" w:rsidRDefault="00000774" w:rsidP="00B54D7D">
      <w:pPr>
        <w:jc w:val="both"/>
        <w:rPr>
          <w:rFonts w:ascii="Arial" w:hAnsi="Arial" w:cs="Arial"/>
          <w:sz w:val="22"/>
          <w:szCs w:val="22"/>
          <w:lang w:val="en-GB"/>
        </w:rPr>
      </w:pPr>
    </w:p>
    <w:p w14:paraId="4F3630A4" w14:textId="17B45BD5" w:rsidR="00B54D7D" w:rsidRPr="00FB4207" w:rsidRDefault="0007291B" w:rsidP="00B54D7D">
      <w:pPr>
        <w:jc w:val="both"/>
        <w:rPr>
          <w:rFonts w:ascii="Arial" w:hAnsi="Arial" w:cs="Arial"/>
          <w:sz w:val="22"/>
          <w:szCs w:val="22"/>
          <w:lang w:val="en-GB"/>
        </w:rPr>
      </w:pPr>
      <w:r w:rsidRPr="00FB4207">
        <w:rPr>
          <w:rFonts w:ascii="Arial" w:hAnsi="Arial" w:cs="Arial"/>
          <w:sz w:val="22"/>
          <w:szCs w:val="22"/>
          <w:lang w:val="en-GB"/>
        </w:rPr>
        <w:t xml:space="preserve">To try and protect against this risk, </w:t>
      </w:r>
      <w:r w:rsidR="00235D7D" w:rsidRPr="00FB4207">
        <w:rPr>
          <w:rFonts w:ascii="Arial" w:hAnsi="Arial" w:cs="Arial"/>
          <w:sz w:val="22"/>
          <w:szCs w:val="22"/>
          <w:lang w:val="en-GB"/>
        </w:rPr>
        <w:t>PEC</w:t>
      </w:r>
      <w:r w:rsidRPr="00FB4207">
        <w:rPr>
          <w:rFonts w:ascii="Arial" w:hAnsi="Arial" w:cs="Arial"/>
          <w:sz w:val="22"/>
          <w:szCs w:val="22"/>
          <w:lang w:val="en-GB"/>
        </w:rPr>
        <w:t xml:space="preserve"> has commenced local insolvency proceedings </w:t>
      </w:r>
      <w:r w:rsidR="00000774" w:rsidRPr="00FB4207">
        <w:rPr>
          <w:rFonts w:ascii="Arial" w:hAnsi="Arial" w:cs="Arial"/>
          <w:sz w:val="22"/>
          <w:szCs w:val="22"/>
          <w:lang w:val="en-GB"/>
        </w:rPr>
        <w:t xml:space="preserve">in </w:t>
      </w:r>
      <w:r w:rsidR="00235D7D" w:rsidRPr="00FB4207">
        <w:rPr>
          <w:rFonts w:ascii="Arial" w:hAnsi="Arial" w:cs="Arial"/>
          <w:sz w:val="22"/>
          <w:szCs w:val="22"/>
          <w:lang w:val="en-GB"/>
        </w:rPr>
        <w:t>Malaysia</w:t>
      </w:r>
      <w:r w:rsidR="00000774" w:rsidRPr="00FB4207">
        <w:rPr>
          <w:rFonts w:ascii="Arial" w:hAnsi="Arial" w:cs="Arial"/>
          <w:sz w:val="22"/>
          <w:szCs w:val="22"/>
          <w:lang w:val="en-GB"/>
        </w:rPr>
        <w:t xml:space="preserve">, China and the United States to seek protection </w:t>
      </w:r>
      <w:r w:rsidRPr="00FB4207">
        <w:rPr>
          <w:rFonts w:ascii="Arial" w:hAnsi="Arial" w:cs="Arial"/>
          <w:sz w:val="22"/>
          <w:szCs w:val="22"/>
          <w:lang w:val="en-GB"/>
        </w:rPr>
        <w:t>for the c</w:t>
      </w:r>
      <w:r w:rsidR="00000774" w:rsidRPr="00FB4207">
        <w:rPr>
          <w:rFonts w:ascii="Arial" w:hAnsi="Arial" w:cs="Arial"/>
          <w:sz w:val="22"/>
          <w:szCs w:val="22"/>
          <w:lang w:val="en-GB"/>
        </w:rPr>
        <w:t>ompanies that own assets in each of those jurisdictions.</w:t>
      </w:r>
    </w:p>
    <w:p w14:paraId="6CF4E49C" w14:textId="77777777" w:rsidR="003D1EF3" w:rsidRPr="00FB4207" w:rsidRDefault="003D1EF3" w:rsidP="00B54D7D">
      <w:pPr>
        <w:jc w:val="both"/>
        <w:rPr>
          <w:rFonts w:ascii="Arial" w:hAnsi="Arial" w:cs="Arial"/>
          <w:sz w:val="22"/>
          <w:szCs w:val="22"/>
          <w:lang w:val="en-GB"/>
        </w:rPr>
      </w:pPr>
    </w:p>
    <w:p w14:paraId="09F31722" w14:textId="77777777" w:rsidR="00EC1A1D" w:rsidRPr="00FB4207" w:rsidRDefault="0007291B" w:rsidP="00B54D7D">
      <w:pPr>
        <w:jc w:val="both"/>
        <w:rPr>
          <w:rFonts w:ascii="Arial" w:hAnsi="Arial" w:cs="Arial"/>
          <w:b/>
          <w:bCs/>
          <w:sz w:val="22"/>
          <w:szCs w:val="22"/>
          <w:lang w:val="en-GB"/>
        </w:rPr>
      </w:pPr>
      <w:r w:rsidRPr="00FB4207">
        <w:rPr>
          <w:rFonts w:ascii="Arial" w:hAnsi="Arial" w:cs="Arial"/>
          <w:b/>
          <w:bCs/>
          <w:sz w:val="22"/>
          <w:szCs w:val="22"/>
          <w:u w:val="single"/>
          <w:lang w:val="en-GB"/>
        </w:rPr>
        <w:t xml:space="preserve">Taking these additional facts above into consideration, answer the </w:t>
      </w:r>
      <w:r w:rsidR="005C529D" w:rsidRPr="00FB4207">
        <w:rPr>
          <w:rFonts w:ascii="Arial" w:hAnsi="Arial" w:cs="Arial"/>
          <w:b/>
          <w:bCs/>
          <w:sz w:val="22"/>
          <w:szCs w:val="22"/>
          <w:u w:val="single"/>
          <w:lang w:val="en-GB"/>
        </w:rPr>
        <w:t>questions below</w:t>
      </w:r>
      <w:r w:rsidR="005C529D" w:rsidRPr="00FB4207">
        <w:rPr>
          <w:rFonts w:ascii="Arial" w:hAnsi="Arial" w:cs="Arial"/>
          <w:b/>
          <w:bCs/>
          <w:sz w:val="22"/>
          <w:szCs w:val="22"/>
          <w:lang w:val="en-GB"/>
        </w:rPr>
        <w:t>.</w:t>
      </w:r>
    </w:p>
    <w:p w14:paraId="20F22AE3" w14:textId="77777777" w:rsidR="00100E1C" w:rsidRDefault="00100E1C" w:rsidP="00B54D7D">
      <w:pPr>
        <w:jc w:val="both"/>
        <w:rPr>
          <w:rFonts w:ascii="Arial" w:hAnsi="Arial" w:cs="Arial"/>
          <w:b/>
          <w:bCs/>
          <w:sz w:val="22"/>
          <w:szCs w:val="22"/>
          <w:lang w:val="en-GB"/>
        </w:rPr>
      </w:pPr>
    </w:p>
    <w:p w14:paraId="056400B0" w14:textId="77777777" w:rsidR="00100E1C" w:rsidRDefault="00100E1C" w:rsidP="00B54D7D">
      <w:pPr>
        <w:jc w:val="both"/>
        <w:rPr>
          <w:rFonts w:ascii="Arial" w:hAnsi="Arial" w:cs="Arial"/>
          <w:b/>
          <w:bCs/>
          <w:sz w:val="22"/>
          <w:szCs w:val="22"/>
          <w:lang w:val="en-GB"/>
        </w:rPr>
      </w:pPr>
    </w:p>
    <w:p w14:paraId="03C5F9E7" w14:textId="77777777" w:rsidR="005C529D" w:rsidRPr="00FB4207" w:rsidRDefault="0007291B" w:rsidP="00B54D7D">
      <w:pPr>
        <w:jc w:val="both"/>
        <w:rPr>
          <w:rFonts w:ascii="Arial" w:hAnsi="Arial" w:cs="Arial"/>
          <w:b/>
          <w:bCs/>
          <w:sz w:val="22"/>
          <w:szCs w:val="22"/>
          <w:lang w:val="en-GB"/>
        </w:rPr>
      </w:pPr>
      <w:r w:rsidRPr="00FB4207">
        <w:rPr>
          <w:rFonts w:ascii="Arial" w:hAnsi="Arial" w:cs="Arial"/>
          <w:b/>
          <w:bCs/>
          <w:sz w:val="22"/>
          <w:szCs w:val="22"/>
          <w:lang w:val="en-GB"/>
        </w:rPr>
        <w:t xml:space="preserve">Question 4.2.1 [maximum </w:t>
      </w:r>
      <w:r w:rsidR="00D0080B" w:rsidRPr="00FB4207">
        <w:rPr>
          <w:rFonts w:ascii="Arial" w:hAnsi="Arial" w:cs="Arial"/>
          <w:b/>
          <w:bCs/>
          <w:sz w:val="22"/>
          <w:szCs w:val="22"/>
          <w:lang w:val="en-GB"/>
        </w:rPr>
        <w:t>4</w:t>
      </w:r>
      <w:r w:rsidR="00051719" w:rsidRPr="00FB4207">
        <w:rPr>
          <w:rFonts w:ascii="Arial" w:hAnsi="Arial" w:cs="Arial"/>
          <w:b/>
          <w:bCs/>
          <w:sz w:val="22"/>
          <w:szCs w:val="22"/>
          <w:lang w:val="en-GB"/>
        </w:rPr>
        <w:t xml:space="preserve"> </w:t>
      </w:r>
      <w:r w:rsidRPr="00FB4207">
        <w:rPr>
          <w:rFonts w:ascii="Arial" w:hAnsi="Arial" w:cs="Arial"/>
          <w:b/>
          <w:bCs/>
          <w:sz w:val="22"/>
          <w:szCs w:val="22"/>
          <w:lang w:val="en-GB"/>
        </w:rPr>
        <w:t>marks]</w:t>
      </w:r>
    </w:p>
    <w:p w14:paraId="5D10B742" w14:textId="77777777" w:rsidR="005C529D" w:rsidRPr="00FB4207" w:rsidRDefault="005C529D" w:rsidP="00B54D7D">
      <w:pPr>
        <w:jc w:val="both"/>
        <w:rPr>
          <w:rFonts w:ascii="Arial" w:hAnsi="Arial" w:cs="Arial"/>
          <w:sz w:val="22"/>
          <w:szCs w:val="22"/>
          <w:lang w:val="en-GB"/>
        </w:rPr>
      </w:pPr>
    </w:p>
    <w:p w14:paraId="65533C7C" w14:textId="2C3342CD" w:rsidR="002311E3" w:rsidRPr="007A7387" w:rsidRDefault="0007291B" w:rsidP="00B54D7D">
      <w:pPr>
        <w:jc w:val="both"/>
        <w:rPr>
          <w:rFonts w:ascii="Arial" w:hAnsi="Arial" w:cs="Arial"/>
          <w:b/>
          <w:sz w:val="22"/>
          <w:szCs w:val="22"/>
          <w:lang w:val="en-GB"/>
        </w:rPr>
      </w:pPr>
      <w:r w:rsidRPr="007A7387">
        <w:rPr>
          <w:rFonts w:ascii="Arial" w:hAnsi="Arial" w:cs="Arial"/>
          <w:b/>
          <w:sz w:val="22"/>
          <w:szCs w:val="22"/>
          <w:lang w:val="en-GB"/>
        </w:rPr>
        <w:t xml:space="preserve">Do the </w:t>
      </w:r>
      <w:r w:rsidR="00E45B05" w:rsidRPr="007A7387">
        <w:rPr>
          <w:rFonts w:ascii="Arial" w:hAnsi="Arial" w:cs="Arial"/>
          <w:b/>
          <w:sz w:val="22"/>
          <w:szCs w:val="22"/>
          <w:lang w:val="en-GB"/>
        </w:rPr>
        <w:t xml:space="preserve">judicial management </w:t>
      </w:r>
      <w:r w:rsidRPr="007A7387">
        <w:rPr>
          <w:rFonts w:ascii="Arial" w:hAnsi="Arial" w:cs="Arial"/>
          <w:b/>
          <w:sz w:val="22"/>
          <w:szCs w:val="22"/>
          <w:lang w:val="en-GB"/>
        </w:rPr>
        <w:t>moratori</w:t>
      </w:r>
      <w:r w:rsidR="004D363D" w:rsidRPr="007A7387">
        <w:rPr>
          <w:rFonts w:ascii="Arial" w:hAnsi="Arial" w:cs="Arial"/>
          <w:b/>
          <w:sz w:val="22"/>
          <w:szCs w:val="22"/>
          <w:lang w:val="en-GB"/>
        </w:rPr>
        <w:t>a</w:t>
      </w:r>
      <w:r w:rsidRPr="007A7387">
        <w:rPr>
          <w:rFonts w:ascii="Arial" w:hAnsi="Arial" w:cs="Arial"/>
          <w:b/>
          <w:sz w:val="22"/>
          <w:szCs w:val="22"/>
          <w:lang w:val="en-GB"/>
        </w:rPr>
        <w:t xml:space="preserve"> obtained by </w:t>
      </w:r>
      <w:r w:rsidR="00E45B05" w:rsidRPr="007A7387">
        <w:rPr>
          <w:rFonts w:ascii="Arial" w:hAnsi="Arial" w:cs="Arial"/>
          <w:b/>
          <w:sz w:val="22"/>
          <w:szCs w:val="22"/>
          <w:lang w:val="en-GB"/>
        </w:rPr>
        <w:t>PEC</w:t>
      </w:r>
      <w:r w:rsidRPr="007A7387">
        <w:rPr>
          <w:rFonts w:ascii="Arial" w:hAnsi="Arial" w:cs="Arial"/>
          <w:b/>
          <w:sz w:val="22"/>
          <w:szCs w:val="22"/>
          <w:lang w:val="en-GB"/>
        </w:rPr>
        <w:t xml:space="preserve"> and its subsidiaries have extra</w:t>
      </w:r>
      <w:r w:rsidR="00EF4D30" w:rsidRPr="007A7387">
        <w:rPr>
          <w:rFonts w:ascii="Arial" w:hAnsi="Arial" w:cs="Arial"/>
          <w:b/>
          <w:sz w:val="22"/>
          <w:szCs w:val="22"/>
          <w:lang w:val="en-GB"/>
        </w:rPr>
        <w:t>-</w:t>
      </w:r>
      <w:r w:rsidRPr="007A7387">
        <w:rPr>
          <w:rFonts w:ascii="Arial" w:hAnsi="Arial" w:cs="Arial"/>
          <w:b/>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191793E" w14:textId="77777777" w:rsidR="00506BC9" w:rsidRPr="00506BC9" w:rsidRDefault="00506BC9" w:rsidP="00506BC9">
      <w:pPr>
        <w:jc w:val="both"/>
        <w:rPr>
          <w:rFonts w:ascii="Arial" w:hAnsi="Arial" w:cs="Arial"/>
          <w:color w:val="7B7B7B" w:themeColor="accent3" w:themeShade="BF"/>
          <w:sz w:val="22"/>
          <w:szCs w:val="22"/>
          <w:lang w:val="en-GB"/>
        </w:rPr>
      </w:pPr>
      <w:r w:rsidRPr="00506BC9">
        <w:rPr>
          <w:rFonts w:ascii="Arial" w:hAnsi="Arial" w:cs="Arial"/>
          <w:color w:val="7B7B7B" w:themeColor="accent3" w:themeShade="BF"/>
          <w:sz w:val="22"/>
          <w:szCs w:val="22"/>
          <w:lang w:val="en-GB"/>
        </w:rPr>
        <w:t xml:space="preserve">The moratorium has </w:t>
      </w:r>
      <w:r>
        <w:rPr>
          <w:rFonts w:ascii="Arial" w:hAnsi="Arial" w:cs="Arial"/>
          <w:color w:val="7B7B7B" w:themeColor="accent3" w:themeShade="BF"/>
          <w:sz w:val="22"/>
          <w:szCs w:val="22"/>
          <w:lang w:val="en-GB"/>
        </w:rPr>
        <w:t xml:space="preserve">cross border effect. It </w:t>
      </w:r>
      <w:r w:rsidRPr="00506BC9">
        <w:rPr>
          <w:rFonts w:ascii="Arial" w:hAnsi="Arial" w:cs="Arial"/>
          <w:color w:val="7B7B7B" w:themeColor="accent3" w:themeShade="BF"/>
          <w:sz w:val="22"/>
          <w:szCs w:val="22"/>
          <w:lang w:val="en-GB"/>
        </w:rPr>
        <w:t>allows the Singapore Courts to restrain the commencement of proceedings in foreign jurisdictions as long as the Singapore Court has </w:t>
      </w:r>
      <w:r w:rsidRPr="00506BC9">
        <w:rPr>
          <w:rFonts w:ascii="Arial" w:hAnsi="Arial" w:cs="Arial"/>
          <w:i/>
          <w:iCs/>
          <w:color w:val="7B7B7B" w:themeColor="accent3" w:themeShade="BF"/>
          <w:sz w:val="22"/>
          <w:szCs w:val="22"/>
          <w:lang w:val="en-GB"/>
        </w:rPr>
        <w:t>in personam</w:t>
      </w:r>
      <w:r w:rsidRPr="00506BC9">
        <w:rPr>
          <w:rFonts w:ascii="Arial" w:hAnsi="Arial" w:cs="Arial"/>
          <w:color w:val="7B7B7B" w:themeColor="accent3" w:themeShade="BF"/>
          <w:sz w:val="22"/>
          <w:szCs w:val="22"/>
          <w:lang w:val="en-GB"/>
        </w:rPr>
        <w:t xml:space="preserve"> jurisdiction over the party seeking to be enjoined. </w:t>
      </w:r>
      <w:r>
        <w:rPr>
          <w:rFonts w:ascii="Arial" w:hAnsi="Arial" w:cs="Arial"/>
          <w:color w:val="7B7B7B" w:themeColor="accent3" w:themeShade="BF"/>
          <w:sz w:val="22"/>
          <w:szCs w:val="22"/>
          <w:lang w:val="en-GB"/>
        </w:rPr>
        <w:t xml:space="preserve">Also </w:t>
      </w:r>
      <w:r w:rsidRPr="00506BC9">
        <w:rPr>
          <w:rFonts w:ascii="Arial" w:hAnsi="Arial" w:cs="Arial"/>
          <w:color w:val="7B7B7B" w:themeColor="accent3" w:themeShade="BF"/>
          <w:sz w:val="22"/>
          <w:szCs w:val="22"/>
          <w:lang w:val="en-GB"/>
        </w:rPr>
        <w:t>in other jurisdictions where the UNCITRAL Model Law has been implemented, moratorium orders granted by the Singapore Courts may similarly be recognised as foreign main proceedings.</w:t>
      </w:r>
    </w:p>
    <w:p w14:paraId="14E50C41" w14:textId="77777777" w:rsidR="00506BC9" w:rsidRDefault="00506BC9" w:rsidP="00B54D7D">
      <w:pPr>
        <w:jc w:val="both"/>
        <w:rPr>
          <w:rFonts w:ascii="Arial" w:hAnsi="Arial" w:cs="Arial"/>
          <w:color w:val="7B7B7B" w:themeColor="accent3" w:themeShade="BF"/>
          <w:sz w:val="22"/>
          <w:szCs w:val="22"/>
          <w:lang w:val="en-GB"/>
        </w:rPr>
      </w:pPr>
    </w:p>
    <w:p w14:paraId="170EF99F" w14:textId="3CF38EEF" w:rsidR="005C529D" w:rsidRPr="00506BC9" w:rsidRDefault="00506BC9" w:rsidP="00B54D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one of the </w:t>
      </w:r>
      <w:r w:rsidRPr="00506BC9">
        <w:rPr>
          <w:rFonts w:ascii="Arial" w:hAnsi="Arial" w:cs="Arial"/>
          <w:color w:val="7B7B7B" w:themeColor="accent3" w:themeShade="BF"/>
          <w:sz w:val="22"/>
          <w:szCs w:val="22"/>
          <w:lang w:val="en-GB"/>
        </w:rPr>
        <w:t>decision</w:t>
      </w:r>
      <w:r>
        <w:rPr>
          <w:rFonts w:ascii="Arial" w:hAnsi="Arial" w:cs="Arial"/>
          <w:color w:val="7B7B7B" w:themeColor="accent3" w:themeShade="BF"/>
          <w:sz w:val="22"/>
          <w:szCs w:val="22"/>
          <w:lang w:val="en-GB"/>
        </w:rPr>
        <w:t>s</w:t>
      </w:r>
      <w:r w:rsidRPr="00506BC9">
        <w:rPr>
          <w:rFonts w:ascii="Arial" w:hAnsi="Arial" w:cs="Arial"/>
          <w:color w:val="7B7B7B" w:themeColor="accent3" w:themeShade="BF"/>
          <w:sz w:val="22"/>
          <w:szCs w:val="22"/>
          <w:lang w:val="en-GB"/>
        </w:rPr>
        <w:t xml:space="preserve">, the UK’s High Court of Justice Business and Property Courts of England and Wales recognised the moratorium granted by the Singaporean court to H&amp;C S Holdings Pte Ltd as a foreign main proceedings under the UNCITRAL Model Law. </w:t>
      </w:r>
      <w:r>
        <w:rPr>
          <w:rFonts w:ascii="Arial" w:hAnsi="Arial" w:cs="Arial"/>
          <w:color w:val="7B7B7B" w:themeColor="accent3" w:themeShade="BF"/>
          <w:sz w:val="22"/>
          <w:szCs w:val="22"/>
          <w:lang w:val="en-GB"/>
        </w:rPr>
        <w:t xml:space="preserve">Also </w:t>
      </w:r>
      <w:r w:rsidRPr="00506BC9">
        <w:rPr>
          <w:rFonts w:ascii="Arial" w:hAnsi="Arial" w:cs="Arial"/>
          <w:color w:val="7B7B7B" w:themeColor="accent3" w:themeShade="BF"/>
          <w:sz w:val="22"/>
          <w:szCs w:val="22"/>
          <w:lang w:val="en-GB"/>
        </w:rPr>
        <w:t>in other jurisdictions where the UNCITRAL Model Law has been implemented, moratorium orders granted by the Singapore Courts may similarly be recognised as foreign main proceedings.</w:t>
      </w:r>
    </w:p>
    <w:p w14:paraId="0705CC8B" w14:textId="77777777" w:rsidR="00506BC9" w:rsidRPr="00506BC9" w:rsidRDefault="00506BC9" w:rsidP="00B54D7D">
      <w:pPr>
        <w:jc w:val="both"/>
        <w:rPr>
          <w:rFonts w:ascii="Arial" w:hAnsi="Arial" w:cs="Arial"/>
          <w:color w:val="7B7B7B" w:themeColor="accent3" w:themeShade="BF"/>
          <w:sz w:val="22"/>
          <w:szCs w:val="22"/>
          <w:lang w:val="en-GB"/>
        </w:rPr>
      </w:pPr>
    </w:p>
    <w:p w14:paraId="79DDA616" w14:textId="77777777" w:rsidR="00100E1C" w:rsidRDefault="00100E1C" w:rsidP="00B54D7D">
      <w:pPr>
        <w:jc w:val="both"/>
        <w:rPr>
          <w:rFonts w:ascii="Arial" w:hAnsi="Arial" w:cs="Arial"/>
          <w:color w:val="7B7B7B" w:themeColor="accent3" w:themeShade="BF"/>
          <w:sz w:val="22"/>
          <w:szCs w:val="22"/>
          <w:lang w:val="en-GB"/>
        </w:rPr>
      </w:pPr>
    </w:p>
    <w:p w14:paraId="0484A147" w14:textId="64DC7600" w:rsidR="00506BC9" w:rsidRPr="00506BC9" w:rsidRDefault="00100E1C" w:rsidP="00B54D7D">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In </w:t>
      </w:r>
      <w:r w:rsidR="00D01093">
        <w:rPr>
          <w:rFonts w:ascii="Arial" w:hAnsi="Arial" w:cs="Arial"/>
          <w:i/>
          <w:iCs/>
          <w:color w:val="7B7B7B" w:themeColor="accent3" w:themeShade="BF"/>
          <w:sz w:val="22"/>
          <w:szCs w:val="22"/>
          <w:lang w:val="en-GB"/>
        </w:rPr>
        <w:t xml:space="preserve">the celebrated case of </w:t>
      </w:r>
      <w:r w:rsidRPr="00506BC9">
        <w:rPr>
          <w:rFonts w:ascii="Arial" w:hAnsi="Arial" w:cs="Arial"/>
          <w:i/>
          <w:iCs/>
          <w:color w:val="7B7B7B" w:themeColor="accent3" w:themeShade="BF"/>
          <w:sz w:val="22"/>
          <w:szCs w:val="22"/>
          <w:lang w:val="en-GB"/>
        </w:rPr>
        <w:t>Skaugen SE and other matters 2019</w:t>
      </w:r>
      <w:r>
        <w:rPr>
          <w:rFonts w:ascii="Arial" w:hAnsi="Arial" w:cs="Arial"/>
          <w:i/>
          <w:iCs/>
          <w:color w:val="7B7B7B" w:themeColor="accent3" w:themeShade="BF"/>
          <w:sz w:val="22"/>
          <w:szCs w:val="22"/>
          <w:lang w:val="en-GB"/>
        </w:rPr>
        <w:t xml:space="preserve">, </w:t>
      </w:r>
      <w:r w:rsidR="00506BC9" w:rsidRPr="00506BC9">
        <w:rPr>
          <w:rFonts w:ascii="Arial" w:hAnsi="Arial" w:cs="Arial"/>
          <w:color w:val="7B7B7B" w:themeColor="accent3" w:themeShade="BF"/>
          <w:sz w:val="22"/>
          <w:szCs w:val="22"/>
          <w:lang w:val="en-GB"/>
        </w:rPr>
        <w:t xml:space="preserve">the Singapore High Court recognised </w:t>
      </w:r>
      <w:r>
        <w:rPr>
          <w:rFonts w:ascii="Arial" w:hAnsi="Arial" w:cs="Arial"/>
          <w:color w:val="7B7B7B" w:themeColor="accent3" w:themeShade="BF"/>
          <w:sz w:val="22"/>
          <w:szCs w:val="22"/>
          <w:lang w:val="en-GB"/>
        </w:rPr>
        <w:t xml:space="preserve">the </w:t>
      </w:r>
      <w:r w:rsidR="00506BC9" w:rsidRPr="00506BC9">
        <w:rPr>
          <w:rFonts w:ascii="Arial" w:hAnsi="Arial" w:cs="Arial"/>
          <w:color w:val="7B7B7B" w:themeColor="accent3" w:themeShade="BF"/>
          <w:sz w:val="22"/>
          <w:szCs w:val="22"/>
          <w:lang w:val="en-GB"/>
        </w:rPr>
        <w:t>making available moratorium relief to related companies of the applicant – subsidiaries, holding company or ultimate holding company - if those companies play a necessary and integral role in the compromise of the applicant.” It may therefore be possible for foreign entities of a group to seek moratorium orders in Singapore as part of the group restructuring efforts and then seek to enforce them in their own jurisdiction, with Singapore recognised as the foreign main proceeding.</w:t>
      </w:r>
    </w:p>
    <w:p w14:paraId="348B0169" w14:textId="77777777" w:rsidR="005C529D" w:rsidRPr="00506BC9" w:rsidRDefault="005C529D" w:rsidP="00B54D7D">
      <w:pPr>
        <w:jc w:val="both"/>
        <w:rPr>
          <w:rFonts w:ascii="Arial" w:hAnsi="Arial" w:cs="Arial"/>
          <w:color w:val="7B7B7B" w:themeColor="accent3" w:themeShade="BF"/>
          <w:sz w:val="22"/>
          <w:szCs w:val="22"/>
          <w:lang w:val="en-GB"/>
        </w:rPr>
      </w:pPr>
    </w:p>
    <w:p w14:paraId="4CB59EDD" w14:textId="0BF52AB3" w:rsidR="00D01093" w:rsidRPr="007A7387" w:rsidRDefault="00D01093" w:rsidP="00D01093">
      <w:pPr>
        <w:jc w:val="both"/>
        <w:rPr>
          <w:rFonts w:ascii="Arial" w:hAnsi="Arial" w:cs="Arial"/>
          <w:b/>
          <w:sz w:val="22"/>
          <w:szCs w:val="22"/>
          <w:lang w:val="en-GB"/>
        </w:rPr>
      </w:pPr>
      <w:r w:rsidRPr="00D01093">
        <w:rPr>
          <w:rFonts w:ascii="Arial" w:hAnsi="Arial" w:cs="Arial"/>
          <w:color w:val="7B7B7B" w:themeColor="accent3" w:themeShade="BF"/>
          <w:sz w:val="22"/>
          <w:szCs w:val="22"/>
          <w:lang w:val="en-GB"/>
        </w:rPr>
        <w:t>Based on the above deliberations the moratorium obtained by PEC and its subsidiaries have the extra-territorial effect. The assets owned by the group in jurisdictions outside of Singapore will also be protected gets protected</w:t>
      </w:r>
      <w:r>
        <w:rPr>
          <w:rFonts w:ascii="Arial" w:hAnsi="Arial" w:cs="Arial"/>
          <w:b/>
          <w:sz w:val="22"/>
          <w:szCs w:val="22"/>
          <w:lang w:val="en-GB"/>
        </w:rPr>
        <w:t>.</w:t>
      </w:r>
    </w:p>
    <w:p w14:paraId="1C3EBFEC" w14:textId="2644EAB0" w:rsidR="00D7507B" w:rsidRDefault="00D7507B" w:rsidP="00B54D7D">
      <w:pPr>
        <w:jc w:val="both"/>
        <w:rPr>
          <w:rFonts w:ascii="Arial" w:hAnsi="Arial" w:cs="Arial"/>
          <w:b/>
          <w:bCs/>
          <w:sz w:val="22"/>
          <w:szCs w:val="22"/>
          <w:lang w:val="en-GB"/>
        </w:rPr>
      </w:pPr>
    </w:p>
    <w:p w14:paraId="71C5F70F" w14:textId="77777777" w:rsidR="00D01093" w:rsidRDefault="00D01093" w:rsidP="00B54D7D">
      <w:pPr>
        <w:jc w:val="both"/>
        <w:rPr>
          <w:rFonts w:ascii="Arial" w:hAnsi="Arial" w:cs="Arial"/>
          <w:b/>
          <w:bCs/>
          <w:sz w:val="22"/>
          <w:szCs w:val="22"/>
          <w:lang w:val="en-GB"/>
        </w:rPr>
      </w:pPr>
    </w:p>
    <w:p w14:paraId="52A3F063" w14:textId="77777777" w:rsidR="00D01093" w:rsidRDefault="00D01093" w:rsidP="00B54D7D">
      <w:pPr>
        <w:jc w:val="both"/>
        <w:rPr>
          <w:rFonts w:ascii="Arial" w:hAnsi="Arial" w:cs="Arial"/>
          <w:b/>
          <w:bCs/>
          <w:sz w:val="22"/>
          <w:szCs w:val="22"/>
          <w:lang w:val="en-GB"/>
        </w:rPr>
      </w:pPr>
    </w:p>
    <w:p w14:paraId="7649DC34" w14:textId="77777777" w:rsidR="00D01093" w:rsidRDefault="00D01093" w:rsidP="00B54D7D">
      <w:pPr>
        <w:jc w:val="both"/>
        <w:rPr>
          <w:rFonts w:ascii="Arial" w:hAnsi="Arial" w:cs="Arial"/>
          <w:b/>
          <w:bCs/>
          <w:sz w:val="22"/>
          <w:szCs w:val="22"/>
          <w:lang w:val="en-GB"/>
        </w:rPr>
      </w:pPr>
    </w:p>
    <w:p w14:paraId="0A91B9B8" w14:textId="77777777" w:rsidR="00D01093" w:rsidRDefault="00D01093" w:rsidP="00B54D7D">
      <w:pPr>
        <w:jc w:val="both"/>
        <w:rPr>
          <w:rFonts w:ascii="Arial" w:hAnsi="Arial" w:cs="Arial"/>
          <w:b/>
          <w:bCs/>
          <w:sz w:val="22"/>
          <w:szCs w:val="22"/>
          <w:lang w:val="en-GB"/>
        </w:rPr>
      </w:pPr>
    </w:p>
    <w:p w14:paraId="138E8104" w14:textId="77777777" w:rsidR="00D01093" w:rsidRDefault="00D01093" w:rsidP="00B54D7D">
      <w:pPr>
        <w:jc w:val="both"/>
        <w:rPr>
          <w:rFonts w:ascii="Arial" w:hAnsi="Arial" w:cs="Arial"/>
          <w:b/>
          <w:bCs/>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Pr="00D7507B" w:rsidRDefault="00D0080B" w:rsidP="00B54D7D">
      <w:pPr>
        <w:jc w:val="both"/>
        <w:rPr>
          <w:rFonts w:ascii="Arial" w:hAnsi="Arial" w:cs="Arial"/>
          <w:b/>
          <w:color w:val="7B7B7B" w:themeColor="accent3" w:themeShade="BF"/>
          <w:sz w:val="22"/>
          <w:szCs w:val="22"/>
          <w:lang w:val="en-GB"/>
        </w:rPr>
      </w:pPr>
    </w:p>
    <w:p w14:paraId="605B679E" w14:textId="62501C02" w:rsidR="00D7507B" w:rsidRPr="00D7507B" w:rsidRDefault="00D7507B" w:rsidP="00B54D7D">
      <w:pPr>
        <w:jc w:val="both"/>
        <w:rPr>
          <w:rFonts w:ascii="Arial" w:hAnsi="Arial" w:cs="Arial"/>
          <w:b/>
          <w:color w:val="7B7B7B" w:themeColor="accent3" w:themeShade="BF"/>
          <w:sz w:val="22"/>
          <w:szCs w:val="22"/>
          <w:lang w:val="en-GB"/>
        </w:rPr>
      </w:pPr>
      <w:r w:rsidRPr="00D7507B">
        <w:rPr>
          <w:rFonts w:ascii="Arial" w:hAnsi="Arial" w:cs="Arial"/>
          <w:b/>
          <w:color w:val="7B7B7B" w:themeColor="accent3" w:themeShade="BF"/>
          <w:sz w:val="22"/>
          <w:szCs w:val="22"/>
          <w:lang w:val="en-GB"/>
        </w:rPr>
        <w:t>Available Cross border Insolvency Laws</w:t>
      </w:r>
    </w:p>
    <w:p w14:paraId="2DA306FE" w14:textId="77777777" w:rsidR="00D7507B" w:rsidRDefault="00D7507B" w:rsidP="00B54D7D">
      <w:pPr>
        <w:jc w:val="both"/>
        <w:rPr>
          <w:rFonts w:ascii="Arial" w:hAnsi="Arial" w:cs="Arial"/>
          <w:sz w:val="22"/>
          <w:szCs w:val="22"/>
          <w:lang w:val="en-GB"/>
        </w:rPr>
      </w:pPr>
    </w:p>
    <w:p w14:paraId="63364C7A" w14:textId="5CAF4354" w:rsidR="00E472B0" w:rsidRPr="00D7507B" w:rsidRDefault="00D7507B" w:rsidP="00D7507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Pr="00D7507B">
        <w:rPr>
          <w:rFonts w:ascii="Arial" w:hAnsi="Arial" w:cs="Arial"/>
          <w:color w:val="7B7B7B" w:themeColor="accent3" w:themeShade="BF"/>
          <w:sz w:val="22"/>
          <w:szCs w:val="22"/>
          <w:lang w:val="en-GB"/>
        </w:rPr>
        <w:t xml:space="preserve">n 1 February 2017, the Supreme Court of Singapore </w:t>
      </w:r>
      <w:r>
        <w:rPr>
          <w:rFonts w:ascii="Arial" w:hAnsi="Arial" w:cs="Arial"/>
          <w:color w:val="7B7B7B" w:themeColor="accent3" w:themeShade="BF"/>
          <w:sz w:val="22"/>
          <w:szCs w:val="22"/>
          <w:lang w:val="en-GB"/>
        </w:rPr>
        <w:t xml:space="preserve">for the first time </w:t>
      </w:r>
      <w:r w:rsidRPr="00D7507B">
        <w:rPr>
          <w:rFonts w:ascii="Arial" w:hAnsi="Arial" w:cs="Arial"/>
          <w:color w:val="7B7B7B" w:themeColor="accent3" w:themeShade="BF"/>
          <w:sz w:val="22"/>
          <w:szCs w:val="22"/>
          <w:lang w:val="en-GB"/>
        </w:rPr>
        <w:t>adopted the Guidelines for Communication and Cooperation between Courts in Cross-Border Insolvenc</w:t>
      </w:r>
      <w:r>
        <w:rPr>
          <w:rFonts w:ascii="Arial" w:hAnsi="Arial" w:cs="Arial"/>
          <w:color w:val="7B7B7B" w:themeColor="accent3" w:themeShade="BF"/>
          <w:sz w:val="22"/>
          <w:szCs w:val="22"/>
          <w:lang w:val="en-GB"/>
        </w:rPr>
        <w:t xml:space="preserve">y Matters (the JIN Guidelines) and further in </w:t>
      </w:r>
      <w:r w:rsidR="00E472B0" w:rsidRPr="00D7507B">
        <w:rPr>
          <w:rFonts w:ascii="Arial" w:hAnsi="Arial" w:cs="Arial"/>
          <w:color w:val="7B7B7B" w:themeColor="accent3" w:themeShade="BF"/>
          <w:sz w:val="22"/>
          <w:szCs w:val="22"/>
          <w:lang w:val="en-GB"/>
        </w:rPr>
        <w:t>On 10 March 2017, Singapore adopted the UNCITRAL Model Law on Cross-Border Insolvency (the Model Law) through its adoption of the 2017 Amendment Act</w:t>
      </w:r>
      <w:r>
        <w:rPr>
          <w:rFonts w:ascii="Arial" w:hAnsi="Arial" w:cs="Arial"/>
          <w:color w:val="7B7B7B" w:themeColor="accent3" w:themeShade="BF"/>
          <w:sz w:val="22"/>
          <w:szCs w:val="22"/>
          <w:lang w:val="en-GB"/>
        </w:rPr>
        <w:t>.</w:t>
      </w:r>
      <w:r w:rsidR="00E472B0" w:rsidRPr="00D7507B">
        <w:rPr>
          <w:rFonts w:ascii="Arial" w:hAnsi="Arial" w:cs="Arial"/>
          <w:color w:val="7B7B7B" w:themeColor="accent3" w:themeShade="BF"/>
          <w:sz w:val="22"/>
          <w:szCs w:val="22"/>
          <w:lang w:val="en-GB"/>
        </w:rPr>
        <w:t xml:space="preserve"> </w:t>
      </w:r>
    </w:p>
    <w:p w14:paraId="479E74DD" w14:textId="77777777" w:rsidR="00E472B0" w:rsidRPr="00D7507B" w:rsidRDefault="00E472B0" w:rsidP="00D7507B">
      <w:pPr>
        <w:autoSpaceDE w:val="0"/>
        <w:autoSpaceDN w:val="0"/>
        <w:adjustRightInd w:val="0"/>
        <w:jc w:val="both"/>
        <w:rPr>
          <w:rFonts w:ascii="Arial" w:hAnsi="Arial" w:cs="Arial"/>
          <w:color w:val="7B7B7B" w:themeColor="accent3" w:themeShade="BF"/>
          <w:sz w:val="22"/>
          <w:szCs w:val="22"/>
          <w:lang w:val="en-GB"/>
        </w:rPr>
      </w:pPr>
    </w:p>
    <w:p w14:paraId="757DF189" w14:textId="77777777" w:rsidR="00E472B0" w:rsidRDefault="00E472B0" w:rsidP="00D7507B">
      <w:pPr>
        <w:autoSpaceDE w:val="0"/>
        <w:autoSpaceDN w:val="0"/>
        <w:adjustRightInd w:val="0"/>
        <w:jc w:val="both"/>
        <w:rPr>
          <w:rFonts w:ascii="Arial" w:hAnsi="Arial" w:cs="Arial"/>
          <w:color w:val="7B7B7B" w:themeColor="accent3" w:themeShade="BF"/>
          <w:sz w:val="22"/>
          <w:szCs w:val="22"/>
          <w:lang w:val="en-GB"/>
        </w:rPr>
      </w:pPr>
    </w:p>
    <w:p w14:paraId="40376890" w14:textId="03DB3B43" w:rsidR="00D7507B" w:rsidRDefault="00D7507B" w:rsidP="00D7507B">
      <w:pPr>
        <w:autoSpaceDE w:val="0"/>
        <w:autoSpaceDN w:val="0"/>
        <w:adjustRightInd w:val="0"/>
        <w:jc w:val="both"/>
        <w:rPr>
          <w:rFonts w:ascii="Arial" w:hAnsi="Arial" w:cs="Arial"/>
          <w:b/>
          <w:color w:val="7B7B7B" w:themeColor="accent3" w:themeShade="BF"/>
          <w:sz w:val="22"/>
          <w:szCs w:val="22"/>
          <w:lang w:val="en-GB"/>
        </w:rPr>
      </w:pPr>
      <w:r w:rsidRPr="00D7507B">
        <w:rPr>
          <w:rFonts w:ascii="Arial" w:hAnsi="Arial" w:cs="Arial"/>
          <w:b/>
          <w:color w:val="7B7B7B" w:themeColor="accent3" w:themeShade="BF"/>
          <w:sz w:val="22"/>
          <w:szCs w:val="22"/>
          <w:lang w:val="en-GB"/>
        </w:rPr>
        <w:t>The general requirements in order for a Singapore court to recognise a foreign insolvency proceeding</w:t>
      </w:r>
      <w:r w:rsidR="002F325F">
        <w:rPr>
          <w:rFonts w:ascii="Arial" w:hAnsi="Arial" w:cs="Arial"/>
          <w:b/>
          <w:color w:val="7B7B7B" w:themeColor="accent3" w:themeShade="BF"/>
          <w:sz w:val="22"/>
          <w:szCs w:val="22"/>
          <w:lang w:val="en-GB"/>
        </w:rPr>
        <w:t xml:space="preserve"> and actions the court can take upon such discussions are deliberated.</w:t>
      </w:r>
    </w:p>
    <w:p w14:paraId="15B63848" w14:textId="77777777" w:rsidR="002F325F" w:rsidRPr="00D7507B" w:rsidRDefault="002F325F" w:rsidP="00D7507B">
      <w:pPr>
        <w:autoSpaceDE w:val="0"/>
        <w:autoSpaceDN w:val="0"/>
        <w:adjustRightInd w:val="0"/>
        <w:jc w:val="both"/>
        <w:rPr>
          <w:rFonts w:ascii="Arial" w:hAnsi="Arial" w:cs="Arial"/>
          <w:b/>
          <w:color w:val="7B7B7B" w:themeColor="accent3" w:themeShade="BF"/>
          <w:sz w:val="22"/>
          <w:szCs w:val="22"/>
          <w:lang w:val="en-GB"/>
        </w:rPr>
      </w:pPr>
    </w:p>
    <w:p w14:paraId="6BDA5908" w14:textId="7CBEAF02" w:rsidR="00E472B0" w:rsidRPr="00D7507B" w:rsidRDefault="00FB4207" w:rsidP="00D7507B">
      <w:pPr>
        <w:pStyle w:val="BodyText"/>
        <w:ind w:right="227"/>
        <w:jc w:val="both"/>
        <w:rPr>
          <w:rFonts w:eastAsia="Times New Roman"/>
          <w:color w:val="7B7B7B" w:themeColor="accent3" w:themeShade="BF"/>
          <w:lang w:val="en-GB"/>
        </w:rPr>
      </w:pPr>
      <w:r>
        <w:rPr>
          <w:rFonts w:eastAsia="Times New Roman"/>
          <w:color w:val="7B7B7B" w:themeColor="accent3" w:themeShade="BF"/>
          <w:lang w:val="en-GB"/>
        </w:rPr>
        <w:t xml:space="preserve">Singapore law does not require the </w:t>
      </w:r>
      <w:r w:rsidR="00E472B0" w:rsidRPr="00D7507B">
        <w:rPr>
          <w:rFonts w:eastAsia="Times New Roman"/>
          <w:color w:val="7B7B7B" w:themeColor="accent3" w:themeShade="BF"/>
          <w:lang w:val="en-GB"/>
        </w:rPr>
        <w:t>Model Law has no requirement of reciprocity with the State in which the foreign proceeding is occurring.</w:t>
      </w:r>
    </w:p>
    <w:p w14:paraId="5B0C6C78" w14:textId="424BAA8A" w:rsidR="00E472B0" w:rsidRPr="00D7507B" w:rsidRDefault="00E472B0" w:rsidP="002F325F">
      <w:pPr>
        <w:autoSpaceDE w:val="0"/>
        <w:autoSpaceDN w:val="0"/>
        <w:adjustRightInd w:val="0"/>
        <w:ind w:right="206"/>
        <w:jc w:val="both"/>
        <w:rPr>
          <w:rFonts w:ascii="Arial" w:hAnsi="Arial" w:cs="Arial"/>
          <w:color w:val="7B7B7B" w:themeColor="accent3" w:themeShade="BF"/>
          <w:sz w:val="22"/>
          <w:szCs w:val="22"/>
          <w:lang w:val="en-GB"/>
        </w:rPr>
      </w:pPr>
    </w:p>
    <w:p w14:paraId="4FE59A7A" w14:textId="77777777" w:rsidR="00E472B0" w:rsidRPr="00D7507B" w:rsidRDefault="00E472B0" w:rsidP="002F325F">
      <w:pPr>
        <w:autoSpaceDE w:val="0"/>
        <w:autoSpaceDN w:val="0"/>
        <w:adjustRightInd w:val="0"/>
        <w:ind w:right="206"/>
        <w:jc w:val="both"/>
        <w:rPr>
          <w:rFonts w:ascii="Arial" w:hAnsi="Arial" w:cs="Arial"/>
          <w:color w:val="7B7B7B" w:themeColor="accent3" w:themeShade="BF"/>
          <w:sz w:val="22"/>
          <w:szCs w:val="22"/>
          <w:lang w:val="en-GB"/>
        </w:rPr>
      </w:pPr>
    </w:p>
    <w:p w14:paraId="36640E17" w14:textId="7370B288" w:rsidR="00E472B0" w:rsidRPr="00D7507B" w:rsidRDefault="00E472B0" w:rsidP="002F325F">
      <w:pPr>
        <w:autoSpaceDE w:val="0"/>
        <w:autoSpaceDN w:val="0"/>
        <w:adjustRightInd w:val="0"/>
        <w:ind w:right="206"/>
        <w:jc w:val="both"/>
        <w:rPr>
          <w:rFonts w:ascii="Arial" w:hAnsi="Arial" w:cs="Arial"/>
          <w:color w:val="7B7B7B" w:themeColor="accent3" w:themeShade="BF"/>
          <w:sz w:val="22"/>
          <w:szCs w:val="22"/>
          <w:lang w:val="en-GB"/>
        </w:rPr>
      </w:pPr>
      <w:r w:rsidRPr="00D7507B">
        <w:rPr>
          <w:rFonts w:ascii="Arial" w:hAnsi="Arial" w:cs="Arial"/>
          <w:color w:val="7B7B7B" w:themeColor="accent3" w:themeShade="BF"/>
          <w:sz w:val="22"/>
          <w:szCs w:val="22"/>
          <w:lang w:val="en-GB"/>
        </w:rPr>
        <w:t>The UNCITRAL Model Law</w:t>
      </w:r>
      <w:r w:rsidR="002F325F">
        <w:rPr>
          <w:rFonts w:ascii="Arial" w:hAnsi="Arial" w:cs="Arial"/>
          <w:color w:val="7B7B7B" w:themeColor="accent3" w:themeShade="BF"/>
          <w:sz w:val="22"/>
          <w:szCs w:val="22"/>
          <w:lang w:val="en-GB"/>
        </w:rPr>
        <w:t xml:space="preserve"> adopted by Singapore</w:t>
      </w:r>
      <w:r w:rsidRPr="00D7507B">
        <w:rPr>
          <w:rFonts w:ascii="Arial" w:hAnsi="Arial" w:cs="Arial"/>
          <w:color w:val="7B7B7B" w:themeColor="accent3" w:themeShade="BF"/>
          <w:sz w:val="22"/>
          <w:szCs w:val="22"/>
          <w:lang w:val="en-GB"/>
        </w:rPr>
        <w:t xml:space="preserve">, the court can deny recognition only if recognition is contrary to public policy. </w:t>
      </w:r>
    </w:p>
    <w:p w14:paraId="7E625B5C" w14:textId="77777777" w:rsidR="000D2BEC" w:rsidRPr="00D7507B" w:rsidRDefault="000D2BEC" w:rsidP="00D7507B">
      <w:pPr>
        <w:autoSpaceDE w:val="0"/>
        <w:autoSpaceDN w:val="0"/>
        <w:adjustRightInd w:val="0"/>
        <w:jc w:val="both"/>
        <w:rPr>
          <w:rFonts w:ascii="Arial" w:hAnsi="Arial" w:cs="Arial"/>
          <w:color w:val="7B7B7B" w:themeColor="accent3" w:themeShade="BF"/>
          <w:sz w:val="22"/>
          <w:szCs w:val="22"/>
          <w:lang w:val="en-GB"/>
        </w:rPr>
      </w:pPr>
    </w:p>
    <w:p w14:paraId="5DACB4A2" w14:textId="7947BF0D" w:rsidR="00E472B0" w:rsidRPr="00D7507B" w:rsidRDefault="002F325F" w:rsidP="002F325F">
      <w:pPr>
        <w:pStyle w:val="BodyText"/>
        <w:tabs>
          <w:tab w:val="left" w:pos="8640"/>
        </w:tabs>
        <w:spacing w:before="1"/>
        <w:ind w:right="386"/>
        <w:jc w:val="both"/>
        <w:rPr>
          <w:rFonts w:eastAsia="Times New Roman"/>
          <w:color w:val="7B7B7B" w:themeColor="accent3" w:themeShade="BF"/>
          <w:lang w:val="en-GB"/>
        </w:rPr>
      </w:pPr>
      <w:r>
        <w:rPr>
          <w:rFonts w:eastAsia="Times New Roman"/>
          <w:color w:val="7B7B7B" w:themeColor="accent3" w:themeShade="BF"/>
          <w:lang w:val="en-GB"/>
        </w:rPr>
        <w:t xml:space="preserve">Also in the </w:t>
      </w:r>
      <w:r w:rsidR="00E472B0" w:rsidRPr="00D7507B">
        <w:rPr>
          <w:rFonts w:eastAsia="Times New Roman"/>
          <w:color w:val="7B7B7B" w:themeColor="accent3" w:themeShade="BF"/>
          <w:lang w:val="en-GB"/>
        </w:rPr>
        <w:t>Reciprocal Enforcement of Commonwealth Judgments Act (RECJA) enables judgments from the United Kingdom and Australia (and certain specific Commonwealth countries) to be registered in the Singapore High Co</w:t>
      </w:r>
      <w:r>
        <w:rPr>
          <w:rFonts w:eastAsia="Times New Roman"/>
          <w:color w:val="7B7B7B" w:themeColor="accent3" w:themeShade="BF"/>
          <w:lang w:val="en-GB"/>
        </w:rPr>
        <w:t xml:space="preserve">urt, where in the </w:t>
      </w:r>
      <w:r w:rsidR="00E472B0" w:rsidRPr="00D7507B">
        <w:rPr>
          <w:rFonts w:eastAsia="Times New Roman"/>
          <w:color w:val="7B7B7B" w:themeColor="accent3" w:themeShade="BF"/>
          <w:lang w:val="en-GB"/>
        </w:rPr>
        <w:t xml:space="preserve">RECJA establishes a statutory scheme for the recognition and enforcement of judgments of superior courts from the abovenamed jurisdictions to be registered. Under section 3(1), a judgment creditor is allowed to apply to the Singapore High Court for the registration of a judgment. The Singapore High Court may order such judgment to be registered if it thinks, in all the circumstances of the case, that it is just and convenient for the judgment to be enforced in </w:t>
      </w:r>
      <w:r>
        <w:rPr>
          <w:rFonts w:eastAsia="Times New Roman"/>
          <w:color w:val="7B7B7B" w:themeColor="accent3" w:themeShade="BF"/>
          <w:lang w:val="en-GB"/>
        </w:rPr>
        <w:t>Singapore</w:t>
      </w:r>
    </w:p>
    <w:p w14:paraId="459AA030" w14:textId="77777777" w:rsidR="00E472B0" w:rsidRPr="00D7507B" w:rsidRDefault="00E472B0" w:rsidP="00D7507B">
      <w:pPr>
        <w:pStyle w:val="BodyText"/>
        <w:spacing w:before="1"/>
        <w:jc w:val="both"/>
        <w:rPr>
          <w:rFonts w:eastAsia="Times New Roman"/>
          <w:color w:val="7B7B7B" w:themeColor="accent3" w:themeShade="BF"/>
          <w:lang w:val="en-GB"/>
        </w:rPr>
      </w:pPr>
    </w:p>
    <w:p w14:paraId="0B8895B5" w14:textId="02E26EDE" w:rsidR="00E472B0" w:rsidRPr="00D7507B" w:rsidRDefault="00FB4207" w:rsidP="00FB4207">
      <w:pPr>
        <w:pStyle w:val="BodyText"/>
        <w:ind w:right="251"/>
        <w:jc w:val="both"/>
        <w:rPr>
          <w:rFonts w:eastAsia="Times New Roman"/>
          <w:color w:val="7B7B7B" w:themeColor="accent3" w:themeShade="BF"/>
          <w:lang w:val="en-GB"/>
        </w:rPr>
      </w:pPr>
      <w:r>
        <w:rPr>
          <w:rFonts w:eastAsia="Times New Roman"/>
          <w:color w:val="7B7B7B" w:themeColor="accent3" w:themeShade="BF"/>
          <w:lang w:val="en-GB"/>
        </w:rPr>
        <w:t xml:space="preserve">Another </w:t>
      </w:r>
      <w:r w:rsidR="00E472B0" w:rsidRPr="00D7507B">
        <w:rPr>
          <w:rFonts w:eastAsia="Times New Roman"/>
          <w:color w:val="7B7B7B" w:themeColor="accent3" w:themeShade="BF"/>
          <w:lang w:val="en-GB"/>
        </w:rPr>
        <w:t>applicable regime in Singapore is that under the Reciprocal Enforcement of Foreign Judgments Act, where so far only Hong Kong SAR has been a gazetted country recognised for registration.</w:t>
      </w:r>
      <w:r>
        <w:rPr>
          <w:rFonts w:eastAsia="Times New Roman"/>
          <w:color w:val="7B7B7B" w:themeColor="accent3" w:themeShade="BF"/>
          <w:lang w:val="en-GB"/>
        </w:rPr>
        <w:t xml:space="preserve"> </w:t>
      </w:r>
      <w:r w:rsidR="00E472B0" w:rsidRPr="00D7507B">
        <w:rPr>
          <w:rFonts w:eastAsia="Times New Roman"/>
          <w:color w:val="7B7B7B" w:themeColor="accent3" w:themeShade="BF"/>
          <w:lang w:val="en-GB"/>
        </w:rPr>
        <w:t xml:space="preserve">The Singapore courts </w:t>
      </w:r>
      <w:r>
        <w:rPr>
          <w:rFonts w:eastAsia="Times New Roman"/>
          <w:color w:val="7B7B7B" w:themeColor="accent3" w:themeShade="BF"/>
          <w:lang w:val="en-GB"/>
        </w:rPr>
        <w:t xml:space="preserve">has also </w:t>
      </w:r>
      <w:r w:rsidR="00E472B0" w:rsidRPr="00D7507B">
        <w:rPr>
          <w:rFonts w:eastAsia="Times New Roman"/>
          <w:color w:val="7B7B7B" w:themeColor="accent3" w:themeShade="BF"/>
          <w:lang w:val="en-GB"/>
        </w:rPr>
        <w:t>extended the common law to enable interim orders in aid of for</w:t>
      </w:r>
      <w:r>
        <w:rPr>
          <w:rFonts w:eastAsia="Times New Roman"/>
          <w:color w:val="7B7B7B" w:themeColor="accent3" w:themeShade="BF"/>
          <w:lang w:val="en-GB"/>
        </w:rPr>
        <w:t>eign rehabilitation proceedings.</w:t>
      </w:r>
    </w:p>
    <w:p w14:paraId="3807563C" w14:textId="77777777" w:rsidR="00E472B0" w:rsidRPr="00D7507B" w:rsidRDefault="00E472B0" w:rsidP="00D7507B">
      <w:pPr>
        <w:autoSpaceDE w:val="0"/>
        <w:autoSpaceDN w:val="0"/>
        <w:adjustRightInd w:val="0"/>
        <w:jc w:val="both"/>
        <w:rPr>
          <w:rFonts w:ascii="Arial" w:hAnsi="Arial" w:cs="Arial"/>
          <w:color w:val="7B7B7B" w:themeColor="accent3" w:themeShade="BF"/>
          <w:sz w:val="22"/>
          <w:szCs w:val="22"/>
          <w:lang w:val="en-GB"/>
        </w:rPr>
      </w:pPr>
    </w:p>
    <w:p w14:paraId="72D23972" w14:textId="77777777" w:rsidR="00E472B0" w:rsidRPr="00D7507B" w:rsidRDefault="00E472B0" w:rsidP="00D7507B">
      <w:pPr>
        <w:autoSpaceDE w:val="0"/>
        <w:autoSpaceDN w:val="0"/>
        <w:adjustRightInd w:val="0"/>
        <w:jc w:val="both"/>
        <w:rPr>
          <w:rFonts w:ascii="Arial" w:hAnsi="Arial" w:cs="Arial"/>
          <w:color w:val="7B7B7B" w:themeColor="accent3" w:themeShade="BF"/>
          <w:sz w:val="22"/>
          <w:szCs w:val="22"/>
          <w:lang w:val="en-GB"/>
        </w:rPr>
      </w:pPr>
    </w:p>
    <w:p w14:paraId="05F2BD95" w14:textId="77777777" w:rsidR="00E472B0" w:rsidRPr="00D7507B" w:rsidRDefault="00E472B0" w:rsidP="00D7507B">
      <w:pPr>
        <w:autoSpaceDE w:val="0"/>
        <w:autoSpaceDN w:val="0"/>
        <w:adjustRightInd w:val="0"/>
        <w:jc w:val="both"/>
        <w:rPr>
          <w:rFonts w:ascii="Arial" w:hAnsi="Arial" w:cs="Arial"/>
          <w:color w:val="7B7B7B" w:themeColor="accent3" w:themeShade="BF"/>
          <w:sz w:val="22"/>
          <w:szCs w:val="22"/>
          <w:lang w:val="en-GB"/>
        </w:rPr>
      </w:pPr>
    </w:p>
    <w:p w14:paraId="1E57D76D" w14:textId="77777777" w:rsidR="000D2BEC" w:rsidRPr="00D7507B" w:rsidRDefault="000D2BEC" w:rsidP="00D7507B">
      <w:pPr>
        <w:autoSpaceDE w:val="0"/>
        <w:autoSpaceDN w:val="0"/>
        <w:adjustRightInd w:val="0"/>
        <w:jc w:val="both"/>
        <w:rPr>
          <w:rFonts w:ascii="Arial" w:hAnsi="Arial" w:cs="Arial"/>
          <w:color w:val="7B7B7B" w:themeColor="accent3" w:themeShade="BF"/>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D7507B">
        <w:rPr>
          <w:rFonts w:ascii="Arial" w:hAnsi="Arial" w:cs="Arial"/>
          <w:color w:val="7B7B7B" w:themeColor="accent3" w:themeShade="BF"/>
          <w:sz w:val="22"/>
          <w:szCs w:val="22"/>
          <w:lang w:val="en-GB"/>
        </w:rPr>
        <w:t>*</w:t>
      </w:r>
      <w:r w:rsidR="001E25B9" w:rsidRPr="00D7507B">
        <w:rPr>
          <w:rFonts w:ascii="Arial" w:hAnsi="Arial" w:cs="Arial"/>
          <w:color w:val="7B7B7B" w:themeColor="accent3" w:themeShade="BF"/>
          <w:sz w:val="22"/>
          <w:szCs w:val="22"/>
          <w:lang w:val="en-GB"/>
        </w:rPr>
        <w:t xml:space="preserve"> </w:t>
      </w:r>
      <w:r w:rsidR="0077498C" w:rsidRPr="00D7507B">
        <w:rPr>
          <w:rFonts w:ascii="Arial" w:hAnsi="Arial" w:cs="Arial"/>
          <w:color w:val="7B7B7B" w:themeColor="accent3" w:themeShade="BF"/>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76E7" w14:textId="77777777" w:rsidR="0008781D" w:rsidRDefault="0008781D">
      <w:r>
        <w:separator/>
      </w:r>
    </w:p>
  </w:endnote>
  <w:endnote w:type="continuationSeparator" w:id="0">
    <w:p w14:paraId="12A67228" w14:textId="77777777" w:rsidR="0008781D" w:rsidRDefault="0008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7A709E" w:rsidRPr="00FC7B47" w:rsidRDefault="007A709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7A709E" w:rsidRPr="00FC7B47" w:rsidRDefault="007A709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7A709E" w:rsidRPr="009B4976" w:rsidRDefault="007A709E"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01093">
          <w:rPr>
            <w:rStyle w:val="PageNumber"/>
            <w:rFonts w:ascii="Arial" w:hAnsi="Arial" w:cs="Arial"/>
            <w:b/>
            <w:bCs/>
            <w:noProof/>
            <w:sz w:val="18"/>
            <w:szCs w:val="18"/>
          </w:rPr>
          <w:t>17</w:t>
        </w:r>
        <w:r w:rsidRPr="0010593A">
          <w:rPr>
            <w:rStyle w:val="PageNumber"/>
            <w:rFonts w:ascii="Arial" w:hAnsi="Arial" w:cs="Arial"/>
            <w:b/>
            <w:bCs/>
            <w:sz w:val="18"/>
            <w:szCs w:val="18"/>
          </w:rPr>
          <w:fldChar w:fldCharType="end"/>
        </w:r>
      </w:p>
    </w:sdtContent>
  </w:sdt>
  <w:p w14:paraId="09CBBDDF" w14:textId="1EE14EF4" w:rsidR="007A709E" w:rsidRPr="009B4976" w:rsidRDefault="008C7C2E" w:rsidP="009B4976">
    <w:pPr>
      <w:pStyle w:val="Footer"/>
      <w:ind w:right="360"/>
      <w:rPr>
        <w:rFonts w:ascii="Arial" w:hAnsi="Arial" w:cs="Arial"/>
        <w:sz w:val="18"/>
        <w:szCs w:val="18"/>
        <w:lang w:val="en-GB"/>
      </w:rPr>
    </w:pPr>
    <w:r>
      <w:rPr>
        <w:rFonts w:ascii="Arial" w:hAnsi="Arial" w:cs="Arial"/>
        <w:sz w:val="18"/>
        <w:szCs w:val="18"/>
        <w:lang w:val="en-GB"/>
      </w:rPr>
      <w:t>202021IFU-311.assessment8E</w:t>
    </w:r>
    <w:r w:rsidR="007A709E">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979A" w14:textId="77777777" w:rsidR="0008781D" w:rsidRDefault="0008781D">
      <w:r>
        <w:separator/>
      </w:r>
    </w:p>
  </w:footnote>
  <w:footnote w:type="continuationSeparator" w:id="0">
    <w:p w14:paraId="2D8A6B2C" w14:textId="77777777" w:rsidR="0008781D" w:rsidRDefault="0008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60"/>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60A35"/>
    <w:multiLevelType w:val="hybridMultilevel"/>
    <w:tmpl w:val="8326DC40"/>
    <w:lvl w:ilvl="0" w:tplc="40FA2740">
      <w:start w:val="1"/>
      <w:numFmt w:val="lowerLetter"/>
      <w:lvlText w:val="(%1)"/>
      <w:lvlJc w:val="left"/>
      <w:pPr>
        <w:ind w:left="1245" w:hanging="360"/>
        <w:jc w:val="left"/>
      </w:pPr>
      <w:rPr>
        <w:rFonts w:ascii="Arial" w:eastAsia="Arial" w:hAnsi="Arial" w:cs="Arial" w:hint="default"/>
        <w:spacing w:val="-1"/>
        <w:w w:val="100"/>
        <w:sz w:val="22"/>
        <w:szCs w:val="22"/>
        <w:lang w:val="en-US" w:eastAsia="en-US" w:bidi="ar-SA"/>
      </w:rPr>
    </w:lvl>
    <w:lvl w:ilvl="1" w:tplc="3D2AE67C">
      <w:numFmt w:val="bullet"/>
      <w:lvlText w:val="•"/>
      <w:lvlJc w:val="left"/>
      <w:pPr>
        <w:ind w:left="2052" w:hanging="360"/>
      </w:pPr>
      <w:rPr>
        <w:rFonts w:hint="default"/>
        <w:lang w:val="en-US" w:eastAsia="en-US" w:bidi="ar-SA"/>
      </w:rPr>
    </w:lvl>
    <w:lvl w:ilvl="2" w:tplc="BE4CDF30">
      <w:numFmt w:val="bullet"/>
      <w:lvlText w:val="•"/>
      <w:lvlJc w:val="left"/>
      <w:pPr>
        <w:ind w:left="2865" w:hanging="360"/>
      </w:pPr>
      <w:rPr>
        <w:rFonts w:hint="default"/>
        <w:lang w:val="en-US" w:eastAsia="en-US" w:bidi="ar-SA"/>
      </w:rPr>
    </w:lvl>
    <w:lvl w:ilvl="3" w:tplc="BECE8E68">
      <w:numFmt w:val="bullet"/>
      <w:lvlText w:val="•"/>
      <w:lvlJc w:val="left"/>
      <w:pPr>
        <w:ind w:left="3677" w:hanging="360"/>
      </w:pPr>
      <w:rPr>
        <w:rFonts w:hint="default"/>
        <w:lang w:val="en-US" w:eastAsia="en-US" w:bidi="ar-SA"/>
      </w:rPr>
    </w:lvl>
    <w:lvl w:ilvl="4" w:tplc="D9320D10">
      <w:numFmt w:val="bullet"/>
      <w:lvlText w:val="•"/>
      <w:lvlJc w:val="left"/>
      <w:pPr>
        <w:ind w:left="4490" w:hanging="360"/>
      </w:pPr>
      <w:rPr>
        <w:rFonts w:hint="default"/>
        <w:lang w:val="en-US" w:eastAsia="en-US" w:bidi="ar-SA"/>
      </w:rPr>
    </w:lvl>
    <w:lvl w:ilvl="5" w:tplc="97D8D490">
      <w:numFmt w:val="bullet"/>
      <w:lvlText w:val="•"/>
      <w:lvlJc w:val="left"/>
      <w:pPr>
        <w:ind w:left="5302" w:hanging="360"/>
      </w:pPr>
      <w:rPr>
        <w:rFonts w:hint="default"/>
        <w:lang w:val="en-US" w:eastAsia="en-US" w:bidi="ar-SA"/>
      </w:rPr>
    </w:lvl>
    <w:lvl w:ilvl="6" w:tplc="1A4AFF62">
      <w:numFmt w:val="bullet"/>
      <w:lvlText w:val="•"/>
      <w:lvlJc w:val="left"/>
      <w:pPr>
        <w:ind w:left="6115" w:hanging="360"/>
      </w:pPr>
      <w:rPr>
        <w:rFonts w:hint="default"/>
        <w:lang w:val="en-US" w:eastAsia="en-US" w:bidi="ar-SA"/>
      </w:rPr>
    </w:lvl>
    <w:lvl w:ilvl="7" w:tplc="EC3EB8D6">
      <w:numFmt w:val="bullet"/>
      <w:lvlText w:val="•"/>
      <w:lvlJc w:val="left"/>
      <w:pPr>
        <w:ind w:left="6927" w:hanging="360"/>
      </w:pPr>
      <w:rPr>
        <w:rFonts w:hint="default"/>
        <w:lang w:val="en-US" w:eastAsia="en-US" w:bidi="ar-SA"/>
      </w:rPr>
    </w:lvl>
    <w:lvl w:ilvl="8" w:tplc="9F6213B0">
      <w:numFmt w:val="bullet"/>
      <w:lvlText w:val="•"/>
      <w:lvlJc w:val="left"/>
      <w:pPr>
        <w:ind w:left="7740" w:hanging="360"/>
      </w:pPr>
      <w:rPr>
        <w:rFonts w:hint="default"/>
        <w:lang w:val="en-US" w:eastAsia="en-US" w:bidi="ar-SA"/>
      </w:rPr>
    </w:lvl>
  </w:abstractNum>
  <w:abstractNum w:abstractNumId="2"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97F4F"/>
    <w:multiLevelType w:val="hybridMultilevel"/>
    <w:tmpl w:val="78A6182C"/>
    <w:lvl w:ilvl="0" w:tplc="4F142770">
      <w:start w:val="1"/>
      <w:numFmt w:val="upperLetter"/>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781"/>
    <w:multiLevelType w:val="hybridMultilevel"/>
    <w:tmpl w:val="1B8E9CA6"/>
    <w:lvl w:ilvl="0" w:tplc="20747CEE">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1FD14C44"/>
    <w:multiLevelType w:val="hybridMultilevel"/>
    <w:tmpl w:val="2960A8CA"/>
    <w:lvl w:ilvl="0" w:tplc="E556B08C">
      <w:start w:val="1"/>
      <w:numFmt w:val="lowerLetter"/>
      <w:lvlText w:val="(%1)"/>
      <w:lvlJc w:val="left"/>
      <w:pPr>
        <w:ind w:left="1245" w:hanging="360"/>
      </w:pPr>
      <w:rPr>
        <w:rFonts w:ascii="Arial" w:eastAsia="Arial" w:hAnsi="Arial" w:cs="Arial" w:hint="default"/>
        <w:spacing w:val="-1"/>
        <w:w w:val="100"/>
        <w:sz w:val="22"/>
        <w:szCs w:val="22"/>
        <w:lang w:val="en-US" w:eastAsia="en-US" w:bidi="ar-SA"/>
      </w:rPr>
    </w:lvl>
    <w:lvl w:ilvl="1" w:tplc="5860DF4E">
      <w:numFmt w:val="bullet"/>
      <w:lvlText w:val="•"/>
      <w:lvlJc w:val="left"/>
      <w:pPr>
        <w:ind w:left="2052" w:hanging="360"/>
      </w:pPr>
      <w:rPr>
        <w:rFonts w:hint="default"/>
        <w:lang w:val="en-US" w:eastAsia="en-US" w:bidi="ar-SA"/>
      </w:rPr>
    </w:lvl>
    <w:lvl w:ilvl="2" w:tplc="523A01D6">
      <w:numFmt w:val="bullet"/>
      <w:lvlText w:val="•"/>
      <w:lvlJc w:val="left"/>
      <w:pPr>
        <w:ind w:left="2865" w:hanging="360"/>
      </w:pPr>
      <w:rPr>
        <w:rFonts w:hint="default"/>
        <w:lang w:val="en-US" w:eastAsia="en-US" w:bidi="ar-SA"/>
      </w:rPr>
    </w:lvl>
    <w:lvl w:ilvl="3" w:tplc="E02A5E26">
      <w:numFmt w:val="bullet"/>
      <w:lvlText w:val="•"/>
      <w:lvlJc w:val="left"/>
      <w:pPr>
        <w:ind w:left="3677" w:hanging="360"/>
      </w:pPr>
      <w:rPr>
        <w:rFonts w:hint="default"/>
        <w:lang w:val="en-US" w:eastAsia="en-US" w:bidi="ar-SA"/>
      </w:rPr>
    </w:lvl>
    <w:lvl w:ilvl="4" w:tplc="69D2349E">
      <w:numFmt w:val="bullet"/>
      <w:lvlText w:val="•"/>
      <w:lvlJc w:val="left"/>
      <w:pPr>
        <w:ind w:left="4490" w:hanging="360"/>
      </w:pPr>
      <w:rPr>
        <w:rFonts w:hint="default"/>
        <w:lang w:val="en-US" w:eastAsia="en-US" w:bidi="ar-SA"/>
      </w:rPr>
    </w:lvl>
    <w:lvl w:ilvl="5" w:tplc="E1A4CACE">
      <w:numFmt w:val="bullet"/>
      <w:lvlText w:val="•"/>
      <w:lvlJc w:val="left"/>
      <w:pPr>
        <w:ind w:left="5302" w:hanging="360"/>
      </w:pPr>
      <w:rPr>
        <w:rFonts w:hint="default"/>
        <w:lang w:val="en-US" w:eastAsia="en-US" w:bidi="ar-SA"/>
      </w:rPr>
    </w:lvl>
    <w:lvl w:ilvl="6" w:tplc="BBFAE91A">
      <w:numFmt w:val="bullet"/>
      <w:lvlText w:val="•"/>
      <w:lvlJc w:val="left"/>
      <w:pPr>
        <w:ind w:left="6115" w:hanging="360"/>
      </w:pPr>
      <w:rPr>
        <w:rFonts w:hint="default"/>
        <w:lang w:val="en-US" w:eastAsia="en-US" w:bidi="ar-SA"/>
      </w:rPr>
    </w:lvl>
    <w:lvl w:ilvl="7" w:tplc="47421316">
      <w:numFmt w:val="bullet"/>
      <w:lvlText w:val="•"/>
      <w:lvlJc w:val="left"/>
      <w:pPr>
        <w:ind w:left="6927" w:hanging="360"/>
      </w:pPr>
      <w:rPr>
        <w:rFonts w:hint="default"/>
        <w:lang w:val="en-US" w:eastAsia="en-US" w:bidi="ar-SA"/>
      </w:rPr>
    </w:lvl>
    <w:lvl w:ilvl="8" w:tplc="8EC0E87A">
      <w:numFmt w:val="bullet"/>
      <w:lvlText w:val="•"/>
      <w:lvlJc w:val="left"/>
      <w:pPr>
        <w:ind w:left="7740" w:hanging="360"/>
      </w:pPr>
      <w:rPr>
        <w:rFonts w:hint="default"/>
        <w:lang w:val="en-US" w:eastAsia="en-US" w:bidi="ar-SA"/>
      </w:rPr>
    </w:lvl>
  </w:abstractNum>
  <w:abstractNum w:abstractNumId="8" w15:restartNumberingAfterBreak="0">
    <w:nsid w:val="21EE6D65"/>
    <w:multiLevelType w:val="hybridMultilevel"/>
    <w:tmpl w:val="02E8EB34"/>
    <w:lvl w:ilvl="0" w:tplc="AA96C8F2">
      <w:start w:val="1"/>
      <w:numFmt w:val="lowerLetter"/>
      <w:lvlText w:val="(%1)"/>
      <w:lvlJc w:val="left"/>
      <w:pPr>
        <w:ind w:left="1245" w:hanging="360"/>
      </w:pPr>
      <w:rPr>
        <w:rFonts w:ascii="Arial" w:eastAsia="Arial" w:hAnsi="Arial" w:cs="Arial" w:hint="default"/>
        <w:spacing w:val="-1"/>
        <w:w w:val="100"/>
        <w:sz w:val="22"/>
        <w:szCs w:val="22"/>
        <w:lang w:val="en-US" w:eastAsia="en-US" w:bidi="ar-SA"/>
      </w:rPr>
    </w:lvl>
    <w:lvl w:ilvl="1" w:tplc="71928F4E">
      <w:numFmt w:val="bullet"/>
      <w:lvlText w:val="•"/>
      <w:lvlJc w:val="left"/>
      <w:pPr>
        <w:ind w:left="2052" w:hanging="360"/>
      </w:pPr>
      <w:rPr>
        <w:rFonts w:hint="default"/>
        <w:lang w:val="en-US" w:eastAsia="en-US" w:bidi="ar-SA"/>
      </w:rPr>
    </w:lvl>
    <w:lvl w:ilvl="2" w:tplc="27708082">
      <w:numFmt w:val="bullet"/>
      <w:lvlText w:val="•"/>
      <w:lvlJc w:val="left"/>
      <w:pPr>
        <w:ind w:left="2865" w:hanging="360"/>
      </w:pPr>
      <w:rPr>
        <w:rFonts w:hint="default"/>
        <w:lang w:val="en-US" w:eastAsia="en-US" w:bidi="ar-SA"/>
      </w:rPr>
    </w:lvl>
    <w:lvl w:ilvl="3" w:tplc="670255F2">
      <w:numFmt w:val="bullet"/>
      <w:lvlText w:val="•"/>
      <w:lvlJc w:val="left"/>
      <w:pPr>
        <w:ind w:left="3677" w:hanging="360"/>
      </w:pPr>
      <w:rPr>
        <w:rFonts w:hint="default"/>
        <w:lang w:val="en-US" w:eastAsia="en-US" w:bidi="ar-SA"/>
      </w:rPr>
    </w:lvl>
    <w:lvl w:ilvl="4" w:tplc="AE00EB2C">
      <w:numFmt w:val="bullet"/>
      <w:lvlText w:val="•"/>
      <w:lvlJc w:val="left"/>
      <w:pPr>
        <w:ind w:left="4490" w:hanging="360"/>
      </w:pPr>
      <w:rPr>
        <w:rFonts w:hint="default"/>
        <w:lang w:val="en-US" w:eastAsia="en-US" w:bidi="ar-SA"/>
      </w:rPr>
    </w:lvl>
    <w:lvl w:ilvl="5" w:tplc="8202275C">
      <w:numFmt w:val="bullet"/>
      <w:lvlText w:val="•"/>
      <w:lvlJc w:val="left"/>
      <w:pPr>
        <w:ind w:left="5302" w:hanging="360"/>
      </w:pPr>
      <w:rPr>
        <w:rFonts w:hint="default"/>
        <w:lang w:val="en-US" w:eastAsia="en-US" w:bidi="ar-SA"/>
      </w:rPr>
    </w:lvl>
    <w:lvl w:ilvl="6" w:tplc="3F74C5A4">
      <w:numFmt w:val="bullet"/>
      <w:lvlText w:val="•"/>
      <w:lvlJc w:val="left"/>
      <w:pPr>
        <w:ind w:left="6115" w:hanging="360"/>
      </w:pPr>
      <w:rPr>
        <w:rFonts w:hint="default"/>
        <w:lang w:val="en-US" w:eastAsia="en-US" w:bidi="ar-SA"/>
      </w:rPr>
    </w:lvl>
    <w:lvl w:ilvl="7" w:tplc="B0CE6684">
      <w:numFmt w:val="bullet"/>
      <w:lvlText w:val="•"/>
      <w:lvlJc w:val="left"/>
      <w:pPr>
        <w:ind w:left="6927" w:hanging="360"/>
      </w:pPr>
      <w:rPr>
        <w:rFonts w:hint="default"/>
        <w:lang w:val="en-US" w:eastAsia="en-US" w:bidi="ar-SA"/>
      </w:rPr>
    </w:lvl>
    <w:lvl w:ilvl="8" w:tplc="52AA942A">
      <w:numFmt w:val="bullet"/>
      <w:lvlText w:val="•"/>
      <w:lvlJc w:val="left"/>
      <w:pPr>
        <w:ind w:left="7740" w:hanging="360"/>
      </w:pPr>
      <w:rPr>
        <w:rFonts w:hint="default"/>
        <w:lang w:val="en-US" w:eastAsia="en-US" w:bidi="ar-SA"/>
      </w:rPr>
    </w:lvl>
  </w:abstractNum>
  <w:abstractNum w:abstractNumId="9"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0" w15:restartNumberingAfterBreak="0">
    <w:nsid w:val="26043343"/>
    <w:multiLevelType w:val="hybridMultilevel"/>
    <w:tmpl w:val="84BA4342"/>
    <w:lvl w:ilvl="0" w:tplc="CE9235E2">
      <w:start w:val="1"/>
      <w:numFmt w:val="lowerLetter"/>
      <w:lvlText w:val="(%1)"/>
      <w:lvlJc w:val="left"/>
      <w:pPr>
        <w:ind w:left="1245" w:hanging="360"/>
      </w:pPr>
      <w:rPr>
        <w:rFonts w:ascii="Arial" w:eastAsia="Arial" w:hAnsi="Arial" w:cs="Arial" w:hint="default"/>
        <w:spacing w:val="-1"/>
        <w:w w:val="100"/>
        <w:sz w:val="22"/>
        <w:szCs w:val="22"/>
        <w:lang w:val="en-US" w:eastAsia="en-US" w:bidi="ar-SA"/>
      </w:rPr>
    </w:lvl>
    <w:lvl w:ilvl="1" w:tplc="713EC65E">
      <w:numFmt w:val="bullet"/>
      <w:lvlText w:val="•"/>
      <w:lvlJc w:val="left"/>
      <w:pPr>
        <w:ind w:left="2052" w:hanging="360"/>
      </w:pPr>
      <w:rPr>
        <w:rFonts w:hint="default"/>
        <w:lang w:val="en-US" w:eastAsia="en-US" w:bidi="ar-SA"/>
      </w:rPr>
    </w:lvl>
    <w:lvl w:ilvl="2" w:tplc="7C8A60D2">
      <w:numFmt w:val="bullet"/>
      <w:lvlText w:val="•"/>
      <w:lvlJc w:val="left"/>
      <w:pPr>
        <w:ind w:left="2865" w:hanging="360"/>
      </w:pPr>
      <w:rPr>
        <w:rFonts w:hint="default"/>
        <w:lang w:val="en-US" w:eastAsia="en-US" w:bidi="ar-SA"/>
      </w:rPr>
    </w:lvl>
    <w:lvl w:ilvl="3" w:tplc="D2443864">
      <w:numFmt w:val="bullet"/>
      <w:lvlText w:val="•"/>
      <w:lvlJc w:val="left"/>
      <w:pPr>
        <w:ind w:left="3677" w:hanging="360"/>
      </w:pPr>
      <w:rPr>
        <w:rFonts w:hint="default"/>
        <w:lang w:val="en-US" w:eastAsia="en-US" w:bidi="ar-SA"/>
      </w:rPr>
    </w:lvl>
    <w:lvl w:ilvl="4" w:tplc="C33A2C5E">
      <w:numFmt w:val="bullet"/>
      <w:lvlText w:val="•"/>
      <w:lvlJc w:val="left"/>
      <w:pPr>
        <w:ind w:left="4490" w:hanging="360"/>
      </w:pPr>
      <w:rPr>
        <w:rFonts w:hint="default"/>
        <w:lang w:val="en-US" w:eastAsia="en-US" w:bidi="ar-SA"/>
      </w:rPr>
    </w:lvl>
    <w:lvl w:ilvl="5" w:tplc="705E4C86">
      <w:numFmt w:val="bullet"/>
      <w:lvlText w:val="•"/>
      <w:lvlJc w:val="left"/>
      <w:pPr>
        <w:ind w:left="5302" w:hanging="360"/>
      </w:pPr>
      <w:rPr>
        <w:rFonts w:hint="default"/>
        <w:lang w:val="en-US" w:eastAsia="en-US" w:bidi="ar-SA"/>
      </w:rPr>
    </w:lvl>
    <w:lvl w:ilvl="6" w:tplc="2F5C42B8">
      <w:numFmt w:val="bullet"/>
      <w:lvlText w:val="•"/>
      <w:lvlJc w:val="left"/>
      <w:pPr>
        <w:ind w:left="6115" w:hanging="360"/>
      </w:pPr>
      <w:rPr>
        <w:rFonts w:hint="default"/>
        <w:lang w:val="en-US" w:eastAsia="en-US" w:bidi="ar-SA"/>
      </w:rPr>
    </w:lvl>
    <w:lvl w:ilvl="7" w:tplc="088AE98C">
      <w:numFmt w:val="bullet"/>
      <w:lvlText w:val="•"/>
      <w:lvlJc w:val="left"/>
      <w:pPr>
        <w:ind w:left="6927" w:hanging="360"/>
      </w:pPr>
      <w:rPr>
        <w:rFonts w:hint="default"/>
        <w:lang w:val="en-US" w:eastAsia="en-US" w:bidi="ar-SA"/>
      </w:rPr>
    </w:lvl>
    <w:lvl w:ilvl="8" w:tplc="424A930C">
      <w:numFmt w:val="bullet"/>
      <w:lvlText w:val="•"/>
      <w:lvlJc w:val="left"/>
      <w:pPr>
        <w:ind w:left="7740" w:hanging="360"/>
      </w:pPr>
      <w:rPr>
        <w:rFonts w:hint="default"/>
        <w:lang w:val="en-US" w:eastAsia="en-US" w:bidi="ar-SA"/>
      </w:rPr>
    </w:lvl>
  </w:abstractNum>
  <w:abstractNum w:abstractNumId="11"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2" w15:restartNumberingAfterBreak="0">
    <w:nsid w:val="2B31354A"/>
    <w:multiLevelType w:val="multilevel"/>
    <w:tmpl w:val="43EC0CF8"/>
    <w:lvl w:ilvl="0">
      <w:start w:val="6"/>
      <w:numFmt w:val="decimal"/>
      <w:lvlText w:val="%1"/>
      <w:lvlJc w:val="left"/>
      <w:pPr>
        <w:ind w:left="831" w:hanging="721"/>
      </w:pPr>
      <w:rPr>
        <w:rFonts w:hint="default"/>
        <w:lang w:val="en-US" w:eastAsia="en-US" w:bidi="ar-SA"/>
      </w:rPr>
    </w:lvl>
    <w:lvl w:ilvl="1">
      <w:start w:val="1"/>
      <w:numFmt w:val="decimal"/>
      <w:lvlText w:val="%1.%2"/>
      <w:lvlJc w:val="left"/>
      <w:pPr>
        <w:ind w:left="831" w:hanging="721"/>
      </w:pPr>
      <w:rPr>
        <w:rFonts w:ascii="Arial" w:eastAsia="Arial" w:hAnsi="Arial" w:cs="Arial" w:hint="default"/>
        <w:b/>
        <w:bCs/>
        <w:spacing w:val="-1"/>
        <w:w w:val="100"/>
        <w:sz w:val="22"/>
        <w:szCs w:val="22"/>
        <w:lang w:val="en-US" w:eastAsia="en-US" w:bidi="ar-SA"/>
      </w:rPr>
    </w:lvl>
    <w:lvl w:ilvl="2">
      <w:start w:val="1"/>
      <w:numFmt w:val="decimal"/>
      <w:lvlText w:val="%1.%2.%3"/>
      <w:lvlJc w:val="left"/>
      <w:pPr>
        <w:ind w:left="831" w:hanging="721"/>
      </w:pPr>
      <w:rPr>
        <w:rFonts w:ascii="Arial" w:eastAsia="Arial" w:hAnsi="Arial" w:cs="Arial" w:hint="default"/>
        <w:b/>
        <w:bCs/>
        <w:i/>
        <w:iCs/>
        <w:spacing w:val="-1"/>
        <w:w w:val="100"/>
        <w:sz w:val="22"/>
        <w:szCs w:val="22"/>
        <w:lang w:val="en-US" w:eastAsia="en-US" w:bidi="ar-SA"/>
      </w:rPr>
    </w:lvl>
    <w:lvl w:ilvl="3">
      <w:start w:val="1"/>
      <w:numFmt w:val="decimal"/>
      <w:lvlText w:val="%1.%2.%3.%4"/>
      <w:lvlJc w:val="left"/>
      <w:pPr>
        <w:ind w:left="831" w:hanging="721"/>
      </w:pPr>
      <w:rPr>
        <w:rFonts w:ascii="Arial" w:eastAsia="Arial" w:hAnsi="Arial" w:cs="Arial" w:hint="default"/>
        <w:i/>
        <w:iCs/>
        <w:spacing w:val="-1"/>
        <w:w w:val="100"/>
        <w:sz w:val="22"/>
        <w:szCs w:val="22"/>
        <w:lang w:val="en-US" w:eastAsia="en-US" w:bidi="ar-SA"/>
      </w:rPr>
    </w:lvl>
    <w:lvl w:ilvl="4">
      <w:start w:val="1"/>
      <w:numFmt w:val="lowerLetter"/>
      <w:lvlText w:val="(%5)"/>
      <w:lvlJc w:val="left"/>
      <w:pPr>
        <w:ind w:left="1245" w:hanging="360"/>
      </w:pPr>
      <w:rPr>
        <w:rFonts w:ascii="Arial" w:eastAsia="Arial" w:hAnsi="Arial" w:cs="Arial" w:hint="default"/>
        <w:spacing w:val="-1"/>
        <w:w w:val="100"/>
        <w:sz w:val="22"/>
        <w:szCs w:val="22"/>
        <w:lang w:val="en-US" w:eastAsia="en-US" w:bidi="ar-SA"/>
      </w:rPr>
    </w:lvl>
    <w:lvl w:ilvl="5">
      <w:start w:val="1"/>
      <w:numFmt w:val="lowerRoman"/>
      <w:lvlText w:val="(%6)"/>
      <w:lvlJc w:val="left"/>
      <w:pPr>
        <w:ind w:left="1670" w:hanging="360"/>
      </w:pPr>
      <w:rPr>
        <w:rFonts w:ascii="Arial" w:eastAsia="Arial" w:hAnsi="Arial" w:cs="Arial" w:hint="default"/>
        <w:spacing w:val="-1"/>
        <w:w w:val="100"/>
        <w:sz w:val="22"/>
        <w:szCs w:val="22"/>
        <w:lang w:val="en-US" w:eastAsia="en-US" w:bidi="ar-SA"/>
      </w:rPr>
    </w:lvl>
    <w:lvl w:ilvl="6">
      <w:numFmt w:val="bullet"/>
      <w:lvlText w:val="•"/>
      <w:lvlJc w:val="left"/>
      <w:pPr>
        <w:ind w:left="4973" w:hanging="360"/>
      </w:pPr>
      <w:rPr>
        <w:rFonts w:hint="default"/>
        <w:lang w:val="en-US" w:eastAsia="en-US" w:bidi="ar-SA"/>
      </w:rPr>
    </w:lvl>
    <w:lvl w:ilvl="7">
      <w:numFmt w:val="bullet"/>
      <w:lvlText w:val="•"/>
      <w:lvlJc w:val="left"/>
      <w:pPr>
        <w:ind w:left="6071" w:hanging="360"/>
      </w:pPr>
      <w:rPr>
        <w:rFonts w:hint="default"/>
        <w:lang w:val="en-US" w:eastAsia="en-US" w:bidi="ar-SA"/>
      </w:rPr>
    </w:lvl>
    <w:lvl w:ilvl="8">
      <w:numFmt w:val="bullet"/>
      <w:lvlText w:val="•"/>
      <w:lvlJc w:val="left"/>
      <w:pPr>
        <w:ind w:left="7169" w:hanging="360"/>
      </w:pPr>
      <w:rPr>
        <w:rFonts w:hint="default"/>
        <w:lang w:val="en-US" w:eastAsia="en-US" w:bidi="ar-SA"/>
      </w:rPr>
    </w:lvl>
  </w:abstractNum>
  <w:abstractNum w:abstractNumId="13" w15:restartNumberingAfterBreak="0">
    <w:nsid w:val="33F56A66"/>
    <w:multiLevelType w:val="hybridMultilevel"/>
    <w:tmpl w:val="3CE0CCF0"/>
    <w:lvl w:ilvl="0" w:tplc="955EC02A">
      <w:start w:val="1"/>
      <w:numFmt w:val="lowerLetter"/>
      <w:lvlText w:val="(%1)"/>
      <w:lvlJc w:val="left"/>
      <w:pPr>
        <w:ind w:left="1245" w:hanging="360"/>
        <w:jc w:val="left"/>
      </w:pPr>
      <w:rPr>
        <w:rFonts w:ascii="Arial" w:eastAsia="Arial" w:hAnsi="Arial" w:cs="Arial" w:hint="default"/>
        <w:spacing w:val="-1"/>
        <w:w w:val="100"/>
        <w:sz w:val="22"/>
        <w:szCs w:val="22"/>
        <w:lang w:val="en-US" w:eastAsia="en-US" w:bidi="ar-SA"/>
      </w:rPr>
    </w:lvl>
    <w:lvl w:ilvl="1" w:tplc="8E783BE8">
      <w:numFmt w:val="bullet"/>
      <w:lvlText w:val="•"/>
      <w:lvlJc w:val="left"/>
      <w:pPr>
        <w:ind w:left="2052" w:hanging="360"/>
      </w:pPr>
      <w:rPr>
        <w:rFonts w:hint="default"/>
        <w:lang w:val="en-US" w:eastAsia="en-US" w:bidi="ar-SA"/>
      </w:rPr>
    </w:lvl>
    <w:lvl w:ilvl="2" w:tplc="C382C42A">
      <w:numFmt w:val="bullet"/>
      <w:lvlText w:val="•"/>
      <w:lvlJc w:val="left"/>
      <w:pPr>
        <w:ind w:left="2865" w:hanging="360"/>
      </w:pPr>
      <w:rPr>
        <w:rFonts w:hint="default"/>
        <w:lang w:val="en-US" w:eastAsia="en-US" w:bidi="ar-SA"/>
      </w:rPr>
    </w:lvl>
    <w:lvl w:ilvl="3" w:tplc="369C55EC">
      <w:numFmt w:val="bullet"/>
      <w:lvlText w:val="•"/>
      <w:lvlJc w:val="left"/>
      <w:pPr>
        <w:ind w:left="3677" w:hanging="360"/>
      </w:pPr>
      <w:rPr>
        <w:rFonts w:hint="default"/>
        <w:lang w:val="en-US" w:eastAsia="en-US" w:bidi="ar-SA"/>
      </w:rPr>
    </w:lvl>
    <w:lvl w:ilvl="4" w:tplc="D4C62D7E">
      <w:numFmt w:val="bullet"/>
      <w:lvlText w:val="•"/>
      <w:lvlJc w:val="left"/>
      <w:pPr>
        <w:ind w:left="4490" w:hanging="360"/>
      </w:pPr>
      <w:rPr>
        <w:rFonts w:hint="default"/>
        <w:lang w:val="en-US" w:eastAsia="en-US" w:bidi="ar-SA"/>
      </w:rPr>
    </w:lvl>
    <w:lvl w:ilvl="5" w:tplc="ACEC6C7E">
      <w:numFmt w:val="bullet"/>
      <w:lvlText w:val="•"/>
      <w:lvlJc w:val="left"/>
      <w:pPr>
        <w:ind w:left="5302" w:hanging="360"/>
      </w:pPr>
      <w:rPr>
        <w:rFonts w:hint="default"/>
        <w:lang w:val="en-US" w:eastAsia="en-US" w:bidi="ar-SA"/>
      </w:rPr>
    </w:lvl>
    <w:lvl w:ilvl="6" w:tplc="B5F2AC56">
      <w:numFmt w:val="bullet"/>
      <w:lvlText w:val="•"/>
      <w:lvlJc w:val="left"/>
      <w:pPr>
        <w:ind w:left="6115" w:hanging="360"/>
      </w:pPr>
      <w:rPr>
        <w:rFonts w:hint="default"/>
        <w:lang w:val="en-US" w:eastAsia="en-US" w:bidi="ar-SA"/>
      </w:rPr>
    </w:lvl>
    <w:lvl w:ilvl="7" w:tplc="ED22C394">
      <w:numFmt w:val="bullet"/>
      <w:lvlText w:val="•"/>
      <w:lvlJc w:val="left"/>
      <w:pPr>
        <w:ind w:left="6927" w:hanging="360"/>
      </w:pPr>
      <w:rPr>
        <w:rFonts w:hint="default"/>
        <w:lang w:val="en-US" w:eastAsia="en-US" w:bidi="ar-SA"/>
      </w:rPr>
    </w:lvl>
    <w:lvl w:ilvl="8" w:tplc="76C86910">
      <w:numFmt w:val="bullet"/>
      <w:lvlText w:val="•"/>
      <w:lvlJc w:val="left"/>
      <w:pPr>
        <w:ind w:left="7740" w:hanging="360"/>
      </w:pPr>
      <w:rPr>
        <w:rFonts w:hint="default"/>
        <w:lang w:val="en-US" w:eastAsia="en-US" w:bidi="ar-SA"/>
      </w:rPr>
    </w:lvl>
  </w:abstractNum>
  <w:abstractNum w:abstractNumId="1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42936"/>
    <w:multiLevelType w:val="hybridMultilevel"/>
    <w:tmpl w:val="88CA4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1C5C"/>
    <w:multiLevelType w:val="multilevel"/>
    <w:tmpl w:val="8214AFB8"/>
    <w:lvl w:ilvl="0">
      <w:start w:val="9"/>
      <w:numFmt w:val="decimal"/>
      <w:lvlText w:val="%1"/>
      <w:lvlJc w:val="left"/>
      <w:pPr>
        <w:ind w:left="831" w:hanging="721"/>
      </w:pPr>
      <w:rPr>
        <w:rFonts w:hint="default"/>
        <w:lang w:val="en-US" w:eastAsia="en-US" w:bidi="ar-SA"/>
      </w:rPr>
    </w:lvl>
    <w:lvl w:ilvl="1">
      <w:start w:val="1"/>
      <w:numFmt w:val="decimal"/>
      <w:lvlText w:val="%1.%2"/>
      <w:lvlJc w:val="left"/>
      <w:pPr>
        <w:ind w:left="831" w:hanging="721"/>
      </w:pPr>
      <w:rPr>
        <w:rFonts w:ascii="Arial" w:eastAsia="Arial" w:hAnsi="Arial" w:cs="Arial" w:hint="default"/>
        <w:b/>
        <w:bCs/>
        <w:spacing w:val="-1"/>
        <w:w w:val="100"/>
        <w:sz w:val="22"/>
        <w:szCs w:val="22"/>
        <w:lang w:val="en-US" w:eastAsia="en-US" w:bidi="ar-SA"/>
      </w:rPr>
    </w:lvl>
    <w:lvl w:ilvl="2">
      <w:start w:val="1"/>
      <w:numFmt w:val="lowerLetter"/>
      <w:lvlText w:val="%3)"/>
      <w:lvlJc w:val="left"/>
      <w:pPr>
        <w:ind w:left="1245" w:hanging="189"/>
      </w:pPr>
      <w:rPr>
        <w:rFonts w:ascii="Arial" w:eastAsia="Arial" w:hAnsi="Arial" w:cs="Arial" w:hint="default"/>
        <w:spacing w:val="-1"/>
        <w:w w:val="100"/>
        <w:sz w:val="19"/>
        <w:szCs w:val="19"/>
        <w:lang w:val="en-US" w:eastAsia="en-US" w:bidi="ar-SA"/>
      </w:rPr>
    </w:lvl>
    <w:lvl w:ilvl="3">
      <w:numFmt w:val="bullet"/>
      <w:lvlText w:val="•"/>
      <w:lvlJc w:val="left"/>
      <w:pPr>
        <w:ind w:left="3045" w:hanging="189"/>
      </w:pPr>
      <w:rPr>
        <w:rFonts w:hint="default"/>
        <w:lang w:val="en-US" w:eastAsia="en-US" w:bidi="ar-SA"/>
      </w:rPr>
    </w:lvl>
    <w:lvl w:ilvl="4">
      <w:numFmt w:val="bullet"/>
      <w:lvlText w:val="•"/>
      <w:lvlJc w:val="left"/>
      <w:pPr>
        <w:ind w:left="3948" w:hanging="189"/>
      </w:pPr>
      <w:rPr>
        <w:rFonts w:hint="default"/>
        <w:lang w:val="en-US" w:eastAsia="en-US" w:bidi="ar-SA"/>
      </w:rPr>
    </w:lvl>
    <w:lvl w:ilvl="5">
      <w:numFmt w:val="bullet"/>
      <w:lvlText w:val="•"/>
      <w:lvlJc w:val="left"/>
      <w:pPr>
        <w:ind w:left="4851" w:hanging="189"/>
      </w:pPr>
      <w:rPr>
        <w:rFonts w:hint="default"/>
        <w:lang w:val="en-US" w:eastAsia="en-US" w:bidi="ar-SA"/>
      </w:rPr>
    </w:lvl>
    <w:lvl w:ilvl="6">
      <w:numFmt w:val="bullet"/>
      <w:lvlText w:val="•"/>
      <w:lvlJc w:val="left"/>
      <w:pPr>
        <w:ind w:left="5754" w:hanging="189"/>
      </w:pPr>
      <w:rPr>
        <w:rFonts w:hint="default"/>
        <w:lang w:val="en-US" w:eastAsia="en-US" w:bidi="ar-SA"/>
      </w:rPr>
    </w:lvl>
    <w:lvl w:ilvl="7">
      <w:numFmt w:val="bullet"/>
      <w:lvlText w:val="•"/>
      <w:lvlJc w:val="left"/>
      <w:pPr>
        <w:ind w:left="6657" w:hanging="189"/>
      </w:pPr>
      <w:rPr>
        <w:rFonts w:hint="default"/>
        <w:lang w:val="en-US" w:eastAsia="en-US" w:bidi="ar-SA"/>
      </w:rPr>
    </w:lvl>
    <w:lvl w:ilvl="8">
      <w:numFmt w:val="bullet"/>
      <w:lvlText w:val="•"/>
      <w:lvlJc w:val="left"/>
      <w:pPr>
        <w:ind w:left="7559" w:hanging="189"/>
      </w:pPr>
      <w:rPr>
        <w:rFonts w:hint="default"/>
        <w:lang w:val="en-US" w:eastAsia="en-US" w:bidi="ar-SA"/>
      </w:rPr>
    </w:lvl>
  </w:abstractNum>
  <w:abstractNum w:abstractNumId="21" w15:restartNumberingAfterBreak="0">
    <w:nsid w:val="46FF6DB0"/>
    <w:multiLevelType w:val="hybridMultilevel"/>
    <w:tmpl w:val="980C6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5978"/>
    <w:multiLevelType w:val="hybridMultilevel"/>
    <w:tmpl w:val="1F7C23B2"/>
    <w:lvl w:ilvl="0" w:tplc="ECA4F52C">
      <w:start w:val="1"/>
      <w:numFmt w:val="lowerLetter"/>
      <w:lvlText w:val="(%1)"/>
      <w:lvlJc w:val="left"/>
      <w:pPr>
        <w:ind w:left="1246" w:hanging="360"/>
      </w:pPr>
      <w:rPr>
        <w:rFonts w:ascii="Arial" w:eastAsia="Arial" w:hAnsi="Arial" w:cs="Arial" w:hint="default"/>
        <w:spacing w:val="-1"/>
        <w:w w:val="100"/>
        <w:sz w:val="22"/>
        <w:szCs w:val="22"/>
        <w:lang w:val="en-US" w:eastAsia="en-US" w:bidi="ar-SA"/>
      </w:rPr>
    </w:lvl>
    <w:lvl w:ilvl="1" w:tplc="384C0A0C">
      <w:numFmt w:val="bullet"/>
      <w:lvlText w:val="•"/>
      <w:lvlJc w:val="left"/>
      <w:pPr>
        <w:ind w:left="2052" w:hanging="360"/>
      </w:pPr>
      <w:rPr>
        <w:rFonts w:hint="default"/>
        <w:lang w:val="en-US" w:eastAsia="en-US" w:bidi="ar-SA"/>
      </w:rPr>
    </w:lvl>
    <w:lvl w:ilvl="2" w:tplc="BE4AB732">
      <w:numFmt w:val="bullet"/>
      <w:lvlText w:val="•"/>
      <w:lvlJc w:val="left"/>
      <w:pPr>
        <w:ind w:left="2865" w:hanging="360"/>
      </w:pPr>
      <w:rPr>
        <w:rFonts w:hint="default"/>
        <w:lang w:val="en-US" w:eastAsia="en-US" w:bidi="ar-SA"/>
      </w:rPr>
    </w:lvl>
    <w:lvl w:ilvl="3" w:tplc="A978E516">
      <w:numFmt w:val="bullet"/>
      <w:lvlText w:val="•"/>
      <w:lvlJc w:val="left"/>
      <w:pPr>
        <w:ind w:left="3677" w:hanging="360"/>
      </w:pPr>
      <w:rPr>
        <w:rFonts w:hint="default"/>
        <w:lang w:val="en-US" w:eastAsia="en-US" w:bidi="ar-SA"/>
      </w:rPr>
    </w:lvl>
    <w:lvl w:ilvl="4" w:tplc="FC66841E">
      <w:numFmt w:val="bullet"/>
      <w:lvlText w:val="•"/>
      <w:lvlJc w:val="left"/>
      <w:pPr>
        <w:ind w:left="4490" w:hanging="360"/>
      </w:pPr>
      <w:rPr>
        <w:rFonts w:hint="default"/>
        <w:lang w:val="en-US" w:eastAsia="en-US" w:bidi="ar-SA"/>
      </w:rPr>
    </w:lvl>
    <w:lvl w:ilvl="5" w:tplc="E2BC0108">
      <w:numFmt w:val="bullet"/>
      <w:lvlText w:val="•"/>
      <w:lvlJc w:val="left"/>
      <w:pPr>
        <w:ind w:left="5302" w:hanging="360"/>
      </w:pPr>
      <w:rPr>
        <w:rFonts w:hint="default"/>
        <w:lang w:val="en-US" w:eastAsia="en-US" w:bidi="ar-SA"/>
      </w:rPr>
    </w:lvl>
    <w:lvl w:ilvl="6" w:tplc="C7D4B744">
      <w:numFmt w:val="bullet"/>
      <w:lvlText w:val="•"/>
      <w:lvlJc w:val="left"/>
      <w:pPr>
        <w:ind w:left="6115" w:hanging="360"/>
      </w:pPr>
      <w:rPr>
        <w:rFonts w:hint="default"/>
        <w:lang w:val="en-US" w:eastAsia="en-US" w:bidi="ar-SA"/>
      </w:rPr>
    </w:lvl>
    <w:lvl w:ilvl="7" w:tplc="27A8E422">
      <w:numFmt w:val="bullet"/>
      <w:lvlText w:val="•"/>
      <w:lvlJc w:val="left"/>
      <w:pPr>
        <w:ind w:left="6927" w:hanging="360"/>
      </w:pPr>
      <w:rPr>
        <w:rFonts w:hint="default"/>
        <w:lang w:val="en-US" w:eastAsia="en-US" w:bidi="ar-SA"/>
      </w:rPr>
    </w:lvl>
    <w:lvl w:ilvl="8" w:tplc="7CE8323C">
      <w:numFmt w:val="bullet"/>
      <w:lvlText w:val="•"/>
      <w:lvlJc w:val="left"/>
      <w:pPr>
        <w:ind w:left="7740" w:hanging="360"/>
      </w:pPr>
      <w:rPr>
        <w:rFonts w:hint="default"/>
        <w:lang w:val="en-US" w:eastAsia="en-US" w:bidi="ar-SA"/>
      </w:rPr>
    </w:lvl>
  </w:abstractNum>
  <w:abstractNum w:abstractNumId="23" w15:restartNumberingAfterBreak="0">
    <w:nsid w:val="508254BA"/>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E027E"/>
    <w:multiLevelType w:val="hybridMultilevel"/>
    <w:tmpl w:val="F2680652"/>
    <w:lvl w:ilvl="0" w:tplc="C7548E3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14FFA"/>
    <w:multiLevelType w:val="hybridMultilevel"/>
    <w:tmpl w:val="25080D18"/>
    <w:lvl w:ilvl="0" w:tplc="BB08919A">
      <w:start w:val="1"/>
      <w:numFmt w:val="upp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2"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4"/>
  </w:num>
  <w:num w:numId="5">
    <w:abstractNumId w:val="16"/>
  </w:num>
  <w:num w:numId="6">
    <w:abstractNumId w:val="31"/>
  </w:num>
  <w:num w:numId="7">
    <w:abstractNumId w:val="6"/>
  </w:num>
  <w:num w:numId="8">
    <w:abstractNumId w:val="28"/>
  </w:num>
  <w:num w:numId="9">
    <w:abstractNumId w:val="30"/>
  </w:num>
  <w:num w:numId="10">
    <w:abstractNumId w:val="14"/>
  </w:num>
  <w:num w:numId="11">
    <w:abstractNumId w:val="27"/>
  </w:num>
  <w:num w:numId="12">
    <w:abstractNumId w:val="17"/>
  </w:num>
  <w:num w:numId="13">
    <w:abstractNumId w:val="19"/>
  </w:num>
  <w:num w:numId="14">
    <w:abstractNumId w:val="2"/>
  </w:num>
  <w:num w:numId="15">
    <w:abstractNumId w:val="25"/>
  </w:num>
  <w:num w:numId="16">
    <w:abstractNumId w:val="29"/>
  </w:num>
  <w:num w:numId="17">
    <w:abstractNumId w:val="32"/>
  </w:num>
  <w:num w:numId="18">
    <w:abstractNumId w:val="22"/>
  </w:num>
  <w:num w:numId="19">
    <w:abstractNumId w:val="7"/>
  </w:num>
  <w:num w:numId="20">
    <w:abstractNumId w:val="10"/>
  </w:num>
  <w:num w:numId="21">
    <w:abstractNumId w:val="12"/>
  </w:num>
  <w:num w:numId="22">
    <w:abstractNumId w:val="23"/>
  </w:num>
  <w:num w:numId="23">
    <w:abstractNumId w:val="8"/>
  </w:num>
  <w:num w:numId="24">
    <w:abstractNumId w:val="20"/>
  </w:num>
  <w:num w:numId="25">
    <w:abstractNumId w:val="0"/>
  </w:num>
  <w:num w:numId="26">
    <w:abstractNumId w:val="21"/>
  </w:num>
  <w:num w:numId="27">
    <w:abstractNumId w:val="5"/>
  </w:num>
  <w:num w:numId="28">
    <w:abstractNumId w:val="3"/>
  </w:num>
  <w:num w:numId="29">
    <w:abstractNumId w:val="26"/>
  </w:num>
  <w:num w:numId="30">
    <w:abstractNumId w:val="18"/>
  </w:num>
  <w:num w:numId="31">
    <w:abstractNumId w:val="24"/>
  </w:num>
  <w:num w:numId="32">
    <w:abstractNumId w:val="13"/>
  </w:num>
  <w:num w:numId="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81D"/>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0E1C"/>
    <w:rsid w:val="00101707"/>
    <w:rsid w:val="00102CC9"/>
    <w:rsid w:val="0010593A"/>
    <w:rsid w:val="00105948"/>
    <w:rsid w:val="00111BCD"/>
    <w:rsid w:val="0011473D"/>
    <w:rsid w:val="00115181"/>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11C53"/>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0538"/>
    <w:rsid w:val="00282457"/>
    <w:rsid w:val="00284EBE"/>
    <w:rsid w:val="002901F4"/>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114"/>
    <w:rsid w:val="002F325F"/>
    <w:rsid w:val="002F3440"/>
    <w:rsid w:val="002F75A3"/>
    <w:rsid w:val="002F7D0F"/>
    <w:rsid w:val="00303C2F"/>
    <w:rsid w:val="0031380A"/>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A77C3"/>
    <w:rsid w:val="003B170F"/>
    <w:rsid w:val="003B3C5F"/>
    <w:rsid w:val="003B6014"/>
    <w:rsid w:val="003C4471"/>
    <w:rsid w:val="003D0A6D"/>
    <w:rsid w:val="003D1EF3"/>
    <w:rsid w:val="003D55C1"/>
    <w:rsid w:val="003D70A7"/>
    <w:rsid w:val="003E0B16"/>
    <w:rsid w:val="003E22E2"/>
    <w:rsid w:val="003E67D1"/>
    <w:rsid w:val="003F53F0"/>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147E"/>
    <w:rsid w:val="00477C72"/>
    <w:rsid w:val="00491675"/>
    <w:rsid w:val="00493855"/>
    <w:rsid w:val="00494E28"/>
    <w:rsid w:val="00495E79"/>
    <w:rsid w:val="004A2D83"/>
    <w:rsid w:val="004A57DD"/>
    <w:rsid w:val="004A7B51"/>
    <w:rsid w:val="004A7D71"/>
    <w:rsid w:val="004A7EF3"/>
    <w:rsid w:val="004B11FD"/>
    <w:rsid w:val="004B23A2"/>
    <w:rsid w:val="004C41FC"/>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03885"/>
    <w:rsid w:val="00506BC9"/>
    <w:rsid w:val="00510B34"/>
    <w:rsid w:val="005177FE"/>
    <w:rsid w:val="00520A4E"/>
    <w:rsid w:val="0052263B"/>
    <w:rsid w:val="00524728"/>
    <w:rsid w:val="005312B3"/>
    <w:rsid w:val="00531721"/>
    <w:rsid w:val="005331CA"/>
    <w:rsid w:val="00537970"/>
    <w:rsid w:val="00540E3A"/>
    <w:rsid w:val="00544127"/>
    <w:rsid w:val="005463A9"/>
    <w:rsid w:val="00546D65"/>
    <w:rsid w:val="00553EB2"/>
    <w:rsid w:val="00560534"/>
    <w:rsid w:val="00561083"/>
    <w:rsid w:val="0056391B"/>
    <w:rsid w:val="005650E2"/>
    <w:rsid w:val="00567160"/>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60B9"/>
    <w:rsid w:val="00657087"/>
    <w:rsid w:val="00661BA6"/>
    <w:rsid w:val="00661D51"/>
    <w:rsid w:val="006639DB"/>
    <w:rsid w:val="006661EF"/>
    <w:rsid w:val="00667F67"/>
    <w:rsid w:val="00670CB1"/>
    <w:rsid w:val="00677AEB"/>
    <w:rsid w:val="00680EF2"/>
    <w:rsid w:val="00684441"/>
    <w:rsid w:val="00687A1D"/>
    <w:rsid w:val="006938E5"/>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191D"/>
    <w:rsid w:val="00713DA4"/>
    <w:rsid w:val="00714BF1"/>
    <w:rsid w:val="00721383"/>
    <w:rsid w:val="00723343"/>
    <w:rsid w:val="007237A9"/>
    <w:rsid w:val="00726B93"/>
    <w:rsid w:val="00730E8C"/>
    <w:rsid w:val="0073158B"/>
    <w:rsid w:val="007333CC"/>
    <w:rsid w:val="0073399A"/>
    <w:rsid w:val="00737587"/>
    <w:rsid w:val="00740DAD"/>
    <w:rsid w:val="0074640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3A32"/>
    <w:rsid w:val="007A50B0"/>
    <w:rsid w:val="007A709E"/>
    <w:rsid w:val="007A7387"/>
    <w:rsid w:val="007B507E"/>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7775F"/>
    <w:rsid w:val="00881DE6"/>
    <w:rsid w:val="008837A6"/>
    <w:rsid w:val="0089145D"/>
    <w:rsid w:val="008A4DF2"/>
    <w:rsid w:val="008A56CE"/>
    <w:rsid w:val="008A6CFE"/>
    <w:rsid w:val="008B0F78"/>
    <w:rsid w:val="008B155E"/>
    <w:rsid w:val="008B5333"/>
    <w:rsid w:val="008B5FB5"/>
    <w:rsid w:val="008B6223"/>
    <w:rsid w:val="008B779D"/>
    <w:rsid w:val="008C66E0"/>
    <w:rsid w:val="008C7C2E"/>
    <w:rsid w:val="008E3339"/>
    <w:rsid w:val="008F20FC"/>
    <w:rsid w:val="008F5FFE"/>
    <w:rsid w:val="00905625"/>
    <w:rsid w:val="00905A43"/>
    <w:rsid w:val="00912C79"/>
    <w:rsid w:val="00921B8C"/>
    <w:rsid w:val="00942123"/>
    <w:rsid w:val="0095207B"/>
    <w:rsid w:val="00953AE7"/>
    <w:rsid w:val="00954F89"/>
    <w:rsid w:val="00962045"/>
    <w:rsid w:val="00974665"/>
    <w:rsid w:val="00980E61"/>
    <w:rsid w:val="00982D07"/>
    <w:rsid w:val="00987CB1"/>
    <w:rsid w:val="00991428"/>
    <w:rsid w:val="009918B9"/>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6067"/>
    <w:rsid w:val="00A01DDA"/>
    <w:rsid w:val="00A047EE"/>
    <w:rsid w:val="00A2274A"/>
    <w:rsid w:val="00A235B7"/>
    <w:rsid w:val="00A27A7A"/>
    <w:rsid w:val="00A34ABE"/>
    <w:rsid w:val="00A407EF"/>
    <w:rsid w:val="00A46B4C"/>
    <w:rsid w:val="00A5117B"/>
    <w:rsid w:val="00A56D34"/>
    <w:rsid w:val="00A57EFB"/>
    <w:rsid w:val="00A60074"/>
    <w:rsid w:val="00A625C8"/>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47"/>
    <w:rsid w:val="00B81AE8"/>
    <w:rsid w:val="00B82586"/>
    <w:rsid w:val="00B829A3"/>
    <w:rsid w:val="00B86DB1"/>
    <w:rsid w:val="00B87869"/>
    <w:rsid w:val="00B9639B"/>
    <w:rsid w:val="00BA7992"/>
    <w:rsid w:val="00BB0F2B"/>
    <w:rsid w:val="00BE4FF3"/>
    <w:rsid w:val="00BE5B8E"/>
    <w:rsid w:val="00BE65AA"/>
    <w:rsid w:val="00BF42A8"/>
    <w:rsid w:val="00BF50F7"/>
    <w:rsid w:val="00C02F29"/>
    <w:rsid w:val="00C041E8"/>
    <w:rsid w:val="00C13403"/>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1E61"/>
    <w:rsid w:val="00C82D87"/>
    <w:rsid w:val="00C8712A"/>
    <w:rsid w:val="00C902C8"/>
    <w:rsid w:val="00C919D1"/>
    <w:rsid w:val="00C960CA"/>
    <w:rsid w:val="00C963D3"/>
    <w:rsid w:val="00CB1983"/>
    <w:rsid w:val="00CB2480"/>
    <w:rsid w:val="00CB2CBB"/>
    <w:rsid w:val="00CB5FD0"/>
    <w:rsid w:val="00CB7CAC"/>
    <w:rsid w:val="00CC0239"/>
    <w:rsid w:val="00CC158E"/>
    <w:rsid w:val="00CC5335"/>
    <w:rsid w:val="00CC5BA4"/>
    <w:rsid w:val="00CD4998"/>
    <w:rsid w:val="00CE1035"/>
    <w:rsid w:val="00CE6E50"/>
    <w:rsid w:val="00CF14BE"/>
    <w:rsid w:val="00CF2819"/>
    <w:rsid w:val="00CF3A5A"/>
    <w:rsid w:val="00CF4F9D"/>
    <w:rsid w:val="00CF6E14"/>
    <w:rsid w:val="00CF70DC"/>
    <w:rsid w:val="00D0080B"/>
    <w:rsid w:val="00D01093"/>
    <w:rsid w:val="00D01A62"/>
    <w:rsid w:val="00D148DC"/>
    <w:rsid w:val="00D17FDC"/>
    <w:rsid w:val="00D21D8C"/>
    <w:rsid w:val="00D21F25"/>
    <w:rsid w:val="00D307FA"/>
    <w:rsid w:val="00D41877"/>
    <w:rsid w:val="00D53719"/>
    <w:rsid w:val="00D63EFD"/>
    <w:rsid w:val="00D65741"/>
    <w:rsid w:val="00D7507B"/>
    <w:rsid w:val="00D77884"/>
    <w:rsid w:val="00D80DC2"/>
    <w:rsid w:val="00D83894"/>
    <w:rsid w:val="00D84752"/>
    <w:rsid w:val="00D86B3B"/>
    <w:rsid w:val="00D8748A"/>
    <w:rsid w:val="00D93196"/>
    <w:rsid w:val="00D94CD3"/>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2405"/>
    <w:rsid w:val="00E15BA9"/>
    <w:rsid w:val="00E23A7A"/>
    <w:rsid w:val="00E26E19"/>
    <w:rsid w:val="00E3041B"/>
    <w:rsid w:val="00E30CC7"/>
    <w:rsid w:val="00E31DF3"/>
    <w:rsid w:val="00E426B2"/>
    <w:rsid w:val="00E450A4"/>
    <w:rsid w:val="00E45B05"/>
    <w:rsid w:val="00E472B0"/>
    <w:rsid w:val="00E506BE"/>
    <w:rsid w:val="00E522E3"/>
    <w:rsid w:val="00E534E3"/>
    <w:rsid w:val="00E55547"/>
    <w:rsid w:val="00E6270A"/>
    <w:rsid w:val="00E6302B"/>
    <w:rsid w:val="00E64236"/>
    <w:rsid w:val="00E6452F"/>
    <w:rsid w:val="00E64F45"/>
    <w:rsid w:val="00E6742D"/>
    <w:rsid w:val="00E700E4"/>
    <w:rsid w:val="00E71CB0"/>
    <w:rsid w:val="00E71F79"/>
    <w:rsid w:val="00E73133"/>
    <w:rsid w:val="00E73C3B"/>
    <w:rsid w:val="00E77C3D"/>
    <w:rsid w:val="00E90991"/>
    <w:rsid w:val="00E909F0"/>
    <w:rsid w:val="00E90D47"/>
    <w:rsid w:val="00E91E1D"/>
    <w:rsid w:val="00E93993"/>
    <w:rsid w:val="00E9597C"/>
    <w:rsid w:val="00E95C42"/>
    <w:rsid w:val="00E966D9"/>
    <w:rsid w:val="00E96FB1"/>
    <w:rsid w:val="00EA037E"/>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1F6"/>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1FB1"/>
    <w:rsid w:val="00F74EAE"/>
    <w:rsid w:val="00F83F59"/>
    <w:rsid w:val="00F860C9"/>
    <w:rsid w:val="00F927F0"/>
    <w:rsid w:val="00F97C5B"/>
    <w:rsid w:val="00FA3D50"/>
    <w:rsid w:val="00FA721C"/>
    <w:rsid w:val="00FB4207"/>
    <w:rsid w:val="00FB7FBD"/>
    <w:rsid w:val="00FC32B6"/>
    <w:rsid w:val="00FC374A"/>
    <w:rsid w:val="00FC74C8"/>
    <w:rsid w:val="00FC7B47"/>
    <w:rsid w:val="00FD035C"/>
    <w:rsid w:val="00FD1A35"/>
    <w:rsid w:val="00FD2EA4"/>
    <w:rsid w:val="00FD36C5"/>
    <w:rsid w:val="00FD6310"/>
    <w:rsid w:val="00FD69FD"/>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1"/>
    <w:qFormat/>
    <w:rsid w:val="00C13403"/>
    <w:pPr>
      <w:widowControl w:val="0"/>
      <w:autoSpaceDE w:val="0"/>
      <w:autoSpaceDN w:val="0"/>
      <w:ind w:left="83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31380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1380A"/>
    <w:rPr>
      <w:rFonts w:ascii="Arial" w:eastAsia="Arial" w:hAnsi="Arial" w:cs="Arial"/>
      <w:sz w:val="22"/>
      <w:szCs w:val="22"/>
    </w:rPr>
  </w:style>
  <w:style w:type="character" w:customStyle="1" w:styleId="Heading1Char">
    <w:name w:val="Heading 1 Char"/>
    <w:basedOn w:val="DefaultParagraphFont"/>
    <w:link w:val="Heading1"/>
    <w:uiPriority w:val="1"/>
    <w:rsid w:val="00C13403"/>
    <w:rPr>
      <w:rFonts w:ascii="Arial" w:eastAsia="Arial" w:hAnsi="Arial" w:cs="Arial"/>
      <w:b/>
      <w:bCs/>
      <w:sz w:val="22"/>
      <w:szCs w:val="22"/>
    </w:rPr>
  </w:style>
  <w:style w:type="table" w:styleId="TableGrid">
    <w:name w:val="Table Grid"/>
    <w:basedOn w:val="TableNormal"/>
    <w:uiPriority w:val="39"/>
    <w:rsid w:val="00D0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41877"/>
  </w:style>
  <w:style w:type="character" w:customStyle="1" w:styleId="kx21rb">
    <w:name w:val="kx21rb"/>
    <w:basedOn w:val="DefaultParagraphFont"/>
    <w:rsid w:val="00D41877"/>
  </w:style>
  <w:style w:type="character" w:styleId="Emphasis">
    <w:name w:val="Emphasis"/>
    <w:basedOn w:val="DefaultParagraphFont"/>
    <w:uiPriority w:val="20"/>
    <w:qFormat/>
    <w:rsid w:val="00506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04557C69-8D06-4BF5-9BAA-4FEAC3456CCC}">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5145</Words>
  <Characters>25473</Characters>
  <Application>Microsoft Office Word</Application>
  <DocSecurity>0</DocSecurity>
  <Lines>653</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Burdette</cp:lastModifiedBy>
  <cp:revision>2</cp:revision>
  <dcterms:created xsi:type="dcterms:W3CDTF">2021-09-06T17:12:00Z</dcterms:created>
  <dcterms:modified xsi:type="dcterms:W3CDTF">2021-09-06T17:12:00Z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