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B52DF4">
        <w:rPr>
          <w:rFonts w:ascii="Arial" w:hAnsi="Arial" w:cs="Arial"/>
          <w:sz w:val="22"/>
          <w:szCs w:val="22"/>
          <w:highlight w:val="yellow"/>
          <w:lang w:val="en-GB"/>
        </w:rPr>
        <w:t>Adoption of the UNCITRAL Model Law on Cross-Border Insolvency</w:t>
      </w:r>
      <w:r w:rsidR="00E95C42" w:rsidRPr="00851178">
        <w:rPr>
          <w:rFonts w:ascii="Arial" w:hAnsi="Arial" w:cs="Arial"/>
          <w:sz w:val="22"/>
          <w:szCs w:val="22"/>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0F0B79" w:rsidRDefault="0007291B" w:rsidP="00BE65AA">
      <w:pPr>
        <w:pStyle w:val="ListParagraph"/>
        <w:numPr>
          <w:ilvl w:val="0"/>
          <w:numId w:val="5"/>
        </w:numPr>
        <w:ind w:left="426"/>
        <w:jc w:val="both"/>
        <w:rPr>
          <w:rFonts w:ascii="Arial" w:hAnsi="Arial" w:cs="Arial"/>
          <w:sz w:val="22"/>
          <w:szCs w:val="22"/>
          <w:lang w:val="en-GB"/>
        </w:rPr>
      </w:pPr>
      <w:r w:rsidRPr="00B52DF4">
        <w:rPr>
          <w:rFonts w:ascii="Arial" w:hAnsi="Arial" w:cs="Arial"/>
          <w:sz w:val="22"/>
          <w:szCs w:val="22"/>
          <w:highlight w:val="yellow"/>
          <w:lang w:val="en-GB"/>
        </w:rPr>
        <w:t>A</w:t>
      </w:r>
      <w:r w:rsidR="001A4484" w:rsidRPr="00B52DF4">
        <w:rPr>
          <w:rFonts w:ascii="Arial" w:hAnsi="Arial" w:cs="Arial"/>
          <w:sz w:val="22"/>
          <w:szCs w:val="22"/>
          <w:highlight w:val="yellow"/>
          <w:lang w:val="en-GB"/>
        </w:rPr>
        <w:t>ny of the above</w:t>
      </w:r>
      <w:r w:rsidRPr="000F0B79">
        <w:rPr>
          <w:rFonts w:ascii="Arial" w:hAnsi="Arial" w:cs="Arial"/>
          <w:sz w:val="22"/>
          <w:szCs w:val="22"/>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C55824" w:rsidRDefault="00FC32B6" w:rsidP="00BE65AA">
      <w:pPr>
        <w:pStyle w:val="ListParagraph"/>
        <w:numPr>
          <w:ilvl w:val="0"/>
          <w:numId w:val="6"/>
        </w:numPr>
        <w:ind w:left="426"/>
        <w:jc w:val="both"/>
        <w:rPr>
          <w:rFonts w:ascii="Arial" w:hAnsi="Arial" w:cs="Arial"/>
          <w:sz w:val="22"/>
          <w:szCs w:val="22"/>
          <w:lang w:val="en-GB"/>
        </w:rPr>
      </w:pPr>
      <w:r w:rsidRPr="00B52DF4">
        <w:rPr>
          <w:rFonts w:ascii="Arial" w:hAnsi="Arial" w:cs="Arial"/>
          <w:sz w:val="22"/>
          <w:szCs w:val="22"/>
          <w:highlight w:val="yellow"/>
          <w:lang w:val="en-GB"/>
        </w:rPr>
        <w:t>Any of the above</w:t>
      </w:r>
      <w:r w:rsidR="00EA6F96">
        <w:rPr>
          <w:rFonts w:ascii="Arial" w:hAnsi="Arial" w:cs="Arial"/>
          <w:sz w:val="22"/>
          <w:szCs w:val="22"/>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B52DF4">
        <w:rPr>
          <w:rFonts w:ascii="Arial" w:hAnsi="Arial" w:cs="Arial"/>
          <w:sz w:val="22"/>
          <w:szCs w:val="22"/>
          <w:highlight w:val="yellow"/>
          <w:lang w:val="en-GB"/>
        </w:rPr>
        <w:t xml:space="preserve">75% or more in </w:t>
      </w:r>
      <w:r w:rsidR="00416B96" w:rsidRPr="00B52DF4">
        <w:rPr>
          <w:rFonts w:ascii="Arial" w:hAnsi="Arial" w:cs="Arial"/>
          <w:sz w:val="22"/>
          <w:szCs w:val="22"/>
          <w:highlight w:val="yellow"/>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Default="00C041E8" w:rsidP="00BE65AA">
      <w:pPr>
        <w:pStyle w:val="ListParagraph"/>
        <w:numPr>
          <w:ilvl w:val="0"/>
          <w:numId w:val="8"/>
        </w:numPr>
        <w:ind w:left="426"/>
        <w:jc w:val="both"/>
        <w:rPr>
          <w:rFonts w:ascii="Arial" w:hAnsi="Arial" w:cs="Arial"/>
          <w:sz w:val="22"/>
          <w:szCs w:val="22"/>
          <w:lang w:val="en-GB"/>
        </w:rPr>
      </w:pPr>
      <w:r w:rsidRPr="00707499">
        <w:rPr>
          <w:rFonts w:ascii="Arial" w:hAnsi="Arial" w:cs="Arial"/>
          <w:sz w:val="22"/>
          <w:szCs w:val="22"/>
          <w:highlight w:val="yellow"/>
          <w:lang w:val="en-GB"/>
        </w:rPr>
        <w:t>The automatic moratorium can be obtained without filing an application to Court</w:t>
      </w:r>
      <w:r w:rsidR="003E22E2" w:rsidRPr="003E22E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Default="00A92054" w:rsidP="00BE65AA">
      <w:pPr>
        <w:pStyle w:val="ListParagraph"/>
        <w:numPr>
          <w:ilvl w:val="0"/>
          <w:numId w:val="9"/>
        </w:numPr>
        <w:ind w:left="426"/>
        <w:jc w:val="both"/>
        <w:rPr>
          <w:rFonts w:ascii="Arial" w:hAnsi="Arial" w:cs="Arial"/>
          <w:sz w:val="22"/>
          <w:szCs w:val="22"/>
          <w:lang w:val="en-GB"/>
        </w:rPr>
      </w:pPr>
      <w:r w:rsidRPr="004D101E">
        <w:rPr>
          <w:rFonts w:ascii="Arial" w:hAnsi="Arial" w:cs="Arial"/>
          <w:sz w:val="22"/>
          <w:szCs w:val="22"/>
          <w:highlight w:val="yellow"/>
          <w:lang w:val="en-GB"/>
        </w:rPr>
        <w:t>A receiver is appointed over the assets of the company</w:t>
      </w:r>
      <w:r w:rsidR="00B50EA0" w:rsidRPr="00B50EA0">
        <w:rPr>
          <w:rFonts w:ascii="Arial" w:hAnsi="Arial" w:cs="Arial"/>
          <w:sz w:val="22"/>
          <w:szCs w:val="22"/>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P</w:t>
      </w:r>
      <w:r w:rsidR="001A4484" w:rsidRPr="003541EB">
        <w:rPr>
          <w:rFonts w:ascii="Arial" w:hAnsi="Arial" w:cs="Arial"/>
          <w:sz w:val="22"/>
          <w:szCs w:val="22"/>
          <w:lang w:val="en-GB"/>
        </w:rPr>
        <w:t>reserving all or part of the company</w:t>
      </w:r>
      <w:r w:rsidR="004D7749" w:rsidRPr="003541EB">
        <w:rPr>
          <w:rFonts w:ascii="Arial" w:hAnsi="Arial" w:cs="Arial"/>
          <w:sz w:val="22"/>
          <w:szCs w:val="22"/>
          <w:lang w:val="en-GB"/>
        </w:rPr>
        <w:t>’</w:t>
      </w:r>
      <w:r w:rsidR="001A4484" w:rsidRPr="003541EB">
        <w:rPr>
          <w:rFonts w:ascii="Arial" w:hAnsi="Arial" w:cs="Arial"/>
          <w:sz w:val="22"/>
          <w:szCs w:val="22"/>
          <w:lang w:val="en-GB"/>
        </w:rPr>
        <w:t>s business as a going concern</w:t>
      </w:r>
      <w:r w:rsidRPr="003541EB">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92482A">
        <w:rPr>
          <w:rFonts w:ascii="Arial" w:hAnsi="Arial" w:cs="Arial"/>
          <w:sz w:val="22"/>
          <w:szCs w:val="22"/>
          <w:highlight w:val="yellow"/>
          <w:lang w:val="en-GB"/>
        </w:rPr>
        <w:t>A</w:t>
      </w:r>
      <w:r w:rsidR="001A4484" w:rsidRPr="0092482A">
        <w:rPr>
          <w:rFonts w:ascii="Arial" w:hAnsi="Arial" w:cs="Arial"/>
          <w:sz w:val="22"/>
          <w:szCs w:val="22"/>
          <w:highlight w:val="yellow"/>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965C38" w:rsidRDefault="006F2457" w:rsidP="00BE65AA">
      <w:pPr>
        <w:pStyle w:val="ListParagraph"/>
        <w:numPr>
          <w:ilvl w:val="0"/>
          <w:numId w:val="11"/>
        </w:numPr>
        <w:ind w:left="426"/>
        <w:jc w:val="both"/>
        <w:rPr>
          <w:rFonts w:ascii="Arial" w:hAnsi="Arial" w:cs="Arial"/>
          <w:sz w:val="22"/>
          <w:szCs w:val="22"/>
          <w:highlight w:val="yellow"/>
          <w:lang w:val="en-GB"/>
        </w:rPr>
      </w:pPr>
      <w:r w:rsidRPr="00965C38">
        <w:rPr>
          <w:rFonts w:ascii="Arial" w:hAnsi="Arial" w:cs="Arial"/>
          <w:sz w:val="22"/>
          <w:szCs w:val="22"/>
          <w:highlight w:val="yellow"/>
          <w:lang w:val="en-GB"/>
        </w:rPr>
        <w:t>Receivership</w:t>
      </w:r>
      <w:r w:rsidR="000C2AB6" w:rsidRPr="00965C38">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625C25" w:rsidRDefault="00C041E8" w:rsidP="00BE65AA">
      <w:pPr>
        <w:pStyle w:val="ListParagraph"/>
        <w:numPr>
          <w:ilvl w:val="0"/>
          <w:numId w:val="12"/>
        </w:numPr>
        <w:ind w:left="426"/>
        <w:jc w:val="both"/>
        <w:rPr>
          <w:rFonts w:ascii="Arial" w:hAnsi="Arial" w:cs="Arial"/>
          <w:sz w:val="22"/>
          <w:szCs w:val="22"/>
          <w:highlight w:val="yellow"/>
          <w:lang w:val="en-GB"/>
        </w:rPr>
      </w:pPr>
      <w:r w:rsidRPr="00625C25">
        <w:rPr>
          <w:rFonts w:ascii="Arial" w:hAnsi="Arial" w:cs="Arial"/>
          <w:sz w:val="22"/>
          <w:szCs w:val="22"/>
          <w:highlight w:val="yellow"/>
          <w:lang w:val="en-GB"/>
        </w:rPr>
        <w:t>Brunei</w:t>
      </w:r>
      <w:r w:rsidR="00361BAA" w:rsidRPr="00625C25">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625C25" w:rsidRDefault="0007291B" w:rsidP="00BE65AA">
      <w:pPr>
        <w:pStyle w:val="ListParagraph"/>
        <w:numPr>
          <w:ilvl w:val="0"/>
          <w:numId w:val="13"/>
        </w:numPr>
        <w:ind w:left="426"/>
        <w:jc w:val="both"/>
        <w:rPr>
          <w:rFonts w:ascii="Arial" w:hAnsi="Arial" w:cs="Arial"/>
          <w:sz w:val="22"/>
          <w:szCs w:val="22"/>
          <w:highlight w:val="yellow"/>
          <w:lang w:val="en-GB"/>
        </w:rPr>
      </w:pPr>
      <w:r w:rsidRPr="00625C25">
        <w:rPr>
          <w:rFonts w:ascii="Arial" w:hAnsi="Arial" w:cs="Arial"/>
          <w:sz w:val="22"/>
          <w:szCs w:val="22"/>
          <w:highlight w:val="yellow"/>
          <w:lang w:val="en-GB"/>
        </w:rPr>
        <w:t xml:space="preserve">The Court held that the omission of the word </w:t>
      </w:r>
      <w:r w:rsidR="004D7749" w:rsidRPr="00625C25">
        <w:rPr>
          <w:rFonts w:ascii="Arial" w:hAnsi="Arial" w:cs="Arial"/>
          <w:sz w:val="22"/>
          <w:szCs w:val="22"/>
          <w:highlight w:val="yellow"/>
          <w:lang w:val="en-GB"/>
        </w:rPr>
        <w:t>“</w:t>
      </w:r>
      <w:r w:rsidRPr="00625C25">
        <w:rPr>
          <w:rFonts w:ascii="Arial" w:hAnsi="Arial" w:cs="Arial"/>
          <w:sz w:val="22"/>
          <w:szCs w:val="22"/>
          <w:highlight w:val="yellow"/>
          <w:lang w:val="en-GB"/>
        </w:rPr>
        <w:t>manifestly</w:t>
      </w:r>
      <w:r w:rsidR="004D7749" w:rsidRPr="00625C25">
        <w:rPr>
          <w:rFonts w:ascii="Arial" w:hAnsi="Arial" w:cs="Arial"/>
          <w:sz w:val="22"/>
          <w:szCs w:val="22"/>
          <w:highlight w:val="yellow"/>
          <w:lang w:val="en-GB"/>
        </w:rPr>
        <w:t>”</w:t>
      </w:r>
      <w:r w:rsidRPr="00625C25">
        <w:rPr>
          <w:rFonts w:ascii="Arial" w:hAnsi="Arial" w:cs="Arial"/>
          <w:sz w:val="22"/>
          <w:szCs w:val="22"/>
          <w:highlight w:val="yellow"/>
          <w:lang w:val="en-GB"/>
        </w:rPr>
        <w:t xml:space="preserve"> from Article 6 of the Singapore Model Law meant that the standard of exclusion on public policy grounds was </w:t>
      </w:r>
      <w:r w:rsidR="00416B96" w:rsidRPr="00625C25">
        <w:rPr>
          <w:rFonts w:ascii="Arial" w:hAnsi="Arial" w:cs="Arial"/>
          <w:sz w:val="22"/>
          <w:szCs w:val="22"/>
          <w:highlight w:val="yellow"/>
          <w:lang w:val="en-GB"/>
        </w:rPr>
        <w:t>higher</w:t>
      </w:r>
      <w:r w:rsidRPr="00625C25">
        <w:rPr>
          <w:rFonts w:ascii="Arial" w:hAnsi="Arial" w:cs="Arial"/>
          <w:sz w:val="22"/>
          <w:szCs w:val="22"/>
          <w:highlight w:val="yellow"/>
          <w:lang w:val="en-GB"/>
        </w:rPr>
        <w:t xml:space="preserve"> than in jurisdictions where the Model Law had been enacted unmodified</w:t>
      </w:r>
      <w:r w:rsidR="00726B93" w:rsidRPr="00625C25">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09D4E090" w14:textId="77777777" w:rsidR="00050247" w:rsidRDefault="0007291B"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50247">
        <w:rPr>
          <w:rFonts w:ascii="Arial" w:hAnsi="Arial" w:cs="Arial"/>
          <w:color w:val="7B7B7B" w:themeColor="accent3" w:themeShade="BF"/>
          <w:sz w:val="22"/>
          <w:szCs w:val="22"/>
          <w:lang w:val="en-GB"/>
        </w:rPr>
        <w:t>(a) unfair or undue preference was given</w:t>
      </w:r>
    </w:p>
    <w:p w14:paraId="0E98A2F7" w14:textId="77777777" w:rsidR="00050247" w:rsidRDefault="00050247" w:rsidP="002A37BB">
      <w:pPr>
        <w:ind w:left="720" w:hanging="720"/>
        <w:jc w:val="both"/>
        <w:rPr>
          <w:rFonts w:ascii="Arial" w:hAnsi="Arial" w:cs="Arial"/>
          <w:color w:val="7B7B7B" w:themeColor="accent3" w:themeShade="BF"/>
          <w:sz w:val="22"/>
          <w:szCs w:val="22"/>
          <w:lang w:val="en-GB"/>
        </w:rPr>
      </w:pPr>
    </w:p>
    <w:p w14:paraId="0A52B1DB" w14:textId="77777777" w:rsidR="00050247" w:rsidRDefault="0005024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Its elements are:</w:t>
      </w:r>
    </w:p>
    <w:p w14:paraId="0AC45ABB" w14:textId="77777777" w:rsidR="00050247" w:rsidRPr="00050247" w:rsidRDefault="00050247" w:rsidP="00050247">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The preferred party (the beneficiary of the transaction) is a creditor or guarantor for any of the company’s debts or liabilities;</w:t>
      </w:r>
    </w:p>
    <w:p w14:paraId="24962A1C" w14:textId="77777777" w:rsidR="00050247" w:rsidRPr="00050247" w:rsidRDefault="00050247" w:rsidP="00050247">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The company was insolvent (or became insolvent as a consequence of the transaction) at the time of giving the preference;</w:t>
      </w:r>
    </w:p>
    <w:p w14:paraId="6BEB2194" w14:textId="77777777" w:rsidR="00050247" w:rsidRPr="00050247" w:rsidRDefault="00050247" w:rsidP="00050247">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The company has done anything which puts the preferred party in a better position than the preferred party would otherwise have been had the transaction not been entered in the event of the company’s liquidation; and</w:t>
      </w:r>
    </w:p>
    <w:p w14:paraId="7005315A" w14:textId="77777777" w:rsidR="00050247" w:rsidRPr="00050247" w:rsidRDefault="00050247" w:rsidP="00050247">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The company was influenced in deciding to enter the transaction by a desire to prefer the preferred party, noting that the company is presumed to have been influenced by a desire to prefer if the preferred party is an associate of the company.</w:t>
      </w:r>
    </w:p>
    <w:p w14:paraId="16B6DD78" w14:textId="77777777" w:rsidR="00050247" w:rsidRDefault="00050247" w:rsidP="00050247">
      <w:pPr>
        <w:jc w:val="both"/>
        <w:rPr>
          <w:rFonts w:ascii="Arial" w:hAnsi="Arial" w:cs="Arial"/>
          <w:color w:val="7B7B7B" w:themeColor="accent3" w:themeShade="BF"/>
          <w:sz w:val="22"/>
          <w:szCs w:val="22"/>
          <w:lang w:val="en-GB"/>
        </w:rPr>
      </w:pPr>
    </w:p>
    <w:p w14:paraId="4AF729EC" w14:textId="7C2C977A" w:rsidR="00050247" w:rsidRDefault="00050247" w:rsidP="000502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time period is two years from the date of the winding-up application where the preferred party is an associate</w:t>
      </w:r>
      <w:r w:rsidR="002C3BA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six months </w:t>
      </w:r>
      <w:r w:rsidR="002C3BAC">
        <w:rPr>
          <w:rFonts w:ascii="Arial" w:hAnsi="Arial" w:cs="Arial"/>
          <w:color w:val="7B7B7B" w:themeColor="accent3" w:themeShade="BF"/>
          <w:sz w:val="22"/>
          <w:szCs w:val="22"/>
          <w:lang w:val="en-GB"/>
        </w:rPr>
        <w:t>if the party involved is unrelated</w:t>
      </w:r>
      <w:r w:rsidRPr="00050247">
        <w:rPr>
          <w:rFonts w:ascii="Arial" w:hAnsi="Arial" w:cs="Arial"/>
          <w:color w:val="7B7B7B" w:themeColor="accent3" w:themeShade="BF"/>
          <w:sz w:val="22"/>
          <w:szCs w:val="22"/>
          <w:lang w:val="en-GB"/>
        </w:rPr>
        <w:t>.</w:t>
      </w:r>
    </w:p>
    <w:p w14:paraId="122D4DAB" w14:textId="5FD9B38F" w:rsidR="00050247" w:rsidRDefault="00050247" w:rsidP="00050247">
      <w:pPr>
        <w:jc w:val="both"/>
        <w:rPr>
          <w:rFonts w:ascii="Arial" w:hAnsi="Arial" w:cs="Arial"/>
          <w:color w:val="7B7B7B" w:themeColor="accent3" w:themeShade="BF"/>
          <w:sz w:val="22"/>
          <w:szCs w:val="22"/>
          <w:lang w:val="en-GB"/>
        </w:rPr>
      </w:pPr>
    </w:p>
    <w:p w14:paraId="3F9F7AE4" w14:textId="4B5DA9C7" w:rsidR="00050247" w:rsidRDefault="00050247" w:rsidP="000502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The transaction was conducted at an undervalue</w:t>
      </w:r>
    </w:p>
    <w:p w14:paraId="634710C1" w14:textId="385AB7AC" w:rsidR="00050247" w:rsidRDefault="00050247" w:rsidP="00050247">
      <w:pPr>
        <w:jc w:val="both"/>
        <w:rPr>
          <w:rFonts w:ascii="Arial" w:hAnsi="Arial" w:cs="Arial"/>
          <w:color w:val="7B7B7B" w:themeColor="accent3" w:themeShade="BF"/>
          <w:sz w:val="22"/>
          <w:szCs w:val="22"/>
          <w:lang w:val="en-GB"/>
        </w:rPr>
      </w:pPr>
    </w:p>
    <w:p w14:paraId="0B45091F" w14:textId="6CAA7551" w:rsidR="00050247" w:rsidRDefault="00050247" w:rsidP="000502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transactions at an undervalue, the liquidator must </w:t>
      </w:r>
      <w:r w:rsidR="002C3BAC">
        <w:rPr>
          <w:rFonts w:ascii="Arial" w:hAnsi="Arial" w:cs="Arial"/>
          <w:color w:val="7B7B7B" w:themeColor="accent3" w:themeShade="BF"/>
          <w:sz w:val="22"/>
          <w:szCs w:val="22"/>
          <w:lang w:val="en-GB"/>
        </w:rPr>
        <w:t xml:space="preserve">establish </w:t>
      </w:r>
      <w:r>
        <w:rPr>
          <w:rFonts w:ascii="Arial" w:hAnsi="Arial" w:cs="Arial"/>
          <w:color w:val="7B7B7B" w:themeColor="accent3" w:themeShade="BF"/>
          <w:sz w:val="22"/>
          <w:szCs w:val="22"/>
          <w:lang w:val="en-GB"/>
        </w:rPr>
        <w:t>the two elements:</w:t>
      </w:r>
    </w:p>
    <w:p w14:paraId="28F445D3" w14:textId="3E277B41" w:rsidR="00050247" w:rsidRDefault="00050247" w:rsidP="00050247">
      <w:pPr>
        <w:jc w:val="both"/>
        <w:rPr>
          <w:rFonts w:ascii="Arial" w:hAnsi="Arial" w:cs="Arial"/>
          <w:color w:val="7B7B7B" w:themeColor="accent3" w:themeShade="BF"/>
          <w:sz w:val="22"/>
          <w:szCs w:val="22"/>
          <w:lang w:val="en-GB"/>
        </w:rPr>
      </w:pPr>
    </w:p>
    <w:p w14:paraId="0BB05105" w14:textId="7C604C60" w:rsidR="00050247" w:rsidRDefault="00050247" w:rsidP="00050247">
      <w:pPr>
        <w:pStyle w:val="ListParagraph"/>
        <w:numPr>
          <w:ilvl w:val="0"/>
          <w:numId w:val="20"/>
        </w:numPr>
        <w:jc w:val="both"/>
        <w:rPr>
          <w:rFonts w:ascii="Arial" w:hAnsi="Arial" w:cs="Arial"/>
          <w:color w:val="7B7B7B" w:themeColor="accent3" w:themeShade="BF"/>
          <w:sz w:val="22"/>
          <w:szCs w:val="22"/>
          <w:lang w:val="en-GB"/>
        </w:rPr>
      </w:pPr>
      <w:r w:rsidRPr="00050247">
        <w:rPr>
          <w:rFonts w:ascii="Arial" w:hAnsi="Arial" w:cs="Arial"/>
          <w:color w:val="7B7B7B" w:themeColor="accent3" w:themeShade="BF"/>
          <w:sz w:val="22"/>
          <w:szCs w:val="22"/>
          <w:lang w:val="en-GB"/>
        </w:rPr>
        <w:t>The compan</w:t>
      </w:r>
      <w:r>
        <w:rPr>
          <w:rFonts w:ascii="Arial" w:hAnsi="Arial" w:cs="Arial"/>
          <w:color w:val="7B7B7B" w:themeColor="accent3" w:themeShade="BF"/>
          <w:sz w:val="22"/>
          <w:szCs w:val="22"/>
          <w:lang w:val="en-GB"/>
        </w:rPr>
        <w:t>y makes a gift to the recipient or the company enters into a transaction where the value of consideration</w:t>
      </w:r>
      <w:r w:rsidR="0048448C">
        <w:rPr>
          <w:rFonts w:ascii="Arial" w:hAnsi="Arial" w:cs="Arial"/>
          <w:color w:val="7B7B7B" w:themeColor="accent3" w:themeShade="BF"/>
          <w:sz w:val="22"/>
          <w:szCs w:val="22"/>
          <w:lang w:val="en-GB"/>
        </w:rPr>
        <w:t xml:space="preserve"> received is significantly less than the value of the consideration provided; and</w:t>
      </w:r>
    </w:p>
    <w:p w14:paraId="155F0B85" w14:textId="0DE1C87A" w:rsidR="0048448C" w:rsidRDefault="0048448C" w:rsidP="00050247">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was or became insolvent as a result of that transaction.</w:t>
      </w:r>
    </w:p>
    <w:p w14:paraId="29D4A585" w14:textId="3E860ACC" w:rsidR="0048448C" w:rsidRDefault="0048448C" w:rsidP="0048448C">
      <w:pPr>
        <w:jc w:val="both"/>
        <w:rPr>
          <w:rFonts w:ascii="Arial" w:hAnsi="Arial" w:cs="Arial"/>
          <w:color w:val="7B7B7B" w:themeColor="accent3" w:themeShade="BF"/>
          <w:sz w:val="22"/>
          <w:szCs w:val="22"/>
          <w:lang w:val="en-GB"/>
        </w:rPr>
      </w:pPr>
    </w:p>
    <w:p w14:paraId="3758FA3E" w14:textId="1998BAE1" w:rsidR="0048448C" w:rsidRDefault="0048448C" w:rsidP="004844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Notably, the company is presumed to have undertaken a transaction at an undervalue if the preferred party is an associate of the company.  The relevant time to recover assets or impeach the transaction is 5 years from the date of the winding up application, regardless of whether the undervalue transaction was with an associate or not.</w:t>
      </w:r>
    </w:p>
    <w:p w14:paraId="1346090E" w14:textId="00D62439" w:rsidR="0048448C" w:rsidRDefault="0048448C" w:rsidP="0048448C">
      <w:pPr>
        <w:jc w:val="both"/>
        <w:rPr>
          <w:rFonts w:ascii="Arial" w:hAnsi="Arial" w:cs="Arial"/>
          <w:color w:val="7B7B7B" w:themeColor="accent3" w:themeShade="BF"/>
          <w:sz w:val="22"/>
          <w:szCs w:val="22"/>
          <w:lang w:val="en-GB"/>
        </w:rPr>
      </w:pPr>
    </w:p>
    <w:p w14:paraId="5CB59DF4" w14:textId="73B36C73" w:rsidR="009B07AD" w:rsidRPr="0048448C" w:rsidRDefault="0048448C" w:rsidP="004844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both unfair preference and transaction at an undervalue, where an individual has acquired an interest in the insolvent’s property from a person other than the insolvent company or bankrupt, or has received a benefit or their preference from the transaction, if this was done in good faith and for value, the transaction remains valid and may not be impeached.  Such a transaction or benefit will not be in good faith if the individual had notice of the surrounding circumstances and the relevant proceedings, or was an associate of the bankrupt/insolvent company, or was connected with the individual with whom has entered into the transaction.</w:t>
      </w:r>
      <w:r w:rsidR="0007291B" w:rsidRPr="0048448C">
        <w:rPr>
          <w:rFonts w:ascii="Arial" w:hAnsi="Arial" w:cs="Arial"/>
          <w:color w:val="7B7B7B" w:themeColor="accent3" w:themeShade="BF"/>
          <w:sz w:val="22"/>
          <w:szCs w:val="22"/>
          <w:lang w:val="en-GB"/>
        </w:rPr>
        <w:t>]</w:t>
      </w: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3EBEC0C" w14:textId="3730E8AE" w:rsidR="009B07AD" w:rsidRPr="002A37BB" w:rsidRDefault="0007291B" w:rsidP="002A37BB">
      <w:pPr>
        <w:ind w:left="720" w:hanging="720"/>
        <w:jc w:val="both"/>
        <w:rPr>
          <w:rFonts w:ascii="Arial" w:hAnsi="Arial" w:cs="Arial"/>
          <w:sz w:val="22"/>
          <w:szCs w:val="22"/>
        </w:rPr>
      </w:pPr>
      <w:r w:rsidRPr="002A37BB">
        <w:rPr>
          <w:rFonts w:ascii="Arial" w:hAnsi="Arial" w:cs="Arial"/>
          <w:color w:val="7B7B7B" w:themeColor="accent3" w:themeShade="BF"/>
          <w:sz w:val="22"/>
          <w:szCs w:val="22"/>
        </w:rPr>
        <w:t>[</w:t>
      </w:r>
      <w:r w:rsidR="0048448C">
        <w:rPr>
          <w:rFonts w:ascii="Arial" w:hAnsi="Arial" w:cs="Arial"/>
          <w:color w:val="7B7B7B" w:themeColor="accent3" w:themeShade="BF"/>
          <w:sz w:val="22"/>
          <w:szCs w:val="22"/>
        </w:rPr>
        <w:t xml:space="preserve">The adoption </w:t>
      </w:r>
      <w:r w:rsidR="00C7446E">
        <w:rPr>
          <w:rFonts w:ascii="Arial" w:hAnsi="Arial" w:cs="Arial"/>
          <w:color w:val="7B7B7B" w:themeColor="accent3" w:themeShade="BF"/>
          <w:sz w:val="22"/>
          <w:szCs w:val="22"/>
        </w:rPr>
        <w:t>of the Supreme Court of Singapore of the Guidelines for Communication and Cooperation between Courts in Cross-Border Insolvency Matters (JIN Guidelines) has as its objectives the promotion of judicial communication and cooperation framework for cross-border insolvency.  This is the first time that such judicial cooperation framework has been adopted in Singapore.  This is also significant as the JIN Guidelines have also been adopted by US Bankruptcy Courts for the District of Delaware and the Southern District of New York, two of the leading jurisdictions for cross-border insolvency.</w:t>
      </w:r>
      <w:r w:rsidRPr="002A37BB">
        <w:rPr>
          <w:rFonts w:ascii="Arial" w:hAnsi="Arial" w:cs="Arial"/>
          <w:color w:val="7B7B7B" w:themeColor="accent3" w:themeShade="BF"/>
          <w:sz w:val="22"/>
          <w:szCs w:val="22"/>
        </w:rPr>
        <w:t>]</w:t>
      </w:r>
    </w:p>
    <w:p w14:paraId="6CCB7F31" w14:textId="77777777" w:rsidR="00E90991" w:rsidRPr="00C7446E" w:rsidRDefault="00E90991" w:rsidP="002A37BB">
      <w:pPr>
        <w:ind w:left="720" w:hanging="720"/>
        <w:jc w:val="both"/>
        <w:rPr>
          <w:rFonts w:ascii="Arial" w:hAnsi="Arial" w:cs="Arial"/>
          <w:sz w:val="22"/>
          <w:szCs w:val="22"/>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11BABA63" w14:textId="1F0F3B85" w:rsidR="0048689B" w:rsidRDefault="0007291B"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1D1297">
        <w:rPr>
          <w:rFonts w:ascii="Arial" w:hAnsi="Arial" w:cs="Arial"/>
          <w:color w:val="7B7B7B" w:themeColor="accent3" w:themeShade="BF"/>
          <w:sz w:val="22"/>
          <w:szCs w:val="22"/>
          <w:lang w:val="en-GB"/>
        </w:rPr>
        <w:t>(</w:t>
      </w:r>
      <w:proofErr w:type="spellStart"/>
      <w:r w:rsidR="002C3BAC">
        <w:rPr>
          <w:rFonts w:ascii="Arial" w:hAnsi="Arial" w:cs="Arial"/>
          <w:color w:val="7B7B7B" w:themeColor="accent3" w:themeShade="BF"/>
          <w:sz w:val="22"/>
          <w:szCs w:val="22"/>
          <w:lang w:val="en-GB"/>
        </w:rPr>
        <w:t>i</w:t>
      </w:r>
      <w:proofErr w:type="spellEnd"/>
      <w:r w:rsidR="001D1297">
        <w:rPr>
          <w:rFonts w:ascii="Arial" w:hAnsi="Arial" w:cs="Arial"/>
          <w:color w:val="7B7B7B" w:themeColor="accent3" w:themeShade="BF"/>
          <w:sz w:val="22"/>
          <w:szCs w:val="22"/>
          <w:lang w:val="en-GB"/>
        </w:rPr>
        <w:t xml:space="preserve">) </w:t>
      </w:r>
      <w:r w:rsidR="0048689B">
        <w:rPr>
          <w:rFonts w:ascii="Arial" w:hAnsi="Arial" w:cs="Arial"/>
          <w:color w:val="7B7B7B" w:themeColor="accent3" w:themeShade="BF"/>
          <w:sz w:val="22"/>
          <w:szCs w:val="22"/>
          <w:lang w:val="en-GB"/>
        </w:rPr>
        <w:t>The bankrupt can obtain an annulment order from the court upon showing that:</w:t>
      </w:r>
    </w:p>
    <w:p w14:paraId="1B594213" w14:textId="77777777" w:rsidR="0048689B" w:rsidRDefault="0048689B" w:rsidP="002A37BB">
      <w:pPr>
        <w:ind w:left="720" w:hanging="720"/>
        <w:jc w:val="both"/>
        <w:rPr>
          <w:rFonts w:ascii="Arial" w:hAnsi="Arial" w:cs="Arial"/>
          <w:color w:val="7B7B7B" w:themeColor="accent3" w:themeShade="BF"/>
          <w:sz w:val="22"/>
          <w:szCs w:val="22"/>
          <w:lang w:val="en-GB"/>
        </w:rPr>
      </w:pPr>
    </w:p>
    <w:p w14:paraId="4FFE44EF" w14:textId="77777777" w:rsidR="0048689B" w:rsidRPr="0048689B" w:rsidRDefault="0048689B" w:rsidP="0048689B">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annulment is ought not to have been made on grounds existing at the time;</w:t>
      </w:r>
    </w:p>
    <w:p w14:paraId="03962B3E" w14:textId="77777777" w:rsidR="0048689B" w:rsidRPr="0048689B" w:rsidRDefault="0048689B" w:rsidP="0048689B">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debts and expenses of the bankruptcy have been paid or secured to the satisfaction of the court;</w:t>
      </w:r>
    </w:p>
    <w:p w14:paraId="4ABF1CA2" w14:textId="77777777" w:rsidR="0048689B" w:rsidRPr="0048689B" w:rsidRDefault="0048689B" w:rsidP="0048689B">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distribution of the estate will take place in Malaysia or the majority of </w:t>
      </w:r>
      <w:proofErr w:type="spellStart"/>
      <w:r>
        <w:rPr>
          <w:rFonts w:ascii="Arial" w:hAnsi="Arial" w:cs="Arial"/>
          <w:color w:val="7B7B7B" w:themeColor="accent3" w:themeShade="BF"/>
          <w:sz w:val="22"/>
          <w:szCs w:val="22"/>
          <w:lang w:val="en-GB"/>
        </w:rPr>
        <w:t>creditiors</w:t>
      </w:r>
      <w:proofErr w:type="spellEnd"/>
      <w:r>
        <w:rPr>
          <w:rFonts w:ascii="Arial" w:hAnsi="Arial" w:cs="Arial"/>
          <w:color w:val="7B7B7B" w:themeColor="accent3" w:themeShade="BF"/>
          <w:sz w:val="22"/>
          <w:szCs w:val="22"/>
          <w:lang w:val="en-GB"/>
        </w:rPr>
        <w:t xml:space="preserve"> are residents in Malaysia and the distribution ought to happen there.</w:t>
      </w:r>
    </w:p>
    <w:p w14:paraId="69BF873D" w14:textId="77777777" w:rsidR="0048689B" w:rsidRDefault="0048689B" w:rsidP="0048689B">
      <w:pPr>
        <w:jc w:val="both"/>
        <w:rPr>
          <w:rFonts w:ascii="Arial" w:hAnsi="Arial" w:cs="Arial"/>
          <w:color w:val="7B7B7B" w:themeColor="accent3" w:themeShade="BF"/>
          <w:sz w:val="22"/>
          <w:szCs w:val="22"/>
          <w:lang w:val="en-GB"/>
        </w:rPr>
      </w:pPr>
    </w:p>
    <w:p w14:paraId="09BF7FE2" w14:textId="77777777" w:rsidR="0048689B" w:rsidRDefault="0048689B" w:rsidP="004868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application to annul must be made within 12 months of the bankruptcy order being made, unless leave is given for the application to be made later.</w:t>
      </w:r>
    </w:p>
    <w:p w14:paraId="2DBCE2EC" w14:textId="77777777" w:rsidR="0048689B" w:rsidRDefault="0048689B" w:rsidP="0048689B">
      <w:pPr>
        <w:jc w:val="both"/>
        <w:rPr>
          <w:rFonts w:ascii="Arial" w:hAnsi="Arial" w:cs="Arial"/>
          <w:color w:val="7B7B7B" w:themeColor="accent3" w:themeShade="BF"/>
          <w:sz w:val="22"/>
          <w:szCs w:val="22"/>
          <w:lang w:val="en-GB"/>
        </w:rPr>
      </w:pPr>
    </w:p>
    <w:p w14:paraId="4AF7625F" w14:textId="29D02138" w:rsidR="00C72848" w:rsidRPr="0048689B" w:rsidRDefault="001D1297" w:rsidP="0048689B">
      <w:pPr>
        <w:jc w:val="both"/>
        <w:rPr>
          <w:rFonts w:ascii="Arial" w:hAnsi="Arial" w:cs="Arial"/>
          <w:sz w:val="22"/>
          <w:szCs w:val="22"/>
          <w:lang w:val="en-GB"/>
        </w:rPr>
      </w:pPr>
      <w:r>
        <w:rPr>
          <w:rFonts w:ascii="Arial" w:hAnsi="Arial" w:cs="Arial"/>
          <w:color w:val="7B7B7B" w:themeColor="accent3" w:themeShade="BF"/>
          <w:sz w:val="22"/>
          <w:szCs w:val="22"/>
          <w:lang w:val="en-GB"/>
        </w:rPr>
        <w:t>(</w:t>
      </w:r>
      <w:r w:rsidR="002C3BAC">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 xml:space="preserve">) </w:t>
      </w:r>
      <w:r w:rsidR="0048689B">
        <w:rPr>
          <w:rFonts w:ascii="Arial" w:hAnsi="Arial" w:cs="Arial"/>
          <w:color w:val="7B7B7B" w:themeColor="accent3" w:themeShade="BF"/>
          <w:sz w:val="22"/>
          <w:szCs w:val="22"/>
          <w:lang w:val="en-GB"/>
        </w:rPr>
        <w:t>The bankrupt may apply for an order of discharge any time after the bankruptcy order is made.  Any application must be served on each creditor who has filed a proof in the bankruptcy and the court will hear any creditor</w:t>
      </w:r>
      <w:r>
        <w:rPr>
          <w:rFonts w:ascii="Arial" w:hAnsi="Arial" w:cs="Arial"/>
          <w:color w:val="7B7B7B" w:themeColor="accent3" w:themeShade="BF"/>
          <w:sz w:val="22"/>
          <w:szCs w:val="22"/>
          <w:lang w:val="en-GB"/>
        </w:rPr>
        <w:t xml:space="preserve"> before making any discharge. </w:t>
      </w:r>
      <w:r w:rsidR="0007291B" w:rsidRPr="0048689B">
        <w:rPr>
          <w:rFonts w:ascii="Arial" w:hAnsi="Arial" w:cs="Arial"/>
          <w:color w:val="7B7B7B" w:themeColor="accent3" w:themeShade="BF"/>
          <w:sz w:val="22"/>
          <w:szCs w:val="22"/>
          <w:lang w:val="en-GB"/>
        </w:rPr>
        <w:t>]</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3E15A9DD" w14:textId="1EC89641" w:rsidR="00073355" w:rsidRDefault="0007291B"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723E15">
        <w:rPr>
          <w:rFonts w:ascii="Arial" w:hAnsi="Arial" w:cs="Arial"/>
          <w:color w:val="7B7B7B" w:themeColor="accent3" w:themeShade="BF"/>
          <w:sz w:val="22"/>
          <w:szCs w:val="22"/>
          <w:lang w:val="en-GB"/>
        </w:rPr>
        <w:t xml:space="preserve">(a) An ipso facto clause is a contractual provision that allows one party to terminate or modify the operation of the contract (or provides for this to occur automatically) by reference to the counterparty’s insolvency.  These clauses make rescue or rehabilitation difficult to achieve. </w:t>
      </w:r>
      <w:r w:rsidR="002C3BAC">
        <w:rPr>
          <w:rFonts w:ascii="Arial" w:hAnsi="Arial" w:cs="Arial"/>
          <w:color w:val="7B7B7B" w:themeColor="accent3" w:themeShade="BF"/>
          <w:sz w:val="22"/>
          <w:szCs w:val="22"/>
          <w:lang w:val="en-GB"/>
        </w:rPr>
        <w:t>In order to promote corporate rescue</w:t>
      </w:r>
      <w:r w:rsidR="00723E15">
        <w:rPr>
          <w:rFonts w:ascii="Arial" w:hAnsi="Arial" w:cs="Arial"/>
          <w:color w:val="7B7B7B" w:themeColor="accent3" w:themeShade="BF"/>
          <w:sz w:val="22"/>
          <w:szCs w:val="22"/>
          <w:lang w:val="en-GB"/>
        </w:rPr>
        <w:t>, Singapore followed jurisdictions like the United States to restrict the enforcement of ipso facto clauses during insolvency.  Particularly, the amendment was made through section 440 of the IRDA, following the Canadian Insolvency legislation, by introducing a new provision restricting the operation of ipso facto clauses in certain circumvents.  Section 440 restricts the enforcement of ipso facto clauses once a company commences any proceedings relating to any applications under judicial management or a scheme of arrangement involving the ‘supercharged’ scheme process.  However, certain contracts are excluded, including: (1) any prescribed eligible financial contract, (2) any contract that is a license, permit or approva</w:t>
      </w:r>
      <w:r w:rsidR="00073355">
        <w:rPr>
          <w:rFonts w:ascii="Arial" w:hAnsi="Arial" w:cs="Arial"/>
          <w:color w:val="7B7B7B" w:themeColor="accent3" w:themeShade="BF"/>
          <w:sz w:val="22"/>
          <w:szCs w:val="22"/>
          <w:lang w:val="en-GB"/>
        </w:rPr>
        <w:t>l issued by the government or a statutory body, (3) any commercial charter of a ship, (4) any agreement that is the subject of a prescribed treaty to which Singapore is a party. Although contracts remain valid, counter parties are not required to continue to advance new money or credit to the insolvent party. Notably, section 440(4) allows Singapore courts with an overriding power to rule on the applicability of the restrictions and their extent if the applicant can demonstrate that it will suffer ‘significant financial hardship’ as a result.</w:t>
      </w:r>
    </w:p>
    <w:p w14:paraId="23862D57" w14:textId="77777777" w:rsidR="00073355" w:rsidRDefault="00073355" w:rsidP="002A37BB">
      <w:pPr>
        <w:jc w:val="both"/>
        <w:rPr>
          <w:rFonts w:ascii="Arial" w:hAnsi="Arial" w:cs="Arial"/>
          <w:color w:val="7B7B7B" w:themeColor="accent3" w:themeShade="BF"/>
          <w:sz w:val="22"/>
          <w:szCs w:val="22"/>
          <w:lang w:val="en-GB"/>
        </w:rPr>
      </w:pPr>
    </w:p>
    <w:p w14:paraId="72F57A5C" w14:textId="354DC05D" w:rsidR="00544127" w:rsidRPr="002A37BB" w:rsidRDefault="00073355" w:rsidP="002A37BB">
      <w:pPr>
        <w:jc w:val="both"/>
        <w:rPr>
          <w:rFonts w:ascii="Arial" w:hAnsi="Arial" w:cs="Arial"/>
          <w:sz w:val="22"/>
          <w:szCs w:val="22"/>
        </w:rPr>
      </w:pPr>
      <w:r>
        <w:rPr>
          <w:rFonts w:ascii="Arial" w:hAnsi="Arial" w:cs="Arial"/>
          <w:color w:val="7B7B7B" w:themeColor="accent3" w:themeShade="BF"/>
          <w:sz w:val="22"/>
          <w:szCs w:val="22"/>
          <w:lang w:val="en-GB"/>
        </w:rPr>
        <w:t xml:space="preserve">(b) Section 239 of the IRDA introduces the new concept of wrongful trading which </w:t>
      </w:r>
      <w:r w:rsidR="002C3BAC">
        <w:rPr>
          <w:rFonts w:ascii="Arial" w:hAnsi="Arial" w:cs="Arial"/>
          <w:color w:val="7B7B7B" w:themeColor="accent3" w:themeShade="BF"/>
          <w:sz w:val="22"/>
          <w:szCs w:val="22"/>
          <w:lang w:val="en-GB"/>
        </w:rPr>
        <w:t xml:space="preserve">makes a person liable </w:t>
      </w:r>
      <w:r>
        <w:rPr>
          <w:rFonts w:ascii="Arial" w:hAnsi="Arial" w:cs="Arial"/>
          <w:color w:val="7B7B7B" w:themeColor="accent3" w:themeShade="BF"/>
          <w:sz w:val="22"/>
          <w:szCs w:val="22"/>
          <w:lang w:val="en-GB"/>
        </w:rPr>
        <w:t>if: (</w:t>
      </w:r>
      <w:r w:rsidR="002C3BAC">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w:t>
      </w:r>
      <w:r w:rsidR="002C3BAC">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knew that the company was trading wrongfully; or (</w:t>
      </w:r>
      <w:r w:rsidR="002C3BAC">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 xml:space="preserve">) as an officer of the company, ought, in all circumstances, to have known that the company was trading wrongfully.  A company trades wrongfully if debts or liabilities </w:t>
      </w:r>
      <w:r w:rsidR="0057047B">
        <w:rPr>
          <w:rFonts w:ascii="Arial" w:hAnsi="Arial" w:cs="Arial"/>
          <w:color w:val="7B7B7B" w:themeColor="accent3" w:themeShade="BF"/>
          <w:sz w:val="22"/>
          <w:szCs w:val="22"/>
          <w:lang w:val="en-GB"/>
        </w:rPr>
        <w:t xml:space="preserve">have been incurred </w:t>
      </w:r>
      <w:r>
        <w:rPr>
          <w:rFonts w:ascii="Arial" w:hAnsi="Arial" w:cs="Arial"/>
          <w:color w:val="7B7B7B" w:themeColor="accent3" w:themeShade="BF"/>
          <w:sz w:val="22"/>
          <w:szCs w:val="22"/>
          <w:lang w:val="en-GB"/>
        </w:rPr>
        <w:t xml:space="preserve">without reasonable prospect of meeting them in full </w:t>
      </w:r>
      <w:r w:rsidR="0057047B">
        <w:rPr>
          <w:rFonts w:ascii="Arial" w:hAnsi="Arial" w:cs="Arial"/>
          <w:color w:val="7B7B7B" w:themeColor="accent3" w:themeShade="BF"/>
          <w:sz w:val="22"/>
          <w:szCs w:val="22"/>
          <w:lang w:val="en-GB"/>
        </w:rPr>
        <w:t xml:space="preserve">because </w:t>
      </w:r>
      <w:r>
        <w:rPr>
          <w:rFonts w:ascii="Arial" w:hAnsi="Arial" w:cs="Arial"/>
          <w:color w:val="7B7B7B" w:themeColor="accent3" w:themeShade="BF"/>
          <w:sz w:val="22"/>
          <w:szCs w:val="22"/>
          <w:lang w:val="en-GB"/>
        </w:rPr>
        <w:t xml:space="preserve">the company is </w:t>
      </w:r>
      <w:r w:rsidR="0057047B">
        <w:rPr>
          <w:rFonts w:ascii="Arial" w:hAnsi="Arial" w:cs="Arial"/>
          <w:color w:val="7B7B7B" w:themeColor="accent3" w:themeShade="BF"/>
          <w:sz w:val="22"/>
          <w:szCs w:val="22"/>
          <w:lang w:val="en-GB"/>
        </w:rPr>
        <w:t xml:space="preserve">either </w:t>
      </w:r>
      <w:r>
        <w:rPr>
          <w:rFonts w:ascii="Arial" w:hAnsi="Arial" w:cs="Arial"/>
          <w:color w:val="7B7B7B" w:themeColor="accent3" w:themeShade="BF"/>
          <w:sz w:val="22"/>
          <w:szCs w:val="22"/>
          <w:lang w:val="en-GB"/>
        </w:rPr>
        <w:t xml:space="preserve">insolvent or </w:t>
      </w:r>
      <w:r>
        <w:rPr>
          <w:rFonts w:ascii="Arial" w:hAnsi="Arial" w:cs="Arial"/>
          <w:color w:val="7B7B7B" w:themeColor="accent3" w:themeShade="BF"/>
          <w:sz w:val="22"/>
          <w:szCs w:val="22"/>
          <w:lang w:val="en-GB"/>
        </w:rPr>
        <w:lastRenderedPageBreak/>
        <w:t xml:space="preserve">becomes insolvent </w:t>
      </w:r>
      <w:r w:rsidR="0057047B">
        <w:rPr>
          <w:rFonts w:ascii="Arial" w:hAnsi="Arial" w:cs="Arial"/>
          <w:color w:val="7B7B7B" w:themeColor="accent3" w:themeShade="BF"/>
          <w:sz w:val="22"/>
          <w:szCs w:val="22"/>
          <w:lang w:val="en-GB"/>
        </w:rPr>
        <w:t>because of</w:t>
      </w:r>
      <w:r>
        <w:rPr>
          <w:rFonts w:ascii="Arial" w:hAnsi="Arial" w:cs="Arial"/>
          <w:color w:val="7B7B7B" w:themeColor="accent3" w:themeShade="BF"/>
          <w:sz w:val="22"/>
          <w:szCs w:val="22"/>
          <w:lang w:val="en-GB"/>
        </w:rPr>
        <w:t xml:space="preserve"> the debt or liability.  Notably, the</w:t>
      </w:r>
      <w:r w:rsidR="0057047B">
        <w:rPr>
          <w:rFonts w:ascii="Arial" w:hAnsi="Arial" w:cs="Arial"/>
          <w:color w:val="7B7B7B" w:themeColor="accent3" w:themeShade="BF"/>
          <w:sz w:val="22"/>
          <w:szCs w:val="22"/>
          <w:lang w:val="en-GB"/>
        </w:rPr>
        <w:t>re is no need that the person is found criminally liable before he is found to have breaches section 239.]</w:t>
      </w:r>
      <w:r>
        <w:rPr>
          <w:rFonts w:ascii="Arial" w:hAnsi="Arial" w:cs="Arial"/>
          <w:color w:val="7B7B7B" w:themeColor="accent3" w:themeShade="BF"/>
          <w:sz w:val="22"/>
          <w:szCs w:val="22"/>
          <w:lang w:val="en-GB"/>
        </w:rPr>
        <w:t xml:space="preserve"> </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2559EDE6" w14:textId="2EDA4693" w:rsidR="00326B27" w:rsidRDefault="0007291B"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326B27">
        <w:rPr>
          <w:rFonts w:ascii="Arial" w:hAnsi="Arial" w:cs="Arial"/>
          <w:color w:val="7B7B7B" w:themeColor="accent3" w:themeShade="BF"/>
          <w:sz w:val="22"/>
          <w:szCs w:val="22"/>
          <w:lang w:val="en-GB"/>
        </w:rPr>
        <w:t xml:space="preserve">Judicial management is a corporate rescue tool which </w:t>
      </w:r>
      <w:r w:rsidR="0057047B">
        <w:rPr>
          <w:rFonts w:ascii="Arial" w:hAnsi="Arial" w:cs="Arial"/>
          <w:color w:val="7B7B7B" w:themeColor="accent3" w:themeShade="BF"/>
          <w:sz w:val="22"/>
          <w:szCs w:val="22"/>
          <w:lang w:val="en-GB"/>
        </w:rPr>
        <w:t>involves</w:t>
      </w:r>
      <w:r w:rsidR="00326B27">
        <w:rPr>
          <w:rFonts w:ascii="Arial" w:hAnsi="Arial" w:cs="Arial"/>
          <w:color w:val="7B7B7B" w:themeColor="accent3" w:themeShade="BF"/>
          <w:sz w:val="22"/>
          <w:szCs w:val="22"/>
          <w:lang w:val="en-GB"/>
        </w:rPr>
        <w:t xml:space="preserve"> the </w:t>
      </w:r>
      <w:r w:rsidR="0057047B">
        <w:rPr>
          <w:rFonts w:ascii="Arial" w:hAnsi="Arial" w:cs="Arial"/>
          <w:color w:val="7B7B7B" w:themeColor="accent3" w:themeShade="BF"/>
          <w:sz w:val="22"/>
          <w:szCs w:val="22"/>
          <w:lang w:val="en-GB"/>
        </w:rPr>
        <w:t xml:space="preserve">court </w:t>
      </w:r>
      <w:r w:rsidR="00326B27">
        <w:rPr>
          <w:rFonts w:ascii="Arial" w:hAnsi="Arial" w:cs="Arial"/>
          <w:color w:val="7B7B7B" w:themeColor="accent3" w:themeShade="BF"/>
          <w:sz w:val="22"/>
          <w:szCs w:val="22"/>
          <w:lang w:val="en-GB"/>
        </w:rPr>
        <w:t>appoint</w:t>
      </w:r>
      <w:r w:rsidR="0057047B">
        <w:rPr>
          <w:rFonts w:ascii="Arial" w:hAnsi="Arial" w:cs="Arial"/>
          <w:color w:val="7B7B7B" w:themeColor="accent3" w:themeShade="BF"/>
          <w:sz w:val="22"/>
          <w:szCs w:val="22"/>
          <w:lang w:val="en-GB"/>
        </w:rPr>
        <w:t xml:space="preserve">ing </w:t>
      </w:r>
      <w:r w:rsidR="00326B27">
        <w:rPr>
          <w:rFonts w:ascii="Arial" w:hAnsi="Arial" w:cs="Arial"/>
          <w:color w:val="7B7B7B" w:themeColor="accent3" w:themeShade="BF"/>
          <w:sz w:val="22"/>
          <w:szCs w:val="22"/>
          <w:lang w:val="en-GB"/>
        </w:rPr>
        <w:t xml:space="preserve">an insolvency practitioner as the judicial manager who then takes over the responsibility for the running of the company from its directors and management.  </w:t>
      </w:r>
      <w:r w:rsidR="0057047B">
        <w:rPr>
          <w:rFonts w:ascii="Arial" w:hAnsi="Arial" w:cs="Arial"/>
          <w:color w:val="7B7B7B" w:themeColor="accent3" w:themeShade="BF"/>
          <w:sz w:val="22"/>
          <w:szCs w:val="22"/>
          <w:lang w:val="en-GB"/>
        </w:rPr>
        <w:t xml:space="preserve">First, it is different from liquidation because its main objectives are </w:t>
      </w:r>
      <w:r w:rsidR="00326B27">
        <w:rPr>
          <w:rFonts w:ascii="Arial" w:hAnsi="Arial" w:cs="Arial"/>
          <w:color w:val="7B7B7B" w:themeColor="accent3" w:themeShade="BF"/>
          <w:sz w:val="22"/>
          <w:szCs w:val="22"/>
          <w:lang w:val="en-GB"/>
        </w:rPr>
        <w:t>rescuing the company and the taking of steps which may allow the company to stay afloat</w:t>
      </w:r>
      <w:r w:rsidR="0057047B">
        <w:rPr>
          <w:rFonts w:ascii="Arial" w:hAnsi="Arial" w:cs="Arial"/>
          <w:color w:val="7B7B7B" w:themeColor="accent3" w:themeShade="BF"/>
          <w:sz w:val="22"/>
          <w:szCs w:val="22"/>
          <w:lang w:val="en-GB"/>
        </w:rPr>
        <w:t>.  Liquidation, on the other hand, aims to dissolve and</w:t>
      </w:r>
      <w:r w:rsidR="00326B27">
        <w:rPr>
          <w:rFonts w:ascii="Arial" w:hAnsi="Arial" w:cs="Arial"/>
          <w:color w:val="7B7B7B" w:themeColor="accent3" w:themeShade="BF"/>
          <w:sz w:val="22"/>
          <w:szCs w:val="22"/>
          <w:lang w:val="en-GB"/>
        </w:rPr>
        <w:t xml:space="preserve"> wind</w:t>
      </w:r>
      <w:r w:rsidR="0057047B">
        <w:rPr>
          <w:rFonts w:ascii="Arial" w:hAnsi="Arial" w:cs="Arial"/>
          <w:color w:val="7B7B7B" w:themeColor="accent3" w:themeShade="BF"/>
          <w:sz w:val="22"/>
          <w:szCs w:val="22"/>
          <w:lang w:val="en-GB"/>
        </w:rPr>
        <w:t xml:space="preserve"> up </w:t>
      </w:r>
      <w:r w:rsidR="00326B27">
        <w:rPr>
          <w:rFonts w:ascii="Arial" w:hAnsi="Arial" w:cs="Arial"/>
          <w:color w:val="7B7B7B" w:themeColor="accent3" w:themeShade="BF"/>
          <w:sz w:val="22"/>
          <w:szCs w:val="22"/>
          <w:lang w:val="en-GB"/>
        </w:rPr>
        <w:t xml:space="preserve">the </w:t>
      </w:r>
      <w:r w:rsidR="0057047B">
        <w:rPr>
          <w:rFonts w:ascii="Arial" w:hAnsi="Arial" w:cs="Arial"/>
          <w:color w:val="7B7B7B" w:themeColor="accent3" w:themeShade="BF"/>
          <w:sz w:val="22"/>
          <w:szCs w:val="22"/>
          <w:lang w:val="en-GB"/>
        </w:rPr>
        <w:t xml:space="preserve">affairs of the </w:t>
      </w:r>
      <w:r w:rsidR="00326B27">
        <w:rPr>
          <w:rFonts w:ascii="Arial" w:hAnsi="Arial" w:cs="Arial"/>
          <w:color w:val="7B7B7B" w:themeColor="accent3" w:themeShade="BF"/>
          <w:sz w:val="22"/>
          <w:szCs w:val="22"/>
          <w:lang w:val="en-GB"/>
        </w:rPr>
        <w:t>company</w:t>
      </w:r>
      <w:r w:rsidR="0057047B">
        <w:rPr>
          <w:rFonts w:ascii="Arial" w:hAnsi="Arial" w:cs="Arial"/>
          <w:color w:val="7B7B7B" w:themeColor="accent3" w:themeShade="BF"/>
          <w:sz w:val="22"/>
          <w:szCs w:val="22"/>
          <w:lang w:val="en-GB"/>
        </w:rPr>
        <w:t>, and then distribute the company assets to all creditors</w:t>
      </w:r>
      <w:r w:rsidR="00326B27">
        <w:rPr>
          <w:rFonts w:ascii="Arial" w:hAnsi="Arial" w:cs="Arial"/>
          <w:color w:val="7B7B7B" w:themeColor="accent3" w:themeShade="BF"/>
          <w:sz w:val="22"/>
          <w:szCs w:val="22"/>
          <w:lang w:val="en-GB"/>
        </w:rPr>
        <w:t xml:space="preserve">.  In liquidation proceedings, rescuing the company is not at all an objective.  Rather, </w:t>
      </w:r>
      <w:r w:rsidR="0057047B">
        <w:rPr>
          <w:rFonts w:ascii="Arial" w:hAnsi="Arial" w:cs="Arial"/>
          <w:color w:val="7B7B7B" w:themeColor="accent3" w:themeShade="BF"/>
          <w:sz w:val="22"/>
          <w:szCs w:val="22"/>
          <w:lang w:val="en-GB"/>
        </w:rPr>
        <w:t xml:space="preserve">it focuses on </w:t>
      </w:r>
      <w:r w:rsidR="0099705B">
        <w:rPr>
          <w:rFonts w:ascii="Arial" w:hAnsi="Arial" w:cs="Arial"/>
          <w:color w:val="7B7B7B" w:themeColor="accent3" w:themeShade="BF"/>
          <w:sz w:val="22"/>
          <w:szCs w:val="22"/>
          <w:lang w:val="en-GB"/>
        </w:rPr>
        <w:t>ensur</w:t>
      </w:r>
      <w:r w:rsidR="0057047B">
        <w:rPr>
          <w:rFonts w:ascii="Arial" w:hAnsi="Arial" w:cs="Arial"/>
          <w:color w:val="7B7B7B" w:themeColor="accent3" w:themeShade="BF"/>
          <w:sz w:val="22"/>
          <w:szCs w:val="22"/>
          <w:lang w:val="en-GB"/>
        </w:rPr>
        <w:t>ing</w:t>
      </w:r>
      <w:r w:rsidR="0099705B">
        <w:rPr>
          <w:rFonts w:ascii="Arial" w:hAnsi="Arial" w:cs="Arial"/>
          <w:color w:val="7B7B7B" w:themeColor="accent3" w:themeShade="BF"/>
          <w:sz w:val="22"/>
          <w:szCs w:val="22"/>
          <w:lang w:val="en-GB"/>
        </w:rPr>
        <w:t xml:space="preserve"> a fair and orderly distribution of the company’s assets among creditors and contributories and to terminate the existence of the company by its eventual dissolution</w:t>
      </w:r>
      <w:r w:rsidR="00326B27">
        <w:rPr>
          <w:rFonts w:ascii="Arial" w:hAnsi="Arial" w:cs="Arial"/>
          <w:color w:val="7B7B7B" w:themeColor="accent3" w:themeShade="BF"/>
          <w:sz w:val="22"/>
          <w:szCs w:val="22"/>
          <w:lang w:val="en-GB"/>
        </w:rPr>
        <w:t>.</w:t>
      </w:r>
      <w:r w:rsidR="00F56AE4">
        <w:rPr>
          <w:rFonts w:ascii="Arial" w:hAnsi="Arial" w:cs="Arial"/>
          <w:color w:val="7B7B7B" w:themeColor="accent3" w:themeShade="BF"/>
          <w:sz w:val="22"/>
          <w:szCs w:val="22"/>
          <w:lang w:val="en-GB"/>
        </w:rPr>
        <w:t xml:space="preserve"> </w:t>
      </w:r>
    </w:p>
    <w:p w14:paraId="06E74FEB" w14:textId="77777777" w:rsidR="00326B27" w:rsidRDefault="00326B27" w:rsidP="002A37BB">
      <w:pPr>
        <w:jc w:val="both"/>
        <w:rPr>
          <w:rFonts w:ascii="Arial" w:hAnsi="Arial" w:cs="Arial"/>
          <w:color w:val="7B7B7B" w:themeColor="accent3" w:themeShade="BF"/>
          <w:sz w:val="22"/>
          <w:szCs w:val="22"/>
          <w:lang w:val="en-GB"/>
        </w:rPr>
      </w:pPr>
    </w:p>
    <w:p w14:paraId="2B4ABDAB" w14:textId="29BC10B9" w:rsidR="00F56AE4" w:rsidRDefault="00326B2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Because of this key difference in</w:t>
      </w:r>
      <w:r w:rsidR="00E520FB">
        <w:rPr>
          <w:rFonts w:ascii="Arial" w:hAnsi="Arial" w:cs="Arial"/>
          <w:color w:val="7B7B7B" w:themeColor="accent3" w:themeShade="BF"/>
          <w:sz w:val="22"/>
          <w:szCs w:val="22"/>
          <w:lang w:val="en-GB"/>
        </w:rPr>
        <w:t xml:space="preserve"> their objectives</w:t>
      </w:r>
      <w:r>
        <w:rPr>
          <w:rFonts w:ascii="Arial" w:hAnsi="Arial" w:cs="Arial"/>
          <w:color w:val="7B7B7B" w:themeColor="accent3" w:themeShade="BF"/>
          <w:sz w:val="22"/>
          <w:szCs w:val="22"/>
          <w:lang w:val="en-GB"/>
        </w:rPr>
        <w:t xml:space="preserve">, the judicial manager in judicial management proceedings, is given the power to replace the company’s directors and management, and take over the responsibility of running the company.  </w:t>
      </w:r>
      <w:r w:rsidR="0099705B">
        <w:rPr>
          <w:rFonts w:ascii="Arial" w:hAnsi="Arial" w:cs="Arial"/>
          <w:color w:val="7B7B7B" w:themeColor="accent3" w:themeShade="BF"/>
          <w:sz w:val="22"/>
          <w:szCs w:val="22"/>
          <w:lang w:val="en-GB"/>
        </w:rPr>
        <w:t>The power to r</w:t>
      </w:r>
      <w:r>
        <w:rPr>
          <w:rFonts w:ascii="Arial" w:hAnsi="Arial" w:cs="Arial"/>
          <w:color w:val="7B7B7B" w:themeColor="accent3" w:themeShade="BF"/>
          <w:sz w:val="22"/>
          <w:szCs w:val="22"/>
          <w:lang w:val="en-GB"/>
        </w:rPr>
        <w:t xml:space="preserve">un the company as a </w:t>
      </w:r>
      <w:r w:rsidR="0099705B">
        <w:rPr>
          <w:rFonts w:ascii="Arial" w:hAnsi="Arial" w:cs="Arial"/>
          <w:color w:val="7B7B7B" w:themeColor="accent3" w:themeShade="BF"/>
          <w:sz w:val="22"/>
          <w:szCs w:val="22"/>
          <w:lang w:val="en-GB"/>
        </w:rPr>
        <w:t>going concern</w:t>
      </w:r>
      <w:r>
        <w:rPr>
          <w:rFonts w:ascii="Arial" w:hAnsi="Arial" w:cs="Arial"/>
          <w:color w:val="7B7B7B" w:themeColor="accent3" w:themeShade="BF"/>
          <w:sz w:val="22"/>
          <w:szCs w:val="22"/>
          <w:lang w:val="en-GB"/>
        </w:rPr>
        <w:t xml:space="preserve"> is given to the liquidator </w:t>
      </w:r>
      <w:r w:rsidR="001443FA">
        <w:rPr>
          <w:rFonts w:ascii="Arial" w:hAnsi="Arial" w:cs="Arial"/>
          <w:color w:val="7B7B7B" w:themeColor="accent3" w:themeShade="BF"/>
          <w:sz w:val="22"/>
          <w:szCs w:val="22"/>
          <w:lang w:val="en-GB"/>
        </w:rPr>
        <w:t>so far as is necessary for the beneficial winding-up of the company and only for a limited period</w:t>
      </w:r>
      <w:r>
        <w:rPr>
          <w:rFonts w:ascii="Arial" w:hAnsi="Arial" w:cs="Arial"/>
          <w:color w:val="7B7B7B" w:themeColor="accent3" w:themeShade="BF"/>
          <w:sz w:val="22"/>
          <w:szCs w:val="22"/>
          <w:lang w:val="en-GB"/>
        </w:rPr>
        <w:t xml:space="preserve">.  The liquidator’s power to sell the company assets is given with the objective of eventually distributing the proceeds from the company assets to the company creditors.  In judicial management, the judicial management may sell company assets so as to rescue and rehabilitate the company.  Notably, creditors play a limited role in the management and direction of the company, albeit </w:t>
      </w:r>
      <w:r w:rsidR="00F56AE4">
        <w:rPr>
          <w:rFonts w:ascii="Arial" w:hAnsi="Arial" w:cs="Arial"/>
          <w:color w:val="7B7B7B" w:themeColor="accent3" w:themeShade="BF"/>
          <w:sz w:val="22"/>
          <w:szCs w:val="22"/>
          <w:lang w:val="en-GB"/>
        </w:rPr>
        <w:t xml:space="preserve">creditor proposals may be made through a creditor committee. </w:t>
      </w:r>
    </w:p>
    <w:p w14:paraId="5981C9C2" w14:textId="77777777" w:rsidR="00F56AE4" w:rsidRDefault="00F56AE4" w:rsidP="002A37BB">
      <w:pPr>
        <w:jc w:val="both"/>
        <w:rPr>
          <w:rFonts w:ascii="Arial" w:hAnsi="Arial" w:cs="Arial"/>
          <w:color w:val="7B7B7B" w:themeColor="accent3" w:themeShade="BF"/>
          <w:sz w:val="22"/>
          <w:szCs w:val="22"/>
          <w:lang w:val="en-GB"/>
        </w:rPr>
      </w:pPr>
    </w:p>
    <w:p w14:paraId="390FDD25" w14:textId="0925A04D" w:rsidR="00DF75F8" w:rsidRPr="002A37BB" w:rsidRDefault="00F56AE4"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Likewise, </w:t>
      </w:r>
      <w:r w:rsidR="001905B0">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distribution of proceeds from the company assets to the creditors is not the main objective of </w:t>
      </w:r>
      <w:r w:rsidR="001905B0">
        <w:rPr>
          <w:rFonts w:ascii="Arial" w:hAnsi="Arial" w:cs="Arial"/>
          <w:color w:val="7B7B7B" w:themeColor="accent3" w:themeShade="BF"/>
          <w:sz w:val="22"/>
          <w:szCs w:val="22"/>
          <w:lang w:val="en-GB"/>
        </w:rPr>
        <w:t>judicial management unlike in liquidation proceedings</w:t>
      </w:r>
      <w:r>
        <w:rPr>
          <w:rFonts w:ascii="Arial" w:hAnsi="Arial" w:cs="Arial"/>
          <w:color w:val="7B7B7B" w:themeColor="accent3" w:themeShade="BF"/>
          <w:sz w:val="22"/>
          <w:szCs w:val="22"/>
          <w:lang w:val="en-GB"/>
        </w:rPr>
        <w:t>.</w:t>
      </w:r>
      <w:r w:rsidR="001905B0">
        <w:rPr>
          <w:rFonts w:ascii="Arial" w:hAnsi="Arial" w:cs="Arial"/>
          <w:color w:val="7B7B7B" w:themeColor="accent3" w:themeShade="BF"/>
          <w:sz w:val="22"/>
          <w:szCs w:val="22"/>
          <w:lang w:val="en-GB"/>
        </w:rPr>
        <w:t xml:space="preserve">  As such, creditors participat</w:t>
      </w:r>
      <w:r w:rsidR="00794EAC">
        <w:rPr>
          <w:rFonts w:ascii="Arial" w:hAnsi="Arial" w:cs="Arial"/>
          <w:color w:val="7B7B7B" w:themeColor="accent3" w:themeShade="BF"/>
          <w:sz w:val="22"/>
          <w:szCs w:val="22"/>
          <w:lang w:val="en-GB"/>
        </w:rPr>
        <w:t>ion</w:t>
      </w:r>
      <w:r w:rsidR="001905B0">
        <w:rPr>
          <w:rFonts w:ascii="Arial" w:hAnsi="Arial" w:cs="Arial"/>
          <w:color w:val="7B7B7B" w:themeColor="accent3" w:themeShade="BF"/>
          <w:sz w:val="22"/>
          <w:szCs w:val="22"/>
          <w:lang w:val="en-GB"/>
        </w:rPr>
        <w:t xml:space="preserve"> in judicial management </w:t>
      </w:r>
      <w:r w:rsidR="00794EAC">
        <w:rPr>
          <w:rFonts w:ascii="Arial" w:hAnsi="Arial" w:cs="Arial"/>
          <w:color w:val="7B7B7B" w:themeColor="accent3" w:themeShade="BF"/>
          <w:sz w:val="22"/>
          <w:szCs w:val="22"/>
          <w:lang w:val="en-GB"/>
        </w:rPr>
        <w:t>is limited</w:t>
      </w:r>
      <w:r w:rsidR="0099705B">
        <w:rPr>
          <w:rFonts w:ascii="Arial" w:hAnsi="Arial" w:cs="Arial"/>
          <w:color w:val="7B7B7B" w:themeColor="accent3" w:themeShade="BF"/>
          <w:sz w:val="22"/>
          <w:szCs w:val="22"/>
          <w:lang w:val="en-GB"/>
        </w:rPr>
        <w:t>.</w:t>
      </w:r>
      <w:r w:rsidR="00794EAC">
        <w:rPr>
          <w:rFonts w:ascii="Arial" w:hAnsi="Arial" w:cs="Arial"/>
          <w:color w:val="7B7B7B" w:themeColor="accent3" w:themeShade="BF"/>
          <w:sz w:val="22"/>
          <w:szCs w:val="22"/>
          <w:lang w:val="en-GB"/>
        </w:rPr>
        <w:t xml:space="preserve"> </w:t>
      </w:r>
      <w:r w:rsidR="0099705B">
        <w:rPr>
          <w:rFonts w:ascii="Arial" w:hAnsi="Arial" w:cs="Arial"/>
          <w:color w:val="7B7B7B" w:themeColor="accent3" w:themeShade="BF"/>
          <w:sz w:val="22"/>
          <w:szCs w:val="22"/>
          <w:lang w:val="en-GB"/>
        </w:rPr>
        <w:t>T</w:t>
      </w:r>
      <w:r w:rsidR="001905B0">
        <w:rPr>
          <w:rFonts w:ascii="Arial" w:hAnsi="Arial" w:cs="Arial"/>
          <w:color w:val="7B7B7B" w:themeColor="accent3" w:themeShade="BF"/>
          <w:sz w:val="22"/>
          <w:szCs w:val="22"/>
          <w:lang w:val="en-GB"/>
        </w:rPr>
        <w:t>hrough the creditors committee</w:t>
      </w:r>
      <w:r w:rsidR="0099705B">
        <w:rPr>
          <w:rFonts w:ascii="Arial" w:hAnsi="Arial" w:cs="Arial"/>
          <w:color w:val="7B7B7B" w:themeColor="accent3" w:themeShade="BF"/>
          <w:sz w:val="22"/>
          <w:szCs w:val="22"/>
          <w:lang w:val="en-GB"/>
        </w:rPr>
        <w:t xml:space="preserve">, they can require </w:t>
      </w:r>
      <w:r w:rsidR="001905B0">
        <w:rPr>
          <w:rFonts w:ascii="Arial" w:hAnsi="Arial" w:cs="Arial"/>
          <w:color w:val="7B7B7B" w:themeColor="accent3" w:themeShade="BF"/>
          <w:sz w:val="22"/>
          <w:szCs w:val="22"/>
          <w:lang w:val="en-GB"/>
        </w:rPr>
        <w:t xml:space="preserve">the judicial manager to furnish them with information with the view of allowing them to consider and give the judicial manager relevant directions.  </w:t>
      </w:r>
      <w:r w:rsidR="0099705B">
        <w:rPr>
          <w:rFonts w:ascii="Arial" w:hAnsi="Arial" w:cs="Arial"/>
          <w:color w:val="7B7B7B" w:themeColor="accent3" w:themeShade="BF"/>
          <w:sz w:val="22"/>
          <w:szCs w:val="22"/>
          <w:lang w:val="en-GB"/>
        </w:rPr>
        <w:t>In liquidation, creditors can commence the liquidation process themselves.  They can file a creditors’ voluntary liquidation when the company is unable to pay its debts and directors are unable to provide the declaration of solvency. Creditors, in a meeting convened by the company, consider and approve the proposal for a voluntary winding up.  Furthermore, creditors also participate by filing proofs of their debts to verify their claims</w:t>
      </w:r>
      <w:r>
        <w:rPr>
          <w:rFonts w:ascii="Arial" w:hAnsi="Arial" w:cs="Arial"/>
          <w:color w:val="7B7B7B" w:themeColor="accent3" w:themeShade="BF"/>
          <w:sz w:val="22"/>
          <w:szCs w:val="22"/>
          <w:lang w:val="en-GB"/>
        </w:rPr>
        <w:t xml:space="preserve"> </w:t>
      </w:r>
      <w:r w:rsidR="0099705B">
        <w:rPr>
          <w:rFonts w:ascii="Arial" w:hAnsi="Arial" w:cs="Arial"/>
          <w:color w:val="7B7B7B" w:themeColor="accent3" w:themeShade="BF"/>
          <w:sz w:val="22"/>
          <w:szCs w:val="22"/>
          <w:lang w:val="en-GB"/>
        </w:rPr>
        <w:t>and vote on certain issues.  They may also form a creditor’s committee to better manage the conduct of liquidation.</w:t>
      </w:r>
      <w:r w:rsidR="00326B27">
        <w:rPr>
          <w:rFonts w:ascii="Arial" w:hAnsi="Arial" w:cs="Arial"/>
          <w:color w:val="7B7B7B" w:themeColor="accent3" w:themeShade="BF"/>
          <w:sz w:val="22"/>
          <w:szCs w:val="22"/>
          <w:lang w:val="en-GB"/>
        </w:rPr>
        <w:t>]</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lastRenderedPageBreak/>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4BDAFED8" w14:textId="77777777" w:rsidR="00E520FB" w:rsidRDefault="0007291B" w:rsidP="009E3DF6">
      <w:pPr>
        <w:ind w:left="66"/>
        <w:jc w:val="both"/>
        <w:rPr>
          <w:rFonts w:ascii="Arial" w:hAnsi="Arial" w:cs="Arial"/>
          <w:color w:val="7B7B7B" w:themeColor="accent3" w:themeShade="BF"/>
          <w:sz w:val="22"/>
          <w:szCs w:val="22"/>
          <w:lang w:val="en-GB"/>
        </w:rPr>
      </w:pPr>
      <w:r w:rsidRPr="009E3DF6">
        <w:rPr>
          <w:rFonts w:ascii="Arial" w:hAnsi="Arial" w:cs="Arial"/>
          <w:color w:val="7B7B7B" w:themeColor="accent3" w:themeShade="BF"/>
          <w:sz w:val="22"/>
          <w:szCs w:val="22"/>
          <w:lang w:val="en-GB"/>
        </w:rPr>
        <w:t>[</w:t>
      </w:r>
      <w:r w:rsidR="00B55DF2">
        <w:rPr>
          <w:rFonts w:ascii="Arial" w:hAnsi="Arial" w:cs="Arial"/>
          <w:color w:val="7B7B7B" w:themeColor="accent3" w:themeShade="BF"/>
          <w:sz w:val="22"/>
          <w:szCs w:val="22"/>
          <w:lang w:val="en-GB"/>
        </w:rPr>
        <w:t xml:space="preserve">The bank lenders in their application for judicial management of PEC must establish that: </w:t>
      </w:r>
    </w:p>
    <w:p w14:paraId="6F394F46" w14:textId="77777777" w:rsidR="00E520FB" w:rsidRDefault="00E520FB" w:rsidP="009E3DF6">
      <w:pPr>
        <w:ind w:left="66"/>
        <w:jc w:val="both"/>
        <w:rPr>
          <w:rFonts w:ascii="Arial" w:hAnsi="Arial" w:cs="Arial"/>
          <w:color w:val="7B7B7B" w:themeColor="accent3" w:themeShade="BF"/>
          <w:sz w:val="22"/>
          <w:szCs w:val="22"/>
          <w:lang w:val="en-GB"/>
        </w:rPr>
      </w:pPr>
    </w:p>
    <w:p w14:paraId="7885BA73" w14:textId="2B6F7DC9" w:rsidR="00B55DF2" w:rsidRDefault="00B55DF2" w:rsidP="009E3DF6">
      <w:pPr>
        <w:ind w:left="6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PEC is or will be unable to pay its debts; and (2) there is reasonable probability of rehabilitating PEC, or of preserving all or part of its business as a going concern, or that otherwise the interests of the bank lenders as creditors would be better served than by resorting to a winding up.</w:t>
      </w:r>
    </w:p>
    <w:p w14:paraId="117D9C50" w14:textId="77777777" w:rsidR="00B55DF2" w:rsidRDefault="00B55DF2" w:rsidP="009E3DF6">
      <w:pPr>
        <w:ind w:left="66"/>
        <w:jc w:val="both"/>
        <w:rPr>
          <w:rFonts w:ascii="Arial" w:hAnsi="Arial" w:cs="Arial"/>
          <w:color w:val="7B7B7B" w:themeColor="accent3" w:themeShade="BF"/>
          <w:sz w:val="22"/>
          <w:szCs w:val="22"/>
          <w:lang w:val="en-GB"/>
        </w:rPr>
      </w:pPr>
    </w:p>
    <w:p w14:paraId="5552C7E8" w14:textId="77777777" w:rsidR="00B55DF2" w:rsidRDefault="00B55DF2" w:rsidP="009E3DF6">
      <w:pPr>
        <w:ind w:left="6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avail rescue financing, the judicial manager should establish that rescue financing for PEC is either or both: (1) necessary for the survival of a debtor that obtains the financing; (2) necessary to achieve a more advantageous realisation of the assets of a debtor that obtains the financing than on a winding-up of that debtor. </w:t>
      </w:r>
    </w:p>
    <w:p w14:paraId="215654F4" w14:textId="77777777" w:rsidR="00B55DF2" w:rsidRDefault="00B55DF2" w:rsidP="009E3DF6">
      <w:pPr>
        <w:ind w:left="66"/>
        <w:jc w:val="both"/>
        <w:rPr>
          <w:rFonts w:ascii="Arial" w:hAnsi="Arial" w:cs="Arial"/>
          <w:color w:val="7B7B7B" w:themeColor="accent3" w:themeShade="BF"/>
          <w:sz w:val="22"/>
          <w:szCs w:val="22"/>
          <w:lang w:val="en-GB"/>
        </w:rPr>
      </w:pPr>
    </w:p>
    <w:p w14:paraId="30A844DC" w14:textId="1D2C125B" w:rsidR="001A007A" w:rsidRPr="009E3DF6" w:rsidRDefault="00B55DF2" w:rsidP="009E3DF6">
      <w:pPr>
        <w:ind w:left="66"/>
        <w:jc w:val="both"/>
        <w:rPr>
          <w:rFonts w:ascii="Arial" w:hAnsi="Arial" w:cs="Arial"/>
          <w:sz w:val="22"/>
          <w:szCs w:val="22"/>
          <w:lang w:val="en-GB"/>
        </w:rPr>
      </w:pPr>
      <w:r>
        <w:rPr>
          <w:rFonts w:ascii="Arial" w:hAnsi="Arial" w:cs="Arial"/>
          <w:color w:val="7B7B7B" w:themeColor="accent3" w:themeShade="BF"/>
          <w:sz w:val="22"/>
          <w:szCs w:val="22"/>
          <w:lang w:val="en-GB"/>
        </w:rPr>
        <w:t xml:space="preserve">As regards placing PEC’s subsidiaries under judicial management, separate applications for </w:t>
      </w:r>
      <w:r w:rsidR="002E7B15">
        <w:rPr>
          <w:rFonts w:ascii="Arial" w:hAnsi="Arial" w:cs="Arial"/>
          <w:color w:val="7B7B7B" w:themeColor="accent3" w:themeShade="BF"/>
          <w:sz w:val="22"/>
          <w:szCs w:val="22"/>
          <w:lang w:val="en-GB"/>
        </w:rPr>
        <w:t xml:space="preserve">placing </w:t>
      </w:r>
      <w:r>
        <w:rPr>
          <w:rFonts w:ascii="Arial" w:hAnsi="Arial" w:cs="Arial"/>
          <w:color w:val="7B7B7B" w:themeColor="accent3" w:themeShade="BF"/>
          <w:sz w:val="22"/>
          <w:szCs w:val="22"/>
          <w:lang w:val="en-GB"/>
        </w:rPr>
        <w:t xml:space="preserve">each subsidiary </w:t>
      </w:r>
      <w:r w:rsidR="002E7B15">
        <w:rPr>
          <w:rFonts w:ascii="Arial" w:hAnsi="Arial" w:cs="Arial"/>
          <w:color w:val="7B7B7B" w:themeColor="accent3" w:themeShade="BF"/>
          <w:sz w:val="22"/>
          <w:szCs w:val="22"/>
          <w:lang w:val="en-GB"/>
        </w:rPr>
        <w:t>under judicial management must be made.  This means establishing the same two requirements mentioned earlier in placing PEC under judicial management.  This is because Singapore has no legislation dealing with group of companies</w:t>
      </w:r>
      <w:r w:rsidR="00E520FB">
        <w:rPr>
          <w:rFonts w:ascii="Arial" w:hAnsi="Arial" w:cs="Arial"/>
          <w:color w:val="7B7B7B" w:themeColor="accent3" w:themeShade="BF"/>
          <w:sz w:val="22"/>
          <w:szCs w:val="22"/>
          <w:lang w:val="en-GB"/>
        </w:rPr>
        <w:t>.</w:t>
      </w:r>
      <w:r w:rsidR="0007291B" w:rsidRPr="009E3DF6">
        <w:rPr>
          <w:rFonts w:ascii="Arial" w:hAnsi="Arial" w:cs="Arial"/>
          <w:color w:val="7B7B7B" w:themeColor="accent3" w:themeShade="BF"/>
          <w:sz w:val="22"/>
          <w:szCs w:val="22"/>
          <w:lang w:val="en-GB"/>
        </w:rPr>
        <w:t>]</w:t>
      </w: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387B816B" w14:textId="00BF4039" w:rsidR="00221EA3" w:rsidRDefault="0007291B" w:rsidP="00221EA3">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225DCD">
        <w:rPr>
          <w:rFonts w:ascii="Arial" w:hAnsi="Arial" w:cs="Arial"/>
          <w:color w:val="7B7B7B" w:themeColor="accent3" w:themeShade="BF"/>
          <w:sz w:val="22"/>
          <w:szCs w:val="22"/>
          <w:lang w:val="en-GB"/>
        </w:rPr>
        <w:t xml:space="preserve">An automatic moratorium on legal proceedings against the company comes into effect upon the filing of the judicial management application.  If a judicial management order is made then a more extensive moratorium will come into effect for the period of the judicial management.  </w:t>
      </w:r>
      <w:r w:rsidR="00E520FB">
        <w:rPr>
          <w:rFonts w:ascii="Arial" w:hAnsi="Arial" w:cs="Arial"/>
          <w:color w:val="7B7B7B" w:themeColor="accent3" w:themeShade="BF"/>
          <w:sz w:val="22"/>
          <w:szCs w:val="22"/>
          <w:lang w:val="en-GB"/>
        </w:rPr>
        <w:t>The</w:t>
      </w:r>
      <w:r w:rsidR="00225DCD">
        <w:rPr>
          <w:rFonts w:ascii="Arial" w:hAnsi="Arial" w:cs="Arial"/>
          <w:color w:val="7B7B7B" w:themeColor="accent3" w:themeShade="BF"/>
          <w:sz w:val="22"/>
          <w:szCs w:val="22"/>
          <w:lang w:val="en-GB"/>
        </w:rPr>
        <w:t xml:space="preserve"> </w:t>
      </w:r>
      <w:r w:rsidR="00E520FB">
        <w:rPr>
          <w:rFonts w:ascii="Arial" w:hAnsi="Arial" w:cs="Arial"/>
          <w:color w:val="7B7B7B" w:themeColor="accent3" w:themeShade="BF"/>
          <w:sz w:val="22"/>
          <w:szCs w:val="22"/>
          <w:lang w:val="en-GB"/>
        </w:rPr>
        <w:t xml:space="preserve">length of this moratorium coincides with the period the </w:t>
      </w:r>
      <w:r w:rsidR="00225DCD">
        <w:rPr>
          <w:rFonts w:ascii="Arial" w:hAnsi="Arial" w:cs="Arial"/>
          <w:color w:val="7B7B7B" w:themeColor="accent3" w:themeShade="BF"/>
          <w:sz w:val="22"/>
          <w:szCs w:val="22"/>
          <w:lang w:val="en-GB"/>
        </w:rPr>
        <w:t>judicial management</w:t>
      </w:r>
      <w:r w:rsidR="00D761D9">
        <w:rPr>
          <w:rFonts w:ascii="Arial" w:hAnsi="Arial" w:cs="Arial"/>
          <w:color w:val="7B7B7B" w:themeColor="accent3" w:themeShade="BF"/>
          <w:sz w:val="22"/>
          <w:szCs w:val="22"/>
          <w:lang w:val="en-GB"/>
        </w:rPr>
        <w:t xml:space="preserve"> order </w:t>
      </w:r>
      <w:r w:rsidR="00E520FB">
        <w:rPr>
          <w:rFonts w:ascii="Arial" w:hAnsi="Arial" w:cs="Arial"/>
          <w:color w:val="7B7B7B" w:themeColor="accent3" w:themeShade="BF"/>
          <w:sz w:val="22"/>
          <w:szCs w:val="22"/>
          <w:lang w:val="en-GB"/>
        </w:rPr>
        <w:t xml:space="preserve">is in effect, which </w:t>
      </w:r>
      <w:r w:rsidR="00D761D9">
        <w:rPr>
          <w:rFonts w:ascii="Arial" w:hAnsi="Arial" w:cs="Arial"/>
          <w:color w:val="7B7B7B" w:themeColor="accent3" w:themeShade="BF"/>
          <w:sz w:val="22"/>
          <w:szCs w:val="22"/>
          <w:lang w:val="en-GB"/>
        </w:rPr>
        <w:t xml:space="preserve">is 180 days </w:t>
      </w:r>
      <w:r w:rsidR="00E520FB">
        <w:rPr>
          <w:rFonts w:ascii="Arial" w:hAnsi="Arial" w:cs="Arial"/>
          <w:color w:val="7B7B7B" w:themeColor="accent3" w:themeShade="BF"/>
          <w:sz w:val="22"/>
          <w:szCs w:val="22"/>
          <w:lang w:val="en-GB"/>
        </w:rPr>
        <w:t>unless extended by the court. Notably, t</w:t>
      </w:r>
      <w:r w:rsidR="00225DCD">
        <w:rPr>
          <w:rFonts w:ascii="Arial" w:hAnsi="Arial" w:cs="Arial"/>
          <w:color w:val="7B7B7B" w:themeColor="accent3" w:themeShade="BF"/>
          <w:sz w:val="22"/>
          <w:szCs w:val="22"/>
          <w:lang w:val="en-GB"/>
        </w:rPr>
        <w:t xml:space="preserve">his moratorium should </w:t>
      </w:r>
      <w:r w:rsidR="00D761D9">
        <w:rPr>
          <w:rFonts w:ascii="Arial" w:hAnsi="Arial" w:cs="Arial"/>
          <w:color w:val="7B7B7B" w:themeColor="accent3" w:themeShade="BF"/>
          <w:sz w:val="22"/>
          <w:szCs w:val="22"/>
          <w:lang w:val="en-GB"/>
        </w:rPr>
        <w:t>prevent legal proceedings</w:t>
      </w:r>
      <w:r w:rsidR="00221EA3">
        <w:rPr>
          <w:rFonts w:ascii="Arial" w:hAnsi="Arial" w:cs="Arial"/>
          <w:color w:val="7B7B7B" w:themeColor="accent3" w:themeShade="BF"/>
          <w:sz w:val="22"/>
          <w:szCs w:val="22"/>
          <w:lang w:val="en-GB"/>
        </w:rPr>
        <w:t>, and acts much like an injunction.</w:t>
      </w:r>
      <w:r w:rsidR="00D761D9">
        <w:rPr>
          <w:rFonts w:ascii="Arial" w:hAnsi="Arial" w:cs="Arial"/>
          <w:color w:val="7B7B7B" w:themeColor="accent3" w:themeShade="BF"/>
          <w:sz w:val="22"/>
          <w:szCs w:val="22"/>
          <w:lang w:val="en-GB"/>
        </w:rPr>
        <w:t xml:space="preserve"> </w:t>
      </w:r>
      <w:r w:rsidR="00221EA3">
        <w:rPr>
          <w:rFonts w:ascii="Arial" w:hAnsi="Arial" w:cs="Arial"/>
          <w:color w:val="7B7B7B" w:themeColor="accent3" w:themeShade="BF"/>
          <w:sz w:val="22"/>
          <w:szCs w:val="22"/>
          <w:lang w:val="en-GB"/>
        </w:rPr>
        <w:t xml:space="preserve">The only exceptions are those legal proceedings </w:t>
      </w:r>
      <w:r w:rsidR="00D761D9">
        <w:rPr>
          <w:rFonts w:ascii="Arial" w:hAnsi="Arial" w:cs="Arial"/>
          <w:color w:val="7B7B7B" w:themeColor="accent3" w:themeShade="BF"/>
          <w:sz w:val="22"/>
          <w:szCs w:val="22"/>
          <w:lang w:val="en-GB"/>
        </w:rPr>
        <w:t xml:space="preserve">allowed by the judicial manager or the court.  </w:t>
      </w:r>
    </w:p>
    <w:p w14:paraId="049B3877" w14:textId="77777777" w:rsidR="00221EA3" w:rsidRDefault="00221EA3" w:rsidP="00221EA3">
      <w:pPr>
        <w:autoSpaceDE w:val="0"/>
        <w:autoSpaceDN w:val="0"/>
        <w:adjustRightInd w:val="0"/>
        <w:jc w:val="both"/>
        <w:rPr>
          <w:rFonts w:ascii="Arial" w:hAnsi="Arial" w:cs="Arial"/>
          <w:color w:val="7B7B7B" w:themeColor="accent3" w:themeShade="BF"/>
          <w:sz w:val="22"/>
          <w:szCs w:val="22"/>
          <w:lang w:val="en-GB"/>
        </w:rPr>
      </w:pPr>
    </w:p>
    <w:p w14:paraId="5F00DFCA" w14:textId="440CB444" w:rsidR="00221EA3" w:rsidRPr="00221EA3" w:rsidRDefault="00221EA3" w:rsidP="00221EA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Hence, the effect of the moratoria may go beyond Singapore because the PEC, its subsidiaries and any creditor in Singapore should be bound by the moratoria </w:t>
      </w:r>
      <w:r w:rsidRPr="00221EA3">
        <w:rPr>
          <w:rFonts w:ascii="Arial" w:hAnsi="Arial" w:cs="Arial"/>
          <w:i/>
          <w:iCs/>
          <w:color w:val="7B7B7B" w:themeColor="accent3" w:themeShade="BF"/>
          <w:sz w:val="22"/>
          <w:szCs w:val="22"/>
          <w:lang w:val="en-GB"/>
        </w:rPr>
        <w:t>in personam</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lastRenderedPageBreak/>
        <w:t xml:space="preserve">However, this does not mean that the moratoria is </w:t>
      </w:r>
      <w:r w:rsidRPr="00221EA3">
        <w:rPr>
          <w:rFonts w:ascii="Arial" w:hAnsi="Arial" w:cs="Arial"/>
          <w:i/>
          <w:iCs/>
          <w:color w:val="7B7B7B" w:themeColor="accent3" w:themeShade="BF"/>
          <w:sz w:val="22"/>
          <w:szCs w:val="22"/>
          <w:lang w:val="en-GB"/>
        </w:rPr>
        <w:t>per se</w:t>
      </w:r>
      <w:r>
        <w:rPr>
          <w:rFonts w:ascii="Arial" w:hAnsi="Arial" w:cs="Arial"/>
          <w:color w:val="7B7B7B" w:themeColor="accent3" w:themeShade="BF"/>
          <w:sz w:val="22"/>
          <w:szCs w:val="22"/>
          <w:lang w:val="en-GB"/>
        </w:rPr>
        <w:t xml:space="preserve"> extra territorial in nature, as courts in other countries could not give automatic effect to the Singapore court-issued moratoria, unless the foreign courts are obligated to do so by treaty or their respective local laws. Hence, </w:t>
      </w:r>
      <w:r w:rsidRPr="00221EA3">
        <w:rPr>
          <w:rFonts w:ascii="Arial" w:hAnsi="Arial" w:cs="Arial"/>
          <w:color w:val="7B7B7B" w:themeColor="accent3" w:themeShade="BF"/>
          <w:sz w:val="22"/>
          <w:szCs w:val="22"/>
          <w:lang w:val="en-GB"/>
        </w:rPr>
        <w:t>assets owned by PEC and its subsidiaries located outside of Singapore</w:t>
      </w:r>
      <w:r>
        <w:rPr>
          <w:rFonts w:ascii="Arial" w:hAnsi="Arial" w:cs="Arial"/>
          <w:color w:val="7B7B7B" w:themeColor="accent3" w:themeShade="BF"/>
          <w:sz w:val="22"/>
          <w:szCs w:val="22"/>
          <w:lang w:val="en-GB"/>
        </w:rPr>
        <w:t xml:space="preserve"> are covered by the </w:t>
      </w:r>
      <w:r w:rsidR="005C2564">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oratoria because the </w:t>
      </w:r>
      <w:r w:rsidR="005C2564">
        <w:rPr>
          <w:rFonts w:ascii="Arial" w:hAnsi="Arial" w:cs="Arial"/>
          <w:color w:val="7B7B7B" w:themeColor="accent3" w:themeShade="BF"/>
          <w:sz w:val="22"/>
          <w:szCs w:val="22"/>
          <w:lang w:val="en-GB"/>
        </w:rPr>
        <w:t xml:space="preserve">in personam effect of the moratoria to the </w:t>
      </w:r>
      <w:r>
        <w:rPr>
          <w:rFonts w:ascii="Arial" w:hAnsi="Arial" w:cs="Arial"/>
          <w:color w:val="7B7B7B" w:themeColor="accent3" w:themeShade="BF"/>
          <w:sz w:val="22"/>
          <w:szCs w:val="22"/>
          <w:lang w:val="en-GB"/>
        </w:rPr>
        <w:t>PEC</w:t>
      </w:r>
      <w:r w:rsidR="005C256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its subsidiaries </w:t>
      </w:r>
      <w:r w:rsidR="005C2564">
        <w:rPr>
          <w:rFonts w:ascii="Arial" w:hAnsi="Arial" w:cs="Arial"/>
          <w:color w:val="7B7B7B" w:themeColor="accent3" w:themeShade="BF"/>
          <w:sz w:val="22"/>
          <w:szCs w:val="22"/>
          <w:lang w:val="en-GB"/>
        </w:rPr>
        <w:t xml:space="preserve">and creditors involved in the Singapore proceedings. In that sense, assets in Malaysia, China and the United States are protected as the </w:t>
      </w:r>
      <w:r w:rsidRPr="00221EA3">
        <w:rPr>
          <w:rFonts w:ascii="Arial" w:hAnsi="Arial" w:cs="Arial"/>
          <w:color w:val="7B7B7B" w:themeColor="accent3" w:themeShade="BF"/>
          <w:sz w:val="22"/>
          <w:szCs w:val="22"/>
          <w:lang w:val="en-GB"/>
        </w:rPr>
        <w:t>Singapore court</w:t>
      </w:r>
      <w:r w:rsidR="005C2564">
        <w:rPr>
          <w:rFonts w:ascii="Arial" w:hAnsi="Arial" w:cs="Arial"/>
          <w:color w:val="7B7B7B" w:themeColor="accent3" w:themeShade="BF"/>
          <w:sz w:val="22"/>
          <w:szCs w:val="22"/>
          <w:lang w:val="en-GB"/>
        </w:rPr>
        <w:t xml:space="preserve"> can penalise the PEC and its subsidiaries in case of breach of the moratoria. </w:t>
      </w:r>
      <w:r>
        <w:rPr>
          <w:rFonts w:ascii="Arial" w:hAnsi="Arial" w:cs="Arial"/>
          <w:color w:val="7B7B7B" w:themeColor="accent3" w:themeShade="BF"/>
          <w:sz w:val="22"/>
          <w:szCs w:val="22"/>
          <w:lang w:val="en-GB"/>
        </w:rPr>
        <w:t>Further</w:t>
      </w:r>
      <w:r w:rsidRPr="00221EA3">
        <w:rPr>
          <w:rFonts w:ascii="Arial" w:hAnsi="Arial" w:cs="Arial"/>
          <w:color w:val="7B7B7B" w:themeColor="accent3" w:themeShade="BF"/>
          <w:sz w:val="22"/>
          <w:szCs w:val="22"/>
          <w:lang w:val="en-GB"/>
        </w:rPr>
        <w:t xml:space="preserve">, should assets be distributed to creditors in Malaysia, China and the United States pursuant to the local insolvency proceedings filed by PEC or its subsidiaries in these jurisdictions, such distribution of assets may not be recognised in Singapore as shown in </w:t>
      </w:r>
      <w:r w:rsidRPr="00221EA3">
        <w:rPr>
          <w:rFonts w:ascii="Arial" w:hAnsi="Arial" w:cs="Arial"/>
          <w:i/>
          <w:iCs/>
          <w:color w:val="7B7B7B" w:themeColor="accent3" w:themeShade="BF"/>
          <w:sz w:val="22"/>
          <w:szCs w:val="22"/>
          <w:lang w:val="en-GB"/>
        </w:rPr>
        <w:t>Re Zeta Jet Pte Ltd</w:t>
      </w:r>
      <w:r w:rsidRPr="00221EA3">
        <w:rPr>
          <w:rFonts w:ascii="Arial" w:hAnsi="Arial" w:cs="Arial"/>
          <w:color w:val="7B7B7B" w:themeColor="accent3" w:themeShade="BF"/>
          <w:sz w:val="22"/>
          <w:szCs w:val="22"/>
          <w:lang w:val="en-GB"/>
        </w:rPr>
        <w:t xml:space="preserve"> [2018] SGHC 16, and the public policy defence may be available to avoid recognition in Singapore of those distributions or effects of the foreign insolvency proceedings. ]</w:t>
      </w:r>
    </w:p>
    <w:p w14:paraId="371F3259" w14:textId="3F962957" w:rsidR="00221EA3" w:rsidRDefault="00221EA3" w:rsidP="005C529D">
      <w:pPr>
        <w:autoSpaceDE w:val="0"/>
        <w:autoSpaceDN w:val="0"/>
        <w:adjustRightInd w:val="0"/>
        <w:jc w:val="both"/>
        <w:rPr>
          <w:rFonts w:ascii="Arial" w:hAnsi="Arial" w:cs="Arial"/>
          <w:color w:val="7B7B7B" w:themeColor="accent3" w:themeShade="BF"/>
          <w:sz w:val="22"/>
          <w:szCs w:val="22"/>
          <w:lang w:val="en-GB"/>
        </w:rPr>
      </w:pPr>
    </w:p>
    <w:p w14:paraId="748696FF" w14:textId="77777777" w:rsidR="00221EA3" w:rsidRDefault="00221EA3" w:rsidP="005C529D">
      <w:pPr>
        <w:autoSpaceDE w:val="0"/>
        <w:autoSpaceDN w:val="0"/>
        <w:adjustRightInd w:val="0"/>
        <w:jc w:val="both"/>
        <w:rPr>
          <w:rFonts w:ascii="Arial" w:hAnsi="Arial" w:cs="Arial"/>
          <w:color w:val="7B7B7B" w:themeColor="accent3" w:themeShade="BF"/>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34905410" w14:textId="20C71D20" w:rsidR="00423D03" w:rsidRDefault="0007291B" w:rsidP="00087F21">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770BBE">
        <w:rPr>
          <w:rFonts w:ascii="Arial" w:hAnsi="Arial" w:cs="Arial"/>
          <w:color w:val="7B7B7B" w:themeColor="accent3" w:themeShade="BF"/>
          <w:sz w:val="22"/>
          <w:szCs w:val="22"/>
          <w:lang w:val="en-GB"/>
        </w:rPr>
        <w:t>Laws which may be relevant in recognising foreign insolvency proceedings in Singapore include: (1) 2017 Amendment Act which adopted in Singapore the UNCITRAL Model Law on Cross-Border Proceedings (Model Law); (2) Reciprocal Enforcement of Commonwealth Judgments Act (RECJA); (3) Reciprocal Enforcement of Foreign Judgments Act</w:t>
      </w:r>
      <w:r w:rsidR="004D2BD7">
        <w:rPr>
          <w:rFonts w:ascii="Arial" w:hAnsi="Arial" w:cs="Arial"/>
          <w:color w:val="7B7B7B" w:themeColor="accent3" w:themeShade="BF"/>
          <w:sz w:val="22"/>
          <w:szCs w:val="22"/>
          <w:lang w:val="en-GB"/>
        </w:rPr>
        <w:t xml:space="preserve"> (REFJA)</w:t>
      </w:r>
      <w:r w:rsidR="00770BBE">
        <w:rPr>
          <w:rFonts w:ascii="Arial" w:hAnsi="Arial" w:cs="Arial"/>
          <w:color w:val="7B7B7B" w:themeColor="accent3" w:themeShade="BF"/>
          <w:sz w:val="22"/>
          <w:szCs w:val="22"/>
          <w:lang w:val="en-GB"/>
        </w:rPr>
        <w:t xml:space="preserve">; (4) common law principles of recognition.  Likewise, the Guidelines for Communication and Cooperation between Courts in Cross-Border Insolvency Matters, although directly does not contain rules on the recognition of foreign insolvency proceedings, is relevant as it provides a framework for judicial communication and cooperation which is very useful in </w:t>
      </w:r>
      <w:r w:rsidR="00423D03">
        <w:rPr>
          <w:rFonts w:ascii="Arial" w:hAnsi="Arial" w:cs="Arial"/>
          <w:color w:val="7B7B7B" w:themeColor="accent3" w:themeShade="BF"/>
          <w:sz w:val="22"/>
          <w:szCs w:val="22"/>
          <w:lang w:val="en-GB"/>
        </w:rPr>
        <w:t>dealing with some issues involved in the recognition of foreign insolvency proceedings.</w:t>
      </w:r>
    </w:p>
    <w:p w14:paraId="2F54B263" w14:textId="77777777" w:rsidR="00423D03" w:rsidRDefault="00423D03" w:rsidP="00087F21">
      <w:pPr>
        <w:autoSpaceDE w:val="0"/>
        <w:autoSpaceDN w:val="0"/>
        <w:adjustRightInd w:val="0"/>
        <w:jc w:val="both"/>
        <w:rPr>
          <w:rFonts w:ascii="Arial" w:hAnsi="Arial" w:cs="Arial"/>
          <w:color w:val="7B7B7B" w:themeColor="accent3" w:themeShade="BF"/>
          <w:sz w:val="22"/>
          <w:szCs w:val="22"/>
          <w:lang w:val="en-GB"/>
        </w:rPr>
      </w:pPr>
    </w:p>
    <w:p w14:paraId="09E5F632" w14:textId="56CFDAB9" w:rsidR="004D2BD7" w:rsidRDefault="00423D03"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 as regards to foreign insolvency proceedings which fall under the Model Law framework, the foreign representative may apply to the High Court of Singapore for recognition of foreign insolvency proceedings under the Model Law. </w:t>
      </w:r>
      <w:r w:rsidR="004D2BD7">
        <w:rPr>
          <w:rFonts w:ascii="Arial" w:hAnsi="Arial" w:cs="Arial"/>
          <w:color w:val="7B7B7B" w:themeColor="accent3" w:themeShade="BF"/>
          <w:sz w:val="22"/>
          <w:szCs w:val="22"/>
          <w:lang w:val="en-GB"/>
        </w:rPr>
        <w:t xml:space="preserve"> All the effects under the Model Law, like a stay and recognition of the foreign representative, would take effect in Singapore once the foreign insolvency proceeding is recognised.</w:t>
      </w:r>
    </w:p>
    <w:p w14:paraId="04A8B261" w14:textId="77777777" w:rsidR="004D2BD7" w:rsidRDefault="004D2BD7" w:rsidP="00087F21">
      <w:pPr>
        <w:autoSpaceDE w:val="0"/>
        <w:autoSpaceDN w:val="0"/>
        <w:adjustRightInd w:val="0"/>
        <w:jc w:val="both"/>
        <w:rPr>
          <w:rFonts w:ascii="Arial" w:hAnsi="Arial" w:cs="Arial"/>
          <w:color w:val="7B7B7B" w:themeColor="accent3" w:themeShade="BF"/>
          <w:sz w:val="22"/>
          <w:szCs w:val="22"/>
          <w:lang w:val="en-GB"/>
        </w:rPr>
      </w:pPr>
    </w:p>
    <w:p w14:paraId="31CDA03D" w14:textId="18F2EFD0" w:rsidR="007D65BB" w:rsidRDefault="004D2BD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 judgments arising from foreign insolvency proceedings may be recognised in Singapore through the RECJA and REFJA. Particularly, RECJA enables judgments from the United Kingdom and Australia (and several other Commonwealth countries) to be registered in the Singapore High Court.  In Singapore, RECJA establishes a statutory scheme for the recognition and enforcement of </w:t>
      </w:r>
      <w:r w:rsidR="007D65BB">
        <w:rPr>
          <w:rFonts w:ascii="Arial" w:hAnsi="Arial" w:cs="Arial"/>
          <w:color w:val="7B7B7B" w:themeColor="accent3" w:themeShade="BF"/>
          <w:sz w:val="22"/>
          <w:szCs w:val="22"/>
          <w:lang w:val="en-GB"/>
        </w:rPr>
        <w:t>judgments of superior courts from the abovementioned jurisdictions by allowing the judgment creditor to apply to the Singapore High Court for the registration of a judgment.  The Singapore High Court may order such judgment to be registered if it thinks, in all circumstances of the case, that it is just and convenient for the judgment to be enforced in Singapore.  On the other hand, REFJA so far only applies to judgments coming from Hong Kong.  The scheme under REFJA is similar to RECJA wherein the judgment creditor may also apply before the High Court of Singapore for registration of the foreign judgment.</w:t>
      </w:r>
      <w:r>
        <w:rPr>
          <w:rFonts w:ascii="Arial" w:hAnsi="Arial" w:cs="Arial"/>
          <w:color w:val="7B7B7B" w:themeColor="accent3" w:themeShade="BF"/>
          <w:sz w:val="22"/>
          <w:szCs w:val="22"/>
          <w:lang w:val="en-GB"/>
        </w:rPr>
        <w:t xml:space="preserve"> </w:t>
      </w:r>
      <w:r w:rsidR="00D225BE">
        <w:rPr>
          <w:rFonts w:ascii="Arial" w:hAnsi="Arial" w:cs="Arial"/>
          <w:color w:val="7B7B7B" w:themeColor="accent3" w:themeShade="BF"/>
          <w:sz w:val="22"/>
          <w:szCs w:val="22"/>
          <w:lang w:val="en-GB"/>
        </w:rPr>
        <w:t>The effect of registration, for judgments made under either the RECJA and REFJA, would be to give such registered foreign judgments the effects as if such judgments was issued from the Singaporean High Court, without the need of commencing fresh proceedings.</w:t>
      </w:r>
    </w:p>
    <w:p w14:paraId="7FD7D197" w14:textId="77777777" w:rsidR="007D65BB" w:rsidRDefault="007D65BB" w:rsidP="00087F21">
      <w:pPr>
        <w:autoSpaceDE w:val="0"/>
        <w:autoSpaceDN w:val="0"/>
        <w:adjustRightInd w:val="0"/>
        <w:jc w:val="both"/>
        <w:rPr>
          <w:rFonts w:ascii="Arial" w:hAnsi="Arial" w:cs="Arial"/>
          <w:color w:val="7B7B7B" w:themeColor="accent3" w:themeShade="BF"/>
          <w:sz w:val="22"/>
          <w:szCs w:val="22"/>
          <w:lang w:val="en-GB"/>
        </w:rPr>
      </w:pPr>
    </w:p>
    <w:p w14:paraId="1F5CD344" w14:textId="62D49120" w:rsidR="002D3473" w:rsidRPr="002A37BB" w:rsidRDefault="007D65BB"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Third, </w:t>
      </w:r>
      <w:r w:rsidR="009F2972">
        <w:rPr>
          <w:rFonts w:ascii="Arial" w:hAnsi="Arial" w:cs="Arial"/>
          <w:color w:val="7B7B7B" w:themeColor="accent3" w:themeShade="BF"/>
          <w:sz w:val="22"/>
          <w:szCs w:val="22"/>
          <w:lang w:val="en-GB"/>
        </w:rPr>
        <w:t xml:space="preserve">the Singapore courts, prior to Singapore’s adoption of the Model Law, depended on common law for the recognition of foreign insolvency proceedings.  This usually means that common law allows Singapore courts to recognise foreign insolvencies when they take place in the jurisdiction where the company is registered. Singapore courts have further extended this to insolvencies commenced where the debtor company’s centre of main interest is located, even if that is different to where the company is registered.  Notably, the Singapore courts had extended the common law to enable interim orders in aid of foreign rehabilitation proceedings. Likewise, Singapore courts have confirmed that recognition is also possible for voluntary rehabilitation or insolvency proceedings.  Similarly, Singapore courts have extended </w:t>
      </w:r>
      <w:r w:rsidR="00B85739">
        <w:rPr>
          <w:rFonts w:ascii="Arial" w:hAnsi="Arial" w:cs="Arial"/>
          <w:color w:val="7B7B7B" w:themeColor="accent3" w:themeShade="BF"/>
          <w:sz w:val="22"/>
          <w:szCs w:val="22"/>
          <w:lang w:val="en-GB"/>
        </w:rPr>
        <w:t>the common law to address inadequacies in domestic insolvency proceedings.</w:t>
      </w:r>
      <w:r w:rsidR="00D225BE">
        <w:rPr>
          <w:rFonts w:ascii="Arial" w:hAnsi="Arial" w:cs="Arial"/>
          <w:color w:val="7B7B7B" w:themeColor="accent3" w:themeShade="BF"/>
          <w:sz w:val="22"/>
          <w:szCs w:val="22"/>
          <w:lang w:val="en-GB"/>
        </w:rPr>
        <w:t xml:space="preserve"> Foreign judgments (which has an </w:t>
      </w:r>
      <w:r w:rsidR="00D225BE" w:rsidRPr="00D225BE">
        <w:rPr>
          <w:rFonts w:ascii="Arial" w:hAnsi="Arial" w:cs="Arial"/>
          <w:i/>
          <w:iCs/>
          <w:color w:val="7B7B7B" w:themeColor="accent3" w:themeShade="BF"/>
          <w:sz w:val="22"/>
          <w:szCs w:val="22"/>
          <w:lang w:val="en-GB"/>
        </w:rPr>
        <w:t>in personam</w:t>
      </w:r>
      <w:r w:rsidR="00D225BE">
        <w:rPr>
          <w:rFonts w:ascii="Arial" w:hAnsi="Arial" w:cs="Arial"/>
          <w:color w:val="7B7B7B" w:themeColor="accent3" w:themeShade="BF"/>
          <w:sz w:val="22"/>
          <w:szCs w:val="22"/>
          <w:lang w:val="en-GB"/>
        </w:rPr>
        <w:t xml:space="preserve"> effect) may be recognised in Singapore or enforced by an action at common law through the Singapore courts.  Once recognised, the foreign judgment is treated as if the same has been issued by Singapore courts without the need of fresh proceedings.</w:t>
      </w:r>
      <w:r w:rsidR="0007291B" w:rsidRPr="002A37BB">
        <w:rPr>
          <w:rFonts w:ascii="Arial" w:hAnsi="Arial" w:cs="Arial"/>
          <w:color w:val="7B7B7B" w:themeColor="accent3" w:themeShade="BF"/>
          <w:sz w:val="22"/>
          <w:szCs w:val="22"/>
          <w:lang w:val="en-GB"/>
        </w:rPr>
        <w:t>]</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F466" w14:textId="77777777" w:rsidR="003F6783" w:rsidRDefault="003F6783">
      <w:r>
        <w:separator/>
      </w:r>
    </w:p>
  </w:endnote>
  <w:endnote w:type="continuationSeparator" w:id="0">
    <w:p w14:paraId="1D493F7B" w14:textId="77777777" w:rsidR="003F6783" w:rsidRDefault="003F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21A83A91" w:rsidR="00241FA3" w:rsidRPr="009B4976" w:rsidRDefault="00B44FFD" w:rsidP="009B4976">
    <w:pPr>
      <w:pStyle w:val="Footer"/>
      <w:ind w:right="360"/>
      <w:rPr>
        <w:rFonts w:ascii="Arial" w:hAnsi="Arial" w:cs="Arial"/>
        <w:sz w:val="18"/>
        <w:szCs w:val="18"/>
        <w:lang w:val="en-GB"/>
      </w:rPr>
    </w:pPr>
    <w:r>
      <w:rPr>
        <w:rFonts w:ascii="Arial" w:hAnsi="Arial" w:cs="Arial"/>
        <w:sz w:val="18"/>
        <w:szCs w:val="18"/>
        <w:lang w:val="en-GB"/>
      </w:rPr>
      <w:t>202021IFU-258</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D1AD" w14:textId="77777777" w:rsidR="003F6783" w:rsidRDefault="003F6783">
      <w:r>
        <w:separator/>
      </w:r>
    </w:p>
  </w:footnote>
  <w:footnote w:type="continuationSeparator" w:id="0">
    <w:p w14:paraId="79E4ABBB" w14:textId="77777777" w:rsidR="003F6783" w:rsidRDefault="003F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828"/>
    <w:multiLevelType w:val="hybridMultilevel"/>
    <w:tmpl w:val="17BCC4AE"/>
    <w:lvl w:ilvl="0" w:tplc="EF28889A">
      <w:start w:val="1"/>
      <w:numFmt w:val="decimal"/>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5105A3"/>
    <w:multiLevelType w:val="hybridMultilevel"/>
    <w:tmpl w:val="49DCFD60"/>
    <w:lvl w:ilvl="0" w:tplc="7244F352">
      <w:start w:val="1"/>
      <w:numFmt w:val="decimal"/>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3D4755"/>
    <w:multiLevelType w:val="hybridMultilevel"/>
    <w:tmpl w:val="4F42EA08"/>
    <w:lvl w:ilvl="0" w:tplc="0E30AB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F95AC5"/>
    <w:multiLevelType w:val="hybridMultilevel"/>
    <w:tmpl w:val="13B6734C"/>
    <w:lvl w:ilvl="0" w:tplc="A5EE36F8">
      <w:start w:val="1"/>
      <w:numFmt w:val="decimal"/>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0"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8"/>
  </w:num>
  <w:num w:numId="6">
    <w:abstractNumId w:val="19"/>
  </w:num>
  <w:num w:numId="7">
    <w:abstractNumId w:val="3"/>
  </w:num>
  <w:num w:numId="8">
    <w:abstractNumId w:val="16"/>
  </w:num>
  <w:num w:numId="9">
    <w:abstractNumId w:val="18"/>
  </w:num>
  <w:num w:numId="10">
    <w:abstractNumId w:val="6"/>
  </w:num>
  <w:num w:numId="11">
    <w:abstractNumId w:val="15"/>
  </w:num>
  <w:num w:numId="12">
    <w:abstractNumId w:val="9"/>
  </w:num>
  <w:num w:numId="13">
    <w:abstractNumId w:val="10"/>
  </w:num>
  <w:num w:numId="14">
    <w:abstractNumId w:val="1"/>
  </w:num>
  <w:num w:numId="15">
    <w:abstractNumId w:val="14"/>
  </w:num>
  <w:num w:numId="16">
    <w:abstractNumId w:val="17"/>
  </w:num>
  <w:num w:numId="17">
    <w:abstractNumId w:val="20"/>
  </w:num>
  <w:num w:numId="18">
    <w:abstractNumId w:val="0"/>
  </w:num>
  <w:num w:numId="19">
    <w:abstractNumId w:val="13"/>
  </w:num>
  <w:num w:numId="20">
    <w:abstractNumId w:val="12"/>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03726"/>
    <w:rsid w:val="00010BA0"/>
    <w:rsid w:val="00015FF5"/>
    <w:rsid w:val="00020557"/>
    <w:rsid w:val="00021FC2"/>
    <w:rsid w:val="000232A1"/>
    <w:rsid w:val="000250C7"/>
    <w:rsid w:val="00026F16"/>
    <w:rsid w:val="00033C8E"/>
    <w:rsid w:val="00037621"/>
    <w:rsid w:val="00044D46"/>
    <w:rsid w:val="00045088"/>
    <w:rsid w:val="00045904"/>
    <w:rsid w:val="00046211"/>
    <w:rsid w:val="00050247"/>
    <w:rsid w:val="000502FD"/>
    <w:rsid w:val="00051719"/>
    <w:rsid w:val="00052B3C"/>
    <w:rsid w:val="00062F53"/>
    <w:rsid w:val="00065166"/>
    <w:rsid w:val="00067A22"/>
    <w:rsid w:val="0007291B"/>
    <w:rsid w:val="00073355"/>
    <w:rsid w:val="00082609"/>
    <w:rsid w:val="000851CC"/>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170E"/>
    <w:rsid w:val="0013379E"/>
    <w:rsid w:val="0014171F"/>
    <w:rsid w:val="001443FA"/>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05B0"/>
    <w:rsid w:val="001957E8"/>
    <w:rsid w:val="00195E02"/>
    <w:rsid w:val="001966D9"/>
    <w:rsid w:val="001A007A"/>
    <w:rsid w:val="001A4484"/>
    <w:rsid w:val="001A7E9A"/>
    <w:rsid w:val="001B0F70"/>
    <w:rsid w:val="001B5016"/>
    <w:rsid w:val="001B73FB"/>
    <w:rsid w:val="001C45FC"/>
    <w:rsid w:val="001D0469"/>
    <w:rsid w:val="001D1297"/>
    <w:rsid w:val="001D29C0"/>
    <w:rsid w:val="001D4862"/>
    <w:rsid w:val="001E25B9"/>
    <w:rsid w:val="001E49E0"/>
    <w:rsid w:val="001E7B5A"/>
    <w:rsid w:val="001F7412"/>
    <w:rsid w:val="0020090A"/>
    <w:rsid w:val="00202DFE"/>
    <w:rsid w:val="0020725B"/>
    <w:rsid w:val="002110F1"/>
    <w:rsid w:val="002208D9"/>
    <w:rsid w:val="00221EA3"/>
    <w:rsid w:val="00223CAE"/>
    <w:rsid w:val="00225DCD"/>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3BAC"/>
    <w:rsid w:val="002C72F3"/>
    <w:rsid w:val="002D0021"/>
    <w:rsid w:val="002D0C55"/>
    <w:rsid w:val="002D2430"/>
    <w:rsid w:val="002D299D"/>
    <w:rsid w:val="002D3473"/>
    <w:rsid w:val="002E38E2"/>
    <w:rsid w:val="002E7B15"/>
    <w:rsid w:val="002F1956"/>
    <w:rsid w:val="002F3440"/>
    <w:rsid w:val="002F75A3"/>
    <w:rsid w:val="002F7D0F"/>
    <w:rsid w:val="00303C2F"/>
    <w:rsid w:val="003144EF"/>
    <w:rsid w:val="00323BF3"/>
    <w:rsid w:val="00326292"/>
    <w:rsid w:val="00326415"/>
    <w:rsid w:val="00326B27"/>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23D03"/>
    <w:rsid w:val="00430C5C"/>
    <w:rsid w:val="00430FED"/>
    <w:rsid w:val="00434A8C"/>
    <w:rsid w:val="00437297"/>
    <w:rsid w:val="00444284"/>
    <w:rsid w:val="00445CE6"/>
    <w:rsid w:val="004534C2"/>
    <w:rsid w:val="0045446F"/>
    <w:rsid w:val="0045683E"/>
    <w:rsid w:val="00465497"/>
    <w:rsid w:val="0046555A"/>
    <w:rsid w:val="00477C72"/>
    <w:rsid w:val="0048448C"/>
    <w:rsid w:val="0048689B"/>
    <w:rsid w:val="00491675"/>
    <w:rsid w:val="00493855"/>
    <w:rsid w:val="00494E28"/>
    <w:rsid w:val="00495E79"/>
    <w:rsid w:val="004A0342"/>
    <w:rsid w:val="004A2D83"/>
    <w:rsid w:val="004A57DD"/>
    <w:rsid w:val="004A7B51"/>
    <w:rsid w:val="004A7D71"/>
    <w:rsid w:val="004A7EF3"/>
    <w:rsid w:val="004B11FD"/>
    <w:rsid w:val="004B23A2"/>
    <w:rsid w:val="004D101E"/>
    <w:rsid w:val="004D1A5A"/>
    <w:rsid w:val="004D1C16"/>
    <w:rsid w:val="004D2BD7"/>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047B"/>
    <w:rsid w:val="005758A7"/>
    <w:rsid w:val="00575B2D"/>
    <w:rsid w:val="005771EA"/>
    <w:rsid w:val="00577F1E"/>
    <w:rsid w:val="0058230B"/>
    <w:rsid w:val="005833D0"/>
    <w:rsid w:val="005846F3"/>
    <w:rsid w:val="0058622F"/>
    <w:rsid w:val="00592F82"/>
    <w:rsid w:val="005A0CCA"/>
    <w:rsid w:val="005A6ED5"/>
    <w:rsid w:val="005A6FF2"/>
    <w:rsid w:val="005A726D"/>
    <w:rsid w:val="005B5514"/>
    <w:rsid w:val="005B67AC"/>
    <w:rsid w:val="005B79F4"/>
    <w:rsid w:val="005C256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5C25"/>
    <w:rsid w:val="00627CC9"/>
    <w:rsid w:val="00627E7B"/>
    <w:rsid w:val="00630542"/>
    <w:rsid w:val="00631DDB"/>
    <w:rsid w:val="00632E44"/>
    <w:rsid w:val="00634622"/>
    <w:rsid w:val="006358BA"/>
    <w:rsid w:val="00636808"/>
    <w:rsid w:val="0063729B"/>
    <w:rsid w:val="00641515"/>
    <w:rsid w:val="006452CB"/>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435A"/>
    <w:rsid w:val="006B4C64"/>
    <w:rsid w:val="006D2BBF"/>
    <w:rsid w:val="006D6BD5"/>
    <w:rsid w:val="006E4183"/>
    <w:rsid w:val="006E481A"/>
    <w:rsid w:val="006E5298"/>
    <w:rsid w:val="006F2457"/>
    <w:rsid w:val="006F4A78"/>
    <w:rsid w:val="006F734A"/>
    <w:rsid w:val="006F750A"/>
    <w:rsid w:val="00700D83"/>
    <w:rsid w:val="00704852"/>
    <w:rsid w:val="00707499"/>
    <w:rsid w:val="007074E9"/>
    <w:rsid w:val="00713DA4"/>
    <w:rsid w:val="00714BF1"/>
    <w:rsid w:val="00721383"/>
    <w:rsid w:val="00723343"/>
    <w:rsid w:val="007237A9"/>
    <w:rsid w:val="00723E15"/>
    <w:rsid w:val="00726B93"/>
    <w:rsid w:val="00730E8C"/>
    <w:rsid w:val="0073158B"/>
    <w:rsid w:val="007333CC"/>
    <w:rsid w:val="0073399A"/>
    <w:rsid w:val="00737587"/>
    <w:rsid w:val="00740DAD"/>
    <w:rsid w:val="00751747"/>
    <w:rsid w:val="007603F5"/>
    <w:rsid w:val="00764DB0"/>
    <w:rsid w:val="0076764D"/>
    <w:rsid w:val="00770BBE"/>
    <w:rsid w:val="0077498C"/>
    <w:rsid w:val="007809BC"/>
    <w:rsid w:val="00781734"/>
    <w:rsid w:val="007818AF"/>
    <w:rsid w:val="00784128"/>
    <w:rsid w:val="00784E9B"/>
    <w:rsid w:val="00787BCC"/>
    <w:rsid w:val="0079309B"/>
    <w:rsid w:val="00793173"/>
    <w:rsid w:val="00794EAC"/>
    <w:rsid w:val="00796810"/>
    <w:rsid w:val="007A0F86"/>
    <w:rsid w:val="007A2A33"/>
    <w:rsid w:val="007A4658"/>
    <w:rsid w:val="007A50B0"/>
    <w:rsid w:val="007B5C89"/>
    <w:rsid w:val="007C1FCC"/>
    <w:rsid w:val="007C23F2"/>
    <w:rsid w:val="007C6201"/>
    <w:rsid w:val="007D3C92"/>
    <w:rsid w:val="007D65BB"/>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2482A"/>
    <w:rsid w:val="00942123"/>
    <w:rsid w:val="0095207B"/>
    <w:rsid w:val="00954F89"/>
    <w:rsid w:val="00962045"/>
    <w:rsid w:val="00965C38"/>
    <w:rsid w:val="00980E61"/>
    <w:rsid w:val="00982D07"/>
    <w:rsid w:val="00987CB1"/>
    <w:rsid w:val="00991428"/>
    <w:rsid w:val="00992676"/>
    <w:rsid w:val="00994947"/>
    <w:rsid w:val="009954B2"/>
    <w:rsid w:val="00995576"/>
    <w:rsid w:val="00996691"/>
    <w:rsid w:val="0099705B"/>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9F2972"/>
    <w:rsid w:val="00A01DDA"/>
    <w:rsid w:val="00A047EE"/>
    <w:rsid w:val="00A2274A"/>
    <w:rsid w:val="00A235B7"/>
    <w:rsid w:val="00A27A7A"/>
    <w:rsid w:val="00A34ABE"/>
    <w:rsid w:val="00A407EF"/>
    <w:rsid w:val="00A46B4C"/>
    <w:rsid w:val="00A5117B"/>
    <w:rsid w:val="00A56D34"/>
    <w:rsid w:val="00A57EFB"/>
    <w:rsid w:val="00A60074"/>
    <w:rsid w:val="00A64900"/>
    <w:rsid w:val="00A6627C"/>
    <w:rsid w:val="00A71019"/>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D9A"/>
    <w:rsid w:val="00B44FFD"/>
    <w:rsid w:val="00B50EA0"/>
    <w:rsid w:val="00B51B95"/>
    <w:rsid w:val="00B52DF4"/>
    <w:rsid w:val="00B54D7D"/>
    <w:rsid w:val="00B55DF2"/>
    <w:rsid w:val="00B56103"/>
    <w:rsid w:val="00B64929"/>
    <w:rsid w:val="00B736DF"/>
    <w:rsid w:val="00B743D6"/>
    <w:rsid w:val="00B74FBD"/>
    <w:rsid w:val="00B77F46"/>
    <w:rsid w:val="00B81AE8"/>
    <w:rsid w:val="00B82586"/>
    <w:rsid w:val="00B829A3"/>
    <w:rsid w:val="00B85739"/>
    <w:rsid w:val="00B86DB1"/>
    <w:rsid w:val="00B87869"/>
    <w:rsid w:val="00B93CFC"/>
    <w:rsid w:val="00B9639B"/>
    <w:rsid w:val="00BB0F2B"/>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446E"/>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225BE"/>
    <w:rsid w:val="00D307FA"/>
    <w:rsid w:val="00D32E33"/>
    <w:rsid w:val="00D4289C"/>
    <w:rsid w:val="00D53719"/>
    <w:rsid w:val="00D63EFD"/>
    <w:rsid w:val="00D65741"/>
    <w:rsid w:val="00D761D9"/>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25EB"/>
    <w:rsid w:val="00E07C5A"/>
    <w:rsid w:val="00E15BA9"/>
    <w:rsid w:val="00E23A7A"/>
    <w:rsid w:val="00E26E19"/>
    <w:rsid w:val="00E3041B"/>
    <w:rsid w:val="00E30CC7"/>
    <w:rsid w:val="00E31DF3"/>
    <w:rsid w:val="00E426B2"/>
    <w:rsid w:val="00E450A4"/>
    <w:rsid w:val="00E45B05"/>
    <w:rsid w:val="00E506BE"/>
    <w:rsid w:val="00E520FB"/>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56AE4"/>
    <w:rsid w:val="00F60538"/>
    <w:rsid w:val="00F61DD2"/>
    <w:rsid w:val="00F66AFF"/>
    <w:rsid w:val="00F674C7"/>
    <w:rsid w:val="00F71433"/>
    <w:rsid w:val="00F7197D"/>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4732</Words>
  <Characters>23424</Characters>
  <Application>Microsoft Office Word</Application>
  <DocSecurity>0</DocSecurity>
  <Lines>600</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cp:lastPrinted>2021-07-18T05:30:00Z</cp:lastPrinted>
  <dcterms:created xsi:type="dcterms:W3CDTF">2021-09-06T16:50:00Z</dcterms:created>
  <dcterms:modified xsi:type="dcterms:W3CDTF">2021-09-06T16:50:00Z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