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Default="00F96FF3" w:rsidP="00D85CDA">
      <w:pPr>
        <w:pStyle w:val="ListParagraph"/>
        <w:numPr>
          <w:ilvl w:val="0"/>
          <w:numId w:val="28"/>
        </w:numPr>
        <w:ind w:left="426"/>
        <w:rPr>
          <w:rFonts w:ascii="Arial" w:hAnsi="Arial" w:cs="Arial"/>
          <w:sz w:val="22"/>
          <w:szCs w:val="22"/>
          <w:lang w:val="en-GB"/>
        </w:rPr>
      </w:pPr>
      <w:r w:rsidRPr="00F85FE2">
        <w:rPr>
          <w:rFonts w:ascii="Arial" w:hAnsi="Arial" w:cs="Arial"/>
          <w:sz w:val="22"/>
          <w:szCs w:val="22"/>
          <w:highlight w:val="yellow"/>
          <w:lang w:val="en-GB"/>
        </w:rPr>
        <w:t>E</w:t>
      </w:r>
      <w:r w:rsidR="005B5F6E" w:rsidRPr="00F85FE2">
        <w:rPr>
          <w:rFonts w:ascii="Arial" w:hAnsi="Arial" w:cs="Arial"/>
          <w:sz w:val="22"/>
          <w:szCs w:val="22"/>
          <w:highlight w:val="yellow"/>
          <w:lang w:val="en-GB"/>
        </w:rPr>
        <w:t>nterprise</w:t>
      </w:r>
      <w:r w:rsidR="00C50D55" w:rsidRPr="00F85FE2">
        <w:rPr>
          <w:rFonts w:ascii="Arial" w:hAnsi="Arial" w:cs="Arial"/>
          <w:sz w:val="22"/>
          <w:szCs w:val="22"/>
          <w:highlight w:val="yellow"/>
          <w:lang w:val="en-GB"/>
        </w:rPr>
        <w:t>s</w:t>
      </w:r>
      <w:r w:rsidR="005B5F6E" w:rsidRPr="00F85FE2">
        <w:rPr>
          <w:rFonts w:ascii="Arial" w:hAnsi="Arial" w:cs="Arial"/>
          <w:sz w:val="22"/>
          <w:szCs w:val="22"/>
          <w:highlight w:val="yellow"/>
          <w:lang w:val="en-GB"/>
        </w:rPr>
        <w:t xml:space="preserve"> having an independent legal status</w:t>
      </w:r>
      <w:r w:rsidR="005B5F6E" w:rsidRPr="00FF5CF6">
        <w:rPr>
          <w:rFonts w:ascii="Arial" w:hAnsi="Arial" w:cs="Arial"/>
          <w:sz w:val="22"/>
          <w:szCs w:val="22"/>
          <w:lang w:val="en-GB"/>
        </w:rPr>
        <w:t>.</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sidRPr="00C340E1">
        <w:rPr>
          <w:rFonts w:ascii="Arial" w:hAnsi="Arial" w:cs="Arial"/>
          <w:sz w:val="22"/>
          <w:szCs w:val="22"/>
          <w:highlight w:val="yellow"/>
          <w:lang w:val="en-GB"/>
        </w:rPr>
        <w:t xml:space="preserve">Receivership, settlement and </w:t>
      </w:r>
      <w:r w:rsidR="00993420" w:rsidRPr="00C340E1">
        <w:rPr>
          <w:rFonts w:ascii="Arial" w:hAnsi="Arial" w:cs="Arial"/>
          <w:sz w:val="22"/>
          <w:szCs w:val="22"/>
          <w:highlight w:val="yellow"/>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FF5CF6" w:rsidRDefault="00C50D55" w:rsidP="00D85CDA">
      <w:pPr>
        <w:pStyle w:val="ListParagraph"/>
        <w:numPr>
          <w:ilvl w:val="0"/>
          <w:numId w:val="29"/>
        </w:numPr>
        <w:ind w:left="426"/>
        <w:rPr>
          <w:rFonts w:ascii="Arial" w:hAnsi="Arial" w:cs="Arial"/>
          <w:sz w:val="22"/>
          <w:szCs w:val="22"/>
          <w:lang w:val="en-GB"/>
        </w:rPr>
      </w:pPr>
      <w:r w:rsidRPr="00FF5CF6">
        <w:rPr>
          <w:rFonts w:ascii="Arial" w:hAnsi="Arial" w:cs="Arial"/>
          <w:sz w:val="22"/>
          <w:szCs w:val="22"/>
          <w:lang w:val="en-GB"/>
        </w:rPr>
        <w:t>Reorgani</w:t>
      </w:r>
      <w:r w:rsidR="004E6603" w:rsidRPr="00FF5CF6">
        <w:rPr>
          <w:rFonts w:ascii="Arial" w:hAnsi="Arial" w:cs="Arial"/>
          <w:sz w:val="22"/>
          <w:szCs w:val="22"/>
          <w:lang w:val="en-GB"/>
        </w:rPr>
        <w:t>s</w:t>
      </w:r>
      <w:r w:rsidRPr="00FF5CF6">
        <w:rPr>
          <w:rFonts w:ascii="Arial" w:hAnsi="Arial" w:cs="Arial"/>
          <w:sz w:val="22"/>
          <w:szCs w:val="22"/>
          <w:lang w:val="en-GB"/>
        </w:rPr>
        <w:t>ation, settlement and liquidation</w:t>
      </w:r>
      <w:r w:rsidR="005A2E18" w:rsidRPr="00FF5CF6">
        <w:rPr>
          <w:rFonts w:ascii="Arial" w:hAnsi="Arial" w:cs="Arial"/>
          <w:sz w:val="22"/>
          <w:szCs w:val="22"/>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Default="00C50D55" w:rsidP="00D85CDA">
      <w:pPr>
        <w:pStyle w:val="ListParagraph"/>
        <w:numPr>
          <w:ilvl w:val="0"/>
          <w:numId w:val="30"/>
        </w:numPr>
        <w:ind w:left="426"/>
        <w:rPr>
          <w:rFonts w:ascii="Arial" w:hAnsi="Arial" w:cs="Arial"/>
          <w:sz w:val="22"/>
          <w:szCs w:val="22"/>
          <w:lang w:val="en-GB"/>
        </w:rPr>
      </w:pPr>
      <w:r w:rsidRPr="00C340E1">
        <w:rPr>
          <w:rFonts w:ascii="Arial" w:hAnsi="Arial" w:cs="Arial"/>
          <w:sz w:val="22"/>
          <w:szCs w:val="22"/>
          <w:highlight w:val="yellow"/>
          <w:lang w:val="en-GB"/>
        </w:rPr>
        <w:t>Only the court can appoint a bankruptcy administrator</w:t>
      </w:r>
      <w:r w:rsidR="00860A53" w:rsidRPr="00C340E1">
        <w:rPr>
          <w:rFonts w:ascii="Arial" w:hAnsi="Arial" w:cs="Arial"/>
          <w:sz w:val="22"/>
          <w:szCs w:val="22"/>
          <w:highlight w:val="yellow"/>
          <w:lang w:val="en-GB"/>
        </w:rPr>
        <w:t>.</w:t>
      </w:r>
      <w:r w:rsidRPr="00C340E1">
        <w:rPr>
          <w:rFonts w:ascii="Arial" w:hAnsi="Arial" w:cs="Arial"/>
          <w:sz w:val="22"/>
          <w:szCs w:val="22"/>
          <w:highlight w:val="yellow"/>
          <w:lang w:val="en-GB"/>
        </w:rPr>
        <w:t xml:space="preserve"> </w:t>
      </w:r>
      <w:r w:rsidR="00860A53" w:rsidRPr="00C340E1">
        <w:rPr>
          <w:rFonts w:ascii="Arial" w:hAnsi="Arial" w:cs="Arial"/>
          <w:sz w:val="22"/>
          <w:szCs w:val="22"/>
          <w:highlight w:val="yellow"/>
          <w:lang w:val="en-GB"/>
        </w:rPr>
        <w:t>C</w:t>
      </w:r>
      <w:r w:rsidRPr="00C340E1">
        <w:rPr>
          <w:rFonts w:ascii="Arial" w:hAnsi="Arial" w:cs="Arial"/>
          <w:sz w:val="22"/>
          <w:szCs w:val="22"/>
          <w:highlight w:val="yellow"/>
          <w:lang w:val="en-GB"/>
        </w:rPr>
        <w:t xml:space="preserve">reditors </w:t>
      </w:r>
      <w:r w:rsidR="00860A53" w:rsidRPr="00C340E1">
        <w:rPr>
          <w:rFonts w:ascii="Arial" w:hAnsi="Arial" w:cs="Arial"/>
          <w:sz w:val="22"/>
          <w:szCs w:val="22"/>
          <w:highlight w:val="yellow"/>
          <w:lang w:val="en-GB"/>
        </w:rPr>
        <w:t>may</w:t>
      </w:r>
      <w:r w:rsidRPr="00C340E1">
        <w:rPr>
          <w:rFonts w:ascii="Arial" w:hAnsi="Arial" w:cs="Arial"/>
          <w:sz w:val="22"/>
          <w:szCs w:val="22"/>
          <w:highlight w:val="yellow"/>
          <w:lang w:val="en-GB"/>
        </w:rPr>
        <w:t xml:space="preserve"> request a replacement </w:t>
      </w:r>
      <w:r w:rsidR="00860A53" w:rsidRPr="00C340E1">
        <w:rPr>
          <w:rFonts w:ascii="Arial" w:hAnsi="Arial" w:cs="Arial"/>
          <w:sz w:val="22"/>
          <w:szCs w:val="22"/>
          <w:highlight w:val="yellow"/>
          <w:lang w:val="en-GB"/>
        </w:rPr>
        <w:t xml:space="preserve">bankruptcy administrator to be appointed </w:t>
      </w:r>
      <w:r w:rsidRPr="00C340E1">
        <w:rPr>
          <w:rFonts w:ascii="Arial" w:hAnsi="Arial" w:cs="Arial"/>
          <w:sz w:val="22"/>
          <w:szCs w:val="22"/>
          <w:highlight w:val="yellow"/>
          <w:lang w:val="en-GB"/>
        </w:rPr>
        <w:t>if the court-appointed administrator is proven</w:t>
      </w:r>
      <w:r w:rsidR="00860A53" w:rsidRPr="00C340E1">
        <w:rPr>
          <w:rFonts w:ascii="Arial" w:hAnsi="Arial" w:cs="Arial"/>
          <w:sz w:val="22"/>
          <w:szCs w:val="22"/>
          <w:highlight w:val="yellow"/>
          <w:lang w:val="en-GB"/>
        </w:rPr>
        <w:t xml:space="preserve"> to be</w:t>
      </w:r>
      <w:r w:rsidRPr="00C340E1">
        <w:rPr>
          <w:rFonts w:ascii="Arial" w:hAnsi="Arial" w:cs="Arial"/>
          <w:sz w:val="22"/>
          <w:szCs w:val="22"/>
          <w:highlight w:val="yellow"/>
          <w:lang w:val="en-GB"/>
        </w:rPr>
        <w:t xml:space="preserve"> incompetent or biased</w:t>
      </w:r>
      <w:r w:rsidR="00392DAA" w:rsidRPr="00C340E1">
        <w:rPr>
          <w:rFonts w:ascii="Arial" w:hAnsi="Arial" w:cs="Arial"/>
          <w:sz w:val="22"/>
          <w:szCs w:val="22"/>
          <w:highlight w:val="yellow"/>
          <w:lang w:val="en-GB"/>
        </w:rPr>
        <w:t xml:space="preserve"> at a later stage</w:t>
      </w:r>
      <w:r w:rsidR="00CE5177" w:rsidRPr="00C340E1">
        <w:rPr>
          <w:rFonts w:ascii="Arial" w:hAnsi="Arial" w:cs="Arial"/>
          <w:sz w:val="22"/>
          <w:szCs w:val="22"/>
          <w:highlight w:val="yellow"/>
          <w:lang w:val="en-GB"/>
        </w:rPr>
        <w:t xml:space="preserve"> of the proceedings</w:t>
      </w:r>
      <w:r w:rsidR="00BA3AE6" w:rsidRPr="00FF5CF6">
        <w:rPr>
          <w:rFonts w:ascii="Arial" w:hAnsi="Arial" w:cs="Arial"/>
          <w:sz w:val="22"/>
          <w:szCs w:val="22"/>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Default="00D1344A" w:rsidP="00D85CDA">
      <w:pPr>
        <w:pStyle w:val="ListParagraph"/>
        <w:numPr>
          <w:ilvl w:val="0"/>
          <w:numId w:val="31"/>
        </w:numPr>
        <w:ind w:left="426"/>
        <w:rPr>
          <w:rFonts w:ascii="Arial" w:hAnsi="Arial" w:cs="Arial"/>
          <w:sz w:val="22"/>
          <w:szCs w:val="22"/>
          <w:lang w:val="en-GB"/>
        </w:rPr>
      </w:pPr>
      <w:r w:rsidRPr="003762F4">
        <w:rPr>
          <w:rFonts w:ascii="Arial" w:hAnsi="Arial" w:cs="Arial"/>
          <w:sz w:val="22"/>
          <w:szCs w:val="22"/>
          <w:highlight w:val="yellow"/>
          <w:lang w:val="en-GB"/>
        </w:rPr>
        <w:t>B</w:t>
      </w:r>
      <w:r w:rsidR="00A064D3" w:rsidRPr="003762F4">
        <w:rPr>
          <w:rFonts w:ascii="Arial" w:hAnsi="Arial" w:cs="Arial"/>
          <w:sz w:val="22"/>
          <w:szCs w:val="22"/>
          <w:highlight w:val="yellow"/>
          <w:lang w:val="en-GB"/>
        </w:rPr>
        <w:t xml:space="preserve">oth the debtor </w:t>
      </w:r>
      <w:r w:rsidRPr="003762F4">
        <w:rPr>
          <w:rFonts w:ascii="Arial" w:hAnsi="Arial" w:cs="Arial"/>
          <w:sz w:val="22"/>
          <w:szCs w:val="22"/>
          <w:highlight w:val="yellow"/>
          <w:lang w:val="en-GB"/>
        </w:rPr>
        <w:t>and</w:t>
      </w:r>
      <w:r w:rsidR="00A064D3" w:rsidRPr="003762F4">
        <w:rPr>
          <w:rFonts w:ascii="Arial" w:hAnsi="Arial" w:cs="Arial"/>
          <w:sz w:val="22"/>
          <w:szCs w:val="22"/>
          <w:highlight w:val="yellow"/>
          <w:lang w:val="en-GB"/>
        </w:rPr>
        <w:t xml:space="preserve"> </w:t>
      </w:r>
      <w:r w:rsidR="00115BA4" w:rsidRPr="003762F4">
        <w:rPr>
          <w:rFonts w:ascii="Arial" w:hAnsi="Arial" w:cs="Arial"/>
          <w:sz w:val="22"/>
          <w:szCs w:val="22"/>
          <w:highlight w:val="yellow"/>
          <w:lang w:val="en-GB"/>
        </w:rPr>
        <w:t xml:space="preserve">the </w:t>
      </w:r>
      <w:r w:rsidR="00A064D3" w:rsidRPr="003762F4">
        <w:rPr>
          <w:rFonts w:ascii="Arial" w:hAnsi="Arial" w:cs="Arial"/>
          <w:sz w:val="22"/>
          <w:szCs w:val="22"/>
          <w:highlight w:val="yellow"/>
          <w:lang w:val="en-GB"/>
        </w:rPr>
        <w:t xml:space="preserve">creditors </w:t>
      </w:r>
      <w:r w:rsidRPr="003762F4">
        <w:rPr>
          <w:rFonts w:ascii="Arial" w:hAnsi="Arial" w:cs="Arial"/>
          <w:sz w:val="22"/>
          <w:szCs w:val="22"/>
          <w:highlight w:val="yellow"/>
          <w:lang w:val="en-GB"/>
        </w:rPr>
        <w:t>may</w:t>
      </w:r>
      <w:r w:rsidR="00A064D3" w:rsidRPr="003762F4">
        <w:rPr>
          <w:rFonts w:ascii="Arial" w:hAnsi="Arial" w:cs="Arial"/>
          <w:sz w:val="22"/>
          <w:szCs w:val="22"/>
          <w:highlight w:val="yellow"/>
          <w:lang w:val="en-GB"/>
        </w:rPr>
        <w:t xml:space="preserve"> file for bankruptcy</w:t>
      </w:r>
      <w:r w:rsidR="00A064D3" w:rsidRPr="00FF5CF6">
        <w:rPr>
          <w:rFonts w:ascii="Arial" w:hAnsi="Arial" w:cs="Arial"/>
          <w:sz w:val="22"/>
          <w:szCs w:val="22"/>
          <w:lang w:val="en-GB"/>
        </w:rPr>
        <w:t xml:space="preserve">.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3762F4"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3762F4">
        <w:rPr>
          <w:rFonts w:ascii="Arial" w:hAnsi="Arial" w:cs="Arial"/>
          <w:sz w:val="22"/>
          <w:szCs w:val="22"/>
          <w:highlight w:val="yellow"/>
          <w:lang w:val="en-GB"/>
        </w:rPr>
        <w:t>B</w:t>
      </w:r>
      <w:r w:rsidR="00A064D3" w:rsidRPr="003762F4">
        <w:rPr>
          <w:rFonts w:ascii="Arial" w:hAnsi="Arial" w:cs="Arial"/>
          <w:sz w:val="22"/>
          <w:szCs w:val="22"/>
          <w:highlight w:val="yellow"/>
          <w:lang w:val="en-GB"/>
        </w:rPr>
        <w:t xml:space="preserve">oth debtor-in-possession and administrator-in-possession </w:t>
      </w:r>
      <w:r w:rsidRPr="003762F4">
        <w:rPr>
          <w:rFonts w:ascii="Arial" w:hAnsi="Arial" w:cs="Arial"/>
          <w:sz w:val="22"/>
          <w:szCs w:val="22"/>
          <w:highlight w:val="yellow"/>
          <w:lang w:val="en-GB"/>
        </w:rPr>
        <w:t xml:space="preserve">models </w:t>
      </w:r>
      <w:r w:rsidR="00A064D3" w:rsidRPr="003762F4">
        <w:rPr>
          <w:rFonts w:ascii="Arial" w:hAnsi="Arial" w:cs="Arial"/>
          <w:sz w:val="22"/>
          <w:szCs w:val="22"/>
          <w:highlight w:val="yellow"/>
          <w:lang w:val="en-GB"/>
        </w:rPr>
        <w:t xml:space="preserve">are available </w:t>
      </w:r>
      <w:r w:rsidRPr="003762F4">
        <w:rPr>
          <w:rFonts w:ascii="Arial" w:hAnsi="Arial" w:cs="Arial"/>
          <w:sz w:val="22"/>
          <w:szCs w:val="22"/>
          <w:highlight w:val="yellow"/>
          <w:lang w:val="en-GB"/>
        </w:rPr>
        <w:t xml:space="preserve">under the </w:t>
      </w:r>
      <w:r w:rsidR="00A064D3" w:rsidRPr="003762F4">
        <w:rPr>
          <w:rFonts w:ascii="Arial" w:hAnsi="Arial" w:cs="Arial"/>
          <w:sz w:val="22"/>
          <w:szCs w:val="22"/>
          <w:highlight w:val="yellow"/>
          <w:lang w:val="en-GB"/>
        </w:rPr>
        <w:t>Chin</w:t>
      </w:r>
      <w:r w:rsidRPr="003762F4">
        <w:rPr>
          <w:rFonts w:ascii="Arial" w:hAnsi="Arial" w:cs="Arial"/>
          <w:sz w:val="22"/>
          <w:szCs w:val="22"/>
          <w:highlight w:val="yellow"/>
          <w:lang w:val="en-GB"/>
        </w:rPr>
        <w:t>ese corporate reorganisation provisions</w:t>
      </w:r>
      <w:r w:rsidR="00A064D3" w:rsidRPr="003762F4">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Default="00E5251A" w:rsidP="00D85CDA">
      <w:pPr>
        <w:pStyle w:val="ListParagraph"/>
        <w:numPr>
          <w:ilvl w:val="0"/>
          <w:numId w:val="33"/>
        </w:numPr>
        <w:ind w:left="426"/>
        <w:rPr>
          <w:rFonts w:ascii="Arial" w:hAnsi="Arial" w:cs="Arial"/>
          <w:sz w:val="22"/>
          <w:szCs w:val="22"/>
          <w:lang w:val="en-GB"/>
        </w:rPr>
      </w:pPr>
      <w:r w:rsidRPr="00E87DA8">
        <w:rPr>
          <w:rFonts w:ascii="Arial" w:hAnsi="Arial" w:cs="Arial"/>
          <w:sz w:val="22"/>
          <w:szCs w:val="22"/>
          <w:highlight w:val="yellow"/>
          <w:lang w:val="en-GB"/>
        </w:rPr>
        <w:t>B</w:t>
      </w:r>
      <w:r w:rsidR="001D48B4" w:rsidRPr="00E87DA8">
        <w:rPr>
          <w:rFonts w:ascii="Arial" w:hAnsi="Arial" w:cs="Arial"/>
          <w:sz w:val="22"/>
          <w:szCs w:val="22"/>
          <w:highlight w:val="yellow"/>
          <w:lang w:val="en-GB"/>
        </w:rPr>
        <w:t xml:space="preserve">oth </w:t>
      </w:r>
      <w:r w:rsidRPr="00E87DA8">
        <w:rPr>
          <w:rFonts w:ascii="Arial" w:hAnsi="Arial" w:cs="Arial"/>
          <w:sz w:val="22"/>
          <w:szCs w:val="22"/>
          <w:highlight w:val="yellow"/>
          <w:lang w:val="en-GB"/>
        </w:rPr>
        <w:t xml:space="preserve">the </w:t>
      </w:r>
      <w:r w:rsidR="001D48B4" w:rsidRPr="00E87DA8">
        <w:rPr>
          <w:rFonts w:ascii="Arial" w:hAnsi="Arial" w:cs="Arial"/>
          <w:sz w:val="22"/>
          <w:szCs w:val="22"/>
          <w:highlight w:val="yellow"/>
          <w:lang w:val="en-GB"/>
        </w:rPr>
        <w:t>tax authorities and employees are treated as preferential creditors in China</w:t>
      </w:r>
      <w:r w:rsidR="001D48B4" w:rsidRPr="00FF5CF6">
        <w:rPr>
          <w:rFonts w:ascii="Arial" w:hAnsi="Arial" w:cs="Arial"/>
          <w:sz w:val="22"/>
          <w:szCs w:val="22"/>
          <w:lang w:val="en-GB"/>
        </w:rPr>
        <w:t xml:space="preserve">.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E87DA8" w:rsidRDefault="00CD040A" w:rsidP="00D85CDA">
      <w:pPr>
        <w:pStyle w:val="ListParagraph"/>
        <w:numPr>
          <w:ilvl w:val="0"/>
          <w:numId w:val="34"/>
        </w:numPr>
        <w:ind w:left="426"/>
        <w:rPr>
          <w:rFonts w:ascii="Arial" w:hAnsi="Arial" w:cs="Arial"/>
          <w:bCs/>
          <w:sz w:val="22"/>
          <w:szCs w:val="22"/>
          <w:highlight w:val="yellow"/>
          <w:lang w:val="en-GB"/>
        </w:rPr>
      </w:pPr>
      <w:r w:rsidRPr="00E87DA8">
        <w:rPr>
          <w:rFonts w:ascii="Arial" w:hAnsi="Arial" w:cs="Arial"/>
          <w:bCs/>
          <w:sz w:val="22"/>
          <w:szCs w:val="22"/>
          <w:highlight w:val="yellow"/>
          <w:lang w:val="en-GB"/>
        </w:rPr>
        <w:t>I</w:t>
      </w:r>
      <w:r w:rsidR="00073F11" w:rsidRPr="00E87DA8">
        <w:rPr>
          <w:rFonts w:ascii="Arial" w:hAnsi="Arial" w:cs="Arial"/>
          <w:bCs/>
          <w:sz w:val="22"/>
          <w:szCs w:val="22"/>
          <w:highlight w:val="yellow"/>
          <w:lang w:val="en-GB"/>
        </w:rPr>
        <w:t>f the reorgani</w:t>
      </w:r>
      <w:r w:rsidRPr="00E87DA8">
        <w:rPr>
          <w:rFonts w:ascii="Arial" w:hAnsi="Arial" w:cs="Arial"/>
          <w:bCs/>
          <w:sz w:val="22"/>
          <w:szCs w:val="22"/>
          <w:highlight w:val="yellow"/>
          <w:lang w:val="en-GB"/>
        </w:rPr>
        <w:t>s</w:t>
      </w:r>
      <w:r w:rsidR="00073F11" w:rsidRPr="00E87DA8">
        <w:rPr>
          <w:rFonts w:ascii="Arial" w:hAnsi="Arial" w:cs="Arial"/>
          <w:bCs/>
          <w:sz w:val="22"/>
          <w:szCs w:val="22"/>
          <w:highlight w:val="yellow"/>
          <w:lang w:val="en-GB"/>
        </w:rPr>
        <w:t xml:space="preserve">ation plan was voted down </w:t>
      </w:r>
      <w:r w:rsidRPr="00E87DA8">
        <w:rPr>
          <w:rFonts w:ascii="Arial" w:hAnsi="Arial" w:cs="Arial"/>
          <w:bCs/>
          <w:sz w:val="22"/>
          <w:szCs w:val="22"/>
          <w:highlight w:val="yellow"/>
          <w:lang w:val="en-GB"/>
        </w:rPr>
        <w:t xml:space="preserve">(rejected) </w:t>
      </w:r>
      <w:r w:rsidR="00073F11" w:rsidRPr="00E87DA8">
        <w:rPr>
          <w:rFonts w:ascii="Arial" w:hAnsi="Arial" w:cs="Arial"/>
          <w:bCs/>
          <w:sz w:val="22"/>
          <w:szCs w:val="22"/>
          <w:highlight w:val="yellow"/>
          <w:lang w:val="en-GB"/>
        </w:rPr>
        <w:t>by one or more class of creditors, the court may still approve the plan if certain statutory conditions are met</w:t>
      </w:r>
      <w:r w:rsidRPr="00E87DA8">
        <w:rPr>
          <w:rFonts w:ascii="Arial" w:hAnsi="Arial" w:cs="Arial"/>
          <w:bCs/>
          <w:sz w:val="22"/>
          <w:szCs w:val="22"/>
          <w:highlight w:val="yellow"/>
          <w:lang w:val="en-GB"/>
        </w:rPr>
        <w:t>;</w:t>
      </w:r>
      <w:r w:rsidR="00073F11" w:rsidRPr="00E87DA8">
        <w:rPr>
          <w:rFonts w:ascii="Arial" w:hAnsi="Arial" w:cs="Arial"/>
          <w:bCs/>
          <w:sz w:val="22"/>
          <w:szCs w:val="22"/>
          <w:highlight w:val="yellow"/>
          <w:lang w:val="en-GB"/>
        </w:rPr>
        <w:t xml:space="preserve"> </w:t>
      </w:r>
      <w:r w:rsidRPr="00E87DA8">
        <w:rPr>
          <w:rFonts w:ascii="Arial" w:hAnsi="Arial" w:cs="Arial"/>
          <w:bCs/>
          <w:sz w:val="22"/>
          <w:szCs w:val="22"/>
          <w:highlight w:val="yellow"/>
          <w:lang w:val="en-GB"/>
        </w:rPr>
        <w:t xml:space="preserve">a </w:t>
      </w:r>
      <w:r w:rsidR="00073F11" w:rsidRPr="00E87DA8">
        <w:rPr>
          <w:rFonts w:ascii="Arial" w:hAnsi="Arial" w:cs="Arial"/>
          <w:bCs/>
          <w:sz w:val="22"/>
          <w:szCs w:val="22"/>
          <w:highlight w:val="yellow"/>
          <w:lang w:val="en-GB"/>
        </w:rPr>
        <w:t xml:space="preserve">cram-down is </w:t>
      </w:r>
      <w:r w:rsidRPr="00E87DA8">
        <w:rPr>
          <w:rFonts w:ascii="Arial" w:hAnsi="Arial" w:cs="Arial"/>
          <w:bCs/>
          <w:sz w:val="22"/>
          <w:szCs w:val="22"/>
          <w:highlight w:val="yellow"/>
          <w:lang w:val="en-GB"/>
        </w:rPr>
        <w:t xml:space="preserve">therefore </w:t>
      </w:r>
      <w:r w:rsidR="00073F11" w:rsidRPr="00E87DA8">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E87DA8" w:rsidRDefault="005D7F1E" w:rsidP="00D85CDA">
      <w:pPr>
        <w:pStyle w:val="ListParagraph"/>
        <w:numPr>
          <w:ilvl w:val="0"/>
          <w:numId w:val="35"/>
        </w:numPr>
        <w:ind w:left="426"/>
        <w:rPr>
          <w:rFonts w:ascii="Arial" w:hAnsi="Arial" w:cs="Arial"/>
          <w:sz w:val="22"/>
          <w:szCs w:val="22"/>
          <w:highlight w:val="yellow"/>
          <w:lang w:val="en-GB"/>
        </w:rPr>
      </w:pPr>
      <w:r w:rsidRPr="00E87DA8">
        <w:rPr>
          <w:rFonts w:ascii="Arial" w:hAnsi="Arial" w:cs="Arial"/>
          <w:sz w:val="22"/>
          <w:szCs w:val="22"/>
          <w:highlight w:val="yellow"/>
          <w:lang w:val="en-GB"/>
        </w:rPr>
        <w:t>A</w:t>
      </w:r>
      <w:r w:rsidR="005C1A09" w:rsidRPr="00E87DA8">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E87DA8">
        <w:rPr>
          <w:rFonts w:ascii="Arial" w:hAnsi="Arial" w:cs="Arial"/>
          <w:sz w:val="22"/>
          <w:szCs w:val="22"/>
          <w:highlight w:val="yellow"/>
          <w:lang w:val="en-GB"/>
        </w:rPr>
        <w:t xml:space="preserve">with China </w:t>
      </w:r>
      <w:r w:rsidR="005C1A09" w:rsidRPr="00E87DA8">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9B21F6" w:rsidRDefault="00BE2946" w:rsidP="00856266">
      <w:pPr>
        <w:pStyle w:val="ListParagraph"/>
        <w:numPr>
          <w:ilvl w:val="0"/>
          <w:numId w:val="36"/>
        </w:numPr>
        <w:ind w:left="426"/>
        <w:rPr>
          <w:rFonts w:ascii="Arial" w:hAnsi="Arial" w:cs="Arial"/>
          <w:sz w:val="22"/>
          <w:szCs w:val="22"/>
          <w:highlight w:val="yellow"/>
          <w:lang w:val="en-GB"/>
        </w:rPr>
      </w:pPr>
      <w:r w:rsidRPr="009B21F6">
        <w:rPr>
          <w:rFonts w:ascii="Arial" w:hAnsi="Arial" w:cs="Arial"/>
          <w:sz w:val="22"/>
          <w:szCs w:val="22"/>
          <w:highlight w:val="yellow"/>
          <w:lang w:val="en-GB"/>
        </w:rPr>
        <w:t>T</w:t>
      </w:r>
      <w:r w:rsidR="004A42CD" w:rsidRPr="009B21F6">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9B21F6">
        <w:rPr>
          <w:rFonts w:ascii="Arial" w:hAnsi="Arial" w:cs="Arial"/>
          <w:sz w:val="22"/>
          <w:szCs w:val="22"/>
          <w:highlight w:val="yellow"/>
          <w:lang w:val="en-GB"/>
        </w:rPr>
        <w:t>will not be</w:t>
      </w:r>
      <w:r w:rsidR="004A42CD" w:rsidRPr="009B21F6">
        <w:rPr>
          <w:rFonts w:ascii="Arial" w:hAnsi="Arial" w:cs="Arial"/>
          <w:sz w:val="22"/>
          <w:szCs w:val="22"/>
          <w:highlight w:val="yellow"/>
          <w:lang w:val="en-GB"/>
        </w:rPr>
        <w:t xml:space="preserve"> effective in other </w:t>
      </w:r>
      <w:r w:rsidR="00465DE6" w:rsidRPr="009B21F6">
        <w:rPr>
          <w:rFonts w:ascii="Arial" w:hAnsi="Arial" w:cs="Arial"/>
          <w:sz w:val="22"/>
          <w:szCs w:val="22"/>
          <w:highlight w:val="yellow"/>
          <w:lang w:val="en-GB"/>
        </w:rPr>
        <w:t>jurisdictions</w:t>
      </w:r>
      <w:r w:rsidR="004A42CD" w:rsidRPr="009B21F6">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Default="004A42CD" w:rsidP="00856266">
      <w:pPr>
        <w:pStyle w:val="ListParagraph"/>
        <w:numPr>
          <w:ilvl w:val="0"/>
          <w:numId w:val="37"/>
        </w:numPr>
        <w:ind w:left="426"/>
        <w:rPr>
          <w:rFonts w:ascii="Arial" w:hAnsi="Arial" w:cs="Arial"/>
          <w:sz w:val="22"/>
          <w:szCs w:val="22"/>
          <w:lang w:val="en-GB"/>
        </w:rPr>
      </w:pPr>
      <w:r w:rsidRPr="009B21F6">
        <w:rPr>
          <w:rFonts w:ascii="Arial" w:hAnsi="Arial" w:cs="Arial"/>
          <w:sz w:val="22"/>
          <w:szCs w:val="22"/>
          <w:highlight w:val="yellow"/>
          <w:lang w:val="en-GB"/>
        </w:rPr>
        <w:t>The U</w:t>
      </w:r>
      <w:r w:rsidR="00432529" w:rsidRPr="009B21F6">
        <w:rPr>
          <w:rFonts w:ascii="Arial" w:hAnsi="Arial" w:cs="Arial"/>
          <w:sz w:val="22"/>
          <w:szCs w:val="22"/>
          <w:highlight w:val="yellow"/>
          <w:lang w:val="en-GB"/>
        </w:rPr>
        <w:t xml:space="preserve">nited </w:t>
      </w:r>
      <w:r w:rsidRPr="009B21F6">
        <w:rPr>
          <w:rFonts w:ascii="Arial" w:hAnsi="Arial" w:cs="Arial"/>
          <w:sz w:val="22"/>
          <w:szCs w:val="22"/>
          <w:highlight w:val="yellow"/>
          <w:lang w:val="en-GB"/>
        </w:rPr>
        <w:t>S</w:t>
      </w:r>
      <w:r w:rsidR="00432529" w:rsidRPr="009B21F6">
        <w:rPr>
          <w:rFonts w:ascii="Arial" w:hAnsi="Arial" w:cs="Arial"/>
          <w:sz w:val="22"/>
          <w:szCs w:val="22"/>
          <w:highlight w:val="yellow"/>
          <w:lang w:val="en-GB"/>
        </w:rPr>
        <w:t xml:space="preserve">tates of </w:t>
      </w:r>
      <w:r w:rsidRPr="009B21F6">
        <w:rPr>
          <w:rFonts w:ascii="Arial" w:hAnsi="Arial" w:cs="Arial"/>
          <w:sz w:val="22"/>
          <w:szCs w:val="22"/>
          <w:highlight w:val="yellow"/>
          <w:lang w:val="en-GB"/>
        </w:rPr>
        <w:t>A</w:t>
      </w:r>
      <w:r w:rsidR="00432529" w:rsidRPr="009B21F6">
        <w:rPr>
          <w:rFonts w:ascii="Arial" w:hAnsi="Arial" w:cs="Arial"/>
          <w:sz w:val="22"/>
          <w:szCs w:val="22"/>
          <w:highlight w:val="yellow"/>
          <w:lang w:val="en-GB"/>
        </w:rPr>
        <w:t>merica</w:t>
      </w:r>
      <w:r w:rsidRPr="00FF5CF6">
        <w:rPr>
          <w:rFonts w:ascii="Arial" w:hAnsi="Arial" w:cs="Arial"/>
          <w:sz w:val="22"/>
          <w:szCs w:val="22"/>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5908410C" w:rsidR="00385CA1" w:rsidRDefault="00FF5CF6" w:rsidP="006162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B21F6">
        <w:rPr>
          <w:rFonts w:ascii="Arial" w:hAnsi="Arial" w:cs="Arial"/>
          <w:color w:val="7B7B7B" w:themeColor="accent3" w:themeShade="BF"/>
          <w:sz w:val="22"/>
          <w:szCs w:val="22"/>
          <w:lang w:val="en-GB"/>
        </w:rPr>
        <w:t>The filing creditor must convince the court that the debtor is cash-flow insolvent, namely that the debtor is unable to pay a debt that is due.</w:t>
      </w:r>
      <w:r>
        <w:rPr>
          <w:rFonts w:ascii="Arial" w:hAnsi="Arial" w:cs="Arial"/>
          <w:color w:val="7B7B7B" w:themeColor="accent3" w:themeShade="BF"/>
          <w:sz w:val="22"/>
          <w:szCs w:val="22"/>
          <w:lang w:val="en-GB"/>
        </w:rPr>
        <w:t>]</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2D13D348" w:rsidR="00FF5CF6" w:rsidRDefault="00FF5CF6" w:rsidP="006162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67950">
        <w:rPr>
          <w:rFonts w:ascii="Arial" w:hAnsi="Arial" w:cs="Arial"/>
          <w:color w:val="7B7B7B" w:themeColor="accent3" w:themeShade="BF"/>
          <w:sz w:val="22"/>
          <w:szCs w:val="22"/>
          <w:lang w:val="en-GB"/>
        </w:rPr>
        <w:t>Large l</w:t>
      </w:r>
      <w:r w:rsidR="009B21F6">
        <w:rPr>
          <w:rFonts w:ascii="Arial" w:hAnsi="Arial" w:cs="Arial"/>
          <w:color w:val="7B7B7B" w:themeColor="accent3" w:themeShade="BF"/>
          <w:sz w:val="22"/>
          <w:szCs w:val="22"/>
          <w:lang w:val="en-GB"/>
        </w:rPr>
        <w:t xml:space="preserve">ocal law and accounting (ie, lawyers and accountants) firms dominate the Chinese regional bankruptcy administrator lists. Although ‘qualified’ was used by the China Supreme People’s Court in its instructions to establish the regional ‘qualified’ insolvency practitioner list, there </w:t>
      </w:r>
      <w:r w:rsidR="00A67950">
        <w:rPr>
          <w:rFonts w:ascii="Arial" w:hAnsi="Arial" w:cs="Arial"/>
          <w:color w:val="7B7B7B" w:themeColor="accent3" w:themeShade="BF"/>
          <w:sz w:val="22"/>
          <w:szCs w:val="22"/>
          <w:lang w:val="en-GB"/>
        </w:rPr>
        <w:t>are</w:t>
      </w:r>
      <w:r w:rsidR="009B21F6">
        <w:rPr>
          <w:rFonts w:ascii="Arial" w:hAnsi="Arial" w:cs="Arial"/>
          <w:color w:val="7B7B7B" w:themeColor="accent3" w:themeShade="BF"/>
          <w:sz w:val="22"/>
          <w:szCs w:val="22"/>
          <w:lang w:val="en-GB"/>
        </w:rPr>
        <w:t xml:space="preserve"> really no </w:t>
      </w:r>
      <w:r w:rsidR="00A67950">
        <w:rPr>
          <w:rFonts w:ascii="Arial" w:hAnsi="Arial" w:cs="Arial"/>
          <w:color w:val="7B7B7B" w:themeColor="accent3" w:themeShade="BF"/>
          <w:sz w:val="22"/>
          <w:szCs w:val="22"/>
          <w:lang w:val="en-GB"/>
        </w:rPr>
        <w:t>‘</w:t>
      </w:r>
      <w:r w:rsidR="009B21F6">
        <w:rPr>
          <w:rFonts w:ascii="Arial" w:hAnsi="Arial" w:cs="Arial"/>
          <w:color w:val="7B7B7B" w:themeColor="accent3" w:themeShade="BF"/>
          <w:sz w:val="22"/>
          <w:szCs w:val="22"/>
          <w:lang w:val="en-GB"/>
        </w:rPr>
        <w:t>qualifying</w:t>
      </w:r>
      <w:r w:rsidR="00A67950">
        <w:rPr>
          <w:rFonts w:ascii="Arial" w:hAnsi="Arial" w:cs="Arial"/>
          <w:color w:val="7B7B7B" w:themeColor="accent3" w:themeShade="BF"/>
          <w:sz w:val="22"/>
          <w:szCs w:val="22"/>
          <w:lang w:val="en-GB"/>
        </w:rPr>
        <w:t>’</w:t>
      </w:r>
      <w:r w:rsidR="009B21F6">
        <w:rPr>
          <w:rFonts w:ascii="Arial" w:hAnsi="Arial" w:cs="Arial"/>
          <w:color w:val="7B7B7B" w:themeColor="accent3" w:themeShade="BF"/>
          <w:sz w:val="22"/>
          <w:szCs w:val="22"/>
          <w:lang w:val="en-GB"/>
        </w:rPr>
        <w:t xml:space="preserve"> exams or training </w:t>
      </w:r>
      <w:r w:rsidR="00A67950">
        <w:rPr>
          <w:rFonts w:ascii="Arial" w:hAnsi="Arial" w:cs="Arial"/>
          <w:color w:val="7B7B7B" w:themeColor="accent3" w:themeShade="BF"/>
          <w:sz w:val="22"/>
          <w:szCs w:val="22"/>
          <w:lang w:val="en-GB"/>
        </w:rPr>
        <w:t>courses that need to be taken. Provincial supreme courts simply select some local large law and accounting firms to be included in the list.</w:t>
      </w:r>
      <w:r>
        <w:rPr>
          <w:rFonts w:ascii="Arial" w:hAnsi="Arial" w:cs="Arial"/>
          <w:color w:val="7B7B7B" w:themeColor="accent3" w:themeShade="BF"/>
          <w:sz w:val="22"/>
          <w:szCs w:val="22"/>
          <w:lang w:val="en-GB"/>
        </w:rPr>
        <w:t>]</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166A06F" w14:textId="38475A1C" w:rsidR="00A54652" w:rsidRDefault="00A54652" w:rsidP="006162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67950">
        <w:rPr>
          <w:rFonts w:ascii="Arial" w:hAnsi="Arial" w:cs="Arial"/>
          <w:color w:val="7B7B7B" w:themeColor="accent3" w:themeShade="BF"/>
          <w:sz w:val="22"/>
          <w:szCs w:val="22"/>
          <w:lang w:val="en-GB"/>
        </w:rPr>
        <w:t>The first and most widely used form of security</w:t>
      </w:r>
      <w:r w:rsidR="00CD05E0">
        <w:rPr>
          <w:rFonts w:ascii="Arial" w:hAnsi="Arial" w:cs="Arial"/>
          <w:color w:val="7B7B7B" w:themeColor="accent3" w:themeShade="BF"/>
          <w:sz w:val="22"/>
          <w:szCs w:val="22"/>
          <w:lang w:val="en-GB"/>
        </w:rPr>
        <w:t xml:space="preserve"> is the fixed charge, which can be created over the debtor’s assets or the assets of a third party, provided the third party’s consent has been obtained in advance.  They can be created over both movable and immovable property in favour of a secured creditor. The charge must be registered under the </w:t>
      </w:r>
      <w:r w:rsidR="00CD05E0" w:rsidRPr="007D2932">
        <w:rPr>
          <w:rFonts w:ascii="Arial" w:hAnsi="Arial" w:cs="Arial"/>
          <w:i/>
          <w:iCs/>
          <w:color w:val="7B7B7B" w:themeColor="accent3" w:themeShade="BF"/>
          <w:sz w:val="22"/>
          <w:szCs w:val="22"/>
          <w:lang w:val="en-GB"/>
        </w:rPr>
        <w:t>China Property Law of 2007</w:t>
      </w:r>
      <w:r w:rsidR="00CD05E0">
        <w:rPr>
          <w:rFonts w:ascii="Arial" w:hAnsi="Arial" w:cs="Arial"/>
          <w:color w:val="7B7B7B" w:themeColor="accent3" w:themeShade="BF"/>
          <w:sz w:val="22"/>
          <w:szCs w:val="22"/>
          <w:lang w:val="en-GB"/>
        </w:rPr>
        <w:t xml:space="preserve"> and is not valid until it has been registered.  A security certificate is issued to the charge holder once the charge has been properly recorded, upon payment of a small fee, at the government agency.</w:t>
      </w:r>
      <w:r w:rsidR="00A67950">
        <w:rPr>
          <w:rFonts w:ascii="Arial" w:hAnsi="Arial" w:cs="Arial"/>
          <w:color w:val="7B7B7B" w:themeColor="accent3" w:themeShade="BF"/>
          <w:sz w:val="22"/>
          <w:szCs w:val="22"/>
          <w:lang w:val="en-GB"/>
        </w:rPr>
        <w:t xml:space="preserve"> </w:t>
      </w:r>
      <w:r w:rsidR="00CD05E0">
        <w:rPr>
          <w:rFonts w:ascii="Arial" w:hAnsi="Arial" w:cs="Arial"/>
          <w:color w:val="7B7B7B" w:themeColor="accent3" w:themeShade="BF"/>
          <w:sz w:val="22"/>
          <w:szCs w:val="22"/>
          <w:lang w:val="en-GB"/>
        </w:rPr>
        <w:t xml:space="preserve">For immovable property, the registration authority is the local office of the China Housing Management Authority and, for safety, most secured creditors tend to simultaneously register the charge at the local office of the China Land Management Authority, since </w:t>
      </w:r>
      <w:r w:rsidR="00CD05E0">
        <w:rPr>
          <w:rFonts w:ascii="Arial" w:hAnsi="Arial" w:cs="Arial"/>
          <w:color w:val="7B7B7B" w:themeColor="accent3" w:themeShade="BF"/>
          <w:sz w:val="22"/>
          <w:szCs w:val="22"/>
          <w:lang w:val="en-GB"/>
        </w:rPr>
        <w:lastRenderedPageBreak/>
        <w:t>the use right of the land upon which the building stands is part of the property. This is important as land is owned by the state and the right to use the property, which is essentially a lease, can be purchased by private parties</w:t>
      </w:r>
      <w:r w:rsidR="00F22C2D">
        <w:rPr>
          <w:rFonts w:ascii="Arial" w:hAnsi="Arial" w:cs="Arial"/>
          <w:color w:val="7B7B7B" w:themeColor="accent3" w:themeShade="BF"/>
          <w:sz w:val="22"/>
          <w:szCs w:val="22"/>
          <w:lang w:val="en-GB"/>
        </w:rPr>
        <w:t>.  Nonetheless, if there are no building on the land yet, the pure right to use relating to a piece of land can also bear a charge, subject to registration.  Occasionally, fixed charges are created over movable properties, which also need to be registered.  For vehicles, the registration authority is the local police vehicle management office, whilst for machinery and other equipment, the local office of the China Industries and Commerce Regulation Bureau.</w:t>
      </w:r>
      <w:r>
        <w:rPr>
          <w:rFonts w:ascii="Arial" w:hAnsi="Arial" w:cs="Arial"/>
          <w:color w:val="7B7B7B" w:themeColor="accent3" w:themeShade="BF"/>
          <w:sz w:val="22"/>
          <w:szCs w:val="22"/>
          <w:lang w:val="en-GB"/>
        </w:rPr>
        <w:t>]</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76D43964" w14:textId="1DFF168F" w:rsidR="00526EBE" w:rsidRDefault="00A54652" w:rsidP="006162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03EC5">
        <w:rPr>
          <w:rFonts w:ascii="Arial" w:hAnsi="Arial" w:cs="Arial"/>
          <w:color w:val="7B7B7B" w:themeColor="accent3" w:themeShade="BF"/>
          <w:sz w:val="22"/>
          <w:szCs w:val="22"/>
          <w:lang w:val="en-GB"/>
        </w:rPr>
        <w:t>T</w:t>
      </w:r>
      <w:r w:rsidR="0067392A">
        <w:rPr>
          <w:rFonts w:ascii="Arial" w:hAnsi="Arial" w:cs="Arial"/>
          <w:color w:val="7B7B7B" w:themeColor="accent3" w:themeShade="BF"/>
          <w:sz w:val="22"/>
          <w:szCs w:val="22"/>
          <w:lang w:val="en-GB"/>
        </w:rPr>
        <w:t xml:space="preserve">he </w:t>
      </w:r>
      <w:r w:rsidR="0067392A" w:rsidRPr="007D2932">
        <w:rPr>
          <w:rFonts w:ascii="Arial" w:hAnsi="Arial" w:cs="Arial"/>
          <w:i/>
          <w:iCs/>
          <w:color w:val="7B7B7B" w:themeColor="accent3" w:themeShade="BF"/>
          <w:sz w:val="22"/>
          <w:szCs w:val="22"/>
          <w:lang w:val="en-GB"/>
        </w:rPr>
        <w:t>China Enterprise Bankruptcy Law of 2006</w:t>
      </w:r>
      <w:r w:rsidR="0067392A">
        <w:rPr>
          <w:rFonts w:ascii="Arial" w:hAnsi="Arial" w:cs="Arial"/>
          <w:color w:val="7B7B7B" w:themeColor="accent3" w:themeShade="BF"/>
          <w:sz w:val="22"/>
          <w:szCs w:val="22"/>
          <w:lang w:val="en-GB"/>
        </w:rPr>
        <w:t xml:space="preserve"> </w:t>
      </w:r>
      <w:r w:rsidR="006162E3">
        <w:rPr>
          <w:rFonts w:ascii="Arial" w:hAnsi="Arial" w:cs="Arial"/>
          <w:color w:val="7B7B7B" w:themeColor="accent3" w:themeShade="BF"/>
          <w:sz w:val="22"/>
          <w:szCs w:val="22"/>
          <w:lang w:val="en-GB"/>
        </w:rPr>
        <w:t>(‘CEBL’)</w:t>
      </w:r>
      <w:r w:rsidR="00EF2428">
        <w:rPr>
          <w:rFonts w:ascii="Arial" w:hAnsi="Arial" w:cs="Arial"/>
          <w:color w:val="7B7B7B" w:themeColor="accent3" w:themeShade="BF"/>
          <w:sz w:val="22"/>
          <w:szCs w:val="22"/>
          <w:lang w:val="en-GB"/>
        </w:rPr>
        <w:t xml:space="preserve"> </w:t>
      </w:r>
      <w:r w:rsidR="0067392A">
        <w:rPr>
          <w:rFonts w:ascii="Arial" w:hAnsi="Arial" w:cs="Arial"/>
          <w:color w:val="7B7B7B" w:themeColor="accent3" w:themeShade="BF"/>
          <w:sz w:val="22"/>
          <w:szCs w:val="22"/>
          <w:lang w:val="en-GB"/>
        </w:rPr>
        <w:t xml:space="preserve">was greatly influenced by Chapter 11 of the </w:t>
      </w:r>
      <w:r w:rsidR="0067392A" w:rsidRPr="007D2932">
        <w:rPr>
          <w:rFonts w:ascii="Arial" w:hAnsi="Arial" w:cs="Arial"/>
          <w:i/>
          <w:iCs/>
          <w:color w:val="7B7B7B" w:themeColor="accent3" w:themeShade="BF"/>
          <w:sz w:val="22"/>
          <w:szCs w:val="22"/>
          <w:lang w:val="en-GB"/>
        </w:rPr>
        <w:t>US Bankruptcy Code 1978</w:t>
      </w:r>
      <w:r w:rsidR="0067392A">
        <w:rPr>
          <w:rFonts w:ascii="Arial" w:hAnsi="Arial" w:cs="Arial"/>
          <w:color w:val="7B7B7B" w:themeColor="accent3" w:themeShade="BF"/>
          <w:sz w:val="22"/>
          <w:szCs w:val="22"/>
          <w:lang w:val="en-GB"/>
        </w:rPr>
        <w:t xml:space="preserve"> on corporate reorganisation. As such, the Chinese bankruptcy law became rescue-oriented by incorporating three substantial bankruptcy option/procedures – reorganisation, composition/settlement and liquidation which is the final option.  The way that these options are ordered in the law reflects that </w:t>
      </w:r>
      <w:r w:rsidR="007D2932">
        <w:rPr>
          <w:rFonts w:ascii="Arial" w:hAnsi="Arial" w:cs="Arial"/>
          <w:color w:val="7B7B7B" w:themeColor="accent3" w:themeShade="BF"/>
          <w:sz w:val="22"/>
          <w:szCs w:val="22"/>
          <w:lang w:val="en-GB"/>
        </w:rPr>
        <w:t xml:space="preserve">the </w:t>
      </w:r>
      <w:r w:rsidR="0067392A">
        <w:rPr>
          <w:rFonts w:ascii="Arial" w:hAnsi="Arial" w:cs="Arial"/>
          <w:color w:val="7B7B7B" w:themeColor="accent3" w:themeShade="BF"/>
          <w:sz w:val="22"/>
          <w:szCs w:val="22"/>
          <w:lang w:val="en-GB"/>
        </w:rPr>
        <w:t xml:space="preserve">lawmakers expect rescue to be attempted first. </w:t>
      </w:r>
      <w:r w:rsidR="006162E3">
        <w:rPr>
          <w:rFonts w:ascii="Arial" w:hAnsi="Arial" w:cs="Arial"/>
          <w:color w:val="7B7B7B" w:themeColor="accent3" w:themeShade="BF"/>
          <w:sz w:val="22"/>
          <w:szCs w:val="22"/>
          <w:lang w:val="en-GB"/>
        </w:rPr>
        <w:t xml:space="preserve"> Moreover, the </w:t>
      </w:r>
      <w:r w:rsidR="006162E3" w:rsidRPr="007D2932">
        <w:rPr>
          <w:rFonts w:ascii="Arial" w:hAnsi="Arial" w:cs="Arial"/>
          <w:i/>
          <w:iCs/>
          <w:color w:val="7B7B7B" w:themeColor="accent3" w:themeShade="BF"/>
          <w:sz w:val="22"/>
          <w:szCs w:val="22"/>
          <w:lang w:val="en-GB"/>
        </w:rPr>
        <w:t>CEBL</w:t>
      </w:r>
      <w:r w:rsidR="006162E3">
        <w:rPr>
          <w:rFonts w:ascii="Arial" w:hAnsi="Arial" w:cs="Arial"/>
          <w:color w:val="7B7B7B" w:themeColor="accent3" w:themeShade="BF"/>
          <w:sz w:val="22"/>
          <w:szCs w:val="22"/>
          <w:lang w:val="en-GB"/>
        </w:rPr>
        <w:t xml:space="preserve"> uses two chapters, Chapters 8 and 9 to highlight corporate rescue; thus, highlighting the lawmakers’ preference towards </w:t>
      </w:r>
      <w:r w:rsidR="00526EBE">
        <w:rPr>
          <w:rFonts w:ascii="Arial" w:hAnsi="Arial" w:cs="Arial"/>
          <w:color w:val="7B7B7B" w:themeColor="accent3" w:themeShade="BF"/>
          <w:sz w:val="22"/>
          <w:szCs w:val="22"/>
          <w:lang w:val="en-GB"/>
        </w:rPr>
        <w:t>corporate rescue.</w:t>
      </w:r>
      <w:r w:rsidR="0067392A">
        <w:rPr>
          <w:rFonts w:ascii="Arial" w:hAnsi="Arial" w:cs="Arial"/>
          <w:color w:val="7B7B7B" w:themeColor="accent3" w:themeShade="BF"/>
          <w:sz w:val="22"/>
          <w:szCs w:val="22"/>
          <w:lang w:val="en-GB"/>
        </w:rPr>
        <w:t xml:space="preserve"> Likewise, the rescue-oriented approach is also reflected in specific provisions.  For example, in reorganisation proceedings, although the court appoint</w:t>
      </w:r>
      <w:r w:rsidR="006162E3">
        <w:rPr>
          <w:rFonts w:ascii="Arial" w:hAnsi="Arial" w:cs="Arial"/>
          <w:color w:val="7B7B7B" w:themeColor="accent3" w:themeShade="BF"/>
          <w:sz w:val="22"/>
          <w:szCs w:val="22"/>
          <w:lang w:val="en-GB"/>
        </w:rPr>
        <w:t>s</w:t>
      </w:r>
      <w:r w:rsidR="0067392A">
        <w:rPr>
          <w:rFonts w:ascii="Arial" w:hAnsi="Arial" w:cs="Arial"/>
          <w:color w:val="7B7B7B" w:themeColor="accent3" w:themeShade="BF"/>
          <w:sz w:val="22"/>
          <w:szCs w:val="22"/>
          <w:lang w:val="en-GB"/>
        </w:rPr>
        <w:t xml:space="preserve"> a</w:t>
      </w:r>
      <w:r w:rsidR="006162E3">
        <w:rPr>
          <w:rFonts w:ascii="Arial" w:hAnsi="Arial" w:cs="Arial"/>
          <w:color w:val="7B7B7B" w:themeColor="accent3" w:themeShade="BF"/>
          <w:sz w:val="22"/>
          <w:szCs w:val="22"/>
          <w:lang w:val="en-GB"/>
        </w:rPr>
        <w:t xml:space="preserve">n administrator in charge of the whole reorganisation process, however, to make a rescue mission more feasible, the </w:t>
      </w:r>
      <w:r w:rsidR="006162E3" w:rsidRPr="007D2932">
        <w:rPr>
          <w:rFonts w:ascii="Arial" w:hAnsi="Arial" w:cs="Arial"/>
          <w:i/>
          <w:iCs/>
          <w:color w:val="7B7B7B" w:themeColor="accent3" w:themeShade="BF"/>
          <w:sz w:val="22"/>
          <w:szCs w:val="22"/>
          <w:lang w:val="en-GB"/>
        </w:rPr>
        <w:t>CEBL</w:t>
      </w:r>
      <w:r w:rsidR="006162E3">
        <w:rPr>
          <w:rFonts w:ascii="Arial" w:hAnsi="Arial" w:cs="Arial"/>
          <w:color w:val="7B7B7B" w:themeColor="accent3" w:themeShade="BF"/>
          <w:sz w:val="22"/>
          <w:szCs w:val="22"/>
          <w:lang w:val="en-GB"/>
        </w:rPr>
        <w:t xml:space="preserve"> allows the debtor to apply for debtor-in-possession after the formal reorganisation procedure begins.  If approved by the court, the debtor can regain control under the debtor-in-possession model, and the court-appointed administrator only becomes a supervisor.  Allowing the debtor to take charge may increase the chances of rescuing the company as the debtor is considered more familiar with the business of the company, and with the moratorium in place, this increases the chances of successfully rescuing the company.  </w:t>
      </w:r>
      <w:r w:rsidR="00526EBE">
        <w:rPr>
          <w:rFonts w:ascii="Arial" w:hAnsi="Arial" w:cs="Arial"/>
          <w:color w:val="7B7B7B" w:themeColor="accent3" w:themeShade="BF"/>
          <w:sz w:val="22"/>
          <w:szCs w:val="22"/>
          <w:lang w:val="en-GB"/>
        </w:rPr>
        <w:t xml:space="preserve">Furthermore, even when liquidation proceedings have been commenced, the proceedings can still be transformed into a reorganisation proceeding.  </w:t>
      </w:r>
    </w:p>
    <w:p w14:paraId="1A028744" w14:textId="77777777" w:rsidR="00526EBE" w:rsidRDefault="00526EBE" w:rsidP="006162E3">
      <w:pPr>
        <w:ind w:left="720" w:hanging="720"/>
        <w:jc w:val="both"/>
        <w:rPr>
          <w:rFonts w:ascii="Arial" w:hAnsi="Arial" w:cs="Arial"/>
          <w:color w:val="7B7B7B" w:themeColor="accent3" w:themeShade="BF"/>
          <w:sz w:val="22"/>
          <w:szCs w:val="22"/>
          <w:lang w:val="en-GB"/>
        </w:rPr>
      </w:pPr>
    </w:p>
    <w:p w14:paraId="0925B1E5" w14:textId="432C634A" w:rsidR="00A54652" w:rsidRDefault="00526EBE" w:rsidP="006162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Nonetheless, while the </w:t>
      </w:r>
      <w:r w:rsidRPr="007D2932">
        <w:rPr>
          <w:rFonts w:ascii="Arial" w:hAnsi="Arial" w:cs="Arial"/>
          <w:i/>
          <w:iCs/>
          <w:color w:val="7B7B7B" w:themeColor="accent3" w:themeShade="BF"/>
          <w:sz w:val="22"/>
          <w:szCs w:val="22"/>
          <w:lang w:val="en-GB"/>
        </w:rPr>
        <w:t>CEBL</w:t>
      </w:r>
      <w:r>
        <w:rPr>
          <w:rFonts w:ascii="Arial" w:hAnsi="Arial" w:cs="Arial"/>
          <w:color w:val="7B7B7B" w:themeColor="accent3" w:themeShade="BF"/>
          <w:sz w:val="22"/>
          <w:szCs w:val="22"/>
          <w:lang w:val="en-GB"/>
        </w:rPr>
        <w:t xml:space="preserve"> appears on its face to be rescue-oriented, the greatest challenge is the difficulty of implementing this law </w:t>
      </w:r>
      <w:r w:rsidR="007D2932">
        <w:rPr>
          <w:rFonts w:ascii="Arial" w:hAnsi="Arial" w:cs="Arial"/>
          <w:color w:val="7B7B7B" w:themeColor="accent3" w:themeShade="BF"/>
          <w:sz w:val="22"/>
          <w:szCs w:val="22"/>
          <w:lang w:val="en-GB"/>
        </w:rPr>
        <w:t xml:space="preserve">given </w:t>
      </w:r>
      <w:r>
        <w:rPr>
          <w:rFonts w:ascii="Arial" w:hAnsi="Arial" w:cs="Arial"/>
          <w:color w:val="7B7B7B" w:themeColor="accent3" w:themeShade="BF"/>
          <w:sz w:val="22"/>
          <w:szCs w:val="22"/>
          <w:lang w:val="en-GB"/>
        </w:rPr>
        <w:t xml:space="preserve">the prevailing realities in mainland China.  This is shown by the fact that every year, there are only a small number of court-involved bankruptcy </w:t>
      </w:r>
      <w:r w:rsidR="00EF2428">
        <w:rPr>
          <w:rFonts w:ascii="Arial" w:hAnsi="Arial" w:cs="Arial"/>
          <w:color w:val="7B7B7B" w:themeColor="accent3" w:themeShade="BF"/>
          <w:sz w:val="22"/>
          <w:szCs w:val="22"/>
          <w:lang w:val="en-GB"/>
        </w:rPr>
        <w:t xml:space="preserve">cases.  </w:t>
      </w:r>
      <w:r w:rsidR="0067392A">
        <w:rPr>
          <w:rFonts w:ascii="Arial" w:hAnsi="Arial" w:cs="Arial"/>
          <w:color w:val="7B7B7B" w:themeColor="accent3" w:themeShade="BF"/>
          <w:sz w:val="22"/>
          <w:szCs w:val="22"/>
          <w:lang w:val="en-GB"/>
        </w:rPr>
        <w:t xml:space="preserve"> </w:t>
      </w:r>
      <w:r w:rsidR="00EF2428">
        <w:rPr>
          <w:rFonts w:ascii="Arial" w:hAnsi="Arial" w:cs="Arial"/>
          <w:color w:val="7B7B7B" w:themeColor="accent3" w:themeShade="BF"/>
          <w:sz w:val="22"/>
          <w:szCs w:val="22"/>
          <w:lang w:val="en-GB"/>
        </w:rPr>
        <w:t xml:space="preserve">There are several reasons why enforcing the rescue-oriented provisions of the </w:t>
      </w:r>
      <w:r w:rsidR="00EF2428" w:rsidRPr="007D2932">
        <w:rPr>
          <w:rFonts w:ascii="Arial" w:hAnsi="Arial" w:cs="Arial"/>
          <w:i/>
          <w:iCs/>
          <w:color w:val="7B7B7B" w:themeColor="accent3" w:themeShade="BF"/>
          <w:sz w:val="22"/>
          <w:szCs w:val="22"/>
          <w:lang w:val="en-GB"/>
        </w:rPr>
        <w:t>CEBL</w:t>
      </w:r>
      <w:r w:rsidR="00EF2428">
        <w:rPr>
          <w:rFonts w:ascii="Arial" w:hAnsi="Arial" w:cs="Arial"/>
          <w:color w:val="7B7B7B" w:themeColor="accent3" w:themeShade="BF"/>
          <w:sz w:val="22"/>
          <w:szCs w:val="22"/>
          <w:lang w:val="en-GB"/>
        </w:rPr>
        <w:t xml:space="preserve"> is difficult to achieve.  For instance, in opening any reorganisation procedure, local government support is critical before such application can be seriously considered by the court.  Furthermore, courts are considerably cautious when allowing the commencement of corporate reorganisat</w:t>
      </w:r>
      <w:r w:rsidR="002636BA">
        <w:rPr>
          <w:rFonts w:ascii="Arial" w:hAnsi="Arial" w:cs="Arial"/>
          <w:color w:val="7B7B7B" w:themeColor="accent3" w:themeShade="BF"/>
          <w:sz w:val="22"/>
          <w:szCs w:val="22"/>
          <w:lang w:val="en-GB"/>
        </w:rPr>
        <w:t>i</w:t>
      </w:r>
      <w:r w:rsidR="00EF2428">
        <w:rPr>
          <w:rFonts w:ascii="Arial" w:hAnsi="Arial" w:cs="Arial"/>
          <w:color w:val="7B7B7B" w:themeColor="accent3" w:themeShade="BF"/>
          <w:sz w:val="22"/>
          <w:szCs w:val="22"/>
          <w:lang w:val="en-GB"/>
        </w:rPr>
        <w:t xml:space="preserve">on.  </w:t>
      </w:r>
      <w:r w:rsidR="002636BA">
        <w:rPr>
          <w:rFonts w:ascii="Arial" w:hAnsi="Arial" w:cs="Arial"/>
          <w:color w:val="7B7B7B" w:themeColor="accent3" w:themeShade="BF"/>
          <w:sz w:val="22"/>
          <w:szCs w:val="22"/>
          <w:lang w:val="en-GB"/>
        </w:rPr>
        <w:t xml:space="preserve">Likewise, many reorganisations end up in liquidation due to the court-appointed administrator’s heavy reliance on finding a buyer to rescue the company.  Frequently, no buyer is found.  Hence, although the </w:t>
      </w:r>
      <w:r w:rsidR="002636BA" w:rsidRPr="007D2932">
        <w:rPr>
          <w:rFonts w:ascii="Arial" w:hAnsi="Arial" w:cs="Arial"/>
          <w:i/>
          <w:iCs/>
          <w:color w:val="7B7B7B" w:themeColor="accent3" w:themeShade="BF"/>
          <w:sz w:val="22"/>
          <w:szCs w:val="22"/>
          <w:lang w:val="en-GB"/>
        </w:rPr>
        <w:t>CEBL</w:t>
      </w:r>
      <w:r w:rsidR="002636BA">
        <w:rPr>
          <w:rFonts w:ascii="Arial" w:hAnsi="Arial" w:cs="Arial"/>
          <w:color w:val="7B7B7B" w:themeColor="accent3" w:themeShade="BF"/>
          <w:sz w:val="22"/>
          <w:szCs w:val="22"/>
          <w:lang w:val="en-GB"/>
        </w:rPr>
        <w:t xml:space="preserve"> can be considered on its face to be rescue-oriented, the realities and approaches followed in </w:t>
      </w:r>
      <w:r w:rsidR="007D2932">
        <w:rPr>
          <w:rFonts w:ascii="Arial" w:hAnsi="Arial" w:cs="Arial"/>
          <w:color w:val="7B7B7B" w:themeColor="accent3" w:themeShade="BF"/>
          <w:sz w:val="22"/>
          <w:szCs w:val="22"/>
          <w:lang w:val="en-GB"/>
        </w:rPr>
        <w:lastRenderedPageBreak/>
        <w:t xml:space="preserve">the </w:t>
      </w:r>
      <w:r w:rsidR="002636BA">
        <w:rPr>
          <w:rFonts w:ascii="Arial" w:hAnsi="Arial" w:cs="Arial"/>
          <w:color w:val="7B7B7B" w:themeColor="accent3" w:themeShade="BF"/>
          <w:sz w:val="22"/>
          <w:szCs w:val="22"/>
          <w:lang w:val="en-GB"/>
        </w:rPr>
        <w:t>actual reorganisation procedures show that a successful rescue is a very challenging goal.</w:t>
      </w:r>
      <w:r w:rsidR="00A54652">
        <w:rPr>
          <w:rFonts w:ascii="Arial" w:hAnsi="Arial" w:cs="Arial"/>
          <w:color w:val="7B7B7B" w:themeColor="accent3" w:themeShade="BF"/>
          <w:sz w:val="22"/>
          <w:szCs w:val="22"/>
          <w:lang w:val="en-GB"/>
        </w:rPr>
        <w:t>]</w:t>
      </w: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229D75BC"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D4A5B">
        <w:rPr>
          <w:rFonts w:ascii="Arial" w:hAnsi="Arial" w:cs="Arial"/>
          <w:color w:val="7B7B7B" w:themeColor="accent3" w:themeShade="BF"/>
          <w:sz w:val="22"/>
          <w:szCs w:val="22"/>
          <w:lang w:val="en-GB"/>
        </w:rPr>
        <w:t>C</w:t>
      </w:r>
      <w:r w:rsidR="006864AA">
        <w:rPr>
          <w:rFonts w:ascii="Arial" w:hAnsi="Arial" w:cs="Arial"/>
          <w:color w:val="7B7B7B" w:themeColor="accent3" w:themeShade="BF"/>
          <w:sz w:val="22"/>
          <w:szCs w:val="22"/>
          <w:lang w:val="en-GB"/>
        </w:rPr>
        <w:t>reditors prove their claims</w:t>
      </w:r>
      <w:r w:rsidR="00AD4A5B">
        <w:rPr>
          <w:rFonts w:ascii="Arial" w:hAnsi="Arial" w:cs="Arial"/>
          <w:color w:val="7B7B7B" w:themeColor="accent3" w:themeShade="BF"/>
          <w:sz w:val="22"/>
          <w:szCs w:val="22"/>
          <w:lang w:val="en-GB"/>
        </w:rPr>
        <w:t xml:space="preserve"> by </w:t>
      </w:r>
      <w:r w:rsidR="006864AA">
        <w:rPr>
          <w:rFonts w:ascii="Arial" w:hAnsi="Arial" w:cs="Arial"/>
          <w:color w:val="7B7B7B" w:themeColor="accent3" w:themeShade="BF"/>
          <w:sz w:val="22"/>
          <w:szCs w:val="22"/>
          <w:lang w:val="en-GB"/>
        </w:rPr>
        <w:t>approach</w:t>
      </w:r>
      <w:r w:rsidR="00AD4A5B">
        <w:rPr>
          <w:rFonts w:ascii="Arial" w:hAnsi="Arial" w:cs="Arial"/>
          <w:color w:val="7B7B7B" w:themeColor="accent3" w:themeShade="BF"/>
          <w:sz w:val="22"/>
          <w:szCs w:val="22"/>
          <w:lang w:val="en-GB"/>
        </w:rPr>
        <w:t>ing</w:t>
      </w:r>
      <w:r w:rsidR="006864AA">
        <w:rPr>
          <w:rFonts w:ascii="Arial" w:hAnsi="Arial" w:cs="Arial"/>
          <w:color w:val="7B7B7B" w:themeColor="accent3" w:themeShade="BF"/>
          <w:sz w:val="22"/>
          <w:szCs w:val="22"/>
          <w:lang w:val="en-GB"/>
        </w:rPr>
        <w:t xml:space="preserve"> the reorganisation administrator and</w:t>
      </w:r>
      <w:r w:rsidR="00AD4A5B">
        <w:rPr>
          <w:rFonts w:ascii="Arial" w:hAnsi="Arial" w:cs="Arial"/>
          <w:color w:val="7B7B7B" w:themeColor="accent3" w:themeShade="BF"/>
          <w:sz w:val="22"/>
          <w:szCs w:val="22"/>
          <w:lang w:val="en-GB"/>
        </w:rPr>
        <w:t xml:space="preserve"> filling up a claim form</w:t>
      </w:r>
      <w:r w:rsidR="007D2932">
        <w:rPr>
          <w:rFonts w:ascii="Arial" w:hAnsi="Arial" w:cs="Arial"/>
          <w:color w:val="7B7B7B" w:themeColor="accent3" w:themeShade="BF"/>
          <w:sz w:val="22"/>
          <w:szCs w:val="22"/>
          <w:lang w:val="en-GB"/>
        </w:rPr>
        <w:t xml:space="preserve"> which the latter provides</w:t>
      </w:r>
      <w:r w:rsidR="00AD4A5B">
        <w:rPr>
          <w:rFonts w:ascii="Arial" w:hAnsi="Arial" w:cs="Arial"/>
          <w:color w:val="7B7B7B" w:themeColor="accent3" w:themeShade="BF"/>
          <w:sz w:val="22"/>
          <w:szCs w:val="22"/>
          <w:lang w:val="en-GB"/>
        </w:rPr>
        <w:t xml:space="preserve">.  In many </w:t>
      </w:r>
      <w:r w:rsidR="007D2932">
        <w:rPr>
          <w:rFonts w:ascii="Arial" w:hAnsi="Arial" w:cs="Arial"/>
          <w:color w:val="7B7B7B" w:themeColor="accent3" w:themeShade="BF"/>
          <w:sz w:val="22"/>
          <w:szCs w:val="22"/>
          <w:lang w:val="en-GB"/>
        </w:rPr>
        <w:t>instances</w:t>
      </w:r>
      <w:r w:rsidR="00AD4A5B">
        <w:rPr>
          <w:rFonts w:ascii="Arial" w:hAnsi="Arial" w:cs="Arial"/>
          <w:color w:val="7B7B7B" w:themeColor="accent3" w:themeShade="BF"/>
          <w:sz w:val="22"/>
          <w:szCs w:val="22"/>
          <w:lang w:val="en-GB"/>
        </w:rPr>
        <w:t>, the reorganisation administrator will check the company books and consult the staff from the company’s financing unit for verification.  If the claim’s legality or accuracy is disputed, the creditor can litigate before the same court for a judgment. Notably, many courts arrange for an expedited process to resolve these litigation disputes.</w:t>
      </w:r>
      <w:r>
        <w:rPr>
          <w:rFonts w:ascii="Arial" w:hAnsi="Arial" w:cs="Arial"/>
          <w:color w:val="7B7B7B" w:themeColor="accent3" w:themeShade="BF"/>
          <w:sz w:val="22"/>
          <w:szCs w:val="22"/>
          <w:lang w:val="en-GB"/>
        </w:rPr>
        <w:t>]</w:t>
      </w: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4E41E497" w14:textId="791E551C" w:rsidR="00470BE1"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BA7BBC">
        <w:rPr>
          <w:rFonts w:ascii="Arial" w:hAnsi="Arial" w:cs="Arial"/>
          <w:color w:val="7B7B7B" w:themeColor="accent3" w:themeShade="BF"/>
          <w:sz w:val="22"/>
          <w:szCs w:val="22"/>
          <w:lang w:val="en-GB"/>
        </w:rPr>
        <w:t xml:space="preserve">China recognises foreign insolvency proceedings </w:t>
      </w:r>
      <w:r w:rsidR="00470BE1">
        <w:rPr>
          <w:rFonts w:ascii="Arial" w:hAnsi="Arial" w:cs="Arial"/>
          <w:color w:val="7B7B7B" w:themeColor="accent3" w:themeShade="BF"/>
          <w:sz w:val="22"/>
          <w:szCs w:val="22"/>
          <w:lang w:val="en-GB"/>
        </w:rPr>
        <w:t xml:space="preserve">provided </w:t>
      </w:r>
      <w:r w:rsidR="007D2932">
        <w:rPr>
          <w:rFonts w:ascii="Arial" w:hAnsi="Arial" w:cs="Arial"/>
          <w:color w:val="7B7B7B" w:themeColor="accent3" w:themeShade="BF"/>
          <w:sz w:val="22"/>
          <w:szCs w:val="22"/>
          <w:lang w:val="en-GB"/>
        </w:rPr>
        <w:t xml:space="preserve">there is </w:t>
      </w:r>
      <w:r w:rsidR="00BA7BBC">
        <w:rPr>
          <w:rFonts w:ascii="Arial" w:hAnsi="Arial" w:cs="Arial"/>
          <w:color w:val="7B7B7B" w:themeColor="accent3" w:themeShade="BF"/>
          <w:sz w:val="22"/>
          <w:szCs w:val="22"/>
          <w:lang w:val="en-GB"/>
        </w:rPr>
        <w:t>an existing judicial assistance treaty or reciprocity</w:t>
      </w:r>
      <w:r w:rsidR="007D2932">
        <w:rPr>
          <w:rFonts w:ascii="Arial" w:hAnsi="Arial" w:cs="Arial"/>
          <w:color w:val="7B7B7B" w:themeColor="accent3" w:themeShade="BF"/>
          <w:sz w:val="22"/>
          <w:szCs w:val="22"/>
          <w:lang w:val="en-GB"/>
        </w:rPr>
        <w:t xml:space="preserve"> between China and the origin state of the judgment</w:t>
      </w:r>
      <w:r w:rsidR="00BA7BBC">
        <w:rPr>
          <w:rFonts w:ascii="Arial" w:hAnsi="Arial" w:cs="Arial"/>
          <w:color w:val="7B7B7B" w:themeColor="accent3" w:themeShade="BF"/>
          <w:sz w:val="22"/>
          <w:szCs w:val="22"/>
          <w:lang w:val="en-GB"/>
        </w:rPr>
        <w:t xml:space="preserve">.  </w:t>
      </w:r>
      <w:r w:rsidR="00470BE1">
        <w:rPr>
          <w:rFonts w:ascii="Arial" w:hAnsi="Arial" w:cs="Arial"/>
          <w:color w:val="7B7B7B" w:themeColor="accent3" w:themeShade="BF"/>
          <w:sz w:val="22"/>
          <w:szCs w:val="22"/>
          <w:lang w:val="en-GB"/>
        </w:rPr>
        <w:t>T</w:t>
      </w:r>
      <w:r w:rsidR="00BA7BBC">
        <w:rPr>
          <w:rFonts w:ascii="Arial" w:hAnsi="Arial" w:cs="Arial"/>
          <w:color w:val="7B7B7B" w:themeColor="accent3" w:themeShade="BF"/>
          <w:sz w:val="22"/>
          <w:szCs w:val="22"/>
          <w:lang w:val="en-GB"/>
        </w:rPr>
        <w:t xml:space="preserve">his means that </w:t>
      </w:r>
      <w:r w:rsidR="00470BE1">
        <w:rPr>
          <w:rFonts w:ascii="Arial" w:hAnsi="Arial" w:cs="Arial"/>
          <w:color w:val="7B7B7B" w:themeColor="accent3" w:themeShade="BF"/>
          <w:sz w:val="22"/>
          <w:szCs w:val="22"/>
          <w:lang w:val="en-GB"/>
        </w:rPr>
        <w:t xml:space="preserve">for Australian insolvency proceedings to be recognised in China, </w:t>
      </w:r>
      <w:r w:rsidR="00BA7BBC">
        <w:rPr>
          <w:rFonts w:ascii="Arial" w:hAnsi="Arial" w:cs="Arial"/>
          <w:color w:val="7B7B7B" w:themeColor="accent3" w:themeShade="BF"/>
          <w:sz w:val="22"/>
          <w:szCs w:val="22"/>
          <w:lang w:val="en-GB"/>
        </w:rPr>
        <w:t>Australia should have had entered a judicial assistance treaty with China</w:t>
      </w:r>
      <w:r w:rsidR="00470BE1">
        <w:rPr>
          <w:rFonts w:ascii="Arial" w:hAnsi="Arial" w:cs="Arial"/>
          <w:color w:val="7B7B7B" w:themeColor="accent3" w:themeShade="BF"/>
          <w:sz w:val="22"/>
          <w:szCs w:val="22"/>
          <w:lang w:val="en-GB"/>
        </w:rPr>
        <w:t>.  Unfortunately</w:t>
      </w:r>
      <w:r w:rsidR="00BA7BBC">
        <w:rPr>
          <w:rFonts w:ascii="Arial" w:hAnsi="Arial" w:cs="Arial"/>
          <w:color w:val="7B7B7B" w:themeColor="accent3" w:themeShade="BF"/>
          <w:sz w:val="22"/>
          <w:szCs w:val="22"/>
          <w:lang w:val="en-GB"/>
        </w:rPr>
        <w:t xml:space="preserve">, Australia has not entered into a judicial assistance treaty with China, and as such, </w:t>
      </w:r>
      <w:r w:rsidR="00470BE1">
        <w:rPr>
          <w:rFonts w:ascii="Arial" w:hAnsi="Arial" w:cs="Arial"/>
          <w:color w:val="7B7B7B" w:themeColor="accent3" w:themeShade="BF"/>
          <w:sz w:val="22"/>
          <w:szCs w:val="22"/>
          <w:lang w:val="en-GB"/>
        </w:rPr>
        <w:t xml:space="preserve">thus, </w:t>
      </w:r>
      <w:r w:rsidR="00BA7BBC">
        <w:rPr>
          <w:rFonts w:ascii="Arial" w:hAnsi="Arial" w:cs="Arial"/>
          <w:color w:val="7B7B7B" w:themeColor="accent3" w:themeShade="BF"/>
          <w:sz w:val="22"/>
          <w:szCs w:val="22"/>
          <w:lang w:val="en-GB"/>
        </w:rPr>
        <w:t xml:space="preserve">recognition could not be made on this basis.  </w:t>
      </w:r>
    </w:p>
    <w:p w14:paraId="6C53EA0F" w14:textId="77777777" w:rsidR="00470BE1" w:rsidRDefault="00470BE1" w:rsidP="00A54652">
      <w:pPr>
        <w:ind w:left="720" w:hanging="720"/>
        <w:rPr>
          <w:rFonts w:ascii="Arial" w:hAnsi="Arial" w:cs="Arial"/>
          <w:color w:val="7B7B7B" w:themeColor="accent3" w:themeShade="BF"/>
          <w:sz w:val="22"/>
          <w:szCs w:val="22"/>
          <w:lang w:val="en-GB"/>
        </w:rPr>
      </w:pPr>
    </w:p>
    <w:p w14:paraId="64EFD279" w14:textId="22CAF673" w:rsidR="0056345E" w:rsidRDefault="00470BE1"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Nonetheless, China has also recognised foreign judgments on the basis of reciprocity (ie, the foreign state should have given recognition to judgments in favour of a Chinese party </w:t>
      </w:r>
      <w:r w:rsidRPr="00470BE1">
        <w:rPr>
          <w:rFonts w:ascii="Arial" w:hAnsi="Arial" w:cs="Arial"/>
          <w:i/>
          <w:iCs/>
          <w:color w:val="7B7B7B" w:themeColor="accent3" w:themeShade="BF"/>
          <w:sz w:val="22"/>
          <w:szCs w:val="22"/>
          <w:lang w:val="en-GB"/>
        </w:rPr>
        <w:t>a priori</w:t>
      </w:r>
      <w:r>
        <w:rPr>
          <w:rFonts w:ascii="Arial" w:hAnsi="Arial" w:cs="Arial"/>
          <w:color w:val="7B7B7B" w:themeColor="accent3" w:themeShade="BF"/>
          <w:sz w:val="22"/>
          <w:szCs w:val="22"/>
          <w:lang w:val="en-GB"/>
        </w:rPr>
        <w:t xml:space="preserve">).  This means that there should have been an Australian precedent recognising bankruptcy proceedings or judgment in favour of a Chinese party. </w:t>
      </w:r>
      <w:r w:rsidR="006853D6">
        <w:rPr>
          <w:rFonts w:ascii="Arial" w:hAnsi="Arial" w:cs="Arial"/>
          <w:color w:val="7B7B7B" w:themeColor="accent3" w:themeShade="BF"/>
          <w:sz w:val="22"/>
          <w:szCs w:val="22"/>
          <w:lang w:val="en-GB"/>
        </w:rPr>
        <w:t>Fortunately, Australia is among the countries which adopted the UNCITRAL Model Law on Cross Border Insolvency</w:t>
      </w:r>
      <w:r w:rsidR="0056345E">
        <w:rPr>
          <w:rFonts w:ascii="Arial" w:hAnsi="Arial" w:cs="Arial"/>
          <w:color w:val="7B7B7B" w:themeColor="accent3" w:themeShade="BF"/>
          <w:sz w:val="22"/>
          <w:szCs w:val="22"/>
          <w:lang w:val="en-GB"/>
        </w:rPr>
        <w:t xml:space="preserve"> (‘Model Law’)</w:t>
      </w:r>
      <w:r w:rsidR="006853D6">
        <w:rPr>
          <w:rFonts w:ascii="Arial" w:hAnsi="Arial" w:cs="Arial"/>
          <w:color w:val="7B7B7B" w:themeColor="accent3" w:themeShade="BF"/>
          <w:sz w:val="22"/>
          <w:szCs w:val="22"/>
          <w:lang w:val="en-GB"/>
        </w:rPr>
        <w:t>, thus, there is a good chance that a Chinese insolvency proceeding has been recognised in an Australian court.</w:t>
      </w:r>
      <w:r w:rsidR="00BA7BBC">
        <w:rPr>
          <w:rFonts w:ascii="Arial" w:hAnsi="Arial" w:cs="Arial"/>
          <w:color w:val="7B7B7B" w:themeColor="accent3" w:themeShade="BF"/>
          <w:sz w:val="22"/>
          <w:szCs w:val="22"/>
          <w:lang w:val="en-GB"/>
        </w:rPr>
        <w:t xml:space="preserve">  </w:t>
      </w:r>
      <w:r w:rsidR="006853D6">
        <w:rPr>
          <w:rFonts w:ascii="Arial" w:hAnsi="Arial" w:cs="Arial"/>
          <w:color w:val="7B7B7B" w:themeColor="accent3" w:themeShade="BF"/>
          <w:sz w:val="22"/>
          <w:szCs w:val="22"/>
          <w:lang w:val="en-GB"/>
        </w:rPr>
        <w:t xml:space="preserve">Notably, the New South Wales court in </w:t>
      </w:r>
      <w:r w:rsidR="006853D6" w:rsidRPr="006853D6">
        <w:rPr>
          <w:rFonts w:ascii="Arial" w:hAnsi="Arial" w:cs="Arial"/>
          <w:i/>
          <w:iCs/>
          <w:color w:val="7B7B7B" w:themeColor="accent3" w:themeShade="BF"/>
          <w:sz w:val="22"/>
          <w:szCs w:val="22"/>
          <w:lang w:val="en-GB"/>
        </w:rPr>
        <w:t>Bao v Qu; Tian (No 2)</w:t>
      </w:r>
      <w:r w:rsidR="006853D6" w:rsidRPr="006853D6">
        <w:rPr>
          <w:rFonts w:ascii="Arial" w:hAnsi="Arial" w:cs="Arial"/>
          <w:color w:val="7B7B7B" w:themeColor="accent3" w:themeShade="BF"/>
          <w:sz w:val="22"/>
          <w:szCs w:val="22"/>
          <w:lang w:val="en-GB"/>
        </w:rPr>
        <w:t xml:space="preserve"> [2020] NSWSC 588</w:t>
      </w:r>
      <w:r w:rsidR="006853D6">
        <w:rPr>
          <w:rFonts w:ascii="Arial" w:hAnsi="Arial" w:cs="Arial"/>
          <w:color w:val="7B7B7B" w:themeColor="accent3" w:themeShade="BF"/>
          <w:sz w:val="22"/>
          <w:szCs w:val="22"/>
          <w:lang w:val="en-GB"/>
        </w:rPr>
        <w:t xml:space="preserve"> has recognised and enforced a Chinese judgment.  However, whether this enforcement by an Australian court is sufficient to establish reciprocity is </w:t>
      </w:r>
      <w:r w:rsidR="0056345E">
        <w:rPr>
          <w:rFonts w:ascii="Arial" w:hAnsi="Arial" w:cs="Arial"/>
          <w:color w:val="7B7B7B" w:themeColor="accent3" w:themeShade="BF"/>
          <w:sz w:val="22"/>
          <w:szCs w:val="22"/>
          <w:lang w:val="en-GB"/>
        </w:rPr>
        <w:t xml:space="preserve">something for the Chinese court to consider.  However, one may not be </w:t>
      </w:r>
      <w:r>
        <w:rPr>
          <w:rFonts w:ascii="Arial" w:hAnsi="Arial" w:cs="Arial"/>
          <w:color w:val="7B7B7B" w:themeColor="accent3" w:themeShade="BF"/>
          <w:sz w:val="22"/>
          <w:szCs w:val="22"/>
          <w:lang w:val="en-GB"/>
        </w:rPr>
        <w:t xml:space="preserve">too </w:t>
      </w:r>
      <w:r w:rsidR="0056345E">
        <w:rPr>
          <w:rFonts w:ascii="Arial" w:hAnsi="Arial" w:cs="Arial"/>
          <w:color w:val="7B7B7B" w:themeColor="accent3" w:themeShade="BF"/>
          <w:sz w:val="22"/>
          <w:szCs w:val="22"/>
          <w:lang w:val="en-GB"/>
        </w:rPr>
        <w:t xml:space="preserve">optimistic if one looks at the existing Chinese record of recognising foreign insolvency proceedings.  Up to now, there are only a handful of foreign bankruptcy procedures that have been recognised in China, and none of these include an Australian bankruptcy proceeding.  </w:t>
      </w:r>
    </w:p>
    <w:p w14:paraId="0E432F69" w14:textId="77777777" w:rsidR="0056345E" w:rsidRDefault="0056345E" w:rsidP="00A54652">
      <w:pPr>
        <w:ind w:left="720" w:hanging="720"/>
        <w:rPr>
          <w:rFonts w:ascii="Arial" w:hAnsi="Arial" w:cs="Arial"/>
          <w:color w:val="7B7B7B" w:themeColor="accent3" w:themeShade="BF"/>
          <w:sz w:val="22"/>
          <w:szCs w:val="22"/>
          <w:lang w:val="en-GB"/>
        </w:rPr>
      </w:pPr>
    </w:p>
    <w:p w14:paraId="499DFC33" w14:textId="23168462" w:rsidR="00A54652" w:rsidRDefault="0056345E"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recognition of the Australian bankruptcy proceeding in China may be pursued by arguing that an Australian court in New South Wales has enforced and recognised a Chinese judgment in</w:t>
      </w:r>
      <w:r w:rsidRPr="0056345E">
        <w:t xml:space="preserve"> </w:t>
      </w:r>
      <w:r w:rsidRPr="0056345E">
        <w:rPr>
          <w:rFonts w:ascii="Arial" w:hAnsi="Arial" w:cs="Arial"/>
          <w:i/>
          <w:iCs/>
          <w:color w:val="7B7B7B" w:themeColor="accent3" w:themeShade="BF"/>
          <w:sz w:val="22"/>
          <w:szCs w:val="22"/>
          <w:lang w:val="en-GB"/>
        </w:rPr>
        <w:t>Bao v Qu</w:t>
      </w:r>
      <w:r>
        <w:rPr>
          <w:rFonts w:ascii="Arial" w:hAnsi="Arial" w:cs="Arial"/>
          <w:color w:val="7B7B7B" w:themeColor="accent3" w:themeShade="BF"/>
          <w:sz w:val="22"/>
          <w:szCs w:val="22"/>
          <w:lang w:val="en-GB"/>
        </w:rPr>
        <w:t xml:space="preserve">.  Such application for recognition should be filed in a Chinese local intermediate people’s court, where the company assets are located, </w:t>
      </w:r>
      <w:r w:rsidRPr="0056345E">
        <w:rPr>
          <w:rFonts w:ascii="Arial" w:hAnsi="Arial" w:cs="Arial"/>
          <w:i/>
          <w:iCs/>
          <w:color w:val="7B7B7B" w:themeColor="accent3" w:themeShade="BF"/>
          <w:sz w:val="22"/>
          <w:szCs w:val="22"/>
          <w:lang w:val="en-GB"/>
        </w:rPr>
        <w:t>i.e.</w:t>
      </w:r>
      <w:r>
        <w:rPr>
          <w:rFonts w:ascii="Arial" w:hAnsi="Arial" w:cs="Arial"/>
          <w:color w:val="7B7B7B" w:themeColor="accent3" w:themeShade="BF"/>
          <w:sz w:val="22"/>
          <w:szCs w:val="22"/>
          <w:lang w:val="en-GB"/>
        </w:rPr>
        <w:t xml:space="preserve">, Shanghai. However, it remains to be seen whether the Chinese court in Shanghai will </w:t>
      </w:r>
      <w:r w:rsidR="008B1CC3">
        <w:rPr>
          <w:rFonts w:ascii="Arial" w:hAnsi="Arial" w:cs="Arial"/>
          <w:color w:val="7B7B7B" w:themeColor="accent3" w:themeShade="BF"/>
          <w:sz w:val="22"/>
          <w:szCs w:val="22"/>
          <w:lang w:val="en-GB"/>
        </w:rPr>
        <w:t xml:space="preserve">give </w:t>
      </w:r>
      <w:r>
        <w:rPr>
          <w:rFonts w:ascii="Arial" w:hAnsi="Arial" w:cs="Arial"/>
          <w:color w:val="7B7B7B" w:themeColor="accent3" w:themeShade="BF"/>
          <w:sz w:val="22"/>
          <w:szCs w:val="22"/>
          <w:lang w:val="en-GB"/>
        </w:rPr>
        <w:t>recogni</w:t>
      </w:r>
      <w:r w:rsidR="008B1CC3">
        <w:rPr>
          <w:rFonts w:ascii="Arial" w:hAnsi="Arial" w:cs="Arial"/>
          <w:color w:val="7B7B7B" w:themeColor="accent3" w:themeShade="BF"/>
          <w:sz w:val="22"/>
          <w:szCs w:val="22"/>
          <w:lang w:val="en-GB"/>
        </w:rPr>
        <w:t>tion of the Australian bankruptcy proceedings</w:t>
      </w:r>
      <w:r>
        <w:rPr>
          <w:rFonts w:ascii="Arial" w:hAnsi="Arial" w:cs="Arial"/>
          <w:color w:val="7B7B7B" w:themeColor="accent3" w:themeShade="BF"/>
          <w:sz w:val="22"/>
          <w:szCs w:val="22"/>
          <w:lang w:val="en-GB"/>
        </w:rPr>
        <w:t xml:space="preserve"> as </w:t>
      </w:r>
      <w:r w:rsidRPr="00470BE1">
        <w:rPr>
          <w:rFonts w:ascii="Arial" w:hAnsi="Arial" w:cs="Arial"/>
          <w:i/>
          <w:iCs/>
          <w:color w:val="7B7B7B" w:themeColor="accent3" w:themeShade="BF"/>
          <w:sz w:val="22"/>
          <w:szCs w:val="22"/>
          <w:lang w:val="en-GB"/>
        </w:rPr>
        <w:t>Bao v Qu</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may not be considered </w:t>
      </w:r>
      <w:r w:rsidR="008B1CC3">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sufficient</w:t>
      </w:r>
      <w:r w:rsidR="008B1CC3">
        <w:rPr>
          <w:rFonts w:ascii="Arial" w:hAnsi="Arial" w:cs="Arial"/>
          <w:color w:val="7B7B7B" w:themeColor="accent3" w:themeShade="BF"/>
          <w:sz w:val="22"/>
          <w:szCs w:val="22"/>
          <w:lang w:val="en-GB"/>
        </w:rPr>
        <w:t xml:space="preserve"> precedent</w:t>
      </w:r>
      <w:r>
        <w:rPr>
          <w:rFonts w:ascii="Arial" w:hAnsi="Arial" w:cs="Arial"/>
          <w:color w:val="7B7B7B" w:themeColor="accent3" w:themeShade="BF"/>
          <w:sz w:val="22"/>
          <w:szCs w:val="22"/>
          <w:lang w:val="en-GB"/>
        </w:rPr>
        <w:t>. Nonetheless, the applicant may argue that Australia has adopted the Model Law, and therefore its courts would be ready to recognise Chinese bankruptcy proceedings and judgments.  However, again, it would totally depend on the Shanghai court whether to accept this argument.</w:t>
      </w:r>
      <w:r w:rsidR="00A54652">
        <w:rPr>
          <w:rFonts w:ascii="Arial" w:hAnsi="Arial" w:cs="Arial"/>
          <w:color w:val="7B7B7B" w:themeColor="accent3" w:themeShade="BF"/>
          <w:sz w:val="22"/>
          <w:szCs w:val="22"/>
          <w:lang w:val="en-GB"/>
        </w:rPr>
        <w:t>]</w:t>
      </w:r>
    </w:p>
    <w:p w14:paraId="4571B2B0" w14:textId="4CE10220" w:rsidR="007F659B" w:rsidRDefault="007F659B" w:rsidP="00735EEB">
      <w:pPr>
        <w:rPr>
          <w:rFonts w:ascii="Arial" w:hAnsi="Arial" w:cs="Arial"/>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w:t>
      </w:r>
      <w:proofErr w:type="spellStart"/>
      <w:r w:rsidR="00BD4C52">
        <w:rPr>
          <w:rFonts w:ascii="Arial" w:hAnsi="Arial" w:cs="Arial"/>
          <w:sz w:val="22"/>
          <w:szCs w:val="22"/>
          <w:lang w:val="en-GB"/>
        </w:rPr>
        <w:t>Jingchen</w:t>
      </w:r>
      <w:proofErr w:type="spellEnd"/>
      <w:r w:rsidR="00BD4C52">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1976FE5E"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B24FF">
        <w:rPr>
          <w:rFonts w:ascii="Arial" w:hAnsi="Arial" w:cs="Arial"/>
          <w:color w:val="7B7B7B" w:themeColor="accent3" w:themeShade="BF"/>
          <w:sz w:val="22"/>
          <w:szCs w:val="22"/>
          <w:lang w:val="en-GB"/>
        </w:rPr>
        <w:t xml:space="preserve">Article 70 of the </w:t>
      </w:r>
      <w:r w:rsidR="00AB24FF" w:rsidRPr="008B1CC3">
        <w:rPr>
          <w:rFonts w:ascii="Arial" w:hAnsi="Arial" w:cs="Arial"/>
          <w:i/>
          <w:iCs/>
          <w:color w:val="7B7B7B" w:themeColor="accent3" w:themeShade="BF"/>
          <w:sz w:val="22"/>
          <w:szCs w:val="22"/>
          <w:lang w:val="en-GB"/>
        </w:rPr>
        <w:t>China Enterprise Bankruptcy Law of 2006</w:t>
      </w:r>
      <w:r w:rsidR="00AB24FF" w:rsidRPr="00AB24FF">
        <w:rPr>
          <w:rFonts w:ascii="Arial" w:hAnsi="Arial" w:cs="Arial"/>
          <w:color w:val="7B7B7B" w:themeColor="accent3" w:themeShade="BF"/>
          <w:sz w:val="22"/>
          <w:szCs w:val="22"/>
          <w:lang w:val="en-GB"/>
        </w:rPr>
        <w:t xml:space="preserve"> (‘CEBL’)</w:t>
      </w:r>
      <w:r w:rsidR="00AB24FF">
        <w:rPr>
          <w:rFonts w:ascii="Arial" w:hAnsi="Arial" w:cs="Arial"/>
          <w:color w:val="7B7B7B" w:themeColor="accent3" w:themeShade="BF"/>
          <w:sz w:val="22"/>
          <w:szCs w:val="22"/>
          <w:lang w:val="en-GB"/>
        </w:rPr>
        <w:t xml:space="preserve"> allows the conversion of the liquidation procedure </w:t>
      </w:r>
      <w:r w:rsidR="00B1657C">
        <w:rPr>
          <w:rFonts w:ascii="Arial" w:hAnsi="Arial" w:cs="Arial"/>
          <w:color w:val="7B7B7B" w:themeColor="accent3" w:themeShade="BF"/>
          <w:sz w:val="22"/>
          <w:szCs w:val="22"/>
          <w:lang w:val="en-GB"/>
        </w:rPr>
        <w:t>in</w:t>
      </w:r>
      <w:r w:rsidR="00AB24FF">
        <w:rPr>
          <w:rFonts w:ascii="Arial" w:hAnsi="Arial" w:cs="Arial"/>
          <w:color w:val="7B7B7B" w:themeColor="accent3" w:themeShade="BF"/>
          <w:sz w:val="22"/>
          <w:szCs w:val="22"/>
          <w:lang w:val="en-GB"/>
        </w:rPr>
        <w:t xml:space="preserve">to a reorganisation procedure.  </w:t>
      </w:r>
      <w:r w:rsidR="00B1657C">
        <w:rPr>
          <w:rFonts w:ascii="Arial" w:hAnsi="Arial" w:cs="Arial"/>
          <w:color w:val="7B7B7B" w:themeColor="accent3" w:themeShade="BF"/>
          <w:sz w:val="22"/>
          <w:szCs w:val="22"/>
          <w:lang w:val="en-GB"/>
        </w:rPr>
        <w:t>Particularly, i</w:t>
      </w:r>
      <w:r w:rsidR="00AB24FF">
        <w:rPr>
          <w:rFonts w:ascii="Arial" w:hAnsi="Arial" w:cs="Arial"/>
          <w:color w:val="7B7B7B" w:themeColor="accent3" w:themeShade="BF"/>
          <w:sz w:val="22"/>
          <w:szCs w:val="22"/>
          <w:lang w:val="en-GB"/>
        </w:rPr>
        <w:t>f there was an involuntary liquidation procedure filed by the creditors, the debtor or its shareholders holding 10% or more of the company’s equity can petition the court to convert the liquidation procedure into reorganisation</w:t>
      </w:r>
      <w:r w:rsidR="009352ED">
        <w:rPr>
          <w:rFonts w:ascii="Arial" w:hAnsi="Arial" w:cs="Arial"/>
          <w:color w:val="7B7B7B" w:themeColor="accent3" w:themeShade="BF"/>
          <w:sz w:val="22"/>
          <w:szCs w:val="22"/>
          <w:lang w:val="en-GB"/>
        </w:rPr>
        <w:t xml:space="preserve">.  </w:t>
      </w:r>
      <w:r w:rsidR="00B1657C">
        <w:rPr>
          <w:rFonts w:ascii="Arial" w:hAnsi="Arial" w:cs="Arial"/>
          <w:color w:val="7B7B7B" w:themeColor="accent3" w:themeShade="BF"/>
          <w:sz w:val="22"/>
          <w:szCs w:val="22"/>
          <w:lang w:val="en-GB"/>
        </w:rPr>
        <w:t>In this instance, s</w:t>
      </w:r>
      <w:r w:rsidR="009352ED">
        <w:rPr>
          <w:rFonts w:ascii="Arial" w:hAnsi="Arial" w:cs="Arial"/>
          <w:color w:val="7B7B7B" w:themeColor="accent3" w:themeShade="BF"/>
          <w:sz w:val="22"/>
          <w:szCs w:val="22"/>
          <w:lang w:val="en-GB"/>
        </w:rPr>
        <w:t xml:space="preserve">ince the liquidation of Yangtze Steel Limited was commenced by the Bank of China (Shanghai Branch), the liquidation procedure was an involuntary liquidation procedure.  As such, </w:t>
      </w:r>
      <w:proofErr w:type="spellStart"/>
      <w:r w:rsidR="009352ED">
        <w:rPr>
          <w:rFonts w:ascii="Arial" w:hAnsi="Arial" w:cs="Arial"/>
          <w:color w:val="7B7B7B" w:themeColor="accent3" w:themeShade="BF"/>
          <w:sz w:val="22"/>
          <w:szCs w:val="22"/>
          <w:lang w:val="en-GB"/>
        </w:rPr>
        <w:t>SanLong</w:t>
      </w:r>
      <w:proofErr w:type="spellEnd"/>
      <w:r w:rsidR="009352ED">
        <w:rPr>
          <w:rFonts w:ascii="Arial" w:hAnsi="Arial" w:cs="Arial"/>
          <w:color w:val="7B7B7B" w:themeColor="accent3" w:themeShade="BF"/>
          <w:sz w:val="22"/>
          <w:szCs w:val="22"/>
          <w:lang w:val="en-GB"/>
        </w:rPr>
        <w:t xml:space="preserve"> Limited, as </w:t>
      </w:r>
      <w:r w:rsidR="00B1657C">
        <w:rPr>
          <w:rFonts w:ascii="Arial" w:hAnsi="Arial" w:cs="Arial"/>
          <w:color w:val="7B7B7B" w:themeColor="accent3" w:themeShade="BF"/>
          <w:sz w:val="22"/>
          <w:szCs w:val="22"/>
          <w:lang w:val="en-GB"/>
        </w:rPr>
        <w:t>the</w:t>
      </w:r>
      <w:r w:rsidR="009352ED">
        <w:rPr>
          <w:rFonts w:ascii="Arial" w:hAnsi="Arial" w:cs="Arial"/>
          <w:color w:val="7B7B7B" w:themeColor="accent3" w:themeShade="BF"/>
          <w:sz w:val="22"/>
          <w:szCs w:val="22"/>
          <w:lang w:val="en-GB"/>
        </w:rPr>
        <w:t xml:space="preserve"> controlling shareholder of Yangtze Steel Limited holding 32%, can commence the conversion into reorganisation procedure as it </w:t>
      </w:r>
      <w:r w:rsidR="00B1657C">
        <w:rPr>
          <w:rFonts w:ascii="Arial" w:hAnsi="Arial" w:cs="Arial"/>
          <w:color w:val="7B7B7B" w:themeColor="accent3" w:themeShade="BF"/>
          <w:sz w:val="22"/>
          <w:szCs w:val="22"/>
          <w:lang w:val="en-GB"/>
        </w:rPr>
        <w:t>complies with the requirement that the conversion process should be commenced by the debtor or</w:t>
      </w:r>
      <w:r w:rsidR="009352ED">
        <w:rPr>
          <w:rFonts w:ascii="Arial" w:hAnsi="Arial" w:cs="Arial"/>
          <w:color w:val="7B7B7B" w:themeColor="accent3" w:themeShade="BF"/>
          <w:sz w:val="22"/>
          <w:szCs w:val="22"/>
          <w:lang w:val="en-GB"/>
        </w:rPr>
        <w:t xml:space="preserve"> shareholder</w:t>
      </w:r>
      <w:r w:rsidR="00B1657C">
        <w:rPr>
          <w:rFonts w:ascii="Arial" w:hAnsi="Arial" w:cs="Arial"/>
          <w:color w:val="7B7B7B" w:themeColor="accent3" w:themeShade="BF"/>
          <w:sz w:val="22"/>
          <w:szCs w:val="22"/>
          <w:lang w:val="en-GB"/>
        </w:rPr>
        <w:t>s</w:t>
      </w:r>
      <w:r w:rsidR="009352ED">
        <w:rPr>
          <w:rFonts w:ascii="Arial" w:hAnsi="Arial" w:cs="Arial"/>
          <w:color w:val="7B7B7B" w:themeColor="accent3" w:themeShade="BF"/>
          <w:sz w:val="22"/>
          <w:szCs w:val="22"/>
          <w:lang w:val="en-GB"/>
        </w:rPr>
        <w:t xml:space="preserve"> owning 10% or more.  </w:t>
      </w:r>
      <w:r w:rsidR="00B1657C">
        <w:rPr>
          <w:rFonts w:ascii="Arial" w:hAnsi="Arial" w:cs="Arial"/>
          <w:color w:val="7B7B7B" w:themeColor="accent3" w:themeShade="BF"/>
          <w:sz w:val="22"/>
          <w:szCs w:val="22"/>
          <w:lang w:val="en-GB"/>
        </w:rPr>
        <w:t>Hence, w</w:t>
      </w:r>
      <w:r w:rsidR="009352ED">
        <w:rPr>
          <w:rFonts w:ascii="Arial" w:hAnsi="Arial" w:cs="Arial"/>
          <w:color w:val="7B7B7B" w:themeColor="accent3" w:themeShade="BF"/>
          <w:sz w:val="22"/>
          <w:szCs w:val="22"/>
          <w:lang w:val="en-GB"/>
        </w:rPr>
        <w:t xml:space="preserve">hat </w:t>
      </w:r>
      <w:proofErr w:type="spellStart"/>
      <w:r w:rsidR="009352ED">
        <w:rPr>
          <w:rFonts w:ascii="Arial" w:hAnsi="Arial" w:cs="Arial"/>
          <w:color w:val="7B7B7B" w:themeColor="accent3" w:themeShade="BF"/>
          <w:sz w:val="22"/>
          <w:szCs w:val="22"/>
          <w:lang w:val="en-GB"/>
        </w:rPr>
        <w:t>SanLong</w:t>
      </w:r>
      <w:proofErr w:type="spellEnd"/>
      <w:r w:rsidR="009352ED">
        <w:rPr>
          <w:rFonts w:ascii="Arial" w:hAnsi="Arial" w:cs="Arial"/>
          <w:color w:val="7B7B7B" w:themeColor="accent3" w:themeShade="BF"/>
          <w:sz w:val="22"/>
          <w:szCs w:val="22"/>
          <w:lang w:val="en-GB"/>
        </w:rPr>
        <w:t xml:space="preserve"> Limited needs to do is to file a petition for such conversion before the Shanghai Second Intermediate People’s Court by alleging that it</w:t>
      </w:r>
      <w:r w:rsidR="00B1657C">
        <w:rPr>
          <w:rFonts w:ascii="Arial" w:hAnsi="Arial" w:cs="Arial"/>
          <w:color w:val="7B7B7B" w:themeColor="accent3" w:themeShade="BF"/>
          <w:sz w:val="22"/>
          <w:szCs w:val="22"/>
          <w:lang w:val="en-GB"/>
        </w:rPr>
        <w:t>s petition</w:t>
      </w:r>
      <w:r w:rsidR="009352ED">
        <w:rPr>
          <w:rFonts w:ascii="Arial" w:hAnsi="Arial" w:cs="Arial"/>
          <w:color w:val="7B7B7B" w:themeColor="accent3" w:themeShade="BF"/>
          <w:sz w:val="22"/>
          <w:szCs w:val="22"/>
          <w:lang w:val="en-GB"/>
        </w:rPr>
        <w:t xml:space="preserve"> complies with all the requirements for converting a liquidation procedure into a reorganisation procedure. However, the CEO of </w:t>
      </w:r>
      <w:proofErr w:type="spellStart"/>
      <w:r w:rsidR="009352ED">
        <w:rPr>
          <w:rFonts w:ascii="Arial" w:hAnsi="Arial" w:cs="Arial"/>
          <w:color w:val="7B7B7B" w:themeColor="accent3" w:themeShade="BF"/>
          <w:sz w:val="22"/>
          <w:szCs w:val="22"/>
          <w:lang w:val="en-GB"/>
        </w:rPr>
        <w:t>SanLong</w:t>
      </w:r>
      <w:proofErr w:type="spellEnd"/>
      <w:r w:rsidR="009352ED">
        <w:rPr>
          <w:rFonts w:ascii="Arial" w:hAnsi="Arial" w:cs="Arial"/>
          <w:color w:val="7B7B7B" w:themeColor="accent3" w:themeShade="BF"/>
          <w:sz w:val="22"/>
          <w:szCs w:val="22"/>
          <w:lang w:val="en-GB"/>
        </w:rPr>
        <w:t xml:space="preserve"> Limited must note that conversions are not frequently used in China, and such rarity might lead to some challenges during the conversion.</w:t>
      </w:r>
      <w:r>
        <w:rPr>
          <w:rFonts w:ascii="Arial" w:hAnsi="Arial" w:cs="Arial"/>
          <w:color w:val="7B7B7B" w:themeColor="accent3" w:themeShade="BF"/>
          <w:sz w:val="22"/>
          <w:szCs w:val="22"/>
          <w:lang w:val="en-GB"/>
        </w:rPr>
        <w:t>]</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w:t>
      </w:r>
      <w:r w:rsidR="008D6C37">
        <w:rPr>
          <w:rFonts w:ascii="Arial" w:hAnsi="Arial" w:cs="Arial"/>
          <w:sz w:val="22"/>
          <w:szCs w:val="22"/>
          <w:lang w:val="en-GB"/>
        </w:rPr>
        <w:lastRenderedPageBreak/>
        <w:t xml:space="preserve">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71FE4E60" w14:textId="31E15BE0" w:rsidR="00F05646"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F05646">
        <w:rPr>
          <w:rFonts w:ascii="Arial" w:hAnsi="Arial" w:cs="Arial"/>
          <w:color w:val="7B7B7B" w:themeColor="accent3" w:themeShade="BF"/>
          <w:sz w:val="22"/>
          <w:szCs w:val="22"/>
          <w:lang w:val="en-GB"/>
        </w:rPr>
        <w:t xml:space="preserve">Article 85 of </w:t>
      </w:r>
      <w:r w:rsidR="00F05646" w:rsidRPr="008B1CC3">
        <w:rPr>
          <w:rFonts w:ascii="Arial" w:hAnsi="Arial" w:cs="Arial"/>
          <w:i/>
          <w:iCs/>
          <w:color w:val="7B7B7B" w:themeColor="accent3" w:themeShade="BF"/>
          <w:sz w:val="22"/>
          <w:szCs w:val="22"/>
          <w:lang w:val="en-GB"/>
        </w:rPr>
        <w:t>China Enterprise Bankruptcy Law of 2006</w:t>
      </w:r>
      <w:r w:rsidR="00F05646" w:rsidRPr="00F05646">
        <w:rPr>
          <w:rFonts w:ascii="Arial" w:hAnsi="Arial" w:cs="Arial"/>
          <w:color w:val="7B7B7B" w:themeColor="accent3" w:themeShade="BF"/>
          <w:sz w:val="22"/>
          <w:szCs w:val="22"/>
          <w:lang w:val="en-GB"/>
        </w:rPr>
        <w:t xml:space="preserve"> (‘CEBL’)</w:t>
      </w:r>
      <w:r w:rsidR="00F05646">
        <w:rPr>
          <w:rFonts w:ascii="Arial" w:hAnsi="Arial" w:cs="Arial"/>
          <w:color w:val="7B7B7B" w:themeColor="accent3" w:themeShade="BF"/>
          <w:sz w:val="22"/>
          <w:szCs w:val="22"/>
          <w:lang w:val="en-GB"/>
        </w:rPr>
        <w:t xml:space="preserve"> provides that in cases where the company’s equity is affected, adjusted</w:t>
      </w:r>
      <w:r w:rsidR="008B1CC3">
        <w:rPr>
          <w:rFonts w:ascii="Arial" w:hAnsi="Arial" w:cs="Arial"/>
          <w:color w:val="7B7B7B" w:themeColor="accent3" w:themeShade="BF"/>
          <w:sz w:val="22"/>
          <w:szCs w:val="22"/>
          <w:lang w:val="en-GB"/>
        </w:rPr>
        <w:t>,</w:t>
      </w:r>
      <w:r w:rsidR="00F05646">
        <w:rPr>
          <w:rFonts w:ascii="Arial" w:hAnsi="Arial" w:cs="Arial"/>
          <w:color w:val="7B7B7B" w:themeColor="accent3" w:themeShade="BF"/>
          <w:sz w:val="22"/>
          <w:szCs w:val="22"/>
          <w:lang w:val="en-GB"/>
        </w:rPr>
        <w:t xml:space="preserve"> or cancelled by the reorganisation plan, it should also be voted by the shareholders.  Such situation envisaged by Article 85 happened in this situation.  In this instance, the reorganisation plan affecting Yangtze Steel Limited proposes that the shares of all previous shareholders be cancelled and what happened afterwards was that </w:t>
      </w:r>
      <w:proofErr w:type="spellStart"/>
      <w:r w:rsidR="00F05646">
        <w:rPr>
          <w:rFonts w:ascii="Arial" w:hAnsi="Arial" w:cs="Arial"/>
          <w:color w:val="7B7B7B" w:themeColor="accent3" w:themeShade="BF"/>
          <w:sz w:val="22"/>
          <w:szCs w:val="22"/>
          <w:lang w:val="en-GB"/>
        </w:rPr>
        <w:t>SanLong</w:t>
      </w:r>
      <w:proofErr w:type="spellEnd"/>
      <w:r w:rsidR="00F05646">
        <w:rPr>
          <w:rFonts w:ascii="Arial" w:hAnsi="Arial" w:cs="Arial"/>
          <w:color w:val="7B7B7B" w:themeColor="accent3" w:themeShade="BF"/>
          <w:sz w:val="22"/>
          <w:szCs w:val="22"/>
          <w:lang w:val="en-GB"/>
        </w:rPr>
        <w:t xml:space="preserve"> and other shareholders voted against the plan. Under Chinese law, it is unsettled what is the effect of the vote by the shareholders. Some insolvency scholars argue that the vote should be treated as advisory only.  In any case, the approval of the reorganisation plan by the creditors still needed to be confirmed by the court.  Notably, under article 87, CEBL, the court may cram-down a reorganisation plan that has been voted down by one or more class of creditors or by the shareholders.  Hence, the court may approve the reorganisation plan even though </w:t>
      </w:r>
      <w:proofErr w:type="spellStart"/>
      <w:r w:rsidR="00F05646">
        <w:rPr>
          <w:rFonts w:ascii="Arial" w:hAnsi="Arial" w:cs="Arial"/>
          <w:color w:val="7B7B7B" w:themeColor="accent3" w:themeShade="BF"/>
          <w:sz w:val="22"/>
          <w:szCs w:val="22"/>
          <w:lang w:val="en-GB"/>
        </w:rPr>
        <w:t>SanLong</w:t>
      </w:r>
      <w:proofErr w:type="spellEnd"/>
      <w:r w:rsidR="00F05646">
        <w:rPr>
          <w:rFonts w:ascii="Arial" w:hAnsi="Arial" w:cs="Arial"/>
          <w:color w:val="7B7B7B" w:themeColor="accent3" w:themeShade="BF"/>
          <w:sz w:val="22"/>
          <w:szCs w:val="22"/>
          <w:lang w:val="en-GB"/>
        </w:rPr>
        <w:t xml:space="preserve"> and the shareholders have voted down the plan. </w:t>
      </w:r>
      <w:r w:rsidR="006E0953">
        <w:rPr>
          <w:rFonts w:ascii="Arial" w:hAnsi="Arial" w:cs="Arial"/>
          <w:color w:val="7B7B7B" w:themeColor="accent3" w:themeShade="BF"/>
          <w:sz w:val="22"/>
          <w:szCs w:val="22"/>
          <w:lang w:val="en-GB"/>
        </w:rPr>
        <w:t xml:space="preserve">The court’s approval, however, in essence, would depend on whether the reorganisation plan would depend on three tests: (1) fair and equitable test (ie, the application of the pari passu principle between creditors in the same class); (2) absolute priority test (ie, shareholders should be paid nothing unless the creditors are paid in full); (3) feasibility test (ie, the reorganisation plan should be achievable). These tests are reflected in </w:t>
      </w:r>
      <w:r w:rsidR="00F05646">
        <w:rPr>
          <w:rFonts w:ascii="Arial" w:hAnsi="Arial" w:cs="Arial"/>
          <w:color w:val="7B7B7B" w:themeColor="accent3" w:themeShade="BF"/>
          <w:sz w:val="22"/>
          <w:szCs w:val="22"/>
          <w:lang w:val="en-GB"/>
        </w:rPr>
        <w:t xml:space="preserve">article 87 </w:t>
      </w:r>
      <w:r w:rsidR="006E0953">
        <w:rPr>
          <w:rFonts w:ascii="Arial" w:hAnsi="Arial" w:cs="Arial"/>
          <w:color w:val="7B7B7B" w:themeColor="accent3" w:themeShade="BF"/>
          <w:sz w:val="22"/>
          <w:szCs w:val="22"/>
          <w:lang w:val="en-GB"/>
        </w:rPr>
        <w:t xml:space="preserve">which </w:t>
      </w:r>
      <w:r w:rsidR="00F05646">
        <w:rPr>
          <w:rFonts w:ascii="Arial" w:hAnsi="Arial" w:cs="Arial"/>
          <w:color w:val="7B7B7B" w:themeColor="accent3" w:themeShade="BF"/>
          <w:sz w:val="22"/>
          <w:szCs w:val="22"/>
          <w:lang w:val="en-GB"/>
        </w:rPr>
        <w:t>provides that for the cram-down approval to be exercised by the court, the reorganisation plan must:</w:t>
      </w:r>
    </w:p>
    <w:p w14:paraId="758EB640" w14:textId="77777777" w:rsidR="00F05646" w:rsidRDefault="00F05646" w:rsidP="00A54652">
      <w:pPr>
        <w:ind w:left="720" w:hanging="720"/>
        <w:rPr>
          <w:rFonts w:ascii="Arial" w:hAnsi="Arial" w:cs="Arial"/>
          <w:color w:val="7B7B7B" w:themeColor="accent3" w:themeShade="BF"/>
          <w:sz w:val="22"/>
          <w:szCs w:val="22"/>
          <w:lang w:val="en-GB"/>
        </w:rPr>
      </w:pPr>
    </w:p>
    <w:p w14:paraId="17AC1856" w14:textId="77777777" w:rsidR="00DC6508" w:rsidRDefault="00DC6508" w:rsidP="00F05646">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secured creditor class and, if not, secured creditors must be fully paid out of the secured assets (in addition to fair compensation for the delayed foreclosure);</w:t>
      </w:r>
    </w:p>
    <w:p w14:paraId="16E68DD4" w14:textId="77777777" w:rsidR="00DC6508" w:rsidRDefault="00DC6508" w:rsidP="00F05646">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employee and tax authority classes and if not, these two classes must be paid in full;</w:t>
      </w:r>
    </w:p>
    <w:p w14:paraId="14B9F9F3" w14:textId="77777777" w:rsidR="00DC6508" w:rsidRDefault="00DC6508" w:rsidP="00F05646">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ordinary unsecured creditor class and, if not, this class of creditors must not be paid less than they would have received under a liquidation procedure;</w:t>
      </w:r>
    </w:p>
    <w:p w14:paraId="40856EBC" w14:textId="77777777" w:rsidR="00DC6508" w:rsidRDefault="00DC6508" w:rsidP="00F05646">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shareholders where their equity is affected by the plan and. If not, the treatment of equity holders is fair and equitable;</w:t>
      </w:r>
    </w:p>
    <w:p w14:paraId="4A2F2EF0" w14:textId="77777777" w:rsidR="006E0953" w:rsidRDefault="00DC6508" w:rsidP="00F05646">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Pays the stakeholders in </w:t>
      </w:r>
      <w:r w:rsidR="006E0953">
        <w:rPr>
          <w:rFonts w:ascii="Arial" w:hAnsi="Arial" w:cs="Arial"/>
          <w:color w:val="7B7B7B" w:themeColor="accent3" w:themeShade="BF"/>
          <w:sz w:val="22"/>
          <w:szCs w:val="22"/>
          <w:lang w:val="en-GB"/>
        </w:rPr>
        <w:t>the same class fairly, with the priority between shareholders and creditors, upheld; and</w:t>
      </w:r>
    </w:p>
    <w:p w14:paraId="44EFE23D" w14:textId="77777777" w:rsidR="006E0953" w:rsidRDefault="006E0953" w:rsidP="006E0953">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feasible. </w:t>
      </w:r>
      <w:r w:rsidR="00F05646" w:rsidRPr="006E0953">
        <w:rPr>
          <w:rFonts w:ascii="Arial" w:hAnsi="Arial" w:cs="Arial"/>
          <w:color w:val="7B7B7B" w:themeColor="accent3" w:themeShade="BF"/>
          <w:sz w:val="22"/>
          <w:szCs w:val="22"/>
          <w:lang w:val="en-GB"/>
        </w:rPr>
        <w:t xml:space="preserve"> </w:t>
      </w:r>
    </w:p>
    <w:p w14:paraId="5CDA43D3" w14:textId="77777777" w:rsidR="006E0953" w:rsidRDefault="006E0953" w:rsidP="006E0953">
      <w:pPr>
        <w:ind w:left="720"/>
        <w:rPr>
          <w:rFonts w:ascii="Arial" w:hAnsi="Arial" w:cs="Arial"/>
          <w:color w:val="7B7B7B" w:themeColor="accent3" w:themeShade="BF"/>
          <w:sz w:val="22"/>
          <w:szCs w:val="22"/>
          <w:lang w:val="en-GB"/>
        </w:rPr>
      </w:pPr>
    </w:p>
    <w:p w14:paraId="2F5B6935" w14:textId="08FFEBBB" w:rsidR="00A54652" w:rsidRPr="006E0953" w:rsidRDefault="006E0953" w:rsidP="006E0953">
      <w:pPr>
        <w:ind w:left="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Hence, whether the court would approve the reorganisation plan voted against by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and the other shareholders would depend on the plan’s compliance of the specific provisions of article 87 of the CEBL.</w:t>
      </w:r>
      <w:r w:rsidR="00A54652" w:rsidRPr="006E0953">
        <w:rPr>
          <w:rFonts w:ascii="Arial" w:hAnsi="Arial" w:cs="Arial"/>
          <w:color w:val="7B7B7B" w:themeColor="accent3" w:themeShade="BF"/>
          <w:sz w:val="22"/>
          <w:szCs w:val="22"/>
          <w:lang w:val="en-GB"/>
        </w:rPr>
        <w:t>]</w:t>
      </w: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B8B5" w14:textId="77777777" w:rsidR="00873031" w:rsidRDefault="00873031" w:rsidP="00241B44">
      <w:r>
        <w:separator/>
      </w:r>
    </w:p>
  </w:endnote>
  <w:endnote w:type="continuationSeparator" w:id="0">
    <w:p w14:paraId="6121702A" w14:textId="77777777" w:rsidR="00873031" w:rsidRDefault="00873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D0C7CFD" w:rsidR="00241FA3" w:rsidRPr="009B4976" w:rsidRDefault="00F85FE2" w:rsidP="009B4976">
    <w:pPr>
      <w:pStyle w:val="Footer"/>
      <w:ind w:right="360"/>
      <w:rPr>
        <w:rFonts w:ascii="Arial" w:hAnsi="Arial" w:cs="Arial"/>
        <w:sz w:val="18"/>
        <w:szCs w:val="18"/>
        <w:lang w:val="en-GB"/>
      </w:rPr>
    </w:pPr>
    <w:r>
      <w:rPr>
        <w:rFonts w:ascii="Arial" w:hAnsi="Arial" w:cs="Arial"/>
        <w:sz w:val="18"/>
        <w:szCs w:val="18"/>
        <w:lang w:val="en-GB"/>
      </w:rPr>
      <w:t>202021IFU-258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B5DD" w14:textId="77777777" w:rsidR="00873031" w:rsidRDefault="00873031" w:rsidP="00241B44">
      <w:r>
        <w:separator/>
      </w:r>
    </w:p>
  </w:footnote>
  <w:footnote w:type="continuationSeparator" w:id="0">
    <w:p w14:paraId="5C0D8FDB" w14:textId="77777777" w:rsidR="00873031" w:rsidRDefault="00873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3D7D"/>
    <w:multiLevelType w:val="hybridMultilevel"/>
    <w:tmpl w:val="0F98AAAE"/>
    <w:lvl w:ilvl="0" w:tplc="4A3A17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6"/>
  </w:num>
  <w:num w:numId="3">
    <w:abstractNumId w:val="13"/>
  </w:num>
  <w:num w:numId="4">
    <w:abstractNumId w:val="30"/>
  </w:num>
  <w:num w:numId="5">
    <w:abstractNumId w:val="14"/>
  </w:num>
  <w:num w:numId="6">
    <w:abstractNumId w:val="24"/>
  </w:num>
  <w:num w:numId="7">
    <w:abstractNumId w:val="32"/>
  </w:num>
  <w:num w:numId="8">
    <w:abstractNumId w:val="28"/>
  </w:num>
  <w:num w:numId="9">
    <w:abstractNumId w:val="12"/>
  </w:num>
  <w:num w:numId="10">
    <w:abstractNumId w:val="9"/>
  </w:num>
  <w:num w:numId="11">
    <w:abstractNumId w:val="8"/>
  </w:num>
  <w:num w:numId="12">
    <w:abstractNumId w:val="3"/>
  </w:num>
  <w:num w:numId="13">
    <w:abstractNumId w:val="0"/>
  </w:num>
  <w:num w:numId="14">
    <w:abstractNumId w:val="11"/>
  </w:num>
  <w:num w:numId="15">
    <w:abstractNumId w:val="25"/>
  </w:num>
  <w:num w:numId="16">
    <w:abstractNumId w:val="5"/>
  </w:num>
  <w:num w:numId="17">
    <w:abstractNumId w:val="4"/>
  </w:num>
  <w:num w:numId="18">
    <w:abstractNumId w:val="1"/>
  </w:num>
  <w:num w:numId="19">
    <w:abstractNumId w:val="19"/>
  </w:num>
  <w:num w:numId="20">
    <w:abstractNumId w:val="26"/>
  </w:num>
  <w:num w:numId="21">
    <w:abstractNumId w:val="36"/>
  </w:num>
  <w:num w:numId="22">
    <w:abstractNumId w:val="6"/>
  </w:num>
  <w:num w:numId="23">
    <w:abstractNumId w:val="29"/>
  </w:num>
  <w:num w:numId="24">
    <w:abstractNumId w:val="18"/>
  </w:num>
  <w:num w:numId="25">
    <w:abstractNumId w:val="7"/>
  </w:num>
  <w:num w:numId="26">
    <w:abstractNumId w:val="35"/>
  </w:num>
  <w:num w:numId="27">
    <w:abstractNumId w:val="34"/>
  </w:num>
  <w:num w:numId="28">
    <w:abstractNumId w:val="10"/>
  </w:num>
  <w:num w:numId="29">
    <w:abstractNumId w:val="22"/>
  </w:num>
  <w:num w:numId="30">
    <w:abstractNumId w:val="27"/>
  </w:num>
  <w:num w:numId="31">
    <w:abstractNumId w:val="21"/>
  </w:num>
  <w:num w:numId="32">
    <w:abstractNumId w:val="15"/>
  </w:num>
  <w:num w:numId="33">
    <w:abstractNumId w:val="17"/>
  </w:num>
  <w:num w:numId="34">
    <w:abstractNumId w:val="20"/>
  </w:num>
  <w:num w:numId="35">
    <w:abstractNumId w:val="37"/>
  </w:num>
  <w:num w:numId="36">
    <w:abstractNumId w:val="31"/>
  </w:num>
  <w:num w:numId="37">
    <w:abstractNumId w:val="23"/>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6BA"/>
    <w:rsid w:val="002638B0"/>
    <w:rsid w:val="0026647A"/>
    <w:rsid w:val="002668D3"/>
    <w:rsid w:val="0027299F"/>
    <w:rsid w:val="002773C9"/>
    <w:rsid w:val="00284EBE"/>
    <w:rsid w:val="002903A7"/>
    <w:rsid w:val="0029433F"/>
    <w:rsid w:val="00294829"/>
    <w:rsid w:val="00294EAD"/>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762F4"/>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3EC5"/>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0BE1"/>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26EBE"/>
    <w:rsid w:val="00532230"/>
    <w:rsid w:val="005331CA"/>
    <w:rsid w:val="00537970"/>
    <w:rsid w:val="00540E3A"/>
    <w:rsid w:val="005419B2"/>
    <w:rsid w:val="00544127"/>
    <w:rsid w:val="005463A9"/>
    <w:rsid w:val="00547CC9"/>
    <w:rsid w:val="00551038"/>
    <w:rsid w:val="00553EB2"/>
    <w:rsid w:val="00560534"/>
    <w:rsid w:val="0056345E"/>
    <w:rsid w:val="0056391B"/>
    <w:rsid w:val="005650E2"/>
    <w:rsid w:val="00567AD7"/>
    <w:rsid w:val="00575B2D"/>
    <w:rsid w:val="005833D0"/>
    <w:rsid w:val="005846F3"/>
    <w:rsid w:val="0058622F"/>
    <w:rsid w:val="005869D0"/>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162E3"/>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392A"/>
    <w:rsid w:val="00676E2B"/>
    <w:rsid w:val="00677AEB"/>
    <w:rsid w:val="00680EF2"/>
    <w:rsid w:val="006853D6"/>
    <w:rsid w:val="006864AA"/>
    <w:rsid w:val="00687A1D"/>
    <w:rsid w:val="006919D6"/>
    <w:rsid w:val="00696EEF"/>
    <w:rsid w:val="00697EA1"/>
    <w:rsid w:val="006A2646"/>
    <w:rsid w:val="006A5375"/>
    <w:rsid w:val="006A6530"/>
    <w:rsid w:val="006A77FB"/>
    <w:rsid w:val="006B435A"/>
    <w:rsid w:val="006B4C64"/>
    <w:rsid w:val="006D5847"/>
    <w:rsid w:val="006D6BD5"/>
    <w:rsid w:val="006E0953"/>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6201"/>
    <w:rsid w:val="007D2932"/>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1CC3"/>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352ED"/>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21F6"/>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0E3B"/>
    <w:rsid w:val="00A44D05"/>
    <w:rsid w:val="00A46B4C"/>
    <w:rsid w:val="00A5117B"/>
    <w:rsid w:val="00A526D4"/>
    <w:rsid w:val="00A54652"/>
    <w:rsid w:val="00A56D34"/>
    <w:rsid w:val="00A56DA7"/>
    <w:rsid w:val="00A60074"/>
    <w:rsid w:val="00A63C36"/>
    <w:rsid w:val="00A652FA"/>
    <w:rsid w:val="00A6627C"/>
    <w:rsid w:val="00A6642D"/>
    <w:rsid w:val="00A67950"/>
    <w:rsid w:val="00A71019"/>
    <w:rsid w:val="00A81029"/>
    <w:rsid w:val="00A845F5"/>
    <w:rsid w:val="00A84CC7"/>
    <w:rsid w:val="00A96489"/>
    <w:rsid w:val="00AA05D0"/>
    <w:rsid w:val="00AA6528"/>
    <w:rsid w:val="00AB2425"/>
    <w:rsid w:val="00AB24FF"/>
    <w:rsid w:val="00AB685C"/>
    <w:rsid w:val="00AB6C2D"/>
    <w:rsid w:val="00AC08F7"/>
    <w:rsid w:val="00AC2F1F"/>
    <w:rsid w:val="00AC3839"/>
    <w:rsid w:val="00AC43F8"/>
    <w:rsid w:val="00AC7082"/>
    <w:rsid w:val="00AD12C7"/>
    <w:rsid w:val="00AD4A5B"/>
    <w:rsid w:val="00AD4BE8"/>
    <w:rsid w:val="00AF228E"/>
    <w:rsid w:val="00B016A8"/>
    <w:rsid w:val="00B0316C"/>
    <w:rsid w:val="00B07F86"/>
    <w:rsid w:val="00B11EEF"/>
    <w:rsid w:val="00B14819"/>
    <w:rsid w:val="00B15E2F"/>
    <w:rsid w:val="00B1657C"/>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A7BBC"/>
    <w:rsid w:val="00BB0F2B"/>
    <w:rsid w:val="00BC2CA2"/>
    <w:rsid w:val="00BD4C52"/>
    <w:rsid w:val="00BE2946"/>
    <w:rsid w:val="00BE4FF3"/>
    <w:rsid w:val="00BF50F7"/>
    <w:rsid w:val="00C02F29"/>
    <w:rsid w:val="00C101EB"/>
    <w:rsid w:val="00C17718"/>
    <w:rsid w:val="00C20AFE"/>
    <w:rsid w:val="00C22A25"/>
    <w:rsid w:val="00C340E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67DB4"/>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05E0"/>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C6508"/>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87DA8"/>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2428"/>
    <w:rsid w:val="00EF5572"/>
    <w:rsid w:val="00F033DA"/>
    <w:rsid w:val="00F05646"/>
    <w:rsid w:val="00F10E56"/>
    <w:rsid w:val="00F13691"/>
    <w:rsid w:val="00F13FB1"/>
    <w:rsid w:val="00F17165"/>
    <w:rsid w:val="00F22C2D"/>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85FE2"/>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4121</Words>
  <Characters>20404</Characters>
  <Application>Microsoft Office Word</Application>
  <DocSecurity>0</DocSecurity>
  <Lines>523</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2021-09-06T16:48:00Z</dcterms:created>
  <dcterms:modified xsi:type="dcterms:W3CDTF">2021-09-06T16:48:00Z</dcterms:modified>
</cp:coreProperties>
</file>