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646700" w:rsidRDefault="002460B1" w:rsidP="00841D99">
      <w:pPr>
        <w:pStyle w:val="ListParagraph"/>
        <w:numPr>
          <w:ilvl w:val="0"/>
          <w:numId w:val="10"/>
        </w:numPr>
        <w:ind w:left="426"/>
        <w:jc w:val="both"/>
        <w:rPr>
          <w:rFonts w:ascii="Arial" w:hAnsi="Arial" w:cs="Arial"/>
          <w:sz w:val="22"/>
          <w:szCs w:val="22"/>
          <w:highlight w:val="yellow"/>
        </w:rPr>
      </w:pPr>
      <w:r w:rsidRPr="00646700">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646700" w:rsidRDefault="00A37300" w:rsidP="00BA7E39">
      <w:pPr>
        <w:pStyle w:val="ListParagraph"/>
        <w:numPr>
          <w:ilvl w:val="0"/>
          <w:numId w:val="11"/>
        </w:numPr>
        <w:ind w:left="426"/>
        <w:jc w:val="both"/>
        <w:rPr>
          <w:rFonts w:ascii="Arial" w:hAnsi="Arial" w:cs="Arial"/>
          <w:sz w:val="22"/>
          <w:szCs w:val="22"/>
          <w:highlight w:val="yellow"/>
        </w:rPr>
      </w:pPr>
      <w:r w:rsidRPr="00646700">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27501A" w:rsidRDefault="003A29B7" w:rsidP="00403FEE">
      <w:pPr>
        <w:pStyle w:val="ListParagraph"/>
        <w:numPr>
          <w:ilvl w:val="0"/>
          <w:numId w:val="12"/>
        </w:numPr>
        <w:ind w:left="426"/>
        <w:jc w:val="both"/>
        <w:rPr>
          <w:rFonts w:ascii="Arial" w:hAnsi="Arial" w:cs="Arial"/>
          <w:sz w:val="22"/>
          <w:szCs w:val="22"/>
          <w:highlight w:val="yellow"/>
        </w:rPr>
      </w:pPr>
      <w:r w:rsidRPr="0027501A">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27501A" w:rsidRDefault="00076A9F" w:rsidP="00403FEE">
      <w:pPr>
        <w:pStyle w:val="ListParagraph"/>
        <w:numPr>
          <w:ilvl w:val="0"/>
          <w:numId w:val="13"/>
        </w:numPr>
        <w:ind w:left="426"/>
        <w:jc w:val="both"/>
        <w:rPr>
          <w:rFonts w:ascii="Arial" w:hAnsi="Arial" w:cs="Arial"/>
          <w:sz w:val="22"/>
          <w:szCs w:val="22"/>
          <w:highlight w:val="yellow"/>
        </w:rPr>
      </w:pPr>
      <w:r w:rsidRPr="0027501A">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27501A" w:rsidRDefault="00F01639" w:rsidP="00F01639">
      <w:pPr>
        <w:pStyle w:val="ListParagraph"/>
        <w:numPr>
          <w:ilvl w:val="0"/>
          <w:numId w:val="14"/>
        </w:numPr>
        <w:ind w:left="426"/>
        <w:jc w:val="both"/>
        <w:rPr>
          <w:rFonts w:ascii="Arial" w:hAnsi="Arial" w:cs="Arial"/>
          <w:sz w:val="22"/>
          <w:szCs w:val="22"/>
          <w:highlight w:val="yellow"/>
        </w:rPr>
      </w:pPr>
      <w:r w:rsidRPr="0027501A">
        <w:rPr>
          <w:rFonts w:ascii="Arial" w:hAnsi="Arial" w:cs="Arial"/>
          <w:sz w:val="22"/>
          <w:szCs w:val="22"/>
          <w:highlight w:val="yellow"/>
        </w:rPr>
        <w:t>a</w:t>
      </w:r>
      <w:r w:rsidR="007425B0" w:rsidRPr="0027501A">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7501A"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27501A">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7501A"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27501A">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27501A"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27501A">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27501A" w:rsidRDefault="00F83703" w:rsidP="00047A13">
      <w:pPr>
        <w:pStyle w:val="ListParagraph"/>
        <w:numPr>
          <w:ilvl w:val="0"/>
          <w:numId w:val="19"/>
        </w:numPr>
        <w:ind w:left="426"/>
        <w:jc w:val="both"/>
        <w:rPr>
          <w:rFonts w:ascii="Arial" w:hAnsi="Arial" w:cs="Arial"/>
          <w:sz w:val="22"/>
          <w:szCs w:val="22"/>
          <w:highlight w:val="yellow"/>
        </w:rPr>
      </w:pPr>
      <w:r w:rsidRPr="0027501A">
        <w:rPr>
          <w:rFonts w:ascii="Arial" w:hAnsi="Arial" w:cs="Arial"/>
          <w:sz w:val="22"/>
          <w:szCs w:val="22"/>
          <w:highlight w:val="yellow"/>
        </w:rPr>
        <w:t xml:space="preserve">This statement is false since the practitioner might have carried out </w:t>
      </w:r>
      <w:r w:rsidR="00BC285B" w:rsidRPr="0027501A">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27501A" w:rsidRDefault="006A1258" w:rsidP="006A1258">
      <w:pPr>
        <w:pStyle w:val="ListParagraph"/>
        <w:numPr>
          <w:ilvl w:val="0"/>
          <w:numId w:val="20"/>
        </w:numPr>
        <w:ind w:left="426"/>
        <w:jc w:val="both"/>
        <w:rPr>
          <w:rFonts w:ascii="Arial" w:hAnsi="Arial" w:cs="Arial"/>
          <w:sz w:val="22"/>
          <w:szCs w:val="22"/>
          <w:highlight w:val="yellow"/>
        </w:rPr>
      </w:pPr>
      <w:r w:rsidRPr="0027501A">
        <w:rPr>
          <w:rFonts w:ascii="Arial" w:hAnsi="Arial" w:cs="Arial"/>
          <w:sz w:val="22"/>
          <w:szCs w:val="22"/>
          <w:highlight w:val="yellow"/>
        </w:rPr>
        <w:t>r</w:t>
      </w:r>
      <w:r w:rsidR="00701CCC" w:rsidRPr="0027501A">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4EB0BF7E" w:rsidR="009B07AD" w:rsidRDefault="00D6388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fiduciary and other duties usually associated with insolvency professionals are:-</w:t>
      </w:r>
    </w:p>
    <w:p w14:paraId="67269861" w14:textId="77777777" w:rsidR="00D63882" w:rsidRDefault="00D63882" w:rsidP="002A37BB">
      <w:pPr>
        <w:ind w:left="720" w:hanging="720"/>
        <w:jc w:val="both"/>
        <w:rPr>
          <w:rFonts w:ascii="Arial" w:hAnsi="Arial" w:cs="Arial"/>
          <w:color w:val="7B7B7B" w:themeColor="accent3" w:themeShade="BF"/>
          <w:sz w:val="22"/>
          <w:szCs w:val="22"/>
          <w:lang w:val="en-GB"/>
        </w:rPr>
      </w:pPr>
    </w:p>
    <w:p w14:paraId="6DAF2115" w14:textId="2904C1D8" w:rsidR="00D63882" w:rsidRDefault="00D6388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 duty to act in good faith.  This entails honesty and fair dealing;</w:t>
      </w:r>
    </w:p>
    <w:p w14:paraId="56D01CB8" w14:textId="7D887136" w:rsidR="00D63882" w:rsidRDefault="00D6388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the duty to act in the best interests of the beneficiary of the fiduciary duties</w:t>
      </w:r>
      <w:r w:rsidR="00F2792C">
        <w:rPr>
          <w:rFonts w:ascii="Arial" w:hAnsi="Arial" w:cs="Arial"/>
          <w:color w:val="7B7B7B" w:themeColor="accent3" w:themeShade="BF"/>
          <w:sz w:val="22"/>
          <w:szCs w:val="22"/>
          <w:lang w:val="en-GB"/>
        </w:rPr>
        <w:t>;</w:t>
      </w:r>
    </w:p>
    <w:p w14:paraId="71E6943A" w14:textId="478A7375" w:rsidR="00D63882" w:rsidRDefault="00D6388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the duty to exercise the powers of the office in an independent and impartial manner.  This entails the duty to avoid a conflict of interest;</w:t>
      </w:r>
      <w:r w:rsidR="00F2792C">
        <w:rPr>
          <w:rFonts w:ascii="Arial" w:hAnsi="Arial" w:cs="Arial"/>
          <w:color w:val="7B7B7B" w:themeColor="accent3" w:themeShade="BF"/>
          <w:sz w:val="22"/>
          <w:szCs w:val="22"/>
          <w:lang w:val="en-GB"/>
        </w:rPr>
        <w:t xml:space="preserve"> and</w:t>
      </w:r>
    </w:p>
    <w:p w14:paraId="77D8F0BC" w14:textId="63BE654D" w:rsidR="00D63882" w:rsidRDefault="00D6388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00F2792C">
        <w:rPr>
          <w:rFonts w:ascii="Arial" w:hAnsi="Arial" w:cs="Arial"/>
          <w:color w:val="7B7B7B" w:themeColor="accent3" w:themeShade="BF"/>
          <w:sz w:val="22"/>
          <w:szCs w:val="22"/>
          <w:lang w:val="en-GB"/>
        </w:rPr>
        <w:t>the duty to act with care, skill and diligence.  It bears mentioning that this duty is usually not regarded as being fiduciary in nature.  It also bears flagging that although this duty is not fiduciary in nature, it is very importa</w:t>
      </w:r>
      <w:r w:rsidR="00CB4B6F">
        <w:rPr>
          <w:rFonts w:ascii="Arial" w:hAnsi="Arial" w:cs="Arial"/>
          <w:color w:val="7B7B7B" w:themeColor="accent3" w:themeShade="BF"/>
          <w:sz w:val="22"/>
          <w:szCs w:val="22"/>
          <w:lang w:val="en-GB"/>
        </w:rPr>
        <w:t>nt in the context of insolvency.</w:t>
      </w:r>
    </w:p>
    <w:p w14:paraId="22C610C9" w14:textId="7218DCA9" w:rsidR="00DE03AF" w:rsidRPr="002A37BB" w:rsidRDefault="00D63882" w:rsidP="00946B69">
      <w:pPr>
        <w:ind w:left="720" w:hanging="720"/>
        <w:jc w:val="both"/>
        <w:rPr>
          <w:rFonts w:ascii="Arial" w:hAnsi="Arial" w:cs="Arial"/>
          <w:sz w:val="22"/>
          <w:szCs w:val="22"/>
        </w:rPr>
      </w:pPr>
      <w:r>
        <w:rPr>
          <w:rFonts w:ascii="Arial" w:hAnsi="Arial" w:cs="Arial"/>
          <w:sz w:val="22"/>
          <w:szCs w:val="22"/>
          <w:lang w:val="en-GB"/>
        </w:rPr>
        <w:tab/>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D308CAD" w14:textId="746173E4" w:rsidR="00FD1CC3" w:rsidRDefault="005B0A18" w:rsidP="00FD1CC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w:t>
      </w:r>
      <w:r>
        <w:rPr>
          <w:rFonts w:ascii="Arial" w:hAnsi="Arial" w:cs="Arial"/>
          <w:color w:val="7B7B7B" w:themeColor="accent3" w:themeShade="BF"/>
          <w:sz w:val="22"/>
          <w:szCs w:val="22"/>
        </w:rPr>
        <w:tab/>
        <w:t>At the outset, it should be emphasi</w:t>
      </w:r>
      <w:r w:rsidR="00AB5A4C">
        <w:rPr>
          <w:rFonts w:ascii="Arial" w:hAnsi="Arial" w:cs="Arial"/>
          <w:color w:val="7B7B7B" w:themeColor="accent3" w:themeShade="BF"/>
          <w:sz w:val="22"/>
          <w:szCs w:val="22"/>
        </w:rPr>
        <w:t>z</w:t>
      </w:r>
      <w:r>
        <w:rPr>
          <w:rFonts w:ascii="Arial" w:hAnsi="Arial" w:cs="Arial"/>
          <w:color w:val="7B7B7B" w:themeColor="accent3" w:themeShade="BF"/>
          <w:sz w:val="22"/>
          <w:szCs w:val="22"/>
        </w:rPr>
        <w:t>ed that the duty to act with independence and impartiality comes with the duty to exhibit the highest levels of objectivity, independence and impartiality</w:t>
      </w:r>
      <w:r w:rsidR="00D92C98">
        <w:rPr>
          <w:rFonts w:ascii="Arial" w:hAnsi="Arial" w:cs="Arial"/>
          <w:color w:val="7B7B7B" w:themeColor="accent3" w:themeShade="BF"/>
          <w:sz w:val="22"/>
          <w:szCs w:val="22"/>
        </w:rPr>
        <w:t xml:space="preserve"> in</w:t>
      </w:r>
      <w:r>
        <w:rPr>
          <w:rFonts w:ascii="Arial" w:hAnsi="Arial" w:cs="Arial"/>
          <w:color w:val="7B7B7B" w:themeColor="accent3" w:themeShade="BF"/>
          <w:sz w:val="22"/>
          <w:szCs w:val="22"/>
        </w:rPr>
        <w:t xml:space="preserve"> the exercise of powers of duties.  It requires insolvency practitioners </w:t>
      </w:r>
      <w:r w:rsidR="00AB5A4C">
        <w:rPr>
          <w:rFonts w:ascii="Arial" w:hAnsi="Arial" w:cs="Arial"/>
          <w:color w:val="7B7B7B" w:themeColor="accent3" w:themeShade="BF"/>
          <w:sz w:val="22"/>
          <w:szCs w:val="22"/>
        </w:rPr>
        <w:t>(“</w:t>
      </w:r>
      <w:r w:rsidR="00AB5A4C" w:rsidRPr="00AB5A4C">
        <w:rPr>
          <w:rFonts w:ascii="Arial" w:hAnsi="Arial" w:cs="Arial"/>
          <w:b/>
          <w:i/>
          <w:color w:val="7B7B7B" w:themeColor="accent3" w:themeShade="BF"/>
          <w:sz w:val="22"/>
          <w:szCs w:val="22"/>
        </w:rPr>
        <w:t>IPs</w:t>
      </w:r>
      <w:r w:rsidR="00AB5A4C">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to avoid circumstances which may cause a conflict of interest</w:t>
      </w:r>
      <w:r w:rsidR="00FD1CC3">
        <w:rPr>
          <w:rFonts w:ascii="Arial" w:hAnsi="Arial" w:cs="Arial"/>
          <w:color w:val="7B7B7B" w:themeColor="accent3" w:themeShade="BF"/>
          <w:sz w:val="22"/>
          <w:szCs w:val="22"/>
        </w:rPr>
        <w:t>.</w:t>
      </w:r>
    </w:p>
    <w:p w14:paraId="7CB132EC" w14:textId="77777777" w:rsidR="00FD1CC3" w:rsidRDefault="00FD1CC3" w:rsidP="00FD1CC3">
      <w:pPr>
        <w:ind w:left="720" w:hanging="720"/>
        <w:jc w:val="both"/>
        <w:rPr>
          <w:rFonts w:ascii="Arial" w:hAnsi="Arial" w:cs="Arial"/>
          <w:color w:val="7B7B7B" w:themeColor="accent3" w:themeShade="BF"/>
          <w:sz w:val="22"/>
          <w:szCs w:val="22"/>
        </w:rPr>
      </w:pPr>
    </w:p>
    <w:p w14:paraId="34FB7A4D" w14:textId="0C3AE44D" w:rsidR="00FD1CC3" w:rsidRDefault="00FD1CC3" w:rsidP="00AB5A4C">
      <w:pPr>
        <w:pStyle w:val="BodyTextIndent"/>
      </w:pPr>
      <w:r>
        <w:t>2</w:t>
      </w:r>
      <w:r>
        <w:tab/>
        <w:t xml:space="preserve">This duty is two-pronged in nature because objectivity, independence and impartiality must not only exist as a matter of fact but it should be seen or perceived from the perspective of an informed observer.  This means an </w:t>
      </w:r>
      <w:r w:rsidR="00AB5A4C">
        <w:t>IP’s</w:t>
      </w:r>
      <w:r w:rsidR="00D92C98">
        <w:t xml:space="preserve"> conduct mustn’t</w:t>
      </w:r>
      <w:r>
        <w:t xml:space="preserve"> only </w:t>
      </w:r>
      <w:r w:rsidR="00D92C98">
        <w:t xml:space="preserve">not </w:t>
      </w:r>
      <w:r>
        <w:t>be unfair or improperly biased towards any party but should also be seen not to be as such.</w:t>
      </w:r>
    </w:p>
    <w:p w14:paraId="65B161A1" w14:textId="77777777" w:rsidR="00FD1CC3" w:rsidRDefault="00FD1CC3" w:rsidP="00FD1CC3">
      <w:pPr>
        <w:ind w:left="720" w:hanging="720"/>
        <w:jc w:val="both"/>
        <w:rPr>
          <w:rFonts w:ascii="Arial" w:hAnsi="Arial" w:cs="Arial"/>
          <w:color w:val="7B7B7B" w:themeColor="accent3" w:themeShade="BF"/>
          <w:sz w:val="22"/>
          <w:szCs w:val="22"/>
        </w:rPr>
      </w:pPr>
    </w:p>
    <w:p w14:paraId="249134A2" w14:textId="35DB3D87" w:rsidR="00FD1CC3" w:rsidRDefault="00FD1CC3" w:rsidP="00FD1CC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3</w:t>
      </w:r>
      <w:r>
        <w:rPr>
          <w:rFonts w:ascii="Arial" w:hAnsi="Arial" w:cs="Arial"/>
          <w:color w:val="7B7B7B" w:themeColor="accent3" w:themeShade="BF"/>
          <w:sz w:val="22"/>
          <w:szCs w:val="22"/>
        </w:rPr>
        <w:tab/>
        <w:t xml:space="preserve">It is important to note that lack of independence can not necessarily be remedied by disclosure or appointment of an independent joint practitioner or office holder, although both options may be considered </w:t>
      </w:r>
      <w:r w:rsidR="00AA6581">
        <w:rPr>
          <w:rFonts w:ascii="Arial" w:hAnsi="Arial" w:cs="Arial"/>
          <w:color w:val="7B7B7B" w:themeColor="accent3" w:themeShade="BF"/>
          <w:sz w:val="22"/>
          <w:szCs w:val="22"/>
        </w:rPr>
        <w:t>and may be appropriate in certain circumstances.</w:t>
      </w:r>
    </w:p>
    <w:p w14:paraId="6395A75B" w14:textId="77777777" w:rsidR="00AA6581" w:rsidRDefault="00AA6581" w:rsidP="00FD1CC3">
      <w:pPr>
        <w:ind w:left="720" w:hanging="720"/>
        <w:jc w:val="both"/>
        <w:rPr>
          <w:rFonts w:ascii="Arial" w:hAnsi="Arial" w:cs="Arial"/>
          <w:color w:val="7B7B7B" w:themeColor="accent3" w:themeShade="BF"/>
          <w:sz w:val="22"/>
          <w:szCs w:val="22"/>
        </w:rPr>
      </w:pPr>
    </w:p>
    <w:p w14:paraId="2D70B5A2" w14:textId="4359F48F" w:rsidR="00AA6581" w:rsidRDefault="00AA6581" w:rsidP="00FD1CC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4</w:t>
      </w:r>
      <w:r>
        <w:rPr>
          <w:rFonts w:ascii="Arial" w:hAnsi="Arial" w:cs="Arial"/>
          <w:color w:val="7B7B7B" w:themeColor="accent3" w:themeShade="BF"/>
          <w:sz w:val="22"/>
          <w:szCs w:val="22"/>
        </w:rPr>
        <w:tab/>
        <w:t xml:space="preserve">An </w:t>
      </w:r>
      <w:r w:rsidR="00AB5A4C">
        <w:rPr>
          <w:rFonts w:ascii="Arial" w:hAnsi="Arial" w:cs="Arial"/>
          <w:color w:val="7B7B7B" w:themeColor="accent3" w:themeShade="BF"/>
          <w:sz w:val="22"/>
          <w:szCs w:val="22"/>
        </w:rPr>
        <w:t>IP</w:t>
      </w:r>
      <w:r>
        <w:rPr>
          <w:rFonts w:ascii="Arial" w:hAnsi="Arial" w:cs="Arial"/>
          <w:color w:val="7B7B7B" w:themeColor="accent3" w:themeShade="BF"/>
          <w:sz w:val="22"/>
          <w:szCs w:val="22"/>
        </w:rPr>
        <w:t xml:space="preserve"> will only be able to exercise his discretion and powers in the best interest of the beneficiary if he/she is independent and impartial.  That is </w:t>
      </w:r>
      <w:r>
        <w:rPr>
          <w:rFonts w:ascii="Arial" w:hAnsi="Arial" w:cs="Arial"/>
          <w:i/>
          <w:color w:val="7B7B7B" w:themeColor="accent3" w:themeShade="BF"/>
          <w:sz w:val="22"/>
          <w:szCs w:val="22"/>
        </w:rPr>
        <w:t xml:space="preserve">inter alia </w:t>
      </w:r>
      <w:r>
        <w:rPr>
          <w:rFonts w:ascii="Arial" w:hAnsi="Arial" w:cs="Arial"/>
          <w:color w:val="7B7B7B" w:themeColor="accent3" w:themeShade="BF"/>
          <w:sz w:val="22"/>
          <w:szCs w:val="22"/>
        </w:rPr>
        <w:t xml:space="preserve">because the duty to be independent and impartial seeks to ensure that </w:t>
      </w:r>
      <w:r w:rsidR="00AB5A4C">
        <w:rPr>
          <w:rFonts w:ascii="Arial" w:hAnsi="Arial" w:cs="Arial"/>
          <w:color w:val="7B7B7B" w:themeColor="accent3" w:themeShade="BF"/>
          <w:sz w:val="22"/>
          <w:szCs w:val="22"/>
        </w:rPr>
        <w:t>IPs</w:t>
      </w:r>
      <w:r>
        <w:rPr>
          <w:rFonts w:ascii="Arial" w:hAnsi="Arial" w:cs="Arial"/>
          <w:color w:val="7B7B7B" w:themeColor="accent3" w:themeShade="BF"/>
          <w:sz w:val="22"/>
          <w:szCs w:val="22"/>
        </w:rPr>
        <w:t xml:space="preserve"> do not allow bias, a conflict of interest or undue influence of others to override their professional and/or business judgments in their performance of their duties and obligations</w:t>
      </w:r>
      <w:r w:rsidR="00A65D82">
        <w:rPr>
          <w:rFonts w:ascii="Arial" w:hAnsi="Arial" w:cs="Arial"/>
          <w:color w:val="7B7B7B" w:themeColor="accent3" w:themeShade="BF"/>
          <w:sz w:val="22"/>
          <w:szCs w:val="22"/>
        </w:rPr>
        <w:t>.</w:t>
      </w:r>
    </w:p>
    <w:p w14:paraId="1451ACD1" w14:textId="77777777" w:rsidR="00A65D82" w:rsidRDefault="00A65D82" w:rsidP="00FD1CC3">
      <w:pPr>
        <w:ind w:left="720" w:hanging="720"/>
        <w:jc w:val="both"/>
        <w:rPr>
          <w:rFonts w:ascii="Arial" w:hAnsi="Arial" w:cs="Arial"/>
          <w:color w:val="7B7B7B" w:themeColor="accent3" w:themeShade="BF"/>
          <w:sz w:val="22"/>
          <w:szCs w:val="22"/>
        </w:rPr>
      </w:pPr>
    </w:p>
    <w:p w14:paraId="17E2C1BA" w14:textId="1CF7F14D" w:rsidR="00A65D82" w:rsidRDefault="00A65D82" w:rsidP="00FD1CC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5</w:t>
      </w:r>
      <w:r>
        <w:rPr>
          <w:rFonts w:ascii="Arial" w:hAnsi="Arial" w:cs="Arial"/>
          <w:color w:val="7B7B7B" w:themeColor="accent3" w:themeShade="BF"/>
          <w:sz w:val="22"/>
          <w:szCs w:val="22"/>
        </w:rPr>
        <w:tab/>
      </w:r>
      <w:r w:rsidR="00AB5A4C">
        <w:rPr>
          <w:rFonts w:ascii="Arial" w:hAnsi="Arial" w:cs="Arial"/>
          <w:color w:val="7B7B7B" w:themeColor="accent3" w:themeShade="BF"/>
          <w:sz w:val="22"/>
          <w:szCs w:val="22"/>
        </w:rPr>
        <w:t xml:space="preserve">IPs </w:t>
      </w:r>
      <w:r>
        <w:rPr>
          <w:rFonts w:ascii="Arial" w:hAnsi="Arial" w:cs="Arial"/>
          <w:color w:val="7B7B7B" w:themeColor="accent3" w:themeShade="BF"/>
          <w:sz w:val="22"/>
          <w:szCs w:val="22"/>
        </w:rPr>
        <w:t xml:space="preserve">should decline appointments where their independence and impartiality will or may be questioned as a result of an existing relationship with a stakeholder.  It matters not whether as a matter of fact a practitioner’s independence and impartiality is </w:t>
      </w:r>
      <w:r w:rsidR="00B16DA8">
        <w:rPr>
          <w:rFonts w:ascii="Arial" w:hAnsi="Arial" w:cs="Arial"/>
          <w:color w:val="7B7B7B" w:themeColor="accent3" w:themeShade="BF"/>
          <w:sz w:val="22"/>
          <w:szCs w:val="22"/>
        </w:rPr>
        <w:t xml:space="preserve">not </w:t>
      </w:r>
      <w:r>
        <w:rPr>
          <w:rFonts w:ascii="Arial" w:hAnsi="Arial" w:cs="Arial"/>
          <w:color w:val="7B7B7B" w:themeColor="accent3" w:themeShade="BF"/>
          <w:sz w:val="22"/>
          <w:szCs w:val="22"/>
        </w:rPr>
        <w:t xml:space="preserve">compromised.  The fact that circumstances may lead a reasonably informed </w:t>
      </w:r>
      <w:r>
        <w:rPr>
          <w:rFonts w:ascii="Arial" w:hAnsi="Arial" w:cs="Arial"/>
          <w:color w:val="7B7B7B" w:themeColor="accent3" w:themeShade="BF"/>
          <w:sz w:val="22"/>
          <w:szCs w:val="22"/>
        </w:rPr>
        <w:lastRenderedPageBreak/>
        <w:t xml:space="preserve">third party to conclude or perceive that the </w:t>
      </w:r>
      <w:r w:rsidR="00AB5A4C">
        <w:rPr>
          <w:rFonts w:ascii="Arial" w:hAnsi="Arial" w:cs="Arial"/>
          <w:color w:val="7B7B7B" w:themeColor="accent3" w:themeShade="BF"/>
          <w:sz w:val="22"/>
          <w:szCs w:val="22"/>
        </w:rPr>
        <w:t>IP’s</w:t>
      </w:r>
      <w:r>
        <w:rPr>
          <w:rFonts w:ascii="Arial" w:hAnsi="Arial" w:cs="Arial"/>
          <w:color w:val="7B7B7B" w:themeColor="accent3" w:themeShade="BF"/>
          <w:sz w:val="22"/>
          <w:szCs w:val="22"/>
        </w:rPr>
        <w:t xml:space="preserve"> integrity, independence and impartiality have been compromised should be enough to cause a practitioner not to take an appointment.</w:t>
      </w:r>
    </w:p>
    <w:p w14:paraId="5CEDB79E" w14:textId="77777777" w:rsidR="00A65D82" w:rsidRDefault="00A65D82" w:rsidP="00FD1CC3">
      <w:pPr>
        <w:ind w:left="720" w:hanging="720"/>
        <w:jc w:val="both"/>
        <w:rPr>
          <w:rFonts w:ascii="Arial" w:hAnsi="Arial" w:cs="Arial"/>
          <w:color w:val="7B7B7B" w:themeColor="accent3" w:themeShade="BF"/>
          <w:sz w:val="22"/>
          <w:szCs w:val="22"/>
        </w:rPr>
      </w:pPr>
    </w:p>
    <w:p w14:paraId="6324AFD5" w14:textId="707DDD2A" w:rsidR="00A65D82" w:rsidRPr="00FD1CC3" w:rsidRDefault="00A65D82" w:rsidP="00FD1CC3">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6</w:t>
      </w:r>
      <w:r>
        <w:rPr>
          <w:rFonts w:ascii="Arial" w:hAnsi="Arial" w:cs="Arial"/>
          <w:color w:val="7B7B7B" w:themeColor="accent3" w:themeShade="BF"/>
          <w:sz w:val="22"/>
          <w:szCs w:val="22"/>
        </w:rPr>
        <w:tab/>
        <w:t>It is of critical importance in the context of insolvency proceedings for IPs to be seen or perceived to be independent otherwise they will not be trusted and/or relied upon by the relevant stakeholders and beneficiaries.  This may negate their cooperation with the IP and the insolvency process to the prejudice of the insolvency process in question and other stakeholders and beneficiaries.</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7B37A3C8" w:rsidR="00C72848" w:rsidRDefault="00326BD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 xml:space="preserve">Time based fees is the preferred method of calculation of </w:t>
      </w:r>
      <w:r w:rsidR="007B2A7B">
        <w:rPr>
          <w:rFonts w:ascii="Arial" w:hAnsi="Arial" w:cs="Arial"/>
          <w:color w:val="7B7B7B" w:themeColor="accent3" w:themeShade="BF"/>
          <w:sz w:val="22"/>
          <w:szCs w:val="22"/>
          <w:lang w:val="en-GB"/>
        </w:rPr>
        <w:t>IPs’</w:t>
      </w:r>
      <w:r>
        <w:rPr>
          <w:rFonts w:ascii="Arial" w:hAnsi="Arial" w:cs="Arial"/>
          <w:color w:val="7B7B7B" w:themeColor="accent3" w:themeShade="BF"/>
          <w:sz w:val="22"/>
          <w:szCs w:val="22"/>
          <w:lang w:val="en-GB"/>
        </w:rPr>
        <w:t xml:space="preserve"> remuneration.</w:t>
      </w:r>
    </w:p>
    <w:p w14:paraId="5818580A" w14:textId="77777777" w:rsidR="00326BDE" w:rsidRDefault="00326BDE" w:rsidP="002A37BB">
      <w:pPr>
        <w:ind w:left="720" w:hanging="720"/>
        <w:jc w:val="both"/>
        <w:rPr>
          <w:rFonts w:ascii="Arial" w:hAnsi="Arial" w:cs="Arial"/>
          <w:color w:val="7B7B7B" w:themeColor="accent3" w:themeShade="BF"/>
          <w:sz w:val="22"/>
          <w:szCs w:val="22"/>
          <w:lang w:val="en-GB"/>
        </w:rPr>
      </w:pPr>
    </w:p>
    <w:p w14:paraId="60B31A85" w14:textId="20931A22" w:rsidR="00326BDE" w:rsidRPr="002A37BB" w:rsidRDefault="00326BDE"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 xml:space="preserve">An ethical issue which arises is the profession’s partiality for charging on the time basis.  No wonder the UNCITRAL Guide submits that this system might operate to incentivise time spent on the administration without necessarily achieving any outcome.  </w:t>
      </w:r>
      <w:r w:rsidR="007B2A7B">
        <w:rPr>
          <w:rFonts w:ascii="Arial" w:hAnsi="Arial" w:cs="Arial"/>
          <w:color w:val="7B7B7B" w:themeColor="accent3" w:themeShade="BF"/>
          <w:sz w:val="22"/>
          <w:szCs w:val="22"/>
          <w:lang w:val="en-GB"/>
        </w:rPr>
        <w:t>And this may not necessarily be reflective of the actual work done by the IP.</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0B1B451B" w:rsidR="00544127" w:rsidRDefault="00157945" w:rsidP="0015794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t>There are at least 4 elements of insolvency proceedings which can be said are especially prone to create or give rise to threats to independence and impartiality.</w:t>
      </w:r>
    </w:p>
    <w:p w14:paraId="7437AF55" w14:textId="77777777" w:rsidR="00157945" w:rsidRDefault="00157945" w:rsidP="00157945">
      <w:pPr>
        <w:ind w:left="709" w:hanging="709"/>
        <w:jc w:val="both"/>
        <w:rPr>
          <w:rFonts w:ascii="Arial" w:hAnsi="Arial" w:cs="Arial"/>
          <w:color w:val="7B7B7B" w:themeColor="accent3" w:themeShade="BF"/>
          <w:sz w:val="22"/>
          <w:szCs w:val="22"/>
          <w:lang w:val="en-GB"/>
        </w:rPr>
      </w:pPr>
    </w:p>
    <w:p w14:paraId="174E3855" w14:textId="6114E3BB" w:rsidR="00157945" w:rsidRDefault="00157945" w:rsidP="00157945">
      <w:pPr>
        <w:pStyle w:val="BodyTextIndent2"/>
      </w:pPr>
      <w:r>
        <w:t>2</w:t>
      </w:r>
      <w:r>
        <w:tab/>
        <w:t>They are nature of pre-commencement/appointment involvement, appointment, subsequent appointments and secret monies and personal transactions with the company.</w:t>
      </w:r>
    </w:p>
    <w:p w14:paraId="0EEACF06" w14:textId="77777777" w:rsidR="00157945" w:rsidRDefault="00157945" w:rsidP="00157945">
      <w:pPr>
        <w:ind w:left="709" w:hanging="709"/>
        <w:jc w:val="both"/>
        <w:rPr>
          <w:rFonts w:ascii="Arial" w:hAnsi="Arial" w:cs="Arial"/>
          <w:color w:val="7B7B7B" w:themeColor="accent3" w:themeShade="BF"/>
          <w:sz w:val="22"/>
          <w:szCs w:val="22"/>
          <w:lang w:val="en-GB"/>
        </w:rPr>
      </w:pPr>
    </w:p>
    <w:p w14:paraId="797172DE" w14:textId="01C0F96A" w:rsidR="00157945" w:rsidRPr="00157945" w:rsidRDefault="00157945" w:rsidP="00157945">
      <w:pPr>
        <w:pStyle w:val="Heading1"/>
      </w:pPr>
      <w:r w:rsidRPr="00157945">
        <w:t>Nature of pre-commencement/appointment involvement</w:t>
      </w:r>
    </w:p>
    <w:p w14:paraId="1050AB1C" w14:textId="77777777" w:rsidR="00157945" w:rsidRDefault="00157945" w:rsidP="00157945">
      <w:pPr>
        <w:ind w:left="709" w:hanging="709"/>
        <w:jc w:val="both"/>
        <w:rPr>
          <w:rFonts w:ascii="Arial" w:hAnsi="Arial" w:cs="Arial"/>
          <w:color w:val="7B7B7B" w:themeColor="accent3" w:themeShade="BF"/>
          <w:sz w:val="22"/>
          <w:szCs w:val="22"/>
          <w:lang w:val="en-GB"/>
        </w:rPr>
      </w:pPr>
    </w:p>
    <w:p w14:paraId="632CF960" w14:textId="60DDBEFB" w:rsidR="00157945" w:rsidRDefault="00157945" w:rsidP="0015794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t>Usually in practice</w:t>
      </w:r>
      <w:r w:rsidR="005727A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consultations take place between the IP and the company or stakeholders before the commencement of the insolvency proceedings and/or the appointment of the IP.  Although these consultations may serve a critical part of the insolvency process, they may create an impression of </w:t>
      </w:r>
      <w:r w:rsidR="00517BD4">
        <w:rPr>
          <w:rFonts w:ascii="Arial" w:hAnsi="Arial" w:cs="Arial"/>
          <w:color w:val="7B7B7B" w:themeColor="accent3" w:themeShade="BF"/>
          <w:sz w:val="22"/>
          <w:szCs w:val="22"/>
          <w:lang w:val="en-GB"/>
        </w:rPr>
        <w:t>lack of independence and impartiality on the part of the IP.  That is to say other stakeholders may believe that prior consultations may have caused a close relationship to develop between the IP, on the one hand, and the company, directors and/or other stakeholders on the other hand which may have the effect of eroding and/or compromising the IP’s objectivity, impartiality and independence.  Having said that, it bears flagging that prior consultations</w:t>
      </w:r>
      <w:r w:rsidR="00047D47">
        <w:rPr>
          <w:rFonts w:ascii="Arial" w:hAnsi="Arial" w:cs="Arial"/>
          <w:color w:val="7B7B7B" w:themeColor="accent3" w:themeShade="BF"/>
          <w:sz w:val="22"/>
          <w:szCs w:val="22"/>
          <w:lang w:val="en-GB"/>
        </w:rPr>
        <w:t xml:space="preserve"> do not necessarily </w:t>
      </w:r>
      <w:r w:rsidR="00F317C5">
        <w:rPr>
          <w:rFonts w:ascii="Arial" w:hAnsi="Arial" w:cs="Arial"/>
          <w:color w:val="7B7B7B" w:themeColor="accent3" w:themeShade="BF"/>
          <w:sz w:val="22"/>
          <w:szCs w:val="22"/>
          <w:lang w:val="en-GB"/>
        </w:rPr>
        <w:t>disqualify</w:t>
      </w:r>
      <w:r w:rsidR="00901DF5">
        <w:rPr>
          <w:rFonts w:ascii="Arial" w:hAnsi="Arial" w:cs="Arial"/>
          <w:color w:val="7B7B7B" w:themeColor="accent3" w:themeShade="BF"/>
          <w:sz w:val="22"/>
          <w:szCs w:val="22"/>
          <w:lang w:val="en-GB"/>
        </w:rPr>
        <w:t xml:space="preserve"> an IP from being appointed</w:t>
      </w:r>
      <w:r w:rsidR="00264839">
        <w:rPr>
          <w:rFonts w:ascii="Arial" w:hAnsi="Arial" w:cs="Arial"/>
          <w:color w:val="7B7B7B" w:themeColor="accent3" w:themeShade="BF"/>
          <w:sz w:val="22"/>
          <w:szCs w:val="22"/>
          <w:lang w:val="en-GB"/>
        </w:rPr>
        <w:t xml:space="preserve">.  Whereas in fact </w:t>
      </w:r>
      <w:r w:rsidR="00761B06">
        <w:rPr>
          <w:rFonts w:ascii="Arial" w:hAnsi="Arial" w:cs="Arial"/>
          <w:color w:val="7B7B7B" w:themeColor="accent3" w:themeShade="BF"/>
          <w:sz w:val="22"/>
          <w:szCs w:val="22"/>
          <w:lang w:val="en-GB"/>
        </w:rPr>
        <w:t xml:space="preserve">there is </w:t>
      </w:r>
      <w:r w:rsidR="00264839">
        <w:rPr>
          <w:rFonts w:ascii="Arial" w:hAnsi="Arial" w:cs="Arial"/>
          <w:color w:val="7B7B7B" w:themeColor="accent3" w:themeShade="BF"/>
          <w:sz w:val="22"/>
          <w:szCs w:val="22"/>
          <w:lang w:val="en-GB"/>
        </w:rPr>
        <w:t xml:space="preserve">a good reason and justification for prior consultations – it puts the company and the directors in a position to, with the assistance of the expertise of an IP, assess the financial position </w:t>
      </w:r>
      <w:r w:rsidR="006E3FD0">
        <w:rPr>
          <w:rFonts w:ascii="Arial" w:hAnsi="Arial" w:cs="Arial"/>
          <w:color w:val="7B7B7B" w:themeColor="accent3" w:themeShade="BF"/>
          <w:sz w:val="22"/>
          <w:szCs w:val="22"/>
          <w:lang w:val="en-GB"/>
        </w:rPr>
        <w:t>and</w:t>
      </w:r>
      <w:r w:rsidR="00264839">
        <w:rPr>
          <w:rFonts w:ascii="Arial" w:hAnsi="Arial" w:cs="Arial"/>
          <w:color w:val="7B7B7B" w:themeColor="accent3" w:themeShade="BF"/>
          <w:sz w:val="22"/>
          <w:szCs w:val="22"/>
          <w:lang w:val="en-GB"/>
        </w:rPr>
        <w:t xml:space="preserve"> available options to the company.  Moreover, that also enables the practitioner to be able to “</w:t>
      </w:r>
      <w:r w:rsidR="00264839">
        <w:rPr>
          <w:rFonts w:ascii="Arial" w:hAnsi="Arial" w:cs="Arial"/>
          <w:i/>
          <w:color w:val="7B7B7B" w:themeColor="accent3" w:themeShade="BF"/>
          <w:sz w:val="22"/>
          <w:szCs w:val="22"/>
          <w:lang w:val="en-GB"/>
        </w:rPr>
        <w:t>hit the ground running</w:t>
      </w:r>
      <w:r w:rsidR="00264839">
        <w:rPr>
          <w:rFonts w:ascii="Arial" w:hAnsi="Arial" w:cs="Arial"/>
          <w:color w:val="7B7B7B" w:themeColor="accent3" w:themeShade="BF"/>
          <w:sz w:val="22"/>
          <w:szCs w:val="22"/>
          <w:lang w:val="en-GB"/>
        </w:rPr>
        <w:t xml:space="preserve">” upon </w:t>
      </w:r>
      <w:r w:rsidR="00264839">
        <w:rPr>
          <w:rFonts w:ascii="Arial" w:hAnsi="Arial" w:cs="Arial"/>
          <w:color w:val="7B7B7B" w:themeColor="accent3" w:themeShade="BF"/>
          <w:sz w:val="22"/>
          <w:szCs w:val="22"/>
          <w:lang w:val="en-GB"/>
        </w:rPr>
        <w:lastRenderedPageBreak/>
        <w:t xml:space="preserve">commencement of the insolvency proceeding in question and appointment of the IP.  This is critical because in the context of insolvency, time is of the essence.  It is important to note that there should be limits to what would be deemed acceptable engagement during such consultations.  This then means that material and substantial engagement with any of the stakeholders should be avoided by the IP as he may no longer be regarded as independent with the result that he may not be appointed.  </w:t>
      </w:r>
      <w:r w:rsidR="00E97A99">
        <w:rPr>
          <w:rFonts w:ascii="Arial" w:hAnsi="Arial" w:cs="Arial"/>
          <w:color w:val="7B7B7B" w:themeColor="accent3" w:themeShade="BF"/>
          <w:sz w:val="22"/>
          <w:szCs w:val="22"/>
          <w:lang w:val="en-GB"/>
        </w:rPr>
        <w:t>It is said that t</w:t>
      </w:r>
      <w:r w:rsidR="00264839">
        <w:rPr>
          <w:rFonts w:ascii="Arial" w:hAnsi="Arial" w:cs="Arial"/>
          <w:color w:val="7B7B7B" w:themeColor="accent3" w:themeShade="BF"/>
          <w:sz w:val="22"/>
          <w:szCs w:val="22"/>
          <w:lang w:val="en-GB"/>
        </w:rPr>
        <w:t>he IP’s consultation should be restricted to the company’s financial position, the company’s solvency, the effects of potential insolvency and any alternatives to insolvency.  It is also recommended and advisable for the IP to set out the nature and extent of prior consultations in a disclosure statement to promote transparency and to avoid any possible criticism and/or questions of independence and impartiality.</w:t>
      </w:r>
    </w:p>
    <w:p w14:paraId="265FC0CE" w14:textId="77777777" w:rsidR="00264839" w:rsidRDefault="00264839" w:rsidP="00157945">
      <w:pPr>
        <w:ind w:left="709" w:hanging="709"/>
        <w:jc w:val="both"/>
        <w:rPr>
          <w:rFonts w:ascii="Arial" w:hAnsi="Arial" w:cs="Arial"/>
          <w:color w:val="7B7B7B" w:themeColor="accent3" w:themeShade="BF"/>
          <w:sz w:val="22"/>
          <w:szCs w:val="22"/>
          <w:lang w:val="en-GB"/>
        </w:rPr>
      </w:pPr>
    </w:p>
    <w:p w14:paraId="064124D0" w14:textId="5EEBD055" w:rsidR="00264839" w:rsidRDefault="00FC04CD" w:rsidP="00157945">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r>
      <w:r w:rsidR="0044672F">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relevant case on this score is an Australian decision of </w:t>
      </w:r>
      <w:r w:rsidRPr="0044672F">
        <w:rPr>
          <w:rFonts w:ascii="Arial" w:hAnsi="Arial" w:cs="Arial"/>
          <w:i/>
          <w:color w:val="7B7B7B" w:themeColor="accent3" w:themeShade="BF"/>
          <w:sz w:val="22"/>
          <w:szCs w:val="22"/>
          <w:lang w:val="en-GB"/>
        </w:rPr>
        <w:t>Re Korda</w:t>
      </w:r>
      <w:r w:rsidR="00A10F02" w:rsidRPr="0044672F">
        <w:rPr>
          <w:rFonts w:ascii="Arial" w:hAnsi="Arial" w:cs="Arial"/>
          <w:i/>
          <w:color w:val="7B7B7B" w:themeColor="accent3" w:themeShade="BF"/>
          <w:sz w:val="22"/>
          <w:szCs w:val="22"/>
          <w:lang w:val="en-GB"/>
        </w:rPr>
        <w:t>,</w:t>
      </w:r>
      <w:r w:rsidRPr="0044672F">
        <w:rPr>
          <w:rFonts w:ascii="Arial" w:hAnsi="Arial" w:cs="Arial"/>
          <w:i/>
          <w:color w:val="7B7B7B" w:themeColor="accent3" w:themeShade="BF"/>
          <w:sz w:val="22"/>
          <w:szCs w:val="22"/>
          <w:lang w:val="en-GB"/>
        </w:rPr>
        <w:t xml:space="preserve"> Ten Network Holding Limited (ADMM </w:t>
      </w:r>
      <w:proofErr w:type="spellStart"/>
      <w:r w:rsidRPr="0044672F">
        <w:rPr>
          <w:rFonts w:ascii="Arial" w:hAnsi="Arial" w:cs="Arial"/>
          <w:i/>
          <w:color w:val="7B7B7B" w:themeColor="accent3" w:themeShade="BF"/>
          <w:sz w:val="22"/>
          <w:szCs w:val="22"/>
          <w:lang w:val="en-GB"/>
        </w:rPr>
        <w:t>Apptd</w:t>
      </w:r>
      <w:proofErr w:type="spellEnd"/>
      <w:r w:rsidRPr="0044672F">
        <w:rPr>
          <w:rFonts w:ascii="Arial" w:hAnsi="Arial" w:cs="Arial"/>
          <w:i/>
          <w:color w:val="7B7B7B" w:themeColor="accent3" w:themeShade="BF"/>
          <w:sz w:val="22"/>
          <w:szCs w:val="22"/>
          <w:lang w:val="en-GB"/>
        </w:rPr>
        <w:t xml:space="preserve">) (RECS and </w:t>
      </w:r>
      <w:proofErr w:type="spellStart"/>
      <w:r w:rsidRPr="0044672F">
        <w:rPr>
          <w:rFonts w:ascii="Arial" w:hAnsi="Arial" w:cs="Arial"/>
          <w:i/>
          <w:color w:val="7B7B7B" w:themeColor="accent3" w:themeShade="BF"/>
          <w:sz w:val="22"/>
          <w:szCs w:val="22"/>
          <w:lang w:val="en-GB"/>
        </w:rPr>
        <w:t>Mgrs</w:t>
      </w:r>
      <w:proofErr w:type="spellEnd"/>
      <w:r w:rsidRPr="0044672F">
        <w:rPr>
          <w:rFonts w:ascii="Arial" w:hAnsi="Arial" w:cs="Arial"/>
          <w:i/>
          <w:color w:val="7B7B7B" w:themeColor="accent3" w:themeShade="BF"/>
          <w:sz w:val="22"/>
          <w:szCs w:val="22"/>
          <w:lang w:val="en-GB"/>
        </w:rPr>
        <w:t xml:space="preserve"> </w:t>
      </w:r>
      <w:proofErr w:type="spellStart"/>
      <w:r w:rsidRPr="0044672F">
        <w:rPr>
          <w:rFonts w:ascii="Arial" w:hAnsi="Arial" w:cs="Arial"/>
          <w:i/>
          <w:color w:val="7B7B7B" w:themeColor="accent3" w:themeShade="BF"/>
          <w:sz w:val="22"/>
          <w:szCs w:val="22"/>
          <w:lang w:val="en-GB"/>
        </w:rPr>
        <w:t>Apptd</w:t>
      </w:r>
      <w:proofErr w:type="spellEnd"/>
      <w:r w:rsidRPr="0044672F">
        <w:rPr>
          <w:rFonts w:ascii="Arial" w:hAnsi="Arial" w:cs="Arial"/>
          <w:i/>
          <w:color w:val="7B7B7B" w:themeColor="accent3" w:themeShade="BF"/>
          <w:sz w:val="22"/>
          <w:szCs w:val="22"/>
          <w:lang w:val="en-GB"/>
        </w:rPr>
        <w:t>) [2017] FCA 914 [Australia]</w:t>
      </w:r>
      <w:r w:rsidR="00BC0109">
        <w:rPr>
          <w:rFonts w:ascii="Arial" w:hAnsi="Arial" w:cs="Arial"/>
          <w:color w:val="7B7B7B" w:themeColor="accent3" w:themeShade="BF"/>
          <w:sz w:val="22"/>
          <w:szCs w:val="22"/>
          <w:lang w:val="en-GB"/>
        </w:rPr>
        <w:t>.  In this case:-</w:t>
      </w:r>
    </w:p>
    <w:p w14:paraId="63B4AE51" w14:textId="77777777" w:rsidR="00BC0109" w:rsidRDefault="00BC0109" w:rsidP="00157945">
      <w:pPr>
        <w:ind w:left="709" w:hanging="709"/>
        <w:jc w:val="both"/>
        <w:rPr>
          <w:rFonts w:ascii="Arial" w:hAnsi="Arial" w:cs="Arial"/>
          <w:color w:val="7B7B7B" w:themeColor="accent3" w:themeShade="BF"/>
          <w:sz w:val="22"/>
          <w:szCs w:val="22"/>
          <w:lang w:val="en-GB"/>
        </w:rPr>
      </w:pPr>
    </w:p>
    <w:p w14:paraId="2B0DF22E" w14:textId="47BBBABF" w:rsidR="00BC0109" w:rsidRDefault="00BC0109" w:rsidP="003B743F">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the issue was whether the administrator’s firm which had been engaged by the company prior to their appointment should continue to act as administrators given their “</w:t>
      </w:r>
      <w:r>
        <w:rPr>
          <w:rFonts w:ascii="Arial" w:hAnsi="Arial" w:cs="Arial"/>
          <w:i/>
          <w:color w:val="7B7B7B" w:themeColor="accent3" w:themeShade="BF"/>
          <w:sz w:val="22"/>
          <w:szCs w:val="22"/>
          <w:lang w:val="en-GB"/>
        </w:rPr>
        <w:t>long-term, substantial in remunerative involvement</w:t>
      </w:r>
      <w:r>
        <w:rPr>
          <w:rFonts w:ascii="Arial" w:hAnsi="Arial" w:cs="Arial"/>
          <w:color w:val="7B7B7B" w:themeColor="accent3" w:themeShade="BF"/>
          <w:sz w:val="22"/>
          <w:szCs w:val="22"/>
          <w:lang w:val="en-GB"/>
        </w:rPr>
        <w:t>” with the company;</w:t>
      </w:r>
    </w:p>
    <w:p w14:paraId="51302D87" w14:textId="77777777" w:rsidR="00BC0109" w:rsidRDefault="00BC0109" w:rsidP="003B743F">
      <w:pPr>
        <w:ind w:left="1418" w:hanging="1418"/>
        <w:jc w:val="both"/>
        <w:rPr>
          <w:rFonts w:ascii="Arial" w:hAnsi="Arial" w:cs="Arial"/>
          <w:color w:val="7B7B7B" w:themeColor="accent3" w:themeShade="BF"/>
          <w:sz w:val="22"/>
          <w:szCs w:val="22"/>
          <w:lang w:val="en-GB"/>
        </w:rPr>
      </w:pPr>
    </w:p>
    <w:p w14:paraId="44EEE97A" w14:textId="2947EF80" w:rsidR="00BC0109" w:rsidRDefault="00BC0109" w:rsidP="003B743F">
      <w:pPr>
        <w:pStyle w:val="BodyTextIndent3"/>
      </w:pPr>
      <w:r>
        <w:t>4.2</w:t>
      </w:r>
      <w:r>
        <w:tab/>
      </w:r>
      <w:r>
        <w:tab/>
        <w:t>although the pre-appointment work was substantial, it was limited to certain aspects and did not involve any advice to the company or its directors.  Neither of the administrators met with the board members or management of the company prior to their appointment.  The court found as much;</w:t>
      </w:r>
    </w:p>
    <w:p w14:paraId="1C7FC6DD" w14:textId="77777777" w:rsidR="00BC0109" w:rsidRDefault="00BC0109" w:rsidP="003B743F">
      <w:pPr>
        <w:ind w:left="1418" w:hanging="1418"/>
        <w:jc w:val="both"/>
        <w:rPr>
          <w:rFonts w:ascii="Arial" w:hAnsi="Arial" w:cs="Arial"/>
          <w:color w:val="7B7B7B" w:themeColor="accent3" w:themeShade="BF"/>
          <w:sz w:val="22"/>
          <w:szCs w:val="22"/>
          <w:lang w:val="en-GB"/>
        </w:rPr>
      </w:pPr>
    </w:p>
    <w:p w14:paraId="37AE8981" w14:textId="423D3419" w:rsidR="00BC0109" w:rsidRDefault="00BC0109" w:rsidP="003B743F">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4.3</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the court elaborated on the nature of modern day corporate restructuring and the importance of early intervention by IPs and being prepared to act when and if necessary.  This is because IPs should be able to commence their role seamlessly</w:t>
      </w:r>
      <w:r w:rsidR="00C470BF">
        <w:rPr>
          <w:rFonts w:ascii="Arial" w:hAnsi="Arial" w:cs="Arial"/>
          <w:color w:val="7B7B7B" w:themeColor="accent3" w:themeShade="BF"/>
          <w:sz w:val="22"/>
          <w:szCs w:val="22"/>
          <w:lang w:val="en-GB"/>
        </w:rPr>
        <w:t xml:space="preserve"> and be able to hit the ground running;</w:t>
      </w:r>
    </w:p>
    <w:p w14:paraId="2BAFBC61" w14:textId="77777777" w:rsidR="00C470BF" w:rsidRDefault="00C470BF" w:rsidP="003B743F">
      <w:pPr>
        <w:ind w:left="1418" w:hanging="1418"/>
        <w:jc w:val="both"/>
        <w:rPr>
          <w:rFonts w:ascii="Arial" w:hAnsi="Arial" w:cs="Arial"/>
          <w:color w:val="7B7B7B" w:themeColor="accent3" w:themeShade="BF"/>
          <w:sz w:val="22"/>
          <w:szCs w:val="22"/>
          <w:lang w:val="en-GB"/>
        </w:rPr>
      </w:pPr>
    </w:p>
    <w:p w14:paraId="52E02AEC" w14:textId="15AF5D0D" w:rsidR="00C470BF" w:rsidRDefault="00C470BF" w:rsidP="003B743F">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4.4</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r w:rsidR="00C50F3B">
        <w:rPr>
          <w:rFonts w:ascii="Arial" w:hAnsi="Arial" w:cs="Arial"/>
          <w:color w:val="7B7B7B" w:themeColor="accent3" w:themeShade="BF"/>
          <w:sz w:val="22"/>
          <w:szCs w:val="22"/>
          <w:lang w:val="en-GB"/>
        </w:rPr>
        <w:t xml:space="preserve">an </w:t>
      </w:r>
      <w:r w:rsidR="0006185A">
        <w:rPr>
          <w:rFonts w:ascii="Arial" w:hAnsi="Arial" w:cs="Arial"/>
          <w:i/>
          <w:color w:val="7B7B7B" w:themeColor="accent3" w:themeShade="BF"/>
          <w:sz w:val="22"/>
          <w:szCs w:val="22"/>
          <w:lang w:val="en-GB"/>
        </w:rPr>
        <w:t>amicus curiae</w:t>
      </w:r>
      <w:r w:rsidR="00C50F3B">
        <w:rPr>
          <w:rFonts w:ascii="Arial" w:hAnsi="Arial" w:cs="Arial"/>
          <w:color w:val="7B7B7B" w:themeColor="accent3" w:themeShade="BF"/>
          <w:sz w:val="22"/>
          <w:szCs w:val="22"/>
          <w:lang w:val="en-GB"/>
        </w:rPr>
        <w:t xml:space="preserve"> made a very important statement which is quoted as follows</w:t>
      </w:r>
      <w:r w:rsidR="00635C7A">
        <w:rPr>
          <w:rFonts w:ascii="Arial" w:hAnsi="Arial" w:cs="Arial"/>
          <w:color w:val="7B7B7B" w:themeColor="accent3" w:themeShade="BF"/>
          <w:sz w:val="22"/>
          <w:szCs w:val="22"/>
          <w:lang w:val="en-GB"/>
        </w:rPr>
        <w:t>: “</w:t>
      </w:r>
      <w:r w:rsidR="00635C7A">
        <w:rPr>
          <w:rFonts w:ascii="Arial" w:hAnsi="Arial" w:cs="Arial"/>
          <w:i/>
          <w:color w:val="7B7B7B" w:themeColor="accent3" w:themeShade="BF"/>
          <w:sz w:val="22"/>
          <w:szCs w:val="22"/>
          <w:lang w:val="en-GB"/>
        </w:rPr>
        <w:t>Directors contemplating potential insolvency should be encouraged to engage with appropriately</w:t>
      </w:r>
      <w:r w:rsidR="0006185A">
        <w:rPr>
          <w:rFonts w:ascii="Arial" w:hAnsi="Arial" w:cs="Arial"/>
          <w:i/>
          <w:color w:val="7B7B7B" w:themeColor="accent3" w:themeShade="BF"/>
          <w:sz w:val="22"/>
          <w:szCs w:val="22"/>
          <w:lang w:val="en-GB"/>
        </w:rPr>
        <w:t>-</w:t>
      </w:r>
      <w:r w:rsidR="00635C7A">
        <w:rPr>
          <w:rFonts w:ascii="Arial" w:hAnsi="Arial" w:cs="Arial"/>
          <w:i/>
          <w:color w:val="7B7B7B" w:themeColor="accent3" w:themeShade="BF"/>
          <w:sz w:val="22"/>
          <w:szCs w:val="22"/>
          <w:lang w:val="en-GB"/>
        </w:rPr>
        <w:t xml:space="preserve">qualified professionals early to develop restructuring plans which will maximise the chance of rescuing a viable business or returning as much value as possible to the relevant stakeholders should a later appointment prove necessary.  A reasonable fair-minded observer would appreciate that as a common characteristic of large and complex corporate distress situations.  Provided that appropriate safeguards are put in place to avoid the existence or appearance of conflict should an </w:t>
      </w:r>
      <w:r w:rsidR="00915FC7">
        <w:rPr>
          <w:rFonts w:ascii="Arial" w:hAnsi="Arial" w:cs="Arial"/>
          <w:i/>
          <w:color w:val="7B7B7B" w:themeColor="accent3" w:themeShade="BF"/>
          <w:sz w:val="22"/>
          <w:szCs w:val="22"/>
          <w:lang w:val="en-GB"/>
        </w:rPr>
        <w:t>appointment subsequently prove</w:t>
      </w:r>
      <w:r w:rsidR="00635C7A">
        <w:rPr>
          <w:rFonts w:ascii="Arial" w:hAnsi="Arial" w:cs="Arial"/>
          <w:i/>
          <w:color w:val="7B7B7B" w:themeColor="accent3" w:themeShade="BF"/>
          <w:sz w:val="22"/>
          <w:szCs w:val="22"/>
          <w:lang w:val="en-GB"/>
        </w:rPr>
        <w:t xml:space="preserve"> necessary, significant, long-term and consequently remunerative work undertaken for such purposes should not of itself preclude the practitioner from taking a formal appointment</w:t>
      </w:r>
      <w:r w:rsidR="003B743F">
        <w:rPr>
          <w:rFonts w:ascii="Arial" w:hAnsi="Arial" w:cs="Arial"/>
          <w:i/>
          <w:color w:val="7B7B7B" w:themeColor="accent3" w:themeShade="BF"/>
          <w:sz w:val="22"/>
          <w:szCs w:val="22"/>
          <w:lang w:val="en-GB"/>
        </w:rPr>
        <w:t xml:space="preserve"> </w:t>
      </w:r>
      <w:r w:rsidR="003B743F" w:rsidRPr="00083E23">
        <w:rPr>
          <w:rFonts w:ascii="Arial" w:hAnsi="Arial" w:cs="Arial"/>
          <w:color w:val="7B7B7B" w:themeColor="accent3" w:themeShade="BF"/>
          <w:sz w:val="22"/>
          <w:szCs w:val="22"/>
          <w:lang w:val="en-GB"/>
        </w:rPr>
        <w:t>[</w:t>
      </w:r>
      <w:r w:rsidR="00635C7A">
        <w:rPr>
          <w:rFonts w:ascii="Arial" w:hAnsi="Arial" w:cs="Arial"/>
          <w:i/>
          <w:color w:val="7B7B7B" w:themeColor="accent3" w:themeShade="BF"/>
          <w:sz w:val="22"/>
          <w:szCs w:val="22"/>
          <w:lang w:val="en-GB"/>
        </w:rPr>
        <w:t>subject of course to consideration of the facts and circumstances of each particular case</w:t>
      </w:r>
      <w:r w:rsidR="003B743F" w:rsidRPr="00083E23">
        <w:rPr>
          <w:rFonts w:ascii="Arial" w:hAnsi="Arial" w:cs="Arial"/>
          <w:color w:val="7B7B7B" w:themeColor="accent3" w:themeShade="BF"/>
          <w:sz w:val="22"/>
          <w:szCs w:val="22"/>
          <w:lang w:val="en-GB"/>
        </w:rPr>
        <w:t>]</w:t>
      </w:r>
      <w:r w:rsidR="00635C7A">
        <w:rPr>
          <w:rFonts w:ascii="Arial" w:hAnsi="Arial" w:cs="Arial"/>
          <w:color w:val="7B7B7B" w:themeColor="accent3" w:themeShade="BF"/>
          <w:sz w:val="22"/>
          <w:szCs w:val="22"/>
          <w:lang w:val="en-GB"/>
        </w:rPr>
        <w:t>”</w:t>
      </w:r>
      <w:r w:rsidR="003B743F">
        <w:rPr>
          <w:rFonts w:ascii="Arial" w:hAnsi="Arial" w:cs="Arial"/>
          <w:color w:val="7B7B7B" w:themeColor="accent3" w:themeShade="BF"/>
          <w:sz w:val="22"/>
          <w:szCs w:val="22"/>
          <w:lang w:val="en-GB"/>
        </w:rPr>
        <w:t>;</w:t>
      </w:r>
    </w:p>
    <w:p w14:paraId="0730EE99" w14:textId="77777777" w:rsidR="003B743F" w:rsidRDefault="003B743F" w:rsidP="003B743F">
      <w:pPr>
        <w:ind w:left="1418" w:hanging="1418"/>
        <w:jc w:val="both"/>
        <w:rPr>
          <w:rFonts w:ascii="Arial" w:hAnsi="Arial" w:cs="Arial"/>
          <w:color w:val="7B7B7B" w:themeColor="accent3" w:themeShade="BF"/>
          <w:sz w:val="22"/>
          <w:szCs w:val="22"/>
          <w:lang w:val="en-GB"/>
        </w:rPr>
      </w:pPr>
    </w:p>
    <w:p w14:paraId="1A6E9073" w14:textId="7C80B36A" w:rsidR="003B743F" w:rsidRDefault="003B743F" w:rsidP="003B743F">
      <w:pPr>
        <w:ind w:left="1418" w:hanging="1418"/>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4.5</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the court held that these “</w:t>
      </w:r>
      <w:r w:rsidRPr="003B743F">
        <w:rPr>
          <w:rFonts w:ascii="Arial" w:hAnsi="Arial" w:cs="Arial"/>
          <w:i/>
          <w:color w:val="7B7B7B" w:themeColor="accent3" w:themeShade="BF"/>
          <w:sz w:val="22"/>
          <w:szCs w:val="22"/>
          <w:lang w:val="en-GB"/>
        </w:rPr>
        <w:t>safeguards</w:t>
      </w:r>
      <w:r>
        <w:rPr>
          <w:rFonts w:ascii="Arial" w:hAnsi="Arial" w:cs="Arial"/>
          <w:color w:val="7B7B7B" w:themeColor="accent3" w:themeShade="BF"/>
          <w:sz w:val="22"/>
          <w:szCs w:val="22"/>
          <w:lang w:val="en-GB"/>
        </w:rPr>
        <w:t xml:space="preserve">” could include that the </w:t>
      </w:r>
      <w:r w:rsidR="00915FC7">
        <w:rPr>
          <w:rFonts w:ascii="Arial" w:hAnsi="Arial" w:cs="Arial"/>
          <w:color w:val="7B7B7B" w:themeColor="accent3" w:themeShade="BF"/>
          <w:sz w:val="22"/>
          <w:szCs w:val="22"/>
          <w:lang w:val="en-GB"/>
        </w:rPr>
        <w:t>potential administrator declare</w:t>
      </w:r>
      <w:r>
        <w:rPr>
          <w:rFonts w:ascii="Arial" w:hAnsi="Arial" w:cs="Arial"/>
          <w:color w:val="7B7B7B" w:themeColor="accent3" w:themeShade="BF"/>
          <w:sz w:val="22"/>
          <w:szCs w:val="22"/>
          <w:lang w:val="en-GB"/>
        </w:rPr>
        <w:t xml:space="preserve"> to the board of directors and executives that he/she might be appointed as administrator if the plans to rectify the company’s finances fail and should keep a proper record of all the meetings held and tasks performed.</w:t>
      </w:r>
    </w:p>
    <w:p w14:paraId="407A0DDF" w14:textId="77777777" w:rsidR="009D0C98" w:rsidRDefault="009D0C98" w:rsidP="003B743F">
      <w:pPr>
        <w:ind w:left="1418" w:hanging="1418"/>
        <w:jc w:val="both"/>
        <w:rPr>
          <w:rFonts w:ascii="Arial" w:hAnsi="Arial" w:cs="Arial"/>
          <w:color w:val="7B7B7B" w:themeColor="accent3" w:themeShade="BF"/>
          <w:sz w:val="22"/>
          <w:szCs w:val="22"/>
          <w:lang w:val="en-GB"/>
        </w:rPr>
      </w:pPr>
    </w:p>
    <w:p w14:paraId="508824C6" w14:textId="77777777" w:rsidR="00E62FA0" w:rsidRDefault="00E62FA0" w:rsidP="003B743F">
      <w:pPr>
        <w:ind w:left="1418" w:hanging="1418"/>
        <w:jc w:val="both"/>
        <w:rPr>
          <w:rFonts w:ascii="Arial" w:hAnsi="Arial" w:cs="Arial"/>
          <w:color w:val="7B7B7B" w:themeColor="accent3" w:themeShade="BF"/>
          <w:sz w:val="22"/>
          <w:szCs w:val="22"/>
          <w:lang w:val="en-GB"/>
        </w:rPr>
      </w:pPr>
    </w:p>
    <w:p w14:paraId="25730160" w14:textId="091B3FE7" w:rsidR="009D0C98" w:rsidRPr="009D0C98" w:rsidRDefault="009D0C98" w:rsidP="009D0C98">
      <w:pPr>
        <w:pStyle w:val="Heading2"/>
      </w:pPr>
      <w:r w:rsidRPr="009D0C98">
        <w:lastRenderedPageBreak/>
        <w:t>Appointment</w:t>
      </w:r>
    </w:p>
    <w:p w14:paraId="48087FCA" w14:textId="77777777" w:rsidR="009D0C98" w:rsidRDefault="009D0C98" w:rsidP="003B743F">
      <w:pPr>
        <w:ind w:left="1418" w:hanging="1418"/>
        <w:jc w:val="both"/>
        <w:rPr>
          <w:rFonts w:ascii="Arial" w:hAnsi="Arial" w:cs="Arial"/>
          <w:color w:val="7B7B7B" w:themeColor="accent3" w:themeShade="BF"/>
          <w:sz w:val="22"/>
          <w:szCs w:val="22"/>
          <w:lang w:val="en-GB"/>
        </w:rPr>
      </w:pPr>
    </w:p>
    <w:p w14:paraId="756F3A63" w14:textId="1F5FD0E9" w:rsidR="009D0C98" w:rsidRDefault="009D0C98" w:rsidP="00E62FA0">
      <w:pPr>
        <w:pStyle w:val="BodyTextIndent2"/>
      </w:pPr>
      <w:r>
        <w:t>5</w:t>
      </w:r>
      <w:r>
        <w:tab/>
        <w:t>In many jurisdictions IPs are appointed by</w:t>
      </w:r>
      <w:r w:rsidR="00E62FA0">
        <w:t xml:space="preserve"> either the board or shareholder or creditor.  This may give rise to an expectation by the stakeholder who appointed the IP that the IP would favour and/or prioritise their interests.  Often the stakeholders who appointed the IP believe that they are entitled to influence the IP.  That is why it is important for IPs to know that they owe no favours to stakeholders who may have appointed them.  Also critical is the fact that the IP should not promise favours or preferences to stakeholders in return for appointments.  This would be unethical.  In fact he must advise those who appointed him that he has a duty to act in the best interest of all the relevant stakeholders and not just one.  IPs should scrutinise his/her relationship with the stakeholder who is desirous of appointing him before accepting the appointment to assess whether there is any conflict of interest (factual and/or potential) which may arise.</w:t>
      </w:r>
    </w:p>
    <w:p w14:paraId="473F3DEA" w14:textId="77777777" w:rsidR="00E62FA0" w:rsidRDefault="00E62FA0" w:rsidP="00E62FA0">
      <w:pPr>
        <w:ind w:left="709" w:hanging="709"/>
        <w:jc w:val="both"/>
        <w:rPr>
          <w:rFonts w:ascii="Arial" w:hAnsi="Arial" w:cs="Arial"/>
          <w:color w:val="7B7B7B" w:themeColor="accent3" w:themeShade="BF"/>
          <w:sz w:val="22"/>
          <w:szCs w:val="22"/>
          <w:lang w:val="en-GB"/>
        </w:rPr>
      </w:pPr>
    </w:p>
    <w:p w14:paraId="3BFE5DA2" w14:textId="4350D6A3" w:rsidR="00E62FA0" w:rsidRPr="00E62FA0" w:rsidRDefault="00E62FA0" w:rsidP="00E62FA0">
      <w:pPr>
        <w:pStyle w:val="Heading1"/>
      </w:pPr>
      <w:r w:rsidRPr="00E62FA0">
        <w:t>Subsequent appointments</w:t>
      </w:r>
    </w:p>
    <w:p w14:paraId="285AED5D" w14:textId="77777777" w:rsidR="00E62FA0" w:rsidRDefault="00E62FA0" w:rsidP="00E62FA0">
      <w:pPr>
        <w:ind w:left="709" w:hanging="709"/>
        <w:jc w:val="both"/>
        <w:rPr>
          <w:rFonts w:ascii="Arial" w:hAnsi="Arial" w:cs="Arial"/>
          <w:color w:val="7B7B7B" w:themeColor="accent3" w:themeShade="BF"/>
          <w:sz w:val="22"/>
          <w:szCs w:val="22"/>
          <w:lang w:val="en-GB"/>
        </w:rPr>
      </w:pPr>
    </w:p>
    <w:p w14:paraId="0F46FA7E" w14:textId="732AF839" w:rsidR="00E62FA0" w:rsidRDefault="00E62FA0" w:rsidP="00E62FA0">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6</w:t>
      </w:r>
      <w:r>
        <w:rPr>
          <w:rFonts w:ascii="Arial" w:hAnsi="Arial" w:cs="Arial"/>
          <w:color w:val="7B7B7B" w:themeColor="accent3" w:themeShade="BF"/>
          <w:sz w:val="22"/>
          <w:szCs w:val="22"/>
          <w:lang w:val="en-GB"/>
        </w:rPr>
        <w:tab/>
        <w:t>Subsequent appointments</w:t>
      </w:r>
      <w:r w:rsidR="00025BB5">
        <w:rPr>
          <w:rFonts w:ascii="Arial" w:hAnsi="Arial" w:cs="Arial"/>
          <w:color w:val="7B7B7B" w:themeColor="accent3" w:themeShade="BF"/>
          <w:sz w:val="22"/>
          <w:szCs w:val="22"/>
          <w:lang w:val="en-GB"/>
        </w:rPr>
        <w:t xml:space="preserve"> refer to a situation where</w:t>
      </w:r>
      <w:r w:rsidR="002F7F5F">
        <w:rPr>
          <w:rFonts w:ascii="Arial" w:hAnsi="Arial" w:cs="Arial"/>
          <w:color w:val="7B7B7B" w:themeColor="accent3" w:themeShade="BF"/>
          <w:sz w:val="22"/>
          <w:szCs w:val="22"/>
          <w:lang w:val="en-GB"/>
        </w:rPr>
        <w:t xml:space="preserve"> the same IP is permitted to act in different insolvency capacities in relation to the same debtor company.  For example in South Africa where the person who was appointed as a business </w:t>
      </w:r>
      <w:r w:rsidR="00F452E0">
        <w:rPr>
          <w:rFonts w:ascii="Arial" w:hAnsi="Arial" w:cs="Arial"/>
          <w:color w:val="7B7B7B" w:themeColor="accent3" w:themeShade="BF"/>
          <w:sz w:val="22"/>
          <w:szCs w:val="22"/>
          <w:lang w:val="en-GB"/>
        </w:rPr>
        <w:t>rescue practitioner can not be</w:t>
      </w:r>
      <w:r w:rsidR="002F7F5F">
        <w:rPr>
          <w:rFonts w:ascii="Arial" w:hAnsi="Arial" w:cs="Arial"/>
          <w:color w:val="7B7B7B" w:themeColor="accent3" w:themeShade="BF"/>
          <w:sz w:val="22"/>
          <w:szCs w:val="22"/>
          <w:lang w:val="en-GB"/>
        </w:rPr>
        <w:t xml:space="preserve"> appointed as a liquidator should the business rescue fail and the company be placed in liquidation.  Subsequent appointments give rise to at least two threats to independence and impartiality.</w:t>
      </w:r>
    </w:p>
    <w:p w14:paraId="1B2FE743" w14:textId="77777777" w:rsidR="002F7F5F" w:rsidRDefault="002F7F5F" w:rsidP="00E62FA0">
      <w:pPr>
        <w:ind w:left="709" w:hanging="709"/>
        <w:jc w:val="both"/>
        <w:rPr>
          <w:rFonts w:ascii="Arial" w:hAnsi="Arial" w:cs="Arial"/>
          <w:color w:val="7B7B7B" w:themeColor="accent3" w:themeShade="BF"/>
          <w:sz w:val="22"/>
          <w:szCs w:val="22"/>
          <w:lang w:val="en-GB"/>
        </w:rPr>
      </w:pPr>
    </w:p>
    <w:p w14:paraId="63C65306" w14:textId="58EF3842" w:rsidR="002F7F5F" w:rsidRDefault="002F7F5F" w:rsidP="00E62FA0">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7</w:t>
      </w:r>
      <w:r>
        <w:rPr>
          <w:rFonts w:ascii="Arial" w:hAnsi="Arial" w:cs="Arial"/>
          <w:color w:val="7B7B7B" w:themeColor="accent3" w:themeShade="BF"/>
          <w:sz w:val="22"/>
          <w:szCs w:val="22"/>
          <w:lang w:val="en-GB"/>
        </w:rPr>
        <w:tab/>
      </w:r>
      <w:r w:rsidRPr="00F452E0">
        <w:rPr>
          <w:rFonts w:ascii="Arial" w:hAnsi="Arial" w:cs="Arial"/>
          <w:i/>
          <w:color w:val="7B7B7B" w:themeColor="accent3" w:themeShade="BF"/>
          <w:sz w:val="22"/>
          <w:szCs w:val="22"/>
          <w:lang w:val="en-GB"/>
        </w:rPr>
        <w:t>The first</w:t>
      </w:r>
      <w:r>
        <w:rPr>
          <w:rFonts w:ascii="Arial" w:hAnsi="Arial" w:cs="Arial"/>
          <w:color w:val="7B7B7B" w:themeColor="accent3" w:themeShade="BF"/>
          <w:sz w:val="22"/>
          <w:szCs w:val="22"/>
          <w:lang w:val="en-GB"/>
        </w:rPr>
        <w:t xml:space="preserve"> is self review</w:t>
      </w:r>
      <w:r w:rsidR="0053796B">
        <w:rPr>
          <w:rFonts w:ascii="Arial" w:hAnsi="Arial" w:cs="Arial"/>
          <w:color w:val="7B7B7B" w:themeColor="accent3" w:themeShade="BF"/>
          <w:sz w:val="22"/>
          <w:szCs w:val="22"/>
          <w:lang w:val="en-GB"/>
        </w:rPr>
        <w:t xml:space="preserve"> threat</w:t>
      </w:r>
      <w:r>
        <w:rPr>
          <w:rFonts w:ascii="Arial" w:hAnsi="Arial" w:cs="Arial"/>
          <w:color w:val="7B7B7B" w:themeColor="accent3" w:themeShade="BF"/>
          <w:sz w:val="22"/>
          <w:szCs w:val="22"/>
          <w:lang w:val="en-GB"/>
        </w:rPr>
        <w:t>.  A self review threat refers to a scenario where the IP, as a result of being involved in prior decision making, being unable to appropriately and objectively critically assess the results of his previous decisions and/or services rendered.</w:t>
      </w:r>
    </w:p>
    <w:p w14:paraId="5AB49D0E" w14:textId="77777777" w:rsidR="002F7F5F" w:rsidRDefault="002F7F5F" w:rsidP="00E62FA0">
      <w:pPr>
        <w:ind w:left="709" w:hanging="709"/>
        <w:jc w:val="both"/>
        <w:rPr>
          <w:rFonts w:ascii="Arial" w:hAnsi="Arial" w:cs="Arial"/>
          <w:color w:val="7B7B7B" w:themeColor="accent3" w:themeShade="BF"/>
          <w:sz w:val="22"/>
          <w:szCs w:val="22"/>
          <w:lang w:val="en-GB"/>
        </w:rPr>
      </w:pPr>
    </w:p>
    <w:p w14:paraId="5BCF32EC" w14:textId="79893A4E" w:rsidR="002F7F5F" w:rsidRDefault="002F7F5F" w:rsidP="00E62FA0">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8</w:t>
      </w:r>
      <w:r>
        <w:rPr>
          <w:rFonts w:ascii="Arial" w:hAnsi="Arial" w:cs="Arial"/>
          <w:color w:val="7B7B7B" w:themeColor="accent3" w:themeShade="BF"/>
          <w:sz w:val="22"/>
          <w:szCs w:val="22"/>
          <w:lang w:val="en-GB"/>
        </w:rPr>
        <w:tab/>
      </w:r>
      <w:r w:rsidRPr="00F452E0">
        <w:rPr>
          <w:rFonts w:ascii="Arial" w:hAnsi="Arial" w:cs="Arial"/>
          <w:i/>
          <w:color w:val="7B7B7B" w:themeColor="accent3" w:themeShade="BF"/>
          <w:sz w:val="22"/>
          <w:szCs w:val="22"/>
          <w:lang w:val="en-GB"/>
        </w:rPr>
        <w:t>Th</w:t>
      </w:r>
      <w:r w:rsidR="0053796B" w:rsidRPr="00F452E0">
        <w:rPr>
          <w:rFonts w:ascii="Arial" w:hAnsi="Arial" w:cs="Arial"/>
          <w:i/>
          <w:color w:val="7B7B7B" w:themeColor="accent3" w:themeShade="BF"/>
          <w:sz w:val="22"/>
          <w:szCs w:val="22"/>
          <w:lang w:val="en-GB"/>
        </w:rPr>
        <w:t>e second</w:t>
      </w:r>
      <w:r w:rsidR="0053796B">
        <w:rPr>
          <w:rFonts w:ascii="Arial" w:hAnsi="Arial" w:cs="Arial"/>
          <w:color w:val="7B7B7B" w:themeColor="accent3" w:themeShade="BF"/>
          <w:sz w:val="22"/>
          <w:szCs w:val="22"/>
          <w:lang w:val="en-GB"/>
        </w:rPr>
        <w:t xml:space="preserve"> is self interest threat.  This</w:t>
      </w:r>
      <w:r w:rsidR="0018307C">
        <w:rPr>
          <w:rFonts w:ascii="Arial" w:hAnsi="Arial" w:cs="Arial"/>
          <w:color w:val="7B7B7B" w:themeColor="accent3" w:themeShade="BF"/>
          <w:sz w:val="22"/>
          <w:szCs w:val="22"/>
          <w:lang w:val="en-GB"/>
        </w:rPr>
        <w:t xml:space="preserve"> relates to the issue of remuneration of the IP.  That is to say the IP will be remunerated twice for work done in relation to the same company but undertaken in different capacities.  This self interest threat (i.e. which includes self financial interest) may impair the IP’s objectivity and/or judgment.  That is why subsequent appointments are precluded in jurisdictions like South Africa.</w:t>
      </w:r>
    </w:p>
    <w:p w14:paraId="65BC07EF" w14:textId="77777777" w:rsidR="0018307C" w:rsidRDefault="0018307C" w:rsidP="00E62FA0">
      <w:pPr>
        <w:ind w:left="709" w:hanging="709"/>
        <w:jc w:val="both"/>
        <w:rPr>
          <w:rFonts w:ascii="Arial" w:hAnsi="Arial" w:cs="Arial"/>
          <w:color w:val="7B7B7B" w:themeColor="accent3" w:themeShade="BF"/>
          <w:sz w:val="22"/>
          <w:szCs w:val="22"/>
          <w:lang w:val="en-GB"/>
        </w:rPr>
      </w:pPr>
    </w:p>
    <w:p w14:paraId="208EC46A" w14:textId="6761847D" w:rsidR="0018307C" w:rsidRPr="0018307C" w:rsidRDefault="0018307C" w:rsidP="00361503">
      <w:pPr>
        <w:pStyle w:val="Heading1"/>
      </w:pPr>
      <w:r w:rsidRPr="0018307C">
        <w:t>Secret monies and personal transactions with the company</w:t>
      </w:r>
    </w:p>
    <w:p w14:paraId="2011D693" w14:textId="77777777" w:rsidR="0018307C" w:rsidRDefault="0018307C" w:rsidP="00E62FA0">
      <w:pPr>
        <w:ind w:left="709" w:hanging="709"/>
        <w:jc w:val="both"/>
        <w:rPr>
          <w:rFonts w:ascii="Arial" w:hAnsi="Arial" w:cs="Arial"/>
          <w:color w:val="7B7B7B" w:themeColor="accent3" w:themeShade="BF"/>
          <w:sz w:val="22"/>
          <w:szCs w:val="22"/>
          <w:lang w:val="en-GB"/>
        </w:rPr>
      </w:pPr>
    </w:p>
    <w:p w14:paraId="308C22AE" w14:textId="119E6A9D" w:rsidR="00157945" w:rsidRPr="002A37BB" w:rsidRDefault="0018307C" w:rsidP="00445BE1">
      <w:pPr>
        <w:ind w:left="709" w:hanging="709"/>
        <w:jc w:val="both"/>
        <w:rPr>
          <w:rFonts w:ascii="Arial" w:hAnsi="Arial" w:cs="Arial"/>
          <w:sz w:val="22"/>
          <w:szCs w:val="22"/>
        </w:rPr>
      </w:pPr>
      <w:r>
        <w:rPr>
          <w:rFonts w:ascii="Arial" w:hAnsi="Arial" w:cs="Arial"/>
          <w:color w:val="7B7B7B" w:themeColor="accent3" w:themeShade="BF"/>
          <w:sz w:val="22"/>
          <w:szCs w:val="22"/>
          <w:lang w:val="en-GB"/>
        </w:rPr>
        <w:t>9</w:t>
      </w:r>
      <w:r>
        <w:rPr>
          <w:rFonts w:ascii="Arial" w:hAnsi="Arial" w:cs="Arial"/>
          <w:color w:val="7B7B7B" w:themeColor="accent3" w:themeShade="BF"/>
          <w:sz w:val="22"/>
          <w:szCs w:val="22"/>
          <w:lang w:val="en-GB"/>
        </w:rPr>
        <w:tab/>
      </w:r>
      <w:r w:rsidR="00361503">
        <w:rPr>
          <w:rFonts w:ascii="Arial" w:hAnsi="Arial" w:cs="Arial"/>
          <w:color w:val="7B7B7B" w:themeColor="accent3" w:themeShade="BF"/>
          <w:sz w:val="22"/>
          <w:szCs w:val="22"/>
          <w:lang w:val="en-GB"/>
        </w:rPr>
        <w:t>The IP</w:t>
      </w:r>
      <w:r w:rsidR="002D0EAD">
        <w:rPr>
          <w:rFonts w:ascii="Arial" w:hAnsi="Arial" w:cs="Arial"/>
          <w:color w:val="7B7B7B" w:themeColor="accent3" w:themeShade="BF"/>
          <w:sz w:val="22"/>
          <w:szCs w:val="22"/>
          <w:lang w:val="en-GB"/>
        </w:rPr>
        <w:t xml:space="preserve"> is duty bound to act in the best interest of the beneficiaries of his duties at all times and in all transactions.  He is precluded from making a secret profit at the expense of the beneficiaries or place himself in a position where his personal interest (or that of the parties related or connected to him) conflict with his duties.  If his judgment or decision was influenced by the fact that he stands to gain personally or those related to him stand to gain, it cannot be said that he was acting in the best interest of the beneficiaries of his duty.  That is why an IP or those who are related or connected to him should be precluded from purchasing assets from the company in question, unless it is in the ordinary course of business and at an arm’s length without any favours.  This could effect</w:t>
      </w:r>
      <w:r w:rsidR="00A91FC7">
        <w:rPr>
          <w:rFonts w:ascii="Arial" w:hAnsi="Arial" w:cs="Arial"/>
          <w:color w:val="7B7B7B" w:themeColor="accent3" w:themeShade="BF"/>
          <w:sz w:val="22"/>
          <w:szCs w:val="22"/>
          <w:lang w:val="en-GB"/>
        </w:rPr>
        <w:t>ively place</w:t>
      </w:r>
      <w:r w:rsidR="00567706">
        <w:rPr>
          <w:rFonts w:ascii="Arial" w:hAnsi="Arial" w:cs="Arial"/>
          <w:color w:val="7B7B7B" w:themeColor="accent3" w:themeShade="BF"/>
          <w:sz w:val="22"/>
          <w:szCs w:val="22"/>
          <w:lang w:val="en-GB"/>
        </w:rPr>
        <w:t xml:space="preserve"> the IP in an uncomfortable and/or invidious position of being at both ends of the cont</w:t>
      </w:r>
      <w:r w:rsidR="00B1354D">
        <w:rPr>
          <w:rFonts w:ascii="Arial" w:hAnsi="Arial" w:cs="Arial"/>
          <w:color w:val="7B7B7B" w:themeColor="accent3" w:themeShade="BF"/>
          <w:sz w:val="22"/>
          <w:szCs w:val="22"/>
          <w:lang w:val="en-GB"/>
        </w:rPr>
        <w:t>r</w:t>
      </w:r>
      <w:r w:rsidR="00567706">
        <w:rPr>
          <w:rFonts w:ascii="Arial" w:hAnsi="Arial" w:cs="Arial"/>
          <w:color w:val="7B7B7B" w:themeColor="accent3" w:themeShade="BF"/>
          <w:sz w:val="22"/>
          <w:szCs w:val="22"/>
          <w:lang w:val="en-GB"/>
        </w:rPr>
        <w:t>act, which may in turn cause the suspicion that the practitioner, being a fiduciary, is prioritising his own interest instead of those of the beneficiaries of his fiduciary duties.</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lastRenderedPageBreak/>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158CFDF9" w:rsidR="00DF75F8" w:rsidRDefault="000B687C" w:rsidP="000B687C">
      <w:pPr>
        <w:pStyle w:val="BodyTextIndent2"/>
      </w:pPr>
      <w:r>
        <w:t>1</w:t>
      </w:r>
      <w:r>
        <w:tab/>
        <w:t>Ethical considerations which should be born in mind by IPs when appointing legal professionals to assist them in discharging the IP’s mandate arise as a result of the following circumstances:-</w:t>
      </w:r>
    </w:p>
    <w:p w14:paraId="57BB509A" w14:textId="77777777" w:rsidR="000B687C" w:rsidRDefault="000B687C" w:rsidP="002A37BB">
      <w:pPr>
        <w:jc w:val="both"/>
        <w:rPr>
          <w:rFonts w:ascii="Arial" w:hAnsi="Arial" w:cs="Arial"/>
          <w:color w:val="7B7B7B" w:themeColor="accent3" w:themeShade="BF"/>
          <w:sz w:val="22"/>
          <w:szCs w:val="22"/>
          <w:lang w:val="en-GB"/>
        </w:rPr>
      </w:pPr>
    </w:p>
    <w:p w14:paraId="48101A2F" w14:textId="098C91A2" w:rsidR="000B687C" w:rsidRDefault="000B687C" w:rsidP="000B687C">
      <w:pPr>
        <w:pStyle w:val="ListParagraph"/>
        <w:numPr>
          <w:ilvl w:val="1"/>
          <w:numId w:val="21"/>
        </w:numPr>
        <w:jc w:val="both"/>
        <w:rPr>
          <w:rFonts w:ascii="Arial" w:hAnsi="Arial" w:cs="Arial"/>
          <w:color w:val="7B7B7B" w:themeColor="accent3" w:themeShade="BF"/>
          <w:sz w:val="22"/>
          <w:szCs w:val="22"/>
          <w:lang w:val="en-GB"/>
        </w:rPr>
      </w:pPr>
      <w:r w:rsidRPr="000B687C">
        <w:rPr>
          <w:rFonts w:ascii="Arial" w:hAnsi="Arial" w:cs="Arial"/>
          <w:color w:val="7B7B7B" w:themeColor="accent3" w:themeShade="BF"/>
          <w:sz w:val="22"/>
          <w:szCs w:val="22"/>
          <w:lang w:val="en-GB"/>
        </w:rPr>
        <w:t>more often than not, appointed IPs require the assistance and services of legal professionals, especially where the IPs concerned do not possess legal skills;</w:t>
      </w:r>
    </w:p>
    <w:p w14:paraId="55F681E7" w14:textId="77777777" w:rsidR="000B687C" w:rsidRPr="000B687C" w:rsidRDefault="000B687C" w:rsidP="000B687C">
      <w:pPr>
        <w:pStyle w:val="ListParagraph"/>
        <w:ind w:left="1440"/>
        <w:jc w:val="both"/>
        <w:rPr>
          <w:rFonts w:ascii="Arial" w:hAnsi="Arial" w:cs="Arial"/>
          <w:color w:val="7B7B7B" w:themeColor="accent3" w:themeShade="BF"/>
          <w:sz w:val="22"/>
          <w:szCs w:val="22"/>
          <w:lang w:val="en-GB"/>
        </w:rPr>
      </w:pPr>
    </w:p>
    <w:p w14:paraId="3767F560" w14:textId="5D55D590" w:rsidR="000B687C" w:rsidRDefault="000B687C" w:rsidP="000B687C">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when the appointed IP concerned may be an attorney, he may still require the services of a specialist legal counsel to assist him;</w:t>
      </w:r>
    </w:p>
    <w:p w14:paraId="40EED406" w14:textId="77777777" w:rsidR="000B687C" w:rsidRPr="000B687C" w:rsidRDefault="000B687C" w:rsidP="000B687C">
      <w:pPr>
        <w:pStyle w:val="ListParagraph"/>
        <w:rPr>
          <w:rFonts w:ascii="Arial" w:hAnsi="Arial" w:cs="Arial"/>
          <w:color w:val="7B7B7B" w:themeColor="accent3" w:themeShade="BF"/>
          <w:sz w:val="22"/>
          <w:szCs w:val="22"/>
          <w:lang w:val="en-GB"/>
        </w:rPr>
      </w:pPr>
    </w:p>
    <w:p w14:paraId="10425F7C" w14:textId="48A28B87" w:rsidR="000B687C" w:rsidRDefault="000B687C" w:rsidP="000B687C">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in light of the aforegoing that there is disquiet or concern that the circumstances set out above give rise to a multiple set of professionals (i.e. IPs and legal professionals), which in turn translates to multiple sets of professional fees and disbursements.  It is no surprise that this is a contentious issue which would understandably trouble the relevant stakeholders who have (or may have) an interest in the estate of the company debtor concerned which may already be in financial distress</w:t>
      </w:r>
      <w:r w:rsidR="00B10570">
        <w:rPr>
          <w:rFonts w:ascii="Arial" w:hAnsi="Arial" w:cs="Arial"/>
          <w:color w:val="7B7B7B" w:themeColor="accent3" w:themeShade="BF"/>
          <w:sz w:val="22"/>
          <w:szCs w:val="22"/>
          <w:lang w:val="en-GB"/>
        </w:rPr>
        <w:t xml:space="preserve"> and/or insolvency.</w:t>
      </w:r>
    </w:p>
    <w:p w14:paraId="782FE117" w14:textId="77777777" w:rsidR="008001FF" w:rsidRPr="008001FF" w:rsidRDefault="008001FF" w:rsidP="008001FF">
      <w:pPr>
        <w:pStyle w:val="ListParagraph"/>
        <w:rPr>
          <w:rFonts w:ascii="Arial" w:hAnsi="Arial" w:cs="Arial"/>
          <w:color w:val="7B7B7B" w:themeColor="accent3" w:themeShade="BF"/>
          <w:sz w:val="22"/>
          <w:szCs w:val="22"/>
          <w:lang w:val="en-GB"/>
        </w:rPr>
      </w:pPr>
    </w:p>
    <w:p w14:paraId="2121863B" w14:textId="5542C6BF" w:rsidR="008001FF" w:rsidRDefault="006B1405" w:rsidP="00922978">
      <w:pPr>
        <w:pStyle w:val="ListParagraph"/>
        <w:numPr>
          <w:ilvl w:val="0"/>
          <w:numId w:val="21"/>
        </w:num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laid down </w:t>
      </w:r>
      <w:r w:rsidR="00261C85">
        <w:rPr>
          <w:rFonts w:ascii="Arial" w:hAnsi="Arial" w:cs="Arial"/>
          <w:color w:val="7B7B7B" w:themeColor="accent3" w:themeShade="BF"/>
          <w:sz w:val="22"/>
          <w:szCs w:val="22"/>
          <w:lang w:val="en-GB"/>
        </w:rPr>
        <w:t xml:space="preserve">above </w:t>
      </w:r>
      <w:r>
        <w:rPr>
          <w:rFonts w:ascii="Arial" w:hAnsi="Arial" w:cs="Arial"/>
          <w:color w:val="7B7B7B" w:themeColor="accent3" w:themeShade="BF"/>
          <w:sz w:val="22"/>
          <w:szCs w:val="22"/>
          <w:lang w:val="en-GB"/>
        </w:rPr>
        <w:t>the context</w:t>
      </w:r>
      <w:r w:rsidR="008001FF" w:rsidRPr="008001FF">
        <w:rPr>
          <w:rFonts w:ascii="Arial" w:hAnsi="Arial" w:cs="Arial"/>
          <w:color w:val="7B7B7B" w:themeColor="accent3" w:themeShade="BF"/>
          <w:sz w:val="22"/>
          <w:szCs w:val="22"/>
          <w:lang w:val="en-GB"/>
        </w:rPr>
        <w:t xml:space="preserve"> in which the ethical considerations in question arise, I will no</w:t>
      </w:r>
      <w:r>
        <w:rPr>
          <w:rFonts w:ascii="Arial" w:hAnsi="Arial" w:cs="Arial"/>
          <w:color w:val="7B7B7B" w:themeColor="accent3" w:themeShade="BF"/>
          <w:sz w:val="22"/>
          <w:szCs w:val="22"/>
          <w:lang w:val="en-GB"/>
        </w:rPr>
        <w:t>w</w:t>
      </w:r>
      <w:r w:rsidR="008001FF" w:rsidRPr="008001FF">
        <w:rPr>
          <w:rFonts w:ascii="Arial" w:hAnsi="Arial" w:cs="Arial"/>
          <w:color w:val="7B7B7B" w:themeColor="accent3" w:themeShade="BF"/>
          <w:sz w:val="22"/>
          <w:szCs w:val="22"/>
          <w:lang w:val="en-GB"/>
        </w:rPr>
        <w:t xml:space="preserve"> set out the specific ethical duties</w:t>
      </w:r>
      <w:r>
        <w:rPr>
          <w:rFonts w:ascii="Arial" w:hAnsi="Arial" w:cs="Arial"/>
          <w:color w:val="7B7B7B" w:themeColor="accent3" w:themeShade="BF"/>
          <w:sz w:val="22"/>
          <w:szCs w:val="22"/>
          <w:lang w:val="en-GB"/>
        </w:rPr>
        <w:t xml:space="preserve"> and/or responsib</w:t>
      </w:r>
      <w:r w:rsidR="00B24A50">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lities</w:t>
      </w:r>
      <w:r w:rsidR="008001FF" w:rsidRPr="008001FF">
        <w:rPr>
          <w:rFonts w:ascii="Arial" w:hAnsi="Arial" w:cs="Arial"/>
          <w:color w:val="7B7B7B" w:themeColor="accent3" w:themeShade="BF"/>
          <w:sz w:val="22"/>
          <w:szCs w:val="22"/>
          <w:lang w:val="en-GB"/>
        </w:rPr>
        <w:t xml:space="preserve"> which should be fulfilled or </w:t>
      </w:r>
      <w:r>
        <w:rPr>
          <w:rFonts w:ascii="Arial" w:hAnsi="Arial" w:cs="Arial"/>
          <w:color w:val="7B7B7B" w:themeColor="accent3" w:themeShade="BF"/>
          <w:sz w:val="22"/>
          <w:szCs w:val="22"/>
          <w:lang w:val="en-GB"/>
        </w:rPr>
        <w:t>discharged</w:t>
      </w:r>
      <w:r w:rsidR="008001FF" w:rsidRPr="008001FF">
        <w:rPr>
          <w:rFonts w:ascii="Arial" w:hAnsi="Arial" w:cs="Arial"/>
          <w:color w:val="7B7B7B" w:themeColor="accent3" w:themeShade="BF"/>
          <w:sz w:val="22"/>
          <w:szCs w:val="22"/>
          <w:lang w:val="en-GB"/>
        </w:rPr>
        <w:t xml:space="preserve"> by IPs when they </w:t>
      </w:r>
      <w:r w:rsidR="008C4152">
        <w:rPr>
          <w:rFonts w:ascii="Arial" w:hAnsi="Arial" w:cs="Arial"/>
          <w:color w:val="7B7B7B" w:themeColor="accent3" w:themeShade="BF"/>
          <w:sz w:val="22"/>
          <w:szCs w:val="22"/>
          <w:lang w:val="en-GB"/>
        </w:rPr>
        <w:t>appoint</w:t>
      </w:r>
      <w:r w:rsidR="008001FF" w:rsidRPr="008001FF">
        <w:rPr>
          <w:rFonts w:ascii="Arial" w:hAnsi="Arial" w:cs="Arial"/>
          <w:color w:val="7B7B7B" w:themeColor="accent3" w:themeShade="BF"/>
          <w:sz w:val="22"/>
          <w:szCs w:val="22"/>
          <w:lang w:val="en-GB"/>
        </w:rPr>
        <w:t xml:space="preserve"> legal profession</w:t>
      </w:r>
      <w:r w:rsidR="008C4152">
        <w:rPr>
          <w:rFonts w:ascii="Arial" w:hAnsi="Arial" w:cs="Arial"/>
          <w:color w:val="7B7B7B" w:themeColor="accent3" w:themeShade="BF"/>
          <w:sz w:val="22"/>
          <w:szCs w:val="22"/>
          <w:lang w:val="en-GB"/>
        </w:rPr>
        <w:t>al</w:t>
      </w:r>
      <w:r w:rsidR="008001FF" w:rsidRPr="008001FF">
        <w:rPr>
          <w:rFonts w:ascii="Arial" w:hAnsi="Arial" w:cs="Arial"/>
          <w:color w:val="7B7B7B" w:themeColor="accent3" w:themeShade="BF"/>
          <w:sz w:val="22"/>
          <w:szCs w:val="22"/>
          <w:lang w:val="en-GB"/>
        </w:rPr>
        <w:t>s, having regard to what the courts of different jurisdictions have said on this topic.  To this end, I will discuss:-</w:t>
      </w:r>
    </w:p>
    <w:p w14:paraId="3BA0868F" w14:textId="77777777" w:rsidR="00922978" w:rsidRDefault="00922978" w:rsidP="00922978">
      <w:pPr>
        <w:jc w:val="both"/>
        <w:rPr>
          <w:rFonts w:ascii="Arial" w:hAnsi="Arial" w:cs="Arial"/>
          <w:color w:val="7B7B7B" w:themeColor="accent3" w:themeShade="BF"/>
          <w:sz w:val="22"/>
          <w:szCs w:val="22"/>
          <w:lang w:val="en-GB"/>
        </w:rPr>
      </w:pPr>
    </w:p>
    <w:p w14:paraId="5D37CD27" w14:textId="365D1B28" w:rsidR="00922978" w:rsidRDefault="00922978" w:rsidP="00922978">
      <w:pPr>
        <w:pStyle w:val="ListParagraph"/>
        <w:numPr>
          <w:ilvl w:val="1"/>
          <w:numId w:val="21"/>
        </w:numPr>
        <w:jc w:val="both"/>
        <w:rPr>
          <w:rFonts w:ascii="Arial" w:hAnsi="Arial" w:cs="Arial"/>
          <w:color w:val="7B7B7B" w:themeColor="accent3" w:themeShade="BF"/>
          <w:sz w:val="22"/>
          <w:szCs w:val="22"/>
          <w:lang w:val="en-GB"/>
        </w:rPr>
      </w:pPr>
      <w:r w:rsidRPr="00922978">
        <w:rPr>
          <w:rFonts w:ascii="Arial" w:hAnsi="Arial" w:cs="Arial"/>
          <w:color w:val="7B7B7B" w:themeColor="accent3" w:themeShade="BF"/>
          <w:sz w:val="22"/>
          <w:szCs w:val="22"/>
          <w:lang w:val="en-GB"/>
        </w:rPr>
        <w:t xml:space="preserve">what Chong J said in the Singaporean </w:t>
      </w:r>
      <w:r w:rsidRPr="00922978">
        <w:rPr>
          <w:rFonts w:ascii="Arial" w:hAnsi="Arial" w:cs="Arial"/>
          <w:i/>
          <w:color w:val="7B7B7B" w:themeColor="accent3" w:themeShade="BF"/>
          <w:sz w:val="22"/>
          <w:szCs w:val="22"/>
          <w:lang w:val="en-GB"/>
        </w:rPr>
        <w:t>Kao</w:t>
      </w:r>
      <w:r w:rsidRPr="00922978">
        <w:rPr>
          <w:rFonts w:ascii="Arial" w:hAnsi="Arial" w:cs="Arial"/>
          <w:color w:val="7B7B7B" w:themeColor="accent3" w:themeShade="BF"/>
          <w:sz w:val="22"/>
          <w:szCs w:val="22"/>
          <w:lang w:val="en-GB"/>
        </w:rPr>
        <w:t xml:space="preserve"> case</w:t>
      </w:r>
      <w:r w:rsidR="008C11AC">
        <w:rPr>
          <w:rFonts w:ascii="Arial" w:hAnsi="Arial" w:cs="Arial"/>
          <w:color w:val="7B7B7B" w:themeColor="accent3" w:themeShade="BF"/>
          <w:sz w:val="22"/>
          <w:szCs w:val="22"/>
          <w:lang w:val="en-GB"/>
        </w:rPr>
        <w:t xml:space="preserve">.  Another issue which the court addressed is when the costs of legal professionals are not claimed as IP’s disbursements but billed directly to the company, in relation to which the responsibility to monitor fees and scrutinise the bill similarly become critical.  This kind of administrative cost relates to a duplication of work done by the legal professionals.  The court said in such a situation the burden is on the IP to justify claims for work done in circumstances where there are other professionals engaged on the same matter.  Below, I address what the court said in </w:t>
      </w:r>
      <w:r w:rsidR="008C11AC" w:rsidRPr="008C11AC">
        <w:rPr>
          <w:rFonts w:ascii="Arial" w:hAnsi="Arial" w:cs="Arial"/>
          <w:i/>
          <w:color w:val="7B7B7B" w:themeColor="accent3" w:themeShade="BF"/>
          <w:sz w:val="22"/>
          <w:szCs w:val="22"/>
          <w:lang w:val="en-GB"/>
        </w:rPr>
        <w:t>Dovechem</w:t>
      </w:r>
      <w:r w:rsidR="008C11AC">
        <w:rPr>
          <w:rFonts w:ascii="Arial" w:hAnsi="Arial" w:cs="Arial"/>
          <w:color w:val="7B7B7B" w:themeColor="accent3" w:themeShade="BF"/>
          <w:sz w:val="22"/>
          <w:szCs w:val="22"/>
          <w:lang w:val="en-GB"/>
        </w:rPr>
        <w:t xml:space="preserve"> </w:t>
      </w:r>
      <w:r w:rsidR="003D07BE" w:rsidRPr="003D07BE">
        <w:rPr>
          <w:rFonts w:ascii="Arial" w:hAnsi="Arial" w:cs="Arial"/>
          <w:i/>
          <w:color w:val="7B7B7B" w:themeColor="accent3" w:themeShade="BF"/>
          <w:sz w:val="22"/>
          <w:szCs w:val="22"/>
          <w:lang w:val="en-GB"/>
        </w:rPr>
        <w:t>S</w:t>
      </w:r>
      <w:r w:rsidR="008C11AC" w:rsidRPr="003D07BE">
        <w:rPr>
          <w:rFonts w:ascii="Arial" w:hAnsi="Arial" w:cs="Arial"/>
          <w:i/>
          <w:color w:val="7B7B7B" w:themeColor="accent3" w:themeShade="BF"/>
          <w:sz w:val="22"/>
          <w:szCs w:val="22"/>
          <w:lang w:val="en-GB"/>
        </w:rPr>
        <w:t>pecialised</w:t>
      </w:r>
      <w:r w:rsidRPr="00922978">
        <w:rPr>
          <w:rFonts w:ascii="Arial" w:hAnsi="Arial" w:cs="Arial"/>
          <w:color w:val="7B7B7B" w:themeColor="accent3" w:themeShade="BF"/>
          <w:sz w:val="22"/>
          <w:szCs w:val="22"/>
          <w:lang w:val="en-GB"/>
        </w:rPr>
        <w:t>;</w:t>
      </w:r>
    </w:p>
    <w:p w14:paraId="1D2D61A9" w14:textId="77777777" w:rsidR="00922978" w:rsidRPr="00922978" w:rsidRDefault="00922978" w:rsidP="00922978">
      <w:pPr>
        <w:pStyle w:val="ListParagraph"/>
        <w:ind w:left="1440"/>
        <w:jc w:val="both"/>
        <w:rPr>
          <w:rFonts w:ascii="Arial" w:hAnsi="Arial" w:cs="Arial"/>
          <w:color w:val="7B7B7B" w:themeColor="accent3" w:themeShade="BF"/>
          <w:sz w:val="22"/>
          <w:szCs w:val="22"/>
          <w:lang w:val="en-GB"/>
        </w:rPr>
      </w:pPr>
    </w:p>
    <w:p w14:paraId="03D32F7C" w14:textId="20D4110F" w:rsidR="00922978" w:rsidRDefault="00922978" w:rsidP="00922978">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Finkelstein J said in the Australia </w:t>
      </w:r>
      <w:r w:rsidRPr="00922978">
        <w:rPr>
          <w:rFonts w:ascii="Arial" w:hAnsi="Arial" w:cs="Arial"/>
          <w:i/>
          <w:color w:val="7B7B7B" w:themeColor="accent3" w:themeShade="BF"/>
          <w:sz w:val="22"/>
          <w:szCs w:val="22"/>
          <w:lang w:val="en-GB"/>
        </w:rPr>
        <w:t>Korda</w:t>
      </w:r>
      <w:r>
        <w:rPr>
          <w:rFonts w:ascii="Arial" w:hAnsi="Arial" w:cs="Arial"/>
          <w:color w:val="7B7B7B" w:themeColor="accent3" w:themeShade="BF"/>
          <w:sz w:val="22"/>
          <w:szCs w:val="22"/>
          <w:lang w:val="en-GB"/>
        </w:rPr>
        <w:t xml:space="preserve"> case;</w:t>
      </w:r>
    </w:p>
    <w:p w14:paraId="029F39DB" w14:textId="77777777" w:rsidR="00922978" w:rsidRPr="00922978" w:rsidRDefault="00922978" w:rsidP="00922978">
      <w:pPr>
        <w:pStyle w:val="ListParagraph"/>
        <w:rPr>
          <w:rFonts w:ascii="Arial" w:hAnsi="Arial" w:cs="Arial"/>
          <w:color w:val="7B7B7B" w:themeColor="accent3" w:themeShade="BF"/>
          <w:sz w:val="22"/>
          <w:szCs w:val="22"/>
          <w:lang w:val="en-GB"/>
        </w:rPr>
      </w:pPr>
    </w:p>
    <w:p w14:paraId="5E348B62" w14:textId="69F3A6E9" w:rsidR="00922978" w:rsidRDefault="00922978" w:rsidP="00922978">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the court said in the Singaporean </w:t>
      </w:r>
      <w:r w:rsidRPr="00922978">
        <w:rPr>
          <w:rFonts w:ascii="Arial" w:hAnsi="Arial" w:cs="Arial"/>
          <w:i/>
          <w:color w:val="7B7B7B" w:themeColor="accent3" w:themeShade="BF"/>
          <w:sz w:val="22"/>
          <w:szCs w:val="22"/>
          <w:lang w:val="en-GB"/>
        </w:rPr>
        <w:t>Dovechem</w:t>
      </w:r>
      <w:r>
        <w:rPr>
          <w:rFonts w:ascii="Arial" w:hAnsi="Arial" w:cs="Arial"/>
          <w:color w:val="7B7B7B" w:themeColor="accent3" w:themeShade="BF"/>
          <w:sz w:val="22"/>
          <w:szCs w:val="22"/>
          <w:lang w:val="en-GB"/>
        </w:rPr>
        <w:t xml:space="preserve"> case;</w:t>
      </w:r>
      <w:r w:rsidR="009B055D">
        <w:rPr>
          <w:rFonts w:ascii="Arial" w:hAnsi="Arial" w:cs="Arial"/>
          <w:color w:val="7B7B7B" w:themeColor="accent3" w:themeShade="BF"/>
          <w:sz w:val="22"/>
          <w:szCs w:val="22"/>
          <w:lang w:val="en-GB"/>
        </w:rPr>
        <w:t xml:space="preserve"> and</w:t>
      </w:r>
    </w:p>
    <w:p w14:paraId="51EA0CB1" w14:textId="77777777" w:rsidR="00922978" w:rsidRPr="00922978" w:rsidRDefault="00922978" w:rsidP="00922978">
      <w:pPr>
        <w:pStyle w:val="ListParagraph"/>
        <w:rPr>
          <w:rFonts w:ascii="Arial" w:hAnsi="Arial" w:cs="Arial"/>
          <w:color w:val="7B7B7B" w:themeColor="accent3" w:themeShade="BF"/>
          <w:sz w:val="22"/>
          <w:szCs w:val="22"/>
          <w:lang w:val="en-GB"/>
        </w:rPr>
      </w:pPr>
    </w:p>
    <w:p w14:paraId="77FE9A27" w14:textId="3857D10A" w:rsidR="00922978" w:rsidRDefault="009B055D" w:rsidP="00922978">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w:t>
      </w:r>
      <w:r w:rsidR="00B24A50">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y, </w:t>
      </w:r>
      <w:r w:rsidR="00F85E89">
        <w:rPr>
          <w:rFonts w:ascii="Arial" w:hAnsi="Arial" w:cs="Arial"/>
          <w:color w:val="7B7B7B" w:themeColor="accent3" w:themeShade="BF"/>
          <w:sz w:val="22"/>
          <w:szCs w:val="22"/>
          <w:lang w:val="en-GB"/>
        </w:rPr>
        <w:t>the relevance and usefulness of the new Insolvency Code of Ethics by the Institute for Chartered Accountants of England and Wales (“</w:t>
      </w:r>
      <w:r w:rsidR="00C035DA">
        <w:rPr>
          <w:rFonts w:ascii="Arial" w:hAnsi="Arial" w:cs="Arial"/>
          <w:b/>
          <w:i/>
          <w:color w:val="7B7B7B" w:themeColor="accent3" w:themeShade="BF"/>
          <w:sz w:val="22"/>
          <w:szCs w:val="22"/>
          <w:lang w:val="en-GB"/>
        </w:rPr>
        <w:t>ICAEW</w:t>
      </w:r>
      <w:r w:rsidR="00F85E89">
        <w:rPr>
          <w:rFonts w:ascii="Arial" w:hAnsi="Arial" w:cs="Arial"/>
          <w:color w:val="7B7B7B" w:themeColor="accent3" w:themeShade="BF"/>
          <w:sz w:val="22"/>
          <w:szCs w:val="22"/>
          <w:lang w:val="en-GB"/>
        </w:rPr>
        <w:t>”)</w:t>
      </w:r>
      <w:r w:rsidR="00C035DA">
        <w:rPr>
          <w:rFonts w:ascii="Arial" w:hAnsi="Arial" w:cs="Arial"/>
          <w:color w:val="7B7B7B" w:themeColor="accent3" w:themeShade="BF"/>
          <w:sz w:val="22"/>
          <w:szCs w:val="22"/>
          <w:lang w:val="en-GB"/>
        </w:rPr>
        <w:t xml:space="preserve"> to the use of legal professionals by IPs.</w:t>
      </w:r>
    </w:p>
    <w:p w14:paraId="046DF867" w14:textId="77777777" w:rsidR="005449FF" w:rsidRPr="005449FF" w:rsidRDefault="005449FF" w:rsidP="005449FF">
      <w:pPr>
        <w:pStyle w:val="ListParagraph"/>
        <w:rPr>
          <w:rFonts w:ascii="Arial" w:hAnsi="Arial" w:cs="Arial"/>
          <w:color w:val="7B7B7B" w:themeColor="accent3" w:themeShade="BF"/>
          <w:sz w:val="22"/>
          <w:szCs w:val="22"/>
          <w:lang w:val="en-GB"/>
        </w:rPr>
      </w:pPr>
    </w:p>
    <w:p w14:paraId="3FCBB1BA" w14:textId="0ED6CC5B" w:rsidR="005449FF" w:rsidRDefault="00B24A50" w:rsidP="0086171D">
      <w:pPr>
        <w:pStyle w:val="ListParagraph"/>
        <w:numPr>
          <w:ilvl w:val="0"/>
          <w:numId w:val="21"/>
        </w:numPr>
        <w:ind w:left="709" w:hanging="709"/>
        <w:jc w:val="both"/>
        <w:rPr>
          <w:rFonts w:ascii="Arial" w:hAnsi="Arial" w:cs="Arial"/>
          <w:color w:val="7B7B7B" w:themeColor="accent3" w:themeShade="BF"/>
          <w:sz w:val="22"/>
          <w:szCs w:val="22"/>
          <w:lang w:val="en-GB"/>
        </w:rPr>
      </w:pPr>
      <w:r w:rsidRPr="0086171D">
        <w:rPr>
          <w:rFonts w:ascii="Arial" w:hAnsi="Arial" w:cs="Arial"/>
          <w:color w:val="7B7B7B" w:themeColor="accent3" w:themeShade="BF"/>
          <w:sz w:val="22"/>
          <w:szCs w:val="22"/>
          <w:lang w:val="en-GB"/>
        </w:rPr>
        <w:t xml:space="preserve">Chong J in </w:t>
      </w:r>
      <w:r w:rsidRPr="0086171D">
        <w:rPr>
          <w:rFonts w:ascii="Arial" w:hAnsi="Arial" w:cs="Arial"/>
          <w:i/>
          <w:color w:val="7B7B7B" w:themeColor="accent3" w:themeShade="BF"/>
          <w:sz w:val="22"/>
          <w:szCs w:val="22"/>
          <w:lang w:val="en-GB"/>
        </w:rPr>
        <w:t>Kao</w:t>
      </w:r>
      <w:r w:rsidRPr="0086171D">
        <w:rPr>
          <w:rFonts w:ascii="Arial" w:hAnsi="Arial" w:cs="Arial"/>
          <w:color w:val="7B7B7B" w:themeColor="accent3" w:themeShade="BF"/>
          <w:sz w:val="22"/>
          <w:szCs w:val="22"/>
          <w:lang w:val="en-GB"/>
        </w:rPr>
        <w:t xml:space="preserve"> explained that the costs of legal professionals can either be claimed as part of the IP’s disbursements or the costs can be billed separately and directly to the debtor company.  The court however emphasised that where the costs are claimed as disbursements, it is incumbent on the IP, as the party respon</w:t>
      </w:r>
      <w:r w:rsidR="00C56F75">
        <w:rPr>
          <w:rFonts w:ascii="Arial" w:hAnsi="Arial" w:cs="Arial"/>
          <w:color w:val="7B7B7B" w:themeColor="accent3" w:themeShade="BF"/>
          <w:sz w:val="22"/>
          <w:szCs w:val="22"/>
          <w:lang w:val="en-GB"/>
        </w:rPr>
        <w:t>sible for the payment, to assess</w:t>
      </w:r>
      <w:r w:rsidRPr="0086171D">
        <w:rPr>
          <w:rFonts w:ascii="Arial" w:hAnsi="Arial" w:cs="Arial"/>
          <w:color w:val="7B7B7B" w:themeColor="accent3" w:themeShade="BF"/>
          <w:sz w:val="22"/>
          <w:szCs w:val="22"/>
          <w:lang w:val="en-GB"/>
        </w:rPr>
        <w:t xml:space="preserve"> whether the bill is reasonable and appropriate in the circumstances</w:t>
      </w:r>
      <w:r w:rsidR="0086171D" w:rsidRPr="0086171D">
        <w:rPr>
          <w:rFonts w:ascii="Arial" w:hAnsi="Arial" w:cs="Arial"/>
          <w:color w:val="7B7B7B" w:themeColor="accent3" w:themeShade="BF"/>
          <w:sz w:val="22"/>
          <w:szCs w:val="22"/>
          <w:lang w:val="en-GB"/>
        </w:rPr>
        <w:t>.</w:t>
      </w:r>
    </w:p>
    <w:p w14:paraId="286D6718" w14:textId="77777777" w:rsidR="0086171D" w:rsidRPr="0086171D" w:rsidRDefault="0086171D" w:rsidP="0086171D">
      <w:pPr>
        <w:pStyle w:val="ListParagraph"/>
        <w:ind w:left="709" w:hanging="709"/>
        <w:jc w:val="both"/>
        <w:rPr>
          <w:rFonts w:ascii="Arial" w:hAnsi="Arial" w:cs="Arial"/>
          <w:color w:val="7B7B7B" w:themeColor="accent3" w:themeShade="BF"/>
          <w:sz w:val="22"/>
          <w:szCs w:val="22"/>
          <w:lang w:val="en-GB"/>
        </w:rPr>
      </w:pPr>
    </w:p>
    <w:p w14:paraId="5F66D6BB" w14:textId="616A7109" w:rsidR="0086171D" w:rsidRDefault="0086171D" w:rsidP="0086171D">
      <w:pPr>
        <w:pStyle w:val="ListParagraph"/>
        <w:numPr>
          <w:ilvl w:val="0"/>
          <w:numId w:val="21"/>
        </w:num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Finkelstein J in </w:t>
      </w:r>
      <w:r w:rsidRPr="0086171D">
        <w:rPr>
          <w:rFonts w:ascii="Arial" w:hAnsi="Arial" w:cs="Arial"/>
          <w:i/>
          <w:color w:val="7B7B7B" w:themeColor="accent3" w:themeShade="BF"/>
          <w:sz w:val="22"/>
          <w:szCs w:val="22"/>
          <w:lang w:val="en-GB"/>
        </w:rPr>
        <w:t>Korda</w:t>
      </w:r>
      <w:r>
        <w:rPr>
          <w:rFonts w:ascii="Arial" w:hAnsi="Arial" w:cs="Arial"/>
          <w:color w:val="7B7B7B" w:themeColor="accent3" w:themeShade="BF"/>
          <w:sz w:val="22"/>
          <w:szCs w:val="22"/>
          <w:lang w:val="en-GB"/>
        </w:rPr>
        <w:t xml:space="preserve"> expressed the reasoning which was not dissimilar to that expressed by the court in </w:t>
      </w:r>
      <w:r w:rsidRPr="0086171D">
        <w:rPr>
          <w:rFonts w:ascii="Arial" w:hAnsi="Arial" w:cs="Arial"/>
          <w:i/>
          <w:color w:val="7B7B7B" w:themeColor="accent3" w:themeShade="BF"/>
          <w:sz w:val="22"/>
          <w:szCs w:val="22"/>
          <w:lang w:val="en-GB"/>
        </w:rPr>
        <w:t>Kao</w:t>
      </w:r>
      <w:r>
        <w:rPr>
          <w:rFonts w:ascii="Arial" w:hAnsi="Arial" w:cs="Arial"/>
          <w:color w:val="7B7B7B" w:themeColor="accent3" w:themeShade="BF"/>
          <w:sz w:val="22"/>
          <w:szCs w:val="22"/>
          <w:lang w:val="en-GB"/>
        </w:rPr>
        <w:t xml:space="preserve">.  In this regard, Finkelstein </w:t>
      </w:r>
      <w:r w:rsidR="00C56F75">
        <w:rPr>
          <w:rFonts w:ascii="Arial" w:hAnsi="Arial" w:cs="Arial"/>
          <w:color w:val="7B7B7B" w:themeColor="accent3" w:themeShade="BF"/>
          <w:sz w:val="22"/>
          <w:szCs w:val="22"/>
          <w:lang w:val="en-GB"/>
        </w:rPr>
        <w:t xml:space="preserve">J </w:t>
      </w:r>
      <w:r>
        <w:rPr>
          <w:rFonts w:ascii="Arial" w:hAnsi="Arial" w:cs="Arial"/>
          <w:color w:val="7B7B7B" w:themeColor="accent3" w:themeShade="BF"/>
          <w:sz w:val="22"/>
          <w:szCs w:val="22"/>
          <w:lang w:val="en-GB"/>
        </w:rPr>
        <w:t>said the IP should exercise his commercial judgment when engaging the services of legal professionals and that a prudent IP would monitor the fees claimed by legal professionals.</w:t>
      </w:r>
    </w:p>
    <w:p w14:paraId="4CCAC7AB" w14:textId="77777777" w:rsidR="003D07BE" w:rsidRPr="003D07BE" w:rsidRDefault="003D07BE" w:rsidP="003D07BE">
      <w:pPr>
        <w:pStyle w:val="ListParagraph"/>
        <w:rPr>
          <w:rFonts w:ascii="Arial" w:hAnsi="Arial" w:cs="Arial"/>
          <w:color w:val="7B7B7B" w:themeColor="accent3" w:themeShade="BF"/>
          <w:sz w:val="22"/>
          <w:szCs w:val="22"/>
          <w:lang w:val="en-GB"/>
        </w:rPr>
      </w:pPr>
    </w:p>
    <w:p w14:paraId="39D0ABE5" w14:textId="441B186D" w:rsidR="00A85B77" w:rsidRPr="00D40AD5" w:rsidRDefault="003D07BE" w:rsidP="00D40AD5">
      <w:pPr>
        <w:pStyle w:val="ListParagraph"/>
        <w:numPr>
          <w:ilvl w:val="0"/>
          <w:numId w:val="21"/>
        </w:num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Pr="003D07BE">
        <w:rPr>
          <w:rFonts w:ascii="Arial" w:hAnsi="Arial" w:cs="Arial"/>
          <w:i/>
          <w:color w:val="7B7B7B" w:themeColor="accent3" w:themeShade="BF"/>
          <w:sz w:val="22"/>
          <w:szCs w:val="22"/>
          <w:lang w:val="en-GB"/>
        </w:rPr>
        <w:t>Dovechem</w:t>
      </w:r>
      <w:r>
        <w:rPr>
          <w:rFonts w:ascii="Arial" w:hAnsi="Arial" w:cs="Arial"/>
          <w:color w:val="7B7B7B" w:themeColor="accent3" w:themeShade="BF"/>
          <w:sz w:val="22"/>
          <w:szCs w:val="22"/>
          <w:lang w:val="en-GB"/>
        </w:rPr>
        <w:t xml:space="preserve"> the issue of duplication of work done by legal professionals arose.  The court had to deal with a complaint by the majority shareholders of the company that the liquidators had charged four times more than the solicitors that were instructed to institute action on behalf of the company.  Although it appeared </w:t>
      </w:r>
      <w:r w:rsidRPr="003D07BE">
        <w:rPr>
          <w:rFonts w:ascii="Arial" w:hAnsi="Arial" w:cs="Arial"/>
          <w:i/>
          <w:color w:val="7B7B7B" w:themeColor="accent3" w:themeShade="BF"/>
          <w:sz w:val="22"/>
          <w:szCs w:val="22"/>
          <w:lang w:val="en-GB"/>
        </w:rPr>
        <w:t>prima facie</w:t>
      </w:r>
      <w:r>
        <w:rPr>
          <w:rFonts w:ascii="Arial" w:hAnsi="Arial" w:cs="Arial"/>
          <w:color w:val="7B7B7B" w:themeColor="accent3" w:themeShade="BF"/>
          <w:sz w:val="22"/>
          <w:szCs w:val="22"/>
          <w:lang w:val="en-GB"/>
        </w:rPr>
        <w:t xml:space="preserve"> that the liquidators had duplicated the work perfo</w:t>
      </w:r>
      <w:r w:rsidR="00937F77">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med by </w:t>
      </w:r>
      <w:r w:rsidR="00937F77">
        <w:rPr>
          <w:rFonts w:ascii="Arial" w:hAnsi="Arial" w:cs="Arial"/>
          <w:color w:val="7B7B7B" w:themeColor="accent3" w:themeShade="BF"/>
          <w:sz w:val="22"/>
          <w:szCs w:val="22"/>
          <w:lang w:val="en-GB"/>
        </w:rPr>
        <w:t>legal professionals, the court found that the liquidators we</w:t>
      </w:r>
      <w:r w:rsidR="00BC3CF0">
        <w:rPr>
          <w:rFonts w:ascii="Arial" w:hAnsi="Arial" w:cs="Arial"/>
          <w:color w:val="7B7B7B" w:themeColor="accent3" w:themeShade="BF"/>
          <w:sz w:val="22"/>
          <w:szCs w:val="22"/>
          <w:lang w:val="en-GB"/>
        </w:rPr>
        <w:t>re able to prove that the work</w:t>
      </w:r>
      <w:r w:rsidR="00937F77">
        <w:rPr>
          <w:rFonts w:ascii="Arial" w:hAnsi="Arial" w:cs="Arial"/>
          <w:color w:val="7B7B7B" w:themeColor="accent3" w:themeShade="BF"/>
          <w:sz w:val="22"/>
          <w:szCs w:val="22"/>
          <w:lang w:val="en-GB"/>
        </w:rPr>
        <w:t xml:space="preserve"> performed by them in relation to the matter was different from that of the solicitors.  That is because the liquidators were able to meticulously </w:t>
      </w:r>
      <w:r w:rsidR="004363B1">
        <w:rPr>
          <w:rFonts w:ascii="Arial" w:hAnsi="Arial" w:cs="Arial"/>
          <w:color w:val="7B7B7B" w:themeColor="accent3" w:themeShade="BF"/>
          <w:sz w:val="22"/>
          <w:szCs w:val="22"/>
          <w:lang w:val="en-GB"/>
        </w:rPr>
        <w:t>and thoroughly demonstrate that there was no duplication of work.  This then means</w:t>
      </w:r>
      <w:r w:rsidR="00202B08">
        <w:rPr>
          <w:rFonts w:ascii="Arial" w:hAnsi="Arial" w:cs="Arial"/>
          <w:color w:val="7B7B7B" w:themeColor="accent3" w:themeShade="BF"/>
          <w:sz w:val="22"/>
          <w:szCs w:val="22"/>
          <w:lang w:val="en-GB"/>
        </w:rPr>
        <w:t xml:space="preserve"> the lesson for IPs is that a duplication of work does not necessarily follow as a matter of course where legal professionals are engaged in the same matter.  That is why the onus rests on the IP concerned to keep</w:t>
      </w:r>
      <w:r w:rsidR="00A85B77">
        <w:rPr>
          <w:rFonts w:ascii="Arial" w:hAnsi="Arial" w:cs="Arial"/>
          <w:color w:val="7B7B7B" w:themeColor="accent3" w:themeShade="BF"/>
          <w:sz w:val="22"/>
          <w:szCs w:val="22"/>
          <w:lang w:val="en-GB"/>
        </w:rPr>
        <w:t xml:space="preserve"> detailed notes, records of his work performed in order to demonstrate, if necessary, that the work performed by the legal professionals is different even though it may be related and/or ancillary.  </w:t>
      </w:r>
    </w:p>
    <w:p w14:paraId="5D9FAFEF" w14:textId="77777777" w:rsidR="00A85B77" w:rsidRPr="00A85B77" w:rsidRDefault="00A85B77" w:rsidP="00A85B77">
      <w:pPr>
        <w:pStyle w:val="ListParagraph"/>
        <w:rPr>
          <w:rFonts w:ascii="Arial" w:hAnsi="Arial" w:cs="Arial"/>
          <w:color w:val="7B7B7B" w:themeColor="accent3" w:themeShade="BF"/>
          <w:sz w:val="22"/>
          <w:szCs w:val="22"/>
          <w:lang w:val="en-GB"/>
        </w:rPr>
      </w:pPr>
    </w:p>
    <w:p w14:paraId="2B89B98A" w14:textId="5333B30C" w:rsidR="00A85B77" w:rsidRDefault="00A85B77" w:rsidP="0086171D">
      <w:pPr>
        <w:pStyle w:val="ListParagraph"/>
        <w:numPr>
          <w:ilvl w:val="0"/>
          <w:numId w:val="21"/>
        </w:num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relevance and usefulness of the ICAEW to the use of legal professionals by IPs cannot be</w:t>
      </w:r>
      <w:r w:rsidR="000965C9">
        <w:rPr>
          <w:rFonts w:ascii="Arial" w:hAnsi="Arial" w:cs="Arial"/>
          <w:color w:val="7B7B7B" w:themeColor="accent3" w:themeShade="BF"/>
          <w:sz w:val="22"/>
          <w:szCs w:val="22"/>
          <w:lang w:val="en-GB"/>
        </w:rPr>
        <w:t xml:space="preserve"> overemphasised.  To illustrate</w:t>
      </w:r>
      <w:r>
        <w:rPr>
          <w:rFonts w:ascii="Arial" w:hAnsi="Arial" w:cs="Arial"/>
          <w:color w:val="7B7B7B" w:themeColor="accent3" w:themeShade="BF"/>
          <w:sz w:val="22"/>
          <w:szCs w:val="22"/>
          <w:lang w:val="en-GB"/>
        </w:rPr>
        <w:t xml:space="preserve"> the point</w:t>
      </w:r>
      <w:r w:rsidR="000965C9">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relevant provisions of the ICAEW should be set out as follows:-</w:t>
      </w:r>
    </w:p>
    <w:p w14:paraId="63514922" w14:textId="77777777" w:rsidR="00A85B77" w:rsidRPr="00A85B77" w:rsidRDefault="00A85B77" w:rsidP="00A85B77">
      <w:pPr>
        <w:pStyle w:val="ListParagraph"/>
        <w:rPr>
          <w:rFonts w:ascii="Arial" w:hAnsi="Arial" w:cs="Arial"/>
          <w:color w:val="7B7B7B" w:themeColor="accent3" w:themeShade="BF"/>
          <w:sz w:val="22"/>
          <w:szCs w:val="22"/>
          <w:lang w:val="en-GB"/>
        </w:rPr>
      </w:pPr>
    </w:p>
    <w:p w14:paraId="285F778A" w14:textId="502621EA" w:rsidR="00A85B77" w:rsidRDefault="00A85B77" w:rsidP="0060781E">
      <w:pPr>
        <w:pStyle w:val="ListParagraph"/>
        <w:numPr>
          <w:ilvl w:val="1"/>
          <w:numId w:val="21"/>
        </w:numPr>
        <w:jc w:val="both"/>
        <w:rPr>
          <w:rFonts w:ascii="Arial" w:hAnsi="Arial" w:cs="Arial"/>
          <w:color w:val="7B7B7B" w:themeColor="accent3" w:themeShade="BF"/>
          <w:sz w:val="22"/>
          <w:szCs w:val="22"/>
          <w:lang w:val="en-GB"/>
        </w:rPr>
      </w:pPr>
      <w:r w:rsidRPr="0060781E">
        <w:rPr>
          <w:rFonts w:ascii="Arial" w:hAnsi="Arial" w:cs="Arial"/>
          <w:color w:val="7B7B7B" w:themeColor="accent3" w:themeShade="BF"/>
          <w:sz w:val="22"/>
          <w:szCs w:val="22"/>
          <w:lang w:val="en-GB"/>
        </w:rPr>
        <w:t>an IP</w:t>
      </w:r>
      <w:r w:rsidR="0060781E" w:rsidRPr="0060781E">
        <w:rPr>
          <w:rFonts w:ascii="Arial" w:hAnsi="Arial" w:cs="Arial"/>
          <w:color w:val="7B7B7B" w:themeColor="accent3" w:themeShade="BF"/>
          <w:sz w:val="22"/>
          <w:szCs w:val="22"/>
          <w:lang w:val="en-GB"/>
        </w:rPr>
        <w:t xml:space="preserve"> is required to document the reasons for choosing a specific service provider;</w:t>
      </w:r>
    </w:p>
    <w:p w14:paraId="469BB369" w14:textId="77777777" w:rsidR="0060781E" w:rsidRPr="0060781E" w:rsidRDefault="0060781E" w:rsidP="0060781E">
      <w:pPr>
        <w:pStyle w:val="ListParagraph"/>
        <w:ind w:left="1440"/>
        <w:jc w:val="both"/>
        <w:rPr>
          <w:rFonts w:ascii="Arial" w:hAnsi="Arial" w:cs="Arial"/>
          <w:color w:val="7B7B7B" w:themeColor="accent3" w:themeShade="BF"/>
          <w:sz w:val="22"/>
          <w:szCs w:val="22"/>
          <w:lang w:val="en-GB"/>
        </w:rPr>
      </w:pPr>
    </w:p>
    <w:p w14:paraId="0F69B445" w14:textId="4C9E507D" w:rsidR="0060781E" w:rsidRDefault="0060781E" w:rsidP="0060781E">
      <w:pPr>
        <w:pStyle w:val="ListParagraph"/>
        <w:numPr>
          <w:ilvl w:val="1"/>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there is a personal or professional relationship between the IP and the service provider, the code suggests full disclosure of the relevant relationship and as assessment as to whether the </w:t>
      </w:r>
      <w:r w:rsidR="00931AC0">
        <w:rPr>
          <w:rFonts w:ascii="Arial" w:hAnsi="Arial" w:cs="Arial"/>
          <w:color w:val="7B7B7B" w:themeColor="accent3" w:themeShade="BF"/>
          <w:sz w:val="22"/>
          <w:szCs w:val="22"/>
          <w:lang w:val="en-GB"/>
        </w:rPr>
        <w:t>service provider will be the best value for creditors.  To this end, the IP would have to consider:-</w:t>
      </w:r>
    </w:p>
    <w:p w14:paraId="708298F5" w14:textId="77777777" w:rsidR="00931AC0" w:rsidRPr="00931AC0" w:rsidRDefault="00931AC0" w:rsidP="00931AC0">
      <w:pPr>
        <w:pStyle w:val="ListParagraph"/>
        <w:rPr>
          <w:rFonts w:ascii="Arial" w:hAnsi="Arial" w:cs="Arial"/>
          <w:color w:val="7B7B7B" w:themeColor="accent3" w:themeShade="BF"/>
          <w:sz w:val="22"/>
          <w:szCs w:val="22"/>
          <w:lang w:val="en-GB"/>
        </w:rPr>
      </w:pPr>
    </w:p>
    <w:p w14:paraId="6C5D2697" w14:textId="6298088E" w:rsidR="00931AC0" w:rsidRDefault="00931AC0" w:rsidP="00931AC0">
      <w:pPr>
        <w:pStyle w:val="ListParagraph"/>
        <w:numPr>
          <w:ilvl w:val="2"/>
          <w:numId w:val="21"/>
        </w:numPr>
        <w:ind w:left="2127" w:hanging="2127"/>
        <w:jc w:val="both"/>
        <w:rPr>
          <w:rFonts w:ascii="Arial" w:hAnsi="Arial" w:cs="Arial"/>
          <w:color w:val="7B7B7B" w:themeColor="accent3" w:themeShade="BF"/>
          <w:sz w:val="22"/>
          <w:szCs w:val="22"/>
          <w:lang w:val="en-GB"/>
        </w:rPr>
      </w:pPr>
      <w:r w:rsidRPr="00931AC0">
        <w:rPr>
          <w:rFonts w:ascii="Arial" w:hAnsi="Arial" w:cs="Arial"/>
          <w:color w:val="7B7B7B" w:themeColor="accent3" w:themeShade="BF"/>
          <w:sz w:val="22"/>
          <w:szCs w:val="22"/>
          <w:lang w:val="en-GB"/>
        </w:rPr>
        <w:t>the costs of the service, the expertise and experience of the providers;</w:t>
      </w:r>
    </w:p>
    <w:p w14:paraId="1A2312B9" w14:textId="77777777" w:rsidR="00931AC0" w:rsidRPr="00931AC0" w:rsidRDefault="00931AC0" w:rsidP="00931AC0">
      <w:pPr>
        <w:pStyle w:val="ListParagraph"/>
        <w:ind w:left="2127" w:hanging="2127"/>
        <w:jc w:val="both"/>
        <w:rPr>
          <w:rFonts w:ascii="Arial" w:hAnsi="Arial" w:cs="Arial"/>
          <w:color w:val="7B7B7B" w:themeColor="accent3" w:themeShade="BF"/>
          <w:sz w:val="22"/>
          <w:szCs w:val="22"/>
          <w:lang w:val="en-GB"/>
        </w:rPr>
      </w:pPr>
    </w:p>
    <w:p w14:paraId="32DB5D92" w14:textId="4FE8324C" w:rsidR="00931AC0" w:rsidRDefault="00931AC0" w:rsidP="00931AC0">
      <w:pPr>
        <w:pStyle w:val="ListParagraph"/>
        <w:numPr>
          <w:ilvl w:val="2"/>
          <w:numId w:val="21"/>
        </w:numPr>
        <w:ind w:left="2127" w:hanging="212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provider holds appropriate regulatory authorisation; and</w:t>
      </w:r>
    </w:p>
    <w:p w14:paraId="19DE7AEF" w14:textId="77777777" w:rsidR="00931AC0" w:rsidRPr="00931AC0" w:rsidRDefault="00931AC0" w:rsidP="00931AC0">
      <w:pPr>
        <w:pStyle w:val="ListParagraph"/>
        <w:ind w:left="2127" w:hanging="2127"/>
        <w:rPr>
          <w:rFonts w:ascii="Arial" w:hAnsi="Arial" w:cs="Arial"/>
          <w:color w:val="7B7B7B" w:themeColor="accent3" w:themeShade="BF"/>
          <w:sz w:val="22"/>
          <w:szCs w:val="22"/>
          <w:lang w:val="en-GB"/>
        </w:rPr>
      </w:pPr>
    </w:p>
    <w:p w14:paraId="4E91F170" w14:textId="7B86C6D8" w:rsidR="00931AC0" w:rsidRDefault="00931AC0" w:rsidP="00931AC0">
      <w:pPr>
        <w:pStyle w:val="ListParagraph"/>
        <w:numPr>
          <w:ilvl w:val="2"/>
          <w:numId w:val="21"/>
        </w:numPr>
        <w:ind w:left="2127" w:hanging="212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professional and ethical standards applicable to the service provider.</w:t>
      </w:r>
    </w:p>
    <w:p w14:paraId="7C873F2E" w14:textId="77777777" w:rsidR="00931AC0" w:rsidRPr="00931AC0" w:rsidRDefault="00931AC0" w:rsidP="00931AC0">
      <w:pPr>
        <w:pStyle w:val="ListParagraph"/>
        <w:rPr>
          <w:rFonts w:ascii="Arial" w:hAnsi="Arial" w:cs="Arial"/>
          <w:color w:val="7B7B7B" w:themeColor="accent3" w:themeShade="BF"/>
          <w:sz w:val="22"/>
          <w:szCs w:val="22"/>
          <w:lang w:val="en-GB"/>
        </w:rPr>
      </w:pPr>
    </w:p>
    <w:p w14:paraId="4A6ABAA2" w14:textId="12316405" w:rsidR="00931AC0" w:rsidRPr="00931AC0" w:rsidRDefault="00931AC0" w:rsidP="003216F9">
      <w:pPr>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8</w:t>
      </w:r>
      <w:r>
        <w:rPr>
          <w:rFonts w:ascii="Arial" w:hAnsi="Arial" w:cs="Arial"/>
          <w:color w:val="7B7B7B" w:themeColor="accent3" w:themeShade="BF"/>
          <w:sz w:val="22"/>
          <w:szCs w:val="22"/>
          <w:lang w:val="en-GB"/>
        </w:rPr>
        <w:tab/>
        <w:t>There is no question that the requirements</w:t>
      </w:r>
      <w:r w:rsidR="004678DE">
        <w:rPr>
          <w:rFonts w:ascii="Arial" w:hAnsi="Arial" w:cs="Arial"/>
          <w:color w:val="7B7B7B" w:themeColor="accent3" w:themeShade="BF"/>
          <w:sz w:val="22"/>
          <w:szCs w:val="22"/>
          <w:lang w:val="en-GB"/>
        </w:rPr>
        <w:t xml:space="preserve"> and guidance contained in the ICAEW may find effective </w:t>
      </w:r>
      <w:r w:rsidR="0032072E">
        <w:rPr>
          <w:rFonts w:ascii="Arial" w:hAnsi="Arial" w:cs="Arial"/>
          <w:color w:val="7B7B7B" w:themeColor="accent3" w:themeShade="BF"/>
          <w:sz w:val="22"/>
          <w:szCs w:val="22"/>
          <w:lang w:val="en-GB"/>
        </w:rPr>
        <w:t xml:space="preserve">and useful </w:t>
      </w:r>
      <w:r w:rsidR="004678DE">
        <w:rPr>
          <w:rFonts w:ascii="Arial" w:hAnsi="Arial" w:cs="Arial"/>
          <w:color w:val="7B7B7B" w:themeColor="accent3" w:themeShade="BF"/>
          <w:sz w:val="22"/>
          <w:szCs w:val="22"/>
          <w:lang w:val="en-GB"/>
        </w:rPr>
        <w:t xml:space="preserve">application to the use of legal professionals by IPs.  I agree that those requirements and guidance should apply with equal force </w:t>
      </w:r>
      <w:r w:rsidR="004678DE" w:rsidRPr="004678DE">
        <w:rPr>
          <w:rFonts w:ascii="Arial" w:hAnsi="Arial" w:cs="Arial"/>
          <w:i/>
          <w:color w:val="7B7B7B" w:themeColor="accent3" w:themeShade="BF"/>
          <w:sz w:val="22"/>
          <w:szCs w:val="22"/>
          <w:lang w:val="en-GB"/>
        </w:rPr>
        <w:t>mutatis mutandis</w:t>
      </w:r>
      <w:r w:rsidR="004678DE">
        <w:rPr>
          <w:rFonts w:ascii="Arial" w:hAnsi="Arial" w:cs="Arial"/>
          <w:color w:val="7B7B7B" w:themeColor="accent3" w:themeShade="BF"/>
          <w:sz w:val="22"/>
          <w:szCs w:val="22"/>
          <w:lang w:val="en-GB"/>
        </w:rPr>
        <w:t xml:space="preserve"> to the engagement of legal professionals by IPs.</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r>
    </w:p>
    <w:p w14:paraId="61D077B3" w14:textId="77777777" w:rsidR="000B687C" w:rsidRPr="002A37BB" w:rsidRDefault="000B687C" w:rsidP="002A37BB">
      <w:pPr>
        <w:jc w:val="both"/>
        <w:rPr>
          <w:rFonts w:ascii="Arial" w:hAnsi="Arial" w:cs="Arial"/>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lastRenderedPageBreak/>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7678CFEB" w14:textId="1A57741B" w:rsidR="001D33FF" w:rsidRDefault="001D33FF" w:rsidP="001D33FF">
      <w:pPr>
        <w:pStyle w:val="ListParagraph"/>
        <w:numPr>
          <w:ilvl w:val="0"/>
          <w:numId w:val="22"/>
        </w:numPr>
        <w:autoSpaceDE w:val="0"/>
        <w:autoSpaceDN w:val="0"/>
        <w:adjustRightInd w:val="0"/>
        <w:ind w:left="709" w:hanging="709"/>
        <w:jc w:val="both"/>
        <w:rPr>
          <w:rFonts w:ascii="Arial" w:hAnsi="Arial" w:cs="Arial"/>
          <w:color w:val="7B7B7B" w:themeColor="accent3" w:themeShade="BF"/>
          <w:sz w:val="22"/>
          <w:szCs w:val="22"/>
          <w:lang w:val="en-GB"/>
        </w:rPr>
      </w:pPr>
      <w:r w:rsidRPr="001D33FF">
        <w:rPr>
          <w:rFonts w:ascii="Arial" w:hAnsi="Arial" w:cs="Arial"/>
          <w:color w:val="7B7B7B" w:themeColor="accent3" w:themeShade="BF"/>
          <w:sz w:val="22"/>
          <w:szCs w:val="22"/>
          <w:lang w:val="en-GB"/>
        </w:rPr>
        <w:t>The three major ethical issues which arise in this question are:-</w:t>
      </w:r>
    </w:p>
    <w:p w14:paraId="387ED190" w14:textId="77777777" w:rsidR="001D33FF" w:rsidRDefault="001D33FF" w:rsidP="001D33FF">
      <w:pPr>
        <w:pStyle w:val="ListParagraph"/>
        <w:autoSpaceDE w:val="0"/>
        <w:autoSpaceDN w:val="0"/>
        <w:adjustRightInd w:val="0"/>
        <w:ind w:left="1080"/>
        <w:jc w:val="both"/>
        <w:rPr>
          <w:rFonts w:ascii="Arial" w:hAnsi="Arial" w:cs="Arial"/>
          <w:color w:val="7B7B7B" w:themeColor="accent3" w:themeShade="BF"/>
          <w:sz w:val="22"/>
          <w:szCs w:val="22"/>
          <w:lang w:val="en-GB"/>
        </w:rPr>
      </w:pPr>
    </w:p>
    <w:p w14:paraId="280DE7B5" w14:textId="0A6EC198" w:rsidR="001D33FF" w:rsidRDefault="001D33FF" w:rsidP="001D33F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1.1</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integrity;</w:t>
      </w:r>
    </w:p>
    <w:p w14:paraId="59436B0D" w14:textId="77777777" w:rsidR="001D33FF" w:rsidRDefault="001D33FF" w:rsidP="001D33FF">
      <w:pPr>
        <w:autoSpaceDE w:val="0"/>
        <w:autoSpaceDN w:val="0"/>
        <w:adjustRightInd w:val="0"/>
        <w:jc w:val="both"/>
        <w:rPr>
          <w:rFonts w:ascii="Arial" w:hAnsi="Arial" w:cs="Arial"/>
          <w:color w:val="7B7B7B" w:themeColor="accent3" w:themeShade="BF"/>
          <w:sz w:val="22"/>
          <w:szCs w:val="22"/>
          <w:lang w:val="en-GB"/>
        </w:rPr>
      </w:pPr>
    </w:p>
    <w:p w14:paraId="03A3805F" w14:textId="01D9CB2B" w:rsidR="001D33FF" w:rsidRDefault="001D33FF" w:rsidP="001D33F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1.2</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objectivity, independence and impartiality; and</w:t>
      </w:r>
    </w:p>
    <w:p w14:paraId="32805F6E" w14:textId="77777777" w:rsidR="001D33FF" w:rsidRDefault="001D33FF" w:rsidP="001D33FF">
      <w:pPr>
        <w:autoSpaceDE w:val="0"/>
        <w:autoSpaceDN w:val="0"/>
        <w:adjustRightInd w:val="0"/>
        <w:jc w:val="both"/>
        <w:rPr>
          <w:rFonts w:ascii="Arial" w:hAnsi="Arial" w:cs="Arial"/>
          <w:color w:val="7B7B7B" w:themeColor="accent3" w:themeShade="BF"/>
          <w:sz w:val="22"/>
          <w:szCs w:val="22"/>
          <w:lang w:val="en-GB"/>
        </w:rPr>
      </w:pPr>
    </w:p>
    <w:p w14:paraId="22DCA60D" w14:textId="05DAF5C7" w:rsidR="001D33FF" w:rsidRDefault="001D33F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1.3</w:t>
      </w: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professional/technical competence.</w:t>
      </w:r>
    </w:p>
    <w:p w14:paraId="3C13777C" w14:textId="77777777" w:rsidR="001D33FF" w:rsidRDefault="001D33FF" w:rsidP="00087F21">
      <w:pPr>
        <w:autoSpaceDE w:val="0"/>
        <w:autoSpaceDN w:val="0"/>
        <w:adjustRightInd w:val="0"/>
        <w:jc w:val="both"/>
        <w:rPr>
          <w:rFonts w:ascii="Arial" w:hAnsi="Arial" w:cs="Arial"/>
          <w:color w:val="7B7B7B" w:themeColor="accent3" w:themeShade="BF"/>
          <w:sz w:val="22"/>
          <w:szCs w:val="22"/>
          <w:lang w:val="en-GB"/>
        </w:rPr>
      </w:pPr>
    </w:p>
    <w:p w14:paraId="4D5C7AEC" w14:textId="2C312D14" w:rsidR="001D33FF" w:rsidRPr="001D33FF" w:rsidRDefault="001D33FF" w:rsidP="001D33FF">
      <w:pPr>
        <w:pStyle w:val="Heading3"/>
      </w:pPr>
      <w:r w:rsidRPr="001D33FF">
        <w:t>Integrity</w:t>
      </w:r>
    </w:p>
    <w:p w14:paraId="6FE480E1" w14:textId="77777777" w:rsidR="001D33FF" w:rsidRDefault="001D33FF" w:rsidP="00087F21">
      <w:pPr>
        <w:autoSpaceDE w:val="0"/>
        <w:autoSpaceDN w:val="0"/>
        <w:adjustRightInd w:val="0"/>
        <w:jc w:val="both"/>
        <w:rPr>
          <w:rFonts w:ascii="Arial" w:hAnsi="Arial" w:cs="Arial"/>
          <w:color w:val="7B7B7B" w:themeColor="accent3" w:themeShade="BF"/>
          <w:sz w:val="22"/>
          <w:szCs w:val="22"/>
          <w:lang w:val="en-GB"/>
        </w:rPr>
      </w:pPr>
    </w:p>
    <w:p w14:paraId="759B1CF9" w14:textId="1736AB4A" w:rsidR="001D33FF" w:rsidRPr="001D33FF" w:rsidRDefault="001D33FF" w:rsidP="001D33FF">
      <w:pPr>
        <w:pStyle w:val="ListParagraph"/>
        <w:numPr>
          <w:ilvl w:val="0"/>
          <w:numId w:val="22"/>
        </w:numPr>
        <w:autoSpaceDE w:val="0"/>
        <w:autoSpaceDN w:val="0"/>
        <w:adjustRightInd w:val="0"/>
        <w:ind w:left="709" w:hanging="709"/>
        <w:jc w:val="both"/>
        <w:rPr>
          <w:rFonts w:ascii="Arial" w:hAnsi="Arial" w:cs="Arial"/>
          <w:color w:val="7B7B7B" w:themeColor="accent3" w:themeShade="BF"/>
          <w:sz w:val="22"/>
          <w:szCs w:val="22"/>
          <w:lang w:val="en-GB"/>
        </w:rPr>
      </w:pPr>
      <w:r w:rsidRPr="001D33FF">
        <w:rPr>
          <w:rFonts w:ascii="Arial" w:hAnsi="Arial" w:cs="Arial"/>
          <w:color w:val="7B7B7B" w:themeColor="accent3" w:themeShade="BF"/>
          <w:sz w:val="22"/>
          <w:szCs w:val="22"/>
          <w:lang w:val="en-GB"/>
        </w:rPr>
        <w:t xml:space="preserve">IPs are required to have and exhibit the highest levels of integrity by being straightforward, honest, truthful and by adhering to high moral and ethical principles in all aspects of their professional practice.  This entails fair dealing, honesty and truthfulness.  Honesty means that the IP should not lie, whilst truthfulness means the IP should not conceal any facts from parties with an interest in the outcome of insolvency.  Honesty further entails that the IP should be open, frank and transparent in his decision making and should not conceal or misrepresent any information.  Moreover the IP is required to be honest and truthful when </w:t>
      </w:r>
      <w:r w:rsidRPr="001D33FF">
        <w:rPr>
          <w:rFonts w:ascii="Arial" w:hAnsi="Arial" w:cs="Arial"/>
          <w:i/>
          <w:color w:val="7B7B7B" w:themeColor="accent3" w:themeShade="BF"/>
          <w:sz w:val="22"/>
          <w:szCs w:val="22"/>
          <w:lang w:val="en-GB"/>
        </w:rPr>
        <w:t xml:space="preserve">inter alia </w:t>
      </w:r>
      <w:r w:rsidRPr="001D33FF">
        <w:rPr>
          <w:rFonts w:ascii="Arial" w:hAnsi="Arial" w:cs="Arial"/>
          <w:color w:val="7B7B7B" w:themeColor="accent3" w:themeShade="BF"/>
          <w:sz w:val="22"/>
          <w:szCs w:val="22"/>
          <w:lang w:val="en-GB"/>
        </w:rPr>
        <w:t>reporting on his actions and dealings.</w:t>
      </w:r>
    </w:p>
    <w:p w14:paraId="0067E5DA" w14:textId="77777777" w:rsidR="001D33FF" w:rsidRDefault="001D33FF" w:rsidP="001D33FF">
      <w:pPr>
        <w:pStyle w:val="ListParagraph"/>
        <w:autoSpaceDE w:val="0"/>
        <w:autoSpaceDN w:val="0"/>
        <w:adjustRightInd w:val="0"/>
        <w:ind w:left="709" w:hanging="709"/>
        <w:jc w:val="both"/>
        <w:rPr>
          <w:rFonts w:ascii="Arial" w:hAnsi="Arial" w:cs="Arial"/>
          <w:color w:val="7B7B7B" w:themeColor="accent3" w:themeShade="BF"/>
          <w:sz w:val="22"/>
          <w:szCs w:val="22"/>
          <w:lang w:val="en-GB"/>
        </w:rPr>
      </w:pPr>
    </w:p>
    <w:p w14:paraId="2B686827" w14:textId="2C1F324D" w:rsidR="001D33FF" w:rsidRDefault="0095179D" w:rsidP="0095179D">
      <w:pPr>
        <w:pStyle w:val="ListParagraph"/>
        <w:numPr>
          <w:ilvl w:val="0"/>
          <w:numId w:val="22"/>
        </w:numPr>
        <w:autoSpaceDE w:val="0"/>
        <w:autoSpaceDN w:val="0"/>
        <w:adjustRightInd w:val="0"/>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can be no question that Mr Relation breached the duty of integrity when he:-</w:t>
      </w:r>
    </w:p>
    <w:p w14:paraId="43D97E9A" w14:textId="77777777" w:rsidR="0095179D" w:rsidRPr="0095179D" w:rsidRDefault="0095179D" w:rsidP="0095179D">
      <w:pPr>
        <w:pStyle w:val="ListParagraph"/>
        <w:rPr>
          <w:rFonts w:ascii="Arial" w:hAnsi="Arial" w:cs="Arial"/>
          <w:color w:val="7B7B7B" w:themeColor="accent3" w:themeShade="BF"/>
          <w:sz w:val="22"/>
          <w:szCs w:val="22"/>
          <w:lang w:val="en-GB"/>
        </w:rPr>
      </w:pPr>
    </w:p>
    <w:p w14:paraId="099B83A0" w14:textId="714815A7" w:rsidR="000F629D" w:rsidRDefault="0019516E" w:rsidP="000F629D">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sidRPr="000F629D">
        <w:rPr>
          <w:rFonts w:ascii="Arial" w:hAnsi="Arial" w:cs="Arial"/>
          <w:color w:val="7B7B7B" w:themeColor="accent3" w:themeShade="BF"/>
          <w:sz w:val="22"/>
          <w:szCs w:val="22"/>
          <w:lang w:val="en-GB"/>
        </w:rPr>
        <w:t xml:space="preserve">accepted the appointment in respect of placing </w:t>
      </w:r>
      <w:proofErr w:type="spellStart"/>
      <w:r w:rsidRPr="000F629D">
        <w:rPr>
          <w:rFonts w:ascii="Arial" w:hAnsi="Arial" w:cs="Arial"/>
          <w:color w:val="7B7B7B" w:themeColor="accent3" w:themeShade="BF"/>
          <w:sz w:val="22"/>
          <w:szCs w:val="22"/>
          <w:lang w:val="en-GB"/>
        </w:rPr>
        <w:t>WeBuild</w:t>
      </w:r>
      <w:proofErr w:type="spellEnd"/>
      <w:r w:rsidRPr="000F629D">
        <w:rPr>
          <w:rFonts w:ascii="Arial" w:hAnsi="Arial" w:cs="Arial"/>
          <w:color w:val="7B7B7B" w:themeColor="accent3" w:themeShade="BF"/>
          <w:sz w:val="22"/>
          <w:szCs w:val="22"/>
          <w:lang w:val="en-GB"/>
        </w:rPr>
        <w:t xml:space="preserve"> Ltd in voluntary administration and declaring that he believes he will be able to act with the required independence and impartiality despite his close and/or familiar relationship with Mr B </w:t>
      </w:r>
      <w:proofErr w:type="spellStart"/>
      <w:r w:rsidRPr="000F629D">
        <w:rPr>
          <w:rFonts w:ascii="Arial" w:hAnsi="Arial" w:cs="Arial"/>
          <w:color w:val="7B7B7B" w:themeColor="accent3" w:themeShade="BF"/>
          <w:sz w:val="22"/>
          <w:szCs w:val="22"/>
          <w:lang w:val="en-GB"/>
        </w:rPr>
        <w:t>Inlaw</w:t>
      </w:r>
      <w:proofErr w:type="spellEnd"/>
      <w:r w:rsidRPr="000F629D">
        <w:rPr>
          <w:rFonts w:ascii="Arial" w:hAnsi="Arial" w:cs="Arial"/>
          <w:color w:val="7B7B7B" w:themeColor="accent3" w:themeShade="BF"/>
          <w:sz w:val="22"/>
          <w:szCs w:val="22"/>
          <w:lang w:val="en-GB"/>
        </w:rPr>
        <w:t xml:space="preserve"> who is both director and shareholder of </w:t>
      </w:r>
      <w:proofErr w:type="spellStart"/>
      <w:r w:rsidRPr="000F629D">
        <w:rPr>
          <w:rFonts w:ascii="Arial" w:hAnsi="Arial" w:cs="Arial"/>
          <w:color w:val="7B7B7B" w:themeColor="accent3" w:themeShade="BF"/>
          <w:sz w:val="22"/>
          <w:szCs w:val="22"/>
          <w:lang w:val="en-GB"/>
        </w:rPr>
        <w:t>WeBuild</w:t>
      </w:r>
      <w:proofErr w:type="spellEnd"/>
      <w:r w:rsidRPr="000F629D">
        <w:rPr>
          <w:rFonts w:ascii="Arial" w:hAnsi="Arial" w:cs="Arial"/>
          <w:color w:val="7B7B7B" w:themeColor="accent3" w:themeShade="BF"/>
          <w:sz w:val="22"/>
          <w:szCs w:val="22"/>
          <w:lang w:val="en-GB"/>
        </w:rPr>
        <w:t xml:space="preserve"> Ltd, whilst Mr Relation is (and also recognised by some of the shareholders</w:t>
      </w:r>
      <w:r w:rsidR="00567C94" w:rsidRPr="000F629D">
        <w:rPr>
          <w:rFonts w:ascii="Arial" w:hAnsi="Arial" w:cs="Arial"/>
          <w:color w:val="7B7B7B" w:themeColor="accent3" w:themeShade="BF"/>
          <w:sz w:val="22"/>
          <w:szCs w:val="22"/>
          <w:lang w:val="en-GB"/>
        </w:rPr>
        <w:t xml:space="preserve"> of </w:t>
      </w:r>
      <w:proofErr w:type="spellStart"/>
      <w:r w:rsidR="00567C94" w:rsidRPr="000F629D">
        <w:rPr>
          <w:rFonts w:ascii="Arial" w:hAnsi="Arial" w:cs="Arial"/>
          <w:color w:val="7B7B7B" w:themeColor="accent3" w:themeShade="BF"/>
          <w:sz w:val="22"/>
          <w:szCs w:val="22"/>
          <w:lang w:val="en-GB"/>
        </w:rPr>
        <w:t>WeBuild</w:t>
      </w:r>
      <w:proofErr w:type="spellEnd"/>
      <w:r w:rsidR="00567C94" w:rsidRPr="000F629D">
        <w:rPr>
          <w:rFonts w:ascii="Arial" w:hAnsi="Arial" w:cs="Arial"/>
          <w:color w:val="7B7B7B" w:themeColor="accent3" w:themeShade="BF"/>
          <w:sz w:val="22"/>
          <w:szCs w:val="22"/>
          <w:lang w:val="en-GB"/>
        </w:rPr>
        <w:t xml:space="preserve"> Ltd</w:t>
      </w:r>
      <w:r w:rsidR="008A1726">
        <w:rPr>
          <w:rFonts w:ascii="Arial" w:hAnsi="Arial" w:cs="Arial"/>
          <w:color w:val="7B7B7B" w:themeColor="accent3" w:themeShade="BF"/>
          <w:sz w:val="22"/>
          <w:szCs w:val="22"/>
          <w:lang w:val="en-GB"/>
        </w:rPr>
        <w:t xml:space="preserve"> as</w:t>
      </w:r>
      <w:r w:rsidR="00567C94" w:rsidRPr="000F629D">
        <w:rPr>
          <w:rFonts w:ascii="Arial" w:hAnsi="Arial" w:cs="Arial"/>
          <w:color w:val="7B7B7B" w:themeColor="accent3" w:themeShade="BF"/>
          <w:sz w:val="22"/>
          <w:szCs w:val="22"/>
          <w:lang w:val="en-GB"/>
        </w:rPr>
        <w:t>)</w:t>
      </w:r>
      <w:r w:rsidR="000F629D" w:rsidRPr="000F629D">
        <w:rPr>
          <w:rFonts w:ascii="Arial" w:hAnsi="Arial" w:cs="Arial"/>
          <w:color w:val="7B7B7B" w:themeColor="accent3" w:themeShade="BF"/>
          <w:sz w:val="22"/>
          <w:szCs w:val="22"/>
          <w:lang w:val="en-GB"/>
        </w:rPr>
        <w:t xml:space="preserve"> Mr </w:t>
      </w:r>
      <w:proofErr w:type="spellStart"/>
      <w:r w:rsidR="003479D0">
        <w:rPr>
          <w:rFonts w:ascii="Arial" w:hAnsi="Arial" w:cs="Arial"/>
          <w:color w:val="7B7B7B" w:themeColor="accent3" w:themeShade="BF"/>
          <w:sz w:val="22"/>
          <w:szCs w:val="22"/>
          <w:lang w:val="en-GB"/>
        </w:rPr>
        <w:t>Inlaw’s</w:t>
      </w:r>
      <w:proofErr w:type="spellEnd"/>
      <w:r w:rsidR="000F629D" w:rsidRPr="000F629D">
        <w:rPr>
          <w:rFonts w:ascii="Arial" w:hAnsi="Arial" w:cs="Arial"/>
          <w:color w:val="7B7B7B" w:themeColor="accent3" w:themeShade="BF"/>
          <w:sz w:val="22"/>
          <w:szCs w:val="22"/>
          <w:lang w:val="en-GB"/>
        </w:rPr>
        <w:t xml:space="preserve"> brother-in-law and godfather t</w:t>
      </w:r>
      <w:r w:rsidR="008A1726">
        <w:rPr>
          <w:rFonts w:ascii="Arial" w:hAnsi="Arial" w:cs="Arial"/>
          <w:color w:val="7B7B7B" w:themeColor="accent3" w:themeShade="BF"/>
          <w:sz w:val="22"/>
          <w:szCs w:val="22"/>
          <w:lang w:val="en-GB"/>
        </w:rPr>
        <w:t xml:space="preserve">o his daughter.  I </w:t>
      </w:r>
      <w:r w:rsidR="000F629D" w:rsidRPr="000F629D">
        <w:rPr>
          <w:rFonts w:ascii="Arial" w:hAnsi="Arial" w:cs="Arial"/>
          <w:color w:val="7B7B7B" w:themeColor="accent3" w:themeShade="BF"/>
          <w:sz w:val="22"/>
          <w:szCs w:val="22"/>
          <w:lang w:val="en-GB"/>
        </w:rPr>
        <w:t xml:space="preserve">submit that Mr Relation knew and/or ought to have known that his close relationship with Mr B </w:t>
      </w:r>
      <w:proofErr w:type="spellStart"/>
      <w:r w:rsidR="000F629D" w:rsidRPr="000F629D">
        <w:rPr>
          <w:rFonts w:ascii="Arial" w:hAnsi="Arial" w:cs="Arial"/>
          <w:color w:val="7B7B7B" w:themeColor="accent3" w:themeShade="BF"/>
          <w:sz w:val="22"/>
          <w:szCs w:val="22"/>
          <w:lang w:val="en-GB"/>
        </w:rPr>
        <w:t>Inlaw</w:t>
      </w:r>
      <w:proofErr w:type="spellEnd"/>
      <w:r w:rsidR="000F629D" w:rsidRPr="000F629D">
        <w:rPr>
          <w:rFonts w:ascii="Arial" w:hAnsi="Arial" w:cs="Arial"/>
          <w:color w:val="7B7B7B" w:themeColor="accent3" w:themeShade="BF"/>
          <w:sz w:val="22"/>
          <w:szCs w:val="22"/>
          <w:lang w:val="en-GB"/>
        </w:rPr>
        <w:t xml:space="preserve"> will and/or is likely to inhibit or prevent him from acting independently and impartially.</w:t>
      </w:r>
      <w:r w:rsidR="008A1726">
        <w:rPr>
          <w:rFonts w:ascii="Arial" w:hAnsi="Arial" w:cs="Arial"/>
          <w:color w:val="7B7B7B" w:themeColor="accent3" w:themeShade="BF"/>
          <w:sz w:val="22"/>
          <w:szCs w:val="22"/>
          <w:lang w:val="en-GB"/>
        </w:rPr>
        <w:t xml:space="preserve"> Third parties</w:t>
      </w:r>
      <w:r w:rsidR="001A3D9F">
        <w:rPr>
          <w:rFonts w:ascii="Arial" w:hAnsi="Arial" w:cs="Arial"/>
          <w:color w:val="7B7B7B" w:themeColor="accent3" w:themeShade="BF"/>
          <w:sz w:val="22"/>
          <w:szCs w:val="22"/>
          <w:lang w:val="en-GB"/>
        </w:rPr>
        <w:t xml:space="preserve"> (like the other s</w:t>
      </w:r>
      <w:r w:rsidR="008C5CB8">
        <w:rPr>
          <w:rFonts w:ascii="Arial" w:hAnsi="Arial" w:cs="Arial"/>
          <w:color w:val="7B7B7B" w:themeColor="accent3" w:themeShade="BF"/>
          <w:sz w:val="22"/>
          <w:szCs w:val="22"/>
          <w:lang w:val="en-GB"/>
        </w:rPr>
        <w:t>hareholders who recognised him)</w:t>
      </w:r>
      <w:r w:rsidR="008A1726">
        <w:rPr>
          <w:rFonts w:ascii="Arial" w:hAnsi="Arial" w:cs="Arial"/>
          <w:color w:val="7B7B7B" w:themeColor="accent3" w:themeShade="BF"/>
          <w:sz w:val="22"/>
          <w:szCs w:val="22"/>
          <w:lang w:val="en-GB"/>
        </w:rPr>
        <w:t xml:space="preserve"> </w:t>
      </w:r>
      <w:r w:rsidR="005D3653">
        <w:rPr>
          <w:rFonts w:ascii="Arial" w:hAnsi="Arial" w:cs="Arial"/>
          <w:color w:val="7B7B7B" w:themeColor="accent3" w:themeShade="BF"/>
          <w:sz w:val="22"/>
          <w:szCs w:val="22"/>
          <w:lang w:val="en-GB"/>
        </w:rPr>
        <w:t xml:space="preserve">are likely to perceive </w:t>
      </w:r>
      <w:r w:rsidR="008C5CB8">
        <w:rPr>
          <w:rFonts w:ascii="Arial" w:hAnsi="Arial" w:cs="Arial"/>
          <w:color w:val="7B7B7B" w:themeColor="accent3" w:themeShade="BF"/>
          <w:sz w:val="22"/>
          <w:szCs w:val="22"/>
          <w:lang w:val="en-GB"/>
        </w:rPr>
        <w:t xml:space="preserve">or suspect </w:t>
      </w:r>
      <w:r w:rsidR="005D3653">
        <w:rPr>
          <w:rFonts w:ascii="Arial" w:hAnsi="Arial" w:cs="Arial"/>
          <w:color w:val="7B7B7B" w:themeColor="accent3" w:themeShade="BF"/>
          <w:sz w:val="22"/>
          <w:szCs w:val="22"/>
          <w:lang w:val="en-GB"/>
        </w:rPr>
        <w:t xml:space="preserve">the actual or potential </w:t>
      </w:r>
      <w:r w:rsidR="001A3D9F">
        <w:rPr>
          <w:rFonts w:ascii="Arial" w:hAnsi="Arial" w:cs="Arial"/>
          <w:color w:val="7B7B7B" w:themeColor="accent3" w:themeShade="BF"/>
          <w:sz w:val="22"/>
          <w:szCs w:val="22"/>
          <w:lang w:val="en-GB"/>
        </w:rPr>
        <w:t xml:space="preserve">lack of objectivity, </w:t>
      </w:r>
      <w:r w:rsidR="008C5CB8">
        <w:rPr>
          <w:rFonts w:ascii="Arial" w:hAnsi="Arial" w:cs="Arial"/>
          <w:color w:val="7B7B7B" w:themeColor="accent3" w:themeShade="BF"/>
          <w:sz w:val="22"/>
          <w:szCs w:val="22"/>
          <w:lang w:val="en-GB"/>
        </w:rPr>
        <w:t>independence</w:t>
      </w:r>
      <w:r w:rsidR="001A3D9F">
        <w:rPr>
          <w:rFonts w:ascii="Arial" w:hAnsi="Arial" w:cs="Arial"/>
          <w:color w:val="7B7B7B" w:themeColor="accent3" w:themeShade="BF"/>
          <w:sz w:val="22"/>
          <w:szCs w:val="22"/>
          <w:lang w:val="en-GB"/>
        </w:rPr>
        <w:t xml:space="preserve"> and impartiality.</w:t>
      </w:r>
      <w:r w:rsidR="000F629D" w:rsidRPr="000F629D">
        <w:rPr>
          <w:rFonts w:ascii="Arial" w:hAnsi="Arial" w:cs="Arial"/>
          <w:color w:val="7B7B7B" w:themeColor="accent3" w:themeShade="BF"/>
          <w:sz w:val="22"/>
          <w:szCs w:val="22"/>
          <w:lang w:val="en-GB"/>
        </w:rPr>
        <w:t xml:space="preserve">  Thus when he declared that he believes that he will still be able to act with the required independence and impartiality, that was not in good faith </w:t>
      </w:r>
      <w:r w:rsidR="003479D0">
        <w:rPr>
          <w:rFonts w:ascii="Arial" w:hAnsi="Arial" w:cs="Arial"/>
          <w:color w:val="7B7B7B" w:themeColor="accent3" w:themeShade="BF"/>
          <w:sz w:val="22"/>
          <w:szCs w:val="22"/>
          <w:lang w:val="en-GB"/>
        </w:rPr>
        <w:t xml:space="preserve">and </w:t>
      </w:r>
      <w:r w:rsidR="008C5CB8">
        <w:rPr>
          <w:rFonts w:ascii="Arial" w:hAnsi="Arial" w:cs="Arial"/>
          <w:color w:val="7B7B7B" w:themeColor="accent3" w:themeShade="BF"/>
          <w:sz w:val="22"/>
          <w:szCs w:val="22"/>
          <w:lang w:val="en-GB"/>
        </w:rPr>
        <w:t xml:space="preserve">was </w:t>
      </w:r>
      <w:r w:rsidR="003479D0">
        <w:rPr>
          <w:rFonts w:ascii="Arial" w:hAnsi="Arial" w:cs="Arial"/>
          <w:color w:val="7B7B7B" w:themeColor="accent3" w:themeShade="BF"/>
          <w:sz w:val="22"/>
          <w:szCs w:val="22"/>
          <w:lang w:val="en-GB"/>
        </w:rPr>
        <w:t>thus a sham;</w:t>
      </w:r>
    </w:p>
    <w:p w14:paraId="2E1E3497" w14:textId="77777777" w:rsidR="000F629D" w:rsidRPr="000F629D" w:rsidRDefault="000F629D" w:rsidP="000F629D">
      <w:pPr>
        <w:pStyle w:val="ListParagraph"/>
        <w:autoSpaceDE w:val="0"/>
        <w:autoSpaceDN w:val="0"/>
        <w:adjustRightInd w:val="0"/>
        <w:ind w:left="1800"/>
        <w:jc w:val="both"/>
        <w:rPr>
          <w:rFonts w:ascii="Arial" w:hAnsi="Arial" w:cs="Arial"/>
          <w:color w:val="7B7B7B" w:themeColor="accent3" w:themeShade="BF"/>
          <w:sz w:val="22"/>
          <w:szCs w:val="22"/>
          <w:lang w:val="en-GB"/>
        </w:rPr>
      </w:pPr>
    </w:p>
    <w:p w14:paraId="0F30265A" w14:textId="31C5EAAE" w:rsidR="0095179D" w:rsidRDefault="003479D0" w:rsidP="000F629D">
      <w:pPr>
        <w:pStyle w:val="ListParagraph"/>
        <w:numPr>
          <w:ilvl w:val="1"/>
          <w:numId w:val="22"/>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000F629D" w:rsidRPr="000F629D">
        <w:rPr>
          <w:rFonts w:ascii="Arial" w:hAnsi="Arial" w:cs="Arial"/>
          <w:color w:val="7B7B7B" w:themeColor="accent3" w:themeShade="BF"/>
          <w:sz w:val="22"/>
          <w:szCs w:val="22"/>
          <w:lang w:val="en-GB"/>
        </w:rPr>
        <w:t>urthermore</w:t>
      </w:r>
      <w:r>
        <w:rPr>
          <w:rFonts w:ascii="Arial" w:hAnsi="Arial" w:cs="Arial"/>
          <w:color w:val="7B7B7B" w:themeColor="accent3" w:themeShade="BF"/>
          <w:sz w:val="22"/>
          <w:szCs w:val="22"/>
          <w:lang w:val="en-GB"/>
        </w:rPr>
        <w:t xml:space="preserve">, Mr Relation breached his duty to act with integrity when he conducted a superficial investigation into the affairs of </w:t>
      </w:r>
      <w:proofErr w:type="spellStart"/>
      <w:r>
        <w:rPr>
          <w:rFonts w:ascii="Arial" w:hAnsi="Arial" w:cs="Arial"/>
          <w:color w:val="7B7B7B" w:themeColor="accent3" w:themeShade="BF"/>
          <w:sz w:val="22"/>
          <w:szCs w:val="22"/>
          <w:lang w:val="en-GB"/>
        </w:rPr>
        <w:t>WeBuild</w:t>
      </w:r>
      <w:proofErr w:type="spellEnd"/>
      <w:r>
        <w:rPr>
          <w:rFonts w:ascii="Arial" w:hAnsi="Arial" w:cs="Arial"/>
          <w:color w:val="7B7B7B" w:themeColor="accent3" w:themeShade="BF"/>
          <w:sz w:val="22"/>
          <w:szCs w:val="22"/>
          <w:lang w:val="en-GB"/>
        </w:rPr>
        <w:t xml:space="preserve"> Ltd in circumstances where it was disclosed to him and he knew at the “</w:t>
      </w:r>
      <w:r>
        <w:rPr>
          <w:rFonts w:ascii="Arial" w:hAnsi="Arial" w:cs="Arial"/>
          <w:i/>
          <w:color w:val="7B7B7B" w:themeColor="accent3" w:themeShade="BF"/>
          <w:sz w:val="22"/>
          <w:szCs w:val="22"/>
          <w:lang w:val="en-GB"/>
        </w:rPr>
        <w:t>planning</w:t>
      </w:r>
      <w:r>
        <w:rPr>
          <w:rFonts w:ascii="Arial" w:hAnsi="Arial" w:cs="Arial"/>
          <w:color w:val="7B7B7B" w:themeColor="accent3" w:themeShade="BF"/>
          <w:sz w:val="22"/>
          <w:szCs w:val="22"/>
          <w:lang w:val="en-GB"/>
        </w:rPr>
        <w:t xml:space="preserve">” meeting, as he was advised by his brother-in-law, Mr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that some of the directors were concerned about the</w:t>
      </w:r>
      <w:r w:rsidR="002C0130">
        <w:rPr>
          <w:rFonts w:ascii="Arial" w:hAnsi="Arial" w:cs="Arial"/>
          <w:color w:val="7B7B7B" w:themeColor="accent3" w:themeShade="BF"/>
          <w:sz w:val="22"/>
          <w:szCs w:val="22"/>
          <w:lang w:val="en-GB"/>
        </w:rPr>
        <w:t>ir</w:t>
      </w:r>
      <w:r>
        <w:rPr>
          <w:rFonts w:ascii="Arial" w:hAnsi="Arial" w:cs="Arial"/>
          <w:color w:val="7B7B7B" w:themeColor="accent3" w:themeShade="BF"/>
          <w:sz w:val="22"/>
          <w:szCs w:val="22"/>
          <w:lang w:val="en-GB"/>
        </w:rPr>
        <w:t xml:space="preserve"> personal liability for breach of duty and that they might be in trouble due to the decision to continue trading when the company was c</w:t>
      </w:r>
      <w:r w:rsidR="00F81727">
        <w:rPr>
          <w:rFonts w:ascii="Arial" w:hAnsi="Arial" w:cs="Arial"/>
          <w:color w:val="7B7B7B" w:themeColor="accent3" w:themeShade="BF"/>
          <w:sz w:val="22"/>
          <w:szCs w:val="22"/>
          <w:lang w:val="en-GB"/>
        </w:rPr>
        <w:t>learly in dire financial distress</w:t>
      </w:r>
      <w:r>
        <w:rPr>
          <w:rFonts w:ascii="Arial" w:hAnsi="Arial" w:cs="Arial"/>
          <w:color w:val="7B7B7B" w:themeColor="accent3" w:themeShade="BF"/>
          <w:sz w:val="22"/>
          <w:szCs w:val="22"/>
          <w:lang w:val="en-GB"/>
        </w:rPr>
        <w:t xml:space="preserve">.  That disclosure ought to have caused Mr Relation to conduct a thorough and comprehensive investigation into the conduct of the directors in question.  It is no surprise that Mr Relation advised creditors, at the meeting to consider his plan, that he found no evidence of any wrongdoing or maladministration by the company’s directors.  He should have disclosed to the creditors that it was </w:t>
      </w:r>
      <w:r>
        <w:rPr>
          <w:rFonts w:ascii="Arial" w:hAnsi="Arial" w:cs="Arial"/>
          <w:i/>
          <w:color w:val="7B7B7B" w:themeColor="accent3" w:themeShade="BF"/>
          <w:sz w:val="22"/>
          <w:szCs w:val="22"/>
          <w:lang w:val="en-GB"/>
        </w:rPr>
        <w:t xml:space="preserve">inter alia </w:t>
      </w:r>
      <w:r>
        <w:rPr>
          <w:rFonts w:ascii="Arial" w:hAnsi="Arial" w:cs="Arial"/>
          <w:color w:val="7B7B7B" w:themeColor="accent3" w:themeShade="BF"/>
          <w:sz w:val="22"/>
          <w:szCs w:val="22"/>
          <w:lang w:val="en-GB"/>
        </w:rPr>
        <w:t xml:space="preserve">because he conducted </w:t>
      </w:r>
      <w:r>
        <w:rPr>
          <w:rFonts w:ascii="Arial" w:hAnsi="Arial" w:cs="Arial"/>
          <w:color w:val="7B7B7B" w:themeColor="accent3" w:themeShade="BF"/>
          <w:sz w:val="22"/>
          <w:szCs w:val="22"/>
          <w:lang w:val="en-GB"/>
        </w:rPr>
        <w:lastRenderedPageBreak/>
        <w:t>a superficial investigation that he found no evidence of any wrongdoing.  He was clearly not being honest and truthful.</w:t>
      </w:r>
    </w:p>
    <w:p w14:paraId="42A9F1D7" w14:textId="77777777" w:rsidR="00B05E56" w:rsidRDefault="00B05E56" w:rsidP="00B05E56">
      <w:pPr>
        <w:pStyle w:val="ListParagraph"/>
        <w:autoSpaceDE w:val="0"/>
        <w:autoSpaceDN w:val="0"/>
        <w:adjustRightInd w:val="0"/>
        <w:ind w:left="1080"/>
        <w:jc w:val="both"/>
        <w:rPr>
          <w:rFonts w:ascii="Arial" w:hAnsi="Arial" w:cs="Arial"/>
          <w:color w:val="7B7B7B" w:themeColor="accent3" w:themeShade="BF"/>
          <w:sz w:val="22"/>
          <w:szCs w:val="22"/>
          <w:lang w:val="en-GB"/>
        </w:rPr>
      </w:pPr>
    </w:p>
    <w:p w14:paraId="511A8A2B" w14:textId="77777777" w:rsidR="00B05E56" w:rsidRPr="00B05E56" w:rsidRDefault="00B05E56" w:rsidP="00B05E56">
      <w:pPr>
        <w:pStyle w:val="ListParagraph"/>
        <w:autoSpaceDE w:val="0"/>
        <w:autoSpaceDN w:val="0"/>
        <w:adjustRightInd w:val="0"/>
        <w:ind w:left="0"/>
        <w:jc w:val="both"/>
        <w:rPr>
          <w:rFonts w:ascii="Arial" w:hAnsi="Arial" w:cs="Arial"/>
          <w:i/>
          <w:color w:val="7B7B7B" w:themeColor="accent3" w:themeShade="BF"/>
          <w:sz w:val="22"/>
          <w:szCs w:val="22"/>
          <w:u w:val="single"/>
          <w:lang w:val="en-GB"/>
        </w:rPr>
      </w:pPr>
      <w:r w:rsidRPr="00B05E56">
        <w:rPr>
          <w:rFonts w:ascii="Arial" w:hAnsi="Arial" w:cs="Arial"/>
          <w:i/>
          <w:color w:val="7B7B7B" w:themeColor="accent3" w:themeShade="BF"/>
          <w:sz w:val="22"/>
          <w:szCs w:val="22"/>
          <w:u w:val="single"/>
          <w:lang w:val="en-GB"/>
        </w:rPr>
        <w:t>Objectivity, independence and impartiality</w:t>
      </w:r>
    </w:p>
    <w:p w14:paraId="02336CF1" w14:textId="77777777" w:rsidR="00B05E56" w:rsidRDefault="00B05E56" w:rsidP="00B05E56">
      <w:pPr>
        <w:pStyle w:val="ListParagraph"/>
        <w:autoSpaceDE w:val="0"/>
        <w:autoSpaceDN w:val="0"/>
        <w:adjustRightInd w:val="0"/>
        <w:ind w:left="0"/>
        <w:jc w:val="both"/>
        <w:rPr>
          <w:rFonts w:ascii="Arial" w:hAnsi="Arial" w:cs="Arial"/>
          <w:color w:val="7B7B7B" w:themeColor="accent3" w:themeShade="BF"/>
          <w:sz w:val="22"/>
          <w:szCs w:val="22"/>
          <w:lang w:val="en-GB"/>
        </w:rPr>
      </w:pPr>
    </w:p>
    <w:p w14:paraId="0DE99D47" w14:textId="643F511A" w:rsidR="0021768C" w:rsidRDefault="0021768C" w:rsidP="0021768C">
      <w:pPr>
        <w:pStyle w:val="ListParagraph"/>
        <w:autoSpaceDE w:val="0"/>
        <w:autoSpaceDN w:val="0"/>
        <w:adjustRightInd w:val="0"/>
        <w:ind w:left="709" w:hanging="709"/>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ab/>
        <w:t>It bears flagging, a</w:t>
      </w:r>
      <w:r>
        <w:rPr>
          <w:rFonts w:ascii="Arial" w:hAnsi="Arial" w:cs="Arial"/>
          <w:color w:val="7B7B7B" w:themeColor="accent3" w:themeShade="BF"/>
          <w:sz w:val="22"/>
          <w:szCs w:val="22"/>
        </w:rPr>
        <w:t xml:space="preserve">t the outset, that the duty to act with independence and impartiality comes with the duty to exhibit the highest levels of objectivity, independence and impartiality </w:t>
      </w:r>
      <w:r w:rsidR="005B0E33">
        <w:rPr>
          <w:rFonts w:ascii="Arial" w:hAnsi="Arial" w:cs="Arial"/>
          <w:color w:val="7B7B7B" w:themeColor="accent3" w:themeShade="BF"/>
          <w:sz w:val="22"/>
          <w:szCs w:val="22"/>
        </w:rPr>
        <w:t xml:space="preserve">in </w:t>
      </w:r>
      <w:r>
        <w:rPr>
          <w:rFonts w:ascii="Arial" w:hAnsi="Arial" w:cs="Arial"/>
          <w:color w:val="7B7B7B" w:themeColor="accent3" w:themeShade="BF"/>
          <w:sz w:val="22"/>
          <w:szCs w:val="22"/>
        </w:rPr>
        <w:t>the exercise of powers of duties.  It requires insolvency practitioners (“</w:t>
      </w:r>
      <w:r w:rsidRPr="00AB5A4C">
        <w:rPr>
          <w:rFonts w:ascii="Arial" w:hAnsi="Arial" w:cs="Arial"/>
          <w:b/>
          <w:i/>
          <w:color w:val="7B7B7B" w:themeColor="accent3" w:themeShade="BF"/>
          <w:sz w:val="22"/>
          <w:szCs w:val="22"/>
        </w:rPr>
        <w:t>IPs</w:t>
      </w:r>
      <w:r>
        <w:rPr>
          <w:rFonts w:ascii="Arial" w:hAnsi="Arial" w:cs="Arial"/>
          <w:color w:val="7B7B7B" w:themeColor="accent3" w:themeShade="BF"/>
          <w:sz w:val="22"/>
          <w:szCs w:val="22"/>
        </w:rPr>
        <w:t>”) to avoid circumstances which may cause a conflict of interest.</w:t>
      </w:r>
      <w:r w:rsidR="0001583A">
        <w:rPr>
          <w:rFonts w:ascii="Arial" w:hAnsi="Arial" w:cs="Arial"/>
          <w:color w:val="7B7B7B" w:themeColor="accent3" w:themeShade="BF"/>
          <w:sz w:val="22"/>
          <w:szCs w:val="22"/>
        </w:rPr>
        <w:t xml:space="preserve">  Mr Relation failed to fulfil this duty.  When he accepted the appointment as administrator in circumstances where he was so closely related to Mr B </w:t>
      </w:r>
      <w:proofErr w:type="spellStart"/>
      <w:r w:rsidR="0001583A">
        <w:rPr>
          <w:rFonts w:ascii="Arial" w:hAnsi="Arial" w:cs="Arial"/>
          <w:color w:val="7B7B7B" w:themeColor="accent3" w:themeShade="BF"/>
          <w:sz w:val="22"/>
          <w:szCs w:val="22"/>
        </w:rPr>
        <w:t>Inlaw</w:t>
      </w:r>
      <w:proofErr w:type="spellEnd"/>
      <w:r w:rsidR="0001583A">
        <w:rPr>
          <w:rFonts w:ascii="Arial" w:hAnsi="Arial" w:cs="Arial"/>
          <w:color w:val="7B7B7B" w:themeColor="accent3" w:themeShade="BF"/>
          <w:sz w:val="22"/>
          <w:szCs w:val="22"/>
        </w:rPr>
        <w:t>, a director and shareholder of the company, he placed himself in a situation where he was unable to avoid a conflict of interest.</w:t>
      </w:r>
    </w:p>
    <w:p w14:paraId="5643691C" w14:textId="77777777" w:rsidR="0021768C" w:rsidRDefault="0021768C" w:rsidP="0021768C">
      <w:pPr>
        <w:ind w:left="720" w:hanging="720"/>
        <w:jc w:val="both"/>
        <w:rPr>
          <w:rFonts w:ascii="Arial" w:hAnsi="Arial" w:cs="Arial"/>
          <w:color w:val="7B7B7B" w:themeColor="accent3" w:themeShade="BF"/>
          <w:sz w:val="22"/>
          <w:szCs w:val="22"/>
        </w:rPr>
      </w:pPr>
    </w:p>
    <w:p w14:paraId="7AEDE434" w14:textId="77777777" w:rsidR="0001583A" w:rsidRDefault="0001583A" w:rsidP="0021768C">
      <w:pPr>
        <w:pStyle w:val="BodyTextIndent"/>
      </w:pPr>
      <w:r>
        <w:t>5</w:t>
      </w:r>
      <w:r>
        <w:tab/>
        <w:t>It can be said that Mr Relation failed in this regard because:-</w:t>
      </w:r>
    </w:p>
    <w:p w14:paraId="4835A067" w14:textId="77777777" w:rsidR="0001583A" w:rsidRDefault="0001583A" w:rsidP="0021768C">
      <w:pPr>
        <w:pStyle w:val="BodyTextIndent"/>
      </w:pPr>
    </w:p>
    <w:p w14:paraId="4359F51F" w14:textId="37A6A019" w:rsidR="0001583A" w:rsidRDefault="0001583A" w:rsidP="004F48FD">
      <w:pPr>
        <w:pStyle w:val="BodyTextIndent"/>
        <w:ind w:left="1418"/>
      </w:pPr>
      <w:r>
        <w:t>5.1</w:t>
      </w:r>
      <w:r>
        <w:tab/>
      </w:r>
      <w:r>
        <w:tab/>
        <w:t xml:space="preserve">as a matter of fact, he failed to be </w:t>
      </w:r>
      <w:r w:rsidR="0021768C">
        <w:t>objectiv</w:t>
      </w:r>
      <w:r>
        <w:t>e</w:t>
      </w:r>
      <w:r w:rsidR="0021768C">
        <w:t>, independen</w:t>
      </w:r>
      <w:r>
        <w:t>t</w:t>
      </w:r>
      <w:r w:rsidR="0021768C">
        <w:t xml:space="preserve"> and impartial</w:t>
      </w:r>
      <w:r>
        <w:t xml:space="preserve"> in that </w:t>
      </w:r>
      <w:r>
        <w:rPr>
          <w:i/>
        </w:rPr>
        <w:t>inter alia</w:t>
      </w:r>
      <w:r w:rsidR="0021768C">
        <w:t xml:space="preserve"> </w:t>
      </w:r>
      <w:r>
        <w:t xml:space="preserve">because of his close relation to Mr B </w:t>
      </w:r>
      <w:proofErr w:type="spellStart"/>
      <w:r>
        <w:t>Inlaw</w:t>
      </w:r>
      <w:proofErr w:type="spellEnd"/>
      <w:r>
        <w:t xml:space="preserve">, he assured </w:t>
      </w:r>
      <w:r w:rsidR="004F48FD">
        <w:t>the directors</w:t>
      </w:r>
      <w:r>
        <w:t xml:space="preserve"> that his focus will not be on them but on trying to rescue the company, conducted a superficial investigation and misled the creditors by advising them that he found no evidence of any wrongdoing or maladministration by the company’s directors.  It is impermissible </w:t>
      </w:r>
      <w:r w:rsidR="00063483">
        <w:t xml:space="preserve">and/or unethical </w:t>
      </w:r>
      <w:r>
        <w:t>for Mr Relation to prefer and shield the directors of the company to the prejudice of its creditors and other stakeholders;</w:t>
      </w:r>
    </w:p>
    <w:p w14:paraId="1FEAB591" w14:textId="77777777" w:rsidR="0001583A" w:rsidRDefault="0001583A" w:rsidP="004F48FD">
      <w:pPr>
        <w:pStyle w:val="BodyTextIndent"/>
        <w:ind w:left="1418"/>
      </w:pPr>
    </w:p>
    <w:p w14:paraId="7324397A" w14:textId="6BCCBADC" w:rsidR="0021768C" w:rsidRDefault="0001583A" w:rsidP="004F48FD">
      <w:pPr>
        <w:pStyle w:val="BodyTextIndent"/>
        <w:ind w:left="1418"/>
      </w:pPr>
      <w:r>
        <w:t>5.2</w:t>
      </w:r>
      <w:r>
        <w:tab/>
      </w:r>
      <w:r w:rsidR="00063483">
        <w:t>Mr Relation cannot reasonably</w:t>
      </w:r>
      <w:r w:rsidR="004F48FD">
        <w:t xml:space="preserve"> expect to be </w:t>
      </w:r>
      <w:r>
        <w:tab/>
      </w:r>
      <w:r w:rsidR="00063483">
        <w:t xml:space="preserve">perceived </w:t>
      </w:r>
      <w:r w:rsidR="004F48FD">
        <w:t xml:space="preserve">or seen by the shareholders who recognized him as having familial ties to Mr B </w:t>
      </w:r>
      <w:proofErr w:type="spellStart"/>
      <w:r w:rsidR="004F48FD">
        <w:t>Inlaw</w:t>
      </w:r>
      <w:proofErr w:type="spellEnd"/>
      <w:r w:rsidR="004F48FD">
        <w:t xml:space="preserve"> as being or able to be objective, independent and impartial,  Similarly it would be perfectly reasonably and plausible for Mrs </w:t>
      </w:r>
      <w:proofErr w:type="spellStart"/>
      <w:r w:rsidR="004F48FD">
        <w:t>Keeneye</w:t>
      </w:r>
      <w:proofErr w:type="spellEnd"/>
      <w:r w:rsidR="004F48FD">
        <w:t xml:space="preserve"> to have some concern and believe that Mr Relation is likely to </w:t>
      </w:r>
      <w:proofErr w:type="spellStart"/>
      <w:r w:rsidR="004F48FD">
        <w:t>prioritise</w:t>
      </w:r>
      <w:proofErr w:type="spellEnd"/>
      <w:r w:rsidR="004F48FD">
        <w:t xml:space="preserve"> or favour the interest of lower ranking creditors, given h</w:t>
      </w:r>
      <w:r w:rsidR="009555FC">
        <w:t>is previously expressed opinion.  Therefore she may also not perceive or see Mr Relation as being (or be able to be) objective, independent and impartial in the administration of the estate.</w:t>
      </w:r>
    </w:p>
    <w:p w14:paraId="4FBDE326" w14:textId="77777777" w:rsidR="0021768C" w:rsidRDefault="0021768C" w:rsidP="0021768C">
      <w:pPr>
        <w:ind w:left="720" w:hanging="720"/>
        <w:jc w:val="both"/>
        <w:rPr>
          <w:rFonts w:ascii="Arial" w:hAnsi="Arial" w:cs="Arial"/>
          <w:color w:val="7B7B7B" w:themeColor="accent3" w:themeShade="BF"/>
          <w:sz w:val="22"/>
          <w:szCs w:val="22"/>
        </w:rPr>
      </w:pPr>
    </w:p>
    <w:p w14:paraId="42BFFCF3" w14:textId="40E0E599" w:rsidR="0021768C" w:rsidRDefault="009555FC"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6</w:t>
      </w:r>
      <w:r>
        <w:rPr>
          <w:rFonts w:ascii="Arial" w:hAnsi="Arial" w:cs="Arial"/>
          <w:color w:val="7B7B7B" w:themeColor="accent3" w:themeShade="BF"/>
          <w:sz w:val="22"/>
          <w:szCs w:val="22"/>
        </w:rPr>
        <w:tab/>
      </w:r>
      <w:r w:rsidR="0021768C">
        <w:rPr>
          <w:rFonts w:ascii="Arial" w:hAnsi="Arial" w:cs="Arial"/>
          <w:color w:val="7B7B7B" w:themeColor="accent3" w:themeShade="BF"/>
          <w:sz w:val="22"/>
          <w:szCs w:val="22"/>
        </w:rPr>
        <w:t>It is important to note that lack of independence can not necessarily be remedied by disclosure or appointment of an independent joint practitioner or office holder, although both options may be considered and may be appropriate in certain circumstances.</w:t>
      </w:r>
    </w:p>
    <w:p w14:paraId="0ED4E458" w14:textId="77777777" w:rsidR="009555FC" w:rsidRDefault="009555FC" w:rsidP="0021768C">
      <w:pPr>
        <w:ind w:left="720" w:hanging="720"/>
        <w:jc w:val="both"/>
        <w:rPr>
          <w:rFonts w:ascii="Arial" w:hAnsi="Arial" w:cs="Arial"/>
          <w:color w:val="7B7B7B" w:themeColor="accent3" w:themeShade="BF"/>
          <w:sz w:val="22"/>
          <w:szCs w:val="22"/>
        </w:rPr>
      </w:pPr>
    </w:p>
    <w:p w14:paraId="1848BB91" w14:textId="63E46E79" w:rsidR="009555FC" w:rsidRDefault="009555FC"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7</w:t>
      </w:r>
      <w:r>
        <w:rPr>
          <w:rFonts w:ascii="Arial" w:hAnsi="Arial" w:cs="Arial"/>
          <w:color w:val="7B7B7B" w:themeColor="accent3" w:themeShade="BF"/>
          <w:sz w:val="22"/>
          <w:szCs w:val="22"/>
        </w:rPr>
        <w:tab/>
        <w:t xml:space="preserve">This then means Mr Relation’s disclosure of his relationship with Mr B </w:t>
      </w:r>
      <w:proofErr w:type="spellStart"/>
      <w:r>
        <w:rPr>
          <w:rFonts w:ascii="Arial" w:hAnsi="Arial" w:cs="Arial"/>
          <w:color w:val="7B7B7B" w:themeColor="accent3" w:themeShade="BF"/>
          <w:sz w:val="22"/>
          <w:szCs w:val="22"/>
        </w:rPr>
        <w:t>Inlaw</w:t>
      </w:r>
      <w:proofErr w:type="spellEnd"/>
      <w:r>
        <w:rPr>
          <w:rFonts w:ascii="Arial" w:hAnsi="Arial" w:cs="Arial"/>
          <w:color w:val="7B7B7B" w:themeColor="accent3" w:themeShade="BF"/>
          <w:sz w:val="22"/>
          <w:szCs w:val="22"/>
        </w:rPr>
        <w:t xml:space="preserve"> and declaration that he believes that he will be able to act with the required independence and impartiality does not necessarily ameliorate this problem of being perceived as not having independence and impartiality.  It can be said that, under these circumstances, Mr Relation’s disclosure and declaration is nothing more than cold comfort.</w:t>
      </w:r>
    </w:p>
    <w:p w14:paraId="5A57CF71" w14:textId="77777777" w:rsidR="0021768C" w:rsidRDefault="0021768C" w:rsidP="0021768C">
      <w:pPr>
        <w:ind w:left="720" w:hanging="720"/>
        <w:jc w:val="both"/>
        <w:rPr>
          <w:rFonts w:ascii="Arial" w:hAnsi="Arial" w:cs="Arial"/>
          <w:color w:val="7B7B7B" w:themeColor="accent3" w:themeShade="BF"/>
          <w:sz w:val="22"/>
          <w:szCs w:val="22"/>
        </w:rPr>
      </w:pPr>
    </w:p>
    <w:p w14:paraId="75BE01BB" w14:textId="36956FD3" w:rsidR="0021768C" w:rsidRDefault="007153A3"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8</w:t>
      </w:r>
      <w:r>
        <w:rPr>
          <w:rFonts w:ascii="Arial" w:hAnsi="Arial" w:cs="Arial"/>
          <w:color w:val="7B7B7B" w:themeColor="accent3" w:themeShade="BF"/>
          <w:sz w:val="22"/>
          <w:szCs w:val="22"/>
        </w:rPr>
        <w:tab/>
      </w:r>
      <w:r w:rsidR="0021768C">
        <w:rPr>
          <w:rFonts w:ascii="Arial" w:hAnsi="Arial" w:cs="Arial"/>
          <w:color w:val="7B7B7B" w:themeColor="accent3" w:themeShade="BF"/>
          <w:sz w:val="22"/>
          <w:szCs w:val="22"/>
        </w:rPr>
        <w:t xml:space="preserve">An IP will only be able to exercise his discretion and powers in the </w:t>
      </w:r>
      <w:r w:rsidR="00943D19">
        <w:rPr>
          <w:rFonts w:ascii="Arial" w:hAnsi="Arial" w:cs="Arial"/>
          <w:color w:val="7B7B7B" w:themeColor="accent3" w:themeShade="BF"/>
          <w:sz w:val="22"/>
          <w:szCs w:val="22"/>
        </w:rPr>
        <w:t>best interest of the beneficiaries of his duties</w:t>
      </w:r>
      <w:r w:rsidR="0021768C">
        <w:rPr>
          <w:rFonts w:ascii="Arial" w:hAnsi="Arial" w:cs="Arial"/>
          <w:color w:val="7B7B7B" w:themeColor="accent3" w:themeShade="BF"/>
          <w:sz w:val="22"/>
          <w:szCs w:val="22"/>
        </w:rPr>
        <w:t xml:space="preserve"> if he/she is independent and impartial.  That is </w:t>
      </w:r>
      <w:r w:rsidR="0021768C">
        <w:rPr>
          <w:rFonts w:ascii="Arial" w:hAnsi="Arial" w:cs="Arial"/>
          <w:i/>
          <w:color w:val="7B7B7B" w:themeColor="accent3" w:themeShade="BF"/>
          <w:sz w:val="22"/>
          <w:szCs w:val="22"/>
        </w:rPr>
        <w:t xml:space="preserve">inter alia </w:t>
      </w:r>
      <w:r w:rsidR="0021768C">
        <w:rPr>
          <w:rFonts w:ascii="Arial" w:hAnsi="Arial" w:cs="Arial"/>
          <w:color w:val="7B7B7B" w:themeColor="accent3" w:themeShade="BF"/>
          <w:sz w:val="22"/>
          <w:szCs w:val="22"/>
        </w:rPr>
        <w:t>because the duty to be independent and impartial seeks to ensure that IPs do not allow bias, a conflict of interest or undue influence of others to override their professional an</w:t>
      </w:r>
      <w:r w:rsidR="00943D19">
        <w:rPr>
          <w:rFonts w:ascii="Arial" w:hAnsi="Arial" w:cs="Arial"/>
          <w:color w:val="7B7B7B" w:themeColor="accent3" w:themeShade="BF"/>
          <w:sz w:val="22"/>
          <w:szCs w:val="22"/>
        </w:rPr>
        <w:t>d/or business judgments in the</w:t>
      </w:r>
      <w:r w:rsidR="0021768C">
        <w:rPr>
          <w:rFonts w:ascii="Arial" w:hAnsi="Arial" w:cs="Arial"/>
          <w:color w:val="7B7B7B" w:themeColor="accent3" w:themeShade="BF"/>
          <w:sz w:val="22"/>
          <w:szCs w:val="22"/>
        </w:rPr>
        <w:t xml:space="preserve"> performance of their duties and obligations.</w:t>
      </w:r>
      <w:r>
        <w:rPr>
          <w:rFonts w:ascii="Arial" w:hAnsi="Arial" w:cs="Arial"/>
          <w:color w:val="7B7B7B" w:themeColor="accent3" w:themeShade="BF"/>
          <w:sz w:val="22"/>
          <w:szCs w:val="22"/>
        </w:rPr>
        <w:t xml:space="preserve">  It can be argued that Mr Relation allowed bias, a conflict of interest and/or undue influence of Mr B </w:t>
      </w:r>
      <w:proofErr w:type="spellStart"/>
      <w:r>
        <w:rPr>
          <w:rFonts w:ascii="Arial" w:hAnsi="Arial" w:cs="Arial"/>
          <w:color w:val="7B7B7B" w:themeColor="accent3" w:themeShade="BF"/>
          <w:sz w:val="22"/>
          <w:szCs w:val="22"/>
        </w:rPr>
        <w:t>Inlaw</w:t>
      </w:r>
      <w:proofErr w:type="spellEnd"/>
      <w:r>
        <w:rPr>
          <w:rFonts w:ascii="Arial" w:hAnsi="Arial" w:cs="Arial"/>
          <w:color w:val="7B7B7B" w:themeColor="accent3" w:themeShade="BF"/>
          <w:sz w:val="22"/>
          <w:szCs w:val="22"/>
        </w:rPr>
        <w:t xml:space="preserve"> and his fellow directors (who are guilty of wrongdoing) to override his professional and/or business judgments in the performance of his duties and obligation as administrator.</w:t>
      </w:r>
    </w:p>
    <w:p w14:paraId="1555616A" w14:textId="77777777" w:rsidR="0021768C" w:rsidRDefault="0021768C" w:rsidP="0021768C">
      <w:pPr>
        <w:ind w:left="720" w:hanging="720"/>
        <w:jc w:val="both"/>
        <w:rPr>
          <w:rFonts w:ascii="Arial" w:hAnsi="Arial" w:cs="Arial"/>
          <w:color w:val="7B7B7B" w:themeColor="accent3" w:themeShade="BF"/>
          <w:sz w:val="22"/>
          <w:szCs w:val="22"/>
        </w:rPr>
      </w:pPr>
    </w:p>
    <w:p w14:paraId="0786EA5D" w14:textId="068BD52A" w:rsidR="0021768C" w:rsidRDefault="007153A3"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9</w:t>
      </w:r>
      <w:r>
        <w:rPr>
          <w:rFonts w:ascii="Arial" w:hAnsi="Arial" w:cs="Arial"/>
          <w:color w:val="7B7B7B" w:themeColor="accent3" w:themeShade="BF"/>
          <w:sz w:val="22"/>
          <w:szCs w:val="22"/>
        </w:rPr>
        <w:tab/>
      </w:r>
      <w:r w:rsidR="0021768C">
        <w:rPr>
          <w:rFonts w:ascii="Arial" w:hAnsi="Arial" w:cs="Arial"/>
          <w:color w:val="7B7B7B" w:themeColor="accent3" w:themeShade="BF"/>
          <w:sz w:val="22"/>
          <w:szCs w:val="22"/>
        </w:rPr>
        <w:t>IPs should decline appointments where their independence and impartiality will or may be questioned as a result of an existing relationship with a stakeholder.  It matters not whether as a matter of fact a practitioner’s independence and impartiality is compromised.  The fact that circumstances may lead a reasonably informed third party to conclude or perceive that the IP’s integrity, independence and impartiality have been compromised should be enough to cause a practitioner not to take an appointment.</w:t>
      </w:r>
      <w:r w:rsidR="001F1EF6">
        <w:rPr>
          <w:rFonts w:ascii="Arial" w:hAnsi="Arial" w:cs="Arial"/>
          <w:color w:val="7B7B7B" w:themeColor="accent3" w:themeShade="BF"/>
          <w:sz w:val="22"/>
          <w:szCs w:val="22"/>
        </w:rPr>
        <w:t xml:space="preserve">  I submit that Mr Relation failed by not declining his appointment under the prevailing circumstances of this case which required him to do so.  This is </w:t>
      </w:r>
      <w:r w:rsidR="001F1EF6">
        <w:rPr>
          <w:rFonts w:ascii="Arial" w:hAnsi="Arial" w:cs="Arial"/>
          <w:i/>
          <w:color w:val="7B7B7B" w:themeColor="accent3" w:themeShade="BF"/>
          <w:sz w:val="22"/>
          <w:szCs w:val="22"/>
        </w:rPr>
        <w:t xml:space="preserve">inter alia </w:t>
      </w:r>
      <w:r w:rsidR="001F1EF6" w:rsidRPr="001F1EF6">
        <w:rPr>
          <w:rFonts w:ascii="Arial" w:hAnsi="Arial" w:cs="Arial"/>
          <w:color w:val="7B7B7B" w:themeColor="accent3" w:themeShade="BF"/>
          <w:sz w:val="22"/>
          <w:szCs w:val="22"/>
        </w:rPr>
        <w:t>because</w:t>
      </w:r>
      <w:r w:rsidR="001F1EF6">
        <w:rPr>
          <w:rFonts w:ascii="Arial" w:hAnsi="Arial" w:cs="Arial"/>
          <w:color w:val="7B7B7B" w:themeColor="accent3" w:themeShade="BF"/>
          <w:sz w:val="22"/>
          <w:szCs w:val="22"/>
        </w:rPr>
        <w:t xml:space="preserve"> there can be no question that his independence and impartiality would be </w:t>
      </w:r>
      <w:r w:rsidR="003E6A58">
        <w:rPr>
          <w:rFonts w:ascii="Arial" w:hAnsi="Arial" w:cs="Arial"/>
          <w:color w:val="7B7B7B" w:themeColor="accent3" w:themeShade="BF"/>
          <w:sz w:val="22"/>
          <w:szCs w:val="22"/>
        </w:rPr>
        <w:t xml:space="preserve">compromised or </w:t>
      </w:r>
      <w:r w:rsidR="001F1EF6">
        <w:rPr>
          <w:rFonts w:ascii="Arial" w:hAnsi="Arial" w:cs="Arial"/>
          <w:color w:val="7B7B7B" w:themeColor="accent3" w:themeShade="BF"/>
          <w:sz w:val="22"/>
          <w:szCs w:val="22"/>
        </w:rPr>
        <w:t xml:space="preserve">questioned as a result of his close familial relationship with Mr B </w:t>
      </w:r>
      <w:proofErr w:type="spellStart"/>
      <w:r w:rsidR="001F1EF6">
        <w:rPr>
          <w:rFonts w:ascii="Arial" w:hAnsi="Arial" w:cs="Arial"/>
          <w:color w:val="7B7B7B" w:themeColor="accent3" w:themeShade="BF"/>
          <w:sz w:val="22"/>
          <w:szCs w:val="22"/>
        </w:rPr>
        <w:t>Inlaw</w:t>
      </w:r>
      <w:proofErr w:type="spellEnd"/>
      <w:r w:rsidR="001F1EF6">
        <w:rPr>
          <w:rFonts w:ascii="Arial" w:hAnsi="Arial" w:cs="Arial"/>
          <w:color w:val="7B7B7B" w:themeColor="accent3" w:themeShade="BF"/>
          <w:sz w:val="22"/>
          <w:szCs w:val="22"/>
        </w:rPr>
        <w:t xml:space="preserve"> who is both a director and shareholder of the company in respect of which he was appointed as administrator.</w:t>
      </w:r>
    </w:p>
    <w:p w14:paraId="45741451" w14:textId="77777777" w:rsidR="001F1EF6" w:rsidRDefault="001F1EF6" w:rsidP="0021768C">
      <w:pPr>
        <w:ind w:left="720" w:hanging="720"/>
        <w:jc w:val="both"/>
        <w:rPr>
          <w:rFonts w:ascii="Arial" w:hAnsi="Arial" w:cs="Arial"/>
          <w:color w:val="7B7B7B" w:themeColor="accent3" w:themeShade="BF"/>
          <w:sz w:val="22"/>
          <w:szCs w:val="22"/>
        </w:rPr>
      </w:pPr>
    </w:p>
    <w:p w14:paraId="113C4F94" w14:textId="0D48A2B2" w:rsidR="001F1EF6" w:rsidRDefault="001F1EF6"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10</w:t>
      </w:r>
      <w:r>
        <w:rPr>
          <w:rFonts w:ascii="Arial" w:hAnsi="Arial" w:cs="Arial"/>
          <w:color w:val="7B7B7B" w:themeColor="accent3" w:themeShade="BF"/>
          <w:sz w:val="22"/>
          <w:szCs w:val="22"/>
        </w:rPr>
        <w:tab/>
        <w:t>It can be said that in accepting his appointment as administrator, he gave rise to a threat to objectivity, independence and impartiality in the form of at least familiarity.</w:t>
      </w:r>
    </w:p>
    <w:p w14:paraId="36963C17" w14:textId="77777777" w:rsidR="001F1EF6" w:rsidRDefault="001F1EF6" w:rsidP="0021768C">
      <w:pPr>
        <w:ind w:left="720" w:hanging="720"/>
        <w:jc w:val="both"/>
        <w:rPr>
          <w:rFonts w:ascii="Arial" w:hAnsi="Arial" w:cs="Arial"/>
          <w:color w:val="7B7B7B" w:themeColor="accent3" w:themeShade="BF"/>
          <w:sz w:val="22"/>
          <w:szCs w:val="22"/>
        </w:rPr>
      </w:pPr>
    </w:p>
    <w:p w14:paraId="3C8C0563" w14:textId="596868CD" w:rsidR="001F1EF6" w:rsidRDefault="001F1EF6"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11</w:t>
      </w:r>
      <w:r>
        <w:rPr>
          <w:rFonts w:ascii="Arial" w:hAnsi="Arial" w:cs="Arial"/>
          <w:color w:val="7B7B7B" w:themeColor="accent3" w:themeShade="BF"/>
          <w:sz w:val="22"/>
          <w:szCs w:val="22"/>
        </w:rPr>
        <w:tab/>
      </w:r>
      <w:r w:rsidR="00FC748A">
        <w:rPr>
          <w:rFonts w:ascii="Arial" w:hAnsi="Arial" w:cs="Arial"/>
          <w:color w:val="7B7B7B" w:themeColor="accent3" w:themeShade="BF"/>
          <w:sz w:val="22"/>
          <w:szCs w:val="22"/>
        </w:rPr>
        <w:t>In order to safeguard or minimize or remove this threat, Mr Relation ought to have declined his appointment as administrator.</w:t>
      </w:r>
    </w:p>
    <w:p w14:paraId="160859C4" w14:textId="77777777" w:rsidR="00FC748A" w:rsidRDefault="00FC748A" w:rsidP="0021768C">
      <w:pPr>
        <w:ind w:left="720" w:hanging="720"/>
        <w:jc w:val="both"/>
        <w:rPr>
          <w:rFonts w:ascii="Arial" w:hAnsi="Arial" w:cs="Arial"/>
          <w:color w:val="7B7B7B" w:themeColor="accent3" w:themeShade="BF"/>
          <w:sz w:val="22"/>
          <w:szCs w:val="22"/>
        </w:rPr>
      </w:pPr>
    </w:p>
    <w:p w14:paraId="15896DF2" w14:textId="7FF683B4" w:rsidR="00FC748A" w:rsidRDefault="00FC748A"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12</w:t>
      </w:r>
      <w:r>
        <w:rPr>
          <w:rFonts w:ascii="Arial" w:hAnsi="Arial" w:cs="Arial"/>
          <w:color w:val="7B7B7B" w:themeColor="accent3" w:themeShade="BF"/>
          <w:sz w:val="22"/>
          <w:szCs w:val="22"/>
        </w:rPr>
        <w:tab/>
        <w:t>When Mr Relation accepted his appointment as liquidator pursuant to the conversion of the administration into liquidation proceedings, he placed himself in a position which renders his independence and impartiality questionable due to the threats of self review and self interest created by subsequent appointments in relation to the same debtor company.  It can thus</w:t>
      </w:r>
      <w:r w:rsidR="007F33D7">
        <w:rPr>
          <w:rFonts w:ascii="Arial" w:hAnsi="Arial" w:cs="Arial"/>
          <w:color w:val="7B7B7B" w:themeColor="accent3" w:themeShade="BF"/>
          <w:sz w:val="22"/>
          <w:szCs w:val="22"/>
        </w:rPr>
        <w:t xml:space="preserve"> be said that:-</w:t>
      </w:r>
    </w:p>
    <w:p w14:paraId="0E94DD32" w14:textId="77777777" w:rsidR="007F33D7" w:rsidRDefault="007F33D7" w:rsidP="0021768C">
      <w:pPr>
        <w:ind w:left="720" w:hanging="720"/>
        <w:jc w:val="both"/>
        <w:rPr>
          <w:rFonts w:ascii="Arial" w:hAnsi="Arial" w:cs="Arial"/>
          <w:color w:val="7B7B7B" w:themeColor="accent3" w:themeShade="BF"/>
          <w:sz w:val="22"/>
          <w:szCs w:val="22"/>
        </w:rPr>
      </w:pPr>
    </w:p>
    <w:p w14:paraId="2F27879A" w14:textId="5D89A341" w:rsidR="007F33D7" w:rsidRDefault="007F33D7" w:rsidP="00B5092D">
      <w:pPr>
        <w:ind w:left="1418" w:hanging="1418"/>
        <w:jc w:val="both"/>
        <w:rPr>
          <w:rFonts w:ascii="Arial" w:hAnsi="Arial" w:cs="Arial"/>
          <w:color w:val="7B7B7B" w:themeColor="accent3" w:themeShade="BF"/>
          <w:sz w:val="22"/>
          <w:szCs w:val="22"/>
        </w:rPr>
      </w:pPr>
      <w:r>
        <w:rPr>
          <w:rFonts w:ascii="Arial" w:hAnsi="Arial" w:cs="Arial"/>
          <w:color w:val="7B7B7B" w:themeColor="accent3" w:themeShade="BF"/>
          <w:sz w:val="22"/>
          <w:szCs w:val="22"/>
        </w:rPr>
        <w:t>12.1</w:t>
      </w:r>
      <w:r>
        <w:rPr>
          <w:rFonts w:ascii="Arial" w:hAnsi="Arial" w:cs="Arial"/>
          <w:color w:val="7B7B7B" w:themeColor="accent3" w:themeShade="BF"/>
          <w:sz w:val="22"/>
          <w:szCs w:val="22"/>
        </w:rPr>
        <w:tab/>
      </w:r>
      <w:r>
        <w:rPr>
          <w:rFonts w:ascii="Arial" w:hAnsi="Arial" w:cs="Arial"/>
          <w:color w:val="7B7B7B" w:themeColor="accent3" w:themeShade="BF"/>
          <w:sz w:val="22"/>
          <w:szCs w:val="22"/>
        </w:rPr>
        <w:tab/>
      </w:r>
      <w:r w:rsidR="00B5092D">
        <w:rPr>
          <w:rFonts w:ascii="Arial" w:hAnsi="Arial" w:cs="Arial"/>
          <w:color w:val="7B7B7B" w:themeColor="accent3" w:themeShade="BF"/>
          <w:sz w:val="22"/>
          <w:szCs w:val="22"/>
        </w:rPr>
        <w:t>a self review threat arises here because he is now required to evaluate the results of his previous judgments or services rendered in his capacity as administrator.  This cannot be done objectively;</w:t>
      </w:r>
    </w:p>
    <w:p w14:paraId="41CFD776" w14:textId="77777777" w:rsidR="00B5092D" w:rsidRDefault="00B5092D" w:rsidP="00B5092D">
      <w:pPr>
        <w:ind w:left="1418" w:hanging="1418"/>
        <w:jc w:val="both"/>
        <w:rPr>
          <w:rFonts w:ascii="Arial" w:hAnsi="Arial" w:cs="Arial"/>
          <w:color w:val="7B7B7B" w:themeColor="accent3" w:themeShade="BF"/>
          <w:sz w:val="22"/>
          <w:szCs w:val="22"/>
        </w:rPr>
      </w:pPr>
    </w:p>
    <w:p w14:paraId="0448E935" w14:textId="6AC041CB" w:rsidR="00B5092D" w:rsidRPr="001F1EF6" w:rsidRDefault="00B5092D" w:rsidP="00B5092D">
      <w:pPr>
        <w:ind w:left="1418" w:hanging="1418"/>
        <w:jc w:val="both"/>
      </w:pPr>
      <w:r>
        <w:rPr>
          <w:rFonts w:ascii="Arial" w:hAnsi="Arial" w:cs="Arial"/>
          <w:color w:val="7B7B7B" w:themeColor="accent3" w:themeShade="BF"/>
          <w:sz w:val="22"/>
          <w:szCs w:val="22"/>
        </w:rPr>
        <w:t>12.2</w:t>
      </w:r>
      <w:r>
        <w:rPr>
          <w:rFonts w:ascii="Arial" w:hAnsi="Arial" w:cs="Arial"/>
          <w:color w:val="7B7B7B" w:themeColor="accent3" w:themeShade="BF"/>
          <w:sz w:val="22"/>
          <w:szCs w:val="22"/>
        </w:rPr>
        <w:tab/>
      </w:r>
      <w:r>
        <w:rPr>
          <w:rFonts w:ascii="Arial" w:hAnsi="Arial" w:cs="Arial"/>
          <w:color w:val="7B7B7B" w:themeColor="accent3" w:themeShade="BF"/>
          <w:sz w:val="22"/>
          <w:szCs w:val="22"/>
        </w:rPr>
        <w:tab/>
        <w:t>the self interest threat arises here because Mr Relation will be remunerated twice for work done in relation to the same</w:t>
      </w:r>
      <w:r w:rsidR="0088778B">
        <w:rPr>
          <w:rFonts w:ascii="Arial" w:hAnsi="Arial" w:cs="Arial"/>
          <w:color w:val="7B7B7B" w:themeColor="accent3" w:themeShade="BF"/>
          <w:sz w:val="22"/>
          <w:szCs w:val="22"/>
        </w:rPr>
        <w:t xml:space="preserve"> company (i.e. in his capacity</w:t>
      </w:r>
      <w:r>
        <w:rPr>
          <w:rFonts w:ascii="Arial" w:hAnsi="Arial" w:cs="Arial"/>
          <w:color w:val="7B7B7B" w:themeColor="accent3" w:themeShade="BF"/>
          <w:sz w:val="22"/>
          <w:szCs w:val="22"/>
        </w:rPr>
        <w:t xml:space="preserve"> as administrator and subsequently liquidator of </w:t>
      </w:r>
      <w:proofErr w:type="spellStart"/>
      <w:r>
        <w:rPr>
          <w:rFonts w:ascii="Arial" w:hAnsi="Arial" w:cs="Arial"/>
          <w:color w:val="7B7B7B" w:themeColor="accent3" w:themeShade="BF"/>
          <w:sz w:val="22"/>
          <w:szCs w:val="22"/>
        </w:rPr>
        <w:t>WeBuild</w:t>
      </w:r>
      <w:proofErr w:type="spellEnd"/>
      <w:r>
        <w:rPr>
          <w:rFonts w:ascii="Arial" w:hAnsi="Arial" w:cs="Arial"/>
          <w:color w:val="7B7B7B" w:themeColor="accent3" w:themeShade="BF"/>
          <w:sz w:val="22"/>
          <w:szCs w:val="22"/>
        </w:rPr>
        <w:t xml:space="preserve"> Ltd).</w:t>
      </w:r>
    </w:p>
    <w:p w14:paraId="5DD9B6DE" w14:textId="77777777" w:rsidR="0021768C" w:rsidRDefault="0021768C" w:rsidP="0021768C">
      <w:pPr>
        <w:ind w:left="720" w:hanging="720"/>
        <w:jc w:val="both"/>
        <w:rPr>
          <w:rFonts w:ascii="Arial" w:hAnsi="Arial" w:cs="Arial"/>
          <w:color w:val="7B7B7B" w:themeColor="accent3" w:themeShade="BF"/>
          <w:sz w:val="22"/>
          <w:szCs w:val="22"/>
        </w:rPr>
      </w:pPr>
    </w:p>
    <w:p w14:paraId="0827F4EC" w14:textId="267B0E79" w:rsidR="00B5092D" w:rsidRPr="00B5092D" w:rsidRDefault="00B5092D" w:rsidP="00B5092D">
      <w:pPr>
        <w:pStyle w:val="Heading4"/>
      </w:pPr>
      <w:r w:rsidRPr="00B5092D">
        <w:t>Professional competence – duty of care, skill and diligence</w:t>
      </w:r>
    </w:p>
    <w:p w14:paraId="14E168B8" w14:textId="77777777" w:rsidR="00B5092D" w:rsidRDefault="00B5092D" w:rsidP="0021768C">
      <w:pPr>
        <w:ind w:left="720" w:hanging="720"/>
        <w:jc w:val="both"/>
        <w:rPr>
          <w:rFonts w:ascii="Arial" w:hAnsi="Arial" w:cs="Arial"/>
          <w:color w:val="7B7B7B" w:themeColor="accent3" w:themeShade="BF"/>
          <w:sz w:val="22"/>
          <w:szCs w:val="22"/>
        </w:rPr>
      </w:pPr>
    </w:p>
    <w:p w14:paraId="04494EA0" w14:textId="177D7231" w:rsidR="0021768C" w:rsidRDefault="00B5092D"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13</w:t>
      </w:r>
      <w:r>
        <w:rPr>
          <w:rFonts w:ascii="Arial" w:hAnsi="Arial" w:cs="Arial"/>
          <w:color w:val="7B7B7B" w:themeColor="accent3" w:themeShade="BF"/>
          <w:sz w:val="22"/>
          <w:szCs w:val="22"/>
        </w:rPr>
        <w:tab/>
        <w:t>Practitioners have a duty of professional/technical</w:t>
      </w:r>
      <w:r w:rsidR="00C25BB8">
        <w:rPr>
          <w:rFonts w:ascii="Arial" w:hAnsi="Arial" w:cs="Arial"/>
          <w:color w:val="7B7B7B" w:themeColor="accent3" w:themeShade="BF"/>
          <w:sz w:val="22"/>
          <w:szCs w:val="22"/>
        </w:rPr>
        <w:t xml:space="preserve"> competence, which is intimately related to the duty of care, skill and diligence.  This means practitioners and their firms are required to maintain an acceptable level of professional competency.  A practitioner should not accept an appointment where he cannot give it the level of attention or technical expertise required to deliver the best results for stakeholders as that may bring the member and the profession into disrepute.  If a practitioner does not observe h</w:t>
      </w:r>
      <w:r w:rsidR="00366AB5">
        <w:rPr>
          <w:rFonts w:ascii="Arial" w:hAnsi="Arial" w:cs="Arial"/>
          <w:color w:val="7B7B7B" w:themeColor="accent3" w:themeShade="BF"/>
          <w:sz w:val="22"/>
          <w:szCs w:val="22"/>
        </w:rPr>
        <w:t>is duty of care, skill and di</w:t>
      </w:r>
      <w:r w:rsidR="00C25BB8">
        <w:rPr>
          <w:rFonts w:ascii="Arial" w:hAnsi="Arial" w:cs="Arial"/>
          <w:color w:val="7B7B7B" w:themeColor="accent3" w:themeShade="BF"/>
          <w:sz w:val="22"/>
          <w:szCs w:val="22"/>
        </w:rPr>
        <w:t xml:space="preserve">ligence by, for example, acting recklessly, that may prevent </w:t>
      </w:r>
      <w:r w:rsidR="00841C37">
        <w:rPr>
          <w:rFonts w:ascii="Arial" w:hAnsi="Arial" w:cs="Arial"/>
          <w:color w:val="7B7B7B" w:themeColor="accent3" w:themeShade="BF"/>
          <w:sz w:val="22"/>
          <w:szCs w:val="22"/>
        </w:rPr>
        <w:t>or frustrate the protection of the inter</w:t>
      </w:r>
      <w:r w:rsidR="00366AB5">
        <w:rPr>
          <w:rFonts w:ascii="Arial" w:hAnsi="Arial" w:cs="Arial"/>
          <w:color w:val="7B7B7B" w:themeColor="accent3" w:themeShade="BF"/>
          <w:sz w:val="22"/>
          <w:szCs w:val="22"/>
        </w:rPr>
        <w:t>ests of stakeholders.  This then</w:t>
      </w:r>
      <w:r w:rsidR="00841C37">
        <w:rPr>
          <w:rFonts w:ascii="Arial" w:hAnsi="Arial" w:cs="Arial"/>
          <w:color w:val="7B7B7B" w:themeColor="accent3" w:themeShade="BF"/>
          <w:sz w:val="22"/>
          <w:szCs w:val="22"/>
        </w:rPr>
        <w:t xml:space="preserve"> means that a practitioner who fails to meticulously perform his duties, might be in breach of duty to act with care, skill and diligence and may be held personally liable for any loss due to his actions.</w:t>
      </w:r>
    </w:p>
    <w:p w14:paraId="3A76E0F3" w14:textId="77777777" w:rsidR="00841C37" w:rsidRDefault="00841C37" w:rsidP="0021768C">
      <w:pPr>
        <w:ind w:left="720" w:hanging="720"/>
        <w:jc w:val="both"/>
        <w:rPr>
          <w:rFonts w:ascii="Arial" w:hAnsi="Arial" w:cs="Arial"/>
          <w:color w:val="7B7B7B" w:themeColor="accent3" w:themeShade="BF"/>
          <w:sz w:val="22"/>
          <w:szCs w:val="22"/>
        </w:rPr>
      </w:pPr>
    </w:p>
    <w:p w14:paraId="13274E37" w14:textId="5144FEE5" w:rsidR="00841C37" w:rsidRDefault="00841C37"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14</w:t>
      </w:r>
      <w:r>
        <w:rPr>
          <w:rFonts w:ascii="Arial" w:hAnsi="Arial" w:cs="Arial"/>
          <w:color w:val="7B7B7B" w:themeColor="accent3" w:themeShade="BF"/>
          <w:sz w:val="22"/>
          <w:szCs w:val="22"/>
        </w:rPr>
        <w:tab/>
        <w:t>It can be said that Mr Relation failed to observe his duty when he:-</w:t>
      </w:r>
    </w:p>
    <w:p w14:paraId="65F05DA2" w14:textId="77777777" w:rsidR="00841C37" w:rsidRDefault="00841C37" w:rsidP="0021768C">
      <w:pPr>
        <w:ind w:left="720" w:hanging="720"/>
        <w:jc w:val="both"/>
        <w:rPr>
          <w:rFonts w:ascii="Arial" w:hAnsi="Arial" w:cs="Arial"/>
          <w:color w:val="7B7B7B" w:themeColor="accent3" w:themeShade="BF"/>
          <w:sz w:val="22"/>
          <w:szCs w:val="22"/>
        </w:rPr>
      </w:pPr>
    </w:p>
    <w:p w14:paraId="5EF3785F" w14:textId="151C455D" w:rsidR="00841C37" w:rsidRPr="00841C37" w:rsidRDefault="00841C37" w:rsidP="00841C37">
      <w:pPr>
        <w:pStyle w:val="BodyTextIndent3"/>
        <w:rPr>
          <w:lang w:val="en-US"/>
        </w:rPr>
      </w:pPr>
      <w:r w:rsidRPr="00841C37">
        <w:rPr>
          <w:lang w:val="en-US"/>
        </w:rPr>
        <w:t>14.1</w:t>
      </w:r>
      <w:r w:rsidRPr="00841C37">
        <w:rPr>
          <w:lang w:val="en-US"/>
        </w:rPr>
        <w:tab/>
      </w:r>
      <w:r w:rsidRPr="00841C37">
        <w:rPr>
          <w:lang w:val="en-US"/>
        </w:rPr>
        <w:tab/>
        <w:t>conducted a superficial investigation into the affairs of the company in circumstances where he ought to have conducted a comprehensive and thorough investigation in relation to the wrongful conduct of his brother-</w:t>
      </w:r>
      <w:r w:rsidR="00366AB5">
        <w:rPr>
          <w:lang w:val="en-US"/>
        </w:rPr>
        <w:t>in-law and his fellow directors, which was brought to his attention;</w:t>
      </w:r>
    </w:p>
    <w:p w14:paraId="2E0B64A1" w14:textId="77777777" w:rsidR="00841C37" w:rsidRDefault="00841C37" w:rsidP="00841C37">
      <w:pPr>
        <w:ind w:left="1418" w:hanging="1418"/>
        <w:jc w:val="both"/>
        <w:rPr>
          <w:rFonts w:ascii="Arial" w:hAnsi="Arial" w:cs="Arial"/>
          <w:color w:val="7B7B7B" w:themeColor="accent3" w:themeShade="BF"/>
          <w:sz w:val="22"/>
          <w:szCs w:val="22"/>
        </w:rPr>
      </w:pPr>
    </w:p>
    <w:p w14:paraId="1E53163F" w14:textId="675EE299" w:rsidR="00841C37" w:rsidRDefault="00841C37" w:rsidP="00841C37">
      <w:pPr>
        <w:ind w:left="1418" w:hanging="1418"/>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14.2</w:t>
      </w:r>
      <w:r>
        <w:rPr>
          <w:rFonts w:ascii="Arial" w:hAnsi="Arial" w:cs="Arial"/>
          <w:color w:val="7B7B7B" w:themeColor="accent3" w:themeShade="BF"/>
          <w:sz w:val="22"/>
          <w:szCs w:val="22"/>
        </w:rPr>
        <w:tab/>
      </w:r>
      <w:r>
        <w:rPr>
          <w:rFonts w:ascii="Arial" w:hAnsi="Arial" w:cs="Arial"/>
          <w:color w:val="7B7B7B" w:themeColor="accent3" w:themeShade="BF"/>
          <w:sz w:val="22"/>
          <w:szCs w:val="22"/>
        </w:rPr>
        <w:tab/>
        <w:t>he relied on detailed reports drafted by his brother-in-law regarding the company’s business and drafts a strategic plan for recovery based on his investigation and the reports he received;</w:t>
      </w:r>
    </w:p>
    <w:p w14:paraId="392F51B8" w14:textId="77777777" w:rsidR="00841C37" w:rsidRDefault="00841C37" w:rsidP="00841C37">
      <w:pPr>
        <w:ind w:left="1418" w:hanging="1418"/>
        <w:jc w:val="both"/>
        <w:rPr>
          <w:rFonts w:ascii="Arial" w:hAnsi="Arial" w:cs="Arial"/>
          <w:color w:val="7B7B7B" w:themeColor="accent3" w:themeShade="BF"/>
          <w:sz w:val="22"/>
          <w:szCs w:val="22"/>
        </w:rPr>
      </w:pPr>
    </w:p>
    <w:p w14:paraId="3E27F0DB" w14:textId="1784CCB8" w:rsidR="00841C37" w:rsidRDefault="00841C37" w:rsidP="00841C37">
      <w:pPr>
        <w:ind w:left="1418" w:hanging="1418"/>
        <w:jc w:val="both"/>
        <w:rPr>
          <w:rFonts w:ascii="Arial" w:hAnsi="Arial" w:cs="Arial"/>
          <w:color w:val="7B7B7B" w:themeColor="accent3" w:themeShade="BF"/>
          <w:sz w:val="22"/>
          <w:szCs w:val="22"/>
        </w:rPr>
      </w:pPr>
      <w:r>
        <w:rPr>
          <w:rFonts w:ascii="Arial" w:hAnsi="Arial" w:cs="Arial"/>
          <w:color w:val="7B7B7B" w:themeColor="accent3" w:themeShade="BF"/>
          <w:sz w:val="22"/>
          <w:szCs w:val="22"/>
        </w:rPr>
        <w:t>14.3</w:t>
      </w:r>
      <w:r>
        <w:rPr>
          <w:rFonts w:ascii="Arial" w:hAnsi="Arial" w:cs="Arial"/>
          <w:color w:val="7B7B7B" w:themeColor="accent3" w:themeShade="BF"/>
          <w:sz w:val="22"/>
          <w:szCs w:val="22"/>
        </w:rPr>
        <w:tab/>
      </w:r>
      <w:r>
        <w:rPr>
          <w:rFonts w:ascii="Arial" w:hAnsi="Arial" w:cs="Arial"/>
          <w:color w:val="7B7B7B" w:themeColor="accent3" w:themeShade="BF"/>
          <w:sz w:val="22"/>
          <w:szCs w:val="22"/>
        </w:rPr>
        <w:tab/>
        <w:t>he advised the creditors that he found no evidence of any wrongdoing or maladministration by the company’s directors.</w:t>
      </w:r>
    </w:p>
    <w:p w14:paraId="438319E2" w14:textId="77777777" w:rsidR="00841C37" w:rsidRDefault="00841C37" w:rsidP="0021768C">
      <w:pPr>
        <w:ind w:left="720" w:hanging="720"/>
        <w:jc w:val="both"/>
        <w:rPr>
          <w:rFonts w:ascii="Arial" w:hAnsi="Arial" w:cs="Arial"/>
          <w:color w:val="7B7B7B" w:themeColor="accent3" w:themeShade="BF"/>
          <w:sz w:val="22"/>
          <w:szCs w:val="22"/>
        </w:rPr>
      </w:pPr>
    </w:p>
    <w:p w14:paraId="5CAE6B9C" w14:textId="6C6663C2" w:rsidR="00841C37" w:rsidRPr="00FD1CC3" w:rsidRDefault="00841C37" w:rsidP="0021768C">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15</w:t>
      </w:r>
      <w:r>
        <w:rPr>
          <w:rFonts w:ascii="Arial" w:hAnsi="Arial" w:cs="Arial"/>
          <w:color w:val="7B7B7B" w:themeColor="accent3" w:themeShade="BF"/>
          <w:sz w:val="22"/>
          <w:szCs w:val="22"/>
        </w:rPr>
        <w:tab/>
        <w:t>Had Mr Relation</w:t>
      </w:r>
      <w:r w:rsidR="00697244">
        <w:rPr>
          <w:rFonts w:ascii="Arial" w:hAnsi="Arial" w:cs="Arial"/>
          <w:color w:val="7B7B7B" w:themeColor="accent3" w:themeShade="BF"/>
          <w:sz w:val="22"/>
          <w:szCs w:val="22"/>
        </w:rPr>
        <w:t xml:space="preserve"> conducted a thorough and comprehensive report, he would have uncovered and disclosed to the relevant stakeholders that (</w:t>
      </w:r>
      <w:proofErr w:type="spellStart"/>
      <w:r w:rsidR="00697244">
        <w:rPr>
          <w:rFonts w:ascii="Arial" w:hAnsi="Arial" w:cs="Arial"/>
          <w:color w:val="7B7B7B" w:themeColor="accent3" w:themeShade="BF"/>
          <w:sz w:val="22"/>
          <w:szCs w:val="22"/>
        </w:rPr>
        <w:t>i</w:t>
      </w:r>
      <w:proofErr w:type="spellEnd"/>
      <w:r w:rsidR="00697244">
        <w:rPr>
          <w:rFonts w:ascii="Arial" w:hAnsi="Arial" w:cs="Arial"/>
          <w:color w:val="7B7B7B" w:themeColor="accent3" w:themeShade="BF"/>
          <w:sz w:val="22"/>
          <w:szCs w:val="22"/>
        </w:rPr>
        <w:t xml:space="preserve">) the directors of the company were made aware of the issue relating to the machinery but chose not to take any action to remedy the situation and (ii) </w:t>
      </w:r>
      <w:r w:rsidR="00DF1A28">
        <w:rPr>
          <w:rFonts w:ascii="Arial" w:hAnsi="Arial" w:cs="Arial"/>
          <w:color w:val="7B7B7B" w:themeColor="accent3" w:themeShade="BF"/>
          <w:sz w:val="22"/>
          <w:szCs w:val="22"/>
        </w:rPr>
        <w:t>when the financial position of the company started to decline the directors continued to trade as if nothing was wrong and even made several large</w:t>
      </w:r>
      <w:r w:rsidR="00C045B5">
        <w:rPr>
          <w:rFonts w:ascii="Arial" w:hAnsi="Arial" w:cs="Arial"/>
          <w:color w:val="7B7B7B" w:themeColor="accent3" w:themeShade="BF"/>
          <w:sz w:val="22"/>
          <w:szCs w:val="22"/>
        </w:rPr>
        <w:t xml:space="preserve"> payments to themselves by way of performance bonuses.  This would have enabled him to sue the directors in question for appropriate relief and claims.  That would have certainly been in the best interest of the general body of stakeholders.</w:t>
      </w:r>
    </w:p>
    <w:p w14:paraId="4771A719" w14:textId="77777777" w:rsidR="00B05E56" w:rsidRDefault="00B05E56" w:rsidP="00B05E56">
      <w:pPr>
        <w:pStyle w:val="ListParagraph"/>
        <w:autoSpaceDE w:val="0"/>
        <w:autoSpaceDN w:val="0"/>
        <w:adjustRightInd w:val="0"/>
        <w:ind w:left="0"/>
        <w:jc w:val="both"/>
        <w:rPr>
          <w:rFonts w:ascii="Arial" w:hAnsi="Arial" w:cs="Arial"/>
          <w:color w:val="7B7B7B" w:themeColor="accent3" w:themeShade="BF"/>
          <w:sz w:val="22"/>
          <w:szCs w:val="22"/>
          <w:lang w:val="en-GB"/>
        </w:rPr>
      </w:pPr>
    </w:p>
    <w:p w14:paraId="7DB68447" w14:textId="77777777" w:rsidR="00B05E56" w:rsidRPr="000F629D" w:rsidRDefault="00B05E56" w:rsidP="00B05E56">
      <w:pPr>
        <w:pStyle w:val="ListParagraph"/>
        <w:autoSpaceDE w:val="0"/>
        <w:autoSpaceDN w:val="0"/>
        <w:adjustRightInd w:val="0"/>
        <w:ind w:left="0"/>
        <w:jc w:val="both"/>
        <w:rPr>
          <w:rFonts w:ascii="Arial" w:hAnsi="Arial" w:cs="Arial"/>
          <w:color w:val="7B7B7B" w:themeColor="accent3" w:themeShade="BF"/>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6B6D" w14:textId="77777777" w:rsidR="008C4CD6" w:rsidRDefault="008C4CD6" w:rsidP="00241B44">
      <w:r>
        <w:separator/>
      </w:r>
    </w:p>
  </w:endnote>
  <w:endnote w:type="continuationSeparator" w:id="0">
    <w:p w14:paraId="0EB7A530" w14:textId="77777777" w:rsidR="008C4CD6" w:rsidRDefault="008C4C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DE1473">
          <w:rPr>
            <w:rStyle w:val="PageNumber"/>
            <w:rFonts w:ascii="Arial" w:hAnsi="Arial" w:cs="Arial"/>
            <w:b/>
            <w:noProof/>
            <w:sz w:val="22"/>
            <w:szCs w:val="22"/>
          </w:rPr>
          <w:t>8</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66AB5">
          <w:rPr>
            <w:rStyle w:val="PageNumber"/>
            <w:rFonts w:ascii="Arial" w:hAnsi="Arial" w:cs="Arial"/>
            <w:b/>
            <w:bCs/>
            <w:noProof/>
            <w:sz w:val="18"/>
            <w:szCs w:val="18"/>
          </w:rPr>
          <w:t>16</w:t>
        </w:r>
        <w:r w:rsidRPr="0010593A">
          <w:rPr>
            <w:rStyle w:val="PageNumber"/>
            <w:rFonts w:ascii="Arial" w:hAnsi="Arial" w:cs="Arial"/>
            <w:b/>
            <w:bCs/>
            <w:sz w:val="18"/>
            <w:szCs w:val="18"/>
          </w:rPr>
          <w:fldChar w:fldCharType="end"/>
        </w:r>
      </w:p>
    </w:sdtContent>
  </w:sdt>
  <w:p w14:paraId="30F05E79" w14:textId="7C248265" w:rsidR="00241FA3" w:rsidRPr="009B4976" w:rsidRDefault="00CC48F4" w:rsidP="009B4976">
    <w:pPr>
      <w:pStyle w:val="Footer"/>
      <w:ind w:right="360"/>
      <w:rPr>
        <w:rFonts w:ascii="Arial" w:hAnsi="Arial" w:cs="Arial"/>
        <w:sz w:val="18"/>
        <w:szCs w:val="18"/>
        <w:lang w:val="en-GB"/>
      </w:rPr>
    </w:pPr>
    <w:r w:rsidRPr="00CC48F4">
      <w:rPr>
        <w:rFonts w:ascii="Arial" w:hAnsi="Arial" w:cs="Arial"/>
        <w:sz w:val="18"/>
        <w:szCs w:val="18"/>
        <w:lang w:val="en-GB"/>
      </w:rPr>
      <w:t>202021IFU-289</w:t>
    </w:r>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855B" w14:textId="77777777" w:rsidR="008C4CD6" w:rsidRDefault="008C4CD6" w:rsidP="00241B44">
      <w:r>
        <w:separator/>
      </w:r>
    </w:p>
  </w:footnote>
  <w:footnote w:type="continuationSeparator" w:id="0">
    <w:p w14:paraId="77610F16" w14:textId="77777777" w:rsidR="008C4CD6" w:rsidRDefault="008C4C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50E8B"/>
    <w:multiLevelType w:val="multilevel"/>
    <w:tmpl w:val="AF6C3A90"/>
    <w:lvl w:ilvl="0">
      <w:start w:val="1"/>
      <w:numFmt w:val="decimal"/>
      <w:lvlText w:val="%1"/>
      <w:lvlJc w:val="left"/>
      <w:pPr>
        <w:ind w:left="1080" w:hanging="720"/>
      </w:pPr>
      <w:rPr>
        <w:rFonts w:hint="default"/>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A6845"/>
    <w:multiLevelType w:val="multilevel"/>
    <w:tmpl w:val="C346E4D2"/>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9"/>
  </w:num>
  <w:num w:numId="6">
    <w:abstractNumId w:val="20"/>
  </w:num>
  <w:num w:numId="7">
    <w:abstractNumId w:val="21"/>
  </w:num>
  <w:num w:numId="8">
    <w:abstractNumId w:val="16"/>
  </w:num>
  <w:num w:numId="9">
    <w:abstractNumId w:val="11"/>
  </w:num>
  <w:num w:numId="10">
    <w:abstractNumId w:val="3"/>
  </w:num>
  <w:num w:numId="11">
    <w:abstractNumId w:val="6"/>
  </w:num>
  <w:num w:numId="12">
    <w:abstractNumId w:val="5"/>
  </w:num>
  <w:num w:numId="13">
    <w:abstractNumId w:val="15"/>
  </w:num>
  <w:num w:numId="14">
    <w:abstractNumId w:val="2"/>
  </w:num>
  <w:num w:numId="15">
    <w:abstractNumId w:val="8"/>
  </w:num>
  <w:num w:numId="16">
    <w:abstractNumId w:val="13"/>
  </w:num>
  <w:num w:numId="17">
    <w:abstractNumId w:val="0"/>
  </w:num>
  <w:num w:numId="18">
    <w:abstractNumId w:val="17"/>
  </w:num>
  <w:num w:numId="19">
    <w:abstractNumId w:val="12"/>
  </w:num>
  <w:num w:numId="20">
    <w:abstractNumId w:val="1"/>
  </w:num>
  <w:num w:numId="21">
    <w:abstractNumId w:val="1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1583A"/>
    <w:rsid w:val="00020557"/>
    <w:rsid w:val="00021FC2"/>
    <w:rsid w:val="000250C7"/>
    <w:rsid w:val="00025BB5"/>
    <w:rsid w:val="00026F16"/>
    <w:rsid w:val="00037621"/>
    <w:rsid w:val="00044D46"/>
    <w:rsid w:val="00045088"/>
    <w:rsid w:val="00045904"/>
    <w:rsid w:val="00047A13"/>
    <w:rsid w:val="00047D47"/>
    <w:rsid w:val="000502FD"/>
    <w:rsid w:val="0006185A"/>
    <w:rsid w:val="00063483"/>
    <w:rsid w:val="00065166"/>
    <w:rsid w:val="000756F8"/>
    <w:rsid w:val="00076A9F"/>
    <w:rsid w:val="00082609"/>
    <w:rsid w:val="00083E23"/>
    <w:rsid w:val="000851CC"/>
    <w:rsid w:val="00087F21"/>
    <w:rsid w:val="00093BE8"/>
    <w:rsid w:val="000965C9"/>
    <w:rsid w:val="000A407B"/>
    <w:rsid w:val="000A46AA"/>
    <w:rsid w:val="000A68ED"/>
    <w:rsid w:val="000B14BB"/>
    <w:rsid w:val="000B5FF1"/>
    <w:rsid w:val="000B609F"/>
    <w:rsid w:val="000B687C"/>
    <w:rsid w:val="000D55A8"/>
    <w:rsid w:val="000E4841"/>
    <w:rsid w:val="000F1677"/>
    <w:rsid w:val="000F3D6C"/>
    <w:rsid w:val="000F629D"/>
    <w:rsid w:val="00101707"/>
    <w:rsid w:val="00102CC9"/>
    <w:rsid w:val="0010593A"/>
    <w:rsid w:val="0011473D"/>
    <w:rsid w:val="00115C85"/>
    <w:rsid w:val="00123855"/>
    <w:rsid w:val="00126A4D"/>
    <w:rsid w:val="00132584"/>
    <w:rsid w:val="0014171F"/>
    <w:rsid w:val="0014622C"/>
    <w:rsid w:val="001478F8"/>
    <w:rsid w:val="001519E6"/>
    <w:rsid w:val="00152348"/>
    <w:rsid w:val="0015456D"/>
    <w:rsid w:val="00155FA2"/>
    <w:rsid w:val="00157945"/>
    <w:rsid w:val="00161F1B"/>
    <w:rsid w:val="00162829"/>
    <w:rsid w:val="00180548"/>
    <w:rsid w:val="00180AC4"/>
    <w:rsid w:val="00180CCE"/>
    <w:rsid w:val="0018267A"/>
    <w:rsid w:val="00182779"/>
    <w:rsid w:val="0018307C"/>
    <w:rsid w:val="001830DF"/>
    <w:rsid w:val="0019516E"/>
    <w:rsid w:val="001966D9"/>
    <w:rsid w:val="001A007A"/>
    <w:rsid w:val="001A3D9F"/>
    <w:rsid w:val="001A7E9A"/>
    <w:rsid w:val="001B0F70"/>
    <w:rsid w:val="001B5016"/>
    <w:rsid w:val="001C45FC"/>
    <w:rsid w:val="001D0469"/>
    <w:rsid w:val="001D29C0"/>
    <w:rsid w:val="001D33FF"/>
    <w:rsid w:val="001D4862"/>
    <w:rsid w:val="001E172D"/>
    <w:rsid w:val="001E25B9"/>
    <w:rsid w:val="001E49E0"/>
    <w:rsid w:val="001E7B5A"/>
    <w:rsid w:val="001F1EF6"/>
    <w:rsid w:val="001F7412"/>
    <w:rsid w:val="0020090A"/>
    <w:rsid w:val="00202B08"/>
    <w:rsid w:val="00202DFE"/>
    <w:rsid w:val="0020725B"/>
    <w:rsid w:val="002110F1"/>
    <w:rsid w:val="0021768C"/>
    <w:rsid w:val="0022120D"/>
    <w:rsid w:val="002356EA"/>
    <w:rsid w:val="0024116D"/>
    <w:rsid w:val="00241B44"/>
    <w:rsid w:val="00241FA3"/>
    <w:rsid w:val="00245EFB"/>
    <w:rsid w:val="002460B1"/>
    <w:rsid w:val="0025386E"/>
    <w:rsid w:val="002577C4"/>
    <w:rsid w:val="00261C85"/>
    <w:rsid w:val="002638B0"/>
    <w:rsid w:val="00264839"/>
    <w:rsid w:val="0026647A"/>
    <w:rsid w:val="002668D3"/>
    <w:rsid w:val="0027299F"/>
    <w:rsid w:val="0027501A"/>
    <w:rsid w:val="00284EBE"/>
    <w:rsid w:val="00286BA6"/>
    <w:rsid w:val="002903A7"/>
    <w:rsid w:val="0029433F"/>
    <w:rsid w:val="00294829"/>
    <w:rsid w:val="0029690F"/>
    <w:rsid w:val="00297C8A"/>
    <w:rsid w:val="002A2A60"/>
    <w:rsid w:val="002A37BB"/>
    <w:rsid w:val="002B1C45"/>
    <w:rsid w:val="002C0130"/>
    <w:rsid w:val="002C13C8"/>
    <w:rsid w:val="002C3547"/>
    <w:rsid w:val="002C5F61"/>
    <w:rsid w:val="002D0021"/>
    <w:rsid w:val="002D0EAD"/>
    <w:rsid w:val="002D299D"/>
    <w:rsid w:val="002D3473"/>
    <w:rsid w:val="002E2B14"/>
    <w:rsid w:val="002F1956"/>
    <w:rsid w:val="002F3440"/>
    <w:rsid w:val="002F75A3"/>
    <w:rsid w:val="002F7F5F"/>
    <w:rsid w:val="00303C2F"/>
    <w:rsid w:val="003144EF"/>
    <w:rsid w:val="0032072E"/>
    <w:rsid w:val="003216F9"/>
    <w:rsid w:val="00326292"/>
    <w:rsid w:val="00326415"/>
    <w:rsid w:val="00326BDE"/>
    <w:rsid w:val="00330937"/>
    <w:rsid w:val="00330F31"/>
    <w:rsid w:val="00334648"/>
    <w:rsid w:val="0033768C"/>
    <w:rsid w:val="00337938"/>
    <w:rsid w:val="00340769"/>
    <w:rsid w:val="00341AA6"/>
    <w:rsid w:val="003479D0"/>
    <w:rsid w:val="00361503"/>
    <w:rsid w:val="00361A0A"/>
    <w:rsid w:val="00364836"/>
    <w:rsid w:val="0036565C"/>
    <w:rsid w:val="0036625E"/>
    <w:rsid w:val="00366AB5"/>
    <w:rsid w:val="0037465A"/>
    <w:rsid w:val="00382C98"/>
    <w:rsid w:val="0038533C"/>
    <w:rsid w:val="00386568"/>
    <w:rsid w:val="00390B57"/>
    <w:rsid w:val="00391384"/>
    <w:rsid w:val="003948D5"/>
    <w:rsid w:val="00396821"/>
    <w:rsid w:val="00397D3A"/>
    <w:rsid w:val="003A051E"/>
    <w:rsid w:val="003A29B7"/>
    <w:rsid w:val="003B170F"/>
    <w:rsid w:val="003B33AC"/>
    <w:rsid w:val="003B3C5F"/>
    <w:rsid w:val="003B743F"/>
    <w:rsid w:val="003C4471"/>
    <w:rsid w:val="003D07BE"/>
    <w:rsid w:val="003D0A6D"/>
    <w:rsid w:val="003E0B16"/>
    <w:rsid w:val="003E67D1"/>
    <w:rsid w:val="003E6A58"/>
    <w:rsid w:val="00403FEE"/>
    <w:rsid w:val="00404329"/>
    <w:rsid w:val="00405DC1"/>
    <w:rsid w:val="00415F1F"/>
    <w:rsid w:val="0042108F"/>
    <w:rsid w:val="0042466C"/>
    <w:rsid w:val="00430FED"/>
    <w:rsid w:val="00434A8C"/>
    <w:rsid w:val="004363B1"/>
    <w:rsid w:val="00437297"/>
    <w:rsid w:val="00444284"/>
    <w:rsid w:val="00445BE1"/>
    <w:rsid w:val="00445CE6"/>
    <w:rsid w:val="0044672F"/>
    <w:rsid w:val="00452C6A"/>
    <w:rsid w:val="004534C2"/>
    <w:rsid w:val="0045446F"/>
    <w:rsid w:val="0045683E"/>
    <w:rsid w:val="00460252"/>
    <w:rsid w:val="004678D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48FD"/>
    <w:rsid w:val="004F50CD"/>
    <w:rsid w:val="004F5FDF"/>
    <w:rsid w:val="00501270"/>
    <w:rsid w:val="00505477"/>
    <w:rsid w:val="005177FE"/>
    <w:rsid w:val="00517BD4"/>
    <w:rsid w:val="0052263B"/>
    <w:rsid w:val="00524728"/>
    <w:rsid w:val="005331CA"/>
    <w:rsid w:val="00536952"/>
    <w:rsid w:val="0053796B"/>
    <w:rsid w:val="00537970"/>
    <w:rsid w:val="00540E3A"/>
    <w:rsid w:val="00544127"/>
    <w:rsid w:val="005449FF"/>
    <w:rsid w:val="005463A9"/>
    <w:rsid w:val="00553EB2"/>
    <w:rsid w:val="00560534"/>
    <w:rsid w:val="0056391B"/>
    <w:rsid w:val="005650E2"/>
    <w:rsid w:val="00567706"/>
    <w:rsid w:val="00567AD7"/>
    <w:rsid w:val="00567C94"/>
    <w:rsid w:val="005727A1"/>
    <w:rsid w:val="00575B2D"/>
    <w:rsid w:val="005833D0"/>
    <w:rsid w:val="005846F3"/>
    <w:rsid w:val="0058622F"/>
    <w:rsid w:val="00592F82"/>
    <w:rsid w:val="005A0CCA"/>
    <w:rsid w:val="005A6496"/>
    <w:rsid w:val="005A6FF2"/>
    <w:rsid w:val="005A726D"/>
    <w:rsid w:val="005B0A18"/>
    <w:rsid w:val="005B0E33"/>
    <w:rsid w:val="005B67AC"/>
    <w:rsid w:val="005B6A47"/>
    <w:rsid w:val="005B79F4"/>
    <w:rsid w:val="005D16DD"/>
    <w:rsid w:val="005D3653"/>
    <w:rsid w:val="005D43E0"/>
    <w:rsid w:val="005D58A3"/>
    <w:rsid w:val="005E1B79"/>
    <w:rsid w:val="005E6076"/>
    <w:rsid w:val="005E7008"/>
    <w:rsid w:val="005F026D"/>
    <w:rsid w:val="005F2AEA"/>
    <w:rsid w:val="005F2D0B"/>
    <w:rsid w:val="005F4B31"/>
    <w:rsid w:val="0060781E"/>
    <w:rsid w:val="00610388"/>
    <w:rsid w:val="00610AC7"/>
    <w:rsid w:val="00612CA5"/>
    <w:rsid w:val="006153EC"/>
    <w:rsid w:val="006164E5"/>
    <w:rsid w:val="00621A17"/>
    <w:rsid w:val="00627CC9"/>
    <w:rsid w:val="00627E7B"/>
    <w:rsid w:val="00630542"/>
    <w:rsid w:val="00632E44"/>
    <w:rsid w:val="00634622"/>
    <w:rsid w:val="00635C7A"/>
    <w:rsid w:val="00636808"/>
    <w:rsid w:val="00641515"/>
    <w:rsid w:val="00646700"/>
    <w:rsid w:val="00654C2F"/>
    <w:rsid w:val="00657087"/>
    <w:rsid w:val="006639DB"/>
    <w:rsid w:val="006661EF"/>
    <w:rsid w:val="00677AEB"/>
    <w:rsid w:val="00680EF2"/>
    <w:rsid w:val="00687A1D"/>
    <w:rsid w:val="0069091F"/>
    <w:rsid w:val="00697244"/>
    <w:rsid w:val="00697EA1"/>
    <w:rsid w:val="006A1258"/>
    <w:rsid w:val="006A2646"/>
    <w:rsid w:val="006A6530"/>
    <w:rsid w:val="006B1405"/>
    <w:rsid w:val="006B435A"/>
    <w:rsid w:val="006B4C64"/>
    <w:rsid w:val="006D6748"/>
    <w:rsid w:val="006D6BD5"/>
    <w:rsid w:val="006E3FD0"/>
    <w:rsid w:val="006E481A"/>
    <w:rsid w:val="006E5298"/>
    <w:rsid w:val="006F4A78"/>
    <w:rsid w:val="006F734A"/>
    <w:rsid w:val="00700D83"/>
    <w:rsid w:val="00701CCC"/>
    <w:rsid w:val="00704852"/>
    <w:rsid w:val="007074E9"/>
    <w:rsid w:val="00713DA4"/>
    <w:rsid w:val="00714BF1"/>
    <w:rsid w:val="007153A3"/>
    <w:rsid w:val="00721383"/>
    <w:rsid w:val="0073158B"/>
    <w:rsid w:val="007333CC"/>
    <w:rsid w:val="0073399A"/>
    <w:rsid w:val="0073757F"/>
    <w:rsid w:val="00740DAD"/>
    <w:rsid w:val="007425B0"/>
    <w:rsid w:val="007603F5"/>
    <w:rsid w:val="00761B06"/>
    <w:rsid w:val="00764DB0"/>
    <w:rsid w:val="0076764D"/>
    <w:rsid w:val="0077498C"/>
    <w:rsid w:val="007809BC"/>
    <w:rsid w:val="00784128"/>
    <w:rsid w:val="00787BCC"/>
    <w:rsid w:val="00793173"/>
    <w:rsid w:val="00794A92"/>
    <w:rsid w:val="007A2A33"/>
    <w:rsid w:val="007B2A7B"/>
    <w:rsid w:val="007B5C89"/>
    <w:rsid w:val="007C1FCC"/>
    <w:rsid w:val="007C6201"/>
    <w:rsid w:val="007D7C92"/>
    <w:rsid w:val="007E1154"/>
    <w:rsid w:val="007E6BA4"/>
    <w:rsid w:val="007F33D7"/>
    <w:rsid w:val="007F41F8"/>
    <w:rsid w:val="007F659B"/>
    <w:rsid w:val="008001FF"/>
    <w:rsid w:val="0080454E"/>
    <w:rsid w:val="00804C32"/>
    <w:rsid w:val="00806302"/>
    <w:rsid w:val="00807119"/>
    <w:rsid w:val="00815328"/>
    <w:rsid w:val="0082483F"/>
    <w:rsid w:val="008279C0"/>
    <w:rsid w:val="00841C37"/>
    <w:rsid w:val="00841D99"/>
    <w:rsid w:val="008533FC"/>
    <w:rsid w:val="0086171D"/>
    <w:rsid w:val="00867701"/>
    <w:rsid w:val="008723F3"/>
    <w:rsid w:val="00876F56"/>
    <w:rsid w:val="00881DE6"/>
    <w:rsid w:val="008837A6"/>
    <w:rsid w:val="0088778B"/>
    <w:rsid w:val="0089145D"/>
    <w:rsid w:val="00891B2C"/>
    <w:rsid w:val="00896196"/>
    <w:rsid w:val="008A1726"/>
    <w:rsid w:val="008A4DF2"/>
    <w:rsid w:val="008A6CFE"/>
    <w:rsid w:val="008B5333"/>
    <w:rsid w:val="008B6223"/>
    <w:rsid w:val="008C11AC"/>
    <w:rsid w:val="008C4152"/>
    <w:rsid w:val="008C4CD6"/>
    <w:rsid w:val="008C5CB8"/>
    <w:rsid w:val="008C66E0"/>
    <w:rsid w:val="008D3A01"/>
    <w:rsid w:val="008E3339"/>
    <w:rsid w:val="008F20FC"/>
    <w:rsid w:val="008F5FFE"/>
    <w:rsid w:val="00901DF5"/>
    <w:rsid w:val="00905A43"/>
    <w:rsid w:val="00912C79"/>
    <w:rsid w:val="00915FC7"/>
    <w:rsid w:val="00920BED"/>
    <w:rsid w:val="00921B8C"/>
    <w:rsid w:val="00922978"/>
    <w:rsid w:val="00931AA5"/>
    <w:rsid w:val="00931AC0"/>
    <w:rsid w:val="00937F77"/>
    <w:rsid w:val="0094077E"/>
    <w:rsid w:val="00942123"/>
    <w:rsid w:val="00943D19"/>
    <w:rsid w:val="00946B69"/>
    <w:rsid w:val="0095179D"/>
    <w:rsid w:val="0095207B"/>
    <w:rsid w:val="009555FC"/>
    <w:rsid w:val="00962045"/>
    <w:rsid w:val="00977B57"/>
    <w:rsid w:val="00980E61"/>
    <w:rsid w:val="00991428"/>
    <w:rsid w:val="00992676"/>
    <w:rsid w:val="009954B2"/>
    <w:rsid w:val="00996691"/>
    <w:rsid w:val="009A2357"/>
    <w:rsid w:val="009A3AB7"/>
    <w:rsid w:val="009B055D"/>
    <w:rsid w:val="009B0723"/>
    <w:rsid w:val="009B07AD"/>
    <w:rsid w:val="009B0883"/>
    <w:rsid w:val="009B15E2"/>
    <w:rsid w:val="009B4976"/>
    <w:rsid w:val="009C0B8E"/>
    <w:rsid w:val="009C1BC8"/>
    <w:rsid w:val="009C2442"/>
    <w:rsid w:val="009D0811"/>
    <w:rsid w:val="009D0C98"/>
    <w:rsid w:val="009D0EE1"/>
    <w:rsid w:val="009E2AEB"/>
    <w:rsid w:val="009E2E27"/>
    <w:rsid w:val="009E45DF"/>
    <w:rsid w:val="009E4DE3"/>
    <w:rsid w:val="009F275E"/>
    <w:rsid w:val="00A047EE"/>
    <w:rsid w:val="00A10F02"/>
    <w:rsid w:val="00A2274A"/>
    <w:rsid w:val="00A235B7"/>
    <w:rsid w:val="00A27A7A"/>
    <w:rsid w:val="00A34ABE"/>
    <w:rsid w:val="00A37300"/>
    <w:rsid w:val="00A407EF"/>
    <w:rsid w:val="00A40CCE"/>
    <w:rsid w:val="00A46B4C"/>
    <w:rsid w:val="00A5117B"/>
    <w:rsid w:val="00A56D34"/>
    <w:rsid w:val="00A60074"/>
    <w:rsid w:val="00A65D82"/>
    <w:rsid w:val="00A6627C"/>
    <w:rsid w:val="00A71019"/>
    <w:rsid w:val="00A8092F"/>
    <w:rsid w:val="00A81029"/>
    <w:rsid w:val="00A845F5"/>
    <w:rsid w:val="00A85B77"/>
    <w:rsid w:val="00A91FC7"/>
    <w:rsid w:val="00A96489"/>
    <w:rsid w:val="00AA6581"/>
    <w:rsid w:val="00AB2425"/>
    <w:rsid w:val="00AB5A4C"/>
    <w:rsid w:val="00AB685C"/>
    <w:rsid w:val="00AB6C2D"/>
    <w:rsid w:val="00AC08F7"/>
    <w:rsid w:val="00AC2807"/>
    <w:rsid w:val="00AC3839"/>
    <w:rsid w:val="00AC7082"/>
    <w:rsid w:val="00AD4BE8"/>
    <w:rsid w:val="00AF228E"/>
    <w:rsid w:val="00B016A8"/>
    <w:rsid w:val="00B05E56"/>
    <w:rsid w:val="00B10570"/>
    <w:rsid w:val="00B1354D"/>
    <w:rsid w:val="00B14819"/>
    <w:rsid w:val="00B15E2F"/>
    <w:rsid w:val="00B16DA8"/>
    <w:rsid w:val="00B17AA9"/>
    <w:rsid w:val="00B24A50"/>
    <w:rsid w:val="00B44713"/>
    <w:rsid w:val="00B5092D"/>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0109"/>
    <w:rsid w:val="00BC285B"/>
    <w:rsid w:val="00BC3CF0"/>
    <w:rsid w:val="00BE4FF3"/>
    <w:rsid w:val="00BF50F7"/>
    <w:rsid w:val="00C02F29"/>
    <w:rsid w:val="00C035DA"/>
    <w:rsid w:val="00C045B5"/>
    <w:rsid w:val="00C10B1A"/>
    <w:rsid w:val="00C17718"/>
    <w:rsid w:val="00C20AFE"/>
    <w:rsid w:val="00C22A25"/>
    <w:rsid w:val="00C25BB8"/>
    <w:rsid w:val="00C35671"/>
    <w:rsid w:val="00C35B77"/>
    <w:rsid w:val="00C376EB"/>
    <w:rsid w:val="00C46A92"/>
    <w:rsid w:val="00C46EC1"/>
    <w:rsid w:val="00C470BF"/>
    <w:rsid w:val="00C50F3B"/>
    <w:rsid w:val="00C52796"/>
    <w:rsid w:val="00C53E2C"/>
    <w:rsid w:val="00C550C8"/>
    <w:rsid w:val="00C55824"/>
    <w:rsid w:val="00C56B61"/>
    <w:rsid w:val="00C56F75"/>
    <w:rsid w:val="00C606C3"/>
    <w:rsid w:val="00C620F4"/>
    <w:rsid w:val="00C72848"/>
    <w:rsid w:val="00C7736C"/>
    <w:rsid w:val="00C82D87"/>
    <w:rsid w:val="00C830EE"/>
    <w:rsid w:val="00C8712A"/>
    <w:rsid w:val="00C902C8"/>
    <w:rsid w:val="00C919D1"/>
    <w:rsid w:val="00C963D3"/>
    <w:rsid w:val="00CB1983"/>
    <w:rsid w:val="00CB2CBB"/>
    <w:rsid w:val="00CB4B6F"/>
    <w:rsid w:val="00CB7CAC"/>
    <w:rsid w:val="00CC48F4"/>
    <w:rsid w:val="00CC5335"/>
    <w:rsid w:val="00CC5BA4"/>
    <w:rsid w:val="00CD4998"/>
    <w:rsid w:val="00CE1035"/>
    <w:rsid w:val="00CE6E50"/>
    <w:rsid w:val="00CF03DA"/>
    <w:rsid w:val="00CF2819"/>
    <w:rsid w:val="00CF4F9D"/>
    <w:rsid w:val="00CF70DC"/>
    <w:rsid w:val="00D01312"/>
    <w:rsid w:val="00D1236A"/>
    <w:rsid w:val="00D148DC"/>
    <w:rsid w:val="00D17FDC"/>
    <w:rsid w:val="00D21D8C"/>
    <w:rsid w:val="00D40AD5"/>
    <w:rsid w:val="00D53719"/>
    <w:rsid w:val="00D63882"/>
    <w:rsid w:val="00D63EFD"/>
    <w:rsid w:val="00D84752"/>
    <w:rsid w:val="00D86B3B"/>
    <w:rsid w:val="00D8748A"/>
    <w:rsid w:val="00D92C98"/>
    <w:rsid w:val="00D93196"/>
    <w:rsid w:val="00DA0892"/>
    <w:rsid w:val="00DA0DC0"/>
    <w:rsid w:val="00DB243C"/>
    <w:rsid w:val="00DB482A"/>
    <w:rsid w:val="00DB50FB"/>
    <w:rsid w:val="00DB56F2"/>
    <w:rsid w:val="00DB6EF5"/>
    <w:rsid w:val="00DC3089"/>
    <w:rsid w:val="00DC4420"/>
    <w:rsid w:val="00DC7F76"/>
    <w:rsid w:val="00DD0802"/>
    <w:rsid w:val="00DD2E11"/>
    <w:rsid w:val="00DE03AF"/>
    <w:rsid w:val="00DE121C"/>
    <w:rsid w:val="00DE1473"/>
    <w:rsid w:val="00DE6633"/>
    <w:rsid w:val="00DF1A28"/>
    <w:rsid w:val="00DF75F8"/>
    <w:rsid w:val="00DF7A3A"/>
    <w:rsid w:val="00E00C00"/>
    <w:rsid w:val="00E01109"/>
    <w:rsid w:val="00E07C5A"/>
    <w:rsid w:val="00E15BA9"/>
    <w:rsid w:val="00E26E19"/>
    <w:rsid w:val="00E31DF3"/>
    <w:rsid w:val="00E41E1E"/>
    <w:rsid w:val="00E450A4"/>
    <w:rsid w:val="00E506BE"/>
    <w:rsid w:val="00E55547"/>
    <w:rsid w:val="00E62FA0"/>
    <w:rsid w:val="00E6302B"/>
    <w:rsid w:val="00E6452F"/>
    <w:rsid w:val="00E64F45"/>
    <w:rsid w:val="00E6742D"/>
    <w:rsid w:val="00E71CB0"/>
    <w:rsid w:val="00E77C3D"/>
    <w:rsid w:val="00E90991"/>
    <w:rsid w:val="00E909F0"/>
    <w:rsid w:val="00E90D47"/>
    <w:rsid w:val="00E93993"/>
    <w:rsid w:val="00E9597C"/>
    <w:rsid w:val="00E97A99"/>
    <w:rsid w:val="00EA0913"/>
    <w:rsid w:val="00EA5B00"/>
    <w:rsid w:val="00EB146B"/>
    <w:rsid w:val="00EB45AC"/>
    <w:rsid w:val="00EB6801"/>
    <w:rsid w:val="00EC441F"/>
    <w:rsid w:val="00EC4755"/>
    <w:rsid w:val="00ED0BC4"/>
    <w:rsid w:val="00ED447D"/>
    <w:rsid w:val="00ED588C"/>
    <w:rsid w:val="00EE4971"/>
    <w:rsid w:val="00EE6CB0"/>
    <w:rsid w:val="00EF090E"/>
    <w:rsid w:val="00EF5572"/>
    <w:rsid w:val="00F01639"/>
    <w:rsid w:val="00F033DA"/>
    <w:rsid w:val="00F13691"/>
    <w:rsid w:val="00F13FB1"/>
    <w:rsid w:val="00F2792C"/>
    <w:rsid w:val="00F27CD8"/>
    <w:rsid w:val="00F30351"/>
    <w:rsid w:val="00F317C5"/>
    <w:rsid w:val="00F3323E"/>
    <w:rsid w:val="00F341F4"/>
    <w:rsid w:val="00F34F9D"/>
    <w:rsid w:val="00F35CCE"/>
    <w:rsid w:val="00F452E0"/>
    <w:rsid w:val="00F5524B"/>
    <w:rsid w:val="00F60538"/>
    <w:rsid w:val="00F61DD2"/>
    <w:rsid w:val="00F66AFF"/>
    <w:rsid w:val="00F71433"/>
    <w:rsid w:val="00F81727"/>
    <w:rsid w:val="00F83703"/>
    <w:rsid w:val="00F85E89"/>
    <w:rsid w:val="00F97C5B"/>
    <w:rsid w:val="00FA3D50"/>
    <w:rsid w:val="00FB7FBD"/>
    <w:rsid w:val="00FC04CD"/>
    <w:rsid w:val="00FC374A"/>
    <w:rsid w:val="00FC748A"/>
    <w:rsid w:val="00FC74C8"/>
    <w:rsid w:val="00FC7B47"/>
    <w:rsid w:val="00FD035C"/>
    <w:rsid w:val="00FD1A35"/>
    <w:rsid w:val="00FD1CC3"/>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157945"/>
    <w:pPr>
      <w:keepNext/>
      <w:ind w:left="709" w:hanging="709"/>
      <w:jc w:val="both"/>
      <w:outlineLvl w:val="0"/>
    </w:pPr>
    <w:rPr>
      <w:rFonts w:ascii="Arial" w:hAnsi="Arial" w:cs="Arial"/>
      <w:i/>
      <w:color w:val="7B7B7B" w:themeColor="accent3" w:themeShade="BF"/>
      <w:sz w:val="22"/>
      <w:szCs w:val="22"/>
      <w:u w:val="single"/>
      <w:lang w:val="en-GB"/>
    </w:rPr>
  </w:style>
  <w:style w:type="paragraph" w:styleId="Heading2">
    <w:name w:val="heading 2"/>
    <w:basedOn w:val="Normal"/>
    <w:next w:val="Normal"/>
    <w:link w:val="Heading2Char"/>
    <w:uiPriority w:val="9"/>
    <w:unhideWhenUsed/>
    <w:qFormat/>
    <w:rsid w:val="009D0C98"/>
    <w:pPr>
      <w:keepNext/>
      <w:ind w:left="1418" w:hanging="1418"/>
      <w:jc w:val="both"/>
      <w:outlineLvl w:val="1"/>
    </w:pPr>
    <w:rPr>
      <w:rFonts w:ascii="Arial" w:hAnsi="Arial" w:cs="Arial"/>
      <w:i/>
      <w:color w:val="7B7B7B" w:themeColor="accent3" w:themeShade="BF"/>
      <w:sz w:val="22"/>
      <w:szCs w:val="22"/>
      <w:u w:val="single"/>
      <w:lang w:val="en-GB"/>
    </w:rPr>
  </w:style>
  <w:style w:type="paragraph" w:styleId="Heading3">
    <w:name w:val="heading 3"/>
    <w:basedOn w:val="Normal"/>
    <w:next w:val="Normal"/>
    <w:link w:val="Heading3Char"/>
    <w:uiPriority w:val="9"/>
    <w:unhideWhenUsed/>
    <w:qFormat/>
    <w:rsid w:val="001D33FF"/>
    <w:pPr>
      <w:keepNext/>
      <w:autoSpaceDE w:val="0"/>
      <w:autoSpaceDN w:val="0"/>
      <w:adjustRightInd w:val="0"/>
      <w:jc w:val="both"/>
      <w:outlineLvl w:val="2"/>
    </w:pPr>
    <w:rPr>
      <w:rFonts w:ascii="Arial" w:hAnsi="Arial" w:cs="Arial"/>
      <w:i/>
      <w:color w:val="7B7B7B" w:themeColor="accent3" w:themeShade="BF"/>
      <w:sz w:val="22"/>
      <w:szCs w:val="22"/>
      <w:u w:val="single"/>
      <w:lang w:val="en-GB"/>
    </w:rPr>
  </w:style>
  <w:style w:type="paragraph" w:styleId="Heading4">
    <w:name w:val="heading 4"/>
    <w:basedOn w:val="Normal"/>
    <w:next w:val="Normal"/>
    <w:link w:val="Heading4Char"/>
    <w:uiPriority w:val="9"/>
    <w:unhideWhenUsed/>
    <w:qFormat/>
    <w:rsid w:val="00B5092D"/>
    <w:pPr>
      <w:keepNext/>
      <w:ind w:left="720" w:hanging="720"/>
      <w:jc w:val="both"/>
      <w:outlineLvl w:val="3"/>
    </w:pPr>
    <w:rPr>
      <w:rFonts w:ascii="Arial" w:hAnsi="Arial" w:cs="Arial"/>
      <w:i/>
      <w:color w:val="7B7B7B" w:themeColor="accent3" w:themeShade="B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Indent">
    <w:name w:val="Body Text Indent"/>
    <w:basedOn w:val="Normal"/>
    <w:link w:val="BodyTextIndentChar"/>
    <w:uiPriority w:val="99"/>
    <w:unhideWhenUsed/>
    <w:rsid w:val="00AB5A4C"/>
    <w:pPr>
      <w:ind w:left="720" w:hanging="720"/>
      <w:jc w:val="both"/>
    </w:pPr>
    <w:rPr>
      <w:rFonts w:ascii="Arial" w:hAnsi="Arial" w:cs="Arial"/>
      <w:color w:val="7B7B7B" w:themeColor="accent3" w:themeShade="BF"/>
      <w:sz w:val="22"/>
      <w:szCs w:val="22"/>
    </w:rPr>
  </w:style>
  <w:style w:type="character" w:customStyle="1" w:styleId="BodyTextIndentChar">
    <w:name w:val="Body Text Indent Char"/>
    <w:basedOn w:val="DefaultParagraphFont"/>
    <w:link w:val="BodyTextIndent"/>
    <w:uiPriority w:val="99"/>
    <w:rsid w:val="00AB5A4C"/>
    <w:rPr>
      <w:rFonts w:ascii="Arial" w:eastAsia="Times New Roman" w:hAnsi="Arial" w:cs="Arial"/>
      <w:color w:val="7B7B7B" w:themeColor="accent3" w:themeShade="BF"/>
      <w:sz w:val="22"/>
      <w:szCs w:val="22"/>
    </w:rPr>
  </w:style>
  <w:style w:type="paragraph" w:styleId="BodyTextIndent2">
    <w:name w:val="Body Text Indent 2"/>
    <w:basedOn w:val="Normal"/>
    <w:link w:val="BodyTextIndent2Char"/>
    <w:uiPriority w:val="99"/>
    <w:unhideWhenUsed/>
    <w:rsid w:val="00157945"/>
    <w:pPr>
      <w:ind w:left="709" w:hanging="709"/>
      <w:jc w:val="both"/>
    </w:pPr>
    <w:rPr>
      <w:rFonts w:ascii="Arial" w:hAnsi="Arial" w:cs="Arial"/>
      <w:color w:val="7B7B7B" w:themeColor="accent3" w:themeShade="BF"/>
      <w:sz w:val="22"/>
      <w:szCs w:val="22"/>
      <w:lang w:val="en-GB"/>
    </w:rPr>
  </w:style>
  <w:style w:type="character" w:customStyle="1" w:styleId="BodyTextIndent2Char">
    <w:name w:val="Body Text Indent 2 Char"/>
    <w:basedOn w:val="DefaultParagraphFont"/>
    <w:link w:val="BodyTextIndent2"/>
    <w:uiPriority w:val="99"/>
    <w:rsid w:val="00157945"/>
    <w:rPr>
      <w:rFonts w:ascii="Arial" w:eastAsia="Times New Roman" w:hAnsi="Arial" w:cs="Arial"/>
      <w:color w:val="7B7B7B" w:themeColor="accent3" w:themeShade="BF"/>
      <w:sz w:val="22"/>
      <w:szCs w:val="22"/>
      <w:lang w:val="en-GB"/>
    </w:rPr>
  </w:style>
  <w:style w:type="character" w:customStyle="1" w:styleId="Heading1Char">
    <w:name w:val="Heading 1 Char"/>
    <w:basedOn w:val="DefaultParagraphFont"/>
    <w:link w:val="Heading1"/>
    <w:uiPriority w:val="9"/>
    <w:rsid w:val="00157945"/>
    <w:rPr>
      <w:rFonts w:ascii="Arial" w:eastAsia="Times New Roman" w:hAnsi="Arial" w:cs="Arial"/>
      <w:i/>
      <w:color w:val="7B7B7B" w:themeColor="accent3" w:themeShade="BF"/>
      <w:sz w:val="22"/>
      <w:szCs w:val="22"/>
      <w:u w:val="single"/>
      <w:lang w:val="en-GB"/>
    </w:rPr>
  </w:style>
  <w:style w:type="paragraph" w:styleId="BodyTextIndent3">
    <w:name w:val="Body Text Indent 3"/>
    <w:basedOn w:val="Normal"/>
    <w:link w:val="BodyTextIndent3Char"/>
    <w:uiPriority w:val="99"/>
    <w:unhideWhenUsed/>
    <w:rsid w:val="003B743F"/>
    <w:pPr>
      <w:ind w:left="1418" w:hanging="1418"/>
      <w:jc w:val="both"/>
    </w:pPr>
    <w:rPr>
      <w:rFonts w:ascii="Arial" w:hAnsi="Arial" w:cs="Arial"/>
      <w:color w:val="7B7B7B" w:themeColor="accent3" w:themeShade="BF"/>
      <w:sz w:val="22"/>
      <w:szCs w:val="22"/>
      <w:lang w:val="en-GB"/>
    </w:rPr>
  </w:style>
  <w:style w:type="character" w:customStyle="1" w:styleId="BodyTextIndent3Char">
    <w:name w:val="Body Text Indent 3 Char"/>
    <w:basedOn w:val="DefaultParagraphFont"/>
    <w:link w:val="BodyTextIndent3"/>
    <w:uiPriority w:val="99"/>
    <w:rsid w:val="003B743F"/>
    <w:rPr>
      <w:rFonts w:ascii="Arial" w:eastAsia="Times New Roman" w:hAnsi="Arial" w:cs="Arial"/>
      <w:color w:val="7B7B7B" w:themeColor="accent3" w:themeShade="BF"/>
      <w:sz w:val="22"/>
      <w:szCs w:val="22"/>
      <w:lang w:val="en-GB"/>
    </w:rPr>
  </w:style>
  <w:style w:type="character" w:customStyle="1" w:styleId="Heading2Char">
    <w:name w:val="Heading 2 Char"/>
    <w:basedOn w:val="DefaultParagraphFont"/>
    <w:link w:val="Heading2"/>
    <w:uiPriority w:val="9"/>
    <w:rsid w:val="009D0C98"/>
    <w:rPr>
      <w:rFonts w:ascii="Arial" w:eastAsia="Times New Roman" w:hAnsi="Arial" w:cs="Arial"/>
      <w:i/>
      <w:color w:val="7B7B7B" w:themeColor="accent3" w:themeShade="BF"/>
      <w:sz w:val="22"/>
      <w:szCs w:val="22"/>
      <w:u w:val="single"/>
      <w:lang w:val="en-GB"/>
    </w:rPr>
  </w:style>
  <w:style w:type="character" w:customStyle="1" w:styleId="Heading3Char">
    <w:name w:val="Heading 3 Char"/>
    <w:basedOn w:val="DefaultParagraphFont"/>
    <w:link w:val="Heading3"/>
    <w:uiPriority w:val="9"/>
    <w:rsid w:val="001D33FF"/>
    <w:rPr>
      <w:rFonts w:ascii="Arial" w:eastAsia="Times New Roman" w:hAnsi="Arial" w:cs="Arial"/>
      <w:i/>
      <w:color w:val="7B7B7B" w:themeColor="accent3" w:themeShade="BF"/>
      <w:sz w:val="22"/>
      <w:szCs w:val="22"/>
      <w:u w:val="single"/>
      <w:lang w:val="en-GB"/>
    </w:rPr>
  </w:style>
  <w:style w:type="character" w:customStyle="1" w:styleId="Heading4Char">
    <w:name w:val="Heading 4 Char"/>
    <w:basedOn w:val="DefaultParagraphFont"/>
    <w:link w:val="Heading4"/>
    <w:uiPriority w:val="9"/>
    <w:rsid w:val="00B5092D"/>
    <w:rPr>
      <w:rFonts w:ascii="Arial" w:eastAsia="Times New Roman" w:hAnsi="Arial" w:cs="Arial"/>
      <w:i/>
      <w:color w:val="7B7B7B" w:themeColor="accent3" w:themeShade="B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1EB1-003D-44E7-B841-8C18AB0D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7085</Words>
  <Characters>35074</Characters>
  <Application>Microsoft Office Word</Application>
  <DocSecurity>0</DocSecurity>
  <Lines>899</Lines>
  <Paragraphs>301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2021-07-11T11:23:00Z</cp:lastPrinted>
  <dcterms:created xsi:type="dcterms:W3CDTF">2021-09-06T17:03:00Z</dcterms:created>
  <dcterms:modified xsi:type="dcterms:W3CDTF">2021-09-06T17:03:00Z</dcterms:modified>
</cp:coreProperties>
</file>