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4C7A56" w:rsidRDefault="00C7729F" w:rsidP="003C4BCB">
      <w:pPr>
        <w:pStyle w:val="ListParagraph"/>
        <w:numPr>
          <w:ilvl w:val="0"/>
          <w:numId w:val="2"/>
        </w:numPr>
        <w:ind w:left="426"/>
        <w:jc w:val="both"/>
        <w:rPr>
          <w:rFonts w:ascii="Arial" w:hAnsi="Arial" w:cs="Arial"/>
          <w:sz w:val="22"/>
          <w:szCs w:val="22"/>
          <w:highlight w:val="yellow"/>
          <w:lang w:val="en-GB"/>
        </w:rPr>
      </w:pPr>
      <w:r w:rsidRPr="004C7A56">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4C7A56">
        <w:rPr>
          <w:rFonts w:ascii="Arial" w:hAnsi="Arial" w:cs="Arial"/>
          <w:sz w:val="22"/>
          <w:szCs w:val="22"/>
          <w:highlight w:val="yellow"/>
          <w:lang w:val="en-GB"/>
        </w:rPr>
        <w:t>1960s,</w:t>
      </w:r>
      <w:r w:rsidRPr="004C7A56">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282EA5" w:rsidRDefault="00BB38D1" w:rsidP="003C4BCB">
      <w:pPr>
        <w:pStyle w:val="ListParagraph"/>
        <w:numPr>
          <w:ilvl w:val="0"/>
          <w:numId w:val="3"/>
        </w:numPr>
        <w:ind w:left="426"/>
        <w:jc w:val="both"/>
        <w:rPr>
          <w:rFonts w:ascii="Arial" w:hAnsi="Arial" w:cs="Arial"/>
          <w:iCs/>
          <w:sz w:val="22"/>
          <w:szCs w:val="22"/>
          <w:highlight w:val="yellow"/>
          <w:lang w:val="en-GB"/>
        </w:rPr>
      </w:pPr>
      <w:r w:rsidRPr="00282EA5">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AD1438" w:rsidRDefault="00967219" w:rsidP="003C4BCB">
      <w:pPr>
        <w:pStyle w:val="ListParagraph"/>
        <w:numPr>
          <w:ilvl w:val="0"/>
          <w:numId w:val="4"/>
        </w:numPr>
        <w:ind w:left="426"/>
        <w:jc w:val="both"/>
        <w:rPr>
          <w:rFonts w:ascii="Arial" w:hAnsi="Arial" w:cs="Arial"/>
          <w:sz w:val="22"/>
          <w:szCs w:val="22"/>
          <w:highlight w:val="yellow"/>
          <w:lang w:val="en-GB"/>
        </w:rPr>
      </w:pPr>
      <w:r w:rsidRPr="00AD1438">
        <w:rPr>
          <w:rFonts w:ascii="Arial" w:hAnsi="Arial" w:cs="Arial"/>
          <w:sz w:val="22"/>
          <w:szCs w:val="22"/>
          <w:highlight w:val="yellow"/>
          <w:lang w:val="en-GB"/>
        </w:rPr>
        <w:t>Article 31 EIR Recast (“</w:t>
      </w:r>
      <w:r w:rsidRPr="00AD1438">
        <w:rPr>
          <w:rFonts w:ascii="Arial" w:hAnsi="Arial" w:cs="Arial"/>
          <w:bCs/>
          <w:sz w:val="22"/>
          <w:szCs w:val="22"/>
          <w:highlight w:val="yellow"/>
          <w:lang w:val="en-GB"/>
        </w:rPr>
        <w:t>Honouring of an obligation to a debtor”</w:t>
      </w:r>
      <w:r w:rsidRPr="00AD1438">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522CA1" w:rsidRDefault="00874240" w:rsidP="003C4BCB">
      <w:pPr>
        <w:pStyle w:val="ListParagraph"/>
        <w:numPr>
          <w:ilvl w:val="0"/>
          <w:numId w:val="5"/>
        </w:numPr>
        <w:ind w:left="426"/>
        <w:jc w:val="both"/>
        <w:rPr>
          <w:rFonts w:ascii="Arial" w:hAnsi="Arial" w:cs="Arial"/>
          <w:sz w:val="22"/>
          <w:szCs w:val="22"/>
          <w:highlight w:val="yellow"/>
          <w:lang w:val="en-GB"/>
        </w:rPr>
      </w:pPr>
      <w:r w:rsidRPr="00522CA1">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522CA1" w:rsidRDefault="00874240" w:rsidP="003C4BCB">
      <w:pPr>
        <w:pStyle w:val="ListParagraph"/>
        <w:numPr>
          <w:ilvl w:val="0"/>
          <w:numId w:val="6"/>
        </w:numPr>
        <w:ind w:left="426"/>
        <w:jc w:val="both"/>
        <w:rPr>
          <w:rFonts w:ascii="Arial" w:hAnsi="Arial" w:cs="Arial"/>
          <w:sz w:val="22"/>
          <w:szCs w:val="22"/>
          <w:highlight w:val="yellow"/>
          <w:lang w:val="en-GB"/>
        </w:rPr>
      </w:pPr>
      <w:r w:rsidRPr="00522CA1">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475E6E" w:rsidRDefault="00113E29" w:rsidP="003C4BCB">
      <w:pPr>
        <w:pStyle w:val="ListParagraph"/>
        <w:numPr>
          <w:ilvl w:val="0"/>
          <w:numId w:val="7"/>
        </w:numPr>
        <w:ind w:left="426"/>
        <w:jc w:val="both"/>
        <w:rPr>
          <w:rFonts w:ascii="Arial" w:hAnsi="Arial" w:cs="Arial"/>
          <w:sz w:val="22"/>
          <w:szCs w:val="22"/>
          <w:highlight w:val="yellow"/>
          <w:lang w:val="en-GB"/>
        </w:rPr>
      </w:pPr>
      <w:r w:rsidRPr="00475E6E">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475E6E" w:rsidRDefault="00967219" w:rsidP="003C4BCB">
      <w:pPr>
        <w:pStyle w:val="ListParagraph"/>
        <w:numPr>
          <w:ilvl w:val="0"/>
          <w:numId w:val="8"/>
        </w:numPr>
        <w:ind w:left="426"/>
        <w:jc w:val="both"/>
        <w:rPr>
          <w:rFonts w:ascii="Arial" w:hAnsi="Arial" w:cs="Arial"/>
          <w:sz w:val="22"/>
          <w:szCs w:val="22"/>
          <w:highlight w:val="yellow"/>
          <w:lang w:val="en-GB"/>
        </w:rPr>
      </w:pPr>
      <w:r w:rsidRPr="00475E6E">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 xml:space="preserve">Actio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payments shall 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Pr="002C0B94" w:rsidRDefault="00967219" w:rsidP="003C4BCB">
      <w:pPr>
        <w:pStyle w:val="ListParagraph"/>
        <w:numPr>
          <w:ilvl w:val="0"/>
          <w:numId w:val="9"/>
        </w:numPr>
        <w:ind w:left="426"/>
        <w:jc w:val="both"/>
        <w:rPr>
          <w:rFonts w:ascii="Arial" w:hAnsi="Arial" w:cs="Arial"/>
          <w:sz w:val="22"/>
          <w:szCs w:val="22"/>
          <w:highlight w:val="yellow"/>
          <w:lang w:val="en-GB"/>
        </w:rPr>
      </w:pPr>
      <w:r w:rsidRPr="002C0B94">
        <w:rPr>
          <w:rFonts w:ascii="Arial" w:hAnsi="Arial" w:cs="Arial"/>
          <w:sz w:val="22"/>
          <w:szCs w:val="22"/>
          <w:highlight w:val="yellow"/>
          <w:lang w:val="en-GB"/>
        </w:rPr>
        <w:t xml:space="preserve">The contested transactions cannot be avoided if </w:t>
      </w:r>
      <w:proofErr w:type="spellStart"/>
      <w:r w:rsidRPr="002C0B94">
        <w:rPr>
          <w:rFonts w:ascii="Arial" w:hAnsi="Arial" w:cs="Arial"/>
          <w:sz w:val="22"/>
          <w:szCs w:val="22"/>
          <w:highlight w:val="yellow"/>
          <w:lang w:val="en-GB"/>
        </w:rPr>
        <w:t>Fema</w:t>
      </w:r>
      <w:proofErr w:type="spellEnd"/>
      <w:r w:rsidRPr="002C0B94">
        <w:rPr>
          <w:rFonts w:ascii="Arial" w:hAnsi="Arial" w:cs="Arial"/>
          <w:sz w:val="22"/>
          <w:szCs w:val="22"/>
          <w:highlight w:val="yellow"/>
          <w:lang w:val="en-GB"/>
        </w:rPr>
        <w:t xml:space="preserve"> GmbH can prove that the </w:t>
      </w:r>
      <w:r w:rsidRPr="002C0B94">
        <w:rPr>
          <w:rFonts w:ascii="Arial" w:hAnsi="Arial" w:cs="Arial"/>
          <w:i/>
          <w:sz w:val="22"/>
          <w:szCs w:val="22"/>
          <w:highlight w:val="yellow"/>
          <w:lang w:val="en-GB"/>
        </w:rPr>
        <w:t xml:space="preserve">lex </w:t>
      </w:r>
      <w:proofErr w:type="spellStart"/>
      <w:r w:rsidRPr="002C0B94">
        <w:rPr>
          <w:rFonts w:ascii="Arial" w:hAnsi="Arial" w:cs="Arial"/>
          <w:i/>
          <w:sz w:val="22"/>
          <w:szCs w:val="22"/>
          <w:highlight w:val="yellow"/>
          <w:lang w:val="en-GB"/>
        </w:rPr>
        <w:t>causae</w:t>
      </w:r>
      <w:proofErr w:type="spellEnd"/>
      <w:r w:rsidRPr="002C0B94">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CE774A" w:rsidRDefault="00FC48D8" w:rsidP="003C4BCB">
      <w:pPr>
        <w:pStyle w:val="ListParagraph"/>
        <w:numPr>
          <w:ilvl w:val="0"/>
          <w:numId w:val="10"/>
        </w:numPr>
        <w:ind w:left="426"/>
        <w:jc w:val="both"/>
        <w:rPr>
          <w:rFonts w:ascii="Arial" w:hAnsi="Arial" w:cs="Arial"/>
          <w:sz w:val="22"/>
          <w:szCs w:val="22"/>
          <w:highlight w:val="yellow"/>
          <w:lang w:val="en-GB"/>
        </w:rPr>
      </w:pPr>
      <w:r w:rsidRPr="00CE774A">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CE774A" w:rsidRDefault="00FC48D8" w:rsidP="003C4BCB">
      <w:pPr>
        <w:pStyle w:val="ListParagraph"/>
        <w:numPr>
          <w:ilvl w:val="0"/>
          <w:numId w:val="11"/>
        </w:numPr>
        <w:ind w:left="426"/>
        <w:jc w:val="both"/>
        <w:rPr>
          <w:rFonts w:ascii="Arial" w:hAnsi="Arial" w:cs="Arial"/>
          <w:sz w:val="22"/>
          <w:szCs w:val="22"/>
          <w:highlight w:val="yellow"/>
          <w:lang w:val="en-GB"/>
        </w:rPr>
      </w:pPr>
      <w:r w:rsidRPr="00CE774A">
        <w:rPr>
          <w:rFonts w:ascii="Arial" w:hAnsi="Arial" w:cs="Arial"/>
          <w:sz w:val="22"/>
          <w:szCs w:val="22"/>
          <w:highlight w:val="yellow"/>
          <w:lang w:val="en-GB"/>
        </w:rPr>
        <w:t xml:space="preserve">Within 15 days, as stipulated in the applicable </w:t>
      </w:r>
      <w:r w:rsidRPr="00CE774A">
        <w:rPr>
          <w:rFonts w:ascii="Arial" w:hAnsi="Arial" w:cs="Arial"/>
          <w:i/>
          <w:sz w:val="22"/>
          <w:szCs w:val="22"/>
          <w:highlight w:val="yellow"/>
          <w:lang w:val="en-GB"/>
        </w:rPr>
        <w:t xml:space="preserve">lex concursus </w:t>
      </w:r>
      <w:proofErr w:type="spellStart"/>
      <w:r w:rsidRPr="00CE774A">
        <w:rPr>
          <w:rFonts w:ascii="Arial" w:hAnsi="Arial" w:cs="Arial"/>
          <w:i/>
          <w:sz w:val="22"/>
          <w:szCs w:val="22"/>
          <w:highlight w:val="yellow"/>
          <w:lang w:val="en-GB"/>
        </w:rPr>
        <w:t>secundarii</w:t>
      </w:r>
      <w:proofErr w:type="spellEnd"/>
      <w:r w:rsidRPr="00CE774A">
        <w:rPr>
          <w:rFonts w:ascii="Arial" w:hAnsi="Arial" w:cs="Arial"/>
          <w:sz w:val="22"/>
          <w:szCs w:val="22"/>
          <w:highlight w:val="yellow"/>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351EFE21" w:rsidR="00636C15" w:rsidRDefault="00E8262F"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1: Article 3(1) of EIR Recast 2015, Related concepts: registered office presumption, suspect period and forum shopping.</w:t>
      </w:r>
      <w:r w:rsidR="009E64EE">
        <w:rPr>
          <w:rFonts w:ascii="Arial" w:hAnsi="Arial" w:cs="Arial"/>
          <w:color w:val="7B7B7B" w:themeColor="accent3" w:themeShade="BF"/>
          <w:sz w:val="22"/>
          <w:szCs w:val="22"/>
        </w:rPr>
        <w:t xml:space="preserve"> Related Case: Case C-106/16, </w:t>
      </w:r>
      <w:proofErr w:type="spellStart"/>
      <w:r w:rsidR="009E64EE">
        <w:rPr>
          <w:rFonts w:ascii="Arial" w:hAnsi="Arial" w:cs="Arial"/>
          <w:color w:val="7B7B7B" w:themeColor="accent3" w:themeShade="BF"/>
          <w:sz w:val="22"/>
          <w:szCs w:val="22"/>
        </w:rPr>
        <w:t>Polbud-Wykonawstwo</w:t>
      </w:r>
      <w:proofErr w:type="spellEnd"/>
      <w:r w:rsidR="009E64EE">
        <w:rPr>
          <w:rFonts w:ascii="Arial" w:hAnsi="Arial" w:cs="Arial"/>
          <w:color w:val="7B7B7B" w:themeColor="accent3" w:themeShade="BF"/>
          <w:sz w:val="22"/>
          <w:szCs w:val="22"/>
        </w:rPr>
        <w:t xml:space="preserve"> sp. z </w:t>
      </w:r>
      <w:proofErr w:type="spellStart"/>
      <w:r w:rsidR="009E64EE">
        <w:rPr>
          <w:rFonts w:ascii="Arial" w:hAnsi="Arial" w:cs="Arial"/>
          <w:color w:val="7B7B7B" w:themeColor="accent3" w:themeShade="BF"/>
          <w:sz w:val="22"/>
          <w:szCs w:val="22"/>
        </w:rPr>
        <w:t>o.o</w:t>
      </w:r>
      <w:proofErr w:type="spellEnd"/>
      <w:r w:rsidR="009E64EE">
        <w:rPr>
          <w:rFonts w:ascii="Arial" w:hAnsi="Arial" w:cs="Arial"/>
          <w:color w:val="7B7B7B" w:themeColor="accent3" w:themeShade="BF"/>
          <w:sz w:val="22"/>
          <w:szCs w:val="22"/>
        </w:rPr>
        <w:t>, ECLI:EU:C:2017:804</w:t>
      </w:r>
      <w:r w:rsidR="00237711">
        <w:rPr>
          <w:rFonts w:ascii="Arial" w:hAnsi="Arial" w:cs="Arial"/>
          <w:color w:val="7B7B7B" w:themeColor="accent3" w:themeShade="BF"/>
          <w:sz w:val="22"/>
          <w:szCs w:val="22"/>
        </w:rPr>
        <w:t xml:space="preserve"> (Oct 25, 2017)</w:t>
      </w:r>
      <w:r w:rsidR="00AA3E0F">
        <w:rPr>
          <w:rFonts w:ascii="Arial" w:hAnsi="Arial" w:cs="Arial"/>
          <w:color w:val="7B7B7B" w:themeColor="accent3" w:themeShade="BF"/>
          <w:sz w:val="22"/>
          <w:szCs w:val="22"/>
        </w:rPr>
        <w:t xml:space="preserve"> In this case CJEU held that change of registered office to a </w:t>
      </w:r>
      <w:proofErr w:type="spellStart"/>
      <w:r w:rsidR="00AA3E0F">
        <w:rPr>
          <w:rFonts w:ascii="Arial" w:hAnsi="Arial" w:cs="Arial"/>
          <w:color w:val="7B7B7B" w:themeColor="accent3" w:themeShade="BF"/>
          <w:sz w:val="22"/>
          <w:szCs w:val="22"/>
        </w:rPr>
        <w:t>favourable</w:t>
      </w:r>
      <w:proofErr w:type="spellEnd"/>
      <w:r w:rsidR="00AA3E0F">
        <w:rPr>
          <w:rFonts w:ascii="Arial" w:hAnsi="Arial" w:cs="Arial"/>
          <w:color w:val="7B7B7B" w:themeColor="accent3" w:themeShade="BF"/>
          <w:sz w:val="22"/>
          <w:szCs w:val="22"/>
        </w:rPr>
        <w:t xml:space="preserve"> legislation enjoy the protection of freedom of establishment and is not constituted as abuse.</w:t>
      </w:r>
    </w:p>
    <w:p w14:paraId="0E5D6947" w14:textId="77777777" w:rsidR="00AA3E0F" w:rsidRDefault="00AA3E0F" w:rsidP="00636C15">
      <w:pPr>
        <w:ind w:left="720" w:hanging="720"/>
        <w:jc w:val="both"/>
        <w:rPr>
          <w:rFonts w:ascii="Arial" w:hAnsi="Arial" w:cs="Arial"/>
          <w:color w:val="7B7B7B" w:themeColor="accent3" w:themeShade="BF"/>
          <w:sz w:val="22"/>
          <w:szCs w:val="22"/>
        </w:rPr>
      </w:pPr>
    </w:p>
    <w:p w14:paraId="300B105B" w14:textId="752479F0" w:rsidR="00E8262F" w:rsidRPr="00B727C5" w:rsidRDefault="00E8262F" w:rsidP="00636C15">
      <w:pPr>
        <w:ind w:left="720" w:hanging="720"/>
        <w:jc w:val="both"/>
        <w:rPr>
          <w:rFonts w:ascii="Arial" w:hAnsi="Arial" w:cs="Arial"/>
          <w:caps/>
          <w:sz w:val="22"/>
          <w:szCs w:val="22"/>
        </w:rPr>
      </w:pPr>
      <w:r>
        <w:rPr>
          <w:rFonts w:ascii="Arial" w:hAnsi="Arial" w:cs="Arial"/>
          <w:color w:val="7B7B7B" w:themeColor="accent3" w:themeShade="BF"/>
          <w:sz w:val="22"/>
          <w:szCs w:val="22"/>
        </w:rPr>
        <w:t xml:space="preserve">Statement 2: </w:t>
      </w:r>
      <w:r w:rsidR="00B42FA1">
        <w:rPr>
          <w:rFonts w:ascii="Arial" w:hAnsi="Arial" w:cs="Arial"/>
          <w:color w:val="7B7B7B" w:themeColor="accent3" w:themeShade="BF"/>
          <w:sz w:val="22"/>
          <w:szCs w:val="22"/>
        </w:rPr>
        <w:t>Synthetic Proceedings</w:t>
      </w:r>
      <w:r w:rsidR="00B727C5">
        <w:rPr>
          <w:rFonts w:ascii="Arial" w:hAnsi="Arial" w:cs="Arial"/>
          <w:color w:val="7B7B7B" w:themeColor="accent3" w:themeShade="BF"/>
          <w:sz w:val="22"/>
          <w:szCs w:val="22"/>
        </w:rPr>
        <w:t xml:space="preserve">, Article </w:t>
      </w:r>
      <w:r w:rsidR="00280945">
        <w:rPr>
          <w:rFonts w:ascii="Arial" w:hAnsi="Arial" w:cs="Arial"/>
          <w:color w:val="7B7B7B" w:themeColor="accent3" w:themeShade="BF"/>
          <w:sz w:val="22"/>
          <w:szCs w:val="22"/>
        </w:rPr>
        <w:t>38(2) and Article 36 of EIR Recast. It originated from judicial innovation in the case of Collins &amp; Aikman Europe SA and other companies [2006] EWHC 1343 (Ch)</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769A851C" w14:textId="0B87E0F6" w:rsidR="007B0967" w:rsidRDefault="007B0967" w:rsidP="007B0967">
      <w:pPr>
        <w:pStyle w:val="ListParagraph"/>
        <w:numPr>
          <w:ilvl w:val="0"/>
          <w:numId w:val="12"/>
        </w:numPr>
        <w:jc w:val="both"/>
        <w:rPr>
          <w:rFonts w:ascii="Arial" w:hAnsi="Arial" w:cs="Arial"/>
          <w:color w:val="7B7B7B" w:themeColor="accent3" w:themeShade="BF"/>
          <w:sz w:val="22"/>
          <w:szCs w:val="22"/>
          <w:lang w:val="en-GB"/>
        </w:rPr>
      </w:pPr>
      <w:r w:rsidRPr="007B0967">
        <w:rPr>
          <w:rFonts w:ascii="Arial" w:hAnsi="Arial" w:cs="Arial"/>
          <w:color w:val="7B7B7B" w:themeColor="accent3" w:themeShade="BF"/>
          <w:sz w:val="22"/>
          <w:szCs w:val="22"/>
          <w:lang w:val="en-GB"/>
        </w:rPr>
        <w:t>Cooperation and communication between insolvency practitioners</w:t>
      </w:r>
      <w:r>
        <w:rPr>
          <w:rFonts w:ascii="Arial" w:hAnsi="Arial" w:cs="Arial"/>
          <w:color w:val="7B7B7B" w:themeColor="accent3" w:themeShade="BF"/>
          <w:sz w:val="22"/>
          <w:szCs w:val="22"/>
          <w:lang w:val="en-GB"/>
        </w:rPr>
        <w:t>,</w:t>
      </w:r>
      <w:r w:rsidRPr="007B0967">
        <w:rPr>
          <w:rFonts w:ascii="Arial" w:hAnsi="Arial" w:cs="Arial"/>
          <w:color w:val="7B7B7B" w:themeColor="accent3" w:themeShade="BF"/>
          <w:sz w:val="22"/>
          <w:szCs w:val="22"/>
          <w:lang w:val="en-GB"/>
        </w:rPr>
        <w:t xml:space="preserve"> </w:t>
      </w:r>
      <w:r w:rsidR="009A4569" w:rsidRPr="007B0967">
        <w:rPr>
          <w:rFonts w:ascii="Arial" w:hAnsi="Arial" w:cs="Arial"/>
          <w:color w:val="7B7B7B" w:themeColor="accent3" w:themeShade="BF"/>
          <w:sz w:val="22"/>
          <w:szCs w:val="22"/>
          <w:lang w:val="en-GB"/>
        </w:rPr>
        <w:t>Article 41(1) EIR Recast</w:t>
      </w:r>
    </w:p>
    <w:p w14:paraId="6238D920" w14:textId="4F4AEE9E" w:rsidR="007B0967" w:rsidRPr="00333086" w:rsidRDefault="007B0967" w:rsidP="007B0967">
      <w:pPr>
        <w:pStyle w:val="ListParagraph"/>
        <w:numPr>
          <w:ilvl w:val="0"/>
          <w:numId w:val="12"/>
        </w:numPr>
        <w:rPr>
          <w:rFonts w:ascii="Arial" w:hAnsi="Arial" w:cs="Arial"/>
          <w:color w:val="7B7B7B" w:themeColor="accent3" w:themeShade="BF"/>
          <w:sz w:val="22"/>
          <w:szCs w:val="22"/>
          <w:lang w:val="en-GB"/>
        </w:rPr>
      </w:pPr>
      <w:r w:rsidRPr="00333086">
        <w:rPr>
          <w:rFonts w:ascii="Arial" w:hAnsi="Arial" w:cs="Arial"/>
          <w:color w:val="7B7B7B" w:themeColor="accent3" w:themeShade="BF"/>
          <w:sz w:val="22"/>
          <w:szCs w:val="22"/>
          <w:lang w:val="en-GB"/>
        </w:rPr>
        <w:t>Cooperation and communication between courts, Article 42(1) EIR Recast</w:t>
      </w:r>
    </w:p>
    <w:p w14:paraId="29E49C9F" w14:textId="7228E723" w:rsidR="00333086" w:rsidRPr="00333086" w:rsidRDefault="00333086" w:rsidP="00333086">
      <w:pPr>
        <w:pStyle w:val="ListParagraph"/>
        <w:numPr>
          <w:ilvl w:val="0"/>
          <w:numId w:val="12"/>
        </w:numPr>
        <w:rPr>
          <w:rFonts w:ascii="Arial" w:hAnsi="Arial" w:cs="Arial"/>
          <w:color w:val="7B7B7B" w:themeColor="accent3" w:themeShade="BF"/>
          <w:sz w:val="22"/>
          <w:szCs w:val="22"/>
          <w:lang w:val="en-GB"/>
        </w:rPr>
      </w:pPr>
      <w:r w:rsidRPr="00333086">
        <w:rPr>
          <w:rFonts w:ascii="Arial" w:hAnsi="Arial" w:cs="Arial"/>
          <w:color w:val="7B7B7B" w:themeColor="accent3" w:themeShade="BF"/>
          <w:sz w:val="22"/>
          <w:szCs w:val="22"/>
          <w:lang w:val="en-GB"/>
        </w:rPr>
        <w:t>Cooperation and communication between insolvency practitioners and courts</w:t>
      </w:r>
      <w:r w:rsidR="005D5327">
        <w:rPr>
          <w:rFonts w:ascii="Arial" w:hAnsi="Arial" w:cs="Arial"/>
          <w:color w:val="7B7B7B" w:themeColor="accent3" w:themeShade="BF"/>
          <w:sz w:val="22"/>
          <w:szCs w:val="22"/>
          <w:lang w:val="en-GB"/>
        </w:rPr>
        <w:t>,</w:t>
      </w:r>
      <w:r w:rsidRPr="00333086">
        <w:rPr>
          <w:rFonts w:ascii="Arial" w:hAnsi="Arial" w:cs="Arial"/>
          <w:color w:val="7B7B7B" w:themeColor="accent3" w:themeShade="BF"/>
          <w:sz w:val="22"/>
          <w:szCs w:val="22"/>
          <w:lang w:val="en-GB"/>
        </w:rPr>
        <w:t xml:space="preserve"> Article 43 EIR Recast</w:t>
      </w:r>
    </w:p>
    <w:p w14:paraId="08B96AD1" w14:textId="385EDECE" w:rsidR="00B74B59" w:rsidRPr="007B0967" w:rsidRDefault="00B74B59" w:rsidP="00333086">
      <w:pPr>
        <w:pStyle w:val="ListParagraph"/>
        <w:jc w:val="both"/>
        <w:rPr>
          <w:rFonts w:ascii="Arial" w:hAnsi="Arial" w:cs="Arial"/>
          <w:sz w:val="22"/>
          <w:szCs w:val="22"/>
          <w:lang w:val="en-GB"/>
        </w:rPr>
      </w:pP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2570AA2A" w14:textId="687596D6" w:rsidR="009009A3" w:rsidRPr="005B44D3" w:rsidRDefault="009009A3" w:rsidP="00842D18">
      <w:pPr>
        <w:pStyle w:val="ListParagraph"/>
        <w:numPr>
          <w:ilvl w:val="0"/>
          <w:numId w:val="13"/>
        </w:numPr>
        <w:jc w:val="both"/>
        <w:rPr>
          <w:rFonts w:ascii="Arial" w:hAnsi="Arial" w:cs="Arial"/>
          <w:color w:val="7B7B7B" w:themeColor="accent3" w:themeShade="BF"/>
          <w:sz w:val="22"/>
          <w:szCs w:val="22"/>
          <w:lang w:val="en-GB"/>
        </w:rPr>
      </w:pPr>
      <w:r w:rsidRPr="005B44D3">
        <w:rPr>
          <w:rFonts w:ascii="Arial" w:hAnsi="Arial" w:cs="Arial"/>
          <w:color w:val="7B7B7B" w:themeColor="accent3" w:themeShade="BF"/>
          <w:sz w:val="22"/>
          <w:szCs w:val="22"/>
          <w:lang w:val="en-GB"/>
        </w:rPr>
        <w:t>Article 1 EIR Recast provides the scope. Compared to EIR 2000, the scope of EIR Recast extends to proceedings aiming at rescuing economically viable but financially distressed companies.</w:t>
      </w:r>
    </w:p>
    <w:p w14:paraId="0AAE71E2" w14:textId="5910AB75" w:rsidR="00842D18" w:rsidRPr="005B44D3" w:rsidRDefault="00842D18" w:rsidP="002603AA">
      <w:pPr>
        <w:pStyle w:val="ListParagraph"/>
        <w:numPr>
          <w:ilvl w:val="0"/>
          <w:numId w:val="13"/>
        </w:numPr>
        <w:jc w:val="both"/>
        <w:rPr>
          <w:rFonts w:ascii="Arial" w:hAnsi="Arial" w:cs="Arial"/>
          <w:color w:val="7B7B7B" w:themeColor="accent3" w:themeShade="BF"/>
          <w:sz w:val="22"/>
          <w:szCs w:val="22"/>
          <w:lang w:val="en-GB"/>
        </w:rPr>
      </w:pPr>
      <w:r w:rsidRPr="005B44D3">
        <w:rPr>
          <w:rFonts w:ascii="Arial" w:hAnsi="Arial" w:cs="Arial"/>
          <w:color w:val="7B7B7B" w:themeColor="accent3" w:themeShade="BF"/>
          <w:sz w:val="22"/>
          <w:szCs w:val="22"/>
          <w:lang w:val="en-GB"/>
        </w:rPr>
        <w:t>Right to give an undertaking</w:t>
      </w:r>
      <w:r w:rsidR="002603AA" w:rsidRPr="005B44D3">
        <w:rPr>
          <w:rFonts w:ascii="Arial" w:hAnsi="Arial" w:cs="Arial"/>
          <w:color w:val="7B7B7B" w:themeColor="accent3" w:themeShade="BF"/>
          <w:sz w:val="22"/>
          <w:szCs w:val="22"/>
          <w:lang w:val="en-GB"/>
        </w:rPr>
        <w:t xml:space="preserve"> (</w:t>
      </w:r>
      <w:r w:rsidRPr="005B44D3">
        <w:rPr>
          <w:rFonts w:ascii="Arial" w:hAnsi="Arial" w:cs="Arial"/>
          <w:color w:val="7B7B7B" w:themeColor="accent3" w:themeShade="BF"/>
          <w:sz w:val="22"/>
          <w:szCs w:val="22"/>
          <w:lang w:val="en-GB"/>
        </w:rPr>
        <w:t>Synthetic Proceedings</w:t>
      </w:r>
      <w:r w:rsidR="002603AA" w:rsidRPr="005B44D3">
        <w:rPr>
          <w:rFonts w:ascii="Arial" w:hAnsi="Arial" w:cs="Arial"/>
          <w:color w:val="7B7B7B" w:themeColor="accent3" w:themeShade="BF"/>
          <w:sz w:val="22"/>
          <w:szCs w:val="22"/>
          <w:lang w:val="en-GB"/>
        </w:rPr>
        <w:t>)</w:t>
      </w:r>
      <w:r w:rsidRPr="005B44D3">
        <w:rPr>
          <w:rFonts w:ascii="Arial" w:hAnsi="Arial" w:cs="Arial"/>
          <w:color w:val="7B7B7B" w:themeColor="accent3" w:themeShade="BF"/>
          <w:sz w:val="22"/>
          <w:szCs w:val="22"/>
          <w:lang w:val="en-GB"/>
        </w:rPr>
        <w:t xml:space="preserve"> under Article 38(2) and Article 36 EIR Recast</w:t>
      </w:r>
      <w:r w:rsidR="002603AA" w:rsidRPr="005B44D3">
        <w:rPr>
          <w:rFonts w:ascii="Arial" w:hAnsi="Arial" w:cs="Arial"/>
          <w:color w:val="7B7B7B" w:themeColor="accent3" w:themeShade="BF"/>
          <w:sz w:val="22"/>
          <w:szCs w:val="22"/>
          <w:lang w:val="en-GB"/>
        </w:rPr>
        <w:t xml:space="preserve"> and t</w:t>
      </w:r>
      <w:r w:rsidRPr="005B44D3">
        <w:rPr>
          <w:rFonts w:ascii="Arial" w:hAnsi="Arial" w:cs="Arial"/>
          <w:color w:val="7B7B7B" w:themeColor="accent3" w:themeShade="BF"/>
          <w:sz w:val="22"/>
          <w:szCs w:val="22"/>
          <w:lang w:val="en-GB"/>
        </w:rPr>
        <w:t>emporarily stay</w:t>
      </w:r>
      <w:r w:rsidR="002603AA" w:rsidRPr="005B44D3">
        <w:rPr>
          <w:rFonts w:ascii="Arial" w:hAnsi="Arial" w:cs="Arial"/>
          <w:color w:val="7B7B7B" w:themeColor="accent3" w:themeShade="BF"/>
          <w:sz w:val="22"/>
          <w:szCs w:val="22"/>
          <w:lang w:val="en-GB"/>
        </w:rPr>
        <w:t>ing</w:t>
      </w:r>
      <w:r w:rsidRPr="005B44D3">
        <w:rPr>
          <w:rFonts w:ascii="Arial" w:hAnsi="Arial" w:cs="Arial"/>
          <w:color w:val="7B7B7B" w:themeColor="accent3" w:themeShade="BF"/>
          <w:sz w:val="22"/>
          <w:szCs w:val="22"/>
          <w:lang w:val="en-GB"/>
        </w:rPr>
        <w:t xml:space="preserve"> the opening of secondary proceedings under Article 38(3) EIR Recast promote</w:t>
      </w:r>
      <w:r w:rsidR="002603AA" w:rsidRPr="005B44D3">
        <w:rPr>
          <w:rFonts w:ascii="Arial" w:hAnsi="Arial" w:cs="Arial"/>
          <w:color w:val="7B7B7B" w:themeColor="accent3" w:themeShade="BF"/>
          <w:sz w:val="22"/>
          <w:szCs w:val="22"/>
          <w:lang w:val="en-GB"/>
        </w:rPr>
        <w:t xml:space="preserve">s </w:t>
      </w:r>
      <w:r w:rsidRPr="005B44D3">
        <w:rPr>
          <w:rFonts w:ascii="Arial" w:hAnsi="Arial" w:cs="Arial"/>
          <w:color w:val="7B7B7B" w:themeColor="accent3" w:themeShade="BF"/>
          <w:sz w:val="22"/>
          <w:szCs w:val="22"/>
          <w:lang w:val="en-GB"/>
        </w:rPr>
        <w:t>the process of negotiation and business rescue.</w:t>
      </w:r>
    </w:p>
    <w:p w14:paraId="6F8E9486" w14:textId="77777777" w:rsidR="005B44D3" w:rsidRPr="005B44D3" w:rsidRDefault="005B44D3" w:rsidP="005B44D3">
      <w:pPr>
        <w:pStyle w:val="ListParagraph"/>
        <w:jc w:val="both"/>
        <w:rPr>
          <w:rFonts w:ascii="Arial" w:hAnsi="Arial" w:cs="Arial"/>
          <w:color w:val="7B7B7B" w:themeColor="accent3" w:themeShade="BF"/>
          <w:sz w:val="22"/>
          <w:szCs w:val="22"/>
          <w:lang w:val="en-GB"/>
        </w:rPr>
      </w:pPr>
    </w:p>
    <w:p w14:paraId="46E3DD92" w14:textId="3C3D3A90" w:rsidR="005B44D3" w:rsidRPr="005B44D3" w:rsidRDefault="00BF46FE" w:rsidP="005B44D3">
      <w:pPr>
        <w:pStyle w:val="ListParagraph"/>
        <w:numPr>
          <w:ilvl w:val="0"/>
          <w:numId w:val="13"/>
        </w:numPr>
        <w:jc w:val="both"/>
        <w:rPr>
          <w:rFonts w:ascii="Arial" w:hAnsi="Arial" w:cs="Arial"/>
          <w:color w:val="7B7B7B" w:themeColor="accent3" w:themeShade="BF"/>
          <w:sz w:val="22"/>
          <w:szCs w:val="22"/>
          <w:lang w:val="en-GB"/>
        </w:rPr>
      </w:pPr>
      <w:r w:rsidRPr="005B44D3">
        <w:rPr>
          <w:rFonts w:ascii="Arial" w:hAnsi="Arial" w:cs="Arial"/>
          <w:color w:val="7B7B7B" w:themeColor="accent3" w:themeShade="BF"/>
          <w:sz w:val="22"/>
          <w:szCs w:val="22"/>
          <w:lang w:val="en-GB"/>
        </w:rPr>
        <w:lastRenderedPageBreak/>
        <w:t>Absence of requirement of Secondary proceedings as winding-up proceedings under Article 3(4) EIR Recast</w:t>
      </w:r>
      <w:r w:rsidR="00965552" w:rsidRPr="005B44D3">
        <w:rPr>
          <w:rFonts w:ascii="Arial" w:hAnsi="Arial" w:cs="Arial"/>
          <w:color w:val="7B7B7B" w:themeColor="accent3" w:themeShade="BF"/>
          <w:sz w:val="22"/>
          <w:szCs w:val="22"/>
          <w:lang w:val="en-GB"/>
        </w:rPr>
        <w:t xml:space="preserve"> vis-à-vis the requirement contained in Article 3(3) EIR 2000. </w:t>
      </w:r>
      <w:r w:rsidR="00785D66" w:rsidRPr="005B44D3">
        <w:rPr>
          <w:rFonts w:ascii="Arial" w:hAnsi="Arial" w:cs="Arial"/>
          <w:color w:val="7B7B7B" w:themeColor="accent3" w:themeShade="BF"/>
          <w:sz w:val="22"/>
          <w:szCs w:val="22"/>
          <w:lang w:val="en-GB"/>
        </w:rPr>
        <w:t xml:space="preserve">This requirement prevented the attempts </w:t>
      </w:r>
      <w:r w:rsidR="005B44D3" w:rsidRPr="005B44D3">
        <w:rPr>
          <w:rFonts w:ascii="Arial" w:hAnsi="Arial" w:cs="Arial"/>
          <w:color w:val="7B7B7B" w:themeColor="accent3" w:themeShade="BF"/>
          <w:sz w:val="22"/>
          <w:szCs w:val="22"/>
          <w:lang w:val="en-GB"/>
        </w:rPr>
        <w:t>of rescuing the companies having establishments in multiple Member States.</w:t>
      </w:r>
    </w:p>
    <w:p w14:paraId="45BEE1A9" w14:textId="146C3640" w:rsidR="005B44D3" w:rsidRPr="005B44D3" w:rsidRDefault="005B44D3" w:rsidP="005B44D3">
      <w:pPr>
        <w:pStyle w:val="ListParagraph"/>
        <w:numPr>
          <w:ilvl w:val="0"/>
          <w:numId w:val="13"/>
        </w:numPr>
        <w:jc w:val="both"/>
        <w:rPr>
          <w:rFonts w:ascii="Arial" w:hAnsi="Arial" w:cs="Arial"/>
          <w:color w:val="7B7B7B" w:themeColor="accent3" w:themeShade="BF"/>
          <w:sz w:val="22"/>
          <w:szCs w:val="22"/>
          <w:lang w:val="en-GB"/>
        </w:rPr>
      </w:pPr>
      <w:r w:rsidRPr="005B44D3">
        <w:rPr>
          <w:rFonts w:ascii="Arial" w:hAnsi="Arial" w:cs="Arial"/>
          <w:color w:val="7B7B7B" w:themeColor="accent3" w:themeShade="BF"/>
          <w:sz w:val="22"/>
          <w:szCs w:val="22"/>
          <w:lang w:val="en-GB"/>
        </w:rPr>
        <w:t>Comparing Article 31 EIR 2000 and Article 41 EIR Recast, EIR Recast emphasise</w:t>
      </w:r>
      <w:r>
        <w:rPr>
          <w:rFonts w:ascii="Arial" w:hAnsi="Arial" w:cs="Arial"/>
          <w:color w:val="7B7B7B" w:themeColor="accent3" w:themeShade="BF"/>
          <w:sz w:val="22"/>
          <w:szCs w:val="22"/>
          <w:lang w:val="en-GB"/>
        </w:rPr>
        <w:t>s</w:t>
      </w:r>
      <w:r w:rsidRPr="005B44D3">
        <w:rPr>
          <w:rFonts w:ascii="Arial" w:hAnsi="Arial" w:cs="Arial"/>
          <w:color w:val="7B7B7B" w:themeColor="accent3" w:themeShade="BF"/>
          <w:sz w:val="22"/>
          <w:szCs w:val="22"/>
          <w:lang w:val="en-GB"/>
        </w:rPr>
        <w:t xml:space="preserve"> the need to communicate the information </w:t>
      </w:r>
      <w:r>
        <w:rPr>
          <w:rFonts w:ascii="Arial" w:hAnsi="Arial" w:cs="Arial"/>
          <w:color w:val="7B7B7B" w:themeColor="accent3" w:themeShade="BF"/>
          <w:sz w:val="22"/>
          <w:szCs w:val="22"/>
          <w:lang w:val="en-GB"/>
        </w:rPr>
        <w:t>related to</w:t>
      </w:r>
      <w:r w:rsidRPr="005B44D3">
        <w:rPr>
          <w:rFonts w:ascii="Arial" w:hAnsi="Arial" w:cs="Arial"/>
          <w:color w:val="7B7B7B" w:themeColor="accent3" w:themeShade="BF"/>
          <w:sz w:val="22"/>
          <w:szCs w:val="22"/>
          <w:lang w:val="en-GB"/>
        </w:rPr>
        <w:t xml:space="preserve"> measures </w:t>
      </w:r>
      <w:r>
        <w:rPr>
          <w:rFonts w:ascii="Arial" w:hAnsi="Arial" w:cs="Arial"/>
          <w:color w:val="7B7B7B" w:themeColor="accent3" w:themeShade="BF"/>
          <w:sz w:val="22"/>
          <w:szCs w:val="22"/>
          <w:lang w:val="en-GB"/>
        </w:rPr>
        <w:t>concerning</w:t>
      </w:r>
      <w:r w:rsidRPr="005B44D3">
        <w:rPr>
          <w:rFonts w:ascii="Arial" w:hAnsi="Arial" w:cs="Arial"/>
          <w:color w:val="7B7B7B" w:themeColor="accent3" w:themeShade="BF"/>
          <w:sz w:val="22"/>
          <w:szCs w:val="22"/>
          <w:lang w:val="en-GB"/>
        </w:rPr>
        <w:t xml:space="preserve"> debtor’s rescue and restructuring.</w:t>
      </w:r>
    </w:p>
    <w:p w14:paraId="572227E7" w14:textId="10041403" w:rsidR="0045683E" w:rsidRPr="008500BD" w:rsidRDefault="0045683E" w:rsidP="002A37BB">
      <w:pPr>
        <w:jc w:val="both"/>
        <w:rPr>
          <w:rFonts w:ascii="Arial" w:hAnsi="Arial" w:cs="Arial"/>
          <w:bCs/>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AA7445" w:rsidRDefault="00DD47EF" w:rsidP="002A37BB">
      <w:pPr>
        <w:jc w:val="both"/>
        <w:rPr>
          <w:rFonts w:ascii="Arial" w:hAnsi="Arial" w:cs="Arial"/>
          <w:color w:val="7B7B7B" w:themeColor="accent3" w:themeShade="BF"/>
          <w:sz w:val="22"/>
          <w:szCs w:val="22"/>
        </w:rPr>
      </w:pPr>
    </w:p>
    <w:p w14:paraId="296A8396" w14:textId="41429096" w:rsidR="009954B2" w:rsidRPr="00AA7445" w:rsidRDefault="003F0DFA" w:rsidP="003F0DFA">
      <w:pPr>
        <w:pStyle w:val="ListParagraph"/>
        <w:numPr>
          <w:ilvl w:val="0"/>
          <w:numId w:val="14"/>
        </w:numPr>
        <w:jc w:val="both"/>
        <w:rPr>
          <w:rFonts w:ascii="Arial" w:hAnsi="Arial" w:cs="Arial"/>
          <w:color w:val="7B7B7B" w:themeColor="accent3" w:themeShade="BF"/>
          <w:sz w:val="22"/>
          <w:szCs w:val="22"/>
          <w:lang w:val="en-GB"/>
        </w:rPr>
      </w:pPr>
      <w:r w:rsidRPr="00AA7445">
        <w:rPr>
          <w:rFonts w:ascii="Arial" w:hAnsi="Arial" w:cs="Arial"/>
          <w:color w:val="7B7B7B" w:themeColor="accent3" w:themeShade="BF"/>
          <w:sz w:val="22"/>
          <w:szCs w:val="22"/>
          <w:lang w:val="en-GB"/>
        </w:rPr>
        <w:t xml:space="preserve">Right to give an undertaking (synthetic secondary proceedings) under Article 38(2) EIR Recast: Where the insolvency practitioner in the main insolvency proceeding gives an undertaking in accordance with the Article 36 EIR Recast, the court does not open the secondary proceeding given that it is satisfied that the undertaking adequately protects the general interests of local creditors. The undertaking has to be approved by the known local creditors and the distribution of the secondary asset pool takes place in accordance with the national law of </w:t>
      </w:r>
      <w:r w:rsidR="00C86849" w:rsidRPr="00AA7445">
        <w:rPr>
          <w:rFonts w:ascii="Arial" w:hAnsi="Arial" w:cs="Arial"/>
          <w:color w:val="7B7B7B" w:themeColor="accent3" w:themeShade="BF"/>
          <w:sz w:val="22"/>
          <w:szCs w:val="22"/>
          <w:lang w:val="en-GB"/>
        </w:rPr>
        <w:t xml:space="preserve">the </w:t>
      </w:r>
      <w:r w:rsidRPr="00AA7445">
        <w:rPr>
          <w:rFonts w:ascii="Arial" w:hAnsi="Arial" w:cs="Arial"/>
          <w:color w:val="7B7B7B" w:themeColor="accent3" w:themeShade="BF"/>
          <w:sz w:val="22"/>
          <w:szCs w:val="22"/>
          <w:lang w:val="en-GB"/>
        </w:rPr>
        <w:t>Member State of secondary insolvency proceeding if it would have opened.</w:t>
      </w:r>
    </w:p>
    <w:p w14:paraId="6FFD0587" w14:textId="1AED6F1C" w:rsidR="00F76524" w:rsidRPr="00AA7445" w:rsidRDefault="00F76524" w:rsidP="003F0DFA">
      <w:pPr>
        <w:pStyle w:val="ListParagraph"/>
        <w:numPr>
          <w:ilvl w:val="0"/>
          <w:numId w:val="14"/>
        </w:numPr>
        <w:jc w:val="both"/>
        <w:rPr>
          <w:rFonts w:ascii="Arial" w:hAnsi="Arial" w:cs="Arial"/>
          <w:color w:val="7B7B7B" w:themeColor="accent3" w:themeShade="BF"/>
          <w:sz w:val="22"/>
          <w:szCs w:val="22"/>
          <w:lang w:val="en-GB"/>
        </w:rPr>
      </w:pPr>
      <w:r w:rsidRPr="00AA7445">
        <w:rPr>
          <w:rFonts w:ascii="Arial" w:hAnsi="Arial" w:cs="Arial"/>
          <w:color w:val="7B7B7B" w:themeColor="accent3" w:themeShade="BF"/>
          <w:sz w:val="22"/>
          <w:szCs w:val="22"/>
          <w:lang w:val="en-GB"/>
        </w:rPr>
        <w:t>Staying the opening of secondary insolvency proceedings under Article 38(3) EIR Recast: Upon a request from insolvency practitioner or debtor in possession, the Court can impose stay on the secondary insolvency proceeding for not exceeding three months on condition that the interests of local creditors are taken care of. The stay can be lifted when an agreement has been made between the parties or the stay is resulting in damaging the creditors’ interests.</w:t>
      </w: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3A07D62C" w14:textId="14859E23" w:rsidR="00446213" w:rsidRDefault="0001284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46 EIR 2000 provided that the Commission should</w:t>
      </w:r>
      <w:r w:rsidR="001A6BD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no later than 1 June 2012 and every 5 years thereafter</w:t>
      </w:r>
      <w:r w:rsidR="001A6BD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submit a report in application of the Regulation and put forth a proposal for adaptation of it if</w:t>
      </w:r>
      <w:r w:rsidR="00446213">
        <w:rPr>
          <w:rFonts w:ascii="Arial" w:hAnsi="Arial" w:cs="Arial"/>
          <w:color w:val="7B7B7B" w:themeColor="accent3" w:themeShade="BF"/>
          <w:sz w:val="22"/>
          <w:szCs w:val="22"/>
          <w:lang w:val="en-GB"/>
        </w:rPr>
        <w:t xml:space="preserve"> it finds</w:t>
      </w:r>
      <w:r>
        <w:rPr>
          <w:rFonts w:ascii="Arial" w:hAnsi="Arial" w:cs="Arial"/>
          <w:color w:val="7B7B7B" w:themeColor="accent3" w:themeShade="BF"/>
          <w:sz w:val="22"/>
          <w:szCs w:val="22"/>
          <w:lang w:val="en-GB"/>
        </w:rPr>
        <w:t xml:space="preserve"> necessary.</w:t>
      </w:r>
      <w:r w:rsidR="00446213">
        <w:rPr>
          <w:rFonts w:ascii="Arial" w:hAnsi="Arial" w:cs="Arial"/>
          <w:color w:val="7B7B7B" w:themeColor="accent3" w:themeShade="BF"/>
          <w:sz w:val="22"/>
          <w:szCs w:val="22"/>
          <w:lang w:val="en-GB"/>
        </w:rPr>
        <w:t xml:space="preserve"> In 2012 European Commission reviewed the Regulation. EIR was considered successful in its operating cross-border insolvency proceedings in the European Union. However, in its long years of application it was felt that the Regulation was not able to suffice the present EU needs and priorities in insolvency law. </w:t>
      </w:r>
      <w:r w:rsidR="000127A1">
        <w:rPr>
          <w:rFonts w:ascii="Arial" w:hAnsi="Arial" w:cs="Arial"/>
          <w:color w:val="7B7B7B" w:themeColor="accent3" w:themeShade="BF"/>
          <w:sz w:val="22"/>
          <w:szCs w:val="22"/>
          <w:lang w:val="en-GB"/>
        </w:rPr>
        <w:t>The most critical were</w:t>
      </w:r>
      <w:r w:rsidR="00446213">
        <w:rPr>
          <w:rFonts w:ascii="Arial" w:hAnsi="Arial" w:cs="Arial"/>
          <w:color w:val="7B7B7B" w:themeColor="accent3" w:themeShade="BF"/>
          <w:sz w:val="22"/>
          <w:szCs w:val="22"/>
          <w:lang w:val="en-GB"/>
        </w:rPr>
        <w:t xml:space="preserve"> rescuing and reorganisation of the financially distressed firms</w:t>
      </w:r>
      <w:r w:rsidR="000127A1">
        <w:rPr>
          <w:rFonts w:ascii="Arial" w:hAnsi="Arial" w:cs="Arial"/>
          <w:color w:val="7B7B7B" w:themeColor="accent3" w:themeShade="BF"/>
          <w:sz w:val="22"/>
          <w:szCs w:val="22"/>
          <w:lang w:val="en-GB"/>
        </w:rPr>
        <w:t>, which</w:t>
      </w:r>
      <w:r w:rsidR="00446213">
        <w:rPr>
          <w:rFonts w:ascii="Arial" w:hAnsi="Arial" w:cs="Arial"/>
          <w:color w:val="7B7B7B" w:themeColor="accent3" w:themeShade="BF"/>
          <w:sz w:val="22"/>
          <w:szCs w:val="22"/>
          <w:lang w:val="en-GB"/>
        </w:rPr>
        <w:t xml:space="preserve"> were not dealt adequately </w:t>
      </w:r>
      <w:r w:rsidR="000127A1">
        <w:rPr>
          <w:rFonts w:ascii="Arial" w:hAnsi="Arial" w:cs="Arial"/>
          <w:color w:val="7B7B7B" w:themeColor="accent3" w:themeShade="BF"/>
          <w:sz w:val="22"/>
          <w:szCs w:val="22"/>
          <w:lang w:val="en-GB"/>
        </w:rPr>
        <w:t xml:space="preserve">with </w:t>
      </w:r>
      <w:r w:rsidR="00446213">
        <w:rPr>
          <w:rFonts w:ascii="Arial" w:hAnsi="Arial" w:cs="Arial"/>
          <w:color w:val="7B7B7B" w:themeColor="accent3" w:themeShade="BF"/>
          <w:sz w:val="22"/>
          <w:szCs w:val="22"/>
          <w:lang w:val="en-GB"/>
        </w:rPr>
        <w:t>in the EIR 2000.</w:t>
      </w:r>
    </w:p>
    <w:p w14:paraId="42638DE6" w14:textId="77777777" w:rsidR="004A769A" w:rsidRDefault="004A769A" w:rsidP="00B46394">
      <w:pPr>
        <w:jc w:val="both"/>
        <w:rPr>
          <w:rFonts w:ascii="Arial" w:hAnsi="Arial" w:cs="Arial"/>
          <w:color w:val="7B7B7B" w:themeColor="accent3" w:themeShade="BF"/>
          <w:sz w:val="22"/>
          <w:szCs w:val="22"/>
          <w:lang w:val="en-GB"/>
        </w:rPr>
      </w:pPr>
    </w:p>
    <w:p w14:paraId="4A637290" w14:textId="47E8A089" w:rsidR="00544127" w:rsidRDefault="001A6BD4" w:rsidP="00B463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EIR 2000 did not contain the provisions related to the pre-insolvency proceedings. Companies could not be restructured at a pre-insolvency stage</w:t>
      </w:r>
      <w:r w:rsidR="00B46394">
        <w:rPr>
          <w:rFonts w:ascii="Arial" w:hAnsi="Arial" w:cs="Arial"/>
          <w:color w:val="7B7B7B" w:themeColor="accent3" w:themeShade="BF"/>
          <w:sz w:val="22"/>
          <w:szCs w:val="22"/>
          <w:lang w:val="en-GB"/>
        </w:rPr>
        <w:t xml:space="preserve">. Under the Regulation, company could not be left with the existing management in place. EIR 2000 did not contain a definition of Centre of Main Interest (COMI) which raised difficulties in determining the jurisdiction for opening main insolvency proceedings. In </w:t>
      </w:r>
      <w:proofErr w:type="spellStart"/>
      <w:r w:rsidR="00B46394">
        <w:rPr>
          <w:rFonts w:ascii="Arial" w:hAnsi="Arial" w:cs="Arial"/>
          <w:color w:val="7B7B7B" w:themeColor="accent3" w:themeShade="BF"/>
          <w:sz w:val="22"/>
          <w:szCs w:val="22"/>
          <w:lang w:val="en-GB"/>
        </w:rPr>
        <w:t>Eurofood</w:t>
      </w:r>
      <w:proofErr w:type="spellEnd"/>
      <w:r w:rsidR="00B46394">
        <w:rPr>
          <w:rFonts w:ascii="Arial" w:hAnsi="Arial" w:cs="Arial"/>
          <w:color w:val="7B7B7B" w:themeColor="accent3" w:themeShade="BF"/>
          <w:sz w:val="22"/>
          <w:szCs w:val="22"/>
          <w:lang w:val="en-GB"/>
        </w:rPr>
        <w:t xml:space="preserve"> IFSC Ltd (Case C-341/04, ECLI:EU:C:2006:281), CJEU</w:t>
      </w:r>
      <w:r w:rsidR="0064772F">
        <w:rPr>
          <w:rFonts w:ascii="Arial" w:hAnsi="Arial" w:cs="Arial"/>
          <w:color w:val="7B7B7B" w:themeColor="accent3" w:themeShade="BF"/>
          <w:sz w:val="22"/>
          <w:szCs w:val="22"/>
          <w:lang w:val="en-GB"/>
        </w:rPr>
        <w:t xml:space="preserve"> (then ECJ)</w:t>
      </w:r>
      <w:r w:rsidR="00B46394">
        <w:rPr>
          <w:rFonts w:ascii="Arial" w:hAnsi="Arial" w:cs="Arial"/>
          <w:color w:val="7B7B7B" w:themeColor="accent3" w:themeShade="BF"/>
          <w:sz w:val="22"/>
          <w:szCs w:val="22"/>
          <w:lang w:val="en-GB"/>
        </w:rPr>
        <w:t xml:space="preserve"> while interpreting the Regulation held that there should be an autonomous meaning given to the COMI that should be both objective and ascertainable by the third parties. </w:t>
      </w:r>
      <w:r w:rsidR="00612C9A">
        <w:rPr>
          <w:rFonts w:ascii="Arial" w:hAnsi="Arial" w:cs="Arial"/>
          <w:color w:val="7B7B7B" w:themeColor="accent3" w:themeShade="BF"/>
          <w:sz w:val="22"/>
          <w:szCs w:val="22"/>
          <w:lang w:val="en-GB"/>
        </w:rPr>
        <w:t>Lack of clarity in the Regulation allowed for abusive forum shopping</w:t>
      </w:r>
      <w:r w:rsidR="0033180C">
        <w:rPr>
          <w:rFonts w:ascii="Arial" w:hAnsi="Arial" w:cs="Arial"/>
          <w:color w:val="7B7B7B" w:themeColor="accent3" w:themeShade="BF"/>
          <w:sz w:val="22"/>
          <w:szCs w:val="22"/>
          <w:lang w:val="en-GB"/>
        </w:rPr>
        <w:t xml:space="preserve"> and a lot of difficulties in applying the concept in practice.</w:t>
      </w:r>
    </w:p>
    <w:p w14:paraId="387306B0" w14:textId="77777777" w:rsidR="004A769A" w:rsidRDefault="004A769A" w:rsidP="00B46394">
      <w:pPr>
        <w:jc w:val="both"/>
        <w:rPr>
          <w:rFonts w:ascii="Arial" w:hAnsi="Arial" w:cs="Arial"/>
          <w:color w:val="7B7B7B" w:themeColor="accent3" w:themeShade="BF"/>
          <w:sz w:val="22"/>
          <w:szCs w:val="22"/>
          <w:lang w:val="en-GB"/>
        </w:rPr>
      </w:pPr>
    </w:p>
    <w:p w14:paraId="3B3E4B7F" w14:textId="37FB22CE" w:rsidR="0033180C" w:rsidRDefault="00AA7445" w:rsidP="00B463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provisions to check the opening of secondary insolvency proceedings hampered the efficient administration of the debtor’s estate and made the sale of the debtor as going concern more difficult. EIR 2000 required secondary proceedings to be winding up proceedings that acted as an obstacle to successful restructuring of a debtor.</w:t>
      </w:r>
      <w:r w:rsidR="00176DA3">
        <w:rPr>
          <w:rFonts w:ascii="Arial" w:hAnsi="Arial" w:cs="Arial"/>
          <w:color w:val="7B7B7B" w:themeColor="accent3" w:themeShade="BF"/>
          <w:sz w:val="22"/>
          <w:szCs w:val="22"/>
          <w:lang w:val="en-GB"/>
        </w:rPr>
        <w:t xml:space="preserve"> In Collins &amp; Aikman Europe SA and other companies [2006] EWHC 1343 (Ch) </w:t>
      </w:r>
      <w:r w:rsidR="006D0CC0">
        <w:rPr>
          <w:rFonts w:ascii="Arial" w:hAnsi="Arial" w:cs="Arial"/>
          <w:color w:val="7B7B7B" w:themeColor="accent3" w:themeShade="BF"/>
          <w:sz w:val="22"/>
          <w:szCs w:val="22"/>
          <w:lang w:val="en-GB"/>
        </w:rPr>
        <w:t>the group operated through 24 legal entities spread over 10 jurisdictions. In absence of any framework</w:t>
      </w:r>
      <w:r w:rsidR="00F37A65">
        <w:rPr>
          <w:rFonts w:ascii="Arial" w:hAnsi="Arial" w:cs="Arial"/>
          <w:color w:val="7B7B7B" w:themeColor="accent3" w:themeShade="BF"/>
          <w:sz w:val="22"/>
          <w:szCs w:val="22"/>
          <w:lang w:val="en-GB"/>
        </w:rPr>
        <w:t xml:space="preserve"> and</w:t>
      </w:r>
      <w:r w:rsidR="006D0CC0">
        <w:rPr>
          <w:rFonts w:ascii="Arial" w:hAnsi="Arial" w:cs="Arial"/>
          <w:color w:val="7B7B7B" w:themeColor="accent3" w:themeShade="BF"/>
          <w:sz w:val="22"/>
          <w:szCs w:val="22"/>
          <w:lang w:val="en-GB"/>
        </w:rPr>
        <w:t xml:space="preserve"> to avoid secondary proceedings oral assurances were given by joint administrators to local creditors to take care of their interests. </w:t>
      </w:r>
    </w:p>
    <w:p w14:paraId="0108C134" w14:textId="77777777" w:rsidR="004A769A" w:rsidRDefault="004A769A" w:rsidP="00B46394">
      <w:pPr>
        <w:jc w:val="both"/>
        <w:rPr>
          <w:rFonts w:ascii="Arial" w:hAnsi="Arial" w:cs="Arial"/>
          <w:color w:val="7B7B7B" w:themeColor="accent3" w:themeShade="BF"/>
          <w:sz w:val="22"/>
          <w:szCs w:val="22"/>
          <w:lang w:val="en-GB"/>
        </w:rPr>
      </w:pPr>
    </w:p>
    <w:p w14:paraId="36A176D6" w14:textId="2FD45D37" w:rsidR="00F37A65" w:rsidRDefault="008235DF" w:rsidP="00B463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was a need of stronger rules for cooperation amongst and between insolvency practitioners and courts.</w:t>
      </w:r>
      <w:r w:rsidR="00BC04A5">
        <w:rPr>
          <w:rFonts w:ascii="Arial" w:hAnsi="Arial" w:cs="Arial"/>
          <w:color w:val="7B7B7B" w:themeColor="accent3" w:themeShade="BF"/>
          <w:sz w:val="22"/>
          <w:szCs w:val="22"/>
          <w:lang w:val="en-GB"/>
        </w:rPr>
        <w:t xml:space="preserve"> There was no mandatory publication or registration of the decisions in the Member States where a proceeding had opened nor in the Member States where there is an establishment. For good functioning of cross-border insolvency proceedings proper cooperation and communication is required between the stakeholders.</w:t>
      </w:r>
    </w:p>
    <w:p w14:paraId="03033ACD" w14:textId="7611DAEB" w:rsidR="00F113C2" w:rsidRDefault="00F113C2" w:rsidP="00B463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Regulation also did not contain specific rules dealing with the insolvency of multinational group enterprises. </w:t>
      </w:r>
      <w:r w:rsidR="003F562F">
        <w:rPr>
          <w:rFonts w:ascii="Arial" w:hAnsi="Arial" w:cs="Arial"/>
          <w:color w:val="7B7B7B" w:themeColor="accent3" w:themeShade="BF"/>
          <w:sz w:val="22"/>
          <w:szCs w:val="22"/>
          <w:lang w:val="en-GB"/>
        </w:rPr>
        <w:t>It diminished the prospects of successful restructuring of the group as a whole.</w:t>
      </w:r>
    </w:p>
    <w:p w14:paraId="26085EEF" w14:textId="2A2ED084" w:rsidR="003227C5" w:rsidRDefault="003227C5" w:rsidP="00B46394">
      <w:pPr>
        <w:jc w:val="both"/>
        <w:rPr>
          <w:rFonts w:ascii="Arial" w:hAnsi="Arial" w:cs="Arial"/>
          <w:color w:val="7B7B7B" w:themeColor="accent3" w:themeShade="BF"/>
          <w:sz w:val="22"/>
          <w:szCs w:val="22"/>
          <w:lang w:val="en-GB"/>
        </w:rPr>
      </w:pPr>
    </w:p>
    <w:p w14:paraId="61021BB0" w14:textId="098FBB57" w:rsidR="003227C5" w:rsidRDefault="003227C5" w:rsidP="00B4639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Considering the above shortcomings, the European Commission recommended for the adoption of the new regulation which should encompass scope for rescue and restructuring, more certainty in predicting COMI, provisions to check on secondary proceedings, stronger rules for cooperation, improvement of creditor information and rules for group insolvency.</w:t>
      </w:r>
    </w:p>
    <w:p w14:paraId="63B94DA8" w14:textId="56E5161F" w:rsidR="00B46394" w:rsidRDefault="00B46394" w:rsidP="00B46394">
      <w:pPr>
        <w:jc w:val="both"/>
        <w:rPr>
          <w:rFonts w:ascii="Arial" w:hAnsi="Arial" w:cs="Arial"/>
          <w:color w:val="7B7B7B" w:themeColor="accent3" w:themeShade="BF"/>
          <w:sz w:val="22"/>
          <w:szCs w:val="22"/>
          <w:lang w:val="en-GB"/>
        </w:rPr>
      </w:pPr>
    </w:p>
    <w:p w14:paraId="2D8E9946" w14:textId="77777777" w:rsidR="00B46394" w:rsidRPr="00B46394" w:rsidRDefault="00B46394" w:rsidP="00B46394">
      <w:pPr>
        <w:jc w:val="both"/>
        <w:rPr>
          <w:rFonts w:ascii="Arial" w:hAnsi="Arial" w:cs="Arial"/>
          <w:color w:val="7B7B7B" w:themeColor="accent3" w:themeShade="BF"/>
          <w:sz w:val="22"/>
          <w:szCs w:val="22"/>
          <w:lang w:val="en-GB"/>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7940D274" w14:textId="1C4A657A" w:rsidR="00DF75F8" w:rsidRDefault="00486F7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 EIR 2000 left it to the discretion of the liquidator to publish information on the opening of the insolvency proceedings in other Member States (as per Article 21 EIR 2000), EIR Recast made it compulsory for Insolvency Practitioners or Debtor in possession to request publication of the notice on the opening of the insolvency proceedings at the place of debtor’s establishments. </w:t>
      </w:r>
      <w:r w:rsidR="007B4DDB">
        <w:rPr>
          <w:rFonts w:ascii="Arial" w:hAnsi="Arial" w:cs="Arial"/>
          <w:color w:val="7B7B7B" w:themeColor="accent3" w:themeShade="BF"/>
          <w:sz w:val="22"/>
          <w:szCs w:val="22"/>
          <w:lang w:val="en-GB"/>
        </w:rPr>
        <w:t xml:space="preserve">IP or the debtor in possession may request publication in other Member </w:t>
      </w:r>
      <w:proofErr w:type="spellStart"/>
      <w:r w:rsidR="007B4DDB">
        <w:rPr>
          <w:rFonts w:ascii="Arial" w:hAnsi="Arial" w:cs="Arial"/>
          <w:color w:val="7B7B7B" w:themeColor="accent3" w:themeShade="BF"/>
          <w:sz w:val="22"/>
          <w:szCs w:val="22"/>
          <w:lang w:val="en-GB"/>
        </w:rPr>
        <w:t>Sates</w:t>
      </w:r>
      <w:proofErr w:type="spellEnd"/>
      <w:r w:rsidR="007B4DDB">
        <w:rPr>
          <w:rFonts w:ascii="Arial" w:hAnsi="Arial" w:cs="Arial"/>
          <w:color w:val="7B7B7B" w:themeColor="accent3" w:themeShade="BF"/>
          <w:sz w:val="22"/>
          <w:szCs w:val="22"/>
          <w:lang w:val="en-GB"/>
        </w:rPr>
        <w:t xml:space="preserve"> also, if they consider it necessary for the proper administration of the estate. Article 54(3) EIR Recast provides that the information of opening of insolvency proceedings must be published in the European e-Justice Portal. Apart from these rules, individual notices are also be sent to the known foreign creditors by insolvency practitioner. </w:t>
      </w:r>
      <w:r w:rsidR="001B1AE4">
        <w:rPr>
          <w:rFonts w:ascii="Arial" w:hAnsi="Arial" w:cs="Arial"/>
          <w:color w:val="7B7B7B" w:themeColor="accent3" w:themeShade="BF"/>
          <w:sz w:val="22"/>
          <w:szCs w:val="22"/>
          <w:lang w:val="en-GB"/>
        </w:rPr>
        <w:t xml:space="preserve">To improve the publicity of insolvency proceedings, Article 25 EIR Recast prescribes the creation of a decentralised system for the interconnection of national insolvency registers. It is also composed of European e-Justice Portal which is a central public access point. </w:t>
      </w:r>
      <w:r w:rsidR="007B4DDB">
        <w:rPr>
          <w:rFonts w:ascii="Arial" w:hAnsi="Arial" w:cs="Arial"/>
          <w:color w:val="7B7B7B" w:themeColor="accent3" w:themeShade="BF"/>
          <w:sz w:val="22"/>
          <w:szCs w:val="22"/>
          <w:lang w:val="en-GB"/>
        </w:rPr>
        <w:t xml:space="preserve">All these improvements </w:t>
      </w:r>
      <w:r w:rsidR="00A552A9">
        <w:rPr>
          <w:rFonts w:ascii="Arial" w:hAnsi="Arial" w:cs="Arial"/>
          <w:color w:val="7B7B7B" w:themeColor="accent3" w:themeShade="BF"/>
          <w:sz w:val="22"/>
          <w:szCs w:val="22"/>
          <w:lang w:val="en-GB"/>
        </w:rPr>
        <w:t>in</w:t>
      </w:r>
      <w:r w:rsidR="007B4DDB">
        <w:rPr>
          <w:rFonts w:ascii="Arial" w:hAnsi="Arial" w:cs="Arial"/>
          <w:color w:val="7B7B7B" w:themeColor="accent3" w:themeShade="BF"/>
          <w:sz w:val="22"/>
          <w:szCs w:val="22"/>
          <w:lang w:val="en-GB"/>
        </w:rPr>
        <w:t xml:space="preserve"> publicising the information </w:t>
      </w:r>
      <w:r w:rsidR="00A552A9">
        <w:rPr>
          <w:rFonts w:ascii="Arial" w:hAnsi="Arial" w:cs="Arial"/>
          <w:color w:val="7B7B7B" w:themeColor="accent3" w:themeShade="BF"/>
          <w:sz w:val="22"/>
          <w:szCs w:val="22"/>
          <w:lang w:val="en-GB"/>
        </w:rPr>
        <w:t>are necessary for</w:t>
      </w:r>
      <w:r w:rsidR="007B4DDB">
        <w:rPr>
          <w:rFonts w:ascii="Arial" w:hAnsi="Arial" w:cs="Arial"/>
          <w:color w:val="7B7B7B" w:themeColor="accent3" w:themeShade="BF"/>
          <w:sz w:val="22"/>
          <w:szCs w:val="22"/>
          <w:lang w:val="en-GB"/>
        </w:rPr>
        <w:t xml:space="preserve"> efficient administration of the insolvency estate.</w:t>
      </w:r>
    </w:p>
    <w:p w14:paraId="6D23BFFA" w14:textId="0F88BEAD" w:rsidR="00BE339F" w:rsidRDefault="00BE339F" w:rsidP="002A37BB">
      <w:pPr>
        <w:jc w:val="both"/>
        <w:rPr>
          <w:rFonts w:ascii="Arial" w:hAnsi="Arial" w:cs="Arial"/>
          <w:color w:val="7B7B7B" w:themeColor="accent3" w:themeShade="BF"/>
          <w:sz w:val="22"/>
          <w:szCs w:val="22"/>
          <w:lang w:val="en-GB"/>
        </w:rPr>
      </w:pPr>
    </w:p>
    <w:p w14:paraId="0C07B935" w14:textId="0A313C6A" w:rsidR="00BE339F" w:rsidRDefault="00BE339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EIR 2000 included only traditional liquidation-oriented procedures, mentioning only proceedings entailing partial or total divestment of debtor and appointment of a liquidator. EIR Recast adopted the new trend of promoting effective restructuring tools. For effective restructuring, EIR Recast provided for a stay on individual creditors’ actions </w:t>
      </w:r>
      <w:r w:rsidR="0077749C">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not only </w:t>
      </w:r>
      <w:r w:rsidR="0077749C">
        <w:rPr>
          <w:rFonts w:ascii="Arial" w:hAnsi="Arial" w:cs="Arial"/>
          <w:color w:val="7B7B7B" w:themeColor="accent3" w:themeShade="BF"/>
          <w:sz w:val="22"/>
          <w:szCs w:val="22"/>
          <w:lang w:val="en-GB"/>
        </w:rPr>
        <w:t xml:space="preserve">genera insolvency proceedings but also </w:t>
      </w:r>
      <w:r>
        <w:rPr>
          <w:rFonts w:ascii="Arial" w:hAnsi="Arial" w:cs="Arial"/>
          <w:color w:val="7B7B7B" w:themeColor="accent3" w:themeShade="BF"/>
          <w:sz w:val="22"/>
          <w:szCs w:val="22"/>
          <w:lang w:val="en-GB"/>
        </w:rPr>
        <w:t xml:space="preserve">extended to </w:t>
      </w:r>
      <w:r w:rsidR="0077749C">
        <w:rPr>
          <w:rFonts w:ascii="Arial" w:hAnsi="Arial" w:cs="Arial"/>
          <w:color w:val="7B7B7B" w:themeColor="accent3" w:themeShade="BF"/>
          <w:sz w:val="22"/>
          <w:szCs w:val="22"/>
          <w:lang w:val="en-GB"/>
        </w:rPr>
        <w:t>proceedings attempting the restructuring of the debtor likely to be insolvent, which leave the debtor fully or partially in control of its assets and affairs.</w:t>
      </w:r>
      <w:r w:rsidR="002C279F">
        <w:rPr>
          <w:rFonts w:ascii="Arial" w:hAnsi="Arial" w:cs="Arial"/>
          <w:color w:val="7B7B7B" w:themeColor="accent3" w:themeShade="BF"/>
          <w:sz w:val="22"/>
          <w:szCs w:val="22"/>
          <w:lang w:val="en-GB"/>
        </w:rPr>
        <w:t xml:space="preserve"> The mechanisms promoting restructuring are the most important innovations in EIR Recast. Apart from the stay on creditors’ actions, the Regulation also provided for the stay on secondary insolvency proceedings (Article 38(3)) and the right to insolvency practitioner to give an undertaking to the Court to </w:t>
      </w:r>
      <w:r w:rsidR="009301AE">
        <w:rPr>
          <w:rFonts w:ascii="Arial" w:hAnsi="Arial" w:cs="Arial"/>
          <w:color w:val="7B7B7B" w:themeColor="accent3" w:themeShade="BF"/>
          <w:sz w:val="22"/>
          <w:szCs w:val="22"/>
          <w:lang w:val="en-GB"/>
        </w:rPr>
        <w:t xml:space="preserve">not open secondary insolvency proceedings (Article 38(2)). </w:t>
      </w:r>
    </w:p>
    <w:p w14:paraId="2D5658E1" w14:textId="23BF7F7C" w:rsidR="009E7230" w:rsidRDefault="00F95B6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instruments allow the centralised control over the debtor</w:t>
      </w:r>
      <w:r w:rsidR="0060569F">
        <w:rPr>
          <w:rFonts w:ascii="Arial" w:hAnsi="Arial" w:cs="Arial"/>
          <w:color w:val="7B7B7B" w:themeColor="accent3" w:themeShade="BF"/>
          <w:sz w:val="22"/>
          <w:szCs w:val="22"/>
          <w:lang w:val="en-GB"/>
        </w:rPr>
        <w:t>’s estate</w:t>
      </w:r>
      <w:r>
        <w:rPr>
          <w:rFonts w:ascii="Arial" w:hAnsi="Arial" w:cs="Arial"/>
          <w:color w:val="7B7B7B" w:themeColor="accent3" w:themeShade="BF"/>
          <w:sz w:val="22"/>
          <w:szCs w:val="22"/>
          <w:lang w:val="en-GB"/>
        </w:rPr>
        <w:t xml:space="preserve"> and enables the development of cohesive restructuring plan.</w:t>
      </w:r>
    </w:p>
    <w:p w14:paraId="242875B1" w14:textId="3F37DC0C" w:rsidR="001C4658" w:rsidRDefault="001C4658" w:rsidP="002A37BB">
      <w:pPr>
        <w:jc w:val="both"/>
        <w:rPr>
          <w:rFonts w:ascii="Arial" w:hAnsi="Arial" w:cs="Arial"/>
          <w:color w:val="7B7B7B" w:themeColor="accent3" w:themeShade="BF"/>
          <w:sz w:val="22"/>
          <w:szCs w:val="22"/>
          <w:lang w:val="en-GB"/>
        </w:rPr>
      </w:pPr>
    </w:p>
    <w:p w14:paraId="5D017C8B" w14:textId="14573CB6" w:rsidR="001C4658" w:rsidRDefault="001C465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innovation </w:t>
      </w:r>
      <w:r w:rsidR="0060569F">
        <w:rPr>
          <w:rFonts w:ascii="Arial" w:hAnsi="Arial" w:cs="Arial"/>
          <w:color w:val="7B7B7B" w:themeColor="accent3" w:themeShade="BF"/>
          <w:sz w:val="22"/>
          <w:szCs w:val="22"/>
          <w:lang w:val="en-GB"/>
        </w:rPr>
        <w:t xml:space="preserve">which stimulates an efficient administration of the insolvency proceedings by preventing forum shopping and fraudulent manipulation of the insolvency forum is the introduction of suspect period in the EIR Recast. EIR 2000 did not contain any definition of COMI vis-à-vis EIR Recast not only provided stricter definition rather it offered several presumptions indicating its location (Article 3(1)). </w:t>
      </w:r>
      <w:r w:rsidR="00DD1744">
        <w:rPr>
          <w:rFonts w:ascii="Arial" w:hAnsi="Arial" w:cs="Arial"/>
          <w:color w:val="7B7B7B" w:themeColor="accent3" w:themeShade="BF"/>
          <w:sz w:val="22"/>
          <w:szCs w:val="22"/>
          <w:lang w:val="en-GB"/>
        </w:rPr>
        <w:t>T</w:t>
      </w:r>
      <w:r w:rsidR="0060569F">
        <w:rPr>
          <w:rFonts w:ascii="Arial" w:hAnsi="Arial" w:cs="Arial"/>
          <w:color w:val="7B7B7B" w:themeColor="accent3" w:themeShade="BF"/>
          <w:sz w:val="22"/>
          <w:szCs w:val="22"/>
          <w:lang w:val="en-GB"/>
        </w:rPr>
        <w:t>he place of registered office is presumed to be the place of COMI</w:t>
      </w:r>
      <w:r w:rsidR="00F1235D">
        <w:rPr>
          <w:rFonts w:ascii="Arial" w:hAnsi="Arial" w:cs="Arial"/>
          <w:color w:val="7B7B7B" w:themeColor="accent3" w:themeShade="BF"/>
          <w:sz w:val="22"/>
          <w:szCs w:val="22"/>
          <w:lang w:val="en-GB"/>
        </w:rPr>
        <w:t xml:space="preserve"> (though rebuttable)</w:t>
      </w:r>
      <w:r w:rsidR="00DD1744">
        <w:rPr>
          <w:rFonts w:ascii="Arial" w:hAnsi="Arial" w:cs="Arial"/>
          <w:color w:val="7B7B7B" w:themeColor="accent3" w:themeShade="BF"/>
          <w:sz w:val="22"/>
          <w:szCs w:val="22"/>
          <w:lang w:val="en-GB"/>
        </w:rPr>
        <w:t>. To avoid manipulations a condition is added</w:t>
      </w:r>
      <w:r w:rsidR="00A00F20">
        <w:rPr>
          <w:rFonts w:ascii="Arial" w:hAnsi="Arial" w:cs="Arial"/>
          <w:color w:val="7B7B7B" w:themeColor="accent3" w:themeShade="BF"/>
          <w:sz w:val="22"/>
          <w:szCs w:val="22"/>
          <w:lang w:val="en-GB"/>
        </w:rPr>
        <w:t>,</w:t>
      </w:r>
      <w:r w:rsidR="00DD1744">
        <w:rPr>
          <w:rFonts w:ascii="Arial" w:hAnsi="Arial" w:cs="Arial"/>
          <w:color w:val="7B7B7B" w:themeColor="accent3" w:themeShade="BF"/>
          <w:sz w:val="22"/>
          <w:szCs w:val="22"/>
          <w:lang w:val="en-GB"/>
        </w:rPr>
        <w:t xml:space="preserve"> according to which</w:t>
      </w:r>
      <w:r w:rsidR="0060569F">
        <w:rPr>
          <w:rFonts w:ascii="Arial" w:hAnsi="Arial" w:cs="Arial"/>
          <w:color w:val="7B7B7B" w:themeColor="accent3" w:themeShade="BF"/>
          <w:sz w:val="22"/>
          <w:szCs w:val="22"/>
          <w:lang w:val="en-GB"/>
        </w:rPr>
        <w:t xml:space="preserve"> </w:t>
      </w:r>
      <w:r w:rsidR="00DD1744">
        <w:rPr>
          <w:rFonts w:ascii="Arial" w:hAnsi="Arial" w:cs="Arial"/>
          <w:color w:val="7B7B7B" w:themeColor="accent3" w:themeShade="BF"/>
          <w:sz w:val="22"/>
          <w:szCs w:val="22"/>
          <w:lang w:val="en-GB"/>
        </w:rPr>
        <w:t xml:space="preserve">the place of registered office is presumed to be COMI </w:t>
      </w:r>
      <w:r w:rsidR="0060569F">
        <w:rPr>
          <w:rFonts w:ascii="Arial" w:hAnsi="Arial" w:cs="Arial"/>
          <w:color w:val="7B7B7B" w:themeColor="accent3" w:themeShade="BF"/>
          <w:sz w:val="22"/>
          <w:szCs w:val="22"/>
          <w:lang w:val="en-GB"/>
        </w:rPr>
        <w:t>if the registered office has not been moved to another member state within 3-month period prior to the request of for the opening of insolvency proceedings.</w:t>
      </w:r>
      <w:r w:rsidR="0092443C">
        <w:rPr>
          <w:rFonts w:ascii="Arial" w:hAnsi="Arial" w:cs="Arial"/>
          <w:color w:val="7B7B7B" w:themeColor="accent3" w:themeShade="BF"/>
          <w:sz w:val="22"/>
          <w:szCs w:val="22"/>
          <w:lang w:val="en-GB"/>
        </w:rPr>
        <w:t xml:space="preserve"> Debtor may want to move the place of COMI, seeking to obtain a more favourable legal position in insolvency </w:t>
      </w:r>
      <w:r w:rsidR="003E54E1">
        <w:rPr>
          <w:rFonts w:ascii="Arial" w:hAnsi="Arial" w:cs="Arial"/>
          <w:color w:val="7B7B7B" w:themeColor="accent3" w:themeShade="BF"/>
          <w:sz w:val="22"/>
          <w:szCs w:val="22"/>
          <w:lang w:val="en-GB"/>
        </w:rPr>
        <w:t xml:space="preserve">which could be </w:t>
      </w:r>
      <w:r w:rsidR="0092443C">
        <w:rPr>
          <w:rFonts w:ascii="Arial" w:hAnsi="Arial" w:cs="Arial"/>
          <w:color w:val="7B7B7B" w:themeColor="accent3" w:themeShade="BF"/>
          <w:sz w:val="22"/>
          <w:szCs w:val="22"/>
          <w:lang w:val="en-GB"/>
        </w:rPr>
        <w:t>to the detriment of the creditors.</w:t>
      </w:r>
    </w:p>
    <w:p w14:paraId="5FF896BE" w14:textId="77777777" w:rsidR="009E7230" w:rsidRPr="008500BD" w:rsidRDefault="009E7230" w:rsidP="002A37BB">
      <w:pPr>
        <w:jc w:val="both"/>
        <w:rPr>
          <w:rFonts w:ascii="Arial" w:hAnsi="Arial" w:cs="Arial"/>
          <w:sz w:val="22"/>
          <w:szCs w:val="22"/>
          <w:lang w:val="en-GB"/>
        </w:rPr>
      </w:pPr>
    </w:p>
    <w:p w14:paraId="3DAA6780" w14:textId="657CEFE1" w:rsidR="00962045" w:rsidRPr="008500BD"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4AE7EA78" w14:textId="10382E53" w:rsidR="007D7C92" w:rsidRDefault="00A71BE2" w:rsidP="00A71B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permits the opening of several insolvency proceedings against the same debtor. Creditors are free to lodge their claims in the main insolvency proceeding and as well as in any secondary insolvency proceedings (Article 45). The manner and ranking of distribution are determined in main insolvency proceeding according to </w:t>
      </w:r>
      <w:r>
        <w:rPr>
          <w:rFonts w:ascii="Arial" w:hAnsi="Arial" w:cs="Arial"/>
          <w:i/>
          <w:iCs/>
          <w:color w:val="7B7B7B" w:themeColor="accent3" w:themeShade="BF"/>
          <w:sz w:val="22"/>
          <w:szCs w:val="22"/>
          <w:lang w:val="en-GB"/>
        </w:rPr>
        <w:t xml:space="preserve">lex concursus </w:t>
      </w:r>
      <w:r>
        <w:rPr>
          <w:rFonts w:ascii="Arial" w:hAnsi="Arial" w:cs="Arial"/>
          <w:color w:val="7B7B7B" w:themeColor="accent3" w:themeShade="BF"/>
          <w:sz w:val="22"/>
          <w:szCs w:val="22"/>
          <w:lang w:val="en-GB"/>
        </w:rPr>
        <w:t xml:space="preserve">and in secondary insolvency proceedings according to </w:t>
      </w:r>
      <w:r>
        <w:rPr>
          <w:rFonts w:ascii="Arial" w:hAnsi="Arial" w:cs="Arial"/>
          <w:i/>
          <w:iCs/>
          <w:color w:val="7B7B7B" w:themeColor="accent3" w:themeShade="BF"/>
          <w:sz w:val="22"/>
          <w:szCs w:val="22"/>
          <w:lang w:val="en-GB"/>
        </w:rPr>
        <w:t xml:space="preserve">lex concursus </w:t>
      </w:r>
      <w:proofErr w:type="spellStart"/>
      <w:r>
        <w:rPr>
          <w:rFonts w:ascii="Arial" w:hAnsi="Arial" w:cs="Arial"/>
          <w:i/>
          <w:iCs/>
          <w:color w:val="7B7B7B" w:themeColor="accent3" w:themeShade="BF"/>
          <w:sz w:val="22"/>
          <w:szCs w:val="22"/>
          <w:lang w:val="en-GB"/>
        </w:rPr>
        <w:t>secundarii</w:t>
      </w:r>
      <w:proofErr w:type="spellEnd"/>
      <w:r>
        <w:rPr>
          <w:rFonts w:ascii="Arial" w:hAnsi="Arial" w:cs="Arial"/>
          <w:color w:val="7B7B7B" w:themeColor="accent3" w:themeShade="BF"/>
          <w:sz w:val="22"/>
          <w:szCs w:val="22"/>
          <w:lang w:val="en-GB"/>
        </w:rPr>
        <w:t xml:space="preserve">. Article 23(2) aims to rebalance the creditors’ returns </w:t>
      </w:r>
      <w:r w:rsidR="00421C91">
        <w:rPr>
          <w:rFonts w:ascii="Arial" w:hAnsi="Arial" w:cs="Arial"/>
          <w:color w:val="7B7B7B" w:themeColor="accent3" w:themeShade="BF"/>
          <w:sz w:val="22"/>
          <w:szCs w:val="22"/>
          <w:lang w:val="en-GB"/>
        </w:rPr>
        <w:t xml:space="preserve">in a situation where any creditor receives a part of distribution in multiple insolvency proceedings. </w:t>
      </w:r>
      <w:r w:rsidR="0033620A">
        <w:rPr>
          <w:rFonts w:ascii="Arial" w:hAnsi="Arial" w:cs="Arial"/>
          <w:color w:val="7B7B7B" w:themeColor="accent3" w:themeShade="BF"/>
          <w:sz w:val="22"/>
          <w:szCs w:val="22"/>
          <w:lang w:val="en-GB"/>
        </w:rPr>
        <w:t xml:space="preserve">However, in a case where the Member </w:t>
      </w:r>
      <w:proofErr w:type="spellStart"/>
      <w:r w:rsidR="0033620A">
        <w:rPr>
          <w:rFonts w:ascii="Arial" w:hAnsi="Arial" w:cs="Arial"/>
          <w:color w:val="7B7B7B" w:themeColor="accent3" w:themeShade="BF"/>
          <w:sz w:val="22"/>
          <w:szCs w:val="22"/>
          <w:lang w:val="en-GB"/>
        </w:rPr>
        <w:t>Sates</w:t>
      </w:r>
      <w:proofErr w:type="spellEnd"/>
      <w:r w:rsidR="0033620A">
        <w:rPr>
          <w:rFonts w:ascii="Arial" w:hAnsi="Arial" w:cs="Arial"/>
          <w:color w:val="7B7B7B" w:themeColor="accent3" w:themeShade="BF"/>
          <w:sz w:val="22"/>
          <w:szCs w:val="22"/>
          <w:lang w:val="en-GB"/>
        </w:rPr>
        <w:t xml:space="preserve"> have differing rankings of creditors complications may arise.</w:t>
      </w:r>
      <w:r w:rsidR="00147EE3">
        <w:rPr>
          <w:rFonts w:ascii="Arial" w:hAnsi="Arial" w:cs="Arial"/>
          <w:color w:val="7B7B7B" w:themeColor="accent3" w:themeShade="BF"/>
          <w:sz w:val="22"/>
          <w:szCs w:val="22"/>
          <w:lang w:val="en-GB"/>
        </w:rPr>
        <w:t xml:space="preserve"> Some creditors can have greater satisfaction rate than others.</w:t>
      </w:r>
      <w:r w:rsidR="0033620A">
        <w:rPr>
          <w:rFonts w:ascii="Arial" w:hAnsi="Arial" w:cs="Arial"/>
          <w:color w:val="7B7B7B" w:themeColor="accent3" w:themeShade="BF"/>
          <w:sz w:val="22"/>
          <w:szCs w:val="22"/>
          <w:lang w:val="en-GB"/>
        </w:rPr>
        <w:t xml:space="preserve"> Also, in a case where a creditor has satisfied partial claim </w:t>
      </w:r>
      <w:r w:rsidR="00CE7BE6">
        <w:rPr>
          <w:rFonts w:ascii="Arial" w:hAnsi="Arial" w:cs="Arial"/>
          <w:color w:val="7B7B7B" w:themeColor="accent3" w:themeShade="BF"/>
          <w:sz w:val="22"/>
          <w:szCs w:val="22"/>
          <w:lang w:val="en-GB"/>
        </w:rPr>
        <w:t xml:space="preserve">by virtue of right in rem or set-off, the Regulation does not provide for satisfaction of the remaining claim. Although it is difficult to achieve harmonisation in the first case, but it is possible in the second by providing in the Regulation. </w:t>
      </w:r>
      <w:r w:rsidR="00147EE3">
        <w:rPr>
          <w:rFonts w:ascii="Arial" w:hAnsi="Arial" w:cs="Arial"/>
          <w:color w:val="7B7B7B" w:themeColor="accent3" w:themeShade="BF"/>
          <w:sz w:val="22"/>
          <w:szCs w:val="22"/>
          <w:lang w:val="en-GB"/>
        </w:rPr>
        <w:t xml:space="preserve">Better outcomes could be achieved in the first case if all the creditors would be able to file their claim in all the insolvency proceedings of the same debtor. This </w:t>
      </w:r>
      <w:r w:rsidR="00F8121F">
        <w:rPr>
          <w:rFonts w:ascii="Arial" w:hAnsi="Arial" w:cs="Arial"/>
          <w:color w:val="7B7B7B" w:themeColor="accent3" w:themeShade="BF"/>
          <w:sz w:val="22"/>
          <w:szCs w:val="22"/>
          <w:lang w:val="en-GB"/>
        </w:rPr>
        <w:t>can be achieved through Insolvency Practitioner filing claims in the remaining proceedings.</w:t>
      </w:r>
    </w:p>
    <w:p w14:paraId="5655CFA9" w14:textId="2CFDF570" w:rsidR="00E35F91" w:rsidRDefault="00E35F91" w:rsidP="00A71BE2">
      <w:pPr>
        <w:jc w:val="both"/>
        <w:rPr>
          <w:rFonts w:ascii="Arial" w:hAnsi="Arial" w:cs="Arial"/>
          <w:color w:val="7B7B7B" w:themeColor="accent3" w:themeShade="BF"/>
          <w:sz w:val="22"/>
          <w:szCs w:val="22"/>
          <w:lang w:val="en-GB"/>
        </w:rPr>
      </w:pPr>
    </w:p>
    <w:p w14:paraId="25BD83AF" w14:textId="6AFC75CC" w:rsidR="00974545" w:rsidRPr="00A71BE2" w:rsidRDefault="00974545" w:rsidP="00A71BE2">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w:t>
      </w:r>
      <w:proofErr w:type="spellStart"/>
      <w:r>
        <w:rPr>
          <w:rFonts w:ascii="Arial" w:hAnsi="Arial" w:cs="Arial"/>
          <w:color w:val="7B7B7B" w:themeColor="accent3" w:themeShade="BF"/>
          <w:sz w:val="22"/>
          <w:szCs w:val="22"/>
          <w:lang w:val="en-GB"/>
        </w:rPr>
        <w:t>Eurofood</w:t>
      </w:r>
      <w:proofErr w:type="spellEnd"/>
      <w:r>
        <w:rPr>
          <w:rFonts w:ascii="Arial" w:hAnsi="Arial" w:cs="Arial"/>
          <w:color w:val="7B7B7B" w:themeColor="accent3" w:themeShade="BF"/>
          <w:sz w:val="22"/>
          <w:szCs w:val="22"/>
          <w:lang w:val="en-GB"/>
        </w:rPr>
        <w:t xml:space="preserve"> IFSC Ltd (</w:t>
      </w:r>
      <w:r w:rsidR="00932C86">
        <w:rPr>
          <w:rFonts w:ascii="Arial" w:hAnsi="Arial" w:cs="Arial"/>
          <w:color w:val="7B7B7B" w:themeColor="accent3" w:themeShade="BF"/>
          <w:sz w:val="22"/>
          <w:szCs w:val="22"/>
          <w:lang w:val="en-GB"/>
        </w:rPr>
        <w:t xml:space="preserve">Case C-341/04, ECLI:EU:C:2006:281), Court relied on entity-by-entity approach, while adjudicating on the place of COMI. </w:t>
      </w:r>
      <w:proofErr w:type="spellStart"/>
      <w:r w:rsidR="00932C86">
        <w:rPr>
          <w:rFonts w:ascii="Arial" w:hAnsi="Arial" w:cs="Arial"/>
          <w:color w:val="7B7B7B" w:themeColor="accent3" w:themeShade="BF"/>
          <w:sz w:val="22"/>
          <w:szCs w:val="22"/>
          <w:lang w:val="en-GB"/>
        </w:rPr>
        <w:t>Eurofood</w:t>
      </w:r>
      <w:proofErr w:type="spellEnd"/>
      <w:r w:rsidR="00932C86">
        <w:rPr>
          <w:rFonts w:ascii="Arial" w:hAnsi="Arial" w:cs="Arial"/>
          <w:color w:val="7B7B7B" w:themeColor="accent3" w:themeShade="BF"/>
          <w:sz w:val="22"/>
          <w:szCs w:val="22"/>
          <w:lang w:val="en-GB"/>
        </w:rPr>
        <w:t xml:space="preserve">, which was wholly owned subsidiary of Parmalat group, had its registered office in Ireland and Parmalat incorporated in Italy. Court looked </w:t>
      </w:r>
      <w:proofErr w:type="spellStart"/>
      <w:r w:rsidR="00932C86">
        <w:rPr>
          <w:rFonts w:ascii="Arial" w:hAnsi="Arial" w:cs="Arial"/>
          <w:color w:val="7B7B7B" w:themeColor="accent3" w:themeShade="BF"/>
          <w:sz w:val="22"/>
          <w:szCs w:val="22"/>
          <w:lang w:val="en-GB"/>
        </w:rPr>
        <w:t>though</w:t>
      </w:r>
      <w:proofErr w:type="spellEnd"/>
      <w:r w:rsidR="00932C86">
        <w:rPr>
          <w:rFonts w:ascii="Arial" w:hAnsi="Arial" w:cs="Arial"/>
          <w:color w:val="7B7B7B" w:themeColor="accent3" w:themeShade="BF"/>
          <w:sz w:val="22"/>
          <w:szCs w:val="22"/>
          <w:lang w:val="en-GB"/>
        </w:rPr>
        <w:t xml:space="preserve"> the narrow prism of single entity and overlooked the fact that the entity’s economic choices could be made by parent entity in another Member State. The same approach of the Court was adopted in EIR Recast. For a complex multinational enterprise, experiencing financing difficulties in multiple jurisdictions, the concept of “group COMI” can</w:t>
      </w:r>
      <w:r w:rsidR="006A14D5">
        <w:rPr>
          <w:rFonts w:ascii="Arial" w:hAnsi="Arial" w:cs="Arial"/>
          <w:color w:val="7B7B7B" w:themeColor="accent3" w:themeShade="BF"/>
          <w:sz w:val="22"/>
          <w:szCs w:val="22"/>
          <w:lang w:val="en-GB"/>
        </w:rPr>
        <w:t xml:space="preserve"> </w:t>
      </w:r>
      <w:r w:rsidR="00932C86">
        <w:rPr>
          <w:rFonts w:ascii="Arial" w:hAnsi="Arial" w:cs="Arial"/>
          <w:color w:val="7B7B7B" w:themeColor="accent3" w:themeShade="BF"/>
          <w:sz w:val="22"/>
          <w:szCs w:val="22"/>
          <w:lang w:val="en-GB"/>
        </w:rPr>
        <w:t xml:space="preserve">be </w:t>
      </w:r>
      <w:r w:rsidR="00932C86">
        <w:rPr>
          <w:rFonts w:ascii="Arial" w:hAnsi="Arial" w:cs="Arial"/>
          <w:color w:val="7B7B7B" w:themeColor="accent3" w:themeShade="BF"/>
          <w:sz w:val="22"/>
          <w:szCs w:val="22"/>
          <w:lang w:val="en-GB"/>
        </w:rPr>
        <w:lastRenderedPageBreak/>
        <w:t>of great use.</w:t>
      </w:r>
      <w:r w:rsidR="006A14D5">
        <w:rPr>
          <w:rFonts w:ascii="Arial" w:hAnsi="Arial" w:cs="Arial"/>
          <w:color w:val="7B7B7B" w:themeColor="accent3" w:themeShade="BF"/>
          <w:sz w:val="22"/>
          <w:szCs w:val="22"/>
          <w:lang w:val="en-GB"/>
        </w:rPr>
        <w:t xml:space="preserve"> Through a single COMI an enterprise can try to pursue a restructuring in a single point of entry.</w:t>
      </w:r>
      <w:r w:rsidR="00EC5220">
        <w:rPr>
          <w:rFonts w:ascii="Arial" w:hAnsi="Arial" w:cs="Arial"/>
          <w:color w:val="7B7B7B" w:themeColor="accent3" w:themeShade="BF"/>
          <w:sz w:val="22"/>
          <w:szCs w:val="22"/>
          <w:lang w:val="en-GB"/>
        </w:rPr>
        <w:t xml:space="preserve"> Moreover, pooling of assets and liabilities and procedural consolidation of insolvency proceedings can better promote restructuring of group of companies.</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0A9CBAFC"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335F5DA3" w14:textId="1EB35E99" w:rsidR="00AC4597" w:rsidRPr="00AC4597" w:rsidRDefault="002F75A3" w:rsidP="00AC4597">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AC4597" w:rsidRPr="00AC4597">
        <w:rPr>
          <w:rFonts w:ascii="Arial" w:hAnsi="Arial" w:cs="Arial"/>
          <w:color w:val="7B7B7B" w:themeColor="accent3" w:themeShade="BF"/>
          <w:sz w:val="22"/>
          <w:szCs w:val="22"/>
          <w:lang w:val="en-GB"/>
        </w:rPr>
        <w:t xml:space="preserve">EIR 2000 does not contain the </w:t>
      </w:r>
      <w:proofErr w:type="spellStart"/>
      <w:r w:rsidR="00AC4597" w:rsidRPr="00AC4597">
        <w:rPr>
          <w:rFonts w:ascii="Arial" w:hAnsi="Arial" w:cs="Arial"/>
          <w:color w:val="7B7B7B" w:themeColor="accent3" w:themeShade="BF"/>
          <w:sz w:val="22"/>
          <w:szCs w:val="22"/>
          <w:lang w:val="en-GB"/>
        </w:rPr>
        <w:t>deficition</w:t>
      </w:r>
      <w:proofErr w:type="spellEnd"/>
      <w:r w:rsidR="00AC4597" w:rsidRPr="00AC4597">
        <w:rPr>
          <w:rFonts w:ascii="Arial" w:hAnsi="Arial" w:cs="Arial"/>
          <w:color w:val="7B7B7B" w:themeColor="accent3" w:themeShade="BF"/>
          <w:sz w:val="22"/>
          <w:szCs w:val="22"/>
          <w:lang w:val="en-GB"/>
        </w:rPr>
        <w:t xml:space="preserve"> of COMI in the main text of the regulation. However, Recital 13 provides some guidance over it but is not enforceable. </w:t>
      </w:r>
      <w:r w:rsidR="00AC4597">
        <w:rPr>
          <w:rFonts w:ascii="Arial" w:hAnsi="Arial" w:cs="Arial"/>
          <w:color w:val="7B7B7B" w:themeColor="accent3" w:themeShade="BF"/>
          <w:sz w:val="22"/>
          <w:szCs w:val="22"/>
          <w:lang w:val="en-GB"/>
        </w:rPr>
        <w:t xml:space="preserve">33 Recitals are integral part of the EIR 2000. </w:t>
      </w:r>
      <w:r w:rsidR="00AC4597" w:rsidRPr="00AC4597">
        <w:rPr>
          <w:rFonts w:ascii="Arial" w:hAnsi="Arial" w:cs="Arial"/>
          <w:color w:val="7B7B7B" w:themeColor="accent3" w:themeShade="BF"/>
          <w:sz w:val="22"/>
          <w:szCs w:val="22"/>
          <w:lang w:val="en-GB"/>
        </w:rPr>
        <w:t>Courts use recitals for interpretations</w:t>
      </w:r>
      <w:r w:rsidR="00AC4597">
        <w:rPr>
          <w:rFonts w:ascii="Arial" w:hAnsi="Arial" w:cs="Arial"/>
          <w:color w:val="7B7B7B" w:themeColor="accent3" w:themeShade="BF"/>
          <w:sz w:val="22"/>
          <w:szCs w:val="22"/>
          <w:lang w:val="en-GB"/>
        </w:rPr>
        <w:t xml:space="preserve"> and proceedings</w:t>
      </w:r>
      <w:r w:rsidR="00AC4597" w:rsidRPr="00AC4597">
        <w:rPr>
          <w:rFonts w:ascii="Arial" w:hAnsi="Arial" w:cs="Arial"/>
          <w:color w:val="7B7B7B" w:themeColor="accent3" w:themeShade="BF"/>
          <w:sz w:val="22"/>
          <w:szCs w:val="22"/>
          <w:lang w:val="en-GB"/>
        </w:rPr>
        <w:t>.</w:t>
      </w:r>
      <w:r w:rsidR="00AC4597">
        <w:rPr>
          <w:rFonts w:ascii="Arial" w:hAnsi="Arial" w:cs="Arial"/>
          <w:color w:val="7B7B7B" w:themeColor="accent3" w:themeShade="BF"/>
          <w:sz w:val="22"/>
          <w:szCs w:val="22"/>
          <w:lang w:val="en-GB"/>
        </w:rPr>
        <w:t xml:space="preserve"> Recital 13</w:t>
      </w:r>
      <w:r w:rsidR="00AC4597" w:rsidRPr="00AC4597">
        <w:rPr>
          <w:rFonts w:ascii="Arial" w:hAnsi="Arial" w:cs="Arial"/>
          <w:color w:val="7B7B7B" w:themeColor="accent3" w:themeShade="BF"/>
          <w:sz w:val="22"/>
          <w:szCs w:val="22"/>
          <w:lang w:val="en-GB"/>
        </w:rPr>
        <w:t xml:space="preserve"> s</w:t>
      </w:r>
      <w:r w:rsidR="00AC4597">
        <w:rPr>
          <w:rFonts w:ascii="Arial" w:hAnsi="Arial" w:cs="Arial"/>
          <w:color w:val="7B7B7B" w:themeColor="accent3" w:themeShade="BF"/>
          <w:sz w:val="22"/>
          <w:szCs w:val="22"/>
          <w:lang w:val="en-GB"/>
        </w:rPr>
        <w:t>tates</w:t>
      </w:r>
      <w:r w:rsidR="00AC4597" w:rsidRPr="00AC4597">
        <w:rPr>
          <w:rFonts w:ascii="Arial" w:hAnsi="Arial" w:cs="Arial"/>
          <w:color w:val="7B7B7B" w:themeColor="accent3" w:themeShade="BF"/>
          <w:sz w:val="22"/>
          <w:szCs w:val="22"/>
          <w:lang w:val="en-GB"/>
        </w:rPr>
        <w:t xml:space="preserve"> </w:t>
      </w:r>
      <w:r w:rsidR="00AC4597">
        <w:rPr>
          <w:rFonts w:ascii="Arial" w:hAnsi="Arial" w:cs="Arial"/>
          <w:color w:val="7B7B7B" w:themeColor="accent3" w:themeShade="BF"/>
          <w:sz w:val="22"/>
          <w:szCs w:val="22"/>
          <w:lang w:val="en-GB"/>
        </w:rPr>
        <w:t xml:space="preserve">that </w:t>
      </w:r>
      <w:r w:rsidR="00AC4597" w:rsidRPr="00AC4597">
        <w:rPr>
          <w:rFonts w:ascii="Arial" w:hAnsi="Arial" w:cs="Arial"/>
          <w:color w:val="7B7B7B" w:themeColor="accent3" w:themeShade="BF"/>
          <w:sz w:val="22"/>
          <w:szCs w:val="22"/>
          <w:lang w:val="en-GB"/>
        </w:rPr>
        <w:t>the centre of main interest should be the place where the debtor conducts the administration of its interests on a regular basis and which is ascertainable by third parties.</w:t>
      </w:r>
    </w:p>
    <w:p w14:paraId="6C980650" w14:textId="77777777" w:rsidR="00AC4597" w:rsidRPr="00AC4597" w:rsidRDefault="00AC4597" w:rsidP="00AC4597">
      <w:pPr>
        <w:jc w:val="both"/>
        <w:rPr>
          <w:rFonts w:ascii="Arial" w:hAnsi="Arial" w:cs="Arial"/>
          <w:color w:val="7B7B7B" w:themeColor="accent3" w:themeShade="BF"/>
          <w:sz w:val="22"/>
          <w:szCs w:val="22"/>
          <w:lang w:val="en-GB"/>
        </w:rPr>
      </w:pPr>
    </w:p>
    <w:p w14:paraId="7879C183" w14:textId="45F1D434" w:rsidR="00AC4597" w:rsidRDefault="00AC4597" w:rsidP="00AC4597">
      <w:pPr>
        <w:jc w:val="both"/>
        <w:rPr>
          <w:rFonts w:ascii="Arial" w:hAnsi="Arial" w:cs="Arial"/>
          <w:color w:val="7B7B7B" w:themeColor="accent3" w:themeShade="BF"/>
          <w:sz w:val="22"/>
          <w:szCs w:val="22"/>
          <w:lang w:val="en-GB"/>
        </w:rPr>
      </w:pPr>
      <w:r w:rsidRPr="00AC4597">
        <w:rPr>
          <w:rFonts w:ascii="Arial" w:hAnsi="Arial" w:cs="Arial"/>
          <w:color w:val="7B7B7B" w:themeColor="accent3" w:themeShade="BF"/>
          <w:sz w:val="22"/>
          <w:szCs w:val="22"/>
          <w:lang w:val="en-GB"/>
        </w:rPr>
        <w:t xml:space="preserve">In </w:t>
      </w:r>
      <w:proofErr w:type="spellStart"/>
      <w:r w:rsidRPr="00AC4597">
        <w:rPr>
          <w:rFonts w:ascii="Arial" w:hAnsi="Arial" w:cs="Arial"/>
          <w:color w:val="7B7B7B" w:themeColor="accent3" w:themeShade="BF"/>
          <w:sz w:val="22"/>
          <w:szCs w:val="22"/>
          <w:lang w:val="en-GB"/>
        </w:rPr>
        <w:t>Eurofood</w:t>
      </w:r>
      <w:proofErr w:type="spellEnd"/>
      <w:r w:rsidRPr="00AC4597">
        <w:rPr>
          <w:rFonts w:ascii="Arial" w:hAnsi="Arial" w:cs="Arial"/>
          <w:color w:val="7B7B7B" w:themeColor="accent3" w:themeShade="BF"/>
          <w:sz w:val="22"/>
          <w:szCs w:val="22"/>
          <w:lang w:val="en-GB"/>
        </w:rPr>
        <w:t xml:space="preserve"> Case</w:t>
      </w:r>
      <w:r>
        <w:rPr>
          <w:rFonts w:ascii="Arial" w:hAnsi="Arial" w:cs="Arial"/>
          <w:color w:val="7B7B7B" w:themeColor="accent3" w:themeShade="BF"/>
          <w:sz w:val="22"/>
          <w:szCs w:val="22"/>
          <w:lang w:val="en-GB"/>
        </w:rPr>
        <w:t xml:space="preserve"> (Case C-341, ECLI:EU:C:2006:281)</w:t>
      </w:r>
      <w:r w:rsidRPr="00AC4597">
        <w:rPr>
          <w:rFonts w:ascii="Arial" w:hAnsi="Arial" w:cs="Arial"/>
          <w:color w:val="7B7B7B" w:themeColor="accent3" w:themeShade="BF"/>
          <w:sz w:val="22"/>
          <w:szCs w:val="22"/>
          <w:lang w:val="en-GB"/>
        </w:rPr>
        <w:t xml:space="preserve">, CJEU held that COMI </w:t>
      </w:r>
      <w:r>
        <w:rPr>
          <w:rFonts w:ascii="Arial" w:hAnsi="Arial" w:cs="Arial"/>
          <w:color w:val="7B7B7B" w:themeColor="accent3" w:themeShade="BF"/>
          <w:sz w:val="22"/>
          <w:szCs w:val="22"/>
          <w:lang w:val="en-GB"/>
        </w:rPr>
        <w:t xml:space="preserve">should be interpreted in a uniform way and independent of meaning in national legislation. COMI </w:t>
      </w:r>
      <w:r w:rsidRPr="00AC4597">
        <w:rPr>
          <w:rFonts w:ascii="Arial" w:hAnsi="Arial" w:cs="Arial"/>
          <w:color w:val="7B7B7B" w:themeColor="accent3" w:themeShade="BF"/>
          <w:sz w:val="22"/>
          <w:szCs w:val="22"/>
          <w:lang w:val="en-GB"/>
        </w:rPr>
        <w:t>must be identified by reference to criteria that are both objective and ascertainable by third parties.</w:t>
      </w:r>
    </w:p>
    <w:p w14:paraId="1661DCA5" w14:textId="77777777" w:rsidR="00C90E84" w:rsidRDefault="00D72DE7" w:rsidP="00AC45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be ascertained by the third parties, time factor plays an important role. The long time period and regular activity of a debtor in a particular state helps to ascertain its COMI.</w:t>
      </w:r>
      <w:r w:rsidR="007740A4">
        <w:rPr>
          <w:rFonts w:ascii="Arial" w:hAnsi="Arial" w:cs="Arial"/>
          <w:color w:val="7B7B7B" w:themeColor="accent3" w:themeShade="BF"/>
          <w:sz w:val="22"/>
          <w:szCs w:val="22"/>
          <w:lang w:val="en-GB"/>
        </w:rPr>
        <w:t xml:space="preserve"> </w:t>
      </w:r>
    </w:p>
    <w:p w14:paraId="7FA04773" w14:textId="77777777" w:rsidR="00C90E84" w:rsidRDefault="00C90E84" w:rsidP="00AC4597">
      <w:pPr>
        <w:jc w:val="both"/>
        <w:rPr>
          <w:rFonts w:ascii="Arial" w:hAnsi="Arial" w:cs="Arial"/>
          <w:color w:val="7B7B7B" w:themeColor="accent3" w:themeShade="BF"/>
          <w:sz w:val="22"/>
          <w:szCs w:val="22"/>
          <w:lang w:val="en-GB"/>
        </w:rPr>
      </w:pPr>
    </w:p>
    <w:p w14:paraId="39211B54" w14:textId="14CD5F67" w:rsidR="00D72DE7" w:rsidRDefault="007740A4" w:rsidP="00AC45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following case, PAJ opened a warehouse and a bank account</w:t>
      </w:r>
      <w:r w:rsidR="00C90E8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0B3D7E">
        <w:rPr>
          <w:rFonts w:ascii="Arial" w:hAnsi="Arial" w:cs="Arial"/>
          <w:color w:val="7B7B7B" w:themeColor="accent3" w:themeShade="BF"/>
          <w:sz w:val="22"/>
          <w:szCs w:val="22"/>
          <w:lang w:val="en-GB"/>
        </w:rPr>
        <w:t>and</w:t>
      </w:r>
      <w:r w:rsidR="00D72DE7">
        <w:rPr>
          <w:rFonts w:ascii="Arial" w:hAnsi="Arial" w:cs="Arial"/>
          <w:color w:val="7B7B7B" w:themeColor="accent3" w:themeShade="BF"/>
          <w:sz w:val="22"/>
          <w:szCs w:val="22"/>
          <w:lang w:val="en-GB"/>
        </w:rPr>
        <w:t xml:space="preserve"> </w:t>
      </w:r>
      <w:r w:rsidR="00C90E84">
        <w:rPr>
          <w:rFonts w:ascii="Arial" w:hAnsi="Arial" w:cs="Arial"/>
          <w:color w:val="7B7B7B" w:themeColor="accent3" w:themeShade="BF"/>
          <w:sz w:val="22"/>
          <w:szCs w:val="22"/>
          <w:lang w:val="en-GB"/>
        </w:rPr>
        <w:t>availed a credit facility in 2013 in Spain. PAJ also negotiated with local distributors. PAJ in June 2017 filed the petition for safeguard proceedings. So not only the creditors but local distributors can also ascertain the COMI of PAJ</w:t>
      </w:r>
      <w:r w:rsidR="00084823">
        <w:rPr>
          <w:rFonts w:ascii="Arial" w:hAnsi="Arial" w:cs="Arial"/>
          <w:color w:val="7B7B7B" w:themeColor="accent3" w:themeShade="BF"/>
          <w:sz w:val="22"/>
          <w:szCs w:val="22"/>
          <w:lang w:val="en-GB"/>
        </w:rPr>
        <w:t xml:space="preserve"> as in Madrid.</w:t>
      </w:r>
      <w:r w:rsidR="00C90E84">
        <w:rPr>
          <w:rFonts w:ascii="Arial" w:hAnsi="Arial" w:cs="Arial"/>
          <w:color w:val="7B7B7B" w:themeColor="accent3" w:themeShade="BF"/>
          <w:sz w:val="22"/>
          <w:szCs w:val="22"/>
          <w:lang w:val="en-GB"/>
        </w:rPr>
        <w:t xml:space="preserve"> Thus, Strasbourg Court </w:t>
      </w:r>
      <w:r w:rsidR="00084823">
        <w:rPr>
          <w:rFonts w:ascii="Arial" w:hAnsi="Arial" w:cs="Arial"/>
          <w:color w:val="7B7B7B" w:themeColor="accent3" w:themeShade="BF"/>
          <w:sz w:val="22"/>
          <w:szCs w:val="22"/>
          <w:lang w:val="en-GB"/>
        </w:rPr>
        <w:t>does not have</w:t>
      </w:r>
      <w:r w:rsidR="00C90E84">
        <w:rPr>
          <w:rFonts w:ascii="Arial" w:hAnsi="Arial" w:cs="Arial"/>
          <w:color w:val="7B7B7B" w:themeColor="accent3" w:themeShade="BF"/>
          <w:sz w:val="22"/>
          <w:szCs w:val="22"/>
          <w:lang w:val="en-GB"/>
        </w:rPr>
        <w:t xml:space="preserve"> </w:t>
      </w:r>
      <w:r w:rsidR="00084823">
        <w:rPr>
          <w:rFonts w:ascii="Arial" w:hAnsi="Arial" w:cs="Arial"/>
          <w:color w:val="7B7B7B" w:themeColor="accent3" w:themeShade="BF"/>
          <w:sz w:val="22"/>
          <w:szCs w:val="22"/>
          <w:lang w:val="en-GB"/>
        </w:rPr>
        <w:t xml:space="preserve">the </w:t>
      </w:r>
      <w:r w:rsidR="00C90E84">
        <w:rPr>
          <w:rFonts w:ascii="Arial" w:hAnsi="Arial" w:cs="Arial"/>
          <w:color w:val="7B7B7B" w:themeColor="accent3" w:themeShade="BF"/>
          <w:sz w:val="22"/>
          <w:szCs w:val="22"/>
          <w:lang w:val="en-GB"/>
        </w:rPr>
        <w:t>international jurisdiction to open the requested insolvency proceeding.</w:t>
      </w:r>
    </w:p>
    <w:p w14:paraId="7090C861" w14:textId="42E1FAFE" w:rsidR="00D95496" w:rsidRDefault="002F75A3"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w:t>
      </w: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3BB09909" w14:textId="77777777" w:rsidR="005E20EC" w:rsidRDefault="002D3473" w:rsidP="002A37BB">
      <w:pPr>
        <w:autoSpaceDE w:val="0"/>
        <w:autoSpaceDN w:val="0"/>
        <w:adjustRightInd w:val="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266133">
        <w:rPr>
          <w:rFonts w:ascii="Arial" w:hAnsi="Arial" w:cs="Arial"/>
          <w:color w:val="7B7B7B" w:themeColor="accent3" w:themeShade="BF"/>
          <w:sz w:val="22"/>
          <w:szCs w:val="22"/>
          <w:lang w:val="en-GB"/>
        </w:rPr>
        <w:t xml:space="preserve">As per Article 92 EIR Recast, it entered into force on 26 June 2017 and it replaced the original EIR 2000. </w:t>
      </w:r>
    </w:p>
    <w:p w14:paraId="704ECD01" w14:textId="77777777" w:rsidR="005E20EC" w:rsidRDefault="00266133"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Article 84(1) EIR Recast provides for the applicability of the EIR Recast that it shall apply only to insolvency proceedings opened after 26 June 2017. Proceedings</w:t>
      </w:r>
      <w:r w:rsidR="005E20EC">
        <w:rPr>
          <w:rFonts w:ascii="Arial" w:hAnsi="Arial" w:cs="Arial"/>
          <w:color w:val="7B7B7B" w:themeColor="accent3" w:themeShade="BF"/>
          <w:sz w:val="22"/>
          <w:szCs w:val="22"/>
          <w:lang w:val="en-GB"/>
        </w:rPr>
        <w:t xml:space="preserve"> opened</w:t>
      </w:r>
      <w:r>
        <w:rPr>
          <w:rFonts w:ascii="Arial" w:hAnsi="Arial" w:cs="Arial"/>
          <w:color w:val="7B7B7B" w:themeColor="accent3" w:themeShade="BF"/>
          <w:sz w:val="22"/>
          <w:szCs w:val="22"/>
          <w:lang w:val="en-GB"/>
        </w:rPr>
        <w:t xml:space="preserve"> before this date are to be governed by </w:t>
      </w:r>
      <w:r w:rsidR="005E20EC">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EIR 2000.</w:t>
      </w:r>
      <w:r w:rsidR="005E20EC">
        <w:rPr>
          <w:rFonts w:ascii="Arial" w:hAnsi="Arial" w:cs="Arial"/>
          <w:color w:val="7B7B7B" w:themeColor="accent3" w:themeShade="BF"/>
          <w:sz w:val="22"/>
          <w:szCs w:val="22"/>
          <w:lang w:val="en-GB"/>
        </w:rPr>
        <w:t xml:space="preserve"> </w:t>
      </w:r>
    </w:p>
    <w:p w14:paraId="14A8A5F3" w14:textId="77777777" w:rsidR="005E20EC" w:rsidRDefault="005E20E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2(8) defines the ‘time of the opening’ of insolvency proceeding as the time at which the judgement opening insolvency proceedings becomes effective, regardless of whether the judgement is final or not.</w:t>
      </w:r>
    </w:p>
    <w:p w14:paraId="1656CCB2" w14:textId="77777777" w:rsidR="005E20EC" w:rsidRDefault="005E20E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2(7) describes the ‘judgement opening insolvency proceedings’ as the decision of any court to open insolvency proceedings or to confirm the opening of such proceedings or the decision of the court to appoint an insolvency practitioner.</w:t>
      </w:r>
    </w:p>
    <w:p w14:paraId="1F576BC0" w14:textId="77777777" w:rsidR="00FE759F" w:rsidRDefault="00FE759F" w:rsidP="002A37BB">
      <w:pPr>
        <w:autoSpaceDE w:val="0"/>
        <w:autoSpaceDN w:val="0"/>
        <w:adjustRightInd w:val="0"/>
        <w:jc w:val="both"/>
        <w:rPr>
          <w:rFonts w:ascii="Arial" w:hAnsi="Arial" w:cs="Arial"/>
          <w:color w:val="7B7B7B" w:themeColor="accent3" w:themeShade="BF"/>
          <w:sz w:val="22"/>
          <w:szCs w:val="22"/>
          <w:lang w:val="en-GB"/>
        </w:rPr>
      </w:pPr>
    </w:p>
    <w:p w14:paraId="0DE42CAE" w14:textId="227C8DC4" w:rsidR="00634759" w:rsidRDefault="005E20E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Apart from the temporal scope of EIR Recast, it applies to insolvency proceedings </w:t>
      </w:r>
      <w:r w:rsidR="008812B3">
        <w:rPr>
          <w:rFonts w:ascii="Arial" w:hAnsi="Arial" w:cs="Arial"/>
          <w:color w:val="7B7B7B" w:themeColor="accent3" w:themeShade="BF"/>
          <w:sz w:val="22"/>
          <w:szCs w:val="22"/>
          <w:lang w:val="en-GB"/>
        </w:rPr>
        <w:t>which meet the conditions as set out in it. There are certain exceptions to its applicability like insurance undertakings, credit institutions, investment firms covered under Directive 2001/24/EC. EIR Recast is a binding legislation and applies in Member States except Denmark.</w:t>
      </w:r>
    </w:p>
    <w:p w14:paraId="58ACB02C" w14:textId="77777777" w:rsidR="0033435F" w:rsidRDefault="0033435F" w:rsidP="002A37BB">
      <w:pPr>
        <w:autoSpaceDE w:val="0"/>
        <w:autoSpaceDN w:val="0"/>
        <w:adjustRightInd w:val="0"/>
        <w:jc w:val="both"/>
        <w:rPr>
          <w:rFonts w:ascii="Arial" w:hAnsi="Arial" w:cs="Arial"/>
          <w:color w:val="7B7B7B" w:themeColor="accent3" w:themeShade="BF"/>
          <w:sz w:val="22"/>
          <w:szCs w:val="22"/>
          <w:lang w:val="en-GB"/>
        </w:rPr>
      </w:pPr>
    </w:p>
    <w:p w14:paraId="626FA5C6" w14:textId="3E90F558" w:rsidR="002D3473" w:rsidRPr="008500BD" w:rsidRDefault="0033435F"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Provided that the insolvency proceeding is opened by the Strasbourg Court</w:t>
      </w:r>
      <w:r w:rsidR="00823187">
        <w:rPr>
          <w:rFonts w:ascii="Arial" w:hAnsi="Arial" w:cs="Arial"/>
          <w:color w:val="7B7B7B" w:themeColor="accent3" w:themeShade="BF"/>
          <w:sz w:val="22"/>
          <w:szCs w:val="22"/>
          <w:lang w:val="en-GB"/>
        </w:rPr>
        <w:t xml:space="preserve"> (</w:t>
      </w:r>
      <w:r w:rsidR="00DF392D">
        <w:rPr>
          <w:rFonts w:ascii="Arial" w:hAnsi="Arial" w:cs="Arial"/>
          <w:color w:val="7B7B7B" w:themeColor="accent3" w:themeShade="BF"/>
          <w:sz w:val="22"/>
          <w:szCs w:val="22"/>
          <w:lang w:val="en-GB"/>
        </w:rPr>
        <w:t>France</w:t>
      </w:r>
      <w:r w:rsidR="0082318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on 29 June 2017, makes the insolvency proceeding fall under the </w:t>
      </w:r>
      <w:r w:rsidR="00823187">
        <w:rPr>
          <w:rFonts w:ascii="Arial" w:hAnsi="Arial" w:cs="Arial"/>
          <w:color w:val="7B7B7B" w:themeColor="accent3" w:themeShade="BF"/>
          <w:sz w:val="22"/>
          <w:szCs w:val="22"/>
          <w:lang w:val="en-GB"/>
        </w:rPr>
        <w:t>scope</w:t>
      </w:r>
      <w:r>
        <w:rPr>
          <w:rFonts w:ascii="Arial" w:hAnsi="Arial" w:cs="Arial"/>
          <w:color w:val="7B7B7B" w:themeColor="accent3" w:themeShade="BF"/>
          <w:sz w:val="22"/>
          <w:szCs w:val="22"/>
          <w:lang w:val="en-GB"/>
        </w:rPr>
        <w:t xml:space="preserve"> of EIR Recast.</w:t>
      </w:r>
      <w:r w:rsidR="002D3473" w:rsidRPr="008500BD">
        <w:rPr>
          <w:rFonts w:ascii="Arial" w:hAnsi="Arial" w:cs="Arial"/>
          <w:color w:val="7B7B7B" w:themeColor="accent3" w:themeShade="BF"/>
          <w:sz w:val="22"/>
          <w:szCs w:val="22"/>
          <w:lang w:val="en-GB"/>
        </w:rPr>
        <w:t>]</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5C5BC317" w14:textId="77777777" w:rsidR="003F04C7" w:rsidRDefault="0033768C"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F2004C">
        <w:rPr>
          <w:rFonts w:ascii="Arial" w:hAnsi="Arial" w:cs="Arial"/>
          <w:color w:val="7B7B7B" w:themeColor="accent3" w:themeShade="BF"/>
          <w:sz w:val="22"/>
          <w:szCs w:val="22"/>
          <w:lang w:val="en-GB"/>
        </w:rPr>
        <w:t xml:space="preserve">Assuming main insolvency proceeding opened in Strasbourg as valid, a secondary insolvency proceeding can be opened </w:t>
      </w:r>
      <w:r w:rsidR="003F04C7">
        <w:rPr>
          <w:rFonts w:ascii="Arial" w:hAnsi="Arial" w:cs="Arial"/>
          <w:color w:val="7B7B7B" w:themeColor="accent3" w:themeShade="BF"/>
          <w:sz w:val="22"/>
          <w:szCs w:val="22"/>
          <w:lang w:val="en-GB"/>
        </w:rPr>
        <w:t>under in Spain under the EIR Recast. Article 3(2) EIR Recast states that secondary proceeding can be opened in any country in which the debtor has an establishment. Secondary insolvency proceeding can open after the opening of main insolvency proceeding. Only in exceptional situation under Article 3(4) EIR Recast secondary insolvency proceeding can open prior to main insolvency proceeding.</w:t>
      </w:r>
    </w:p>
    <w:p w14:paraId="05CCF691" w14:textId="77777777" w:rsidR="007F5D49" w:rsidRDefault="007F5D49" w:rsidP="002A37BB">
      <w:pPr>
        <w:jc w:val="both"/>
        <w:rPr>
          <w:rFonts w:ascii="Arial" w:hAnsi="Arial" w:cs="Arial"/>
          <w:color w:val="7B7B7B" w:themeColor="accent3" w:themeShade="BF"/>
          <w:sz w:val="22"/>
          <w:szCs w:val="22"/>
          <w:lang w:val="en-GB"/>
        </w:rPr>
      </w:pPr>
    </w:p>
    <w:p w14:paraId="383F5CAD" w14:textId="7BAF030D" w:rsidR="003F04C7" w:rsidRDefault="003F04C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 EIR Recast defines ‘establishment’ as any place of operations where a debtor carries out or has carried out in the </w:t>
      </w:r>
      <w:r w:rsidR="007F5D49">
        <w:rPr>
          <w:rFonts w:ascii="Arial" w:hAnsi="Arial" w:cs="Arial"/>
          <w:color w:val="7B7B7B" w:themeColor="accent3" w:themeShade="BF"/>
          <w:sz w:val="22"/>
          <w:szCs w:val="22"/>
          <w:lang w:val="en-GB"/>
        </w:rPr>
        <w:t>3-month</w:t>
      </w:r>
      <w:r>
        <w:rPr>
          <w:rFonts w:ascii="Arial" w:hAnsi="Arial" w:cs="Arial"/>
          <w:color w:val="7B7B7B" w:themeColor="accent3" w:themeShade="BF"/>
          <w:sz w:val="22"/>
          <w:szCs w:val="22"/>
          <w:lang w:val="en-GB"/>
        </w:rPr>
        <w:t xml:space="preserve"> period prior to the request to open main insolvency proceedings a non-transitory economic activity with human means and assets.</w:t>
      </w:r>
    </w:p>
    <w:p w14:paraId="7BB60E5F" w14:textId="77777777" w:rsidR="007F5D49" w:rsidRDefault="007F5D49" w:rsidP="002A37BB">
      <w:pPr>
        <w:jc w:val="both"/>
        <w:rPr>
          <w:rFonts w:ascii="Arial" w:hAnsi="Arial" w:cs="Arial"/>
          <w:color w:val="7B7B7B" w:themeColor="accent3" w:themeShade="BF"/>
          <w:sz w:val="22"/>
          <w:szCs w:val="22"/>
          <w:lang w:val="en-GB"/>
        </w:rPr>
      </w:pPr>
    </w:p>
    <w:p w14:paraId="77CE8695" w14:textId="2F80E33C" w:rsidR="0077498C" w:rsidRPr="008500BD" w:rsidRDefault="003F04C7"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CJEU in </w:t>
      </w:r>
      <w:proofErr w:type="spellStart"/>
      <w:r>
        <w:rPr>
          <w:rFonts w:ascii="Arial" w:hAnsi="Arial" w:cs="Arial"/>
          <w:color w:val="7B7B7B" w:themeColor="accent3" w:themeShade="BF"/>
          <w:sz w:val="22"/>
          <w:szCs w:val="22"/>
          <w:lang w:val="en-GB"/>
        </w:rPr>
        <w:t>Interedil</w:t>
      </w:r>
      <w:proofErr w:type="spellEnd"/>
      <w:r>
        <w:rPr>
          <w:rFonts w:ascii="Arial" w:hAnsi="Arial" w:cs="Arial"/>
          <w:color w:val="7B7B7B" w:themeColor="accent3" w:themeShade="BF"/>
          <w:sz w:val="22"/>
          <w:szCs w:val="22"/>
          <w:lang w:val="en-GB"/>
        </w:rPr>
        <w:t xml:space="preserve"> Srl v Fallimento </w:t>
      </w:r>
      <w:proofErr w:type="spellStart"/>
      <w:r>
        <w:rPr>
          <w:rFonts w:ascii="Arial" w:hAnsi="Arial" w:cs="Arial"/>
          <w:color w:val="7B7B7B" w:themeColor="accent3" w:themeShade="BF"/>
          <w:sz w:val="22"/>
          <w:szCs w:val="22"/>
          <w:lang w:val="en-GB"/>
        </w:rPr>
        <w:t>Interedil</w:t>
      </w:r>
      <w:proofErr w:type="spellEnd"/>
      <w:r>
        <w:rPr>
          <w:rFonts w:ascii="Arial" w:hAnsi="Arial" w:cs="Arial"/>
          <w:color w:val="7B7B7B" w:themeColor="accent3" w:themeShade="BF"/>
          <w:sz w:val="22"/>
          <w:szCs w:val="22"/>
          <w:lang w:val="en-GB"/>
        </w:rPr>
        <w:t xml:space="preserve"> Srl </w:t>
      </w:r>
      <w:r w:rsidR="00BB08C2">
        <w:rPr>
          <w:rFonts w:ascii="Arial" w:hAnsi="Arial" w:cs="Arial"/>
          <w:color w:val="7B7B7B" w:themeColor="accent3" w:themeShade="BF"/>
          <w:sz w:val="22"/>
          <w:szCs w:val="22"/>
          <w:lang w:val="en-GB"/>
        </w:rPr>
        <w:t xml:space="preserve">(Case </w:t>
      </w:r>
      <w:r w:rsidR="007F5D49">
        <w:rPr>
          <w:rFonts w:ascii="Arial" w:hAnsi="Arial" w:cs="Arial"/>
          <w:color w:val="7B7B7B" w:themeColor="accent3" w:themeShade="BF"/>
          <w:sz w:val="22"/>
          <w:szCs w:val="22"/>
          <w:lang w:val="en-GB"/>
        </w:rPr>
        <w:t>C: -</w:t>
      </w:r>
      <w:r w:rsidR="00BB08C2">
        <w:rPr>
          <w:rFonts w:ascii="Arial" w:hAnsi="Arial" w:cs="Arial"/>
          <w:color w:val="7B7B7B" w:themeColor="accent3" w:themeShade="BF"/>
          <w:sz w:val="22"/>
          <w:szCs w:val="22"/>
          <w:lang w:val="en-GB"/>
        </w:rPr>
        <w:t>396/09</w:t>
      </w:r>
      <w:r w:rsidR="007F5D49">
        <w:rPr>
          <w:rFonts w:ascii="Arial" w:hAnsi="Arial" w:cs="Arial"/>
          <w:color w:val="7B7B7B" w:themeColor="accent3" w:themeShade="BF"/>
          <w:sz w:val="22"/>
          <w:szCs w:val="22"/>
          <w:lang w:val="en-GB"/>
        </w:rPr>
        <w:t>, ECLI:EU:C:2011:671)</w:t>
      </w:r>
      <w:r w:rsidR="0033768C" w:rsidRPr="008500BD">
        <w:rPr>
          <w:rFonts w:ascii="Arial" w:hAnsi="Arial" w:cs="Arial"/>
          <w:color w:val="7B7B7B" w:themeColor="accent3" w:themeShade="BF"/>
          <w:sz w:val="22"/>
          <w:szCs w:val="22"/>
          <w:lang w:val="en-GB"/>
        </w:rPr>
        <w:t>]</w:t>
      </w:r>
      <w:r w:rsidR="007F5D49">
        <w:rPr>
          <w:rFonts w:ascii="Arial" w:hAnsi="Arial" w:cs="Arial"/>
          <w:color w:val="7B7B7B" w:themeColor="accent3" w:themeShade="BF"/>
          <w:sz w:val="22"/>
          <w:szCs w:val="22"/>
          <w:lang w:val="en-GB"/>
        </w:rPr>
        <w:t xml:space="preserve"> stated that connection of the pursuit of economic activity to the presence of human resources highlights a minimum level of organisation and a degree of stability are required to validate establishment. Presence of good alone or bank account in isolation does not satisfy the classification as an establishment. Human resources make it ascertainable by the third parties.</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55F69" w14:textId="77777777" w:rsidR="002B3202" w:rsidRDefault="002B3202" w:rsidP="00241B44">
      <w:r>
        <w:separator/>
      </w:r>
    </w:p>
  </w:endnote>
  <w:endnote w:type="continuationSeparator" w:id="0">
    <w:p w14:paraId="2F73C128" w14:textId="77777777" w:rsidR="002B3202" w:rsidRDefault="002B32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A71BE2" w:rsidRPr="00FC7B47" w:rsidRDefault="00A71BE2"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A71BE2" w:rsidRPr="00FC7B47" w:rsidRDefault="00A71BE2"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A71BE2" w:rsidRPr="009B4976" w:rsidRDefault="00A71BE2" w:rsidP="00A71BE2">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312ACCEC" w:rsidR="00A71BE2" w:rsidRPr="009B4976" w:rsidRDefault="00625FC0" w:rsidP="009B4976">
    <w:pPr>
      <w:pStyle w:val="Footer"/>
      <w:ind w:right="360"/>
      <w:rPr>
        <w:rFonts w:ascii="Arial" w:hAnsi="Arial" w:cs="Arial"/>
        <w:sz w:val="18"/>
        <w:szCs w:val="18"/>
        <w:lang w:val="en-GB"/>
      </w:rPr>
    </w:pPr>
    <w:r w:rsidRPr="00625FC0">
      <w:rPr>
        <w:rFonts w:ascii="Arial" w:hAnsi="Arial" w:cs="Arial"/>
        <w:sz w:val="18"/>
        <w:szCs w:val="18"/>
        <w:lang w:val="en-GB"/>
      </w:rPr>
      <w:t>202021IFU-414</w:t>
    </w:r>
    <w:r w:rsidR="00A71BE2"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4C742" w14:textId="77777777" w:rsidR="002B3202" w:rsidRDefault="002B3202" w:rsidP="00241B44">
      <w:r>
        <w:separator/>
      </w:r>
    </w:p>
  </w:footnote>
  <w:footnote w:type="continuationSeparator" w:id="0">
    <w:p w14:paraId="0CA8D499" w14:textId="77777777" w:rsidR="002B3202" w:rsidRDefault="002B320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492"/>
    <w:multiLevelType w:val="hybridMultilevel"/>
    <w:tmpl w:val="D354FFA6"/>
    <w:lvl w:ilvl="0" w:tplc="73D88F52">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5606F66"/>
    <w:multiLevelType w:val="hybridMultilevel"/>
    <w:tmpl w:val="85A455D4"/>
    <w:lvl w:ilvl="0" w:tplc="6046F87E">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86416C5"/>
    <w:multiLevelType w:val="hybridMultilevel"/>
    <w:tmpl w:val="DB4CB6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10"/>
  </w:num>
  <w:num w:numId="3">
    <w:abstractNumId w:val="4"/>
  </w:num>
  <w:num w:numId="4">
    <w:abstractNumId w:val="13"/>
  </w:num>
  <w:num w:numId="5">
    <w:abstractNumId w:val="9"/>
  </w:num>
  <w:num w:numId="6">
    <w:abstractNumId w:val="11"/>
  </w:num>
  <w:num w:numId="7">
    <w:abstractNumId w:val="1"/>
  </w:num>
  <w:num w:numId="8">
    <w:abstractNumId w:val="7"/>
  </w:num>
  <w:num w:numId="9">
    <w:abstractNumId w:val="6"/>
  </w:num>
  <w:num w:numId="10">
    <w:abstractNumId w:val="3"/>
  </w:num>
  <w:num w:numId="11">
    <w:abstractNumId w:val="8"/>
  </w:num>
  <w:num w:numId="12">
    <w:abstractNumId w:val="12"/>
  </w:num>
  <w:num w:numId="13">
    <w:abstractNumId w:val="0"/>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27A1"/>
    <w:rsid w:val="0001284D"/>
    <w:rsid w:val="0001344B"/>
    <w:rsid w:val="00020557"/>
    <w:rsid w:val="000250C7"/>
    <w:rsid w:val="00026F16"/>
    <w:rsid w:val="00037621"/>
    <w:rsid w:val="00044D46"/>
    <w:rsid w:val="00045088"/>
    <w:rsid w:val="00045904"/>
    <w:rsid w:val="00065166"/>
    <w:rsid w:val="00082609"/>
    <w:rsid w:val="00084823"/>
    <w:rsid w:val="000851CC"/>
    <w:rsid w:val="00087CD6"/>
    <w:rsid w:val="00093BE8"/>
    <w:rsid w:val="000A68ED"/>
    <w:rsid w:val="000A7BF9"/>
    <w:rsid w:val="000B3D7E"/>
    <w:rsid w:val="000B5FF1"/>
    <w:rsid w:val="000B609F"/>
    <w:rsid w:val="000D55A8"/>
    <w:rsid w:val="000E22C5"/>
    <w:rsid w:val="000E4841"/>
    <w:rsid w:val="000F1677"/>
    <w:rsid w:val="000F3D6C"/>
    <w:rsid w:val="00101707"/>
    <w:rsid w:val="00113E29"/>
    <w:rsid w:val="0011473D"/>
    <w:rsid w:val="00115C85"/>
    <w:rsid w:val="00123855"/>
    <w:rsid w:val="00126A4D"/>
    <w:rsid w:val="0014171F"/>
    <w:rsid w:val="0014622C"/>
    <w:rsid w:val="00147EE3"/>
    <w:rsid w:val="00152348"/>
    <w:rsid w:val="0015456D"/>
    <w:rsid w:val="00155FA2"/>
    <w:rsid w:val="00161F1B"/>
    <w:rsid w:val="00162829"/>
    <w:rsid w:val="00174DC4"/>
    <w:rsid w:val="00175A7D"/>
    <w:rsid w:val="00176DA3"/>
    <w:rsid w:val="00180548"/>
    <w:rsid w:val="00180AC4"/>
    <w:rsid w:val="00180CCE"/>
    <w:rsid w:val="0018267A"/>
    <w:rsid w:val="00182779"/>
    <w:rsid w:val="001830DF"/>
    <w:rsid w:val="00187A34"/>
    <w:rsid w:val="001966D9"/>
    <w:rsid w:val="001A6BD4"/>
    <w:rsid w:val="001A7E9A"/>
    <w:rsid w:val="001B0F70"/>
    <w:rsid w:val="001B1AE4"/>
    <w:rsid w:val="001B5016"/>
    <w:rsid w:val="001C45FC"/>
    <w:rsid w:val="001C4658"/>
    <w:rsid w:val="001D0469"/>
    <w:rsid w:val="001D4862"/>
    <w:rsid w:val="001D6E1C"/>
    <w:rsid w:val="001E25B9"/>
    <w:rsid w:val="001E49E0"/>
    <w:rsid w:val="001E5F8A"/>
    <w:rsid w:val="001E7B5A"/>
    <w:rsid w:val="001F7412"/>
    <w:rsid w:val="00202DFE"/>
    <w:rsid w:val="00203720"/>
    <w:rsid w:val="00205C50"/>
    <w:rsid w:val="0020725B"/>
    <w:rsid w:val="002110F1"/>
    <w:rsid w:val="00222FB5"/>
    <w:rsid w:val="00235F2E"/>
    <w:rsid w:val="00237711"/>
    <w:rsid w:val="0024116D"/>
    <w:rsid w:val="00241B44"/>
    <w:rsid w:val="00241BAE"/>
    <w:rsid w:val="00241FA3"/>
    <w:rsid w:val="00244C44"/>
    <w:rsid w:val="00245EFB"/>
    <w:rsid w:val="0025386E"/>
    <w:rsid w:val="002603AA"/>
    <w:rsid w:val="002638B0"/>
    <w:rsid w:val="00266133"/>
    <w:rsid w:val="0026647A"/>
    <w:rsid w:val="002668D3"/>
    <w:rsid w:val="0027299F"/>
    <w:rsid w:val="00280945"/>
    <w:rsid w:val="00282EA5"/>
    <w:rsid w:val="00284EBE"/>
    <w:rsid w:val="00287E8E"/>
    <w:rsid w:val="0029433F"/>
    <w:rsid w:val="00294829"/>
    <w:rsid w:val="0029690F"/>
    <w:rsid w:val="00297C8A"/>
    <w:rsid w:val="002A2A60"/>
    <w:rsid w:val="002A2FC1"/>
    <w:rsid w:val="002A37BB"/>
    <w:rsid w:val="002B1C45"/>
    <w:rsid w:val="002B3202"/>
    <w:rsid w:val="002C0B94"/>
    <w:rsid w:val="002C13C8"/>
    <w:rsid w:val="002C279F"/>
    <w:rsid w:val="002C3547"/>
    <w:rsid w:val="002D0021"/>
    <w:rsid w:val="002D3473"/>
    <w:rsid w:val="002F1956"/>
    <w:rsid w:val="002F3440"/>
    <w:rsid w:val="002F75A3"/>
    <w:rsid w:val="00303C2F"/>
    <w:rsid w:val="003144EF"/>
    <w:rsid w:val="003227C5"/>
    <w:rsid w:val="003252C2"/>
    <w:rsid w:val="00326292"/>
    <w:rsid w:val="00326415"/>
    <w:rsid w:val="00330937"/>
    <w:rsid w:val="00330F31"/>
    <w:rsid w:val="00331480"/>
    <w:rsid w:val="0033180C"/>
    <w:rsid w:val="00333086"/>
    <w:rsid w:val="0033435F"/>
    <w:rsid w:val="00334648"/>
    <w:rsid w:val="0033620A"/>
    <w:rsid w:val="0033768C"/>
    <w:rsid w:val="00337938"/>
    <w:rsid w:val="00340769"/>
    <w:rsid w:val="00341AA6"/>
    <w:rsid w:val="003616C1"/>
    <w:rsid w:val="00361A0A"/>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54E1"/>
    <w:rsid w:val="003E67D1"/>
    <w:rsid w:val="003F04C7"/>
    <w:rsid w:val="003F0DFA"/>
    <w:rsid w:val="003F562F"/>
    <w:rsid w:val="00404329"/>
    <w:rsid w:val="00405DC1"/>
    <w:rsid w:val="00415F1F"/>
    <w:rsid w:val="0042108F"/>
    <w:rsid w:val="00421C91"/>
    <w:rsid w:val="00430FED"/>
    <w:rsid w:val="00434A8C"/>
    <w:rsid w:val="00437297"/>
    <w:rsid w:val="00443CB0"/>
    <w:rsid w:val="00444284"/>
    <w:rsid w:val="00445CE6"/>
    <w:rsid w:val="00446213"/>
    <w:rsid w:val="004534C2"/>
    <w:rsid w:val="0045446F"/>
    <w:rsid w:val="0045683E"/>
    <w:rsid w:val="00465BFF"/>
    <w:rsid w:val="00475E6E"/>
    <w:rsid w:val="00477C72"/>
    <w:rsid w:val="00486F72"/>
    <w:rsid w:val="00491675"/>
    <w:rsid w:val="00493855"/>
    <w:rsid w:val="00493974"/>
    <w:rsid w:val="00495E79"/>
    <w:rsid w:val="004A0692"/>
    <w:rsid w:val="004A57DD"/>
    <w:rsid w:val="004A769A"/>
    <w:rsid w:val="004A7B51"/>
    <w:rsid w:val="004A7D71"/>
    <w:rsid w:val="004A7EF3"/>
    <w:rsid w:val="004B11FD"/>
    <w:rsid w:val="004B23A2"/>
    <w:rsid w:val="004C0D03"/>
    <w:rsid w:val="004C0D33"/>
    <w:rsid w:val="004C7A56"/>
    <w:rsid w:val="004D1A5A"/>
    <w:rsid w:val="004D2FFF"/>
    <w:rsid w:val="004D3721"/>
    <w:rsid w:val="004D64F9"/>
    <w:rsid w:val="004E3A6B"/>
    <w:rsid w:val="004E622C"/>
    <w:rsid w:val="004F5FDF"/>
    <w:rsid w:val="005177FE"/>
    <w:rsid w:val="0052263B"/>
    <w:rsid w:val="00522CA1"/>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726D"/>
    <w:rsid w:val="005B44D3"/>
    <w:rsid w:val="005B67AC"/>
    <w:rsid w:val="005B79F4"/>
    <w:rsid w:val="005C6A05"/>
    <w:rsid w:val="005D43E0"/>
    <w:rsid w:val="005D5327"/>
    <w:rsid w:val="005D58A3"/>
    <w:rsid w:val="005E1B79"/>
    <w:rsid w:val="005E20EC"/>
    <w:rsid w:val="005E7008"/>
    <w:rsid w:val="005F026D"/>
    <w:rsid w:val="005F2AEA"/>
    <w:rsid w:val="005F2D0B"/>
    <w:rsid w:val="005F4B31"/>
    <w:rsid w:val="0060569F"/>
    <w:rsid w:val="00610388"/>
    <w:rsid w:val="00611DE6"/>
    <w:rsid w:val="00612C9A"/>
    <w:rsid w:val="00612CA5"/>
    <w:rsid w:val="006153EC"/>
    <w:rsid w:val="00621A17"/>
    <w:rsid w:val="00625FC0"/>
    <w:rsid w:val="00627CC9"/>
    <w:rsid w:val="00627E7B"/>
    <w:rsid w:val="00630542"/>
    <w:rsid w:val="00632E44"/>
    <w:rsid w:val="00634622"/>
    <w:rsid w:val="00634759"/>
    <w:rsid w:val="00636808"/>
    <w:rsid w:val="00636C15"/>
    <w:rsid w:val="00641515"/>
    <w:rsid w:val="0064772F"/>
    <w:rsid w:val="00654B27"/>
    <w:rsid w:val="00654C2F"/>
    <w:rsid w:val="00657087"/>
    <w:rsid w:val="006603F1"/>
    <w:rsid w:val="006639DB"/>
    <w:rsid w:val="006661EF"/>
    <w:rsid w:val="00677AEB"/>
    <w:rsid w:val="00680EF2"/>
    <w:rsid w:val="00687A1D"/>
    <w:rsid w:val="00697EA1"/>
    <w:rsid w:val="006A14D5"/>
    <w:rsid w:val="006A2646"/>
    <w:rsid w:val="006A6530"/>
    <w:rsid w:val="006B435A"/>
    <w:rsid w:val="006B4C64"/>
    <w:rsid w:val="006D0CC0"/>
    <w:rsid w:val="006D6BD5"/>
    <w:rsid w:val="006E481A"/>
    <w:rsid w:val="006E5287"/>
    <w:rsid w:val="006E5298"/>
    <w:rsid w:val="006F4A78"/>
    <w:rsid w:val="006F734A"/>
    <w:rsid w:val="00700D83"/>
    <w:rsid w:val="00704852"/>
    <w:rsid w:val="007074E9"/>
    <w:rsid w:val="00713DA4"/>
    <w:rsid w:val="00714BF1"/>
    <w:rsid w:val="00721383"/>
    <w:rsid w:val="0073158B"/>
    <w:rsid w:val="007333CC"/>
    <w:rsid w:val="0073399A"/>
    <w:rsid w:val="0075615B"/>
    <w:rsid w:val="007603F5"/>
    <w:rsid w:val="00764DB0"/>
    <w:rsid w:val="0076764D"/>
    <w:rsid w:val="007740A4"/>
    <w:rsid w:val="0077498C"/>
    <w:rsid w:val="0077749C"/>
    <w:rsid w:val="007809BC"/>
    <w:rsid w:val="00782EE1"/>
    <w:rsid w:val="00784128"/>
    <w:rsid w:val="00785D66"/>
    <w:rsid w:val="00793173"/>
    <w:rsid w:val="007A2A33"/>
    <w:rsid w:val="007A7B20"/>
    <w:rsid w:val="007B0967"/>
    <w:rsid w:val="007B4DDB"/>
    <w:rsid w:val="007C0FE1"/>
    <w:rsid w:val="007C1FCC"/>
    <w:rsid w:val="007C50AA"/>
    <w:rsid w:val="007C6201"/>
    <w:rsid w:val="007D7C92"/>
    <w:rsid w:val="007E1154"/>
    <w:rsid w:val="007E39B3"/>
    <w:rsid w:val="007E44C4"/>
    <w:rsid w:val="007E6BA4"/>
    <w:rsid w:val="007F41F8"/>
    <w:rsid w:val="007F5D49"/>
    <w:rsid w:val="007F6A57"/>
    <w:rsid w:val="00800B76"/>
    <w:rsid w:val="008017F0"/>
    <w:rsid w:val="0080454E"/>
    <w:rsid w:val="00804C32"/>
    <w:rsid w:val="00804DA6"/>
    <w:rsid w:val="00806302"/>
    <w:rsid w:val="00807119"/>
    <w:rsid w:val="00823187"/>
    <w:rsid w:val="008235DF"/>
    <w:rsid w:val="0082483F"/>
    <w:rsid w:val="008279C0"/>
    <w:rsid w:val="00841051"/>
    <w:rsid w:val="00842D18"/>
    <w:rsid w:val="008500BD"/>
    <w:rsid w:val="00860723"/>
    <w:rsid w:val="008723F3"/>
    <w:rsid w:val="00874240"/>
    <w:rsid w:val="008812B3"/>
    <w:rsid w:val="00881DE6"/>
    <w:rsid w:val="008837A6"/>
    <w:rsid w:val="0089145D"/>
    <w:rsid w:val="00894C1D"/>
    <w:rsid w:val="008A3BDF"/>
    <w:rsid w:val="008A4DF2"/>
    <w:rsid w:val="008A6CFE"/>
    <w:rsid w:val="008B5333"/>
    <w:rsid w:val="008B6223"/>
    <w:rsid w:val="008C4AC6"/>
    <w:rsid w:val="008C66E0"/>
    <w:rsid w:val="008E0EC8"/>
    <w:rsid w:val="008E3339"/>
    <w:rsid w:val="008F20FC"/>
    <w:rsid w:val="008F5FFE"/>
    <w:rsid w:val="009009A3"/>
    <w:rsid w:val="00905A43"/>
    <w:rsid w:val="00912C79"/>
    <w:rsid w:val="00914A23"/>
    <w:rsid w:val="0092443C"/>
    <w:rsid w:val="009301AE"/>
    <w:rsid w:val="00932C86"/>
    <w:rsid w:val="00942123"/>
    <w:rsid w:val="0095207B"/>
    <w:rsid w:val="00962045"/>
    <w:rsid w:val="00965552"/>
    <w:rsid w:val="00967219"/>
    <w:rsid w:val="00971D8A"/>
    <w:rsid w:val="00974545"/>
    <w:rsid w:val="00980E61"/>
    <w:rsid w:val="00991428"/>
    <w:rsid w:val="00992676"/>
    <w:rsid w:val="009954B2"/>
    <w:rsid w:val="00996691"/>
    <w:rsid w:val="009A4569"/>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E64EE"/>
    <w:rsid w:val="009E7230"/>
    <w:rsid w:val="009F275E"/>
    <w:rsid w:val="009F5D51"/>
    <w:rsid w:val="00A00F20"/>
    <w:rsid w:val="00A047EE"/>
    <w:rsid w:val="00A11E80"/>
    <w:rsid w:val="00A17858"/>
    <w:rsid w:val="00A2274A"/>
    <w:rsid w:val="00A235B7"/>
    <w:rsid w:val="00A27A7A"/>
    <w:rsid w:val="00A407EF"/>
    <w:rsid w:val="00A46B4C"/>
    <w:rsid w:val="00A5117B"/>
    <w:rsid w:val="00A54CB5"/>
    <w:rsid w:val="00A552A9"/>
    <w:rsid w:val="00A60074"/>
    <w:rsid w:val="00A62FDA"/>
    <w:rsid w:val="00A6627C"/>
    <w:rsid w:val="00A71019"/>
    <w:rsid w:val="00A71BE2"/>
    <w:rsid w:val="00A81029"/>
    <w:rsid w:val="00A96489"/>
    <w:rsid w:val="00AA3E0F"/>
    <w:rsid w:val="00AA7445"/>
    <w:rsid w:val="00AB685C"/>
    <w:rsid w:val="00AB6C2D"/>
    <w:rsid w:val="00AC08F7"/>
    <w:rsid w:val="00AC3839"/>
    <w:rsid w:val="00AC4597"/>
    <w:rsid w:val="00AC7082"/>
    <w:rsid w:val="00AD1438"/>
    <w:rsid w:val="00AD2931"/>
    <w:rsid w:val="00AD513F"/>
    <w:rsid w:val="00AE2316"/>
    <w:rsid w:val="00AE74BA"/>
    <w:rsid w:val="00AF228E"/>
    <w:rsid w:val="00B016A8"/>
    <w:rsid w:val="00B14819"/>
    <w:rsid w:val="00B15E2F"/>
    <w:rsid w:val="00B17AA9"/>
    <w:rsid w:val="00B30D9A"/>
    <w:rsid w:val="00B42FA1"/>
    <w:rsid w:val="00B44713"/>
    <w:rsid w:val="00B46394"/>
    <w:rsid w:val="00B56103"/>
    <w:rsid w:val="00B64929"/>
    <w:rsid w:val="00B727C5"/>
    <w:rsid w:val="00B736DF"/>
    <w:rsid w:val="00B743D6"/>
    <w:rsid w:val="00B74B59"/>
    <w:rsid w:val="00B74FBD"/>
    <w:rsid w:val="00B77F46"/>
    <w:rsid w:val="00B82586"/>
    <w:rsid w:val="00B829A3"/>
    <w:rsid w:val="00B86DB1"/>
    <w:rsid w:val="00B87869"/>
    <w:rsid w:val="00B96CE3"/>
    <w:rsid w:val="00BA6755"/>
    <w:rsid w:val="00BB08C2"/>
    <w:rsid w:val="00BB0F2B"/>
    <w:rsid w:val="00BB38D1"/>
    <w:rsid w:val="00BC04A5"/>
    <w:rsid w:val="00BE339F"/>
    <w:rsid w:val="00BE4FF3"/>
    <w:rsid w:val="00BF46FE"/>
    <w:rsid w:val="00BF50F7"/>
    <w:rsid w:val="00BF6A09"/>
    <w:rsid w:val="00C02F29"/>
    <w:rsid w:val="00C20A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6849"/>
    <w:rsid w:val="00C8712A"/>
    <w:rsid w:val="00C90E84"/>
    <w:rsid w:val="00C963D3"/>
    <w:rsid w:val="00CB1983"/>
    <w:rsid w:val="00CB2CBB"/>
    <w:rsid w:val="00CB7CAC"/>
    <w:rsid w:val="00CC5335"/>
    <w:rsid w:val="00CC5BA4"/>
    <w:rsid w:val="00CD4998"/>
    <w:rsid w:val="00CE1035"/>
    <w:rsid w:val="00CE6E50"/>
    <w:rsid w:val="00CE774A"/>
    <w:rsid w:val="00CE7BE6"/>
    <w:rsid w:val="00CF2819"/>
    <w:rsid w:val="00CF4F9D"/>
    <w:rsid w:val="00CF70DC"/>
    <w:rsid w:val="00D13B24"/>
    <w:rsid w:val="00D148DC"/>
    <w:rsid w:val="00D17FDC"/>
    <w:rsid w:val="00D26E26"/>
    <w:rsid w:val="00D56B4E"/>
    <w:rsid w:val="00D608A4"/>
    <w:rsid w:val="00D60E46"/>
    <w:rsid w:val="00D63EFD"/>
    <w:rsid w:val="00D651FD"/>
    <w:rsid w:val="00D72DE7"/>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1744"/>
    <w:rsid w:val="00DD2E11"/>
    <w:rsid w:val="00DD47EF"/>
    <w:rsid w:val="00DE03AF"/>
    <w:rsid w:val="00DE121C"/>
    <w:rsid w:val="00DE6633"/>
    <w:rsid w:val="00DF0864"/>
    <w:rsid w:val="00DF392D"/>
    <w:rsid w:val="00DF75F8"/>
    <w:rsid w:val="00DF7A3A"/>
    <w:rsid w:val="00E00C00"/>
    <w:rsid w:val="00E07C5A"/>
    <w:rsid w:val="00E15BA9"/>
    <w:rsid w:val="00E26E19"/>
    <w:rsid w:val="00E30C8A"/>
    <w:rsid w:val="00E31DF3"/>
    <w:rsid w:val="00E35F91"/>
    <w:rsid w:val="00E450A4"/>
    <w:rsid w:val="00E506BE"/>
    <w:rsid w:val="00E55547"/>
    <w:rsid w:val="00E604A1"/>
    <w:rsid w:val="00E6302B"/>
    <w:rsid w:val="00E6452F"/>
    <w:rsid w:val="00E64F45"/>
    <w:rsid w:val="00E6742D"/>
    <w:rsid w:val="00E71CB0"/>
    <w:rsid w:val="00E77C3D"/>
    <w:rsid w:val="00E81160"/>
    <w:rsid w:val="00E8262F"/>
    <w:rsid w:val="00E83CE8"/>
    <w:rsid w:val="00E90991"/>
    <w:rsid w:val="00E909F0"/>
    <w:rsid w:val="00E90D47"/>
    <w:rsid w:val="00E93993"/>
    <w:rsid w:val="00E9597C"/>
    <w:rsid w:val="00EA0913"/>
    <w:rsid w:val="00EA5B00"/>
    <w:rsid w:val="00EB146B"/>
    <w:rsid w:val="00EB45AC"/>
    <w:rsid w:val="00EB5CA4"/>
    <w:rsid w:val="00EC00F9"/>
    <w:rsid w:val="00EC5220"/>
    <w:rsid w:val="00ED0BC4"/>
    <w:rsid w:val="00ED20E8"/>
    <w:rsid w:val="00ED472A"/>
    <w:rsid w:val="00ED54B6"/>
    <w:rsid w:val="00EE4971"/>
    <w:rsid w:val="00EF090E"/>
    <w:rsid w:val="00F033DA"/>
    <w:rsid w:val="00F113C2"/>
    <w:rsid w:val="00F1235D"/>
    <w:rsid w:val="00F13FB1"/>
    <w:rsid w:val="00F2004C"/>
    <w:rsid w:val="00F27CD8"/>
    <w:rsid w:val="00F30351"/>
    <w:rsid w:val="00F3323E"/>
    <w:rsid w:val="00F341F4"/>
    <w:rsid w:val="00F34F9D"/>
    <w:rsid w:val="00F35CCE"/>
    <w:rsid w:val="00F37A65"/>
    <w:rsid w:val="00F5524B"/>
    <w:rsid w:val="00F60538"/>
    <w:rsid w:val="00F61DD2"/>
    <w:rsid w:val="00F66AFF"/>
    <w:rsid w:val="00F71433"/>
    <w:rsid w:val="00F76524"/>
    <w:rsid w:val="00F76CD4"/>
    <w:rsid w:val="00F8121F"/>
    <w:rsid w:val="00F83464"/>
    <w:rsid w:val="00F93BE7"/>
    <w:rsid w:val="00F95B6E"/>
    <w:rsid w:val="00F97C5B"/>
    <w:rsid w:val="00FA3D50"/>
    <w:rsid w:val="00FA7727"/>
    <w:rsid w:val="00FB7524"/>
    <w:rsid w:val="00FB7FBD"/>
    <w:rsid w:val="00FC374A"/>
    <w:rsid w:val="00FC48D8"/>
    <w:rsid w:val="00FC7B47"/>
    <w:rsid w:val="00FD035C"/>
    <w:rsid w:val="00FD1A35"/>
    <w:rsid w:val="00FD36C5"/>
    <w:rsid w:val="00FD6310"/>
    <w:rsid w:val="00FD7C7B"/>
    <w:rsid w:val="00FE1D12"/>
    <w:rsid w:val="00FE2122"/>
    <w:rsid w:val="00FE2A86"/>
    <w:rsid w:val="00FE2DE2"/>
    <w:rsid w:val="00FE759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0291509">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151172605">
      <w:bodyDiv w:val="1"/>
      <w:marLeft w:val="0"/>
      <w:marRight w:val="0"/>
      <w:marTop w:val="0"/>
      <w:marBottom w:val="0"/>
      <w:divBdr>
        <w:top w:val="none" w:sz="0" w:space="0" w:color="auto"/>
        <w:left w:val="none" w:sz="0" w:space="0" w:color="auto"/>
        <w:bottom w:val="none" w:sz="0" w:space="0" w:color="auto"/>
        <w:right w:val="none" w:sz="0" w:space="0" w:color="auto"/>
      </w:divBdr>
    </w:div>
    <w:div w:id="1596816511">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5636</Words>
  <Characters>27903</Characters>
  <Application>Microsoft Office Word</Application>
  <DocSecurity>0</DocSecurity>
  <Lines>715</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2021-09-06T18:06:00Z</dcterms:created>
  <dcterms:modified xsi:type="dcterms:W3CDTF">2021-09-06T18:06:00Z</dcterms:modified>
</cp:coreProperties>
</file>