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C62857" w:rsidRDefault="00C7729F" w:rsidP="003C4BCB">
      <w:pPr>
        <w:pStyle w:val="ListParagraph"/>
        <w:numPr>
          <w:ilvl w:val="0"/>
          <w:numId w:val="2"/>
        </w:numPr>
        <w:ind w:left="426"/>
        <w:jc w:val="both"/>
        <w:rPr>
          <w:rFonts w:ascii="Arial" w:hAnsi="Arial" w:cs="Arial"/>
          <w:sz w:val="22"/>
          <w:szCs w:val="22"/>
          <w:highlight w:val="yellow"/>
          <w:lang w:val="en-GB"/>
        </w:rPr>
      </w:pPr>
      <w:r w:rsidRPr="00C62857">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C62857">
        <w:rPr>
          <w:rFonts w:ascii="Arial" w:hAnsi="Arial" w:cs="Arial"/>
          <w:sz w:val="22"/>
          <w:szCs w:val="22"/>
          <w:highlight w:val="yellow"/>
          <w:lang w:val="en-GB"/>
        </w:rPr>
        <w:t>1960s,</w:t>
      </w:r>
      <w:r w:rsidRPr="00C62857">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5943DC" w:rsidRDefault="00BB38D1" w:rsidP="003C4BCB">
      <w:pPr>
        <w:pStyle w:val="ListParagraph"/>
        <w:numPr>
          <w:ilvl w:val="0"/>
          <w:numId w:val="3"/>
        </w:numPr>
        <w:ind w:left="426"/>
        <w:jc w:val="both"/>
        <w:rPr>
          <w:rFonts w:ascii="Arial" w:hAnsi="Arial" w:cs="Arial"/>
          <w:iCs/>
          <w:sz w:val="22"/>
          <w:szCs w:val="22"/>
          <w:highlight w:val="yellow"/>
          <w:lang w:val="en-GB"/>
        </w:rPr>
      </w:pPr>
      <w:r w:rsidRPr="005943DC">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31 EIR Recast (“</w:t>
      </w:r>
      <w:r w:rsidRPr="001E5F8A">
        <w:rPr>
          <w:rFonts w:ascii="Arial" w:hAnsi="Arial" w:cs="Arial"/>
          <w:bCs/>
          <w:sz w:val="22"/>
          <w:szCs w:val="22"/>
          <w:lang w:val="en-GB"/>
        </w:rPr>
        <w:t>Honouring of an obligation to a debtor”</w:t>
      </w:r>
      <w:r w:rsidRPr="001E5F8A">
        <w:rPr>
          <w:rFonts w:ascii="Arial" w:hAnsi="Arial" w:cs="Arial"/>
          <w:sz w:val="22"/>
          <w:szCs w:val="22"/>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D338A2" w:rsidRDefault="00874240" w:rsidP="003C4BCB">
      <w:pPr>
        <w:pStyle w:val="ListParagraph"/>
        <w:numPr>
          <w:ilvl w:val="0"/>
          <w:numId w:val="4"/>
        </w:numPr>
        <w:ind w:left="426"/>
        <w:jc w:val="both"/>
        <w:rPr>
          <w:rFonts w:ascii="Arial" w:hAnsi="Arial" w:cs="Arial"/>
          <w:sz w:val="22"/>
          <w:szCs w:val="22"/>
          <w:highlight w:val="yellow"/>
          <w:lang w:val="en-GB"/>
        </w:rPr>
      </w:pPr>
      <w:r w:rsidRPr="00D338A2">
        <w:rPr>
          <w:rFonts w:ascii="Arial" w:hAnsi="Arial" w:cs="Arial"/>
          <w:sz w:val="22"/>
          <w:szCs w:val="22"/>
          <w:highlight w:val="yellow"/>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F26A5A" w:rsidRDefault="00874240" w:rsidP="003C4BCB">
      <w:pPr>
        <w:pStyle w:val="ListParagraph"/>
        <w:numPr>
          <w:ilvl w:val="0"/>
          <w:numId w:val="5"/>
        </w:numPr>
        <w:ind w:left="426"/>
        <w:jc w:val="both"/>
        <w:rPr>
          <w:rFonts w:ascii="Arial" w:hAnsi="Arial" w:cs="Arial"/>
          <w:sz w:val="22"/>
          <w:szCs w:val="22"/>
          <w:lang w:val="en-GB"/>
        </w:rPr>
      </w:pPr>
      <w:r w:rsidRPr="00F26A5A">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F26A5A" w:rsidRDefault="00874240" w:rsidP="003C4BCB">
      <w:pPr>
        <w:pStyle w:val="ListParagraph"/>
        <w:numPr>
          <w:ilvl w:val="0"/>
          <w:numId w:val="5"/>
        </w:numPr>
        <w:ind w:left="426"/>
        <w:jc w:val="both"/>
        <w:rPr>
          <w:rFonts w:ascii="Arial" w:hAnsi="Arial" w:cs="Arial"/>
          <w:sz w:val="22"/>
          <w:szCs w:val="22"/>
          <w:highlight w:val="yellow"/>
          <w:lang w:val="en-GB"/>
        </w:rPr>
      </w:pPr>
      <w:r w:rsidRPr="00F26A5A">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6D3C75" w:rsidRDefault="00874240" w:rsidP="003C4BCB">
      <w:pPr>
        <w:pStyle w:val="ListParagraph"/>
        <w:numPr>
          <w:ilvl w:val="0"/>
          <w:numId w:val="6"/>
        </w:numPr>
        <w:ind w:left="426"/>
        <w:jc w:val="both"/>
        <w:rPr>
          <w:rFonts w:ascii="Arial" w:hAnsi="Arial" w:cs="Arial"/>
          <w:sz w:val="22"/>
          <w:szCs w:val="22"/>
          <w:highlight w:val="yellow"/>
          <w:lang w:val="en-GB"/>
        </w:rPr>
      </w:pPr>
      <w:r w:rsidRPr="006D3C75">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Pr="00B64684" w:rsidRDefault="00113E29" w:rsidP="003C4BCB">
      <w:pPr>
        <w:pStyle w:val="ListParagraph"/>
        <w:numPr>
          <w:ilvl w:val="0"/>
          <w:numId w:val="7"/>
        </w:numPr>
        <w:ind w:left="426"/>
        <w:jc w:val="both"/>
        <w:rPr>
          <w:rFonts w:ascii="Arial" w:hAnsi="Arial" w:cs="Arial"/>
          <w:sz w:val="22"/>
          <w:szCs w:val="22"/>
          <w:highlight w:val="yellow"/>
          <w:lang w:val="en-GB"/>
        </w:rPr>
      </w:pPr>
      <w:r w:rsidRPr="00B64684">
        <w:rPr>
          <w:rFonts w:ascii="Arial" w:hAnsi="Arial" w:cs="Arial"/>
          <w:sz w:val="22"/>
          <w:szCs w:val="22"/>
          <w:highlight w:val="yellow"/>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3C4342"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1E0BA3" w:rsidRDefault="00967219" w:rsidP="003C4BCB">
      <w:pPr>
        <w:pStyle w:val="ListParagraph"/>
        <w:numPr>
          <w:ilvl w:val="0"/>
          <w:numId w:val="8"/>
        </w:numPr>
        <w:ind w:left="426"/>
        <w:jc w:val="both"/>
        <w:rPr>
          <w:rFonts w:ascii="Arial" w:hAnsi="Arial" w:cs="Arial"/>
          <w:sz w:val="22"/>
          <w:szCs w:val="22"/>
          <w:highlight w:val="yellow"/>
          <w:lang w:val="en-GB"/>
        </w:rPr>
      </w:pPr>
      <w:r w:rsidRPr="001E0BA3">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i/>
          <w:sz w:val="22"/>
          <w:szCs w:val="22"/>
          <w:lang w:val="en-GB"/>
        </w:rPr>
        <w:t>Actio pauliana</w:t>
      </w:r>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Fema GmbH (Germany), concerning an action to set aside two payments (“contested payments”) in the amount of EUR 800,000, made pursuant to a sales agreement of 10 September 2019, governed by English law. The contested payments had been made by Abogados SA to Fema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r w:rsidR="00967219" w:rsidRPr="008500BD">
        <w:rPr>
          <w:rFonts w:ascii="Arial" w:hAnsi="Arial" w:cs="Arial"/>
          <w:sz w:val="22"/>
          <w:szCs w:val="22"/>
          <w:lang w:val="en-GB"/>
        </w:rPr>
        <w:t>Fema</w:t>
      </w:r>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Pr="00F36F0B" w:rsidRDefault="00967219" w:rsidP="003C4BCB">
      <w:pPr>
        <w:pStyle w:val="ListParagraph"/>
        <w:numPr>
          <w:ilvl w:val="0"/>
          <w:numId w:val="9"/>
        </w:numPr>
        <w:ind w:left="426"/>
        <w:jc w:val="both"/>
        <w:rPr>
          <w:rFonts w:ascii="Arial" w:hAnsi="Arial" w:cs="Arial"/>
          <w:sz w:val="22"/>
          <w:szCs w:val="22"/>
          <w:highlight w:val="yellow"/>
          <w:lang w:val="en-GB"/>
        </w:rPr>
      </w:pPr>
      <w:r w:rsidRPr="00F36F0B">
        <w:rPr>
          <w:rFonts w:ascii="Arial" w:hAnsi="Arial" w:cs="Arial"/>
          <w:sz w:val="22"/>
          <w:szCs w:val="22"/>
          <w:highlight w:val="yellow"/>
          <w:lang w:val="en-GB"/>
        </w:rPr>
        <w:t>The contested payments shall not be avoided if Fema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r w:rsidR="00967219" w:rsidRPr="00544F6E">
        <w:rPr>
          <w:rFonts w:ascii="Arial" w:hAnsi="Arial" w:cs="Arial"/>
          <w:sz w:val="22"/>
          <w:szCs w:val="22"/>
          <w:lang w:val="en-GB"/>
        </w:rPr>
        <w:t>Fema</w:t>
      </w:r>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lex causae</w:t>
      </w:r>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Fema GmbH can prove that the </w:t>
      </w:r>
      <w:r w:rsidRPr="00544F6E">
        <w:rPr>
          <w:rFonts w:ascii="Arial" w:hAnsi="Arial" w:cs="Arial"/>
          <w:i/>
          <w:sz w:val="22"/>
          <w:szCs w:val="22"/>
          <w:lang w:val="en-GB"/>
        </w:rPr>
        <w:t>lex causae</w:t>
      </w:r>
      <w:r w:rsidRPr="00544F6E">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F36F0B" w:rsidRDefault="00FC48D8" w:rsidP="003C4BCB">
      <w:pPr>
        <w:pStyle w:val="ListParagraph"/>
        <w:numPr>
          <w:ilvl w:val="0"/>
          <w:numId w:val="10"/>
        </w:numPr>
        <w:ind w:left="426"/>
        <w:jc w:val="both"/>
        <w:rPr>
          <w:rFonts w:ascii="Arial" w:hAnsi="Arial" w:cs="Arial"/>
          <w:sz w:val="22"/>
          <w:szCs w:val="22"/>
          <w:highlight w:val="yellow"/>
          <w:lang w:val="en-GB"/>
        </w:rPr>
      </w:pPr>
      <w:r w:rsidRPr="00F36F0B">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r w:rsidRPr="008500BD">
        <w:rPr>
          <w:rFonts w:ascii="Arial" w:hAnsi="Arial" w:cs="Arial"/>
          <w:i/>
          <w:sz w:val="22"/>
          <w:szCs w:val="22"/>
          <w:lang w:val="en-GB"/>
        </w:rPr>
        <w:t>Concurso</w:t>
      </w:r>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Pr="0080641C" w:rsidRDefault="00FC48D8" w:rsidP="003C4BCB">
      <w:pPr>
        <w:pStyle w:val="ListParagraph"/>
        <w:numPr>
          <w:ilvl w:val="0"/>
          <w:numId w:val="11"/>
        </w:numPr>
        <w:ind w:left="426"/>
        <w:jc w:val="both"/>
        <w:rPr>
          <w:rFonts w:ascii="Arial" w:hAnsi="Arial" w:cs="Arial"/>
          <w:sz w:val="22"/>
          <w:szCs w:val="22"/>
          <w:highlight w:val="yellow"/>
          <w:lang w:val="en-GB"/>
        </w:rPr>
      </w:pPr>
      <w:r w:rsidRPr="0080641C">
        <w:rPr>
          <w:rFonts w:ascii="Arial" w:hAnsi="Arial" w:cs="Arial"/>
          <w:sz w:val="22"/>
          <w:szCs w:val="22"/>
          <w:highlight w:val="yellow"/>
          <w:lang w:val="en-GB"/>
        </w:rPr>
        <w:t xml:space="preserve">Within 15 days, as stipulated in the applicable </w:t>
      </w:r>
      <w:r w:rsidRPr="0080641C">
        <w:rPr>
          <w:rFonts w:ascii="Arial" w:hAnsi="Arial" w:cs="Arial"/>
          <w:i/>
          <w:sz w:val="22"/>
          <w:szCs w:val="22"/>
          <w:highlight w:val="yellow"/>
          <w:lang w:val="en-GB"/>
        </w:rPr>
        <w:t>lex concursus secundarii</w:t>
      </w:r>
      <w:r w:rsidRPr="0080641C">
        <w:rPr>
          <w:rFonts w:ascii="Arial" w:hAnsi="Arial" w:cs="Arial"/>
          <w:sz w:val="22"/>
          <w:szCs w:val="22"/>
          <w:highlight w:val="yellow"/>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65F9A06A" w:rsidR="00636C15" w:rsidRDefault="00636C15" w:rsidP="00636C15">
      <w:pPr>
        <w:jc w:val="both"/>
        <w:rPr>
          <w:rFonts w:ascii="Arial" w:hAnsi="Arial" w:cs="Arial"/>
          <w:sz w:val="22"/>
          <w:szCs w:val="22"/>
          <w:lang w:val="en-GB"/>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348BDD79" w14:textId="74BC3210" w:rsidR="008A2CD0" w:rsidRDefault="008A2CD0" w:rsidP="00636C15">
      <w:pPr>
        <w:jc w:val="both"/>
        <w:rPr>
          <w:rFonts w:ascii="Arial" w:hAnsi="Arial" w:cs="Arial"/>
          <w:sz w:val="22"/>
          <w:szCs w:val="22"/>
          <w:lang w:val="en-GB"/>
        </w:rPr>
      </w:pPr>
    </w:p>
    <w:p w14:paraId="72D9781C" w14:textId="7E8C93DC" w:rsidR="008A2CD0" w:rsidRPr="008A2CD0" w:rsidRDefault="008A2CD0" w:rsidP="00636C15">
      <w:pPr>
        <w:jc w:val="both"/>
        <w:rPr>
          <w:rFonts w:ascii="Arial" w:hAnsi="Arial" w:cs="Arial"/>
          <w:color w:val="FF0000"/>
          <w:sz w:val="22"/>
          <w:szCs w:val="22"/>
        </w:rPr>
      </w:pPr>
      <w:r w:rsidRPr="008A2CD0">
        <w:rPr>
          <w:rFonts w:ascii="Arial" w:hAnsi="Arial" w:cs="Arial"/>
          <w:color w:val="FF0000"/>
          <w:sz w:val="22"/>
          <w:szCs w:val="22"/>
          <w:lang w:val="en-GB"/>
        </w:rPr>
        <w:t>Statement 1 relates to the concept known as forum shopping. Recitals 29 and 31 of the EIR Recast speak to forum shopping.</w:t>
      </w:r>
    </w:p>
    <w:p w14:paraId="63129F80" w14:textId="77777777" w:rsidR="00636C15" w:rsidRPr="008A2CD0" w:rsidRDefault="00636C15" w:rsidP="00636C15">
      <w:pPr>
        <w:ind w:left="720" w:hanging="720"/>
        <w:jc w:val="both"/>
        <w:rPr>
          <w:rFonts w:ascii="Arial" w:hAnsi="Arial" w:cs="Arial"/>
          <w:color w:val="FF0000"/>
          <w:sz w:val="22"/>
          <w:szCs w:val="22"/>
        </w:rPr>
      </w:pPr>
    </w:p>
    <w:p w14:paraId="5C7DD9F3" w14:textId="3540B26F" w:rsidR="00636C15" w:rsidRPr="00FF2935" w:rsidRDefault="008A2CD0" w:rsidP="00FF2935">
      <w:pPr>
        <w:jc w:val="both"/>
        <w:rPr>
          <w:rFonts w:ascii="Arial" w:hAnsi="Arial" w:cs="Arial"/>
          <w:color w:val="FF0000"/>
          <w:sz w:val="22"/>
          <w:szCs w:val="22"/>
        </w:rPr>
      </w:pPr>
      <w:r>
        <w:rPr>
          <w:rFonts w:ascii="Arial" w:hAnsi="Arial" w:cs="Arial"/>
          <w:color w:val="FF0000"/>
          <w:sz w:val="22"/>
          <w:szCs w:val="22"/>
        </w:rPr>
        <w:t>Statement 2</w:t>
      </w:r>
      <w:r w:rsidR="00FF2935">
        <w:rPr>
          <w:rFonts w:ascii="Arial" w:hAnsi="Arial" w:cs="Arial"/>
          <w:color w:val="FF0000"/>
          <w:sz w:val="22"/>
          <w:szCs w:val="22"/>
        </w:rPr>
        <w:t xml:space="preserve"> </w:t>
      </w:r>
      <w:r w:rsidR="00FF2935" w:rsidRPr="00FF2935">
        <w:rPr>
          <w:rFonts w:ascii="Arial" w:hAnsi="Arial" w:cs="Arial"/>
          <w:color w:val="FF0000"/>
          <w:sz w:val="22"/>
          <w:szCs w:val="22"/>
        </w:rPr>
        <w:t xml:space="preserve">relates to the concept known as </w:t>
      </w:r>
      <w:r w:rsidR="00FF2935">
        <w:rPr>
          <w:rFonts w:ascii="Arial" w:hAnsi="Arial" w:cs="Arial"/>
          <w:color w:val="FF0000"/>
          <w:sz w:val="22"/>
          <w:szCs w:val="22"/>
        </w:rPr>
        <w:t xml:space="preserve">a </w:t>
      </w:r>
      <w:r w:rsidR="00FF2935" w:rsidRPr="00FF2935">
        <w:rPr>
          <w:rFonts w:ascii="Arial" w:hAnsi="Arial" w:cs="Arial"/>
          <w:color w:val="FF0000"/>
          <w:sz w:val="22"/>
          <w:szCs w:val="22"/>
        </w:rPr>
        <w:t xml:space="preserve">synthetic </w:t>
      </w:r>
      <w:r w:rsidR="00E45447">
        <w:rPr>
          <w:rFonts w:ascii="Arial" w:hAnsi="Arial" w:cs="Arial"/>
          <w:color w:val="FF0000"/>
          <w:sz w:val="22"/>
          <w:szCs w:val="22"/>
        </w:rPr>
        <w:t xml:space="preserve">secondary </w:t>
      </w:r>
      <w:r w:rsidR="00FF2935" w:rsidRPr="00FF2935">
        <w:rPr>
          <w:rFonts w:ascii="Arial" w:hAnsi="Arial" w:cs="Arial"/>
          <w:color w:val="FF0000"/>
          <w:sz w:val="22"/>
          <w:szCs w:val="22"/>
        </w:rPr>
        <w:t>proceeding</w:t>
      </w:r>
      <w:r w:rsidR="00FF2935">
        <w:rPr>
          <w:rFonts w:ascii="Arial" w:hAnsi="Arial" w:cs="Arial"/>
          <w:color w:val="FF0000"/>
          <w:sz w:val="22"/>
          <w:szCs w:val="22"/>
        </w:rPr>
        <w:t xml:space="preserve">. Article 36 of the EIR </w:t>
      </w:r>
      <w:r>
        <w:rPr>
          <w:rFonts w:ascii="Arial" w:hAnsi="Arial" w:cs="Arial"/>
          <w:color w:val="FF0000"/>
          <w:sz w:val="22"/>
          <w:szCs w:val="22"/>
        </w:rPr>
        <w:t>R</w:t>
      </w:r>
      <w:r w:rsidR="00FF2935">
        <w:rPr>
          <w:rFonts w:ascii="Arial" w:hAnsi="Arial" w:cs="Arial"/>
          <w:color w:val="FF0000"/>
          <w:sz w:val="22"/>
          <w:szCs w:val="22"/>
        </w:rPr>
        <w:t xml:space="preserve">ecast deals with the concept of synthetic proceedings. </w:t>
      </w:r>
    </w:p>
    <w:p w14:paraId="22C610C9" w14:textId="16EF6256" w:rsidR="00DE03AF" w:rsidRPr="008500BD" w:rsidRDefault="00DE03AF" w:rsidP="002A37BB">
      <w:pPr>
        <w:jc w:val="both"/>
        <w:rPr>
          <w:rFonts w:ascii="Arial" w:hAnsi="Arial" w:cs="Arial"/>
          <w:sz w:val="22"/>
          <w:szCs w:val="22"/>
        </w:rPr>
      </w:pP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16675D5F" w14:textId="42AFB277" w:rsidR="00636C15" w:rsidRDefault="003F5FBD" w:rsidP="003F5FBD">
      <w:pPr>
        <w:jc w:val="both"/>
        <w:rPr>
          <w:rFonts w:ascii="Arial" w:hAnsi="Arial" w:cs="Arial"/>
          <w:color w:val="FF0000"/>
          <w:sz w:val="22"/>
          <w:szCs w:val="22"/>
          <w:lang w:val="en-GB"/>
        </w:rPr>
      </w:pPr>
      <w:r w:rsidRPr="003F5FBD">
        <w:rPr>
          <w:rFonts w:ascii="Arial" w:hAnsi="Arial" w:cs="Arial"/>
          <w:color w:val="FF0000"/>
          <w:sz w:val="22"/>
          <w:szCs w:val="22"/>
          <w:lang w:val="en-GB"/>
        </w:rPr>
        <w:t>Three provisions of the EIR Recast that mandate co-operation and communication in the context of main and secondary insolvency proceedings are:</w:t>
      </w:r>
    </w:p>
    <w:p w14:paraId="695E4FDA" w14:textId="622A491E" w:rsidR="003F5FBD" w:rsidRDefault="003F5FBD" w:rsidP="003F5FBD">
      <w:pPr>
        <w:jc w:val="both"/>
        <w:rPr>
          <w:rFonts w:ascii="Arial" w:hAnsi="Arial" w:cs="Arial"/>
          <w:color w:val="FF0000"/>
          <w:sz w:val="22"/>
          <w:szCs w:val="22"/>
          <w:lang w:val="en-GB"/>
        </w:rPr>
      </w:pPr>
    </w:p>
    <w:p w14:paraId="0B43E575" w14:textId="779ABD74" w:rsidR="003F5FBD" w:rsidRDefault="003F5FBD" w:rsidP="003F5FBD">
      <w:pPr>
        <w:pStyle w:val="ListParagraph"/>
        <w:numPr>
          <w:ilvl w:val="0"/>
          <w:numId w:val="12"/>
        </w:numPr>
        <w:jc w:val="both"/>
        <w:rPr>
          <w:rFonts w:ascii="Arial" w:hAnsi="Arial" w:cs="Arial"/>
          <w:color w:val="FF0000"/>
          <w:sz w:val="22"/>
          <w:szCs w:val="22"/>
          <w:lang w:val="en-GB"/>
        </w:rPr>
      </w:pPr>
      <w:r>
        <w:rPr>
          <w:rFonts w:ascii="Arial" w:hAnsi="Arial" w:cs="Arial"/>
          <w:color w:val="FF0000"/>
          <w:sz w:val="22"/>
          <w:szCs w:val="22"/>
          <w:lang w:val="en-GB"/>
        </w:rPr>
        <w:t>Article 41 (insolvency practitioner to insolvency practitioner co-operation and communication);</w:t>
      </w:r>
    </w:p>
    <w:p w14:paraId="75374516" w14:textId="10FEDC94" w:rsidR="003F5FBD" w:rsidRDefault="003F5FBD" w:rsidP="003F5FBD">
      <w:pPr>
        <w:pStyle w:val="ListParagraph"/>
        <w:numPr>
          <w:ilvl w:val="0"/>
          <w:numId w:val="12"/>
        </w:numPr>
        <w:jc w:val="both"/>
        <w:rPr>
          <w:rFonts w:ascii="Arial" w:hAnsi="Arial" w:cs="Arial"/>
          <w:color w:val="FF0000"/>
          <w:sz w:val="22"/>
          <w:szCs w:val="22"/>
          <w:lang w:val="en-GB"/>
        </w:rPr>
      </w:pPr>
      <w:r>
        <w:rPr>
          <w:rFonts w:ascii="Arial" w:hAnsi="Arial" w:cs="Arial"/>
          <w:color w:val="FF0000"/>
          <w:sz w:val="22"/>
          <w:szCs w:val="22"/>
          <w:lang w:val="en-GB"/>
        </w:rPr>
        <w:t>Article 42 (court to court co-operation and communication); and</w:t>
      </w:r>
    </w:p>
    <w:p w14:paraId="3E9475F4" w14:textId="0F93F12D" w:rsidR="003F5FBD" w:rsidRPr="003F5FBD" w:rsidRDefault="003F5FBD" w:rsidP="003F5FBD">
      <w:pPr>
        <w:pStyle w:val="ListParagraph"/>
        <w:numPr>
          <w:ilvl w:val="0"/>
          <w:numId w:val="12"/>
        </w:numPr>
        <w:jc w:val="both"/>
        <w:rPr>
          <w:rFonts w:ascii="Arial" w:hAnsi="Arial" w:cs="Arial"/>
          <w:color w:val="FF0000"/>
          <w:sz w:val="22"/>
          <w:szCs w:val="22"/>
          <w:lang w:val="en-GB"/>
        </w:rPr>
      </w:pPr>
      <w:r>
        <w:rPr>
          <w:rFonts w:ascii="Arial" w:hAnsi="Arial" w:cs="Arial"/>
          <w:color w:val="FF0000"/>
          <w:sz w:val="22"/>
          <w:szCs w:val="22"/>
          <w:lang w:val="en-GB"/>
        </w:rPr>
        <w:t>Article 43 (insolvency practitioner to court co-operation and communication).</w:t>
      </w:r>
    </w:p>
    <w:p w14:paraId="6948B395" w14:textId="65A1604F" w:rsidR="00E90991" w:rsidRPr="008500BD" w:rsidRDefault="00E90991" w:rsidP="002A37BB">
      <w:pPr>
        <w:ind w:left="720" w:hanging="720"/>
        <w:jc w:val="both"/>
        <w:rPr>
          <w:rFonts w:ascii="Arial" w:hAnsi="Arial" w:cs="Arial"/>
          <w:sz w:val="22"/>
          <w:szCs w:val="22"/>
          <w:lang w:val="en-GB"/>
        </w:rPr>
      </w:pP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78DB9FD8" w14:textId="351B104F" w:rsidR="00C72848" w:rsidRPr="00992657" w:rsidRDefault="00992657" w:rsidP="00992657">
      <w:pPr>
        <w:jc w:val="both"/>
        <w:rPr>
          <w:rFonts w:ascii="Arial" w:hAnsi="Arial" w:cs="Arial"/>
          <w:color w:val="FF0000"/>
          <w:sz w:val="22"/>
          <w:szCs w:val="22"/>
          <w:lang w:val="en-GB"/>
        </w:rPr>
      </w:pPr>
      <w:r w:rsidRPr="00992657">
        <w:rPr>
          <w:rFonts w:ascii="Arial" w:hAnsi="Arial" w:cs="Arial"/>
          <w:color w:val="FF0000"/>
          <w:sz w:val="22"/>
          <w:szCs w:val="22"/>
          <w:lang w:val="en-GB"/>
        </w:rPr>
        <w:t>Three provisions of the EIR Recast which show that it is more rescue-oriented that the EIR 2000 are:</w:t>
      </w:r>
    </w:p>
    <w:p w14:paraId="6A4D6590" w14:textId="363E455E" w:rsidR="00992657" w:rsidRPr="00992657" w:rsidRDefault="00992657" w:rsidP="002A37BB">
      <w:pPr>
        <w:ind w:left="720" w:hanging="720"/>
        <w:jc w:val="both"/>
        <w:rPr>
          <w:rFonts w:ascii="Arial" w:hAnsi="Arial" w:cs="Arial"/>
          <w:color w:val="FF0000"/>
          <w:sz w:val="22"/>
          <w:szCs w:val="22"/>
          <w:lang w:val="en-GB"/>
        </w:rPr>
      </w:pPr>
    </w:p>
    <w:p w14:paraId="0DF7EAE3" w14:textId="3741FF40" w:rsidR="00992657" w:rsidRDefault="00992657" w:rsidP="00992657">
      <w:pPr>
        <w:pStyle w:val="ListParagraph"/>
        <w:numPr>
          <w:ilvl w:val="0"/>
          <w:numId w:val="13"/>
        </w:numPr>
        <w:jc w:val="both"/>
        <w:rPr>
          <w:rFonts w:ascii="Arial" w:hAnsi="Arial" w:cs="Arial"/>
          <w:color w:val="FF0000"/>
          <w:sz w:val="22"/>
          <w:szCs w:val="22"/>
          <w:lang w:val="en-GB"/>
        </w:rPr>
      </w:pPr>
      <w:r w:rsidRPr="00992657">
        <w:rPr>
          <w:rFonts w:ascii="Arial" w:hAnsi="Arial" w:cs="Arial"/>
          <w:color w:val="FF0000"/>
          <w:sz w:val="22"/>
          <w:szCs w:val="22"/>
          <w:lang w:val="en-GB"/>
        </w:rPr>
        <w:t xml:space="preserve">Article 1 of the EIR Recast </w:t>
      </w:r>
      <w:r w:rsidR="00C94771">
        <w:rPr>
          <w:rFonts w:ascii="Arial" w:hAnsi="Arial" w:cs="Arial"/>
          <w:color w:val="FF0000"/>
          <w:sz w:val="22"/>
          <w:szCs w:val="22"/>
          <w:lang w:val="en-GB"/>
        </w:rPr>
        <w:t xml:space="preserve">– Per this provision, the EIR recast is applicable to </w:t>
      </w:r>
      <w:r w:rsidR="00C94771" w:rsidRPr="00992657">
        <w:rPr>
          <w:rFonts w:ascii="Arial" w:hAnsi="Arial" w:cs="Arial"/>
          <w:color w:val="FF0000"/>
          <w:sz w:val="22"/>
          <w:szCs w:val="22"/>
          <w:lang w:val="en-GB"/>
        </w:rPr>
        <w:t>include</w:t>
      </w:r>
      <w:r w:rsidRPr="00992657">
        <w:rPr>
          <w:rFonts w:ascii="Arial" w:hAnsi="Arial" w:cs="Arial"/>
          <w:color w:val="FF0000"/>
          <w:sz w:val="22"/>
          <w:szCs w:val="22"/>
          <w:lang w:val="en-GB"/>
        </w:rPr>
        <w:t xml:space="preserve"> </w:t>
      </w:r>
      <w:r w:rsidR="002F0CF5">
        <w:rPr>
          <w:rFonts w:ascii="Arial" w:hAnsi="Arial" w:cs="Arial"/>
          <w:color w:val="FF0000"/>
          <w:sz w:val="22"/>
          <w:szCs w:val="22"/>
          <w:lang w:val="en-GB"/>
        </w:rPr>
        <w:t xml:space="preserve">insolvency </w:t>
      </w:r>
      <w:r w:rsidRPr="00992657">
        <w:rPr>
          <w:rFonts w:ascii="Arial" w:hAnsi="Arial" w:cs="Arial"/>
          <w:color w:val="FF0000"/>
          <w:sz w:val="22"/>
          <w:szCs w:val="22"/>
          <w:lang w:val="en-GB"/>
        </w:rPr>
        <w:t>proceedings commenced for the purpose of rescue.</w:t>
      </w:r>
      <w:r w:rsidR="00C94771">
        <w:rPr>
          <w:rFonts w:ascii="Arial" w:hAnsi="Arial" w:cs="Arial"/>
          <w:color w:val="FF0000"/>
          <w:sz w:val="22"/>
          <w:szCs w:val="22"/>
          <w:lang w:val="en-GB"/>
        </w:rPr>
        <w:t xml:space="preserve"> As such, insolvency proceedings commenced with the aim of rescue fall within the scope of the EIR Recast.</w:t>
      </w:r>
      <w:r w:rsidR="00F74CAF">
        <w:rPr>
          <w:rFonts w:ascii="Arial" w:hAnsi="Arial" w:cs="Arial"/>
          <w:color w:val="FF0000"/>
          <w:sz w:val="22"/>
          <w:szCs w:val="22"/>
          <w:lang w:val="en-GB"/>
        </w:rPr>
        <w:t xml:space="preserve"> Article 1 of EIR Recast also applies to pre-insolvency proceedings.</w:t>
      </w:r>
      <w:r w:rsidR="00C94771">
        <w:rPr>
          <w:rFonts w:ascii="Arial" w:hAnsi="Arial" w:cs="Arial"/>
          <w:color w:val="FF0000"/>
          <w:sz w:val="22"/>
          <w:szCs w:val="22"/>
          <w:lang w:val="en-GB"/>
        </w:rPr>
        <w:t xml:space="preserve"> Article 1 of the EIR 2000 does not include a reference to rescue proceedings, therefore such insolvency proceedings did not fall within the scope of the EIR 2000</w:t>
      </w:r>
      <w:r w:rsidR="00885BDA">
        <w:rPr>
          <w:rFonts w:ascii="Arial" w:hAnsi="Arial" w:cs="Arial"/>
          <w:color w:val="FF0000"/>
          <w:sz w:val="22"/>
          <w:szCs w:val="22"/>
          <w:lang w:val="en-GB"/>
        </w:rPr>
        <w:t xml:space="preserve"> and as such rescue proceedings could not derive benefit from EIR 2000.</w:t>
      </w:r>
    </w:p>
    <w:p w14:paraId="27134083" w14:textId="77777777" w:rsidR="00885BDA" w:rsidRDefault="00885BDA" w:rsidP="00885BDA">
      <w:pPr>
        <w:pStyle w:val="ListParagraph"/>
        <w:ind w:left="1080"/>
        <w:jc w:val="both"/>
        <w:rPr>
          <w:rFonts w:ascii="Arial" w:hAnsi="Arial" w:cs="Arial"/>
          <w:color w:val="FF0000"/>
          <w:sz w:val="22"/>
          <w:szCs w:val="22"/>
          <w:lang w:val="en-GB"/>
        </w:rPr>
      </w:pPr>
    </w:p>
    <w:p w14:paraId="13A31C5B" w14:textId="3D5D971F" w:rsidR="00D450BA" w:rsidRDefault="00885BDA" w:rsidP="00112799">
      <w:pPr>
        <w:pStyle w:val="ListParagraph"/>
        <w:numPr>
          <w:ilvl w:val="0"/>
          <w:numId w:val="13"/>
        </w:numPr>
        <w:jc w:val="both"/>
        <w:rPr>
          <w:rFonts w:ascii="Arial" w:hAnsi="Arial" w:cs="Arial"/>
          <w:color w:val="FF0000"/>
          <w:sz w:val="22"/>
          <w:szCs w:val="22"/>
          <w:lang w:val="en-GB"/>
        </w:rPr>
      </w:pPr>
      <w:r w:rsidRPr="00885BDA">
        <w:rPr>
          <w:rFonts w:ascii="Arial" w:hAnsi="Arial" w:cs="Arial"/>
          <w:color w:val="FF0000"/>
          <w:sz w:val="22"/>
          <w:szCs w:val="22"/>
          <w:lang w:val="en-GB"/>
        </w:rPr>
        <w:lastRenderedPageBreak/>
        <w:t>Per Article 34 of the EIR Recast, secondary proceedings that were permitted to be opened are no longer limited to those proceedings of a winding up nature.</w:t>
      </w:r>
      <w:r>
        <w:rPr>
          <w:rFonts w:ascii="Arial" w:hAnsi="Arial" w:cs="Arial"/>
          <w:color w:val="FF0000"/>
          <w:sz w:val="22"/>
          <w:szCs w:val="22"/>
          <w:lang w:val="en-GB"/>
        </w:rPr>
        <w:t xml:space="preserve"> As such, secondary proceeding in the nature of rescue proceedings may be opened which would benefit main proceeding that are in the nature of rescue proceedings. Previously, under 27 of the EIR 2000, only secondary proceedings in the nature of winding up proceedings were permitted to be opened.</w:t>
      </w:r>
    </w:p>
    <w:p w14:paraId="14487F04" w14:textId="77777777" w:rsidR="00885BDA" w:rsidRPr="00885BDA" w:rsidRDefault="00885BDA" w:rsidP="00885BDA">
      <w:pPr>
        <w:pStyle w:val="ListParagraph"/>
        <w:rPr>
          <w:rFonts w:ascii="Arial" w:hAnsi="Arial" w:cs="Arial"/>
          <w:color w:val="FF0000"/>
          <w:sz w:val="22"/>
          <w:szCs w:val="22"/>
          <w:lang w:val="en-GB"/>
        </w:rPr>
      </w:pPr>
    </w:p>
    <w:p w14:paraId="3F17EF6A" w14:textId="77777777" w:rsidR="00885BDA" w:rsidRPr="00885BDA" w:rsidRDefault="00885BDA" w:rsidP="00885BDA">
      <w:pPr>
        <w:pStyle w:val="ListParagraph"/>
        <w:ind w:left="1080"/>
        <w:jc w:val="both"/>
        <w:rPr>
          <w:rFonts w:ascii="Arial" w:hAnsi="Arial" w:cs="Arial"/>
          <w:color w:val="FF0000"/>
          <w:sz w:val="22"/>
          <w:szCs w:val="22"/>
          <w:lang w:val="en-GB"/>
        </w:rPr>
      </w:pPr>
    </w:p>
    <w:p w14:paraId="1758EA41" w14:textId="09C38B4C" w:rsidR="00992657" w:rsidRDefault="00D450BA" w:rsidP="00992657">
      <w:pPr>
        <w:pStyle w:val="ListParagraph"/>
        <w:numPr>
          <w:ilvl w:val="0"/>
          <w:numId w:val="13"/>
        </w:numPr>
        <w:jc w:val="both"/>
        <w:rPr>
          <w:rFonts w:ascii="Arial" w:hAnsi="Arial" w:cs="Arial"/>
          <w:color w:val="FF0000"/>
          <w:sz w:val="22"/>
          <w:szCs w:val="22"/>
          <w:lang w:val="en-GB"/>
        </w:rPr>
      </w:pPr>
      <w:r>
        <w:rPr>
          <w:rFonts w:ascii="Arial" w:hAnsi="Arial" w:cs="Arial"/>
          <w:color w:val="FF0000"/>
          <w:sz w:val="22"/>
          <w:szCs w:val="22"/>
          <w:lang w:val="en-GB"/>
        </w:rPr>
        <w:t>Article 41 of the EIR Recast</w:t>
      </w:r>
      <w:r w:rsidR="00C94771">
        <w:rPr>
          <w:rFonts w:ascii="Arial" w:hAnsi="Arial" w:cs="Arial"/>
          <w:color w:val="FF0000"/>
          <w:sz w:val="22"/>
          <w:szCs w:val="22"/>
          <w:lang w:val="en-GB"/>
        </w:rPr>
        <w:t>- Per this provision,</w:t>
      </w:r>
      <w:r w:rsidR="0064506A">
        <w:rPr>
          <w:rFonts w:ascii="Arial" w:hAnsi="Arial" w:cs="Arial"/>
          <w:color w:val="FF0000"/>
          <w:sz w:val="22"/>
          <w:szCs w:val="22"/>
          <w:lang w:val="en-GB"/>
        </w:rPr>
        <w:t xml:space="preserve"> insolvency practitioners </w:t>
      </w:r>
      <w:r w:rsidR="00C94771">
        <w:rPr>
          <w:rFonts w:ascii="Arial" w:hAnsi="Arial" w:cs="Arial"/>
          <w:color w:val="FF0000"/>
          <w:sz w:val="22"/>
          <w:szCs w:val="22"/>
          <w:lang w:val="en-GB"/>
        </w:rPr>
        <w:t xml:space="preserve">are required to </w:t>
      </w:r>
      <w:r w:rsidR="0064506A">
        <w:rPr>
          <w:rFonts w:ascii="Arial" w:hAnsi="Arial" w:cs="Arial"/>
          <w:color w:val="FF0000"/>
          <w:sz w:val="22"/>
          <w:szCs w:val="22"/>
          <w:lang w:val="en-GB"/>
        </w:rPr>
        <w:t>(i) co-operate and communicate with each other to verify all measures aimed at rescuing or restructuring the debtor</w:t>
      </w:r>
      <w:r w:rsidR="005905CF">
        <w:rPr>
          <w:rFonts w:ascii="Arial" w:hAnsi="Arial" w:cs="Arial"/>
          <w:color w:val="FF0000"/>
          <w:sz w:val="22"/>
          <w:szCs w:val="22"/>
          <w:lang w:val="en-GB"/>
        </w:rPr>
        <w:t>;</w:t>
      </w:r>
      <w:r w:rsidR="0064506A">
        <w:rPr>
          <w:rFonts w:ascii="Arial" w:hAnsi="Arial" w:cs="Arial"/>
          <w:color w:val="FF0000"/>
          <w:sz w:val="22"/>
          <w:szCs w:val="22"/>
          <w:lang w:val="en-GB"/>
        </w:rPr>
        <w:t xml:space="preserve"> and (ii) explore the possibility of restructuring the debtor.</w:t>
      </w:r>
      <w:r w:rsidR="00C951D1">
        <w:rPr>
          <w:rFonts w:ascii="Arial" w:hAnsi="Arial" w:cs="Arial"/>
          <w:color w:val="FF0000"/>
          <w:sz w:val="22"/>
          <w:szCs w:val="22"/>
          <w:lang w:val="en-GB"/>
        </w:rPr>
        <w:t xml:space="preserve"> Such a provision encourages rescuing of viable business. In the EIR 2000, no such provision existed. </w:t>
      </w:r>
    </w:p>
    <w:p w14:paraId="42581D66" w14:textId="77777777" w:rsidR="005905CF" w:rsidRPr="005905CF" w:rsidRDefault="005905CF" w:rsidP="005905CF">
      <w:pPr>
        <w:pStyle w:val="ListParagraph"/>
        <w:rPr>
          <w:rFonts w:ascii="Arial" w:hAnsi="Arial" w:cs="Arial"/>
          <w:color w:val="FF0000"/>
          <w:sz w:val="22"/>
          <w:szCs w:val="22"/>
          <w:lang w:val="en-GB"/>
        </w:rPr>
      </w:pPr>
    </w:p>
    <w:p w14:paraId="383B5930" w14:textId="5FAFA9F4"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280E2ECD" w14:textId="41264096" w:rsidR="00687069" w:rsidRDefault="0064506A" w:rsidP="00E45447">
      <w:pPr>
        <w:jc w:val="both"/>
        <w:rPr>
          <w:rFonts w:ascii="Arial" w:hAnsi="Arial" w:cs="Arial"/>
          <w:color w:val="FF0000"/>
          <w:sz w:val="22"/>
          <w:szCs w:val="22"/>
          <w:lang w:val="en-GB"/>
        </w:rPr>
      </w:pPr>
      <w:r w:rsidRPr="00687069">
        <w:rPr>
          <w:rFonts w:ascii="Arial" w:hAnsi="Arial" w:cs="Arial"/>
          <w:color w:val="FF0000"/>
          <w:sz w:val="22"/>
          <w:szCs w:val="22"/>
          <w:lang w:val="en-GB"/>
        </w:rPr>
        <w:t xml:space="preserve">Two examples of such instruments </w:t>
      </w:r>
      <w:r w:rsidR="00602857">
        <w:rPr>
          <w:rFonts w:ascii="Arial" w:hAnsi="Arial" w:cs="Arial"/>
          <w:color w:val="FF0000"/>
          <w:sz w:val="22"/>
          <w:szCs w:val="22"/>
          <w:lang w:val="en-GB"/>
        </w:rPr>
        <w:t xml:space="preserve">as described in question 2.4 </w:t>
      </w:r>
      <w:r w:rsidRPr="00687069">
        <w:rPr>
          <w:rFonts w:ascii="Arial" w:hAnsi="Arial" w:cs="Arial"/>
          <w:color w:val="FF0000"/>
          <w:sz w:val="22"/>
          <w:szCs w:val="22"/>
          <w:lang w:val="en-GB"/>
        </w:rPr>
        <w:t>are</w:t>
      </w:r>
      <w:r w:rsidR="00E45447" w:rsidRPr="00687069">
        <w:rPr>
          <w:rFonts w:ascii="Arial" w:hAnsi="Arial" w:cs="Arial"/>
          <w:color w:val="FF0000"/>
          <w:sz w:val="22"/>
          <w:szCs w:val="22"/>
          <w:lang w:val="en-GB"/>
        </w:rPr>
        <w:t xml:space="preserve"> </w:t>
      </w:r>
      <w:r w:rsidR="009D35E7">
        <w:rPr>
          <w:rFonts w:ascii="Arial" w:hAnsi="Arial" w:cs="Arial"/>
          <w:color w:val="FF0000"/>
          <w:sz w:val="22"/>
          <w:szCs w:val="22"/>
          <w:lang w:val="en-GB"/>
        </w:rPr>
        <w:t xml:space="preserve">(i) </w:t>
      </w:r>
      <w:r w:rsidR="00E45447" w:rsidRPr="00687069">
        <w:rPr>
          <w:rFonts w:ascii="Arial" w:hAnsi="Arial" w:cs="Arial"/>
          <w:color w:val="FF0000"/>
          <w:sz w:val="22"/>
          <w:szCs w:val="22"/>
          <w:lang w:val="en-GB"/>
        </w:rPr>
        <w:t>synthetic secondary proceedings</w:t>
      </w:r>
      <w:r w:rsidR="00602857">
        <w:rPr>
          <w:rFonts w:ascii="Arial" w:hAnsi="Arial" w:cs="Arial"/>
          <w:color w:val="FF0000"/>
          <w:sz w:val="22"/>
          <w:szCs w:val="22"/>
          <w:lang w:val="en-GB"/>
        </w:rPr>
        <w:t xml:space="preserve"> and (ii) stays of the opening of secondary proceedings.</w:t>
      </w:r>
    </w:p>
    <w:p w14:paraId="73889B4C" w14:textId="77777777" w:rsidR="00602857" w:rsidRDefault="00602857" w:rsidP="00E45447">
      <w:pPr>
        <w:jc w:val="both"/>
        <w:rPr>
          <w:rFonts w:ascii="Arial" w:hAnsi="Arial" w:cs="Arial"/>
          <w:color w:val="FF0000"/>
          <w:sz w:val="22"/>
          <w:szCs w:val="22"/>
          <w:lang w:val="en-GB"/>
        </w:rPr>
      </w:pPr>
    </w:p>
    <w:p w14:paraId="2AE56273" w14:textId="604045F8" w:rsidR="00687069" w:rsidRPr="00602857" w:rsidRDefault="00602857" w:rsidP="00E45447">
      <w:pPr>
        <w:jc w:val="both"/>
        <w:rPr>
          <w:rFonts w:ascii="Arial" w:hAnsi="Arial" w:cs="Arial"/>
          <w:b/>
          <w:bCs/>
          <w:color w:val="FF0000"/>
          <w:sz w:val="22"/>
          <w:szCs w:val="22"/>
          <w:lang w:val="en-GB"/>
        </w:rPr>
      </w:pPr>
      <w:r>
        <w:rPr>
          <w:rFonts w:ascii="Arial" w:hAnsi="Arial" w:cs="Arial"/>
          <w:color w:val="FF0000"/>
          <w:sz w:val="22"/>
          <w:szCs w:val="22"/>
          <w:lang w:val="en-GB"/>
        </w:rPr>
        <w:tab/>
      </w:r>
      <w:r w:rsidRPr="00602857">
        <w:rPr>
          <w:rFonts w:ascii="Arial" w:hAnsi="Arial" w:cs="Arial"/>
          <w:b/>
          <w:bCs/>
          <w:color w:val="FF0000"/>
          <w:sz w:val="22"/>
          <w:szCs w:val="22"/>
          <w:lang w:val="en-GB"/>
        </w:rPr>
        <w:t>Synthetic proceedings</w:t>
      </w:r>
    </w:p>
    <w:p w14:paraId="1E9AF7D7" w14:textId="6FB6E151" w:rsidR="00E45447" w:rsidRPr="009D35E7" w:rsidRDefault="009D35E7" w:rsidP="00687069">
      <w:pPr>
        <w:pStyle w:val="ListParagraph"/>
        <w:numPr>
          <w:ilvl w:val="0"/>
          <w:numId w:val="15"/>
        </w:numPr>
        <w:jc w:val="both"/>
        <w:rPr>
          <w:rFonts w:ascii="Arial" w:hAnsi="Arial" w:cs="Arial"/>
          <w:color w:val="FF0000"/>
          <w:sz w:val="22"/>
          <w:szCs w:val="22"/>
          <w:lang w:val="en-GB"/>
        </w:rPr>
      </w:pPr>
      <w:r>
        <w:rPr>
          <w:rFonts w:ascii="Arial" w:hAnsi="Arial" w:cs="Arial"/>
          <w:color w:val="FF0000"/>
          <w:sz w:val="22"/>
          <w:szCs w:val="22"/>
          <w:lang w:val="en-GB"/>
        </w:rPr>
        <w:t>Pursuant to Article 36 EIR Recast, s</w:t>
      </w:r>
      <w:r w:rsidR="00E45447" w:rsidRPr="00687069">
        <w:rPr>
          <w:rFonts w:ascii="Arial" w:hAnsi="Arial" w:cs="Arial"/>
          <w:color w:val="FF0000"/>
          <w:sz w:val="22"/>
          <w:szCs w:val="22"/>
          <w:lang w:val="en-GB"/>
        </w:rPr>
        <w:t>ynthetic secondary proceedings</w:t>
      </w:r>
      <w:r w:rsidR="00687069" w:rsidRPr="00687069">
        <w:rPr>
          <w:color w:val="FF0000"/>
        </w:rPr>
        <w:t xml:space="preserve"> </w:t>
      </w:r>
      <w:r w:rsidR="00687069" w:rsidRPr="00687069">
        <w:rPr>
          <w:rFonts w:ascii="Arial" w:hAnsi="Arial" w:cs="Arial"/>
          <w:color w:val="FF0000"/>
          <w:sz w:val="22"/>
          <w:szCs w:val="22"/>
        </w:rPr>
        <w:t>involve a</w:t>
      </w:r>
      <w:r>
        <w:rPr>
          <w:rFonts w:ascii="Arial" w:hAnsi="Arial" w:cs="Arial"/>
          <w:color w:val="FF0000"/>
          <w:sz w:val="22"/>
          <w:szCs w:val="22"/>
        </w:rPr>
        <w:t>n</w:t>
      </w:r>
      <w:r w:rsidR="00687069" w:rsidRPr="00687069">
        <w:rPr>
          <w:rFonts w:ascii="Arial" w:hAnsi="Arial" w:cs="Arial"/>
          <w:color w:val="FF0000"/>
          <w:sz w:val="22"/>
          <w:szCs w:val="22"/>
        </w:rPr>
        <w:t xml:space="preserve"> insolvency practitioner, in an effort to avoid the opening of secondary proceedings, giving a written undertaking to creditor(s) in a given jurisdiction that their claims will be dealt with </w:t>
      </w:r>
      <w:r>
        <w:rPr>
          <w:rFonts w:ascii="Arial" w:hAnsi="Arial" w:cs="Arial"/>
          <w:color w:val="FF0000"/>
          <w:sz w:val="22"/>
          <w:szCs w:val="22"/>
        </w:rPr>
        <w:t xml:space="preserve">in accordance with </w:t>
      </w:r>
      <w:r w:rsidR="00687069" w:rsidRPr="00687069">
        <w:rPr>
          <w:rFonts w:ascii="Arial" w:hAnsi="Arial" w:cs="Arial"/>
          <w:color w:val="FF0000"/>
          <w:sz w:val="22"/>
          <w:szCs w:val="22"/>
        </w:rPr>
        <w:t xml:space="preserve">the relevant law </w:t>
      </w:r>
      <w:r>
        <w:rPr>
          <w:rFonts w:ascii="Arial" w:hAnsi="Arial" w:cs="Arial"/>
          <w:color w:val="FF0000"/>
          <w:sz w:val="22"/>
          <w:szCs w:val="22"/>
        </w:rPr>
        <w:t xml:space="preserve">of the </w:t>
      </w:r>
      <w:r w:rsidR="00687069" w:rsidRPr="00687069">
        <w:rPr>
          <w:rFonts w:ascii="Arial" w:hAnsi="Arial" w:cs="Arial"/>
          <w:color w:val="FF0000"/>
          <w:sz w:val="22"/>
          <w:szCs w:val="22"/>
        </w:rPr>
        <w:t xml:space="preserve">jurisdiction as they relate to the priority of claims and distribution of assets. </w:t>
      </w:r>
      <w:r>
        <w:rPr>
          <w:rFonts w:ascii="Arial" w:hAnsi="Arial" w:cs="Arial"/>
          <w:color w:val="FF0000"/>
          <w:sz w:val="22"/>
          <w:szCs w:val="22"/>
        </w:rPr>
        <w:t>As a result, such creditors would receive the benefit of such secondary proceedings as if they formally existed.</w:t>
      </w:r>
    </w:p>
    <w:p w14:paraId="47F7D03F" w14:textId="1CC91A8E" w:rsidR="009D35E7" w:rsidRDefault="009D35E7" w:rsidP="009D35E7">
      <w:pPr>
        <w:pStyle w:val="ListParagraph"/>
        <w:jc w:val="both"/>
        <w:rPr>
          <w:rFonts w:ascii="Arial" w:hAnsi="Arial" w:cs="Arial"/>
          <w:color w:val="FF0000"/>
          <w:sz w:val="22"/>
          <w:szCs w:val="22"/>
          <w:lang w:val="en-GB"/>
        </w:rPr>
      </w:pPr>
    </w:p>
    <w:p w14:paraId="6A0C7CCB" w14:textId="552F5364" w:rsidR="00602857" w:rsidRPr="00602857" w:rsidRDefault="00602857" w:rsidP="009D35E7">
      <w:pPr>
        <w:pStyle w:val="ListParagraph"/>
        <w:jc w:val="both"/>
        <w:rPr>
          <w:rFonts w:ascii="Arial" w:hAnsi="Arial" w:cs="Arial"/>
          <w:b/>
          <w:bCs/>
          <w:color w:val="FF0000"/>
          <w:sz w:val="22"/>
          <w:szCs w:val="22"/>
          <w:lang w:val="en-GB"/>
        </w:rPr>
      </w:pPr>
      <w:r w:rsidRPr="00602857">
        <w:rPr>
          <w:rFonts w:ascii="Arial" w:hAnsi="Arial" w:cs="Arial"/>
          <w:b/>
          <w:bCs/>
          <w:color w:val="FF0000"/>
          <w:sz w:val="22"/>
          <w:szCs w:val="22"/>
          <w:lang w:val="en-GB"/>
        </w:rPr>
        <w:t>Stays of opening of secondary proceedings</w:t>
      </w:r>
    </w:p>
    <w:p w14:paraId="4F7ADF56" w14:textId="68B2C4C1" w:rsidR="009D35E7" w:rsidRPr="00687069" w:rsidRDefault="009D35E7" w:rsidP="00687069">
      <w:pPr>
        <w:pStyle w:val="ListParagraph"/>
        <w:numPr>
          <w:ilvl w:val="0"/>
          <w:numId w:val="15"/>
        </w:numPr>
        <w:jc w:val="both"/>
        <w:rPr>
          <w:rFonts w:ascii="Arial" w:hAnsi="Arial" w:cs="Arial"/>
          <w:color w:val="FF0000"/>
          <w:sz w:val="22"/>
          <w:szCs w:val="22"/>
          <w:lang w:val="en-GB"/>
        </w:rPr>
      </w:pPr>
      <w:r>
        <w:rPr>
          <w:rFonts w:ascii="Arial" w:hAnsi="Arial" w:cs="Arial"/>
          <w:color w:val="FF0000"/>
          <w:sz w:val="22"/>
          <w:szCs w:val="22"/>
          <w:lang w:val="en-GB"/>
        </w:rPr>
        <w:t>Stays of the opening of secondary proceedings may be requested by insolvency practitioners under Article 38 (3) EIR recast. Such stays supplement stays of individual enforcement in main proceedings by temporarily preventing the opening of secondary proceedings.</w:t>
      </w:r>
    </w:p>
    <w:p w14:paraId="296A8396" w14:textId="5CBB7597" w:rsidR="009954B2" w:rsidRPr="008500BD" w:rsidRDefault="009954B2" w:rsidP="002A37BB">
      <w:pPr>
        <w:ind w:left="720" w:hanging="720"/>
        <w:jc w:val="both"/>
        <w:rPr>
          <w:rFonts w:ascii="Arial" w:hAnsi="Arial" w:cs="Arial"/>
          <w:sz w:val="22"/>
          <w:szCs w:val="22"/>
          <w:lang w:val="en-GB"/>
        </w:rPr>
      </w:pPr>
    </w:p>
    <w:p w14:paraId="321358EA" w14:textId="77777777" w:rsidR="009954B2" w:rsidRPr="008500BD" w:rsidRDefault="009954B2" w:rsidP="002A37BB">
      <w:pPr>
        <w:jc w:val="both"/>
        <w:rPr>
          <w:rFonts w:ascii="Arial" w:hAnsi="Arial" w:cs="Arial"/>
          <w:bCs/>
          <w:sz w:val="22"/>
          <w:szCs w:val="22"/>
          <w:lang w:val="en-GB"/>
        </w:rPr>
      </w:pP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4024A332" w14:textId="264F987A" w:rsidR="00544127" w:rsidRDefault="00297F6E" w:rsidP="002A37BB">
      <w:pPr>
        <w:jc w:val="both"/>
        <w:rPr>
          <w:rFonts w:ascii="Arial" w:hAnsi="Arial" w:cs="Arial"/>
          <w:color w:val="FF0000"/>
          <w:sz w:val="22"/>
          <w:szCs w:val="22"/>
        </w:rPr>
      </w:pPr>
      <w:r>
        <w:rPr>
          <w:rFonts w:ascii="Arial" w:hAnsi="Arial" w:cs="Arial"/>
          <w:color w:val="FF0000"/>
          <w:sz w:val="22"/>
          <w:szCs w:val="22"/>
        </w:rPr>
        <w:lastRenderedPageBreak/>
        <w:t xml:space="preserve">In the </w:t>
      </w:r>
      <w:r w:rsidRPr="00297F6E">
        <w:rPr>
          <w:rFonts w:ascii="Arial" w:hAnsi="Arial" w:cs="Arial"/>
          <w:color w:val="FF0000"/>
          <w:sz w:val="22"/>
          <w:szCs w:val="22"/>
        </w:rPr>
        <w:t>Report from the Commission to the European Parliament, the Council and the European Economic and Social Committee on the application of Council Regulation (EC) No 1346/2000 of 29 May 2000 on insolvency proceedings (COM(2012)0744–C7-0413/2012– 2012/0360(COD</w:t>
      </w:r>
      <w:r>
        <w:rPr>
          <w:rFonts w:ascii="Arial" w:hAnsi="Arial" w:cs="Arial"/>
          <w:color w:val="FF0000"/>
          <w:sz w:val="22"/>
          <w:szCs w:val="22"/>
        </w:rPr>
        <w:t>)), the Commission identified 5 shortcomings of the EIR 2000</w:t>
      </w:r>
      <w:r w:rsidR="002C32D1">
        <w:rPr>
          <w:rStyle w:val="FootnoteReference"/>
          <w:rFonts w:ascii="Arial" w:hAnsi="Arial" w:cs="Arial"/>
          <w:color w:val="FF0000"/>
          <w:sz w:val="22"/>
          <w:szCs w:val="22"/>
        </w:rPr>
        <w:footnoteReference w:id="1"/>
      </w:r>
      <w:r>
        <w:rPr>
          <w:rFonts w:ascii="Arial" w:hAnsi="Arial" w:cs="Arial"/>
          <w:color w:val="FF0000"/>
          <w:sz w:val="22"/>
          <w:szCs w:val="22"/>
        </w:rPr>
        <w:t>, namely –</w:t>
      </w:r>
    </w:p>
    <w:p w14:paraId="1FC70CD2" w14:textId="37600A9D" w:rsidR="00297F6E" w:rsidRDefault="00297F6E" w:rsidP="002A37BB">
      <w:pPr>
        <w:jc w:val="both"/>
        <w:rPr>
          <w:rFonts w:ascii="Arial" w:hAnsi="Arial" w:cs="Arial"/>
          <w:color w:val="FF0000"/>
          <w:sz w:val="22"/>
          <w:szCs w:val="22"/>
        </w:rPr>
      </w:pPr>
    </w:p>
    <w:p w14:paraId="4A637290" w14:textId="0CFB596D" w:rsidR="00544127" w:rsidRPr="001B2B45" w:rsidRDefault="00297F6E" w:rsidP="00417A55">
      <w:pPr>
        <w:pStyle w:val="ListParagraph"/>
        <w:numPr>
          <w:ilvl w:val="0"/>
          <w:numId w:val="15"/>
        </w:numPr>
        <w:ind w:hanging="720"/>
        <w:jc w:val="both"/>
        <w:rPr>
          <w:rFonts w:ascii="Arial" w:hAnsi="Arial" w:cs="Arial"/>
          <w:sz w:val="22"/>
          <w:szCs w:val="22"/>
        </w:rPr>
      </w:pPr>
      <w:r w:rsidRPr="001B2B45">
        <w:rPr>
          <w:rFonts w:ascii="Arial" w:hAnsi="Arial" w:cs="Arial"/>
          <w:color w:val="FF0000"/>
          <w:sz w:val="22"/>
          <w:szCs w:val="22"/>
        </w:rPr>
        <w:t xml:space="preserve">The </w:t>
      </w:r>
      <w:r w:rsidR="00C3513E" w:rsidRPr="001B2B45">
        <w:rPr>
          <w:rFonts w:ascii="Arial" w:hAnsi="Arial" w:cs="Arial"/>
          <w:color w:val="FF0000"/>
          <w:sz w:val="22"/>
          <w:szCs w:val="22"/>
        </w:rPr>
        <w:t>EIR 2000 was not sufficient for the current environment which sees many EU member states focusing on promoting mechanism</w:t>
      </w:r>
      <w:r w:rsidR="00ED7C3F">
        <w:rPr>
          <w:rFonts w:ascii="Arial" w:hAnsi="Arial" w:cs="Arial"/>
          <w:color w:val="FF0000"/>
          <w:sz w:val="22"/>
          <w:szCs w:val="22"/>
        </w:rPr>
        <w:t>s</w:t>
      </w:r>
      <w:r w:rsidR="00C3513E" w:rsidRPr="001B2B45">
        <w:rPr>
          <w:rFonts w:ascii="Arial" w:hAnsi="Arial" w:cs="Arial"/>
          <w:color w:val="FF0000"/>
          <w:sz w:val="22"/>
          <w:szCs w:val="22"/>
        </w:rPr>
        <w:t xml:space="preserve"> for the rescue and restructuring of viable business as oppose to liquidation. The EIR fell short in that it did not cover some of the </w:t>
      </w:r>
      <w:r w:rsidRPr="001B2B45">
        <w:rPr>
          <w:rFonts w:ascii="Arial" w:hAnsi="Arial" w:cs="Arial"/>
          <w:color w:val="FF0000"/>
          <w:sz w:val="22"/>
          <w:szCs w:val="22"/>
        </w:rPr>
        <w:t xml:space="preserve">national procedures </w:t>
      </w:r>
      <w:r w:rsidR="00C3513E" w:rsidRPr="001B2B45">
        <w:rPr>
          <w:rFonts w:ascii="Arial" w:hAnsi="Arial" w:cs="Arial"/>
          <w:color w:val="FF0000"/>
          <w:sz w:val="22"/>
          <w:szCs w:val="22"/>
        </w:rPr>
        <w:t xml:space="preserve">of member state </w:t>
      </w:r>
      <w:r w:rsidRPr="001B2B45">
        <w:rPr>
          <w:rFonts w:ascii="Arial" w:hAnsi="Arial" w:cs="Arial"/>
          <w:color w:val="FF0000"/>
          <w:sz w:val="22"/>
          <w:szCs w:val="22"/>
        </w:rPr>
        <w:t>which provide for</w:t>
      </w:r>
      <w:r w:rsidR="00C3513E" w:rsidRPr="001B2B45">
        <w:rPr>
          <w:rFonts w:ascii="Arial" w:hAnsi="Arial" w:cs="Arial"/>
          <w:color w:val="FF0000"/>
          <w:sz w:val="22"/>
          <w:szCs w:val="22"/>
        </w:rPr>
        <w:t xml:space="preserve"> </w:t>
      </w:r>
      <w:r w:rsidRPr="001B2B45">
        <w:rPr>
          <w:rFonts w:ascii="Arial" w:hAnsi="Arial" w:cs="Arial"/>
          <w:color w:val="FF0000"/>
          <w:sz w:val="22"/>
          <w:szCs w:val="22"/>
        </w:rPr>
        <w:t>the restructuring of a company at a pre-insolvency stage or proceedings which leave the existing management in place</w:t>
      </w:r>
      <w:r w:rsidR="001B2B45">
        <w:rPr>
          <w:rFonts w:ascii="Arial" w:hAnsi="Arial" w:cs="Arial"/>
          <w:color w:val="FF0000"/>
          <w:sz w:val="22"/>
          <w:szCs w:val="22"/>
        </w:rPr>
        <w:t>.</w:t>
      </w:r>
    </w:p>
    <w:p w14:paraId="4F908E2F" w14:textId="77777777" w:rsidR="001B2B45" w:rsidRPr="001B2B45" w:rsidRDefault="001B2B45" w:rsidP="001B2B45">
      <w:pPr>
        <w:pStyle w:val="ListParagraph"/>
        <w:jc w:val="both"/>
        <w:rPr>
          <w:rFonts w:ascii="Arial" w:hAnsi="Arial" w:cs="Arial"/>
          <w:sz w:val="22"/>
          <w:szCs w:val="22"/>
        </w:rPr>
      </w:pPr>
    </w:p>
    <w:p w14:paraId="5D5A1FA5" w14:textId="798C756B" w:rsidR="00D17FDC" w:rsidRPr="005B6291" w:rsidRDefault="001B2B45" w:rsidP="005B6291">
      <w:pPr>
        <w:pStyle w:val="ListParagraph"/>
        <w:numPr>
          <w:ilvl w:val="0"/>
          <w:numId w:val="15"/>
        </w:numPr>
        <w:jc w:val="both"/>
        <w:rPr>
          <w:rFonts w:ascii="Arial" w:hAnsi="Arial" w:cs="Arial"/>
          <w:color w:val="FF0000"/>
          <w:sz w:val="22"/>
          <w:szCs w:val="22"/>
        </w:rPr>
      </w:pPr>
      <w:r w:rsidRPr="005B6291">
        <w:rPr>
          <w:rFonts w:ascii="Arial" w:hAnsi="Arial" w:cs="Arial"/>
          <w:color w:val="FF0000"/>
          <w:sz w:val="22"/>
          <w:szCs w:val="22"/>
        </w:rPr>
        <w:t>The EIR 200</w:t>
      </w:r>
      <w:r w:rsidR="00ED7C3F">
        <w:rPr>
          <w:rFonts w:ascii="Arial" w:hAnsi="Arial" w:cs="Arial"/>
          <w:color w:val="FF0000"/>
          <w:sz w:val="22"/>
          <w:szCs w:val="22"/>
        </w:rPr>
        <w:t>0</w:t>
      </w:r>
      <w:r w:rsidRPr="005B6291">
        <w:rPr>
          <w:rFonts w:ascii="Arial" w:hAnsi="Arial" w:cs="Arial"/>
          <w:color w:val="FF0000"/>
          <w:sz w:val="22"/>
          <w:szCs w:val="22"/>
        </w:rPr>
        <w:t xml:space="preserve"> created difficulties in determining the COMI for the purposes of determining which member state was competent to open main insolvency proceedings. The EIR 2000 did no</w:t>
      </w:r>
      <w:r w:rsidR="005B6291" w:rsidRPr="005B6291">
        <w:rPr>
          <w:rFonts w:ascii="Arial" w:hAnsi="Arial" w:cs="Arial"/>
          <w:color w:val="FF0000"/>
          <w:sz w:val="22"/>
          <w:szCs w:val="22"/>
        </w:rPr>
        <w:t>t</w:t>
      </w:r>
      <w:r w:rsidRPr="005B6291">
        <w:rPr>
          <w:rFonts w:ascii="Arial" w:hAnsi="Arial" w:cs="Arial"/>
          <w:color w:val="FF0000"/>
          <w:sz w:val="22"/>
          <w:szCs w:val="22"/>
        </w:rPr>
        <w:t xml:space="preserve"> contain a definition of </w:t>
      </w:r>
      <w:r w:rsidR="005B6291" w:rsidRPr="005B6291">
        <w:rPr>
          <w:rFonts w:ascii="Arial" w:hAnsi="Arial" w:cs="Arial"/>
          <w:color w:val="FF0000"/>
          <w:sz w:val="22"/>
          <w:szCs w:val="22"/>
        </w:rPr>
        <w:t>COMI. Also, the EIR did not contain any safeguards aimed at preventing fraudulent or abusive forum shopping.</w:t>
      </w:r>
    </w:p>
    <w:p w14:paraId="7B103277" w14:textId="77777777" w:rsidR="005B6291" w:rsidRPr="005B6291" w:rsidRDefault="005B6291" w:rsidP="005B6291">
      <w:pPr>
        <w:pStyle w:val="ListParagraph"/>
        <w:rPr>
          <w:rFonts w:ascii="Arial" w:hAnsi="Arial" w:cs="Arial"/>
          <w:color w:val="FF0000"/>
          <w:sz w:val="22"/>
          <w:szCs w:val="22"/>
        </w:rPr>
      </w:pPr>
    </w:p>
    <w:p w14:paraId="701F47BE" w14:textId="489D5498" w:rsidR="005B6291" w:rsidRPr="005B6291" w:rsidRDefault="005B6291" w:rsidP="005B6291">
      <w:pPr>
        <w:pStyle w:val="ListParagraph"/>
        <w:numPr>
          <w:ilvl w:val="0"/>
          <w:numId w:val="15"/>
        </w:numPr>
        <w:jc w:val="both"/>
        <w:rPr>
          <w:rFonts w:ascii="Arial" w:hAnsi="Arial" w:cs="Arial"/>
          <w:color w:val="FF0000"/>
          <w:sz w:val="22"/>
          <w:szCs w:val="22"/>
        </w:rPr>
      </w:pPr>
      <w:r w:rsidRPr="005B6291">
        <w:rPr>
          <w:rFonts w:ascii="Arial" w:hAnsi="Arial" w:cs="Arial"/>
          <w:color w:val="FF0000"/>
          <w:sz w:val="22"/>
          <w:szCs w:val="22"/>
        </w:rPr>
        <w:t>The EIR 2000 lacked mechanism or tools which minimized the opening of secondary proceedings which can hinder the effective administration of the estate and lead to diminution of the estate’s assets by way of increased costs. Further, the EIR 2000 limited the opening of secondary proceedings to those proceeding in the nature of winding up proceedings. As such secondary proceedings in the nature of rescue proceedings were not prohibited under the EIR 2000.</w:t>
      </w:r>
    </w:p>
    <w:p w14:paraId="58939D04" w14:textId="77777777" w:rsidR="005B6291" w:rsidRPr="005B6291" w:rsidRDefault="005B6291" w:rsidP="005B6291">
      <w:pPr>
        <w:pStyle w:val="ListParagraph"/>
        <w:rPr>
          <w:rFonts w:ascii="Arial" w:hAnsi="Arial" w:cs="Arial"/>
          <w:sz w:val="22"/>
          <w:szCs w:val="22"/>
        </w:rPr>
      </w:pPr>
    </w:p>
    <w:p w14:paraId="02B0ED7E" w14:textId="598178A0" w:rsidR="005B6291" w:rsidRPr="00621EE4" w:rsidRDefault="005B6291" w:rsidP="005B6291">
      <w:pPr>
        <w:pStyle w:val="ListParagraph"/>
        <w:numPr>
          <w:ilvl w:val="0"/>
          <w:numId w:val="15"/>
        </w:numPr>
        <w:jc w:val="both"/>
        <w:rPr>
          <w:rFonts w:ascii="Arial" w:hAnsi="Arial" w:cs="Arial"/>
          <w:color w:val="FF0000"/>
          <w:sz w:val="22"/>
          <w:szCs w:val="22"/>
        </w:rPr>
      </w:pPr>
      <w:r w:rsidRPr="00621EE4">
        <w:rPr>
          <w:rFonts w:ascii="Arial" w:hAnsi="Arial" w:cs="Arial"/>
          <w:color w:val="FF0000"/>
          <w:sz w:val="22"/>
          <w:szCs w:val="22"/>
        </w:rPr>
        <w:t>Under the EIR 2000 liquidators had the discretion to publish the opening of insolvency proceedings</w:t>
      </w:r>
      <w:r w:rsidR="00621EE4" w:rsidRPr="00621EE4">
        <w:rPr>
          <w:rFonts w:ascii="Arial" w:hAnsi="Arial" w:cs="Arial"/>
          <w:color w:val="FF0000"/>
          <w:sz w:val="22"/>
          <w:szCs w:val="22"/>
        </w:rPr>
        <w:t>. Furthermore, as there was no European Insolvency Register in EIR 2000, there was no ability for persons to search efficiently for relevant insolvency proceedings. The absence of a requirement to publish the opening of insolvency proceedings and a European Insolvency Register created difficulties for creditors in lodging claims as well as made it difficult for insolvency practitioners and judges to become aware of the opening of insolvency proceedings in other member state</w:t>
      </w:r>
      <w:r w:rsidR="00ED7C3F">
        <w:rPr>
          <w:rFonts w:ascii="Arial" w:hAnsi="Arial" w:cs="Arial"/>
          <w:color w:val="FF0000"/>
          <w:sz w:val="22"/>
          <w:szCs w:val="22"/>
        </w:rPr>
        <w:t>s</w:t>
      </w:r>
      <w:r w:rsidR="00621EE4" w:rsidRPr="00621EE4">
        <w:rPr>
          <w:rFonts w:ascii="Arial" w:hAnsi="Arial" w:cs="Arial"/>
          <w:color w:val="FF0000"/>
          <w:sz w:val="22"/>
          <w:szCs w:val="22"/>
        </w:rPr>
        <w:t>.</w:t>
      </w:r>
    </w:p>
    <w:p w14:paraId="1CCEA655" w14:textId="77777777" w:rsidR="00621EE4" w:rsidRPr="00621EE4" w:rsidRDefault="00621EE4" w:rsidP="00621EE4">
      <w:pPr>
        <w:pStyle w:val="ListParagraph"/>
        <w:rPr>
          <w:rFonts w:ascii="Arial" w:hAnsi="Arial" w:cs="Arial"/>
          <w:sz w:val="22"/>
          <w:szCs w:val="22"/>
        </w:rPr>
      </w:pPr>
    </w:p>
    <w:p w14:paraId="580B4A7D" w14:textId="6A983566" w:rsidR="006B447A" w:rsidRPr="006B447A" w:rsidRDefault="00621EE4" w:rsidP="0010353A">
      <w:pPr>
        <w:pStyle w:val="ListParagraph"/>
        <w:numPr>
          <w:ilvl w:val="0"/>
          <w:numId w:val="15"/>
        </w:numPr>
        <w:jc w:val="both"/>
        <w:rPr>
          <w:rFonts w:ascii="Arial" w:hAnsi="Arial" w:cs="Arial"/>
          <w:color w:val="FF0000"/>
          <w:sz w:val="22"/>
          <w:szCs w:val="22"/>
        </w:rPr>
      </w:pPr>
      <w:r w:rsidRPr="006B447A">
        <w:rPr>
          <w:rFonts w:ascii="Arial" w:hAnsi="Arial" w:cs="Arial"/>
          <w:color w:val="FF0000"/>
          <w:sz w:val="22"/>
          <w:szCs w:val="22"/>
        </w:rPr>
        <w:t>The EIR 2000 did not contain any provisions that dealt with the insolvency of a multi-national enterprise. This shortcoming was insufficient for the current global environment which has seen a steady increase in the number of multi-national entities and ultimately the cross-border insolvencies of multi</w:t>
      </w:r>
      <w:r w:rsidR="006B447A" w:rsidRPr="006B447A">
        <w:rPr>
          <w:rFonts w:ascii="Arial" w:hAnsi="Arial" w:cs="Arial"/>
          <w:color w:val="FF0000"/>
          <w:sz w:val="22"/>
          <w:szCs w:val="22"/>
        </w:rPr>
        <w:t xml:space="preserve">-national entities. </w:t>
      </w:r>
      <w:r w:rsidRPr="006B447A">
        <w:rPr>
          <w:rFonts w:ascii="Arial" w:hAnsi="Arial" w:cs="Arial"/>
          <w:color w:val="FF0000"/>
          <w:sz w:val="22"/>
          <w:szCs w:val="22"/>
        </w:rPr>
        <w:t xml:space="preserve"> </w:t>
      </w:r>
      <w:r w:rsidR="006B447A" w:rsidRPr="006B447A">
        <w:rPr>
          <w:rFonts w:ascii="Arial" w:hAnsi="Arial" w:cs="Arial"/>
          <w:color w:val="FF0000"/>
          <w:sz w:val="22"/>
          <w:szCs w:val="22"/>
        </w:rPr>
        <w:t xml:space="preserve">Under the EIR 2000, </w:t>
      </w:r>
      <w:r w:rsidRPr="006B447A">
        <w:rPr>
          <w:rFonts w:ascii="Arial" w:hAnsi="Arial" w:cs="Arial"/>
          <w:color w:val="FF0000"/>
          <w:sz w:val="22"/>
          <w:szCs w:val="22"/>
        </w:rPr>
        <w:t xml:space="preserve">separate proceedings </w:t>
      </w:r>
      <w:r w:rsidR="006B447A" w:rsidRPr="006B447A">
        <w:rPr>
          <w:rFonts w:ascii="Arial" w:hAnsi="Arial" w:cs="Arial"/>
          <w:color w:val="FF0000"/>
          <w:sz w:val="22"/>
          <w:szCs w:val="22"/>
        </w:rPr>
        <w:t>had to be</w:t>
      </w:r>
      <w:r w:rsidRPr="006B447A">
        <w:rPr>
          <w:rFonts w:ascii="Arial" w:hAnsi="Arial" w:cs="Arial"/>
          <w:color w:val="FF0000"/>
          <w:sz w:val="22"/>
          <w:szCs w:val="22"/>
        </w:rPr>
        <w:t xml:space="preserve"> opened for each individual member of </w:t>
      </w:r>
      <w:r w:rsidR="006B447A" w:rsidRPr="006B447A">
        <w:rPr>
          <w:rFonts w:ascii="Arial" w:hAnsi="Arial" w:cs="Arial"/>
          <w:color w:val="FF0000"/>
          <w:sz w:val="22"/>
          <w:szCs w:val="22"/>
        </w:rPr>
        <w:t xml:space="preserve">a multi-national enterprise group </w:t>
      </w:r>
      <w:r w:rsidRPr="006B447A">
        <w:rPr>
          <w:rFonts w:ascii="Arial" w:hAnsi="Arial" w:cs="Arial"/>
          <w:color w:val="FF0000"/>
          <w:sz w:val="22"/>
          <w:szCs w:val="22"/>
        </w:rPr>
        <w:t xml:space="preserve">and that these proceedings </w:t>
      </w:r>
      <w:r w:rsidR="006B447A" w:rsidRPr="006B447A">
        <w:rPr>
          <w:rFonts w:ascii="Arial" w:hAnsi="Arial" w:cs="Arial"/>
          <w:color w:val="FF0000"/>
          <w:sz w:val="22"/>
          <w:szCs w:val="22"/>
        </w:rPr>
        <w:t>were</w:t>
      </w:r>
      <w:r w:rsidRPr="006B447A">
        <w:rPr>
          <w:rFonts w:ascii="Arial" w:hAnsi="Arial" w:cs="Arial"/>
          <w:color w:val="FF0000"/>
          <w:sz w:val="22"/>
          <w:szCs w:val="22"/>
        </w:rPr>
        <w:t xml:space="preserve"> entirely independent of each other. The lack of specific provisions for </w:t>
      </w:r>
      <w:r w:rsidR="006B447A" w:rsidRPr="006B447A">
        <w:rPr>
          <w:rFonts w:ascii="Arial" w:hAnsi="Arial" w:cs="Arial"/>
          <w:color w:val="FF0000"/>
          <w:sz w:val="22"/>
          <w:szCs w:val="22"/>
        </w:rPr>
        <w:t>the insolvency of multi-national entities</w:t>
      </w:r>
      <w:r w:rsidRPr="006B447A">
        <w:rPr>
          <w:rFonts w:ascii="Arial" w:hAnsi="Arial" w:cs="Arial"/>
          <w:color w:val="FF0000"/>
          <w:sz w:val="22"/>
          <w:szCs w:val="22"/>
        </w:rPr>
        <w:t xml:space="preserve"> </w:t>
      </w:r>
      <w:r w:rsidR="006B447A" w:rsidRPr="006B447A">
        <w:rPr>
          <w:rFonts w:ascii="Arial" w:hAnsi="Arial" w:cs="Arial"/>
          <w:color w:val="FF0000"/>
          <w:sz w:val="22"/>
          <w:szCs w:val="22"/>
        </w:rPr>
        <w:t>hindered</w:t>
      </w:r>
      <w:r w:rsidRPr="006B447A">
        <w:rPr>
          <w:rFonts w:ascii="Arial" w:hAnsi="Arial" w:cs="Arial"/>
          <w:color w:val="FF0000"/>
          <w:sz w:val="22"/>
          <w:szCs w:val="22"/>
        </w:rPr>
        <w:t xml:space="preserve"> the successful restructuring of the group</w:t>
      </w:r>
      <w:r w:rsidR="006B447A">
        <w:rPr>
          <w:rFonts w:ascii="Arial" w:hAnsi="Arial" w:cs="Arial"/>
          <w:color w:val="FF0000"/>
          <w:sz w:val="22"/>
          <w:szCs w:val="22"/>
        </w:rPr>
        <w:t>.</w:t>
      </w:r>
    </w:p>
    <w:p w14:paraId="02F6FB17" w14:textId="77777777" w:rsidR="006B447A" w:rsidRPr="00621EE4" w:rsidRDefault="006B447A" w:rsidP="006B447A">
      <w:pPr>
        <w:pStyle w:val="ListParagraph"/>
        <w:jc w:val="both"/>
        <w:rPr>
          <w:rFonts w:ascii="Arial" w:hAnsi="Arial" w:cs="Arial"/>
          <w:color w:val="FF0000"/>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 xml:space="preserve">nnovations should </w:t>
      </w:r>
      <w:r w:rsidRPr="008500BD">
        <w:rPr>
          <w:rFonts w:ascii="Arial" w:hAnsi="Arial" w:cs="Arial"/>
          <w:sz w:val="22"/>
          <w:szCs w:val="22"/>
          <w:lang w:val="en-GB"/>
        </w:rPr>
        <w:lastRenderedPageBreak/>
        <w:t>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3DAA6780" w14:textId="23EDD07D" w:rsidR="00962045" w:rsidRPr="006B447A" w:rsidRDefault="006B447A" w:rsidP="002A37BB">
      <w:pPr>
        <w:jc w:val="both"/>
        <w:rPr>
          <w:rFonts w:ascii="Arial" w:hAnsi="Arial" w:cs="Arial"/>
          <w:color w:val="FF0000"/>
          <w:sz w:val="22"/>
          <w:szCs w:val="22"/>
          <w:lang w:val="en-GB"/>
        </w:rPr>
      </w:pPr>
      <w:r w:rsidRPr="006B447A">
        <w:rPr>
          <w:rFonts w:ascii="Arial" w:hAnsi="Arial" w:cs="Arial"/>
          <w:color w:val="FF0000"/>
          <w:sz w:val="22"/>
          <w:szCs w:val="22"/>
          <w:lang w:val="en-GB"/>
        </w:rPr>
        <w:t>The EIR Recast represented an improvement to the insolvency regulations in many aspect</w:t>
      </w:r>
      <w:r>
        <w:rPr>
          <w:rFonts w:ascii="Arial" w:hAnsi="Arial" w:cs="Arial"/>
          <w:color w:val="FF0000"/>
          <w:sz w:val="22"/>
          <w:szCs w:val="22"/>
          <w:lang w:val="en-GB"/>
        </w:rPr>
        <w:t>s</w:t>
      </w:r>
      <w:r w:rsidRPr="006B447A">
        <w:rPr>
          <w:rFonts w:ascii="Arial" w:hAnsi="Arial" w:cs="Arial"/>
          <w:color w:val="FF0000"/>
          <w:sz w:val="22"/>
          <w:szCs w:val="22"/>
          <w:lang w:val="en-GB"/>
        </w:rPr>
        <w:t>. Three major improvements are as follows –</w:t>
      </w:r>
    </w:p>
    <w:p w14:paraId="04A0818D" w14:textId="084C81E8" w:rsidR="006B447A" w:rsidRPr="006B447A" w:rsidRDefault="006B447A" w:rsidP="002A37BB">
      <w:pPr>
        <w:jc w:val="both"/>
        <w:rPr>
          <w:rFonts w:ascii="Arial" w:hAnsi="Arial" w:cs="Arial"/>
          <w:color w:val="FF0000"/>
          <w:sz w:val="22"/>
          <w:szCs w:val="22"/>
          <w:lang w:val="en-GB"/>
        </w:rPr>
      </w:pPr>
    </w:p>
    <w:p w14:paraId="78DB894F" w14:textId="77777777" w:rsidR="006B447A" w:rsidRDefault="006B447A" w:rsidP="002A37BB">
      <w:pPr>
        <w:jc w:val="both"/>
        <w:rPr>
          <w:rFonts w:ascii="Arial" w:hAnsi="Arial" w:cs="Arial"/>
          <w:b/>
          <w:bCs/>
          <w:color w:val="FF0000"/>
          <w:sz w:val="22"/>
          <w:szCs w:val="22"/>
          <w:lang w:val="en-GB"/>
        </w:rPr>
      </w:pPr>
    </w:p>
    <w:p w14:paraId="7A206384" w14:textId="41C3352B" w:rsidR="006B447A" w:rsidRDefault="006B447A" w:rsidP="002A37BB">
      <w:pPr>
        <w:jc w:val="both"/>
        <w:rPr>
          <w:rFonts w:ascii="Arial" w:hAnsi="Arial" w:cs="Arial"/>
          <w:b/>
          <w:bCs/>
          <w:color w:val="FF0000"/>
          <w:sz w:val="22"/>
          <w:szCs w:val="22"/>
          <w:lang w:val="en-GB"/>
        </w:rPr>
      </w:pPr>
      <w:r w:rsidRPr="006B447A">
        <w:rPr>
          <w:rFonts w:ascii="Arial" w:hAnsi="Arial" w:cs="Arial"/>
          <w:b/>
          <w:bCs/>
          <w:color w:val="FF0000"/>
          <w:sz w:val="22"/>
          <w:szCs w:val="22"/>
          <w:lang w:val="en-GB"/>
        </w:rPr>
        <w:t>Communication and co-operation</w:t>
      </w:r>
    </w:p>
    <w:p w14:paraId="08D9B441" w14:textId="193DA2B9" w:rsidR="006B447A" w:rsidRDefault="006B447A" w:rsidP="002A37BB">
      <w:pPr>
        <w:jc w:val="both"/>
        <w:rPr>
          <w:rFonts w:ascii="Arial" w:hAnsi="Arial" w:cs="Arial"/>
          <w:color w:val="FF0000"/>
          <w:sz w:val="22"/>
          <w:szCs w:val="22"/>
          <w:lang w:val="en-GB"/>
        </w:rPr>
      </w:pPr>
      <w:r>
        <w:rPr>
          <w:rFonts w:ascii="Arial" w:hAnsi="Arial" w:cs="Arial"/>
          <w:color w:val="FF0000"/>
          <w:sz w:val="22"/>
          <w:szCs w:val="22"/>
          <w:lang w:val="en-GB"/>
        </w:rPr>
        <w:t xml:space="preserve">The EIR Recast contains a comprehensive framework which mandates co-operation and communication between insolvency practitioners, between courts and between insolvency practitioners and courts. Previously, </w:t>
      </w:r>
      <w:r w:rsidR="002C1E7E">
        <w:rPr>
          <w:rFonts w:ascii="Arial" w:hAnsi="Arial" w:cs="Arial"/>
          <w:color w:val="FF0000"/>
          <w:sz w:val="22"/>
          <w:szCs w:val="22"/>
          <w:lang w:val="en-GB"/>
        </w:rPr>
        <w:t>there was only</w:t>
      </w:r>
      <w:r w:rsidR="00213439">
        <w:rPr>
          <w:rFonts w:ascii="Arial" w:hAnsi="Arial" w:cs="Arial"/>
          <w:color w:val="FF0000"/>
          <w:sz w:val="22"/>
          <w:szCs w:val="22"/>
          <w:lang w:val="en-GB"/>
        </w:rPr>
        <w:t xml:space="preserve"> one provision in the</w:t>
      </w:r>
      <w:r>
        <w:rPr>
          <w:rFonts w:ascii="Arial" w:hAnsi="Arial" w:cs="Arial"/>
          <w:color w:val="FF0000"/>
          <w:sz w:val="22"/>
          <w:szCs w:val="22"/>
          <w:lang w:val="en-GB"/>
        </w:rPr>
        <w:t xml:space="preserve"> EIR 2000</w:t>
      </w:r>
      <w:r w:rsidR="00213439">
        <w:rPr>
          <w:rFonts w:ascii="Arial" w:hAnsi="Arial" w:cs="Arial"/>
          <w:color w:val="FF0000"/>
          <w:sz w:val="22"/>
          <w:szCs w:val="22"/>
          <w:lang w:val="en-GB"/>
        </w:rPr>
        <w:t xml:space="preserve"> which required insolvency practitioners in main and secondary proceedings to exchange information amongst each other. The communication and co-operation framework under the EIR Recast represents a major improvement in that it leads to a more efficient of information in circumstances where there are several proceedings involving one debtor. If all relevant parties are provided with all relevant information and are able to co-ordinate the affairs to the estate this leads to a more efficient administration of an estate and realisation of its assets.</w:t>
      </w:r>
    </w:p>
    <w:p w14:paraId="6C985943" w14:textId="2BA5592D" w:rsidR="0013410C" w:rsidRDefault="0013410C" w:rsidP="002A37BB">
      <w:pPr>
        <w:jc w:val="both"/>
        <w:rPr>
          <w:rFonts w:ascii="Arial" w:hAnsi="Arial" w:cs="Arial"/>
          <w:color w:val="FF0000"/>
          <w:sz w:val="22"/>
          <w:szCs w:val="22"/>
          <w:lang w:val="en-GB"/>
        </w:rPr>
      </w:pPr>
    </w:p>
    <w:p w14:paraId="015AD451" w14:textId="22B8E983" w:rsidR="0013410C" w:rsidRDefault="0013410C" w:rsidP="002A37BB">
      <w:pPr>
        <w:jc w:val="both"/>
        <w:rPr>
          <w:rFonts w:ascii="Arial" w:hAnsi="Arial" w:cs="Arial"/>
          <w:b/>
          <w:bCs/>
          <w:color w:val="FF0000"/>
          <w:sz w:val="22"/>
          <w:szCs w:val="22"/>
          <w:lang w:val="en-GB"/>
        </w:rPr>
      </w:pPr>
      <w:r w:rsidRPr="0013410C">
        <w:rPr>
          <w:rFonts w:ascii="Arial" w:hAnsi="Arial" w:cs="Arial"/>
          <w:b/>
          <w:bCs/>
          <w:color w:val="FF0000"/>
          <w:sz w:val="22"/>
          <w:szCs w:val="22"/>
          <w:lang w:val="en-GB"/>
        </w:rPr>
        <w:t>Mandatory publication of insolvency proceedings and insolvency register</w:t>
      </w:r>
    </w:p>
    <w:p w14:paraId="2F33F5DD" w14:textId="62784052" w:rsidR="00DE319C" w:rsidRDefault="0013410C" w:rsidP="0013410C">
      <w:pPr>
        <w:jc w:val="both"/>
        <w:rPr>
          <w:rFonts w:ascii="Arial" w:hAnsi="Arial" w:cs="Arial"/>
          <w:color w:val="FF0000"/>
          <w:sz w:val="22"/>
          <w:szCs w:val="22"/>
        </w:rPr>
      </w:pPr>
      <w:r>
        <w:rPr>
          <w:rFonts w:ascii="Arial" w:hAnsi="Arial" w:cs="Arial"/>
          <w:color w:val="FF0000"/>
          <w:sz w:val="22"/>
          <w:szCs w:val="22"/>
          <w:lang w:val="en-GB"/>
        </w:rPr>
        <w:t>Per Article 24 of the EIR Recast, member states must es</w:t>
      </w:r>
      <w:r w:rsidRPr="0013410C">
        <w:rPr>
          <w:rFonts w:ascii="Arial" w:hAnsi="Arial" w:cs="Arial"/>
          <w:color w:val="FF0000"/>
          <w:sz w:val="22"/>
          <w:szCs w:val="22"/>
        </w:rPr>
        <w:t>tablish and maintain in their territory one or several registers in which information concerning insolvency proceedings is published</w:t>
      </w:r>
      <w:r>
        <w:rPr>
          <w:rFonts w:ascii="Arial" w:hAnsi="Arial" w:cs="Arial"/>
          <w:color w:val="FF0000"/>
          <w:sz w:val="22"/>
          <w:szCs w:val="22"/>
        </w:rPr>
        <w:t>. Moreover, the</w:t>
      </w:r>
      <w:r w:rsidRPr="0013410C">
        <w:rPr>
          <w:rFonts w:ascii="Arial" w:hAnsi="Arial" w:cs="Arial"/>
          <w:color w:val="FF0000"/>
          <w:sz w:val="22"/>
          <w:szCs w:val="22"/>
        </w:rPr>
        <w:t xml:space="preserve"> information shall be published as soon as possible after the opening of such proceedings.</w:t>
      </w:r>
      <w:r>
        <w:rPr>
          <w:rFonts w:ascii="Arial" w:hAnsi="Arial" w:cs="Arial"/>
          <w:color w:val="FF0000"/>
          <w:sz w:val="22"/>
          <w:szCs w:val="22"/>
        </w:rPr>
        <w:t xml:space="preserve"> Article 25 EIR Recast provides for the establishment of </w:t>
      </w:r>
      <w:r w:rsidR="00DE319C">
        <w:rPr>
          <w:rFonts w:ascii="Arial" w:hAnsi="Arial" w:cs="Arial"/>
          <w:color w:val="FF0000"/>
          <w:sz w:val="22"/>
          <w:szCs w:val="22"/>
        </w:rPr>
        <w:t>a decentralized system for the</w:t>
      </w:r>
      <w:r>
        <w:rPr>
          <w:rFonts w:ascii="Arial" w:hAnsi="Arial" w:cs="Arial"/>
          <w:color w:val="FF0000"/>
          <w:sz w:val="22"/>
          <w:szCs w:val="22"/>
        </w:rPr>
        <w:t xml:space="preserve"> interconnection of insolvency registers.</w:t>
      </w:r>
      <w:r w:rsidRPr="0013410C">
        <w:rPr>
          <w:rFonts w:ascii="Arial" w:hAnsi="Arial" w:cs="Arial"/>
          <w:color w:val="FF0000"/>
          <w:sz w:val="22"/>
          <w:szCs w:val="22"/>
        </w:rPr>
        <w:t xml:space="preserve"> </w:t>
      </w:r>
      <w:r>
        <w:rPr>
          <w:rFonts w:ascii="Arial" w:hAnsi="Arial" w:cs="Arial"/>
          <w:color w:val="FF0000"/>
          <w:sz w:val="22"/>
          <w:szCs w:val="22"/>
        </w:rPr>
        <w:t>Th</w:t>
      </w:r>
      <w:r w:rsidR="00DE319C">
        <w:rPr>
          <w:rFonts w:ascii="Arial" w:hAnsi="Arial" w:cs="Arial"/>
          <w:color w:val="FF0000"/>
          <w:sz w:val="22"/>
          <w:szCs w:val="22"/>
        </w:rPr>
        <w:t xml:space="preserve">is </w:t>
      </w:r>
      <w:r w:rsidRPr="0013410C">
        <w:rPr>
          <w:rFonts w:ascii="Arial" w:hAnsi="Arial" w:cs="Arial"/>
          <w:color w:val="FF0000"/>
          <w:sz w:val="22"/>
          <w:szCs w:val="22"/>
        </w:rPr>
        <w:t xml:space="preserve">system </w:t>
      </w:r>
      <w:r w:rsidR="00DE319C">
        <w:rPr>
          <w:rFonts w:ascii="Arial" w:hAnsi="Arial" w:cs="Arial"/>
          <w:color w:val="FF0000"/>
          <w:sz w:val="22"/>
          <w:szCs w:val="22"/>
        </w:rPr>
        <w:t xml:space="preserve">will act as a search engine to </w:t>
      </w:r>
      <w:r w:rsidRPr="0013410C">
        <w:rPr>
          <w:rFonts w:ascii="Arial" w:hAnsi="Arial" w:cs="Arial"/>
          <w:color w:val="FF0000"/>
          <w:sz w:val="22"/>
          <w:szCs w:val="22"/>
        </w:rPr>
        <w:t>make available the mandatory</w:t>
      </w:r>
      <w:r w:rsidR="00DE319C">
        <w:rPr>
          <w:rFonts w:ascii="Arial" w:hAnsi="Arial" w:cs="Arial"/>
          <w:color w:val="FF0000"/>
          <w:sz w:val="22"/>
          <w:szCs w:val="22"/>
        </w:rPr>
        <w:t xml:space="preserve"> </w:t>
      </w:r>
      <w:r w:rsidRPr="0013410C">
        <w:rPr>
          <w:rFonts w:ascii="Arial" w:hAnsi="Arial" w:cs="Arial"/>
          <w:color w:val="FF0000"/>
          <w:sz w:val="22"/>
          <w:szCs w:val="22"/>
        </w:rPr>
        <w:t>information and any other documents or information included in the insolvency registers</w:t>
      </w:r>
      <w:r w:rsidR="00DE319C">
        <w:rPr>
          <w:rFonts w:ascii="Arial" w:hAnsi="Arial" w:cs="Arial"/>
          <w:color w:val="FF0000"/>
          <w:sz w:val="22"/>
          <w:szCs w:val="22"/>
        </w:rPr>
        <w:t>. The requirement for publication of insolvency proceedings and the creation of the interconnection of insolvency registers are key tools that will be used in cross-order insolvencies to ensure that insolvency practitioner and judges have access to relevant information regarding insolvencies in other members for the purposes of ensuring the effective administration of estates with cross-border elements.</w:t>
      </w:r>
    </w:p>
    <w:p w14:paraId="02586849" w14:textId="244037D7" w:rsidR="00DE319C" w:rsidRDefault="00DE319C" w:rsidP="0013410C">
      <w:pPr>
        <w:jc w:val="both"/>
        <w:rPr>
          <w:rFonts w:ascii="Arial" w:hAnsi="Arial" w:cs="Arial"/>
          <w:b/>
          <w:bCs/>
          <w:color w:val="FF0000"/>
          <w:sz w:val="22"/>
          <w:szCs w:val="22"/>
        </w:rPr>
      </w:pPr>
      <w:r w:rsidRPr="00DE319C">
        <w:rPr>
          <w:rFonts w:ascii="Arial" w:hAnsi="Arial" w:cs="Arial"/>
          <w:b/>
          <w:bCs/>
          <w:color w:val="FF0000"/>
          <w:sz w:val="22"/>
          <w:szCs w:val="22"/>
        </w:rPr>
        <w:t>Group Insolvency</w:t>
      </w:r>
    </w:p>
    <w:p w14:paraId="4EAAED8D" w14:textId="3A48668D" w:rsidR="00EB2F84" w:rsidRPr="00EB2F84" w:rsidRDefault="00EB2F84" w:rsidP="0013410C">
      <w:pPr>
        <w:jc w:val="both"/>
        <w:rPr>
          <w:rFonts w:ascii="Arial" w:hAnsi="Arial" w:cs="Arial"/>
          <w:color w:val="FF0000"/>
          <w:sz w:val="22"/>
          <w:szCs w:val="22"/>
        </w:rPr>
      </w:pPr>
      <w:r>
        <w:rPr>
          <w:rFonts w:ascii="Arial" w:hAnsi="Arial" w:cs="Arial"/>
          <w:color w:val="FF0000"/>
          <w:sz w:val="22"/>
          <w:szCs w:val="22"/>
        </w:rPr>
        <w:t>The group insolvency framework in the EIR Recast is a key improvement.</w:t>
      </w:r>
      <w:r w:rsidR="00053226">
        <w:rPr>
          <w:rFonts w:ascii="Arial" w:hAnsi="Arial" w:cs="Arial"/>
          <w:color w:val="FF0000"/>
          <w:sz w:val="22"/>
          <w:szCs w:val="22"/>
        </w:rPr>
        <w:t xml:space="preserve"> The group insolvency framework imposes duties of co-operation and communication on insolvency practitioners and courts in the context of insolvency proceedings opened against members of an enterprise group.</w:t>
      </w:r>
      <w:r w:rsidR="00C7635D">
        <w:rPr>
          <w:rFonts w:ascii="Arial" w:hAnsi="Arial" w:cs="Arial"/>
          <w:color w:val="FF0000"/>
          <w:sz w:val="22"/>
          <w:szCs w:val="22"/>
        </w:rPr>
        <w:t xml:space="preserve">  Such a framework is critically important due to the multi-national presence of companies and should promote the fair and efficient administration of cross-border insolvencies of multi-national entities.</w:t>
      </w: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4E83D7AF" w14:textId="72D1059E" w:rsidR="00DF75F8" w:rsidRDefault="00D413D1" w:rsidP="00D413D1">
      <w:pPr>
        <w:jc w:val="both"/>
        <w:rPr>
          <w:rFonts w:ascii="Arial" w:hAnsi="Arial" w:cs="Arial"/>
          <w:color w:val="FF0000"/>
          <w:sz w:val="22"/>
          <w:szCs w:val="22"/>
          <w:lang w:val="en-GB"/>
        </w:rPr>
      </w:pPr>
      <w:r w:rsidRPr="00293402">
        <w:rPr>
          <w:rFonts w:ascii="Arial" w:hAnsi="Arial" w:cs="Arial"/>
          <w:color w:val="FF0000"/>
          <w:sz w:val="22"/>
          <w:szCs w:val="22"/>
          <w:lang w:val="en-GB"/>
        </w:rPr>
        <w:t>Per recital 10 of the EIR Recast, a key objective of the EIR Recast is the promotion</w:t>
      </w:r>
      <w:r w:rsidRPr="00293402">
        <w:rPr>
          <w:color w:val="FF0000"/>
        </w:rPr>
        <w:t xml:space="preserve"> </w:t>
      </w:r>
      <w:r w:rsidRPr="00293402">
        <w:rPr>
          <w:rFonts w:ascii="Arial" w:hAnsi="Arial" w:cs="Arial"/>
          <w:color w:val="FF0000"/>
          <w:sz w:val="22"/>
          <w:szCs w:val="22"/>
          <w:lang w:val="en-GB"/>
        </w:rPr>
        <w:t xml:space="preserve">of the rescuing of economically viable distressed businesses. There are two provisions which I believe, although having good intentions, do not go far enough in the effort to promote the rescue culture. </w:t>
      </w:r>
    </w:p>
    <w:p w14:paraId="57D16CFE" w14:textId="77777777" w:rsidR="00CA7B9D" w:rsidRPr="00293402" w:rsidRDefault="00CA7B9D" w:rsidP="00D413D1">
      <w:pPr>
        <w:jc w:val="both"/>
        <w:rPr>
          <w:rFonts w:ascii="Arial" w:hAnsi="Arial" w:cs="Arial"/>
          <w:color w:val="FF0000"/>
          <w:sz w:val="22"/>
          <w:szCs w:val="22"/>
          <w:lang w:val="en-GB"/>
        </w:rPr>
      </w:pPr>
    </w:p>
    <w:p w14:paraId="77DD32E2" w14:textId="6369328E" w:rsidR="00D413D1" w:rsidRDefault="00D413D1" w:rsidP="00D413D1">
      <w:pPr>
        <w:jc w:val="both"/>
        <w:rPr>
          <w:rFonts w:ascii="Arial" w:hAnsi="Arial" w:cs="Arial"/>
          <w:color w:val="FF0000"/>
          <w:sz w:val="22"/>
          <w:szCs w:val="22"/>
          <w:lang w:val="en-GB"/>
        </w:rPr>
      </w:pPr>
    </w:p>
    <w:p w14:paraId="55C55876" w14:textId="2B7D5647" w:rsidR="00AF4CB5" w:rsidRPr="00AF4CB5" w:rsidRDefault="00AF4CB5" w:rsidP="00D413D1">
      <w:pPr>
        <w:jc w:val="both"/>
        <w:rPr>
          <w:rFonts w:ascii="Arial" w:hAnsi="Arial" w:cs="Arial"/>
          <w:b/>
          <w:bCs/>
          <w:color w:val="FF0000"/>
          <w:sz w:val="22"/>
          <w:szCs w:val="22"/>
          <w:lang w:val="en-GB"/>
        </w:rPr>
      </w:pPr>
      <w:r w:rsidRPr="00AF4CB5">
        <w:rPr>
          <w:rFonts w:ascii="Arial" w:hAnsi="Arial" w:cs="Arial"/>
          <w:b/>
          <w:bCs/>
          <w:color w:val="FF0000"/>
          <w:sz w:val="22"/>
          <w:szCs w:val="22"/>
          <w:lang w:val="en-GB"/>
        </w:rPr>
        <w:t>Group coordination proceedings</w:t>
      </w:r>
    </w:p>
    <w:p w14:paraId="25DDAA5D" w14:textId="0693041F" w:rsidR="00D413D1" w:rsidRDefault="00D413D1" w:rsidP="00D413D1">
      <w:pPr>
        <w:jc w:val="both"/>
        <w:rPr>
          <w:rFonts w:ascii="Arial" w:hAnsi="Arial" w:cs="Arial"/>
          <w:color w:val="FF0000"/>
          <w:sz w:val="22"/>
          <w:szCs w:val="22"/>
          <w:lang w:val="en-GB"/>
        </w:rPr>
      </w:pPr>
      <w:r w:rsidRPr="00293402">
        <w:rPr>
          <w:rFonts w:ascii="Arial" w:hAnsi="Arial" w:cs="Arial"/>
          <w:color w:val="FF0000"/>
          <w:sz w:val="22"/>
          <w:szCs w:val="22"/>
          <w:lang w:val="en-GB"/>
        </w:rPr>
        <w:t>Firstly, the group co-ordination proceedings</w:t>
      </w:r>
      <w:r w:rsidR="001B3A7F">
        <w:rPr>
          <w:rFonts w:ascii="Arial" w:hAnsi="Arial" w:cs="Arial"/>
          <w:color w:val="FF0000"/>
          <w:sz w:val="22"/>
          <w:szCs w:val="22"/>
          <w:lang w:val="en-GB"/>
        </w:rPr>
        <w:t xml:space="preserve"> provisions</w:t>
      </w:r>
      <w:r w:rsidR="00621357">
        <w:rPr>
          <w:rFonts w:ascii="Arial" w:hAnsi="Arial" w:cs="Arial"/>
          <w:color w:val="FF0000"/>
          <w:sz w:val="22"/>
          <w:szCs w:val="22"/>
          <w:lang w:val="en-GB"/>
        </w:rPr>
        <w:t xml:space="preserve"> lack teeth. </w:t>
      </w:r>
      <w:r w:rsidR="001B3A7F">
        <w:rPr>
          <w:rFonts w:ascii="Arial" w:hAnsi="Arial" w:cs="Arial"/>
          <w:color w:val="FF0000"/>
          <w:sz w:val="22"/>
          <w:szCs w:val="22"/>
          <w:lang w:val="en-GB"/>
        </w:rPr>
        <w:t xml:space="preserve">Due to </w:t>
      </w:r>
      <w:r w:rsidR="00A45E55">
        <w:rPr>
          <w:rFonts w:ascii="Arial" w:hAnsi="Arial" w:cs="Arial"/>
          <w:color w:val="FF0000"/>
          <w:sz w:val="22"/>
          <w:szCs w:val="22"/>
          <w:lang w:val="en-GB"/>
        </w:rPr>
        <w:t>their</w:t>
      </w:r>
      <w:r w:rsidR="00621357">
        <w:rPr>
          <w:rFonts w:ascii="Arial" w:hAnsi="Arial" w:cs="Arial"/>
          <w:color w:val="FF0000"/>
          <w:sz w:val="22"/>
          <w:szCs w:val="22"/>
          <w:lang w:val="en-GB"/>
        </w:rPr>
        <w:t xml:space="preserve"> voluntary and non-binding nature</w:t>
      </w:r>
      <w:r w:rsidR="001B3A7F">
        <w:rPr>
          <w:rFonts w:ascii="Arial" w:hAnsi="Arial" w:cs="Arial"/>
          <w:color w:val="FF0000"/>
          <w:sz w:val="22"/>
          <w:szCs w:val="22"/>
          <w:lang w:val="en-GB"/>
        </w:rPr>
        <w:t xml:space="preserve">, it is very likely that these provisions will not achieve their objective. If insolvency practitioners and courts of member states refuse to cooperate and participate in the group proceedings, the purpose of these provisions are defeated. Parallel proceedings </w:t>
      </w:r>
      <w:r w:rsidR="00A45E55">
        <w:rPr>
          <w:rFonts w:ascii="Arial" w:hAnsi="Arial" w:cs="Arial"/>
          <w:color w:val="FF0000"/>
          <w:sz w:val="22"/>
          <w:szCs w:val="22"/>
          <w:lang w:val="en-GB"/>
        </w:rPr>
        <w:t xml:space="preserve">in different jurisdictions </w:t>
      </w:r>
      <w:r w:rsidR="001B3A7F">
        <w:rPr>
          <w:rFonts w:ascii="Arial" w:hAnsi="Arial" w:cs="Arial"/>
          <w:color w:val="FF0000"/>
          <w:sz w:val="22"/>
          <w:szCs w:val="22"/>
          <w:lang w:val="en-GB"/>
        </w:rPr>
        <w:t xml:space="preserve">involving companies that belong to a multi-national group of companies </w:t>
      </w:r>
      <w:r w:rsidR="001B3A7F">
        <w:rPr>
          <w:rFonts w:ascii="Arial" w:hAnsi="Arial" w:cs="Arial"/>
          <w:color w:val="FF0000"/>
          <w:sz w:val="22"/>
          <w:szCs w:val="22"/>
          <w:lang w:val="en-GB"/>
        </w:rPr>
        <w:lastRenderedPageBreak/>
        <w:t>would be inefficient in most cases and would not be beneficial to the coordination of rescue efforts.</w:t>
      </w:r>
      <w:r w:rsidR="00CA7B9D">
        <w:rPr>
          <w:rStyle w:val="FootnoteReference"/>
          <w:rFonts w:ascii="Arial" w:hAnsi="Arial" w:cs="Arial"/>
          <w:color w:val="FF0000"/>
          <w:sz w:val="22"/>
          <w:szCs w:val="22"/>
          <w:lang w:val="en-GB"/>
        </w:rPr>
        <w:footnoteReference w:id="2"/>
      </w:r>
    </w:p>
    <w:p w14:paraId="2B59FDBF" w14:textId="36684C46" w:rsidR="00A45E55" w:rsidRDefault="00A45E55" w:rsidP="00D413D1">
      <w:pPr>
        <w:jc w:val="both"/>
        <w:rPr>
          <w:rFonts w:ascii="Arial" w:hAnsi="Arial" w:cs="Arial"/>
          <w:color w:val="FF0000"/>
          <w:sz w:val="22"/>
          <w:szCs w:val="22"/>
          <w:lang w:val="en-GB"/>
        </w:rPr>
      </w:pPr>
    </w:p>
    <w:p w14:paraId="5A42E2A2" w14:textId="0263A768" w:rsidR="00A45E55" w:rsidRDefault="00A45E55" w:rsidP="00D413D1">
      <w:pPr>
        <w:jc w:val="both"/>
        <w:rPr>
          <w:rFonts w:ascii="Arial" w:hAnsi="Arial" w:cs="Arial"/>
          <w:color w:val="FF0000"/>
          <w:sz w:val="22"/>
          <w:szCs w:val="22"/>
          <w:lang w:val="en-GB"/>
        </w:rPr>
      </w:pPr>
      <w:r>
        <w:rPr>
          <w:rFonts w:ascii="Arial" w:hAnsi="Arial" w:cs="Arial"/>
          <w:color w:val="FF0000"/>
          <w:sz w:val="22"/>
          <w:szCs w:val="22"/>
          <w:lang w:val="en-GB"/>
        </w:rPr>
        <w:t>Perhaps, the EIR Recast should be amended to provide for limited circumstance in which insolvency practitioners and courts may choose not to participate in group coordination proceedings.</w:t>
      </w:r>
    </w:p>
    <w:p w14:paraId="4419EA71" w14:textId="3143CA98" w:rsidR="00AF4CB5" w:rsidRDefault="00AF4CB5" w:rsidP="00D413D1">
      <w:pPr>
        <w:jc w:val="both"/>
        <w:rPr>
          <w:rFonts w:ascii="Arial" w:hAnsi="Arial" w:cs="Arial"/>
          <w:color w:val="FF0000"/>
          <w:sz w:val="22"/>
          <w:szCs w:val="22"/>
          <w:lang w:val="en-GB"/>
        </w:rPr>
      </w:pPr>
    </w:p>
    <w:p w14:paraId="10BFF606" w14:textId="2ECB51D6" w:rsidR="00AF4CB5" w:rsidRDefault="00AF4CB5" w:rsidP="00D413D1">
      <w:pPr>
        <w:jc w:val="both"/>
        <w:rPr>
          <w:rFonts w:ascii="Arial" w:hAnsi="Arial" w:cs="Arial"/>
          <w:b/>
          <w:bCs/>
          <w:color w:val="FF0000"/>
          <w:sz w:val="22"/>
          <w:szCs w:val="22"/>
          <w:lang w:val="en-GB"/>
        </w:rPr>
      </w:pPr>
      <w:r w:rsidRPr="00AF4CB5">
        <w:rPr>
          <w:rFonts w:ascii="Arial" w:hAnsi="Arial" w:cs="Arial"/>
          <w:b/>
          <w:bCs/>
          <w:color w:val="FF0000"/>
          <w:sz w:val="22"/>
          <w:szCs w:val="22"/>
          <w:lang w:val="en-GB"/>
        </w:rPr>
        <w:t>Stay of opening of secondary proceedings</w:t>
      </w:r>
    </w:p>
    <w:p w14:paraId="490F500A" w14:textId="4F39BD90" w:rsidR="00AF4CB5" w:rsidRDefault="00AF4CB5" w:rsidP="00D413D1">
      <w:pPr>
        <w:jc w:val="both"/>
        <w:rPr>
          <w:rFonts w:ascii="Arial" w:hAnsi="Arial" w:cs="Arial"/>
          <w:color w:val="FF0000"/>
          <w:sz w:val="22"/>
          <w:szCs w:val="22"/>
          <w:lang w:val="en-GB"/>
        </w:rPr>
      </w:pPr>
      <w:r>
        <w:rPr>
          <w:rFonts w:ascii="Arial" w:hAnsi="Arial" w:cs="Arial"/>
          <w:color w:val="FF0000"/>
          <w:sz w:val="22"/>
          <w:szCs w:val="22"/>
          <w:lang w:val="en-GB"/>
        </w:rPr>
        <w:t>The second provision which I believe falls short is Article 38 (3) of the EIR Recast. Per Article 38 (3) EIR Recast states,</w:t>
      </w:r>
    </w:p>
    <w:p w14:paraId="752A2CE1" w14:textId="6E089F55" w:rsidR="00AF4CB5" w:rsidRDefault="00AF4CB5" w:rsidP="00D413D1">
      <w:pPr>
        <w:jc w:val="both"/>
        <w:rPr>
          <w:rFonts w:ascii="Arial" w:hAnsi="Arial" w:cs="Arial"/>
          <w:color w:val="FF0000"/>
          <w:sz w:val="22"/>
          <w:szCs w:val="22"/>
          <w:lang w:val="en-GB"/>
        </w:rPr>
      </w:pPr>
    </w:p>
    <w:p w14:paraId="5BD579C9" w14:textId="678C14E5" w:rsidR="00AF4CB5" w:rsidRDefault="00AF4CB5" w:rsidP="00D413D1">
      <w:pPr>
        <w:jc w:val="both"/>
        <w:rPr>
          <w:rFonts w:ascii="Arial" w:hAnsi="Arial" w:cs="Arial"/>
          <w:color w:val="FF0000"/>
          <w:sz w:val="22"/>
          <w:szCs w:val="22"/>
        </w:rPr>
      </w:pPr>
      <w:r>
        <w:rPr>
          <w:rFonts w:ascii="Arial" w:hAnsi="Arial" w:cs="Arial"/>
          <w:color w:val="FF0000"/>
          <w:sz w:val="22"/>
          <w:szCs w:val="22"/>
        </w:rPr>
        <w:t>“</w:t>
      </w:r>
      <w:r w:rsidRPr="00AF4CB5">
        <w:rPr>
          <w:rFonts w:ascii="Arial" w:hAnsi="Arial" w:cs="Arial"/>
          <w:color w:val="FF0000"/>
          <w:sz w:val="22"/>
          <w:szCs w:val="22"/>
        </w:rPr>
        <w:t>Where a temporary stay of individual enforcement proceedings has been granted in order to allow for negotiations between the debtor and its creditors, the court, at the request of the insolvency practitioner or the debtor in possession, may stay the opening of secondary insolvency proceedings for a period not exceeding 3 months, provided that suitable measures are in place to protect the interests of local creditors</w:t>
      </w:r>
      <w:r>
        <w:rPr>
          <w:rFonts w:ascii="Arial" w:hAnsi="Arial" w:cs="Arial"/>
          <w:color w:val="FF0000"/>
          <w:sz w:val="22"/>
          <w:szCs w:val="22"/>
        </w:rPr>
        <w:t>.”</w:t>
      </w:r>
    </w:p>
    <w:p w14:paraId="040A92A0" w14:textId="24A7BA26" w:rsidR="00AF4CB5" w:rsidRDefault="00AF4CB5" w:rsidP="00D413D1">
      <w:pPr>
        <w:jc w:val="both"/>
        <w:rPr>
          <w:rFonts w:ascii="Arial" w:hAnsi="Arial" w:cs="Arial"/>
          <w:color w:val="FF0000"/>
          <w:sz w:val="22"/>
          <w:szCs w:val="22"/>
        </w:rPr>
      </w:pPr>
    </w:p>
    <w:p w14:paraId="519D1C38" w14:textId="1D16F883" w:rsidR="00AF4CB5" w:rsidRPr="00AF4CB5" w:rsidRDefault="00AF4CB5" w:rsidP="00D413D1">
      <w:pPr>
        <w:jc w:val="both"/>
        <w:rPr>
          <w:rFonts w:ascii="Arial" w:hAnsi="Arial" w:cs="Arial"/>
          <w:color w:val="FF0000"/>
          <w:sz w:val="22"/>
          <w:szCs w:val="22"/>
          <w:lang w:val="en-GB"/>
        </w:rPr>
      </w:pPr>
      <w:r>
        <w:rPr>
          <w:rFonts w:ascii="Arial" w:hAnsi="Arial" w:cs="Arial"/>
          <w:color w:val="FF0000"/>
          <w:sz w:val="22"/>
          <w:szCs w:val="22"/>
        </w:rPr>
        <w:t>Based on Article 38 (3) EIR Recast, the law of the member state in which a request for a stay of opening of secondary proceedings governs whether or not such a stay is granted. This fact hinder legal certainty as requirements for stay would li</w:t>
      </w:r>
      <w:r w:rsidR="0021244D">
        <w:rPr>
          <w:rFonts w:ascii="Arial" w:hAnsi="Arial" w:cs="Arial"/>
          <w:color w:val="FF0000"/>
          <w:sz w:val="22"/>
          <w:szCs w:val="22"/>
        </w:rPr>
        <w:t>k</w:t>
      </w:r>
      <w:r>
        <w:rPr>
          <w:rFonts w:ascii="Arial" w:hAnsi="Arial" w:cs="Arial"/>
          <w:color w:val="FF0000"/>
          <w:sz w:val="22"/>
          <w:szCs w:val="22"/>
        </w:rPr>
        <w:t>e</w:t>
      </w:r>
      <w:r w:rsidR="0021244D">
        <w:rPr>
          <w:rFonts w:ascii="Arial" w:hAnsi="Arial" w:cs="Arial"/>
          <w:color w:val="FF0000"/>
          <w:sz w:val="22"/>
          <w:szCs w:val="22"/>
        </w:rPr>
        <w:t>l</w:t>
      </w:r>
      <w:r>
        <w:rPr>
          <w:rFonts w:ascii="Arial" w:hAnsi="Arial" w:cs="Arial"/>
          <w:color w:val="FF0000"/>
          <w:sz w:val="22"/>
          <w:szCs w:val="22"/>
        </w:rPr>
        <w:t>y vary greatly from member state to mem</w:t>
      </w:r>
      <w:r w:rsidR="0021244D">
        <w:rPr>
          <w:rFonts w:ascii="Arial" w:hAnsi="Arial" w:cs="Arial"/>
          <w:color w:val="FF0000"/>
          <w:sz w:val="22"/>
          <w:szCs w:val="22"/>
        </w:rPr>
        <w:t>b</w:t>
      </w:r>
      <w:r>
        <w:rPr>
          <w:rFonts w:ascii="Arial" w:hAnsi="Arial" w:cs="Arial"/>
          <w:color w:val="FF0000"/>
          <w:sz w:val="22"/>
          <w:szCs w:val="22"/>
        </w:rPr>
        <w:t>er state.</w:t>
      </w:r>
      <w:r w:rsidR="00CA7B9D">
        <w:rPr>
          <w:rStyle w:val="FootnoteReference"/>
          <w:rFonts w:ascii="Arial" w:hAnsi="Arial" w:cs="Arial"/>
          <w:color w:val="FF0000"/>
          <w:sz w:val="22"/>
          <w:szCs w:val="22"/>
        </w:rPr>
        <w:footnoteReference w:id="3"/>
      </w:r>
      <w:r w:rsidR="0021244D">
        <w:rPr>
          <w:rFonts w:ascii="Arial" w:hAnsi="Arial" w:cs="Arial"/>
          <w:color w:val="FF0000"/>
          <w:sz w:val="22"/>
          <w:szCs w:val="22"/>
        </w:rPr>
        <w:t xml:space="preserve"> Perhaps, to address this issue, the EIR Recast should be amened to include standard requirement for the granting of a stay of opening of secondary proceedings.</w:t>
      </w:r>
    </w:p>
    <w:p w14:paraId="6C13A94D" w14:textId="619B8431" w:rsidR="00AF4CB5" w:rsidRDefault="00AF4CB5" w:rsidP="00D413D1">
      <w:pPr>
        <w:jc w:val="both"/>
        <w:rPr>
          <w:rFonts w:ascii="Arial" w:hAnsi="Arial" w:cs="Arial"/>
          <w:color w:val="FF0000"/>
          <w:sz w:val="22"/>
          <w:szCs w:val="22"/>
          <w:lang w:val="en-GB"/>
        </w:rPr>
      </w:pPr>
    </w:p>
    <w:p w14:paraId="262B3A52" w14:textId="77777777" w:rsidR="00AF4CB5" w:rsidRPr="00293402" w:rsidRDefault="00AF4CB5" w:rsidP="00D413D1">
      <w:pPr>
        <w:jc w:val="both"/>
        <w:rPr>
          <w:rFonts w:ascii="Arial" w:hAnsi="Arial" w:cs="Arial"/>
          <w:color w:val="FF0000"/>
          <w:sz w:val="22"/>
          <w:szCs w:val="22"/>
          <w:lang w:val="en-GB"/>
        </w:rPr>
      </w:pPr>
    </w:p>
    <w:p w14:paraId="4AE7EA78" w14:textId="24C76947" w:rsidR="007D7C92" w:rsidRPr="00293402" w:rsidRDefault="007D7C92" w:rsidP="002A37BB">
      <w:pPr>
        <w:ind w:left="720" w:hanging="720"/>
        <w:jc w:val="both"/>
        <w:rPr>
          <w:rFonts w:ascii="Arial" w:hAnsi="Arial" w:cs="Arial"/>
          <w:color w:val="FF0000"/>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2F007BA"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Prêt A Jouer</w:t>
      </w:r>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r w:rsidR="00ED472A" w:rsidRPr="008500BD">
        <w:rPr>
          <w:rFonts w:ascii="Arial" w:hAnsi="Arial" w:cs="Arial"/>
          <w:i/>
          <w:iCs/>
          <w:sz w:val="22"/>
          <w:szCs w:val="22"/>
          <w:lang w:val="en-GB"/>
        </w:rPr>
        <w:t>procédure de sauvegarde</w:t>
      </w:r>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32E46512" w:rsidR="00D95496" w:rsidRDefault="00D95496" w:rsidP="002A37BB">
      <w:pPr>
        <w:jc w:val="both"/>
        <w:rPr>
          <w:rFonts w:ascii="Arial" w:hAnsi="Arial" w:cs="Arial"/>
          <w:sz w:val="22"/>
          <w:szCs w:val="22"/>
          <w:lang w:val="en-GB"/>
        </w:rPr>
      </w:pPr>
    </w:p>
    <w:p w14:paraId="7F062F96" w14:textId="79BB4FCA" w:rsidR="00B81AE2" w:rsidRPr="00B81AE2" w:rsidRDefault="00B81AE2" w:rsidP="002A37BB">
      <w:pPr>
        <w:jc w:val="both"/>
        <w:rPr>
          <w:rFonts w:ascii="Arial" w:hAnsi="Arial" w:cs="Arial"/>
          <w:b/>
          <w:bCs/>
          <w:color w:val="FF0000"/>
          <w:sz w:val="22"/>
          <w:szCs w:val="22"/>
          <w:lang w:val="en-GB"/>
        </w:rPr>
      </w:pPr>
      <w:r w:rsidRPr="00B81AE2">
        <w:rPr>
          <w:rFonts w:ascii="Arial" w:hAnsi="Arial" w:cs="Arial"/>
          <w:b/>
          <w:bCs/>
          <w:color w:val="FF0000"/>
          <w:sz w:val="22"/>
          <w:szCs w:val="22"/>
          <w:lang w:val="en-GB"/>
        </w:rPr>
        <w:lastRenderedPageBreak/>
        <w:t>Do safeguard proceedings fall within the scope of EIR 2000?</w:t>
      </w:r>
    </w:p>
    <w:p w14:paraId="0D37BBBB" w14:textId="2253D55F" w:rsidR="002F75A3" w:rsidRPr="00437BC1" w:rsidRDefault="00C43C75" w:rsidP="002A37BB">
      <w:pPr>
        <w:jc w:val="both"/>
        <w:rPr>
          <w:rFonts w:ascii="Arial" w:hAnsi="Arial" w:cs="Arial"/>
          <w:color w:val="FF0000"/>
          <w:sz w:val="22"/>
          <w:szCs w:val="22"/>
        </w:rPr>
      </w:pPr>
      <w:r w:rsidRPr="00437BC1">
        <w:rPr>
          <w:rFonts w:ascii="Arial" w:hAnsi="Arial" w:cs="Arial"/>
          <w:color w:val="FF0000"/>
          <w:sz w:val="22"/>
          <w:szCs w:val="22"/>
          <w:lang w:val="en-GB"/>
        </w:rPr>
        <w:t xml:space="preserve">The first step in </w:t>
      </w:r>
      <w:r w:rsidR="009733C8" w:rsidRPr="00437BC1">
        <w:rPr>
          <w:rFonts w:ascii="Arial" w:hAnsi="Arial" w:cs="Arial"/>
          <w:color w:val="FF0000"/>
          <w:sz w:val="22"/>
          <w:szCs w:val="22"/>
          <w:lang w:val="en-GB"/>
        </w:rPr>
        <w:t>determining whether the Strasbourg Court has international jurisdiction for the purposes of EIR 2000,</w:t>
      </w:r>
      <w:r w:rsidRPr="00437BC1">
        <w:rPr>
          <w:rFonts w:ascii="Arial" w:hAnsi="Arial" w:cs="Arial"/>
          <w:color w:val="FF0000"/>
          <w:sz w:val="22"/>
          <w:szCs w:val="22"/>
          <w:lang w:val="en-GB"/>
        </w:rPr>
        <w:t xml:space="preserve"> </w:t>
      </w:r>
      <w:r w:rsidR="009733C8" w:rsidRPr="00437BC1">
        <w:rPr>
          <w:rFonts w:ascii="Arial" w:hAnsi="Arial" w:cs="Arial"/>
          <w:color w:val="FF0000"/>
          <w:sz w:val="22"/>
          <w:szCs w:val="22"/>
          <w:lang w:val="en-GB"/>
        </w:rPr>
        <w:t xml:space="preserve">in this context, </w:t>
      </w:r>
      <w:r w:rsidRPr="00437BC1">
        <w:rPr>
          <w:rFonts w:ascii="Arial" w:hAnsi="Arial" w:cs="Arial"/>
          <w:color w:val="FF0000"/>
          <w:sz w:val="22"/>
          <w:szCs w:val="22"/>
          <w:lang w:val="en-GB"/>
        </w:rPr>
        <w:t xml:space="preserve">is determining whether the French safeguard proceedings fall within the scope of the EIR 2000. </w:t>
      </w:r>
      <w:r w:rsidR="008B7B18" w:rsidRPr="00437BC1">
        <w:rPr>
          <w:rFonts w:ascii="Arial" w:hAnsi="Arial" w:cs="Arial"/>
          <w:color w:val="FF0000"/>
          <w:sz w:val="22"/>
          <w:szCs w:val="22"/>
          <w:lang w:val="en-GB"/>
        </w:rPr>
        <w:t>Per Article 1 of the EIR 2000,</w:t>
      </w:r>
      <w:r w:rsidR="008B7B18" w:rsidRPr="00437BC1">
        <w:rPr>
          <w:color w:val="FF0000"/>
        </w:rPr>
        <w:t xml:space="preserve"> “</w:t>
      </w:r>
      <w:r w:rsidR="008B7B18" w:rsidRPr="00437BC1">
        <w:rPr>
          <w:rFonts w:ascii="Arial" w:hAnsi="Arial" w:cs="Arial"/>
          <w:i/>
          <w:iCs/>
          <w:color w:val="FF0000"/>
          <w:sz w:val="22"/>
          <w:szCs w:val="22"/>
        </w:rPr>
        <w:t>This Regulation shall apply to collective insolvency proceedings which entail the partial or total divestment of a debtor and the appointment of a liquidator.</w:t>
      </w:r>
      <w:r w:rsidR="008B7B18" w:rsidRPr="00437BC1">
        <w:rPr>
          <w:rFonts w:ascii="Arial" w:hAnsi="Arial" w:cs="Arial"/>
          <w:color w:val="FF0000"/>
          <w:sz w:val="22"/>
          <w:szCs w:val="22"/>
        </w:rPr>
        <w:t>”</w:t>
      </w:r>
    </w:p>
    <w:p w14:paraId="2D111FB6" w14:textId="77777777" w:rsidR="009733C8" w:rsidRPr="00437BC1" w:rsidRDefault="009733C8" w:rsidP="002A37BB">
      <w:pPr>
        <w:jc w:val="both"/>
        <w:rPr>
          <w:rFonts w:ascii="Arial" w:hAnsi="Arial" w:cs="Arial"/>
          <w:color w:val="FF0000"/>
          <w:sz w:val="22"/>
          <w:szCs w:val="22"/>
        </w:rPr>
      </w:pPr>
    </w:p>
    <w:p w14:paraId="2334FF21" w14:textId="67817D37" w:rsidR="009733C8" w:rsidRDefault="009733C8" w:rsidP="009733C8">
      <w:pPr>
        <w:jc w:val="both"/>
        <w:rPr>
          <w:rFonts w:ascii="Arial" w:hAnsi="Arial" w:cs="Arial"/>
          <w:color w:val="FF0000"/>
          <w:sz w:val="22"/>
          <w:szCs w:val="22"/>
        </w:rPr>
      </w:pPr>
      <w:r w:rsidRPr="00437BC1">
        <w:rPr>
          <w:rFonts w:ascii="Arial" w:hAnsi="Arial" w:cs="Arial"/>
          <w:color w:val="FF0000"/>
          <w:sz w:val="22"/>
          <w:szCs w:val="22"/>
        </w:rPr>
        <w:t>The French safeguard proceedings are pre-insolvency proceedings which allow a company in financial distress to reorganize its outstanding debts and continue to operate its business while a draft plan of safeguard or plan of reorganization is being established</w:t>
      </w:r>
      <w:r w:rsidR="0084784E">
        <w:rPr>
          <w:rFonts w:ascii="Arial" w:hAnsi="Arial" w:cs="Arial"/>
          <w:color w:val="FF0000"/>
          <w:sz w:val="22"/>
          <w:szCs w:val="22"/>
        </w:rPr>
        <w:t>.</w:t>
      </w:r>
      <w:r w:rsidR="0084784E">
        <w:rPr>
          <w:rStyle w:val="FootnoteReference"/>
          <w:rFonts w:ascii="Arial" w:hAnsi="Arial" w:cs="Arial"/>
          <w:color w:val="FF0000"/>
          <w:sz w:val="22"/>
          <w:szCs w:val="22"/>
        </w:rPr>
        <w:footnoteReference w:id="4"/>
      </w:r>
      <w:r w:rsidRPr="00437BC1">
        <w:rPr>
          <w:rFonts w:ascii="Arial" w:hAnsi="Arial" w:cs="Arial"/>
          <w:color w:val="FF0000"/>
          <w:sz w:val="22"/>
          <w:szCs w:val="22"/>
        </w:rPr>
        <w:t xml:space="preserve"> Based on the nature of the safeguard proceedings, it is my opinion that the same do not fall within the scope of EIR 2000</w:t>
      </w:r>
      <w:r w:rsidR="00437BC1" w:rsidRPr="00437BC1">
        <w:rPr>
          <w:rFonts w:ascii="Arial" w:hAnsi="Arial" w:cs="Arial"/>
          <w:color w:val="FF0000"/>
          <w:sz w:val="22"/>
          <w:szCs w:val="22"/>
        </w:rPr>
        <w:t xml:space="preserve"> as it operates where companies are not yet insolvent and it does not involve the partial or total divestment of a debtor.</w:t>
      </w:r>
    </w:p>
    <w:p w14:paraId="21E9A848" w14:textId="21F0FA16" w:rsidR="00437BC1" w:rsidRDefault="00437BC1" w:rsidP="009733C8">
      <w:pPr>
        <w:jc w:val="both"/>
        <w:rPr>
          <w:rFonts w:ascii="Arial" w:hAnsi="Arial" w:cs="Arial"/>
          <w:color w:val="FF0000"/>
          <w:sz w:val="22"/>
          <w:szCs w:val="22"/>
        </w:rPr>
      </w:pPr>
    </w:p>
    <w:p w14:paraId="34B6E1A7" w14:textId="512FBC99" w:rsidR="00B81AE2" w:rsidRPr="00B81AE2" w:rsidRDefault="00B81AE2" w:rsidP="009733C8">
      <w:pPr>
        <w:jc w:val="both"/>
        <w:rPr>
          <w:rFonts w:ascii="Arial" w:hAnsi="Arial" w:cs="Arial"/>
          <w:b/>
          <w:bCs/>
          <w:color w:val="FF0000"/>
          <w:sz w:val="22"/>
          <w:szCs w:val="22"/>
        </w:rPr>
      </w:pPr>
      <w:r w:rsidRPr="00B81AE2">
        <w:rPr>
          <w:rFonts w:ascii="Arial" w:hAnsi="Arial" w:cs="Arial"/>
          <w:b/>
          <w:bCs/>
          <w:color w:val="FF0000"/>
          <w:sz w:val="22"/>
          <w:szCs w:val="22"/>
        </w:rPr>
        <w:t>Is PAJ</w:t>
      </w:r>
      <w:r>
        <w:rPr>
          <w:rFonts w:ascii="Arial" w:hAnsi="Arial" w:cs="Arial"/>
          <w:b/>
          <w:bCs/>
          <w:color w:val="FF0000"/>
          <w:sz w:val="22"/>
          <w:szCs w:val="22"/>
        </w:rPr>
        <w:t>’s</w:t>
      </w:r>
      <w:r w:rsidRPr="00B81AE2">
        <w:rPr>
          <w:rFonts w:ascii="Arial" w:hAnsi="Arial" w:cs="Arial"/>
          <w:b/>
          <w:bCs/>
          <w:color w:val="FF0000"/>
          <w:sz w:val="22"/>
          <w:szCs w:val="22"/>
        </w:rPr>
        <w:t xml:space="preserve"> COMI France?</w:t>
      </w:r>
    </w:p>
    <w:p w14:paraId="6BA3C7E5" w14:textId="287C6684" w:rsidR="00437BC1" w:rsidRDefault="00437BC1" w:rsidP="009733C8">
      <w:pPr>
        <w:jc w:val="both"/>
        <w:rPr>
          <w:rFonts w:ascii="Arial" w:hAnsi="Arial" w:cs="Arial"/>
          <w:color w:val="FF0000"/>
          <w:sz w:val="22"/>
          <w:szCs w:val="22"/>
        </w:rPr>
      </w:pPr>
      <w:r>
        <w:rPr>
          <w:rFonts w:ascii="Arial" w:hAnsi="Arial" w:cs="Arial"/>
          <w:color w:val="FF0000"/>
          <w:sz w:val="22"/>
          <w:szCs w:val="22"/>
        </w:rPr>
        <w:t>In the event that it is determined that the safeguard proceedings fall within the scope of EIR 2000, the next step in determining whether the Strasbourg Court has international jurisdiction is to consider</w:t>
      </w:r>
      <w:r w:rsidR="0084784E">
        <w:rPr>
          <w:rFonts w:ascii="Arial" w:hAnsi="Arial" w:cs="Arial"/>
          <w:color w:val="FF0000"/>
          <w:sz w:val="22"/>
          <w:szCs w:val="22"/>
        </w:rPr>
        <w:t xml:space="preserve"> whether</w:t>
      </w:r>
      <w:r>
        <w:rPr>
          <w:rFonts w:ascii="Arial" w:hAnsi="Arial" w:cs="Arial"/>
          <w:color w:val="FF0000"/>
          <w:sz w:val="22"/>
          <w:szCs w:val="22"/>
        </w:rPr>
        <w:t xml:space="preserve"> PAJ’s COMI is France. The fact pattern states that PAJ is registered in France, although it is not confirmed that its registered office is in France. For the purpose of this </w:t>
      </w:r>
      <w:r w:rsidR="00B81AE2">
        <w:rPr>
          <w:rFonts w:ascii="Arial" w:hAnsi="Arial" w:cs="Arial"/>
          <w:color w:val="FF0000"/>
          <w:sz w:val="22"/>
          <w:szCs w:val="22"/>
        </w:rPr>
        <w:t>answer,</w:t>
      </w:r>
      <w:r>
        <w:rPr>
          <w:rFonts w:ascii="Arial" w:hAnsi="Arial" w:cs="Arial"/>
          <w:color w:val="FF0000"/>
          <w:sz w:val="22"/>
          <w:szCs w:val="22"/>
        </w:rPr>
        <w:t xml:space="preserve"> I will assume that PAJ’s registered office is in France. Article 3 (1) EIR 2000 states, </w:t>
      </w:r>
    </w:p>
    <w:p w14:paraId="4276D147" w14:textId="77777777" w:rsidR="00437BC1" w:rsidRDefault="00437BC1" w:rsidP="009733C8">
      <w:pPr>
        <w:jc w:val="both"/>
        <w:rPr>
          <w:rFonts w:ascii="Arial" w:hAnsi="Arial" w:cs="Arial"/>
          <w:color w:val="FF0000"/>
          <w:sz w:val="22"/>
          <w:szCs w:val="22"/>
        </w:rPr>
      </w:pPr>
    </w:p>
    <w:p w14:paraId="0BC85FB2" w14:textId="25FF243A" w:rsidR="00437BC1" w:rsidRDefault="00437BC1" w:rsidP="009733C8">
      <w:pPr>
        <w:jc w:val="both"/>
        <w:rPr>
          <w:rFonts w:ascii="Arial" w:hAnsi="Arial" w:cs="Arial"/>
          <w:color w:val="FF0000"/>
          <w:sz w:val="22"/>
          <w:szCs w:val="22"/>
        </w:rPr>
      </w:pPr>
      <w:r w:rsidRPr="00437BC1">
        <w:rPr>
          <w:rFonts w:ascii="Arial" w:hAnsi="Arial" w:cs="Arial"/>
          <w:color w:val="FF0000"/>
          <w:sz w:val="22"/>
          <w:szCs w:val="22"/>
        </w:rPr>
        <w:t xml:space="preserve"> </w:t>
      </w:r>
      <w:r w:rsidR="00B81AE2">
        <w:rPr>
          <w:rFonts w:ascii="Arial" w:hAnsi="Arial" w:cs="Arial"/>
          <w:color w:val="FF0000"/>
          <w:sz w:val="22"/>
          <w:szCs w:val="22"/>
        </w:rPr>
        <w:t>“</w:t>
      </w:r>
      <w:r w:rsidRPr="00437BC1">
        <w:rPr>
          <w:rFonts w:ascii="Arial" w:hAnsi="Arial" w:cs="Arial"/>
          <w:color w:val="FF0000"/>
          <w:sz w:val="22"/>
          <w:szCs w:val="22"/>
        </w:rPr>
        <w:t xml:space="preserve">The courts of the Member State within the territory of which the centre of a debtor’s main interests is situated shall have jurisdiction to open insolvency proceedings. In the case </w:t>
      </w:r>
      <w:r>
        <w:rPr>
          <w:rFonts w:ascii="Arial" w:hAnsi="Arial" w:cs="Arial"/>
          <w:color w:val="FF0000"/>
          <w:sz w:val="22"/>
          <w:szCs w:val="22"/>
        </w:rPr>
        <w:t>of a company or a legal person, the place of its registered office shall be presumed to be the centre of its main interest in the absence of proof of the contrary.”</w:t>
      </w:r>
    </w:p>
    <w:p w14:paraId="481D7FD0" w14:textId="2EBD37FD" w:rsidR="00B81AE2" w:rsidRDefault="00B81AE2" w:rsidP="009733C8">
      <w:pPr>
        <w:jc w:val="both"/>
        <w:rPr>
          <w:rFonts w:ascii="Arial" w:hAnsi="Arial" w:cs="Arial"/>
          <w:color w:val="FF0000"/>
          <w:sz w:val="22"/>
          <w:szCs w:val="22"/>
        </w:rPr>
      </w:pPr>
    </w:p>
    <w:p w14:paraId="2C19AE31" w14:textId="3FCC1D9E" w:rsidR="00B81AE2" w:rsidRDefault="00B81AE2" w:rsidP="009733C8">
      <w:pPr>
        <w:jc w:val="both"/>
        <w:rPr>
          <w:rFonts w:ascii="Arial" w:hAnsi="Arial" w:cs="Arial"/>
          <w:color w:val="FF0000"/>
          <w:sz w:val="22"/>
          <w:szCs w:val="22"/>
        </w:rPr>
      </w:pPr>
      <w:r>
        <w:rPr>
          <w:rFonts w:ascii="Arial" w:hAnsi="Arial" w:cs="Arial"/>
          <w:color w:val="FF0000"/>
          <w:sz w:val="22"/>
          <w:szCs w:val="22"/>
        </w:rPr>
        <w:t>Recital 13 of the EIR 2000 provides some guidance on the interpretation of the term COMI, where it states,</w:t>
      </w:r>
    </w:p>
    <w:p w14:paraId="14990719" w14:textId="4DB2159C" w:rsidR="00B81AE2" w:rsidRDefault="00B81AE2" w:rsidP="009733C8">
      <w:pPr>
        <w:jc w:val="both"/>
        <w:rPr>
          <w:rFonts w:ascii="Arial" w:hAnsi="Arial" w:cs="Arial"/>
          <w:color w:val="FF0000"/>
          <w:sz w:val="22"/>
          <w:szCs w:val="22"/>
        </w:rPr>
      </w:pPr>
    </w:p>
    <w:p w14:paraId="43F3DF1C" w14:textId="06DB7623" w:rsidR="00B81AE2" w:rsidRDefault="00B81AE2" w:rsidP="009733C8">
      <w:pPr>
        <w:jc w:val="both"/>
        <w:rPr>
          <w:rFonts w:ascii="Arial" w:hAnsi="Arial" w:cs="Arial"/>
          <w:color w:val="FF0000"/>
          <w:sz w:val="22"/>
          <w:szCs w:val="22"/>
        </w:rPr>
      </w:pPr>
      <w:r>
        <w:rPr>
          <w:rFonts w:ascii="Arial" w:hAnsi="Arial" w:cs="Arial"/>
          <w:color w:val="FF0000"/>
          <w:sz w:val="22"/>
          <w:szCs w:val="22"/>
        </w:rPr>
        <w:t>“The’ centre of main interest’ should correspond to the place where the debtor conducts the administration of his interest on a regular basis and is therefore ascertainable by third parties.”</w:t>
      </w:r>
    </w:p>
    <w:p w14:paraId="2C4FCF5D" w14:textId="0CD2ECE9" w:rsidR="009E0355" w:rsidRDefault="009E0355" w:rsidP="009733C8">
      <w:pPr>
        <w:jc w:val="both"/>
        <w:rPr>
          <w:rFonts w:ascii="Arial" w:hAnsi="Arial" w:cs="Arial"/>
          <w:color w:val="FF0000"/>
          <w:sz w:val="22"/>
          <w:szCs w:val="22"/>
        </w:rPr>
      </w:pPr>
    </w:p>
    <w:p w14:paraId="18CA4207" w14:textId="1FB6E307" w:rsidR="009733C8" w:rsidRDefault="009E0355" w:rsidP="002A37BB">
      <w:pPr>
        <w:jc w:val="both"/>
        <w:rPr>
          <w:rFonts w:ascii="Arial" w:hAnsi="Arial" w:cs="Arial"/>
          <w:color w:val="FF0000"/>
          <w:sz w:val="22"/>
          <w:szCs w:val="22"/>
        </w:rPr>
      </w:pPr>
      <w:r>
        <w:rPr>
          <w:rFonts w:ascii="Arial" w:hAnsi="Arial" w:cs="Arial"/>
          <w:color w:val="FF0000"/>
          <w:sz w:val="22"/>
          <w:szCs w:val="22"/>
        </w:rPr>
        <w:t>Regarding determining COMI, the CJEU held in Eurofood IFSC Case C-341/04 at paras 33-35,</w:t>
      </w:r>
    </w:p>
    <w:p w14:paraId="2C2B99FB" w14:textId="1FBEF818" w:rsidR="009E0355" w:rsidRDefault="009E0355" w:rsidP="002A37BB">
      <w:pPr>
        <w:jc w:val="both"/>
        <w:rPr>
          <w:rFonts w:ascii="Arial" w:hAnsi="Arial" w:cs="Arial"/>
          <w:color w:val="FF0000"/>
          <w:sz w:val="22"/>
          <w:szCs w:val="22"/>
        </w:rPr>
      </w:pPr>
    </w:p>
    <w:p w14:paraId="6AF8B303" w14:textId="602533B9" w:rsidR="009E0355" w:rsidRDefault="009E0355" w:rsidP="002A37BB">
      <w:pPr>
        <w:jc w:val="both"/>
        <w:rPr>
          <w:rFonts w:ascii="Arial" w:hAnsi="Arial" w:cs="Arial"/>
          <w:color w:val="FF0000"/>
          <w:sz w:val="22"/>
          <w:szCs w:val="22"/>
        </w:rPr>
      </w:pPr>
      <w:r>
        <w:rPr>
          <w:rFonts w:ascii="Arial" w:hAnsi="Arial" w:cs="Arial"/>
          <w:color w:val="FF0000"/>
          <w:sz w:val="22"/>
          <w:szCs w:val="22"/>
        </w:rPr>
        <w:t>“</w:t>
      </w:r>
      <w:r w:rsidRPr="009E0355">
        <w:rPr>
          <w:rFonts w:ascii="Arial" w:hAnsi="Arial" w:cs="Arial"/>
          <w:color w:val="FF0000"/>
          <w:sz w:val="22"/>
          <w:szCs w:val="22"/>
        </w:rPr>
        <w:t xml:space="preserve">That definition shows that the centre of main interests must be identified by reference to criteria that are both objective and ascertainable by third parties. That objectivity and that possibility of ascertainment by third parties are necessary in order to ensure legal certainty and foreseeability concerning the determination of the court with jurisdiction to open main insolvency proceedings. That legal certainty and that foreseeability are all the more important in that, in accordance with Article 4(1) of the Regulation, determination of the court with jurisdiction entails determination of the law which is to apply. </w:t>
      </w:r>
    </w:p>
    <w:p w14:paraId="0F9E98DD" w14:textId="77777777" w:rsidR="009E0355" w:rsidRDefault="009E0355" w:rsidP="002A37BB">
      <w:pPr>
        <w:jc w:val="both"/>
        <w:rPr>
          <w:rFonts w:ascii="Arial" w:hAnsi="Arial" w:cs="Arial"/>
          <w:color w:val="FF0000"/>
          <w:sz w:val="22"/>
          <w:szCs w:val="22"/>
        </w:rPr>
      </w:pPr>
    </w:p>
    <w:p w14:paraId="4EFB82B6" w14:textId="7630336F" w:rsidR="009E0355" w:rsidRDefault="009E0355" w:rsidP="002A37BB">
      <w:pPr>
        <w:jc w:val="both"/>
        <w:rPr>
          <w:rFonts w:ascii="Arial" w:hAnsi="Arial" w:cs="Arial"/>
          <w:color w:val="FF0000"/>
          <w:sz w:val="22"/>
          <w:szCs w:val="22"/>
        </w:rPr>
      </w:pPr>
      <w:r w:rsidRPr="009E0355">
        <w:rPr>
          <w:rFonts w:ascii="Arial" w:hAnsi="Arial" w:cs="Arial"/>
          <w:color w:val="FF0000"/>
          <w:sz w:val="22"/>
          <w:szCs w:val="22"/>
        </w:rPr>
        <w:t>It follows that, in determining the centre of the main interests of a debtor company, the simple presumption laid down by the Community legislature in favour of the registered office of that company can be rebutted only if factors which are both objective and ascertainable by third parties enable it to be established that an actual situation exists which is different from that which locating it at that registered office is deemed to reflect</w:t>
      </w:r>
    </w:p>
    <w:p w14:paraId="1DF45C20" w14:textId="77777777" w:rsidR="009E0355" w:rsidRDefault="009E0355" w:rsidP="002A37BB">
      <w:pPr>
        <w:jc w:val="both"/>
        <w:rPr>
          <w:rFonts w:ascii="Arial" w:hAnsi="Arial" w:cs="Arial"/>
          <w:color w:val="FF0000"/>
          <w:sz w:val="22"/>
          <w:szCs w:val="22"/>
        </w:rPr>
      </w:pPr>
    </w:p>
    <w:p w14:paraId="7C407640" w14:textId="5FEB6B25" w:rsidR="009E0355" w:rsidRPr="008500BD" w:rsidRDefault="009E0355" w:rsidP="002A37BB">
      <w:pPr>
        <w:jc w:val="both"/>
        <w:rPr>
          <w:rFonts w:ascii="Arial" w:hAnsi="Arial" w:cs="Arial"/>
          <w:sz w:val="22"/>
          <w:szCs w:val="22"/>
          <w:lang w:val="en-GB"/>
        </w:rPr>
      </w:pPr>
      <w:r w:rsidRPr="009E0355">
        <w:rPr>
          <w:rFonts w:ascii="Arial" w:hAnsi="Arial" w:cs="Arial"/>
          <w:color w:val="FF0000"/>
          <w:sz w:val="22"/>
          <w:szCs w:val="22"/>
        </w:rPr>
        <w:lastRenderedPageBreak/>
        <w:t>That could be so in particular in the case of a 'letterbox' company not carrying out any business in the territory of the Member State in which its registered office is situated.</w:t>
      </w:r>
      <w:r>
        <w:rPr>
          <w:rFonts w:ascii="Arial" w:hAnsi="Arial" w:cs="Arial"/>
          <w:color w:val="FF0000"/>
          <w:sz w:val="22"/>
          <w:szCs w:val="22"/>
        </w:rPr>
        <w:t>”</w:t>
      </w:r>
    </w:p>
    <w:p w14:paraId="317DD6E7" w14:textId="46304495" w:rsidR="00126A4D" w:rsidRDefault="00126A4D" w:rsidP="002A37BB">
      <w:pPr>
        <w:jc w:val="both"/>
        <w:rPr>
          <w:rFonts w:ascii="Arial" w:hAnsi="Arial" w:cs="Arial"/>
          <w:sz w:val="22"/>
          <w:szCs w:val="22"/>
          <w:lang w:val="en-GB"/>
        </w:rPr>
      </w:pPr>
    </w:p>
    <w:p w14:paraId="44C3D515" w14:textId="7DAD13F2" w:rsidR="009E0355" w:rsidRPr="00E62BC9" w:rsidRDefault="009E0355" w:rsidP="002A37BB">
      <w:pPr>
        <w:jc w:val="both"/>
        <w:rPr>
          <w:rFonts w:ascii="Arial" w:hAnsi="Arial" w:cs="Arial"/>
          <w:color w:val="FF0000"/>
          <w:sz w:val="22"/>
          <w:szCs w:val="22"/>
          <w:lang w:val="en-GB"/>
        </w:rPr>
      </w:pPr>
      <w:r w:rsidRPr="00E62BC9">
        <w:rPr>
          <w:rFonts w:ascii="Arial" w:hAnsi="Arial" w:cs="Arial"/>
          <w:color w:val="FF0000"/>
          <w:sz w:val="22"/>
          <w:szCs w:val="22"/>
          <w:lang w:val="en-GB"/>
        </w:rPr>
        <w:t>The fact pattern does not confirm whether PAJ</w:t>
      </w:r>
      <w:r w:rsidRPr="00E62BC9">
        <w:rPr>
          <w:color w:val="FF0000"/>
        </w:rPr>
        <w:t xml:space="preserve"> </w:t>
      </w:r>
      <w:r w:rsidRPr="00E62BC9">
        <w:rPr>
          <w:rFonts w:ascii="Arial" w:hAnsi="Arial" w:cs="Arial"/>
          <w:color w:val="FF0000"/>
          <w:sz w:val="22"/>
          <w:szCs w:val="22"/>
          <w:lang w:val="en-GB"/>
        </w:rPr>
        <w:t>conducts the administration of its interest in France. I would need further information on this point</w:t>
      </w:r>
      <w:r w:rsidR="00E62BC9" w:rsidRPr="00E62BC9">
        <w:rPr>
          <w:rFonts w:ascii="Arial" w:hAnsi="Arial" w:cs="Arial"/>
          <w:color w:val="FF0000"/>
          <w:sz w:val="22"/>
          <w:szCs w:val="22"/>
          <w:lang w:val="en-GB"/>
        </w:rPr>
        <w:t xml:space="preserve"> to determine whether the presumption that France is PAJ’s COMI could be rebutted.</w:t>
      </w:r>
    </w:p>
    <w:p w14:paraId="0BB2D0BD" w14:textId="65FE8713" w:rsidR="00D95496" w:rsidRPr="00E62BC9" w:rsidRDefault="00D95496" w:rsidP="002A37BB">
      <w:pPr>
        <w:jc w:val="both"/>
        <w:rPr>
          <w:rFonts w:ascii="Arial" w:hAnsi="Arial" w:cs="Arial"/>
          <w:color w:val="FF0000"/>
          <w:sz w:val="22"/>
          <w:szCs w:val="22"/>
          <w:lang w:val="en-GB"/>
        </w:rPr>
      </w:pPr>
    </w:p>
    <w:p w14:paraId="7090C861" w14:textId="7D642154" w:rsidR="00D95496" w:rsidRDefault="00D95496" w:rsidP="002A37BB">
      <w:pPr>
        <w:jc w:val="both"/>
        <w:rPr>
          <w:rFonts w:ascii="Arial" w:hAnsi="Arial" w:cs="Arial"/>
          <w:sz w:val="22"/>
          <w:szCs w:val="22"/>
          <w:lang w:val="en-GB"/>
        </w:rPr>
      </w:pP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2860A746" w:rsidR="002D3473" w:rsidRPr="00544D69" w:rsidRDefault="006D2646" w:rsidP="002A37BB">
      <w:pPr>
        <w:autoSpaceDE w:val="0"/>
        <w:autoSpaceDN w:val="0"/>
        <w:adjustRightInd w:val="0"/>
        <w:jc w:val="both"/>
        <w:rPr>
          <w:rFonts w:ascii="Arial" w:hAnsi="Arial" w:cs="Arial"/>
          <w:color w:val="FF0000"/>
          <w:sz w:val="22"/>
          <w:szCs w:val="22"/>
          <w:lang w:val="en-GB"/>
        </w:rPr>
      </w:pPr>
      <w:r w:rsidRPr="00544D69">
        <w:rPr>
          <w:rFonts w:ascii="Arial" w:hAnsi="Arial" w:cs="Arial"/>
          <w:color w:val="FF0000"/>
          <w:sz w:val="22"/>
          <w:szCs w:val="22"/>
          <w:lang w:val="en-GB"/>
        </w:rPr>
        <w:t>To determine whether proceedings opened by the Strasbourg Court on 29 June 2017 would fall within the scope of EIR Recast, the following steps will be taken –</w:t>
      </w:r>
    </w:p>
    <w:p w14:paraId="2879AE6B" w14:textId="1EFDDEAE" w:rsidR="006D2646" w:rsidRPr="00544D69" w:rsidRDefault="006D2646" w:rsidP="002A37BB">
      <w:pPr>
        <w:autoSpaceDE w:val="0"/>
        <w:autoSpaceDN w:val="0"/>
        <w:adjustRightInd w:val="0"/>
        <w:jc w:val="both"/>
        <w:rPr>
          <w:rFonts w:ascii="Arial" w:hAnsi="Arial" w:cs="Arial"/>
          <w:color w:val="FF0000"/>
          <w:sz w:val="22"/>
          <w:szCs w:val="22"/>
          <w:lang w:val="en-GB"/>
        </w:rPr>
      </w:pPr>
    </w:p>
    <w:p w14:paraId="0C54802C" w14:textId="6707B9F7" w:rsidR="006D2646" w:rsidRPr="00544D69" w:rsidRDefault="006D2646" w:rsidP="006D2646">
      <w:pPr>
        <w:pStyle w:val="ListParagraph"/>
        <w:numPr>
          <w:ilvl w:val="0"/>
          <w:numId w:val="17"/>
        </w:numPr>
        <w:autoSpaceDE w:val="0"/>
        <w:autoSpaceDN w:val="0"/>
        <w:adjustRightInd w:val="0"/>
        <w:jc w:val="both"/>
        <w:rPr>
          <w:rFonts w:ascii="Arial" w:hAnsi="Arial" w:cs="Arial"/>
          <w:color w:val="FF0000"/>
          <w:sz w:val="22"/>
          <w:szCs w:val="22"/>
          <w:lang w:val="en-GB"/>
        </w:rPr>
      </w:pPr>
      <w:r w:rsidRPr="00544D69">
        <w:rPr>
          <w:rFonts w:ascii="Arial" w:hAnsi="Arial" w:cs="Arial"/>
          <w:color w:val="FF0000"/>
          <w:sz w:val="22"/>
          <w:szCs w:val="22"/>
          <w:lang w:val="en-GB"/>
        </w:rPr>
        <w:t>Assessing the temporal scope;</w:t>
      </w:r>
    </w:p>
    <w:p w14:paraId="2E763424" w14:textId="347D1FE7" w:rsidR="006D2646" w:rsidRPr="00544D69" w:rsidRDefault="006D2646" w:rsidP="006D2646">
      <w:pPr>
        <w:pStyle w:val="ListParagraph"/>
        <w:numPr>
          <w:ilvl w:val="0"/>
          <w:numId w:val="17"/>
        </w:numPr>
        <w:autoSpaceDE w:val="0"/>
        <w:autoSpaceDN w:val="0"/>
        <w:adjustRightInd w:val="0"/>
        <w:jc w:val="both"/>
        <w:rPr>
          <w:rFonts w:ascii="Arial" w:hAnsi="Arial" w:cs="Arial"/>
          <w:color w:val="FF0000"/>
          <w:sz w:val="22"/>
          <w:szCs w:val="22"/>
          <w:lang w:val="en-GB"/>
        </w:rPr>
      </w:pPr>
      <w:r w:rsidRPr="00544D69">
        <w:rPr>
          <w:rFonts w:ascii="Arial" w:hAnsi="Arial" w:cs="Arial"/>
          <w:color w:val="FF0000"/>
          <w:sz w:val="22"/>
          <w:szCs w:val="22"/>
          <w:lang w:val="en-GB"/>
        </w:rPr>
        <w:t>Assessing the personal scope;</w:t>
      </w:r>
    </w:p>
    <w:p w14:paraId="25E666DC" w14:textId="501B49D4" w:rsidR="006D2646" w:rsidRPr="00544D69" w:rsidRDefault="006D2646" w:rsidP="006D2646">
      <w:pPr>
        <w:pStyle w:val="ListParagraph"/>
        <w:numPr>
          <w:ilvl w:val="0"/>
          <w:numId w:val="17"/>
        </w:numPr>
        <w:autoSpaceDE w:val="0"/>
        <w:autoSpaceDN w:val="0"/>
        <w:adjustRightInd w:val="0"/>
        <w:jc w:val="both"/>
        <w:rPr>
          <w:rFonts w:ascii="Arial" w:hAnsi="Arial" w:cs="Arial"/>
          <w:color w:val="FF0000"/>
          <w:sz w:val="22"/>
          <w:szCs w:val="22"/>
          <w:lang w:val="en-GB"/>
        </w:rPr>
      </w:pPr>
      <w:r w:rsidRPr="00544D69">
        <w:rPr>
          <w:rFonts w:ascii="Arial" w:hAnsi="Arial" w:cs="Arial"/>
          <w:color w:val="FF0000"/>
          <w:sz w:val="22"/>
          <w:szCs w:val="22"/>
          <w:lang w:val="en-GB"/>
        </w:rPr>
        <w:t>Assessing the material scope; and</w:t>
      </w:r>
    </w:p>
    <w:p w14:paraId="41EC2833" w14:textId="59880CD3" w:rsidR="006D2646" w:rsidRPr="00544D69" w:rsidRDefault="006D2646" w:rsidP="006D2646">
      <w:pPr>
        <w:pStyle w:val="ListParagraph"/>
        <w:numPr>
          <w:ilvl w:val="0"/>
          <w:numId w:val="17"/>
        </w:numPr>
        <w:autoSpaceDE w:val="0"/>
        <w:autoSpaceDN w:val="0"/>
        <w:adjustRightInd w:val="0"/>
        <w:jc w:val="both"/>
        <w:rPr>
          <w:rFonts w:ascii="Arial" w:hAnsi="Arial" w:cs="Arial"/>
          <w:color w:val="FF0000"/>
          <w:sz w:val="22"/>
          <w:szCs w:val="22"/>
          <w:lang w:val="en-GB"/>
        </w:rPr>
      </w:pPr>
      <w:r w:rsidRPr="00544D69">
        <w:rPr>
          <w:rFonts w:ascii="Arial" w:hAnsi="Arial" w:cs="Arial"/>
          <w:color w:val="FF0000"/>
          <w:sz w:val="22"/>
          <w:szCs w:val="22"/>
          <w:lang w:val="en-GB"/>
        </w:rPr>
        <w:t>Assessing geographical scope.</w:t>
      </w:r>
    </w:p>
    <w:p w14:paraId="5360D9CF" w14:textId="6D257384" w:rsidR="006D2646" w:rsidRPr="00544D69" w:rsidRDefault="006D2646" w:rsidP="006D2646">
      <w:pPr>
        <w:autoSpaceDE w:val="0"/>
        <w:autoSpaceDN w:val="0"/>
        <w:adjustRightInd w:val="0"/>
        <w:jc w:val="both"/>
        <w:rPr>
          <w:rFonts w:ascii="Arial" w:hAnsi="Arial" w:cs="Arial"/>
          <w:color w:val="FF0000"/>
          <w:sz w:val="22"/>
          <w:szCs w:val="22"/>
          <w:lang w:val="en-GB"/>
        </w:rPr>
      </w:pPr>
    </w:p>
    <w:p w14:paraId="50CD7348" w14:textId="7A6DE7B2" w:rsidR="006D2646" w:rsidRPr="00544D69" w:rsidRDefault="006D2646" w:rsidP="006D2646">
      <w:pPr>
        <w:autoSpaceDE w:val="0"/>
        <w:autoSpaceDN w:val="0"/>
        <w:adjustRightInd w:val="0"/>
        <w:jc w:val="both"/>
        <w:rPr>
          <w:rFonts w:ascii="Arial" w:hAnsi="Arial" w:cs="Arial"/>
          <w:b/>
          <w:bCs/>
          <w:color w:val="FF0000"/>
          <w:sz w:val="22"/>
          <w:szCs w:val="22"/>
          <w:lang w:val="en-GB"/>
        </w:rPr>
      </w:pPr>
      <w:r w:rsidRPr="00544D69">
        <w:rPr>
          <w:rFonts w:ascii="Arial" w:hAnsi="Arial" w:cs="Arial"/>
          <w:b/>
          <w:bCs/>
          <w:color w:val="FF0000"/>
          <w:sz w:val="22"/>
          <w:szCs w:val="22"/>
          <w:lang w:val="en-GB"/>
        </w:rPr>
        <w:t>Temporal Scope</w:t>
      </w:r>
    </w:p>
    <w:p w14:paraId="655E9CCF" w14:textId="6AB02919" w:rsidR="006D2646" w:rsidRPr="00544D69" w:rsidRDefault="006D2646" w:rsidP="006D2646">
      <w:pPr>
        <w:autoSpaceDE w:val="0"/>
        <w:autoSpaceDN w:val="0"/>
        <w:adjustRightInd w:val="0"/>
        <w:jc w:val="both"/>
        <w:rPr>
          <w:rFonts w:ascii="Arial" w:hAnsi="Arial" w:cs="Arial"/>
          <w:color w:val="FF0000"/>
          <w:sz w:val="22"/>
          <w:szCs w:val="22"/>
          <w:lang w:val="en-GB"/>
        </w:rPr>
      </w:pPr>
      <w:r w:rsidRPr="00544D69">
        <w:rPr>
          <w:rFonts w:ascii="Arial" w:hAnsi="Arial" w:cs="Arial"/>
          <w:color w:val="FF0000"/>
          <w:sz w:val="22"/>
          <w:szCs w:val="22"/>
          <w:lang w:val="en-GB"/>
        </w:rPr>
        <w:t xml:space="preserve">The EIR Recast came into effect on 26 June 2017. </w:t>
      </w:r>
      <w:r w:rsidR="004F393D" w:rsidRPr="00544D69">
        <w:rPr>
          <w:rFonts w:ascii="Arial" w:hAnsi="Arial" w:cs="Arial"/>
          <w:color w:val="FF0000"/>
          <w:sz w:val="22"/>
          <w:szCs w:val="22"/>
          <w:lang w:val="en-GB"/>
        </w:rPr>
        <w:t xml:space="preserve">Per Article 84(1) of the EIR Recast, the EIR Recast “shall apply only to insolvency proceedings opened after 26 June 2017.” </w:t>
      </w:r>
      <w:r w:rsidRPr="00544D69">
        <w:rPr>
          <w:rFonts w:ascii="Arial" w:hAnsi="Arial" w:cs="Arial"/>
          <w:color w:val="FF0000"/>
          <w:sz w:val="22"/>
          <w:szCs w:val="22"/>
          <w:lang w:val="en-GB"/>
        </w:rPr>
        <w:t xml:space="preserve">The </w:t>
      </w:r>
      <w:r w:rsidR="001B50BA" w:rsidRPr="00544D69">
        <w:rPr>
          <w:rFonts w:ascii="Arial" w:hAnsi="Arial" w:cs="Arial"/>
          <w:color w:val="FF0000"/>
          <w:sz w:val="22"/>
          <w:szCs w:val="22"/>
          <w:lang w:val="en-GB"/>
        </w:rPr>
        <w:t xml:space="preserve">Strasbourg proceedings will be opened on 29 June 2017, which is three days after the EIR Recast came into effect. Therefore, the temporal scope </w:t>
      </w:r>
      <w:r w:rsidR="00544D69">
        <w:rPr>
          <w:rFonts w:ascii="Arial" w:hAnsi="Arial" w:cs="Arial"/>
          <w:color w:val="FF0000"/>
          <w:sz w:val="22"/>
          <w:szCs w:val="22"/>
          <w:lang w:val="en-GB"/>
        </w:rPr>
        <w:t xml:space="preserve">requirement </w:t>
      </w:r>
      <w:r w:rsidR="001B50BA" w:rsidRPr="00544D69">
        <w:rPr>
          <w:rFonts w:ascii="Arial" w:hAnsi="Arial" w:cs="Arial"/>
          <w:color w:val="FF0000"/>
          <w:sz w:val="22"/>
          <w:szCs w:val="22"/>
          <w:lang w:val="en-GB"/>
        </w:rPr>
        <w:t>is satisfied</w:t>
      </w:r>
      <w:r w:rsidR="00544D69">
        <w:rPr>
          <w:rFonts w:ascii="Arial" w:hAnsi="Arial" w:cs="Arial"/>
          <w:color w:val="FF0000"/>
          <w:sz w:val="22"/>
          <w:szCs w:val="22"/>
          <w:lang w:val="en-GB"/>
        </w:rPr>
        <w:t>.</w:t>
      </w:r>
    </w:p>
    <w:p w14:paraId="6AEACA14" w14:textId="4C57425F" w:rsidR="001B50BA" w:rsidRPr="00544D69" w:rsidRDefault="001B50BA" w:rsidP="006D2646">
      <w:pPr>
        <w:autoSpaceDE w:val="0"/>
        <w:autoSpaceDN w:val="0"/>
        <w:adjustRightInd w:val="0"/>
        <w:jc w:val="both"/>
        <w:rPr>
          <w:rFonts w:ascii="Arial" w:hAnsi="Arial" w:cs="Arial"/>
          <w:color w:val="FF0000"/>
          <w:sz w:val="22"/>
          <w:szCs w:val="22"/>
          <w:lang w:val="en-GB"/>
        </w:rPr>
      </w:pPr>
    </w:p>
    <w:p w14:paraId="4A9A1FEF" w14:textId="15B0EAF2" w:rsidR="001B50BA" w:rsidRPr="00544D69" w:rsidRDefault="001B50BA" w:rsidP="006D2646">
      <w:pPr>
        <w:autoSpaceDE w:val="0"/>
        <w:autoSpaceDN w:val="0"/>
        <w:adjustRightInd w:val="0"/>
        <w:jc w:val="both"/>
        <w:rPr>
          <w:rFonts w:ascii="Arial" w:hAnsi="Arial" w:cs="Arial"/>
          <w:b/>
          <w:bCs/>
          <w:color w:val="FF0000"/>
          <w:sz w:val="22"/>
          <w:szCs w:val="22"/>
          <w:lang w:val="en-GB"/>
        </w:rPr>
      </w:pPr>
      <w:r w:rsidRPr="00544D69">
        <w:rPr>
          <w:rFonts w:ascii="Arial" w:hAnsi="Arial" w:cs="Arial"/>
          <w:b/>
          <w:bCs/>
          <w:color w:val="FF0000"/>
          <w:sz w:val="22"/>
          <w:szCs w:val="22"/>
          <w:lang w:val="en-GB"/>
        </w:rPr>
        <w:t>Personal Scope</w:t>
      </w:r>
    </w:p>
    <w:p w14:paraId="3F31FC63" w14:textId="732904AE" w:rsidR="001B50BA" w:rsidRPr="00544D69" w:rsidRDefault="001B50BA" w:rsidP="006D2646">
      <w:pPr>
        <w:autoSpaceDE w:val="0"/>
        <w:autoSpaceDN w:val="0"/>
        <w:adjustRightInd w:val="0"/>
        <w:jc w:val="both"/>
        <w:rPr>
          <w:rFonts w:ascii="Arial" w:hAnsi="Arial" w:cs="Arial"/>
          <w:color w:val="FF0000"/>
          <w:sz w:val="22"/>
          <w:szCs w:val="22"/>
        </w:rPr>
      </w:pPr>
      <w:r w:rsidRPr="00544D69">
        <w:rPr>
          <w:rFonts w:ascii="Arial" w:hAnsi="Arial" w:cs="Arial"/>
          <w:color w:val="FF0000"/>
          <w:sz w:val="22"/>
          <w:szCs w:val="22"/>
          <w:lang w:val="en-GB"/>
        </w:rPr>
        <w:t xml:space="preserve">Per Article 1 (2) of the EIR Recast, the EIR Recast does not apply to (i) insurance undertakings, (ii) credit institutions, (iii) </w:t>
      </w:r>
      <w:r w:rsidRPr="00544D69">
        <w:rPr>
          <w:rFonts w:ascii="Arial" w:hAnsi="Arial" w:cs="Arial"/>
          <w:color w:val="FF0000"/>
          <w:sz w:val="22"/>
          <w:szCs w:val="22"/>
        </w:rPr>
        <w:t>investment firms and other firms, institutions and undertakings to the extent that they are covered by Directive 2001/24/EC; or (iv) collective investment undertakings. PAJ is toy company and as such does not fall within the those prohibited entities just mentioned at (i) – (iv). Therefore, the personal scope</w:t>
      </w:r>
      <w:r w:rsidR="00544D69">
        <w:rPr>
          <w:rFonts w:ascii="Arial" w:hAnsi="Arial" w:cs="Arial"/>
          <w:color w:val="FF0000"/>
          <w:sz w:val="22"/>
          <w:szCs w:val="22"/>
        </w:rPr>
        <w:t xml:space="preserve"> requirement</w:t>
      </w:r>
      <w:r w:rsidRPr="00544D69">
        <w:rPr>
          <w:rFonts w:ascii="Arial" w:hAnsi="Arial" w:cs="Arial"/>
          <w:color w:val="FF0000"/>
          <w:sz w:val="22"/>
          <w:szCs w:val="22"/>
        </w:rPr>
        <w:t xml:space="preserve"> is satisfied.</w:t>
      </w:r>
    </w:p>
    <w:p w14:paraId="38ACC506" w14:textId="570F48ED" w:rsidR="001B50BA" w:rsidRPr="00544D69" w:rsidRDefault="001B50BA" w:rsidP="006D2646">
      <w:pPr>
        <w:autoSpaceDE w:val="0"/>
        <w:autoSpaceDN w:val="0"/>
        <w:adjustRightInd w:val="0"/>
        <w:jc w:val="both"/>
        <w:rPr>
          <w:rFonts w:ascii="Arial" w:hAnsi="Arial" w:cs="Arial"/>
          <w:color w:val="FF0000"/>
          <w:sz w:val="22"/>
          <w:szCs w:val="22"/>
        </w:rPr>
      </w:pPr>
    </w:p>
    <w:p w14:paraId="006D8C76" w14:textId="40A00753" w:rsidR="001B50BA" w:rsidRPr="00544D69" w:rsidRDefault="001B50BA" w:rsidP="006D2646">
      <w:pPr>
        <w:autoSpaceDE w:val="0"/>
        <w:autoSpaceDN w:val="0"/>
        <w:adjustRightInd w:val="0"/>
        <w:jc w:val="both"/>
        <w:rPr>
          <w:rFonts w:ascii="Arial" w:hAnsi="Arial" w:cs="Arial"/>
          <w:b/>
          <w:bCs/>
          <w:color w:val="FF0000"/>
          <w:sz w:val="22"/>
          <w:szCs w:val="22"/>
        </w:rPr>
      </w:pPr>
      <w:r w:rsidRPr="00544D69">
        <w:rPr>
          <w:rFonts w:ascii="Arial" w:hAnsi="Arial" w:cs="Arial"/>
          <w:b/>
          <w:bCs/>
          <w:color w:val="FF0000"/>
          <w:sz w:val="22"/>
          <w:szCs w:val="22"/>
        </w:rPr>
        <w:t>Material Scope</w:t>
      </w:r>
    </w:p>
    <w:p w14:paraId="5645CBB3" w14:textId="00DE5BB9" w:rsidR="004F393D" w:rsidRPr="00544D69" w:rsidRDefault="004F393D" w:rsidP="006D2646">
      <w:pPr>
        <w:autoSpaceDE w:val="0"/>
        <w:autoSpaceDN w:val="0"/>
        <w:adjustRightInd w:val="0"/>
        <w:jc w:val="both"/>
        <w:rPr>
          <w:rFonts w:ascii="Arial" w:hAnsi="Arial" w:cs="Arial"/>
          <w:color w:val="FF0000"/>
          <w:sz w:val="22"/>
          <w:szCs w:val="22"/>
        </w:rPr>
      </w:pPr>
      <w:r w:rsidRPr="00544D69">
        <w:rPr>
          <w:rFonts w:ascii="Arial" w:hAnsi="Arial" w:cs="Arial"/>
          <w:color w:val="FF0000"/>
          <w:sz w:val="22"/>
          <w:szCs w:val="22"/>
        </w:rPr>
        <w:t>The next step is determining whether the safeguard proceedings are proceedings which fall within the scope of EIR Recast. Article 1 (1) EIR Recast states,</w:t>
      </w:r>
    </w:p>
    <w:p w14:paraId="00BBB452" w14:textId="3C015E3B" w:rsidR="004F393D" w:rsidRPr="00544D69" w:rsidRDefault="004F393D" w:rsidP="006D2646">
      <w:pPr>
        <w:autoSpaceDE w:val="0"/>
        <w:autoSpaceDN w:val="0"/>
        <w:adjustRightInd w:val="0"/>
        <w:jc w:val="both"/>
        <w:rPr>
          <w:rFonts w:ascii="Arial" w:hAnsi="Arial" w:cs="Arial"/>
          <w:color w:val="FF0000"/>
          <w:sz w:val="22"/>
          <w:szCs w:val="22"/>
        </w:rPr>
      </w:pPr>
    </w:p>
    <w:p w14:paraId="15486977" w14:textId="77777777" w:rsidR="004F393D" w:rsidRPr="00544D69" w:rsidRDefault="004F393D" w:rsidP="006D2646">
      <w:pPr>
        <w:autoSpaceDE w:val="0"/>
        <w:autoSpaceDN w:val="0"/>
        <w:adjustRightInd w:val="0"/>
        <w:jc w:val="both"/>
        <w:rPr>
          <w:rFonts w:ascii="Arial" w:hAnsi="Arial" w:cs="Arial"/>
          <w:color w:val="FF0000"/>
          <w:sz w:val="22"/>
          <w:szCs w:val="22"/>
        </w:rPr>
      </w:pPr>
      <w:r w:rsidRPr="00544D69">
        <w:rPr>
          <w:rFonts w:ascii="Arial" w:hAnsi="Arial" w:cs="Arial"/>
          <w:color w:val="FF0000"/>
          <w:sz w:val="22"/>
          <w:szCs w:val="22"/>
        </w:rPr>
        <w:t xml:space="preserve">This Regulation shall apply to public collective proceedings, including interim proceedings, which are based on laws relating to insolvency and in which, for the purpose of rescue, adjustment of debt, reorganisation or liquidation: </w:t>
      </w:r>
    </w:p>
    <w:p w14:paraId="7EDD5549" w14:textId="77777777" w:rsidR="004F393D" w:rsidRPr="00544D69" w:rsidRDefault="004F393D" w:rsidP="006D2646">
      <w:pPr>
        <w:autoSpaceDE w:val="0"/>
        <w:autoSpaceDN w:val="0"/>
        <w:adjustRightInd w:val="0"/>
        <w:jc w:val="both"/>
        <w:rPr>
          <w:rFonts w:ascii="Arial" w:hAnsi="Arial" w:cs="Arial"/>
          <w:color w:val="FF0000"/>
          <w:sz w:val="22"/>
          <w:szCs w:val="22"/>
        </w:rPr>
      </w:pPr>
      <w:r w:rsidRPr="00544D69">
        <w:rPr>
          <w:rFonts w:ascii="Arial" w:hAnsi="Arial" w:cs="Arial"/>
          <w:color w:val="FF0000"/>
          <w:sz w:val="22"/>
          <w:szCs w:val="22"/>
        </w:rPr>
        <w:t xml:space="preserve">(a) a debtor is totally or partially divested of its assets and an insolvency practitioner is appointed; </w:t>
      </w:r>
    </w:p>
    <w:p w14:paraId="6F14B72D" w14:textId="77777777" w:rsidR="004F393D" w:rsidRPr="00544D69" w:rsidRDefault="004F393D" w:rsidP="006D2646">
      <w:pPr>
        <w:autoSpaceDE w:val="0"/>
        <w:autoSpaceDN w:val="0"/>
        <w:adjustRightInd w:val="0"/>
        <w:jc w:val="both"/>
        <w:rPr>
          <w:rFonts w:ascii="Arial" w:hAnsi="Arial" w:cs="Arial"/>
          <w:color w:val="FF0000"/>
          <w:sz w:val="22"/>
          <w:szCs w:val="22"/>
        </w:rPr>
      </w:pPr>
      <w:r w:rsidRPr="00544D69">
        <w:rPr>
          <w:rFonts w:ascii="Arial" w:hAnsi="Arial" w:cs="Arial"/>
          <w:color w:val="FF0000"/>
          <w:sz w:val="22"/>
          <w:szCs w:val="22"/>
        </w:rPr>
        <w:t>(b) the assets and affairs of a debtor are subject to control or supervision by a court; or</w:t>
      </w:r>
    </w:p>
    <w:p w14:paraId="68262752" w14:textId="77777777" w:rsidR="004F393D" w:rsidRPr="00544D69" w:rsidRDefault="004F393D" w:rsidP="006D2646">
      <w:pPr>
        <w:autoSpaceDE w:val="0"/>
        <w:autoSpaceDN w:val="0"/>
        <w:adjustRightInd w:val="0"/>
        <w:jc w:val="both"/>
        <w:rPr>
          <w:rFonts w:ascii="Arial" w:hAnsi="Arial" w:cs="Arial"/>
          <w:color w:val="FF0000"/>
          <w:sz w:val="22"/>
          <w:szCs w:val="22"/>
        </w:rPr>
      </w:pPr>
      <w:r w:rsidRPr="00544D69">
        <w:rPr>
          <w:rFonts w:ascii="Arial" w:hAnsi="Arial" w:cs="Arial"/>
          <w:color w:val="FF0000"/>
          <w:sz w:val="22"/>
          <w:szCs w:val="22"/>
        </w:rPr>
        <w:t xml:space="preserve"> (c) a temporary stay of individual enforcement proceedings is granted by a court or by operation of law, in order to allow for negotiations between the debtor and its creditors, provided that the proceedings in which the stay is granted provide for suitable measures to protect the general body of creditors, and, where no agreement is reached, are preliminary to one of the proceedings referred to in point (a) or (b). </w:t>
      </w:r>
    </w:p>
    <w:p w14:paraId="38BF6215" w14:textId="77777777" w:rsidR="004F393D" w:rsidRPr="00544D69" w:rsidRDefault="004F393D" w:rsidP="006D2646">
      <w:pPr>
        <w:autoSpaceDE w:val="0"/>
        <w:autoSpaceDN w:val="0"/>
        <w:adjustRightInd w:val="0"/>
        <w:jc w:val="both"/>
        <w:rPr>
          <w:rFonts w:ascii="Arial" w:hAnsi="Arial" w:cs="Arial"/>
          <w:color w:val="FF0000"/>
          <w:sz w:val="22"/>
          <w:szCs w:val="22"/>
        </w:rPr>
      </w:pPr>
    </w:p>
    <w:p w14:paraId="470D4646" w14:textId="77777777" w:rsidR="004F393D" w:rsidRPr="00544D69" w:rsidRDefault="004F393D" w:rsidP="006D2646">
      <w:pPr>
        <w:autoSpaceDE w:val="0"/>
        <w:autoSpaceDN w:val="0"/>
        <w:adjustRightInd w:val="0"/>
        <w:jc w:val="both"/>
        <w:rPr>
          <w:rFonts w:ascii="Arial" w:hAnsi="Arial" w:cs="Arial"/>
          <w:color w:val="FF0000"/>
          <w:sz w:val="22"/>
          <w:szCs w:val="22"/>
        </w:rPr>
      </w:pPr>
      <w:r w:rsidRPr="00544D69">
        <w:rPr>
          <w:rFonts w:ascii="Arial" w:hAnsi="Arial" w:cs="Arial"/>
          <w:color w:val="FF0000"/>
          <w:sz w:val="22"/>
          <w:szCs w:val="22"/>
        </w:rPr>
        <w:lastRenderedPageBreak/>
        <w:t xml:space="preserve">Where the proceedings referred to in this paragraph may be commenced in situations where there is only a likelihood of insolvency, their purpose shall be to avoid the debtor's insolvency or the cessation of the debtor's business activities. </w:t>
      </w:r>
    </w:p>
    <w:p w14:paraId="3B6A44A9" w14:textId="77777777" w:rsidR="004F393D" w:rsidRPr="00544D69" w:rsidRDefault="004F393D" w:rsidP="006D2646">
      <w:pPr>
        <w:autoSpaceDE w:val="0"/>
        <w:autoSpaceDN w:val="0"/>
        <w:adjustRightInd w:val="0"/>
        <w:jc w:val="both"/>
        <w:rPr>
          <w:rFonts w:ascii="Arial" w:hAnsi="Arial" w:cs="Arial"/>
          <w:color w:val="FF0000"/>
          <w:sz w:val="22"/>
          <w:szCs w:val="22"/>
        </w:rPr>
      </w:pPr>
    </w:p>
    <w:p w14:paraId="1B88D49E" w14:textId="1C3FBB95" w:rsidR="004F393D" w:rsidRPr="00544D69" w:rsidRDefault="004F393D" w:rsidP="006D2646">
      <w:pPr>
        <w:autoSpaceDE w:val="0"/>
        <w:autoSpaceDN w:val="0"/>
        <w:adjustRightInd w:val="0"/>
        <w:jc w:val="both"/>
        <w:rPr>
          <w:rFonts w:ascii="Arial" w:hAnsi="Arial" w:cs="Arial"/>
          <w:color w:val="FF0000"/>
          <w:sz w:val="22"/>
          <w:szCs w:val="22"/>
        </w:rPr>
      </w:pPr>
      <w:r w:rsidRPr="00544D69">
        <w:rPr>
          <w:rFonts w:ascii="Arial" w:hAnsi="Arial" w:cs="Arial"/>
          <w:color w:val="FF0000"/>
          <w:sz w:val="22"/>
          <w:szCs w:val="22"/>
        </w:rPr>
        <w:t>The proceedings referred to in this paragraph are listed in Annex A.”</w:t>
      </w:r>
    </w:p>
    <w:p w14:paraId="540BFEFF" w14:textId="6B425B7E" w:rsidR="004F393D" w:rsidRPr="00544D69" w:rsidRDefault="004F393D" w:rsidP="006D2646">
      <w:pPr>
        <w:autoSpaceDE w:val="0"/>
        <w:autoSpaceDN w:val="0"/>
        <w:adjustRightInd w:val="0"/>
        <w:jc w:val="both"/>
        <w:rPr>
          <w:rFonts w:ascii="Arial" w:hAnsi="Arial" w:cs="Arial"/>
          <w:color w:val="FF0000"/>
          <w:sz w:val="22"/>
          <w:szCs w:val="22"/>
        </w:rPr>
      </w:pPr>
    </w:p>
    <w:p w14:paraId="6BBCEF53" w14:textId="3E297E18" w:rsidR="004F393D" w:rsidRPr="00544D69" w:rsidRDefault="004F393D" w:rsidP="006D2646">
      <w:pPr>
        <w:autoSpaceDE w:val="0"/>
        <w:autoSpaceDN w:val="0"/>
        <w:adjustRightInd w:val="0"/>
        <w:jc w:val="both"/>
        <w:rPr>
          <w:rFonts w:ascii="Arial" w:hAnsi="Arial" w:cs="Arial"/>
          <w:color w:val="FF0000"/>
          <w:sz w:val="22"/>
          <w:szCs w:val="22"/>
        </w:rPr>
      </w:pPr>
      <w:r w:rsidRPr="00544D69">
        <w:rPr>
          <w:rFonts w:ascii="Arial" w:hAnsi="Arial" w:cs="Arial"/>
          <w:color w:val="FF0000"/>
          <w:sz w:val="22"/>
          <w:szCs w:val="22"/>
        </w:rPr>
        <w:t>The French safeguard proceedings are listed in Annex A of the EIR Recast and such fall within the scope of the EIR Recast. The material scope</w:t>
      </w:r>
      <w:r w:rsidR="00544D69">
        <w:rPr>
          <w:rFonts w:ascii="Arial" w:hAnsi="Arial" w:cs="Arial"/>
          <w:color w:val="FF0000"/>
          <w:sz w:val="22"/>
          <w:szCs w:val="22"/>
        </w:rPr>
        <w:t xml:space="preserve"> requirement</w:t>
      </w:r>
      <w:r w:rsidRPr="00544D69">
        <w:rPr>
          <w:rFonts w:ascii="Arial" w:hAnsi="Arial" w:cs="Arial"/>
          <w:color w:val="FF0000"/>
          <w:sz w:val="22"/>
          <w:szCs w:val="22"/>
        </w:rPr>
        <w:t xml:space="preserve"> is satisfied. </w:t>
      </w:r>
    </w:p>
    <w:p w14:paraId="53074FB8" w14:textId="5A8A1FE8" w:rsidR="004F393D" w:rsidRPr="00544D69" w:rsidRDefault="004F393D" w:rsidP="006D2646">
      <w:pPr>
        <w:autoSpaceDE w:val="0"/>
        <w:autoSpaceDN w:val="0"/>
        <w:adjustRightInd w:val="0"/>
        <w:jc w:val="both"/>
        <w:rPr>
          <w:rFonts w:ascii="Arial" w:hAnsi="Arial" w:cs="Arial"/>
          <w:color w:val="FF0000"/>
          <w:sz w:val="22"/>
          <w:szCs w:val="22"/>
        </w:rPr>
      </w:pPr>
    </w:p>
    <w:p w14:paraId="7FF6EDDB" w14:textId="050FD1E2" w:rsidR="004F393D" w:rsidRPr="00544D69" w:rsidRDefault="004F393D" w:rsidP="006D2646">
      <w:pPr>
        <w:autoSpaceDE w:val="0"/>
        <w:autoSpaceDN w:val="0"/>
        <w:adjustRightInd w:val="0"/>
        <w:jc w:val="both"/>
        <w:rPr>
          <w:rFonts w:ascii="Arial" w:hAnsi="Arial" w:cs="Arial"/>
          <w:b/>
          <w:bCs/>
          <w:color w:val="FF0000"/>
          <w:sz w:val="22"/>
          <w:szCs w:val="22"/>
        </w:rPr>
      </w:pPr>
      <w:r w:rsidRPr="00544D69">
        <w:rPr>
          <w:rFonts w:ascii="Arial" w:hAnsi="Arial" w:cs="Arial"/>
          <w:b/>
          <w:bCs/>
          <w:color w:val="FF0000"/>
          <w:sz w:val="22"/>
          <w:szCs w:val="22"/>
        </w:rPr>
        <w:t>Geographical Scope</w:t>
      </w:r>
    </w:p>
    <w:p w14:paraId="4AF38D56" w14:textId="632541FD" w:rsidR="004F393D" w:rsidRDefault="004F393D" w:rsidP="006D2646">
      <w:pPr>
        <w:autoSpaceDE w:val="0"/>
        <w:autoSpaceDN w:val="0"/>
        <w:adjustRightInd w:val="0"/>
        <w:jc w:val="both"/>
        <w:rPr>
          <w:rFonts w:ascii="Arial" w:hAnsi="Arial" w:cs="Arial"/>
          <w:color w:val="FF0000"/>
          <w:sz w:val="22"/>
          <w:szCs w:val="22"/>
        </w:rPr>
      </w:pPr>
      <w:r w:rsidRPr="00544D69">
        <w:rPr>
          <w:rFonts w:ascii="Arial" w:hAnsi="Arial" w:cs="Arial"/>
          <w:color w:val="FF0000"/>
          <w:sz w:val="22"/>
          <w:szCs w:val="22"/>
        </w:rPr>
        <w:t xml:space="preserve">It must be determined whether the COMI of PAJ is in </w:t>
      </w:r>
      <w:r w:rsidR="009B45AE" w:rsidRPr="00544D69">
        <w:rPr>
          <w:rFonts w:ascii="Arial" w:hAnsi="Arial" w:cs="Arial"/>
          <w:color w:val="FF0000"/>
          <w:sz w:val="22"/>
          <w:szCs w:val="22"/>
        </w:rPr>
        <w:t>an</w:t>
      </w:r>
      <w:r w:rsidRPr="00544D69">
        <w:rPr>
          <w:rFonts w:ascii="Arial" w:hAnsi="Arial" w:cs="Arial"/>
          <w:color w:val="FF0000"/>
          <w:sz w:val="22"/>
          <w:szCs w:val="22"/>
        </w:rPr>
        <w:t xml:space="preserve"> EU member state.</w:t>
      </w:r>
      <w:r w:rsidR="00544D69">
        <w:rPr>
          <w:rFonts w:ascii="Arial" w:hAnsi="Arial" w:cs="Arial"/>
          <w:color w:val="FF0000"/>
          <w:sz w:val="22"/>
          <w:szCs w:val="22"/>
        </w:rPr>
        <w:t xml:space="preserve"> Per recital 35 EIR Recast, the EIR Recast only applies</w:t>
      </w:r>
      <w:r w:rsidR="00544D69" w:rsidRPr="00544D69">
        <w:rPr>
          <w:rFonts w:ascii="Arial" w:hAnsi="Arial" w:cs="Arial"/>
          <w:color w:val="FF0000"/>
          <w:sz w:val="22"/>
          <w:szCs w:val="22"/>
        </w:rPr>
        <w:t xml:space="preserve"> to proceedings in respect of a debtor whose centre of main interests is located in the </w:t>
      </w:r>
      <w:r w:rsidR="00544D69">
        <w:rPr>
          <w:rFonts w:ascii="Arial" w:hAnsi="Arial" w:cs="Arial"/>
          <w:color w:val="FF0000"/>
          <w:sz w:val="22"/>
          <w:szCs w:val="22"/>
        </w:rPr>
        <w:t>EU. There is a presumption that France is COMI of PAJ based on the fact that PAJ is registered in France. I do not have sufficient information to consider whether this presumption is likely to be rebutted. France is a member of the EU, therefore the geographical scope requirement is satisfied.</w:t>
      </w:r>
    </w:p>
    <w:p w14:paraId="542B0C90" w14:textId="128DE01C" w:rsidR="00544D69" w:rsidRDefault="00544D69" w:rsidP="006D2646">
      <w:pPr>
        <w:autoSpaceDE w:val="0"/>
        <w:autoSpaceDN w:val="0"/>
        <w:adjustRightInd w:val="0"/>
        <w:jc w:val="both"/>
        <w:rPr>
          <w:rFonts w:ascii="Arial" w:hAnsi="Arial" w:cs="Arial"/>
          <w:color w:val="FF0000"/>
          <w:sz w:val="22"/>
          <w:szCs w:val="22"/>
        </w:rPr>
      </w:pPr>
    </w:p>
    <w:p w14:paraId="67DB5CF3" w14:textId="7F4CBEE3" w:rsidR="00544D69" w:rsidRPr="00544D69" w:rsidRDefault="00544D69" w:rsidP="006D2646">
      <w:pPr>
        <w:autoSpaceDE w:val="0"/>
        <w:autoSpaceDN w:val="0"/>
        <w:adjustRightInd w:val="0"/>
        <w:jc w:val="both"/>
        <w:rPr>
          <w:rFonts w:ascii="Arial" w:hAnsi="Arial" w:cs="Arial"/>
          <w:color w:val="FF0000"/>
          <w:sz w:val="22"/>
          <w:szCs w:val="22"/>
        </w:rPr>
      </w:pPr>
      <w:r>
        <w:rPr>
          <w:rFonts w:ascii="Arial" w:hAnsi="Arial" w:cs="Arial"/>
          <w:color w:val="FF0000"/>
          <w:sz w:val="22"/>
          <w:szCs w:val="22"/>
        </w:rPr>
        <w:t>As all 4 requirements listed above would likely be satisfied, it is likely that the proceedings to be opened in Strasbourg would fall within the scope of EIR Recast.</w:t>
      </w:r>
    </w:p>
    <w:p w14:paraId="0568F8C3" w14:textId="77777777" w:rsidR="001B50BA" w:rsidRPr="001B50BA" w:rsidRDefault="001B50BA" w:rsidP="006D2646">
      <w:pPr>
        <w:autoSpaceDE w:val="0"/>
        <w:autoSpaceDN w:val="0"/>
        <w:adjustRightInd w:val="0"/>
        <w:jc w:val="both"/>
        <w:rPr>
          <w:rFonts w:ascii="Arial" w:hAnsi="Arial" w:cs="Arial"/>
          <w:b/>
          <w:bCs/>
          <w:sz w:val="22"/>
          <w:szCs w:val="22"/>
          <w:lang w:val="en-GB"/>
        </w:rPr>
      </w:pP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77CE8695" w14:textId="51D68CD2" w:rsidR="0077498C" w:rsidRPr="007A216B" w:rsidRDefault="007A216B" w:rsidP="002A37BB">
      <w:pPr>
        <w:jc w:val="both"/>
        <w:rPr>
          <w:rFonts w:ascii="Arial" w:hAnsi="Arial" w:cs="Arial"/>
          <w:color w:val="FF0000"/>
          <w:sz w:val="22"/>
          <w:szCs w:val="22"/>
          <w:lang w:val="en-GB"/>
        </w:rPr>
      </w:pPr>
      <w:r w:rsidRPr="007A216B">
        <w:rPr>
          <w:rFonts w:ascii="Arial" w:hAnsi="Arial" w:cs="Arial"/>
          <w:color w:val="FF0000"/>
          <w:sz w:val="22"/>
          <w:szCs w:val="22"/>
          <w:lang w:val="en-GB"/>
        </w:rPr>
        <w:t>To determine whether secondary proceedings can be opened in Spain as described in this question, I must consider Article 3 (2) and (3) of the EIR Recast which state respectively,</w:t>
      </w:r>
    </w:p>
    <w:p w14:paraId="6005DBF4" w14:textId="5BD4034B" w:rsidR="007A216B" w:rsidRPr="007A216B" w:rsidRDefault="007A216B" w:rsidP="002A37BB">
      <w:pPr>
        <w:jc w:val="both"/>
        <w:rPr>
          <w:rFonts w:ascii="Arial" w:hAnsi="Arial" w:cs="Arial"/>
          <w:color w:val="FF0000"/>
          <w:sz w:val="22"/>
          <w:szCs w:val="22"/>
          <w:lang w:val="en-GB"/>
        </w:rPr>
      </w:pPr>
    </w:p>
    <w:p w14:paraId="7EB6EA68" w14:textId="29600D4B" w:rsidR="007A216B" w:rsidRPr="007A216B" w:rsidRDefault="007A216B" w:rsidP="002A37BB">
      <w:pPr>
        <w:jc w:val="both"/>
        <w:rPr>
          <w:rFonts w:ascii="Arial" w:hAnsi="Arial" w:cs="Arial"/>
          <w:color w:val="FF0000"/>
          <w:sz w:val="22"/>
          <w:szCs w:val="22"/>
        </w:rPr>
      </w:pPr>
      <w:r w:rsidRPr="007A216B">
        <w:rPr>
          <w:rFonts w:ascii="Arial" w:hAnsi="Arial" w:cs="Arial"/>
          <w:color w:val="FF0000"/>
          <w:sz w:val="22"/>
          <w:szCs w:val="22"/>
          <w:lang w:val="en-GB"/>
        </w:rPr>
        <w:t>“</w:t>
      </w:r>
      <w:r w:rsidRPr="007A216B">
        <w:rPr>
          <w:rFonts w:ascii="Arial" w:hAnsi="Arial" w:cs="Arial"/>
          <w:color w:val="FF0000"/>
          <w:sz w:val="22"/>
          <w:szCs w:val="22"/>
        </w:rPr>
        <w:t>Where the centre of the debtor's main interests is situated within the territory of a Member State, the courts of another Member State shall have jurisdiction to open insolvency proceedings against that debtor only if it possesses an establishment within the territory of that other Member State. The effects of those proceedings shall be restricted to the assets of the debtor situated in the territory of the latter Member State. “</w:t>
      </w:r>
    </w:p>
    <w:p w14:paraId="27784D10" w14:textId="77777777" w:rsidR="007A216B" w:rsidRPr="007A216B" w:rsidRDefault="007A216B" w:rsidP="002A37BB">
      <w:pPr>
        <w:jc w:val="both"/>
        <w:rPr>
          <w:rFonts w:ascii="Arial" w:hAnsi="Arial" w:cs="Arial"/>
          <w:color w:val="FF0000"/>
          <w:sz w:val="22"/>
          <w:szCs w:val="22"/>
        </w:rPr>
      </w:pPr>
    </w:p>
    <w:p w14:paraId="6F8F4469" w14:textId="1D8DCA82" w:rsidR="007A216B" w:rsidRDefault="007A216B" w:rsidP="002A37BB">
      <w:pPr>
        <w:jc w:val="both"/>
        <w:rPr>
          <w:rFonts w:ascii="Arial" w:hAnsi="Arial" w:cs="Arial"/>
          <w:color w:val="FF0000"/>
          <w:sz w:val="22"/>
          <w:szCs w:val="22"/>
        </w:rPr>
      </w:pPr>
      <w:r w:rsidRPr="007A216B">
        <w:rPr>
          <w:rFonts w:ascii="Arial" w:hAnsi="Arial" w:cs="Arial"/>
          <w:color w:val="FF0000"/>
          <w:sz w:val="22"/>
          <w:szCs w:val="22"/>
        </w:rPr>
        <w:t>“Where insolvency proceedings have been opened in accordance with paragraph 1, any proceedings opened subsequently in accordance with paragraph 2 shall be secondary insolvency proceedings.”</w:t>
      </w:r>
    </w:p>
    <w:p w14:paraId="639EA036" w14:textId="5775204A" w:rsidR="007A216B" w:rsidRDefault="007A216B" w:rsidP="002A37BB">
      <w:pPr>
        <w:jc w:val="both"/>
        <w:rPr>
          <w:rFonts w:ascii="Arial" w:hAnsi="Arial" w:cs="Arial"/>
          <w:color w:val="FF0000"/>
          <w:sz w:val="22"/>
          <w:szCs w:val="22"/>
        </w:rPr>
      </w:pPr>
    </w:p>
    <w:p w14:paraId="4364AD92" w14:textId="014D7E77" w:rsidR="007A216B" w:rsidRDefault="007A216B" w:rsidP="002A37BB">
      <w:pPr>
        <w:jc w:val="both"/>
        <w:rPr>
          <w:rFonts w:ascii="Arial" w:hAnsi="Arial" w:cs="Arial"/>
          <w:color w:val="FF0000"/>
          <w:sz w:val="22"/>
          <w:szCs w:val="22"/>
        </w:rPr>
      </w:pPr>
      <w:r>
        <w:rPr>
          <w:rFonts w:ascii="Arial" w:hAnsi="Arial" w:cs="Arial"/>
          <w:color w:val="FF0000"/>
          <w:sz w:val="22"/>
          <w:szCs w:val="22"/>
        </w:rPr>
        <w:t xml:space="preserve">Accordingly, I must consider whether PAJ has an establishment in Spain. Per Article 2 (10) EIR Recast, the term establishment </w:t>
      </w:r>
      <w:r w:rsidRPr="007A216B">
        <w:rPr>
          <w:rFonts w:ascii="Arial" w:hAnsi="Arial" w:cs="Arial"/>
          <w:color w:val="FF0000"/>
          <w:sz w:val="22"/>
          <w:szCs w:val="22"/>
        </w:rPr>
        <w:t xml:space="preserve">means </w:t>
      </w:r>
      <w:r>
        <w:rPr>
          <w:rFonts w:ascii="Arial" w:hAnsi="Arial" w:cs="Arial"/>
          <w:color w:val="FF0000"/>
          <w:sz w:val="22"/>
          <w:szCs w:val="22"/>
        </w:rPr>
        <w:t>“</w:t>
      </w:r>
      <w:r w:rsidRPr="007A216B">
        <w:rPr>
          <w:rFonts w:ascii="Arial" w:hAnsi="Arial" w:cs="Arial"/>
          <w:color w:val="FF0000"/>
          <w:sz w:val="22"/>
          <w:szCs w:val="22"/>
        </w:rPr>
        <w:t>any place of operations where a debtor carries out or has carried out in the 3-month period prior to the request to open main insolvency proceedings a non-transitory economic activity with human means and assets</w:t>
      </w:r>
      <w:r>
        <w:rPr>
          <w:rFonts w:ascii="Arial" w:hAnsi="Arial" w:cs="Arial"/>
          <w:color w:val="FF0000"/>
          <w:sz w:val="22"/>
          <w:szCs w:val="22"/>
        </w:rPr>
        <w:t>”</w:t>
      </w:r>
      <w:r w:rsidRPr="007A216B">
        <w:rPr>
          <w:rFonts w:ascii="Arial" w:hAnsi="Arial" w:cs="Arial"/>
          <w:color w:val="FF0000"/>
          <w:sz w:val="22"/>
          <w:szCs w:val="22"/>
        </w:rPr>
        <w:t>;</w:t>
      </w:r>
    </w:p>
    <w:p w14:paraId="7C8A95B0" w14:textId="2EAC2E3C" w:rsidR="00293402" w:rsidRDefault="00293402" w:rsidP="002A37BB">
      <w:pPr>
        <w:jc w:val="both"/>
        <w:rPr>
          <w:rFonts w:ascii="Arial" w:hAnsi="Arial" w:cs="Arial"/>
          <w:color w:val="FF0000"/>
          <w:sz w:val="22"/>
          <w:szCs w:val="22"/>
        </w:rPr>
      </w:pPr>
      <w:r>
        <w:rPr>
          <w:rFonts w:ascii="Arial" w:hAnsi="Arial" w:cs="Arial"/>
          <w:color w:val="FF0000"/>
          <w:sz w:val="22"/>
          <w:szCs w:val="22"/>
        </w:rPr>
        <w:t>To determine whether PAJ has an establishment in Spain, the following factors are important –</w:t>
      </w:r>
    </w:p>
    <w:p w14:paraId="1E7690A3" w14:textId="23E626CB" w:rsidR="00293402" w:rsidRDefault="00293402" w:rsidP="00293402">
      <w:pPr>
        <w:pStyle w:val="ListParagraph"/>
        <w:numPr>
          <w:ilvl w:val="0"/>
          <w:numId w:val="18"/>
        </w:numPr>
        <w:jc w:val="both"/>
        <w:rPr>
          <w:rFonts w:ascii="Arial" w:hAnsi="Arial" w:cs="Arial"/>
          <w:color w:val="FF0000"/>
          <w:sz w:val="22"/>
          <w:szCs w:val="22"/>
        </w:rPr>
      </w:pPr>
      <w:r>
        <w:rPr>
          <w:rFonts w:ascii="Arial" w:hAnsi="Arial" w:cs="Arial"/>
          <w:color w:val="FF0000"/>
          <w:sz w:val="22"/>
          <w:szCs w:val="22"/>
        </w:rPr>
        <w:t>PAJ owns and rents warehouses in Spain;</w:t>
      </w:r>
    </w:p>
    <w:p w14:paraId="4F6AEE1F" w14:textId="62E83C73" w:rsidR="00293402" w:rsidRDefault="00293402" w:rsidP="00293402">
      <w:pPr>
        <w:pStyle w:val="ListParagraph"/>
        <w:numPr>
          <w:ilvl w:val="0"/>
          <w:numId w:val="18"/>
        </w:numPr>
        <w:jc w:val="both"/>
        <w:rPr>
          <w:rFonts w:ascii="Arial" w:hAnsi="Arial" w:cs="Arial"/>
          <w:color w:val="FF0000"/>
          <w:sz w:val="22"/>
          <w:szCs w:val="22"/>
        </w:rPr>
      </w:pPr>
      <w:r>
        <w:rPr>
          <w:rFonts w:ascii="Arial" w:hAnsi="Arial" w:cs="Arial"/>
          <w:color w:val="FF0000"/>
          <w:sz w:val="22"/>
          <w:szCs w:val="22"/>
        </w:rPr>
        <w:t>P</w:t>
      </w:r>
      <w:r w:rsidR="009B45AE">
        <w:rPr>
          <w:rFonts w:ascii="Arial" w:hAnsi="Arial" w:cs="Arial"/>
          <w:color w:val="FF0000"/>
          <w:sz w:val="22"/>
          <w:szCs w:val="22"/>
        </w:rPr>
        <w:t>A</w:t>
      </w:r>
      <w:r>
        <w:rPr>
          <w:rFonts w:ascii="Arial" w:hAnsi="Arial" w:cs="Arial"/>
          <w:color w:val="FF0000"/>
          <w:sz w:val="22"/>
          <w:szCs w:val="22"/>
        </w:rPr>
        <w:t>J has a bank account in Spain and has a line of credit agreement with a Spanish bank;</w:t>
      </w:r>
    </w:p>
    <w:p w14:paraId="7CE394BE" w14:textId="683CBB8C" w:rsidR="00293402" w:rsidRDefault="00293402" w:rsidP="00293402">
      <w:pPr>
        <w:pStyle w:val="ListParagraph"/>
        <w:numPr>
          <w:ilvl w:val="0"/>
          <w:numId w:val="18"/>
        </w:numPr>
        <w:jc w:val="both"/>
        <w:rPr>
          <w:rFonts w:ascii="Arial" w:hAnsi="Arial" w:cs="Arial"/>
          <w:color w:val="FF0000"/>
          <w:sz w:val="22"/>
          <w:szCs w:val="22"/>
        </w:rPr>
      </w:pPr>
      <w:r>
        <w:rPr>
          <w:rFonts w:ascii="Arial" w:hAnsi="Arial" w:cs="Arial"/>
          <w:color w:val="FF0000"/>
          <w:sz w:val="22"/>
          <w:szCs w:val="22"/>
        </w:rPr>
        <w:t>PAJ was looking to expand into the Spanish adult game market and was in discussions with local distributors and signed memoranda of understanding in this connection.</w:t>
      </w:r>
    </w:p>
    <w:p w14:paraId="7CF3C62B" w14:textId="22EF3132" w:rsidR="00293402" w:rsidRDefault="00293402" w:rsidP="00293402">
      <w:pPr>
        <w:jc w:val="both"/>
        <w:rPr>
          <w:rFonts w:ascii="Arial" w:hAnsi="Arial" w:cs="Arial"/>
          <w:color w:val="FF0000"/>
          <w:sz w:val="22"/>
          <w:szCs w:val="22"/>
        </w:rPr>
      </w:pPr>
    </w:p>
    <w:p w14:paraId="66FF92C6" w14:textId="3C6A4945" w:rsidR="00293402" w:rsidRDefault="00293402" w:rsidP="00293402">
      <w:pPr>
        <w:jc w:val="both"/>
        <w:rPr>
          <w:rFonts w:ascii="Arial" w:hAnsi="Arial" w:cs="Arial"/>
          <w:color w:val="FF0000"/>
          <w:sz w:val="22"/>
          <w:szCs w:val="22"/>
        </w:rPr>
      </w:pPr>
      <w:r>
        <w:rPr>
          <w:rFonts w:ascii="Arial" w:hAnsi="Arial" w:cs="Arial"/>
          <w:color w:val="FF0000"/>
          <w:sz w:val="22"/>
          <w:szCs w:val="22"/>
        </w:rPr>
        <w:lastRenderedPageBreak/>
        <w:t>The key consideration is whether these factors demonstrate that PAJ conducts</w:t>
      </w:r>
      <w:r w:rsidRPr="00293402">
        <w:rPr>
          <w:rFonts w:ascii="Arial" w:hAnsi="Arial" w:cs="Arial"/>
          <w:color w:val="FF0000"/>
          <w:sz w:val="22"/>
          <w:szCs w:val="22"/>
        </w:rPr>
        <w:t xml:space="preserve"> non-transitory economic activity with human means and assets</w:t>
      </w:r>
      <w:r>
        <w:rPr>
          <w:rFonts w:ascii="Arial" w:hAnsi="Arial" w:cs="Arial"/>
          <w:color w:val="FF0000"/>
          <w:sz w:val="22"/>
          <w:szCs w:val="22"/>
        </w:rPr>
        <w:t xml:space="preserve"> in Spain.</w:t>
      </w:r>
      <w:r w:rsidR="004A2AE5">
        <w:rPr>
          <w:rFonts w:ascii="Arial" w:hAnsi="Arial" w:cs="Arial"/>
          <w:color w:val="FF0000"/>
          <w:sz w:val="22"/>
          <w:szCs w:val="22"/>
        </w:rPr>
        <w:t xml:space="preserve"> On this point, in Interdil </w:t>
      </w:r>
      <w:r w:rsidR="004A2AE5" w:rsidRPr="004A2AE5">
        <w:rPr>
          <w:rFonts w:ascii="Arial" w:hAnsi="Arial" w:cs="Arial"/>
          <w:color w:val="FF0000"/>
          <w:sz w:val="22"/>
          <w:szCs w:val="22"/>
        </w:rPr>
        <w:t>C-396/09</w:t>
      </w:r>
      <w:r w:rsidR="004A2AE5">
        <w:rPr>
          <w:rFonts w:ascii="Arial" w:hAnsi="Arial" w:cs="Arial"/>
          <w:color w:val="FF0000"/>
          <w:sz w:val="22"/>
          <w:szCs w:val="22"/>
        </w:rPr>
        <w:t>,</w:t>
      </w:r>
      <w:r w:rsidR="004A2AE5" w:rsidRPr="004A2AE5">
        <w:rPr>
          <w:rFonts w:ascii="Arial" w:hAnsi="Arial" w:cs="Arial"/>
          <w:color w:val="FF0000"/>
          <w:sz w:val="22"/>
          <w:szCs w:val="22"/>
        </w:rPr>
        <w:t xml:space="preserve"> </w:t>
      </w:r>
      <w:r w:rsidR="004A2AE5">
        <w:rPr>
          <w:rFonts w:ascii="Arial" w:hAnsi="Arial" w:cs="Arial"/>
          <w:color w:val="FF0000"/>
          <w:sz w:val="22"/>
          <w:szCs w:val="22"/>
        </w:rPr>
        <w:t>the CJEU held at paragraph 64,</w:t>
      </w:r>
    </w:p>
    <w:p w14:paraId="0DCE597D" w14:textId="404BBA25" w:rsidR="004A2AE5" w:rsidRDefault="004A2AE5" w:rsidP="00293402">
      <w:pPr>
        <w:jc w:val="both"/>
        <w:rPr>
          <w:rFonts w:ascii="Arial" w:hAnsi="Arial" w:cs="Arial"/>
          <w:color w:val="FF0000"/>
          <w:sz w:val="22"/>
          <w:szCs w:val="22"/>
        </w:rPr>
      </w:pPr>
    </w:p>
    <w:p w14:paraId="5556D5DC" w14:textId="77777777" w:rsidR="004A2AE5" w:rsidRPr="004A2AE5" w:rsidRDefault="004A2AE5" w:rsidP="004A2AE5">
      <w:pPr>
        <w:jc w:val="both"/>
        <w:rPr>
          <w:rFonts w:ascii="Arial" w:hAnsi="Arial" w:cs="Arial"/>
          <w:color w:val="FF0000"/>
          <w:sz w:val="22"/>
          <w:szCs w:val="22"/>
        </w:rPr>
      </w:pPr>
      <w:r>
        <w:rPr>
          <w:rFonts w:ascii="Arial" w:hAnsi="Arial" w:cs="Arial"/>
          <w:color w:val="FF0000"/>
          <w:sz w:val="22"/>
          <w:szCs w:val="22"/>
        </w:rPr>
        <w:t>“</w:t>
      </w:r>
      <w:r w:rsidRPr="004A2AE5">
        <w:rPr>
          <w:rFonts w:ascii="Arial" w:hAnsi="Arial" w:cs="Arial"/>
          <w:color w:val="FF0000"/>
          <w:sz w:val="22"/>
          <w:szCs w:val="22"/>
        </w:rPr>
        <w:t>The answer to the second part of Question 3 is therefore that the term ‘establishment’</w:t>
      </w:r>
    </w:p>
    <w:p w14:paraId="3430FDF3" w14:textId="4732AC02" w:rsidR="004A2AE5" w:rsidRDefault="004A2AE5" w:rsidP="004A2AE5">
      <w:pPr>
        <w:jc w:val="both"/>
        <w:rPr>
          <w:rFonts w:ascii="Arial" w:hAnsi="Arial" w:cs="Arial"/>
          <w:color w:val="FF0000"/>
          <w:sz w:val="22"/>
          <w:szCs w:val="22"/>
        </w:rPr>
      </w:pPr>
      <w:r w:rsidRPr="004A2AE5">
        <w:rPr>
          <w:rFonts w:ascii="Arial" w:hAnsi="Arial" w:cs="Arial"/>
          <w:color w:val="FF0000"/>
          <w:sz w:val="22"/>
          <w:szCs w:val="22"/>
        </w:rPr>
        <w:t>within the meaning of Article 3(2) of the Regulation must be interpreted as requiring the presence of a structure consisting of a minimum level of organisation and a</w:t>
      </w:r>
      <w:r>
        <w:rPr>
          <w:rFonts w:ascii="Arial" w:hAnsi="Arial" w:cs="Arial"/>
          <w:color w:val="FF0000"/>
          <w:sz w:val="22"/>
          <w:szCs w:val="22"/>
        </w:rPr>
        <w:t xml:space="preserve"> </w:t>
      </w:r>
      <w:r w:rsidRPr="004A2AE5">
        <w:rPr>
          <w:rFonts w:ascii="Arial" w:hAnsi="Arial" w:cs="Arial"/>
          <w:color w:val="FF0000"/>
          <w:sz w:val="22"/>
          <w:szCs w:val="22"/>
        </w:rPr>
        <w:t>degree of stability necessary for the purpose of pursuing an economic activity. The</w:t>
      </w:r>
      <w:r>
        <w:rPr>
          <w:rFonts w:ascii="Arial" w:hAnsi="Arial" w:cs="Arial"/>
          <w:color w:val="FF0000"/>
          <w:sz w:val="22"/>
          <w:szCs w:val="22"/>
        </w:rPr>
        <w:t xml:space="preserve"> </w:t>
      </w:r>
      <w:r w:rsidRPr="004A2AE5">
        <w:rPr>
          <w:rFonts w:ascii="Arial" w:hAnsi="Arial" w:cs="Arial"/>
          <w:color w:val="FF0000"/>
          <w:sz w:val="22"/>
          <w:szCs w:val="22"/>
        </w:rPr>
        <w:t>presence alone of goods in isolation or bank accounts does not, in principle, meet</w:t>
      </w:r>
      <w:r>
        <w:rPr>
          <w:rFonts w:ascii="Arial" w:hAnsi="Arial" w:cs="Arial"/>
          <w:color w:val="FF0000"/>
          <w:sz w:val="22"/>
          <w:szCs w:val="22"/>
        </w:rPr>
        <w:t xml:space="preserve"> </w:t>
      </w:r>
      <w:r w:rsidRPr="004A2AE5">
        <w:rPr>
          <w:rFonts w:ascii="Arial" w:hAnsi="Arial" w:cs="Arial"/>
          <w:color w:val="FF0000"/>
          <w:sz w:val="22"/>
          <w:szCs w:val="22"/>
        </w:rPr>
        <w:t>that definitio</w:t>
      </w:r>
      <w:r>
        <w:rPr>
          <w:rFonts w:ascii="Arial" w:hAnsi="Arial" w:cs="Arial"/>
          <w:color w:val="FF0000"/>
          <w:sz w:val="22"/>
          <w:szCs w:val="22"/>
        </w:rPr>
        <w:t>n.”</w:t>
      </w:r>
    </w:p>
    <w:p w14:paraId="7DFD9D04" w14:textId="057DAFEC" w:rsidR="004A2AE5" w:rsidRDefault="004A2AE5" w:rsidP="004A2AE5">
      <w:pPr>
        <w:jc w:val="both"/>
        <w:rPr>
          <w:rFonts w:ascii="Arial" w:hAnsi="Arial" w:cs="Arial"/>
          <w:color w:val="FF0000"/>
          <w:sz w:val="22"/>
          <w:szCs w:val="22"/>
        </w:rPr>
      </w:pPr>
    </w:p>
    <w:p w14:paraId="41D2A1D0" w14:textId="219C3E5F" w:rsidR="004A2AE5" w:rsidRDefault="004A2AE5" w:rsidP="004A2AE5">
      <w:pPr>
        <w:jc w:val="both"/>
        <w:rPr>
          <w:rFonts w:ascii="Arial" w:hAnsi="Arial" w:cs="Arial"/>
          <w:color w:val="FF0000"/>
          <w:sz w:val="22"/>
          <w:szCs w:val="22"/>
        </w:rPr>
      </w:pPr>
      <w:r>
        <w:rPr>
          <w:rFonts w:ascii="Arial" w:hAnsi="Arial" w:cs="Arial"/>
          <w:color w:val="FF0000"/>
          <w:sz w:val="22"/>
          <w:szCs w:val="22"/>
        </w:rPr>
        <w:t>Based on the facts listed above, specifically that PAJ owns and rents warehouses in Spain, operations a bank account is Spain, has a credit line agreement with a Spanish company and was looking to expand in to the Spanish adult game market by signing memoranda of understanding with Spanish distributors, demonstrates that it is more likely than not that PAJ has</w:t>
      </w:r>
      <w:r w:rsidR="0084784E">
        <w:rPr>
          <w:rFonts w:ascii="Arial" w:hAnsi="Arial" w:cs="Arial"/>
          <w:color w:val="FF0000"/>
          <w:sz w:val="22"/>
          <w:szCs w:val="22"/>
        </w:rPr>
        <w:t xml:space="preserve"> an</w:t>
      </w:r>
      <w:r>
        <w:rPr>
          <w:rFonts w:ascii="Arial" w:hAnsi="Arial" w:cs="Arial"/>
          <w:color w:val="FF0000"/>
          <w:sz w:val="22"/>
          <w:szCs w:val="22"/>
        </w:rPr>
        <w:t xml:space="preserve"> establishment in Spain for the purposes of Article 3 (2) EIR Recast.</w:t>
      </w:r>
    </w:p>
    <w:p w14:paraId="3CD7AF13" w14:textId="396438A1" w:rsidR="00621357" w:rsidRDefault="00621357" w:rsidP="004A2AE5">
      <w:pPr>
        <w:jc w:val="both"/>
        <w:rPr>
          <w:rFonts w:ascii="Arial" w:hAnsi="Arial" w:cs="Arial"/>
          <w:color w:val="FF0000"/>
          <w:sz w:val="22"/>
          <w:szCs w:val="22"/>
        </w:rPr>
      </w:pPr>
    </w:p>
    <w:p w14:paraId="54DD5254" w14:textId="32076235" w:rsidR="00621357" w:rsidRPr="00293402" w:rsidRDefault="00621357" w:rsidP="004A2AE5">
      <w:pPr>
        <w:jc w:val="both"/>
        <w:rPr>
          <w:rFonts w:ascii="Arial" w:hAnsi="Arial" w:cs="Arial"/>
          <w:color w:val="FF0000"/>
          <w:sz w:val="22"/>
          <w:szCs w:val="22"/>
        </w:rPr>
      </w:pPr>
      <w:r>
        <w:rPr>
          <w:rFonts w:ascii="Arial" w:hAnsi="Arial" w:cs="Arial"/>
          <w:color w:val="FF0000"/>
          <w:sz w:val="22"/>
          <w:szCs w:val="22"/>
        </w:rPr>
        <w:t>Additionally, there is mention in the fact pattern that an undertaking has been given under Article 36 of EIR Recast to avoid the opening of secondary proceedings.</w:t>
      </w:r>
    </w:p>
    <w:p w14:paraId="35D8F287" w14:textId="77777777" w:rsidR="0077498C" w:rsidRPr="007A216B" w:rsidRDefault="0077498C" w:rsidP="002A37BB">
      <w:pPr>
        <w:jc w:val="both"/>
        <w:rPr>
          <w:rFonts w:ascii="Arial" w:hAnsi="Arial" w:cs="Arial"/>
          <w:color w:val="FF000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079CE" w14:textId="77777777" w:rsidR="00AC3602" w:rsidRDefault="00AC3602" w:rsidP="00241B44">
      <w:r>
        <w:separator/>
      </w:r>
    </w:p>
  </w:endnote>
  <w:endnote w:type="continuationSeparator" w:id="0">
    <w:p w14:paraId="12BF4BE2" w14:textId="77777777" w:rsidR="00AC3602" w:rsidRDefault="00AC360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Pr>
            <w:rStyle w:val="PageNumber"/>
            <w:rFonts w:ascii="Arial" w:hAnsi="Arial" w:cs="Arial"/>
            <w:b/>
            <w:noProof/>
            <w:sz w:val="22"/>
            <w:szCs w:val="22"/>
          </w:rPr>
          <w:t>10</w:t>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noProof/>
            <w:sz w:val="18"/>
            <w:szCs w:val="18"/>
          </w:rPr>
          <w:t>3</w:t>
        </w:r>
      </w:p>
    </w:sdtContent>
  </w:sdt>
  <w:p w14:paraId="30F05E79" w14:textId="6B6FDD11" w:rsidR="00241FA3" w:rsidRPr="009B4976" w:rsidRDefault="0073477C" w:rsidP="009B4976">
    <w:pPr>
      <w:pStyle w:val="Footer"/>
      <w:ind w:right="360"/>
      <w:rPr>
        <w:rFonts w:ascii="Arial" w:hAnsi="Arial" w:cs="Arial"/>
        <w:sz w:val="18"/>
        <w:szCs w:val="18"/>
        <w:lang w:val="en-GB"/>
      </w:rPr>
    </w:pPr>
    <w:r>
      <w:rPr>
        <w:rFonts w:ascii="Arial" w:hAnsi="Arial" w:cs="Arial"/>
        <w:sz w:val="18"/>
        <w:szCs w:val="18"/>
        <w:lang w:val="en-GB"/>
      </w:rPr>
      <w:t>202021IFU-296</w:t>
    </w:r>
    <w:r w:rsidR="0073158B"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41347" w14:textId="77777777" w:rsidR="00AC3602" w:rsidRDefault="00AC3602" w:rsidP="00241B44">
      <w:r>
        <w:separator/>
      </w:r>
    </w:p>
  </w:footnote>
  <w:footnote w:type="continuationSeparator" w:id="0">
    <w:p w14:paraId="5150C6A6" w14:textId="77777777" w:rsidR="00AC3602" w:rsidRDefault="00AC3602" w:rsidP="00241B44">
      <w:r>
        <w:continuationSeparator/>
      </w:r>
    </w:p>
  </w:footnote>
  <w:footnote w:id="1">
    <w:p w14:paraId="569947E0" w14:textId="7883D760" w:rsidR="002C32D1" w:rsidRDefault="002C32D1">
      <w:pPr>
        <w:pStyle w:val="FootnoteText"/>
      </w:pPr>
      <w:r>
        <w:rPr>
          <w:rStyle w:val="FootnoteReference"/>
        </w:rPr>
        <w:footnoteRef/>
      </w:r>
      <w:r>
        <w:t xml:space="preserve"> </w:t>
      </w:r>
      <w:r w:rsidRPr="002C32D1">
        <w:t xml:space="preserve">Bob Wessels, 'The European Union Regulation on Insolvency Proceedings (Recast): The First Commentaries', (2016), 13, European Company Law, Issue 4, pp. 129-135, </w:t>
      </w:r>
      <w:hyperlink r:id="rId1" w:history="1">
        <w:r w:rsidRPr="00E1110E">
          <w:rPr>
            <w:rStyle w:val="Hyperlink"/>
          </w:rPr>
          <w:t>https://kluwerlawonline.com/journalarticle/European+Company+Law/13.4/EUCL2016019https://bobwessels.nl/wp-content/uploads/2016/09/eucl_wessels_13-4.pdf</w:t>
        </w:r>
      </w:hyperlink>
      <w:r>
        <w:t xml:space="preserve"> </w:t>
      </w:r>
    </w:p>
    <w:p w14:paraId="74EA70E3" w14:textId="77777777" w:rsidR="000B6F05" w:rsidRDefault="000B6F05">
      <w:pPr>
        <w:pStyle w:val="FootnoteText"/>
      </w:pPr>
    </w:p>
    <w:p w14:paraId="58AAD08D" w14:textId="7A3E1FB3" w:rsidR="000B6F05" w:rsidRDefault="000B6F05" w:rsidP="000B6F05">
      <w:pPr>
        <w:pStyle w:val="FootnoteText"/>
      </w:pPr>
      <w:r>
        <w:t xml:space="preserve">Travers Smith, “The recast European Insolvency Regulation: impact on distressed debt investors” </w:t>
      </w:r>
      <w:hyperlink r:id="rId2" w:history="1">
        <w:r w:rsidRPr="00E1110E">
          <w:rPr>
            <w:rStyle w:val="Hyperlink"/>
          </w:rPr>
          <w:t>https://www.traverssmith.com/media/3789/the_recast_european_insolvency_regulation__impact_on_di___.pdf</w:t>
        </w:r>
      </w:hyperlink>
      <w:r>
        <w:t xml:space="preserve"> </w:t>
      </w:r>
    </w:p>
  </w:footnote>
  <w:footnote w:id="2">
    <w:p w14:paraId="5111C505" w14:textId="7643AB7E" w:rsidR="00CA7B9D" w:rsidRDefault="00CA7B9D">
      <w:pPr>
        <w:pStyle w:val="FootnoteText"/>
      </w:pPr>
      <w:r>
        <w:rPr>
          <w:rStyle w:val="FootnoteReference"/>
        </w:rPr>
        <w:footnoteRef/>
      </w:r>
      <w:r>
        <w:t xml:space="preserve"> </w:t>
      </w:r>
      <w:r w:rsidRPr="00CA7B9D">
        <w:t>Maria-Thomais Epeoglou, (2017) The Recast European Insolvency Regulation: A Missed Opportunity for Restructuring Business in Europe. UCL Journal of Law and Jurisprudence , 6 (1) , Article 2. 10.14324/111.2052-1871.078. at pg 50.</w:t>
      </w:r>
    </w:p>
  </w:footnote>
  <w:footnote w:id="3">
    <w:p w14:paraId="15487742" w14:textId="05A6B225" w:rsidR="00CA7B9D" w:rsidRDefault="00CA7B9D">
      <w:pPr>
        <w:pStyle w:val="FootnoteText"/>
      </w:pPr>
      <w:r>
        <w:rPr>
          <w:rStyle w:val="FootnoteReference"/>
        </w:rPr>
        <w:footnoteRef/>
      </w:r>
      <w:r>
        <w:t xml:space="preserve"> See Note 2 at pg 55.</w:t>
      </w:r>
    </w:p>
  </w:footnote>
  <w:footnote w:id="4">
    <w:p w14:paraId="6DAD8F5A" w14:textId="1A1C35C3" w:rsidR="0084784E" w:rsidRDefault="0084784E">
      <w:pPr>
        <w:pStyle w:val="FootnoteText"/>
      </w:pPr>
      <w:r>
        <w:rPr>
          <w:rStyle w:val="FootnoteReference"/>
        </w:rPr>
        <w:footnoteRef/>
      </w:r>
      <w:r>
        <w:t xml:space="preserve"> </w:t>
      </w:r>
      <w:r w:rsidRPr="0084784E">
        <w:t xml:space="preserve">Baker McKenzie (2016), “Global Insolvency &amp; Restructuring Guide” </w:t>
      </w:r>
      <w:hyperlink r:id="rId3" w:history="1">
        <w:r w:rsidRPr="00E1110E">
          <w:rPr>
            <w:rStyle w:val="Hyperlink"/>
          </w:rPr>
          <w:t>https://restructuring.bakermckenzie.com/wp-content/uploads/sites/23/2016/12/Global-Restructuring-Insolvency-Guide-New-Logo-France.pdf</w:t>
        </w:r>
      </w:hyperlink>
      <w:r w:rsidRPr="0084784E">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57B09B2"/>
    <w:multiLevelType w:val="hybridMultilevel"/>
    <w:tmpl w:val="375E63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6A0498"/>
    <w:multiLevelType w:val="hybridMultilevel"/>
    <w:tmpl w:val="985EDF7A"/>
    <w:lvl w:ilvl="0" w:tplc="D3D06A9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0E32E52"/>
    <w:multiLevelType w:val="hybridMultilevel"/>
    <w:tmpl w:val="271CC068"/>
    <w:lvl w:ilvl="0" w:tplc="6E2890B6">
      <w:start w:val="1"/>
      <w:numFmt w:val="lowerRoman"/>
      <w:lvlText w:val="(%1)"/>
      <w:lvlJc w:val="left"/>
      <w:pPr>
        <w:ind w:left="1080" w:hanging="72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E270EBD"/>
    <w:multiLevelType w:val="hybridMultilevel"/>
    <w:tmpl w:val="F3942D52"/>
    <w:lvl w:ilvl="0" w:tplc="DFA688E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CAF015D"/>
    <w:multiLevelType w:val="hybridMultilevel"/>
    <w:tmpl w:val="F5A6A5AC"/>
    <w:lvl w:ilvl="0" w:tplc="2A32375A">
      <w:start w:val="1"/>
      <w:numFmt w:val="lowerRoman"/>
      <w:lvlText w:val="(%1)"/>
      <w:lvlJc w:val="left"/>
      <w:pPr>
        <w:ind w:left="1080" w:hanging="72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E270CA2"/>
    <w:multiLevelType w:val="hybridMultilevel"/>
    <w:tmpl w:val="E51636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E533376"/>
    <w:multiLevelType w:val="hybridMultilevel"/>
    <w:tmpl w:val="8D8E290E"/>
    <w:lvl w:ilvl="0" w:tplc="70608F6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12"/>
  </w:num>
  <w:num w:numId="3">
    <w:abstractNumId w:val="6"/>
  </w:num>
  <w:num w:numId="4">
    <w:abstractNumId w:val="17"/>
  </w:num>
  <w:num w:numId="5">
    <w:abstractNumId w:val="11"/>
  </w:num>
  <w:num w:numId="6">
    <w:abstractNumId w:val="13"/>
  </w:num>
  <w:num w:numId="7">
    <w:abstractNumId w:val="0"/>
  </w:num>
  <w:num w:numId="8">
    <w:abstractNumId w:val="9"/>
  </w:num>
  <w:num w:numId="9">
    <w:abstractNumId w:val="8"/>
  </w:num>
  <w:num w:numId="10">
    <w:abstractNumId w:val="4"/>
  </w:num>
  <w:num w:numId="11">
    <w:abstractNumId w:val="10"/>
  </w:num>
  <w:num w:numId="12">
    <w:abstractNumId w:val="7"/>
  </w:num>
  <w:num w:numId="13">
    <w:abstractNumId w:val="14"/>
  </w:num>
  <w:num w:numId="14">
    <w:abstractNumId w:val="1"/>
  </w:num>
  <w:num w:numId="15">
    <w:abstractNumId w:val="15"/>
  </w:num>
  <w:num w:numId="16">
    <w:abstractNumId w:val="16"/>
  </w:num>
  <w:num w:numId="17">
    <w:abstractNumId w:val="5"/>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4D46"/>
    <w:rsid w:val="00045088"/>
    <w:rsid w:val="00045904"/>
    <w:rsid w:val="00053226"/>
    <w:rsid w:val="00065166"/>
    <w:rsid w:val="00082609"/>
    <w:rsid w:val="000851CC"/>
    <w:rsid w:val="00087CD6"/>
    <w:rsid w:val="00093BE8"/>
    <w:rsid w:val="000A68ED"/>
    <w:rsid w:val="000A7BF9"/>
    <w:rsid w:val="000B5FF1"/>
    <w:rsid w:val="000B609F"/>
    <w:rsid w:val="000B6F05"/>
    <w:rsid w:val="000D55A8"/>
    <w:rsid w:val="000E4841"/>
    <w:rsid w:val="000F1677"/>
    <w:rsid w:val="000F3D6C"/>
    <w:rsid w:val="00101707"/>
    <w:rsid w:val="00112D7E"/>
    <w:rsid w:val="00113E29"/>
    <w:rsid w:val="0011473D"/>
    <w:rsid w:val="00115C85"/>
    <w:rsid w:val="00123855"/>
    <w:rsid w:val="00126A4D"/>
    <w:rsid w:val="0013410C"/>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3424"/>
    <w:rsid w:val="001966D9"/>
    <w:rsid w:val="001A7E9A"/>
    <w:rsid w:val="001B0F70"/>
    <w:rsid w:val="001B2B45"/>
    <w:rsid w:val="001B3A7F"/>
    <w:rsid w:val="001B5016"/>
    <w:rsid w:val="001B50BA"/>
    <w:rsid w:val="001C45FC"/>
    <w:rsid w:val="001D0469"/>
    <w:rsid w:val="001D4862"/>
    <w:rsid w:val="001D6E1C"/>
    <w:rsid w:val="001E0BA3"/>
    <w:rsid w:val="001E25B9"/>
    <w:rsid w:val="001E49E0"/>
    <w:rsid w:val="001E5F8A"/>
    <w:rsid w:val="001E7B5A"/>
    <w:rsid w:val="001F7412"/>
    <w:rsid w:val="00202DFE"/>
    <w:rsid w:val="00203720"/>
    <w:rsid w:val="0020725B"/>
    <w:rsid w:val="002110F1"/>
    <w:rsid w:val="0021244D"/>
    <w:rsid w:val="00213439"/>
    <w:rsid w:val="00222FB5"/>
    <w:rsid w:val="0024116D"/>
    <w:rsid w:val="00241B44"/>
    <w:rsid w:val="00241FA3"/>
    <w:rsid w:val="00244C44"/>
    <w:rsid w:val="00245EFB"/>
    <w:rsid w:val="0025386E"/>
    <w:rsid w:val="002638B0"/>
    <w:rsid w:val="0026647A"/>
    <w:rsid w:val="002668D3"/>
    <w:rsid w:val="0027299F"/>
    <w:rsid w:val="00284EBE"/>
    <w:rsid w:val="00293402"/>
    <w:rsid w:val="0029433F"/>
    <w:rsid w:val="00294829"/>
    <w:rsid w:val="0029690F"/>
    <w:rsid w:val="00297C8A"/>
    <w:rsid w:val="00297F6E"/>
    <w:rsid w:val="002A2A60"/>
    <w:rsid w:val="002A37BB"/>
    <w:rsid w:val="002B1C45"/>
    <w:rsid w:val="002C13C8"/>
    <w:rsid w:val="002C1E7E"/>
    <w:rsid w:val="002C32D1"/>
    <w:rsid w:val="002C3547"/>
    <w:rsid w:val="002D0021"/>
    <w:rsid w:val="002D3473"/>
    <w:rsid w:val="002F0CF5"/>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67D1"/>
    <w:rsid w:val="003F5FBD"/>
    <w:rsid w:val="00404329"/>
    <w:rsid w:val="00405DC1"/>
    <w:rsid w:val="00415F1F"/>
    <w:rsid w:val="0042108F"/>
    <w:rsid w:val="00430FED"/>
    <w:rsid w:val="00434A8C"/>
    <w:rsid w:val="00437297"/>
    <w:rsid w:val="00437BC1"/>
    <w:rsid w:val="00444284"/>
    <w:rsid w:val="00445CE6"/>
    <w:rsid w:val="004534C2"/>
    <w:rsid w:val="0045446F"/>
    <w:rsid w:val="0045683E"/>
    <w:rsid w:val="00465BFF"/>
    <w:rsid w:val="00477C72"/>
    <w:rsid w:val="00491675"/>
    <w:rsid w:val="00493855"/>
    <w:rsid w:val="00495E79"/>
    <w:rsid w:val="004A0692"/>
    <w:rsid w:val="004A2AE5"/>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393D"/>
    <w:rsid w:val="004F5FDF"/>
    <w:rsid w:val="005177FE"/>
    <w:rsid w:val="0052263B"/>
    <w:rsid w:val="00524728"/>
    <w:rsid w:val="005331CA"/>
    <w:rsid w:val="00537970"/>
    <w:rsid w:val="00540E3A"/>
    <w:rsid w:val="00544127"/>
    <w:rsid w:val="00544D69"/>
    <w:rsid w:val="00544F6E"/>
    <w:rsid w:val="005463A9"/>
    <w:rsid w:val="00553EB2"/>
    <w:rsid w:val="00560534"/>
    <w:rsid w:val="0056391B"/>
    <w:rsid w:val="005650E2"/>
    <w:rsid w:val="00567AD7"/>
    <w:rsid w:val="00575B2D"/>
    <w:rsid w:val="005833D0"/>
    <w:rsid w:val="005846F3"/>
    <w:rsid w:val="0058622F"/>
    <w:rsid w:val="005905CF"/>
    <w:rsid w:val="00592F82"/>
    <w:rsid w:val="005943DC"/>
    <w:rsid w:val="005A0CCA"/>
    <w:rsid w:val="005A726D"/>
    <w:rsid w:val="005B6291"/>
    <w:rsid w:val="005B67AC"/>
    <w:rsid w:val="005B79F4"/>
    <w:rsid w:val="005D43E0"/>
    <w:rsid w:val="005D58A3"/>
    <w:rsid w:val="005E1B79"/>
    <w:rsid w:val="005E7008"/>
    <w:rsid w:val="005F026D"/>
    <w:rsid w:val="005F2AEA"/>
    <w:rsid w:val="005F2D0B"/>
    <w:rsid w:val="005F4B31"/>
    <w:rsid w:val="00602857"/>
    <w:rsid w:val="00610388"/>
    <w:rsid w:val="00611DE6"/>
    <w:rsid w:val="00612CA5"/>
    <w:rsid w:val="006153EC"/>
    <w:rsid w:val="00621357"/>
    <w:rsid w:val="00621A17"/>
    <w:rsid w:val="00621EE4"/>
    <w:rsid w:val="00627CC9"/>
    <w:rsid w:val="00627E7B"/>
    <w:rsid w:val="00630542"/>
    <w:rsid w:val="00632E44"/>
    <w:rsid w:val="00634622"/>
    <w:rsid w:val="00636808"/>
    <w:rsid w:val="00636C15"/>
    <w:rsid w:val="00641515"/>
    <w:rsid w:val="0064506A"/>
    <w:rsid w:val="00654B27"/>
    <w:rsid w:val="00654C2F"/>
    <w:rsid w:val="00657087"/>
    <w:rsid w:val="006603F1"/>
    <w:rsid w:val="006639DB"/>
    <w:rsid w:val="006661EF"/>
    <w:rsid w:val="00677AEB"/>
    <w:rsid w:val="00680EF2"/>
    <w:rsid w:val="00687069"/>
    <w:rsid w:val="00687A1D"/>
    <w:rsid w:val="00697EA1"/>
    <w:rsid w:val="006A2646"/>
    <w:rsid w:val="006A6530"/>
    <w:rsid w:val="006B40C2"/>
    <w:rsid w:val="006B435A"/>
    <w:rsid w:val="006B447A"/>
    <w:rsid w:val="006B4B55"/>
    <w:rsid w:val="006B4C64"/>
    <w:rsid w:val="006D2646"/>
    <w:rsid w:val="006D3C75"/>
    <w:rsid w:val="006D6BD5"/>
    <w:rsid w:val="006E481A"/>
    <w:rsid w:val="006E5287"/>
    <w:rsid w:val="006E5298"/>
    <w:rsid w:val="006F4A78"/>
    <w:rsid w:val="006F734A"/>
    <w:rsid w:val="00700D83"/>
    <w:rsid w:val="00704852"/>
    <w:rsid w:val="007074E9"/>
    <w:rsid w:val="00713DA4"/>
    <w:rsid w:val="00714BF1"/>
    <w:rsid w:val="00721383"/>
    <w:rsid w:val="00721835"/>
    <w:rsid w:val="0073158B"/>
    <w:rsid w:val="007333CC"/>
    <w:rsid w:val="0073399A"/>
    <w:rsid w:val="0073477C"/>
    <w:rsid w:val="007603F5"/>
    <w:rsid w:val="00764DB0"/>
    <w:rsid w:val="0076764D"/>
    <w:rsid w:val="0077498C"/>
    <w:rsid w:val="007809BC"/>
    <w:rsid w:val="00782EE1"/>
    <w:rsid w:val="00784128"/>
    <w:rsid w:val="00793173"/>
    <w:rsid w:val="007A107A"/>
    <w:rsid w:val="007A216B"/>
    <w:rsid w:val="007A2A33"/>
    <w:rsid w:val="007A7B20"/>
    <w:rsid w:val="007C1FCC"/>
    <w:rsid w:val="007C50AA"/>
    <w:rsid w:val="007C6201"/>
    <w:rsid w:val="007D7C92"/>
    <w:rsid w:val="007E1154"/>
    <w:rsid w:val="007E39B3"/>
    <w:rsid w:val="007E44C4"/>
    <w:rsid w:val="007E6BA4"/>
    <w:rsid w:val="007F41F8"/>
    <w:rsid w:val="007F6A57"/>
    <w:rsid w:val="00800B76"/>
    <w:rsid w:val="008017F0"/>
    <w:rsid w:val="0080454E"/>
    <w:rsid w:val="00804C32"/>
    <w:rsid w:val="00804DA6"/>
    <w:rsid w:val="00806302"/>
    <w:rsid w:val="0080641C"/>
    <w:rsid w:val="00807119"/>
    <w:rsid w:val="0082483F"/>
    <w:rsid w:val="008279C0"/>
    <w:rsid w:val="00841051"/>
    <w:rsid w:val="0084784E"/>
    <w:rsid w:val="008500BD"/>
    <w:rsid w:val="00860723"/>
    <w:rsid w:val="008723F3"/>
    <w:rsid w:val="00874240"/>
    <w:rsid w:val="00881DE6"/>
    <w:rsid w:val="008837A6"/>
    <w:rsid w:val="00885BDA"/>
    <w:rsid w:val="0089145D"/>
    <w:rsid w:val="00894C1D"/>
    <w:rsid w:val="008A2CD0"/>
    <w:rsid w:val="008A4DF2"/>
    <w:rsid w:val="008A6CFE"/>
    <w:rsid w:val="008B5333"/>
    <w:rsid w:val="008B6223"/>
    <w:rsid w:val="008B7B18"/>
    <w:rsid w:val="008C4AC6"/>
    <w:rsid w:val="008C66E0"/>
    <w:rsid w:val="008E0EC8"/>
    <w:rsid w:val="008E3339"/>
    <w:rsid w:val="008F20FC"/>
    <w:rsid w:val="008F5FFE"/>
    <w:rsid w:val="00903228"/>
    <w:rsid w:val="00905A43"/>
    <w:rsid w:val="00912C79"/>
    <w:rsid w:val="00914A23"/>
    <w:rsid w:val="00942123"/>
    <w:rsid w:val="0095207B"/>
    <w:rsid w:val="00962045"/>
    <w:rsid w:val="00967219"/>
    <w:rsid w:val="009733C8"/>
    <w:rsid w:val="00980E61"/>
    <w:rsid w:val="00991428"/>
    <w:rsid w:val="00992657"/>
    <w:rsid w:val="00992676"/>
    <w:rsid w:val="009954B2"/>
    <w:rsid w:val="00996691"/>
    <w:rsid w:val="009B0723"/>
    <w:rsid w:val="009B07AD"/>
    <w:rsid w:val="009B0883"/>
    <w:rsid w:val="009B15E2"/>
    <w:rsid w:val="009B45AE"/>
    <w:rsid w:val="009B4976"/>
    <w:rsid w:val="009C0B8E"/>
    <w:rsid w:val="009C1BC8"/>
    <w:rsid w:val="009C2442"/>
    <w:rsid w:val="009C5E52"/>
    <w:rsid w:val="009D0811"/>
    <w:rsid w:val="009D0EE1"/>
    <w:rsid w:val="009D35E7"/>
    <w:rsid w:val="009E0355"/>
    <w:rsid w:val="009E2AEB"/>
    <w:rsid w:val="009E2E27"/>
    <w:rsid w:val="009E4DE3"/>
    <w:rsid w:val="009F275E"/>
    <w:rsid w:val="00A047EE"/>
    <w:rsid w:val="00A11E80"/>
    <w:rsid w:val="00A17858"/>
    <w:rsid w:val="00A2274A"/>
    <w:rsid w:val="00A235B7"/>
    <w:rsid w:val="00A27A7A"/>
    <w:rsid w:val="00A407EF"/>
    <w:rsid w:val="00A45E55"/>
    <w:rsid w:val="00A46B4C"/>
    <w:rsid w:val="00A5117B"/>
    <w:rsid w:val="00A54CB5"/>
    <w:rsid w:val="00A60074"/>
    <w:rsid w:val="00A62FDA"/>
    <w:rsid w:val="00A6627C"/>
    <w:rsid w:val="00A71019"/>
    <w:rsid w:val="00A81029"/>
    <w:rsid w:val="00A96489"/>
    <w:rsid w:val="00AB685C"/>
    <w:rsid w:val="00AB6C2D"/>
    <w:rsid w:val="00AC08F7"/>
    <w:rsid w:val="00AC3602"/>
    <w:rsid w:val="00AC3839"/>
    <w:rsid w:val="00AC7082"/>
    <w:rsid w:val="00AD2931"/>
    <w:rsid w:val="00AD513F"/>
    <w:rsid w:val="00AD6272"/>
    <w:rsid w:val="00AE2316"/>
    <w:rsid w:val="00AE74BA"/>
    <w:rsid w:val="00AF228E"/>
    <w:rsid w:val="00AF4CB5"/>
    <w:rsid w:val="00B016A8"/>
    <w:rsid w:val="00B14819"/>
    <w:rsid w:val="00B15E2F"/>
    <w:rsid w:val="00B17AA9"/>
    <w:rsid w:val="00B30D9A"/>
    <w:rsid w:val="00B44713"/>
    <w:rsid w:val="00B56103"/>
    <w:rsid w:val="00B64684"/>
    <w:rsid w:val="00B64929"/>
    <w:rsid w:val="00B736DF"/>
    <w:rsid w:val="00B743D6"/>
    <w:rsid w:val="00B74FBD"/>
    <w:rsid w:val="00B77F46"/>
    <w:rsid w:val="00B81AE2"/>
    <w:rsid w:val="00B82586"/>
    <w:rsid w:val="00B829A3"/>
    <w:rsid w:val="00B86DB1"/>
    <w:rsid w:val="00B87869"/>
    <w:rsid w:val="00B90D19"/>
    <w:rsid w:val="00B96CE3"/>
    <w:rsid w:val="00BA042F"/>
    <w:rsid w:val="00BB0F2B"/>
    <w:rsid w:val="00BB38D1"/>
    <w:rsid w:val="00BE4FF3"/>
    <w:rsid w:val="00BF50F7"/>
    <w:rsid w:val="00C02F29"/>
    <w:rsid w:val="00C20AFE"/>
    <w:rsid w:val="00C22A25"/>
    <w:rsid w:val="00C3513E"/>
    <w:rsid w:val="00C35671"/>
    <w:rsid w:val="00C35B77"/>
    <w:rsid w:val="00C376EB"/>
    <w:rsid w:val="00C43C75"/>
    <w:rsid w:val="00C46A92"/>
    <w:rsid w:val="00C46EC1"/>
    <w:rsid w:val="00C52796"/>
    <w:rsid w:val="00C53E2C"/>
    <w:rsid w:val="00C550C8"/>
    <w:rsid w:val="00C56B61"/>
    <w:rsid w:val="00C606C3"/>
    <w:rsid w:val="00C620F4"/>
    <w:rsid w:val="00C62857"/>
    <w:rsid w:val="00C63E03"/>
    <w:rsid w:val="00C72848"/>
    <w:rsid w:val="00C7635D"/>
    <w:rsid w:val="00C7729F"/>
    <w:rsid w:val="00C7736C"/>
    <w:rsid w:val="00C82D87"/>
    <w:rsid w:val="00C8712A"/>
    <w:rsid w:val="00C94771"/>
    <w:rsid w:val="00C951D1"/>
    <w:rsid w:val="00C963D3"/>
    <w:rsid w:val="00CA7B9D"/>
    <w:rsid w:val="00CB1983"/>
    <w:rsid w:val="00CB2CBB"/>
    <w:rsid w:val="00CB7CAC"/>
    <w:rsid w:val="00CC5335"/>
    <w:rsid w:val="00CC5BA4"/>
    <w:rsid w:val="00CD4998"/>
    <w:rsid w:val="00CE1035"/>
    <w:rsid w:val="00CE6E50"/>
    <w:rsid w:val="00CF2819"/>
    <w:rsid w:val="00CF4F9D"/>
    <w:rsid w:val="00CF70DC"/>
    <w:rsid w:val="00D148DC"/>
    <w:rsid w:val="00D17FDC"/>
    <w:rsid w:val="00D26E26"/>
    <w:rsid w:val="00D338A2"/>
    <w:rsid w:val="00D413D1"/>
    <w:rsid w:val="00D450BA"/>
    <w:rsid w:val="00D56B4E"/>
    <w:rsid w:val="00D608A4"/>
    <w:rsid w:val="00D60E46"/>
    <w:rsid w:val="00D63EFD"/>
    <w:rsid w:val="00D651FD"/>
    <w:rsid w:val="00D75351"/>
    <w:rsid w:val="00D84752"/>
    <w:rsid w:val="00D86B3B"/>
    <w:rsid w:val="00D8748A"/>
    <w:rsid w:val="00D93196"/>
    <w:rsid w:val="00D95496"/>
    <w:rsid w:val="00DA0DC0"/>
    <w:rsid w:val="00DB243C"/>
    <w:rsid w:val="00DB482A"/>
    <w:rsid w:val="00DB56F2"/>
    <w:rsid w:val="00DB6EF5"/>
    <w:rsid w:val="00DC3089"/>
    <w:rsid w:val="00DC4420"/>
    <w:rsid w:val="00DD0802"/>
    <w:rsid w:val="00DD2E11"/>
    <w:rsid w:val="00DD47EF"/>
    <w:rsid w:val="00DE03AF"/>
    <w:rsid w:val="00DE098E"/>
    <w:rsid w:val="00DE121C"/>
    <w:rsid w:val="00DE319C"/>
    <w:rsid w:val="00DE6633"/>
    <w:rsid w:val="00DF0864"/>
    <w:rsid w:val="00DF75F8"/>
    <w:rsid w:val="00DF7A3A"/>
    <w:rsid w:val="00E00C00"/>
    <w:rsid w:val="00E07C5A"/>
    <w:rsid w:val="00E15BA9"/>
    <w:rsid w:val="00E26E19"/>
    <w:rsid w:val="00E30C8A"/>
    <w:rsid w:val="00E31DF3"/>
    <w:rsid w:val="00E450A4"/>
    <w:rsid w:val="00E45447"/>
    <w:rsid w:val="00E506BE"/>
    <w:rsid w:val="00E55547"/>
    <w:rsid w:val="00E604A1"/>
    <w:rsid w:val="00E62BC9"/>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2F84"/>
    <w:rsid w:val="00EB45AC"/>
    <w:rsid w:val="00EB5CA4"/>
    <w:rsid w:val="00EC00F9"/>
    <w:rsid w:val="00ED0BC4"/>
    <w:rsid w:val="00ED20E8"/>
    <w:rsid w:val="00ED472A"/>
    <w:rsid w:val="00ED54B6"/>
    <w:rsid w:val="00ED7C3F"/>
    <w:rsid w:val="00EE4971"/>
    <w:rsid w:val="00EF090E"/>
    <w:rsid w:val="00F033DA"/>
    <w:rsid w:val="00F13FB1"/>
    <w:rsid w:val="00F26A5A"/>
    <w:rsid w:val="00F27CD8"/>
    <w:rsid w:val="00F30351"/>
    <w:rsid w:val="00F3323E"/>
    <w:rsid w:val="00F341F4"/>
    <w:rsid w:val="00F34F9D"/>
    <w:rsid w:val="00F35CCE"/>
    <w:rsid w:val="00F36F0B"/>
    <w:rsid w:val="00F5524B"/>
    <w:rsid w:val="00F60538"/>
    <w:rsid w:val="00F61DD2"/>
    <w:rsid w:val="00F66AFF"/>
    <w:rsid w:val="00F71433"/>
    <w:rsid w:val="00F74CAF"/>
    <w:rsid w:val="00F76CD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Normal1">
    <w:name w:val="Normal1"/>
    <w:basedOn w:val="Normal"/>
    <w:rsid w:val="00E45447"/>
    <w:pPr>
      <w:spacing w:before="100" w:beforeAutospacing="1" w:after="100" w:afterAutospacing="1"/>
    </w:pPr>
    <w:rPr>
      <w:rFonts w:ascii="Times New Roman" w:hAnsi="Times New Roman" w:cs="Times New Roman"/>
      <w:sz w:val="24"/>
      <w:lang/>
    </w:rPr>
  </w:style>
  <w:style w:type="character" w:styleId="UnresolvedMention">
    <w:name w:val="Unresolved Mention"/>
    <w:basedOn w:val="DefaultParagraphFont"/>
    <w:uiPriority w:val="99"/>
    <w:semiHidden/>
    <w:unhideWhenUsed/>
    <w:rsid w:val="00973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09382299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structuring.bakermckenzie.com/wp-content/uploads/sites/23/2016/12/Global-Restructuring-Insolvency-Guide-New-Logo-France.pdf" TargetMode="External"/><Relationship Id="rId2" Type="http://schemas.openxmlformats.org/officeDocument/2006/relationships/hyperlink" Target="https://www.traverssmith.com/media/3789/the_recast_european_insolvency_regulation__impact_on_di___.pdf" TargetMode="External"/><Relationship Id="rId1" Type="http://schemas.openxmlformats.org/officeDocument/2006/relationships/hyperlink" Target="https://kluwerlawonline.com/journalarticle/European+Company+Law/13.4/EUCL2016019https://bobwessels.nl/wp-content/uploads/2016/09/eucl_wessels_1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AE1E-9D65-4F27-A545-8DE8D1C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6502</Words>
  <Characters>32189</Characters>
  <Application>Microsoft Office Word</Application>
  <DocSecurity>0</DocSecurity>
  <Lines>825</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2021-09-06T17:08:00Z</dcterms:created>
  <dcterms:modified xsi:type="dcterms:W3CDTF">2021-09-06T17:08:00Z</dcterms:modified>
</cp:coreProperties>
</file>