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8019D7" w:rsidRDefault="00C7729F" w:rsidP="003C4BCB">
      <w:pPr>
        <w:pStyle w:val="ListParagraph"/>
        <w:numPr>
          <w:ilvl w:val="0"/>
          <w:numId w:val="2"/>
        </w:numPr>
        <w:ind w:left="426"/>
        <w:jc w:val="both"/>
        <w:rPr>
          <w:rFonts w:ascii="Arial" w:hAnsi="Arial" w:cs="Arial"/>
          <w:sz w:val="22"/>
          <w:szCs w:val="22"/>
          <w:highlight w:val="yellow"/>
          <w:lang w:val="en-GB"/>
        </w:rPr>
      </w:pPr>
      <w:r w:rsidRPr="008019D7">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8019D7">
        <w:rPr>
          <w:rFonts w:ascii="Arial" w:hAnsi="Arial" w:cs="Arial"/>
          <w:sz w:val="22"/>
          <w:szCs w:val="22"/>
          <w:highlight w:val="yellow"/>
          <w:lang w:val="en-GB"/>
        </w:rPr>
        <w:t>1960s,</w:t>
      </w:r>
      <w:r w:rsidRPr="008019D7">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8019D7" w:rsidRDefault="00BB38D1" w:rsidP="003C4BCB">
      <w:pPr>
        <w:pStyle w:val="ListParagraph"/>
        <w:numPr>
          <w:ilvl w:val="0"/>
          <w:numId w:val="3"/>
        </w:numPr>
        <w:ind w:left="426"/>
        <w:jc w:val="both"/>
        <w:rPr>
          <w:rFonts w:ascii="Arial" w:hAnsi="Arial" w:cs="Arial"/>
          <w:iCs/>
          <w:sz w:val="22"/>
          <w:szCs w:val="22"/>
          <w:highlight w:val="yellow"/>
          <w:lang w:val="en-GB"/>
        </w:rPr>
      </w:pPr>
      <w:r w:rsidRPr="008019D7">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is an instrument of predominantly procedural nature (including private international law issues). Nevertheless, it contains a number of substantive provisions. </w:t>
      </w:r>
      <w:r w:rsidRPr="008500BD">
        <w:rPr>
          <w:rFonts w:ascii="Arial" w:hAnsi="Arial" w:cs="Arial"/>
          <w:sz w:val="22"/>
          <w:szCs w:val="22"/>
          <w:lang w:val="en-GB"/>
        </w:rPr>
        <w:lastRenderedPageBreak/>
        <w:t>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797477" w:rsidRDefault="00967219" w:rsidP="003C4BCB">
      <w:pPr>
        <w:pStyle w:val="ListParagraph"/>
        <w:numPr>
          <w:ilvl w:val="0"/>
          <w:numId w:val="4"/>
        </w:numPr>
        <w:ind w:left="426"/>
        <w:jc w:val="both"/>
        <w:rPr>
          <w:rFonts w:ascii="Arial" w:hAnsi="Arial" w:cs="Arial"/>
          <w:sz w:val="22"/>
          <w:szCs w:val="22"/>
          <w:highlight w:val="yellow"/>
          <w:lang w:val="en-GB"/>
        </w:rPr>
      </w:pPr>
      <w:r w:rsidRPr="00797477">
        <w:rPr>
          <w:rFonts w:ascii="Arial" w:hAnsi="Arial" w:cs="Arial"/>
          <w:sz w:val="22"/>
          <w:szCs w:val="22"/>
          <w:highlight w:val="yellow"/>
          <w:lang w:val="en-GB"/>
        </w:rPr>
        <w:t>Article 31 EIR Recast (“</w:t>
      </w:r>
      <w:r w:rsidRPr="00797477">
        <w:rPr>
          <w:rFonts w:ascii="Arial" w:hAnsi="Arial" w:cs="Arial"/>
          <w:bCs/>
          <w:sz w:val="22"/>
          <w:szCs w:val="22"/>
          <w:highlight w:val="yellow"/>
          <w:lang w:val="en-GB"/>
        </w:rPr>
        <w:t>Honouring of an obligation to a debtor”</w:t>
      </w:r>
      <w:r w:rsidRPr="00797477">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D007E8" w:rsidRDefault="00874240" w:rsidP="003C4BCB">
      <w:pPr>
        <w:pStyle w:val="ListParagraph"/>
        <w:numPr>
          <w:ilvl w:val="0"/>
          <w:numId w:val="5"/>
        </w:numPr>
        <w:ind w:left="426"/>
        <w:jc w:val="both"/>
        <w:rPr>
          <w:rFonts w:ascii="Arial" w:hAnsi="Arial" w:cs="Arial"/>
          <w:sz w:val="22"/>
          <w:szCs w:val="22"/>
          <w:highlight w:val="yellow"/>
          <w:lang w:val="en-GB"/>
        </w:rPr>
      </w:pPr>
      <w:r w:rsidRPr="00D007E8">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8019D7" w:rsidRDefault="00874240" w:rsidP="003C4BCB">
      <w:pPr>
        <w:pStyle w:val="ListParagraph"/>
        <w:numPr>
          <w:ilvl w:val="0"/>
          <w:numId w:val="6"/>
        </w:numPr>
        <w:ind w:left="426"/>
        <w:jc w:val="both"/>
        <w:rPr>
          <w:rFonts w:ascii="Arial" w:hAnsi="Arial" w:cs="Arial"/>
          <w:sz w:val="22"/>
          <w:szCs w:val="22"/>
          <w:highlight w:val="yellow"/>
          <w:lang w:val="en-GB"/>
        </w:rPr>
      </w:pPr>
      <w:r w:rsidRPr="008019D7">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8019D7" w:rsidRDefault="00113E29" w:rsidP="003C4BCB">
      <w:pPr>
        <w:pStyle w:val="ListParagraph"/>
        <w:numPr>
          <w:ilvl w:val="0"/>
          <w:numId w:val="7"/>
        </w:numPr>
        <w:ind w:left="426"/>
        <w:jc w:val="both"/>
        <w:rPr>
          <w:rFonts w:ascii="Arial" w:hAnsi="Arial" w:cs="Arial"/>
          <w:sz w:val="22"/>
          <w:szCs w:val="22"/>
          <w:highlight w:val="yellow"/>
          <w:lang w:val="en-GB"/>
        </w:rPr>
      </w:pPr>
      <w:r w:rsidRPr="008019D7">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8019D7" w:rsidRDefault="00967219" w:rsidP="003C4BCB">
      <w:pPr>
        <w:pStyle w:val="ListParagraph"/>
        <w:numPr>
          <w:ilvl w:val="0"/>
          <w:numId w:val="8"/>
        </w:numPr>
        <w:ind w:left="426"/>
        <w:jc w:val="both"/>
        <w:rPr>
          <w:rFonts w:ascii="Arial" w:hAnsi="Arial" w:cs="Arial"/>
          <w:sz w:val="22"/>
          <w:szCs w:val="22"/>
          <w:highlight w:val="yellow"/>
          <w:lang w:val="en-GB"/>
        </w:rPr>
      </w:pPr>
      <w:r w:rsidRPr="008019D7">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 xml:space="preserve">Actio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FD7D57" w:rsidRDefault="00967219" w:rsidP="003C4BCB">
      <w:pPr>
        <w:pStyle w:val="ListParagraph"/>
        <w:numPr>
          <w:ilvl w:val="0"/>
          <w:numId w:val="9"/>
        </w:numPr>
        <w:ind w:left="426"/>
        <w:jc w:val="both"/>
        <w:rPr>
          <w:rFonts w:ascii="Arial" w:hAnsi="Arial" w:cs="Arial"/>
          <w:sz w:val="22"/>
          <w:szCs w:val="22"/>
          <w:highlight w:val="yellow"/>
          <w:lang w:val="en-GB"/>
        </w:rPr>
      </w:pPr>
      <w:r w:rsidRPr="00FD7D57">
        <w:rPr>
          <w:rFonts w:ascii="Arial" w:hAnsi="Arial" w:cs="Arial"/>
          <w:sz w:val="22"/>
          <w:szCs w:val="22"/>
          <w:highlight w:val="yellow"/>
          <w:lang w:val="en-GB"/>
        </w:rPr>
        <w:t xml:space="preserve">The contested payments shall not be avoided if </w:t>
      </w:r>
      <w:proofErr w:type="spellStart"/>
      <w:r w:rsidRPr="00FD7D57">
        <w:rPr>
          <w:rFonts w:ascii="Arial" w:hAnsi="Arial" w:cs="Arial"/>
          <w:sz w:val="22"/>
          <w:szCs w:val="22"/>
          <w:highlight w:val="yellow"/>
          <w:lang w:val="en-GB"/>
        </w:rPr>
        <w:t>Fema</w:t>
      </w:r>
      <w:proofErr w:type="spellEnd"/>
      <w:r w:rsidRPr="00FD7D57">
        <w:rPr>
          <w:rFonts w:ascii="Arial" w:hAnsi="Arial" w:cs="Arial"/>
          <w:sz w:val="22"/>
          <w:szCs w:val="22"/>
          <w:highlight w:val="yellow"/>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Default="00FC48D8" w:rsidP="003C4BCB">
      <w:pPr>
        <w:pStyle w:val="ListParagraph"/>
        <w:numPr>
          <w:ilvl w:val="0"/>
          <w:numId w:val="10"/>
        </w:numPr>
        <w:ind w:left="426"/>
        <w:jc w:val="both"/>
        <w:rPr>
          <w:rFonts w:ascii="Arial" w:hAnsi="Arial" w:cs="Arial"/>
          <w:sz w:val="22"/>
          <w:szCs w:val="22"/>
          <w:lang w:val="en-GB"/>
        </w:rPr>
      </w:pPr>
      <w:r w:rsidRPr="00D975E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r w:rsidRPr="00611DE6">
        <w:rPr>
          <w:rFonts w:ascii="Arial" w:hAnsi="Arial" w:cs="Arial"/>
          <w:sz w:val="22"/>
          <w:szCs w:val="22"/>
          <w:lang w:val="en-GB"/>
        </w:rPr>
        <w:t>.</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1C357C" w:rsidRDefault="00FC48D8" w:rsidP="003C4BCB">
      <w:pPr>
        <w:pStyle w:val="ListParagraph"/>
        <w:numPr>
          <w:ilvl w:val="0"/>
          <w:numId w:val="11"/>
        </w:numPr>
        <w:ind w:left="426"/>
        <w:jc w:val="both"/>
        <w:rPr>
          <w:rFonts w:ascii="Arial" w:hAnsi="Arial" w:cs="Arial"/>
          <w:sz w:val="22"/>
          <w:szCs w:val="22"/>
          <w:highlight w:val="yellow"/>
          <w:lang w:val="en-GB"/>
        </w:rPr>
      </w:pPr>
      <w:r w:rsidRPr="001C357C">
        <w:rPr>
          <w:rFonts w:ascii="Arial" w:hAnsi="Arial" w:cs="Arial"/>
          <w:sz w:val="22"/>
          <w:szCs w:val="22"/>
          <w:highlight w:val="yellow"/>
          <w:lang w:val="en-GB"/>
        </w:rPr>
        <w:t xml:space="preserve">Within 15 days, as stipulated in the applicable </w:t>
      </w:r>
      <w:r w:rsidRPr="001C357C">
        <w:rPr>
          <w:rFonts w:ascii="Arial" w:hAnsi="Arial" w:cs="Arial"/>
          <w:i/>
          <w:sz w:val="22"/>
          <w:szCs w:val="22"/>
          <w:highlight w:val="yellow"/>
          <w:lang w:val="en-GB"/>
        </w:rPr>
        <w:t xml:space="preserve">lex concursus </w:t>
      </w:r>
      <w:proofErr w:type="spellStart"/>
      <w:r w:rsidRPr="001C357C">
        <w:rPr>
          <w:rFonts w:ascii="Arial" w:hAnsi="Arial" w:cs="Arial"/>
          <w:i/>
          <w:sz w:val="22"/>
          <w:szCs w:val="22"/>
          <w:highlight w:val="yellow"/>
          <w:lang w:val="en-GB"/>
        </w:rPr>
        <w:t>secundarii</w:t>
      </w:r>
      <w:proofErr w:type="spellEnd"/>
      <w:r w:rsidRPr="001C357C">
        <w:rPr>
          <w:rFonts w:ascii="Arial" w:hAnsi="Arial" w:cs="Arial"/>
          <w:sz w:val="22"/>
          <w:szCs w:val="22"/>
          <w:highlight w:val="yellow"/>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4FC20A3B" w14:textId="243057E8" w:rsidR="00962045" w:rsidRPr="008500BD" w:rsidRDefault="008017F0" w:rsidP="001E3676">
      <w:pPr>
        <w:rPr>
          <w:rFonts w:ascii="Arial" w:hAnsi="Arial" w:cs="Arial"/>
          <w:b/>
          <w:sz w:val="22"/>
          <w:szCs w:val="22"/>
          <w:lang w:val="en-GB"/>
        </w:rPr>
      </w:pPr>
      <w:r>
        <w:rPr>
          <w:rFonts w:ascii="Arial" w:hAnsi="Arial" w:cs="Arial"/>
          <w:b/>
          <w:sz w:val="22"/>
          <w:szCs w:val="22"/>
          <w:lang w:val="en-GB"/>
        </w:rPr>
        <w:br w:type="page"/>
      </w:r>
      <w:r w:rsidR="00DF75F8"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77777777" w:rsidR="00636C15" w:rsidRPr="008500BD" w:rsidRDefault="00636C15" w:rsidP="00636C15">
      <w:pPr>
        <w:ind w:left="720" w:hanging="720"/>
        <w:jc w:val="both"/>
        <w:rPr>
          <w:rFonts w:ascii="Arial" w:hAnsi="Arial" w:cs="Arial"/>
          <w:sz w:val="22"/>
          <w:szCs w:val="22"/>
        </w:rPr>
      </w:pPr>
      <w:r w:rsidRPr="008500BD">
        <w:rPr>
          <w:rFonts w:ascii="Arial" w:hAnsi="Arial" w:cs="Arial"/>
          <w:color w:val="7B7B7B" w:themeColor="accent3" w:themeShade="BF"/>
          <w:sz w:val="22"/>
          <w:szCs w:val="22"/>
        </w:rPr>
        <w:t>[Type your answer here]</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67927D13" w:rsidR="00636C15" w:rsidRDefault="00FD05BA"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 xml:space="preserve">Article 41 of EIR Recast mandates cooperation and communication between insolvency practitioners.  </w:t>
      </w:r>
    </w:p>
    <w:p w14:paraId="258B2EE3" w14:textId="77777777" w:rsidR="00FD05BA" w:rsidRDefault="00FD05BA" w:rsidP="00636C15">
      <w:pPr>
        <w:ind w:left="720" w:hanging="720"/>
        <w:jc w:val="both"/>
        <w:rPr>
          <w:rFonts w:ascii="Arial" w:hAnsi="Arial" w:cs="Arial"/>
          <w:color w:val="7B7B7B" w:themeColor="accent3" w:themeShade="BF"/>
          <w:sz w:val="22"/>
          <w:szCs w:val="22"/>
          <w:lang w:val="en-GB"/>
        </w:rPr>
      </w:pPr>
    </w:p>
    <w:p w14:paraId="79D52E18" w14:textId="22A8D7DD" w:rsidR="00FD05BA" w:rsidRDefault="00FD05BA"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Article 42 of EIR Recast provides for cooperation and communication between courts.</w:t>
      </w:r>
    </w:p>
    <w:p w14:paraId="45C7F257" w14:textId="77777777" w:rsidR="00FD05BA" w:rsidRDefault="00FD05BA" w:rsidP="00636C15">
      <w:pPr>
        <w:ind w:left="720" w:hanging="720"/>
        <w:jc w:val="both"/>
        <w:rPr>
          <w:rFonts w:ascii="Arial" w:hAnsi="Arial" w:cs="Arial"/>
          <w:color w:val="7B7B7B" w:themeColor="accent3" w:themeShade="BF"/>
          <w:sz w:val="22"/>
          <w:szCs w:val="22"/>
          <w:lang w:val="en-GB"/>
        </w:rPr>
      </w:pPr>
    </w:p>
    <w:p w14:paraId="426E051D" w14:textId="11C6FC7C" w:rsidR="00FD05BA" w:rsidRPr="008500BD" w:rsidRDefault="00FD05BA" w:rsidP="00636C15">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Article 43 of EIR Recast mandates cooperation and communication between insolvency practitioners and courts.</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120A4E67" w:rsidR="00C72848" w:rsidRDefault="00FD05B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Article 1 – it provides that the EIR Recast applies not only to traditional liquidation orientated procedures but also to proceedings designed to rescue economically viable but financially distressed businesses.</w:t>
      </w:r>
    </w:p>
    <w:p w14:paraId="4FABEF5B" w14:textId="77777777" w:rsidR="00FD05BA" w:rsidRDefault="00FD05BA" w:rsidP="002A37BB">
      <w:pPr>
        <w:ind w:left="720" w:hanging="720"/>
        <w:jc w:val="both"/>
        <w:rPr>
          <w:rFonts w:ascii="Arial" w:hAnsi="Arial" w:cs="Arial"/>
          <w:color w:val="7B7B7B" w:themeColor="accent3" w:themeShade="BF"/>
          <w:sz w:val="22"/>
          <w:szCs w:val="22"/>
          <w:lang w:val="en-GB"/>
        </w:rPr>
      </w:pPr>
    </w:p>
    <w:p w14:paraId="306E7ED0" w14:textId="047B604F" w:rsidR="00FD05BA" w:rsidRDefault="00FD05B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The other example is the provision of the EIR Recast which abolished the requirement that secondary proceedings must be winding up proceedings as previously stipulated in article 3(3) of the EIR 2000.</w:t>
      </w:r>
    </w:p>
    <w:p w14:paraId="04CE96C9" w14:textId="77777777" w:rsidR="00FD05BA" w:rsidRDefault="00FD05BA" w:rsidP="002A37BB">
      <w:pPr>
        <w:ind w:left="720" w:hanging="720"/>
        <w:jc w:val="both"/>
        <w:rPr>
          <w:rFonts w:ascii="Arial" w:hAnsi="Arial" w:cs="Arial"/>
          <w:color w:val="7B7B7B" w:themeColor="accent3" w:themeShade="BF"/>
          <w:sz w:val="22"/>
          <w:szCs w:val="22"/>
          <w:lang w:val="en-GB"/>
        </w:rPr>
      </w:pPr>
    </w:p>
    <w:p w14:paraId="572227E7" w14:textId="690BE115" w:rsidR="0045683E" w:rsidRPr="008500BD" w:rsidRDefault="00FD05BA" w:rsidP="00870AA9">
      <w:pPr>
        <w:ind w:left="720" w:hanging="720"/>
        <w:jc w:val="both"/>
        <w:rPr>
          <w:rFonts w:ascii="Arial" w:hAnsi="Arial" w:cs="Arial"/>
          <w:bCs/>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r>
      <w:r w:rsidR="000636A4">
        <w:rPr>
          <w:rFonts w:ascii="Arial" w:hAnsi="Arial" w:cs="Arial"/>
          <w:color w:val="7B7B7B" w:themeColor="accent3" w:themeShade="BF"/>
          <w:sz w:val="22"/>
          <w:szCs w:val="22"/>
          <w:lang w:val="en-GB"/>
        </w:rPr>
        <w:t>Article 41(2)(a) EIR Recast – it provides that the communication between insolvency practitioners which should occur as soon as possible should deal with any progress made in lodging and verifying claims and all measures aimed at rescuing or restructuring the debtor, or terminating the proceedings.</w:t>
      </w:r>
      <w:r w:rsidR="00870AA9" w:rsidRPr="008500BD">
        <w:rPr>
          <w:rFonts w:ascii="Arial" w:hAnsi="Arial" w:cs="Arial"/>
          <w:bCs/>
          <w:sz w:val="22"/>
          <w:szCs w:val="22"/>
          <w:lang w:val="en-GB"/>
        </w:rPr>
        <w:t xml:space="preserve"> </w:t>
      </w: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63B46068" w:rsidR="009954B2" w:rsidRDefault="00F53BF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r>
      <w:r w:rsidRPr="000E3618">
        <w:rPr>
          <w:rFonts w:ascii="Arial" w:hAnsi="Arial" w:cs="Arial"/>
          <w:i/>
          <w:color w:val="7B7B7B" w:themeColor="accent3" w:themeShade="BF"/>
          <w:sz w:val="22"/>
          <w:szCs w:val="22"/>
          <w:lang w:val="en-GB"/>
        </w:rPr>
        <w:t>The first</w:t>
      </w:r>
      <w:r>
        <w:rPr>
          <w:rFonts w:ascii="Arial" w:hAnsi="Arial" w:cs="Arial"/>
          <w:color w:val="7B7B7B" w:themeColor="accent3" w:themeShade="BF"/>
          <w:sz w:val="22"/>
          <w:szCs w:val="22"/>
          <w:lang w:val="en-GB"/>
        </w:rPr>
        <w:t xml:space="preserve"> is t</w:t>
      </w:r>
      <w:r w:rsidR="00FD0720">
        <w:rPr>
          <w:rFonts w:ascii="Arial" w:hAnsi="Arial" w:cs="Arial"/>
          <w:color w:val="7B7B7B" w:themeColor="accent3" w:themeShade="BF"/>
          <w:sz w:val="22"/>
          <w:szCs w:val="22"/>
          <w:lang w:val="en-GB"/>
        </w:rPr>
        <w:t xml:space="preserve">he right to give an undertaking - </w:t>
      </w:r>
      <w:r>
        <w:rPr>
          <w:rFonts w:ascii="Arial" w:hAnsi="Arial" w:cs="Arial"/>
          <w:color w:val="7B7B7B" w:themeColor="accent3" w:themeShade="BF"/>
          <w:sz w:val="22"/>
          <w:szCs w:val="22"/>
          <w:lang w:val="en-GB"/>
        </w:rPr>
        <w:t xml:space="preserve">synthetic secondary proceedings.  According to </w:t>
      </w:r>
      <w:r w:rsidR="00304C25">
        <w:rPr>
          <w:rFonts w:ascii="Arial" w:hAnsi="Arial" w:cs="Arial"/>
          <w:color w:val="7B7B7B" w:themeColor="accent3" w:themeShade="BF"/>
          <w:sz w:val="22"/>
          <w:szCs w:val="22"/>
          <w:lang w:val="en-GB"/>
        </w:rPr>
        <w:t xml:space="preserve">article 38(2) of the EIR Recast, if an insolvency practitioner in the main insolvency proceedings has given an undertaking in accordance with article 36, the court asked to open secondary proceedings, should not, at the request of the insolvency practitioner, open such proceedings if it is satisfied that the undertaking concerned sufficiently protects the general interest of local creditors.  Article 36 of the EIR Recast provides that in order to avoid the opening of secondary insolvency proceedings, the insolvency practitioner in the main insolvency proceeding may give a unilateral </w:t>
      </w:r>
      <w:r w:rsidR="002D44CE">
        <w:rPr>
          <w:rFonts w:ascii="Arial" w:hAnsi="Arial" w:cs="Arial"/>
          <w:color w:val="7B7B7B" w:themeColor="accent3" w:themeShade="BF"/>
          <w:sz w:val="22"/>
          <w:szCs w:val="22"/>
          <w:lang w:val="en-GB"/>
        </w:rPr>
        <w:t xml:space="preserve">undertaking in relation to the assets situated at the </w:t>
      </w:r>
      <w:r w:rsidR="002B46DA">
        <w:rPr>
          <w:rFonts w:ascii="Arial" w:hAnsi="Arial" w:cs="Arial"/>
          <w:color w:val="7B7B7B" w:themeColor="accent3" w:themeShade="BF"/>
          <w:sz w:val="22"/>
          <w:szCs w:val="22"/>
          <w:lang w:val="en-GB"/>
        </w:rPr>
        <w:t>member state</w:t>
      </w:r>
      <w:r w:rsidR="00CA294D">
        <w:rPr>
          <w:rFonts w:ascii="Arial" w:hAnsi="Arial" w:cs="Arial"/>
          <w:color w:val="7B7B7B" w:themeColor="accent3" w:themeShade="BF"/>
          <w:sz w:val="22"/>
          <w:szCs w:val="22"/>
          <w:lang w:val="en-GB"/>
        </w:rPr>
        <w:t xml:space="preserve"> in which the secondary insolvency proceedings could be opened, that when distributing those assets or the proceeds received as a result of the realisation, he will comply with the distribution and priority rights under the relevant foreign insolvency law which the creditors would have </w:t>
      </w:r>
      <w:r w:rsidR="00A00018">
        <w:rPr>
          <w:rFonts w:ascii="Arial" w:hAnsi="Arial" w:cs="Arial"/>
          <w:color w:val="7B7B7B" w:themeColor="accent3" w:themeShade="BF"/>
          <w:sz w:val="22"/>
          <w:szCs w:val="22"/>
          <w:lang w:val="en-GB"/>
        </w:rPr>
        <w:t xml:space="preserve">been entitled to </w:t>
      </w:r>
      <w:r w:rsidR="00CA294D">
        <w:rPr>
          <w:rFonts w:ascii="Arial" w:hAnsi="Arial" w:cs="Arial"/>
          <w:color w:val="7B7B7B" w:themeColor="accent3" w:themeShade="BF"/>
          <w:sz w:val="22"/>
          <w:szCs w:val="22"/>
          <w:lang w:val="en-GB"/>
        </w:rPr>
        <w:t>if secondary insolvency proceed</w:t>
      </w:r>
      <w:r w:rsidR="002B46DA">
        <w:rPr>
          <w:rFonts w:ascii="Arial" w:hAnsi="Arial" w:cs="Arial"/>
          <w:color w:val="7B7B7B" w:themeColor="accent3" w:themeShade="BF"/>
          <w:sz w:val="22"/>
          <w:szCs w:val="22"/>
          <w:lang w:val="en-GB"/>
        </w:rPr>
        <w:t>ings were to be opened in that member</w:t>
      </w:r>
      <w:r w:rsidR="00CA294D">
        <w:rPr>
          <w:rFonts w:ascii="Arial" w:hAnsi="Arial" w:cs="Arial"/>
          <w:color w:val="7B7B7B" w:themeColor="accent3" w:themeShade="BF"/>
          <w:sz w:val="22"/>
          <w:szCs w:val="22"/>
          <w:lang w:val="en-GB"/>
        </w:rPr>
        <w:t xml:space="preserve"> </w:t>
      </w:r>
      <w:r w:rsidR="00A5298C">
        <w:rPr>
          <w:rFonts w:ascii="Arial" w:hAnsi="Arial" w:cs="Arial"/>
          <w:color w:val="7B7B7B" w:themeColor="accent3" w:themeShade="BF"/>
          <w:sz w:val="22"/>
          <w:szCs w:val="22"/>
          <w:lang w:val="en-GB"/>
        </w:rPr>
        <w:t>es</w:t>
      </w:r>
      <w:r w:rsidR="00CA294D">
        <w:rPr>
          <w:rFonts w:ascii="Arial" w:hAnsi="Arial" w:cs="Arial"/>
          <w:color w:val="7B7B7B" w:themeColor="accent3" w:themeShade="BF"/>
          <w:sz w:val="22"/>
          <w:szCs w:val="22"/>
          <w:lang w:val="en-GB"/>
        </w:rPr>
        <w:t>tate.</w:t>
      </w:r>
    </w:p>
    <w:p w14:paraId="68A59595" w14:textId="77777777" w:rsidR="00CA294D" w:rsidRDefault="00CA294D" w:rsidP="002A37BB">
      <w:pPr>
        <w:ind w:left="720" w:hanging="720"/>
        <w:jc w:val="both"/>
        <w:rPr>
          <w:rFonts w:ascii="Arial" w:hAnsi="Arial" w:cs="Arial"/>
          <w:color w:val="7B7B7B" w:themeColor="accent3" w:themeShade="BF"/>
          <w:sz w:val="22"/>
          <w:szCs w:val="22"/>
          <w:lang w:val="en-GB"/>
        </w:rPr>
      </w:pPr>
    </w:p>
    <w:p w14:paraId="48561BF7" w14:textId="3A321E5D" w:rsidR="00CA294D" w:rsidRPr="008500BD" w:rsidRDefault="00CA294D"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Pr="000E3618">
        <w:rPr>
          <w:rFonts w:ascii="Arial" w:hAnsi="Arial" w:cs="Arial"/>
          <w:i/>
          <w:color w:val="7B7B7B" w:themeColor="accent3" w:themeShade="BF"/>
          <w:sz w:val="22"/>
          <w:szCs w:val="22"/>
          <w:lang w:val="en-GB"/>
        </w:rPr>
        <w:t>The second</w:t>
      </w:r>
      <w:r>
        <w:rPr>
          <w:rFonts w:ascii="Arial" w:hAnsi="Arial" w:cs="Arial"/>
          <w:color w:val="7B7B7B" w:themeColor="accent3" w:themeShade="BF"/>
          <w:sz w:val="22"/>
          <w:szCs w:val="22"/>
          <w:lang w:val="en-GB"/>
        </w:rPr>
        <w:t xml:space="preserve"> is </w:t>
      </w:r>
      <w:r w:rsidR="00A5298C">
        <w:rPr>
          <w:rFonts w:ascii="Arial" w:hAnsi="Arial" w:cs="Arial"/>
          <w:color w:val="7B7B7B" w:themeColor="accent3" w:themeShade="BF"/>
          <w:sz w:val="22"/>
          <w:szCs w:val="22"/>
          <w:lang w:val="en-GB"/>
        </w:rPr>
        <w:t xml:space="preserve">when an insolvency practitioner in respect of </w:t>
      </w:r>
      <w:r w:rsidR="005F1961">
        <w:rPr>
          <w:rFonts w:ascii="Arial" w:hAnsi="Arial" w:cs="Arial"/>
          <w:color w:val="7B7B7B" w:themeColor="accent3" w:themeShade="BF"/>
          <w:sz w:val="22"/>
          <w:szCs w:val="22"/>
          <w:lang w:val="en-GB"/>
        </w:rPr>
        <w:t xml:space="preserve"> the main proceedings, for example, requests the court to temporarily stay the opening of secondary insolvency proceedings.  This is to prevent a possible frustration or undermining of negotiations which the debtor may be involved in to rescue the company, following the stay which results from the opening of main proceedings.</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4024A332" w14:textId="4FCFC520" w:rsidR="00544127" w:rsidRDefault="000636A4" w:rsidP="00C865F8">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At the outset, it bears mentioning that the European Commission was obliged to prepare a report on the application of the EIR 2000 with a proposal for its adaptation, if necessary, by no later than 1 June 2012.</w:t>
      </w:r>
    </w:p>
    <w:p w14:paraId="70CA35B6" w14:textId="77777777" w:rsidR="000636A4" w:rsidRDefault="000636A4" w:rsidP="00C865F8">
      <w:pPr>
        <w:ind w:left="709" w:hanging="709"/>
        <w:jc w:val="both"/>
        <w:rPr>
          <w:rFonts w:ascii="Arial" w:hAnsi="Arial" w:cs="Arial"/>
          <w:color w:val="7B7B7B" w:themeColor="accent3" w:themeShade="BF"/>
          <w:sz w:val="22"/>
          <w:szCs w:val="22"/>
          <w:lang w:val="en-GB"/>
        </w:rPr>
      </w:pPr>
    </w:p>
    <w:p w14:paraId="187B8633" w14:textId="6CC14430" w:rsidR="000636A4" w:rsidRDefault="000636A4" w:rsidP="00C865F8">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 xml:space="preserve">Although it was generally accepted that the EIR 2000 was a success, after it had been in place for 15 years, </w:t>
      </w:r>
      <w:r w:rsidR="00915BEF">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became evident that some of its provisions had to be amended, whilst other developments made it necessary for the introduction of completely new rules.  That is why a new insolvency regulation was needed and recommended by the European Commission in 2012.  This resulted in the new EIR Recast</w:t>
      </w:r>
      <w:r w:rsidR="00C865F8">
        <w:rPr>
          <w:rFonts w:ascii="Arial" w:hAnsi="Arial" w:cs="Arial"/>
          <w:color w:val="7B7B7B" w:themeColor="accent3" w:themeShade="BF"/>
          <w:sz w:val="22"/>
          <w:szCs w:val="22"/>
          <w:lang w:val="en-GB"/>
        </w:rPr>
        <w:t xml:space="preserve"> which was adopted in 2015.  Notwithstanding its adoption date, it came into force on 26 June 2017 and replaced the previous EIR 2000.</w:t>
      </w:r>
    </w:p>
    <w:p w14:paraId="6C66B5D0" w14:textId="77777777" w:rsidR="00C865F8" w:rsidRDefault="00C865F8" w:rsidP="00C865F8">
      <w:pPr>
        <w:ind w:left="709" w:hanging="709"/>
        <w:jc w:val="both"/>
        <w:rPr>
          <w:rFonts w:ascii="Arial" w:hAnsi="Arial" w:cs="Arial"/>
          <w:color w:val="7B7B7B" w:themeColor="accent3" w:themeShade="BF"/>
          <w:sz w:val="22"/>
          <w:szCs w:val="22"/>
          <w:lang w:val="en-GB"/>
        </w:rPr>
      </w:pPr>
    </w:p>
    <w:p w14:paraId="11726FC0" w14:textId="63DB1EE8" w:rsidR="00CF706B" w:rsidRDefault="00C865F8" w:rsidP="00CF706B">
      <w:pPr>
        <w:pStyle w:val="BodyTextIndent"/>
      </w:pPr>
      <w:r>
        <w:t>3</w:t>
      </w:r>
      <w:r>
        <w:tab/>
        <w:t>The EIR 2000 did not respond sufficiently to the needs of the dev</w:t>
      </w:r>
      <w:r w:rsidR="00915BEF">
        <w:t>eloping insolvency and restructuring</w:t>
      </w:r>
      <w:r>
        <w:t xml:space="preserve"> regime.  More specifically, in contrast to its predecessor (i.e. the </w:t>
      </w:r>
      <w:r>
        <w:lastRenderedPageBreak/>
        <w:t xml:space="preserve">EIR 2000), the EIR Recast addresses the needs of insolvency practice (broadening scope of restructuring proceeding, stronger rules for cooperation between insolvency practitioners and courts, possibility of proceedings with regard to members of the same group of companies), improvement of </w:t>
      </w:r>
      <w:r w:rsidR="00CF706B">
        <w:t>creditor information (interconnectivity of insolvency registers) as well as modernisation of legal rules.</w:t>
      </w:r>
    </w:p>
    <w:p w14:paraId="20C0608E" w14:textId="77777777" w:rsidR="00CF706B" w:rsidRDefault="00CF706B" w:rsidP="00CF706B">
      <w:pPr>
        <w:pStyle w:val="BodyTextIndent"/>
      </w:pPr>
    </w:p>
    <w:p w14:paraId="563386FA" w14:textId="6B2D4D3C" w:rsidR="007C5C42" w:rsidRDefault="00CF706B" w:rsidP="00230AAD">
      <w:pPr>
        <w:pStyle w:val="BodyTextIndent"/>
      </w:pPr>
      <w:r>
        <w:t>4</w:t>
      </w:r>
      <w:r>
        <w:tab/>
        <w:t xml:space="preserve">It is thus clear, in light of the </w:t>
      </w:r>
      <w:proofErr w:type="spellStart"/>
      <w:r>
        <w:t>aforegoing</w:t>
      </w:r>
      <w:proofErr w:type="spellEnd"/>
      <w:r>
        <w:t xml:space="preserve">, that </w:t>
      </w:r>
      <w:r w:rsidR="00B52662">
        <w:t xml:space="preserve">although </w:t>
      </w:r>
      <w:r>
        <w:t>the EIR 2000 had become outdated somewhat and thus not responsive to the current and modern</w:t>
      </w:r>
      <w:r w:rsidR="00B52662">
        <w:t xml:space="preserve"> needs of insolvency practice, </w:t>
      </w:r>
      <w:proofErr w:type="spellStart"/>
      <w:r w:rsidR="00B52662">
        <w:t>t</w:t>
      </w:r>
      <w:r>
        <w:t>t</w:t>
      </w:r>
      <w:proofErr w:type="spellEnd"/>
      <w:r>
        <w:t xml:space="preserve"> was no longer feasible for the European regulation to remain insolvency orientated.  It had to adapt</w:t>
      </w:r>
      <w:r w:rsidR="007C5C42">
        <w:t xml:space="preserve"> and become business rescue orientated</w:t>
      </w:r>
      <w:r w:rsidR="00B52662">
        <w:t xml:space="preserve"> too</w:t>
      </w:r>
      <w:r w:rsidR="007C5C42">
        <w:t>.</w:t>
      </w:r>
    </w:p>
    <w:p w14:paraId="65B2B1FB" w14:textId="77777777" w:rsidR="003870F0" w:rsidRDefault="003870F0" w:rsidP="00CF706B">
      <w:pPr>
        <w:pStyle w:val="BodyTextIndent"/>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Default="00E90991" w:rsidP="002A37BB">
      <w:pPr>
        <w:jc w:val="both"/>
        <w:rPr>
          <w:rFonts w:ascii="Arial" w:hAnsi="Arial" w:cs="Arial"/>
          <w:sz w:val="22"/>
          <w:szCs w:val="22"/>
          <w:lang w:val="en-GB"/>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D2DA855" w14:textId="77777777" w:rsidR="0096024F" w:rsidRDefault="0096024F" w:rsidP="002A37BB">
      <w:pPr>
        <w:jc w:val="both"/>
        <w:rPr>
          <w:rFonts w:ascii="Arial" w:hAnsi="Arial" w:cs="Arial"/>
          <w:sz w:val="22"/>
          <w:szCs w:val="22"/>
          <w:lang w:val="en-GB"/>
        </w:rPr>
      </w:pPr>
    </w:p>
    <w:p w14:paraId="4B9F9D5F" w14:textId="77777777" w:rsidR="0096024F" w:rsidRPr="008875D9" w:rsidRDefault="0096024F" w:rsidP="002A37BB">
      <w:pPr>
        <w:jc w:val="both"/>
        <w:rPr>
          <w:rFonts w:ascii="Arial" w:hAnsi="Arial" w:cs="Arial"/>
          <w:i/>
          <w:sz w:val="22"/>
          <w:szCs w:val="22"/>
        </w:rPr>
      </w:pPr>
    </w:p>
    <w:p w14:paraId="28CF1768" w14:textId="3A61D1E9" w:rsidR="00E84662" w:rsidRPr="008875D9" w:rsidRDefault="008875D9" w:rsidP="00540FD3">
      <w:pPr>
        <w:pStyle w:val="BodyTextIndent"/>
        <w:rPr>
          <w:i/>
        </w:rPr>
      </w:pPr>
      <w:r w:rsidRPr="008875D9">
        <w:rPr>
          <w:i/>
        </w:rPr>
        <w:t xml:space="preserve">Introduction </w:t>
      </w:r>
    </w:p>
    <w:p w14:paraId="410A1203" w14:textId="77777777" w:rsidR="008875D9" w:rsidRDefault="008875D9" w:rsidP="00540FD3">
      <w:pPr>
        <w:pStyle w:val="BodyTextIndent"/>
      </w:pPr>
    </w:p>
    <w:p w14:paraId="4AF13A9C" w14:textId="1230AE90" w:rsidR="00150C23" w:rsidRDefault="0096024F" w:rsidP="00540FD3">
      <w:pPr>
        <w:pStyle w:val="BodyTextIndent"/>
      </w:pPr>
      <w:r>
        <w:t>To answer this question I will focus (</w:t>
      </w:r>
      <w:proofErr w:type="spellStart"/>
      <w:r>
        <w:t>i</w:t>
      </w:r>
      <w:proofErr w:type="spellEnd"/>
      <w:r>
        <w:t xml:space="preserve">) </w:t>
      </w:r>
      <w:r w:rsidR="00540FD3">
        <w:t>notification of creditors</w:t>
      </w:r>
      <w:r w:rsidR="00150C23">
        <w:t xml:space="preserve"> on</w:t>
      </w:r>
      <w:r w:rsidR="00E84662">
        <w:t xml:space="preserve"> the opening o</w:t>
      </w:r>
      <w:r w:rsidR="00150C23">
        <w:t>f insolvency</w:t>
      </w:r>
    </w:p>
    <w:p w14:paraId="1901E66D" w14:textId="77777777" w:rsidR="00A35CE0" w:rsidRDefault="00150C23" w:rsidP="00540FD3">
      <w:pPr>
        <w:pStyle w:val="BodyTextIndent"/>
      </w:pPr>
      <w:r>
        <w:t xml:space="preserve">proceedings </w:t>
      </w:r>
      <w:r w:rsidR="00DF2C60">
        <w:t xml:space="preserve">in other EU Member States, (ii) </w:t>
      </w:r>
      <w:r w:rsidR="00362B84">
        <w:t xml:space="preserve">the establishment and maintenance of </w:t>
      </w:r>
    </w:p>
    <w:p w14:paraId="704111BD" w14:textId="378E6817" w:rsidR="00540FD3" w:rsidRPr="00540FD3" w:rsidRDefault="008875D9" w:rsidP="00540FD3">
      <w:pPr>
        <w:pStyle w:val="BodyTextIndent"/>
      </w:pPr>
      <w:r>
        <w:t>insolvency registers and (iii)</w:t>
      </w:r>
      <w:r w:rsidR="00DF2C60">
        <w:t xml:space="preserve"> </w:t>
      </w:r>
      <w:r>
        <w:t>the insolvency of corporate groups under the EIR Recast</w:t>
      </w:r>
      <w:r w:rsidR="00A13BEA">
        <w:t>.</w:t>
      </w:r>
    </w:p>
    <w:p w14:paraId="438B11DE" w14:textId="77777777" w:rsidR="00540FD3" w:rsidRDefault="00540FD3" w:rsidP="00A13BEA">
      <w:pPr>
        <w:pStyle w:val="BodyTextIndent"/>
        <w:ind w:left="0" w:firstLine="0"/>
      </w:pPr>
    </w:p>
    <w:p w14:paraId="1E6E371B" w14:textId="77777777" w:rsidR="00DD4333" w:rsidRDefault="00DD4333" w:rsidP="00DD4333">
      <w:pPr>
        <w:pStyle w:val="BodyTextIndent"/>
        <w:rPr>
          <w:i/>
        </w:rPr>
      </w:pPr>
      <w:r>
        <w:rPr>
          <w:i/>
        </w:rPr>
        <w:t>Notification of creditors and insolvency registers</w:t>
      </w:r>
    </w:p>
    <w:p w14:paraId="0544D3D7" w14:textId="77777777" w:rsidR="00DD4333" w:rsidRDefault="00DD4333" w:rsidP="00DD4333">
      <w:pPr>
        <w:pStyle w:val="BodyTextIndent"/>
        <w:rPr>
          <w:i/>
        </w:rPr>
      </w:pPr>
    </w:p>
    <w:p w14:paraId="3C7F8817" w14:textId="41D23407" w:rsidR="00DD4333" w:rsidRDefault="00703B3F" w:rsidP="00DD4333">
      <w:pPr>
        <w:pStyle w:val="BodyTextIndent"/>
      </w:pPr>
      <w:r>
        <w:t>1</w:t>
      </w:r>
      <w:r w:rsidR="00DD4333">
        <w:tab/>
        <w:t>Any meaningful and proper vindication of a creditor’s right</w:t>
      </w:r>
      <w:r w:rsidR="0009546B">
        <w:t>s</w:t>
      </w:r>
      <w:r w:rsidR="00DD4333">
        <w:t xml:space="preserve"> to file and prove</w:t>
      </w:r>
      <w:r w:rsidR="0009546B">
        <w:t xml:space="preserve"> claims depends on the creditor</w:t>
      </w:r>
      <w:r w:rsidR="00DD4333">
        <w:t>s</w:t>
      </w:r>
      <w:r w:rsidR="0009546B">
        <w:t>’</w:t>
      </w:r>
      <w:r w:rsidR="00DD4333">
        <w:t xml:space="preserve"> knowledge about the opening of insolvency proceedings.  To achieve this, the EIR Recast prescribes mandatory rules regarding the notification of creditors and establishment of insolvency registers.  It bears mentioning that these rules are regarded as a major improvement when contrasted against</w:t>
      </w:r>
      <w:r w:rsidR="000823CF">
        <w:t xml:space="preserve"> the provisions of the EIR 2000 and should </w:t>
      </w:r>
      <w:r w:rsidR="00D9230D">
        <w:t>stimulate a more efficient administration of insolvency proceedings spanning across several EU Member states.</w:t>
      </w:r>
    </w:p>
    <w:p w14:paraId="0394C1E9" w14:textId="77777777" w:rsidR="00DD4333" w:rsidRDefault="00DD4333" w:rsidP="00DD4333">
      <w:pPr>
        <w:pStyle w:val="BodyTextIndent"/>
      </w:pPr>
    </w:p>
    <w:p w14:paraId="7CDFBC2A" w14:textId="75E4747B" w:rsidR="00DD4333" w:rsidRDefault="00703B3F" w:rsidP="00DD4333">
      <w:pPr>
        <w:pStyle w:val="BodyTextIndent"/>
      </w:pPr>
      <w:r>
        <w:t>2</w:t>
      </w:r>
      <w:r w:rsidR="00DD4333">
        <w:tab/>
        <w:t>In relation t</w:t>
      </w:r>
      <w:r w:rsidR="00B8016C">
        <w:t>o the duty to inform creditors:-</w:t>
      </w:r>
    </w:p>
    <w:p w14:paraId="2E42A420" w14:textId="77777777" w:rsidR="00DD4333" w:rsidRDefault="00DD4333" w:rsidP="00DD4333">
      <w:pPr>
        <w:pStyle w:val="BodyTextIndent"/>
      </w:pPr>
    </w:p>
    <w:p w14:paraId="742CCE40" w14:textId="2A140690" w:rsidR="00D5691D" w:rsidRDefault="00883547" w:rsidP="00DD4333">
      <w:pPr>
        <w:pStyle w:val="BodyTextIndent"/>
        <w:ind w:left="1418" w:hanging="1418"/>
      </w:pPr>
      <w:r>
        <w:t>2</w:t>
      </w:r>
      <w:r w:rsidR="00DD4333">
        <w:t>.1</w:t>
      </w:r>
      <w:r w:rsidR="00DD4333">
        <w:tab/>
      </w:r>
      <w:r w:rsidR="00DD4333">
        <w:tab/>
        <w:t>despite the fact that creditors’ “</w:t>
      </w:r>
      <w:r w:rsidR="00DD4333">
        <w:rPr>
          <w:i/>
        </w:rPr>
        <w:t>knowledge is power</w:t>
      </w:r>
      <w:r w:rsidR="00DD4333">
        <w:t xml:space="preserve">” and thus critical to the efficient and expeditious administration of cross border insolvencies, article 21 of EIR 2000 afforded a liquidator the </w:t>
      </w:r>
      <w:r w:rsidR="00DD4333" w:rsidRPr="00C95F47">
        <w:rPr>
          <w:u w:val="single"/>
        </w:rPr>
        <w:t>discretion</w:t>
      </w:r>
      <w:r w:rsidR="00AE405D">
        <w:t xml:space="preserve"> (as opposed to imposing an obligation)</w:t>
      </w:r>
      <w:r w:rsidR="00DD4333">
        <w:t xml:space="preserve"> to publish information regarding the opening of insolvency proceedings in other member states.  </w:t>
      </w:r>
      <w:r w:rsidR="001063EE">
        <w:t xml:space="preserve">This means that the liquidator could in certain circumstances exercise his discretion </w:t>
      </w:r>
      <w:r w:rsidR="00AC5DFE">
        <w:t xml:space="preserve">and </w:t>
      </w:r>
      <w:r w:rsidR="00D5691D">
        <w:t xml:space="preserve">permissibly </w:t>
      </w:r>
      <w:r w:rsidR="00AC5DFE">
        <w:t xml:space="preserve">not publish information regarding the opening of insolvency proceedings in other member states and thereby </w:t>
      </w:r>
      <w:r w:rsidR="00D70B12">
        <w:t xml:space="preserve">prejudicially </w:t>
      </w:r>
      <w:r w:rsidR="00AC5DFE">
        <w:t>deprive creditors of</w:t>
      </w:r>
      <w:r w:rsidR="00C5342C">
        <w:t xml:space="preserve"> </w:t>
      </w:r>
      <w:r w:rsidR="00D70B12">
        <w:t xml:space="preserve">the </w:t>
      </w:r>
      <w:r w:rsidR="002F52C7">
        <w:t xml:space="preserve">critical </w:t>
      </w:r>
      <w:r w:rsidR="00C5342C">
        <w:t xml:space="preserve">information </w:t>
      </w:r>
      <w:r w:rsidR="002F52C7">
        <w:t>without which</w:t>
      </w:r>
      <w:r w:rsidR="00D5691D">
        <w:t xml:space="preserve"> they</w:t>
      </w:r>
      <w:r w:rsidR="002F52C7">
        <w:t xml:space="preserve"> would not know when, how and where </w:t>
      </w:r>
      <w:r w:rsidR="00DF4207">
        <w:t>to lodge and prove claims in the estate of the foreign debtor concerned</w:t>
      </w:r>
      <w:r w:rsidR="00B8016C">
        <w:t>;</w:t>
      </w:r>
      <w:r w:rsidR="00AC5DFE">
        <w:t xml:space="preserve"> </w:t>
      </w:r>
    </w:p>
    <w:p w14:paraId="4906B810" w14:textId="77777777" w:rsidR="00D5691D" w:rsidRDefault="00D5691D" w:rsidP="00DD4333">
      <w:pPr>
        <w:pStyle w:val="BodyTextIndent"/>
        <w:ind w:left="1418" w:hanging="1418"/>
      </w:pPr>
    </w:p>
    <w:p w14:paraId="4D9F25AF" w14:textId="72318CDD" w:rsidR="00DD4333" w:rsidRDefault="00B8016C" w:rsidP="00B8016C">
      <w:pPr>
        <w:pStyle w:val="BodyTextIndent"/>
        <w:ind w:left="1418" w:hanging="1418"/>
      </w:pPr>
      <w:r>
        <w:t>2.2</w:t>
      </w:r>
      <w:r>
        <w:tab/>
        <w:t>o</w:t>
      </w:r>
      <w:r w:rsidR="00DD4333">
        <w:t xml:space="preserve">n the other hand, the EIR Recast is (or at least appears to be) mindful of the need for information pertaining to the opening of cross border insolvencies to be publicised.  That is why article 28(1) of the EIR Recast </w:t>
      </w:r>
      <w:r w:rsidR="00DD4333" w:rsidRPr="008F7B6F">
        <w:rPr>
          <w:u w:val="single"/>
        </w:rPr>
        <w:t>requires</w:t>
      </w:r>
      <w:r w:rsidR="002A7B98">
        <w:t xml:space="preserve"> (thus imposes a legal duty on)</w:t>
      </w:r>
      <w:r w:rsidR="00DD4333">
        <w:t xml:space="preserve"> an insolvency practitioner or debtors in possession to request the publication of the notice on the opening of insolvency proceedings, whether main or secondary, at the place of the debtor’s </w:t>
      </w:r>
      <w:r w:rsidR="00DD4333">
        <w:lastRenderedPageBreak/>
        <w:t>establishment in accordance with the publication procedures provided for i</w:t>
      </w:r>
      <w:r w:rsidR="00F623ED">
        <w:t>n that member state.  This</w:t>
      </w:r>
      <w:r w:rsidR="00DD4333">
        <w:t xml:space="preserve"> obligation stems from the presumption that the debtor’s establishment coincides with the location of a number of its creditors.  The publication must specify where necessary the name of the insolvency practitioner appointed and whether the opened </w:t>
      </w:r>
      <w:r w:rsidR="002D2637">
        <w:t>proceeding is main or secondary;</w:t>
      </w:r>
    </w:p>
    <w:p w14:paraId="6D757E0B" w14:textId="77777777" w:rsidR="00DD4333" w:rsidRDefault="00DD4333" w:rsidP="00DD4333">
      <w:pPr>
        <w:pStyle w:val="BodyTextIndent"/>
      </w:pPr>
    </w:p>
    <w:p w14:paraId="4F71532C" w14:textId="3DC802D9" w:rsidR="00DD4333" w:rsidRDefault="002D2637" w:rsidP="009A70EF">
      <w:pPr>
        <w:pStyle w:val="BodyTextIndent"/>
        <w:ind w:left="1418" w:hanging="1418"/>
      </w:pPr>
      <w:r>
        <w:t>2.3</w:t>
      </w:r>
      <w:r w:rsidR="00DD4333">
        <w:tab/>
      </w:r>
      <w:r w:rsidR="009A70EF">
        <w:tab/>
      </w:r>
      <w:r w:rsidR="00DD4333">
        <w:t>Article 28(2) EIR Recast provides that the insolvency practitioner or the debtor in possession may also request the publication in any other member state, if they deem it necessary or beneficial for the proper administration of the insolvency estate, for instance where the debtor has a significant number of assets or</w:t>
      </w:r>
      <w:r w:rsidR="009A70EF">
        <w:t xml:space="preserve"> creditors in that member state;</w:t>
      </w:r>
    </w:p>
    <w:p w14:paraId="49909D78" w14:textId="77777777" w:rsidR="00DD4333" w:rsidRDefault="00DD4333" w:rsidP="00DD4333">
      <w:pPr>
        <w:pStyle w:val="BodyTextIndent"/>
      </w:pPr>
    </w:p>
    <w:p w14:paraId="4BF5E04E" w14:textId="655F4639" w:rsidR="00DD4333" w:rsidRDefault="009A70EF" w:rsidP="009A70EF">
      <w:pPr>
        <w:pStyle w:val="BodyTextIndent"/>
        <w:ind w:left="1418" w:hanging="1418"/>
      </w:pPr>
      <w:r>
        <w:t>2.4</w:t>
      </w:r>
      <w:r w:rsidR="00DD4333">
        <w:tab/>
      </w:r>
      <w:r>
        <w:tab/>
      </w:r>
      <w:r w:rsidR="00DD4333">
        <w:t xml:space="preserve">Article 54 EIR Recast </w:t>
      </w:r>
      <w:r w:rsidR="00D061DE">
        <w:rPr>
          <w:u w:val="single"/>
        </w:rPr>
        <w:t>forces</w:t>
      </w:r>
      <w:r w:rsidR="00DD4333">
        <w:t xml:space="preserve"> the court </w:t>
      </w:r>
      <w:r w:rsidR="00534466">
        <w:t>opening</w:t>
      </w:r>
      <w:r w:rsidR="00DD4333">
        <w:t xml:space="preserve"> the insolvency proceedings or the insolvency practitioner appointed by such court to immediately inform the known foreign creditors as soon as insolvency proceedings are opened.  The requirement to separately inform foreign creditors arises from challenges and impediments typically faced by foreign creditors – i.e. language, procedure and lack of information in relation to the foreign insolvencies.</w:t>
      </w:r>
      <w:r w:rsidR="00BB738F">
        <w:t xml:space="preserve"> As stated above, without this critical information the foreign creditors would not know </w:t>
      </w:r>
      <w:r w:rsidR="006429A0">
        <w:t>when, how and where to lodge and prove claims in the estate of the foreign debtor concerned;</w:t>
      </w:r>
    </w:p>
    <w:p w14:paraId="32AAF6C4" w14:textId="77777777" w:rsidR="00DD4333" w:rsidRDefault="00DD4333" w:rsidP="00DD4333">
      <w:pPr>
        <w:pStyle w:val="BodyTextIndent"/>
      </w:pPr>
    </w:p>
    <w:p w14:paraId="63C97C4A" w14:textId="4CB301D0" w:rsidR="00DD4333" w:rsidRDefault="006429A0" w:rsidP="006429A0">
      <w:pPr>
        <w:pStyle w:val="BodyTextIndent"/>
        <w:ind w:left="1418" w:hanging="1418"/>
      </w:pPr>
      <w:r>
        <w:t>2.5</w:t>
      </w:r>
      <w:r w:rsidR="00DD4333">
        <w:tab/>
      </w:r>
      <w:r>
        <w:tab/>
        <w:t>i</w:t>
      </w:r>
      <w:r w:rsidR="00DD4333">
        <w:t>mportantly</w:t>
      </w:r>
      <w:r>
        <w:t>,</w:t>
      </w:r>
      <w:r w:rsidR="00DD4333">
        <w:t xml:space="preserve"> the information in the creditors notices must include time limits for the lodging of claims, the penalties set out in relation to those time bars, the body or authority empowered to accept the lodgement of claims and any other measures.  Such notice is also required to set out the ranking of creditors’ claims and include a copy of the standard form for the lodging of claims referred to in article 55 EIR Recast or information</w:t>
      </w:r>
      <w:r w:rsidR="003163B7">
        <w:t xml:space="preserve"> whether that form is available;</w:t>
      </w:r>
      <w:r w:rsidR="007B390C">
        <w:t xml:space="preserve"> and</w:t>
      </w:r>
    </w:p>
    <w:p w14:paraId="43B220D6" w14:textId="77777777" w:rsidR="00DD4333" w:rsidRDefault="00DD4333" w:rsidP="00DD4333">
      <w:pPr>
        <w:pStyle w:val="BodyTextIndent"/>
      </w:pPr>
    </w:p>
    <w:p w14:paraId="23A2988C" w14:textId="13B35387" w:rsidR="00DD4333" w:rsidRDefault="006C59A7" w:rsidP="006C59A7">
      <w:pPr>
        <w:pStyle w:val="BodyTextIndent"/>
        <w:ind w:left="1418" w:hanging="1418"/>
      </w:pPr>
      <w:r>
        <w:t>2.6</w:t>
      </w:r>
      <w:r w:rsidR="00DD4333">
        <w:tab/>
      </w:r>
      <w:r>
        <w:tab/>
        <w:t>i</w:t>
      </w:r>
      <w:r w:rsidR="00DD4333">
        <w:t>n relation to the procedure for informing creditors, article 54(2) EIR Recast refers to the use of individual notices, whilst article 54(3) EIR Recast stipulates the information must be furnished in terms of the standard notice form that must be published in the European e-Justice portal.  Others are of the view that before the European e-Justice portal becomes fully operational, the procedures for publishing the relevant information is left to the applicable national law and will result in individual letters and/or emails sent to creditors.  I agree with this.</w:t>
      </w:r>
    </w:p>
    <w:p w14:paraId="2FC2EE6E" w14:textId="77777777" w:rsidR="00DD4333" w:rsidRDefault="00DD4333" w:rsidP="00DD4333">
      <w:pPr>
        <w:pStyle w:val="BodyTextIndent"/>
      </w:pPr>
    </w:p>
    <w:p w14:paraId="6441B4F2" w14:textId="666B947A" w:rsidR="00DD4333" w:rsidRDefault="00782486" w:rsidP="00DD4333">
      <w:pPr>
        <w:pStyle w:val="BodyTextIndent"/>
      </w:pPr>
      <w:r>
        <w:t>3</w:t>
      </w:r>
      <w:r w:rsidR="00DD4333">
        <w:tab/>
        <w:t>In relation to insolvency registers:-</w:t>
      </w:r>
    </w:p>
    <w:p w14:paraId="47C79097" w14:textId="77777777" w:rsidR="00DD4333" w:rsidRDefault="00DD4333" w:rsidP="00DD4333">
      <w:pPr>
        <w:pStyle w:val="BodyTextIndent"/>
      </w:pPr>
    </w:p>
    <w:p w14:paraId="4E02C12E" w14:textId="5DFC9CA0" w:rsidR="00DD4333" w:rsidRDefault="00782486" w:rsidP="00DD4333">
      <w:pPr>
        <w:pStyle w:val="BodyTextIndent"/>
        <w:ind w:left="1418" w:hanging="1418"/>
      </w:pPr>
      <w:r>
        <w:t>3</w:t>
      </w:r>
      <w:r w:rsidR="00DD4333">
        <w:t>.1</w:t>
      </w:r>
      <w:r w:rsidR="00DD4333">
        <w:tab/>
      </w:r>
      <w:r w:rsidR="00DD4333">
        <w:tab/>
        <w:t>it cannot be disputed that the efficient functioning of cross border insolvency proceedings depends on meaningful and proper communication between insolvency practitioners, courts and creditors.  Specifically, a court opening insolvency proceedings needs to know whether the debtor is already subject to insolvency proceedings in another member state.  Under the EIR 2000, every member state had its own insolvency registration system, which did not always work adequately and the interconnectedness of the</w:t>
      </w:r>
      <w:r w:rsidR="00A11A16">
        <w:t>se registers was not e</w:t>
      </w:r>
      <w:r w:rsidR="00DD4333">
        <w:t>nsured;</w:t>
      </w:r>
    </w:p>
    <w:p w14:paraId="5AB9D0C2" w14:textId="77777777" w:rsidR="00DD4333" w:rsidRDefault="00DD4333" w:rsidP="00DD4333">
      <w:pPr>
        <w:pStyle w:val="BodyTextIndent"/>
        <w:ind w:left="1418" w:hanging="1418"/>
      </w:pPr>
    </w:p>
    <w:p w14:paraId="258A9485" w14:textId="2F4DB31A" w:rsidR="00DD4333" w:rsidRDefault="00177EAB" w:rsidP="00DD4333">
      <w:pPr>
        <w:pStyle w:val="BodyTextIndent"/>
        <w:ind w:left="1418" w:hanging="1418"/>
      </w:pPr>
      <w:r>
        <w:t>3</w:t>
      </w:r>
      <w:r w:rsidR="00DD4333">
        <w:t>.2</w:t>
      </w:r>
      <w:r w:rsidR="00DD4333">
        <w:tab/>
      </w:r>
      <w:r w:rsidR="00DD4333">
        <w:tab/>
        <w:t xml:space="preserve">on the other hand, the EIR Recast made some significant improvements on this score.  Article 24 EIR Recast stipulates that member states must establish and maintain in their territory one or several registers in which information concerning insolvency proceedings is published.  That information </w:t>
      </w:r>
      <w:r w:rsidR="00DD4333">
        <w:lastRenderedPageBreak/>
        <w:t>is required to be published as soon as possible after the opening of such proceedings.  The EIR Recast sets out the minimum information which is required to be published in the insolvency registers.  For example, it includes the date of the opening of insolvency proceedings, the court that opened the insolvency proceedings, the type of insolvency proceeding (main or secondary), the debtor’s name, registration number, registered office, the name, postal address or email of the insolvency practitioner and the like;</w:t>
      </w:r>
    </w:p>
    <w:p w14:paraId="50707753" w14:textId="77777777" w:rsidR="00DD4333" w:rsidRDefault="00DD4333" w:rsidP="00DD4333">
      <w:pPr>
        <w:pStyle w:val="BodyTextIndent"/>
        <w:ind w:left="1418" w:hanging="1418"/>
      </w:pPr>
    </w:p>
    <w:p w14:paraId="059E9029" w14:textId="6D173F1C" w:rsidR="00DD4333" w:rsidRDefault="001C4EEB" w:rsidP="00DD4333">
      <w:pPr>
        <w:pStyle w:val="BodyTextIndent"/>
        <w:ind w:left="1418" w:hanging="1418"/>
      </w:pPr>
      <w:r>
        <w:t>3</w:t>
      </w:r>
      <w:r w:rsidR="00DD4333">
        <w:t>.3</w:t>
      </w:r>
      <w:r w:rsidR="00DD4333">
        <w:tab/>
      </w:r>
      <w:r w:rsidR="00DD4333">
        <w:tab/>
        <w:t>it is critical that creditors become or are made aware of information pertaining to the opening of foreign insolvency proceedings as they have (or may have) a vested interest in those proceedings.  For example, they need to know how, where and when to lodge claims.  They also need to know the consequences of failing to timeously lodge their claims.  Without notice and information to creditors, they can never be an efficient and effective administration of cross border insolvency proceedings which treats all creditors equally.  For example, foreign creditors who are deprived of the relevant information they need for purposes of proving claims may be prejudiced, whilst local creditors may be in an advantageous position as they are most likely to have all the information they need to prove claims.</w:t>
      </w:r>
    </w:p>
    <w:p w14:paraId="07DF1C3C" w14:textId="77777777" w:rsidR="00E109CC" w:rsidRDefault="00E109CC" w:rsidP="00DD4333">
      <w:pPr>
        <w:pStyle w:val="BodyTextIndent"/>
        <w:ind w:left="1418" w:hanging="1418"/>
      </w:pPr>
    </w:p>
    <w:p w14:paraId="154AE97D" w14:textId="7FCB4F04" w:rsidR="00E109CC" w:rsidRPr="00E109CC" w:rsidRDefault="00E109CC" w:rsidP="00DD4333">
      <w:pPr>
        <w:pStyle w:val="BodyTextIndent"/>
        <w:ind w:left="1418" w:hanging="1418"/>
        <w:rPr>
          <w:i/>
        </w:rPr>
      </w:pPr>
      <w:r w:rsidRPr="00E109CC">
        <w:rPr>
          <w:i/>
        </w:rPr>
        <w:t>The insolvency of corporate groups under the EIR Recast</w:t>
      </w:r>
    </w:p>
    <w:p w14:paraId="2F0D22AD" w14:textId="77777777" w:rsidR="00DD4333" w:rsidRDefault="00DD4333" w:rsidP="00DD4333">
      <w:pPr>
        <w:pStyle w:val="BodyTextIndent"/>
        <w:ind w:left="1418" w:hanging="1418"/>
      </w:pPr>
    </w:p>
    <w:p w14:paraId="25F82004" w14:textId="287D3C80" w:rsidR="00DD4333" w:rsidRDefault="00150BFF" w:rsidP="00DD4333">
      <w:pPr>
        <w:pStyle w:val="BodyTextIndent"/>
      </w:pPr>
      <w:r>
        <w:t>4</w:t>
      </w:r>
      <w:r w:rsidR="00DD4333">
        <w:tab/>
        <w:t>In relation to the insolvency of corporate groups under the EIR Recast:-</w:t>
      </w:r>
    </w:p>
    <w:p w14:paraId="3AF0F2C6" w14:textId="77777777" w:rsidR="00DD4333" w:rsidRDefault="00DD4333" w:rsidP="00DD4333">
      <w:pPr>
        <w:pStyle w:val="BodyTextIndent"/>
      </w:pPr>
    </w:p>
    <w:p w14:paraId="489E6E0C" w14:textId="1DFD6EF8" w:rsidR="00DD4333" w:rsidRDefault="00150BFF" w:rsidP="00DD4333">
      <w:pPr>
        <w:pStyle w:val="BodyTextIndent"/>
        <w:ind w:left="1418" w:hanging="1418"/>
      </w:pPr>
      <w:r>
        <w:t>4</w:t>
      </w:r>
      <w:r w:rsidR="00DD4333">
        <w:t>.1</w:t>
      </w:r>
      <w:r w:rsidR="00DD4333">
        <w:tab/>
      </w:r>
      <w:r w:rsidR="00DD4333">
        <w:tab/>
        <w:t xml:space="preserve">it bears flagging that the deficiency of provisions dealing with insolvency of multinational enterprise groups in the EIR 2000 was regarded as a significant weakness.  It is a weakness because a large number of cross border insolvencies in the EU involves groups of related companies.  The entity by entity approach which prevailed under the EIR 2000 dispensation is generally regarded as inhibiting any prospects of restructuring a group of companies as a whole and often leads to breakups into different parts.  Fortunately, the EIR Recast is alive to this problem.  To address </w:t>
      </w:r>
      <w:r w:rsidR="00312063">
        <w:t>it</w:t>
      </w:r>
      <w:r w:rsidR="00DD4333">
        <w:t>, the EIR Recas</w:t>
      </w:r>
      <w:r w:rsidR="00312063">
        <w:t>t introduced the whole chapter V</w:t>
      </w:r>
      <w:r w:rsidR="00DD4333">
        <w:t xml:space="preserve"> specifically dedicated to group insolvencies and has more than 20 articles thereunder.  It also added a new important recital 53 addressing the possibility of jurisdictional consolidation.  Although the COMIs of members of a corporate group still have to be determined separately for each group member, the EIR Recast reserves the possibility for a court to open insolvency proceedings for several companies belonging to the same group in a single jurisdiction if that court finds that COMIs of those companies are loc</w:t>
      </w:r>
      <w:r w:rsidR="004928DC">
        <w:t>ated in a single member state (R</w:t>
      </w:r>
      <w:r w:rsidR="00DD4333">
        <w:t>ecital 53 EIR Recast).  Importantly, in such a case, the court should be able to appoint, if appropriate, the same insolvency practitioner in all the proceedings concerned, provided this is not incompatible with the rules applicable to them.  Bringing members of a corporate group into a single jurisdiction, even with the applicable restrictions (i.e. entity by entity COMI determination), can significantly reduce transaction costs arising from multiple insolvency proceedings and enhance the chances of a successful rescue of a group as a whole.  It is argued that the solution offered in recital 53 is both practical and flexible and has been used in the past.  I cannot disagree with this proposition.</w:t>
      </w:r>
    </w:p>
    <w:p w14:paraId="00F08D38" w14:textId="77777777" w:rsidR="00DD4333" w:rsidRDefault="00DD4333" w:rsidP="00DD4333">
      <w:pPr>
        <w:pStyle w:val="BodyTextIndent"/>
      </w:pPr>
    </w:p>
    <w:p w14:paraId="27663C11" w14:textId="0CD862C3" w:rsidR="00DD4333" w:rsidRDefault="000861A2" w:rsidP="000861A2">
      <w:pPr>
        <w:pStyle w:val="BodyTextIndent"/>
        <w:ind w:left="1418" w:hanging="1418"/>
      </w:pPr>
      <w:r>
        <w:t>4.2</w:t>
      </w:r>
      <w:r w:rsidR="00DD4333">
        <w:tab/>
      </w:r>
      <w:r>
        <w:tab/>
      </w:r>
      <w:r w:rsidR="00DD4333">
        <w:t xml:space="preserve">Recital 51 provides that the EIR Recast aims at achieving the efficient administration of insolvency proceedings relating to different companies forming part of a group of companies.  </w:t>
      </w: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lastRenderedPageBreak/>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2A37706D" w14:textId="310C51A8" w:rsidR="00851E06" w:rsidRDefault="00851E06" w:rsidP="00851E06">
      <w:pPr>
        <w:pStyle w:val="BodyTextIndent"/>
      </w:pPr>
      <w:r>
        <w:t>1</w:t>
      </w:r>
      <w:r>
        <w:tab/>
      </w:r>
      <w:r w:rsidR="000820A0">
        <w:t xml:space="preserve">To answer this question I will focus on </w:t>
      </w:r>
      <w:r>
        <w:t>g</w:t>
      </w:r>
      <w:r w:rsidR="00F300F4">
        <w:t>roup coordination proceedings:-</w:t>
      </w:r>
    </w:p>
    <w:p w14:paraId="68F7AAC0" w14:textId="77777777" w:rsidR="00851E06" w:rsidRDefault="00851E06" w:rsidP="00851E06">
      <w:pPr>
        <w:pStyle w:val="BodyTextIndent"/>
      </w:pPr>
    </w:p>
    <w:p w14:paraId="005E7C31" w14:textId="23BD41D2" w:rsidR="00851E06" w:rsidRDefault="00F300F4" w:rsidP="00F70E85">
      <w:pPr>
        <w:pStyle w:val="BodyTextIndent"/>
        <w:ind w:left="1418" w:hanging="1418"/>
      </w:pPr>
      <w:r>
        <w:t>1.1</w:t>
      </w:r>
      <w:r>
        <w:tab/>
      </w:r>
      <w:r w:rsidR="00851E06">
        <w:t>one first needs to explain what group coordination proceedings entail before the problems arising in relation thereto can be properly canvassed.  In order to improve the coordination of insolvency proceedings of members of a group of companies and to allow for a coordinated restructuring of the group, the EIR Recast interestingly introduces procedural rules on the coordination of the insolvency proceedings of members of an enterprise group.  Those</w:t>
      </w:r>
      <w:r w:rsidR="00F70E85">
        <w:t xml:space="preserve"> rules aim to ensure efficiency of the coordination whilst at the same time respecting each group member’s separate legal personality (recital 54 EIR Recast);</w:t>
      </w:r>
    </w:p>
    <w:p w14:paraId="35BACCB1" w14:textId="77777777" w:rsidR="00F70E85" w:rsidRDefault="00F70E85" w:rsidP="00F70E85">
      <w:pPr>
        <w:pStyle w:val="BodyTextIndent"/>
        <w:ind w:left="1418"/>
      </w:pPr>
    </w:p>
    <w:p w14:paraId="1B2E768A" w14:textId="31C8E261" w:rsidR="00F70E85" w:rsidRDefault="00F70E85" w:rsidP="00F70E85">
      <w:pPr>
        <w:pStyle w:val="BodyTextIndent"/>
        <w:ind w:left="1418" w:hanging="1418"/>
      </w:pPr>
      <w:r>
        <w:t>1.2</w:t>
      </w:r>
      <w:r>
        <w:tab/>
      </w:r>
      <w:r>
        <w:tab/>
        <w:t>EIR Recast thus</w:t>
      </w:r>
      <w:r w:rsidR="00E07E64">
        <w:t xml:space="preserve"> provides for “</w:t>
      </w:r>
      <w:r w:rsidR="00E07E64">
        <w:rPr>
          <w:i/>
        </w:rPr>
        <w:t>group coordination proceedings</w:t>
      </w:r>
      <w:r w:rsidR="00E07E64" w:rsidRPr="00E07E64">
        <w:t>”, which are voluntary in nature, for the member of the group to be included in the group coordinati</w:t>
      </w:r>
      <w:r w:rsidR="00AA172D">
        <w:t>on</w:t>
      </w:r>
      <w:r w:rsidR="00E07E64" w:rsidRPr="00E07E64">
        <w:t xml:space="preserve"> proceedings.  Moreover, these proceedings lead to non-binding actions (</w:t>
      </w:r>
      <w:proofErr w:type="spellStart"/>
      <w:r w:rsidR="00E07E64" w:rsidRPr="00E07E64">
        <w:t>i.e</w:t>
      </w:r>
      <w:proofErr w:type="spellEnd"/>
      <w:r w:rsidR="00E07E64" w:rsidRPr="00E07E64">
        <w:t xml:space="preserve"> recommendations) of a group coordinator</w:t>
      </w:r>
      <w:r w:rsidR="00AA172D">
        <w:t>.  It is for these reasons that the new rules on group insolvency have evoked a mixed reception in legal literature, with the majority of authors expressing doubts as to their effectiveness and practical value, as well as to the high costs the group coordination proceedings may bring to them and their complex character.</w:t>
      </w:r>
      <w:r w:rsidR="00837593">
        <w:t xml:space="preserve">  Further problems may arise if the corporate group has members located in non-member states, meaning that the EIR Recast will not bind courts and insolvency practitioners in such non-member state proceedings in that the latter cannot form part of the group coordination proceedings;</w:t>
      </w:r>
    </w:p>
    <w:p w14:paraId="6B36D651" w14:textId="77777777" w:rsidR="00837593" w:rsidRDefault="00837593" w:rsidP="00F70E85">
      <w:pPr>
        <w:pStyle w:val="BodyTextIndent"/>
        <w:ind w:left="1418" w:hanging="1418"/>
      </w:pPr>
    </w:p>
    <w:p w14:paraId="02A16DF2" w14:textId="4ED0898A" w:rsidR="00837593" w:rsidRPr="00E07E64" w:rsidRDefault="00837593" w:rsidP="00F70E85">
      <w:pPr>
        <w:pStyle w:val="BodyTextIndent"/>
        <w:ind w:left="1418" w:hanging="1418"/>
      </w:pPr>
      <w:r>
        <w:t>1.3</w:t>
      </w:r>
      <w:r>
        <w:tab/>
      </w:r>
      <w:r w:rsidR="0002331E">
        <w:t>the other the significant</w:t>
      </w:r>
      <w:r w:rsidR="0086132A">
        <w:t xml:space="preserve"> shortcoming or deficiency in the EIR Recast group coordination dispensation is the right of every insolvency practitioner concerned to object against the inclusion within group coordination proceedings of insolvency proceedings in respect of which he</w:t>
      </w:r>
      <w:r w:rsidR="00F42252">
        <w:t>/she has been appointed (article 64(1) EIR Recast).  That article does not expressly require insolvency practitioners to give reasons for their objection. The problem with this is that</w:t>
      </w:r>
      <w:r w:rsidR="006B385C">
        <w:t xml:space="preserve"> it gives room for practitioners to object arbitrarily, inappropriately to the prejudice of the group member concerned and by extension its creditors and other stakehol</w:t>
      </w:r>
      <w:r w:rsidR="00912EC1">
        <w:t xml:space="preserve">ders.  This flaw can be remedied by </w:t>
      </w:r>
      <w:r w:rsidR="00CC7F5C">
        <w:t xml:space="preserve">subjecting </w:t>
      </w:r>
      <w:r w:rsidR="00912EC1">
        <w:t>the right of every insolvency practitioner concerned to object against the inclusion within group coordination proceedings of insolvency proceedings in respect of which he/she has been appointed</w:t>
      </w:r>
      <w:r w:rsidR="00CC7F5C">
        <w:t xml:space="preserve"> to a condition that such right maybe exercised on good cause show</w:t>
      </w:r>
      <w:r w:rsidR="008674F8">
        <w:t xml:space="preserve">n, which must include a demonstration by the IP in question that the objection is not exercised arbitrarily and to the prejudice of one or more of the stakeholders </w:t>
      </w:r>
      <w:r w:rsidR="0016139E">
        <w:t>who have in interest ins</w:t>
      </w:r>
      <w:r w:rsidR="00B75079">
        <w:t>olvency proceedings sought to be included within group coordination proceedings</w:t>
      </w:r>
      <w:r w:rsidR="0090046C">
        <w:t>.</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t>
      </w:r>
      <w:r w:rsidRPr="008500BD">
        <w:rPr>
          <w:rFonts w:ascii="Arial" w:hAnsi="Arial" w:cs="Arial"/>
          <w:sz w:val="22"/>
          <w:szCs w:val="22"/>
          <w:lang w:val="en-GB"/>
        </w:rPr>
        <w:lastRenderedPageBreak/>
        <w:t xml:space="preserve">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D37BBBB" w14:textId="1519BF9A" w:rsidR="002F75A3" w:rsidRDefault="00BC6CC7" w:rsidP="00010BA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w:t>
      </w:r>
      <w:r w:rsidR="00010BAB">
        <w:rPr>
          <w:rFonts w:ascii="Arial" w:hAnsi="Arial" w:cs="Arial"/>
          <w:color w:val="7B7B7B" w:themeColor="accent3" w:themeShade="BF"/>
          <w:sz w:val="22"/>
          <w:szCs w:val="22"/>
          <w:lang w:val="en-GB"/>
        </w:rPr>
        <w:t>e EIR 2000 designates the member state the court</w:t>
      </w:r>
      <w:r w:rsidR="00280A9E">
        <w:rPr>
          <w:rFonts w:ascii="Arial" w:hAnsi="Arial" w:cs="Arial"/>
          <w:color w:val="7B7B7B" w:themeColor="accent3" w:themeShade="BF"/>
          <w:sz w:val="22"/>
          <w:szCs w:val="22"/>
          <w:lang w:val="en-GB"/>
        </w:rPr>
        <w:t>s</w:t>
      </w:r>
      <w:r w:rsidR="00010BAB">
        <w:rPr>
          <w:rFonts w:ascii="Arial" w:hAnsi="Arial" w:cs="Arial"/>
          <w:color w:val="7B7B7B" w:themeColor="accent3" w:themeShade="BF"/>
          <w:sz w:val="22"/>
          <w:szCs w:val="22"/>
          <w:lang w:val="en-GB"/>
        </w:rPr>
        <w:t xml:space="preserve"> of which may open insolvency proceedings</w:t>
      </w:r>
      <w:r w:rsidR="00280A9E">
        <w:rPr>
          <w:rFonts w:ascii="Arial" w:hAnsi="Arial" w:cs="Arial"/>
          <w:color w:val="7B7B7B" w:themeColor="accent3" w:themeShade="BF"/>
          <w:sz w:val="22"/>
          <w:szCs w:val="22"/>
          <w:lang w:val="en-GB"/>
        </w:rPr>
        <w:t>.</w:t>
      </w:r>
    </w:p>
    <w:p w14:paraId="4E25A437" w14:textId="77777777" w:rsidR="00280A9E" w:rsidRDefault="00280A9E" w:rsidP="00010BAB">
      <w:pPr>
        <w:ind w:left="720" w:hanging="720"/>
        <w:jc w:val="both"/>
        <w:rPr>
          <w:rFonts w:ascii="Arial" w:hAnsi="Arial" w:cs="Arial"/>
          <w:color w:val="7B7B7B" w:themeColor="accent3" w:themeShade="BF"/>
          <w:sz w:val="22"/>
          <w:szCs w:val="22"/>
          <w:lang w:val="en-GB"/>
        </w:rPr>
      </w:pPr>
    </w:p>
    <w:p w14:paraId="17D846D2" w14:textId="17AC1EA7" w:rsidR="00280A9E" w:rsidRDefault="00280A9E" w:rsidP="00010BA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006B5DC5">
        <w:rPr>
          <w:rFonts w:ascii="Arial" w:hAnsi="Arial" w:cs="Arial"/>
          <w:color w:val="7B7B7B" w:themeColor="accent3" w:themeShade="BF"/>
          <w:sz w:val="22"/>
          <w:szCs w:val="22"/>
          <w:lang w:val="en-GB"/>
        </w:rPr>
        <w:t xml:space="preserve">The Strasbourg court does have jurisdiction to open </w:t>
      </w:r>
      <w:r w:rsidR="003D056F">
        <w:rPr>
          <w:rFonts w:ascii="Arial" w:hAnsi="Arial" w:cs="Arial"/>
          <w:color w:val="7B7B7B" w:themeColor="accent3" w:themeShade="BF"/>
          <w:sz w:val="22"/>
          <w:szCs w:val="22"/>
          <w:lang w:val="en-GB"/>
        </w:rPr>
        <w:t>the insolvency proceeding concerned</w:t>
      </w:r>
      <w:r w:rsidR="006D6CAE">
        <w:rPr>
          <w:rFonts w:ascii="Arial" w:hAnsi="Arial" w:cs="Arial"/>
          <w:color w:val="7B7B7B" w:themeColor="accent3" w:themeShade="BF"/>
          <w:sz w:val="22"/>
          <w:szCs w:val="22"/>
          <w:lang w:val="en-GB"/>
        </w:rPr>
        <w:t xml:space="preserve"> because PAJ was registered in France and opened its first store in Strasbourg</w:t>
      </w:r>
      <w:r w:rsidR="00F7619F">
        <w:rPr>
          <w:rFonts w:ascii="Arial" w:hAnsi="Arial" w:cs="Arial"/>
          <w:color w:val="7B7B7B" w:themeColor="accent3" w:themeShade="BF"/>
          <w:sz w:val="22"/>
          <w:szCs w:val="22"/>
          <w:lang w:val="en-GB"/>
        </w:rPr>
        <w:t xml:space="preserve">. </w:t>
      </w:r>
      <w:r w:rsidR="002327D4">
        <w:rPr>
          <w:rFonts w:ascii="Arial" w:hAnsi="Arial" w:cs="Arial"/>
          <w:color w:val="7B7B7B" w:themeColor="accent3" w:themeShade="BF"/>
          <w:sz w:val="22"/>
          <w:szCs w:val="22"/>
          <w:lang w:val="en-GB"/>
        </w:rPr>
        <w:t xml:space="preserve">Whether such proceeding shall be main or secondary depends </w:t>
      </w:r>
      <w:r w:rsidR="00312A58">
        <w:rPr>
          <w:rFonts w:ascii="Arial" w:hAnsi="Arial" w:cs="Arial"/>
          <w:color w:val="7B7B7B" w:themeColor="accent3" w:themeShade="BF"/>
          <w:sz w:val="22"/>
          <w:szCs w:val="22"/>
          <w:lang w:val="en-GB"/>
        </w:rPr>
        <w:t xml:space="preserve">on </w:t>
      </w:r>
      <w:r w:rsidR="002D0334">
        <w:rPr>
          <w:rFonts w:ascii="Arial" w:hAnsi="Arial" w:cs="Arial"/>
          <w:color w:val="7B7B7B" w:themeColor="accent3" w:themeShade="BF"/>
          <w:sz w:val="22"/>
          <w:szCs w:val="22"/>
          <w:lang w:val="en-GB"/>
        </w:rPr>
        <w:t xml:space="preserve">whether there was a </w:t>
      </w:r>
      <w:r w:rsidR="005F574A">
        <w:rPr>
          <w:rFonts w:ascii="Arial" w:hAnsi="Arial" w:cs="Arial"/>
          <w:color w:val="7B7B7B" w:themeColor="accent3" w:themeShade="BF"/>
          <w:sz w:val="22"/>
          <w:szCs w:val="22"/>
          <w:lang w:val="en-GB"/>
        </w:rPr>
        <w:t xml:space="preserve">COMI in Strasbourg </w:t>
      </w:r>
      <w:r w:rsidR="00C66F94">
        <w:rPr>
          <w:rFonts w:ascii="Arial" w:hAnsi="Arial" w:cs="Arial"/>
          <w:color w:val="7B7B7B" w:themeColor="accent3" w:themeShade="BF"/>
          <w:sz w:val="22"/>
          <w:szCs w:val="22"/>
          <w:lang w:val="en-GB"/>
        </w:rPr>
        <w:t xml:space="preserve">at the time of opening of the proceedings </w:t>
      </w:r>
      <w:r w:rsidR="00312A58">
        <w:rPr>
          <w:rFonts w:ascii="Arial" w:hAnsi="Arial" w:cs="Arial"/>
          <w:color w:val="7B7B7B" w:themeColor="accent3" w:themeShade="BF"/>
          <w:sz w:val="22"/>
          <w:szCs w:val="22"/>
          <w:lang w:val="en-GB"/>
        </w:rPr>
        <w:t>in question</w:t>
      </w:r>
      <w:r w:rsidR="00C66F94">
        <w:rPr>
          <w:rFonts w:ascii="Arial" w:hAnsi="Arial" w:cs="Arial"/>
          <w:color w:val="7B7B7B" w:themeColor="accent3" w:themeShade="BF"/>
          <w:sz w:val="22"/>
          <w:szCs w:val="22"/>
          <w:lang w:val="en-GB"/>
        </w:rPr>
        <w:t>.</w:t>
      </w:r>
      <w:r w:rsidR="00B2514F">
        <w:rPr>
          <w:rFonts w:ascii="Arial" w:hAnsi="Arial" w:cs="Arial"/>
          <w:color w:val="7B7B7B" w:themeColor="accent3" w:themeShade="BF"/>
          <w:sz w:val="22"/>
          <w:szCs w:val="22"/>
          <w:lang w:val="en-GB"/>
        </w:rPr>
        <w:t xml:space="preserve"> </w:t>
      </w:r>
      <w:r w:rsidR="00EA4AB6">
        <w:rPr>
          <w:rFonts w:ascii="Arial" w:hAnsi="Arial" w:cs="Arial"/>
          <w:color w:val="7B7B7B" w:themeColor="accent3" w:themeShade="BF"/>
          <w:sz w:val="22"/>
          <w:szCs w:val="22"/>
          <w:lang w:val="en-GB"/>
        </w:rPr>
        <w:t>Although the EIR 2000 does</w:t>
      </w:r>
      <w:r w:rsidR="00B82F0F">
        <w:rPr>
          <w:rFonts w:ascii="Arial" w:hAnsi="Arial" w:cs="Arial"/>
          <w:color w:val="7B7B7B" w:themeColor="accent3" w:themeShade="BF"/>
          <w:sz w:val="22"/>
          <w:szCs w:val="22"/>
          <w:lang w:val="en-GB"/>
        </w:rPr>
        <w:t xml:space="preserve"> not contain a definition of COMI, Recital 13 </w:t>
      </w:r>
      <w:r w:rsidR="00EA4AB6">
        <w:rPr>
          <w:rFonts w:ascii="Arial" w:hAnsi="Arial" w:cs="Arial"/>
          <w:color w:val="7B7B7B" w:themeColor="accent3" w:themeShade="BF"/>
          <w:sz w:val="22"/>
          <w:szCs w:val="22"/>
          <w:lang w:val="en-GB"/>
        </w:rPr>
        <w:t>provides</w:t>
      </w:r>
      <w:r w:rsidR="00B82F0F">
        <w:rPr>
          <w:rFonts w:ascii="Arial" w:hAnsi="Arial" w:cs="Arial"/>
          <w:color w:val="7B7B7B" w:themeColor="accent3" w:themeShade="BF"/>
          <w:sz w:val="22"/>
          <w:szCs w:val="22"/>
          <w:lang w:val="en-GB"/>
        </w:rPr>
        <w:t xml:space="preserve"> some guidance. </w:t>
      </w:r>
      <w:r w:rsidR="00EA4AB6">
        <w:rPr>
          <w:rFonts w:ascii="Arial" w:hAnsi="Arial" w:cs="Arial"/>
          <w:color w:val="7B7B7B" w:themeColor="accent3" w:themeShade="BF"/>
          <w:sz w:val="22"/>
          <w:szCs w:val="22"/>
          <w:lang w:val="en-GB"/>
        </w:rPr>
        <w:t>Just like the EIR Recast, i</w:t>
      </w:r>
      <w:r w:rsidR="00E06677">
        <w:rPr>
          <w:rFonts w:ascii="Arial" w:hAnsi="Arial" w:cs="Arial"/>
          <w:color w:val="7B7B7B" w:themeColor="accent3" w:themeShade="BF"/>
          <w:sz w:val="22"/>
          <w:szCs w:val="22"/>
          <w:lang w:val="en-GB"/>
        </w:rPr>
        <w:t xml:space="preserve">t stipulates that the COMI shall be the place where the debtor conducts </w:t>
      </w:r>
      <w:r w:rsidR="000D5D93">
        <w:rPr>
          <w:rFonts w:ascii="Arial" w:hAnsi="Arial" w:cs="Arial"/>
          <w:color w:val="7B7B7B" w:themeColor="accent3" w:themeShade="BF"/>
          <w:sz w:val="22"/>
          <w:szCs w:val="22"/>
          <w:lang w:val="en-GB"/>
        </w:rPr>
        <w:t xml:space="preserve">the administration of its interest on a regular basis. </w:t>
      </w:r>
    </w:p>
    <w:p w14:paraId="6A307723" w14:textId="77777777" w:rsidR="007A0AF7" w:rsidRDefault="007A0AF7" w:rsidP="00010BAB">
      <w:pPr>
        <w:ind w:left="720" w:hanging="720"/>
        <w:jc w:val="both"/>
        <w:rPr>
          <w:rFonts w:ascii="Arial" w:hAnsi="Arial" w:cs="Arial"/>
          <w:color w:val="7B7B7B" w:themeColor="accent3" w:themeShade="BF"/>
          <w:sz w:val="22"/>
          <w:szCs w:val="22"/>
          <w:lang w:val="en-GB"/>
        </w:rPr>
      </w:pPr>
    </w:p>
    <w:p w14:paraId="136666A8" w14:textId="4C7A16A5" w:rsidR="007A0AF7" w:rsidRDefault="006475D3" w:rsidP="00010BA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The Recital 13 prov</w:t>
      </w:r>
      <w:r w:rsidR="00CC3289">
        <w:rPr>
          <w:rFonts w:ascii="Arial" w:hAnsi="Arial" w:cs="Arial"/>
          <w:color w:val="7B7B7B" w:themeColor="accent3" w:themeShade="BF"/>
          <w:sz w:val="22"/>
          <w:szCs w:val="22"/>
          <w:lang w:val="en-GB"/>
        </w:rPr>
        <w:t xml:space="preserve">iding guidance as to the meaning of the COMI concept is supported by </w:t>
      </w:r>
      <w:r w:rsidR="007425B9">
        <w:rPr>
          <w:rFonts w:ascii="Arial" w:hAnsi="Arial" w:cs="Arial"/>
          <w:color w:val="7B7B7B" w:themeColor="accent3" w:themeShade="BF"/>
          <w:sz w:val="22"/>
          <w:szCs w:val="22"/>
          <w:lang w:val="en-GB"/>
        </w:rPr>
        <w:t>settled case law</w:t>
      </w:r>
      <w:r w:rsidR="0027597A">
        <w:rPr>
          <w:rFonts w:ascii="Arial" w:hAnsi="Arial" w:cs="Arial"/>
          <w:color w:val="7B7B7B" w:themeColor="accent3" w:themeShade="BF"/>
          <w:sz w:val="22"/>
          <w:szCs w:val="22"/>
          <w:lang w:val="en-GB"/>
        </w:rPr>
        <w:t xml:space="preserve"> of the CJEU. One them is the </w:t>
      </w:r>
      <w:proofErr w:type="spellStart"/>
      <w:r w:rsidR="0027597A" w:rsidRPr="005B5498">
        <w:rPr>
          <w:rFonts w:ascii="Arial" w:hAnsi="Arial" w:cs="Arial"/>
          <w:i/>
          <w:color w:val="7B7B7B" w:themeColor="accent3" w:themeShade="BF"/>
          <w:sz w:val="22"/>
          <w:szCs w:val="22"/>
          <w:lang w:val="en-GB"/>
        </w:rPr>
        <w:t>Eurofood</w:t>
      </w:r>
      <w:proofErr w:type="spellEnd"/>
      <w:r w:rsidR="0027597A" w:rsidRPr="005B5498">
        <w:rPr>
          <w:rFonts w:ascii="Arial" w:hAnsi="Arial" w:cs="Arial"/>
          <w:i/>
          <w:color w:val="7B7B7B" w:themeColor="accent3" w:themeShade="BF"/>
          <w:sz w:val="22"/>
          <w:szCs w:val="22"/>
          <w:lang w:val="en-GB"/>
        </w:rPr>
        <w:t xml:space="preserve"> IFSC LTD</w:t>
      </w:r>
      <w:r w:rsidR="000434E5" w:rsidRPr="005B5498">
        <w:rPr>
          <w:rFonts w:ascii="Arial" w:hAnsi="Arial" w:cs="Arial"/>
          <w:i/>
          <w:color w:val="7B7B7B" w:themeColor="accent3" w:themeShade="BF"/>
          <w:sz w:val="22"/>
          <w:szCs w:val="22"/>
          <w:lang w:val="en-GB"/>
        </w:rPr>
        <w:t xml:space="preserve"> Case C-341/04, ECLI:EUC:2006:281 (May 2, 2006)</w:t>
      </w:r>
      <w:r w:rsidR="00D97507">
        <w:rPr>
          <w:rFonts w:ascii="Arial" w:hAnsi="Arial" w:cs="Arial"/>
          <w:color w:val="7B7B7B" w:themeColor="accent3" w:themeShade="BF"/>
          <w:sz w:val="22"/>
          <w:szCs w:val="22"/>
          <w:lang w:val="en-GB"/>
        </w:rPr>
        <w:t xml:space="preserve"> where the court emphasised that the COMI concept is peculiar to the regulation.</w:t>
      </w:r>
      <w:r w:rsidR="00736B0D">
        <w:rPr>
          <w:rFonts w:ascii="Arial" w:hAnsi="Arial" w:cs="Arial"/>
          <w:color w:val="7B7B7B" w:themeColor="accent3" w:themeShade="BF"/>
          <w:sz w:val="22"/>
          <w:szCs w:val="22"/>
          <w:lang w:val="en-GB"/>
        </w:rPr>
        <w:t xml:space="preserve"> It has an autonomous mea</w:t>
      </w:r>
      <w:r w:rsidR="006477D5">
        <w:rPr>
          <w:rFonts w:ascii="Arial" w:hAnsi="Arial" w:cs="Arial"/>
          <w:color w:val="7B7B7B" w:themeColor="accent3" w:themeShade="BF"/>
          <w:sz w:val="22"/>
          <w:szCs w:val="22"/>
          <w:lang w:val="en-GB"/>
        </w:rPr>
        <w:t>ni</w:t>
      </w:r>
      <w:r w:rsidR="00736B0D">
        <w:rPr>
          <w:rFonts w:ascii="Arial" w:hAnsi="Arial" w:cs="Arial"/>
          <w:color w:val="7B7B7B" w:themeColor="accent3" w:themeShade="BF"/>
          <w:sz w:val="22"/>
          <w:szCs w:val="22"/>
          <w:lang w:val="en-GB"/>
        </w:rPr>
        <w:t xml:space="preserve">ng </w:t>
      </w:r>
      <w:r w:rsidR="006477D5">
        <w:rPr>
          <w:rFonts w:ascii="Arial" w:hAnsi="Arial" w:cs="Arial"/>
          <w:color w:val="7B7B7B" w:themeColor="accent3" w:themeShade="BF"/>
          <w:sz w:val="22"/>
          <w:szCs w:val="22"/>
          <w:lang w:val="en-GB"/>
        </w:rPr>
        <w:t>and</w:t>
      </w:r>
      <w:r w:rsidR="00736B0D">
        <w:rPr>
          <w:rFonts w:ascii="Arial" w:hAnsi="Arial" w:cs="Arial"/>
          <w:color w:val="7B7B7B" w:themeColor="accent3" w:themeShade="BF"/>
          <w:sz w:val="22"/>
          <w:szCs w:val="22"/>
          <w:lang w:val="en-GB"/>
        </w:rPr>
        <w:t xml:space="preserve"> must be interpreted in a uniform way, </w:t>
      </w:r>
      <w:r w:rsidR="006477D5">
        <w:rPr>
          <w:rFonts w:ascii="Arial" w:hAnsi="Arial" w:cs="Arial"/>
          <w:color w:val="7B7B7B" w:themeColor="accent3" w:themeShade="BF"/>
          <w:sz w:val="22"/>
          <w:szCs w:val="22"/>
          <w:lang w:val="en-GB"/>
        </w:rPr>
        <w:t>independently</w:t>
      </w:r>
      <w:r w:rsidR="00736B0D">
        <w:rPr>
          <w:rFonts w:ascii="Arial" w:hAnsi="Arial" w:cs="Arial"/>
          <w:color w:val="7B7B7B" w:themeColor="accent3" w:themeShade="BF"/>
          <w:sz w:val="22"/>
          <w:szCs w:val="22"/>
          <w:lang w:val="en-GB"/>
        </w:rPr>
        <w:t xml:space="preserve"> of what a similar term </w:t>
      </w:r>
      <w:r w:rsidR="004106BA">
        <w:rPr>
          <w:rFonts w:ascii="Arial" w:hAnsi="Arial" w:cs="Arial"/>
          <w:color w:val="7B7B7B" w:themeColor="accent3" w:themeShade="BF"/>
          <w:sz w:val="22"/>
          <w:szCs w:val="22"/>
          <w:lang w:val="en-GB"/>
        </w:rPr>
        <w:t xml:space="preserve">may mean in national legislation. </w:t>
      </w:r>
    </w:p>
    <w:p w14:paraId="0D758DEC" w14:textId="77777777" w:rsidR="00B137F3" w:rsidRDefault="00B137F3" w:rsidP="00010BAB">
      <w:pPr>
        <w:ind w:left="720" w:hanging="720"/>
        <w:jc w:val="both"/>
        <w:rPr>
          <w:rFonts w:ascii="Arial" w:hAnsi="Arial" w:cs="Arial"/>
          <w:color w:val="7B7B7B" w:themeColor="accent3" w:themeShade="BF"/>
          <w:sz w:val="22"/>
          <w:szCs w:val="22"/>
          <w:lang w:val="en-GB"/>
        </w:rPr>
      </w:pPr>
    </w:p>
    <w:p w14:paraId="71D255AC" w14:textId="30D8D902" w:rsidR="00B137F3" w:rsidRDefault="00B137F3" w:rsidP="00010BA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t xml:space="preserve">When dealing with the autonomous nature of the </w:t>
      </w:r>
      <w:r w:rsidR="00CD0695">
        <w:rPr>
          <w:rFonts w:ascii="Arial" w:hAnsi="Arial" w:cs="Arial"/>
          <w:color w:val="7B7B7B" w:themeColor="accent3" w:themeShade="BF"/>
          <w:sz w:val="22"/>
          <w:szCs w:val="22"/>
          <w:lang w:val="en-GB"/>
        </w:rPr>
        <w:t>meaning of the COMI concept ECJ (as it then was)</w:t>
      </w:r>
      <w:r w:rsidR="00C93C87">
        <w:rPr>
          <w:rFonts w:ascii="Arial" w:hAnsi="Arial" w:cs="Arial"/>
          <w:color w:val="7B7B7B" w:themeColor="accent3" w:themeShade="BF"/>
          <w:sz w:val="22"/>
          <w:szCs w:val="22"/>
          <w:lang w:val="en-GB"/>
        </w:rPr>
        <w:t xml:space="preserve"> emphasised that it must be determined with reference to criteria which are objective and identifiable by third parties. </w:t>
      </w:r>
      <w:r w:rsidR="00AA730A">
        <w:rPr>
          <w:rFonts w:ascii="Arial" w:hAnsi="Arial" w:cs="Arial"/>
          <w:color w:val="7B7B7B" w:themeColor="accent3" w:themeShade="BF"/>
          <w:sz w:val="22"/>
          <w:szCs w:val="22"/>
          <w:lang w:val="en-GB"/>
        </w:rPr>
        <w:t>The autonomous meaning of the COMI conc</w:t>
      </w:r>
      <w:r w:rsidR="00F81ABF">
        <w:rPr>
          <w:rFonts w:ascii="Arial" w:hAnsi="Arial" w:cs="Arial"/>
          <w:color w:val="7B7B7B" w:themeColor="accent3" w:themeShade="BF"/>
          <w:sz w:val="22"/>
          <w:szCs w:val="22"/>
          <w:lang w:val="en-GB"/>
        </w:rPr>
        <w:t>ept ensures legal certainty and</w:t>
      </w:r>
      <w:r w:rsidR="00AA730A">
        <w:rPr>
          <w:rFonts w:ascii="Arial" w:hAnsi="Arial" w:cs="Arial"/>
          <w:color w:val="7B7B7B" w:themeColor="accent3" w:themeShade="BF"/>
          <w:sz w:val="22"/>
          <w:szCs w:val="22"/>
          <w:lang w:val="en-GB"/>
        </w:rPr>
        <w:t xml:space="preserve"> </w:t>
      </w:r>
      <w:r w:rsidR="000E7685">
        <w:rPr>
          <w:rFonts w:ascii="Arial" w:hAnsi="Arial" w:cs="Arial"/>
          <w:color w:val="7B7B7B" w:themeColor="accent3" w:themeShade="BF"/>
          <w:sz w:val="22"/>
          <w:szCs w:val="22"/>
          <w:lang w:val="en-GB"/>
        </w:rPr>
        <w:t xml:space="preserve">predictability </w:t>
      </w:r>
      <w:r w:rsidR="00CD0695">
        <w:rPr>
          <w:rFonts w:ascii="Arial" w:hAnsi="Arial" w:cs="Arial"/>
          <w:color w:val="7B7B7B" w:themeColor="accent3" w:themeShade="BF"/>
          <w:sz w:val="22"/>
          <w:szCs w:val="22"/>
          <w:lang w:val="en-GB"/>
        </w:rPr>
        <w:t>because its application must be uniform across all EU member states.</w:t>
      </w:r>
      <w:r w:rsidR="00F81ABF">
        <w:rPr>
          <w:rFonts w:ascii="Arial" w:hAnsi="Arial" w:cs="Arial"/>
          <w:color w:val="7B7B7B" w:themeColor="accent3" w:themeShade="BF"/>
          <w:sz w:val="22"/>
          <w:szCs w:val="22"/>
          <w:lang w:val="en-GB"/>
        </w:rPr>
        <w:t xml:space="preserve"> The activity of the debtor </w:t>
      </w:r>
      <w:r w:rsidR="003C15A4">
        <w:rPr>
          <w:rFonts w:ascii="Arial" w:hAnsi="Arial" w:cs="Arial"/>
          <w:color w:val="7B7B7B" w:themeColor="accent3" w:themeShade="BF"/>
          <w:sz w:val="22"/>
          <w:szCs w:val="22"/>
          <w:lang w:val="en-GB"/>
        </w:rPr>
        <w:t>concerned</w:t>
      </w:r>
      <w:r w:rsidR="00F81ABF">
        <w:rPr>
          <w:rFonts w:ascii="Arial" w:hAnsi="Arial" w:cs="Arial"/>
          <w:color w:val="7B7B7B" w:themeColor="accent3" w:themeShade="BF"/>
          <w:sz w:val="22"/>
          <w:szCs w:val="22"/>
          <w:lang w:val="en-GB"/>
        </w:rPr>
        <w:t xml:space="preserve"> must be regular and lasting in order to give rise to a COMI</w:t>
      </w:r>
      <w:r w:rsidR="003C15A4">
        <w:rPr>
          <w:rFonts w:ascii="Arial" w:hAnsi="Arial" w:cs="Arial"/>
          <w:color w:val="7B7B7B" w:themeColor="accent3" w:themeShade="BF"/>
          <w:sz w:val="22"/>
          <w:szCs w:val="22"/>
          <w:lang w:val="en-GB"/>
        </w:rPr>
        <w:t xml:space="preserve"> so that it can be readily identifiable by third parties. </w:t>
      </w:r>
    </w:p>
    <w:p w14:paraId="711BA720" w14:textId="77777777" w:rsidR="009374AA" w:rsidRDefault="009374AA" w:rsidP="00010BAB">
      <w:pPr>
        <w:ind w:left="720" w:hanging="720"/>
        <w:jc w:val="both"/>
        <w:rPr>
          <w:rFonts w:ascii="Arial" w:hAnsi="Arial" w:cs="Arial"/>
          <w:color w:val="7B7B7B" w:themeColor="accent3" w:themeShade="BF"/>
          <w:sz w:val="22"/>
          <w:szCs w:val="22"/>
          <w:lang w:val="en-GB"/>
        </w:rPr>
      </w:pPr>
    </w:p>
    <w:p w14:paraId="4CE77122" w14:textId="7C0A2082" w:rsidR="009374AA" w:rsidRDefault="009374AA" w:rsidP="00010BA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ab/>
        <w:t xml:space="preserve">An Italian case of </w:t>
      </w:r>
      <w:proofErr w:type="spellStart"/>
      <w:r w:rsidRPr="0023456C">
        <w:rPr>
          <w:rFonts w:ascii="Arial" w:hAnsi="Arial" w:cs="Arial"/>
          <w:i/>
          <w:color w:val="7B7B7B" w:themeColor="accent3" w:themeShade="BF"/>
          <w:sz w:val="22"/>
          <w:szCs w:val="22"/>
          <w:lang w:val="en-GB"/>
        </w:rPr>
        <w:t>Interidil</w:t>
      </w:r>
      <w:proofErr w:type="spellEnd"/>
      <w:r w:rsidRPr="0023456C">
        <w:rPr>
          <w:rFonts w:ascii="Arial" w:hAnsi="Arial" w:cs="Arial"/>
          <w:i/>
          <w:color w:val="7B7B7B" w:themeColor="accent3" w:themeShade="BF"/>
          <w:sz w:val="22"/>
          <w:szCs w:val="22"/>
          <w:lang w:val="en-GB"/>
        </w:rPr>
        <w:t xml:space="preserve"> Srl v Fallimento </w:t>
      </w:r>
      <w:proofErr w:type="spellStart"/>
      <w:r w:rsidRPr="0023456C">
        <w:rPr>
          <w:rFonts w:ascii="Arial" w:hAnsi="Arial" w:cs="Arial"/>
          <w:i/>
          <w:color w:val="7B7B7B" w:themeColor="accent3" w:themeShade="BF"/>
          <w:sz w:val="22"/>
          <w:szCs w:val="22"/>
          <w:lang w:val="en-GB"/>
        </w:rPr>
        <w:t>Inerdil</w:t>
      </w:r>
      <w:proofErr w:type="spellEnd"/>
      <w:r w:rsidR="0023456C" w:rsidRPr="0023456C">
        <w:rPr>
          <w:rFonts w:ascii="Arial" w:hAnsi="Arial" w:cs="Arial"/>
          <w:i/>
          <w:color w:val="7B7B7B" w:themeColor="accent3" w:themeShade="BF"/>
          <w:sz w:val="22"/>
          <w:szCs w:val="22"/>
          <w:lang w:val="en-GB"/>
        </w:rPr>
        <w:t xml:space="preserve"> Srl Case C-396/09, ECLI:EUC:2011:671 (Oct.20,2011)</w:t>
      </w:r>
      <w:r w:rsidR="0023456C">
        <w:rPr>
          <w:rFonts w:ascii="Arial" w:hAnsi="Arial" w:cs="Arial"/>
          <w:color w:val="7B7B7B" w:themeColor="accent3" w:themeShade="BF"/>
          <w:sz w:val="22"/>
          <w:szCs w:val="22"/>
          <w:lang w:val="en-GB"/>
        </w:rPr>
        <w:t xml:space="preserve"> </w:t>
      </w:r>
      <w:r w:rsidR="00AB5617">
        <w:rPr>
          <w:rFonts w:ascii="Arial" w:hAnsi="Arial" w:cs="Arial"/>
          <w:color w:val="7B7B7B" w:themeColor="accent3" w:themeShade="BF"/>
          <w:sz w:val="22"/>
          <w:szCs w:val="22"/>
          <w:lang w:val="en-GB"/>
        </w:rPr>
        <w:t>dealt with an issue of COMI presumption. It is particularly relevant because the facts are similar</w:t>
      </w:r>
      <w:r w:rsidR="00542632">
        <w:rPr>
          <w:rFonts w:ascii="Arial" w:hAnsi="Arial" w:cs="Arial"/>
          <w:color w:val="7B7B7B" w:themeColor="accent3" w:themeShade="BF"/>
          <w:sz w:val="22"/>
          <w:szCs w:val="22"/>
          <w:lang w:val="en-GB"/>
        </w:rPr>
        <w:t xml:space="preserve">, to an extent, to the facts this question I am answering. </w:t>
      </w:r>
      <w:proofErr w:type="spellStart"/>
      <w:r w:rsidR="00360486">
        <w:rPr>
          <w:rFonts w:ascii="Arial" w:hAnsi="Arial" w:cs="Arial"/>
          <w:color w:val="7B7B7B" w:themeColor="accent3" w:themeShade="BF"/>
          <w:sz w:val="22"/>
          <w:szCs w:val="22"/>
          <w:lang w:val="en-GB"/>
        </w:rPr>
        <w:t>Interidil</w:t>
      </w:r>
      <w:proofErr w:type="spellEnd"/>
      <w:r w:rsidR="00360486">
        <w:rPr>
          <w:rFonts w:ascii="Arial" w:hAnsi="Arial" w:cs="Arial"/>
          <w:color w:val="7B7B7B" w:themeColor="accent3" w:themeShade="BF"/>
          <w:sz w:val="22"/>
          <w:szCs w:val="22"/>
          <w:lang w:val="en-GB"/>
        </w:rPr>
        <w:t xml:space="preserve"> was originally </w:t>
      </w:r>
      <w:proofErr w:type="spellStart"/>
      <w:r w:rsidR="00360486">
        <w:rPr>
          <w:rFonts w:ascii="Arial" w:hAnsi="Arial" w:cs="Arial"/>
          <w:color w:val="7B7B7B" w:themeColor="accent3" w:themeShade="BF"/>
          <w:sz w:val="22"/>
          <w:szCs w:val="22"/>
          <w:lang w:val="en-GB"/>
        </w:rPr>
        <w:t>registred</w:t>
      </w:r>
      <w:proofErr w:type="spellEnd"/>
      <w:r w:rsidR="00360486">
        <w:rPr>
          <w:rFonts w:ascii="Arial" w:hAnsi="Arial" w:cs="Arial"/>
          <w:color w:val="7B7B7B" w:themeColor="accent3" w:themeShade="BF"/>
          <w:sz w:val="22"/>
          <w:szCs w:val="22"/>
          <w:lang w:val="en-GB"/>
        </w:rPr>
        <w:t xml:space="preserve"> in Italy but subsequently relocated </w:t>
      </w:r>
      <w:r w:rsidR="006F49FB">
        <w:rPr>
          <w:rFonts w:ascii="Arial" w:hAnsi="Arial" w:cs="Arial"/>
          <w:color w:val="7B7B7B" w:themeColor="accent3" w:themeShade="BF"/>
          <w:sz w:val="22"/>
          <w:szCs w:val="22"/>
          <w:lang w:val="en-GB"/>
        </w:rPr>
        <w:t xml:space="preserve">to London </w:t>
      </w:r>
      <w:r w:rsidR="00360486">
        <w:rPr>
          <w:rFonts w:ascii="Arial" w:hAnsi="Arial" w:cs="Arial"/>
          <w:color w:val="7B7B7B" w:themeColor="accent3" w:themeShade="BF"/>
          <w:sz w:val="22"/>
          <w:szCs w:val="22"/>
          <w:lang w:val="en-GB"/>
        </w:rPr>
        <w:t xml:space="preserve">and </w:t>
      </w:r>
      <w:r w:rsidR="006F49FB">
        <w:rPr>
          <w:rFonts w:ascii="Arial" w:hAnsi="Arial" w:cs="Arial"/>
          <w:color w:val="7B7B7B" w:themeColor="accent3" w:themeShade="BF"/>
          <w:sz w:val="22"/>
          <w:szCs w:val="22"/>
          <w:lang w:val="en-GB"/>
        </w:rPr>
        <w:t>entered</w:t>
      </w:r>
      <w:r w:rsidR="00360486">
        <w:rPr>
          <w:rFonts w:ascii="Arial" w:hAnsi="Arial" w:cs="Arial"/>
          <w:color w:val="7B7B7B" w:themeColor="accent3" w:themeShade="BF"/>
          <w:sz w:val="22"/>
          <w:szCs w:val="22"/>
          <w:lang w:val="en-GB"/>
        </w:rPr>
        <w:t xml:space="preserve"> </w:t>
      </w:r>
      <w:r w:rsidR="006F49FB">
        <w:rPr>
          <w:rFonts w:ascii="Arial" w:hAnsi="Arial" w:cs="Arial"/>
          <w:color w:val="7B7B7B" w:themeColor="accent3" w:themeShade="BF"/>
          <w:sz w:val="22"/>
          <w:szCs w:val="22"/>
          <w:lang w:val="en-GB"/>
        </w:rPr>
        <w:t>in</w:t>
      </w:r>
      <w:r w:rsidR="00360486">
        <w:rPr>
          <w:rFonts w:ascii="Arial" w:hAnsi="Arial" w:cs="Arial"/>
          <w:color w:val="7B7B7B" w:themeColor="accent3" w:themeShade="BF"/>
          <w:sz w:val="22"/>
          <w:szCs w:val="22"/>
          <w:lang w:val="en-GB"/>
        </w:rPr>
        <w:t xml:space="preserve">to </w:t>
      </w:r>
      <w:r w:rsidR="006F49FB">
        <w:rPr>
          <w:rFonts w:ascii="Arial" w:hAnsi="Arial" w:cs="Arial"/>
          <w:color w:val="7B7B7B" w:themeColor="accent3" w:themeShade="BF"/>
          <w:sz w:val="22"/>
          <w:szCs w:val="22"/>
          <w:lang w:val="en-GB"/>
        </w:rPr>
        <w:t xml:space="preserve">the UK register as a foreign company. </w:t>
      </w:r>
      <w:r w:rsidR="00550671">
        <w:rPr>
          <w:rFonts w:ascii="Arial" w:hAnsi="Arial" w:cs="Arial"/>
          <w:color w:val="7B7B7B" w:themeColor="accent3" w:themeShade="BF"/>
          <w:sz w:val="22"/>
          <w:szCs w:val="22"/>
          <w:lang w:val="en-GB"/>
        </w:rPr>
        <w:t>Notwithstanding</w:t>
      </w:r>
      <w:r w:rsidR="006F49FB">
        <w:rPr>
          <w:rFonts w:ascii="Arial" w:hAnsi="Arial" w:cs="Arial"/>
          <w:color w:val="7B7B7B" w:themeColor="accent3" w:themeShade="BF"/>
          <w:sz w:val="22"/>
          <w:szCs w:val="22"/>
          <w:lang w:val="en-GB"/>
        </w:rPr>
        <w:t xml:space="preserve"> this, </w:t>
      </w:r>
      <w:r w:rsidR="00687B13">
        <w:rPr>
          <w:rFonts w:ascii="Arial" w:hAnsi="Arial" w:cs="Arial"/>
          <w:color w:val="7B7B7B" w:themeColor="accent3" w:themeShade="BF"/>
          <w:sz w:val="22"/>
          <w:szCs w:val="22"/>
          <w:lang w:val="en-GB"/>
        </w:rPr>
        <w:t xml:space="preserve">a </w:t>
      </w:r>
      <w:r w:rsidR="00550671">
        <w:rPr>
          <w:rFonts w:ascii="Arial" w:hAnsi="Arial" w:cs="Arial"/>
          <w:color w:val="7B7B7B" w:themeColor="accent3" w:themeShade="BF"/>
          <w:sz w:val="22"/>
          <w:szCs w:val="22"/>
          <w:lang w:val="en-GB"/>
        </w:rPr>
        <w:t>petition</w:t>
      </w:r>
      <w:r w:rsidR="00687B13">
        <w:rPr>
          <w:rFonts w:ascii="Arial" w:hAnsi="Arial" w:cs="Arial"/>
          <w:color w:val="7B7B7B" w:themeColor="accent3" w:themeShade="BF"/>
          <w:sz w:val="22"/>
          <w:szCs w:val="22"/>
          <w:lang w:val="en-GB"/>
        </w:rPr>
        <w:t xml:space="preserve"> to open Italian bankruptcy procee</w:t>
      </w:r>
      <w:r w:rsidR="00DC0671">
        <w:rPr>
          <w:rFonts w:ascii="Arial" w:hAnsi="Arial" w:cs="Arial"/>
          <w:color w:val="7B7B7B" w:themeColor="accent3" w:themeShade="BF"/>
          <w:sz w:val="22"/>
          <w:szCs w:val="22"/>
          <w:lang w:val="en-GB"/>
        </w:rPr>
        <w:t xml:space="preserve">ding was filed with an Italian court. </w:t>
      </w:r>
      <w:proofErr w:type="spellStart"/>
      <w:r w:rsidR="00DC0671">
        <w:rPr>
          <w:rFonts w:ascii="Arial" w:hAnsi="Arial" w:cs="Arial"/>
          <w:color w:val="7B7B7B" w:themeColor="accent3" w:themeShade="BF"/>
          <w:sz w:val="22"/>
          <w:szCs w:val="22"/>
          <w:lang w:val="en-GB"/>
        </w:rPr>
        <w:t>Interidil</w:t>
      </w:r>
      <w:proofErr w:type="spellEnd"/>
      <w:r w:rsidR="00DC0671">
        <w:rPr>
          <w:rFonts w:ascii="Arial" w:hAnsi="Arial" w:cs="Arial"/>
          <w:color w:val="7B7B7B" w:themeColor="accent3" w:themeShade="BF"/>
          <w:sz w:val="22"/>
          <w:szCs w:val="22"/>
          <w:lang w:val="en-GB"/>
        </w:rPr>
        <w:t xml:space="preserve"> Srl, then liquidated, </w:t>
      </w:r>
      <w:r w:rsidR="008E6625">
        <w:rPr>
          <w:rFonts w:ascii="Arial" w:hAnsi="Arial" w:cs="Arial"/>
          <w:color w:val="7B7B7B" w:themeColor="accent3" w:themeShade="BF"/>
          <w:sz w:val="22"/>
          <w:szCs w:val="22"/>
          <w:lang w:val="en-GB"/>
        </w:rPr>
        <w:t xml:space="preserve">challenged the Italian court’s jurisdiction on the basis that its </w:t>
      </w:r>
      <w:r w:rsidR="00FF2DE1">
        <w:rPr>
          <w:rFonts w:ascii="Arial" w:hAnsi="Arial" w:cs="Arial"/>
          <w:color w:val="7B7B7B" w:themeColor="accent3" w:themeShade="BF"/>
          <w:sz w:val="22"/>
          <w:szCs w:val="22"/>
          <w:lang w:val="en-GB"/>
        </w:rPr>
        <w:t>registered</w:t>
      </w:r>
      <w:r w:rsidR="008E6625">
        <w:rPr>
          <w:rFonts w:ascii="Arial" w:hAnsi="Arial" w:cs="Arial"/>
          <w:color w:val="7B7B7B" w:themeColor="accent3" w:themeShade="BF"/>
          <w:sz w:val="22"/>
          <w:szCs w:val="22"/>
          <w:lang w:val="en-GB"/>
        </w:rPr>
        <w:t xml:space="preserve"> office had already been transferred to the UK at the time of opening of the </w:t>
      </w:r>
      <w:r w:rsidR="00FF2DE1">
        <w:rPr>
          <w:rFonts w:ascii="Arial" w:hAnsi="Arial" w:cs="Arial"/>
          <w:color w:val="7B7B7B" w:themeColor="accent3" w:themeShade="BF"/>
          <w:sz w:val="22"/>
          <w:szCs w:val="22"/>
          <w:lang w:val="en-GB"/>
        </w:rPr>
        <w:t xml:space="preserve">Italian proceedings. </w:t>
      </w:r>
      <w:r w:rsidR="00DC0671">
        <w:rPr>
          <w:rFonts w:ascii="Arial" w:hAnsi="Arial" w:cs="Arial"/>
          <w:color w:val="7B7B7B" w:themeColor="accent3" w:themeShade="BF"/>
          <w:sz w:val="22"/>
          <w:szCs w:val="22"/>
          <w:lang w:val="en-GB"/>
        </w:rPr>
        <w:t xml:space="preserve"> </w:t>
      </w:r>
      <w:r w:rsidR="00FF2DE1">
        <w:rPr>
          <w:rFonts w:ascii="Arial" w:hAnsi="Arial" w:cs="Arial"/>
          <w:color w:val="7B7B7B" w:themeColor="accent3" w:themeShade="BF"/>
          <w:sz w:val="22"/>
          <w:szCs w:val="22"/>
          <w:lang w:val="en-GB"/>
        </w:rPr>
        <w:t xml:space="preserve">Despite this, the Italian court accepted its jurisdiction, holding that the </w:t>
      </w:r>
      <w:r w:rsidR="00EE40E8">
        <w:rPr>
          <w:rFonts w:ascii="Arial" w:hAnsi="Arial" w:cs="Arial"/>
          <w:color w:val="7B7B7B" w:themeColor="accent3" w:themeShade="BF"/>
          <w:sz w:val="22"/>
          <w:szCs w:val="22"/>
          <w:lang w:val="en-GB"/>
        </w:rPr>
        <w:t>registered</w:t>
      </w:r>
      <w:r w:rsidR="00FF2DE1">
        <w:rPr>
          <w:rFonts w:ascii="Arial" w:hAnsi="Arial" w:cs="Arial"/>
          <w:color w:val="7B7B7B" w:themeColor="accent3" w:themeShade="BF"/>
          <w:sz w:val="22"/>
          <w:szCs w:val="22"/>
          <w:lang w:val="en-GB"/>
        </w:rPr>
        <w:t xml:space="preserve"> office presumption was rebutted by several factors, namely </w:t>
      </w:r>
      <w:r w:rsidR="00874DF9">
        <w:rPr>
          <w:rFonts w:ascii="Arial" w:hAnsi="Arial" w:cs="Arial"/>
          <w:color w:val="7B7B7B" w:themeColor="accent3" w:themeShade="BF"/>
          <w:sz w:val="22"/>
          <w:szCs w:val="22"/>
          <w:lang w:val="en-GB"/>
        </w:rPr>
        <w:t>–</w:t>
      </w:r>
      <w:r w:rsidR="00FF2DE1">
        <w:rPr>
          <w:rFonts w:ascii="Arial" w:hAnsi="Arial" w:cs="Arial"/>
          <w:color w:val="7B7B7B" w:themeColor="accent3" w:themeShade="BF"/>
          <w:sz w:val="22"/>
          <w:szCs w:val="22"/>
          <w:lang w:val="en-GB"/>
        </w:rPr>
        <w:t xml:space="preserve"> </w:t>
      </w:r>
      <w:r w:rsidR="00874DF9">
        <w:rPr>
          <w:rFonts w:ascii="Arial" w:hAnsi="Arial" w:cs="Arial"/>
          <w:color w:val="7B7B7B" w:themeColor="accent3" w:themeShade="BF"/>
          <w:sz w:val="22"/>
          <w:szCs w:val="22"/>
          <w:lang w:val="en-GB"/>
        </w:rPr>
        <w:t xml:space="preserve">the presence of immovable property in Italy owned by the </w:t>
      </w:r>
      <w:proofErr w:type="spellStart"/>
      <w:r w:rsidR="00874DF9">
        <w:rPr>
          <w:rFonts w:ascii="Arial" w:hAnsi="Arial" w:cs="Arial"/>
          <w:color w:val="7B7B7B" w:themeColor="accent3" w:themeShade="BF"/>
          <w:sz w:val="22"/>
          <w:szCs w:val="22"/>
          <w:lang w:val="en-GB"/>
        </w:rPr>
        <w:t>Interidel</w:t>
      </w:r>
      <w:proofErr w:type="spellEnd"/>
      <w:r w:rsidR="00874DF9">
        <w:rPr>
          <w:rFonts w:ascii="Arial" w:hAnsi="Arial" w:cs="Arial"/>
          <w:color w:val="7B7B7B" w:themeColor="accent3" w:themeShade="BF"/>
          <w:sz w:val="22"/>
          <w:szCs w:val="22"/>
          <w:lang w:val="en-GB"/>
        </w:rPr>
        <w:t xml:space="preserve">, </w:t>
      </w:r>
      <w:r w:rsidR="00874DF9">
        <w:rPr>
          <w:rFonts w:ascii="Arial" w:hAnsi="Arial" w:cs="Arial"/>
          <w:color w:val="7B7B7B" w:themeColor="accent3" w:themeShade="BF"/>
          <w:sz w:val="22"/>
          <w:szCs w:val="22"/>
          <w:lang w:val="en-GB"/>
        </w:rPr>
        <w:lastRenderedPageBreak/>
        <w:t xml:space="preserve">the existence of a lease I </w:t>
      </w:r>
      <w:r w:rsidR="0001507D">
        <w:rPr>
          <w:rFonts w:ascii="Arial" w:hAnsi="Arial" w:cs="Arial"/>
          <w:color w:val="7B7B7B" w:themeColor="accent3" w:themeShade="BF"/>
          <w:sz w:val="22"/>
          <w:szCs w:val="22"/>
          <w:lang w:val="en-GB"/>
        </w:rPr>
        <w:t xml:space="preserve"> respect of 2 hotel complexes, a contract concluded with a bank and the fact that the Italian register of companies had not been informed of the </w:t>
      </w:r>
      <w:r w:rsidR="00EE40E8">
        <w:rPr>
          <w:rFonts w:ascii="Arial" w:hAnsi="Arial" w:cs="Arial"/>
          <w:color w:val="7B7B7B" w:themeColor="accent3" w:themeShade="BF"/>
          <w:sz w:val="22"/>
          <w:szCs w:val="22"/>
          <w:lang w:val="en-GB"/>
        </w:rPr>
        <w:t xml:space="preserve">transferred of </w:t>
      </w:r>
      <w:proofErr w:type="spellStart"/>
      <w:r w:rsidR="00EE40E8">
        <w:rPr>
          <w:rFonts w:ascii="Arial" w:hAnsi="Arial" w:cs="Arial"/>
          <w:color w:val="7B7B7B" w:themeColor="accent3" w:themeShade="BF"/>
          <w:sz w:val="22"/>
          <w:szCs w:val="22"/>
          <w:lang w:val="en-GB"/>
        </w:rPr>
        <w:t>Interidil’s</w:t>
      </w:r>
      <w:proofErr w:type="spellEnd"/>
      <w:r w:rsidR="00EE40E8">
        <w:rPr>
          <w:rFonts w:ascii="Arial" w:hAnsi="Arial" w:cs="Arial"/>
          <w:color w:val="7B7B7B" w:themeColor="accent3" w:themeShade="BF"/>
          <w:sz w:val="22"/>
          <w:szCs w:val="22"/>
          <w:lang w:val="en-GB"/>
        </w:rPr>
        <w:t xml:space="preserve"> registered office to the UK.</w:t>
      </w:r>
    </w:p>
    <w:p w14:paraId="2B8E0E2C" w14:textId="77777777" w:rsidR="00EE40E8" w:rsidRDefault="00EE40E8" w:rsidP="00010BAB">
      <w:pPr>
        <w:ind w:left="720" w:hanging="720"/>
        <w:jc w:val="both"/>
        <w:rPr>
          <w:rFonts w:ascii="Arial" w:hAnsi="Arial" w:cs="Arial"/>
          <w:color w:val="7B7B7B" w:themeColor="accent3" w:themeShade="BF"/>
          <w:sz w:val="22"/>
          <w:szCs w:val="22"/>
          <w:lang w:val="en-GB"/>
        </w:rPr>
      </w:pPr>
    </w:p>
    <w:p w14:paraId="03C26A75" w14:textId="625696C7" w:rsidR="00EE40E8" w:rsidRDefault="00EE40E8" w:rsidP="00010BA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ab/>
      </w:r>
      <w:r w:rsidR="00387A30">
        <w:rPr>
          <w:rFonts w:ascii="Arial" w:hAnsi="Arial" w:cs="Arial"/>
          <w:color w:val="7B7B7B" w:themeColor="accent3" w:themeShade="BF"/>
          <w:sz w:val="22"/>
          <w:szCs w:val="22"/>
          <w:lang w:val="en-GB"/>
        </w:rPr>
        <w:t xml:space="preserve">In that case, the CJEU ruled that when bodies responsible for the management and </w:t>
      </w:r>
      <w:r w:rsidR="00F825EA">
        <w:rPr>
          <w:rFonts w:ascii="Arial" w:hAnsi="Arial" w:cs="Arial"/>
          <w:color w:val="7B7B7B" w:themeColor="accent3" w:themeShade="BF"/>
          <w:sz w:val="22"/>
          <w:szCs w:val="22"/>
          <w:lang w:val="en-GB"/>
        </w:rPr>
        <w:t>supervision</w:t>
      </w:r>
      <w:r w:rsidR="00387A30">
        <w:rPr>
          <w:rFonts w:ascii="Arial" w:hAnsi="Arial" w:cs="Arial"/>
          <w:color w:val="7B7B7B" w:themeColor="accent3" w:themeShade="BF"/>
          <w:sz w:val="22"/>
          <w:szCs w:val="22"/>
          <w:lang w:val="en-GB"/>
        </w:rPr>
        <w:t xml:space="preserve"> of the debtor are in the same place as </w:t>
      </w:r>
      <w:r w:rsidR="003C6161">
        <w:rPr>
          <w:rFonts w:ascii="Arial" w:hAnsi="Arial" w:cs="Arial"/>
          <w:color w:val="7B7B7B" w:themeColor="accent3" w:themeShade="BF"/>
          <w:sz w:val="22"/>
          <w:szCs w:val="22"/>
          <w:lang w:val="en-GB"/>
        </w:rPr>
        <w:t>its registered office, and the management decisions of the company are taken at the same place</w:t>
      </w:r>
      <w:r w:rsidR="00B0341B">
        <w:rPr>
          <w:rFonts w:ascii="Arial" w:hAnsi="Arial" w:cs="Arial"/>
          <w:color w:val="7B7B7B" w:themeColor="accent3" w:themeShade="BF"/>
          <w:sz w:val="22"/>
          <w:szCs w:val="22"/>
          <w:lang w:val="en-GB"/>
        </w:rPr>
        <w:t xml:space="preserve"> then the registered office presumption is irrefutable. The pres</w:t>
      </w:r>
      <w:r w:rsidR="00F825EA">
        <w:rPr>
          <w:rFonts w:ascii="Arial" w:hAnsi="Arial" w:cs="Arial"/>
          <w:color w:val="7B7B7B" w:themeColor="accent3" w:themeShade="BF"/>
          <w:sz w:val="22"/>
          <w:szCs w:val="22"/>
          <w:lang w:val="en-GB"/>
        </w:rPr>
        <w:t xml:space="preserve">umption can only be rebutted when, from a third parties perspective, the place in which the company’s central administration </w:t>
      </w:r>
      <w:r w:rsidR="008D5104">
        <w:rPr>
          <w:rFonts w:ascii="Arial" w:hAnsi="Arial" w:cs="Arial"/>
          <w:color w:val="7B7B7B" w:themeColor="accent3" w:themeShade="BF"/>
          <w:sz w:val="22"/>
          <w:szCs w:val="22"/>
          <w:lang w:val="en-GB"/>
        </w:rPr>
        <w:t>(actual centre of management and supervision and of the management of its interests) is located</w:t>
      </w:r>
      <w:r w:rsidR="00AC5A26">
        <w:rPr>
          <w:rFonts w:ascii="Arial" w:hAnsi="Arial" w:cs="Arial"/>
          <w:color w:val="7B7B7B" w:themeColor="accent3" w:themeShade="BF"/>
          <w:sz w:val="22"/>
          <w:szCs w:val="22"/>
          <w:lang w:val="en-GB"/>
        </w:rPr>
        <w:t xml:space="preserve"> does not coincide with jurisdiction of its registered office. </w:t>
      </w:r>
      <w:r w:rsidR="009D2DA1">
        <w:rPr>
          <w:rFonts w:ascii="Arial" w:hAnsi="Arial" w:cs="Arial"/>
          <w:color w:val="7B7B7B" w:themeColor="accent3" w:themeShade="BF"/>
          <w:sz w:val="22"/>
          <w:szCs w:val="22"/>
          <w:lang w:val="en-GB"/>
        </w:rPr>
        <w:t>Thus this requires conside</w:t>
      </w:r>
      <w:r w:rsidR="00897E33">
        <w:rPr>
          <w:rFonts w:ascii="Arial" w:hAnsi="Arial" w:cs="Arial"/>
          <w:color w:val="7B7B7B" w:themeColor="accent3" w:themeShade="BF"/>
          <w:sz w:val="22"/>
          <w:szCs w:val="22"/>
          <w:lang w:val="en-GB"/>
        </w:rPr>
        <w:t xml:space="preserve">ration of the relevant facts. </w:t>
      </w:r>
      <w:r w:rsidR="000653D6">
        <w:rPr>
          <w:rFonts w:ascii="Arial" w:hAnsi="Arial" w:cs="Arial"/>
          <w:color w:val="7B7B7B" w:themeColor="accent3" w:themeShade="BF"/>
          <w:sz w:val="22"/>
          <w:szCs w:val="22"/>
          <w:lang w:val="en-GB"/>
        </w:rPr>
        <w:t>What is discernible form the courts argument is that the mere presence of some assets</w:t>
      </w:r>
      <w:r w:rsidR="00A55BC8">
        <w:rPr>
          <w:rFonts w:ascii="Arial" w:hAnsi="Arial" w:cs="Arial"/>
          <w:color w:val="7B7B7B" w:themeColor="accent3" w:themeShade="BF"/>
          <w:sz w:val="22"/>
          <w:szCs w:val="22"/>
          <w:lang w:val="en-GB"/>
        </w:rPr>
        <w:t xml:space="preserve"> </w:t>
      </w:r>
      <w:r w:rsidR="000653D6">
        <w:rPr>
          <w:rFonts w:ascii="Arial" w:hAnsi="Arial" w:cs="Arial"/>
          <w:color w:val="7B7B7B" w:themeColor="accent3" w:themeShade="BF"/>
          <w:sz w:val="22"/>
          <w:szCs w:val="22"/>
          <w:lang w:val="en-GB"/>
        </w:rPr>
        <w:t>(</w:t>
      </w:r>
      <w:proofErr w:type="spellStart"/>
      <w:r w:rsidR="000653D6">
        <w:rPr>
          <w:rFonts w:ascii="Arial" w:hAnsi="Arial" w:cs="Arial"/>
          <w:color w:val="7B7B7B" w:themeColor="accent3" w:themeShade="BF"/>
          <w:sz w:val="22"/>
          <w:szCs w:val="22"/>
          <w:lang w:val="en-GB"/>
        </w:rPr>
        <w:t>i.e</w:t>
      </w:r>
      <w:proofErr w:type="spellEnd"/>
      <w:r w:rsidR="000653D6">
        <w:rPr>
          <w:rFonts w:ascii="Arial" w:hAnsi="Arial" w:cs="Arial"/>
          <w:color w:val="7B7B7B" w:themeColor="accent3" w:themeShade="BF"/>
          <w:sz w:val="22"/>
          <w:szCs w:val="22"/>
          <w:lang w:val="en-GB"/>
        </w:rPr>
        <w:t xml:space="preserve"> bank account</w:t>
      </w:r>
      <w:r w:rsidR="000A1A17">
        <w:rPr>
          <w:rFonts w:ascii="Arial" w:hAnsi="Arial" w:cs="Arial"/>
          <w:color w:val="7B7B7B" w:themeColor="accent3" w:themeShade="BF"/>
          <w:sz w:val="22"/>
          <w:szCs w:val="22"/>
          <w:lang w:val="en-GB"/>
        </w:rPr>
        <w:t xml:space="preserve">s, movable or immovable assets) will not be adequate to rebut the registered office presumption. </w:t>
      </w:r>
    </w:p>
    <w:p w14:paraId="02804ABF" w14:textId="77777777" w:rsidR="00154B6B" w:rsidRDefault="00154B6B" w:rsidP="00010BAB">
      <w:pPr>
        <w:ind w:left="720" w:hanging="720"/>
        <w:jc w:val="both"/>
        <w:rPr>
          <w:rFonts w:ascii="Arial" w:hAnsi="Arial" w:cs="Arial"/>
          <w:color w:val="7B7B7B" w:themeColor="accent3" w:themeShade="BF"/>
          <w:sz w:val="22"/>
          <w:szCs w:val="22"/>
          <w:lang w:val="en-GB"/>
        </w:rPr>
      </w:pPr>
    </w:p>
    <w:p w14:paraId="5FD2F0F9" w14:textId="669A1411" w:rsidR="009A6394" w:rsidRDefault="00154B6B" w:rsidP="00A562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ab/>
      </w:r>
      <w:r w:rsidR="009A6394">
        <w:rPr>
          <w:rFonts w:ascii="Arial" w:hAnsi="Arial" w:cs="Arial"/>
          <w:color w:val="7B7B7B" w:themeColor="accent3" w:themeShade="BF"/>
          <w:sz w:val="22"/>
          <w:szCs w:val="22"/>
          <w:lang w:val="en-GB"/>
        </w:rPr>
        <w:t xml:space="preserve">I now turn to apply the above principles </w:t>
      </w:r>
      <w:r w:rsidR="008259CC">
        <w:rPr>
          <w:rFonts w:ascii="Arial" w:hAnsi="Arial" w:cs="Arial"/>
          <w:color w:val="7B7B7B" w:themeColor="accent3" w:themeShade="BF"/>
          <w:sz w:val="22"/>
          <w:szCs w:val="22"/>
          <w:lang w:val="en-GB"/>
        </w:rPr>
        <w:t>to the facts.</w:t>
      </w:r>
    </w:p>
    <w:p w14:paraId="1DB5E836" w14:textId="77777777" w:rsidR="008259CC" w:rsidRDefault="008259CC" w:rsidP="00A562D5">
      <w:pPr>
        <w:ind w:left="720" w:hanging="720"/>
        <w:jc w:val="both"/>
        <w:rPr>
          <w:rFonts w:ascii="Arial" w:hAnsi="Arial" w:cs="Arial"/>
          <w:color w:val="7B7B7B" w:themeColor="accent3" w:themeShade="BF"/>
          <w:sz w:val="22"/>
          <w:szCs w:val="22"/>
          <w:lang w:val="en-GB"/>
        </w:rPr>
      </w:pPr>
    </w:p>
    <w:p w14:paraId="7880EE94" w14:textId="71BAC506" w:rsidR="009A6394" w:rsidRDefault="008259CC" w:rsidP="00A562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6</w:t>
      </w:r>
      <w:r>
        <w:rPr>
          <w:rFonts w:ascii="Arial" w:hAnsi="Arial" w:cs="Arial"/>
          <w:color w:val="7B7B7B" w:themeColor="accent3" w:themeShade="BF"/>
          <w:sz w:val="22"/>
          <w:szCs w:val="22"/>
          <w:lang w:val="en-GB"/>
        </w:rPr>
        <w:tab/>
      </w:r>
      <w:r w:rsidR="00DD0180">
        <w:rPr>
          <w:rFonts w:ascii="Arial" w:hAnsi="Arial" w:cs="Arial"/>
          <w:color w:val="7B7B7B" w:themeColor="accent3" w:themeShade="BF"/>
          <w:sz w:val="22"/>
          <w:szCs w:val="22"/>
          <w:lang w:val="en-GB"/>
        </w:rPr>
        <w:t xml:space="preserve">As stated above, </w:t>
      </w:r>
      <w:r w:rsidR="004311D8">
        <w:rPr>
          <w:rFonts w:ascii="Arial" w:hAnsi="Arial" w:cs="Arial"/>
          <w:color w:val="7B7B7B" w:themeColor="accent3" w:themeShade="BF"/>
          <w:sz w:val="22"/>
          <w:szCs w:val="22"/>
          <w:lang w:val="en-GB"/>
        </w:rPr>
        <w:t>t</w:t>
      </w:r>
      <w:r w:rsidR="00DD0180">
        <w:rPr>
          <w:rFonts w:ascii="Arial" w:hAnsi="Arial" w:cs="Arial"/>
          <w:color w:val="7B7B7B" w:themeColor="accent3" w:themeShade="BF"/>
          <w:sz w:val="22"/>
          <w:szCs w:val="22"/>
          <w:lang w:val="en-GB"/>
        </w:rPr>
        <w:t xml:space="preserve">he Strasbourg court does have jurisdiction to open the insolvency proceeding concerned because PAJ was registered in France and </w:t>
      </w:r>
      <w:r w:rsidR="004311D8">
        <w:rPr>
          <w:rFonts w:ascii="Arial" w:hAnsi="Arial" w:cs="Arial"/>
          <w:color w:val="7B7B7B" w:themeColor="accent3" w:themeShade="BF"/>
          <w:sz w:val="22"/>
          <w:szCs w:val="22"/>
          <w:lang w:val="en-GB"/>
        </w:rPr>
        <w:t xml:space="preserve">it </w:t>
      </w:r>
      <w:r w:rsidR="00DD0180">
        <w:rPr>
          <w:rFonts w:ascii="Arial" w:hAnsi="Arial" w:cs="Arial"/>
          <w:color w:val="7B7B7B" w:themeColor="accent3" w:themeShade="BF"/>
          <w:sz w:val="22"/>
          <w:szCs w:val="22"/>
          <w:lang w:val="en-GB"/>
        </w:rPr>
        <w:t>opened its first store in Strasbourg</w:t>
      </w:r>
      <w:r w:rsidR="008311A1">
        <w:rPr>
          <w:rFonts w:ascii="Arial" w:hAnsi="Arial" w:cs="Arial"/>
          <w:color w:val="7B7B7B" w:themeColor="accent3" w:themeShade="BF"/>
          <w:sz w:val="22"/>
          <w:szCs w:val="22"/>
          <w:lang w:val="en-GB"/>
        </w:rPr>
        <w:t>.</w:t>
      </w:r>
      <w:r w:rsidR="004722EC">
        <w:rPr>
          <w:rFonts w:ascii="Arial" w:hAnsi="Arial" w:cs="Arial"/>
          <w:color w:val="7B7B7B" w:themeColor="accent3" w:themeShade="BF"/>
          <w:sz w:val="22"/>
          <w:szCs w:val="22"/>
          <w:lang w:val="en-GB"/>
        </w:rPr>
        <w:t xml:space="preserve"> </w:t>
      </w:r>
      <w:r w:rsidR="008A7BA5">
        <w:rPr>
          <w:rFonts w:ascii="Arial" w:hAnsi="Arial" w:cs="Arial"/>
          <w:color w:val="7B7B7B" w:themeColor="accent3" w:themeShade="BF"/>
          <w:sz w:val="22"/>
          <w:szCs w:val="22"/>
          <w:lang w:val="en-GB"/>
        </w:rPr>
        <w:t xml:space="preserve">Just like the court </w:t>
      </w:r>
      <w:r w:rsidR="004311D8">
        <w:rPr>
          <w:rFonts w:ascii="Arial" w:hAnsi="Arial" w:cs="Arial"/>
          <w:color w:val="7B7B7B" w:themeColor="accent3" w:themeShade="BF"/>
          <w:sz w:val="22"/>
          <w:szCs w:val="22"/>
          <w:lang w:val="en-GB"/>
        </w:rPr>
        <w:t>effectively</w:t>
      </w:r>
      <w:r w:rsidR="008A7BA5">
        <w:rPr>
          <w:rFonts w:ascii="Arial" w:hAnsi="Arial" w:cs="Arial"/>
          <w:color w:val="7B7B7B" w:themeColor="accent3" w:themeShade="BF"/>
          <w:sz w:val="22"/>
          <w:szCs w:val="22"/>
          <w:lang w:val="en-GB"/>
        </w:rPr>
        <w:t xml:space="preserve"> ruled in </w:t>
      </w:r>
      <w:proofErr w:type="spellStart"/>
      <w:r w:rsidR="00157B67" w:rsidRPr="00157B67">
        <w:rPr>
          <w:rFonts w:ascii="Arial" w:hAnsi="Arial" w:cs="Arial"/>
          <w:i/>
          <w:color w:val="7B7B7B" w:themeColor="accent3" w:themeShade="BF"/>
          <w:sz w:val="22"/>
          <w:szCs w:val="22"/>
          <w:lang w:val="en-GB"/>
        </w:rPr>
        <w:t>Interidil</w:t>
      </w:r>
      <w:proofErr w:type="spellEnd"/>
      <w:r w:rsidR="002D65BC">
        <w:rPr>
          <w:rFonts w:ascii="Arial" w:hAnsi="Arial" w:cs="Arial"/>
          <w:color w:val="7B7B7B" w:themeColor="accent3" w:themeShade="BF"/>
          <w:sz w:val="22"/>
          <w:szCs w:val="22"/>
          <w:lang w:val="en-GB"/>
        </w:rPr>
        <w:t xml:space="preserve"> (with similar facts)</w:t>
      </w:r>
      <w:r w:rsidR="00157B67">
        <w:rPr>
          <w:rFonts w:ascii="Arial" w:hAnsi="Arial" w:cs="Arial"/>
          <w:color w:val="7B7B7B" w:themeColor="accent3" w:themeShade="BF"/>
          <w:sz w:val="22"/>
          <w:szCs w:val="22"/>
          <w:lang w:val="en-GB"/>
        </w:rPr>
        <w:t>, t</w:t>
      </w:r>
      <w:r w:rsidR="004722EC">
        <w:rPr>
          <w:rFonts w:ascii="Arial" w:hAnsi="Arial" w:cs="Arial"/>
          <w:color w:val="7B7B7B" w:themeColor="accent3" w:themeShade="BF"/>
          <w:sz w:val="22"/>
          <w:szCs w:val="22"/>
          <w:lang w:val="en-GB"/>
        </w:rPr>
        <w:t xml:space="preserve">he </w:t>
      </w:r>
      <w:r w:rsidR="005769F5">
        <w:rPr>
          <w:rFonts w:ascii="Arial" w:hAnsi="Arial" w:cs="Arial"/>
          <w:color w:val="7B7B7B" w:themeColor="accent3" w:themeShade="BF"/>
          <w:sz w:val="22"/>
          <w:szCs w:val="22"/>
          <w:lang w:val="en-GB"/>
        </w:rPr>
        <w:t>registered</w:t>
      </w:r>
      <w:r w:rsidR="004722EC">
        <w:rPr>
          <w:rFonts w:ascii="Arial" w:hAnsi="Arial" w:cs="Arial"/>
          <w:color w:val="7B7B7B" w:themeColor="accent3" w:themeShade="BF"/>
          <w:sz w:val="22"/>
          <w:szCs w:val="22"/>
          <w:lang w:val="en-GB"/>
        </w:rPr>
        <w:t xml:space="preserve"> office presumption </w:t>
      </w:r>
      <w:r w:rsidR="009B0D77">
        <w:rPr>
          <w:rFonts w:ascii="Arial" w:hAnsi="Arial" w:cs="Arial"/>
          <w:color w:val="7B7B7B" w:themeColor="accent3" w:themeShade="BF"/>
          <w:sz w:val="22"/>
          <w:szCs w:val="22"/>
          <w:lang w:val="en-GB"/>
        </w:rPr>
        <w:t xml:space="preserve">applies and </w:t>
      </w:r>
      <w:r w:rsidR="005769F5">
        <w:rPr>
          <w:rFonts w:ascii="Arial" w:hAnsi="Arial" w:cs="Arial"/>
          <w:color w:val="7B7B7B" w:themeColor="accent3" w:themeShade="BF"/>
          <w:sz w:val="22"/>
          <w:szCs w:val="22"/>
          <w:lang w:val="en-GB"/>
        </w:rPr>
        <w:t xml:space="preserve">remains undisturbed by the </w:t>
      </w:r>
      <w:r w:rsidR="00AB1E2B">
        <w:rPr>
          <w:rFonts w:ascii="Arial" w:hAnsi="Arial" w:cs="Arial"/>
          <w:color w:val="7B7B7B" w:themeColor="accent3" w:themeShade="BF"/>
          <w:sz w:val="22"/>
          <w:szCs w:val="22"/>
          <w:lang w:val="en-GB"/>
        </w:rPr>
        <w:t xml:space="preserve">mere existence of </w:t>
      </w:r>
      <w:r w:rsidR="008A7BA5">
        <w:rPr>
          <w:rFonts w:ascii="Arial" w:hAnsi="Arial" w:cs="Arial"/>
          <w:color w:val="7B7B7B" w:themeColor="accent3" w:themeShade="BF"/>
          <w:sz w:val="22"/>
          <w:szCs w:val="22"/>
          <w:lang w:val="en-GB"/>
        </w:rPr>
        <w:t>some assets</w:t>
      </w:r>
      <w:r w:rsidR="00A55BC8">
        <w:rPr>
          <w:rFonts w:ascii="Arial" w:hAnsi="Arial" w:cs="Arial"/>
          <w:color w:val="7B7B7B" w:themeColor="accent3" w:themeShade="BF"/>
          <w:sz w:val="22"/>
          <w:szCs w:val="22"/>
          <w:lang w:val="en-GB"/>
        </w:rPr>
        <w:t xml:space="preserve"> and factors </w:t>
      </w:r>
      <w:r w:rsidR="00611777">
        <w:rPr>
          <w:rFonts w:ascii="Arial" w:hAnsi="Arial" w:cs="Arial"/>
          <w:color w:val="7B7B7B" w:themeColor="accent3" w:themeShade="BF"/>
          <w:sz w:val="22"/>
          <w:szCs w:val="22"/>
          <w:lang w:val="en-GB"/>
        </w:rPr>
        <w:t xml:space="preserve">in Spain </w:t>
      </w:r>
      <w:r w:rsidR="002D65BC">
        <w:rPr>
          <w:rFonts w:ascii="Arial" w:hAnsi="Arial" w:cs="Arial"/>
          <w:color w:val="7B7B7B" w:themeColor="accent3" w:themeShade="BF"/>
          <w:sz w:val="22"/>
          <w:szCs w:val="22"/>
          <w:lang w:val="en-GB"/>
        </w:rPr>
        <w:t>(</w:t>
      </w:r>
      <w:proofErr w:type="spellStart"/>
      <w:r w:rsidR="002D65BC">
        <w:rPr>
          <w:rFonts w:ascii="Arial" w:hAnsi="Arial" w:cs="Arial"/>
          <w:color w:val="7B7B7B" w:themeColor="accent3" w:themeShade="BF"/>
          <w:sz w:val="22"/>
          <w:szCs w:val="22"/>
          <w:lang w:val="en-GB"/>
        </w:rPr>
        <w:t>i.e</w:t>
      </w:r>
      <w:proofErr w:type="spellEnd"/>
      <w:r w:rsidR="002D65BC">
        <w:rPr>
          <w:rFonts w:ascii="Arial" w:hAnsi="Arial" w:cs="Arial"/>
          <w:color w:val="7B7B7B" w:themeColor="accent3" w:themeShade="BF"/>
          <w:sz w:val="22"/>
          <w:szCs w:val="22"/>
          <w:lang w:val="en-GB"/>
        </w:rPr>
        <w:t xml:space="preserve"> warehouses it rents out to other companies, </w:t>
      </w:r>
      <w:r w:rsidR="00611777">
        <w:rPr>
          <w:rFonts w:ascii="Arial" w:hAnsi="Arial" w:cs="Arial"/>
          <w:color w:val="7B7B7B" w:themeColor="accent3" w:themeShade="BF"/>
          <w:sz w:val="22"/>
          <w:szCs w:val="22"/>
          <w:lang w:val="en-GB"/>
        </w:rPr>
        <w:t>Spanish</w:t>
      </w:r>
      <w:r w:rsidR="007A192A">
        <w:rPr>
          <w:rFonts w:ascii="Arial" w:hAnsi="Arial" w:cs="Arial"/>
          <w:color w:val="7B7B7B" w:themeColor="accent3" w:themeShade="BF"/>
          <w:sz w:val="22"/>
          <w:szCs w:val="22"/>
          <w:lang w:val="en-GB"/>
        </w:rPr>
        <w:t xml:space="preserve"> bank account</w:t>
      </w:r>
      <w:r w:rsidR="00611777">
        <w:rPr>
          <w:rFonts w:ascii="Arial" w:hAnsi="Arial" w:cs="Arial"/>
          <w:color w:val="7B7B7B" w:themeColor="accent3" w:themeShade="BF"/>
          <w:sz w:val="22"/>
          <w:szCs w:val="22"/>
          <w:lang w:val="en-GB"/>
        </w:rPr>
        <w:t xml:space="preserve"> and non-</w:t>
      </w:r>
      <w:r w:rsidR="004F1F11">
        <w:rPr>
          <w:rFonts w:ascii="Arial" w:hAnsi="Arial" w:cs="Arial"/>
          <w:color w:val="7B7B7B" w:themeColor="accent3" w:themeShade="BF"/>
          <w:sz w:val="22"/>
          <w:szCs w:val="22"/>
          <w:lang w:val="en-GB"/>
        </w:rPr>
        <w:t>binding</w:t>
      </w:r>
      <w:r w:rsidR="00611777">
        <w:rPr>
          <w:rFonts w:ascii="Arial" w:hAnsi="Arial" w:cs="Arial"/>
          <w:color w:val="7B7B7B" w:themeColor="accent3" w:themeShade="BF"/>
          <w:sz w:val="22"/>
          <w:szCs w:val="22"/>
          <w:lang w:val="en-GB"/>
        </w:rPr>
        <w:t xml:space="preserve"> memoranda it concluded with </w:t>
      </w:r>
      <w:r w:rsidR="004F1F11">
        <w:rPr>
          <w:rFonts w:ascii="Arial" w:hAnsi="Arial" w:cs="Arial"/>
          <w:color w:val="7B7B7B" w:themeColor="accent3" w:themeShade="BF"/>
          <w:sz w:val="22"/>
          <w:szCs w:val="22"/>
          <w:lang w:val="en-GB"/>
        </w:rPr>
        <w:t xml:space="preserve">local distributors). Moreover, </w:t>
      </w:r>
      <w:r w:rsidR="005817D8">
        <w:rPr>
          <w:rFonts w:ascii="Arial" w:hAnsi="Arial" w:cs="Arial"/>
          <w:color w:val="7B7B7B" w:themeColor="accent3" w:themeShade="BF"/>
          <w:sz w:val="22"/>
          <w:szCs w:val="22"/>
          <w:lang w:val="en-GB"/>
        </w:rPr>
        <w:t xml:space="preserve">although the facts of our question are silent on this score, it </w:t>
      </w:r>
      <w:r w:rsidR="003259F5">
        <w:rPr>
          <w:rFonts w:ascii="Arial" w:hAnsi="Arial" w:cs="Arial"/>
          <w:color w:val="7B7B7B" w:themeColor="accent3" w:themeShade="BF"/>
          <w:sz w:val="22"/>
          <w:szCs w:val="22"/>
          <w:lang w:val="en-GB"/>
        </w:rPr>
        <w:t xml:space="preserve">can be </w:t>
      </w:r>
      <w:r w:rsidR="00521552">
        <w:rPr>
          <w:rFonts w:ascii="Arial" w:hAnsi="Arial" w:cs="Arial"/>
          <w:color w:val="7B7B7B" w:themeColor="accent3" w:themeShade="BF"/>
          <w:sz w:val="22"/>
          <w:szCs w:val="22"/>
          <w:lang w:val="en-GB"/>
        </w:rPr>
        <w:t>reasonably</w:t>
      </w:r>
      <w:r w:rsidR="005817D8">
        <w:rPr>
          <w:rFonts w:ascii="Arial" w:hAnsi="Arial" w:cs="Arial"/>
          <w:color w:val="7B7B7B" w:themeColor="accent3" w:themeShade="BF"/>
          <w:sz w:val="22"/>
          <w:szCs w:val="22"/>
          <w:lang w:val="en-GB"/>
        </w:rPr>
        <w:t xml:space="preserve"> be assumed that the central administration </w:t>
      </w:r>
      <w:r w:rsidR="00521552">
        <w:rPr>
          <w:rFonts w:ascii="Arial" w:hAnsi="Arial" w:cs="Arial"/>
          <w:color w:val="7B7B7B" w:themeColor="accent3" w:themeShade="BF"/>
          <w:sz w:val="22"/>
          <w:szCs w:val="22"/>
          <w:lang w:val="en-GB"/>
        </w:rPr>
        <w:t xml:space="preserve">of PAJ is </w:t>
      </w:r>
      <w:r w:rsidR="003259F5">
        <w:rPr>
          <w:rFonts w:ascii="Arial" w:hAnsi="Arial" w:cs="Arial"/>
          <w:color w:val="7B7B7B" w:themeColor="accent3" w:themeShade="BF"/>
          <w:sz w:val="22"/>
          <w:szCs w:val="22"/>
          <w:lang w:val="en-GB"/>
        </w:rPr>
        <w:t xml:space="preserve">in </w:t>
      </w:r>
      <w:r w:rsidR="00521552">
        <w:rPr>
          <w:rFonts w:ascii="Arial" w:hAnsi="Arial" w:cs="Arial"/>
          <w:color w:val="7B7B7B" w:themeColor="accent3" w:themeShade="BF"/>
          <w:sz w:val="22"/>
          <w:szCs w:val="22"/>
          <w:lang w:val="en-GB"/>
        </w:rPr>
        <w:t>France where it was registered and opened its first store. There is</w:t>
      </w:r>
      <w:r w:rsidR="00B6215B">
        <w:rPr>
          <w:rFonts w:ascii="Arial" w:hAnsi="Arial" w:cs="Arial"/>
          <w:color w:val="7B7B7B" w:themeColor="accent3" w:themeShade="BF"/>
          <w:sz w:val="22"/>
          <w:szCs w:val="22"/>
          <w:lang w:val="en-GB"/>
        </w:rPr>
        <w:t xml:space="preserve"> nothing in our facts suggesting that</w:t>
      </w:r>
      <w:r w:rsidR="00521552">
        <w:rPr>
          <w:rFonts w:ascii="Arial" w:hAnsi="Arial" w:cs="Arial"/>
          <w:color w:val="7B7B7B" w:themeColor="accent3" w:themeShade="BF"/>
          <w:sz w:val="22"/>
          <w:szCs w:val="22"/>
          <w:lang w:val="en-GB"/>
        </w:rPr>
        <w:t xml:space="preserve"> the central </w:t>
      </w:r>
      <w:r w:rsidR="00B6215B">
        <w:rPr>
          <w:rFonts w:ascii="Arial" w:hAnsi="Arial" w:cs="Arial"/>
          <w:color w:val="7B7B7B" w:themeColor="accent3" w:themeShade="BF"/>
          <w:sz w:val="22"/>
          <w:szCs w:val="22"/>
          <w:lang w:val="en-GB"/>
        </w:rPr>
        <w:t>administration</w:t>
      </w:r>
      <w:r w:rsidR="00521552">
        <w:rPr>
          <w:rFonts w:ascii="Arial" w:hAnsi="Arial" w:cs="Arial"/>
          <w:color w:val="7B7B7B" w:themeColor="accent3" w:themeShade="BF"/>
          <w:sz w:val="22"/>
          <w:szCs w:val="22"/>
          <w:lang w:val="en-GB"/>
        </w:rPr>
        <w:t xml:space="preserve"> is in Spain or els</w:t>
      </w:r>
      <w:r w:rsidR="00B6215B">
        <w:rPr>
          <w:rFonts w:ascii="Arial" w:hAnsi="Arial" w:cs="Arial"/>
          <w:color w:val="7B7B7B" w:themeColor="accent3" w:themeShade="BF"/>
          <w:sz w:val="22"/>
          <w:szCs w:val="22"/>
          <w:lang w:val="en-GB"/>
        </w:rPr>
        <w:t>e where – in  which event the registered office presumption would have been disturbed</w:t>
      </w:r>
      <w:r w:rsidR="003259F5">
        <w:rPr>
          <w:rFonts w:ascii="Arial" w:hAnsi="Arial" w:cs="Arial"/>
          <w:color w:val="7B7B7B" w:themeColor="accent3" w:themeShade="BF"/>
          <w:sz w:val="22"/>
          <w:szCs w:val="22"/>
          <w:lang w:val="en-GB"/>
        </w:rPr>
        <w:t xml:space="preserve"> and rebutted</w:t>
      </w:r>
      <w:r w:rsidR="00B6215B">
        <w:rPr>
          <w:rFonts w:ascii="Arial" w:hAnsi="Arial" w:cs="Arial"/>
          <w:color w:val="7B7B7B" w:themeColor="accent3" w:themeShade="BF"/>
          <w:sz w:val="22"/>
          <w:szCs w:val="22"/>
          <w:lang w:val="en-GB"/>
        </w:rPr>
        <w:t xml:space="preserve">. </w:t>
      </w:r>
    </w:p>
    <w:p w14:paraId="0BB2D0BD" w14:textId="65FE8713" w:rsidR="00D95496" w:rsidRDefault="00D95496"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204CD21F" w:rsidR="002D3473" w:rsidRDefault="00615439" w:rsidP="001A1DA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 determin</w:t>
      </w:r>
      <w:r w:rsidR="00C136F3">
        <w:rPr>
          <w:rFonts w:ascii="Arial" w:hAnsi="Arial" w:cs="Arial"/>
          <w:color w:val="7B7B7B" w:themeColor="accent3" w:themeShade="BF"/>
          <w:sz w:val="22"/>
          <w:szCs w:val="22"/>
          <w:lang w:val="en-GB"/>
        </w:rPr>
        <w:t>ation of the EIR Recast’s scope requires</w:t>
      </w:r>
      <w:r>
        <w:rPr>
          <w:rFonts w:ascii="Arial" w:hAnsi="Arial" w:cs="Arial"/>
          <w:color w:val="7B7B7B" w:themeColor="accent3" w:themeShade="BF"/>
          <w:sz w:val="22"/>
          <w:szCs w:val="22"/>
          <w:lang w:val="en-GB"/>
        </w:rPr>
        <w:t xml:space="preserve"> the answering of the following </w:t>
      </w:r>
      <w:r w:rsidR="00C136F3">
        <w:rPr>
          <w:rFonts w:ascii="Arial" w:hAnsi="Arial" w:cs="Arial"/>
          <w:color w:val="7B7B7B" w:themeColor="accent3" w:themeShade="BF"/>
          <w:sz w:val="22"/>
          <w:szCs w:val="22"/>
          <w:lang w:val="en-GB"/>
        </w:rPr>
        <w:t xml:space="preserve">questions </w:t>
      </w:r>
      <w:r>
        <w:rPr>
          <w:rFonts w:ascii="Arial" w:hAnsi="Arial" w:cs="Arial"/>
          <w:color w:val="7B7B7B" w:themeColor="accent3" w:themeShade="BF"/>
          <w:sz w:val="22"/>
          <w:szCs w:val="22"/>
          <w:lang w:val="en-GB"/>
        </w:rPr>
        <w:t xml:space="preserve">– when </w:t>
      </w:r>
      <w:r w:rsidR="001A1DAC">
        <w:rPr>
          <w:rFonts w:ascii="Arial" w:hAnsi="Arial" w:cs="Arial"/>
          <w:color w:val="7B7B7B" w:themeColor="accent3" w:themeShade="BF"/>
          <w:sz w:val="22"/>
          <w:szCs w:val="22"/>
          <w:lang w:val="en-GB"/>
        </w:rPr>
        <w:t>does</w:t>
      </w:r>
      <w:r>
        <w:rPr>
          <w:rFonts w:ascii="Arial" w:hAnsi="Arial" w:cs="Arial"/>
          <w:color w:val="7B7B7B" w:themeColor="accent3" w:themeShade="BF"/>
          <w:sz w:val="22"/>
          <w:szCs w:val="22"/>
          <w:lang w:val="en-GB"/>
        </w:rPr>
        <w:t xml:space="preserve"> it apply in time</w:t>
      </w:r>
      <w:r w:rsidR="001A1DAC">
        <w:rPr>
          <w:rFonts w:ascii="Arial" w:hAnsi="Arial" w:cs="Arial"/>
          <w:color w:val="7B7B7B" w:themeColor="accent3" w:themeShade="BF"/>
          <w:sz w:val="22"/>
          <w:szCs w:val="22"/>
          <w:lang w:val="en-GB"/>
        </w:rPr>
        <w:t xml:space="preserve"> (temporal scope), to whom does it apply (personal scope), which proceedings are covered by it (material scope) and what are its geographical limitations (geographical scope)</w:t>
      </w:r>
      <w:r w:rsidR="00AA2C12">
        <w:rPr>
          <w:rFonts w:ascii="Arial" w:hAnsi="Arial" w:cs="Arial"/>
          <w:color w:val="7B7B7B" w:themeColor="accent3" w:themeShade="BF"/>
          <w:sz w:val="22"/>
          <w:szCs w:val="22"/>
          <w:lang w:val="en-GB"/>
        </w:rPr>
        <w:t>.</w:t>
      </w:r>
    </w:p>
    <w:p w14:paraId="740F950D" w14:textId="77777777" w:rsidR="000F1E77" w:rsidRDefault="000F1E77" w:rsidP="002A37BB">
      <w:pPr>
        <w:autoSpaceDE w:val="0"/>
        <w:autoSpaceDN w:val="0"/>
        <w:adjustRightInd w:val="0"/>
        <w:jc w:val="both"/>
        <w:rPr>
          <w:rFonts w:ascii="Arial" w:hAnsi="Arial" w:cs="Arial"/>
          <w:color w:val="7B7B7B" w:themeColor="accent3" w:themeShade="BF"/>
          <w:sz w:val="22"/>
          <w:szCs w:val="22"/>
          <w:lang w:val="en-GB"/>
        </w:rPr>
      </w:pPr>
    </w:p>
    <w:p w14:paraId="14D5F881" w14:textId="0DA89A78" w:rsidR="000F1E77" w:rsidRDefault="000F1E77"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002D3E9E">
        <w:rPr>
          <w:rFonts w:ascii="Arial" w:hAnsi="Arial" w:cs="Arial"/>
          <w:color w:val="7B7B7B" w:themeColor="accent3" w:themeShade="BF"/>
          <w:sz w:val="22"/>
          <w:szCs w:val="22"/>
          <w:lang w:val="en-GB"/>
        </w:rPr>
        <w:t>A step by step model which applicable can be summarised as follows:-</w:t>
      </w:r>
    </w:p>
    <w:p w14:paraId="1F347093" w14:textId="77777777" w:rsidR="0077463F" w:rsidRDefault="0077463F" w:rsidP="002A37BB">
      <w:pPr>
        <w:autoSpaceDE w:val="0"/>
        <w:autoSpaceDN w:val="0"/>
        <w:adjustRightInd w:val="0"/>
        <w:jc w:val="both"/>
        <w:rPr>
          <w:rFonts w:ascii="Arial" w:hAnsi="Arial" w:cs="Arial"/>
          <w:color w:val="7B7B7B" w:themeColor="accent3" w:themeShade="BF"/>
          <w:sz w:val="22"/>
          <w:szCs w:val="22"/>
          <w:lang w:val="en-GB"/>
        </w:rPr>
      </w:pPr>
    </w:p>
    <w:p w14:paraId="39CF7BD0" w14:textId="5874C5E4" w:rsidR="0077463F" w:rsidRDefault="008649DA" w:rsidP="008649DA">
      <w:pPr>
        <w:autoSpaceDE w:val="0"/>
        <w:autoSpaceDN w:val="0"/>
        <w:adjustRightInd w:val="0"/>
        <w:ind w:left="1440" w:hanging="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2.1</w:t>
      </w:r>
      <w:r>
        <w:rPr>
          <w:rFonts w:ascii="Arial" w:hAnsi="Arial" w:cs="Arial"/>
          <w:color w:val="7B7B7B" w:themeColor="accent3" w:themeShade="BF"/>
          <w:sz w:val="22"/>
          <w:szCs w:val="22"/>
          <w:lang w:val="en-GB"/>
        </w:rPr>
        <w:tab/>
      </w:r>
      <w:r w:rsidR="0077463F">
        <w:rPr>
          <w:rFonts w:ascii="Arial" w:hAnsi="Arial" w:cs="Arial"/>
          <w:color w:val="7B7B7B" w:themeColor="accent3" w:themeShade="BF"/>
          <w:sz w:val="22"/>
          <w:szCs w:val="22"/>
          <w:lang w:val="en-GB"/>
        </w:rPr>
        <w:t>The has a COMI in a member state of the EU, except Denma</w:t>
      </w:r>
      <w:r>
        <w:rPr>
          <w:rFonts w:ascii="Arial" w:hAnsi="Arial" w:cs="Arial"/>
          <w:color w:val="7B7B7B" w:themeColor="accent3" w:themeShade="BF"/>
          <w:sz w:val="22"/>
          <w:szCs w:val="22"/>
          <w:lang w:val="en-GB"/>
        </w:rPr>
        <w:t>rk</w:t>
      </w:r>
      <w:r w:rsidR="005D49C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Yes, in France, based on </w:t>
      </w:r>
      <w:r w:rsidR="00B9137E" w:rsidRPr="00B9137E">
        <w:rPr>
          <w:rFonts w:ascii="Arial" w:hAnsi="Arial" w:cs="Arial"/>
          <w:i/>
          <w:color w:val="7B7B7B" w:themeColor="accent3" w:themeShade="BF"/>
          <w:sz w:val="22"/>
          <w:szCs w:val="22"/>
          <w:lang w:val="en-GB"/>
        </w:rPr>
        <w:t>inter alia</w:t>
      </w:r>
      <w:r w:rsidR="00B9137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009F52FF">
        <w:rPr>
          <w:rFonts w:ascii="Arial" w:hAnsi="Arial" w:cs="Arial"/>
          <w:color w:val="7B7B7B" w:themeColor="accent3" w:themeShade="BF"/>
          <w:sz w:val="22"/>
          <w:szCs w:val="22"/>
          <w:lang w:val="en-GB"/>
        </w:rPr>
        <w:t>registered</w:t>
      </w:r>
      <w:r>
        <w:rPr>
          <w:rFonts w:ascii="Arial" w:hAnsi="Arial" w:cs="Arial"/>
          <w:color w:val="7B7B7B" w:themeColor="accent3" w:themeShade="BF"/>
          <w:sz w:val="22"/>
          <w:szCs w:val="22"/>
          <w:lang w:val="en-GB"/>
        </w:rPr>
        <w:t xml:space="preserve"> </w:t>
      </w:r>
      <w:r w:rsidR="009F52FF">
        <w:rPr>
          <w:rFonts w:ascii="Arial" w:hAnsi="Arial" w:cs="Arial"/>
          <w:color w:val="7B7B7B" w:themeColor="accent3" w:themeShade="BF"/>
          <w:sz w:val="22"/>
          <w:szCs w:val="22"/>
          <w:lang w:val="en-GB"/>
        </w:rPr>
        <w:t xml:space="preserve">office presumption contained in </w:t>
      </w:r>
      <w:r w:rsidR="00B9137E">
        <w:rPr>
          <w:rFonts w:ascii="Arial" w:hAnsi="Arial" w:cs="Arial"/>
          <w:color w:val="7B7B7B" w:themeColor="accent3" w:themeShade="BF"/>
          <w:sz w:val="22"/>
          <w:szCs w:val="22"/>
          <w:lang w:val="en-GB"/>
        </w:rPr>
        <w:t>article 3 of the EIR Recast;</w:t>
      </w:r>
    </w:p>
    <w:p w14:paraId="30CD31AE" w14:textId="77777777" w:rsidR="00B9137E" w:rsidRDefault="00B9137E" w:rsidP="008649DA">
      <w:pPr>
        <w:autoSpaceDE w:val="0"/>
        <w:autoSpaceDN w:val="0"/>
        <w:adjustRightInd w:val="0"/>
        <w:ind w:left="1440" w:hanging="1440"/>
        <w:jc w:val="both"/>
        <w:rPr>
          <w:rFonts w:ascii="Arial" w:hAnsi="Arial" w:cs="Arial"/>
          <w:color w:val="7B7B7B" w:themeColor="accent3" w:themeShade="BF"/>
          <w:sz w:val="22"/>
          <w:szCs w:val="22"/>
          <w:lang w:val="en-GB"/>
        </w:rPr>
      </w:pPr>
    </w:p>
    <w:p w14:paraId="1936DE1A" w14:textId="18E17F15" w:rsidR="00B9137E" w:rsidRDefault="00B9137E" w:rsidP="008649DA">
      <w:pPr>
        <w:autoSpaceDE w:val="0"/>
        <w:autoSpaceDN w:val="0"/>
        <w:adjustRightInd w:val="0"/>
        <w:ind w:left="1440" w:hanging="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2.2</w:t>
      </w:r>
      <w:r>
        <w:rPr>
          <w:rFonts w:ascii="Arial" w:hAnsi="Arial" w:cs="Arial"/>
          <w:color w:val="7B7B7B" w:themeColor="accent3" w:themeShade="BF"/>
          <w:sz w:val="22"/>
          <w:szCs w:val="22"/>
          <w:lang w:val="en-GB"/>
        </w:rPr>
        <w:tab/>
      </w:r>
      <w:r w:rsidR="00901ADA">
        <w:rPr>
          <w:rFonts w:ascii="Arial" w:hAnsi="Arial" w:cs="Arial"/>
          <w:color w:val="7B7B7B" w:themeColor="accent3" w:themeShade="BF"/>
          <w:sz w:val="22"/>
          <w:szCs w:val="22"/>
          <w:lang w:val="en-GB"/>
        </w:rPr>
        <w:t>The debtor is not a bank, insurance company or another “excluded undertaking” ?</w:t>
      </w:r>
      <w:r w:rsidR="005D49C6">
        <w:rPr>
          <w:rFonts w:ascii="Arial" w:hAnsi="Arial" w:cs="Arial"/>
          <w:color w:val="7B7B7B" w:themeColor="accent3" w:themeShade="BF"/>
          <w:sz w:val="22"/>
          <w:szCs w:val="22"/>
          <w:lang w:val="en-GB"/>
        </w:rPr>
        <w:t xml:space="preserve"> Yes</w:t>
      </w:r>
    </w:p>
    <w:p w14:paraId="12D88E8D" w14:textId="77777777" w:rsidR="005D49C6" w:rsidRDefault="005D49C6" w:rsidP="008649DA">
      <w:pPr>
        <w:autoSpaceDE w:val="0"/>
        <w:autoSpaceDN w:val="0"/>
        <w:adjustRightInd w:val="0"/>
        <w:ind w:left="1440" w:hanging="1440"/>
        <w:jc w:val="both"/>
        <w:rPr>
          <w:rFonts w:ascii="Arial" w:hAnsi="Arial" w:cs="Arial"/>
          <w:color w:val="7B7B7B" w:themeColor="accent3" w:themeShade="BF"/>
          <w:sz w:val="22"/>
          <w:szCs w:val="22"/>
          <w:lang w:val="en-GB"/>
        </w:rPr>
      </w:pPr>
    </w:p>
    <w:p w14:paraId="1DD50386" w14:textId="448E6040" w:rsidR="005D49C6" w:rsidRDefault="005D49C6" w:rsidP="008649DA">
      <w:pPr>
        <w:autoSpaceDE w:val="0"/>
        <w:autoSpaceDN w:val="0"/>
        <w:adjustRightInd w:val="0"/>
        <w:ind w:left="1440" w:hanging="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2.3</w:t>
      </w:r>
      <w:r>
        <w:rPr>
          <w:rFonts w:ascii="Arial" w:hAnsi="Arial" w:cs="Arial"/>
          <w:color w:val="7B7B7B" w:themeColor="accent3" w:themeShade="BF"/>
          <w:sz w:val="22"/>
          <w:szCs w:val="22"/>
          <w:lang w:val="en-GB"/>
        </w:rPr>
        <w:tab/>
        <w:t>The proceeding opened against the debtor is listed in Annex A to the EIR Recast? Yes</w:t>
      </w:r>
    </w:p>
    <w:p w14:paraId="0FF4FCAE" w14:textId="77777777" w:rsidR="005D49C6" w:rsidRDefault="005D49C6" w:rsidP="008649DA">
      <w:pPr>
        <w:autoSpaceDE w:val="0"/>
        <w:autoSpaceDN w:val="0"/>
        <w:adjustRightInd w:val="0"/>
        <w:ind w:left="1440" w:hanging="1440"/>
        <w:jc w:val="both"/>
        <w:rPr>
          <w:rFonts w:ascii="Arial" w:hAnsi="Arial" w:cs="Arial"/>
          <w:color w:val="7B7B7B" w:themeColor="accent3" w:themeShade="BF"/>
          <w:sz w:val="22"/>
          <w:szCs w:val="22"/>
          <w:lang w:val="en-GB"/>
        </w:rPr>
      </w:pPr>
    </w:p>
    <w:p w14:paraId="250F4434" w14:textId="30C2DEBE" w:rsidR="005D49C6" w:rsidRDefault="005D49C6" w:rsidP="008649DA">
      <w:pPr>
        <w:autoSpaceDE w:val="0"/>
        <w:autoSpaceDN w:val="0"/>
        <w:adjustRightInd w:val="0"/>
        <w:ind w:left="1440" w:hanging="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2.4</w:t>
      </w:r>
      <w:r>
        <w:rPr>
          <w:rFonts w:ascii="Arial" w:hAnsi="Arial" w:cs="Arial"/>
          <w:color w:val="7B7B7B" w:themeColor="accent3" w:themeShade="BF"/>
          <w:sz w:val="22"/>
          <w:szCs w:val="22"/>
          <w:lang w:val="en-GB"/>
        </w:rPr>
        <w:tab/>
      </w:r>
      <w:r w:rsidR="009A6C47">
        <w:rPr>
          <w:rFonts w:ascii="Arial" w:hAnsi="Arial" w:cs="Arial"/>
          <w:color w:val="7B7B7B" w:themeColor="accent3" w:themeShade="BF"/>
          <w:sz w:val="22"/>
          <w:szCs w:val="22"/>
          <w:lang w:val="en-GB"/>
        </w:rPr>
        <w:t>The proceeding is opened after 26 June 2017? Yes, it was opened on 29 June 2017?</w:t>
      </w:r>
    </w:p>
    <w:p w14:paraId="61215EB3" w14:textId="77777777" w:rsidR="00384536" w:rsidRDefault="00384536" w:rsidP="008649DA">
      <w:pPr>
        <w:autoSpaceDE w:val="0"/>
        <w:autoSpaceDN w:val="0"/>
        <w:adjustRightInd w:val="0"/>
        <w:ind w:left="1440" w:hanging="1440"/>
        <w:jc w:val="both"/>
        <w:rPr>
          <w:rFonts w:ascii="Arial" w:hAnsi="Arial" w:cs="Arial"/>
          <w:color w:val="7B7B7B" w:themeColor="accent3" w:themeShade="BF"/>
          <w:sz w:val="22"/>
          <w:szCs w:val="22"/>
          <w:lang w:val="en-GB"/>
        </w:rPr>
      </w:pPr>
    </w:p>
    <w:p w14:paraId="583AE48C" w14:textId="30EFCFE5" w:rsidR="00384536" w:rsidRPr="008500BD" w:rsidRDefault="00384536" w:rsidP="008649DA">
      <w:pPr>
        <w:autoSpaceDE w:val="0"/>
        <w:autoSpaceDN w:val="0"/>
        <w:adjustRightInd w:val="0"/>
        <w:ind w:left="1440" w:hanging="1440"/>
        <w:jc w:val="both"/>
        <w:rPr>
          <w:rFonts w:ascii="Arial" w:hAnsi="Arial" w:cs="Arial"/>
          <w:sz w:val="22"/>
          <w:szCs w:val="22"/>
          <w:lang w:val="en-GB"/>
        </w:rPr>
      </w:pPr>
      <w:r>
        <w:rPr>
          <w:rFonts w:ascii="Arial" w:hAnsi="Arial" w:cs="Arial"/>
          <w:color w:val="7B7B7B" w:themeColor="accent3" w:themeShade="BF"/>
          <w:sz w:val="22"/>
          <w:szCs w:val="22"/>
          <w:lang w:val="en-GB"/>
        </w:rPr>
        <w:t>2.5</w:t>
      </w:r>
      <w:r>
        <w:rPr>
          <w:rFonts w:ascii="Arial" w:hAnsi="Arial" w:cs="Arial"/>
          <w:color w:val="7B7B7B" w:themeColor="accent3" w:themeShade="BF"/>
          <w:sz w:val="22"/>
          <w:szCs w:val="22"/>
          <w:lang w:val="en-GB"/>
        </w:rPr>
        <w:tab/>
        <w:t>Because all the answers to the above steps are in the affirmative, I con</w:t>
      </w:r>
      <w:r w:rsidR="007317AE">
        <w:rPr>
          <w:rFonts w:ascii="Arial" w:hAnsi="Arial" w:cs="Arial"/>
          <w:color w:val="7B7B7B" w:themeColor="accent3" w:themeShade="BF"/>
          <w:sz w:val="22"/>
          <w:szCs w:val="22"/>
          <w:lang w:val="en-GB"/>
        </w:rPr>
        <w:t xml:space="preserve">clude and submit that the EIR Recast applies to the proceedings concerned.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3F58FE85" w14:textId="77777777" w:rsidR="00612E90" w:rsidRPr="008500BD" w:rsidRDefault="00612E90" w:rsidP="002A37BB">
      <w:pPr>
        <w:jc w:val="both"/>
        <w:rPr>
          <w:rFonts w:ascii="Arial" w:hAnsi="Arial" w:cs="Arial"/>
          <w:sz w:val="22"/>
          <w:szCs w:val="22"/>
          <w:lang w:val="en-GB"/>
        </w:rPr>
      </w:pPr>
    </w:p>
    <w:p w14:paraId="44D8DC8E" w14:textId="77777777" w:rsidR="002D0021" w:rsidRPr="008500BD" w:rsidRDefault="002D0021" w:rsidP="002A37BB">
      <w:pPr>
        <w:jc w:val="both"/>
        <w:rPr>
          <w:rFonts w:ascii="Arial" w:hAnsi="Arial" w:cs="Arial"/>
          <w:sz w:val="22"/>
          <w:szCs w:val="22"/>
          <w:lang w:val="en-GB"/>
        </w:rPr>
      </w:pPr>
    </w:p>
    <w:p w14:paraId="77CE8695" w14:textId="4C9232E5" w:rsidR="0077498C" w:rsidRDefault="00CA7E73" w:rsidP="003235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Secondary proceedings can</w:t>
      </w:r>
      <w:r w:rsidR="00612E90">
        <w:rPr>
          <w:rFonts w:ascii="Arial" w:hAnsi="Arial" w:cs="Arial"/>
          <w:color w:val="7B7B7B" w:themeColor="accent3" w:themeShade="BF"/>
          <w:sz w:val="22"/>
          <w:szCs w:val="22"/>
          <w:lang w:val="en-GB"/>
        </w:rPr>
        <w:t xml:space="preserve"> be opened in Spain if </w:t>
      </w:r>
      <w:r>
        <w:rPr>
          <w:rFonts w:ascii="Arial" w:hAnsi="Arial" w:cs="Arial"/>
          <w:color w:val="7B7B7B" w:themeColor="accent3" w:themeShade="BF"/>
          <w:sz w:val="22"/>
          <w:szCs w:val="22"/>
          <w:lang w:val="en-GB"/>
        </w:rPr>
        <w:t xml:space="preserve">PAJ has an establishment there, </w:t>
      </w:r>
      <w:r w:rsidR="00323542">
        <w:rPr>
          <w:rFonts w:ascii="Arial" w:hAnsi="Arial" w:cs="Arial"/>
          <w:color w:val="7B7B7B" w:themeColor="accent3" w:themeShade="BF"/>
          <w:sz w:val="22"/>
          <w:szCs w:val="22"/>
          <w:lang w:val="en-GB"/>
        </w:rPr>
        <w:t>according</w:t>
      </w:r>
      <w:r>
        <w:rPr>
          <w:rFonts w:ascii="Arial" w:hAnsi="Arial" w:cs="Arial"/>
          <w:color w:val="7B7B7B" w:themeColor="accent3" w:themeShade="BF"/>
          <w:sz w:val="22"/>
          <w:szCs w:val="22"/>
          <w:lang w:val="en-GB"/>
        </w:rPr>
        <w:t xml:space="preserve"> to Article 3(2) EIR Recast. </w:t>
      </w:r>
    </w:p>
    <w:p w14:paraId="62A3EF55" w14:textId="77777777" w:rsidR="00323542" w:rsidRDefault="00323542" w:rsidP="00323542">
      <w:pPr>
        <w:ind w:left="720" w:hanging="720"/>
        <w:jc w:val="both"/>
        <w:rPr>
          <w:rFonts w:ascii="Arial" w:hAnsi="Arial" w:cs="Arial"/>
          <w:color w:val="7B7B7B" w:themeColor="accent3" w:themeShade="BF"/>
          <w:sz w:val="22"/>
          <w:szCs w:val="22"/>
          <w:lang w:val="en-GB"/>
        </w:rPr>
      </w:pPr>
    </w:p>
    <w:p w14:paraId="20EB9650" w14:textId="186646A8" w:rsidR="000561B5" w:rsidRDefault="00323542" w:rsidP="003235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001D02E8">
        <w:rPr>
          <w:rFonts w:ascii="Arial" w:hAnsi="Arial" w:cs="Arial"/>
          <w:color w:val="7B7B7B" w:themeColor="accent3" w:themeShade="BF"/>
          <w:sz w:val="22"/>
          <w:szCs w:val="22"/>
          <w:lang w:val="en-GB"/>
        </w:rPr>
        <w:t>Such proceedings’ effect shall be limited to PAJ’s assets situate in Spain, which, thus, would enable a Spanish bank to</w:t>
      </w:r>
      <w:r w:rsidR="004C14AC">
        <w:rPr>
          <w:rFonts w:ascii="Arial" w:hAnsi="Arial" w:cs="Arial"/>
          <w:color w:val="7B7B7B" w:themeColor="accent3" w:themeShade="BF"/>
          <w:sz w:val="22"/>
          <w:szCs w:val="22"/>
          <w:lang w:val="en-GB"/>
        </w:rPr>
        <w:t xml:space="preserve"> secure a Spanish distribution ranking</w:t>
      </w:r>
      <w:r w:rsidR="000561B5">
        <w:rPr>
          <w:rFonts w:ascii="Arial" w:hAnsi="Arial" w:cs="Arial"/>
          <w:color w:val="7B7B7B" w:themeColor="accent3" w:themeShade="BF"/>
          <w:sz w:val="22"/>
          <w:szCs w:val="22"/>
          <w:lang w:val="en-GB"/>
        </w:rPr>
        <w:t>.</w:t>
      </w:r>
      <w:r w:rsidR="00F70C6D">
        <w:rPr>
          <w:rFonts w:ascii="Arial" w:hAnsi="Arial" w:cs="Arial"/>
          <w:color w:val="7B7B7B" w:themeColor="accent3" w:themeShade="BF"/>
          <w:sz w:val="22"/>
          <w:szCs w:val="22"/>
          <w:lang w:val="en-GB"/>
        </w:rPr>
        <w:t xml:space="preserve"> That is </w:t>
      </w:r>
      <w:r w:rsidR="00A3149E">
        <w:rPr>
          <w:rFonts w:ascii="Arial" w:hAnsi="Arial" w:cs="Arial"/>
          <w:color w:val="7B7B7B" w:themeColor="accent3" w:themeShade="BF"/>
          <w:sz w:val="22"/>
          <w:szCs w:val="22"/>
          <w:lang w:val="en-GB"/>
        </w:rPr>
        <w:t>because</w:t>
      </w:r>
      <w:r w:rsidR="00F70C6D">
        <w:rPr>
          <w:rFonts w:ascii="Arial" w:hAnsi="Arial" w:cs="Arial"/>
          <w:color w:val="7B7B7B" w:themeColor="accent3" w:themeShade="BF"/>
          <w:sz w:val="22"/>
          <w:szCs w:val="22"/>
          <w:lang w:val="en-GB"/>
        </w:rPr>
        <w:t xml:space="preserve"> the opening of secondary proceedings </w:t>
      </w:r>
      <w:r w:rsidR="00A7398E">
        <w:rPr>
          <w:rFonts w:ascii="Arial" w:hAnsi="Arial" w:cs="Arial"/>
          <w:color w:val="7B7B7B" w:themeColor="accent3" w:themeShade="BF"/>
          <w:sz w:val="22"/>
          <w:szCs w:val="22"/>
          <w:lang w:val="en-GB"/>
        </w:rPr>
        <w:t xml:space="preserve">creates a separate insolvency estate and the application of a separate </w:t>
      </w:r>
      <w:r w:rsidR="00236EB0" w:rsidRPr="00A3149E">
        <w:rPr>
          <w:rFonts w:ascii="Arial" w:hAnsi="Arial" w:cs="Arial"/>
          <w:i/>
          <w:color w:val="7B7B7B" w:themeColor="accent3" w:themeShade="BF"/>
          <w:sz w:val="22"/>
          <w:szCs w:val="22"/>
          <w:lang w:val="en-GB"/>
        </w:rPr>
        <w:t>lex concursus</w:t>
      </w:r>
      <w:r w:rsidR="00236EB0">
        <w:rPr>
          <w:rFonts w:ascii="Arial" w:hAnsi="Arial" w:cs="Arial"/>
          <w:color w:val="7B7B7B" w:themeColor="accent3" w:themeShade="BF"/>
          <w:sz w:val="22"/>
          <w:szCs w:val="22"/>
          <w:lang w:val="en-GB"/>
        </w:rPr>
        <w:t xml:space="preserve"> – </w:t>
      </w:r>
      <w:r w:rsidR="00236EB0" w:rsidRPr="00A3149E">
        <w:rPr>
          <w:rFonts w:ascii="Arial" w:hAnsi="Arial" w:cs="Arial"/>
          <w:i/>
          <w:color w:val="7B7B7B" w:themeColor="accent3" w:themeShade="BF"/>
          <w:sz w:val="22"/>
          <w:szCs w:val="22"/>
          <w:lang w:val="en-GB"/>
        </w:rPr>
        <w:t xml:space="preserve">lex concursus </w:t>
      </w:r>
      <w:proofErr w:type="spellStart"/>
      <w:r w:rsidR="00236EB0" w:rsidRPr="00A3149E">
        <w:rPr>
          <w:rFonts w:ascii="Arial" w:hAnsi="Arial" w:cs="Arial"/>
          <w:i/>
          <w:color w:val="7B7B7B" w:themeColor="accent3" w:themeShade="BF"/>
          <w:sz w:val="22"/>
          <w:szCs w:val="22"/>
          <w:lang w:val="en-GB"/>
        </w:rPr>
        <w:t>secundari</w:t>
      </w:r>
      <w:proofErr w:type="spellEnd"/>
      <w:r w:rsidR="00236EB0">
        <w:rPr>
          <w:rFonts w:ascii="Arial" w:hAnsi="Arial" w:cs="Arial"/>
          <w:color w:val="7B7B7B" w:themeColor="accent3" w:themeShade="BF"/>
          <w:sz w:val="22"/>
          <w:szCs w:val="22"/>
          <w:lang w:val="en-GB"/>
        </w:rPr>
        <w:t xml:space="preserve">. </w:t>
      </w:r>
    </w:p>
    <w:p w14:paraId="50827830" w14:textId="77777777" w:rsidR="000561B5" w:rsidRDefault="000561B5" w:rsidP="00323542">
      <w:pPr>
        <w:ind w:left="720" w:hanging="720"/>
        <w:jc w:val="both"/>
        <w:rPr>
          <w:rFonts w:ascii="Arial" w:hAnsi="Arial" w:cs="Arial"/>
          <w:color w:val="7B7B7B" w:themeColor="accent3" w:themeShade="BF"/>
          <w:sz w:val="22"/>
          <w:szCs w:val="22"/>
          <w:lang w:val="en-GB"/>
        </w:rPr>
      </w:pPr>
    </w:p>
    <w:p w14:paraId="46217A0D" w14:textId="1ADBC501" w:rsidR="00323542" w:rsidRDefault="000561B5" w:rsidP="003235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r>
      <w:r w:rsidR="009E6807">
        <w:rPr>
          <w:rFonts w:ascii="Arial" w:hAnsi="Arial" w:cs="Arial"/>
          <w:color w:val="7B7B7B" w:themeColor="accent3" w:themeShade="BF"/>
          <w:sz w:val="22"/>
          <w:szCs w:val="22"/>
          <w:lang w:val="en-GB"/>
        </w:rPr>
        <w:t xml:space="preserve">According to Article 2 (10) EIR Recast, “establishment” means any place of operations where a debtor </w:t>
      </w:r>
      <w:r w:rsidR="00456FA0">
        <w:rPr>
          <w:rFonts w:ascii="Arial" w:hAnsi="Arial" w:cs="Arial"/>
          <w:color w:val="7B7B7B" w:themeColor="accent3" w:themeShade="BF"/>
          <w:sz w:val="22"/>
          <w:szCs w:val="22"/>
          <w:lang w:val="en-GB"/>
        </w:rPr>
        <w:t xml:space="preserve">carries out or has carried out in the 3 month </w:t>
      </w:r>
      <w:r w:rsidR="0056706D">
        <w:rPr>
          <w:rFonts w:ascii="Arial" w:hAnsi="Arial" w:cs="Arial"/>
          <w:color w:val="7B7B7B" w:themeColor="accent3" w:themeShade="BF"/>
          <w:sz w:val="22"/>
          <w:szCs w:val="22"/>
          <w:lang w:val="en-GB"/>
        </w:rPr>
        <w:t>period</w:t>
      </w:r>
      <w:r w:rsidR="00456FA0">
        <w:rPr>
          <w:rFonts w:ascii="Arial" w:hAnsi="Arial" w:cs="Arial"/>
          <w:color w:val="7B7B7B" w:themeColor="accent3" w:themeShade="BF"/>
          <w:sz w:val="22"/>
          <w:szCs w:val="22"/>
          <w:lang w:val="en-GB"/>
        </w:rPr>
        <w:t xml:space="preserve"> before the</w:t>
      </w:r>
      <w:r w:rsidR="0056706D">
        <w:rPr>
          <w:rFonts w:ascii="Arial" w:hAnsi="Arial" w:cs="Arial"/>
          <w:color w:val="7B7B7B" w:themeColor="accent3" w:themeShade="BF"/>
          <w:sz w:val="22"/>
          <w:szCs w:val="22"/>
          <w:lang w:val="en-GB"/>
        </w:rPr>
        <w:t xml:space="preserve"> request to open </w:t>
      </w:r>
      <w:r w:rsidR="009144E6">
        <w:rPr>
          <w:rFonts w:ascii="Arial" w:hAnsi="Arial" w:cs="Arial"/>
          <w:color w:val="7B7B7B" w:themeColor="accent3" w:themeShade="BF"/>
          <w:sz w:val="22"/>
          <w:szCs w:val="22"/>
          <w:lang w:val="en-GB"/>
        </w:rPr>
        <w:t xml:space="preserve">main proceedings a non-transitory economic activity with human means </w:t>
      </w:r>
      <w:r w:rsidR="003B06BC">
        <w:rPr>
          <w:rFonts w:ascii="Arial" w:hAnsi="Arial" w:cs="Arial"/>
          <w:color w:val="7B7B7B" w:themeColor="accent3" w:themeShade="BF"/>
          <w:sz w:val="22"/>
          <w:szCs w:val="22"/>
          <w:lang w:val="en-GB"/>
        </w:rPr>
        <w:t>and assets.</w:t>
      </w:r>
    </w:p>
    <w:p w14:paraId="4956F631" w14:textId="77777777" w:rsidR="00022DCA" w:rsidRDefault="00022DCA" w:rsidP="00323542">
      <w:pPr>
        <w:ind w:left="720" w:hanging="720"/>
        <w:jc w:val="both"/>
        <w:rPr>
          <w:rFonts w:ascii="Arial" w:hAnsi="Arial" w:cs="Arial"/>
          <w:color w:val="7B7B7B" w:themeColor="accent3" w:themeShade="BF"/>
          <w:sz w:val="22"/>
          <w:szCs w:val="22"/>
          <w:lang w:val="en-GB"/>
        </w:rPr>
      </w:pPr>
    </w:p>
    <w:p w14:paraId="282FA419" w14:textId="57611EB7" w:rsidR="00022DCA" w:rsidRDefault="00022DCA" w:rsidP="003235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t xml:space="preserve">The EIR Recast adheres to the autonomous interpretation of </w:t>
      </w:r>
      <w:r w:rsidR="00CF369D">
        <w:rPr>
          <w:rFonts w:ascii="Arial" w:hAnsi="Arial" w:cs="Arial"/>
          <w:color w:val="7B7B7B" w:themeColor="accent3" w:themeShade="BF"/>
          <w:sz w:val="22"/>
          <w:szCs w:val="22"/>
          <w:lang w:val="en-GB"/>
        </w:rPr>
        <w:t xml:space="preserve">the concept of an </w:t>
      </w:r>
      <w:r w:rsidR="00A57463">
        <w:rPr>
          <w:rFonts w:ascii="Arial" w:hAnsi="Arial" w:cs="Arial"/>
          <w:color w:val="7B7B7B" w:themeColor="accent3" w:themeShade="BF"/>
          <w:sz w:val="22"/>
          <w:szCs w:val="22"/>
          <w:lang w:val="en-GB"/>
        </w:rPr>
        <w:t>“</w:t>
      </w:r>
      <w:r w:rsidR="00CF369D">
        <w:rPr>
          <w:rFonts w:ascii="Arial" w:hAnsi="Arial" w:cs="Arial"/>
          <w:color w:val="7B7B7B" w:themeColor="accent3" w:themeShade="BF"/>
          <w:sz w:val="22"/>
          <w:szCs w:val="22"/>
          <w:lang w:val="en-GB"/>
        </w:rPr>
        <w:t>establishment</w:t>
      </w:r>
      <w:r w:rsidR="00A57463">
        <w:rPr>
          <w:rFonts w:ascii="Arial" w:hAnsi="Arial" w:cs="Arial"/>
          <w:color w:val="7B7B7B" w:themeColor="accent3" w:themeShade="BF"/>
          <w:sz w:val="22"/>
          <w:szCs w:val="22"/>
          <w:lang w:val="en-GB"/>
        </w:rPr>
        <w:t>”</w:t>
      </w:r>
      <w:r w:rsidR="00CF369D">
        <w:rPr>
          <w:rFonts w:ascii="Arial" w:hAnsi="Arial" w:cs="Arial"/>
          <w:color w:val="7B7B7B" w:themeColor="accent3" w:themeShade="BF"/>
          <w:sz w:val="22"/>
          <w:szCs w:val="22"/>
          <w:lang w:val="en-GB"/>
        </w:rPr>
        <w:t xml:space="preserve">. In </w:t>
      </w:r>
      <w:proofErr w:type="spellStart"/>
      <w:r w:rsidR="00A57463">
        <w:rPr>
          <w:rFonts w:ascii="Arial" w:hAnsi="Arial" w:cs="Arial"/>
          <w:i/>
          <w:color w:val="7B7B7B" w:themeColor="accent3" w:themeShade="BF"/>
          <w:sz w:val="22"/>
          <w:szCs w:val="22"/>
          <w:lang w:val="en-GB"/>
        </w:rPr>
        <w:t>Interdil</w:t>
      </w:r>
      <w:proofErr w:type="spellEnd"/>
      <w:r w:rsidR="00CF369D">
        <w:rPr>
          <w:rFonts w:ascii="Arial" w:hAnsi="Arial" w:cs="Arial"/>
          <w:i/>
          <w:color w:val="7B7B7B" w:themeColor="accent3" w:themeShade="BF"/>
          <w:sz w:val="22"/>
          <w:szCs w:val="22"/>
          <w:lang w:val="en-GB"/>
        </w:rPr>
        <w:t xml:space="preserve"> </w:t>
      </w:r>
      <w:r w:rsidR="00CF369D">
        <w:rPr>
          <w:rFonts w:ascii="Arial" w:hAnsi="Arial" w:cs="Arial"/>
          <w:color w:val="7B7B7B" w:themeColor="accent3" w:themeShade="BF"/>
          <w:sz w:val="22"/>
          <w:szCs w:val="22"/>
          <w:lang w:val="en-GB"/>
        </w:rPr>
        <w:t xml:space="preserve">the CJEU examined the concept and </w:t>
      </w:r>
      <w:r w:rsidR="00DC42FD">
        <w:rPr>
          <w:rFonts w:ascii="Arial" w:hAnsi="Arial" w:cs="Arial"/>
          <w:color w:val="7B7B7B" w:themeColor="accent3" w:themeShade="BF"/>
          <w:sz w:val="22"/>
          <w:szCs w:val="22"/>
          <w:lang w:val="en-GB"/>
        </w:rPr>
        <w:t>conclude</w:t>
      </w:r>
      <w:r w:rsidR="00A57463">
        <w:rPr>
          <w:rFonts w:ascii="Arial" w:hAnsi="Arial" w:cs="Arial"/>
          <w:color w:val="7B7B7B" w:themeColor="accent3" w:themeShade="BF"/>
          <w:sz w:val="22"/>
          <w:szCs w:val="22"/>
          <w:lang w:val="en-GB"/>
        </w:rPr>
        <w:t>d</w:t>
      </w:r>
      <w:r w:rsidR="00DC42FD">
        <w:rPr>
          <w:rFonts w:ascii="Arial" w:hAnsi="Arial" w:cs="Arial"/>
          <w:color w:val="7B7B7B" w:themeColor="accent3" w:themeShade="BF"/>
          <w:sz w:val="22"/>
          <w:szCs w:val="22"/>
          <w:lang w:val="en-GB"/>
        </w:rPr>
        <w:t xml:space="preserve"> that the fact that the </w:t>
      </w:r>
      <w:r w:rsidR="00A57463">
        <w:rPr>
          <w:rFonts w:ascii="Arial" w:hAnsi="Arial" w:cs="Arial"/>
          <w:color w:val="7B7B7B" w:themeColor="accent3" w:themeShade="BF"/>
          <w:sz w:val="22"/>
          <w:szCs w:val="22"/>
          <w:lang w:val="en-GB"/>
        </w:rPr>
        <w:t>definition</w:t>
      </w:r>
      <w:r w:rsidR="00DC42FD">
        <w:rPr>
          <w:rFonts w:ascii="Arial" w:hAnsi="Arial" w:cs="Arial"/>
          <w:color w:val="7B7B7B" w:themeColor="accent3" w:themeShade="BF"/>
          <w:sz w:val="22"/>
          <w:szCs w:val="22"/>
          <w:lang w:val="en-GB"/>
        </w:rPr>
        <w:t xml:space="preserve"> connects the pursuit of an economic activity to the presence of human resources, shows that a minimum </w:t>
      </w:r>
      <w:r w:rsidR="00A113A4">
        <w:rPr>
          <w:rFonts w:ascii="Arial" w:hAnsi="Arial" w:cs="Arial"/>
          <w:color w:val="7B7B7B" w:themeColor="accent3" w:themeShade="BF"/>
          <w:sz w:val="22"/>
          <w:szCs w:val="22"/>
          <w:lang w:val="en-GB"/>
        </w:rPr>
        <w:t xml:space="preserve">level of organisation and a degree of stability are required. It follows then that the existence </w:t>
      </w:r>
      <w:r w:rsidR="00003196">
        <w:rPr>
          <w:rFonts w:ascii="Arial" w:hAnsi="Arial" w:cs="Arial"/>
          <w:color w:val="7B7B7B" w:themeColor="accent3" w:themeShade="BF"/>
          <w:sz w:val="22"/>
          <w:szCs w:val="22"/>
          <w:lang w:val="en-GB"/>
        </w:rPr>
        <w:t xml:space="preserve">alone </w:t>
      </w:r>
      <w:r w:rsidR="00A113A4">
        <w:rPr>
          <w:rFonts w:ascii="Arial" w:hAnsi="Arial" w:cs="Arial"/>
          <w:color w:val="7B7B7B" w:themeColor="accent3" w:themeShade="BF"/>
          <w:sz w:val="22"/>
          <w:szCs w:val="22"/>
          <w:lang w:val="en-GB"/>
        </w:rPr>
        <w:t xml:space="preserve">of </w:t>
      </w:r>
      <w:r w:rsidR="00003196">
        <w:rPr>
          <w:rFonts w:ascii="Arial" w:hAnsi="Arial" w:cs="Arial"/>
          <w:color w:val="7B7B7B" w:themeColor="accent3" w:themeShade="BF"/>
          <w:sz w:val="22"/>
          <w:szCs w:val="22"/>
          <w:lang w:val="en-GB"/>
        </w:rPr>
        <w:t xml:space="preserve">goods in isolation or bank account </w:t>
      </w:r>
      <w:r w:rsidR="00065DEE">
        <w:rPr>
          <w:rFonts w:ascii="Arial" w:hAnsi="Arial" w:cs="Arial"/>
          <w:color w:val="7B7B7B" w:themeColor="accent3" w:themeShade="BF"/>
          <w:sz w:val="22"/>
          <w:szCs w:val="22"/>
          <w:lang w:val="en-GB"/>
        </w:rPr>
        <w:t>does not, in principle, satisfy the requirements to be classified as an “establishment”.</w:t>
      </w:r>
      <w:r w:rsidR="001C24C0">
        <w:rPr>
          <w:rFonts w:ascii="Arial" w:hAnsi="Arial" w:cs="Arial"/>
          <w:color w:val="7B7B7B" w:themeColor="accent3" w:themeShade="BF"/>
          <w:sz w:val="22"/>
          <w:szCs w:val="22"/>
          <w:lang w:val="en-GB"/>
        </w:rPr>
        <w:t xml:space="preserve"> It be reasonably be argued that </w:t>
      </w:r>
      <w:r w:rsidR="00E01BE3">
        <w:rPr>
          <w:rFonts w:ascii="Arial" w:hAnsi="Arial" w:cs="Arial"/>
          <w:color w:val="7B7B7B" w:themeColor="accent3" w:themeShade="BF"/>
          <w:sz w:val="22"/>
          <w:szCs w:val="22"/>
          <w:lang w:val="en-GB"/>
        </w:rPr>
        <w:t>PAJ has an establishment in Spain because :-</w:t>
      </w:r>
    </w:p>
    <w:p w14:paraId="2E60EC97" w14:textId="77777777" w:rsidR="00E01BE3" w:rsidRDefault="00E01BE3" w:rsidP="00323542">
      <w:pPr>
        <w:ind w:left="720" w:hanging="720"/>
        <w:jc w:val="both"/>
        <w:rPr>
          <w:rFonts w:ascii="Arial" w:hAnsi="Arial" w:cs="Arial"/>
          <w:color w:val="7B7B7B" w:themeColor="accent3" w:themeShade="BF"/>
          <w:sz w:val="22"/>
          <w:szCs w:val="22"/>
          <w:lang w:val="en-GB"/>
        </w:rPr>
      </w:pPr>
    </w:p>
    <w:p w14:paraId="43E445B8" w14:textId="41ECCCD7" w:rsidR="00E01BE3" w:rsidRDefault="00E01BE3" w:rsidP="003235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 xml:space="preserve">it has </w:t>
      </w:r>
      <w:r w:rsidR="00EA1BEA">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warehouses in Spain</w:t>
      </w:r>
      <w:r w:rsidR="00CA3964">
        <w:rPr>
          <w:rFonts w:ascii="Arial" w:hAnsi="Arial" w:cs="Arial"/>
          <w:color w:val="7B7B7B" w:themeColor="accent3" w:themeShade="BF"/>
          <w:sz w:val="22"/>
          <w:szCs w:val="22"/>
          <w:lang w:val="en-GB"/>
        </w:rPr>
        <w:t>;</w:t>
      </w:r>
    </w:p>
    <w:p w14:paraId="777816DF" w14:textId="530DCDE1" w:rsidR="00CA3964" w:rsidRDefault="00CA3964" w:rsidP="00CA3964">
      <w:pPr>
        <w:ind w:left="1440" w:hanging="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4.2</w:t>
      </w:r>
      <w:r>
        <w:rPr>
          <w:rFonts w:ascii="Arial" w:hAnsi="Arial" w:cs="Arial"/>
          <w:color w:val="7B7B7B" w:themeColor="accent3" w:themeShade="BF"/>
          <w:sz w:val="22"/>
          <w:szCs w:val="22"/>
          <w:lang w:val="en-GB"/>
        </w:rPr>
        <w:tab/>
        <w:t xml:space="preserve">it has concluded a line of </w:t>
      </w:r>
      <w:r w:rsidR="00EA1BEA">
        <w:rPr>
          <w:rFonts w:ascii="Arial" w:hAnsi="Arial" w:cs="Arial"/>
          <w:color w:val="7B7B7B" w:themeColor="accent3" w:themeShade="BF"/>
          <w:sz w:val="22"/>
          <w:szCs w:val="22"/>
          <w:lang w:val="en-GB"/>
        </w:rPr>
        <w:t>credit</w:t>
      </w:r>
      <w:r>
        <w:rPr>
          <w:rFonts w:ascii="Arial" w:hAnsi="Arial" w:cs="Arial"/>
          <w:color w:val="7B7B7B" w:themeColor="accent3" w:themeShade="BF"/>
          <w:sz w:val="22"/>
          <w:szCs w:val="22"/>
          <w:lang w:val="en-GB"/>
        </w:rPr>
        <w:t xml:space="preserve"> agreement with a Spanish bank with which it has a bank </w:t>
      </w:r>
      <w:r w:rsidR="00EA1BEA">
        <w:rPr>
          <w:rFonts w:ascii="Arial" w:hAnsi="Arial" w:cs="Arial"/>
          <w:color w:val="7B7B7B" w:themeColor="accent3" w:themeShade="BF"/>
          <w:sz w:val="22"/>
          <w:szCs w:val="22"/>
          <w:lang w:val="en-GB"/>
        </w:rPr>
        <w:t>account;</w:t>
      </w:r>
    </w:p>
    <w:p w14:paraId="0068E45F" w14:textId="25E9DA65" w:rsidR="00EA1BEA" w:rsidRPr="00CF369D" w:rsidRDefault="00986982" w:rsidP="00986982">
      <w:pPr>
        <w:ind w:left="1440" w:hanging="1440"/>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4.3</w:t>
      </w:r>
      <w:r>
        <w:rPr>
          <w:rFonts w:ascii="Arial" w:hAnsi="Arial" w:cs="Arial"/>
          <w:color w:val="7B7B7B" w:themeColor="accent3" w:themeShade="BF"/>
          <w:sz w:val="22"/>
          <w:szCs w:val="22"/>
          <w:lang w:val="en-GB"/>
        </w:rPr>
        <w:tab/>
      </w:r>
      <w:r w:rsidR="002E7A23">
        <w:rPr>
          <w:rFonts w:ascii="Arial" w:hAnsi="Arial" w:cs="Arial"/>
          <w:color w:val="7B7B7B" w:themeColor="accent3" w:themeShade="BF"/>
          <w:sz w:val="22"/>
          <w:szCs w:val="22"/>
          <w:lang w:val="en-GB"/>
        </w:rPr>
        <w:t xml:space="preserve">it has concluded some memoranda with local </w:t>
      </w:r>
      <w:r w:rsidR="00A9039C">
        <w:rPr>
          <w:rFonts w:ascii="Arial" w:hAnsi="Arial" w:cs="Arial"/>
          <w:color w:val="7B7B7B" w:themeColor="accent3" w:themeShade="BF"/>
          <w:sz w:val="22"/>
          <w:szCs w:val="22"/>
          <w:lang w:val="en-GB"/>
        </w:rPr>
        <w:t>distributors</w:t>
      </w:r>
      <w:r w:rsidR="002E7A2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for purposes of expanding to the Spanish adult gaming market.</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0F0B" w14:textId="77777777" w:rsidR="004311D8" w:rsidRDefault="004311D8" w:rsidP="00241B44">
      <w:r>
        <w:separator/>
      </w:r>
    </w:p>
  </w:endnote>
  <w:endnote w:type="continuationSeparator" w:id="0">
    <w:p w14:paraId="04DF247F" w14:textId="77777777" w:rsidR="004311D8" w:rsidRDefault="004311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311D8" w:rsidRPr="00FC7B47" w:rsidRDefault="004311D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4311D8" w:rsidRPr="00FC7B47" w:rsidRDefault="004311D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4311D8" w:rsidRPr="009B4976" w:rsidRDefault="004311D8" w:rsidP="004311D8">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A9039C">
          <w:rPr>
            <w:rStyle w:val="PageNumber"/>
            <w:rFonts w:ascii="Arial" w:hAnsi="Arial" w:cs="Arial"/>
            <w:noProof/>
            <w:sz w:val="18"/>
            <w:szCs w:val="18"/>
          </w:rPr>
          <w:t>15</w:t>
        </w:r>
        <w:r w:rsidRPr="009B4976">
          <w:rPr>
            <w:rStyle w:val="PageNumber"/>
            <w:rFonts w:ascii="Arial" w:hAnsi="Arial" w:cs="Arial"/>
            <w:sz w:val="18"/>
            <w:szCs w:val="18"/>
          </w:rPr>
          <w:fldChar w:fldCharType="end"/>
        </w:r>
      </w:p>
    </w:sdtContent>
  </w:sdt>
  <w:p w14:paraId="3BE547EB" w14:textId="77777777" w:rsidR="004311D8" w:rsidRDefault="004311D8" w:rsidP="009B4976">
    <w:pPr>
      <w:pStyle w:val="Footer"/>
      <w:ind w:right="360"/>
      <w:rPr>
        <w:rFonts w:ascii="Arial" w:hAnsi="Arial" w:cs="Arial"/>
        <w:sz w:val="18"/>
        <w:szCs w:val="18"/>
        <w:lang w:val="en-GB"/>
      </w:rPr>
    </w:pPr>
  </w:p>
  <w:p w14:paraId="30F05E79" w14:textId="583CEB10" w:rsidR="004311D8" w:rsidRPr="009B4976" w:rsidRDefault="004311D8" w:rsidP="009B4976">
    <w:pPr>
      <w:pStyle w:val="Footer"/>
      <w:ind w:right="360"/>
      <w:rPr>
        <w:rFonts w:ascii="Arial" w:hAnsi="Arial" w:cs="Arial"/>
        <w:sz w:val="18"/>
        <w:szCs w:val="18"/>
        <w:lang w:val="en-GB"/>
      </w:rPr>
    </w:pPr>
    <w:r w:rsidRPr="00FB2E9F">
      <w:rPr>
        <w:rFonts w:ascii="Arial" w:hAnsi="Arial" w:cs="Arial"/>
        <w:sz w:val="18"/>
        <w:szCs w:val="18"/>
        <w:lang w:val="en-GB"/>
      </w:rPr>
      <w:t>202021IFU-289</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B4E20" w14:textId="77777777" w:rsidR="004311D8" w:rsidRDefault="004311D8" w:rsidP="00241B44">
      <w:r>
        <w:separator/>
      </w:r>
    </w:p>
  </w:footnote>
  <w:footnote w:type="continuationSeparator" w:id="0">
    <w:p w14:paraId="6888F1C7" w14:textId="77777777" w:rsidR="004311D8" w:rsidRDefault="004311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3E3"/>
    <w:rsid w:val="00003196"/>
    <w:rsid w:val="00007146"/>
    <w:rsid w:val="00010BA0"/>
    <w:rsid w:val="00010BAB"/>
    <w:rsid w:val="0001344B"/>
    <w:rsid w:val="00014B49"/>
    <w:rsid w:val="0001507D"/>
    <w:rsid w:val="00020557"/>
    <w:rsid w:val="00022DCA"/>
    <w:rsid w:val="0002331E"/>
    <w:rsid w:val="000250C7"/>
    <w:rsid w:val="00026F16"/>
    <w:rsid w:val="00037621"/>
    <w:rsid w:val="000434E5"/>
    <w:rsid w:val="00044D46"/>
    <w:rsid w:val="00045088"/>
    <w:rsid w:val="00045904"/>
    <w:rsid w:val="000561B5"/>
    <w:rsid w:val="000636A4"/>
    <w:rsid w:val="00065166"/>
    <w:rsid w:val="000653D6"/>
    <w:rsid w:val="00065DEE"/>
    <w:rsid w:val="000820A0"/>
    <w:rsid w:val="000823CF"/>
    <w:rsid w:val="00082609"/>
    <w:rsid w:val="000851CC"/>
    <w:rsid w:val="000861A2"/>
    <w:rsid w:val="00087CD6"/>
    <w:rsid w:val="00093BE8"/>
    <w:rsid w:val="0009546B"/>
    <w:rsid w:val="000A1A17"/>
    <w:rsid w:val="000A68ED"/>
    <w:rsid w:val="000A7BF9"/>
    <w:rsid w:val="000B5FF1"/>
    <w:rsid w:val="000B609F"/>
    <w:rsid w:val="000C487C"/>
    <w:rsid w:val="000D55A8"/>
    <w:rsid w:val="000D5D93"/>
    <w:rsid w:val="000E3618"/>
    <w:rsid w:val="000E4841"/>
    <w:rsid w:val="000E7685"/>
    <w:rsid w:val="000F1677"/>
    <w:rsid w:val="000F1E77"/>
    <w:rsid w:val="000F3D6C"/>
    <w:rsid w:val="000F79F0"/>
    <w:rsid w:val="00101707"/>
    <w:rsid w:val="001063EE"/>
    <w:rsid w:val="00113E29"/>
    <w:rsid w:val="0011473D"/>
    <w:rsid w:val="001156E3"/>
    <w:rsid w:val="00115C85"/>
    <w:rsid w:val="00122667"/>
    <w:rsid w:val="00123855"/>
    <w:rsid w:val="00126A4D"/>
    <w:rsid w:val="001310C5"/>
    <w:rsid w:val="00131FC8"/>
    <w:rsid w:val="0014171F"/>
    <w:rsid w:val="0014622C"/>
    <w:rsid w:val="00150BFF"/>
    <w:rsid w:val="00150C23"/>
    <w:rsid w:val="00152348"/>
    <w:rsid w:val="0015456D"/>
    <w:rsid w:val="00154B6B"/>
    <w:rsid w:val="00155FA2"/>
    <w:rsid w:val="00157B67"/>
    <w:rsid w:val="0016139E"/>
    <w:rsid w:val="00161F1B"/>
    <w:rsid w:val="00162829"/>
    <w:rsid w:val="00163AF9"/>
    <w:rsid w:val="00174DC4"/>
    <w:rsid w:val="00175A7D"/>
    <w:rsid w:val="00177EAB"/>
    <w:rsid w:val="00180548"/>
    <w:rsid w:val="00180AC4"/>
    <w:rsid w:val="00180CCE"/>
    <w:rsid w:val="0018267A"/>
    <w:rsid w:val="00182779"/>
    <w:rsid w:val="001830DF"/>
    <w:rsid w:val="00187A34"/>
    <w:rsid w:val="001966D9"/>
    <w:rsid w:val="001A1DAC"/>
    <w:rsid w:val="001A7E9A"/>
    <w:rsid w:val="001B0F70"/>
    <w:rsid w:val="001B5016"/>
    <w:rsid w:val="001B5C24"/>
    <w:rsid w:val="001C24C0"/>
    <w:rsid w:val="001C357C"/>
    <w:rsid w:val="001C45FC"/>
    <w:rsid w:val="001C4EEB"/>
    <w:rsid w:val="001D02E8"/>
    <w:rsid w:val="001D0469"/>
    <w:rsid w:val="001D4862"/>
    <w:rsid w:val="001D6E1C"/>
    <w:rsid w:val="001E25B9"/>
    <w:rsid w:val="001E3676"/>
    <w:rsid w:val="001E49E0"/>
    <w:rsid w:val="001E5F8A"/>
    <w:rsid w:val="001E7B5A"/>
    <w:rsid w:val="001F5BBE"/>
    <w:rsid w:val="001F7412"/>
    <w:rsid w:val="00202DFE"/>
    <w:rsid w:val="00203720"/>
    <w:rsid w:val="0020725B"/>
    <w:rsid w:val="002110F1"/>
    <w:rsid w:val="00222FB5"/>
    <w:rsid w:val="00230AAD"/>
    <w:rsid w:val="002327D4"/>
    <w:rsid w:val="0023456C"/>
    <w:rsid w:val="00236EB0"/>
    <w:rsid w:val="0024116D"/>
    <w:rsid w:val="00241B44"/>
    <w:rsid w:val="00241FA3"/>
    <w:rsid w:val="00244C44"/>
    <w:rsid w:val="00245EFB"/>
    <w:rsid w:val="00250252"/>
    <w:rsid w:val="0025386E"/>
    <w:rsid w:val="002638B0"/>
    <w:rsid w:val="0026647A"/>
    <w:rsid w:val="002668D3"/>
    <w:rsid w:val="0027299F"/>
    <w:rsid w:val="0027597A"/>
    <w:rsid w:val="00280A9E"/>
    <w:rsid w:val="00284EBE"/>
    <w:rsid w:val="0029433F"/>
    <w:rsid w:val="00294829"/>
    <w:rsid w:val="0029690F"/>
    <w:rsid w:val="00297C8A"/>
    <w:rsid w:val="002A2A60"/>
    <w:rsid w:val="002A37BB"/>
    <w:rsid w:val="002A7B98"/>
    <w:rsid w:val="002B1C45"/>
    <w:rsid w:val="002B46DA"/>
    <w:rsid w:val="002C061A"/>
    <w:rsid w:val="002C13C8"/>
    <w:rsid w:val="002C3547"/>
    <w:rsid w:val="002D0021"/>
    <w:rsid w:val="002D0334"/>
    <w:rsid w:val="002D2637"/>
    <w:rsid w:val="002D3473"/>
    <w:rsid w:val="002D3E9E"/>
    <w:rsid w:val="002D44CE"/>
    <w:rsid w:val="002D65BC"/>
    <w:rsid w:val="002E7A23"/>
    <w:rsid w:val="002F1956"/>
    <w:rsid w:val="002F3440"/>
    <w:rsid w:val="002F52C7"/>
    <w:rsid w:val="002F75A3"/>
    <w:rsid w:val="00303C2F"/>
    <w:rsid w:val="00304C25"/>
    <w:rsid w:val="00312063"/>
    <w:rsid w:val="00312A58"/>
    <w:rsid w:val="003144EF"/>
    <w:rsid w:val="003163B7"/>
    <w:rsid w:val="00323542"/>
    <w:rsid w:val="003252C2"/>
    <w:rsid w:val="003259F5"/>
    <w:rsid w:val="00326292"/>
    <w:rsid w:val="00326415"/>
    <w:rsid w:val="00330937"/>
    <w:rsid w:val="00330F31"/>
    <w:rsid w:val="00331480"/>
    <w:rsid w:val="00334648"/>
    <w:rsid w:val="0033768C"/>
    <w:rsid w:val="00337938"/>
    <w:rsid w:val="00340769"/>
    <w:rsid w:val="00341AA6"/>
    <w:rsid w:val="00346F56"/>
    <w:rsid w:val="00360486"/>
    <w:rsid w:val="00361A0A"/>
    <w:rsid w:val="00362B84"/>
    <w:rsid w:val="00364836"/>
    <w:rsid w:val="0036565C"/>
    <w:rsid w:val="0036625E"/>
    <w:rsid w:val="0037465A"/>
    <w:rsid w:val="00382C98"/>
    <w:rsid w:val="00384536"/>
    <w:rsid w:val="0038533C"/>
    <w:rsid w:val="00386568"/>
    <w:rsid w:val="003870F0"/>
    <w:rsid w:val="00387A30"/>
    <w:rsid w:val="00390B57"/>
    <w:rsid w:val="003948D5"/>
    <w:rsid w:val="003961E0"/>
    <w:rsid w:val="00396821"/>
    <w:rsid w:val="00397D3A"/>
    <w:rsid w:val="003A051E"/>
    <w:rsid w:val="003B06BC"/>
    <w:rsid w:val="003B0A27"/>
    <w:rsid w:val="003B170F"/>
    <w:rsid w:val="003B3C5F"/>
    <w:rsid w:val="003C15A4"/>
    <w:rsid w:val="003C4342"/>
    <w:rsid w:val="003C4471"/>
    <w:rsid w:val="003C4BCB"/>
    <w:rsid w:val="003C6161"/>
    <w:rsid w:val="003D056F"/>
    <w:rsid w:val="003D0A6D"/>
    <w:rsid w:val="003D1974"/>
    <w:rsid w:val="003E0B16"/>
    <w:rsid w:val="003E67D1"/>
    <w:rsid w:val="00404329"/>
    <w:rsid w:val="00405DC1"/>
    <w:rsid w:val="004106BA"/>
    <w:rsid w:val="00415F1F"/>
    <w:rsid w:val="0042108F"/>
    <w:rsid w:val="00427C55"/>
    <w:rsid w:val="00430FED"/>
    <w:rsid w:val="004311D8"/>
    <w:rsid w:val="00434A8C"/>
    <w:rsid w:val="00437297"/>
    <w:rsid w:val="00444284"/>
    <w:rsid w:val="00445CE6"/>
    <w:rsid w:val="004534C2"/>
    <w:rsid w:val="0045446F"/>
    <w:rsid w:val="0045683E"/>
    <w:rsid w:val="00456FA0"/>
    <w:rsid w:val="00465BFF"/>
    <w:rsid w:val="004722EC"/>
    <w:rsid w:val="00477C72"/>
    <w:rsid w:val="00491675"/>
    <w:rsid w:val="004928DC"/>
    <w:rsid w:val="00493855"/>
    <w:rsid w:val="00495E79"/>
    <w:rsid w:val="004A0692"/>
    <w:rsid w:val="004A57DD"/>
    <w:rsid w:val="004A7B51"/>
    <w:rsid w:val="004A7D71"/>
    <w:rsid w:val="004A7EF3"/>
    <w:rsid w:val="004B11FD"/>
    <w:rsid w:val="004B23A2"/>
    <w:rsid w:val="004C0D03"/>
    <w:rsid w:val="004C0D33"/>
    <w:rsid w:val="004C14AC"/>
    <w:rsid w:val="004D1A5A"/>
    <w:rsid w:val="004D2FFF"/>
    <w:rsid w:val="004D3721"/>
    <w:rsid w:val="004D64F9"/>
    <w:rsid w:val="004E29CC"/>
    <w:rsid w:val="004E3A6B"/>
    <w:rsid w:val="004E622C"/>
    <w:rsid w:val="004F1F11"/>
    <w:rsid w:val="004F5FDF"/>
    <w:rsid w:val="005177FE"/>
    <w:rsid w:val="00521552"/>
    <w:rsid w:val="0052263B"/>
    <w:rsid w:val="00524728"/>
    <w:rsid w:val="005331CA"/>
    <w:rsid w:val="00534466"/>
    <w:rsid w:val="00537970"/>
    <w:rsid w:val="00540E3A"/>
    <w:rsid w:val="00540FD3"/>
    <w:rsid w:val="00542632"/>
    <w:rsid w:val="00544127"/>
    <w:rsid w:val="00544F6E"/>
    <w:rsid w:val="005463A9"/>
    <w:rsid w:val="00550671"/>
    <w:rsid w:val="00553EB2"/>
    <w:rsid w:val="00560534"/>
    <w:rsid w:val="0056391B"/>
    <w:rsid w:val="005650E2"/>
    <w:rsid w:val="0056706D"/>
    <w:rsid w:val="00567AD7"/>
    <w:rsid w:val="00575B2D"/>
    <w:rsid w:val="005769F5"/>
    <w:rsid w:val="005817D8"/>
    <w:rsid w:val="005833D0"/>
    <w:rsid w:val="005846F3"/>
    <w:rsid w:val="0058622F"/>
    <w:rsid w:val="00592F82"/>
    <w:rsid w:val="005A0CCA"/>
    <w:rsid w:val="005A726D"/>
    <w:rsid w:val="005B4E9C"/>
    <w:rsid w:val="005B5498"/>
    <w:rsid w:val="005B67AC"/>
    <w:rsid w:val="005B6846"/>
    <w:rsid w:val="005B79F4"/>
    <w:rsid w:val="005D43E0"/>
    <w:rsid w:val="005D49C6"/>
    <w:rsid w:val="005D58A3"/>
    <w:rsid w:val="005E1B79"/>
    <w:rsid w:val="005E7008"/>
    <w:rsid w:val="005F026D"/>
    <w:rsid w:val="005F1961"/>
    <w:rsid w:val="005F2AEA"/>
    <w:rsid w:val="005F2D0B"/>
    <w:rsid w:val="005F4B31"/>
    <w:rsid w:val="005F574A"/>
    <w:rsid w:val="00603DCA"/>
    <w:rsid w:val="00610388"/>
    <w:rsid w:val="00611777"/>
    <w:rsid w:val="00611DE6"/>
    <w:rsid w:val="00612CA5"/>
    <w:rsid w:val="00612E90"/>
    <w:rsid w:val="006153EC"/>
    <w:rsid w:val="00615439"/>
    <w:rsid w:val="006162CF"/>
    <w:rsid w:val="00621A17"/>
    <w:rsid w:val="00627CC9"/>
    <w:rsid w:val="00627E7B"/>
    <w:rsid w:val="00630542"/>
    <w:rsid w:val="00632E44"/>
    <w:rsid w:val="00634622"/>
    <w:rsid w:val="00636808"/>
    <w:rsid w:val="00636C15"/>
    <w:rsid w:val="00641515"/>
    <w:rsid w:val="006429A0"/>
    <w:rsid w:val="006475D3"/>
    <w:rsid w:val="006477D5"/>
    <w:rsid w:val="00654B27"/>
    <w:rsid w:val="00654C2F"/>
    <w:rsid w:val="00657087"/>
    <w:rsid w:val="006603F1"/>
    <w:rsid w:val="006639DB"/>
    <w:rsid w:val="006661EF"/>
    <w:rsid w:val="00677AEB"/>
    <w:rsid w:val="00680EF2"/>
    <w:rsid w:val="00687A1D"/>
    <w:rsid w:val="00687B13"/>
    <w:rsid w:val="00697EA1"/>
    <w:rsid w:val="006A1629"/>
    <w:rsid w:val="006A2646"/>
    <w:rsid w:val="006A6530"/>
    <w:rsid w:val="006B385C"/>
    <w:rsid w:val="006B435A"/>
    <w:rsid w:val="006B4C64"/>
    <w:rsid w:val="006B5DC5"/>
    <w:rsid w:val="006B6C99"/>
    <w:rsid w:val="006C59A7"/>
    <w:rsid w:val="006C63E7"/>
    <w:rsid w:val="006C6923"/>
    <w:rsid w:val="006D6BD5"/>
    <w:rsid w:val="006D6CAE"/>
    <w:rsid w:val="006E481A"/>
    <w:rsid w:val="006E5287"/>
    <w:rsid w:val="006E5298"/>
    <w:rsid w:val="006E75DF"/>
    <w:rsid w:val="006F49FB"/>
    <w:rsid w:val="006F4A78"/>
    <w:rsid w:val="006F734A"/>
    <w:rsid w:val="00700D83"/>
    <w:rsid w:val="00703B3F"/>
    <w:rsid w:val="00704852"/>
    <w:rsid w:val="007074E9"/>
    <w:rsid w:val="00713DA4"/>
    <w:rsid w:val="00714BF1"/>
    <w:rsid w:val="00721383"/>
    <w:rsid w:val="00724CA3"/>
    <w:rsid w:val="00725FB5"/>
    <w:rsid w:val="0073158B"/>
    <w:rsid w:val="007317AE"/>
    <w:rsid w:val="007333CC"/>
    <w:rsid w:val="0073399A"/>
    <w:rsid w:val="00736B0D"/>
    <w:rsid w:val="007425B9"/>
    <w:rsid w:val="007603F5"/>
    <w:rsid w:val="00764DB0"/>
    <w:rsid w:val="0076764D"/>
    <w:rsid w:val="0077463F"/>
    <w:rsid w:val="0077498C"/>
    <w:rsid w:val="007809BC"/>
    <w:rsid w:val="00782486"/>
    <w:rsid w:val="00782EE1"/>
    <w:rsid w:val="00784128"/>
    <w:rsid w:val="00793173"/>
    <w:rsid w:val="00797477"/>
    <w:rsid w:val="007A0AF7"/>
    <w:rsid w:val="007A192A"/>
    <w:rsid w:val="007A2A33"/>
    <w:rsid w:val="007A7B20"/>
    <w:rsid w:val="007B390C"/>
    <w:rsid w:val="007C1FCC"/>
    <w:rsid w:val="007C50AA"/>
    <w:rsid w:val="007C5C42"/>
    <w:rsid w:val="007C6201"/>
    <w:rsid w:val="007C735C"/>
    <w:rsid w:val="007D7C92"/>
    <w:rsid w:val="007E1154"/>
    <w:rsid w:val="007E39B3"/>
    <w:rsid w:val="007E44C4"/>
    <w:rsid w:val="007E6BA4"/>
    <w:rsid w:val="007F41F8"/>
    <w:rsid w:val="007F6A57"/>
    <w:rsid w:val="00800B76"/>
    <w:rsid w:val="008017F0"/>
    <w:rsid w:val="008019D7"/>
    <w:rsid w:val="0080454E"/>
    <w:rsid w:val="00804C32"/>
    <w:rsid w:val="00804DA6"/>
    <w:rsid w:val="00806302"/>
    <w:rsid w:val="00807119"/>
    <w:rsid w:val="0082483F"/>
    <w:rsid w:val="008259CC"/>
    <w:rsid w:val="008279C0"/>
    <w:rsid w:val="008311A1"/>
    <w:rsid w:val="00837593"/>
    <w:rsid w:val="00841051"/>
    <w:rsid w:val="00844F15"/>
    <w:rsid w:val="008500BD"/>
    <w:rsid w:val="00851E06"/>
    <w:rsid w:val="00860723"/>
    <w:rsid w:val="0086132A"/>
    <w:rsid w:val="008649DA"/>
    <w:rsid w:val="008674F8"/>
    <w:rsid w:val="00870AA9"/>
    <w:rsid w:val="008723F3"/>
    <w:rsid w:val="00874240"/>
    <w:rsid w:val="00874DF9"/>
    <w:rsid w:val="00881DE6"/>
    <w:rsid w:val="00883547"/>
    <w:rsid w:val="008837A6"/>
    <w:rsid w:val="008875D9"/>
    <w:rsid w:val="0089145D"/>
    <w:rsid w:val="00894C1D"/>
    <w:rsid w:val="00897E33"/>
    <w:rsid w:val="008A4DF2"/>
    <w:rsid w:val="008A6CFE"/>
    <w:rsid w:val="008A7BA5"/>
    <w:rsid w:val="008B5333"/>
    <w:rsid w:val="008B6223"/>
    <w:rsid w:val="008C4AC6"/>
    <w:rsid w:val="008C66E0"/>
    <w:rsid w:val="008D5104"/>
    <w:rsid w:val="008E0EC8"/>
    <w:rsid w:val="008E3339"/>
    <w:rsid w:val="008E6625"/>
    <w:rsid w:val="008F20FC"/>
    <w:rsid w:val="008F5FFE"/>
    <w:rsid w:val="008F7B6F"/>
    <w:rsid w:val="0090046C"/>
    <w:rsid w:val="00901ADA"/>
    <w:rsid w:val="00905A43"/>
    <w:rsid w:val="00912C79"/>
    <w:rsid w:val="00912EC1"/>
    <w:rsid w:val="009144E6"/>
    <w:rsid w:val="00914A23"/>
    <w:rsid w:val="00915BEF"/>
    <w:rsid w:val="009374AA"/>
    <w:rsid w:val="00942123"/>
    <w:rsid w:val="0094462D"/>
    <w:rsid w:val="0095207B"/>
    <w:rsid w:val="0096024F"/>
    <w:rsid w:val="00962045"/>
    <w:rsid w:val="00967219"/>
    <w:rsid w:val="00972B19"/>
    <w:rsid w:val="00980E61"/>
    <w:rsid w:val="00986982"/>
    <w:rsid w:val="00991428"/>
    <w:rsid w:val="00992676"/>
    <w:rsid w:val="009954B2"/>
    <w:rsid w:val="00995D82"/>
    <w:rsid w:val="00996691"/>
    <w:rsid w:val="009A6394"/>
    <w:rsid w:val="009A6C47"/>
    <w:rsid w:val="009A70EF"/>
    <w:rsid w:val="009B0723"/>
    <w:rsid w:val="009B07AD"/>
    <w:rsid w:val="009B0883"/>
    <w:rsid w:val="009B0D77"/>
    <w:rsid w:val="009B15E2"/>
    <w:rsid w:val="009B4976"/>
    <w:rsid w:val="009C0B8E"/>
    <w:rsid w:val="009C1BC8"/>
    <w:rsid w:val="009C2442"/>
    <w:rsid w:val="009C5E52"/>
    <w:rsid w:val="009D0811"/>
    <w:rsid w:val="009D0EE1"/>
    <w:rsid w:val="009D2DA1"/>
    <w:rsid w:val="009E2AEB"/>
    <w:rsid w:val="009E2E27"/>
    <w:rsid w:val="009E4DE3"/>
    <w:rsid w:val="009E6807"/>
    <w:rsid w:val="009F275E"/>
    <w:rsid w:val="009F52FF"/>
    <w:rsid w:val="00A00018"/>
    <w:rsid w:val="00A0260F"/>
    <w:rsid w:val="00A047EE"/>
    <w:rsid w:val="00A113A4"/>
    <w:rsid w:val="00A11A16"/>
    <w:rsid w:val="00A11E80"/>
    <w:rsid w:val="00A13BEA"/>
    <w:rsid w:val="00A17858"/>
    <w:rsid w:val="00A2274A"/>
    <w:rsid w:val="00A235B7"/>
    <w:rsid w:val="00A27A7A"/>
    <w:rsid w:val="00A3149E"/>
    <w:rsid w:val="00A35CE0"/>
    <w:rsid w:val="00A407EF"/>
    <w:rsid w:val="00A46B4C"/>
    <w:rsid w:val="00A5117B"/>
    <w:rsid w:val="00A5298C"/>
    <w:rsid w:val="00A54CB5"/>
    <w:rsid w:val="00A55BC8"/>
    <w:rsid w:val="00A562D5"/>
    <w:rsid w:val="00A57463"/>
    <w:rsid w:val="00A60074"/>
    <w:rsid w:val="00A62FDA"/>
    <w:rsid w:val="00A6627C"/>
    <w:rsid w:val="00A71019"/>
    <w:rsid w:val="00A7398E"/>
    <w:rsid w:val="00A81029"/>
    <w:rsid w:val="00A9039C"/>
    <w:rsid w:val="00A934D6"/>
    <w:rsid w:val="00A96489"/>
    <w:rsid w:val="00AA172D"/>
    <w:rsid w:val="00AA2C12"/>
    <w:rsid w:val="00AA6776"/>
    <w:rsid w:val="00AA730A"/>
    <w:rsid w:val="00AB1E2B"/>
    <w:rsid w:val="00AB5617"/>
    <w:rsid w:val="00AB64EA"/>
    <w:rsid w:val="00AB685C"/>
    <w:rsid w:val="00AB6C2D"/>
    <w:rsid w:val="00AC08F7"/>
    <w:rsid w:val="00AC3839"/>
    <w:rsid w:val="00AC5A26"/>
    <w:rsid w:val="00AC5DFE"/>
    <w:rsid w:val="00AC7082"/>
    <w:rsid w:val="00AD2931"/>
    <w:rsid w:val="00AD513F"/>
    <w:rsid w:val="00AE2316"/>
    <w:rsid w:val="00AE405D"/>
    <w:rsid w:val="00AE71B4"/>
    <w:rsid w:val="00AE74BA"/>
    <w:rsid w:val="00AF228E"/>
    <w:rsid w:val="00B016A8"/>
    <w:rsid w:val="00B0341B"/>
    <w:rsid w:val="00B06E32"/>
    <w:rsid w:val="00B137F3"/>
    <w:rsid w:val="00B14819"/>
    <w:rsid w:val="00B15E2F"/>
    <w:rsid w:val="00B17AA9"/>
    <w:rsid w:val="00B2514F"/>
    <w:rsid w:val="00B30D9A"/>
    <w:rsid w:val="00B44713"/>
    <w:rsid w:val="00B52662"/>
    <w:rsid w:val="00B56103"/>
    <w:rsid w:val="00B6215B"/>
    <w:rsid w:val="00B64929"/>
    <w:rsid w:val="00B736DF"/>
    <w:rsid w:val="00B743D6"/>
    <w:rsid w:val="00B74FBD"/>
    <w:rsid w:val="00B75079"/>
    <w:rsid w:val="00B77F46"/>
    <w:rsid w:val="00B8016C"/>
    <w:rsid w:val="00B82586"/>
    <w:rsid w:val="00B829A3"/>
    <w:rsid w:val="00B82F0F"/>
    <w:rsid w:val="00B86DB1"/>
    <w:rsid w:val="00B87869"/>
    <w:rsid w:val="00B9137E"/>
    <w:rsid w:val="00B96CE3"/>
    <w:rsid w:val="00BB0F2B"/>
    <w:rsid w:val="00BB38D1"/>
    <w:rsid w:val="00BB738F"/>
    <w:rsid w:val="00BC5810"/>
    <w:rsid w:val="00BC6CC7"/>
    <w:rsid w:val="00BE4FF3"/>
    <w:rsid w:val="00BE4FF5"/>
    <w:rsid w:val="00BF50F7"/>
    <w:rsid w:val="00C02F29"/>
    <w:rsid w:val="00C136F3"/>
    <w:rsid w:val="00C20AFE"/>
    <w:rsid w:val="00C22A25"/>
    <w:rsid w:val="00C31C97"/>
    <w:rsid w:val="00C35671"/>
    <w:rsid w:val="00C35B77"/>
    <w:rsid w:val="00C376EB"/>
    <w:rsid w:val="00C46A92"/>
    <w:rsid w:val="00C46EC1"/>
    <w:rsid w:val="00C52796"/>
    <w:rsid w:val="00C5342C"/>
    <w:rsid w:val="00C53E2C"/>
    <w:rsid w:val="00C550C8"/>
    <w:rsid w:val="00C56B61"/>
    <w:rsid w:val="00C606C3"/>
    <w:rsid w:val="00C620F4"/>
    <w:rsid w:val="00C63E03"/>
    <w:rsid w:val="00C66F94"/>
    <w:rsid w:val="00C72848"/>
    <w:rsid w:val="00C7729F"/>
    <w:rsid w:val="00C7736C"/>
    <w:rsid w:val="00C82D87"/>
    <w:rsid w:val="00C865F8"/>
    <w:rsid w:val="00C8712A"/>
    <w:rsid w:val="00C93C87"/>
    <w:rsid w:val="00C95F47"/>
    <w:rsid w:val="00C963D3"/>
    <w:rsid w:val="00CA0BBB"/>
    <w:rsid w:val="00CA294D"/>
    <w:rsid w:val="00CA3964"/>
    <w:rsid w:val="00CA7E73"/>
    <w:rsid w:val="00CB1983"/>
    <w:rsid w:val="00CB2CBB"/>
    <w:rsid w:val="00CB2DB0"/>
    <w:rsid w:val="00CB7CAC"/>
    <w:rsid w:val="00CC3289"/>
    <w:rsid w:val="00CC5335"/>
    <w:rsid w:val="00CC5BA4"/>
    <w:rsid w:val="00CC7F5C"/>
    <w:rsid w:val="00CD0695"/>
    <w:rsid w:val="00CD4998"/>
    <w:rsid w:val="00CE1035"/>
    <w:rsid w:val="00CE6E50"/>
    <w:rsid w:val="00CF2819"/>
    <w:rsid w:val="00CF369D"/>
    <w:rsid w:val="00CF4F9D"/>
    <w:rsid w:val="00CF706B"/>
    <w:rsid w:val="00CF70DC"/>
    <w:rsid w:val="00D007E8"/>
    <w:rsid w:val="00D061DE"/>
    <w:rsid w:val="00D128CC"/>
    <w:rsid w:val="00D148DC"/>
    <w:rsid w:val="00D17FDC"/>
    <w:rsid w:val="00D22552"/>
    <w:rsid w:val="00D26E26"/>
    <w:rsid w:val="00D5691D"/>
    <w:rsid w:val="00D56B4E"/>
    <w:rsid w:val="00D608A4"/>
    <w:rsid w:val="00D60E46"/>
    <w:rsid w:val="00D63EFD"/>
    <w:rsid w:val="00D651FD"/>
    <w:rsid w:val="00D70B12"/>
    <w:rsid w:val="00D75351"/>
    <w:rsid w:val="00D84752"/>
    <w:rsid w:val="00D86B3B"/>
    <w:rsid w:val="00D8748A"/>
    <w:rsid w:val="00D9230D"/>
    <w:rsid w:val="00D93196"/>
    <w:rsid w:val="00D95496"/>
    <w:rsid w:val="00D97507"/>
    <w:rsid w:val="00D975EA"/>
    <w:rsid w:val="00DA0DC0"/>
    <w:rsid w:val="00DB243C"/>
    <w:rsid w:val="00DB482A"/>
    <w:rsid w:val="00DB56F2"/>
    <w:rsid w:val="00DB6EF5"/>
    <w:rsid w:val="00DC0671"/>
    <w:rsid w:val="00DC3089"/>
    <w:rsid w:val="00DC42FD"/>
    <w:rsid w:val="00DC4420"/>
    <w:rsid w:val="00DD0180"/>
    <w:rsid w:val="00DD0802"/>
    <w:rsid w:val="00DD2E11"/>
    <w:rsid w:val="00DD4333"/>
    <w:rsid w:val="00DD47EF"/>
    <w:rsid w:val="00DE03AF"/>
    <w:rsid w:val="00DE121C"/>
    <w:rsid w:val="00DE6633"/>
    <w:rsid w:val="00DE6D46"/>
    <w:rsid w:val="00DF0864"/>
    <w:rsid w:val="00DF2C60"/>
    <w:rsid w:val="00DF4207"/>
    <w:rsid w:val="00DF75F8"/>
    <w:rsid w:val="00DF7A3A"/>
    <w:rsid w:val="00E00C00"/>
    <w:rsid w:val="00E01BE3"/>
    <w:rsid w:val="00E06677"/>
    <w:rsid w:val="00E07C5A"/>
    <w:rsid w:val="00E07E64"/>
    <w:rsid w:val="00E109CC"/>
    <w:rsid w:val="00E15BA9"/>
    <w:rsid w:val="00E16C3E"/>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84662"/>
    <w:rsid w:val="00E90991"/>
    <w:rsid w:val="00E909F0"/>
    <w:rsid w:val="00E90D47"/>
    <w:rsid w:val="00E93993"/>
    <w:rsid w:val="00E9597C"/>
    <w:rsid w:val="00EA0913"/>
    <w:rsid w:val="00EA1BEA"/>
    <w:rsid w:val="00EA4AB6"/>
    <w:rsid w:val="00EA5B00"/>
    <w:rsid w:val="00EB146B"/>
    <w:rsid w:val="00EB45AC"/>
    <w:rsid w:val="00EB5879"/>
    <w:rsid w:val="00EB5CA4"/>
    <w:rsid w:val="00EC00F9"/>
    <w:rsid w:val="00ED0BC4"/>
    <w:rsid w:val="00ED20E8"/>
    <w:rsid w:val="00ED472A"/>
    <w:rsid w:val="00ED54B6"/>
    <w:rsid w:val="00EE40E8"/>
    <w:rsid w:val="00EE4971"/>
    <w:rsid w:val="00EF090E"/>
    <w:rsid w:val="00F033DA"/>
    <w:rsid w:val="00F13FB1"/>
    <w:rsid w:val="00F27CD8"/>
    <w:rsid w:val="00F300F4"/>
    <w:rsid w:val="00F30351"/>
    <w:rsid w:val="00F3323E"/>
    <w:rsid w:val="00F341F4"/>
    <w:rsid w:val="00F34F9D"/>
    <w:rsid w:val="00F35AF1"/>
    <w:rsid w:val="00F35CCE"/>
    <w:rsid w:val="00F42252"/>
    <w:rsid w:val="00F53BF0"/>
    <w:rsid w:val="00F5524B"/>
    <w:rsid w:val="00F60538"/>
    <w:rsid w:val="00F61DD2"/>
    <w:rsid w:val="00F623ED"/>
    <w:rsid w:val="00F66AFF"/>
    <w:rsid w:val="00F70C6D"/>
    <w:rsid w:val="00F70E85"/>
    <w:rsid w:val="00F71433"/>
    <w:rsid w:val="00F7619F"/>
    <w:rsid w:val="00F76CD4"/>
    <w:rsid w:val="00F81ABF"/>
    <w:rsid w:val="00F825EA"/>
    <w:rsid w:val="00F83464"/>
    <w:rsid w:val="00F93BE7"/>
    <w:rsid w:val="00F97C5B"/>
    <w:rsid w:val="00FA3D50"/>
    <w:rsid w:val="00FB2E9F"/>
    <w:rsid w:val="00FB7FBD"/>
    <w:rsid w:val="00FC374A"/>
    <w:rsid w:val="00FC48D8"/>
    <w:rsid w:val="00FC7B47"/>
    <w:rsid w:val="00FD035C"/>
    <w:rsid w:val="00FD05BA"/>
    <w:rsid w:val="00FD0720"/>
    <w:rsid w:val="00FD1A35"/>
    <w:rsid w:val="00FD36C5"/>
    <w:rsid w:val="00FD6310"/>
    <w:rsid w:val="00FD7C7B"/>
    <w:rsid w:val="00FD7D57"/>
    <w:rsid w:val="00FE1D12"/>
    <w:rsid w:val="00FE2122"/>
    <w:rsid w:val="00FE2A86"/>
    <w:rsid w:val="00FE2DE2"/>
    <w:rsid w:val="00FF296F"/>
    <w:rsid w:val="00FF2DE1"/>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Indent">
    <w:name w:val="Body Text Indent"/>
    <w:basedOn w:val="Normal"/>
    <w:link w:val="BodyTextIndentChar"/>
    <w:uiPriority w:val="99"/>
    <w:unhideWhenUsed/>
    <w:rsid w:val="00CF706B"/>
    <w:pPr>
      <w:ind w:left="709" w:hanging="709"/>
      <w:jc w:val="both"/>
    </w:pPr>
    <w:rPr>
      <w:rFonts w:ascii="Arial" w:hAnsi="Arial" w:cs="Arial"/>
      <w:color w:val="7B7B7B" w:themeColor="accent3" w:themeShade="BF"/>
      <w:sz w:val="22"/>
      <w:szCs w:val="22"/>
      <w:lang w:val="en-GB"/>
    </w:rPr>
  </w:style>
  <w:style w:type="character" w:customStyle="1" w:styleId="BodyTextIndentChar">
    <w:name w:val="Body Text Indent Char"/>
    <w:basedOn w:val="DefaultParagraphFont"/>
    <w:link w:val="BodyTextIndent"/>
    <w:uiPriority w:val="99"/>
    <w:rsid w:val="00CF706B"/>
    <w:rPr>
      <w:rFonts w:ascii="Arial" w:eastAsia="Times New Roman" w:hAnsi="Arial" w:cs="Arial"/>
      <w:color w:val="7B7B7B" w:themeColor="accent3"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5E81-4B14-41C1-8207-F83EF25D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6963</Words>
  <Characters>34471</Characters>
  <Application>Microsoft Office Word</Application>
  <DocSecurity>0</DocSecurity>
  <Lines>883</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2021-09-06T17:00:00Z</dcterms:created>
  <dcterms:modified xsi:type="dcterms:W3CDTF">2021-09-06T17:00:00Z</dcterms:modified>
</cp:coreProperties>
</file>