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proofErr w:type="gramStart"/>
      <w:r w:rsidR="00E11C54">
        <w:rPr>
          <w:rFonts w:ascii="Arial" w:hAnsi="Arial" w:cs="Arial"/>
          <w:bCs/>
          <w:color w:val="767171" w:themeColor="background2" w:themeShade="80"/>
          <w:sz w:val="22"/>
          <w:szCs w:val="22"/>
          <w:lang w:val="en-GB"/>
        </w:rPr>
        <w:t>must be submitted</w:t>
      </w:r>
      <w:proofErr w:type="gramEnd"/>
      <w:r w:rsidR="00E11C54">
        <w:rPr>
          <w:rFonts w:ascii="Arial" w:hAnsi="Arial" w:cs="Arial"/>
          <w:bCs/>
          <w:color w:val="767171" w:themeColor="background2" w:themeShade="80"/>
          <w:sz w:val="22"/>
          <w:szCs w:val="22"/>
          <w:lang w:val="en-GB"/>
        </w:rPr>
        <w:t xml:space="preserve">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sidRPr="00B02C56">
        <w:rPr>
          <w:rFonts w:ascii="Arial" w:hAnsi="Arial" w:cs="Arial"/>
          <w:b/>
          <w:bCs/>
          <w:sz w:val="22"/>
          <w:szCs w:val="22"/>
          <w:lang w:val="en-GB"/>
        </w:rPr>
        <w:t>7</w:t>
      </w:r>
      <w:proofErr w:type="gramEnd"/>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Prrafodelista"/>
        <w:numPr>
          <w:ilvl w:val="0"/>
          <w:numId w:val="3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Prrafodelista"/>
        <w:numPr>
          <w:ilvl w:val="0"/>
          <w:numId w:val="3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Prrafodelista"/>
        <w:numPr>
          <w:ilvl w:val="0"/>
          <w:numId w:val="3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C359C9" w:rsidRDefault="00A00B76" w:rsidP="00A65730">
      <w:pPr>
        <w:pStyle w:val="Prrafodelista"/>
        <w:numPr>
          <w:ilvl w:val="0"/>
          <w:numId w:val="31"/>
        </w:numPr>
        <w:ind w:left="426"/>
        <w:rPr>
          <w:rFonts w:ascii="Arial" w:hAnsi="Arial" w:cs="Arial"/>
          <w:sz w:val="22"/>
          <w:szCs w:val="22"/>
          <w:highlight w:val="yellow"/>
          <w:lang w:val="en-GB"/>
        </w:rPr>
      </w:pPr>
      <w:proofErr w:type="gramStart"/>
      <w:r w:rsidRPr="00C359C9">
        <w:rPr>
          <w:rFonts w:ascii="Arial" w:hAnsi="Arial" w:cs="Arial"/>
          <w:sz w:val="22"/>
          <w:szCs w:val="22"/>
          <w:highlight w:val="yellow"/>
          <w:lang w:val="en-GB"/>
        </w:rPr>
        <w:t>a</w:t>
      </w:r>
      <w:r w:rsidR="00A26898" w:rsidRPr="00C359C9">
        <w:rPr>
          <w:rFonts w:ascii="Arial" w:hAnsi="Arial" w:cs="Arial"/>
          <w:sz w:val="22"/>
          <w:szCs w:val="22"/>
          <w:highlight w:val="yellow"/>
          <w:lang w:val="en-GB"/>
        </w:rPr>
        <w:t>ny</w:t>
      </w:r>
      <w:proofErr w:type="gramEnd"/>
      <w:r w:rsidR="00A26898" w:rsidRPr="00C359C9">
        <w:rPr>
          <w:rFonts w:ascii="Arial" w:hAnsi="Arial" w:cs="Arial"/>
          <w:sz w:val="22"/>
          <w:szCs w:val="22"/>
          <w:highlight w:val="yellow"/>
          <w:lang w:val="en-GB"/>
        </w:rPr>
        <w:t xml:space="preserve"> of the above</w:t>
      </w:r>
      <w:r w:rsidR="00A46FE2" w:rsidRPr="00C359C9">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C359C9" w:rsidRDefault="00A26898" w:rsidP="003855C4">
      <w:pPr>
        <w:pStyle w:val="Prrafodelista"/>
        <w:numPr>
          <w:ilvl w:val="0"/>
          <w:numId w:val="32"/>
        </w:numPr>
        <w:ind w:left="426"/>
        <w:rPr>
          <w:rFonts w:ascii="Arial" w:hAnsi="Arial" w:cs="Arial"/>
          <w:sz w:val="22"/>
          <w:szCs w:val="22"/>
          <w:highlight w:val="yellow"/>
          <w:lang w:val="en-GB"/>
        </w:rPr>
      </w:pPr>
      <w:r w:rsidRPr="00C359C9">
        <w:rPr>
          <w:rFonts w:ascii="Arial" w:hAnsi="Arial" w:cs="Arial"/>
          <w:sz w:val="22"/>
          <w:szCs w:val="22"/>
          <w:highlight w:val="yellow"/>
          <w:lang w:val="en-GB"/>
        </w:rPr>
        <w:t>Court</w:t>
      </w:r>
      <w:r w:rsidR="00A46FE2" w:rsidRPr="00C359C9">
        <w:rPr>
          <w:rFonts w:ascii="Arial" w:hAnsi="Arial" w:cs="Arial"/>
          <w:sz w:val="22"/>
          <w:szCs w:val="22"/>
          <w:highlight w:val="yellow"/>
          <w:lang w:val="en-GB"/>
        </w:rPr>
        <w:t>-</w:t>
      </w:r>
      <w:r w:rsidRPr="00C359C9">
        <w:rPr>
          <w:rFonts w:ascii="Arial" w:hAnsi="Arial" w:cs="Arial"/>
          <w:sz w:val="22"/>
          <w:szCs w:val="22"/>
          <w:highlight w:val="yellow"/>
          <w:lang w:val="en-GB"/>
        </w:rPr>
        <w:t>supervised liquidation</w:t>
      </w:r>
      <w:r w:rsidR="00A46FE2" w:rsidRPr="00C359C9">
        <w:rPr>
          <w:rFonts w:ascii="Arial" w:hAnsi="Arial" w:cs="Arial"/>
          <w:sz w:val="22"/>
          <w:szCs w:val="22"/>
          <w:highlight w:val="yellow"/>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Prrafodelista"/>
        <w:numPr>
          <w:ilvl w:val="0"/>
          <w:numId w:val="3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9A37CC" w:rsidRDefault="00A00B76" w:rsidP="003855C4">
      <w:pPr>
        <w:pStyle w:val="Prrafodelista"/>
        <w:numPr>
          <w:ilvl w:val="0"/>
          <w:numId w:val="33"/>
        </w:numPr>
        <w:ind w:left="426"/>
        <w:rPr>
          <w:rFonts w:ascii="Arial" w:hAnsi="Arial" w:cs="Arial"/>
          <w:color w:val="000000" w:themeColor="text1"/>
          <w:sz w:val="22"/>
          <w:szCs w:val="22"/>
          <w:highlight w:val="yellow"/>
          <w:lang w:val="en-GB"/>
        </w:rPr>
      </w:pPr>
      <w:proofErr w:type="gramStart"/>
      <w:r w:rsidRPr="009A37CC">
        <w:rPr>
          <w:rFonts w:ascii="Arial" w:hAnsi="Arial" w:cs="Arial"/>
          <w:color w:val="000000" w:themeColor="text1"/>
          <w:sz w:val="22"/>
          <w:szCs w:val="22"/>
          <w:highlight w:val="yellow"/>
          <w:lang w:val="en-GB"/>
        </w:rPr>
        <w:t>t</w:t>
      </w:r>
      <w:r w:rsidR="00210493" w:rsidRPr="009A37CC">
        <w:rPr>
          <w:rFonts w:ascii="Arial" w:hAnsi="Arial" w:cs="Arial"/>
          <w:color w:val="000000" w:themeColor="text1"/>
          <w:sz w:val="22"/>
          <w:szCs w:val="22"/>
          <w:highlight w:val="yellow"/>
          <w:lang w:val="en-GB"/>
        </w:rPr>
        <w:t>he</w:t>
      </w:r>
      <w:proofErr w:type="gramEnd"/>
      <w:r w:rsidR="00210493" w:rsidRPr="009A37CC">
        <w:rPr>
          <w:rFonts w:ascii="Arial" w:hAnsi="Arial" w:cs="Arial"/>
          <w:color w:val="000000" w:themeColor="text1"/>
          <w:sz w:val="22"/>
          <w:szCs w:val="22"/>
          <w:highlight w:val="yellow"/>
          <w:lang w:val="en-GB"/>
        </w:rPr>
        <w:t xml:space="preserve"> company must cease trading except where it is necessary and beneficial to the liquidation</w:t>
      </w:r>
      <w:r w:rsidR="00A46FE2" w:rsidRPr="009A37CC">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Prrafodelista"/>
        <w:numPr>
          <w:ilvl w:val="0"/>
          <w:numId w:val="3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Prrafodelista"/>
        <w:numPr>
          <w:ilvl w:val="0"/>
          <w:numId w:val="3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 xml:space="preserve">When a winding up order </w:t>
      </w:r>
      <w:proofErr w:type="gramStart"/>
      <w:r>
        <w:rPr>
          <w:rFonts w:ascii="Arial" w:hAnsi="Arial" w:cs="Arial"/>
          <w:sz w:val="22"/>
          <w:szCs w:val="22"/>
          <w:lang w:val="en-GB"/>
        </w:rPr>
        <w:t>has been made</w:t>
      </w:r>
      <w:proofErr w:type="gramEnd"/>
      <w:r>
        <w:rPr>
          <w:rFonts w:ascii="Arial" w:hAnsi="Arial" w:cs="Arial"/>
          <w:sz w:val="22"/>
          <w:szCs w:val="22"/>
          <w:lang w:val="en-GB"/>
        </w:rPr>
        <w:t>,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Prrafodelista"/>
        <w:numPr>
          <w:ilvl w:val="0"/>
          <w:numId w:val="3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Prrafodelista"/>
        <w:numPr>
          <w:ilvl w:val="0"/>
          <w:numId w:val="3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5035B5" w:rsidRDefault="00E2786A" w:rsidP="00607C84">
      <w:pPr>
        <w:pStyle w:val="Prrafodelista"/>
        <w:numPr>
          <w:ilvl w:val="0"/>
          <w:numId w:val="34"/>
        </w:numPr>
        <w:ind w:left="426"/>
        <w:rPr>
          <w:rFonts w:ascii="Arial" w:hAnsi="Arial" w:cs="Arial"/>
          <w:sz w:val="22"/>
          <w:szCs w:val="22"/>
          <w:highlight w:val="yellow"/>
          <w:lang w:val="en-GB"/>
        </w:rPr>
      </w:pPr>
      <w:proofErr w:type="gramStart"/>
      <w:r w:rsidRPr="005035B5">
        <w:rPr>
          <w:rFonts w:ascii="Arial" w:hAnsi="Arial" w:cs="Arial"/>
          <w:sz w:val="22"/>
          <w:szCs w:val="22"/>
          <w:highlight w:val="yellow"/>
          <w:lang w:val="en-GB"/>
        </w:rPr>
        <w:t>m</w:t>
      </w:r>
      <w:r w:rsidR="00E177F0" w:rsidRPr="005035B5">
        <w:rPr>
          <w:rFonts w:ascii="Arial" w:hAnsi="Arial" w:cs="Arial"/>
          <w:sz w:val="22"/>
          <w:szCs w:val="22"/>
          <w:highlight w:val="yellow"/>
          <w:lang w:val="en-GB"/>
        </w:rPr>
        <w:t>ay</w:t>
      </w:r>
      <w:proofErr w:type="gramEnd"/>
      <w:r w:rsidR="00E177F0" w:rsidRPr="005035B5">
        <w:rPr>
          <w:rFonts w:ascii="Arial" w:hAnsi="Arial" w:cs="Arial"/>
          <w:sz w:val="22"/>
          <w:szCs w:val="22"/>
          <w:highlight w:val="yellow"/>
          <w:lang w:val="en-GB"/>
        </w:rPr>
        <w:t xml:space="preserve"> enforce their security without leave of the court</w:t>
      </w:r>
      <w:r w:rsidR="00803C72" w:rsidRPr="005035B5">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Prrafodelista"/>
        <w:numPr>
          <w:ilvl w:val="0"/>
          <w:numId w:val="3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Prrafodelista"/>
        <w:numPr>
          <w:ilvl w:val="0"/>
          <w:numId w:val="35"/>
        </w:numPr>
        <w:ind w:left="426"/>
        <w:rPr>
          <w:rFonts w:ascii="Arial" w:hAnsi="Arial" w:cs="Arial"/>
          <w:sz w:val="22"/>
          <w:szCs w:val="22"/>
          <w:lang w:val="en-GB"/>
        </w:rPr>
      </w:pPr>
      <w:proofErr w:type="gramStart"/>
      <w:r>
        <w:rPr>
          <w:rFonts w:ascii="Arial" w:hAnsi="Arial" w:cs="Arial"/>
          <w:sz w:val="22"/>
          <w:szCs w:val="22"/>
          <w:lang w:val="en-GB"/>
        </w:rPr>
        <w:t>c</w:t>
      </w:r>
      <w:r w:rsidR="0018424C" w:rsidRPr="00607C84">
        <w:rPr>
          <w:rFonts w:ascii="Arial" w:hAnsi="Arial" w:cs="Arial"/>
          <w:sz w:val="22"/>
          <w:szCs w:val="22"/>
          <w:lang w:val="en-GB"/>
        </w:rPr>
        <w:t>ontinues</w:t>
      </w:r>
      <w:proofErr w:type="gramEnd"/>
      <w:r w:rsidR="0018424C" w:rsidRPr="00607C84">
        <w:rPr>
          <w:rFonts w:ascii="Arial" w:hAnsi="Arial" w:cs="Arial"/>
          <w:sz w:val="22"/>
          <w:szCs w:val="22"/>
          <w:lang w:val="en-GB"/>
        </w:rPr>
        <w:t xml:space="preserve">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Prrafodelista"/>
        <w:numPr>
          <w:ilvl w:val="0"/>
          <w:numId w:val="35"/>
        </w:numPr>
        <w:ind w:left="426"/>
        <w:rPr>
          <w:rFonts w:ascii="Arial" w:hAnsi="Arial" w:cs="Arial"/>
          <w:sz w:val="22"/>
          <w:szCs w:val="22"/>
          <w:lang w:val="en-GB"/>
        </w:rPr>
      </w:pPr>
      <w:proofErr w:type="gramStart"/>
      <w:r>
        <w:rPr>
          <w:rFonts w:ascii="Arial" w:hAnsi="Arial" w:cs="Arial"/>
          <w:sz w:val="22"/>
          <w:szCs w:val="22"/>
          <w:lang w:val="en-GB"/>
        </w:rPr>
        <w:t>c</w:t>
      </w:r>
      <w:r w:rsidR="0018424C" w:rsidRPr="00607C84">
        <w:rPr>
          <w:rFonts w:ascii="Arial" w:hAnsi="Arial" w:cs="Arial"/>
          <w:sz w:val="22"/>
          <w:szCs w:val="22"/>
          <w:lang w:val="en-GB"/>
        </w:rPr>
        <w:t>ontinues</w:t>
      </w:r>
      <w:proofErr w:type="gramEnd"/>
      <w:r w:rsidR="0018424C" w:rsidRPr="00607C84">
        <w:rPr>
          <w:rFonts w:ascii="Arial" w:hAnsi="Arial" w:cs="Arial"/>
          <w:sz w:val="22"/>
          <w:szCs w:val="22"/>
          <w:lang w:val="en-GB"/>
        </w:rPr>
        <w:t xml:space="preserve">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B17D7F" w:rsidRDefault="00E2786A" w:rsidP="00607C84">
      <w:pPr>
        <w:pStyle w:val="Prrafodelista"/>
        <w:numPr>
          <w:ilvl w:val="0"/>
          <w:numId w:val="35"/>
        </w:numPr>
        <w:ind w:left="426"/>
        <w:rPr>
          <w:rFonts w:ascii="Arial" w:hAnsi="Arial" w:cs="Arial"/>
          <w:sz w:val="22"/>
          <w:szCs w:val="22"/>
          <w:highlight w:val="yellow"/>
          <w:lang w:val="en-GB"/>
        </w:rPr>
      </w:pPr>
      <w:proofErr w:type="gramStart"/>
      <w:r w:rsidRPr="00B17D7F">
        <w:rPr>
          <w:rFonts w:ascii="Arial" w:hAnsi="Arial" w:cs="Arial"/>
          <w:sz w:val="22"/>
          <w:szCs w:val="22"/>
          <w:highlight w:val="yellow"/>
          <w:lang w:val="en-GB"/>
        </w:rPr>
        <w:t>m</w:t>
      </w:r>
      <w:r w:rsidR="0018424C" w:rsidRPr="00B17D7F">
        <w:rPr>
          <w:rFonts w:ascii="Arial" w:hAnsi="Arial" w:cs="Arial"/>
          <w:sz w:val="22"/>
          <w:szCs w:val="22"/>
          <w:highlight w:val="yellow"/>
          <w:lang w:val="en-GB"/>
        </w:rPr>
        <w:t>ay</w:t>
      </w:r>
      <w:proofErr w:type="gramEnd"/>
      <w:r w:rsidR="0018424C" w:rsidRPr="00B17D7F">
        <w:rPr>
          <w:rFonts w:ascii="Arial" w:hAnsi="Arial" w:cs="Arial"/>
          <w:sz w:val="22"/>
          <w:szCs w:val="22"/>
          <w:highlight w:val="yellow"/>
          <w:lang w:val="en-GB"/>
        </w:rPr>
        <w:t xml:space="preserve"> continue to be in control of the company subject to supervision by the provisional liquidator</w:t>
      </w:r>
      <w:r w:rsidR="00920BE7" w:rsidRPr="00B17D7F">
        <w:rPr>
          <w:rFonts w:ascii="Arial" w:hAnsi="Arial" w:cs="Arial"/>
          <w:sz w:val="22"/>
          <w:szCs w:val="22"/>
          <w:highlight w:val="yellow"/>
          <w:lang w:val="en-GB"/>
        </w:rPr>
        <w:t xml:space="preserve"> and the </w:t>
      </w:r>
      <w:r w:rsidR="00803C72" w:rsidRPr="00B17D7F">
        <w:rPr>
          <w:rFonts w:ascii="Arial" w:hAnsi="Arial" w:cs="Arial"/>
          <w:sz w:val="22"/>
          <w:szCs w:val="22"/>
          <w:highlight w:val="yellow"/>
          <w:lang w:val="en-GB"/>
        </w:rPr>
        <w:t>c</w:t>
      </w:r>
      <w:r w:rsidR="00920BE7" w:rsidRPr="00B17D7F">
        <w:rPr>
          <w:rFonts w:ascii="Arial" w:hAnsi="Arial" w:cs="Arial"/>
          <w:sz w:val="22"/>
          <w:szCs w:val="22"/>
          <w:highlight w:val="yellow"/>
          <w:lang w:val="en-GB"/>
        </w:rPr>
        <w:t>ourt</w:t>
      </w:r>
      <w:r w:rsidR="00803C72" w:rsidRPr="00B17D7F">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Prrafodelista"/>
        <w:numPr>
          <w:ilvl w:val="0"/>
          <w:numId w:val="35"/>
        </w:numPr>
        <w:ind w:left="426"/>
        <w:rPr>
          <w:rFonts w:ascii="Arial" w:hAnsi="Arial" w:cs="Arial"/>
          <w:sz w:val="22"/>
          <w:szCs w:val="22"/>
          <w:lang w:val="en-GB"/>
        </w:rPr>
      </w:pPr>
      <w:proofErr w:type="gramStart"/>
      <w:r>
        <w:rPr>
          <w:rFonts w:ascii="Arial" w:hAnsi="Arial" w:cs="Arial"/>
          <w:sz w:val="22"/>
          <w:szCs w:val="22"/>
          <w:lang w:val="en-GB"/>
        </w:rPr>
        <w:t>i</w:t>
      </w:r>
      <w:r w:rsidR="0018424C" w:rsidRPr="00607C84">
        <w:rPr>
          <w:rFonts w:ascii="Arial" w:hAnsi="Arial" w:cs="Arial"/>
          <w:sz w:val="22"/>
          <w:szCs w:val="22"/>
          <w:lang w:val="en-GB"/>
        </w:rPr>
        <w:t>s</w:t>
      </w:r>
      <w:proofErr w:type="gramEnd"/>
      <w:r w:rsidR="0018424C" w:rsidRPr="00607C84">
        <w:rPr>
          <w:rFonts w:ascii="Arial" w:hAnsi="Arial" w:cs="Arial"/>
          <w:sz w:val="22"/>
          <w:szCs w:val="22"/>
          <w:lang w:val="en-GB"/>
        </w:rPr>
        <w:t xml:space="preserve">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94033D" w:rsidRDefault="00E2786A" w:rsidP="000507A7">
      <w:pPr>
        <w:pStyle w:val="Prrafodelista"/>
        <w:numPr>
          <w:ilvl w:val="0"/>
          <w:numId w:val="36"/>
        </w:numPr>
        <w:ind w:left="426"/>
        <w:rPr>
          <w:rFonts w:ascii="Arial" w:hAnsi="Arial" w:cs="Arial"/>
          <w:sz w:val="22"/>
          <w:szCs w:val="22"/>
          <w:highlight w:val="yellow"/>
          <w:lang w:val="en-GB"/>
        </w:rPr>
      </w:pPr>
      <w:proofErr w:type="gramStart"/>
      <w:r w:rsidRPr="0094033D">
        <w:rPr>
          <w:rFonts w:ascii="Arial" w:hAnsi="Arial" w:cs="Arial"/>
          <w:sz w:val="22"/>
          <w:szCs w:val="22"/>
          <w:highlight w:val="yellow"/>
          <w:lang w:val="en-GB"/>
        </w:rPr>
        <w:t>n</w:t>
      </w:r>
      <w:r w:rsidR="0018424C" w:rsidRPr="0094033D">
        <w:rPr>
          <w:rFonts w:ascii="Arial" w:hAnsi="Arial" w:cs="Arial"/>
          <w:sz w:val="22"/>
          <w:szCs w:val="22"/>
          <w:highlight w:val="yellow"/>
          <w:lang w:val="en-GB"/>
        </w:rPr>
        <w:t>o</w:t>
      </w:r>
      <w:proofErr w:type="gramEnd"/>
      <w:r w:rsidR="0018424C" w:rsidRPr="0094033D">
        <w:rPr>
          <w:rFonts w:ascii="Arial" w:hAnsi="Arial" w:cs="Arial"/>
          <w:sz w:val="22"/>
          <w:szCs w:val="22"/>
          <w:highlight w:val="yellow"/>
          <w:lang w:val="en-GB"/>
        </w:rPr>
        <w:t xml:space="preserve"> action may be commenced against the company</w:t>
      </w:r>
      <w:r w:rsidR="003A2780" w:rsidRPr="0094033D">
        <w:rPr>
          <w:rFonts w:ascii="Arial" w:hAnsi="Arial" w:cs="Arial"/>
          <w:sz w:val="22"/>
          <w:szCs w:val="22"/>
          <w:highlight w:val="yellow"/>
          <w:lang w:val="en-GB"/>
        </w:rPr>
        <w:t xml:space="preserve"> without leave of the court</w:t>
      </w:r>
      <w:r w:rsidR="00803C72" w:rsidRPr="0094033D">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Prrafodelista"/>
        <w:numPr>
          <w:ilvl w:val="0"/>
          <w:numId w:val="36"/>
        </w:numPr>
        <w:ind w:left="426"/>
        <w:rPr>
          <w:rFonts w:ascii="Arial" w:hAnsi="Arial" w:cs="Arial"/>
          <w:sz w:val="22"/>
          <w:szCs w:val="22"/>
          <w:lang w:val="en-GB"/>
        </w:rPr>
      </w:pPr>
      <w:proofErr w:type="gramStart"/>
      <w:r>
        <w:rPr>
          <w:rFonts w:ascii="Arial" w:hAnsi="Arial" w:cs="Arial"/>
          <w:sz w:val="22"/>
          <w:szCs w:val="22"/>
          <w:lang w:val="en-GB"/>
        </w:rPr>
        <w:t>n</w:t>
      </w:r>
      <w:r w:rsidR="0018424C" w:rsidRPr="000507A7">
        <w:rPr>
          <w:rFonts w:ascii="Arial" w:hAnsi="Arial" w:cs="Arial"/>
          <w:sz w:val="22"/>
          <w:szCs w:val="22"/>
          <w:lang w:val="en-GB"/>
        </w:rPr>
        <w:t>o</w:t>
      </w:r>
      <w:proofErr w:type="gramEnd"/>
      <w:r w:rsidR="0018424C" w:rsidRPr="000507A7">
        <w:rPr>
          <w:rFonts w:ascii="Arial" w:hAnsi="Arial" w:cs="Arial"/>
          <w:sz w:val="22"/>
          <w:szCs w:val="22"/>
          <w:lang w:val="en-GB"/>
        </w:rPr>
        <w:t xml:space="preserve">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Prrafodelista"/>
        <w:numPr>
          <w:ilvl w:val="0"/>
          <w:numId w:val="36"/>
        </w:numPr>
        <w:ind w:left="426"/>
        <w:rPr>
          <w:rFonts w:ascii="Arial" w:hAnsi="Arial" w:cs="Arial"/>
          <w:sz w:val="22"/>
          <w:szCs w:val="22"/>
          <w:lang w:val="en-GB"/>
        </w:rPr>
      </w:pPr>
      <w:proofErr w:type="gramStart"/>
      <w:r>
        <w:rPr>
          <w:rFonts w:ascii="Arial" w:hAnsi="Arial" w:cs="Arial"/>
          <w:sz w:val="22"/>
          <w:szCs w:val="22"/>
          <w:lang w:val="en-GB"/>
        </w:rPr>
        <w:t>l</w:t>
      </w:r>
      <w:r w:rsidR="003A2780" w:rsidRPr="000507A7">
        <w:rPr>
          <w:rFonts w:ascii="Arial" w:hAnsi="Arial" w:cs="Arial"/>
          <w:sz w:val="22"/>
          <w:szCs w:val="22"/>
          <w:lang w:val="en-GB"/>
        </w:rPr>
        <w:t>egal</w:t>
      </w:r>
      <w:proofErr w:type="gramEnd"/>
      <w:r w:rsidR="003A2780" w:rsidRPr="000507A7">
        <w:rPr>
          <w:rFonts w:ascii="Arial" w:hAnsi="Arial" w:cs="Arial"/>
          <w:sz w:val="22"/>
          <w:szCs w:val="22"/>
          <w:lang w:val="en-GB"/>
        </w:rPr>
        <w:t xml:space="preserve">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Prrafodelista"/>
        <w:numPr>
          <w:ilvl w:val="0"/>
          <w:numId w:val="36"/>
        </w:numPr>
        <w:ind w:left="426"/>
        <w:rPr>
          <w:rFonts w:ascii="Arial" w:hAnsi="Arial" w:cs="Arial"/>
          <w:sz w:val="22"/>
          <w:szCs w:val="22"/>
          <w:lang w:val="en-GB"/>
        </w:rPr>
      </w:pPr>
      <w:proofErr w:type="gramStart"/>
      <w:r>
        <w:rPr>
          <w:rFonts w:ascii="Arial" w:hAnsi="Arial" w:cs="Arial"/>
          <w:sz w:val="22"/>
          <w:szCs w:val="22"/>
          <w:lang w:val="en-GB"/>
        </w:rPr>
        <w:t>n</w:t>
      </w:r>
      <w:r w:rsidR="0018424C" w:rsidRPr="000507A7">
        <w:rPr>
          <w:rFonts w:ascii="Arial" w:hAnsi="Arial" w:cs="Arial"/>
          <w:sz w:val="22"/>
          <w:szCs w:val="22"/>
          <w:lang w:val="en-GB"/>
        </w:rPr>
        <w:t>o</w:t>
      </w:r>
      <w:proofErr w:type="gramEnd"/>
      <w:r w:rsidR="0018424C" w:rsidRPr="000507A7">
        <w:rPr>
          <w:rFonts w:ascii="Arial" w:hAnsi="Arial" w:cs="Arial"/>
          <w:sz w:val="22"/>
          <w:szCs w:val="22"/>
          <w:lang w:val="en-GB"/>
        </w:rPr>
        <w:t xml:space="preserve">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8840F9" w:rsidRDefault="00853B56" w:rsidP="0020526E">
      <w:pPr>
        <w:pStyle w:val="Prrafodelista"/>
        <w:numPr>
          <w:ilvl w:val="0"/>
          <w:numId w:val="38"/>
        </w:numPr>
        <w:ind w:left="426"/>
        <w:jc w:val="both"/>
        <w:rPr>
          <w:rFonts w:ascii="Arial" w:hAnsi="Arial" w:cs="Arial"/>
          <w:sz w:val="22"/>
          <w:szCs w:val="22"/>
          <w:highlight w:val="yellow"/>
          <w:lang w:val="en-GB"/>
        </w:rPr>
      </w:pPr>
      <w:r w:rsidRPr="008840F9">
        <w:rPr>
          <w:rFonts w:ascii="Arial" w:hAnsi="Arial" w:cs="Arial"/>
          <w:sz w:val="22"/>
          <w:szCs w:val="22"/>
          <w:highlight w:val="yellow"/>
          <w:lang w:val="en-GB"/>
        </w:rPr>
        <w:t>Amounts due to p</w:t>
      </w:r>
      <w:r w:rsidR="005327B7" w:rsidRPr="008840F9">
        <w:rPr>
          <w:rFonts w:ascii="Arial" w:hAnsi="Arial" w:cs="Arial"/>
          <w:sz w:val="22"/>
          <w:szCs w:val="22"/>
          <w:highlight w:val="yellow"/>
          <w:lang w:val="en-GB"/>
        </w:rPr>
        <w:t>referred shareholders</w:t>
      </w:r>
      <w:r w:rsidR="00803C72" w:rsidRPr="008840F9">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Prrafodelista"/>
        <w:numPr>
          <w:ilvl w:val="0"/>
          <w:numId w:val="38"/>
        </w:numPr>
        <w:ind w:left="426"/>
        <w:jc w:val="both"/>
        <w:rPr>
          <w:rFonts w:ascii="Arial" w:hAnsi="Arial" w:cs="Arial"/>
          <w:sz w:val="22"/>
          <w:szCs w:val="22"/>
          <w:lang w:val="en-GB"/>
        </w:rPr>
      </w:pPr>
      <w:r w:rsidRPr="005327B7">
        <w:rPr>
          <w:rFonts w:ascii="Arial" w:hAnsi="Arial" w:cs="Arial"/>
          <w:sz w:val="22"/>
          <w:szCs w:val="22"/>
          <w:lang w:val="en-GB"/>
        </w:rPr>
        <w:t xml:space="preserve">Unsecured </w:t>
      </w:r>
      <w:proofErr w:type="gramStart"/>
      <w:r w:rsidRPr="005327B7">
        <w:rPr>
          <w:rFonts w:ascii="Arial" w:hAnsi="Arial" w:cs="Arial"/>
          <w:sz w:val="22"/>
          <w:szCs w:val="22"/>
          <w:lang w:val="en-GB"/>
        </w:rPr>
        <w:t>debts which</w:t>
      </w:r>
      <w:proofErr w:type="gramEnd"/>
      <w:r w:rsidRPr="005327B7">
        <w:rPr>
          <w:rFonts w:ascii="Arial" w:hAnsi="Arial" w:cs="Arial"/>
          <w:sz w:val="22"/>
          <w:szCs w:val="22"/>
          <w:lang w:val="en-GB"/>
        </w:rPr>
        <w:t xml:space="preserve">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Prrafodelista"/>
        <w:numPr>
          <w:ilvl w:val="0"/>
          <w:numId w:val="39"/>
        </w:numPr>
        <w:ind w:left="426"/>
        <w:jc w:val="both"/>
        <w:rPr>
          <w:rFonts w:ascii="Arial" w:hAnsi="Arial" w:cs="Arial"/>
          <w:sz w:val="22"/>
          <w:szCs w:val="22"/>
          <w:lang w:val="en-GB"/>
        </w:rPr>
      </w:pPr>
      <w:proofErr w:type="gramStart"/>
      <w:r w:rsidRPr="0020526E">
        <w:rPr>
          <w:rFonts w:ascii="Arial" w:hAnsi="Arial" w:cs="Arial"/>
          <w:sz w:val="22"/>
          <w:szCs w:val="22"/>
          <w:lang w:val="en-GB"/>
        </w:rPr>
        <w:t>occurs</w:t>
      </w:r>
      <w:proofErr w:type="gramEnd"/>
      <w:r w:rsidRPr="0020526E">
        <w:rPr>
          <w:rFonts w:ascii="Arial" w:hAnsi="Arial" w:cs="Arial"/>
          <w:sz w:val="22"/>
          <w:szCs w:val="22"/>
          <w:lang w:val="en-GB"/>
        </w:rPr>
        <w:t xml:space="preserve">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62373B" w:rsidRDefault="002C4B43" w:rsidP="0020526E">
      <w:pPr>
        <w:pStyle w:val="Prrafodelista"/>
        <w:numPr>
          <w:ilvl w:val="0"/>
          <w:numId w:val="39"/>
        </w:numPr>
        <w:ind w:left="426"/>
        <w:jc w:val="both"/>
        <w:rPr>
          <w:rFonts w:ascii="Arial" w:hAnsi="Arial" w:cs="Arial"/>
          <w:sz w:val="22"/>
          <w:szCs w:val="22"/>
          <w:highlight w:val="yellow"/>
          <w:lang w:val="en-GB"/>
        </w:rPr>
      </w:pPr>
      <w:proofErr w:type="gramStart"/>
      <w:r w:rsidRPr="0062373B">
        <w:rPr>
          <w:rFonts w:ascii="Arial" w:hAnsi="Arial" w:cs="Arial"/>
          <w:sz w:val="22"/>
          <w:szCs w:val="22"/>
          <w:highlight w:val="yellow"/>
          <w:lang w:val="en-GB"/>
        </w:rPr>
        <w:t>occurs</w:t>
      </w:r>
      <w:proofErr w:type="gramEnd"/>
      <w:r w:rsidRPr="0062373B">
        <w:rPr>
          <w:rFonts w:ascii="Arial" w:hAnsi="Arial" w:cs="Arial"/>
          <w:sz w:val="22"/>
          <w:szCs w:val="22"/>
          <w:highlight w:val="yellow"/>
          <w:lang w:val="en-GB"/>
        </w:rPr>
        <w:t xml:space="preserve">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62373B">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Prrafodelista"/>
        <w:numPr>
          <w:ilvl w:val="0"/>
          <w:numId w:val="39"/>
        </w:numPr>
        <w:ind w:left="426"/>
        <w:jc w:val="both"/>
        <w:rPr>
          <w:rFonts w:ascii="Arial" w:hAnsi="Arial" w:cs="Arial"/>
          <w:sz w:val="22"/>
          <w:szCs w:val="22"/>
          <w:lang w:val="en-GB"/>
        </w:rPr>
      </w:pPr>
      <w:proofErr w:type="gramStart"/>
      <w:r w:rsidRPr="0020526E">
        <w:rPr>
          <w:rFonts w:ascii="Arial" w:hAnsi="Arial" w:cs="Arial"/>
          <w:sz w:val="22"/>
          <w:szCs w:val="22"/>
          <w:lang w:val="en-GB"/>
        </w:rPr>
        <w:t>occurs</w:t>
      </w:r>
      <w:proofErr w:type="gramEnd"/>
      <w:r w:rsidRPr="0020526E">
        <w:rPr>
          <w:rFonts w:ascii="Arial" w:hAnsi="Arial" w:cs="Arial"/>
          <w:sz w:val="22"/>
          <w:szCs w:val="22"/>
          <w:lang w:val="en-GB"/>
        </w:rPr>
        <w:t xml:space="preserve">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Prrafodelista"/>
        <w:numPr>
          <w:ilvl w:val="0"/>
          <w:numId w:val="39"/>
        </w:numPr>
        <w:ind w:left="426"/>
        <w:jc w:val="both"/>
        <w:rPr>
          <w:rFonts w:ascii="Arial" w:hAnsi="Arial" w:cs="Arial"/>
          <w:sz w:val="22"/>
          <w:szCs w:val="22"/>
          <w:lang w:val="en-GB"/>
        </w:rPr>
      </w:pPr>
      <w:proofErr w:type="gramStart"/>
      <w:r w:rsidRPr="0020526E">
        <w:rPr>
          <w:rFonts w:ascii="Arial" w:hAnsi="Arial" w:cs="Arial"/>
          <w:sz w:val="22"/>
          <w:szCs w:val="22"/>
          <w:lang w:val="en-GB"/>
        </w:rPr>
        <w:t>occurs</w:t>
      </w:r>
      <w:proofErr w:type="gramEnd"/>
      <w:r w:rsidRPr="0020526E">
        <w:rPr>
          <w:rFonts w:ascii="Arial" w:hAnsi="Arial" w:cs="Arial"/>
          <w:sz w:val="22"/>
          <w:szCs w:val="22"/>
          <w:lang w:val="en-GB"/>
        </w:rPr>
        <w:t xml:space="preserve">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w:t>
      </w:r>
      <w:proofErr w:type="gramStart"/>
      <w:r>
        <w:rPr>
          <w:rFonts w:ascii="Arial" w:hAnsi="Arial" w:cs="Arial"/>
          <w:sz w:val="22"/>
          <w:szCs w:val="22"/>
          <w:lang w:val="en-GB"/>
        </w:rPr>
        <w:t>be approved</w:t>
      </w:r>
      <w:proofErr w:type="gramEnd"/>
      <w:r>
        <w:rPr>
          <w:rFonts w:ascii="Arial" w:hAnsi="Arial" w:cs="Arial"/>
          <w:sz w:val="22"/>
          <w:szCs w:val="22"/>
          <w:lang w:val="en-GB"/>
        </w:rPr>
        <w:t>:</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Prrafodelista"/>
        <w:numPr>
          <w:ilvl w:val="0"/>
          <w:numId w:val="40"/>
        </w:numPr>
        <w:ind w:left="426"/>
        <w:jc w:val="both"/>
        <w:rPr>
          <w:rFonts w:ascii="Arial" w:hAnsi="Arial" w:cs="Arial"/>
          <w:sz w:val="22"/>
          <w:szCs w:val="22"/>
          <w:lang w:val="en-GB"/>
        </w:rPr>
      </w:pPr>
      <w:proofErr w:type="gramStart"/>
      <w:r w:rsidRPr="0020526E">
        <w:rPr>
          <w:rFonts w:ascii="Arial" w:hAnsi="Arial" w:cs="Arial"/>
          <w:sz w:val="22"/>
          <w:szCs w:val="22"/>
          <w:lang w:val="en-GB"/>
        </w:rPr>
        <w:t>50%</w:t>
      </w:r>
      <w:proofErr w:type="gramEnd"/>
      <w:r w:rsidRPr="0020526E">
        <w:rPr>
          <w:rFonts w:ascii="Arial" w:hAnsi="Arial" w:cs="Arial"/>
          <w:sz w:val="22"/>
          <w:szCs w:val="22"/>
          <w:lang w:val="en-GB"/>
        </w:rPr>
        <w:t xml:space="preserve">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Prrafodelista"/>
        <w:numPr>
          <w:ilvl w:val="0"/>
          <w:numId w:val="40"/>
        </w:numPr>
        <w:ind w:left="426"/>
        <w:jc w:val="both"/>
        <w:rPr>
          <w:rFonts w:ascii="Arial" w:hAnsi="Arial" w:cs="Arial"/>
          <w:sz w:val="22"/>
          <w:szCs w:val="22"/>
          <w:lang w:val="en-GB"/>
        </w:rPr>
      </w:pPr>
      <w:proofErr w:type="gramStart"/>
      <w:r w:rsidRPr="0020526E">
        <w:rPr>
          <w:rFonts w:ascii="Arial" w:hAnsi="Arial" w:cs="Arial"/>
          <w:sz w:val="22"/>
          <w:szCs w:val="22"/>
          <w:lang w:val="en-GB"/>
        </w:rPr>
        <w:t>50%</w:t>
      </w:r>
      <w:proofErr w:type="gramEnd"/>
      <w:r w:rsidRPr="0020526E">
        <w:rPr>
          <w:rFonts w:ascii="Arial" w:hAnsi="Arial" w:cs="Arial"/>
          <w:sz w:val="22"/>
          <w:szCs w:val="22"/>
          <w:lang w:val="en-GB"/>
        </w:rPr>
        <w:t xml:space="preserve">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Prrafodelista"/>
        <w:numPr>
          <w:ilvl w:val="0"/>
          <w:numId w:val="40"/>
        </w:numPr>
        <w:ind w:left="426"/>
        <w:jc w:val="both"/>
        <w:rPr>
          <w:rFonts w:ascii="Arial" w:hAnsi="Arial" w:cs="Arial"/>
          <w:sz w:val="22"/>
          <w:szCs w:val="22"/>
          <w:lang w:val="en-GB"/>
        </w:rPr>
      </w:pPr>
      <w:proofErr w:type="gramStart"/>
      <w:r>
        <w:rPr>
          <w:rFonts w:ascii="Arial" w:hAnsi="Arial" w:cs="Arial"/>
          <w:sz w:val="22"/>
          <w:szCs w:val="22"/>
          <w:lang w:val="en-GB"/>
        </w:rPr>
        <w:t>m</w:t>
      </w:r>
      <w:r w:rsidR="002C4B43" w:rsidRPr="0020526E">
        <w:rPr>
          <w:rFonts w:ascii="Arial" w:hAnsi="Arial" w:cs="Arial"/>
          <w:sz w:val="22"/>
          <w:szCs w:val="22"/>
          <w:lang w:val="en-GB"/>
        </w:rPr>
        <w:t>ore</w:t>
      </w:r>
      <w:proofErr w:type="gramEnd"/>
      <w:r w:rsidR="002C4B43" w:rsidRPr="0020526E">
        <w:rPr>
          <w:rFonts w:ascii="Arial" w:hAnsi="Arial" w:cs="Arial"/>
          <w:sz w:val="22"/>
          <w:szCs w:val="22"/>
          <w:lang w:val="en-GB"/>
        </w:rPr>
        <w:t xml:space="preserv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364563" w:rsidRDefault="00684D9D" w:rsidP="0020526E">
      <w:pPr>
        <w:pStyle w:val="Prrafodelista"/>
        <w:numPr>
          <w:ilvl w:val="0"/>
          <w:numId w:val="40"/>
        </w:numPr>
        <w:ind w:left="426"/>
        <w:jc w:val="both"/>
        <w:rPr>
          <w:rFonts w:ascii="Arial" w:hAnsi="Arial" w:cs="Arial"/>
          <w:sz w:val="22"/>
          <w:szCs w:val="22"/>
          <w:highlight w:val="yellow"/>
          <w:lang w:val="en-GB"/>
        </w:rPr>
      </w:pPr>
      <w:proofErr w:type="gramStart"/>
      <w:r w:rsidRPr="00364563">
        <w:rPr>
          <w:rFonts w:ascii="Arial" w:hAnsi="Arial" w:cs="Arial"/>
          <w:sz w:val="22"/>
          <w:szCs w:val="22"/>
          <w:highlight w:val="yellow"/>
          <w:lang w:val="en-GB"/>
        </w:rPr>
        <w:t>m</w:t>
      </w:r>
      <w:r w:rsidR="002C4B43" w:rsidRPr="00364563">
        <w:rPr>
          <w:rFonts w:ascii="Arial" w:hAnsi="Arial" w:cs="Arial"/>
          <w:sz w:val="22"/>
          <w:szCs w:val="22"/>
          <w:highlight w:val="yellow"/>
          <w:lang w:val="en-GB"/>
        </w:rPr>
        <w:t>ore</w:t>
      </w:r>
      <w:proofErr w:type="gramEnd"/>
      <w:r w:rsidR="002C4B43" w:rsidRPr="00364563">
        <w:rPr>
          <w:rFonts w:ascii="Arial" w:hAnsi="Arial" w:cs="Arial"/>
          <w:sz w:val="22"/>
          <w:szCs w:val="22"/>
          <w:highlight w:val="yellow"/>
          <w:lang w:val="en-GB"/>
        </w:rPr>
        <w:t xml:space="preserve"> than 50% representing 75% or more </w:t>
      </w:r>
      <w:r w:rsidR="00016475" w:rsidRPr="00364563">
        <w:rPr>
          <w:rFonts w:ascii="Arial" w:hAnsi="Arial" w:cs="Arial"/>
          <w:sz w:val="22"/>
          <w:szCs w:val="22"/>
          <w:highlight w:val="yellow"/>
          <w:lang w:val="en-GB"/>
        </w:rPr>
        <w:t xml:space="preserve">in value </w:t>
      </w:r>
      <w:r w:rsidR="002C4B43" w:rsidRPr="00364563">
        <w:rPr>
          <w:rFonts w:ascii="Arial" w:hAnsi="Arial" w:cs="Arial"/>
          <w:sz w:val="22"/>
          <w:szCs w:val="22"/>
          <w:highlight w:val="yellow"/>
          <w:lang w:val="en-GB"/>
        </w:rPr>
        <w:t>of the creditors must agree</w:t>
      </w:r>
      <w:r w:rsidR="00D06A87" w:rsidRPr="00364563">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proofErr w:type="gramStart"/>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proofErr w:type="gramEnd"/>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Prrafodelista"/>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Prrafodelista"/>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Prrafodelista"/>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053B29" w:rsidRDefault="005327B7" w:rsidP="0020526E">
      <w:pPr>
        <w:pStyle w:val="Prrafodelista"/>
        <w:numPr>
          <w:ilvl w:val="0"/>
          <w:numId w:val="41"/>
        </w:numPr>
        <w:ind w:left="426"/>
        <w:jc w:val="both"/>
        <w:rPr>
          <w:rFonts w:ascii="Arial" w:hAnsi="Arial" w:cs="Arial"/>
          <w:sz w:val="22"/>
          <w:szCs w:val="22"/>
          <w:highlight w:val="yellow"/>
          <w:lang w:val="en-GB"/>
        </w:rPr>
      </w:pPr>
      <w:proofErr w:type="gramStart"/>
      <w:r w:rsidRPr="00053B29">
        <w:rPr>
          <w:rFonts w:ascii="Arial" w:hAnsi="Arial" w:cs="Arial"/>
          <w:sz w:val="22"/>
          <w:szCs w:val="22"/>
          <w:highlight w:val="yellow"/>
          <w:lang w:val="en-GB"/>
        </w:rPr>
        <w:t>board</w:t>
      </w:r>
      <w:proofErr w:type="gramEnd"/>
      <w:r w:rsidRPr="00053B29">
        <w:rPr>
          <w:rFonts w:ascii="Arial" w:hAnsi="Arial" w:cs="Arial"/>
          <w:sz w:val="22"/>
          <w:szCs w:val="22"/>
          <w:highlight w:val="yellow"/>
          <w:lang w:val="en-GB"/>
        </w:rPr>
        <w:t xml:space="preserve"> of directors decides it is “just and equitable” for the company to be wound up</w:t>
      </w:r>
      <w:r w:rsidR="00D06A87" w:rsidRPr="00053B29">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Prrafodelista"/>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AFBDB92" w14:textId="445E67C4" w:rsidR="00840F8A" w:rsidRDefault="008B531A" w:rsidP="00D27CBC">
      <w:pPr>
        <w:jc w:val="both"/>
        <w:rPr>
          <w:rFonts w:ascii="Arial" w:hAnsi="Arial" w:cs="Arial"/>
          <w:color w:val="808080" w:themeColor="background1" w:themeShade="80"/>
          <w:sz w:val="22"/>
          <w:szCs w:val="22"/>
          <w:lang w:val="en-GB"/>
        </w:rPr>
      </w:pPr>
      <w:r w:rsidRPr="008B531A">
        <w:rPr>
          <w:rFonts w:ascii="Arial" w:hAnsi="Arial" w:cs="Arial"/>
          <w:color w:val="808080" w:themeColor="background1" w:themeShade="80"/>
          <w:sz w:val="22"/>
          <w:szCs w:val="22"/>
          <w:lang w:val="en-GB"/>
        </w:rPr>
        <w:t>It is pertinent to highlight that in the Cayman Islands there is no public security registration regimen. By virtue of the above, creditors must adopt special measures to fully control the assets and prevent others from purchasing them. Pursuant to article 54 of the Companies Law, it is necessary to register the security interests in the registry of mortgages and charges that th</w:t>
      </w:r>
      <w:r w:rsidR="00BF46CF">
        <w:rPr>
          <w:rFonts w:ascii="Arial" w:hAnsi="Arial" w:cs="Arial"/>
          <w:color w:val="808080" w:themeColor="background1" w:themeShade="80"/>
          <w:sz w:val="22"/>
          <w:szCs w:val="22"/>
          <w:lang w:val="en-GB"/>
        </w:rPr>
        <w:t>e company has for this purpose</w:t>
      </w:r>
      <w:sdt>
        <w:sdtPr>
          <w:rPr>
            <w:rFonts w:ascii="Arial" w:hAnsi="Arial" w:cs="Arial"/>
            <w:color w:val="808080" w:themeColor="background1" w:themeShade="80"/>
            <w:sz w:val="22"/>
            <w:szCs w:val="22"/>
            <w:lang w:val="en-GB"/>
          </w:rPr>
          <w:id w:val="-312794618"/>
          <w:citation/>
        </w:sdtPr>
        <w:sdtEndPr/>
        <w:sdtContent>
          <w:r w:rsidR="00BF46CF">
            <w:rPr>
              <w:rFonts w:ascii="Arial" w:hAnsi="Arial" w:cs="Arial"/>
              <w:color w:val="808080" w:themeColor="background1" w:themeShade="80"/>
              <w:sz w:val="22"/>
              <w:szCs w:val="22"/>
              <w:lang w:val="en-GB"/>
            </w:rPr>
            <w:fldChar w:fldCharType="begin"/>
          </w:r>
          <w:r w:rsidR="00003CDA">
            <w:rPr>
              <w:rFonts w:ascii="Arial" w:hAnsi="Arial" w:cs="Arial"/>
              <w:color w:val="808080" w:themeColor="background1" w:themeShade="80"/>
              <w:sz w:val="22"/>
              <w:szCs w:val="22"/>
            </w:rPr>
            <w:instrText xml:space="preserve">CITATION Ton20 \l 3082 </w:instrText>
          </w:r>
          <w:r w:rsidR="00BF46CF">
            <w:rPr>
              <w:rFonts w:ascii="Arial" w:hAnsi="Arial" w:cs="Arial"/>
              <w:color w:val="808080" w:themeColor="background1" w:themeShade="80"/>
              <w:sz w:val="22"/>
              <w:szCs w:val="22"/>
              <w:lang w:val="en-GB"/>
            </w:rPr>
            <w:fldChar w:fldCharType="separate"/>
          </w:r>
          <w:r w:rsidR="00003CDA">
            <w:rPr>
              <w:rFonts w:ascii="Arial" w:hAnsi="Arial" w:cs="Arial"/>
              <w:noProof/>
              <w:color w:val="808080" w:themeColor="background1" w:themeShade="80"/>
              <w:sz w:val="22"/>
              <w:szCs w:val="22"/>
            </w:rPr>
            <w:t xml:space="preserve"> </w:t>
          </w:r>
          <w:r w:rsidR="00003CDA" w:rsidRPr="00003CDA">
            <w:rPr>
              <w:rFonts w:ascii="Arial" w:hAnsi="Arial" w:cs="Arial"/>
              <w:noProof/>
              <w:color w:val="808080" w:themeColor="background1" w:themeShade="80"/>
              <w:sz w:val="22"/>
              <w:szCs w:val="22"/>
            </w:rPr>
            <w:t>(Tonner, 2020)</w:t>
          </w:r>
          <w:r w:rsidR="00BF46CF">
            <w:rPr>
              <w:rFonts w:ascii="Arial" w:hAnsi="Arial" w:cs="Arial"/>
              <w:color w:val="808080" w:themeColor="background1" w:themeShade="80"/>
              <w:sz w:val="22"/>
              <w:szCs w:val="22"/>
              <w:lang w:val="en-GB"/>
            </w:rPr>
            <w:fldChar w:fldCharType="end"/>
          </w:r>
        </w:sdtContent>
      </w:sdt>
      <w:r w:rsidR="00BF46CF">
        <w:rPr>
          <w:rFonts w:ascii="Arial" w:hAnsi="Arial" w:cs="Arial"/>
          <w:color w:val="808080" w:themeColor="background1" w:themeShade="80"/>
          <w:sz w:val="22"/>
          <w:szCs w:val="22"/>
          <w:lang w:val="en-GB"/>
        </w:rPr>
        <w:t>.</w:t>
      </w:r>
    </w:p>
    <w:p w14:paraId="3DD01481" w14:textId="77777777" w:rsidR="00840F8A" w:rsidRDefault="00840F8A" w:rsidP="00D27CBC">
      <w:pPr>
        <w:jc w:val="both"/>
        <w:rPr>
          <w:rFonts w:ascii="Arial" w:hAnsi="Arial" w:cs="Arial"/>
          <w:color w:val="808080" w:themeColor="background1" w:themeShade="80"/>
          <w:sz w:val="22"/>
          <w:szCs w:val="22"/>
          <w:lang w:val="en-GB"/>
        </w:rPr>
      </w:pPr>
    </w:p>
    <w:p w14:paraId="13F8CDF3" w14:textId="646C75EB" w:rsidR="002B3A96" w:rsidRDefault="008B531A" w:rsidP="00D27CBC">
      <w:pPr>
        <w:jc w:val="both"/>
        <w:rPr>
          <w:rFonts w:ascii="Arial" w:hAnsi="Arial" w:cs="Arial"/>
          <w:color w:val="808080" w:themeColor="background1" w:themeShade="80"/>
          <w:sz w:val="22"/>
          <w:szCs w:val="22"/>
          <w:lang w:val="en-GB"/>
        </w:rPr>
      </w:pPr>
      <w:r w:rsidRPr="008B531A">
        <w:rPr>
          <w:rFonts w:ascii="Arial" w:hAnsi="Arial" w:cs="Arial"/>
          <w:color w:val="808080" w:themeColor="background1" w:themeShade="80"/>
          <w:sz w:val="22"/>
          <w:szCs w:val="22"/>
          <w:lang w:val="en-GB"/>
        </w:rPr>
        <w:t>However, it is imperative to bear in mind that the registration of the security interest in the aforementioned registry does not grant priority, but makes the existence of the security known to third parties. In the event that a conflict arises in relation to the perfection and priority of the security interests, this will be resolved accordi</w:t>
      </w:r>
      <w:r w:rsidR="00BF46CF">
        <w:rPr>
          <w:rFonts w:ascii="Arial" w:hAnsi="Arial" w:cs="Arial"/>
          <w:color w:val="808080" w:themeColor="background1" w:themeShade="80"/>
          <w:sz w:val="22"/>
          <w:szCs w:val="22"/>
          <w:lang w:val="en-GB"/>
        </w:rPr>
        <w:t xml:space="preserve">ng to the location of the asset </w:t>
      </w:r>
      <w:sdt>
        <w:sdtPr>
          <w:rPr>
            <w:rFonts w:ascii="Arial" w:hAnsi="Arial" w:cs="Arial"/>
            <w:color w:val="808080" w:themeColor="background1" w:themeShade="80"/>
            <w:sz w:val="22"/>
            <w:szCs w:val="22"/>
            <w:lang w:val="en-GB"/>
          </w:rPr>
          <w:id w:val="-1473433915"/>
          <w:citation/>
        </w:sdtPr>
        <w:sdtEndPr/>
        <w:sdtContent>
          <w:r w:rsidR="00BF46CF">
            <w:rPr>
              <w:rFonts w:ascii="Arial" w:hAnsi="Arial" w:cs="Arial"/>
              <w:color w:val="808080" w:themeColor="background1" w:themeShade="80"/>
              <w:sz w:val="22"/>
              <w:szCs w:val="22"/>
              <w:lang w:val="en-GB"/>
            </w:rPr>
            <w:fldChar w:fldCharType="begin"/>
          </w:r>
          <w:r w:rsidR="00003CDA">
            <w:rPr>
              <w:rFonts w:ascii="Arial" w:hAnsi="Arial" w:cs="Arial"/>
              <w:color w:val="808080" w:themeColor="background1" w:themeShade="80"/>
              <w:sz w:val="22"/>
              <w:szCs w:val="22"/>
            </w:rPr>
            <w:instrText xml:space="preserve">CITATION Ton20 \l 3082 </w:instrText>
          </w:r>
          <w:r w:rsidR="00BF46CF">
            <w:rPr>
              <w:rFonts w:ascii="Arial" w:hAnsi="Arial" w:cs="Arial"/>
              <w:color w:val="808080" w:themeColor="background1" w:themeShade="80"/>
              <w:sz w:val="22"/>
              <w:szCs w:val="22"/>
              <w:lang w:val="en-GB"/>
            </w:rPr>
            <w:fldChar w:fldCharType="separate"/>
          </w:r>
          <w:r w:rsidR="00003CDA" w:rsidRPr="00003CDA">
            <w:rPr>
              <w:rFonts w:ascii="Arial" w:hAnsi="Arial" w:cs="Arial"/>
              <w:noProof/>
              <w:color w:val="808080" w:themeColor="background1" w:themeShade="80"/>
              <w:sz w:val="22"/>
              <w:szCs w:val="22"/>
            </w:rPr>
            <w:t>(Tonner, 2020)</w:t>
          </w:r>
          <w:r w:rsidR="00BF46CF">
            <w:rPr>
              <w:rFonts w:ascii="Arial" w:hAnsi="Arial" w:cs="Arial"/>
              <w:color w:val="808080" w:themeColor="background1" w:themeShade="80"/>
              <w:sz w:val="22"/>
              <w:szCs w:val="22"/>
              <w:lang w:val="en-GB"/>
            </w:rPr>
            <w:fldChar w:fldCharType="end"/>
          </w:r>
        </w:sdtContent>
      </w:sdt>
      <w:r w:rsidR="00BF46CF">
        <w:rPr>
          <w:rFonts w:ascii="Arial" w:hAnsi="Arial" w:cs="Arial"/>
          <w:color w:val="808080" w:themeColor="background1" w:themeShade="80"/>
          <w:sz w:val="22"/>
          <w:szCs w:val="22"/>
          <w:lang w:val="en-GB"/>
        </w:rPr>
        <w:t>.</w:t>
      </w:r>
    </w:p>
    <w:p w14:paraId="65728B95" w14:textId="27EF8814" w:rsidR="008829FB" w:rsidRDefault="008829FB" w:rsidP="00D27CBC">
      <w:pPr>
        <w:jc w:val="both"/>
        <w:rPr>
          <w:rFonts w:ascii="Arial" w:hAnsi="Arial" w:cs="Arial"/>
          <w:color w:val="808080" w:themeColor="background1" w:themeShade="80"/>
          <w:sz w:val="22"/>
          <w:szCs w:val="22"/>
          <w:lang w:val="en-GB"/>
        </w:rPr>
      </w:pPr>
    </w:p>
    <w:p w14:paraId="2B444288" w14:textId="608C863B" w:rsidR="008829FB" w:rsidRDefault="008829FB" w:rsidP="00D27CBC">
      <w:pPr>
        <w:jc w:val="both"/>
        <w:rPr>
          <w:rFonts w:ascii="Arial" w:hAnsi="Arial" w:cs="Arial"/>
          <w:color w:val="808080" w:themeColor="background1" w:themeShade="80"/>
          <w:sz w:val="22"/>
          <w:szCs w:val="22"/>
          <w:lang w:val="en-GB"/>
        </w:rPr>
      </w:pPr>
      <w:r w:rsidRPr="008829FB">
        <w:rPr>
          <w:rFonts w:ascii="Arial" w:hAnsi="Arial" w:cs="Arial"/>
          <w:color w:val="808080" w:themeColor="background1" w:themeShade="80"/>
          <w:sz w:val="22"/>
          <w:szCs w:val="22"/>
          <w:lang w:val="en-GB"/>
        </w:rPr>
        <w:t>It should be noted that</w:t>
      </w:r>
      <w:r>
        <w:rPr>
          <w:rFonts w:ascii="Arial" w:hAnsi="Arial" w:cs="Arial"/>
          <w:color w:val="808080" w:themeColor="background1" w:themeShade="80"/>
          <w:sz w:val="22"/>
          <w:szCs w:val="22"/>
          <w:lang w:val="en-GB"/>
        </w:rPr>
        <w:t xml:space="preserve"> for certain</w:t>
      </w:r>
      <w:r w:rsidRPr="008829FB">
        <w:rPr>
          <w:rFonts w:ascii="Arial" w:hAnsi="Arial" w:cs="Arial"/>
          <w:color w:val="808080" w:themeColor="background1" w:themeShade="80"/>
          <w:sz w:val="22"/>
          <w:szCs w:val="22"/>
          <w:lang w:val="en-GB"/>
        </w:rPr>
        <w:t xml:space="preserve"> assets</w:t>
      </w:r>
      <w:r>
        <w:rPr>
          <w:rFonts w:ascii="Arial" w:hAnsi="Arial" w:cs="Arial"/>
          <w:color w:val="808080" w:themeColor="background1" w:themeShade="80"/>
          <w:sz w:val="22"/>
          <w:szCs w:val="22"/>
          <w:lang w:val="en-GB"/>
        </w:rPr>
        <w:t>,</w:t>
      </w:r>
      <w:r w:rsidRPr="008829FB">
        <w:rPr>
          <w:rFonts w:ascii="Arial" w:hAnsi="Arial" w:cs="Arial"/>
          <w:color w:val="808080" w:themeColor="background1" w:themeShade="80"/>
          <w:sz w:val="22"/>
          <w:szCs w:val="22"/>
          <w:lang w:val="en-GB"/>
        </w:rPr>
        <w:t xml:space="preserve"> such as boats, ships, aircraft, land, or a motor vehicle, it is necessary to file a notice of the security with the</w:t>
      </w:r>
      <w:r>
        <w:rPr>
          <w:rFonts w:ascii="Arial" w:hAnsi="Arial" w:cs="Arial"/>
          <w:color w:val="808080" w:themeColor="background1" w:themeShade="80"/>
          <w:sz w:val="22"/>
          <w:szCs w:val="22"/>
          <w:lang w:val="en-GB"/>
        </w:rPr>
        <w:t xml:space="preserve"> centrally maintained registers </w:t>
      </w:r>
      <w:sdt>
        <w:sdtPr>
          <w:rPr>
            <w:rFonts w:ascii="Arial" w:hAnsi="Arial" w:cs="Arial"/>
            <w:color w:val="808080" w:themeColor="background1" w:themeShade="80"/>
            <w:sz w:val="22"/>
            <w:szCs w:val="22"/>
            <w:lang w:val="en-GB"/>
          </w:rPr>
          <w:id w:val="-937982974"/>
          <w:citation/>
        </w:sdtPr>
        <w:sdtEndPr/>
        <w:sdtContent>
          <w:r>
            <w:rPr>
              <w:rFonts w:ascii="Arial" w:hAnsi="Arial" w:cs="Arial"/>
              <w:color w:val="808080" w:themeColor="background1" w:themeShade="80"/>
              <w:sz w:val="22"/>
              <w:szCs w:val="22"/>
              <w:lang w:val="en-GB"/>
            </w:rPr>
            <w:fldChar w:fldCharType="begin"/>
          </w:r>
          <w:r w:rsidR="00003CDA">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00003CDA"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3256606E" w14:textId="694A3E78" w:rsidR="00BF46CF" w:rsidRDefault="00BF46CF" w:rsidP="00D27CBC">
      <w:pPr>
        <w:jc w:val="both"/>
        <w:rPr>
          <w:rFonts w:ascii="Arial" w:hAnsi="Arial" w:cs="Arial"/>
          <w:color w:val="808080" w:themeColor="background1" w:themeShade="80"/>
          <w:sz w:val="22"/>
          <w:szCs w:val="22"/>
          <w:lang w:val="en-GB"/>
        </w:rPr>
      </w:pPr>
    </w:p>
    <w:p w14:paraId="5DCFDFFB" w14:textId="20BC270E"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 xml:space="preserve">circumstances in which such powers </w:t>
      </w:r>
      <w:proofErr w:type="gramStart"/>
      <w:r w:rsidRPr="00B70966">
        <w:rPr>
          <w:rFonts w:ascii="Arial" w:hAnsi="Arial" w:cs="Arial"/>
          <w:sz w:val="22"/>
          <w:szCs w:val="22"/>
          <w:lang w:val="en-GB"/>
        </w:rPr>
        <w:t>may be exercised</w:t>
      </w:r>
      <w:proofErr w:type="gramEnd"/>
      <w:r w:rsidRPr="00B70966">
        <w:rPr>
          <w:rFonts w:ascii="Arial" w:hAnsi="Arial" w:cs="Arial"/>
          <w:sz w:val="22"/>
          <w:szCs w:val="22"/>
          <w:lang w:val="en-GB"/>
        </w:rPr>
        <w:t>.</w:t>
      </w:r>
    </w:p>
    <w:p w14:paraId="176341A6" w14:textId="77777777" w:rsidR="00D27CBC" w:rsidRDefault="00D27CBC" w:rsidP="00D27CBC">
      <w:pPr>
        <w:jc w:val="both"/>
        <w:rPr>
          <w:rFonts w:ascii="Arial" w:hAnsi="Arial" w:cs="Arial"/>
          <w:b/>
          <w:bCs/>
          <w:sz w:val="22"/>
          <w:szCs w:val="22"/>
          <w:lang w:val="en-GB"/>
        </w:rPr>
      </w:pPr>
    </w:p>
    <w:p w14:paraId="4A40458D" w14:textId="0A5A2EF0" w:rsidR="00D27CBC" w:rsidRDefault="00FB7677" w:rsidP="00FB7677">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w:t>
      </w:r>
      <w:r w:rsidRPr="00FB7677">
        <w:rPr>
          <w:rFonts w:ascii="Arial" w:hAnsi="Arial" w:cs="Arial"/>
          <w:color w:val="808080" w:themeColor="background1" w:themeShade="80"/>
          <w:sz w:val="22"/>
          <w:szCs w:val="22"/>
          <w:lang w:val="en-GB"/>
        </w:rPr>
        <w:t>he following are the main aspects to bear in mind to determine the legal basis under which the Cayman Islands Grand Court’s may assist bankruptcy proceedings : (</w:t>
      </w:r>
      <w:proofErr w:type="spellStart"/>
      <w:r w:rsidRPr="00FB7677">
        <w:rPr>
          <w:rFonts w:ascii="Arial" w:hAnsi="Arial" w:cs="Arial"/>
          <w:color w:val="808080" w:themeColor="background1" w:themeShade="80"/>
          <w:sz w:val="22"/>
          <w:szCs w:val="22"/>
          <w:lang w:val="en-GB"/>
        </w:rPr>
        <w:t>i</w:t>
      </w:r>
      <w:proofErr w:type="spellEnd"/>
      <w:r w:rsidRPr="00FB7677">
        <w:rPr>
          <w:rFonts w:ascii="Arial" w:hAnsi="Arial" w:cs="Arial"/>
          <w:color w:val="808080" w:themeColor="background1" w:themeShade="80"/>
          <w:sz w:val="22"/>
          <w:szCs w:val="22"/>
          <w:lang w:val="en-GB"/>
        </w:rPr>
        <w:t>) the EU legislation does not apply to the Cayman Islands because it is not a member of the EU, (ii) the UNCITRAL Model Law on Cross- Border Insolvency has not been implemented</w:t>
      </w:r>
      <w:r w:rsidR="00804150">
        <w:rPr>
          <w:rFonts w:ascii="Arial" w:hAnsi="Arial" w:cs="Arial"/>
          <w:color w:val="808080" w:themeColor="background1" w:themeShade="80"/>
          <w:sz w:val="22"/>
          <w:szCs w:val="22"/>
          <w:lang w:val="en-GB"/>
        </w:rPr>
        <w:t>,</w:t>
      </w:r>
      <w:r w:rsidRPr="00FB7677">
        <w:rPr>
          <w:rFonts w:ascii="Arial" w:hAnsi="Arial" w:cs="Arial"/>
          <w:color w:val="808080" w:themeColor="background1" w:themeShade="80"/>
          <w:sz w:val="22"/>
          <w:szCs w:val="22"/>
          <w:lang w:val="en-GB"/>
        </w:rPr>
        <w:t xml:space="preserve"> however most of the key principles are followed, and (iii) Part XVII of the Companies Law provides the Grand Court’s powers to make orders i</w:t>
      </w:r>
      <w:r>
        <w:rPr>
          <w:rFonts w:ascii="Arial" w:hAnsi="Arial" w:cs="Arial"/>
          <w:color w:val="808080" w:themeColor="background1" w:themeShade="80"/>
          <w:sz w:val="22"/>
          <w:szCs w:val="22"/>
          <w:lang w:val="en-GB"/>
        </w:rPr>
        <w:t xml:space="preserve">n support of foreign insolvency proceedings </w:t>
      </w:r>
      <w:sdt>
        <w:sdtPr>
          <w:rPr>
            <w:rFonts w:ascii="Arial" w:hAnsi="Arial" w:cs="Arial"/>
            <w:color w:val="808080" w:themeColor="background1" w:themeShade="80"/>
            <w:sz w:val="22"/>
            <w:szCs w:val="22"/>
            <w:lang w:val="en-GB"/>
          </w:rPr>
          <w:id w:val="206540088"/>
          <w:citation/>
        </w:sdtPr>
        <w:sdtEndPr/>
        <w:sdtContent>
          <w:r>
            <w:rPr>
              <w:rFonts w:ascii="Arial" w:hAnsi="Arial" w:cs="Arial"/>
              <w:color w:val="808080" w:themeColor="background1" w:themeShade="80"/>
              <w:sz w:val="22"/>
              <w:szCs w:val="22"/>
              <w:lang w:val="en-GB"/>
            </w:rPr>
            <w:fldChar w:fldCharType="begin"/>
          </w:r>
          <w:r w:rsidR="00003CDA">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00003CDA"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roofErr w:type="gramEnd"/>
    </w:p>
    <w:p w14:paraId="6C151DDD" w14:textId="6D6BA0B4" w:rsidR="00E73AB2" w:rsidRDefault="00E73AB2" w:rsidP="00FB7677">
      <w:pPr>
        <w:jc w:val="both"/>
        <w:rPr>
          <w:rFonts w:ascii="Arial" w:hAnsi="Arial" w:cs="Arial"/>
          <w:color w:val="808080" w:themeColor="background1" w:themeShade="80"/>
          <w:sz w:val="22"/>
          <w:szCs w:val="22"/>
          <w:lang w:val="en-GB"/>
        </w:rPr>
      </w:pPr>
    </w:p>
    <w:p w14:paraId="7E9C01F0" w14:textId="358E6BBA" w:rsidR="00FB7677" w:rsidRDefault="00E85F78" w:rsidP="00FB7677">
      <w:pPr>
        <w:jc w:val="both"/>
        <w:rPr>
          <w:rFonts w:ascii="Arial" w:hAnsi="Arial" w:cs="Arial"/>
          <w:color w:val="808080" w:themeColor="background1" w:themeShade="80"/>
          <w:sz w:val="22"/>
          <w:szCs w:val="22"/>
          <w:lang w:val="en-GB"/>
        </w:rPr>
      </w:pPr>
      <w:r w:rsidRPr="00E85F78">
        <w:rPr>
          <w:rFonts w:ascii="Arial" w:hAnsi="Arial" w:cs="Arial"/>
          <w:color w:val="808080" w:themeColor="background1" w:themeShade="80"/>
          <w:sz w:val="22"/>
          <w:szCs w:val="22"/>
          <w:lang w:val="en-GB"/>
        </w:rPr>
        <w:t>Regarding the circumstances in which the powers of</w:t>
      </w:r>
      <w:r w:rsidR="00F06A96">
        <w:rPr>
          <w:rFonts w:ascii="Arial" w:hAnsi="Arial" w:cs="Arial"/>
          <w:color w:val="808080" w:themeColor="background1" w:themeShade="80"/>
          <w:sz w:val="22"/>
          <w:szCs w:val="22"/>
          <w:lang w:val="en-GB"/>
        </w:rPr>
        <w:t xml:space="preserve"> the Cayman Islands Grand Court</w:t>
      </w:r>
      <w:r w:rsidRPr="00E85F78">
        <w:rPr>
          <w:rFonts w:ascii="Arial" w:hAnsi="Arial" w:cs="Arial"/>
          <w:color w:val="808080" w:themeColor="background1" w:themeShade="80"/>
          <w:sz w:val="22"/>
          <w:szCs w:val="22"/>
          <w:lang w:val="en-GB"/>
        </w:rPr>
        <w:t xml:space="preserve"> may be exercised, it is necessary to highlight that section 242 of the Companies Law establishes the criteria upon which the court may exercise its discretion</w:t>
      </w:r>
      <w:r w:rsidR="00EF65EE">
        <w:rPr>
          <w:rFonts w:ascii="Arial" w:hAnsi="Arial" w:cs="Arial"/>
          <w:color w:val="808080" w:themeColor="background1" w:themeShade="80"/>
          <w:sz w:val="22"/>
          <w:szCs w:val="22"/>
          <w:lang w:val="en-GB"/>
        </w:rPr>
        <w:t>,</w:t>
      </w:r>
      <w:r w:rsidRPr="00E85F78">
        <w:rPr>
          <w:rFonts w:ascii="Arial" w:hAnsi="Arial" w:cs="Arial"/>
          <w:color w:val="808080" w:themeColor="background1" w:themeShade="80"/>
          <w:sz w:val="22"/>
          <w:szCs w:val="22"/>
          <w:lang w:val="en-GB"/>
        </w:rPr>
        <w:t xml:space="preserve"> and section 241 of the Companies Law provides the scenarios under which the </w:t>
      </w:r>
      <w:r>
        <w:rPr>
          <w:rFonts w:ascii="Arial" w:hAnsi="Arial" w:cs="Arial"/>
          <w:color w:val="808080" w:themeColor="background1" w:themeShade="80"/>
          <w:sz w:val="22"/>
          <w:szCs w:val="22"/>
          <w:lang w:val="en-GB"/>
        </w:rPr>
        <w:t xml:space="preserve">court may make orders ancillary </w:t>
      </w:r>
      <w:sdt>
        <w:sdtPr>
          <w:rPr>
            <w:rFonts w:ascii="Arial" w:hAnsi="Arial" w:cs="Arial"/>
            <w:color w:val="808080" w:themeColor="background1" w:themeShade="80"/>
            <w:sz w:val="22"/>
            <w:szCs w:val="22"/>
            <w:lang w:val="en-GB"/>
          </w:rPr>
          <w:id w:val="1707832168"/>
          <w:citation/>
        </w:sdtPr>
        <w:sdtEndPr/>
        <w:sdtContent>
          <w:r>
            <w:rPr>
              <w:rFonts w:ascii="Arial" w:hAnsi="Arial" w:cs="Arial"/>
              <w:color w:val="808080" w:themeColor="background1" w:themeShade="80"/>
              <w:sz w:val="22"/>
              <w:szCs w:val="22"/>
              <w:lang w:val="en-GB"/>
            </w:rPr>
            <w:fldChar w:fldCharType="begin"/>
          </w:r>
          <w:r w:rsidR="00003CDA">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00003CDA"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689AA96B" w14:textId="386BFDFF" w:rsidR="000819AE" w:rsidRDefault="000819AE" w:rsidP="00FB7677">
      <w:pPr>
        <w:jc w:val="both"/>
        <w:rPr>
          <w:rFonts w:ascii="Arial" w:hAnsi="Arial" w:cs="Arial"/>
          <w:color w:val="808080" w:themeColor="background1" w:themeShade="80"/>
          <w:sz w:val="22"/>
          <w:szCs w:val="22"/>
          <w:lang w:val="en-GB"/>
        </w:rPr>
      </w:pPr>
    </w:p>
    <w:p w14:paraId="21FBF6B5" w14:textId="390C741E" w:rsidR="000819AE" w:rsidRPr="000819AE" w:rsidRDefault="000819AE" w:rsidP="000819AE">
      <w:pPr>
        <w:jc w:val="both"/>
        <w:rPr>
          <w:rFonts w:ascii="Arial" w:hAnsi="Arial" w:cs="Arial"/>
          <w:color w:val="808080" w:themeColor="background1" w:themeShade="80"/>
          <w:sz w:val="22"/>
          <w:szCs w:val="22"/>
          <w:lang w:val="en-GB"/>
        </w:rPr>
      </w:pPr>
      <w:r w:rsidRPr="000819AE">
        <w:rPr>
          <w:rFonts w:ascii="Arial" w:hAnsi="Arial" w:cs="Arial"/>
          <w:color w:val="808080" w:themeColor="background1" w:themeShade="80"/>
          <w:sz w:val="22"/>
          <w:szCs w:val="22"/>
          <w:lang w:val="en-GB"/>
        </w:rPr>
        <w:t>Finally, according to section 241 of the Companies Law, the court should determine the possible ways under which the ancillary order contributes to an expeditious and economic admin</w:t>
      </w:r>
      <w:r>
        <w:rPr>
          <w:rFonts w:ascii="Arial" w:hAnsi="Arial" w:cs="Arial"/>
          <w:color w:val="808080" w:themeColor="background1" w:themeShade="80"/>
          <w:sz w:val="22"/>
          <w:szCs w:val="22"/>
          <w:lang w:val="en-GB"/>
        </w:rPr>
        <w:t xml:space="preserve">istration of the debtor´s state </w:t>
      </w:r>
      <w:sdt>
        <w:sdtPr>
          <w:rPr>
            <w:rFonts w:ascii="Arial" w:hAnsi="Arial" w:cs="Arial"/>
            <w:color w:val="808080" w:themeColor="background1" w:themeShade="80"/>
            <w:sz w:val="22"/>
            <w:szCs w:val="22"/>
            <w:lang w:val="en-GB"/>
          </w:rPr>
          <w:id w:val="-1857572319"/>
          <w:citation/>
        </w:sdtPr>
        <w:sdtEndPr/>
        <w:sdtContent>
          <w:r>
            <w:rPr>
              <w:rFonts w:ascii="Arial" w:hAnsi="Arial" w:cs="Arial"/>
              <w:color w:val="808080" w:themeColor="background1" w:themeShade="80"/>
              <w:sz w:val="22"/>
              <w:szCs w:val="22"/>
              <w:lang w:val="en-GB"/>
            </w:rPr>
            <w:fldChar w:fldCharType="begin"/>
          </w:r>
          <w:r w:rsidRPr="000819AE">
            <w:rPr>
              <w:rFonts w:ascii="Arial" w:hAnsi="Arial" w:cs="Arial"/>
              <w:color w:val="808080" w:themeColor="background1" w:themeShade="80"/>
              <w:sz w:val="22"/>
              <w:szCs w:val="22"/>
            </w:rPr>
            <w:instrText xml:space="preserve"> CITATION Com21 \l 3082 </w:instrText>
          </w:r>
          <w:r>
            <w:rPr>
              <w:rFonts w:ascii="Arial" w:hAnsi="Arial" w:cs="Arial"/>
              <w:color w:val="808080" w:themeColor="background1" w:themeShade="80"/>
              <w:sz w:val="22"/>
              <w:szCs w:val="22"/>
              <w:lang w:val="en-GB"/>
            </w:rPr>
            <w:fldChar w:fldCharType="separate"/>
          </w:r>
          <w:r w:rsidRPr="000819AE">
            <w:rPr>
              <w:rFonts w:ascii="Arial" w:hAnsi="Arial" w:cs="Arial"/>
              <w:noProof/>
              <w:color w:val="808080" w:themeColor="background1" w:themeShade="80"/>
              <w:sz w:val="22"/>
              <w:szCs w:val="22"/>
            </w:rPr>
            <w:t>(Companies Act Revision, 2021)</w:t>
          </w:r>
          <w:r>
            <w:rPr>
              <w:rFonts w:ascii="Arial" w:hAnsi="Arial" w:cs="Arial"/>
              <w:color w:val="808080" w:themeColor="background1" w:themeShade="80"/>
              <w:sz w:val="22"/>
              <w:szCs w:val="22"/>
              <w:lang w:val="en-GB"/>
            </w:rPr>
            <w:fldChar w:fldCharType="end"/>
          </w:r>
        </w:sdtContent>
      </w:sdt>
    </w:p>
    <w:p w14:paraId="6707B0C0" w14:textId="668E5579" w:rsidR="00FB7677" w:rsidRDefault="00FB7677" w:rsidP="00FB7677">
      <w:pPr>
        <w:jc w:val="both"/>
        <w:rPr>
          <w:rFonts w:ascii="Arial" w:hAnsi="Arial" w:cs="Arial"/>
          <w:color w:val="808080" w:themeColor="background1" w:themeShade="80"/>
          <w:sz w:val="22"/>
          <w:szCs w:val="22"/>
          <w:lang w:val="en-GB"/>
        </w:rPr>
      </w:pPr>
    </w:p>
    <w:p w14:paraId="07120213" w14:textId="77777777" w:rsidR="00FB7677" w:rsidRDefault="00FB7677" w:rsidP="00FB7677">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5C82AD5" w14:textId="599CB880" w:rsidR="00840F8A" w:rsidRDefault="005852FB" w:rsidP="00840F8A">
      <w:pPr>
        <w:jc w:val="both"/>
        <w:rPr>
          <w:rFonts w:ascii="Arial" w:hAnsi="Arial" w:cs="Arial"/>
          <w:color w:val="808080" w:themeColor="background1" w:themeShade="80"/>
          <w:sz w:val="22"/>
          <w:szCs w:val="22"/>
          <w:lang w:val="en-GB"/>
        </w:rPr>
      </w:pPr>
      <w:r w:rsidRPr="005852FB">
        <w:rPr>
          <w:rFonts w:ascii="Arial" w:hAnsi="Arial" w:cs="Arial"/>
          <w:color w:val="808080" w:themeColor="background1" w:themeShade="80"/>
          <w:sz w:val="22"/>
          <w:szCs w:val="22"/>
          <w:lang w:val="en-GB"/>
        </w:rPr>
        <w:t>The analysis of the legal framework for the recognition of foreign judgments in the Cayman Islands implies to aboard the subject from the following perspectives:</w:t>
      </w:r>
    </w:p>
    <w:p w14:paraId="158BC5B8" w14:textId="0EC3D7F1" w:rsidR="005852FB" w:rsidRPr="007949A9" w:rsidRDefault="005852FB" w:rsidP="005852FB">
      <w:pPr>
        <w:numPr>
          <w:ilvl w:val="0"/>
          <w:numId w:val="43"/>
        </w:numPr>
        <w:jc w:val="both"/>
        <w:rPr>
          <w:rFonts w:ascii="Arial" w:hAnsi="Arial" w:cs="Arial"/>
          <w:color w:val="808080" w:themeColor="background1" w:themeShade="80"/>
          <w:sz w:val="22"/>
          <w:szCs w:val="22"/>
        </w:rPr>
      </w:pPr>
      <w:r w:rsidRPr="005852FB">
        <w:rPr>
          <w:rFonts w:ascii="Arial" w:hAnsi="Arial" w:cs="Arial"/>
          <w:b/>
          <w:color w:val="808080" w:themeColor="background1" w:themeShade="80"/>
          <w:sz w:val="22"/>
          <w:szCs w:val="22"/>
        </w:rPr>
        <w:t>International Treaties</w:t>
      </w:r>
      <w:r w:rsidRPr="005852FB">
        <w:rPr>
          <w:rFonts w:ascii="Arial" w:hAnsi="Arial" w:cs="Arial"/>
          <w:color w:val="808080" w:themeColor="background1" w:themeShade="80"/>
          <w:sz w:val="22"/>
          <w:szCs w:val="22"/>
        </w:rPr>
        <w:t xml:space="preserve">: In this regard, it is important to note that the Cayman Islands has not signed any treaty </w:t>
      </w:r>
      <w:r w:rsidR="00697B9F">
        <w:rPr>
          <w:rFonts w:ascii="Arial" w:hAnsi="Arial" w:cs="Arial"/>
          <w:color w:val="808080" w:themeColor="background1" w:themeShade="80"/>
          <w:sz w:val="22"/>
          <w:szCs w:val="22"/>
        </w:rPr>
        <w:t>regarding</w:t>
      </w:r>
      <w:r w:rsidRPr="005852FB">
        <w:rPr>
          <w:rFonts w:ascii="Arial" w:hAnsi="Arial" w:cs="Arial"/>
          <w:color w:val="808080" w:themeColor="background1" w:themeShade="80"/>
          <w:sz w:val="22"/>
          <w:szCs w:val="22"/>
        </w:rPr>
        <w:t xml:space="preserve"> to the reciprocal recognition or enforcement of foreign judgments. Additionally, the UK has extended its ratification to the Cayman Islands only with respect to the New York Convention on the Recognition and Enforce</w:t>
      </w:r>
      <w:r>
        <w:rPr>
          <w:rFonts w:ascii="Arial" w:hAnsi="Arial" w:cs="Arial"/>
          <w:color w:val="808080" w:themeColor="background1" w:themeShade="80"/>
          <w:sz w:val="22"/>
          <w:szCs w:val="22"/>
        </w:rPr>
        <w:t xml:space="preserve">ment of Foreign Arbitral Awards </w:t>
      </w:r>
      <w:sdt>
        <w:sdtPr>
          <w:rPr>
            <w:rFonts w:ascii="Arial" w:hAnsi="Arial" w:cs="Arial"/>
            <w:color w:val="808080" w:themeColor="background1" w:themeShade="80"/>
            <w:sz w:val="22"/>
            <w:szCs w:val="22"/>
            <w:lang w:val="en-GB"/>
          </w:rPr>
          <w:id w:val="1398020057"/>
          <w:citation/>
        </w:sdtPr>
        <w:sdtEndPr/>
        <w:sdtContent>
          <w:r>
            <w:rPr>
              <w:rFonts w:ascii="Arial" w:hAnsi="Arial" w:cs="Arial"/>
              <w:color w:val="808080" w:themeColor="background1" w:themeShade="80"/>
              <w:sz w:val="22"/>
              <w:szCs w:val="22"/>
              <w:lang w:val="en-GB"/>
            </w:rPr>
            <w:fldChar w:fldCharType="begin"/>
          </w:r>
          <w:r>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33018668" w14:textId="16DAE330" w:rsidR="007949A9" w:rsidRPr="0041631A" w:rsidRDefault="007949A9" w:rsidP="007949A9">
      <w:pPr>
        <w:numPr>
          <w:ilvl w:val="0"/>
          <w:numId w:val="43"/>
        </w:numPr>
        <w:jc w:val="both"/>
        <w:rPr>
          <w:rFonts w:ascii="Arial" w:hAnsi="Arial" w:cs="Arial"/>
          <w:color w:val="808080" w:themeColor="background1" w:themeShade="80"/>
          <w:sz w:val="22"/>
          <w:szCs w:val="22"/>
        </w:rPr>
      </w:pPr>
      <w:r w:rsidRPr="007949A9">
        <w:rPr>
          <w:rFonts w:ascii="Arial" w:hAnsi="Arial" w:cs="Arial"/>
          <w:b/>
          <w:color w:val="808080" w:themeColor="background1" w:themeShade="80"/>
          <w:sz w:val="22"/>
          <w:szCs w:val="22"/>
        </w:rPr>
        <w:t>Statute - The Foreign Judgments Reciprocal Enforcement Law (1996 Revision):</w:t>
      </w:r>
      <w:r w:rsidRPr="007949A9">
        <w:rPr>
          <w:rFonts w:ascii="Arial" w:hAnsi="Arial" w:cs="Arial"/>
          <w:color w:val="808080" w:themeColor="background1" w:themeShade="80"/>
          <w:sz w:val="22"/>
          <w:szCs w:val="22"/>
        </w:rPr>
        <w:t xml:space="preserve"> This statute provides a regimen by which foreign judgments are recognized and enforced in the case that the country where the judgment is issued assures </w:t>
      </w:r>
      <w:r w:rsidRPr="006B70AF">
        <w:rPr>
          <w:rFonts w:ascii="Arial" w:hAnsi="Arial" w:cs="Arial"/>
          <w:color w:val="808080" w:themeColor="background1" w:themeShade="80"/>
          <w:sz w:val="22"/>
          <w:szCs w:val="22"/>
          <w:u w:val="single"/>
        </w:rPr>
        <w:t>substantial reciprocity</w:t>
      </w:r>
      <w:r w:rsidRPr="007949A9">
        <w:rPr>
          <w:rFonts w:ascii="Arial" w:hAnsi="Arial" w:cs="Arial"/>
          <w:color w:val="808080" w:themeColor="background1" w:themeShade="80"/>
          <w:sz w:val="22"/>
          <w:szCs w:val="22"/>
        </w:rPr>
        <w:t xml:space="preserve"> for treatment with respect to the enforcement of Cayman Islands judgments. In summary, this legal framework is based o</w:t>
      </w:r>
      <w:r>
        <w:rPr>
          <w:rFonts w:ascii="Arial" w:hAnsi="Arial" w:cs="Arial"/>
          <w:color w:val="808080" w:themeColor="background1" w:themeShade="80"/>
          <w:sz w:val="22"/>
          <w:szCs w:val="22"/>
        </w:rPr>
        <w:t>n substantial reciprocity and it</w:t>
      </w:r>
      <w:r w:rsidRPr="007949A9">
        <w:rPr>
          <w:rFonts w:ascii="Arial" w:hAnsi="Arial" w:cs="Arial"/>
          <w:color w:val="808080" w:themeColor="background1" w:themeShade="80"/>
          <w:sz w:val="22"/>
          <w:szCs w:val="22"/>
        </w:rPr>
        <w:t xml:space="preserve"> is governed by Order 71 of the Grand Court Rules. In addition to the reciprocity requirement, the foreign judgment must comply with the following requirements: (</w:t>
      </w:r>
      <w:proofErr w:type="spellStart"/>
      <w:r w:rsidRPr="007949A9">
        <w:rPr>
          <w:rFonts w:ascii="Arial" w:hAnsi="Arial" w:cs="Arial"/>
          <w:color w:val="808080" w:themeColor="background1" w:themeShade="80"/>
          <w:sz w:val="22"/>
          <w:szCs w:val="22"/>
        </w:rPr>
        <w:t>i</w:t>
      </w:r>
      <w:proofErr w:type="spellEnd"/>
      <w:r w:rsidRPr="007949A9">
        <w:rPr>
          <w:rFonts w:ascii="Arial" w:hAnsi="Arial" w:cs="Arial"/>
          <w:color w:val="808080" w:themeColor="background1" w:themeShade="80"/>
          <w:sz w:val="22"/>
          <w:szCs w:val="22"/>
        </w:rPr>
        <w:t xml:space="preserve">) regarding its nature it must be a money judgment, (ii) must be final and, </w:t>
      </w:r>
      <w:proofErr w:type="gramStart"/>
      <w:r w:rsidRPr="007949A9">
        <w:rPr>
          <w:rFonts w:ascii="Arial" w:hAnsi="Arial" w:cs="Arial"/>
          <w:color w:val="808080" w:themeColor="background1" w:themeShade="80"/>
          <w:sz w:val="22"/>
          <w:szCs w:val="22"/>
        </w:rPr>
        <w:t>(iii) must be issued</w:t>
      </w:r>
      <w:proofErr w:type="gramEnd"/>
      <w:r w:rsidRPr="007949A9">
        <w:rPr>
          <w:rFonts w:ascii="Arial" w:hAnsi="Arial" w:cs="Arial"/>
          <w:color w:val="808080" w:themeColor="background1" w:themeShade="80"/>
          <w:sz w:val="22"/>
          <w:szCs w:val="22"/>
        </w:rPr>
        <w:t xml:space="preserve"> after the </w:t>
      </w:r>
      <w:r w:rsidR="006B70AF">
        <w:rPr>
          <w:rFonts w:ascii="Arial" w:hAnsi="Arial" w:cs="Arial"/>
          <w:color w:val="808080" w:themeColor="background1" w:themeShade="80"/>
          <w:sz w:val="22"/>
          <w:szCs w:val="22"/>
        </w:rPr>
        <w:t>1996</w:t>
      </w:r>
      <w:r w:rsidRPr="007949A9">
        <w:rPr>
          <w:rFonts w:ascii="Arial" w:hAnsi="Arial" w:cs="Arial"/>
          <w:color w:val="808080" w:themeColor="background1" w:themeShade="80"/>
          <w:sz w:val="22"/>
          <w:szCs w:val="22"/>
        </w:rPr>
        <w:t xml:space="preserve"> Law was extended </w:t>
      </w:r>
      <w:r>
        <w:rPr>
          <w:rFonts w:ascii="Arial" w:hAnsi="Arial" w:cs="Arial"/>
          <w:color w:val="808080" w:themeColor="background1" w:themeShade="80"/>
          <w:sz w:val="22"/>
          <w:szCs w:val="22"/>
        </w:rPr>
        <w:t xml:space="preserve">to the relevant foreign country </w:t>
      </w:r>
      <w:sdt>
        <w:sdtPr>
          <w:rPr>
            <w:rFonts w:ascii="Arial" w:hAnsi="Arial" w:cs="Arial"/>
            <w:color w:val="808080" w:themeColor="background1" w:themeShade="80"/>
            <w:sz w:val="22"/>
            <w:szCs w:val="22"/>
            <w:lang w:val="en-GB"/>
          </w:rPr>
          <w:id w:val="-310176504"/>
          <w:citation/>
        </w:sdtPr>
        <w:sdtEndPr/>
        <w:sdtContent>
          <w:r>
            <w:rPr>
              <w:rFonts w:ascii="Arial" w:hAnsi="Arial" w:cs="Arial"/>
              <w:color w:val="808080" w:themeColor="background1" w:themeShade="80"/>
              <w:sz w:val="22"/>
              <w:szCs w:val="22"/>
              <w:lang w:val="en-GB"/>
            </w:rPr>
            <w:fldChar w:fldCharType="begin"/>
          </w:r>
          <w:r>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140526C3" w14:textId="6D0C40D3" w:rsidR="0041631A" w:rsidRPr="005852FB" w:rsidRDefault="00247738" w:rsidP="0041631A">
      <w:pPr>
        <w:numPr>
          <w:ilvl w:val="0"/>
          <w:numId w:val="43"/>
        </w:numPr>
        <w:jc w:val="both"/>
        <w:rPr>
          <w:rFonts w:ascii="Arial" w:hAnsi="Arial" w:cs="Arial"/>
          <w:color w:val="808080" w:themeColor="background1" w:themeShade="80"/>
          <w:sz w:val="22"/>
          <w:szCs w:val="22"/>
        </w:rPr>
      </w:pPr>
      <w:r w:rsidRPr="0041631A">
        <w:rPr>
          <w:rFonts w:ascii="Arial" w:hAnsi="Arial" w:cs="Arial"/>
          <w:b/>
          <w:color w:val="808080" w:themeColor="background1" w:themeShade="80"/>
          <w:sz w:val="22"/>
          <w:szCs w:val="22"/>
        </w:rPr>
        <w:t>Common-Law</w:t>
      </w:r>
      <w:r>
        <w:rPr>
          <w:rFonts w:ascii="Arial" w:hAnsi="Arial" w:cs="Arial"/>
          <w:color w:val="808080" w:themeColor="background1" w:themeShade="80"/>
          <w:sz w:val="22"/>
          <w:szCs w:val="22"/>
        </w:rPr>
        <w:t>:</w:t>
      </w:r>
      <w:r w:rsidRPr="0041631A">
        <w:rPr>
          <w:rFonts w:ascii="Arial" w:hAnsi="Arial" w:cs="Arial"/>
          <w:color w:val="808080" w:themeColor="background1" w:themeShade="80"/>
          <w:sz w:val="22"/>
          <w:szCs w:val="22"/>
        </w:rPr>
        <w:t xml:space="preserve"> Refers</w:t>
      </w:r>
      <w:r w:rsidR="0041631A" w:rsidRPr="0041631A">
        <w:rPr>
          <w:rFonts w:ascii="Arial" w:hAnsi="Arial" w:cs="Arial"/>
          <w:color w:val="808080" w:themeColor="background1" w:themeShade="80"/>
          <w:sz w:val="22"/>
          <w:szCs w:val="22"/>
        </w:rPr>
        <w:t xml:space="preserve"> to the procedure that seeks the enforcement of foreign judgments</w:t>
      </w:r>
      <w:r w:rsidRPr="0041631A">
        <w:rPr>
          <w:rFonts w:ascii="Arial" w:hAnsi="Arial" w:cs="Arial"/>
          <w:color w:val="808080" w:themeColor="background1" w:themeShade="80"/>
          <w:sz w:val="22"/>
          <w:szCs w:val="22"/>
        </w:rPr>
        <w:t>, conducted</w:t>
      </w:r>
      <w:r w:rsidR="0041631A" w:rsidRPr="0041631A">
        <w:rPr>
          <w:rFonts w:ascii="Arial" w:hAnsi="Arial" w:cs="Arial"/>
          <w:color w:val="808080" w:themeColor="background1" w:themeShade="80"/>
          <w:sz w:val="22"/>
          <w:szCs w:val="22"/>
        </w:rPr>
        <w:t xml:space="preserve"> under the regular procedural regimen for litigation in the Cayman Islands. </w:t>
      </w:r>
      <w:proofErr w:type="gramStart"/>
      <w:r w:rsidR="0041631A" w:rsidRPr="0041631A">
        <w:rPr>
          <w:rFonts w:ascii="Arial" w:hAnsi="Arial" w:cs="Arial"/>
          <w:color w:val="808080" w:themeColor="background1" w:themeShade="80"/>
          <w:sz w:val="22"/>
          <w:szCs w:val="22"/>
        </w:rPr>
        <w:t>The foreign judgment must comply with the following requirements: (</w:t>
      </w:r>
      <w:proofErr w:type="spellStart"/>
      <w:r w:rsidR="0041631A" w:rsidRPr="0041631A">
        <w:rPr>
          <w:rFonts w:ascii="Arial" w:hAnsi="Arial" w:cs="Arial"/>
          <w:color w:val="808080" w:themeColor="background1" w:themeShade="80"/>
          <w:sz w:val="22"/>
          <w:szCs w:val="22"/>
        </w:rPr>
        <w:t>i</w:t>
      </w:r>
      <w:proofErr w:type="spellEnd"/>
      <w:r w:rsidR="0041631A" w:rsidRPr="0041631A">
        <w:rPr>
          <w:rFonts w:ascii="Arial" w:hAnsi="Arial" w:cs="Arial"/>
          <w:color w:val="808080" w:themeColor="background1" w:themeShade="80"/>
          <w:sz w:val="22"/>
          <w:szCs w:val="22"/>
        </w:rPr>
        <w:t>) the decision must be final, (ii) there was no fraud implicated to obtain the foreign judgment, (iv) the foreign court indeed has jurisdiction over the debtor, (v) the foreign judgment does not contrary any public policy of the Cayman Islands, and (vi)</w:t>
      </w:r>
      <w:r w:rsidR="006B70AF">
        <w:rPr>
          <w:rFonts w:ascii="Arial" w:hAnsi="Arial" w:cs="Arial"/>
          <w:color w:val="808080" w:themeColor="background1" w:themeShade="80"/>
          <w:sz w:val="22"/>
          <w:szCs w:val="22"/>
        </w:rPr>
        <w:t xml:space="preserve"> </w:t>
      </w:r>
      <w:r w:rsidR="0041631A" w:rsidRPr="0041631A">
        <w:rPr>
          <w:rFonts w:ascii="Arial" w:hAnsi="Arial" w:cs="Arial"/>
          <w:color w:val="808080" w:themeColor="background1" w:themeShade="80"/>
          <w:sz w:val="22"/>
          <w:szCs w:val="22"/>
        </w:rPr>
        <w:t>the foreign judgment was obtained observing the rules of natural justice</w:t>
      </w:r>
      <w:r w:rsidR="00DC44BF">
        <w:rPr>
          <w:rFonts w:ascii="Arial" w:hAnsi="Arial" w:cs="Arial"/>
          <w:color w:val="808080" w:themeColor="background1" w:themeShade="80"/>
          <w:sz w:val="22"/>
          <w:szCs w:val="22"/>
        </w:rPr>
        <w:t xml:space="preserve"> </w:t>
      </w:r>
      <w:sdt>
        <w:sdtPr>
          <w:rPr>
            <w:rFonts w:ascii="Arial" w:hAnsi="Arial" w:cs="Arial"/>
            <w:color w:val="808080" w:themeColor="background1" w:themeShade="80"/>
            <w:sz w:val="22"/>
            <w:szCs w:val="22"/>
            <w:lang w:val="en-GB"/>
          </w:rPr>
          <w:id w:val="-839781483"/>
          <w:citation/>
        </w:sdtPr>
        <w:sdtEndPr/>
        <w:sdtContent>
          <w:r w:rsidR="00DC44BF">
            <w:rPr>
              <w:rFonts w:ascii="Arial" w:hAnsi="Arial" w:cs="Arial"/>
              <w:color w:val="808080" w:themeColor="background1" w:themeShade="80"/>
              <w:sz w:val="22"/>
              <w:szCs w:val="22"/>
              <w:lang w:val="en-GB"/>
            </w:rPr>
            <w:fldChar w:fldCharType="begin"/>
          </w:r>
          <w:r w:rsidR="00DC44BF">
            <w:rPr>
              <w:rFonts w:ascii="Arial" w:hAnsi="Arial" w:cs="Arial"/>
              <w:color w:val="808080" w:themeColor="background1" w:themeShade="80"/>
              <w:sz w:val="22"/>
              <w:szCs w:val="22"/>
            </w:rPr>
            <w:instrText xml:space="preserve">CITATION Ton20 \l 3082 </w:instrText>
          </w:r>
          <w:r w:rsidR="00DC44BF">
            <w:rPr>
              <w:rFonts w:ascii="Arial" w:hAnsi="Arial" w:cs="Arial"/>
              <w:color w:val="808080" w:themeColor="background1" w:themeShade="80"/>
              <w:sz w:val="22"/>
              <w:szCs w:val="22"/>
              <w:lang w:val="en-GB"/>
            </w:rPr>
            <w:fldChar w:fldCharType="separate"/>
          </w:r>
          <w:r w:rsidR="00DC44BF" w:rsidRPr="00003CDA">
            <w:rPr>
              <w:rFonts w:ascii="Arial" w:hAnsi="Arial" w:cs="Arial"/>
              <w:noProof/>
              <w:color w:val="808080" w:themeColor="background1" w:themeShade="80"/>
              <w:sz w:val="22"/>
              <w:szCs w:val="22"/>
            </w:rPr>
            <w:t>(Tonner, 2020)</w:t>
          </w:r>
          <w:r w:rsidR="00DC44BF">
            <w:rPr>
              <w:rFonts w:ascii="Arial" w:hAnsi="Arial" w:cs="Arial"/>
              <w:color w:val="808080" w:themeColor="background1" w:themeShade="80"/>
              <w:sz w:val="22"/>
              <w:szCs w:val="22"/>
              <w:lang w:val="en-GB"/>
            </w:rPr>
            <w:fldChar w:fldCharType="end"/>
          </w:r>
        </w:sdtContent>
      </w:sdt>
      <w:r w:rsidR="00DC44BF">
        <w:rPr>
          <w:rFonts w:ascii="Arial" w:hAnsi="Arial" w:cs="Arial"/>
          <w:color w:val="808080" w:themeColor="background1" w:themeShade="80"/>
          <w:sz w:val="22"/>
          <w:szCs w:val="22"/>
          <w:lang w:val="en-GB"/>
        </w:rPr>
        <w:t>.</w:t>
      </w:r>
      <w:proofErr w:type="gramEnd"/>
    </w:p>
    <w:p w14:paraId="6C5EE249" w14:textId="77777777" w:rsidR="005852FB" w:rsidRPr="005852FB" w:rsidRDefault="005852FB" w:rsidP="00840F8A">
      <w:pPr>
        <w:jc w:val="both"/>
        <w:rPr>
          <w:rFonts w:ascii="Arial" w:hAnsi="Arial" w:cs="Arial"/>
          <w:color w:val="808080" w:themeColor="background1" w:themeShade="80"/>
          <w:sz w:val="22"/>
          <w:szCs w:val="22"/>
        </w:rPr>
      </w:pPr>
    </w:p>
    <w:p w14:paraId="0D989436" w14:textId="1DE41DBD"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the Cayman Islands is </w:t>
      </w:r>
      <w:proofErr w:type="gramStart"/>
      <w:r>
        <w:rPr>
          <w:rFonts w:ascii="Arial" w:hAnsi="Arial" w:cs="Arial"/>
          <w:sz w:val="22"/>
          <w:szCs w:val="22"/>
          <w:lang w:val="en-GB"/>
        </w:rPr>
        <w:t>ill</w:t>
      </w:r>
      <w:r w:rsidR="00626639">
        <w:rPr>
          <w:rFonts w:ascii="Arial" w:hAnsi="Arial" w:cs="Arial"/>
          <w:sz w:val="22"/>
          <w:szCs w:val="22"/>
          <w:lang w:val="en-GB"/>
        </w:rPr>
        <w:t>-</w:t>
      </w:r>
      <w:r>
        <w:rPr>
          <w:rFonts w:ascii="Arial" w:hAnsi="Arial" w:cs="Arial"/>
          <w:sz w:val="22"/>
          <w:szCs w:val="22"/>
          <w:lang w:val="en-GB"/>
        </w:rPr>
        <w:t>equipped</w:t>
      </w:r>
      <w:proofErr w:type="gramEnd"/>
      <w:r>
        <w:rPr>
          <w:rFonts w:ascii="Arial" w:hAnsi="Arial" w:cs="Arial"/>
          <w:sz w:val="22"/>
          <w:szCs w:val="22"/>
          <w:lang w:val="en-GB"/>
        </w:rPr>
        <w:t xml:space="preserve">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C135EBA" w14:textId="6944EEC2" w:rsidR="00F04214" w:rsidRPr="00AB0E3A" w:rsidRDefault="00CE2641" w:rsidP="00E4294D">
      <w:pPr>
        <w:jc w:val="both"/>
        <w:rPr>
          <w:rFonts w:ascii="Arial" w:hAnsi="Arial" w:cs="Arial"/>
          <w:color w:val="808080" w:themeColor="background1" w:themeShade="80"/>
          <w:sz w:val="22"/>
          <w:szCs w:val="22"/>
          <w:lang w:val="en-GB"/>
        </w:rPr>
      </w:pPr>
      <w:r w:rsidRPr="00CE2641">
        <w:rPr>
          <w:rFonts w:ascii="Arial" w:hAnsi="Arial" w:cs="Arial"/>
          <w:color w:val="808080" w:themeColor="background1" w:themeShade="80"/>
          <w:sz w:val="22"/>
          <w:szCs w:val="22"/>
          <w:lang w:val="en-GB"/>
        </w:rPr>
        <w:t>I consider that the statement is partially true considering that the legal framework of the Cayman Islands does not provide a statutory prohibition on insolvent trading. However, the company's directors may become liable for the company's losses in those cases that they did not act in the best interest of the company and therefor</w:t>
      </w:r>
      <w:r>
        <w:rPr>
          <w:rFonts w:ascii="Arial" w:hAnsi="Arial" w:cs="Arial"/>
          <w:color w:val="808080" w:themeColor="background1" w:themeShade="80"/>
          <w:sz w:val="22"/>
          <w:szCs w:val="22"/>
          <w:lang w:val="en-GB"/>
        </w:rPr>
        <w:t>e breached their fiduciary duty</w:t>
      </w:r>
      <w:r w:rsidR="00F04214">
        <w:rPr>
          <w:rFonts w:ascii="Arial" w:hAnsi="Arial" w:cs="Arial"/>
          <w:color w:val="808080" w:themeColor="background1" w:themeShade="80"/>
          <w:sz w:val="22"/>
          <w:szCs w:val="22"/>
          <w:lang w:val="en-GB"/>
        </w:rPr>
        <w:t>.</w:t>
      </w:r>
      <w:r w:rsidR="00F04214" w:rsidRPr="00F04214">
        <w:t xml:space="preserve"> </w:t>
      </w:r>
      <w:r w:rsidR="00F04214" w:rsidRPr="00F04214">
        <w:rPr>
          <w:rFonts w:ascii="Arial" w:hAnsi="Arial" w:cs="Arial"/>
          <w:color w:val="808080" w:themeColor="background1" w:themeShade="80"/>
          <w:sz w:val="22"/>
          <w:szCs w:val="22"/>
          <w:lang w:val="en-GB"/>
        </w:rPr>
        <w:t xml:space="preserve">In this regard, the Grand Court has held that acting in the best interests of the company implies acting in the </w:t>
      </w:r>
      <w:r w:rsidR="00F04214">
        <w:rPr>
          <w:rFonts w:ascii="Arial" w:hAnsi="Arial" w:cs="Arial"/>
          <w:color w:val="808080" w:themeColor="background1" w:themeShade="80"/>
          <w:sz w:val="22"/>
          <w:szCs w:val="22"/>
          <w:lang w:val="en-GB"/>
        </w:rPr>
        <w:t>best interests of the creditors</w:t>
      </w:r>
      <w:r>
        <w:rPr>
          <w:rFonts w:ascii="Arial" w:hAnsi="Arial" w:cs="Arial"/>
          <w:color w:val="808080" w:themeColor="background1" w:themeShade="80"/>
          <w:sz w:val="22"/>
          <w:szCs w:val="22"/>
          <w:lang w:val="en-GB"/>
        </w:rPr>
        <w:t xml:space="preserve"> </w:t>
      </w:r>
      <w:sdt>
        <w:sdtPr>
          <w:rPr>
            <w:rFonts w:ascii="Arial" w:hAnsi="Arial" w:cs="Arial"/>
            <w:color w:val="808080" w:themeColor="background1" w:themeShade="80"/>
            <w:sz w:val="22"/>
            <w:szCs w:val="22"/>
            <w:lang w:val="en-GB"/>
          </w:rPr>
          <w:id w:val="-380643390"/>
          <w:citation/>
        </w:sdtPr>
        <w:sdtContent>
          <w:r>
            <w:rPr>
              <w:rFonts w:ascii="Arial" w:hAnsi="Arial" w:cs="Arial"/>
              <w:color w:val="808080" w:themeColor="background1" w:themeShade="80"/>
              <w:sz w:val="22"/>
              <w:szCs w:val="22"/>
              <w:lang w:val="en-GB"/>
            </w:rPr>
            <w:fldChar w:fldCharType="begin"/>
          </w:r>
          <w:r>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0DE7B0F" w14:textId="642365AD" w:rsidR="00203FE3" w:rsidRPr="00203FE3" w:rsidRDefault="00203FE3" w:rsidP="00203FE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203FE3">
        <w:rPr>
          <w:rFonts w:ascii="Arial" w:hAnsi="Arial" w:cs="Arial"/>
          <w:color w:val="808080" w:themeColor="background1" w:themeShade="80"/>
          <w:sz w:val="22"/>
          <w:szCs w:val="22"/>
          <w:lang w:val="en-GB"/>
        </w:rPr>
        <w:t xml:space="preserve">he receivers do not have a limited role in an insolvency context considering that they may constitute an attractive alternative for the creditors. </w:t>
      </w:r>
    </w:p>
    <w:p w14:paraId="6223CE22" w14:textId="77777777" w:rsidR="00203FE3" w:rsidRPr="00203FE3" w:rsidRDefault="00203FE3" w:rsidP="00203FE3">
      <w:pPr>
        <w:jc w:val="both"/>
        <w:rPr>
          <w:rFonts w:ascii="Arial" w:hAnsi="Arial" w:cs="Arial"/>
          <w:color w:val="808080" w:themeColor="background1" w:themeShade="80"/>
          <w:sz w:val="22"/>
          <w:szCs w:val="22"/>
          <w:lang w:val="en-GB"/>
        </w:rPr>
      </w:pPr>
    </w:p>
    <w:p w14:paraId="0847CADA" w14:textId="1200350A" w:rsidR="00E4294D" w:rsidRDefault="00203FE3" w:rsidP="00203FE3">
      <w:pPr>
        <w:jc w:val="both"/>
        <w:rPr>
          <w:rFonts w:ascii="Arial" w:hAnsi="Arial" w:cs="Arial"/>
          <w:color w:val="808080" w:themeColor="background1" w:themeShade="80"/>
          <w:sz w:val="22"/>
          <w:szCs w:val="22"/>
          <w:lang w:val="en-GB"/>
        </w:rPr>
      </w:pPr>
      <w:r w:rsidRPr="00203FE3">
        <w:rPr>
          <w:rFonts w:ascii="Arial" w:hAnsi="Arial" w:cs="Arial"/>
          <w:color w:val="808080" w:themeColor="background1" w:themeShade="80"/>
          <w:sz w:val="22"/>
          <w:szCs w:val="22"/>
          <w:lang w:val="en-GB"/>
        </w:rPr>
        <w:t>The abovementioned bearing in mind that thanks to the rights derived from a security instrument (such as a floating charge) the receiver may reimburse the creditor of the instrument the amount of the unpaid debt by means of the realization of the charge as</w:t>
      </w:r>
      <w:r>
        <w:rPr>
          <w:rFonts w:ascii="Arial" w:hAnsi="Arial" w:cs="Arial"/>
          <w:color w:val="808080" w:themeColor="background1" w:themeShade="80"/>
          <w:sz w:val="22"/>
          <w:szCs w:val="22"/>
          <w:lang w:val="en-GB"/>
        </w:rPr>
        <w:t xml:space="preserve">set´s value </w:t>
      </w:r>
      <w:sdt>
        <w:sdtPr>
          <w:rPr>
            <w:rFonts w:ascii="Arial" w:hAnsi="Arial" w:cs="Arial"/>
            <w:color w:val="808080" w:themeColor="background1" w:themeShade="80"/>
            <w:sz w:val="22"/>
            <w:szCs w:val="22"/>
            <w:lang w:val="en-GB"/>
          </w:rPr>
          <w:id w:val="-1415474868"/>
          <w:citation/>
        </w:sdtPr>
        <w:sdtContent>
          <w:r>
            <w:rPr>
              <w:rFonts w:ascii="Arial" w:hAnsi="Arial" w:cs="Arial"/>
              <w:color w:val="808080" w:themeColor="background1" w:themeShade="80"/>
              <w:sz w:val="22"/>
              <w:szCs w:val="22"/>
              <w:lang w:val="en-GB"/>
            </w:rPr>
            <w:fldChar w:fldCharType="begin"/>
          </w:r>
          <w:r>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p w14:paraId="6DD9BB66" w14:textId="09C36C09" w:rsidR="00FA18CF" w:rsidRDefault="00AA676B" w:rsidP="002A37BB">
      <w:pPr>
        <w:jc w:val="both"/>
        <w:rPr>
          <w:rFonts w:ascii="Arial" w:hAnsi="Arial" w:cs="Arial"/>
          <w:sz w:val="22"/>
          <w:szCs w:val="22"/>
          <w:shd w:val="clear" w:color="auto" w:fill="FFFFFF"/>
        </w:rPr>
      </w:pPr>
      <w:r w:rsidRPr="00AA676B">
        <w:rPr>
          <w:rFonts w:ascii="Arial" w:hAnsi="Arial" w:cs="Arial"/>
          <w:color w:val="808080" w:themeColor="background1" w:themeShade="80"/>
          <w:sz w:val="22"/>
          <w:szCs w:val="22"/>
          <w:lang w:val="en-GB"/>
        </w:rPr>
        <w:t xml:space="preserve">By virtue of the foregoing, it is possible to state that the role of the receivers is quite broad, considering that, their actions do not require judicial intervention. It is important to bear in mind that the receiver´s freedom </w:t>
      </w:r>
      <w:proofErr w:type="gramStart"/>
      <w:r w:rsidRPr="00AA676B">
        <w:rPr>
          <w:rFonts w:ascii="Arial" w:hAnsi="Arial" w:cs="Arial"/>
          <w:color w:val="808080" w:themeColor="background1" w:themeShade="80"/>
          <w:sz w:val="22"/>
          <w:szCs w:val="22"/>
          <w:lang w:val="en-GB"/>
        </w:rPr>
        <w:t>is given</w:t>
      </w:r>
      <w:proofErr w:type="gramEnd"/>
      <w:r w:rsidRPr="00AA676B">
        <w:rPr>
          <w:rFonts w:ascii="Arial" w:hAnsi="Arial" w:cs="Arial"/>
          <w:color w:val="808080" w:themeColor="background1" w:themeShade="80"/>
          <w:sz w:val="22"/>
          <w:szCs w:val="22"/>
          <w:lang w:val="en-GB"/>
        </w:rPr>
        <w:t xml:space="preserve"> in the scenarios foreseen for the effect, for example, when the charge do</w:t>
      </w:r>
      <w:r>
        <w:rPr>
          <w:rFonts w:ascii="Arial" w:hAnsi="Arial" w:cs="Arial"/>
          <w:color w:val="808080" w:themeColor="background1" w:themeShade="80"/>
          <w:sz w:val="22"/>
          <w:szCs w:val="22"/>
          <w:lang w:val="en-GB"/>
        </w:rPr>
        <w:t>cument includes a right of sale.</w:t>
      </w:r>
    </w:p>
    <w:p w14:paraId="099E9EB0" w14:textId="6C408C6A"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w:t>
      </w:r>
      <w:proofErr w:type="gramStart"/>
      <w:r w:rsidR="004D4774">
        <w:rPr>
          <w:rFonts w:ascii="Arial" w:hAnsi="Arial" w:cs="Arial"/>
          <w:sz w:val="22"/>
          <w:szCs w:val="22"/>
          <w:lang w:val="en-GB"/>
        </w:rPr>
        <w:t>across  the</w:t>
      </w:r>
      <w:proofErr w:type="gramEnd"/>
      <w:r w:rsidR="004D4774">
        <w:rPr>
          <w:rFonts w:ascii="Arial" w:hAnsi="Arial" w:cs="Arial"/>
          <w:sz w:val="22"/>
          <w:szCs w:val="22"/>
          <w:lang w:val="en-GB"/>
        </w:rPr>
        <w:t xml:space="preserve"> Caribbean. </w:t>
      </w:r>
      <w:proofErr w:type="gramStart"/>
      <w:r w:rsidR="004D4774">
        <w:rPr>
          <w:rFonts w:ascii="Arial" w:hAnsi="Arial" w:cs="Arial"/>
          <w:sz w:val="22"/>
          <w:szCs w:val="22"/>
          <w:lang w:val="en-GB"/>
        </w:rPr>
        <w:t xml:space="preserve">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proofErr w:type="gramEnd"/>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t>
      </w:r>
      <w:proofErr w:type="gramStart"/>
      <w:r>
        <w:rPr>
          <w:rFonts w:ascii="Arial" w:hAnsi="Arial" w:cs="Arial"/>
          <w:sz w:val="22"/>
          <w:szCs w:val="22"/>
          <w:lang w:val="en-GB"/>
        </w:rPr>
        <w:t>weeks</w:t>
      </w:r>
      <w:proofErr w:type="gramEnd"/>
      <w:r>
        <w:rPr>
          <w:rFonts w:ascii="Arial" w:hAnsi="Arial" w:cs="Arial"/>
          <w:sz w:val="22"/>
          <w:szCs w:val="22"/>
          <w:lang w:val="en-GB"/>
        </w:rPr>
        <w:t xml:space="preserve">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proofErr w:type="gramStart"/>
      <w:r>
        <w:rPr>
          <w:rFonts w:ascii="Arial" w:hAnsi="Arial" w:cs="Arial"/>
          <w:sz w:val="22"/>
          <w:szCs w:val="22"/>
          <w:lang w:val="en-GB"/>
        </w:rPr>
        <w:t>m</w:t>
      </w:r>
      <w:r w:rsidR="00E4294D">
        <w:rPr>
          <w:rFonts w:ascii="Arial" w:hAnsi="Arial" w:cs="Arial"/>
          <w:sz w:val="22"/>
          <w:szCs w:val="22"/>
          <w:lang w:val="en-GB"/>
        </w:rPr>
        <w:t>illion</w:t>
      </w:r>
      <w:proofErr w:type="gramEnd"/>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w:t>
      </w:r>
      <w:proofErr w:type="gramStart"/>
      <w:r w:rsidR="00DD262A">
        <w:rPr>
          <w:rFonts w:ascii="Arial" w:hAnsi="Arial" w:cs="Arial"/>
          <w:sz w:val="22"/>
          <w:szCs w:val="22"/>
          <w:lang w:val="en-GB"/>
        </w:rPr>
        <w:t>have been approached</w:t>
      </w:r>
      <w:proofErr w:type="gramEnd"/>
      <w:r w:rsidR="00DD262A">
        <w:rPr>
          <w:rFonts w:ascii="Arial" w:hAnsi="Arial" w:cs="Arial"/>
          <w:sz w:val="22"/>
          <w:szCs w:val="22"/>
          <w:lang w:val="en-GB"/>
        </w:rPr>
        <w:t xml:space="preserve">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60998113" w:rsidR="002A2C21"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7BF9A265" w14:textId="4273AF58" w:rsidR="00CD01A1" w:rsidRDefault="00CD01A1" w:rsidP="00CD01A1">
      <w:pPr>
        <w:jc w:val="both"/>
        <w:rPr>
          <w:rFonts w:ascii="Arial" w:hAnsi="Arial" w:cs="Arial"/>
          <w:sz w:val="22"/>
          <w:szCs w:val="22"/>
          <w:lang w:val="en-GB"/>
        </w:rPr>
      </w:pPr>
    </w:p>
    <w:p w14:paraId="4451D5D5" w14:textId="77777777" w:rsidR="00CD01A1" w:rsidRPr="00CD01A1" w:rsidRDefault="00CD01A1" w:rsidP="00CD01A1">
      <w:pPr>
        <w:jc w:val="both"/>
        <w:rPr>
          <w:rFonts w:ascii="Arial" w:hAnsi="Arial" w:cs="Arial"/>
          <w:color w:val="808080" w:themeColor="background1" w:themeShade="80"/>
          <w:sz w:val="22"/>
          <w:szCs w:val="22"/>
          <w:lang w:val="en-GB"/>
        </w:rPr>
      </w:pPr>
      <w:r w:rsidRPr="00CD01A1">
        <w:rPr>
          <w:rFonts w:ascii="Arial" w:hAnsi="Arial" w:cs="Arial"/>
          <w:color w:val="808080" w:themeColor="background1" w:themeShade="80"/>
          <w:sz w:val="22"/>
          <w:szCs w:val="22"/>
          <w:lang w:val="en-GB"/>
        </w:rPr>
        <w:t>Considering that Monster has lent Black Pearl USD 100 million it is pertinent to highlight that the course of action will depend on whether the resources are secured or not:</w:t>
      </w:r>
    </w:p>
    <w:p w14:paraId="12851BCE" w14:textId="77777777" w:rsidR="00CD01A1" w:rsidRPr="00CD01A1" w:rsidRDefault="00CD01A1" w:rsidP="00CD01A1">
      <w:pPr>
        <w:jc w:val="both"/>
        <w:rPr>
          <w:rFonts w:ascii="Arial" w:hAnsi="Arial" w:cs="Arial"/>
          <w:color w:val="808080" w:themeColor="background1" w:themeShade="80"/>
          <w:sz w:val="22"/>
          <w:szCs w:val="22"/>
          <w:lang w:val="en-GB"/>
        </w:rPr>
      </w:pPr>
    </w:p>
    <w:p w14:paraId="178875FF" w14:textId="369D3A16" w:rsidR="00CD01A1" w:rsidRPr="00CD01A1" w:rsidRDefault="00CD01A1" w:rsidP="00CD01A1">
      <w:pPr>
        <w:pStyle w:val="Prrafodelista"/>
        <w:numPr>
          <w:ilvl w:val="0"/>
          <w:numId w:val="43"/>
        </w:numPr>
        <w:jc w:val="both"/>
        <w:rPr>
          <w:rFonts w:ascii="Arial" w:hAnsi="Arial" w:cs="Arial"/>
          <w:color w:val="808080" w:themeColor="background1" w:themeShade="80"/>
          <w:sz w:val="22"/>
          <w:szCs w:val="22"/>
          <w:lang w:val="en-GB"/>
        </w:rPr>
      </w:pPr>
      <w:r w:rsidRPr="00CD01A1">
        <w:rPr>
          <w:rFonts w:ascii="Arial" w:hAnsi="Arial" w:cs="Arial"/>
          <w:color w:val="808080" w:themeColor="background1" w:themeShade="80"/>
          <w:sz w:val="22"/>
          <w:szCs w:val="22"/>
          <w:lang w:val="en-GB"/>
        </w:rPr>
        <w:t xml:space="preserve">Secured USD 40 </w:t>
      </w:r>
      <w:proofErr w:type="gramStart"/>
      <w:r w:rsidRPr="00CD01A1">
        <w:rPr>
          <w:rFonts w:ascii="Arial" w:hAnsi="Arial" w:cs="Arial"/>
          <w:color w:val="808080" w:themeColor="background1" w:themeShade="80"/>
          <w:sz w:val="22"/>
          <w:szCs w:val="22"/>
          <w:lang w:val="en-GB"/>
        </w:rPr>
        <w:t>million</w:t>
      </w:r>
      <w:proofErr w:type="gramEnd"/>
      <w:r w:rsidRPr="00CD01A1">
        <w:rPr>
          <w:rFonts w:ascii="Arial" w:hAnsi="Arial" w:cs="Arial"/>
          <w:color w:val="808080" w:themeColor="background1" w:themeShade="80"/>
          <w:sz w:val="22"/>
          <w:szCs w:val="22"/>
          <w:lang w:val="en-GB"/>
        </w:rPr>
        <w:t>: The alternative is foreclosure.</w:t>
      </w:r>
    </w:p>
    <w:p w14:paraId="6B1A9A42" w14:textId="79FEB7BB" w:rsidR="00CD01A1" w:rsidRPr="00CD01A1" w:rsidRDefault="00CD01A1" w:rsidP="00CD01A1">
      <w:pPr>
        <w:pStyle w:val="Prrafodelista"/>
        <w:numPr>
          <w:ilvl w:val="0"/>
          <w:numId w:val="43"/>
        </w:numPr>
        <w:jc w:val="both"/>
        <w:rPr>
          <w:rFonts w:ascii="Arial" w:hAnsi="Arial" w:cs="Arial"/>
          <w:color w:val="808080" w:themeColor="background1" w:themeShade="80"/>
          <w:sz w:val="22"/>
          <w:szCs w:val="22"/>
          <w:lang w:val="en-GB"/>
        </w:rPr>
      </w:pPr>
      <w:r w:rsidRPr="00CD01A1">
        <w:rPr>
          <w:rFonts w:ascii="Arial" w:hAnsi="Arial" w:cs="Arial"/>
          <w:color w:val="808080" w:themeColor="background1" w:themeShade="80"/>
          <w:sz w:val="22"/>
          <w:szCs w:val="22"/>
          <w:lang w:val="en-GB"/>
        </w:rPr>
        <w:t xml:space="preserve">Unsecured USD 60 </w:t>
      </w:r>
      <w:proofErr w:type="gramStart"/>
      <w:r w:rsidRPr="00CD01A1">
        <w:rPr>
          <w:rFonts w:ascii="Arial" w:hAnsi="Arial" w:cs="Arial"/>
          <w:color w:val="808080" w:themeColor="background1" w:themeShade="80"/>
          <w:sz w:val="22"/>
          <w:szCs w:val="22"/>
          <w:lang w:val="en-GB"/>
        </w:rPr>
        <w:t>million</w:t>
      </w:r>
      <w:proofErr w:type="gramEnd"/>
      <w:r w:rsidRPr="00CD01A1">
        <w:rPr>
          <w:rFonts w:ascii="Arial" w:hAnsi="Arial" w:cs="Arial"/>
          <w:color w:val="808080" w:themeColor="background1" w:themeShade="80"/>
          <w:sz w:val="22"/>
          <w:szCs w:val="22"/>
          <w:lang w:val="en-GB"/>
        </w:rPr>
        <w:t>: Pursuant section 99 of the Companies Law if Monster wants to initiate an executive proceeding it has to do so before the commencement of the liquidation proceedin</w:t>
      </w:r>
      <w:r w:rsidRPr="00CD01A1">
        <w:rPr>
          <w:rFonts w:ascii="Arial" w:hAnsi="Arial" w:cs="Arial"/>
          <w:color w:val="808080" w:themeColor="background1" w:themeShade="80"/>
          <w:sz w:val="22"/>
          <w:szCs w:val="22"/>
          <w:lang w:val="en-GB"/>
        </w:rPr>
        <w:t xml:space="preserve">g </w:t>
      </w:r>
      <w:sdt>
        <w:sdtPr>
          <w:rPr>
            <w:lang w:val="en-GB"/>
          </w:rPr>
          <w:id w:val="-1791814656"/>
          <w:citation/>
        </w:sdtPr>
        <w:sdtContent>
          <w:r w:rsidRPr="00CD01A1">
            <w:rPr>
              <w:rFonts w:ascii="Arial" w:hAnsi="Arial" w:cs="Arial"/>
              <w:color w:val="808080" w:themeColor="background1" w:themeShade="80"/>
              <w:sz w:val="22"/>
              <w:szCs w:val="22"/>
              <w:lang w:val="en-GB"/>
            </w:rPr>
            <w:fldChar w:fldCharType="begin"/>
          </w:r>
          <w:r w:rsidRPr="00CD01A1">
            <w:rPr>
              <w:rFonts w:ascii="Arial" w:hAnsi="Arial" w:cs="Arial"/>
              <w:color w:val="808080" w:themeColor="background1" w:themeShade="80"/>
              <w:sz w:val="22"/>
              <w:szCs w:val="22"/>
            </w:rPr>
            <w:instrText xml:space="preserve"> CITATION Com21 \l 3082 </w:instrText>
          </w:r>
          <w:r w:rsidRPr="00CD01A1">
            <w:rPr>
              <w:rFonts w:ascii="Arial" w:hAnsi="Arial" w:cs="Arial"/>
              <w:color w:val="808080" w:themeColor="background1" w:themeShade="80"/>
              <w:sz w:val="22"/>
              <w:szCs w:val="22"/>
              <w:lang w:val="en-GB"/>
            </w:rPr>
            <w:fldChar w:fldCharType="separate"/>
          </w:r>
          <w:r w:rsidRPr="00CD01A1">
            <w:rPr>
              <w:rFonts w:ascii="Arial" w:hAnsi="Arial" w:cs="Arial"/>
              <w:noProof/>
              <w:color w:val="808080" w:themeColor="background1" w:themeShade="80"/>
              <w:sz w:val="22"/>
              <w:szCs w:val="22"/>
            </w:rPr>
            <w:t>(Companies Act Revision, 2021)</w:t>
          </w:r>
          <w:r w:rsidRPr="00CD01A1">
            <w:rPr>
              <w:rFonts w:ascii="Arial" w:hAnsi="Arial" w:cs="Arial"/>
              <w:color w:val="808080" w:themeColor="background1" w:themeShade="80"/>
              <w:sz w:val="22"/>
              <w:szCs w:val="22"/>
              <w:lang w:val="en-GB"/>
            </w:rPr>
            <w:fldChar w:fldCharType="end"/>
          </w:r>
        </w:sdtContent>
      </w:sdt>
      <w:r w:rsidRPr="00CD01A1">
        <w:rPr>
          <w:rFonts w:ascii="Arial" w:hAnsi="Arial" w:cs="Arial"/>
          <w:color w:val="808080" w:themeColor="background1" w:themeShade="80"/>
          <w:sz w:val="22"/>
          <w:szCs w:val="22"/>
          <w:lang w:val="en-GB"/>
        </w:rPr>
        <w:t>.</w:t>
      </w:r>
    </w:p>
    <w:p w14:paraId="60988ABD" w14:textId="77777777" w:rsidR="00952187" w:rsidRPr="00952187" w:rsidRDefault="00952187" w:rsidP="00977CE5">
      <w:pPr>
        <w:ind w:left="426"/>
        <w:jc w:val="both"/>
        <w:rPr>
          <w:rFonts w:ascii="Arial" w:hAnsi="Arial" w:cs="Arial"/>
          <w:sz w:val="22"/>
          <w:szCs w:val="22"/>
          <w:lang w:val="en-GB"/>
        </w:rPr>
      </w:pPr>
    </w:p>
    <w:p w14:paraId="2954EC21" w14:textId="0896CAF0" w:rsidR="002A2C21"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w:t>
      </w:r>
      <w:proofErr w:type="gramStart"/>
      <w:r w:rsidR="00977CE5" w:rsidRPr="00977CE5">
        <w:rPr>
          <w:rFonts w:ascii="Arial" w:hAnsi="Arial" w:cs="Arial"/>
          <w:sz w:val="22"/>
          <w:szCs w:val="22"/>
          <w:lang w:val="en-GB"/>
        </w:rPr>
        <w:t>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w:t>
      </w:r>
      <w:proofErr w:type="gramEnd"/>
      <w:r w:rsidRPr="00977CE5">
        <w:rPr>
          <w:rFonts w:ascii="Arial" w:hAnsi="Arial" w:cs="Arial"/>
          <w:sz w:val="22"/>
          <w:szCs w:val="22"/>
          <w:lang w:val="en-GB"/>
        </w:rPr>
        <w:t xml:space="preserv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1BF41342" w14:textId="0628CF51" w:rsidR="00EE2DFE" w:rsidRDefault="00EE2DFE" w:rsidP="00EE2DFE">
      <w:pPr>
        <w:jc w:val="both"/>
        <w:rPr>
          <w:rFonts w:ascii="Arial" w:hAnsi="Arial" w:cs="Arial"/>
          <w:sz w:val="22"/>
          <w:szCs w:val="22"/>
          <w:lang w:val="en-GB"/>
        </w:rPr>
      </w:pPr>
    </w:p>
    <w:p w14:paraId="2BB9E254" w14:textId="4C09723B" w:rsidR="00EE2DFE" w:rsidRPr="00CD01A1" w:rsidRDefault="00EE2DFE" w:rsidP="00EE2DFE">
      <w:pPr>
        <w:jc w:val="both"/>
        <w:rPr>
          <w:rFonts w:ascii="Arial" w:hAnsi="Arial" w:cs="Arial"/>
          <w:color w:val="808080" w:themeColor="background1" w:themeShade="80"/>
          <w:sz w:val="22"/>
          <w:szCs w:val="22"/>
          <w:lang w:val="en-GB"/>
        </w:rPr>
      </w:pPr>
      <w:r w:rsidRPr="00CD01A1">
        <w:rPr>
          <w:rFonts w:ascii="Arial" w:hAnsi="Arial" w:cs="Arial"/>
          <w:color w:val="808080" w:themeColor="background1" w:themeShade="80"/>
          <w:sz w:val="22"/>
          <w:szCs w:val="22"/>
          <w:lang w:val="en-GB"/>
        </w:rPr>
        <w:t xml:space="preserve">Pursuant section 99 of the Companies Law if </w:t>
      </w:r>
      <w:r>
        <w:rPr>
          <w:rFonts w:ascii="Arial" w:hAnsi="Arial" w:cs="Arial"/>
          <w:color w:val="808080" w:themeColor="background1" w:themeShade="80"/>
          <w:sz w:val="22"/>
          <w:szCs w:val="22"/>
          <w:lang w:val="en-GB"/>
        </w:rPr>
        <w:t xml:space="preserve">Jolly Roger </w:t>
      </w:r>
      <w:proofErr w:type="spellStart"/>
      <w:r>
        <w:rPr>
          <w:rFonts w:ascii="Arial" w:hAnsi="Arial" w:cs="Arial"/>
          <w:color w:val="808080" w:themeColor="background1" w:themeShade="80"/>
          <w:sz w:val="22"/>
          <w:szCs w:val="22"/>
          <w:lang w:val="en-GB"/>
        </w:rPr>
        <w:t>Inc</w:t>
      </w:r>
      <w:proofErr w:type="spellEnd"/>
      <w:r>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want</w:t>
      </w:r>
      <w:r w:rsidRPr="00CD01A1">
        <w:rPr>
          <w:rFonts w:ascii="Arial" w:hAnsi="Arial" w:cs="Arial"/>
          <w:color w:val="808080" w:themeColor="background1" w:themeShade="80"/>
          <w:sz w:val="22"/>
          <w:szCs w:val="22"/>
          <w:lang w:val="en-GB"/>
        </w:rPr>
        <w:t xml:space="preserve"> to initiate an executive proceeding </w:t>
      </w:r>
      <w:r>
        <w:rPr>
          <w:rFonts w:ascii="Arial" w:hAnsi="Arial" w:cs="Arial"/>
          <w:color w:val="808080" w:themeColor="background1" w:themeShade="80"/>
          <w:sz w:val="22"/>
          <w:szCs w:val="22"/>
          <w:lang w:val="en-GB"/>
        </w:rPr>
        <w:t>the company</w:t>
      </w:r>
      <w:r>
        <w:rPr>
          <w:rFonts w:ascii="Arial" w:hAnsi="Arial" w:cs="Arial"/>
          <w:color w:val="808080" w:themeColor="background1" w:themeShade="80"/>
          <w:sz w:val="22"/>
          <w:szCs w:val="22"/>
          <w:lang w:val="en-GB"/>
        </w:rPr>
        <w:t xml:space="preserve"> have</w:t>
      </w:r>
      <w:r w:rsidRPr="00CD01A1">
        <w:rPr>
          <w:rFonts w:ascii="Arial" w:hAnsi="Arial" w:cs="Arial"/>
          <w:color w:val="808080" w:themeColor="background1" w:themeShade="80"/>
          <w:sz w:val="22"/>
          <w:szCs w:val="22"/>
          <w:lang w:val="en-GB"/>
        </w:rPr>
        <w:t xml:space="preserve"> to do so before the commencement of the liquidation proceeding </w:t>
      </w:r>
      <w:sdt>
        <w:sdtPr>
          <w:rPr>
            <w:lang w:val="en-GB"/>
          </w:rPr>
          <w:id w:val="-543835692"/>
          <w:citation/>
        </w:sdtPr>
        <w:sdtContent>
          <w:r w:rsidRPr="00CD01A1">
            <w:rPr>
              <w:rFonts w:ascii="Arial" w:hAnsi="Arial" w:cs="Arial"/>
              <w:color w:val="808080" w:themeColor="background1" w:themeShade="80"/>
              <w:sz w:val="22"/>
              <w:szCs w:val="22"/>
              <w:lang w:val="en-GB"/>
            </w:rPr>
            <w:fldChar w:fldCharType="begin"/>
          </w:r>
          <w:r w:rsidRPr="00CD01A1">
            <w:rPr>
              <w:rFonts w:ascii="Arial" w:hAnsi="Arial" w:cs="Arial"/>
              <w:color w:val="808080" w:themeColor="background1" w:themeShade="80"/>
              <w:sz w:val="22"/>
              <w:szCs w:val="22"/>
            </w:rPr>
            <w:instrText xml:space="preserve"> CITATION Com21 \l 3082 </w:instrText>
          </w:r>
          <w:r w:rsidRPr="00CD01A1">
            <w:rPr>
              <w:rFonts w:ascii="Arial" w:hAnsi="Arial" w:cs="Arial"/>
              <w:color w:val="808080" w:themeColor="background1" w:themeShade="80"/>
              <w:sz w:val="22"/>
              <w:szCs w:val="22"/>
              <w:lang w:val="en-GB"/>
            </w:rPr>
            <w:fldChar w:fldCharType="separate"/>
          </w:r>
          <w:r w:rsidRPr="00CD01A1">
            <w:rPr>
              <w:rFonts w:ascii="Arial" w:hAnsi="Arial" w:cs="Arial"/>
              <w:noProof/>
              <w:color w:val="808080" w:themeColor="background1" w:themeShade="80"/>
              <w:sz w:val="22"/>
              <w:szCs w:val="22"/>
            </w:rPr>
            <w:t>(Companies Act Revision, 2021)</w:t>
          </w:r>
          <w:r w:rsidRPr="00CD01A1">
            <w:rPr>
              <w:rFonts w:ascii="Arial" w:hAnsi="Arial" w:cs="Arial"/>
              <w:color w:val="808080" w:themeColor="background1" w:themeShade="80"/>
              <w:sz w:val="22"/>
              <w:szCs w:val="22"/>
              <w:lang w:val="en-GB"/>
            </w:rPr>
            <w:fldChar w:fldCharType="end"/>
          </w:r>
        </w:sdtContent>
      </w:sdt>
      <w:r w:rsidRPr="00CD01A1">
        <w:rPr>
          <w:rFonts w:ascii="Arial" w:hAnsi="Arial" w:cs="Arial"/>
          <w:color w:val="808080" w:themeColor="background1" w:themeShade="80"/>
          <w:sz w:val="22"/>
          <w:szCs w:val="22"/>
          <w:lang w:val="en-GB"/>
        </w:rPr>
        <w:t>.</w:t>
      </w:r>
    </w:p>
    <w:p w14:paraId="66A613DD" w14:textId="77777777" w:rsidR="00EE2DFE" w:rsidRPr="00EE2DFE" w:rsidRDefault="00EE2DFE" w:rsidP="00EE2DFE">
      <w:pPr>
        <w:jc w:val="both"/>
        <w:rPr>
          <w:rFonts w:ascii="Arial" w:hAnsi="Arial" w:cs="Arial"/>
          <w:sz w:val="22"/>
          <w:szCs w:val="22"/>
          <w:lang w:val="en-GB"/>
        </w:rPr>
      </w:pPr>
    </w:p>
    <w:p w14:paraId="5C96F779" w14:textId="77777777" w:rsidR="00952187" w:rsidRPr="00952187" w:rsidRDefault="00952187" w:rsidP="00977CE5">
      <w:pPr>
        <w:ind w:left="426"/>
        <w:jc w:val="both"/>
        <w:rPr>
          <w:rFonts w:ascii="Arial" w:hAnsi="Arial" w:cs="Arial"/>
          <w:sz w:val="22"/>
          <w:szCs w:val="22"/>
          <w:lang w:val="en-GB"/>
        </w:rPr>
      </w:pPr>
    </w:p>
    <w:p w14:paraId="786BD95B" w14:textId="243097AD" w:rsidR="002A2C21"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68C41559" w14:textId="77777777" w:rsidR="00CD01A1" w:rsidRPr="00CD01A1" w:rsidRDefault="00CD01A1" w:rsidP="00CD01A1">
      <w:pPr>
        <w:pStyle w:val="Prrafodelista"/>
        <w:rPr>
          <w:rFonts w:ascii="Arial" w:hAnsi="Arial" w:cs="Arial"/>
          <w:sz w:val="22"/>
          <w:szCs w:val="22"/>
          <w:lang w:val="en-GB"/>
        </w:rPr>
      </w:pPr>
    </w:p>
    <w:p w14:paraId="66FFA544" w14:textId="62F056E8" w:rsidR="00CD01A1" w:rsidRPr="00CD01A1" w:rsidRDefault="00CD01A1" w:rsidP="00CD01A1">
      <w:pPr>
        <w:jc w:val="both"/>
        <w:rPr>
          <w:rFonts w:ascii="Arial" w:hAnsi="Arial" w:cs="Arial"/>
          <w:color w:val="808080" w:themeColor="background1" w:themeShade="80"/>
          <w:sz w:val="22"/>
          <w:szCs w:val="22"/>
          <w:lang w:val="en-GB"/>
        </w:rPr>
      </w:pPr>
      <w:r w:rsidRPr="00CD01A1">
        <w:rPr>
          <w:rFonts w:ascii="Arial" w:hAnsi="Arial" w:cs="Arial"/>
          <w:color w:val="808080" w:themeColor="background1" w:themeShade="80"/>
          <w:sz w:val="22"/>
          <w:szCs w:val="22"/>
          <w:lang w:val="en-GB"/>
        </w:rPr>
        <w:t xml:space="preserve">Pursuant section 99 of the Companies Law if </w:t>
      </w:r>
      <w:r>
        <w:rPr>
          <w:rFonts w:ascii="Arial" w:hAnsi="Arial" w:cs="Arial"/>
          <w:color w:val="808080" w:themeColor="background1" w:themeShade="80"/>
          <w:sz w:val="22"/>
          <w:szCs w:val="22"/>
          <w:lang w:val="en-GB"/>
        </w:rPr>
        <w:t>the unsecured trade creditors want</w:t>
      </w:r>
      <w:r w:rsidRPr="00CD01A1">
        <w:rPr>
          <w:rFonts w:ascii="Arial" w:hAnsi="Arial" w:cs="Arial"/>
          <w:color w:val="808080" w:themeColor="background1" w:themeShade="80"/>
          <w:sz w:val="22"/>
          <w:szCs w:val="22"/>
          <w:lang w:val="en-GB"/>
        </w:rPr>
        <w:t xml:space="preserve"> to initiate an executive proceeding </w:t>
      </w:r>
      <w:r>
        <w:rPr>
          <w:rFonts w:ascii="Arial" w:hAnsi="Arial" w:cs="Arial"/>
          <w:color w:val="808080" w:themeColor="background1" w:themeShade="80"/>
          <w:sz w:val="22"/>
          <w:szCs w:val="22"/>
          <w:lang w:val="en-GB"/>
        </w:rPr>
        <w:t>they have</w:t>
      </w:r>
      <w:r w:rsidRPr="00CD01A1">
        <w:rPr>
          <w:rFonts w:ascii="Arial" w:hAnsi="Arial" w:cs="Arial"/>
          <w:color w:val="808080" w:themeColor="background1" w:themeShade="80"/>
          <w:sz w:val="22"/>
          <w:szCs w:val="22"/>
          <w:lang w:val="en-GB"/>
        </w:rPr>
        <w:t xml:space="preserve"> to do so before the commencement of the liquidation proceeding </w:t>
      </w:r>
      <w:sdt>
        <w:sdtPr>
          <w:rPr>
            <w:lang w:val="en-GB"/>
          </w:rPr>
          <w:id w:val="214545802"/>
          <w:citation/>
        </w:sdtPr>
        <w:sdtContent>
          <w:r w:rsidRPr="00CD01A1">
            <w:rPr>
              <w:rFonts w:ascii="Arial" w:hAnsi="Arial" w:cs="Arial"/>
              <w:color w:val="808080" w:themeColor="background1" w:themeShade="80"/>
              <w:sz w:val="22"/>
              <w:szCs w:val="22"/>
              <w:lang w:val="en-GB"/>
            </w:rPr>
            <w:fldChar w:fldCharType="begin"/>
          </w:r>
          <w:r w:rsidRPr="00CD01A1">
            <w:rPr>
              <w:rFonts w:ascii="Arial" w:hAnsi="Arial" w:cs="Arial"/>
              <w:color w:val="808080" w:themeColor="background1" w:themeShade="80"/>
              <w:sz w:val="22"/>
              <w:szCs w:val="22"/>
            </w:rPr>
            <w:instrText xml:space="preserve"> CITATION Com21 \l 3082 </w:instrText>
          </w:r>
          <w:r w:rsidRPr="00CD01A1">
            <w:rPr>
              <w:rFonts w:ascii="Arial" w:hAnsi="Arial" w:cs="Arial"/>
              <w:color w:val="808080" w:themeColor="background1" w:themeShade="80"/>
              <w:sz w:val="22"/>
              <w:szCs w:val="22"/>
              <w:lang w:val="en-GB"/>
            </w:rPr>
            <w:fldChar w:fldCharType="separate"/>
          </w:r>
          <w:r w:rsidRPr="00CD01A1">
            <w:rPr>
              <w:rFonts w:ascii="Arial" w:hAnsi="Arial" w:cs="Arial"/>
              <w:noProof/>
              <w:color w:val="808080" w:themeColor="background1" w:themeShade="80"/>
              <w:sz w:val="22"/>
              <w:szCs w:val="22"/>
            </w:rPr>
            <w:t>(Companies Act Revision, 2021)</w:t>
          </w:r>
          <w:r w:rsidRPr="00CD01A1">
            <w:rPr>
              <w:rFonts w:ascii="Arial" w:hAnsi="Arial" w:cs="Arial"/>
              <w:color w:val="808080" w:themeColor="background1" w:themeShade="80"/>
              <w:sz w:val="22"/>
              <w:szCs w:val="22"/>
              <w:lang w:val="en-GB"/>
            </w:rPr>
            <w:fldChar w:fldCharType="end"/>
          </w:r>
        </w:sdtContent>
      </w:sdt>
      <w:r w:rsidRPr="00CD01A1">
        <w:rPr>
          <w:rFonts w:ascii="Arial" w:hAnsi="Arial" w:cs="Arial"/>
          <w:color w:val="808080" w:themeColor="background1" w:themeShade="80"/>
          <w:sz w:val="22"/>
          <w:szCs w:val="22"/>
          <w:lang w:val="en-GB"/>
        </w:rPr>
        <w:t>.</w:t>
      </w:r>
    </w:p>
    <w:p w14:paraId="77379BEA" w14:textId="77777777" w:rsidR="00CD01A1" w:rsidRPr="00977CE5" w:rsidRDefault="00CD01A1" w:rsidP="00CD01A1">
      <w:pPr>
        <w:pStyle w:val="Prrafodelista"/>
        <w:ind w:left="426"/>
        <w:jc w:val="both"/>
        <w:rPr>
          <w:rFonts w:ascii="Arial" w:hAnsi="Arial" w:cs="Arial"/>
          <w:sz w:val="22"/>
          <w:szCs w:val="22"/>
          <w:lang w:val="en-GB"/>
        </w:rPr>
      </w:pPr>
    </w:p>
    <w:p w14:paraId="2D2F4E09" w14:textId="77777777" w:rsidR="00952187" w:rsidRPr="00952187" w:rsidRDefault="00952187" w:rsidP="00977CE5">
      <w:pPr>
        <w:ind w:left="426"/>
        <w:jc w:val="both"/>
        <w:rPr>
          <w:rFonts w:ascii="Arial" w:hAnsi="Arial" w:cs="Arial"/>
          <w:sz w:val="22"/>
          <w:szCs w:val="22"/>
          <w:lang w:val="en-GB"/>
        </w:rPr>
      </w:pPr>
    </w:p>
    <w:p w14:paraId="50895D5F" w14:textId="0338D857" w:rsidR="00F730FA" w:rsidRDefault="00F730FA"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36D046D7" w14:textId="6B04CCB2" w:rsidR="00D7113C" w:rsidRDefault="00D7113C" w:rsidP="00D7113C">
      <w:pPr>
        <w:jc w:val="both"/>
        <w:rPr>
          <w:rFonts w:ascii="Arial" w:hAnsi="Arial" w:cs="Arial"/>
          <w:sz w:val="22"/>
          <w:szCs w:val="22"/>
          <w:lang w:val="en-GB"/>
        </w:rPr>
      </w:pPr>
    </w:p>
    <w:p w14:paraId="322DAC18" w14:textId="3A010483" w:rsidR="00D7113C" w:rsidRPr="00E74DC2" w:rsidRDefault="00E74DC2" w:rsidP="00D7113C">
      <w:pPr>
        <w:jc w:val="both"/>
        <w:rPr>
          <w:rFonts w:ascii="Arial" w:hAnsi="Arial" w:cs="Arial"/>
          <w:color w:val="808080" w:themeColor="background1" w:themeShade="80"/>
          <w:sz w:val="22"/>
          <w:szCs w:val="22"/>
          <w:lang w:val="en-GB"/>
        </w:rPr>
      </w:pPr>
      <w:r w:rsidRPr="00E74DC2">
        <w:rPr>
          <w:rFonts w:ascii="Arial" w:hAnsi="Arial" w:cs="Arial"/>
          <w:color w:val="808080" w:themeColor="background1" w:themeShade="80"/>
          <w:sz w:val="22"/>
          <w:szCs w:val="22"/>
          <w:lang w:val="en-GB"/>
        </w:rPr>
        <w:t>In accordance with the conditions set forth in the Companies Law, the Cayman Islands Court has jurisdiction because Black Pearl Ltd is a company registered in the Cayman Islands.</w:t>
      </w:r>
    </w:p>
    <w:p w14:paraId="43E439C8" w14:textId="77777777" w:rsidR="00952187" w:rsidRPr="00952187" w:rsidRDefault="00952187" w:rsidP="00977CE5">
      <w:pPr>
        <w:ind w:left="426"/>
        <w:jc w:val="both"/>
        <w:rPr>
          <w:rFonts w:ascii="Arial" w:hAnsi="Arial" w:cs="Arial"/>
          <w:sz w:val="22"/>
          <w:szCs w:val="22"/>
          <w:lang w:val="en-GB"/>
        </w:rPr>
      </w:pPr>
    </w:p>
    <w:p w14:paraId="24A6BD44" w14:textId="3126CE12" w:rsidR="00F730FA"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38BC5F9B" w14:textId="1B4B54FB" w:rsidR="00D12050" w:rsidRDefault="00D12050" w:rsidP="00D12050">
      <w:pPr>
        <w:pStyle w:val="Prrafodelista"/>
        <w:ind w:left="426"/>
        <w:jc w:val="both"/>
        <w:rPr>
          <w:rFonts w:ascii="Arial" w:hAnsi="Arial" w:cs="Arial"/>
          <w:sz w:val="22"/>
          <w:szCs w:val="22"/>
          <w:lang w:val="en-GB"/>
        </w:rPr>
      </w:pPr>
    </w:p>
    <w:p w14:paraId="3407D26A" w14:textId="278D5AFE" w:rsidR="00D12050" w:rsidRPr="00D12050" w:rsidRDefault="00D12050" w:rsidP="00D12050">
      <w:pPr>
        <w:pStyle w:val="Prrafodelista"/>
        <w:ind w:left="426"/>
        <w:jc w:val="both"/>
        <w:rPr>
          <w:rFonts w:ascii="Arial" w:hAnsi="Arial" w:cs="Arial"/>
          <w:color w:val="808080" w:themeColor="background1" w:themeShade="80"/>
          <w:sz w:val="22"/>
          <w:szCs w:val="22"/>
          <w:lang w:val="en-GB"/>
        </w:rPr>
      </w:pPr>
      <w:r w:rsidRPr="00D12050">
        <w:rPr>
          <w:rFonts w:ascii="Arial" w:hAnsi="Arial" w:cs="Arial"/>
          <w:color w:val="808080" w:themeColor="background1" w:themeShade="80"/>
          <w:sz w:val="22"/>
          <w:szCs w:val="22"/>
          <w:lang w:val="en-GB"/>
        </w:rPr>
        <w:t xml:space="preserve">Yes, I would recommend Black Pearl to approach its creditors and seek consensual </w:t>
      </w:r>
      <w:r w:rsidR="00912E38" w:rsidRPr="00D12050">
        <w:rPr>
          <w:rFonts w:ascii="Arial" w:hAnsi="Arial" w:cs="Arial"/>
          <w:color w:val="808080" w:themeColor="background1" w:themeShade="80"/>
          <w:sz w:val="22"/>
          <w:szCs w:val="22"/>
          <w:lang w:val="en-GB"/>
        </w:rPr>
        <w:t>restructurin</w:t>
      </w:r>
      <w:r w:rsidR="00912E38">
        <w:rPr>
          <w:rFonts w:ascii="Arial" w:hAnsi="Arial" w:cs="Arial"/>
          <w:color w:val="808080" w:themeColor="background1" w:themeShade="80"/>
          <w:sz w:val="22"/>
          <w:szCs w:val="22"/>
          <w:lang w:val="en-GB"/>
        </w:rPr>
        <w:t xml:space="preserve">g alternatives before </w:t>
      </w:r>
      <w:r w:rsidRPr="00D12050">
        <w:rPr>
          <w:rFonts w:ascii="Arial" w:hAnsi="Arial" w:cs="Arial"/>
          <w:color w:val="808080" w:themeColor="background1" w:themeShade="80"/>
          <w:sz w:val="22"/>
          <w:szCs w:val="22"/>
          <w:lang w:val="en-GB"/>
        </w:rPr>
        <w:t>filing the proceeding.</w:t>
      </w:r>
    </w:p>
    <w:p w14:paraId="5E9F761E" w14:textId="77777777" w:rsidR="00952187" w:rsidRPr="00952187" w:rsidRDefault="00952187" w:rsidP="00977CE5">
      <w:pPr>
        <w:ind w:left="426"/>
        <w:jc w:val="both"/>
        <w:rPr>
          <w:rFonts w:ascii="Arial" w:hAnsi="Arial" w:cs="Arial"/>
          <w:sz w:val="22"/>
          <w:szCs w:val="22"/>
          <w:lang w:val="en-GB"/>
        </w:rPr>
      </w:pPr>
    </w:p>
    <w:p w14:paraId="20A1D69F" w14:textId="32B7B4D0" w:rsidR="00927C9D" w:rsidRDefault="00C41A0C"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4CA06ECC" w14:textId="31D77A47" w:rsidR="006D189D" w:rsidRDefault="006D189D" w:rsidP="006D189D">
      <w:pPr>
        <w:pStyle w:val="Prrafodelista"/>
        <w:ind w:left="426"/>
        <w:jc w:val="both"/>
        <w:rPr>
          <w:rFonts w:ascii="Arial" w:hAnsi="Arial" w:cs="Arial"/>
          <w:sz w:val="22"/>
          <w:szCs w:val="22"/>
          <w:lang w:val="en-GB"/>
        </w:rPr>
      </w:pPr>
    </w:p>
    <w:p w14:paraId="327AD3C1" w14:textId="49F30AB4" w:rsidR="006D189D" w:rsidRPr="006D189D" w:rsidRDefault="006D189D" w:rsidP="006D189D">
      <w:pPr>
        <w:pStyle w:val="Prrafodelista"/>
        <w:ind w:left="426"/>
        <w:jc w:val="both"/>
        <w:rPr>
          <w:rFonts w:ascii="Arial" w:hAnsi="Arial" w:cs="Arial"/>
          <w:color w:val="808080" w:themeColor="background1" w:themeShade="80"/>
          <w:sz w:val="22"/>
          <w:szCs w:val="22"/>
          <w:lang w:val="en-GB"/>
        </w:rPr>
      </w:pPr>
      <w:r w:rsidRPr="006D189D">
        <w:rPr>
          <w:rFonts w:ascii="Arial" w:hAnsi="Arial" w:cs="Arial"/>
          <w:color w:val="808080" w:themeColor="background1" w:themeShade="80"/>
          <w:sz w:val="22"/>
          <w:szCs w:val="22"/>
          <w:lang w:val="en-GB"/>
        </w:rPr>
        <w:t>Yes, the Sparrow family could continue to run Black Pearl during this process, because it is not a provisional liquidation scenario.</w:t>
      </w:r>
    </w:p>
    <w:p w14:paraId="7ADDA549" w14:textId="77777777" w:rsidR="00952187" w:rsidRPr="00952187" w:rsidRDefault="00952187" w:rsidP="00977CE5">
      <w:pPr>
        <w:ind w:left="426"/>
        <w:jc w:val="both"/>
        <w:rPr>
          <w:rFonts w:ascii="Arial" w:hAnsi="Arial" w:cs="Arial"/>
          <w:sz w:val="22"/>
          <w:szCs w:val="22"/>
          <w:lang w:val="en-GB"/>
        </w:rPr>
      </w:pPr>
    </w:p>
    <w:p w14:paraId="5144D848" w14:textId="315C7BA3" w:rsidR="00BC3A55" w:rsidRDefault="00641AB6"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0FD89A98" w14:textId="77777777" w:rsidR="00A83D20" w:rsidRPr="00A83D20" w:rsidRDefault="00A83D20" w:rsidP="00A83D20">
      <w:pPr>
        <w:pStyle w:val="Prrafodelista"/>
        <w:rPr>
          <w:rFonts w:ascii="Arial" w:hAnsi="Arial" w:cs="Arial"/>
          <w:sz w:val="22"/>
          <w:szCs w:val="22"/>
          <w:lang w:val="en-GB"/>
        </w:rPr>
      </w:pPr>
    </w:p>
    <w:p w14:paraId="43E084C4" w14:textId="683B6B79" w:rsidR="00A83D20" w:rsidRPr="007C59AC" w:rsidRDefault="00A83D20" w:rsidP="00A83D20">
      <w:pPr>
        <w:pStyle w:val="Prrafodelista"/>
        <w:ind w:left="426"/>
        <w:jc w:val="both"/>
        <w:rPr>
          <w:rFonts w:ascii="Arial" w:hAnsi="Arial" w:cs="Arial"/>
          <w:color w:val="808080" w:themeColor="background1" w:themeShade="80"/>
          <w:sz w:val="22"/>
          <w:szCs w:val="22"/>
          <w:lang w:val="en-GB"/>
        </w:rPr>
      </w:pPr>
      <w:r w:rsidRPr="007C59AC">
        <w:rPr>
          <w:rFonts w:ascii="Arial" w:hAnsi="Arial" w:cs="Arial"/>
          <w:color w:val="808080" w:themeColor="background1" w:themeShade="80"/>
          <w:sz w:val="22"/>
          <w:szCs w:val="22"/>
          <w:lang w:val="en-GB"/>
        </w:rPr>
        <w:t>Two moments</w:t>
      </w:r>
      <w:r w:rsidRPr="007C59AC">
        <w:rPr>
          <w:rFonts w:ascii="Arial" w:hAnsi="Arial" w:cs="Arial"/>
          <w:color w:val="808080" w:themeColor="background1" w:themeShade="80"/>
          <w:sz w:val="22"/>
          <w:szCs w:val="22"/>
          <w:lang w:val="en-GB"/>
        </w:rPr>
        <w:t xml:space="preserve"> precede the approval of the scheme: </w:t>
      </w:r>
      <w:bookmarkStart w:id="1" w:name="_GoBack"/>
      <w:bookmarkEnd w:id="1"/>
    </w:p>
    <w:p w14:paraId="1982371A" w14:textId="77777777" w:rsidR="00A83D20" w:rsidRPr="007C59AC" w:rsidRDefault="00A83D20" w:rsidP="00A83D20">
      <w:pPr>
        <w:pStyle w:val="Prrafodelista"/>
        <w:ind w:left="426"/>
        <w:jc w:val="both"/>
        <w:rPr>
          <w:rFonts w:ascii="Arial" w:hAnsi="Arial" w:cs="Arial"/>
          <w:color w:val="808080" w:themeColor="background1" w:themeShade="80"/>
          <w:sz w:val="22"/>
          <w:szCs w:val="22"/>
          <w:lang w:val="en-GB"/>
        </w:rPr>
      </w:pPr>
    </w:p>
    <w:p w14:paraId="43FFE160" w14:textId="555FAC73" w:rsidR="00A83D20" w:rsidRDefault="00A83D20" w:rsidP="00A83D20">
      <w:pPr>
        <w:pStyle w:val="Prrafodelista"/>
        <w:numPr>
          <w:ilvl w:val="0"/>
          <w:numId w:val="43"/>
        </w:numPr>
        <w:jc w:val="both"/>
        <w:rPr>
          <w:rFonts w:ascii="Arial" w:hAnsi="Arial" w:cs="Arial"/>
          <w:color w:val="808080" w:themeColor="background1" w:themeShade="80"/>
          <w:sz w:val="22"/>
          <w:szCs w:val="22"/>
          <w:lang w:val="en-GB"/>
        </w:rPr>
      </w:pPr>
      <w:r w:rsidRPr="007C59AC">
        <w:rPr>
          <w:rFonts w:ascii="Arial" w:hAnsi="Arial" w:cs="Arial"/>
          <w:color w:val="808080" w:themeColor="background1" w:themeShade="80"/>
          <w:sz w:val="22"/>
          <w:szCs w:val="22"/>
          <w:lang w:val="en-GB"/>
        </w:rPr>
        <w:t xml:space="preserve">At the </w:t>
      </w:r>
      <w:r w:rsidRPr="00F07DDF">
        <w:rPr>
          <w:rFonts w:ascii="Arial" w:hAnsi="Arial" w:cs="Arial"/>
          <w:b/>
          <w:color w:val="808080" w:themeColor="background1" w:themeShade="80"/>
          <w:sz w:val="22"/>
          <w:szCs w:val="22"/>
          <w:lang w:val="en-GB"/>
        </w:rPr>
        <w:t xml:space="preserve">convening </w:t>
      </w:r>
      <w:r w:rsidRPr="00F07DDF">
        <w:rPr>
          <w:rFonts w:ascii="Arial" w:hAnsi="Arial" w:cs="Arial"/>
          <w:b/>
          <w:color w:val="808080" w:themeColor="background1" w:themeShade="80"/>
          <w:sz w:val="22"/>
          <w:szCs w:val="22"/>
          <w:lang w:val="en-GB"/>
        </w:rPr>
        <w:t>hearing</w:t>
      </w:r>
      <w:r w:rsidRPr="007C59AC">
        <w:rPr>
          <w:rFonts w:ascii="Arial" w:hAnsi="Arial" w:cs="Arial"/>
          <w:color w:val="808080" w:themeColor="background1" w:themeShade="80"/>
          <w:sz w:val="22"/>
          <w:szCs w:val="22"/>
          <w:lang w:val="en-GB"/>
        </w:rPr>
        <w:t>,</w:t>
      </w:r>
      <w:r w:rsidRPr="007C59AC">
        <w:rPr>
          <w:rFonts w:ascii="Arial" w:hAnsi="Arial" w:cs="Arial"/>
          <w:color w:val="808080" w:themeColor="background1" w:themeShade="80"/>
          <w:sz w:val="22"/>
          <w:szCs w:val="22"/>
          <w:lang w:val="en-GB"/>
        </w:rPr>
        <w:t xml:space="preserve"> the court will review i</w:t>
      </w:r>
      <w:r w:rsidRPr="007C59AC">
        <w:rPr>
          <w:rFonts w:ascii="Arial" w:hAnsi="Arial" w:cs="Arial"/>
          <w:color w:val="808080" w:themeColor="background1" w:themeShade="80"/>
          <w:sz w:val="22"/>
          <w:szCs w:val="22"/>
          <w:lang w:val="en-GB"/>
        </w:rPr>
        <w:t>ssues that are related to: (</w:t>
      </w:r>
      <w:proofErr w:type="spellStart"/>
      <w:r w:rsidRPr="007C59AC">
        <w:rPr>
          <w:rFonts w:ascii="Arial" w:hAnsi="Arial" w:cs="Arial"/>
          <w:color w:val="808080" w:themeColor="background1" w:themeShade="80"/>
          <w:sz w:val="22"/>
          <w:szCs w:val="22"/>
          <w:lang w:val="en-GB"/>
        </w:rPr>
        <w:t>i</w:t>
      </w:r>
      <w:proofErr w:type="spellEnd"/>
      <w:r w:rsidRPr="007C59AC">
        <w:rPr>
          <w:rFonts w:ascii="Arial" w:hAnsi="Arial" w:cs="Arial"/>
          <w:color w:val="808080" w:themeColor="background1" w:themeShade="80"/>
          <w:sz w:val="22"/>
          <w:szCs w:val="22"/>
          <w:lang w:val="en-GB"/>
        </w:rPr>
        <w:t xml:space="preserve">) </w:t>
      </w:r>
      <w:r w:rsidRPr="007C59AC">
        <w:rPr>
          <w:rFonts w:ascii="Arial" w:hAnsi="Arial" w:cs="Arial"/>
          <w:color w:val="808080" w:themeColor="background1" w:themeShade="80"/>
          <w:sz w:val="22"/>
          <w:szCs w:val="22"/>
          <w:lang w:val="en-GB"/>
        </w:rPr>
        <w:t xml:space="preserve">the composition of the creditor classes, (ii) plan documentation requirements, and (iii) jurisdictional issues and plan notice. At this </w:t>
      </w:r>
      <w:r w:rsidRPr="007C59AC">
        <w:rPr>
          <w:rFonts w:ascii="Arial" w:hAnsi="Arial" w:cs="Arial"/>
          <w:color w:val="808080" w:themeColor="background1" w:themeShade="80"/>
          <w:sz w:val="22"/>
          <w:szCs w:val="22"/>
          <w:lang w:val="en-GB"/>
        </w:rPr>
        <w:t>stage,</w:t>
      </w:r>
      <w:r w:rsidRPr="007C59AC">
        <w:rPr>
          <w:rFonts w:ascii="Arial" w:hAnsi="Arial" w:cs="Arial"/>
          <w:color w:val="808080" w:themeColor="background1" w:themeShade="80"/>
          <w:sz w:val="22"/>
          <w:szCs w:val="22"/>
          <w:lang w:val="en-GB"/>
        </w:rPr>
        <w:t xml:space="preserve"> the court ensures that creditors have access to all the information necessa</w:t>
      </w:r>
      <w:r w:rsidR="00F17155">
        <w:rPr>
          <w:rFonts w:ascii="Arial" w:hAnsi="Arial" w:cs="Arial"/>
          <w:color w:val="808080" w:themeColor="background1" w:themeShade="80"/>
          <w:sz w:val="22"/>
          <w:szCs w:val="22"/>
          <w:lang w:val="en-GB"/>
        </w:rPr>
        <w:t xml:space="preserve">ry to make an informed decision </w:t>
      </w:r>
      <w:sdt>
        <w:sdtPr>
          <w:rPr>
            <w:rFonts w:ascii="Arial" w:hAnsi="Arial" w:cs="Arial"/>
            <w:color w:val="808080" w:themeColor="background1" w:themeShade="80"/>
            <w:sz w:val="22"/>
            <w:szCs w:val="22"/>
            <w:lang w:val="en-GB"/>
          </w:rPr>
          <w:id w:val="-509058938"/>
          <w:citation/>
        </w:sdtPr>
        <w:sdtContent>
          <w:r w:rsidR="00F17155">
            <w:rPr>
              <w:rFonts w:ascii="Arial" w:hAnsi="Arial" w:cs="Arial"/>
              <w:color w:val="808080" w:themeColor="background1" w:themeShade="80"/>
              <w:sz w:val="22"/>
              <w:szCs w:val="22"/>
              <w:lang w:val="en-GB"/>
            </w:rPr>
            <w:fldChar w:fldCharType="begin"/>
          </w:r>
          <w:r w:rsidR="00F17155">
            <w:rPr>
              <w:rFonts w:ascii="Arial" w:hAnsi="Arial" w:cs="Arial"/>
              <w:color w:val="808080" w:themeColor="background1" w:themeShade="80"/>
              <w:sz w:val="22"/>
              <w:szCs w:val="22"/>
            </w:rPr>
            <w:instrText xml:space="preserve">CITATION Ton20 \l 3082 </w:instrText>
          </w:r>
          <w:r w:rsidR="00F17155">
            <w:rPr>
              <w:rFonts w:ascii="Arial" w:hAnsi="Arial" w:cs="Arial"/>
              <w:color w:val="808080" w:themeColor="background1" w:themeShade="80"/>
              <w:sz w:val="22"/>
              <w:szCs w:val="22"/>
              <w:lang w:val="en-GB"/>
            </w:rPr>
            <w:fldChar w:fldCharType="separate"/>
          </w:r>
          <w:r w:rsidR="00F17155" w:rsidRPr="00003CDA">
            <w:rPr>
              <w:rFonts w:ascii="Arial" w:hAnsi="Arial" w:cs="Arial"/>
              <w:noProof/>
              <w:color w:val="808080" w:themeColor="background1" w:themeShade="80"/>
              <w:sz w:val="22"/>
              <w:szCs w:val="22"/>
            </w:rPr>
            <w:t>(Tonner, 2020)</w:t>
          </w:r>
          <w:r w:rsidR="00F17155">
            <w:rPr>
              <w:rFonts w:ascii="Arial" w:hAnsi="Arial" w:cs="Arial"/>
              <w:color w:val="808080" w:themeColor="background1" w:themeShade="80"/>
              <w:sz w:val="22"/>
              <w:szCs w:val="22"/>
              <w:lang w:val="en-GB"/>
            </w:rPr>
            <w:fldChar w:fldCharType="end"/>
          </w:r>
        </w:sdtContent>
      </w:sdt>
      <w:r w:rsidR="00F17155">
        <w:rPr>
          <w:rFonts w:ascii="Arial" w:hAnsi="Arial" w:cs="Arial"/>
          <w:color w:val="808080" w:themeColor="background1" w:themeShade="80"/>
          <w:sz w:val="22"/>
          <w:szCs w:val="22"/>
          <w:lang w:val="en-GB"/>
        </w:rPr>
        <w:t>.</w:t>
      </w:r>
    </w:p>
    <w:p w14:paraId="5267A7A5" w14:textId="3D24B668" w:rsidR="00F17155" w:rsidRPr="007C59AC" w:rsidRDefault="00F07DDF" w:rsidP="00F07DDF">
      <w:pPr>
        <w:pStyle w:val="Prrafodelista"/>
        <w:numPr>
          <w:ilvl w:val="0"/>
          <w:numId w:val="43"/>
        </w:numPr>
        <w:jc w:val="both"/>
        <w:rPr>
          <w:rFonts w:ascii="Arial" w:hAnsi="Arial" w:cs="Arial"/>
          <w:color w:val="808080" w:themeColor="background1" w:themeShade="80"/>
          <w:sz w:val="22"/>
          <w:szCs w:val="22"/>
          <w:lang w:val="en-GB"/>
        </w:rPr>
      </w:pPr>
      <w:r w:rsidRPr="00F07DDF">
        <w:rPr>
          <w:rFonts w:ascii="Arial" w:hAnsi="Arial" w:cs="Arial"/>
          <w:b/>
          <w:color w:val="808080" w:themeColor="background1" w:themeShade="80"/>
          <w:sz w:val="22"/>
          <w:szCs w:val="22"/>
          <w:lang w:val="en-GB"/>
        </w:rPr>
        <w:t>Scheme meetings</w:t>
      </w:r>
      <w:r>
        <w:rPr>
          <w:rFonts w:ascii="Arial" w:hAnsi="Arial" w:cs="Arial"/>
          <w:color w:val="808080" w:themeColor="background1" w:themeShade="80"/>
          <w:sz w:val="22"/>
          <w:szCs w:val="22"/>
          <w:lang w:val="en-GB"/>
        </w:rPr>
        <w:t xml:space="preserve">: </w:t>
      </w:r>
      <w:r w:rsidRPr="00F07DDF">
        <w:rPr>
          <w:rFonts w:ascii="Arial" w:hAnsi="Arial" w:cs="Arial"/>
          <w:color w:val="808080" w:themeColor="background1" w:themeShade="80"/>
          <w:sz w:val="22"/>
          <w:szCs w:val="22"/>
          <w:lang w:val="en-GB"/>
        </w:rPr>
        <w:t>Scheme meetings: The scheme must be approved by a majority in number that represents ove</w:t>
      </w:r>
      <w:r>
        <w:rPr>
          <w:rFonts w:ascii="Arial" w:hAnsi="Arial" w:cs="Arial"/>
          <w:color w:val="808080" w:themeColor="background1" w:themeShade="80"/>
          <w:sz w:val="22"/>
          <w:szCs w:val="22"/>
          <w:lang w:val="en-GB"/>
        </w:rPr>
        <w:t xml:space="preserve">r 75% in value of the creditors </w:t>
      </w:r>
      <w:sdt>
        <w:sdtPr>
          <w:rPr>
            <w:rFonts w:ascii="Arial" w:hAnsi="Arial" w:cs="Arial"/>
            <w:color w:val="808080" w:themeColor="background1" w:themeShade="80"/>
            <w:sz w:val="22"/>
            <w:szCs w:val="22"/>
            <w:lang w:val="en-GB"/>
          </w:rPr>
          <w:id w:val="-494420566"/>
          <w:citation/>
        </w:sdtPr>
        <w:sdtContent>
          <w:r>
            <w:rPr>
              <w:rFonts w:ascii="Arial" w:hAnsi="Arial" w:cs="Arial"/>
              <w:color w:val="808080" w:themeColor="background1" w:themeShade="80"/>
              <w:sz w:val="22"/>
              <w:szCs w:val="22"/>
              <w:lang w:val="en-GB"/>
            </w:rPr>
            <w:fldChar w:fldCharType="begin"/>
          </w:r>
          <w:r>
            <w:rPr>
              <w:rFonts w:ascii="Arial" w:hAnsi="Arial" w:cs="Arial"/>
              <w:color w:val="808080" w:themeColor="background1" w:themeShade="80"/>
              <w:sz w:val="22"/>
              <w:szCs w:val="22"/>
            </w:rPr>
            <w:instrText xml:space="preserve">CITATION Ton20 \l 3082 </w:instrText>
          </w:r>
          <w:r>
            <w:rPr>
              <w:rFonts w:ascii="Arial" w:hAnsi="Arial" w:cs="Arial"/>
              <w:color w:val="808080" w:themeColor="background1" w:themeShade="80"/>
              <w:sz w:val="22"/>
              <w:szCs w:val="22"/>
              <w:lang w:val="en-GB"/>
            </w:rPr>
            <w:fldChar w:fldCharType="separate"/>
          </w:r>
          <w:r w:rsidRPr="00003CDA">
            <w:rPr>
              <w:rFonts w:ascii="Arial" w:hAnsi="Arial" w:cs="Arial"/>
              <w:noProof/>
              <w:color w:val="808080" w:themeColor="background1" w:themeShade="80"/>
              <w:sz w:val="22"/>
              <w:szCs w:val="22"/>
            </w:rPr>
            <w:t>(Tonner, 2020)</w:t>
          </w:r>
          <w:r>
            <w:rPr>
              <w:rFonts w:ascii="Arial" w:hAnsi="Arial" w:cs="Arial"/>
              <w:color w:val="808080" w:themeColor="background1" w:themeShade="80"/>
              <w:sz w:val="22"/>
              <w:szCs w:val="22"/>
              <w:lang w:val="en-GB"/>
            </w:rPr>
            <w:fldChar w:fldCharType="end"/>
          </w:r>
        </w:sdtContent>
      </w:sdt>
      <w:r>
        <w:rPr>
          <w:rFonts w:ascii="Arial" w:hAnsi="Arial" w:cs="Arial"/>
          <w:color w:val="808080" w:themeColor="background1" w:themeShade="80"/>
          <w:sz w:val="22"/>
          <w:szCs w:val="22"/>
          <w:lang w:val="en-GB"/>
        </w:rPr>
        <w:t>.</w:t>
      </w:r>
    </w:p>
    <w:bookmarkEnd w:id="0"/>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sdt>
      <w:sdtPr>
        <w:rPr>
          <w:lang w:val="es-ES"/>
        </w:rPr>
        <w:id w:val="-792516444"/>
        <w:docPartObj>
          <w:docPartGallery w:val="Bibliographies"/>
          <w:docPartUnique/>
        </w:docPartObj>
      </w:sdtPr>
      <w:sdtEndPr>
        <w:rPr>
          <w:rFonts w:asciiTheme="minorHAnsi" w:eastAsia="Times New Roman" w:hAnsiTheme="minorHAnsi" w:cstheme="minorBidi"/>
          <w:color w:val="auto"/>
          <w:sz w:val="20"/>
          <w:szCs w:val="24"/>
          <w:lang w:val="en-US"/>
        </w:rPr>
      </w:sdtEndPr>
      <w:sdtContent>
        <w:p w14:paraId="69EAC22F" w14:textId="2A62AF54" w:rsidR="00251BB4" w:rsidRPr="00251BB4" w:rsidRDefault="00251BB4" w:rsidP="00251BB4">
          <w:pPr>
            <w:pStyle w:val="Ttulo1"/>
            <w:jc w:val="center"/>
            <w:rPr>
              <w:rFonts w:ascii="Arial" w:eastAsia="Times New Roman" w:hAnsi="Arial" w:cs="Arial"/>
              <w:b/>
              <w:color w:val="808080" w:themeColor="background1" w:themeShade="80"/>
              <w:sz w:val="22"/>
              <w:szCs w:val="22"/>
              <w:lang w:val="en-GB"/>
            </w:rPr>
          </w:pPr>
          <w:r w:rsidRPr="00251BB4">
            <w:rPr>
              <w:rFonts w:ascii="Arial" w:eastAsia="Times New Roman" w:hAnsi="Arial" w:cs="Arial"/>
              <w:b/>
              <w:color w:val="808080" w:themeColor="background1" w:themeShade="80"/>
              <w:sz w:val="22"/>
              <w:szCs w:val="22"/>
              <w:lang w:val="en-GB"/>
            </w:rPr>
            <w:t>References</w:t>
          </w:r>
        </w:p>
        <w:sdt>
          <w:sdtPr>
            <w:id w:val="111145805"/>
            <w:bibliography/>
          </w:sdtPr>
          <w:sdtContent>
            <w:p w14:paraId="4CFD36B0" w14:textId="77777777" w:rsidR="00251BB4" w:rsidRPr="00251BB4" w:rsidRDefault="00251BB4" w:rsidP="00251BB4">
              <w:pPr>
                <w:pStyle w:val="Bibliografa"/>
                <w:ind w:left="720" w:hanging="720"/>
                <w:rPr>
                  <w:rFonts w:ascii="Arial" w:hAnsi="Arial" w:cs="Arial"/>
                  <w:sz w:val="22"/>
                  <w:szCs w:val="22"/>
                  <w:lang w:val="en-GB"/>
                </w:rPr>
              </w:pPr>
              <w:r w:rsidRPr="00251BB4">
                <w:rPr>
                  <w:rFonts w:ascii="Arial" w:hAnsi="Arial" w:cs="Arial"/>
                  <w:sz w:val="22"/>
                  <w:szCs w:val="22"/>
                  <w:lang w:val="en-GB"/>
                </w:rPr>
                <w:fldChar w:fldCharType="begin"/>
              </w:r>
              <w:r w:rsidRPr="00251BB4">
                <w:rPr>
                  <w:rFonts w:ascii="Arial" w:hAnsi="Arial" w:cs="Arial"/>
                  <w:sz w:val="22"/>
                  <w:szCs w:val="22"/>
                  <w:lang w:val="en-GB"/>
                </w:rPr>
                <w:instrText>BIBLIOGRAPHY</w:instrText>
              </w:r>
              <w:r w:rsidRPr="00251BB4">
                <w:rPr>
                  <w:rFonts w:ascii="Arial" w:hAnsi="Arial" w:cs="Arial"/>
                  <w:sz w:val="22"/>
                  <w:szCs w:val="22"/>
                  <w:lang w:val="en-GB"/>
                </w:rPr>
                <w:fldChar w:fldCharType="separate"/>
              </w:r>
              <w:r w:rsidRPr="00251BB4">
                <w:rPr>
                  <w:rFonts w:ascii="Arial" w:hAnsi="Arial" w:cs="Arial"/>
                  <w:sz w:val="22"/>
                  <w:szCs w:val="22"/>
                  <w:lang w:val="en-GB"/>
                </w:rPr>
                <w:t>Companies Act Revision. (2021).</w:t>
              </w:r>
            </w:p>
            <w:p w14:paraId="2927CE0A" w14:textId="77777777" w:rsidR="00251BB4" w:rsidRPr="00251BB4" w:rsidRDefault="00251BB4" w:rsidP="00251BB4">
              <w:pPr>
                <w:pStyle w:val="Bibliografa"/>
                <w:ind w:left="720" w:hanging="720"/>
                <w:rPr>
                  <w:rFonts w:ascii="Arial" w:hAnsi="Arial" w:cs="Arial"/>
                  <w:sz w:val="22"/>
                  <w:szCs w:val="22"/>
                  <w:lang w:val="en-GB"/>
                </w:rPr>
              </w:pPr>
              <w:r w:rsidRPr="00251BB4">
                <w:rPr>
                  <w:rFonts w:ascii="Arial" w:hAnsi="Arial" w:cs="Arial"/>
                  <w:sz w:val="22"/>
                  <w:szCs w:val="22"/>
                  <w:lang w:val="en-GB"/>
                </w:rPr>
                <w:t>Tonner, M. B. (September de 2020). Cayman Islands. Cayman Islands, Grand Cayman.</w:t>
              </w:r>
            </w:p>
            <w:p w14:paraId="6E286AF9" w14:textId="71221D55" w:rsidR="00251BB4" w:rsidRDefault="00251BB4" w:rsidP="00251BB4">
              <w:r w:rsidRPr="00251BB4">
                <w:rPr>
                  <w:rFonts w:ascii="Arial" w:hAnsi="Arial" w:cs="Arial"/>
                  <w:sz w:val="22"/>
                  <w:szCs w:val="22"/>
                  <w:lang w:val="en-GB"/>
                </w:rPr>
                <w:fldChar w:fldCharType="end"/>
              </w:r>
            </w:p>
          </w:sdtContent>
        </w:sdt>
      </w:sdtContent>
    </w:sdt>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920BE7" w:rsidRPr="00FC7B47" w:rsidRDefault="00920BE7"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920BE7" w:rsidRPr="00FC7B47" w:rsidRDefault="00920BE7" w:rsidP="00FC7B47">
    <w:pPr>
      <w:pStyle w:val="Piedepgina"/>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0D45B129" w:rsidR="00920BE7" w:rsidRPr="009B4976" w:rsidRDefault="00920BE7" w:rsidP="001463D6">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6D189D">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4652DD67" w14:textId="5F2E7CF8" w:rsidR="00920BE7" w:rsidRPr="009B4976" w:rsidRDefault="006578D8" w:rsidP="009B4976">
    <w:pPr>
      <w:pStyle w:val="Piedepgina"/>
      <w:ind w:right="360"/>
      <w:rPr>
        <w:rFonts w:ascii="Arial" w:hAnsi="Arial" w:cs="Arial"/>
        <w:sz w:val="18"/>
        <w:szCs w:val="18"/>
        <w:lang w:val="en-GB"/>
      </w:rPr>
    </w:pPr>
    <w:r w:rsidRPr="006578D8">
      <w:rPr>
        <w:rFonts w:ascii="Arial" w:hAnsi="Arial" w:cs="Arial"/>
        <w:sz w:val="18"/>
        <w:szCs w:val="18"/>
        <w:lang w:val="en-GB"/>
      </w:rPr>
      <w:t>202021IFU-330</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55B3542"/>
    <w:multiLevelType w:val="multilevel"/>
    <w:tmpl w:val="9FF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0"/>
  </w:num>
  <w:num w:numId="3">
    <w:abstractNumId w:val="17"/>
  </w:num>
  <w:num w:numId="4">
    <w:abstractNumId w:val="37"/>
  </w:num>
  <w:num w:numId="5">
    <w:abstractNumId w:val="18"/>
  </w:num>
  <w:num w:numId="6">
    <w:abstractNumId w:val="29"/>
  </w:num>
  <w:num w:numId="7">
    <w:abstractNumId w:val="39"/>
  </w:num>
  <w:num w:numId="8">
    <w:abstractNumId w:val="33"/>
  </w:num>
  <w:num w:numId="9">
    <w:abstractNumId w:val="15"/>
  </w:num>
  <w:num w:numId="10">
    <w:abstractNumId w:val="9"/>
  </w:num>
  <w:num w:numId="11">
    <w:abstractNumId w:val="11"/>
  </w:num>
  <w:num w:numId="12">
    <w:abstractNumId w:val="16"/>
  </w:num>
  <w:num w:numId="13">
    <w:abstractNumId w:val="22"/>
  </w:num>
  <w:num w:numId="14">
    <w:abstractNumId w:val="2"/>
  </w:num>
  <w:num w:numId="15">
    <w:abstractNumId w:val="12"/>
  </w:num>
  <w:num w:numId="16">
    <w:abstractNumId w:val="35"/>
  </w:num>
  <w:num w:numId="17">
    <w:abstractNumId w:val="4"/>
  </w:num>
  <w:num w:numId="18">
    <w:abstractNumId w:val="7"/>
  </w:num>
  <w:num w:numId="19">
    <w:abstractNumId w:val="25"/>
  </w:num>
  <w:num w:numId="20">
    <w:abstractNumId w:val="23"/>
  </w:num>
  <w:num w:numId="21">
    <w:abstractNumId w:val="1"/>
  </w:num>
  <w:num w:numId="22">
    <w:abstractNumId w:val="10"/>
  </w:num>
  <w:num w:numId="23">
    <w:abstractNumId w:val="41"/>
  </w:num>
  <w:num w:numId="24">
    <w:abstractNumId w:val="0"/>
  </w:num>
  <w:num w:numId="25">
    <w:abstractNumId w:val="31"/>
  </w:num>
  <w:num w:numId="26">
    <w:abstractNumId w:val="8"/>
  </w:num>
  <w:num w:numId="27">
    <w:abstractNumId w:val="14"/>
  </w:num>
  <w:num w:numId="28">
    <w:abstractNumId w:val="3"/>
  </w:num>
  <w:num w:numId="29">
    <w:abstractNumId w:val="5"/>
  </w:num>
  <w:num w:numId="30">
    <w:abstractNumId w:val="19"/>
  </w:num>
  <w:num w:numId="31">
    <w:abstractNumId w:val="38"/>
  </w:num>
  <w:num w:numId="32">
    <w:abstractNumId w:val="27"/>
  </w:num>
  <w:num w:numId="33">
    <w:abstractNumId w:val="32"/>
  </w:num>
  <w:num w:numId="34">
    <w:abstractNumId w:val="36"/>
  </w:num>
  <w:num w:numId="35">
    <w:abstractNumId w:val="42"/>
  </w:num>
  <w:num w:numId="36">
    <w:abstractNumId w:val="13"/>
  </w:num>
  <w:num w:numId="37">
    <w:abstractNumId w:val="30"/>
  </w:num>
  <w:num w:numId="38">
    <w:abstractNumId w:val="6"/>
  </w:num>
  <w:num w:numId="39">
    <w:abstractNumId w:val="28"/>
  </w:num>
  <w:num w:numId="40">
    <w:abstractNumId w:val="24"/>
  </w:num>
  <w:num w:numId="41">
    <w:abstractNumId w:val="26"/>
  </w:num>
  <w:num w:numId="42">
    <w:abstractNumId w:val="34"/>
  </w:num>
  <w:num w:numId="4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CDA"/>
    <w:rsid w:val="00007BF3"/>
    <w:rsid w:val="00010BA0"/>
    <w:rsid w:val="00016475"/>
    <w:rsid w:val="00020557"/>
    <w:rsid w:val="00021FC2"/>
    <w:rsid w:val="00023705"/>
    <w:rsid w:val="000250C7"/>
    <w:rsid w:val="00026F16"/>
    <w:rsid w:val="00037621"/>
    <w:rsid w:val="00042709"/>
    <w:rsid w:val="00044D46"/>
    <w:rsid w:val="00045088"/>
    <w:rsid w:val="00045904"/>
    <w:rsid w:val="000502FD"/>
    <w:rsid w:val="000507A7"/>
    <w:rsid w:val="00053B29"/>
    <w:rsid w:val="000577D2"/>
    <w:rsid w:val="00064010"/>
    <w:rsid w:val="00065166"/>
    <w:rsid w:val="000819AE"/>
    <w:rsid w:val="00082609"/>
    <w:rsid w:val="000851CC"/>
    <w:rsid w:val="00087F21"/>
    <w:rsid w:val="00093BE8"/>
    <w:rsid w:val="000A407B"/>
    <w:rsid w:val="000A68ED"/>
    <w:rsid w:val="000B5FF1"/>
    <w:rsid w:val="000B609F"/>
    <w:rsid w:val="000B6F5D"/>
    <w:rsid w:val="000C3F26"/>
    <w:rsid w:val="000D55A8"/>
    <w:rsid w:val="000E4841"/>
    <w:rsid w:val="000F1677"/>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2DFE"/>
    <w:rsid w:val="00203FE3"/>
    <w:rsid w:val="0020526E"/>
    <w:rsid w:val="0020725B"/>
    <w:rsid w:val="00210493"/>
    <w:rsid w:val="002110F1"/>
    <w:rsid w:val="002172B8"/>
    <w:rsid w:val="002356EA"/>
    <w:rsid w:val="0024116D"/>
    <w:rsid w:val="00241B44"/>
    <w:rsid w:val="00241BC4"/>
    <w:rsid w:val="00241FA3"/>
    <w:rsid w:val="00242BF9"/>
    <w:rsid w:val="00245EFB"/>
    <w:rsid w:val="002476AF"/>
    <w:rsid w:val="00247738"/>
    <w:rsid w:val="00251BB4"/>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563"/>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31A"/>
    <w:rsid w:val="00416D2B"/>
    <w:rsid w:val="0042108F"/>
    <w:rsid w:val="00430FED"/>
    <w:rsid w:val="00434A8C"/>
    <w:rsid w:val="00437297"/>
    <w:rsid w:val="00444284"/>
    <w:rsid w:val="00445CE6"/>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4774"/>
    <w:rsid w:val="004D64F9"/>
    <w:rsid w:val="004E3A6B"/>
    <w:rsid w:val="004E622C"/>
    <w:rsid w:val="004F5FDF"/>
    <w:rsid w:val="00500285"/>
    <w:rsid w:val="00501EDC"/>
    <w:rsid w:val="005035B5"/>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52FB"/>
    <w:rsid w:val="0058622F"/>
    <w:rsid w:val="0059176D"/>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839"/>
    <w:rsid w:val="005F4B31"/>
    <w:rsid w:val="00607C84"/>
    <w:rsid w:val="00610388"/>
    <w:rsid w:val="00610AC7"/>
    <w:rsid w:val="00612CA5"/>
    <w:rsid w:val="006153EC"/>
    <w:rsid w:val="0062142E"/>
    <w:rsid w:val="00621A17"/>
    <w:rsid w:val="0062373B"/>
    <w:rsid w:val="00626639"/>
    <w:rsid w:val="00627CC9"/>
    <w:rsid w:val="00627E7B"/>
    <w:rsid w:val="00630542"/>
    <w:rsid w:val="00632E44"/>
    <w:rsid w:val="00634622"/>
    <w:rsid w:val="00636808"/>
    <w:rsid w:val="00641515"/>
    <w:rsid w:val="00641AB6"/>
    <w:rsid w:val="00650CB6"/>
    <w:rsid w:val="00650FE1"/>
    <w:rsid w:val="00654C2F"/>
    <w:rsid w:val="00657087"/>
    <w:rsid w:val="006578D8"/>
    <w:rsid w:val="00661556"/>
    <w:rsid w:val="006639DB"/>
    <w:rsid w:val="006661EF"/>
    <w:rsid w:val="00677AEB"/>
    <w:rsid w:val="00680D69"/>
    <w:rsid w:val="00680EF2"/>
    <w:rsid w:val="00684D9D"/>
    <w:rsid w:val="00687A1D"/>
    <w:rsid w:val="00697B9F"/>
    <w:rsid w:val="00697EA1"/>
    <w:rsid w:val="006A2646"/>
    <w:rsid w:val="006A5375"/>
    <w:rsid w:val="006A6530"/>
    <w:rsid w:val="006B435A"/>
    <w:rsid w:val="006B4C64"/>
    <w:rsid w:val="006B70AF"/>
    <w:rsid w:val="006C5AFE"/>
    <w:rsid w:val="006D189D"/>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498C"/>
    <w:rsid w:val="00775E93"/>
    <w:rsid w:val="007808EB"/>
    <w:rsid w:val="007809BC"/>
    <w:rsid w:val="00784128"/>
    <w:rsid w:val="00787BCC"/>
    <w:rsid w:val="00793173"/>
    <w:rsid w:val="007949A9"/>
    <w:rsid w:val="007A2A33"/>
    <w:rsid w:val="007B22CF"/>
    <w:rsid w:val="007B3A5E"/>
    <w:rsid w:val="007B5C89"/>
    <w:rsid w:val="007C1FCC"/>
    <w:rsid w:val="007C59AC"/>
    <w:rsid w:val="007C6201"/>
    <w:rsid w:val="007D7C92"/>
    <w:rsid w:val="007E1154"/>
    <w:rsid w:val="007E6BA4"/>
    <w:rsid w:val="007F38CB"/>
    <w:rsid w:val="007F41F8"/>
    <w:rsid w:val="007F659B"/>
    <w:rsid w:val="00803C72"/>
    <w:rsid w:val="00804150"/>
    <w:rsid w:val="0080454E"/>
    <w:rsid w:val="00804C32"/>
    <w:rsid w:val="00806302"/>
    <w:rsid w:val="00807119"/>
    <w:rsid w:val="0082483F"/>
    <w:rsid w:val="008279C0"/>
    <w:rsid w:val="00840F8A"/>
    <w:rsid w:val="00853B56"/>
    <w:rsid w:val="00867701"/>
    <w:rsid w:val="008723F3"/>
    <w:rsid w:val="00876F56"/>
    <w:rsid w:val="00881DE6"/>
    <w:rsid w:val="008829FB"/>
    <w:rsid w:val="008837A6"/>
    <w:rsid w:val="008840F9"/>
    <w:rsid w:val="00891116"/>
    <w:rsid w:val="0089145D"/>
    <w:rsid w:val="008A4DF2"/>
    <w:rsid w:val="008A6CFE"/>
    <w:rsid w:val="008B280D"/>
    <w:rsid w:val="008B4B20"/>
    <w:rsid w:val="008B531A"/>
    <w:rsid w:val="008B5333"/>
    <w:rsid w:val="008B6223"/>
    <w:rsid w:val="008C66E0"/>
    <w:rsid w:val="008D2856"/>
    <w:rsid w:val="008E3339"/>
    <w:rsid w:val="008F20FC"/>
    <w:rsid w:val="008F5FFE"/>
    <w:rsid w:val="008F6CAB"/>
    <w:rsid w:val="00905A43"/>
    <w:rsid w:val="00912C79"/>
    <w:rsid w:val="00912E38"/>
    <w:rsid w:val="00920BE7"/>
    <w:rsid w:val="00921B8C"/>
    <w:rsid w:val="00927C9D"/>
    <w:rsid w:val="00931FD7"/>
    <w:rsid w:val="0094033D"/>
    <w:rsid w:val="00942123"/>
    <w:rsid w:val="0095207B"/>
    <w:rsid w:val="00952187"/>
    <w:rsid w:val="00962045"/>
    <w:rsid w:val="00977CE5"/>
    <w:rsid w:val="00980E61"/>
    <w:rsid w:val="009858FC"/>
    <w:rsid w:val="00991428"/>
    <w:rsid w:val="0099169D"/>
    <w:rsid w:val="00992676"/>
    <w:rsid w:val="009954B2"/>
    <w:rsid w:val="00996691"/>
    <w:rsid w:val="009A37CC"/>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791B"/>
    <w:rsid w:val="009E2AEB"/>
    <w:rsid w:val="009E2E27"/>
    <w:rsid w:val="009E45DF"/>
    <w:rsid w:val="009E4DE3"/>
    <w:rsid w:val="009F275E"/>
    <w:rsid w:val="00A00B76"/>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3D20"/>
    <w:rsid w:val="00A845F5"/>
    <w:rsid w:val="00A96489"/>
    <w:rsid w:val="00AA63B6"/>
    <w:rsid w:val="00AA676B"/>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14819"/>
    <w:rsid w:val="00B15E2F"/>
    <w:rsid w:val="00B17AA9"/>
    <w:rsid w:val="00B17D7F"/>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46CF"/>
    <w:rsid w:val="00BF50F7"/>
    <w:rsid w:val="00C02F29"/>
    <w:rsid w:val="00C17718"/>
    <w:rsid w:val="00C20AFE"/>
    <w:rsid w:val="00C22A25"/>
    <w:rsid w:val="00C24785"/>
    <w:rsid w:val="00C35671"/>
    <w:rsid w:val="00C359C9"/>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320"/>
    <w:rsid w:val="00CB1983"/>
    <w:rsid w:val="00CB2CBB"/>
    <w:rsid w:val="00CB7CAC"/>
    <w:rsid w:val="00CC5335"/>
    <w:rsid w:val="00CC5BA4"/>
    <w:rsid w:val="00CC6748"/>
    <w:rsid w:val="00CD01A1"/>
    <w:rsid w:val="00CD4998"/>
    <w:rsid w:val="00CE1035"/>
    <w:rsid w:val="00CE2641"/>
    <w:rsid w:val="00CE6E50"/>
    <w:rsid w:val="00CF2819"/>
    <w:rsid w:val="00CF4F9D"/>
    <w:rsid w:val="00CF70DC"/>
    <w:rsid w:val="00D063C2"/>
    <w:rsid w:val="00D06A87"/>
    <w:rsid w:val="00D12050"/>
    <w:rsid w:val="00D148DC"/>
    <w:rsid w:val="00D17FDC"/>
    <w:rsid w:val="00D21D8C"/>
    <w:rsid w:val="00D27CBC"/>
    <w:rsid w:val="00D41E11"/>
    <w:rsid w:val="00D53719"/>
    <w:rsid w:val="00D6188D"/>
    <w:rsid w:val="00D63EFD"/>
    <w:rsid w:val="00D7113C"/>
    <w:rsid w:val="00D73E9C"/>
    <w:rsid w:val="00D84752"/>
    <w:rsid w:val="00D86B3B"/>
    <w:rsid w:val="00D8742D"/>
    <w:rsid w:val="00D8748A"/>
    <w:rsid w:val="00D93196"/>
    <w:rsid w:val="00DA0DC0"/>
    <w:rsid w:val="00DB243C"/>
    <w:rsid w:val="00DB482A"/>
    <w:rsid w:val="00DB50FB"/>
    <w:rsid w:val="00DB56F2"/>
    <w:rsid w:val="00DB6EF5"/>
    <w:rsid w:val="00DC3089"/>
    <w:rsid w:val="00DC4420"/>
    <w:rsid w:val="00DC44BF"/>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3AB2"/>
    <w:rsid w:val="00E74DC2"/>
    <w:rsid w:val="00E77C3D"/>
    <w:rsid w:val="00E85F78"/>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2DFE"/>
    <w:rsid w:val="00EE4971"/>
    <w:rsid w:val="00EE6CB0"/>
    <w:rsid w:val="00EF090E"/>
    <w:rsid w:val="00EF5572"/>
    <w:rsid w:val="00EF65EE"/>
    <w:rsid w:val="00F033DA"/>
    <w:rsid w:val="00F04214"/>
    <w:rsid w:val="00F06A96"/>
    <w:rsid w:val="00F07DDF"/>
    <w:rsid w:val="00F13691"/>
    <w:rsid w:val="00F13FB1"/>
    <w:rsid w:val="00F17155"/>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67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Ttulo1">
    <w:name w:val="heading 1"/>
    <w:basedOn w:val="Normal"/>
    <w:next w:val="Normal"/>
    <w:link w:val="Ttulo1Car"/>
    <w:uiPriority w:val="9"/>
    <w:qFormat/>
    <w:rsid w:val="00251BB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ar">
    <w:name w:val="Título 2 Car"/>
    <w:basedOn w:val="Fuentedeprrafopredeter"/>
    <w:link w:val="Ttulo2"/>
    <w:rsid w:val="00853B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character" w:customStyle="1" w:styleId="Ttulo1Car">
    <w:name w:val="Título 1 Car"/>
    <w:basedOn w:val="Fuentedeprrafopredeter"/>
    <w:link w:val="Ttulo1"/>
    <w:uiPriority w:val="9"/>
    <w:rsid w:val="00251BB4"/>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25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57576310">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034149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3543050">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96713865">
      <w:bodyDiv w:val="1"/>
      <w:marLeft w:val="0"/>
      <w:marRight w:val="0"/>
      <w:marTop w:val="0"/>
      <w:marBottom w:val="0"/>
      <w:divBdr>
        <w:top w:val="none" w:sz="0" w:space="0" w:color="auto"/>
        <w:left w:val="none" w:sz="0" w:space="0" w:color="auto"/>
        <w:bottom w:val="none" w:sz="0" w:space="0" w:color="auto"/>
        <w:right w:val="none" w:sz="0" w:space="0" w:color="auto"/>
      </w:divBdr>
    </w:div>
    <w:div w:id="629673714">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9109231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2224993">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36093073">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01808163">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383285686">
      <w:bodyDiv w:val="1"/>
      <w:marLeft w:val="0"/>
      <w:marRight w:val="0"/>
      <w:marTop w:val="0"/>
      <w:marBottom w:val="0"/>
      <w:divBdr>
        <w:top w:val="none" w:sz="0" w:space="0" w:color="auto"/>
        <w:left w:val="none" w:sz="0" w:space="0" w:color="auto"/>
        <w:bottom w:val="none" w:sz="0" w:space="0" w:color="auto"/>
        <w:right w:val="none" w:sz="0" w:space="0" w:color="auto"/>
      </w:divBdr>
      <w:divsChild>
        <w:div w:id="548808829">
          <w:marLeft w:val="0"/>
          <w:marRight w:val="0"/>
          <w:marTop w:val="0"/>
          <w:marBottom w:val="0"/>
          <w:divBdr>
            <w:top w:val="none" w:sz="0" w:space="0" w:color="auto"/>
            <w:left w:val="none" w:sz="0" w:space="0" w:color="auto"/>
            <w:bottom w:val="none" w:sz="0" w:space="0" w:color="auto"/>
            <w:right w:val="none" w:sz="0" w:space="0" w:color="auto"/>
          </w:divBdr>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02898096">
      <w:bodyDiv w:val="1"/>
      <w:marLeft w:val="0"/>
      <w:marRight w:val="0"/>
      <w:marTop w:val="0"/>
      <w:marBottom w:val="0"/>
      <w:divBdr>
        <w:top w:val="none" w:sz="0" w:space="0" w:color="auto"/>
        <w:left w:val="none" w:sz="0" w:space="0" w:color="auto"/>
        <w:bottom w:val="none" w:sz="0" w:space="0" w:color="auto"/>
        <w:right w:val="none" w:sz="0" w:space="0" w:color="auto"/>
      </w:divBdr>
    </w:div>
    <w:div w:id="1745758059">
      <w:bodyDiv w:val="1"/>
      <w:marLeft w:val="0"/>
      <w:marRight w:val="0"/>
      <w:marTop w:val="0"/>
      <w:marBottom w:val="0"/>
      <w:divBdr>
        <w:top w:val="none" w:sz="0" w:space="0" w:color="auto"/>
        <w:left w:val="none" w:sz="0" w:space="0" w:color="auto"/>
        <w:bottom w:val="none" w:sz="0" w:space="0" w:color="auto"/>
        <w:right w:val="none" w:sz="0" w:space="0" w:color="auto"/>
      </w:divBdr>
    </w:div>
    <w:div w:id="1827897228">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2644343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Com21</b:Tag>
    <b:SourceType>ElectronicSource</b:SourceType>
    <b:Guid>{0C2AB804-2FB1-46A9-B1F9-3944D87057D9}</b:Guid>
    <b:Title>Companies Act Revision</b:Title>
    <b:Year>2021</b:Year>
    <b:RefOrder>2</b:RefOrder>
  </b:Source>
  <b:Source>
    <b:Tag>Ton20</b:Tag>
    <b:SourceType>ElectronicSource</b:SourceType>
    <b:Guid>{34DDAEEE-4C09-42F8-804A-81D26C23C92D}</b:Guid>
    <b:Title>Cayman Islands</b:Title>
    <b:Year>2020</b:Year>
    <b:Month>September</b:Month>
    <b:City>Cayman Islands</b:City>
    <b:CountryRegion>Grand Cayman</b:CountryRegion>
    <b:Author>
      <b:Author>
        <b:NameList>
          <b:Person>
            <b:Last>Tonner</b:Last>
            <b:First>Mr</b:First>
            <b:Middle>Benjamin</b:Middle>
          </b:Person>
        </b:NameList>
      </b:Author>
    </b:Author>
    <b:RefOrder>1</b:RefOrder>
  </b:Source>
</b:Sources>
</file>

<file path=customXml/itemProps1.xml><?xml version="1.0" encoding="utf-8"?>
<ds:datastoreItem xmlns:ds="http://schemas.openxmlformats.org/officeDocument/2006/customXml" ds:itemID="{3C9C245D-1291-4AE5-9D2A-A9E8722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9</Pages>
  <Words>2875</Words>
  <Characters>16389</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2</cp:lastModifiedBy>
  <cp:revision>90</cp:revision>
  <cp:lastPrinted>2019-08-27T05:42:00Z</cp:lastPrinted>
  <dcterms:created xsi:type="dcterms:W3CDTF">2021-02-15T10:07:00Z</dcterms:created>
  <dcterms:modified xsi:type="dcterms:W3CDTF">2021-08-07T02:00:00Z</dcterms:modified>
</cp:coreProperties>
</file>