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AFCFD90" w:rsidR="004B23A2" w:rsidRDefault="00437297" w:rsidP="002E4684">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C330C7" w:rsidRDefault="00737749" w:rsidP="00BC2EDB">
      <w:pPr>
        <w:pStyle w:val="ListParagraph"/>
        <w:numPr>
          <w:ilvl w:val="0"/>
          <w:numId w:val="32"/>
        </w:numPr>
        <w:ind w:left="426"/>
        <w:jc w:val="both"/>
        <w:rPr>
          <w:rFonts w:ascii="Arial" w:hAnsi="Arial" w:cs="Arial"/>
          <w:sz w:val="22"/>
          <w:highlight w:val="yellow"/>
          <w:lang w:val="en-GB"/>
        </w:rPr>
      </w:pPr>
      <w:r w:rsidRPr="00C330C7">
        <w:rPr>
          <w:rFonts w:ascii="Arial" w:hAnsi="Arial" w:cs="Arial"/>
          <w:sz w:val="22"/>
          <w:highlight w:val="yellow"/>
          <w:lang w:val="en-GB"/>
        </w:rPr>
        <w:t xml:space="preserve">Yes, it is not binding as such but the decision will form part of the common law as at the date of the Handover in 1997 and </w:t>
      </w:r>
      <w:r w:rsidR="00690B0B" w:rsidRPr="00C330C7">
        <w:rPr>
          <w:rFonts w:ascii="Arial" w:hAnsi="Arial" w:cs="Arial"/>
          <w:sz w:val="22"/>
          <w:highlight w:val="yellow"/>
          <w:lang w:val="en-GB"/>
        </w:rPr>
        <w:t xml:space="preserve">would be persuasive as </w:t>
      </w:r>
      <w:r w:rsidRPr="00C330C7">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5F4B19" w:rsidRDefault="00737749" w:rsidP="00BC2EDB">
      <w:pPr>
        <w:pStyle w:val="ListParagraph"/>
        <w:numPr>
          <w:ilvl w:val="0"/>
          <w:numId w:val="33"/>
        </w:numPr>
        <w:ind w:left="426"/>
        <w:jc w:val="both"/>
        <w:rPr>
          <w:rFonts w:ascii="Arial" w:hAnsi="Arial" w:cs="Arial"/>
          <w:sz w:val="22"/>
          <w:szCs w:val="22"/>
          <w:highlight w:val="yellow"/>
          <w:lang w:val="en-GB"/>
        </w:rPr>
      </w:pPr>
      <w:r w:rsidRPr="005F4B19">
        <w:rPr>
          <w:rFonts w:ascii="Arial" w:hAnsi="Arial" w:cs="Arial"/>
          <w:sz w:val="22"/>
          <w:szCs w:val="22"/>
          <w:highlight w:val="yellow"/>
          <w:lang w:val="en-GB"/>
        </w:rPr>
        <w:t xml:space="preserve">This statement is untrue because creditors with a statutory preferential claim must first be paid out of </w:t>
      </w:r>
      <w:r w:rsidR="00690B0B" w:rsidRPr="005F4B19">
        <w:rPr>
          <w:rFonts w:ascii="Arial" w:hAnsi="Arial" w:cs="Arial"/>
          <w:sz w:val="22"/>
          <w:szCs w:val="22"/>
          <w:highlight w:val="yellow"/>
          <w:lang w:val="en-GB"/>
        </w:rPr>
        <w:t xml:space="preserve">those </w:t>
      </w:r>
      <w:r w:rsidRPr="005F4B19">
        <w:rPr>
          <w:rFonts w:ascii="Arial" w:hAnsi="Arial" w:cs="Arial"/>
          <w:sz w:val="22"/>
          <w:szCs w:val="22"/>
          <w:highlight w:val="yellow"/>
          <w:lang w:val="en-GB"/>
        </w:rPr>
        <w:t>realisations</w:t>
      </w:r>
      <w:r w:rsidR="00690B0B" w:rsidRPr="005F4B19">
        <w:rPr>
          <w:rFonts w:ascii="Arial" w:hAnsi="Arial" w:cs="Arial"/>
          <w:sz w:val="22"/>
          <w:szCs w:val="22"/>
          <w:highlight w:val="yellow"/>
          <w:lang w:val="en-GB"/>
        </w:rPr>
        <w:t xml:space="preserve"> (unless the same can be paid out of uncharged assets)</w:t>
      </w:r>
      <w:r w:rsidRPr="005F4B19">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5F4B19" w:rsidRDefault="00737749" w:rsidP="00BC2EDB">
      <w:pPr>
        <w:pStyle w:val="ListParagraph"/>
        <w:numPr>
          <w:ilvl w:val="0"/>
          <w:numId w:val="34"/>
        </w:numPr>
        <w:ind w:left="426"/>
        <w:jc w:val="both"/>
        <w:rPr>
          <w:rFonts w:ascii="Arial" w:hAnsi="Arial" w:cs="Arial"/>
          <w:sz w:val="22"/>
          <w:szCs w:val="22"/>
          <w:highlight w:val="yellow"/>
        </w:rPr>
      </w:pPr>
      <w:r w:rsidRPr="005F4B19">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5F4B19" w:rsidRDefault="00737749" w:rsidP="00BC2EDB">
      <w:pPr>
        <w:pStyle w:val="ListParagraph"/>
        <w:numPr>
          <w:ilvl w:val="0"/>
          <w:numId w:val="36"/>
        </w:numPr>
        <w:ind w:left="567"/>
        <w:jc w:val="both"/>
        <w:rPr>
          <w:rFonts w:ascii="Arial" w:hAnsi="Arial" w:cs="Arial"/>
          <w:sz w:val="22"/>
          <w:szCs w:val="22"/>
          <w:highlight w:val="yellow"/>
          <w:lang w:val="en-GB"/>
        </w:rPr>
      </w:pPr>
      <w:r w:rsidRPr="005F4B19">
        <w:rPr>
          <w:rFonts w:ascii="Arial" w:hAnsi="Arial" w:cs="Arial"/>
          <w:sz w:val="22"/>
          <w:szCs w:val="22"/>
          <w:highlight w:val="yellow"/>
          <w:lang w:val="en-GB"/>
        </w:rPr>
        <w:t xml:space="preserve">A creditor has properly served a demand (statutory demand) in the prescribed form and the company has, for </w:t>
      </w:r>
      <w:r w:rsidR="001C6BC7" w:rsidRPr="005F4B19">
        <w:rPr>
          <w:rFonts w:ascii="Arial" w:hAnsi="Arial" w:cs="Arial"/>
          <w:sz w:val="22"/>
          <w:szCs w:val="22"/>
          <w:highlight w:val="yellow"/>
          <w:lang w:val="en-GB"/>
        </w:rPr>
        <w:t>three</w:t>
      </w:r>
      <w:r w:rsidRPr="005F4B19">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5F4B19" w:rsidRDefault="00737749" w:rsidP="00BC2EDB">
      <w:pPr>
        <w:pStyle w:val="ListParagraph"/>
        <w:numPr>
          <w:ilvl w:val="0"/>
          <w:numId w:val="37"/>
        </w:numPr>
        <w:ind w:left="426"/>
        <w:jc w:val="both"/>
        <w:rPr>
          <w:rFonts w:ascii="Arial" w:hAnsi="Arial" w:cs="Arial"/>
          <w:sz w:val="22"/>
          <w:szCs w:val="22"/>
          <w:highlight w:val="yellow"/>
          <w:lang w:val="en-GB"/>
        </w:rPr>
      </w:pPr>
      <w:r w:rsidRPr="005F4B19">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5F4B19" w:rsidRDefault="00737749" w:rsidP="00BC2EDB">
      <w:pPr>
        <w:pStyle w:val="ListParagraph"/>
        <w:numPr>
          <w:ilvl w:val="0"/>
          <w:numId w:val="38"/>
        </w:numPr>
        <w:ind w:left="426"/>
        <w:jc w:val="both"/>
        <w:rPr>
          <w:rFonts w:ascii="Arial" w:hAnsi="Arial" w:cs="Arial"/>
          <w:sz w:val="22"/>
          <w:szCs w:val="22"/>
          <w:highlight w:val="yellow"/>
          <w:lang w:val="en-GB"/>
        </w:rPr>
      </w:pPr>
      <w:r w:rsidRPr="005F4B19">
        <w:rPr>
          <w:rFonts w:ascii="Arial" w:hAnsi="Arial" w:cs="Arial"/>
          <w:sz w:val="22"/>
          <w:szCs w:val="22"/>
          <w:highlight w:val="yellow"/>
          <w:lang w:val="en-GB"/>
        </w:rPr>
        <w:t xml:space="preserve">Void dispositions after </w:t>
      </w:r>
      <w:r w:rsidR="001B6568" w:rsidRPr="005F4B19">
        <w:rPr>
          <w:rFonts w:ascii="Arial" w:hAnsi="Arial" w:cs="Arial"/>
          <w:sz w:val="22"/>
          <w:szCs w:val="22"/>
          <w:highlight w:val="yellow"/>
          <w:lang w:val="en-GB"/>
        </w:rPr>
        <w:t xml:space="preserve">the </w:t>
      </w:r>
      <w:r w:rsidRPr="005F4B19">
        <w:rPr>
          <w:rFonts w:ascii="Arial" w:hAnsi="Arial" w:cs="Arial"/>
          <w:sz w:val="22"/>
          <w:szCs w:val="22"/>
          <w:highlight w:val="yellow"/>
          <w:lang w:val="en-GB"/>
        </w:rPr>
        <w:t xml:space="preserve">commencement of winding up - pursuant to </w:t>
      </w:r>
      <w:r w:rsidR="001B6568" w:rsidRPr="005F4B19">
        <w:rPr>
          <w:rFonts w:ascii="Arial" w:hAnsi="Arial" w:cs="Arial"/>
          <w:sz w:val="22"/>
          <w:szCs w:val="22"/>
          <w:highlight w:val="yellow"/>
          <w:lang w:val="en-GB"/>
        </w:rPr>
        <w:t>s</w:t>
      </w:r>
      <w:r w:rsidRPr="005F4B19">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Default="00737749" w:rsidP="00BC2EDB">
      <w:pPr>
        <w:pStyle w:val="ListParagraph"/>
        <w:numPr>
          <w:ilvl w:val="0"/>
          <w:numId w:val="39"/>
        </w:numPr>
        <w:ind w:left="426"/>
        <w:jc w:val="both"/>
        <w:rPr>
          <w:rFonts w:ascii="Arial" w:hAnsi="Arial" w:cs="Arial"/>
          <w:sz w:val="22"/>
          <w:szCs w:val="22"/>
          <w:lang w:val="en-GB"/>
        </w:rPr>
      </w:pPr>
      <w:r w:rsidRPr="002E19A1">
        <w:rPr>
          <w:rFonts w:ascii="Arial" w:hAnsi="Arial" w:cs="Arial"/>
          <w:sz w:val="22"/>
          <w:szCs w:val="22"/>
          <w:highlight w:val="yellow"/>
          <w:lang w:val="en-GB"/>
        </w:rPr>
        <w:t xml:space="preserve">Agent of the </w:t>
      </w:r>
      <w:r w:rsidR="0037383A" w:rsidRPr="002E19A1">
        <w:rPr>
          <w:rFonts w:ascii="Arial" w:hAnsi="Arial" w:cs="Arial"/>
          <w:sz w:val="22"/>
          <w:szCs w:val="22"/>
          <w:highlight w:val="yellow"/>
          <w:lang w:val="en-GB"/>
        </w:rPr>
        <w:t xml:space="preserve">company </w:t>
      </w:r>
      <w:r w:rsidRPr="002E19A1">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2E19A1" w:rsidRDefault="00737749" w:rsidP="00BC2EDB">
      <w:pPr>
        <w:pStyle w:val="ListParagraph"/>
        <w:numPr>
          <w:ilvl w:val="0"/>
          <w:numId w:val="40"/>
        </w:numPr>
        <w:ind w:left="426"/>
        <w:jc w:val="both"/>
        <w:rPr>
          <w:rFonts w:ascii="Arial" w:hAnsi="Arial" w:cs="Arial"/>
          <w:sz w:val="22"/>
          <w:szCs w:val="22"/>
          <w:highlight w:val="yellow"/>
          <w:lang w:val="en-GB"/>
        </w:rPr>
      </w:pPr>
      <w:r w:rsidRPr="002E19A1">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2E19A1" w:rsidRDefault="00737749" w:rsidP="00BC2EDB">
      <w:pPr>
        <w:pStyle w:val="ListParagraph"/>
        <w:numPr>
          <w:ilvl w:val="0"/>
          <w:numId w:val="41"/>
        </w:numPr>
        <w:ind w:left="426"/>
        <w:jc w:val="both"/>
        <w:rPr>
          <w:rFonts w:ascii="Arial" w:hAnsi="Arial" w:cs="Arial"/>
          <w:sz w:val="22"/>
          <w:szCs w:val="22"/>
          <w:highlight w:val="yellow"/>
          <w:lang w:val="en-GB"/>
        </w:rPr>
      </w:pPr>
      <w:r w:rsidRPr="002E19A1">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c</w:t>
      </w:r>
      <w:r w:rsidR="00737749" w:rsidRPr="009D61A7">
        <w:rPr>
          <w:rFonts w:ascii="Arial" w:hAnsi="Arial" w:cs="Arial"/>
          <w:sz w:val="22"/>
          <w:szCs w:val="22"/>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Pr="002E19A1" w:rsidRDefault="00737749" w:rsidP="00BC2EDB">
      <w:pPr>
        <w:pStyle w:val="ListParagraph"/>
        <w:numPr>
          <w:ilvl w:val="0"/>
          <w:numId w:val="42"/>
        </w:numPr>
        <w:ind w:left="426"/>
        <w:jc w:val="both"/>
        <w:rPr>
          <w:rFonts w:ascii="Arial" w:hAnsi="Arial" w:cs="Arial"/>
          <w:sz w:val="22"/>
          <w:szCs w:val="22"/>
          <w:highlight w:val="yellow"/>
          <w:lang w:val="en-GB"/>
        </w:rPr>
      </w:pPr>
      <w:r w:rsidRPr="002E19A1">
        <w:rPr>
          <w:rFonts w:ascii="Arial" w:hAnsi="Arial" w:cs="Arial"/>
          <w:sz w:val="22"/>
          <w:szCs w:val="22"/>
          <w:highlight w:val="yellow"/>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2507EF4F" w:rsidR="00DE03AF" w:rsidRPr="00E14FA7" w:rsidRDefault="00B6266F" w:rsidP="00737749">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 compulsory liquidation occurs when the company is wound up by an order of the High Court. When the creditor presents a petition on the ground that the company is unable to pay its debts. This mechanism permits the court to appoint a liquidator who would take over the conduct of the company, collect assets and distribute any proceeds and the company has no influence over which the liquidator is appointed. </w:t>
      </w:r>
    </w:p>
    <w:p w14:paraId="616109B6" w14:textId="77777777" w:rsidR="00193428" w:rsidRPr="00193428" w:rsidRDefault="00193428" w:rsidP="002A37BB">
      <w:pPr>
        <w:ind w:left="720" w:hanging="720"/>
        <w:jc w:val="both"/>
        <w:rPr>
          <w:rFonts w:ascii="Arial" w:hAnsi="Arial" w:cs="Arial"/>
          <w:sz w:val="22"/>
          <w:szCs w:val="22"/>
        </w:rPr>
      </w:pP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20B0B38D" w14:textId="77777777" w:rsidR="00E24275" w:rsidRDefault="00E24275"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different ways a company can go into liquidation in Hong Kong are:</w:t>
      </w:r>
    </w:p>
    <w:p w14:paraId="57AE3D9A" w14:textId="1F86C266" w:rsidR="00E24275" w:rsidRPr="00E24275" w:rsidRDefault="00E24275" w:rsidP="00E24275">
      <w:pPr>
        <w:pStyle w:val="ListParagraph"/>
        <w:numPr>
          <w:ilvl w:val="0"/>
          <w:numId w:val="43"/>
        </w:numPr>
        <w:jc w:val="both"/>
        <w:rPr>
          <w:rFonts w:ascii="Arial" w:hAnsi="Arial" w:cs="Arial"/>
          <w:color w:val="7B7B7B" w:themeColor="accent3" w:themeShade="BF"/>
          <w:sz w:val="22"/>
          <w:szCs w:val="22"/>
        </w:rPr>
      </w:pPr>
      <w:r w:rsidRPr="00E24275">
        <w:rPr>
          <w:rFonts w:ascii="Arial" w:hAnsi="Arial" w:cs="Arial"/>
          <w:color w:val="7B7B7B" w:themeColor="accent3" w:themeShade="BF"/>
          <w:sz w:val="22"/>
          <w:szCs w:val="22"/>
        </w:rPr>
        <w:t>Members’ voluntary liquidation (MVL)</w:t>
      </w:r>
      <w:r>
        <w:rPr>
          <w:rFonts w:ascii="Arial" w:hAnsi="Arial" w:cs="Arial"/>
          <w:color w:val="7B7B7B" w:themeColor="accent3" w:themeShade="BF"/>
          <w:sz w:val="22"/>
          <w:szCs w:val="22"/>
        </w:rPr>
        <w:t xml:space="preserve"> </w:t>
      </w:r>
      <w:r w:rsidR="00934E7F">
        <w:rPr>
          <w:rFonts w:ascii="Arial" w:hAnsi="Arial" w:cs="Arial"/>
          <w:color w:val="7B7B7B" w:themeColor="accent3" w:themeShade="BF"/>
          <w:sz w:val="22"/>
          <w:szCs w:val="22"/>
        </w:rPr>
        <w:t>– this method can be used when the Company will be able to settle all liabilities within 12 months of the commencement of the liquidation.</w:t>
      </w:r>
    </w:p>
    <w:p w14:paraId="216C6F50" w14:textId="443E486C" w:rsidR="00E24275" w:rsidRPr="00E24275" w:rsidRDefault="00E24275" w:rsidP="00E24275">
      <w:pPr>
        <w:pStyle w:val="ListParagraph"/>
        <w:numPr>
          <w:ilvl w:val="0"/>
          <w:numId w:val="43"/>
        </w:numPr>
        <w:jc w:val="both"/>
        <w:rPr>
          <w:rFonts w:ascii="Arial" w:hAnsi="Arial" w:cs="Arial"/>
          <w:color w:val="7B7B7B" w:themeColor="accent3" w:themeShade="BF"/>
          <w:sz w:val="22"/>
          <w:szCs w:val="22"/>
        </w:rPr>
      </w:pPr>
      <w:r w:rsidRPr="00E24275">
        <w:rPr>
          <w:rFonts w:ascii="Arial" w:hAnsi="Arial" w:cs="Arial"/>
          <w:color w:val="7B7B7B" w:themeColor="accent3" w:themeShade="BF"/>
          <w:sz w:val="22"/>
          <w:szCs w:val="22"/>
        </w:rPr>
        <w:t>Creditors’ voluntary liquidation (CVL)</w:t>
      </w:r>
      <w:r w:rsidR="00934E7F">
        <w:rPr>
          <w:rFonts w:ascii="Arial" w:hAnsi="Arial" w:cs="Arial"/>
          <w:color w:val="7B7B7B" w:themeColor="accent3" w:themeShade="BF"/>
          <w:sz w:val="22"/>
          <w:szCs w:val="22"/>
        </w:rPr>
        <w:t xml:space="preserve"> – this method will be implemented when a company decides to put itself into voluntary liquidation and it is not solvent.</w:t>
      </w:r>
    </w:p>
    <w:p w14:paraId="6B24B81A" w14:textId="5026997C" w:rsidR="00E24275" w:rsidRPr="00E24275" w:rsidRDefault="00E24275" w:rsidP="00E24275">
      <w:pPr>
        <w:pStyle w:val="ListParagraph"/>
        <w:numPr>
          <w:ilvl w:val="0"/>
          <w:numId w:val="43"/>
        </w:numPr>
        <w:jc w:val="both"/>
        <w:rPr>
          <w:rFonts w:ascii="Arial" w:hAnsi="Arial" w:cs="Arial"/>
          <w:color w:val="7B7B7B" w:themeColor="accent3" w:themeShade="BF"/>
          <w:sz w:val="22"/>
          <w:szCs w:val="22"/>
        </w:rPr>
      </w:pPr>
      <w:r w:rsidRPr="00E24275">
        <w:rPr>
          <w:rFonts w:ascii="Arial" w:hAnsi="Arial" w:cs="Arial"/>
          <w:color w:val="7B7B7B" w:themeColor="accent3" w:themeShade="BF"/>
          <w:sz w:val="22"/>
          <w:szCs w:val="22"/>
        </w:rPr>
        <w:t>CVL in case of urgency</w:t>
      </w:r>
      <w:r w:rsidR="00934E7F">
        <w:rPr>
          <w:rFonts w:ascii="Arial" w:hAnsi="Arial" w:cs="Arial"/>
          <w:color w:val="7B7B7B" w:themeColor="accent3" w:themeShade="BF"/>
          <w:sz w:val="22"/>
          <w:szCs w:val="22"/>
        </w:rPr>
        <w:t xml:space="preserve"> – Pursuant to section 228A of CWUMPO is used where in the directors opinion the company should be wound up with immediate effect. The directors may resolve to wind up the Company at t meeting of the directors no shareholder resolution is required</w:t>
      </w:r>
    </w:p>
    <w:p w14:paraId="00BD86ED" w14:textId="7A130911" w:rsidR="00E24275" w:rsidRPr="00E24275" w:rsidRDefault="00E24275" w:rsidP="00E24275">
      <w:pPr>
        <w:pStyle w:val="ListParagraph"/>
        <w:numPr>
          <w:ilvl w:val="0"/>
          <w:numId w:val="43"/>
        </w:numPr>
        <w:jc w:val="both"/>
        <w:rPr>
          <w:rFonts w:ascii="Arial" w:hAnsi="Arial" w:cs="Arial"/>
          <w:color w:val="7B7B7B" w:themeColor="accent3" w:themeShade="BF"/>
          <w:sz w:val="22"/>
          <w:szCs w:val="22"/>
        </w:rPr>
      </w:pPr>
      <w:r w:rsidRPr="00E24275">
        <w:rPr>
          <w:rFonts w:ascii="Arial" w:hAnsi="Arial" w:cs="Arial"/>
          <w:color w:val="7B7B7B" w:themeColor="accent3" w:themeShade="BF"/>
          <w:sz w:val="22"/>
          <w:szCs w:val="22"/>
        </w:rPr>
        <w:t>Compulsory liquidation</w:t>
      </w:r>
      <w:r w:rsidR="00934E7F">
        <w:rPr>
          <w:rFonts w:ascii="Arial" w:hAnsi="Arial" w:cs="Arial"/>
          <w:color w:val="7B7B7B" w:themeColor="accent3" w:themeShade="BF"/>
          <w:sz w:val="22"/>
          <w:szCs w:val="22"/>
        </w:rPr>
        <w:t xml:space="preserve"> – this method is used when a company is wound up by an order of the High Court. A petition is presented to the court by a creditor on the grounds that the company is unable to pay its debts.</w:t>
      </w:r>
      <w:r w:rsidR="00F50558">
        <w:rPr>
          <w:rFonts w:ascii="Arial" w:hAnsi="Arial" w:cs="Arial"/>
          <w:color w:val="7B7B7B" w:themeColor="accent3" w:themeShade="BF"/>
          <w:sz w:val="22"/>
          <w:szCs w:val="22"/>
        </w:rPr>
        <w:t xml:space="preserve"> The Company can also present a petition to wind up itself, and the court can also wind up on a petition of a shareholder and on the ground it is just and equitable to do so.</w:t>
      </w: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5EF02DB" w:rsidR="00193428" w:rsidRDefault="00193428" w:rsidP="002A37BB">
      <w:pPr>
        <w:ind w:left="720" w:hanging="720"/>
        <w:jc w:val="both"/>
        <w:rPr>
          <w:rFonts w:ascii="Arial" w:hAnsi="Arial" w:cs="Arial"/>
          <w:sz w:val="22"/>
          <w:szCs w:val="22"/>
          <w:lang w:val="en-GB"/>
        </w:rPr>
      </w:pPr>
    </w:p>
    <w:p w14:paraId="6D4D77D4" w14:textId="10B1D965" w:rsidR="001B654C" w:rsidRDefault="001B654C" w:rsidP="002A37BB">
      <w:pPr>
        <w:ind w:left="720" w:hanging="720"/>
        <w:jc w:val="both"/>
        <w:rPr>
          <w:rFonts w:ascii="Arial" w:hAnsi="Arial" w:cs="Arial"/>
          <w:sz w:val="22"/>
          <w:szCs w:val="22"/>
          <w:lang w:val="en-GB"/>
        </w:rPr>
      </w:pPr>
    </w:p>
    <w:p w14:paraId="11EDA95F" w14:textId="77777777" w:rsidR="001B654C" w:rsidRPr="00193428" w:rsidRDefault="001B654C"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lastRenderedPageBreak/>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0E610DA9" w14:textId="18CA250C" w:rsidR="002E53E4" w:rsidRDefault="002E53E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Hong Kong law permits an officeholder to be appointed during the interim period before the petition is heard.  The officeholder is called “Provisional Liquidator and they are appointed pursuant to section 193 of CWUMPO.</w:t>
      </w:r>
      <w:r w:rsidR="00F938E4">
        <w:rPr>
          <w:rFonts w:ascii="Arial" w:hAnsi="Arial" w:cs="Arial"/>
          <w:color w:val="7B7B7B" w:themeColor="accent3" w:themeShade="BF"/>
          <w:sz w:val="22"/>
          <w:szCs w:val="22"/>
          <w:lang w:val="en-GB"/>
        </w:rPr>
        <w:t xml:space="preserve"> The Provision liquidator is appointed when there is a risk that assets will be dissipated or otherwise be in jeopardy, before a winding up order is made.</w:t>
      </w:r>
    </w:p>
    <w:p w14:paraId="2F35A394" w14:textId="77777777" w:rsidR="002E53E4" w:rsidRDefault="002E53E4" w:rsidP="002A37BB">
      <w:pPr>
        <w:ind w:left="720" w:hanging="720"/>
        <w:jc w:val="both"/>
        <w:rPr>
          <w:rFonts w:ascii="Arial" w:hAnsi="Arial" w:cs="Arial"/>
          <w:color w:val="7B7B7B" w:themeColor="accent3" w:themeShade="BF"/>
          <w:sz w:val="22"/>
          <w:szCs w:val="22"/>
          <w:lang w:val="en-GB"/>
        </w:rPr>
      </w:pP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7A7DFB43" w14:textId="77777777" w:rsidR="0067027B" w:rsidRDefault="00131A3B"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legislation in Hong Kong that specifically deals with corporate rescue.  The only mechanism available to a company seeking to restructure its debts is the scheme of arrangement</w:t>
      </w:r>
      <w:r w:rsidR="0067027B">
        <w:rPr>
          <w:rFonts w:ascii="Arial" w:hAnsi="Arial" w:cs="Arial"/>
          <w:color w:val="7B7B7B" w:themeColor="accent3" w:themeShade="BF"/>
          <w:sz w:val="22"/>
          <w:szCs w:val="22"/>
          <w:lang w:val="en-GB"/>
        </w:rPr>
        <w:t xml:space="preserve"> procedure. With the lack of corporate rescue legislation per se, the flexibility of the common law, combined with the creativity of the Hong Kong practitioner and the support of the Hong Kong courts to assist in arriving at practical solutions resulting in use of the tools that do exist to achieve similar aims. </w:t>
      </w:r>
    </w:p>
    <w:p w14:paraId="7DEA8DA8" w14:textId="6446F284" w:rsidR="0067027B" w:rsidRDefault="0067027B" w:rsidP="0005178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weakness of using a scheme of arrangement on its own is the lack of any moratorium. To </w:t>
      </w:r>
      <w:r w:rsidR="00051787">
        <w:rPr>
          <w:rFonts w:ascii="Arial" w:hAnsi="Arial" w:cs="Arial"/>
          <w:color w:val="7B7B7B" w:themeColor="accent3" w:themeShade="BF"/>
          <w:sz w:val="22"/>
          <w:szCs w:val="22"/>
          <w:lang w:val="en-GB"/>
        </w:rPr>
        <w:t>combat this weakness, when a petition for winding up of the company would be presented and an application made for the appointment of provisional liquidators, with specific powers to investigate the possibility of and if viable, promulgate a restructuring of the company’s debts.  The moratorium is then obtained by reason of section 182 of CWUMPO.</w:t>
      </w:r>
    </w:p>
    <w:p w14:paraId="2DEBBE66" w14:textId="77777777" w:rsidR="00051787" w:rsidRDefault="00051787" w:rsidP="0005178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benefit of using a scheme of arrangements is when a company seeks to adjust debts with many creditors at the same time in circumstances when it would be difficult or impossible to seek unanimous consent of all creditors.</w:t>
      </w:r>
    </w:p>
    <w:p w14:paraId="10D29D1B" w14:textId="29E3F9EC" w:rsidR="00051787" w:rsidRDefault="00051787" w:rsidP="0005178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schemes of arrangement are also useful where there may be hold out creditors who seek an unfair advantage against a substantial majority of similarly ranked creditors. </w:t>
      </w:r>
    </w:p>
    <w:p w14:paraId="5B4EEFD8" w14:textId="77777777" w:rsidR="0067027B" w:rsidRDefault="0067027B" w:rsidP="00E14FA7">
      <w:pPr>
        <w:jc w:val="both"/>
        <w:rPr>
          <w:rFonts w:ascii="Arial" w:hAnsi="Arial" w:cs="Arial"/>
          <w:color w:val="7B7B7B" w:themeColor="accent3" w:themeShade="BF"/>
          <w:sz w:val="22"/>
          <w:szCs w:val="22"/>
          <w:lang w:val="en-GB"/>
        </w:rPr>
      </w:pP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824830">
        <w:rPr>
          <w:rFonts w:ascii="Arial" w:hAnsi="Arial" w:cs="Arial"/>
          <w:b/>
          <w:bCs/>
          <w:sz w:val="22"/>
          <w:szCs w:val="22"/>
        </w:rPr>
        <w:t>Question 3.1.2 [maximum</w:t>
      </w:r>
      <w:r w:rsidRPr="00E14FA7">
        <w:rPr>
          <w:rFonts w:ascii="Arial" w:hAnsi="Arial" w:cs="Arial"/>
          <w:b/>
          <w:bCs/>
          <w:sz w:val="22"/>
          <w:szCs w:val="22"/>
        </w:rPr>
        <w:t xml:space="preserve">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2BABB2CA" w14:textId="0F7EEAE5" w:rsidR="003765EF" w:rsidRDefault="00FF66E7"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Law Reform Commission in 1996 presented the first legislation to deal with corporate rescue in 1996, which led to a corporate rescue bill being introduced in ot the legislative council (Legco) in 2001.  Under this bill a provisional supervisor could be appointed with a view to exploring restructuring or other rehabilitation procedures. The Bill provided for moratorium to</w:t>
      </w:r>
      <w:r w:rsidR="00856B26">
        <w:rPr>
          <w:rFonts w:ascii="Arial" w:hAnsi="Arial" w:cs="Arial"/>
          <w:color w:val="7B7B7B" w:themeColor="accent3" w:themeShade="BF"/>
          <w:sz w:val="22"/>
          <w:szCs w:val="22"/>
          <w:lang w:val="en-GB"/>
        </w:rPr>
        <w:t xml:space="preserve"> permit the provisional supervi</w:t>
      </w:r>
      <w:r w:rsidR="009241A6">
        <w:rPr>
          <w:rFonts w:ascii="Arial" w:hAnsi="Arial" w:cs="Arial"/>
          <w:color w:val="7B7B7B" w:themeColor="accent3" w:themeShade="BF"/>
          <w:sz w:val="22"/>
          <w:szCs w:val="22"/>
          <w:lang w:val="en-GB"/>
        </w:rPr>
        <w:t>s</w:t>
      </w:r>
      <w:r w:rsidR="00856B26">
        <w:rPr>
          <w:rFonts w:ascii="Arial" w:hAnsi="Arial" w:cs="Arial"/>
          <w:color w:val="7B7B7B" w:themeColor="accent3" w:themeShade="BF"/>
          <w:sz w:val="22"/>
          <w:szCs w:val="22"/>
          <w:lang w:val="en-GB"/>
        </w:rPr>
        <w:t>or to carry out a restructuring there were a number of other points which caused difficulty.  Over the years the Bill would lapse and be revived in Legco.</w:t>
      </w:r>
      <w:r w:rsidR="003269D3">
        <w:rPr>
          <w:rFonts w:ascii="Arial" w:hAnsi="Arial" w:cs="Arial"/>
          <w:color w:val="7B7B7B" w:themeColor="accent3" w:themeShade="BF"/>
          <w:sz w:val="22"/>
          <w:szCs w:val="22"/>
          <w:lang w:val="en-GB"/>
        </w:rPr>
        <w:t xml:space="preserve"> </w:t>
      </w:r>
      <w:r w:rsidR="003269D3">
        <w:rPr>
          <w:rFonts w:ascii="Arial" w:hAnsi="Arial" w:cs="Arial"/>
          <w:color w:val="7B7B7B" w:themeColor="accent3" w:themeShade="BF"/>
          <w:sz w:val="22"/>
          <w:szCs w:val="22"/>
          <w:lang w:val="en-GB"/>
        </w:rPr>
        <w:lastRenderedPageBreak/>
        <w:t xml:space="preserve">The most recent news in regards to the </w:t>
      </w:r>
      <w:r w:rsidR="009241A6">
        <w:rPr>
          <w:rFonts w:ascii="Arial" w:hAnsi="Arial" w:cs="Arial"/>
          <w:color w:val="7B7B7B" w:themeColor="accent3" w:themeShade="BF"/>
          <w:sz w:val="22"/>
          <w:szCs w:val="22"/>
          <w:lang w:val="en-GB"/>
        </w:rPr>
        <w:t>bill, the Legco website now suggests it would have been in the 2018/2019 legislative year but it did not happen but further consultation was sought during 2020.</w:t>
      </w:r>
    </w:p>
    <w:p w14:paraId="2584131D" w14:textId="77777777" w:rsidR="00193428" w:rsidRPr="00193428" w:rsidRDefault="00193428" w:rsidP="00E14FA7">
      <w:pPr>
        <w:ind w:left="720" w:hanging="720"/>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09AD15E9" w14:textId="5287B6FE" w:rsidR="00D1775F" w:rsidRDefault="00A035BB"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w:t>
      </w:r>
      <w:r w:rsidR="003234FC">
        <w:rPr>
          <w:rFonts w:ascii="Arial" w:hAnsi="Arial" w:cs="Arial"/>
          <w:color w:val="7B7B7B" w:themeColor="accent3" w:themeShade="BF"/>
          <w:sz w:val="22"/>
          <w:szCs w:val="22"/>
          <w:lang w:val="en-GB"/>
        </w:rPr>
        <w:t>h Hong Kong la</w:t>
      </w:r>
      <w:r>
        <w:rPr>
          <w:rFonts w:ascii="Arial" w:hAnsi="Arial" w:cs="Arial"/>
          <w:color w:val="7B7B7B" w:themeColor="accent3" w:themeShade="BF"/>
          <w:sz w:val="22"/>
          <w:szCs w:val="22"/>
          <w:lang w:val="en-GB"/>
        </w:rPr>
        <w:t>cks a statut</w:t>
      </w:r>
      <w:r w:rsidR="003234FC">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y framework to deal with cross-border insolvency, the Hong Kong court has always followed common law principles in this regards. No formal order is required to recognise the foreign liquidator.  The court has assisted foreign rehabilitation proceedings by refusing to allow enforcement of a judgement </w:t>
      </w:r>
      <w:r w:rsidR="00D1775F">
        <w:rPr>
          <w:rFonts w:ascii="Arial" w:hAnsi="Arial" w:cs="Arial"/>
          <w:color w:val="7B7B7B" w:themeColor="accent3" w:themeShade="BF"/>
          <w:sz w:val="22"/>
          <w:szCs w:val="22"/>
          <w:lang w:val="en-GB"/>
        </w:rPr>
        <w:t xml:space="preserve">against Hong Kong assets of such company. In this regard, the court has adopted a 2 stage approach by which it dealt with the issues of liability and enforcement separately. </w:t>
      </w:r>
    </w:p>
    <w:p w14:paraId="7940D274" w14:textId="142685AC" w:rsidR="00DF75F8" w:rsidRDefault="00D1775F"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legislative provisions that deals with the winding up of non-Hong Kong companies. Provided certain requirements are met, the Hong Kong court can exercise its jurisdiction to wind up companies that are not incorporated or registered in Hong Kong. </w:t>
      </w:r>
    </w:p>
    <w:p w14:paraId="24E2DFF1" w14:textId="2624BCBC" w:rsidR="00E13EF6" w:rsidRDefault="003234FC"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 of CWUMPO relates to </w:t>
      </w:r>
      <w:r w:rsidR="00E13EF6">
        <w:rPr>
          <w:rFonts w:ascii="Arial" w:hAnsi="Arial" w:cs="Arial"/>
          <w:color w:val="7B7B7B" w:themeColor="accent3" w:themeShade="BF"/>
          <w:sz w:val="22"/>
          <w:szCs w:val="22"/>
          <w:lang w:val="en-GB"/>
        </w:rPr>
        <w:t>the winding up of unregistered companies. In order to wind up an unregiste</w:t>
      </w:r>
      <w:r>
        <w:rPr>
          <w:rFonts w:ascii="Arial" w:hAnsi="Arial" w:cs="Arial"/>
          <w:color w:val="7B7B7B" w:themeColor="accent3" w:themeShade="BF"/>
          <w:sz w:val="22"/>
          <w:szCs w:val="22"/>
          <w:lang w:val="en-GB"/>
        </w:rPr>
        <w:t>re</w:t>
      </w:r>
      <w:r w:rsidR="00E13EF6">
        <w:rPr>
          <w:rFonts w:ascii="Arial" w:hAnsi="Arial" w:cs="Arial"/>
          <w:color w:val="7B7B7B" w:themeColor="accent3" w:themeShade="BF"/>
          <w:sz w:val="22"/>
          <w:szCs w:val="22"/>
          <w:lang w:val="en-GB"/>
        </w:rPr>
        <w:t xml:space="preserve">d company in Hong Kong the petitioner must satisfy the court </w:t>
      </w:r>
      <w:r>
        <w:rPr>
          <w:rFonts w:ascii="Arial" w:hAnsi="Arial" w:cs="Arial"/>
          <w:color w:val="7B7B7B" w:themeColor="accent3" w:themeShade="BF"/>
          <w:sz w:val="22"/>
          <w:szCs w:val="22"/>
          <w:lang w:val="en-GB"/>
        </w:rPr>
        <w:t>th</w:t>
      </w:r>
      <w:r w:rsidR="00E13EF6">
        <w:rPr>
          <w:rFonts w:ascii="Arial" w:hAnsi="Arial" w:cs="Arial"/>
          <w:color w:val="7B7B7B" w:themeColor="accent3" w:themeShade="BF"/>
          <w:sz w:val="22"/>
          <w:szCs w:val="22"/>
          <w:lang w:val="en-GB"/>
        </w:rPr>
        <w:t>at the company is sufficiently connected to Hong Kong by satisfying the three core re</w:t>
      </w:r>
      <w:r>
        <w:rPr>
          <w:rFonts w:ascii="Arial" w:hAnsi="Arial" w:cs="Arial"/>
          <w:color w:val="7B7B7B" w:themeColor="accent3" w:themeShade="BF"/>
          <w:sz w:val="22"/>
          <w:szCs w:val="22"/>
          <w:lang w:val="en-GB"/>
        </w:rPr>
        <w:t>quirements set out in the CFA’s decision in Re Yung Kee.</w:t>
      </w:r>
    </w:p>
    <w:p w14:paraId="3EACC127" w14:textId="40ED2997" w:rsidR="00D94F60" w:rsidRDefault="00D94F60" w:rsidP="00E14FA7">
      <w:pPr>
        <w:jc w:val="both"/>
        <w:rPr>
          <w:rFonts w:ascii="Arial" w:hAnsi="Arial" w:cs="Arial"/>
          <w:bCs/>
          <w:sz w:val="22"/>
          <w:szCs w:val="22"/>
          <w:lang w:val="en-GB"/>
        </w:rPr>
      </w:pP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3C9C2508" w14:textId="2DAA4D09" w:rsidR="001A007A" w:rsidRDefault="00512824"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Unfortunately any realisations made by the </w:t>
      </w:r>
      <w:r w:rsidR="00352721">
        <w:rPr>
          <w:rFonts w:ascii="Arial" w:hAnsi="Arial" w:cs="Arial"/>
          <w:color w:val="7B7B7B" w:themeColor="accent3" w:themeShade="BF"/>
          <w:sz w:val="22"/>
          <w:szCs w:val="22"/>
          <w:lang w:val="en-GB"/>
        </w:rPr>
        <w:t xml:space="preserve">receiver from </w:t>
      </w:r>
      <w:r>
        <w:rPr>
          <w:rFonts w:ascii="Arial" w:hAnsi="Arial" w:cs="Arial"/>
          <w:color w:val="7B7B7B" w:themeColor="accent3" w:themeShade="BF"/>
          <w:sz w:val="22"/>
          <w:szCs w:val="22"/>
          <w:lang w:val="en-GB"/>
        </w:rPr>
        <w:t xml:space="preserve">the assets </w:t>
      </w:r>
      <w:r w:rsidR="00352721">
        <w:rPr>
          <w:rFonts w:ascii="Arial" w:hAnsi="Arial" w:cs="Arial"/>
          <w:color w:val="7B7B7B" w:themeColor="accent3" w:themeShade="BF"/>
          <w:sz w:val="22"/>
          <w:szCs w:val="22"/>
          <w:lang w:val="en-GB"/>
        </w:rPr>
        <w:t>that have a floating charge assigned to it</w:t>
      </w:r>
      <w:r>
        <w:rPr>
          <w:rFonts w:ascii="Arial" w:hAnsi="Arial" w:cs="Arial"/>
          <w:color w:val="7B7B7B" w:themeColor="accent3" w:themeShade="BF"/>
          <w:sz w:val="22"/>
          <w:szCs w:val="22"/>
          <w:lang w:val="en-GB"/>
        </w:rPr>
        <w:t xml:space="preserve"> are not available to the liquidator for payment of the liquidation expenses. These assets must be used to meet claims of preferential creditors, and if there are insufficient assets to meet those claims from the uncharged assets available to the liquidator.</w:t>
      </w:r>
    </w:p>
    <w:p w14:paraId="292D979B" w14:textId="75F42B15"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lastRenderedPageBreak/>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6FB1A486" w14:textId="7735EEFD" w:rsidR="00303C90" w:rsidRDefault="00303C90"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A7EE1">
        <w:rPr>
          <w:rFonts w:ascii="Arial" w:hAnsi="Arial" w:cs="Arial"/>
          <w:color w:val="7B7B7B" w:themeColor="accent3" w:themeShade="BF"/>
          <w:sz w:val="22"/>
          <w:szCs w:val="22"/>
          <w:lang w:val="en-GB"/>
        </w:rPr>
        <w:t xml:space="preserve"> fixed </w:t>
      </w:r>
      <w:r>
        <w:rPr>
          <w:rFonts w:ascii="Arial" w:hAnsi="Arial" w:cs="Arial"/>
          <w:color w:val="7B7B7B" w:themeColor="accent3" w:themeShade="BF"/>
          <w:sz w:val="22"/>
          <w:szCs w:val="22"/>
          <w:lang w:val="en-GB"/>
        </w:rPr>
        <w:t>charge is a charge in relation to a specific asset and attaches as soon as the charge is created or the relevant asset is acquired by the debtor.  The debtor cannot deal with the asset without the consent of the chargee creditor.</w:t>
      </w:r>
    </w:p>
    <w:p w14:paraId="78D53CED" w14:textId="7A499594" w:rsidR="00303C90" w:rsidRDefault="00303C90" w:rsidP="00E14FA7">
      <w:pPr>
        <w:autoSpaceDE w:val="0"/>
        <w:autoSpaceDN w:val="0"/>
        <w:adjustRightInd w:val="0"/>
        <w:jc w:val="both"/>
        <w:rPr>
          <w:rFonts w:ascii="Arial" w:hAnsi="Arial" w:cs="Arial"/>
          <w:color w:val="7B7B7B" w:themeColor="accent3" w:themeShade="BF"/>
          <w:sz w:val="22"/>
          <w:szCs w:val="22"/>
          <w:lang w:val="en-GB"/>
        </w:rPr>
      </w:pPr>
    </w:p>
    <w:p w14:paraId="626FA5C6" w14:textId="1E5CD61D" w:rsidR="002D3473" w:rsidRDefault="00C679E2"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indicated above the Receivables Purchase Agreement between Hammerhead Finance Co Limited (HF) and Billion Happy Limited (BH) is perceived as a sale of the right to the receivables is a common mechanism employed in Hong Kong as a kind of security.  Since this arrangement is considered as a sale, then no registration of the security is required because no security has been created; the business has merely sold a right that it has namely the right to be paid by its customers. On the other hand the arrangement can be considered as a secured financing arrangement where it states that advances from HF to BH were sporadic and could not necessarily be matched to invoices. In this case the instrument should be registered but it wasn’t and that could make the arrangement void </w:t>
      </w:r>
      <w:r w:rsidR="001A7EE1">
        <w:rPr>
          <w:rFonts w:ascii="Arial" w:hAnsi="Arial" w:cs="Arial"/>
          <w:color w:val="7B7B7B" w:themeColor="accent3" w:themeShade="BF"/>
          <w:sz w:val="22"/>
          <w:szCs w:val="22"/>
          <w:lang w:val="en-GB"/>
        </w:rPr>
        <w:t>as against the liquidator.</w:t>
      </w:r>
    </w:p>
    <w:p w14:paraId="6A8ED8EB" w14:textId="7DFD654E" w:rsidR="001A7EE1" w:rsidRDefault="001A7EE1" w:rsidP="00E14FA7">
      <w:pPr>
        <w:autoSpaceDE w:val="0"/>
        <w:autoSpaceDN w:val="0"/>
        <w:adjustRightInd w:val="0"/>
        <w:jc w:val="both"/>
        <w:rPr>
          <w:rFonts w:ascii="Arial" w:hAnsi="Arial" w:cs="Arial"/>
          <w:color w:val="7B7B7B" w:themeColor="accent3" w:themeShade="BF"/>
          <w:sz w:val="22"/>
          <w:szCs w:val="22"/>
          <w:lang w:val="en-GB"/>
        </w:rPr>
      </w:pPr>
    </w:p>
    <w:p w14:paraId="7D24594B" w14:textId="625F3E64" w:rsidR="001A7EE1" w:rsidRPr="00E14FA7" w:rsidRDefault="001A7EE1" w:rsidP="00E14FA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this case there is more than one assignee, Telford Co Limited (TC) and HF.  The liquidator should also consider the which assignment has priority over the assets. However in Hong Kong they follow the </w:t>
      </w:r>
      <w:r w:rsidRPr="001A7EE1">
        <w:rPr>
          <w:rFonts w:ascii="Arial" w:hAnsi="Arial" w:cs="Arial"/>
          <w:i/>
          <w:color w:val="7B7B7B" w:themeColor="accent3" w:themeShade="BF"/>
          <w:sz w:val="22"/>
          <w:szCs w:val="22"/>
          <w:lang w:val="en-GB"/>
        </w:rPr>
        <w:t>RULE in Dearle v Hall</w:t>
      </w:r>
      <w:r>
        <w:rPr>
          <w:rFonts w:ascii="Arial" w:hAnsi="Arial" w:cs="Arial"/>
          <w:color w:val="7B7B7B" w:themeColor="accent3" w:themeShade="BF"/>
          <w:sz w:val="22"/>
          <w:szCs w:val="22"/>
          <w:lang w:val="en-GB"/>
        </w:rPr>
        <w:t>. This rule states that in the case of a debt, the first equitable assignee of the debt to give notice of assignment to the debtor is given priorty.</w:t>
      </w: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0"/>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Cyberbay MedTech Limited (Cyberbay)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Cyberbay.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0EA0BC2D" w14:textId="214C7B98" w:rsidR="003765EF" w:rsidRDefault="008569A1"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Banks in Hong Kong readily assist foreign representative</w:t>
      </w:r>
      <w:r w:rsidR="00074679">
        <w:rPr>
          <w:rFonts w:ascii="Arial" w:hAnsi="Arial" w:cs="Arial"/>
          <w:color w:val="7B7B7B" w:themeColor="accent3" w:themeShade="BF"/>
          <w:sz w:val="22"/>
          <w:szCs w:val="22"/>
          <w:lang w:val="en-GB"/>
        </w:rPr>
        <w:t xml:space="preserve"> (Cayman Islands Joint Liquidators – (“JPLs)</w:t>
      </w:r>
      <w:r>
        <w:rPr>
          <w:rFonts w:ascii="Arial" w:hAnsi="Arial" w:cs="Arial"/>
          <w:color w:val="7B7B7B" w:themeColor="accent3" w:themeShade="BF"/>
          <w:sz w:val="22"/>
          <w:szCs w:val="22"/>
          <w:lang w:val="en-GB"/>
        </w:rPr>
        <w:t xml:space="preserve"> by providing documents in relation to the company’s own accounts even without the </w:t>
      </w:r>
      <w:r w:rsidR="00074679">
        <w:rPr>
          <w:rFonts w:ascii="Arial" w:hAnsi="Arial" w:cs="Arial"/>
          <w:color w:val="7B7B7B" w:themeColor="accent3" w:themeShade="BF"/>
          <w:sz w:val="22"/>
          <w:szCs w:val="22"/>
          <w:lang w:val="en-GB"/>
        </w:rPr>
        <w:t>JPLs</w:t>
      </w:r>
      <w:r>
        <w:rPr>
          <w:rFonts w:ascii="Arial" w:hAnsi="Arial" w:cs="Arial"/>
          <w:color w:val="7B7B7B" w:themeColor="accent3" w:themeShade="BF"/>
          <w:sz w:val="22"/>
          <w:szCs w:val="22"/>
          <w:lang w:val="en-GB"/>
        </w:rPr>
        <w:t xml:space="preserve"> having to first obtain a Hong Kong court order. </w:t>
      </w:r>
    </w:p>
    <w:p w14:paraId="1302F0D4" w14:textId="7C09E15E" w:rsidR="008569A1" w:rsidRPr="00E14FA7" w:rsidRDefault="008569A1" w:rsidP="00E14FA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JPLs can apply to the court to grant recognition order to permit the foreign officeholder to seek production of documents or examination of individuals in Hong Kong</w:t>
      </w:r>
      <w:r w:rsidR="00074679">
        <w:rPr>
          <w:rFonts w:ascii="Arial" w:hAnsi="Arial" w:cs="Arial"/>
          <w:color w:val="7B7B7B" w:themeColor="accent3" w:themeShade="BF"/>
          <w:sz w:val="22"/>
          <w:szCs w:val="22"/>
          <w:lang w:val="en-GB"/>
        </w:rPr>
        <w:t xml:space="preserve"> (Mr. Pottinger)</w:t>
      </w:r>
      <w:r>
        <w:rPr>
          <w:rFonts w:ascii="Arial" w:hAnsi="Arial" w:cs="Arial"/>
          <w:color w:val="7B7B7B" w:themeColor="accent3" w:themeShade="BF"/>
          <w:sz w:val="22"/>
          <w:szCs w:val="22"/>
          <w:lang w:val="en-GB"/>
        </w:rPr>
        <w:t xml:space="preserve">.  In regards to the Singularis Principle, the Hong Kong court compared the scope of the relevant provision between Hong Kong and the requesting jurisdiction being the Cayman Islands and has become reasonable comfortable that recognition should be given. The standing order that </w:t>
      </w:r>
      <w:r w:rsidR="00074679">
        <w:rPr>
          <w:rFonts w:ascii="Arial" w:hAnsi="Arial" w:cs="Arial"/>
          <w:color w:val="7B7B7B" w:themeColor="accent3" w:themeShade="BF"/>
          <w:sz w:val="22"/>
          <w:szCs w:val="22"/>
          <w:lang w:val="en-GB"/>
        </w:rPr>
        <w:t xml:space="preserve">is expected to obtain </w:t>
      </w:r>
      <w:r>
        <w:rPr>
          <w:rFonts w:ascii="Arial" w:hAnsi="Arial" w:cs="Arial"/>
          <w:color w:val="7B7B7B" w:themeColor="accent3" w:themeShade="BF"/>
          <w:sz w:val="22"/>
          <w:szCs w:val="22"/>
          <w:lang w:val="en-GB"/>
        </w:rPr>
        <w:t xml:space="preserve">is limited by a proviso that any power sought to be exercised in Hong </w:t>
      </w:r>
      <w:r>
        <w:rPr>
          <w:rFonts w:ascii="Arial" w:hAnsi="Arial" w:cs="Arial"/>
          <w:color w:val="7B7B7B" w:themeColor="accent3" w:themeShade="BF"/>
          <w:sz w:val="22"/>
          <w:szCs w:val="22"/>
          <w:lang w:val="en-GB"/>
        </w:rPr>
        <w:lastRenderedPageBreak/>
        <w:t xml:space="preserve">Kong must be subject to the powers available to the liquidators </w:t>
      </w:r>
      <w:r w:rsidR="00074679">
        <w:rPr>
          <w:rFonts w:ascii="Arial" w:hAnsi="Arial" w:cs="Arial"/>
          <w:color w:val="7B7B7B" w:themeColor="accent3" w:themeShade="BF"/>
          <w:sz w:val="22"/>
          <w:szCs w:val="22"/>
          <w:lang w:val="en-GB"/>
        </w:rPr>
        <w:t>in their home jurisdiction being Cayman Islands, but in this case the Cayman Islands legislation permitting the examination is much more restrictive than that of Hong Kong, therefore it may be best to seek a liquidation rather than a recognition order.</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45F4" w14:textId="77777777" w:rsidR="00DD2472" w:rsidRDefault="00DD2472" w:rsidP="00241B44">
      <w:r>
        <w:separator/>
      </w:r>
    </w:p>
  </w:endnote>
  <w:endnote w:type="continuationSeparator" w:id="0">
    <w:p w14:paraId="2A0E9628" w14:textId="77777777" w:rsidR="00DD2472" w:rsidRDefault="00DD24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24830" w:rsidRPr="00FC7B47" w:rsidRDefault="0082483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24830" w:rsidRPr="00FC7B47" w:rsidRDefault="0082483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D95EA9D" w:rsidR="00824830" w:rsidRPr="009B4976" w:rsidRDefault="00824830" w:rsidP="00824830">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5604C">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30F05E79" w14:textId="1F21AB14" w:rsidR="00824830" w:rsidRDefault="00984ED0" w:rsidP="009B4976">
    <w:pPr>
      <w:pStyle w:val="Footer"/>
      <w:ind w:right="360"/>
      <w:rPr>
        <w:rFonts w:ascii="Arial" w:hAnsi="Arial" w:cs="Arial"/>
        <w:sz w:val="18"/>
        <w:szCs w:val="18"/>
        <w:lang w:val="en-GB"/>
      </w:rPr>
    </w:pPr>
    <w:r>
      <w:rPr>
        <w:rFonts w:ascii="Arial" w:hAnsi="Arial" w:cs="Arial"/>
        <w:sz w:val="18"/>
        <w:szCs w:val="18"/>
        <w:lang w:val="en-GB"/>
      </w:rPr>
      <w:t>202021IFU-354</w:t>
    </w:r>
    <w:r w:rsidR="00824830" w:rsidRPr="009B4976">
      <w:rPr>
        <w:rFonts w:ascii="Arial" w:hAnsi="Arial" w:cs="Arial"/>
        <w:sz w:val="18"/>
        <w:szCs w:val="18"/>
        <w:lang w:val="en-GB"/>
      </w:rPr>
      <w:t>.assessment</w:t>
    </w:r>
    <w:r w:rsidR="00824830">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824830" w:rsidRPr="003D7879" w:rsidRDefault="00824830"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183E" w14:textId="77777777" w:rsidR="00DD2472" w:rsidRDefault="00DD2472" w:rsidP="00241B44">
      <w:r>
        <w:separator/>
      </w:r>
    </w:p>
  </w:footnote>
  <w:footnote w:type="continuationSeparator" w:id="0">
    <w:p w14:paraId="1FB4CA7C" w14:textId="77777777" w:rsidR="00DD2472" w:rsidRDefault="00DD24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F376C3"/>
    <w:multiLevelType w:val="hybridMultilevel"/>
    <w:tmpl w:val="E18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7"/>
  </w:num>
  <w:num w:numId="5">
    <w:abstractNumId w:val="13"/>
  </w:num>
  <w:num w:numId="6">
    <w:abstractNumId w:val="8"/>
  </w:num>
  <w:num w:numId="7">
    <w:abstractNumId w:val="16"/>
  </w:num>
  <w:num w:numId="8">
    <w:abstractNumId w:val="11"/>
  </w:num>
  <w:num w:numId="9">
    <w:abstractNumId w:val="34"/>
  </w:num>
  <w:num w:numId="10">
    <w:abstractNumId w:val="24"/>
  </w:num>
  <w:num w:numId="11">
    <w:abstractNumId w:val="33"/>
  </w:num>
  <w:num w:numId="12">
    <w:abstractNumId w:val="19"/>
  </w:num>
  <w:num w:numId="13">
    <w:abstractNumId w:val="25"/>
  </w:num>
  <w:num w:numId="14">
    <w:abstractNumId w:val="31"/>
  </w:num>
  <w:num w:numId="15">
    <w:abstractNumId w:val="26"/>
  </w:num>
  <w:num w:numId="16">
    <w:abstractNumId w:val="29"/>
  </w:num>
  <w:num w:numId="17">
    <w:abstractNumId w:val="22"/>
  </w:num>
  <w:num w:numId="18">
    <w:abstractNumId w:val="40"/>
  </w:num>
  <w:num w:numId="19">
    <w:abstractNumId w:val="4"/>
  </w:num>
  <w:num w:numId="20">
    <w:abstractNumId w:val="21"/>
  </w:num>
  <w:num w:numId="21">
    <w:abstractNumId w:val="2"/>
  </w:num>
  <w:num w:numId="22">
    <w:abstractNumId w:val="0"/>
  </w:num>
  <w:num w:numId="23">
    <w:abstractNumId w:val="35"/>
  </w:num>
  <w:num w:numId="24">
    <w:abstractNumId w:val="1"/>
  </w:num>
  <w:num w:numId="25">
    <w:abstractNumId w:val="23"/>
  </w:num>
  <w:num w:numId="26">
    <w:abstractNumId w:val="38"/>
  </w:num>
  <w:num w:numId="27">
    <w:abstractNumId w:val="3"/>
  </w:num>
  <w:num w:numId="28">
    <w:abstractNumId w:val="41"/>
  </w:num>
  <w:num w:numId="29">
    <w:abstractNumId w:val="27"/>
  </w:num>
  <w:num w:numId="30">
    <w:abstractNumId w:val="6"/>
  </w:num>
  <w:num w:numId="31">
    <w:abstractNumId w:val="39"/>
  </w:num>
  <w:num w:numId="32">
    <w:abstractNumId w:val="9"/>
  </w:num>
  <w:num w:numId="33">
    <w:abstractNumId w:val="12"/>
  </w:num>
  <w:num w:numId="34">
    <w:abstractNumId w:val="10"/>
  </w:num>
  <w:num w:numId="35">
    <w:abstractNumId w:val="30"/>
  </w:num>
  <w:num w:numId="36">
    <w:abstractNumId w:val="17"/>
  </w:num>
  <w:num w:numId="37">
    <w:abstractNumId w:val="5"/>
  </w:num>
  <w:num w:numId="38">
    <w:abstractNumId w:val="32"/>
  </w:num>
  <w:num w:numId="39">
    <w:abstractNumId w:val="37"/>
  </w:num>
  <w:num w:numId="40">
    <w:abstractNumId w:val="36"/>
  </w:num>
  <w:num w:numId="41">
    <w:abstractNumId w:val="15"/>
  </w:num>
  <w:num w:numId="42">
    <w:abstractNumId w:val="20"/>
  </w:num>
  <w:num w:numId="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4D46"/>
    <w:rsid w:val="00045088"/>
    <w:rsid w:val="00045904"/>
    <w:rsid w:val="00046FA0"/>
    <w:rsid w:val="000502FD"/>
    <w:rsid w:val="0005076F"/>
    <w:rsid w:val="00051787"/>
    <w:rsid w:val="00057102"/>
    <w:rsid w:val="00065166"/>
    <w:rsid w:val="00074679"/>
    <w:rsid w:val="00074890"/>
    <w:rsid w:val="00082609"/>
    <w:rsid w:val="000851CC"/>
    <w:rsid w:val="00087F21"/>
    <w:rsid w:val="00093BE8"/>
    <w:rsid w:val="000A1AC9"/>
    <w:rsid w:val="000A407B"/>
    <w:rsid w:val="000A463E"/>
    <w:rsid w:val="000A68ED"/>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31A3B"/>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A7EE1"/>
    <w:rsid w:val="001B0F70"/>
    <w:rsid w:val="001B5016"/>
    <w:rsid w:val="001B654C"/>
    <w:rsid w:val="001B6568"/>
    <w:rsid w:val="001C45FC"/>
    <w:rsid w:val="001C6BC7"/>
    <w:rsid w:val="001D0469"/>
    <w:rsid w:val="001D29C0"/>
    <w:rsid w:val="001D4862"/>
    <w:rsid w:val="001E11FC"/>
    <w:rsid w:val="001E25B9"/>
    <w:rsid w:val="001E2A61"/>
    <w:rsid w:val="001E2AAC"/>
    <w:rsid w:val="001E49E0"/>
    <w:rsid w:val="001E7B5A"/>
    <w:rsid w:val="001F7412"/>
    <w:rsid w:val="0020090A"/>
    <w:rsid w:val="00202DFE"/>
    <w:rsid w:val="0020725B"/>
    <w:rsid w:val="002110F1"/>
    <w:rsid w:val="00225ADF"/>
    <w:rsid w:val="002303C0"/>
    <w:rsid w:val="002356EA"/>
    <w:rsid w:val="0024116D"/>
    <w:rsid w:val="002414D3"/>
    <w:rsid w:val="00241B44"/>
    <w:rsid w:val="00241FA3"/>
    <w:rsid w:val="00242B69"/>
    <w:rsid w:val="00245EFB"/>
    <w:rsid w:val="0025386E"/>
    <w:rsid w:val="002638B0"/>
    <w:rsid w:val="0026647A"/>
    <w:rsid w:val="002668D3"/>
    <w:rsid w:val="0027299F"/>
    <w:rsid w:val="00284EBE"/>
    <w:rsid w:val="002903A7"/>
    <w:rsid w:val="002908C7"/>
    <w:rsid w:val="0029433F"/>
    <w:rsid w:val="00294829"/>
    <w:rsid w:val="0029690F"/>
    <w:rsid w:val="00297C8A"/>
    <w:rsid w:val="002A2A60"/>
    <w:rsid w:val="002A37BB"/>
    <w:rsid w:val="002B1C45"/>
    <w:rsid w:val="002C13C8"/>
    <w:rsid w:val="002C3547"/>
    <w:rsid w:val="002C4360"/>
    <w:rsid w:val="002C6462"/>
    <w:rsid w:val="002D0021"/>
    <w:rsid w:val="002D299D"/>
    <w:rsid w:val="002D30E7"/>
    <w:rsid w:val="002D3473"/>
    <w:rsid w:val="002E19A1"/>
    <w:rsid w:val="002E4684"/>
    <w:rsid w:val="002E53E4"/>
    <w:rsid w:val="002F1956"/>
    <w:rsid w:val="002F3440"/>
    <w:rsid w:val="002F75A3"/>
    <w:rsid w:val="0030392B"/>
    <w:rsid w:val="00303C2F"/>
    <w:rsid w:val="00303C90"/>
    <w:rsid w:val="003144EF"/>
    <w:rsid w:val="00321FE0"/>
    <w:rsid w:val="003234FC"/>
    <w:rsid w:val="00326292"/>
    <w:rsid w:val="00326415"/>
    <w:rsid w:val="003269D3"/>
    <w:rsid w:val="00330937"/>
    <w:rsid w:val="00330F31"/>
    <w:rsid w:val="003311A1"/>
    <w:rsid w:val="00334648"/>
    <w:rsid w:val="0033768C"/>
    <w:rsid w:val="00337938"/>
    <w:rsid w:val="00340769"/>
    <w:rsid w:val="00341AA6"/>
    <w:rsid w:val="003518BB"/>
    <w:rsid w:val="00352721"/>
    <w:rsid w:val="00361A0A"/>
    <w:rsid w:val="00364836"/>
    <w:rsid w:val="0036565C"/>
    <w:rsid w:val="0036625E"/>
    <w:rsid w:val="00366BE9"/>
    <w:rsid w:val="0037383A"/>
    <w:rsid w:val="0037465A"/>
    <w:rsid w:val="003765EF"/>
    <w:rsid w:val="00382C98"/>
    <w:rsid w:val="0038533C"/>
    <w:rsid w:val="00386568"/>
    <w:rsid w:val="00390B57"/>
    <w:rsid w:val="003948D5"/>
    <w:rsid w:val="00396821"/>
    <w:rsid w:val="00397D3A"/>
    <w:rsid w:val="003A051E"/>
    <w:rsid w:val="003A7732"/>
    <w:rsid w:val="003B170F"/>
    <w:rsid w:val="003B3C5F"/>
    <w:rsid w:val="003C4471"/>
    <w:rsid w:val="003D0A6D"/>
    <w:rsid w:val="003D7879"/>
    <w:rsid w:val="003E0B16"/>
    <w:rsid w:val="003E10A7"/>
    <w:rsid w:val="003E67D1"/>
    <w:rsid w:val="003F73C7"/>
    <w:rsid w:val="004017D4"/>
    <w:rsid w:val="00404329"/>
    <w:rsid w:val="00405DC1"/>
    <w:rsid w:val="00411D40"/>
    <w:rsid w:val="00415F1F"/>
    <w:rsid w:val="0042108F"/>
    <w:rsid w:val="00430FED"/>
    <w:rsid w:val="00434A8C"/>
    <w:rsid w:val="0043616E"/>
    <w:rsid w:val="00437297"/>
    <w:rsid w:val="00444284"/>
    <w:rsid w:val="00445CE6"/>
    <w:rsid w:val="004534C2"/>
    <w:rsid w:val="0045446F"/>
    <w:rsid w:val="0045683E"/>
    <w:rsid w:val="00477C72"/>
    <w:rsid w:val="00485546"/>
    <w:rsid w:val="00491083"/>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052D8"/>
    <w:rsid w:val="0051282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064C"/>
    <w:rsid w:val="005B67AC"/>
    <w:rsid w:val="005B79F4"/>
    <w:rsid w:val="005D16DD"/>
    <w:rsid w:val="005D43E0"/>
    <w:rsid w:val="005D58A3"/>
    <w:rsid w:val="005E0D01"/>
    <w:rsid w:val="005E1B79"/>
    <w:rsid w:val="005E6076"/>
    <w:rsid w:val="005E7008"/>
    <w:rsid w:val="005F026D"/>
    <w:rsid w:val="005F2AEA"/>
    <w:rsid w:val="005F2D0B"/>
    <w:rsid w:val="005F38FD"/>
    <w:rsid w:val="005F4B19"/>
    <w:rsid w:val="005F4B31"/>
    <w:rsid w:val="00610388"/>
    <w:rsid w:val="00610AC7"/>
    <w:rsid w:val="00612CA5"/>
    <w:rsid w:val="006153EC"/>
    <w:rsid w:val="006211F1"/>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027B"/>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A78"/>
    <w:rsid w:val="006F734A"/>
    <w:rsid w:val="00700D83"/>
    <w:rsid w:val="007020B5"/>
    <w:rsid w:val="00704852"/>
    <w:rsid w:val="007074E9"/>
    <w:rsid w:val="0071143E"/>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D7C92"/>
    <w:rsid w:val="007E1154"/>
    <w:rsid w:val="007E6BA4"/>
    <w:rsid w:val="007F39C7"/>
    <w:rsid w:val="007F41F8"/>
    <w:rsid w:val="007F659B"/>
    <w:rsid w:val="008023B6"/>
    <w:rsid w:val="00802E21"/>
    <w:rsid w:val="0080454E"/>
    <w:rsid w:val="00804C32"/>
    <w:rsid w:val="00806302"/>
    <w:rsid w:val="00807119"/>
    <w:rsid w:val="0081669A"/>
    <w:rsid w:val="00824830"/>
    <w:rsid w:val="0082483F"/>
    <w:rsid w:val="008279C0"/>
    <w:rsid w:val="00844E12"/>
    <w:rsid w:val="00852D90"/>
    <w:rsid w:val="008569A1"/>
    <w:rsid w:val="00856B26"/>
    <w:rsid w:val="00867701"/>
    <w:rsid w:val="008723F3"/>
    <w:rsid w:val="00876F56"/>
    <w:rsid w:val="00881DE6"/>
    <w:rsid w:val="008837A6"/>
    <w:rsid w:val="00884C75"/>
    <w:rsid w:val="0089145D"/>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241A6"/>
    <w:rsid w:val="009337CE"/>
    <w:rsid w:val="00934E7F"/>
    <w:rsid w:val="00942123"/>
    <w:rsid w:val="00950CB3"/>
    <w:rsid w:val="0095207B"/>
    <w:rsid w:val="00962045"/>
    <w:rsid w:val="00966B3B"/>
    <w:rsid w:val="00980E61"/>
    <w:rsid w:val="009818EF"/>
    <w:rsid w:val="0098256E"/>
    <w:rsid w:val="00984ED0"/>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35BB"/>
    <w:rsid w:val="00A047EE"/>
    <w:rsid w:val="00A2274A"/>
    <w:rsid w:val="00A235B7"/>
    <w:rsid w:val="00A27A7A"/>
    <w:rsid w:val="00A303C9"/>
    <w:rsid w:val="00A34ABE"/>
    <w:rsid w:val="00A407EF"/>
    <w:rsid w:val="00A46B4C"/>
    <w:rsid w:val="00A5117B"/>
    <w:rsid w:val="00A56D34"/>
    <w:rsid w:val="00A60074"/>
    <w:rsid w:val="00A6627C"/>
    <w:rsid w:val="00A706C7"/>
    <w:rsid w:val="00A71019"/>
    <w:rsid w:val="00A81029"/>
    <w:rsid w:val="00A845F5"/>
    <w:rsid w:val="00A87BA2"/>
    <w:rsid w:val="00A96489"/>
    <w:rsid w:val="00AA0C60"/>
    <w:rsid w:val="00AB024D"/>
    <w:rsid w:val="00AB2425"/>
    <w:rsid w:val="00AB685C"/>
    <w:rsid w:val="00AB6C2D"/>
    <w:rsid w:val="00AC08F7"/>
    <w:rsid w:val="00AC3839"/>
    <w:rsid w:val="00AC7082"/>
    <w:rsid w:val="00AD4BE8"/>
    <w:rsid w:val="00AF228E"/>
    <w:rsid w:val="00B016A8"/>
    <w:rsid w:val="00B14819"/>
    <w:rsid w:val="00B15E2F"/>
    <w:rsid w:val="00B17AA9"/>
    <w:rsid w:val="00B44713"/>
    <w:rsid w:val="00B46A79"/>
    <w:rsid w:val="00B51B95"/>
    <w:rsid w:val="00B5317F"/>
    <w:rsid w:val="00B5423F"/>
    <w:rsid w:val="00B56103"/>
    <w:rsid w:val="00B6266F"/>
    <w:rsid w:val="00B64929"/>
    <w:rsid w:val="00B736DF"/>
    <w:rsid w:val="00B743D6"/>
    <w:rsid w:val="00B74FBD"/>
    <w:rsid w:val="00B77F46"/>
    <w:rsid w:val="00B82586"/>
    <w:rsid w:val="00B829A3"/>
    <w:rsid w:val="00B84333"/>
    <w:rsid w:val="00B86800"/>
    <w:rsid w:val="00B86DB1"/>
    <w:rsid w:val="00B87869"/>
    <w:rsid w:val="00B94A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086"/>
    <w:rsid w:val="00C22A25"/>
    <w:rsid w:val="00C246BC"/>
    <w:rsid w:val="00C328C8"/>
    <w:rsid w:val="00C330C7"/>
    <w:rsid w:val="00C35671"/>
    <w:rsid w:val="00C35B77"/>
    <w:rsid w:val="00C376EB"/>
    <w:rsid w:val="00C44889"/>
    <w:rsid w:val="00C46A92"/>
    <w:rsid w:val="00C46EC1"/>
    <w:rsid w:val="00C52796"/>
    <w:rsid w:val="00C53E2C"/>
    <w:rsid w:val="00C550C8"/>
    <w:rsid w:val="00C55824"/>
    <w:rsid w:val="00C5604C"/>
    <w:rsid w:val="00C56B61"/>
    <w:rsid w:val="00C606C3"/>
    <w:rsid w:val="00C620F4"/>
    <w:rsid w:val="00C679E2"/>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F1E7A"/>
    <w:rsid w:val="00CF2819"/>
    <w:rsid w:val="00CF4F9D"/>
    <w:rsid w:val="00CF70DC"/>
    <w:rsid w:val="00D027D9"/>
    <w:rsid w:val="00D148DC"/>
    <w:rsid w:val="00D1775F"/>
    <w:rsid w:val="00D17FDC"/>
    <w:rsid w:val="00D21D8C"/>
    <w:rsid w:val="00D423E5"/>
    <w:rsid w:val="00D53719"/>
    <w:rsid w:val="00D63EFD"/>
    <w:rsid w:val="00D7203C"/>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472"/>
    <w:rsid w:val="00DD2E11"/>
    <w:rsid w:val="00DE03AF"/>
    <w:rsid w:val="00DE121C"/>
    <w:rsid w:val="00DE6633"/>
    <w:rsid w:val="00DF75F8"/>
    <w:rsid w:val="00DF7A3A"/>
    <w:rsid w:val="00E00C00"/>
    <w:rsid w:val="00E02EDA"/>
    <w:rsid w:val="00E06F2B"/>
    <w:rsid w:val="00E07C5A"/>
    <w:rsid w:val="00E13EF6"/>
    <w:rsid w:val="00E14FA7"/>
    <w:rsid w:val="00E15BA9"/>
    <w:rsid w:val="00E24275"/>
    <w:rsid w:val="00E26E19"/>
    <w:rsid w:val="00E30B9A"/>
    <w:rsid w:val="00E31DF3"/>
    <w:rsid w:val="00E35DD9"/>
    <w:rsid w:val="00E450A4"/>
    <w:rsid w:val="00E506BE"/>
    <w:rsid w:val="00E55547"/>
    <w:rsid w:val="00E6302B"/>
    <w:rsid w:val="00E6452F"/>
    <w:rsid w:val="00E64F45"/>
    <w:rsid w:val="00E6742D"/>
    <w:rsid w:val="00E71CB0"/>
    <w:rsid w:val="00E71E80"/>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0558"/>
    <w:rsid w:val="00F5524B"/>
    <w:rsid w:val="00F60538"/>
    <w:rsid w:val="00F61DD2"/>
    <w:rsid w:val="00F65AB3"/>
    <w:rsid w:val="00F66AFF"/>
    <w:rsid w:val="00F66F36"/>
    <w:rsid w:val="00F71433"/>
    <w:rsid w:val="00F938E4"/>
    <w:rsid w:val="00F946AC"/>
    <w:rsid w:val="00F97C5B"/>
    <w:rsid w:val="00FA3D50"/>
    <w:rsid w:val="00FB44D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66E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D39C-4F4C-4D2F-9F73-0C96C084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3398</Words>
  <Characters>19375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2020-06-08T04:09:00Z</cp:lastPrinted>
  <dcterms:created xsi:type="dcterms:W3CDTF">2021-08-01T15:59:00Z</dcterms:created>
  <dcterms:modified xsi:type="dcterms:W3CDTF">2021-08-01T15:59:00Z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