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AF56D0" w:rsidRDefault="00C7729F" w:rsidP="003C4BCB">
      <w:pPr>
        <w:pStyle w:val="ListParagraph"/>
        <w:numPr>
          <w:ilvl w:val="0"/>
          <w:numId w:val="2"/>
        </w:numPr>
        <w:ind w:left="426"/>
        <w:jc w:val="both"/>
        <w:rPr>
          <w:rFonts w:ascii="Arial" w:hAnsi="Arial" w:cs="Arial"/>
          <w:sz w:val="22"/>
          <w:szCs w:val="22"/>
          <w:highlight w:val="yellow"/>
          <w:lang w:val="en-GB"/>
        </w:rPr>
      </w:pPr>
      <w:r w:rsidRPr="00AF56D0">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AF56D0">
        <w:rPr>
          <w:rFonts w:ascii="Arial" w:hAnsi="Arial" w:cs="Arial"/>
          <w:sz w:val="22"/>
          <w:szCs w:val="22"/>
          <w:highlight w:val="yellow"/>
          <w:lang w:val="en-GB"/>
        </w:rPr>
        <w:t>1960s,</w:t>
      </w:r>
      <w:r w:rsidRPr="00AF56D0">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AF56D0" w:rsidRDefault="00BB38D1" w:rsidP="003C4BCB">
      <w:pPr>
        <w:pStyle w:val="ListParagraph"/>
        <w:numPr>
          <w:ilvl w:val="0"/>
          <w:numId w:val="3"/>
        </w:numPr>
        <w:ind w:left="426"/>
        <w:jc w:val="both"/>
        <w:rPr>
          <w:rFonts w:ascii="Arial" w:hAnsi="Arial" w:cs="Arial"/>
          <w:iCs/>
          <w:sz w:val="22"/>
          <w:szCs w:val="22"/>
          <w:highlight w:val="yellow"/>
          <w:lang w:val="en-GB"/>
        </w:rPr>
      </w:pPr>
      <w:r w:rsidRPr="00AF56D0">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BA3C35" w:rsidRDefault="00874240" w:rsidP="003C4BCB">
      <w:pPr>
        <w:pStyle w:val="ListParagraph"/>
        <w:numPr>
          <w:ilvl w:val="0"/>
          <w:numId w:val="4"/>
        </w:numPr>
        <w:ind w:left="426"/>
        <w:jc w:val="both"/>
        <w:rPr>
          <w:rFonts w:ascii="Arial" w:hAnsi="Arial" w:cs="Arial"/>
          <w:sz w:val="22"/>
          <w:szCs w:val="22"/>
          <w:highlight w:val="yellow"/>
          <w:lang w:val="en-GB"/>
        </w:rPr>
      </w:pPr>
      <w:r w:rsidRPr="00BA3C35">
        <w:rPr>
          <w:rFonts w:ascii="Arial" w:hAnsi="Arial" w:cs="Arial"/>
          <w:sz w:val="22"/>
          <w:szCs w:val="22"/>
          <w:highlight w:val="yellow"/>
          <w:lang w:val="en-GB"/>
        </w:rPr>
        <w:lastRenderedPageBreak/>
        <w:t>Article 18 EIR Recast (“</w:t>
      </w:r>
      <w:r w:rsidRPr="00BA3C35">
        <w:rPr>
          <w:rFonts w:ascii="Arial" w:hAnsi="Arial" w:cs="Arial"/>
          <w:bCs/>
          <w:sz w:val="22"/>
          <w:szCs w:val="22"/>
          <w:highlight w:val="yellow"/>
          <w:lang w:val="en-GB"/>
        </w:rPr>
        <w:t>Effects of insolvency proceedings on pending lawsuits or arbitral proceedings”</w:t>
      </w:r>
      <w:r w:rsidRPr="00BA3C35">
        <w:rPr>
          <w:rFonts w:ascii="Arial" w:hAnsi="Arial" w:cs="Arial"/>
          <w:sz w:val="22"/>
          <w:szCs w:val="22"/>
          <w:highlight w:val="yellow"/>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BA3C35" w:rsidRDefault="00874240" w:rsidP="003C4BCB">
      <w:pPr>
        <w:pStyle w:val="ListParagraph"/>
        <w:numPr>
          <w:ilvl w:val="0"/>
          <w:numId w:val="5"/>
        </w:numPr>
        <w:ind w:left="426"/>
        <w:jc w:val="both"/>
        <w:rPr>
          <w:rFonts w:ascii="Arial" w:hAnsi="Arial" w:cs="Arial"/>
          <w:sz w:val="22"/>
          <w:szCs w:val="22"/>
          <w:highlight w:val="yellow"/>
          <w:lang w:val="en-GB"/>
        </w:rPr>
      </w:pPr>
      <w:r w:rsidRPr="00BA3C35">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BA3C35" w:rsidRDefault="00874240" w:rsidP="003C4BCB">
      <w:pPr>
        <w:pStyle w:val="ListParagraph"/>
        <w:numPr>
          <w:ilvl w:val="0"/>
          <w:numId w:val="6"/>
        </w:numPr>
        <w:ind w:left="426"/>
        <w:jc w:val="both"/>
        <w:rPr>
          <w:rFonts w:ascii="Arial" w:hAnsi="Arial" w:cs="Arial"/>
          <w:sz w:val="22"/>
          <w:szCs w:val="22"/>
          <w:highlight w:val="yellow"/>
          <w:lang w:val="en-GB"/>
        </w:rPr>
      </w:pPr>
      <w:r w:rsidRPr="00BA3C35">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BA3C35" w:rsidRDefault="00113E29" w:rsidP="003C4BCB">
      <w:pPr>
        <w:pStyle w:val="ListParagraph"/>
        <w:numPr>
          <w:ilvl w:val="0"/>
          <w:numId w:val="7"/>
        </w:numPr>
        <w:ind w:left="426"/>
        <w:jc w:val="both"/>
        <w:rPr>
          <w:rFonts w:ascii="Arial" w:hAnsi="Arial" w:cs="Arial"/>
          <w:sz w:val="22"/>
          <w:szCs w:val="22"/>
          <w:highlight w:val="yellow"/>
          <w:lang w:val="en-GB"/>
        </w:rPr>
      </w:pPr>
      <w:r w:rsidRPr="00BA3C3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E1676F" w:rsidRDefault="00967219" w:rsidP="003C4BCB">
      <w:pPr>
        <w:pStyle w:val="ListParagraph"/>
        <w:numPr>
          <w:ilvl w:val="0"/>
          <w:numId w:val="8"/>
        </w:numPr>
        <w:ind w:left="426"/>
        <w:jc w:val="both"/>
        <w:rPr>
          <w:rFonts w:ascii="Arial" w:hAnsi="Arial" w:cs="Arial"/>
          <w:sz w:val="22"/>
          <w:szCs w:val="22"/>
          <w:highlight w:val="yellow"/>
          <w:lang w:val="en-GB"/>
        </w:rPr>
      </w:pPr>
      <w:r w:rsidRPr="00E1676F">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4846C7" w:rsidRDefault="00967219" w:rsidP="003C4BCB">
      <w:pPr>
        <w:pStyle w:val="ListParagraph"/>
        <w:numPr>
          <w:ilvl w:val="0"/>
          <w:numId w:val="9"/>
        </w:numPr>
        <w:ind w:left="426"/>
        <w:jc w:val="both"/>
        <w:rPr>
          <w:rFonts w:ascii="Arial" w:hAnsi="Arial" w:cs="Arial"/>
          <w:sz w:val="22"/>
          <w:szCs w:val="22"/>
          <w:highlight w:val="yellow"/>
          <w:lang w:val="en-GB"/>
        </w:rPr>
      </w:pPr>
      <w:r w:rsidRPr="004846C7">
        <w:rPr>
          <w:rFonts w:ascii="Arial" w:hAnsi="Arial" w:cs="Arial"/>
          <w:sz w:val="22"/>
          <w:szCs w:val="22"/>
          <w:highlight w:val="yellow"/>
          <w:lang w:val="en-GB"/>
        </w:rPr>
        <w:t xml:space="preserve">The contested transactions cannot be avoided if </w:t>
      </w:r>
      <w:proofErr w:type="spellStart"/>
      <w:r w:rsidRPr="004846C7">
        <w:rPr>
          <w:rFonts w:ascii="Arial" w:hAnsi="Arial" w:cs="Arial"/>
          <w:sz w:val="22"/>
          <w:szCs w:val="22"/>
          <w:highlight w:val="yellow"/>
          <w:lang w:val="en-GB"/>
        </w:rPr>
        <w:t>Fema</w:t>
      </w:r>
      <w:proofErr w:type="spellEnd"/>
      <w:r w:rsidRPr="004846C7">
        <w:rPr>
          <w:rFonts w:ascii="Arial" w:hAnsi="Arial" w:cs="Arial"/>
          <w:sz w:val="22"/>
          <w:szCs w:val="22"/>
          <w:highlight w:val="yellow"/>
          <w:lang w:val="en-GB"/>
        </w:rPr>
        <w:t xml:space="preserve"> GmbH can prove that the </w:t>
      </w:r>
      <w:proofErr w:type="spellStart"/>
      <w:r w:rsidRPr="004846C7">
        <w:rPr>
          <w:rFonts w:ascii="Arial" w:hAnsi="Arial" w:cs="Arial"/>
          <w:i/>
          <w:sz w:val="22"/>
          <w:szCs w:val="22"/>
          <w:highlight w:val="yellow"/>
          <w:lang w:val="en-GB"/>
        </w:rPr>
        <w:t>lex</w:t>
      </w:r>
      <w:proofErr w:type="spellEnd"/>
      <w:r w:rsidRPr="004846C7">
        <w:rPr>
          <w:rFonts w:ascii="Arial" w:hAnsi="Arial" w:cs="Arial"/>
          <w:i/>
          <w:sz w:val="22"/>
          <w:szCs w:val="22"/>
          <w:highlight w:val="yellow"/>
          <w:lang w:val="en-GB"/>
        </w:rPr>
        <w:t xml:space="preserve"> </w:t>
      </w:r>
      <w:proofErr w:type="spellStart"/>
      <w:r w:rsidRPr="004846C7">
        <w:rPr>
          <w:rFonts w:ascii="Arial" w:hAnsi="Arial" w:cs="Arial"/>
          <w:i/>
          <w:sz w:val="22"/>
          <w:szCs w:val="22"/>
          <w:highlight w:val="yellow"/>
          <w:lang w:val="en-GB"/>
        </w:rPr>
        <w:t>causae</w:t>
      </w:r>
      <w:proofErr w:type="spellEnd"/>
      <w:r w:rsidRPr="004846C7">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w:t>
      </w:r>
      <w:proofErr w:type="gramStart"/>
      <w:r w:rsidRPr="00544F6E">
        <w:rPr>
          <w:rFonts w:ascii="Arial" w:hAnsi="Arial" w:cs="Arial"/>
          <w:sz w:val="22"/>
          <w:szCs w:val="22"/>
          <w:lang w:val="en-GB"/>
        </w:rPr>
        <w:t>)(</w:t>
      </w:r>
      <w:proofErr w:type="gramEnd"/>
      <w:r w:rsidRPr="00544F6E">
        <w:rPr>
          <w:rFonts w:ascii="Arial" w:hAnsi="Arial" w:cs="Arial"/>
          <w:sz w:val="22"/>
          <w:szCs w:val="22"/>
          <w:lang w:val="en-GB"/>
        </w:rPr>
        <w:t>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6F60A3" w:rsidRDefault="00FC48D8" w:rsidP="003C4BCB">
      <w:pPr>
        <w:pStyle w:val="ListParagraph"/>
        <w:numPr>
          <w:ilvl w:val="0"/>
          <w:numId w:val="10"/>
        </w:numPr>
        <w:ind w:left="426"/>
        <w:jc w:val="both"/>
        <w:rPr>
          <w:rFonts w:ascii="Arial" w:hAnsi="Arial" w:cs="Arial"/>
          <w:sz w:val="22"/>
          <w:szCs w:val="22"/>
          <w:highlight w:val="yellow"/>
          <w:lang w:val="en-GB"/>
        </w:rPr>
      </w:pPr>
      <w:r w:rsidRPr="006F60A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6F60A3" w:rsidRDefault="00FC48D8" w:rsidP="003C4BCB">
      <w:pPr>
        <w:pStyle w:val="ListParagraph"/>
        <w:numPr>
          <w:ilvl w:val="0"/>
          <w:numId w:val="11"/>
        </w:numPr>
        <w:ind w:left="426"/>
        <w:jc w:val="both"/>
        <w:rPr>
          <w:rFonts w:ascii="Arial" w:hAnsi="Arial" w:cs="Arial"/>
          <w:sz w:val="22"/>
          <w:szCs w:val="22"/>
          <w:highlight w:val="yellow"/>
          <w:lang w:val="en-GB"/>
        </w:rPr>
      </w:pPr>
      <w:r w:rsidRPr="006F60A3">
        <w:rPr>
          <w:rFonts w:ascii="Arial" w:hAnsi="Arial" w:cs="Arial"/>
          <w:sz w:val="22"/>
          <w:szCs w:val="22"/>
          <w:highlight w:val="yellow"/>
          <w:lang w:val="en-GB"/>
        </w:rPr>
        <w:t xml:space="preserve">Within 15 days, as stipulated in the applicable </w:t>
      </w:r>
      <w:proofErr w:type="spellStart"/>
      <w:r w:rsidRPr="006F60A3">
        <w:rPr>
          <w:rFonts w:ascii="Arial" w:hAnsi="Arial" w:cs="Arial"/>
          <w:i/>
          <w:sz w:val="22"/>
          <w:szCs w:val="22"/>
          <w:highlight w:val="yellow"/>
          <w:lang w:val="en-GB"/>
        </w:rPr>
        <w:t>lex</w:t>
      </w:r>
      <w:proofErr w:type="spellEnd"/>
      <w:r w:rsidRPr="006F60A3">
        <w:rPr>
          <w:rFonts w:ascii="Arial" w:hAnsi="Arial" w:cs="Arial"/>
          <w:i/>
          <w:sz w:val="22"/>
          <w:szCs w:val="22"/>
          <w:highlight w:val="yellow"/>
          <w:lang w:val="en-GB"/>
        </w:rPr>
        <w:t xml:space="preserve"> </w:t>
      </w:r>
      <w:proofErr w:type="spellStart"/>
      <w:r w:rsidRPr="006F60A3">
        <w:rPr>
          <w:rFonts w:ascii="Arial" w:hAnsi="Arial" w:cs="Arial"/>
          <w:i/>
          <w:sz w:val="22"/>
          <w:szCs w:val="22"/>
          <w:highlight w:val="yellow"/>
          <w:lang w:val="en-GB"/>
        </w:rPr>
        <w:t>concursus</w:t>
      </w:r>
      <w:proofErr w:type="spellEnd"/>
      <w:r w:rsidRPr="006F60A3">
        <w:rPr>
          <w:rFonts w:ascii="Arial" w:hAnsi="Arial" w:cs="Arial"/>
          <w:i/>
          <w:sz w:val="22"/>
          <w:szCs w:val="22"/>
          <w:highlight w:val="yellow"/>
          <w:lang w:val="en-GB"/>
        </w:rPr>
        <w:t xml:space="preserve"> </w:t>
      </w:r>
      <w:proofErr w:type="spellStart"/>
      <w:r w:rsidRPr="006F60A3">
        <w:rPr>
          <w:rFonts w:ascii="Arial" w:hAnsi="Arial" w:cs="Arial"/>
          <w:i/>
          <w:sz w:val="22"/>
          <w:szCs w:val="22"/>
          <w:highlight w:val="yellow"/>
          <w:lang w:val="en-GB"/>
        </w:rPr>
        <w:t>secundarii</w:t>
      </w:r>
      <w:proofErr w:type="spellEnd"/>
      <w:r w:rsidRPr="006F60A3">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1FF792B7" w14:textId="1FBB32A2" w:rsidR="008A54DA" w:rsidRDefault="00636C15" w:rsidP="008A54DA">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rPr>
        <w:t>[</w:t>
      </w:r>
      <w:r w:rsidR="006F60A3">
        <w:rPr>
          <w:rFonts w:ascii="Arial" w:hAnsi="Arial" w:cs="Arial"/>
          <w:color w:val="7B7B7B" w:themeColor="accent3" w:themeShade="BF"/>
          <w:sz w:val="22"/>
          <w:szCs w:val="22"/>
        </w:rPr>
        <w:t xml:space="preserve">Statement 1 </w:t>
      </w:r>
      <w:r w:rsidR="008A54DA">
        <w:rPr>
          <w:rFonts w:ascii="Arial" w:hAnsi="Arial" w:cs="Arial"/>
          <w:color w:val="7B7B7B" w:themeColor="accent3" w:themeShade="BF"/>
          <w:sz w:val="22"/>
          <w:szCs w:val="22"/>
        </w:rPr>
        <w:t>–</w:t>
      </w:r>
      <w:r w:rsidR="006F60A3">
        <w:rPr>
          <w:rFonts w:ascii="Arial" w:hAnsi="Arial" w:cs="Arial"/>
          <w:color w:val="7B7B7B" w:themeColor="accent3" w:themeShade="BF"/>
          <w:sz w:val="22"/>
          <w:szCs w:val="22"/>
        </w:rPr>
        <w:t xml:space="preserve"> </w:t>
      </w:r>
      <w:r w:rsidR="008A54DA" w:rsidRPr="009343EC">
        <w:rPr>
          <w:rFonts w:ascii="Arial" w:hAnsi="Arial" w:cs="Arial"/>
          <w:color w:val="7B7B7B" w:themeColor="accent3" w:themeShade="BF"/>
          <w:sz w:val="22"/>
          <w:szCs w:val="22"/>
          <w:u w:val="single"/>
        </w:rPr>
        <w:t>Forum shopping</w:t>
      </w:r>
      <w:r w:rsidR="008A54DA">
        <w:rPr>
          <w:rFonts w:ascii="Arial" w:hAnsi="Arial" w:cs="Arial"/>
          <w:color w:val="7B7B7B" w:themeColor="accent3" w:themeShade="BF"/>
          <w:sz w:val="22"/>
          <w:szCs w:val="22"/>
        </w:rPr>
        <w:t xml:space="preserve"> – Article 3(1) – The EIR Recasts only prohibits the harmful and abusive forms of forum shopping. </w:t>
      </w:r>
      <w:r w:rsidR="00967356">
        <w:rPr>
          <w:rFonts w:ascii="Arial" w:hAnsi="Arial" w:cs="Arial"/>
          <w:color w:val="7B7B7B" w:themeColor="accent3" w:themeShade="BF"/>
          <w:sz w:val="22"/>
          <w:szCs w:val="22"/>
        </w:rPr>
        <w:t>T</w:t>
      </w:r>
      <w:r w:rsidR="008A54DA">
        <w:rPr>
          <w:rFonts w:ascii="Arial" w:hAnsi="Arial" w:cs="Arial"/>
          <w:color w:val="7B7B7B" w:themeColor="accent3" w:themeShade="BF"/>
          <w:sz w:val="22"/>
          <w:szCs w:val="22"/>
        </w:rPr>
        <w:t>he change of insolvency venue for the benefit of successful restructuring is not per se prohibited.</w:t>
      </w:r>
    </w:p>
    <w:p w14:paraId="11D78649" w14:textId="77777777" w:rsidR="008A54DA" w:rsidRDefault="008A54DA" w:rsidP="00636C15">
      <w:pPr>
        <w:ind w:left="720" w:hanging="720"/>
        <w:jc w:val="both"/>
        <w:rPr>
          <w:rFonts w:ascii="Arial" w:hAnsi="Arial" w:cs="Arial"/>
          <w:color w:val="7B7B7B" w:themeColor="accent3" w:themeShade="BF"/>
          <w:sz w:val="22"/>
          <w:szCs w:val="22"/>
        </w:rPr>
      </w:pPr>
    </w:p>
    <w:p w14:paraId="5C7DD9F3" w14:textId="05FED195" w:rsidR="00636C15" w:rsidRPr="008500BD" w:rsidRDefault="008A54DA" w:rsidP="008A54DA">
      <w:pPr>
        <w:jc w:val="both"/>
        <w:rPr>
          <w:rFonts w:ascii="Arial" w:hAnsi="Arial" w:cs="Arial"/>
          <w:sz w:val="22"/>
          <w:szCs w:val="22"/>
        </w:rPr>
      </w:pPr>
      <w:r>
        <w:rPr>
          <w:rFonts w:ascii="Arial" w:hAnsi="Arial" w:cs="Arial"/>
          <w:color w:val="7B7B7B" w:themeColor="accent3" w:themeShade="BF"/>
          <w:sz w:val="22"/>
          <w:szCs w:val="22"/>
        </w:rPr>
        <w:t xml:space="preserve">Statement 2 – </w:t>
      </w:r>
      <w:r w:rsidRPr="009343EC">
        <w:rPr>
          <w:rFonts w:ascii="Arial" w:hAnsi="Arial" w:cs="Arial"/>
          <w:color w:val="7B7B7B" w:themeColor="accent3" w:themeShade="BF"/>
          <w:sz w:val="22"/>
          <w:szCs w:val="22"/>
          <w:u w:val="single"/>
        </w:rPr>
        <w:t>Secondary insolvency proceedings</w:t>
      </w:r>
      <w:r>
        <w:rPr>
          <w:rFonts w:ascii="Arial" w:hAnsi="Arial" w:cs="Arial"/>
          <w:color w:val="7B7B7B" w:themeColor="accent3" w:themeShade="BF"/>
          <w:sz w:val="22"/>
          <w:szCs w:val="22"/>
        </w:rPr>
        <w:t xml:space="preserve"> – Article 3 (2) – Secondary proceedings serve to protect local interest and enhance the handling of complex insolvency proceedings.</w:t>
      </w:r>
      <w:r w:rsidR="00967356">
        <w:rPr>
          <w:rFonts w:ascii="Arial" w:hAnsi="Arial" w:cs="Arial"/>
          <w:color w:val="7B7B7B" w:themeColor="accent3" w:themeShade="BF"/>
          <w:sz w:val="22"/>
          <w:szCs w:val="22"/>
        </w:rPr>
        <w:t xml:space="preserve"> Secondary proceedings serve a supportive function to the main proceedings.</w:t>
      </w:r>
      <w:r w:rsidR="00636C15" w:rsidRPr="008500BD">
        <w:rPr>
          <w:rFonts w:ascii="Arial" w:hAnsi="Arial" w:cs="Arial"/>
          <w:color w:val="7B7B7B" w:themeColor="accent3" w:themeShade="BF"/>
          <w:sz w:val="22"/>
          <w:szCs w:val="22"/>
        </w:rPr>
        <w:t>]</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52AC1D36" w14:textId="29844D6E" w:rsidR="00546B25" w:rsidRPr="0041070A" w:rsidRDefault="00636C15" w:rsidP="00546B25">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lang w:val="en-GB"/>
        </w:rPr>
        <w:t>[</w:t>
      </w:r>
      <w:r w:rsidR="00546B25">
        <w:rPr>
          <w:rFonts w:ascii="Arial" w:hAnsi="Arial" w:cs="Arial"/>
          <w:color w:val="7B7B7B" w:themeColor="accent3" w:themeShade="BF"/>
          <w:sz w:val="22"/>
          <w:szCs w:val="22"/>
          <w:lang w:val="en-GB"/>
        </w:rPr>
        <w:t xml:space="preserve">Article 41 - </w:t>
      </w:r>
      <w:r w:rsidR="00546B25" w:rsidRPr="004054F7">
        <w:rPr>
          <w:rFonts w:ascii="Arial" w:hAnsi="Arial" w:cs="Arial"/>
          <w:color w:val="7B7B7B" w:themeColor="accent3" w:themeShade="BF"/>
          <w:sz w:val="22"/>
          <w:szCs w:val="22"/>
          <w:u w:val="single"/>
          <w:lang w:val="en-GB"/>
        </w:rPr>
        <w:t>Cooperation and communication between insolvency practitioners</w:t>
      </w:r>
      <w:r w:rsidR="00546B25">
        <w:rPr>
          <w:rFonts w:ascii="Arial" w:hAnsi="Arial" w:cs="Arial"/>
          <w:color w:val="7B7B7B" w:themeColor="accent3" w:themeShade="BF"/>
          <w:sz w:val="22"/>
          <w:szCs w:val="22"/>
          <w:lang w:val="en-GB"/>
        </w:rPr>
        <w:t xml:space="preserve"> - </w:t>
      </w:r>
      <w:r w:rsidR="00546B25" w:rsidRPr="0041070A">
        <w:rPr>
          <w:rStyle w:val="fontstyle01"/>
          <w:rFonts w:ascii="Arial" w:hAnsi="Arial" w:cs="Arial"/>
          <w:color w:val="7B7B7B" w:themeColor="accent3" w:themeShade="BF"/>
          <w:sz w:val="22"/>
          <w:szCs w:val="22"/>
        </w:rPr>
        <w:t>The insolvency practitioner in the main insolvency proceedings and the insolvency practitioner</w:t>
      </w:r>
      <w:r w:rsidR="00546B25">
        <w:rPr>
          <w:rStyle w:val="fontstyle01"/>
          <w:rFonts w:ascii="Arial" w:hAnsi="Arial" w:cs="Arial"/>
          <w:color w:val="7B7B7B" w:themeColor="accent3" w:themeShade="BF"/>
          <w:sz w:val="22"/>
          <w:szCs w:val="22"/>
        </w:rPr>
        <w:t>(s)</w:t>
      </w:r>
      <w:r w:rsidR="00546B25" w:rsidRPr="0041070A">
        <w:rPr>
          <w:rStyle w:val="fontstyle01"/>
          <w:rFonts w:ascii="Arial" w:hAnsi="Arial" w:cs="Arial"/>
          <w:color w:val="7B7B7B" w:themeColor="accent3" w:themeShade="BF"/>
          <w:sz w:val="22"/>
          <w:szCs w:val="22"/>
        </w:rPr>
        <w:t xml:space="preserve"> in</w:t>
      </w:r>
      <w:r w:rsidR="00546B25">
        <w:rPr>
          <w:rStyle w:val="fontstyle01"/>
          <w:rFonts w:ascii="Arial" w:hAnsi="Arial" w:cs="Arial"/>
          <w:color w:val="7B7B7B" w:themeColor="accent3" w:themeShade="BF"/>
          <w:sz w:val="22"/>
          <w:szCs w:val="22"/>
        </w:rPr>
        <w:t xml:space="preserve"> </w:t>
      </w:r>
      <w:r w:rsidR="00546B25" w:rsidRPr="0041070A">
        <w:rPr>
          <w:rStyle w:val="fontstyle01"/>
          <w:rFonts w:ascii="Arial" w:hAnsi="Arial" w:cs="Arial"/>
          <w:color w:val="7B7B7B" w:themeColor="accent3" w:themeShade="BF"/>
          <w:sz w:val="22"/>
          <w:szCs w:val="22"/>
        </w:rPr>
        <w:t>secondary insolvency proceedings concerning the same debtor shall cooperate with each other to the extent such</w:t>
      </w:r>
      <w:r w:rsidR="00546B25">
        <w:rPr>
          <w:rStyle w:val="fontstyle01"/>
          <w:rFonts w:ascii="Arial" w:hAnsi="Arial" w:cs="Arial"/>
          <w:color w:val="7B7B7B" w:themeColor="accent3" w:themeShade="BF"/>
          <w:sz w:val="22"/>
          <w:szCs w:val="22"/>
        </w:rPr>
        <w:t xml:space="preserve"> </w:t>
      </w:r>
      <w:r w:rsidR="00546B25" w:rsidRPr="0041070A">
        <w:rPr>
          <w:rStyle w:val="fontstyle01"/>
          <w:rFonts w:ascii="Arial" w:hAnsi="Arial" w:cs="Arial"/>
          <w:color w:val="7B7B7B" w:themeColor="accent3" w:themeShade="BF"/>
          <w:sz w:val="22"/>
          <w:szCs w:val="22"/>
        </w:rPr>
        <w:t>cooperation is not incompatible with the rules applicable to the respective proceedings. Such cooperation may take any form, including the conclusion of agreements or protocols</w:t>
      </w:r>
      <w:r w:rsidR="00546B25">
        <w:rPr>
          <w:rStyle w:val="fontstyle01"/>
          <w:rFonts w:ascii="Arial" w:hAnsi="Arial" w:cs="Arial"/>
          <w:color w:val="7B7B7B" w:themeColor="accent3" w:themeShade="BF"/>
          <w:sz w:val="22"/>
          <w:szCs w:val="22"/>
        </w:rPr>
        <w:t>.</w:t>
      </w:r>
    </w:p>
    <w:p w14:paraId="16675D5F" w14:textId="73FEE49C" w:rsidR="00636C15" w:rsidRDefault="00636C15" w:rsidP="00636C15">
      <w:pPr>
        <w:ind w:left="720" w:hanging="720"/>
        <w:jc w:val="both"/>
        <w:rPr>
          <w:rFonts w:ascii="Arial" w:hAnsi="Arial" w:cs="Arial"/>
          <w:color w:val="7B7B7B" w:themeColor="accent3" w:themeShade="BF"/>
          <w:sz w:val="22"/>
          <w:szCs w:val="22"/>
          <w:lang w:val="en-GB"/>
        </w:rPr>
      </w:pPr>
    </w:p>
    <w:p w14:paraId="28BCF79B" w14:textId="06755999" w:rsidR="00546B25" w:rsidRPr="0041070A" w:rsidRDefault="00546B25" w:rsidP="00546B2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Article 42 - </w:t>
      </w:r>
      <w:r w:rsidRPr="004054F7">
        <w:rPr>
          <w:rFonts w:ascii="Arial" w:hAnsi="Arial" w:cs="Arial"/>
          <w:color w:val="7B7B7B" w:themeColor="accent3" w:themeShade="BF"/>
          <w:sz w:val="22"/>
          <w:szCs w:val="22"/>
          <w:u w:val="single"/>
          <w:lang w:val="en-GB"/>
        </w:rPr>
        <w:t>Cooperation and communication between courts</w:t>
      </w:r>
      <w:r>
        <w:rPr>
          <w:rFonts w:ascii="Arial" w:hAnsi="Arial" w:cs="Arial"/>
          <w:color w:val="7B7B7B" w:themeColor="accent3" w:themeShade="BF"/>
          <w:sz w:val="22"/>
          <w:szCs w:val="22"/>
          <w:lang w:val="en-GB"/>
        </w:rPr>
        <w:t xml:space="preserve"> - </w:t>
      </w:r>
      <w:r>
        <w:rPr>
          <w:rStyle w:val="fontstyle01"/>
          <w:rFonts w:ascii="Arial" w:hAnsi="Arial" w:cs="Arial"/>
          <w:color w:val="7B7B7B" w:themeColor="accent3" w:themeShade="BF"/>
          <w:sz w:val="22"/>
          <w:szCs w:val="22"/>
        </w:rPr>
        <w:t>A</w:t>
      </w:r>
      <w:r w:rsidRPr="0041070A">
        <w:rPr>
          <w:rStyle w:val="fontstyle01"/>
          <w:rFonts w:ascii="Arial" w:hAnsi="Arial" w:cs="Arial"/>
          <w:color w:val="7B7B7B" w:themeColor="accent3" w:themeShade="BF"/>
          <w:sz w:val="22"/>
          <w:szCs w:val="22"/>
        </w:rPr>
        <w:t xml:space="preserve">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w:t>
      </w:r>
    </w:p>
    <w:p w14:paraId="655C564E" w14:textId="07C5D3EA" w:rsidR="00546B25" w:rsidRDefault="00546B25" w:rsidP="00636C15">
      <w:pPr>
        <w:ind w:left="720" w:hanging="720"/>
        <w:jc w:val="both"/>
        <w:rPr>
          <w:rFonts w:ascii="Arial" w:hAnsi="Arial" w:cs="Arial"/>
          <w:color w:val="7B7B7B" w:themeColor="accent3" w:themeShade="BF"/>
          <w:sz w:val="22"/>
          <w:szCs w:val="22"/>
          <w:lang w:val="en-GB"/>
        </w:rPr>
      </w:pPr>
    </w:p>
    <w:p w14:paraId="29404995" w14:textId="5A7691EB" w:rsidR="00546B25" w:rsidRPr="00546B25" w:rsidRDefault="00546B25" w:rsidP="00546B2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Article 43 - </w:t>
      </w:r>
      <w:r w:rsidRPr="004054F7">
        <w:rPr>
          <w:rFonts w:ascii="Arial" w:hAnsi="Arial" w:cs="Arial"/>
          <w:color w:val="7B7B7B" w:themeColor="accent3" w:themeShade="BF"/>
          <w:sz w:val="22"/>
          <w:szCs w:val="22"/>
          <w:u w:val="single"/>
          <w:lang w:val="en-GB"/>
        </w:rPr>
        <w:t>Cooperation and communication between insolvency practitioner and court</w:t>
      </w:r>
      <w:r>
        <w:rPr>
          <w:rFonts w:ascii="Arial" w:hAnsi="Arial" w:cs="Arial"/>
          <w:color w:val="7B7B7B" w:themeColor="accent3" w:themeShade="BF"/>
          <w:sz w:val="22"/>
          <w:szCs w:val="22"/>
          <w:lang w:val="en-GB"/>
        </w:rPr>
        <w:t xml:space="preserve"> - </w:t>
      </w:r>
      <w:r>
        <w:rPr>
          <w:rStyle w:val="fontstyle01"/>
          <w:rFonts w:ascii="Arial" w:hAnsi="Arial" w:cs="Arial"/>
          <w:color w:val="7B7B7B" w:themeColor="accent3" w:themeShade="BF"/>
          <w:sz w:val="22"/>
          <w:szCs w:val="22"/>
        </w:rPr>
        <w:t>A</w:t>
      </w:r>
      <w:r w:rsidRPr="0041070A">
        <w:rPr>
          <w:rStyle w:val="fontstyle01"/>
          <w:rFonts w:ascii="Arial" w:hAnsi="Arial" w:cs="Arial"/>
          <w:color w:val="7B7B7B" w:themeColor="accent3" w:themeShade="BF"/>
          <w:sz w:val="22"/>
          <w:szCs w:val="22"/>
        </w:rPr>
        <w:t xml:space="preserve">n insolvency practitioner in main </w:t>
      </w:r>
      <w:r>
        <w:rPr>
          <w:rStyle w:val="fontstyle01"/>
          <w:rFonts w:ascii="Arial" w:hAnsi="Arial" w:cs="Arial"/>
          <w:color w:val="7B7B7B" w:themeColor="accent3" w:themeShade="BF"/>
          <w:sz w:val="22"/>
          <w:szCs w:val="22"/>
        </w:rPr>
        <w:t xml:space="preserve">or territorial or secondary </w:t>
      </w:r>
      <w:r w:rsidRPr="0041070A">
        <w:rPr>
          <w:rStyle w:val="fontstyle01"/>
          <w:rFonts w:ascii="Arial" w:hAnsi="Arial" w:cs="Arial"/>
          <w:color w:val="7B7B7B" w:themeColor="accent3" w:themeShade="BF"/>
          <w:sz w:val="22"/>
          <w:szCs w:val="22"/>
        </w:rPr>
        <w:t xml:space="preserve">insolvency proceedings shall </w:t>
      </w:r>
      <w:r>
        <w:rPr>
          <w:rStyle w:val="fontstyle01"/>
          <w:rFonts w:ascii="Arial" w:hAnsi="Arial" w:cs="Arial"/>
          <w:color w:val="7B7B7B" w:themeColor="accent3" w:themeShade="BF"/>
          <w:sz w:val="22"/>
          <w:szCs w:val="22"/>
        </w:rPr>
        <w:t>c</w:t>
      </w:r>
      <w:r w:rsidRPr="0041070A">
        <w:rPr>
          <w:rStyle w:val="fontstyle01"/>
          <w:rFonts w:ascii="Arial" w:hAnsi="Arial" w:cs="Arial"/>
          <w:color w:val="7B7B7B" w:themeColor="accent3" w:themeShade="BF"/>
          <w:sz w:val="22"/>
          <w:szCs w:val="22"/>
        </w:rPr>
        <w:t>ooperate and communicate with any court before</w:t>
      </w:r>
      <w:r>
        <w:rPr>
          <w:rStyle w:val="fontstyle01"/>
          <w:rFonts w:ascii="Arial" w:hAnsi="Arial" w:cs="Arial"/>
          <w:color w:val="7B7B7B" w:themeColor="accent3" w:themeShade="BF"/>
          <w:sz w:val="22"/>
          <w:szCs w:val="22"/>
        </w:rPr>
        <w:t xml:space="preserve"> </w:t>
      </w:r>
      <w:r w:rsidRPr="0041070A">
        <w:rPr>
          <w:rStyle w:val="fontstyle01"/>
          <w:rFonts w:ascii="Arial" w:hAnsi="Arial" w:cs="Arial"/>
          <w:color w:val="7B7B7B" w:themeColor="accent3" w:themeShade="BF"/>
          <w:sz w:val="22"/>
          <w:szCs w:val="22"/>
        </w:rPr>
        <w:t>which a request to open insolvency proceedings is pending or which has opened such proceedings</w:t>
      </w:r>
      <w:r>
        <w:rPr>
          <w:rStyle w:val="fontstyle01"/>
          <w:rFonts w:ascii="Arial" w:hAnsi="Arial" w:cs="Arial"/>
          <w:color w:val="7B7B7B" w:themeColor="accent3" w:themeShade="BF"/>
          <w:sz w:val="22"/>
          <w:szCs w:val="22"/>
        </w:rPr>
        <w:t>.</w:t>
      </w:r>
      <w:r w:rsidRPr="008500BD">
        <w:rPr>
          <w:rFonts w:ascii="Arial" w:hAnsi="Arial" w:cs="Arial"/>
          <w:color w:val="7B7B7B" w:themeColor="accent3" w:themeShade="BF"/>
          <w:sz w:val="22"/>
          <w:szCs w:val="22"/>
          <w:lang w:val="en-GB"/>
        </w:rPr>
        <w:t>]</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624512A1" w:rsidR="00C72848" w:rsidRDefault="00C72848" w:rsidP="005A25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lastRenderedPageBreak/>
        <w:t>[</w:t>
      </w:r>
      <w:r w:rsidR="00E673DD">
        <w:rPr>
          <w:rFonts w:ascii="Arial" w:hAnsi="Arial" w:cs="Arial"/>
          <w:color w:val="7B7B7B" w:themeColor="accent3" w:themeShade="BF"/>
          <w:sz w:val="22"/>
          <w:szCs w:val="22"/>
          <w:lang w:val="en-GB"/>
        </w:rPr>
        <w:t xml:space="preserve">Article 1 – </w:t>
      </w:r>
      <w:r w:rsidR="00E673DD" w:rsidRPr="00E673DD">
        <w:rPr>
          <w:rFonts w:ascii="Arial" w:hAnsi="Arial" w:cs="Arial"/>
          <w:color w:val="7B7B7B" w:themeColor="accent3" w:themeShade="BF"/>
          <w:sz w:val="22"/>
          <w:szCs w:val="22"/>
          <w:u w:val="single"/>
          <w:lang w:val="en-GB"/>
        </w:rPr>
        <w:t>Scope</w:t>
      </w:r>
      <w:r w:rsidR="00E673DD">
        <w:rPr>
          <w:rFonts w:ascii="Arial" w:hAnsi="Arial" w:cs="Arial"/>
          <w:color w:val="7B7B7B" w:themeColor="accent3" w:themeShade="BF"/>
          <w:sz w:val="22"/>
          <w:szCs w:val="22"/>
          <w:lang w:val="en-GB"/>
        </w:rPr>
        <w:t xml:space="preserve"> – The scope of </w:t>
      </w:r>
      <w:r w:rsidR="00967356">
        <w:rPr>
          <w:rFonts w:ascii="Arial" w:hAnsi="Arial" w:cs="Arial"/>
          <w:color w:val="7B7B7B" w:themeColor="accent3" w:themeShade="BF"/>
          <w:sz w:val="22"/>
          <w:szCs w:val="22"/>
          <w:lang w:val="en-GB"/>
        </w:rPr>
        <w:t>EIR R</w:t>
      </w:r>
      <w:r w:rsidR="00E673DD">
        <w:rPr>
          <w:rFonts w:ascii="Arial" w:hAnsi="Arial" w:cs="Arial"/>
          <w:color w:val="7B7B7B" w:themeColor="accent3" w:themeShade="BF"/>
          <w:sz w:val="22"/>
          <w:szCs w:val="22"/>
          <w:lang w:val="en-GB"/>
        </w:rPr>
        <w:t xml:space="preserve">ecast extends to proceedings that promote the rescue of economically viable but distressed businesses and gives a second chance to entrepreneurs. </w:t>
      </w:r>
      <w:r w:rsidR="005A25BB">
        <w:rPr>
          <w:rFonts w:ascii="Arial" w:hAnsi="Arial" w:cs="Arial"/>
          <w:color w:val="7B7B7B" w:themeColor="accent3" w:themeShade="BF"/>
          <w:sz w:val="22"/>
          <w:szCs w:val="22"/>
          <w:lang w:val="en-GB"/>
        </w:rPr>
        <w:t>EIR recast also covers the restricting of a debtor at a stage when there is only a likelihood of restructuring.</w:t>
      </w:r>
    </w:p>
    <w:p w14:paraId="043F05E8" w14:textId="63A3400C" w:rsidR="000C0C4A" w:rsidRDefault="000C0C4A" w:rsidP="005A25BB">
      <w:pPr>
        <w:jc w:val="both"/>
        <w:rPr>
          <w:rFonts w:ascii="Arial" w:hAnsi="Arial" w:cs="Arial"/>
          <w:color w:val="7B7B7B" w:themeColor="accent3" w:themeShade="BF"/>
          <w:sz w:val="22"/>
          <w:szCs w:val="22"/>
          <w:lang w:val="en-GB"/>
        </w:rPr>
      </w:pPr>
    </w:p>
    <w:p w14:paraId="08DCE6A7" w14:textId="293176CF" w:rsidR="000C0C4A" w:rsidRDefault="000C0C4A" w:rsidP="005A2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41(2)(b) – </w:t>
      </w:r>
      <w:r w:rsidRPr="000C0C4A">
        <w:rPr>
          <w:rFonts w:ascii="Arial" w:hAnsi="Arial" w:cs="Arial"/>
          <w:color w:val="7B7B7B" w:themeColor="accent3" w:themeShade="BF"/>
          <w:sz w:val="22"/>
          <w:szCs w:val="22"/>
          <w:u w:val="single"/>
          <w:lang w:val="en-GB"/>
        </w:rPr>
        <w:t>Cooperation and communication between insolvency practitioners</w:t>
      </w:r>
      <w:r>
        <w:rPr>
          <w:rFonts w:ascii="Arial" w:hAnsi="Arial" w:cs="Arial"/>
          <w:color w:val="7B7B7B" w:themeColor="accent3" w:themeShade="BF"/>
          <w:sz w:val="22"/>
          <w:szCs w:val="22"/>
          <w:lang w:val="en-GB"/>
        </w:rPr>
        <w:t xml:space="preserve"> – This article implores insolvency practitioners to explore the possibility of restructuring a debtor and, where such possibility exists, to coordinate the elaboration and implementation of a restructuring plan. </w:t>
      </w:r>
    </w:p>
    <w:p w14:paraId="69A7A3B6" w14:textId="1BA646FC" w:rsidR="00C23D26" w:rsidRDefault="00C23D26" w:rsidP="005A25BB">
      <w:pPr>
        <w:jc w:val="both"/>
        <w:rPr>
          <w:rFonts w:ascii="Arial" w:hAnsi="Arial" w:cs="Arial"/>
          <w:color w:val="7B7B7B" w:themeColor="accent3" w:themeShade="BF"/>
          <w:sz w:val="22"/>
          <w:szCs w:val="22"/>
          <w:lang w:val="en-GB"/>
        </w:rPr>
      </w:pPr>
    </w:p>
    <w:p w14:paraId="572227E7" w14:textId="67BF9C9A" w:rsidR="0045683E" w:rsidRPr="008D02E1" w:rsidRDefault="00C23D2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47 – </w:t>
      </w:r>
      <w:r w:rsidRPr="00C23D26">
        <w:rPr>
          <w:rFonts w:ascii="Arial" w:hAnsi="Arial" w:cs="Arial"/>
          <w:color w:val="7B7B7B" w:themeColor="accent3" w:themeShade="BF"/>
          <w:sz w:val="22"/>
          <w:szCs w:val="22"/>
          <w:u w:val="single"/>
          <w:lang w:val="en-GB"/>
        </w:rPr>
        <w:t>Power of insolvency practitioner to propose a restructuring plan</w:t>
      </w:r>
      <w:r w:rsidRPr="00C23D26">
        <w:rPr>
          <w:rFonts w:ascii="Arial" w:hAnsi="Arial" w:cs="Arial"/>
          <w:color w:val="7B7B7B" w:themeColor="accent3" w:themeShade="BF"/>
          <w:sz w:val="22"/>
          <w:szCs w:val="22"/>
          <w:lang w:val="en-GB"/>
        </w:rPr>
        <w:t xml:space="preserve"> – The in</w:t>
      </w:r>
      <w:r>
        <w:rPr>
          <w:rFonts w:ascii="Arial" w:hAnsi="Arial" w:cs="Arial"/>
          <w:color w:val="7B7B7B" w:themeColor="accent3" w:themeShade="BF"/>
          <w:sz w:val="22"/>
          <w:szCs w:val="22"/>
          <w:lang w:val="en-GB"/>
        </w:rPr>
        <w:t>solvency practitioner in the main insolvency proceeding i</w:t>
      </w:r>
      <w:r w:rsidR="008D02E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empowered to propose</w:t>
      </w:r>
      <w:r w:rsidR="008D02E1">
        <w:rPr>
          <w:rFonts w:ascii="Arial" w:hAnsi="Arial" w:cs="Arial"/>
          <w:color w:val="7B7B7B" w:themeColor="accent3" w:themeShade="BF"/>
          <w:sz w:val="22"/>
          <w:szCs w:val="22"/>
          <w:lang w:val="en-GB"/>
        </w:rPr>
        <w:t xml:space="preserve"> a restructuri</w:t>
      </w:r>
      <w:r>
        <w:rPr>
          <w:rFonts w:ascii="Arial" w:hAnsi="Arial" w:cs="Arial"/>
          <w:color w:val="7B7B7B" w:themeColor="accent3" w:themeShade="BF"/>
          <w:sz w:val="22"/>
          <w:szCs w:val="22"/>
          <w:lang w:val="en-GB"/>
        </w:rPr>
        <w:t xml:space="preserve">ng plan where the </w:t>
      </w:r>
      <w:r w:rsidR="008D02E1">
        <w:rPr>
          <w:rFonts w:ascii="Arial" w:hAnsi="Arial" w:cs="Arial"/>
          <w:color w:val="7B7B7B" w:themeColor="accent3" w:themeShade="BF"/>
          <w:sz w:val="22"/>
          <w:szCs w:val="22"/>
          <w:lang w:val="en-GB"/>
        </w:rPr>
        <w:t>law of the member state in which secondary proceedings have been opened allows for a closing of liquidation proceedings by a restructuring plan or composition or comparable measure.</w:t>
      </w:r>
      <w:r w:rsidR="00791E71">
        <w:rPr>
          <w:rFonts w:ascii="Arial" w:hAnsi="Arial" w:cs="Arial"/>
          <w:color w:val="7B7B7B" w:themeColor="accent3" w:themeShade="BF"/>
          <w:sz w:val="22"/>
          <w:szCs w:val="22"/>
          <w:lang w:val="en-GB"/>
        </w:rPr>
        <w:t>]</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440E04A7" w14:textId="77777777" w:rsidR="00967356" w:rsidRDefault="009954B2" w:rsidP="00C4793D">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C4793D" w:rsidRPr="00967356">
        <w:rPr>
          <w:rFonts w:ascii="Arial" w:hAnsi="Arial" w:cs="Arial"/>
          <w:color w:val="7B7B7B" w:themeColor="accent3" w:themeShade="BF"/>
          <w:sz w:val="22"/>
          <w:szCs w:val="22"/>
          <w:u w:val="single"/>
          <w:lang w:val="en-GB"/>
        </w:rPr>
        <w:t>Article 36</w:t>
      </w:r>
      <w:r w:rsidR="00CE2604" w:rsidRPr="00967356">
        <w:rPr>
          <w:rFonts w:ascii="Arial" w:hAnsi="Arial" w:cs="Arial"/>
          <w:color w:val="7B7B7B" w:themeColor="accent3" w:themeShade="BF"/>
          <w:sz w:val="22"/>
          <w:szCs w:val="22"/>
          <w:u w:val="single"/>
          <w:lang w:val="en-GB"/>
        </w:rPr>
        <w:t>(1)</w:t>
      </w:r>
      <w:r w:rsidR="00C4793D" w:rsidRPr="00967356">
        <w:rPr>
          <w:rFonts w:ascii="Arial" w:hAnsi="Arial" w:cs="Arial"/>
          <w:color w:val="7B7B7B" w:themeColor="accent3" w:themeShade="BF"/>
          <w:sz w:val="22"/>
          <w:szCs w:val="22"/>
          <w:u w:val="single"/>
          <w:lang w:val="en-GB"/>
        </w:rPr>
        <w:t xml:space="preserve"> – Right to give an undertaking in order to avoid secondary proceedings</w:t>
      </w:r>
    </w:p>
    <w:p w14:paraId="7C4EC024" w14:textId="77777777" w:rsidR="00967356" w:rsidRDefault="00967356" w:rsidP="00C4793D">
      <w:pPr>
        <w:jc w:val="both"/>
        <w:rPr>
          <w:rStyle w:val="fontstyle01"/>
          <w:rFonts w:ascii="Arial" w:hAnsi="Arial" w:cs="Arial"/>
          <w:color w:val="7B7B7B" w:themeColor="accent3" w:themeShade="BF"/>
          <w:sz w:val="22"/>
          <w:szCs w:val="22"/>
        </w:rPr>
      </w:pPr>
    </w:p>
    <w:p w14:paraId="551D9F70" w14:textId="6FB13518" w:rsidR="00BC3E52" w:rsidRDefault="00C4793D" w:rsidP="00C4793D">
      <w:pPr>
        <w:jc w:val="both"/>
        <w:rPr>
          <w:rStyle w:val="fontstyle01"/>
          <w:rFonts w:ascii="Arial" w:hAnsi="Arial" w:cs="Arial"/>
          <w:color w:val="7B7B7B" w:themeColor="accent3" w:themeShade="BF"/>
          <w:sz w:val="22"/>
          <w:szCs w:val="22"/>
        </w:rPr>
      </w:pPr>
      <w:r w:rsidRPr="0078118A">
        <w:rPr>
          <w:rStyle w:val="fontstyle01"/>
          <w:rFonts w:ascii="Arial" w:hAnsi="Arial" w:cs="Arial"/>
          <w:color w:val="7B7B7B" w:themeColor="accent3" w:themeShade="BF"/>
          <w:sz w:val="22"/>
          <w:szCs w:val="22"/>
        </w:rPr>
        <w:t>In order to avoid the opening of secondary proceedings, the insolvency practitioner in the main  proceedings may give a unilateral undertaking ("the undertaking") in respect of the assets located in the Member State in which secondary proceedings could be opened, that</w:t>
      </w:r>
      <w:r>
        <w:rPr>
          <w:rStyle w:val="fontstyle01"/>
          <w:rFonts w:ascii="Arial" w:hAnsi="Arial" w:cs="Arial"/>
          <w:color w:val="7B7B7B" w:themeColor="accent3" w:themeShade="BF"/>
          <w:sz w:val="22"/>
          <w:szCs w:val="22"/>
        </w:rPr>
        <w:t xml:space="preserve"> </w:t>
      </w:r>
      <w:r w:rsidRPr="0078118A">
        <w:rPr>
          <w:rStyle w:val="fontstyle01"/>
          <w:rFonts w:ascii="Arial" w:hAnsi="Arial" w:cs="Arial"/>
          <w:color w:val="7B7B7B" w:themeColor="accent3" w:themeShade="BF"/>
          <w:sz w:val="22"/>
          <w:szCs w:val="22"/>
        </w:rPr>
        <w:t xml:space="preserve">when distributing those assets or the proceeds received as a result of their </w:t>
      </w:r>
      <w:proofErr w:type="spellStart"/>
      <w:r w:rsidRPr="0078118A">
        <w:rPr>
          <w:rStyle w:val="fontstyle01"/>
          <w:rFonts w:ascii="Arial" w:hAnsi="Arial" w:cs="Arial"/>
          <w:color w:val="7B7B7B" w:themeColor="accent3" w:themeShade="BF"/>
          <w:sz w:val="22"/>
          <w:szCs w:val="22"/>
        </w:rPr>
        <w:t>realisation</w:t>
      </w:r>
      <w:proofErr w:type="spellEnd"/>
      <w:r w:rsidRPr="0078118A">
        <w:rPr>
          <w:rStyle w:val="fontstyle01"/>
          <w:rFonts w:ascii="Arial" w:hAnsi="Arial" w:cs="Arial"/>
          <w:color w:val="7B7B7B" w:themeColor="accent3" w:themeShade="BF"/>
          <w:sz w:val="22"/>
          <w:szCs w:val="22"/>
        </w:rPr>
        <w:t>, he will comply with the distribution and priority rights under national law that creditors would have if secondary proceedings were opened in that Member State</w:t>
      </w:r>
      <w:r>
        <w:rPr>
          <w:rStyle w:val="fontstyle01"/>
          <w:rFonts w:ascii="Arial" w:hAnsi="Arial" w:cs="Arial"/>
          <w:color w:val="7B7B7B" w:themeColor="accent3" w:themeShade="BF"/>
          <w:sz w:val="22"/>
          <w:szCs w:val="22"/>
        </w:rPr>
        <w:t>. The undertaking shall specify the factual assumptions on which it is based, in particular in respect of the value of assets located in the Member State concerned and the options available to realise such assets.</w:t>
      </w:r>
    </w:p>
    <w:p w14:paraId="1CCE8AFA" w14:textId="5BF2C1CF" w:rsidR="00CE2604" w:rsidRDefault="00CE2604" w:rsidP="00C4793D">
      <w:pPr>
        <w:jc w:val="both"/>
        <w:rPr>
          <w:rStyle w:val="fontstyle01"/>
          <w:rFonts w:ascii="Arial" w:hAnsi="Arial" w:cs="Arial"/>
          <w:color w:val="7B7B7B" w:themeColor="accent3" w:themeShade="BF"/>
          <w:sz w:val="22"/>
          <w:szCs w:val="22"/>
        </w:rPr>
      </w:pPr>
    </w:p>
    <w:p w14:paraId="0B020E8D" w14:textId="52D93800" w:rsidR="00CE2604" w:rsidRDefault="00CE2604" w:rsidP="00C4793D">
      <w:pPr>
        <w:jc w:val="both"/>
        <w:rPr>
          <w:rStyle w:val="fontstyle01"/>
          <w:rFonts w:ascii="Arial" w:hAnsi="Arial" w:cs="Arial"/>
          <w:color w:val="7B7B7B" w:themeColor="accent3" w:themeShade="BF"/>
          <w:sz w:val="22"/>
          <w:szCs w:val="22"/>
        </w:rPr>
      </w:pPr>
      <w:r>
        <w:rPr>
          <w:rStyle w:val="fontstyle01"/>
          <w:rFonts w:ascii="Arial" w:hAnsi="Arial" w:cs="Arial"/>
          <w:color w:val="7B7B7B" w:themeColor="accent3" w:themeShade="BF"/>
          <w:sz w:val="22"/>
          <w:szCs w:val="22"/>
        </w:rPr>
        <w:t xml:space="preserve">This </w:t>
      </w:r>
      <w:r>
        <w:rPr>
          <w:rStyle w:val="fontstyle01"/>
          <w:rFonts w:ascii="Arial" w:hAnsi="Arial" w:cs="Arial"/>
          <w:i/>
          <w:color w:val="7B7B7B" w:themeColor="accent3" w:themeShade="BF"/>
          <w:sz w:val="22"/>
          <w:szCs w:val="22"/>
        </w:rPr>
        <w:t>undertaking</w:t>
      </w:r>
      <w:r>
        <w:rPr>
          <w:rStyle w:val="fontstyle01"/>
          <w:rFonts w:ascii="Arial" w:hAnsi="Arial" w:cs="Arial"/>
          <w:color w:val="7B7B7B" w:themeColor="accent3" w:themeShade="BF"/>
          <w:sz w:val="22"/>
          <w:szCs w:val="22"/>
        </w:rPr>
        <w:t xml:space="preserve"> allows for </w:t>
      </w:r>
      <w:proofErr w:type="spellStart"/>
      <w:r>
        <w:rPr>
          <w:rStyle w:val="fontstyle01"/>
          <w:rFonts w:ascii="Arial" w:hAnsi="Arial" w:cs="Arial"/>
          <w:color w:val="7B7B7B" w:themeColor="accent3" w:themeShade="BF"/>
          <w:sz w:val="22"/>
          <w:szCs w:val="22"/>
        </w:rPr>
        <w:t>centralisation</w:t>
      </w:r>
      <w:proofErr w:type="spellEnd"/>
      <w:r>
        <w:rPr>
          <w:rStyle w:val="fontstyle01"/>
          <w:rFonts w:ascii="Arial" w:hAnsi="Arial" w:cs="Arial"/>
          <w:color w:val="7B7B7B" w:themeColor="accent3" w:themeShade="BF"/>
          <w:sz w:val="22"/>
          <w:szCs w:val="22"/>
        </w:rPr>
        <w:t xml:space="preserve"> of control over major decisions affecting the debtor and the insolvency estate e.g. the development of a comprehensive restructuring plan. Secondly, it safeguards the rights and legitimate expectations of local and preferential creditors by guaranteeing the priority rights guaranteed under the relevant local insolvency laws.</w:t>
      </w:r>
    </w:p>
    <w:p w14:paraId="707DFB4C" w14:textId="77777777" w:rsidR="00BC3E52" w:rsidRDefault="00BC3E52" w:rsidP="00C4793D">
      <w:pPr>
        <w:jc w:val="both"/>
        <w:rPr>
          <w:rStyle w:val="fontstyle01"/>
          <w:rFonts w:ascii="Arial" w:hAnsi="Arial" w:cs="Arial"/>
          <w:color w:val="7B7B7B" w:themeColor="accent3" w:themeShade="BF"/>
          <w:sz w:val="22"/>
          <w:szCs w:val="22"/>
        </w:rPr>
      </w:pPr>
    </w:p>
    <w:p w14:paraId="28B670AD" w14:textId="77777777" w:rsidR="00967356" w:rsidRPr="00967356" w:rsidRDefault="00CE2604" w:rsidP="00C4793D">
      <w:pPr>
        <w:jc w:val="both"/>
        <w:rPr>
          <w:rStyle w:val="fontstyle01"/>
          <w:rFonts w:ascii="Arial" w:hAnsi="Arial" w:cs="Arial"/>
          <w:color w:val="7B7B7B" w:themeColor="accent3" w:themeShade="BF"/>
          <w:sz w:val="22"/>
          <w:szCs w:val="22"/>
          <w:u w:val="single"/>
        </w:rPr>
      </w:pPr>
      <w:r w:rsidRPr="00967356">
        <w:rPr>
          <w:rStyle w:val="fontstyle01"/>
          <w:rFonts w:ascii="Arial" w:hAnsi="Arial" w:cs="Arial"/>
          <w:color w:val="7B7B7B" w:themeColor="accent3" w:themeShade="BF"/>
          <w:sz w:val="22"/>
          <w:szCs w:val="22"/>
          <w:u w:val="single"/>
        </w:rPr>
        <w:t>Article 38(3)</w:t>
      </w:r>
      <w:r w:rsidR="00BC3E52" w:rsidRPr="00967356">
        <w:rPr>
          <w:rStyle w:val="fontstyle01"/>
          <w:rFonts w:ascii="Arial" w:hAnsi="Arial" w:cs="Arial"/>
          <w:color w:val="7B7B7B" w:themeColor="accent3" w:themeShade="BF"/>
          <w:sz w:val="22"/>
          <w:szCs w:val="22"/>
          <w:u w:val="single"/>
        </w:rPr>
        <w:t xml:space="preserve"> – </w:t>
      </w:r>
      <w:r w:rsidR="008E4219" w:rsidRPr="00967356">
        <w:rPr>
          <w:rStyle w:val="fontstyle01"/>
          <w:rFonts w:ascii="Arial" w:hAnsi="Arial" w:cs="Arial"/>
          <w:color w:val="7B7B7B" w:themeColor="accent3" w:themeShade="BF"/>
          <w:sz w:val="22"/>
          <w:szCs w:val="22"/>
          <w:u w:val="single"/>
        </w:rPr>
        <w:t>Stay of the opening of</w:t>
      </w:r>
      <w:r w:rsidR="00BC3E52" w:rsidRPr="00967356">
        <w:rPr>
          <w:rStyle w:val="fontstyle01"/>
          <w:rFonts w:ascii="Arial" w:hAnsi="Arial" w:cs="Arial"/>
          <w:color w:val="7B7B7B" w:themeColor="accent3" w:themeShade="BF"/>
          <w:sz w:val="22"/>
          <w:szCs w:val="22"/>
          <w:u w:val="single"/>
        </w:rPr>
        <w:t xml:space="preserve"> secondary proceedings</w:t>
      </w:r>
      <w:r w:rsidR="00967356" w:rsidRPr="00967356">
        <w:rPr>
          <w:rStyle w:val="fontstyle01"/>
          <w:rFonts w:ascii="Arial" w:hAnsi="Arial" w:cs="Arial"/>
          <w:color w:val="7B7B7B" w:themeColor="accent3" w:themeShade="BF"/>
          <w:sz w:val="22"/>
          <w:szCs w:val="22"/>
          <w:u w:val="single"/>
        </w:rPr>
        <w:t xml:space="preserve"> </w:t>
      </w:r>
    </w:p>
    <w:p w14:paraId="0C63444D" w14:textId="77777777" w:rsidR="00967356" w:rsidRDefault="00967356" w:rsidP="00C4793D">
      <w:pPr>
        <w:jc w:val="both"/>
        <w:rPr>
          <w:rStyle w:val="fontstyle01"/>
          <w:rFonts w:ascii="Arial" w:hAnsi="Arial" w:cs="Arial"/>
          <w:color w:val="7B7B7B" w:themeColor="accent3" w:themeShade="BF"/>
          <w:sz w:val="22"/>
          <w:szCs w:val="22"/>
        </w:rPr>
      </w:pPr>
    </w:p>
    <w:p w14:paraId="7E1BDBC3" w14:textId="72E792B4" w:rsidR="00C762BF" w:rsidRDefault="00CE2604" w:rsidP="00C4793D">
      <w:pPr>
        <w:jc w:val="both"/>
        <w:rPr>
          <w:rStyle w:val="fontstyle01"/>
          <w:rFonts w:ascii="Arial" w:hAnsi="Arial" w:cs="Arial"/>
          <w:color w:val="7B7B7B" w:themeColor="accent3" w:themeShade="BF"/>
          <w:sz w:val="22"/>
          <w:szCs w:val="22"/>
        </w:rPr>
      </w:pPr>
      <w:r w:rsidRPr="0078118A">
        <w:rPr>
          <w:rStyle w:val="fontstyle01"/>
          <w:rFonts w:ascii="Arial" w:hAnsi="Arial" w:cs="Arial"/>
          <w:color w:val="7B7B7B" w:themeColor="accent3" w:themeShade="BF"/>
          <w:sz w:val="22"/>
          <w:szCs w:val="22"/>
        </w:rPr>
        <w:t>Where a temporary stay of individual enforcement proceedings has</w:t>
      </w:r>
      <w:r>
        <w:rPr>
          <w:rStyle w:val="fontstyle01"/>
          <w:rFonts w:ascii="Arial" w:hAnsi="Arial" w:cs="Arial"/>
          <w:color w:val="7B7B7B" w:themeColor="accent3" w:themeShade="BF"/>
          <w:sz w:val="22"/>
          <w:szCs w:val="22"/>
        </w:rPr>
        <w:t xml:space="preserve"> been granted in order to allow </w:t>
      </w:r>
      <w:r w:rsidRPr="0078118A">
        <w:rPr>
          <w:rStyle w:val="fontstyle01"/>
          <w:rFonts w:ascii="Arial" w:hAnsi="Arial" w:cs="Arial"/>
          <w:color w:val="7B7B7B" w:themeColor="accent3" w:themeShade="BF"/>
          <w:sz w:val="22"/>
          <w:szCs w:val="22"/>
        </w:rPr>
        <w:t>for negotiations</w:t>
      </w:r>
      <w:r>
        <w:rPr>
          <w:rStyle w:val="fontstyle01"/>
          <w:rFonts w:ascii="Arial" w:hAnsi="Arial" w:cs="Arial"/>
          <w:color w:val="7B7B7B" w:themeColor="accent3" w:themeShade="BF"/>
          <w:sz w:val="22"/>
          <w:szCs w:val="22"/>
        </w:rPr>
        <w:t xml:space="preserve"> </w:t>
      </w:r>
      <w:r w:rsidRPr="0078118A">
        <w:rPr>
          <w:rStyle w:val="fontstyle01"/>
          <w:rFonts w:ascii="Arial" w:hAnsi="Arial" w:cs="Arial"/>
          <w:color w:val="7B7B7B" w:themeColor="accent3" w:themeShade="BF"/>
          <w:sz w:val="22"/>
          <w:szCs w:val="22"/>
        </w:rPr>
        <w:t>betwe</w:t>
      </w:r>
      <w:r w:rsidR="00967356">
        <w:rPr>
          <w:rStyle w:val="fontstyle01"/>
          <w:rFonts w:ascii="Arial" w:hAnsi="Arial" w:cs="Arial"/>
          <w:color w:val="7B7B7B" w:themeColor="accent3" w:themeShade="BF"/>
          <w:sz w:val="22"/>
          <w:szCs w:val="22"/>
        </w:rPr>
        <w:t>en the debtor and its creditors</w:t>
      </w:r>
      <w:r w:rsidRPr="0078118A">
        <w:rPr>
          <w:rStyle w:val="fontstyle01"/>
          <w:rFonts w:ascii="Arial" w:hAnsi="Arial" w:cs="Arial"/>
          <w:color w:val="7B7B7B" w:themeColor="accent3" w:themeShade="BF"/>
          <w:sz w:val="22"/>
          <w:szCs w:val="22"/>
        </w:rPr>
        <w:t xml:space="preserve"> the court, a</w:t>
      </w:r>
      <w:r>
        <w:rPr>
          <w:rStyle w:val="fontstyle01"/>
          <w:rFonts w:ascii="Arial" w:hAnsi="Arial" w:cs="Arial"/>
          <w:color w:val="7B7B7B" w:themeColor="accent3" w:themeShade="BF"/>
          <w:sz w:val="22"/>
          <w:szCs w:val="22"/>
        </w:rPr>
        <w:t>t the request of the insolvency p</w:t>
      </w:r>
      <w:r w:rsidRPr="0078118A">
        <w:rPr>
          <w:rStyle w:val="fontstyle01"/>
          <w:rFonts w:ascii="Arial" w:hAnsi="Arial" w:cs="Arial"/>
          <w:color w:val="7B7B7B" w:themeColor="accent3" w:themeShade="BF"/>
          <w:sz w:val="22"/>
          <w:szCs w:val="22"/>
        </w:rPr>
        <w:t>ractitioner or the debtor in possession,</w:t>
      </w:r>
      <w:r>
        <w:rPr>
          <w:rStyle w:val="fontstyle01"/>
          <w:rFonts w:ascii="Arial" w:hAnsi="Arial" w:cs="Arial"/>
          <w:color w:val="7B7B7B" w:themeColor="accent3" w:themeShade="BF"/>
          <w:sz w:val="22"/>
          <w:szCs w:val="22"/>
        </w:rPr>
        <w:t xml:space="preserve"> </w:t>
      </w:r>
      <w:r w:rsidRPr="0078118A">
        <w:rPr>
          <w:rStyle w:val="fontstyle01"/>
          <w:rFonts w:ascii="Arial" w:hAnsi="Arial" w:cs="Arial"/>
          <w:color w:val="7B7B7B" w:themeColor="accent3" w:themeShade="BF"/>
          <w:sz w:val="22"/>
          <w:szCs w:val="22"/>
        </w:rPr>
        <w:t xml:space="preserve">may stay the </w:t>
      </w:r>
      <w:r w:rsidR="00C46E65">
        <w:rPr>
          <w:rStyle w:val="fontstyle01"/>
          <w:rFonts w:ascii="Arial" w:hAnsi="Arial" w:cs="Arial"/>
          <w:color w:val="7B7B7B" w:themeColor="accent3" w:themeShade="BF"/>
          <w:sz w:val="22"/>
          <w:szCs w:val="22"/>
        </w:rPr>
        <w:t>opening of secondary insolvency</w:t>
      </w:r>
      <w:r>
        <w:rPr>
          <w:rStyle w:val="fontstyle01"/>
          <w:rFonts w:ascii="Arial" w:hAnsi="Arial" w:cs="Arial"/>
          <w:color w:val="7B7B7B" w:themeColor="accent3" w:themeShade="BF"/>
          <w:sz w:val="22"/>
          <w:szCs w:val="22"/>
        </w:rPr>
        <w:t xml:space="preserve"> p</w:t>
      </w:r>
      <w:r w:rsidRPr="0078118A">
        <w:rPr>
          <w:rStyle w:val="fontstyle01"/>
          <w:rFonts w:ascii="Arial" w:hAnsi="Arial" w:cs="Arial"/>
          <w:color w:val="7B7B7B" w:themeColor="accent3" w:themeShade="BF"/>
          <w:sz w:val="22"/>
          <w:szCs w:val="22"/>
        </w:rPr>
        <w:t>roceedings for a period not exceeding 3 months, provided that suitable</w:t>
      </w:r>
      <w:r>
        <w:rPr>
          <w:rStyle w:val="fontstyle01"/>
          <w:rFonts w:ascii="Arial" w:hAnsi="Arial" w:cs="Arial"/>
          <w:color w:val="7B7B7B" w:themeColor="accent3" w:themeShade="BF"/>
          <w:sz w:val="22"/>
          <w:szCs w:val="22"/>
        </w:rPr>
        <w:t xml:space="preserve"> </w:t>
      </w:r>
      <w:r w:rsidRPr="0078118A">
        <w:rPr>
          <w:rStyle w:val="fontstyle01"/>
          <w:rFonts w:ascii="Arial" w:hAnsi="Arial" w:cs="Arial"/>
          <w:color w:val="7B7B7B" w:themeColor="accent3" w:themeShade="BF"/>
          <w:sz w:val="22"/>
          <w:szCs w:val="22"/>
        </w:rPr>
        <w:t>measures are in place to protect the interests of local creditors.</w:t>
      </w:r>
    </w:p>
    <w:p w14:paraId="715860AC" w14:textId="77777777" w:rsidR="00C762BF" w:rsidRDefault="00C762BF" w:rsidP="00C4793D">
      <w:pPr>
        <w:jc w:val="both"/>
        <w:rPr>
          <w:rStyle w:val="fontstyle01"/>
          <w:rFonts w:ascii="Arial" w:hAnsi="Arial" w:cs="Arial"/>
          <w:color w:val="7B7B7B" w:themeColor="accent3" w:themeShade="BF"/>
          <w:sz w:val="22"/>
          <w:szCs w:val="22"/>
        </w:rPr>
      </w:pPr>
    </w:p>
    <w:p w14:paraId="296A8396" w14:textId="6FB5DADB" w:rsidR="009954B2" w:rsidRPr="00CE2604" w:rsidRDefault="00C762BF" w:rsidP="00C4793D">
      <w:pPr>
        <w:jc w:val="both"/>
        <w:rPr>
          <w:rFonts w:ascii="Arial" w:hAnsi="Arial" w:cs="Arial"/>
          <w:color w:val="7B7B7B" w:themeColor="accent3" w:themeShade="BF"/>
          <w:sz w:val="22"/>
          <w:szCs w:val="22"/>
        </w:rPr>
      </w:pPr>
      <w:r>
        <w:rPr>
          <w:rStyle w:val="fontstyle01"/>
          <w:rFonts w:ascii="Arial" w:hAnsi="Arial" w:cs="Arial"/>
          <w:color w:val="7B7B7B" w:themeColor="accent3" w:themeShade="BF"/>
          <w:sz w:val="22"/>
          <w:szCs w:val="22"/>
        </w:rPr>
        <w:t xml:space="preserve">This </w:t>
      </w:r>
      <w:r>
        <w:rPr>
          <w:rStyle w:val="fontstyle01"/>
          <w:rFonts w:ascii="Arial" w:hAnsi="Arial" w:cs="Arial"/>
          <w:i/>
          <w:color w:val="7B7B7B" w:themeColor="accent3" w:themeShade="BF"/>
          <w:sz w:val="22"/>
          <w:szCs w:val="22"/>
        </w:rPr>
        <w:t xml:space="preserve">stay </w:t>
      </w:r>
      <w:r>
        <w:rPr>
          <w:rStyle w:val="fontstyle01"/>
          <w:rFonts w:ascii="Arial" w:hAnsi="Arial" w:cs="Arial"/>
          <w:color w:val="7B7B7B" w:themeColor="accent3" w:themeShade="BF"/>
          <w:sz w:val="22"/>
          <w:szCs w:val="22"/>
        </w:rPr>
        <w:t xml:space="preserve">helps prevent the secondary proceedings from frustrating the process of negotiations and undermining business rescue, it therefore preserves the efficacy of the </w:t>
      </w:r>
      <w:r w:rsidRPr="00967356">
        <w:rPr>
          <w:rStyle w:val="fontstyle01"/>
          <w:rFonts w:ascii="Arial" w:hAnsi="Arial" w:cs="Arial"/>
          <w:i/>
          <w:color w:val="7B7B7B" w:themeColor="accent3" w:themeShade="BF"/>
          <w:sz w:val="22"/>
          <w:szCs w:val="22"/>
        </w:rPr>
        <w:t>stay</w:t>
      </w:r>
      <w:r>
        <w:rPr>
          <w:rStyle w:val="fontstyle01"/>
          <w:rFonts w:ascii="Arial" w:hAnsi="Arial" w:cs="Arial"/>
          <w:color w:val="7B7B7B" w:themeColor="accent3" w:themeShade="BF"/>
          <w:sz w:val="22"/>
          <w:szCs w:val="22"/>
        </w:rPr>
        <w:t xml:space="preserve"> granted in the main insolvency proceedings.</w:t>
      </w:r>
      <w:r w:rsidR="009954B2" w:rsidRPr="008500BD">
        <w:rPr>
          <w:rFonts w:ascii="Arial" w:hAnsi="Arial" w:cs="Arial"/>
          <w:color w:val="7B7B7B" w:themeColor="accent3" w:themeShade="BF"/>
          <w:sz w:val="22"/>
          <w:szCs w:val="22"/>
          <w:lang w:val="en-GB"/>
        </w:rPr>
        <w:t>]</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4C252F7" w14:textId="77777777" w:rsidR="00967356" w:rsidRDefault="00967356">
      <w:pPr>
        <w:rPr>
          <w:rFonts w:ascii="Arial" w:hAnsi="Arial" w:cs="Arial"/>
          <w:b/>
          <w:sz w:val="22"/>
          <w:szCs w:val="22"/>
          <w:lang w:val="en-GB"/>
        </w:rPr>
      </w:pPr>
      <w:r>
        <w:rPr>
          <w:rFonts w:ascii="Arial" w:hAnsi="Arial" w:cs="Arial"/>
          <w:b/>
          <w:sz w:val="22"/>
          <w:szCs w:val="22"/>
          <w:lang w:val="en-GB"/>
        </w:rPr>
        <w:br w:type="page"/>
      </w:r>
    </w:p>
    <w:p w14:paraId="170A9E71" w14:textId="1A2EE98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4FDEACF" w14:textId="5701F013" w:rsidR="00FC015E" w:rsidRDefault="00DF75F8" w:rsidP="00FC015E">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lang w:val="en-GB"/>
        </w:rPr>
        <w:t>[</w:t>
      </w:r>
      <w:r w:rsidR="00FC015E" w:rsidRPr="00FC015E">
        <w:rPr>
          <w:rFonts w:ascii="Arial" w:hAnsi="Arial" w:cs="Arial"/>
          <w:color w:val="7B7B7B" w:themeColor="accent3" w:themeShade="BF"/>
          <w:sz w:val="22"/>
          <w:szCs w:val="22"/>
        </w:rPr>
        <w:t xml:space="preserve">The overall objective of the revision of the Insolvency Regulation was to improve the efficiency of the European framework for resolving cross-border insolvency cases in view of ensuring a smooth functioning of the internal market and its resilience in economic crises. </w:t>
      </w:r>
    </w:p>
    <w:p w14:paraId="0063E24C" w14:textId="77777777" w:rsidR="00FC015E" w:rsidRPr="00FC015E" w:rsidRDefault="00FC015E" w:rsidP="00FC015E">
      <w:pPr>
        <w:jc w:val="both"/>
        <w:rPr>
          <w:rFonts w:ascii="Arial" w:hAnsi="Arial" w:cs="Arial"/>
          <w:color w:val="7B7B7B" w:themeColor="accent3" w:themeShade="BF"/>
          <w:sz w:val="22"/>
          <w:szCs w:val="22"/>
        </w:rPr>
      </w:pPr>
    </w:p>
    <w:p w14:paraId="5C25F32B" w14:textId="357914C2" w:rsidR="00FC015E" w:rsidRDefault="00FC015E" w:rsidP="00FC015E">
      <w:pPr>
        <w:jc w:val="both"/>
        <w:rPr>
          <w:rFonts w:ascii="Arial" w:hAnsi="Arial" w:cs="Arial"/>
          <w:color w:val="7B7B7B" w:themeColor="accent3" w:themeShade="BF"/>
          <w:sz w:val="22"/>
          <w:szCs w:val="22"/>
        </w:rPr>
      </w:pPr>
      <w:r w:rsidRPr="00FC015E">
        <w:rPr>
          <w:rFonts w:ascii="Arial" w:hAnsi="Arial" w:cs="Arial"/>
          <w:color w:val="7B7B7B" w:themeColor="accent3" w:themeShade="BF"/>
          <w:sz w:val="22"/>
          <w:szCs w:val="22"/>
        </w:rPr>
        <w:t xml:space="preserve">While the Insolvency Regulation was generally considered to operate successfully in facilitating cross-border insolvency proceedings within the European Union, </w:t>
      </w:r>
      <w:r w:rsidR="00967356">
        <w:rPr>
          <w:rFonts w:ascii="Arial" w:hAnsi="Arial" w:cs="Arial"/>
          <w:color w:val="7B7B7B" w:themeColor="accent3" w:themeShade="BF"/>
          <w:sz w:val="22"/>
          <w:szCs w:val="22"/>
        </w:rPr>
        <w:t xml:space="preserve">the </w:t>
      </w:r>
      <w:r w:rsidRPr="00FC015E">
        <w:rPr>
          <w:rFonts w:ascii="Arial" w:hAnsi="Arial" w:cs="Arial"/>
          <w:color w:val="7B7B7B" w:themeColor="accent3" w:themeShade="BF"/>
          <w:sz w:val="22"/>
          <w:szCs w:val="22"/>
        </w:rPr>
        <w:t>European Commission noted</w:t>
      </w:r>
      <w:r w:rsidR="00967356">
        <w:rPr>
          <w:rFonts w:ascii="Arial" w:hAnsi="Arial" w:cs="Arial"/>
          <w:color w:val="7B7B7B" w:themeColor="accent3" w:themeShade="BF"/>
          <w:sz w:val="22"/>
          <w:szCs w:val="22"/>
        </w:rPr>
        <w:t>,</w:t>
      </w:r>
      <w:r w:rsidRPr="00FC015E">
        <w:rPr>
          <w:rFonts w:ascii="Arial" w:hAnsi="Arial" w:cs="Arial"/>
          <w:color w:val="7B7B7B" w:themeColor="accent3" w:themeShade="BF"/>
          <w:sz w:val="22"/>
          <w:szCs w:val="22"/>
        </w:rPr>
        <w:t xml:space="preserve"> from its consultation with stakeholders and from legal and empirical studies</w:t>
      </w:r>
      <w:r w:rsidR="00967356">
        <w:rPr>
          <w:rFonts w:ascii="Arial" w:hAnsi="Arial" w:cs="Arial"/>
          <w:color w:val="7B7B7B" w:themeColor="accent3" w:themeShade="BF"/>
          <w:sz w:val="22"/>
          <w:szCs w:val="22"/>
        </w:rPr>
        <w:t>,</w:t>
      </w:r>
      <w:r w:rsidRPr="00FC015E">
        <w:rPr>
          <w:rFonts w:ascii="Arial" w:hAnsi="Arial" w:cs="Arial"/>
          <w:color w:val="7B7B7B" w:themeColor="accent3" w:themeShade="BF"/>
          <w:sz w:val="22"/>
          <w:szCs w:val="22"/>
        </w:rPr>
        <w:t xml:space="preserve"> that a range of practical problems arose in the application of the Regulation. </w:t>
      </w:r>
    </w:p>
    <w:p w14:paraId="48245576" w14:textId="77777777" w:rsidR="00FC015E" w:rsidRPr="00FC015E" w:rsidRDefault="00FC015E" w:rsidP="00FC015E">
      <w:pPr>
        <w:jc w:val="both"/>
        <w:rPr>
          <w:rFonts w:ascii="Arial" w:hAnsi="Arial" w:cs="Arial"/>
          <w:color w:val="7B7B7B" w:themeColor="accent3" w:themeShade="BF"/>
          <w:sz w:val="22"/>
          <w:szCs w:val="22"/>
        </w:rPr>
      </w:pPr>
    </w:p>
    <w:p w14:paraId="36EEAF02" w14:textId="08299800" w:rsidR="00FC015E" w:rsidRDefault="00FC015E" w:rsidP="00FC015E">
      <w:pPr>
        <w:jc w:val="both"/>
        <w:rPr>
          <w:rFonts w:ascii="Arial" w:hAnsi="Arial" w:cs="Arial"/>
          <w:color w:val="7B7B7B" w:themeColor="accent3" w:themeShade="BF"/>
          <w:sz w:val="22"/>
          <w:szCs w:val="22"/>
        </w:rPr>
      </w:pPr>
      <w:r w:rsidRPr="00FC015E">
        <w:rPr>
          <w:rFonts w:ascii="Arial" w:hAnsi="Arial" w:cs="Arial"/>
          <w:color w:val="7B7B7B" w:themeColor="accent3" w:themeShade="BF"/>
          <w:sz w:val="22"/>
          <w:szCs w:val="22"/>
        </w:rPr>
        <w:t xml:space="preserve">Moreover, </w:t>
      </w:r>
      <w:r w:rsidR="00D421D6">
        <w:rPr>
          <w:rFonts w:ascii="Arial" w:hAnsi="Arial" w:cs="Arial"/>
          <w:color w:val="7B7B7B" w:themeColor="accent3" w:themeShade="BF"/>
          <w:sz w:val="22"/>
          <w:szCs w:val="22"/>
        </w:rPr>
        <w:t xml:space="preserve">the </w:t>
      </w:r>
      <w:r w:rsidRPr="00FC015E">
        <w:rPr>
          <w:rFonts w:ascii="Arial" w:hAnsi="Arial" w:cs="Arial"/>
          <w:color w:val="7B7B7B" w:themeColor="accent3" w:themeShade="BF"/>
          <w:sz w:val="22"/>
          <w:szCs w:val="22"/>
        </w:rPr>
        <w:t xml:space="preserve">Commission noted the extant Regulation did not sufficiently reflect current EU priorities and national practices in insolvency law, in particular in promoting the rescue of enterprises in difficulties. </w:t>
      </w:r>
    </w:p>
    <w:p w14:paraId="29EC90E9" w14:textId="77777777" w:rsidR="00FC015E" w:rsidRPr="00FC015E" w:rsidRDefault="00FC015E" w:rsidP="00FC015E">
      <w:pPr>
        <w:jc w:val="both"/>
        <w:rPr>
          <w:rFonts w:ascii="Arial" w:hAnsi="Arial" w:cs="Arial"/>
          <w:color w:val="7B7B7B" w:themeColor="accent3" w:themeShade="BF"/>
          <w:sz w:val="22"/>
          <w:szCs w:val="22"/>
        </w:rPr>
      </w:pPr>
    </w:p>
    <w:p w14:paraId="7DBCB943" w14:textId="3F3809FE" w:rsidR="00FC015E" w:rsidRDefault="00FC015E" w:rsidP="00FC015E">
      <w:pPr>
        <w:jc w:val="both"/>
        <w:rPr>
          <w:rFonts w:ascii="Arial" w:hAnsi="Arial" w:cs="Arial"/>
          <w:color w:val="7B7B7B" w:themeColor="accent3" w:themeShade="BF"/>
          <w:sz w:val="22"/>
          <w:szCs w:val="22"/>
        </w:rPr>
      </w:pPr>
      <w:r w:rsidRPr="00FC015E">
        <w:rPr>
          <w:rFonts w:ascii="Arial" w:hAnsi="Arial" w:cs="Arial"/>
          <w:color w:val="7B7B7B" w:themeColor="accent3" w:themeShade="BF"/>
          <w:sz w:val="22"/>
          <w:szCs w:val="22"/>
        </w:rPr>
        <w:t>Five main shortcomings were identified:</w:t>
      </w:r>
    </w:p>
    <w:p w14:paraId="63E42E23" w14:textId="77777777" w:rsidR="00D421D6" w:rsidRPr="00FC015E" w:rsidRDefault="00D421D6" w:rsidP="00FC015E">
      <w:pPr>
        <w:jc w:val="both"/>
        <w:rPr>
          <w:rFonts w:ascii="Arial" w:hAnsi="Arial" w:cs="Arial"/>
          <w:color w:val="7B7B7B" w:themeColor="accent3" w:themeShade="BF"/>
          <w:sz w:val="22"/>
          <w:szCs w:val="22"/>
        </w:rPr>
      </w:pPr>
    </w:p>
    <w:p w14:paraId="4C1C41DD" w14:textId="794CD2B0" w:rsidR="00FC015E" w:rsidRPr="00FC015E" w:rsidRDefault="00FC015E" w:rsidP="00FC015E">
      <w:pPr>
        <w:pStyle w:val="ListParagraph"/>
        <w:numPr>
          <w:ilvl w:val="0"/>
          <w:numId w:val="12"/>
        </w:numPr>
        <w:spacing w:after="160"/>
        <w:jc w:val="both"/>
        <w:rPr>
          <w:rFonts w:ascii="Arial" w:hAnsi="Arial" w:cs="Arial"/>
          <w:color w:val="7B7B7B" w:themeColor="accent3" w:themeShade="BF"/>
          <w:sz w:val="22"/>
          <w:szCs w:val="22"/>
        </w:rPr>
      </w:pPr>
      <w:r w:rsidRPr="00FC015E">
        <w:rPr>
          <w:rFonts w:ascii="Arial" w:hAnsi="Arial" w:cs="Arial"/>
          <w:b/>
          <w:color w:val="7B7B7B" w:themeColor="accent3" w:themeShade="BF"/>
          <w:sz w:val="22"/>
          <w:szCs w:val="22"/>
        </w:rPr>
        <w:t>Scope</w:t>
      </w:r>
      <w:r w:rsidRPr="00FC015E">
        <w:rPr>
          <w:rFonts w:ascii="Arial" w:hAnsi="Arial" w:cs="Arial"/>
          <w:color w:val="7B7B7B" w:themeColor="accent3" w:themeShade="BF"/>
          <w:sz w:val="22"/>
          <w:szCs w:val="22"/>
        </w:rPr>
        <w:t xml:space="preserve"> - The Regulation's scope did not cover national procedures which provide for the restructuring of a company at a pre-insolvency stage (“pre-insolvency proceedings”) or proceedings which leave the existing management in place (“hybrid proceedings”). In addition, there were a number of personal insolvency proceedings outside the Regulation's scope. </w:t>
      </w:r>
    </w:p>
    <w:p w14:paraId="7317A54E" w14:textId="77777777" w:rsidR="00FC015E" w:rsidRPr="00FC015E" w:rsidRDefault="00FC015E" w:rsidP="00FC015E">
      <w:pPr>
        <w:pStyle w:val="ListParagraph"/>
        <w:ind w:left="360"/>
        <w:jc w:val="both"/>
        <w:rPr>
          <w:rFonts w:ascii="Arial" w:hAnsi="Arial" w:cs="Arial"/>
          <w:color w:val="7B7B7B" w:themeColor="accent3" w:themeShade="BF"/>
          <w:sz w:val="22"/>
          <w:szCs w:val="22"/>
        </w:rPr>
      </w:pPr>
    </w:p>
    <w:p w14:paraId="6D2DA25C" w14:textId="77777777" w:rsidR="00FC015E" w:rsidRPr="00FC015E" w:rsidRDefault="00FC015E" w:rsidP="00FC015E">
      <w:pPr>
        <w:pStyle w:val="ListParagraph"/>
        <w:numPr>
          <w:ilvl w:val="0"/>
          <w:numId w:val="12"/>
        </w:numPr>
        <w:spacing w:after="160"/>
        <w:jc w:val="both"/>
        <w:rPr>
          <w:rFonts w:ascii="Arial" w:hAnsi="Arial" w:cs="Arial"/>
          <w:color w:val="7B7B7B" w:themeColor="accent3" w:themeShade="BF"/>
          <w:sz w:val="22"/>
          <w:szCs w:val="22"/>
        </w:rPr>
      </w:pPr>
      <w:r w:rsidRPr="00FC015E">
        <w:rPr>
          <w:rFonts w:ascii="Arial" w:hAnsi="Arial" w:cs="Arial"/>
          <w:b/>
          <w:color w:val="7B7B7B" w:themeColor="accent3" w:themeShade="BF"/>
          <w:sz w:val="22"/>
          <w:szCs w:val="22"/>
        </w:rPr>
        <w:t>Jurisdiction</w:t>
      </w:r>
      <w:r w:rsidRPr="00FC015E">
        <w:rPr>
          <w:rFonts w:ascii="Arial" w:hAnsi="Arial" w:cs="Arial"/>
          <w:color w:val="7B7B7B" w:themeColor="accent3" w:themeShade="BF"/>
          <w:sz w:val="22"/>
          <w:szCs w:val="22"/>
        </w:rPr>
        <w:t xml:space="preserve"> - There were also difficulties in determining which Member State was competent to open insolvency proceedings. The Regulation's jurisdiction rules had also been </w:t>
      </w:r>
      <w:proofErr w:type="spellStart"/>
      <w:r w:rsidRPr="00FC015E">
        <w:rPr>
          <w:rFonts w:ascii="Arial" w:hAnsi="Arial" w:cs="Arial"/>
          <w:color w:val="7B7B7B" w:themeColor="accent3" w:themeShade="BF"/>
          <w:sz w:val="22"/>
          <w:szCs w:val="22"/>
        </w:rPr>
        <w:t>criticised</w:t>
      </w:r>
      <w:proofErr w:type="spellEnd"/>
      <w:r w:rsidRPr="00FC015E">
        <w:rPr>
          <w:rFonts w:ascii="Arial" w:hAnsi="Arial" w:cs="Arial"/>
          <w:color w:val="7B7B7B" w:themeColor="accent3" w:themeShade="BF"/>
          <w:sz w:val="22"/>
          <w:szCs w:val="22"/>
        </w:rPr>
        <w:t xml:space="preserve"> for allowing forum shopping by companies and natural persons through abusive COMI-relocation. </w:t>
      </w:r>
    </w:p>
    <w:p w14:paraId="0ABA9B89" w14:textId="77777777" w:rsidR="00FC015E" w:rsidRPr="00FC015E" w:rsidRDefault="00FC015E" w:rsidP="00FC015E">
      <w:pPr>
        <w:pStyle w:val="ListParagraph"/>
        <w:ind w:left="360"/>
        <w:jc w:val="both"/>
        <w:rPr>
          <w:rFonts w:ascii="Arial" w:hAnsi="Arial" w:cs="Arial"/>
          <w:color w:val="7B7B7B" w:themeColor="accent3" w:themeShade="BF"/>
          <w:sz w:val="22"/>
          <w:szCs w:val="22"/>
        </w:rPr>
      </w:pPr>
    </w:p>
    <w:p w14:paraId="33ED90D7" w14:textId="77777777" w:rsidR="00FC015E" w:rsidRPr="00FC015E" w:rsidRDefault="00FC015E" w:rsidP="00FC015E">
      <w:pPr>
        <w:pStyle w:val="ListParagraph"/>
        <w:numPr>
          <w:ilvl w:val="0"/>
          <w:numId w:val="12"/>
        </w:numPr>
        <w:spacing w:after="160"/>
        <w:jc w:val="both"/>
        <w:rPr>
          <w:rFonts w:ascii="Arial" w:hAnsi="Arial" w:cs="Arial"/>
          <w:color w:val="7B7B7B" w:themeColor="accent3" w:themeShade="BF"/>
          <w:sz w:val="22"/>
          <w:szCs w:val="22"/>
        </w:rPr>
      </w:pPr>
      <w:r w:rsidRPr="00FC015E">
        <w:rPr>
          <w:rFonts w:ascii="Arial" w:hAnsi="Arial" w:cs="Arial"/>
          <w:b/>
          <w:color w:val="7B7B7B" w:themeColor="accent3" w:themeShade="BF"/>
          <w:sz w:val="22"/>
          <w:szCs w:val="22"/>
        </w:rPr>
        <w:t>Secondary proceedings</w:t>
      </w:r>
      <w:r w:rsidRPr="00FC015E">
        <w:rPr>
          <w:rFonts w:ascii="Arial" w:hAnsi="Arial" w:cs="Arial"/>
          <w:color w:val="7B7B7B" w:themeColor="accent3" w:themeShade="BF"/>
          <w:sz w:val="22"/>
          <w:szCs w:val="22"/>
        </w:rPr>
        <w:t xml:space="preserve"> - Problems were also identified with respect to secondary proceedings. Secondary proceedings at the time had to be winding-up proceedings which constituted an obstacle to the successful restructuring of a debtor. </w:t>
      </w:r>
    </w:p>
    <w:p w14:paraId="3BDA592E" w14:textId="77777777" w:rsidR="00FC015E" w:rsidRPr="00FC015E" w:rsidRDefault="00FC015E" w:rsidP="00FC015E">
      <w:pPr>
        <w:pStyle w:val="ListParagraph"/>
        <w:jc w:val="both"/>
        <w:rPr>
          <w:sz w:val="22"/>
          <w:szCs w:val="22"/>
        </w:rPr>
      </w:pPr>
    </w:p>
    <w:p w14:paraId="429C01B8" w14:textId="7C80F1BE" w:rsidR="00FC015E" w:rsidRPr="00FC015E" w:rsidRDefault="00FC015E" w:rsidP="00FC015E">
      <w:pPr>
        <w:pStyle w:val="ListParagraph"/>
        <w:numPr>
          <w:ilvl w:val="0"/>
          <w:numId w:val="12"/>
        </w:numPr>
        <w:spacing w:after="160"/>
        <w:jc w:val="both"/>
        <w:rPr>
          <w:rFonts w:ascii="Arial" w:hAnsi="Arial" w:cs="Arial"/>
          <w:color w:val="7B7B7B" w:themeColor="accent3" w:themeShade="BF"/>
          <w:sz w:val="22"/>
          <w:szCs w:val="22"/>
        </w:rPr>
      </w:pPr>
      <w:r w:rsidRPr="00FC015E">
        <w:rPr>
          <w:rFonts w:ascii="Arial" w:hAnsi="Arial" w:cs="Arial"/>
          <w:b/>
          <w:color w:val="7B7B7B" w:themeColor="accent3" w:themeShade="BF"/>
          <w:sz w:val="22"/>
          <w:szCs w:val="22"/>
        </w:rPr>
        <w:t>Publicity</w:t>
      </w:r>
      <w:r w:rsidR="00D421D6">
        <w:rPr>
          <w:rFonts w:ascii="Arial" w:hAnsi="Arial" w:cs="Arial"/>
          <w:color w:val="7B7B7B" w:themeColor="accent3" w:themeShade="BF"/>
          <w:sz w:val="22"/>
          <w:szCs w:val="22"/>
        </w:rPr>
        <w:t xml:space="preserve"> - There we</w:t>
      </w:r>
      <w:r w:rsidRPr="00FC015E">
        <w:rPr>
          <w:rFonts w:ascii="Arial" w:hAnsi="Arial" w:cs="Arial"/>
          <w:color w:val="7B7B7B" w:themeColor="accent3" w:themeShade="BF"/>
          <w:sz w:val="22"/>
          <w:szCs w:val="22"/>
        </w:rPr>
        <w:t>re issues relating to the rules on publicity of insolvency proceedings and the lodging of claims. There was no mandatory publication or registration of the decisions in the Me</w:t>
      </w:r>
      <w:r w:rsidR="00D421D6">
        <w:rPr>
          <w:rFonts w:ascii="Arial" w:hAnsi="Arial" w:cs="Arial"/>
          <w:color w:val="7B7B7B" w:themeColor="accent3" w:themeShade="BF"/>
          <w:sz w:val="22"/>
          <w:szCs w:val="22"/>
        </w:rPr>
        <w:t>mber States where a proceeding wa</w:t>
      </w:r>
      <w:r w:rsidRPr="00FC015E">
        <w:rPr>
          <w:rFonts w:ascii="Arial" w:hAnsi="Arial" w:cs="Arial"/>
          <w:color w:val="7B7B7B" w:themeColor="accent3" w:themeShade="BF"/>
          <w:sz w:val="22"/>
          <w:szCs w:val="22"/>
        </w:rPr>
        <w:t xml:space="preserve">s opened, nor in Member States where there is an establishment. There was also no European Insolvency Register which would permit searches in several national registers. </w:t>
      </w:r>
    </w:p>
    <w:p w14:paraId="75FAB8AC" w14:textId="77777777" w:rsidR="00FC015E" w:rsidRPr="00FC015E" w:rsidRDefault="00FC015E" w:rsidP="00FC015E">
      <w:pPr>
        <w:pStyle w:val="ListParagraph"/>
        <w:jc w:val="both"/>
        <w:rPr>
          <w:rFonts w:ascii="Arial" w:hAnsi="Arial" w:cs="Arial"/>
          <w:color w:val="7B7B7B" w:themeColor="accent3" w:themeShade="BF"/>
          <w:sz w:val="22"/>
          <w:szCs w:val="22"/>
        </w:rPr>
      </w:pPr>
    </w:p>
    <w:p w14:paraId="4024A332" w14:textId="69F574CC" w:rsidR="00544127" w:rsidRPr="00FC015E" w:rsidRDefault="00FC015E" w:rsidP="00FC015E">
      <w:pPr>
        <w:pStyle w:val="ListParagraph"/>
        <w:numPr>
          <w:ilvl w:val="0"/>
          <w:numId w:val="12"/>
        </w:numPr>
        <w:spacing w:after="160"/>
        <w:jc w:val="both"/>
        <w:rPr>
          <w:rFonts w:ascii="Arial" w:hAnsi="Arial" w:cs="Arial"/>
          <w:color w:val="7B7B7B" w:themeColor="accent3" w:themeShade="BF"/>
        </w:rPr>
      </w:pPr>
      <w:r w:rsidRPr="00FC015E">
        <w:rPr>
          <w:rFonts w:ascii="Arial" w:hAnsi="Arial" w:cs="Arial"/>
          <w:b/>
          <w:color w:val="7B7B7B" w:themeColor="accent3" w:themeShade="BF"/>
          <w:sz w:val="22"/>
          <w:szCs w:val="22"/>
        </w:rPr>
        <w:t>Groups of Companies</w:t>
      </w:r>
      <w:r w:rsidRPr="00FC015E">
        <w:rPr>
          <w:rFonts w:ascii="Arial" w:hAnsi="Arial" w:cs="Arial"/>
          <w:color w:val="7B7B7B" w:themeColor="accent3" w:themeShade="BF"/>
          <w:sz w:val="22"/>
          <w:szCs w:val="22"/>
        </w:rPr>
        <w:t xml:space="preserve"> - The Regulation did not contain specific rules dealing with the insolvency of a multi-national enterprise group, yet a large number of cross-border insolvencies involved groups of companies. The lack of specific provisions for group insolvency diminished the prospects of successful restructuring of the group as a whole and was leading to a break-up of the groups into their constituting parts.</w:t>
      </w:r>
      <w:r w:rsidR="00DF75F8" w:rsidRPr="00FC015E">
        <w:rPr>
          <w:rFonts w:ascii="Arial" w:hAnsi="Arial" w:cs="Arial"/>
          <w:color w:val="7B7B7B" w:themeColor="accent3" w:themeShade="BF"/>
          <w:sz w:val="22"/>
          <w:szCs w:val="22"/>
          <w:lang w:val="en-GB"/>
        </w:rPr>
        <w:t>]</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32DECB6A" w:rsidR="00C550C8" w:rsidRPr="008500BD" w:rsidRDefault="00C550C8" w:rsidP="00D421D6">
      <w:pPr>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FA39AC2" w14:textId="06BFE61B" w:rsidR="00EE5F81" w:rsidRPr="00EE5F81" w:rsidRDefault="00DF75F8" w:rsidP="00EE5F81">
      <w:pPr>
        <w:jc w:val="both"/>
        <w:rPr>
          <w:rStyle w:val="fontstyle01"/>
          <w:rFonts w:ascii="Arial" w:hAnsi="Arial" w:cs="Arial"/>
          <w:color w:val="7B7B7B" w:themeColor="accent3" w:themeShade="BF"/>
          <w:sz w:val="22"/>
          <w:szCs w:val="22"/>
        </w:rPr>
      </w:pPr>
      <w:r w:rsidRPr="00EE5F81">
        <w:rPr>
          <w:rFonts w:ascii="Arial" w:hAnsi="Arial" w:cs="Arial"/>
          <w:color w:val="7B7B7B" w:themeColor="accent3" w:themeShade="BF"/>
          <w:sz w:val="22"/>
          <w:szCs w:val="22"/>
          <w:lang w:val="en-GB"/>
        </w:rPr>
        <w:t>[</w:t>
      </w:r>
      <w:r w:rsidR="00EE5F81" w:rsidRPr="00EE5F81">
        <w:rPr>
          <w:rStyle w:val="fontstyle01"/>
          <w:rFonts w:ascii="Arial" w:hAnsi="Arial" w:cs="Arial"/>
          <w:color w:val="7B7B7B" w:themeColor="accent3" w:themeShade="BF"/>
          <w:sz w:val="22"/>
          <w:szCs w:val="22"/>
        </w:rPr>
        <w:t>The EIR recast was designed to address shortcomings in EIR 2000 and includes many helpful changes. In particular:</w:t>
      </w:r>
    </w:p>
    <w:p w14:paraId="0AEB41E6" w14:textId="77777777" w:rsidR="00EE5F81" w:rsidRPr="00EE5F81" w:rsidRDefault="00EE5F81" w:rsidP="00EE5F81">
      <w:pPr>
        <w:jc w:val="both"/>
        <w:rPr>
          <w:rStyle w:val="fontstyle01"/>
          <w:rFonts w:ascii="Arial" w:hAnsi="Arial" w:cs="Arial"/>
          <w:color w:val="7B7B7B" w:themeColor="accent3" w:themeShade="BF"/>
          <w:sz w:val="22"/>
          <w:szCs w:val="22"/>
        </w:rPr>
      </w:pPr>
    </w:p>
    <w:p w14:paraId="4275062D" w14:textId="224F12E5" w:rsidR="00EE5F81" w:rsidRPr="00EE5F81" w:rsidRDefault="00EE5F81" w:rsidP="00EE5F81">
      <w:pPr>
        <w:pStyle w:val="ListParagraph"/>
        <w:numPr>
          <w:ilvl w:val="0"/>
          <w:numId w:val="13"/>
        </w:numPr>
        <w:spacing w:after="160" w:line="259" w:lineRule="auto"/>
        <w:jc w:val="both"/>
        <w:rPr>
          <w:rFonts w:ascii="Arial" w:hAnsi="Arial" w:cs="Arial"/>
          <w:color w:val="7B7B7B" w:themeColor="accent3" w:themeShade="BF"/>
          <w:sz w:val="22"/>
          <w:szCs w:val="22"/>
        </w:rPr>
      </w:pPr>
      <w:r w:rsidRPr="008E2926">
        <w:rPr>
          <w:rStyle w:val="fontstyle01"/>
          <w:rFonts w:ascii="Arial" w:hAnsi="Arial" w:cs="Arial"/>
          <w:b/>
          <w:color w:val="7B7B7B" w:themeColor="accent3" w:themeShade="BF"/>
          <w:sz w:val="22"/>
          <w:szCs w:val="22"/>
        </w:rPr>
        <w:t>Centre of Main Interests (COMI)</w:t>
      </w:r>
      <w:r w:rsidRPr="00EE5F81">
        <w:rPr>
          <w:rStyle w:val="fontstyle01"/>
          <w:rFonts w:ascii="Arial" w:hAnsi="Arial" w:cs="Arial"/>
          <w:color w:val="7B7B7B" w:themeColor="accent3" w:themeShade="BF"/>
          <w:sz w:val="22"/>
          <w:szCs w:val="22"/>
        </w:rPr>
        <w:t xml:space="preserve"> – EIR 2000 did not contain a definition of COMI although guidance was provided in Recital 13. This created a certain level of uncertainty. In contrast Article 3(1) of EIR Recast mandates that COMI shall be the place where the debtor conducts the administration of the its interests on a regular basis and which is ascertainable by third parties (see </w:t>
      </w:r>
      <w:proofErr w:type="spellStart"/>
      <w:r w:rsidR="00891167">
        <w:rPr>
          <w:rStyle w:val="fontstyle01"/>
          <w:rFonts w:ascii="Arial" w:hAnsi="Arial" w:cs="Arial"/>
          <w:i/>
          <w:color w:val="7B7B7B" w:themeColor="accent3" w:themeShade="BF"/>
          <w:sz w:val="22"/>
          <w:szCs w:val="22"/>
        </w:rPr>
        <w:t>Eurofood</w:t>
      </w:r>
      <w:proofErr w:type="spellEnd"/>
      <w:r w:rsidR="00891167">
        <w:rPr>
          <w:rStyle w:val="fontstyle01"/>
          <w:rFonts w:ascii="Arial" w:hAnsi="Arial" w:cs="Arial"/>
          <w:i/>
          <w:color w:val="7B7B7B" w:themeColor="accent3" w:themeShade="BF"/>
          <w:sz w:val="22"/>
          <w:szCs w:val="22"/>
        </w:rPr>
        <w:t xml:space="preserve"> IFSC Ltd Case C-341/04 </w:t>
      </w:r>
      <w:r w:rsidRPr="00EE5F81">
        <w:rPr>
          <w:rStyle w:val="fontstyle01"/>
          <w:rFonts w:ascii="Arial" w:hAnsi="Arial" w:cs="Arial"/>
          <w:i/>
          <w:color w:val="7B7B7B" w:themeColor="accent3" w:themeShade="BF"/>
          <w:sz w:val="22"/>
          <w:szCs w:val="22"/>
        </w:rPr>
        <w:t>ECLI</w:t>
      </w:r>
      <w:proofErr w:type="gramStart"/>
      <w:r w:rsidRPr="00EE5F81">
        <w:rPr>
          <w:rStyle w:val="fontstyle01"/>
          <w:rFonts w:ascii="Arial" w:hAnsi="Arial" w:cs="Arial"/>
          <w:i/>
          <w:color w:val="7B7B7B" w:themeColor="accent3" w:themeShade="BF"/>
          <w:sz w:val="22"/>
          <w:szCs w:val="22"/>
        </w:rPr>
        <w:t>:EU:C:2006:281</w:t>
      </w:r>
      <w:proofErr w:type="gramEnd"/>
      <w:r w:rsidRPr="00EE5F81">
        <w:rPr>
          <w:rStyle w:val="fontstyle01"/>
          <w:rFonts w:ascii="Arial" w:hAnsi="Arial" w:cs="Arial"/>
          <w:i/>
          <w:color w:val="7B7B7B" w:themeColor="accent3" w:themeShade="BF"/>
          <w:sz w:val="22"/>
          <w:szCs w:val="22"/>
        </w:rPr>
        <w:t xml:space="preserve"> (2 May 2006)). </w:t>
      </w:r>
      <w:r w:rsidRPr="00EE5F81">
        <w:rPr>
          <w:rStyle w:val="fontstyle01"/>
          <w:rFonts w:ascii="Arial" w:hAnsi="Arial" w:cs="Arial"/>
          <w:color w:val="7B7B7B" w:themeColor="accent3" w:themeShade="BF"/>
          <w:sz w:val="22"/>
          <w:szCs w:val="22"/>
        </w:rPr>
        <w:t>The autonomous meaning of COMI facilitates legal certainty and predictability by all stakeholders dealing with a debtor.</w:t>
      </w:r>
      <w:r w:rsidRPr="00EE5F81">
        <w:rPr>
          <w:rStyle w:val="fontstyle01"/>
          <w:rFonts w:ascii="Arial" w:hAnsi="Arial" w:cs="Arial"/>
          <w:i/>
          <w:color w:val="7B7B7B" w:themeColor="accent3" w:themeShade="BF"/>
          <w:sz w:val="22"/>
          <w:szCs w:val="22"/>
        </w:rPr>
        <w:t xml:space="preserve">  </w:t>
      </w:r>
      <w:r w:rsidRPr="00EE5F81">
        <w:rPr>
          <w:rStyle w:val="fontstyle01"/>
          <w:rFonts w:ascii="Arial" w:hAnsi="Arial" w:cs="Arial"/>
          <w:color w:val="7B7B7B" w:themeColor="accent3" w:themeShade="BF"/>
          <w:sz w:val="22"/>
          <w:szCs w:val="22"/>
        </w:rPr>
        <w:t>EIR Recast contains a presumption that a debtor's COMI is in the place of its registered office and this can only be rebutted if objective factors indicate that the administration of a debtor’s interests happens in a State different from the State of the registered office. This measure is designed to curb abusive forum shopping.</w:t>
      </w:r>
    </w:p>
    <w:p w14:paraId="1E7AD660" w14:textId="77777777" w:rsidR="00EE5F81" w:rsidRPr="00EE5F81" w:rsidRDefault="00EE5F81" w:rsidP="00EE5F81">
      <w:pPr>
        <w:pStyle w:val="ListParagraph"/>
        <w:ind w:left="360"/>
        <w:jc w:val="both"/>
        <w:rPr>
          <w:rStyle w:val="fontstyle21"/>
          <w:rFonts w:ascii="Arial" w:hAnsi="Arial" w:cs="Arial"/>
          <w:color w:val="7B7B7B" w:themeColor="accent3" w:themeShade="BF"/>
          <w:sz w:val="22"/>
          <w:szCs w:val="22"/>
        </w:rPr>
      </w:pPr>
    </w:p>
    <w:p w14:paraId="697ED52C" w14:textId="77777777" w:rsidR="00EE5F81" w:rsidRPr="00EE5F81" w:rsidRDefault="00EE5F81" w:rsidP="00EE5F81">
      <w:pPr>
        <w:pStyle w:val="ListParagraph"/>
        <w:numPr>
          <w:ilvl w:val="0"/>
          <w:numId w:val="13"/>
        </w:numPr>
        <w:spacing w:after="160" w:line="259" w:lineRule="auto"/>
        <w:jc w:val="both"/>
        <w:rPr>
          <w:rStyle w:val="fontstyle01"/>
          <w:rFonts w:ascii="Arial" w:hAnsi="Arial" w:cs="Arial"/>
          <w:color w:val="7B7B7B" w:themeColor="accent3" w:themeShade="BF"/>
          <w:sz w:val="22"/>
          <w:szCs w:val="22"/>
        </w:rPr>
      </w:pPr>
      <w:r w:rsidRPr="00EE5F81">
        <w:rPr>
          <w:rStyle w:val="fontstyle01"/>
          <w:rFonts w:ascii="Arial" w:hAnsi="Arial" w:cs="Arial"/>
          <w:b/>
          <w:color w:val="7B7B7B" w:themeColor="accent3" w:themeShade="BF"/>
          <w:sz w:val="22"/>
          <w:szCs w:val="22"/>
        </w:rPr>
        <w:t xml:space="preserve">Recognition and enforceability of other judgments </w:t>
      </w:r>
      <w:r w:rsidRPr="00EE5F81">
        <w:rPr>
          <w:rStyle w:val="fontstyle01"/>
          <w:rFonts w:ascii="Arial" w:hAnsi="Arial" w:cs="Arial"/>
          <w:color w:val="7B7B7B" w:themeColor="accent3" w:themeShade="BF"/>
          <w:sz w:val="22"/>
          <w:szCs w:val="22"/>
        </w:rPr>
        <w:t>-</w:t>
      </w:r>
      <w:r w:rsidRPr="00EE5F81">
        <w:rPr>
          <w:rStyle w:val="fontstyle21"/>
          <w:rFonts w:ascii="Arial" w:hAnsi="Arial" w:cs="Arial"/>
          <w:color w:val="7B7B7B" w:themeColor="accent3" w:themeShade="BF"/>
          <w:sz w:val="22"/>
          <w:szCs w:val="22"/>
        </w:rPr>
        <w:t xml:space="preserve"> Article 32(1) of EIR Recast mandates that judgements covered by it (including judgments deriving directly from the insolvency proceedings or preservation measures), concerning course and closure of insolvency proceedings and compositions, shall be </w:t>
      </w:r>
      <w:proofErr w:type="spellStart"/>
      <w:r w:rsidRPr="00EE5F81">
        <w:rPr>
          <w:rStyle w:val="fontstyle21"/>
          <w:rFonts w:ascii="Arial" w:hAnsi="Arial" w:cs="Arial"/>
          <w:color w:val="7B7B7B" w:themeColor="accent3" w:themeShade="BF"/>
          <w:sz w:val="22"/>
          <w:szCs w:val="22"/>
        </w:rPr>
        <w:t>recognised</w:t>
      </w:r>
      <w:proofErr w:type="spellEnd"/>
      <w:r w:rsidRPr="00EE5F81">
        <w:rPr>
          <w:rStyle w:val="fontstyle21"/>
          <w:rFonts w:ascii="Arial" w:hAnsi="Arial" w:cs="Arial"/>
          <w:color w:val="7B7B7B" w:themeColor="accent3" w:themeShade="BF"/>
          <w:sz w:val="22"/>
          <w:szCs w:val="22"/>
        </w:rPr>
        <w:t xml:space="preserve"> with no further formalities. Such judgments shall be enforced in accordance with Articles 39 to 44 and 47 to 57 of Regulation (EU) No 1215/2012. There is therefore no declaration of enforceability, approval or exequatur required. This was not the case with EIR 2000 which required the declaration of enforceability by a court in the State where enforcement was sought. This represents a major procedural improvement in enforcement of insolvency judgements.</w:t>
      </w:r>
    </w:p>
    <w:p w14:paraId="41C4F0F2" w14:textId="77777777" w:rsidR="00EE5F81" w:rsidRPr="00EE5F81" w:rsidRDefault="00EE5F81" w:rsidP="00EE5F81">
      <w:pPr>
        <w:pStyle w:val="ListParagraph"/>
        <w:ind w:left="360"/>
        <w:jc w:val="both"/>
        <w:rPr>
          <w:rStyle w:val="fontstyle01"/>
          <w:rFonts w:ascii="Arial" w:hAnsi="Arial" w:cs="Arial"/>
          <w:color w:val="7B7B7B" w:themeColor="accent3" w:themeShade="BF"/>
          <w:sz w:val="22"/>
          <w:szCs w:val="22"/>
        </w:rPr>
      </w:pPr>
    </w:p>
    <w:p w14:paraId="7940D274" w14:textId="562510F0" w:rsidR="00DF75F8" w:rsidRPr="00EE5F81" w:rsidRDefault="00EE5F81" w:rsidP="002A37BB">
      <w:pPr>
        <w:pStyle w:val="ListParagraph"/>
        <w:numPr>
          <w:ilvl w:val="0"/>
          <w:numId w:val="13"/>
        </w:numPr>
        <w:spacing w:after="160" w:line="259" w:lineRule="auto"/>
        <w:jc w:val="both"/>
        <w:rPr>
          <w:rFonts w:ascii="Arial" w:hAnsi="Arial" w:cs="Arial"/>
          <w:b/>
          <w:color w:val="7B7B7B" w:themeColor="accent3" w:themeShade="BF"/>
          <w:sz w:val="22"/>
          <w:szCs w:val="22"/>
        </w:rPr>
      </w:pPr>
      <w:r w:rsidRPr="00EE5F81">
        <w:rPr>
          <w:rStyle w:val="fontstyle01"/>
          <w:rFonts w:ascii="Arial" w:hAnsi="Arial" w:cs="Arial"/>
          <w:b/>
          <w:color w:val="7B7B7B" w:themeColor="accent3" w:themeShade="BF"/>
          <w:sz w:val="22"/>
          <w:szCs w:val="22"/>
        </w:rPr>
        <w:t>Duty to inform creditors</w:t>
      </w:r>
      <w:r w:rsidRPr="00EE5F81">
        <w:rPr>
          <w:rStyle w:val="fontstyle01"/>
          <w:rFonts w:ascii="Arial" w:hAnsi="Arial" w:cs="Arial"/>
          <w:color w:val="7B7B7B" w:themeColor="accent3" w:themeShade="BF"/>
          <w:sz w:val="22"/>
          <w:szCs w:val="22"/>
        </w:rPr>
        <w:t xml:space="preserve"> – EIR 2000 had left it to the discretion of insolvency practitioner to publish, in other Member States, information regarding the opening of insolvency proceedings. In contrast</w:t>
      </w:r>
      <w:r w:rsidR="00891167">
        <w:rPr>
          <w:rStyle w:val="fontstyle01"/>
          <w:rFonts w:ascii="Arial" w:hAnsi="Arial" w:cs="Arial"/>
          <w:color w:val="7B7B7B" w:themeColor="accent3" w:themeShade="BF"/>
          <w:sz w:val="22"/>
          <w:szCs w:val="22"/>
        </w:rPr>
        <w:t>,</w:t>
      </w:r>
      <w:r w:rsidRPr="00EE5F81">
        <w:rPr>
          <w:rStyle w:val="fontstyle01"/>
          <w:rFonts w:ascii="Arial" w:hAnsi="Arial" w:cs="Arial"/>
          <w:color w:val="7B7B7B" w:themeColor="accent3" w:themeShade="BF"/>
          <w:sz w:val="22"/>
          <w:szCs w:val="22"/>
        </w:rPr>
        <w:t xml:space="preserve"> Article 28(1) of EIR Recast obligates the insolvency practitioner or debtor in possession to request the publication of the notice of the opening of insolvency proceedings, whether main or secondary, at the place of the debtor’s establishment in accordance with the publication procedures provided for in the Member State. This addresses the need to inform foreign creditors amidst the difficulties and barriers they face (such as language, procedure and information) regarding foreign insolvencies.</w:t>
      </w:r>
      <w:r w:rsidR="00DF75F8" w:rsidRPr="00EE5F81">
        <w:rPr>
          <w:rFonts w:ascii="Arial" w:hAnsi="Arial" w:cs="Arial"/>
          <w:color w:val="7B7B7B" w:themeColor="accent3" w:themeShade="BF"/>
          <w:sz w:val="22"/>
          <w:szCs w:val="22"/>
          <w:lang w:val="en-GB"/>
        </w:rPr>
        <w:t>]</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13EF4D96" w14:textId="77777777" w:rsidR="00337002" w:rsidRPr="00337002" w:rsidRDefault="00DF75F8" w:rsidP="00337002">
      <w:pPr>
        <w:jc w:val="both"/>
        <w:rPr>
          <w:rFonts w:ascii="Arial" w:hAnsi="Arial" w:cs="Arial"/>
          <w:b/>
          <w:color w:val="7B7B7B" w:themeColor="accent3" w:themeShade="BF"/>
          <w:sz w:val="22"/>
          <w:szCs w:val="22"/>
        </w:rPr>
      </w:pPr>
      <w:r w:rsidRPr="00337002">
        <w:rPr>
          <w:rFonts w:ascii="Arial" w:hAnsi="Arial" w:cs="Arial"/>
          <w:color w:val="7B7B7B" w:themeColor="accent3" w:themeShade="BF"/>
          <w:sz w:val="22"/>
          <w:szCs w:val="22"/>
          <w:lang w:val="en-GB"/>
        </w:rPr>
        <w:t>[</w:t>
      </w:r>
      <w:r w:rsidR="00337002" w:rsidRPr="00337002">
        <w:rPr>
          <w:rFonts w:ascii="Arial" w:hAnsi="Arial" w:cs="Arial"/>
          <w:b/>
          <w:color w:val="7B7B7B" w:themeColor="accent3" w:themeShade="BF"/>
          <w:sz w:val="22"/>
          <w:szCs w:val="22"/>
        </w:rPr>
        <w:t>Article 72 - Tasks and rights of the coordinator</w:t>
      </w:r>
    </w:p>
    <w:p w14:paraId="5E80240B" w14:textId="77777777" w:rsidR="00337002" w:rsidRPr="00337002" w:rsidRDefault="00337002" w:rsidP="00337002">
      <w:pPr>
        <w:pStyle w:val="ListParagraph"/>
        <w:ind w:left="360"/>
        <w:jc w:val="both"/>
        <w:rPr>
          <w:rFonts w:ascii="Arial" w:hAnsi="Arial" w:cs="Arial"/>
          <w:b/>
          <w:color w:val="7B7B7B" w:themeColor="accent3" w:themeShade="BF"/>
          <w:sz w:val="22"/>
          <w:szCs w:val="22"/>
        </w:rPr>
      </w:pPr>
    </w:p>
    <w:p w14:paraId="74F3AECE" w14:textId="77777777"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Article 72(1) provides for the appointment of a Group Coordinator. Article 72(2) explains the duties of the coordinator to include:</w:t>
      </w:r>
    </w:p>
    <w:p w14:paraId="43861BDB" w14:textId="77777777" w:rsidR="00337002" w:rsidRPr="00337002" w:rsidRDefault="00337002" w:rsidP="00337002">
      <w:pPr>
        <w:pStyle w:val="ListParagraph"/>
        <w:numPr>
          <w:ilvl w:val="0"/>
          <w:numId w:val="14"/>
        </w:num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lastRenderedPageBreak/>
        <w:t>identify and outline recommendations for the coordinated conduct of the insolvency proceedings;</w:t>
      </w:r>
    </w:p>
    <w:p w14:paraId="0AE786B0" w14:textId="77777777" w:rsidR="00337002" w:rsidRPr="00337002" w:rsidRDefault="00337002" w:rsidP="00337002">
      <w:pPr>
        <w:pStyle w:val="ListParagraph"/>
        <w:numPr>
          <w:ilvl w:val="0"/>
          <w:numId w:val="14"/>
        </w:numPr>
        <w:jc w:val="both"/>
        <w:rPr>
          <w:rFonts w:ascii="Arial" w:hAnsi="Arial" w:cs="Arial"/>
          <w:color w:val="7B7B7B" w:themeColor="accent3" w:themeShade="BF"/>
          <w:sz w:val="22"/>
          <w:szCs w:val="22"/>
        </w:rPr>
      </w:pPr>
      <w:proofErr w:type="gramStart"/>
      <w:r w:rsidRPr="00337002">
        <w:rPr>
          <w:rFonts w:ascii="Arial" w:hAnsi="Arial" w:cs="Arial"/>
          <w:color w:val="7B7B7B" w:themeColor="accent3" w:themeShade="BF"/>
          <w:sz w:val="22"/>
          <w:szCs w:val="22"/>
        </w:rPr>
        <w:t>propose</w:t>
      </w:r>
      <w:proofErr w:type="gramEnd"/>
      <w:r w:rsidRPr="00337002">
        <w:rPr>
          <w:rFonts w:ascii="Arial" w:hAnsi="Arial" w:cs="Arial"/>
          <w:color w:val="7B7B7B" w:themeColor="accent3" w:themeShade="BF"/>
          <w:sz w:val="22"/>
          <w:szCs w:val="22"/>
        </w:rPr>
        <w:t xml:space="preserve"> a group coordination plan that identifies, describes and recommends a comprehensive set of measures appropriate to an integrated approach to the resolution of the group members' insolvencies. In particular, the plan may contain proposals for:</w:t>
      </w:r>
    </w:p>
    <w:p w14:paraId="6F26D784" w14:textId="77777777" w:rsidR="00337002" w:rsidRPr="00337002" w:rsidRDefault="00337002" w:rsidP="00337002">
      <w:pPr>
        <w:pStyle w:val="ListParagraph"/>
        <w:ind w:left="420"/>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br/>
        <w:t>(</w:t>
      </w:r>
      <w:proofErr w:type="spellStart"/>
      <w:r w:rsidRPr="00337002">
        <w:rPr>
          <w:rFonts w:ascii="Arial" w:hAnsi="Arial" w:cs="Arial"/>
          <w:color w:val="7B7B7B" w:themeColor="accent3" w:themeShade="BF"/>
          <w:sz w:val="22"/>
          <w:szCs w:val="22"/>
        </w:rPr>
        <w:t>i</w:t>
      </w:r>
      <w:proofErr w:type="spellEnd"/>
      <w:r w:rsidRPr="00337002">
        <w:rPr>
          <w:rFonts w:ascii="Arial" w:hAnsi="Arial" w:cs="Arial"/>
          <w:color w:val="7B7B7B" w:themeColor="accent3" w:themeShade="BF"/>
          <w:sz w:val="22"/>
          <w:szCs w:val="22"/>
        </w:rPr>
        <w:t xml:space="preserve">) </w:t>
      </w:r>
      <w:proofErr w:type="gramStart"/>
      <w:r w:rsidRPr="00337002">
        <w:rPr>
          <w:rFonts w:ascii="Arial" w:hAnsi="Arial" w:cs="Arial"/>
          <w:color w:val="7B7B7B" w:themeColor="accent3" w:themeShade="BF"/>
          <w:sz w:val="22"/>
          <w:szCs w:val="22"/>
        </w:rPr>
        <w:t>the</w:t>
      </w:r>
      <w:proofErr w:type="gramEnd"/>
      <w:r w:rsidRPr="00337002">
        <w:rPr>
          <w:rFonts w:ascii="Arial" w:hAnsi="Arial" w:cs="Arial"/>
          <w:color w:val="7B7B7B" w:themeColor="accent3" w:themeShade="BF"/>
          <w:sz w:val="22"/>
          <w:szCs w:val="22"/>
        </w:rPr>
        <w:t xml:space="preserve"> measures to be taken in order to re-establish the economic performance and the financial soundness of the group or any part of it; </w:t>
      </w:r>
    </w:p>
    <w:p w14:paraId="116F49E1" w14:textId="77777777" w:rsidR="00337002" w:rsidRPr="00337002" w:rsidRDefault="00337002" w:rsidP="00337002">
      <w:pPr>
        <w:pStyle w:val="ListParagraph"/>
        <w:ind w:left="420"/>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 xml:space="preserve">(ii) </w:t>
      </w:r>
      <w:proofErr w:type="gramStart"/>
      <w:r w:rsidRPr="00337002">
        <w:rPr>
          <w:rFonts w:ascii="Arial" w:hAnsi="Arial" w:cs="Arial"/>
          <w:color w:val="7B7B7B" w:themeColor="accent3" w:themeShade="BF"/>
          <w:sz w:val="22"/>
          <w:szCs w:val="22"/>
        </w:rPr>
        <w:t>the</w:t>
      </w:r>
      <w:proofErr w:type="gramEnd"/>
      <w:r w:rsidRPr="00337002">
        <w:rPr>
          <w:rFonts w:ascii="Arial" w:hAnsi="Arial" w:cs="Arial"/>
          <w:color w:val="7B7B7B" w:themeColor="accent3" w:themeShade="BF"/>
          <w:sz w:val="22"/>
          <w:szCs w:val="22"/>
        </w:rPr>
        <w:t xml:space="preserve"> settlement of intra-group disputes as regards intra-group transactions and avoidance actions;</w:t>
      </w:r>
    </w:p>
    <w:p w14:paraId="4026CB07" w14:textId="4E93CE77" w:rsidR="00337002" w:rsidRPr="00337002" w:rsidRDefault="00337002" w:rsidP="00337002">
      <w:pPr>
        <w:pStyle w:val="ListParagraph"/>
        <w:ind w:left="420"/>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 xml:space="preserve">(iii) </w:t>
      </w:r>
      <w:proofErr w:type="gramStart"/>
      <w:r w:rsidRPr="00337002">
        <w:rPr>
          <w:rFonts w:ascii="Arial" w:hAnsi="Arial" w:cs="Arial"/>
          <w:color w:val="7B7B7B" w:themeColor="accent3" w:themeShade="BF"/>
          <w:sz w:val="22"/>
          <w:szCs w:val="22"/>
        </w:rPr>
        <w:t>agreements</w:t>
      </w:r>
      <w:proofErr w:type="gramEnd"/>
      <w:r w:rsidRPr="00337002">
        <w:rPr>
          <w:rFonts w:ascii="Arial" w:hAnsi="Arial" w:cs="Arial"/>
          <w:color w:val="7B7B7B" w:themeColor="accent3" w:themeShade="BF"/>
          <w:sz w:val="22"/>
          <w:szCs w:val="22"/>
        </w:rPr>
        <w:t xml:space="preserve"> between the insolvency practitioners of the insolvent group members.</w:t>
      </w:r>
    </w:p>
    <w:p w14:paraId="2B47B0EC" w14:textId="77777777" w:rsidR="00337002" w:rsidRPr="00337002" w:rsidRDefault="00337002" w:rsidP="00337002">
      <w:pPr>
        <w:jc w:val="both"/>
        <w:rPr>
          <w:rFonts w:ascii="Arial" w:hAnsi="Arial" w:cs="Arial"/>
          <w:color w:val="7B7B7B" w:themeColor="accent3" w:themeShade="BF"/>
          <w:sz w:val="22"/>
          <w:szCs w:val="22"/>
        </w:rPr>
      </w:pPr>
    </w:p>
    <w:p w14:paraId="785B1E5B" w14:textId="685D119B"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 xml:space="preserve">Apart from the power of the Coordinator to request for a stay of up to six months of proceedings opened </w:t>
      </w:r>
      <w:r w:rsidR="006D2DBE">
        <w:rPr>
          <w:rFonts w:ascii="Arial" w:hAnsi="Arial" w:cs="Arial"/>
          <w:color w:val="7B7B7B" w:themeColor="accent3" w:themeShade="BF"/>
          <w:sz w:val="22"/>
          <w:szCs w:val="22"/>
        </w:rPr>
        <w:t>in respect of any member o</w:t>
      </w:r>
      <w:r w:rsidRPr="00337002">
        <w:rPr>
          <w:rFonts w:ascii="Arial" w:hAnsi="Arial" w:cs="Arial"/>
          <w:color w:val="7B7B7B" w:themeColor="accent3" w:themeShade="BF"/>
          <w:sz w:val="22"/>
          <w:szCs w:val="22"/>
        </w:rPr>
        <w:t xml:space="preserve">f the Group to ensure the implementation of a coordination plan, the actions of the coordinator are generally recommendatory in nature. </w:t>
      </w:r>
    </w:p>
    <w:p w14:paraId="5AA873FB" w14:textId="77777777" w:rsidR="00337002" w:rsidRPr="00337002" w:rsidRDefault="00337002" w:rsidP="00337002">
      <w:pPr>
        <w:jc w:val="both"/>
        <w:rPr>
          <w:rFonts w:ascii="Arial" w:hAnsi="Arial" w:cs="Arial"/>
          <w:color w:val="7B7B7B" w:themeColor="accent3" w:themeShade="BF"/>
          <w:sz w:val="22"/>
          <w:szCs w:val="22"/>
        </w:rPr>
      </w:pPr>
    </w:p>
    <w:p w14:paraId="0B7645D2" w14:textId="09667861"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In principle</w:t>
      </w:r>
      <w:r w:rsidR="006D2DBE">
        <w:rPr>
          <w:rFonts w:ascii="Arial" w:hAnsi="Arial" w:cs="Arial"/>
          <w:color w:val="7B7B7B" w:themeColor="accent3" w:themeShade="BF"/>
          <w:sz w:val="22"/>
          <w:szCs w:val="22"/>
        </w:rPr>
        <w:t>,</w:t>
      </w:r>
      <w:r w:rsidRPr="00337002">
        <w:rPr>
          <w:rFonts w:ascii="Arial" w:hAnsi="Arial" w:cs="Arial"/>
          <w:color w:val="7B7B7B" w:themeColor="accent3" w:themeShade="BF"/>
          <w:sz w:val="22"/>
          <w:szCs w:val="22"/>
        </w:rPr>
        <w:t xml:space="preserve"> the involved insolvency practitioners must consider the recommendations of the coordinator and take into account the group coordination plan. However, there is room to deviate from these recommendations and/or the group coordination plan as long as the relevant insolvency practitioners reports his or her reasons for doing so to the relevant national authority and the coordinator.</w:t>
      </w:r>
    </w:p>
    <w:p w14:paraId="53613067" w14:textId="77777777" w:rsidR="00337002" w:rsidRPr="00337002" w:rsidRDefault="00337002" w:rsidP="00337002">
      <w:pPr>
        <w:jc w:val="both"/>
        <w:rPr>
          <w:rFonts w:ascii="Arial" w:hAnsi="Arial" w:cs="Arial"/>
          <w:color w:val="7B7B7B" w:themeColor="accent3" w:themeShade="BF"/>
          <w:sz w:val="22"/>
          <w:szCs w:val="22"/>
        </w:rPr>
      </w:pPr>
    </w:p>
    <w:p w14:paraId="528AB237" w14:textId="1A940FEA"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 xml:space="preserve">This makes the tool of the group coordinator less useful in practice.  For group coordination proceedings to be successful, participation should be less voluntary. Furthermore, it would have been more useful to appoint one person, either an independent coordinator or one of the </w:t>
      </w:r>
      <w:r w:rsidR="006D2DBE" w:rsidRPr="00337002">
        <w:rPr>
          <w:rFonts w:ascii="Arial" w:hAnsi="Arial" w:cs="Arial"/>
          <w:color w:val="7B7B7B" w:themeColor="accent3" w:themeShade="BF"/>
          <w:sz w:val="22"/>
          <w:szCs w:val="22"/>
        </w:rPr>
        <w:t>insolvency practitioners</w:t>
      </w:r>
      <w:r w:rsidRPr="00337002">
        <w:rPr>
          <w:rFonts w:ascii="Arial" w:hAnsi="Arial" w:cs="Arial"/>
          <w:color w:val="7B7B7B" w:themeColor="accent3" w:themeShade="BF"/>
          <w:sz w:val="22"/>
          <w:szCs w:val="22"/>
        </w:rPr>
        <w:t xml:space="preserve">, with farther-reaching </w:t>
      </w:r>
      <w:r w:rsidR="006D2DBE">
        <w:rPr>
          <w:rFonts w:ascii="Arial" w:hAnsi="Arial" w:cs="Arial"/>
          <w:color w:val="7B7B7B" w:themeColor="accent3" w:themeShade="BF"/>
          <w:sz w:val="22"/>
          <w:szCs w:val="22"/>
        </w:rPr>
        <w:t xml:space="preserve">powers who could give binding </w:t>
      </w:r>
      <w:r w:rsidRPr="00337002">
        <w:rPr>
          <w:rFonts w:ascii="Arial" w:hAnsi="Arial" w:cs="Arial"/>
          <w:color w:val="7B7B7B" w:themeColor="accent3" w:themeShade="BF"/>
          <w:sz w:val="22"/>
          <w:szCs w:val="22"/>
        </w:rPr>
        <w:t xml:space="preserve">recommendations to manage the effective administration of the different insolvency proceedings. </w:t>
      </w:r>
    </w:p>
    <w:p w14:paraId="2DE3B6CE" w14:textId="77777777" w:rsidR="00337002" w:rsidRPr="00337002" w:rsidRDefault="00337002" w:rsidP="00337002">
      <w:pPr>
        <w:jc w:val="both"/>
        <w:rPr>
          <w:rFonts w:ascii="Arial" w:hAnsi="Arial" w:cs="Arial"/>
          <w:b/>
          <w:color w:val="7B7B7B" w:themeColor="accent3" w:themeShade="BF"/>
          <w:sz w:val="22"/>
          <w:szCs w:val="22"/>
        </w:rPr>
      </w:pPr>
    </w:p>
    <w:p w14:paraId="7396E860" w14:textId="77777777"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b/>
          <w:color w:val="7B7B7B" w:themeColor="accent3" w:themeShade="BF"/>
          <w:sz w:val="22"/>
          <w:szCs w:val="22"/>
        </w:rPr>
        <w:t>Article 8 - Third parties' rights in rem</w:t>
      </w:r>
    </w:p>
    <w:p w14:paraId="13E8D9FA" w14:textId="25D2106C" w:rsidR="00337002" w:rsidRPr="00337002" w:rsidRDefault="00337002" w:rsidP="00337002">
      <w:pPr>
        <w:pStyle w:val="ListParagraph"/>
        <w:ind w:left="360"/>
        <w:jc w:val="both"/>
        <w:rPr>
          <w:rFonts w:ascii="Arial" w:hAnsi="Arial" w:cs="Arial"/>
          <w:color w:val="7B7B7B" w:themeColor="accent3" w:themeShade="BF"/>
          <w:sz w:val="22"/>
          <w:szCs w:val="22"/>
        </w:rPr>
      </w:pPr>
    </w:p>
    <w:p w14:paraId="6E9555A3" w14:textId="77777777"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Article 8(1) provides that the opening of insolvency proceedings shall not affect the rights in rem of creditors or third parties in respect of tangible or intangible, moveable or immoveable assets, both specific assets and collections of indefinite assets as a whole which change from time to time, belonging to the debtor which are situated within the territory of another Member State at the time of the opening of proceedings.</w:t>
      </w:r>
    </w:p>
    <w:p w14:paraId="66FEF6D4" w14:textId="45E7BC50" w:rsidR="00337002" w:rsidRPr="00337002" w:rsidRDefault="00337002" w:rsidP="00337002">
      <w:pPr>
        <w:jc w:val="both"/>
        <w:rPr>
          <w:rFonts w:ascii="Arial" w:hAnsi="Arial" w:cs="Arial"/>
          <w:color w:val="7B7B7B" w:themeColor="accent3" w:themeShade="BF"/>
          <w:sz w:val="22"/>
          <w:szCs w:val="22"/>
        </w:rPr>
      </w:pPr>
    </w:p>
    <w:p w14:paraId="350A07F9" w14:textId="1BAA4D79"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EIR Recast does not confer any rights to holders of a right in rem, but it protects a right in rem from the effects of insolvency laws of another Member state in which insolvency proceedings have been opened. As a result of this protection, an insolvency practitioner appointed in the main insolvency proceedings cannot simply ignore a right in rem that is protected by the EIR Recast by, for instance, disposing over assets that are subject to such right in rem</w:t>
      </w:r>
      <w:r w:rsidR="006D2DBE">
        <w:rPr>
          <w:rFonts w:ascii="Arial" w:hAnsi="Arial" w:cs="Arial"/>
          <w:color w:val="7B7B7B" w:themeColor="accent3" w:themeShade="BF"/>
          <w:sz w:val="22"/>
          <w:szCs w:val="22"/>
        </w:rPr>
        <w:t>. O</w:t>
      </w:r>
      <w:r w:rsidRPr="00337002">
        <w:rPr>
          <w:rFonts w:ascii="Arial" w:hAnsi="Arial" w:cs="Arial"/>
          <w:color w:val="7B7B7B" w:themeColor="accent3" w:themeShade="BF"/>
          <w:sz w:val="22"/>
          <w:szCs w:val="22"/>
        </w:rPr>
        <w:t>n the other hand, a holder of a right in rem that is protected under the R-EIR can enforce his rights while ignoring the primary insolvency proceedings.</w:t>
      </w:r>
    </w:p>
    <w:p w14:paraId="5E5006E5" w14:textId="26451AB9" w:rsidR="00337002" w:rsidRPr="00337002" w:rsidRDefault="00337002" w:rsidP="00337002">
      <w:pPr>
        <w:jc w:val="both"/>
        <w:rPr>
          <w:rFonts w:ascii="Arial" w:hAnsi="Arial" w:cs="Arial"/>
          <w:color w:val="7B7B7B" w:themeColor="accent3" w:themeShade="BF"/>
          <w:sz w:val="22"/>
          <w:szCs w:val="22"/>
        </w:rPr>
      </w:pPr>
    </w:p>
    <w:p w14:paraId="11BB3F0D" w14:textId="263C3769" w:rsidR="00337002" w:rsidRPr="00337002" w:rsidRDefault="00337002" w:rsidP="00337002">
      <w:pPr>
        <w:jc w:val="both"/>
        <w:rPr>
          <w:rFonts w:ascii="Arial" w:hAnsi="Arial" w:cs="Arial"/>
          <w:color w:val="7B7B7B" w:themeColor="accent3" w:themeShade="BF"/>
          <w:sz w:val="22"/>
          <w:szCs w:val="22"/>
        </w:rPr>
      </w:pPr>
      <w:r w:rsidRPr="00337002">
        <w:rPr>
          <w:rFonts w:ascii="Arial" w:hAnsi="Arial" w:cs="Arial"/>
          <w:color w:val="7B7B7B" w:themeColor="accent3" w:themeShade="BF"/>
          <w:sz w:val="22"/>
          <w:szCs w:val="22"/>
        </w:rPr>
        <w:t xml:space="preserve">The protection under the EIR Recast is ‘hard and fast’; in other words, no limitation whatsoever under any applicable insolvency law would apply to the rights in rem that are protected under the EIR Recast. </w:t>
      </w:r>
      <w:r w:rsidR="006D2DBE">
        <w:rPr>
          <w:rFonts w:ascii="Arial" w:hAnsi="Arial" w:cs="Arial"/>
          <w:color w:val="7B7B7B" w:themeColor="accent3" w:themeShade="BF"/>
          <w:sz w:val="22"/>
          <w:szCs w:val="22"/>
        </w:rPr>
        <w:t xml:space="preserve"> </w:t>
      </w:r>
      <w:r w:rsidRPr="00337002">
        <w:rPr>
          <w:rFonts w:ascii="Arial" w:hAnsi="Arial" w:cs="Arial"/>
          <w:color w:val="7B7B7B" w:themeColor="accent3" w:themeShade="BF"/>
          <w:sz w:val="22"/>
          <w:szCs w:val="22"/>
        </w:rPr>
        <w:t>Secured creditors are therefore overprotected under EIR Recast. Security rights in rem should not be affected to any larger extent than would be the case if local insolvency proceedings were opened.</w:t>
      </w:r>
      <w:r w:rsidR="00791E71">
        <w:rPr>
          <w:rFonts w:ascii="Arial" w:hAnsi="Arial" w:cs="Arial"/>
          <w:color w:val="7B7B7B" w:themeColor="accent3" w:themeShade="BF"/>
          <w:sz w:val="22"/>
          <w:szCs w:val="22"/>
        </w:rPr>
        <w:t>]</w:t>
      </w:r>
    </w:p>
    <w:p w14:paraId="4E83D7AF" w14:textId="2019AC2F" w:rsidR="00DF75F8" w:rsidRPr="008500BD" w:rsidRDefault="00DF75F8"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F941D1E" w14:textId="77777777" w:rsidR="00337002" w:rsidRDefault="00337002">
      <w:pPr>
        <w:rPr>
          <w:rFonts w:ascii="Arial" w:hAnsi="Arial" w:cs="Arial"/>
          <w:b/>
          <w:sz w:val="22"/>
          <w:szCs w:val="22"/>
          <w:lang w:val="en-GB"/>
        </w:rPr>
      </w:pPr>
      <w:r>
        <w:rPr>
          <w:rFonts w:ascii="Arial" w:hAnsi="Arial" w:cs="Arial"/>
          <w:b/>
          <w:sz w:val="22"/>
          <w:szCs w:val="22"/>
          <w:lang w:val="en-GB"/>
        </w:rPr>
        <w:br w:type="page"/>
      </w:r>
    </w:p>
    <w:p w14:paraId="55C402CC" w14:textId="35FDAAF4"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w:t>
      </w:r>
      <w:proofErr w:type="gramStart"/>
      <w:r w:rsidRPr="008500BD">
        <w:rPr>
          <w:rFonts w:ascii="Arial" w:hAnsi="Arial" w:cs="Arial"/>
          <w:sz w:val="22"/>
          <w:szCs w:val="22"/>
          <w:lang w:val="en-GB"/>
        </w:rPr>
        <w:t>A</w:t>
      </w:r>
      <w:proofErr w:type="gramEnd"/>
      <w:r w:rsidRPr="008500BD">
        <w:rPr>
          <w:rFonts w:ascii="Arial" w:hAnsi="Arial" w:cs="Arial"/>
          <w:sz w:val="22"/>
          <w:szCs w:val="22"/>
          <w:lang w:val="en-GB"/>
        </w:rPr>
        <w:t xml:space="preserve">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171A7B00" w14:textId="1039F821" w:rsidR="008E65F1" w:rsidRDefault="002F75A3"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3E7F4A">
        <w:rPr>
          <w:rFonts w:ascii="Arial" w:hAnsi="Arial" w:cs="Arial"/>
          <w:color w:val="7B7B7B" w:themeColor="accent3" w:themeShade="BF"/>
          <w:sz w:val="22"/>
          <w:szCs w:val="22"/>
          <w:lang w:val="en-GB"/>
        </w:rPr>
        <w:t>EIR</w:t>
      </w:r>
      <w:r w:rsidR="008E65F1">
        <w:rPr>
          <w:rFonts w:ascii="Arial" w:hAnsi="Arial" w:cs="Arial"/>
          <w:color w:val="7B7B7B" w:themeColor="accent3" w:themeShade="BF"/>
          <w:sz w:val="22"/>
          <w:szCs w:val="22"/>
          <w:lang w:val="en-GB"/>
        </w:rPr>
        <w:t xml:space="preserve"> applies the modified universalism approach in which the main insolvency proceedings are to be initiated in the place of the debtor’s centre of main interest or COMI (see Article 3(1) of EIR 2000</w:t>
      </w:r>
      <w:r w:rsidR="00791E71">
        <w:rPr>
          <w:rFonts w:ascii="Arial" w:hAnsi="Arial" w:cs="Arial"/>
          <w:color w:val="7B7B7B" w:themeColor="accent3" w:themeShade="BF"/>
          <w:sz w:val="22"/>
          <w:szCs w:val="22"/>
          <w:lang w:val="en-GB"/>
        </w:rPr>
        <w:t>)</w:t>
      </w:r>
      <w:r w:rsidR="008E65F1">
        <w:rPr>
          <w:rFonts w:ascii="Arial" w:hAnsi="Arial" w:cs="Arial"/>
          <w:color w:val="7B7B7B" w:themeColor="accent3" w:themeShade="BF"/>
          <w:sz w:val="22"/>
          <w:szCs w:val="22"/>
          <w:lang w:val="en-GB"/>
        </w:rPr>
        <w:t>. Such proceedings have universal scope and encompass all the debtor’s assets throughout the European Union.</w:t>
      </w:r>
    </w:p>
    <w:p w14:paraId="7495AD5E" w14:textId="77777777" w:rsidR="008E65F1" w:rsidRDefault="008E65F1" w:rsidP="002A37BB">
      <w:pPr>
        <w:jc w:val="both"/>
        <w:rPr>
          <w:rFonts w:ascii="Arial" w:hAnsi="Arial" w:cs="Arial"/>
          <w:color w:val="7B7B7B" w:themeColor="accent3" w:themeShade="BF"/>
          <w:sz w:val="22"/>
          <w:szCs w:val="22"/>
          <w:lang w:val="en-GB"/>
        </w:rPr>
      </w:pPr>
    </w:p>
    <w:p w14:paraId="0D37BBBB" w14:textId="7A0C1E1A" w:rsidR="002F75A3" w:rsidRDefault="008E65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under EIR 2000 the Strasbourg Court being the COMI of PAJ would have jurisdiction to open the main insolvency proceedings with international scope and affecting all of PAJ’s assets in the EU, subject to any secondary insolvency proceedings in Spain.</w:t>
      </w:r>
    </w:p>
    <w:p w14:paraId="3DEBCC79" w14:textId="502DA079" w:rsidR="00126133" w:rsidRPr="008500BD" w:rsidRDefault="00126133"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(See </w:t>
      </w:r>
      <w:proofErr w:type="spellStart"/>
      <w:r>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IFSC Ltd Case C-341/104 ECLI</w:t>
      </w:r>
      <w:proofErr w:type="gramStart"/>
      <w:r>
        <w:rPr>
          <w:rFonts w:ascii="Arial" w:hAnsi="Arial" w:cs="Arial"/>
          <w:color w:val="7B7B7B" w:themeColor="accent3" w:themeShade="BF"/>
          <w:sz w:val="22"/>
          <w:szCs w:val="22"/>
          <w:lang w:val="en-GB"/>
        </w:rPr>
        <w:t>:EU:C:2006:281</w:t>
      </w:r>
      <w:proofErr w:type="gramEnd"/>
      <w:r>
        <w:rPr>
          <w:rFonts w:ascii="Arial" w:hAnsi="Arial" w:cs="Arial"/>
          <w:color w:val="7B7B7B" w:themeColor="accent3" w:themeShade="BF"/>
          <w:sz w:val="22"/>
          <w:szCs w:val="22"/>
          <w:lang w:val="en-GB"/>
        </w:rPr>
        <w:t xml:space="preserve"> (2 May 2006)).</w:t>
      </w: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311E83D2" w14:textId="782A93C4" w:rsidR="008E65F1" w:rsidRDefault="002D3473" w:rsidP="002A37BB">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8E65F1">
        <w:rPr>
          <w:rFonts w:ascii="Arial" w:hAnsi="Arial" w:cs="Arial"/>
          <w:color w:val="7B7B7B" w:themeColor="accent3" w:themeShade="BF"/>
          <w:sz w:val="22"/>
          <w:szCs w:val="22"/>
          <w:lang w:val="en-GB"/>
        </w:rPr>
        <w:t>Determination of EIR Recast’s scope requires answering the following questions:</w:t>
      </w:r>
      <w:r w:rsidR="007D59B0">
        <w:rPr>
          <w:rFonts w:ascii="Arial" w:hAnsi="Arial" w:cs="Arial"/>
          <w:color w:val="7B7B7B" w:themeColor="accent3" w:themeShade="BF"/>
          <w:sz w:val="22"/>
          <w:szCs w:val="22"/>
          <w:lang w:val="en-GB"/>
        </w:rPr>
        <w:t xml:space="preserve"> </w:t>
      </w:r>
      <w:r w:rsidR="00791E71">
        <w:rPr>
          <w:rFonts w:ascii="Arial" w:hAnsi="Arial" w:cs="Arial"/>
          <w:color w:val="7B7B7B" w:themeColor="accent3" w:themeShade="BF"/>
          <w:sz w:val="22"/>
          <w:szCs w:val="22"/>
          <w:lang w:val="en-GB"/>
        </w:rPr>
        <w:t xml:space="preserve">(a) </w:t>
      </w:r>
      <w:r w:rsidR="007D59B0">
        <w:rPr>
          <w:rFonts w:ascii="Arial" w:hAnsi="Arial" w:cs="Arial"/>
          <w:color w:val="7B7B7B" w:themeColor="accent3" w:themeShade="BF"/>
          <w:sz w:val="22"/>
          <w:szCs w:val="22"/>
          <w:lang w:val="en-GB"/>
        </w:rPr>
        <w:t xml:space="preserve">when does it apply in time (temporal scope); </w:t>
      </w:r>
      <w:r w:rsidR="00791E71">
        <w:rPr>
          <w:rFonts w:ascii="Arial" w:hAnsi="Arial" w:cs="Arial"/>
          <w:color w:val="7B7B7B" w:themeColor="accent3" w:themeShade="BF"/>
          <w:sz w:val="22"/>
          <w:szCs w:val="22"/>
          <w:lang w:val="en-GB"/>
        </w:rPr>
        <w:t xml:space="preserve">(b) </w:t>
      </w:r>
      <w:r w:rsidR="007D59B0">
        <w:rPr>
          <w:rFonts w:ascii="Arial" w:hAnsi="Arial" w:cs="Arial"/>
          <w:color w:val="7B7B7B" w:themeColor="accent3" w:themeShade="BF"/>
          <w:sz w:val="22"/>
          <w:szCs w:val="22"/>
          <w:lang w:val="en-GB"/>
        </w:rPr>
        <w:t>to whom does it apply (person scope);</w:t>
      </w:r>
      <w:r w:rsidR="00791E71">
        <w:rPr>
          <w:rFonts w:ascii="Arial" w:hAnsi="Arial" w:cs="Arial"/>
          <w:color w:val="7B7B7B" w:themeColor="accent3" w:themeShade="BF"/>
          <w:sz w:val="22"/>
          <w:szCs w:val="22"/>
          <w:lang w:val="en-GB"/>
        </w:rPr>
        <w:t xml:space="preserve"> (c)</w:t>
      </w:r>
      <w:r w:rsidR="007D59B0">
        <w:rPr>
          <w:rFonts w:ascii="Arial" w:hAnsi="Arial" w:cs="Arial"/>
          <w:color w:val="7B7B7B" w:themeColor="accent3" w:themeShade="BF"/>
          <w:sz w:val="22"/>
          <w:szCs w:val="22"/>
          <w:lang w:val="en-GB"/>
        </w:rPr>
        <w:t xml:space="preserve"> which proceedings are covered by it (material scope); and </w:t>
      </w:r>
      <w:r w:rsidR="00791E71">
        <w:rPr>
          <w:rFonts w:ascii="Arial" w:hAnsi="Arial" w:cs="Arial"/>
          <w:color w:val="7B7B7B" w:themeColor="accent3" w:themeShade="BF"/>
          <w:sz w:val="22"/>
          <w:szCs w:val="22"/>
          <w:lang w:val="en-GB"/>
        </w:rPr>
        <w:t xml:space="preserve">(d) </w:t>
      </w:r>
      <w:r w:rsidR="007D59B0">
        <w:rPr>
          <w:rFonts w:ascii="Arial" w:hAnsi="Arial" w:cs="Arial"/>
          <w:color w:val="7B7B7B" w:themeColor="accent3" w:themeShade="BF"/>
          <w:sz w:val="22"/>
          <w:szCs w:val="22"/>
          <w:lang w:val="en-GB"/>
        </w:rPr>
        <w:t>what are its geographical limitations (geographical scope).</w:t>
      </w:r>
    </w:p>
    <w:p w14:paraId="30B2D072" w14:textId="77EC04FF" w:rsidR="007D59B0" w:rsidRDefault="007D59B0" w:rsidP="002A37BB">
      <w:pPr>
        <w:autoSpaceDE w:val="0"/>
        <w:autoSpaceDN w:val="0"/>
        <w:adjustRightInd w:val="0"/>
        <w:jc w:val="both"/>
        <w:rPr>
          <w:rFonts w:ascii="Arial" w:hAnsi="Arial" w:cs="Arial"/>
          <w:color w:val="7B7B7B" w:themeColor="accent3" w:themeShade="BF"/>
          <w:sz w:val="22"/>
          <w:szCs w:val="22"/>
          <w:lang w:val="en-GB"/>
        </w:rPr>
      </w:pPr>
    </w:p>
    <w:p w14:paraId="34889350" w14:textId="3A91B730" w:rsidR="007D59B0" w:rsidRDefault="007D59B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step by step plan is illustrated below:</w:t>
      </w:r>
    </w:p>
    <w:p w14:paraId="3994F36F" w14:textId="77777777" w:rsidR="008E65F1" w:rsidRDefault="008E65F1" w:rsidP="002A37BB">
      <w:pPr>
        <w:autoSpaceDE w:val="0"/>
        <w:autoSpaceDN w:val="0"/>
        <w:adjustRightInd w:val="0"/>
        <w:jc w:val="both"/>
        <w:rPr>
          <w:rFonts w:ascii="Arial" w:hAnsi="Arial" w:cs="Arial"/>
          <w:color w:val="7B7B7B" w:themeColor="accent3" w:themeShade="BF"/>
          <w:sz w:val="22"/>
          <w:szCs w:val="22"/>
          <w:lang w:val="en-GB"/>
        </w:rPr>
      </w:pPr>
    </w:p>
    <w:p w14:paraId="47B191B4" w14:textId="1134A9DC" w:rsidR="00AA1873" w:rsidRPr="00AA1873" w:rsidRDefault="00AA1873" w:rsidP="008E65F1">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Does the debtor have COMI in a Member State of the EU (geographical scope)?  In this case the COMI is presumed to be in France which is an EU member state (except </w:t>
      </w:r>
      <w:r w:rsidR="00791E71">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 xml:space="preserve">there are objective factors to rebut this presumption). The answer to question 1 is </w:t>
      </w:r>
      <w:proofErr w:type="gramStart"/>
      <w:r w:rsidRPr="00791E71">
        <w:rPr>
          <w:rFonts w:ascii="Arial" w:hAnsi="Arial" w:cs="Arial"/>
          <w:color w:val="7B7B7B" w:themeColor="accent3" w:themeShade="BF"/>
          <w:sz w:val="22"/>
          <w:szCs w:val="22"/>
          <w:u w:val="single"/>
          <w:lang w:val="en-GB"/>
        </w:rPr>
        <w:t>Yes</w:t>
      </w:r>
      <w:proofErr w:type="gramEnd"/>
      <w:r>
        <w:rPr>
          <w:rFonts w:ascii="Arial" w:hAnsi="Arial" w:cs="Arial"/>
          <w:color w:val="7B7B7B" w:themeColor="accent3" w:themeShade="BF"/>
          <w:sz w:val="22"/>
          <w:szCs w:val="22"/>
          <w:lang w:val="en-GB"/>
        </w:rPr>
        <w:t>.</w:t>
      </w:r>
    </w:p>
    <w:p w14:paraId="560A4B8E" w14:textId="4DF9EB1F" w:rsidR="00AA1873" w:rsidRPr="00AA1873" w:rsidRDefault="00AA1873" w:rsidP="008E65F1">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Is the debtor not a bank, insurance company or another “excluded” undertaking (personal scope)? PAJ is a toy shop company, so the answer is </w:t>
      </w:r>
      <w:proofErr w:type="gramStart"/>
      <w:r w:rsidRPr="00791E71">
        <w:rPr>
          <w:rFonts w:ascii="Arial" w:hAnsi="Arial" w:cs="Arial"/>
          <w:color w:val="7B7B7B" w:themeColor="accent3" w:themeShade="BF"/>
          <w:sz w:val="22"/>
          <w:szCs w:val="22"/>
          <w:u w:val="single"/>
          <w:lang w:val="en-GB"/>
        </w:rPr>
        <w:t>Yes</w:t>
      </w:r>
      <w:proofErr w:type="gramEnd"/>
      <w:r>
        <w:rPr>
          <w:rFonts w:ascii="Arial" w:hAnsi="Arial" w:cs="Arial"/>
          <w:color w:val="7B7B7B" w:themeColor="accent3" w:themeShade="BF"/>
          <w:sz w:val="22"/>
          <w:szCs w:val="22"/>
          <w:lang w:val="en-GB"/>
        </w:rPr>
        <w:t>.</w:t>
      </w:r>
    </w:p>
    <w:p w14:paraId="3A2E5D17" w14:textId="01AEACCE" w:rsidR="00AA1873" w:rsidRPr="00AA1873" w:rsidRDefault="00AA1873" w:rsidP="008E65F1">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Is the proceeding opened against the debtor listed in Annex A to EIR Recast (material scope)? </w:t>
      </w:r>
      <w:proofErr w:type="spellStart"/>
      <w:r>
        <w:rPr>
          <w:rFonts w:ascii="Arial" w:hAnsi="Arial" w:cs="Arial"/>
          <w:color w:val="7B7B7B" w:themeColor="accent3" w:themeShade="BF"/>
          <w:sz w:val="22"/>
          <w:szCs w:val="22"/>
          <w:lang w:val="en-GB"/>
        </w:rPr>
        <w:t>Sauvegarde</w:t>
      </w:r>
      <w:proofErr w:type="spellEnd"/>
      <w:r>
        <w:rPr>
          <w:rFonts w:ascii="Arial" w:hAnsi="Arial" w:cs="Arial"/>
          <w:color w:val="7B7B7B" w:themeColor="accent3" w:themeShade="BF"/>
          <w:sz w:val="22"/>
          <w:szCs w:val="22"/>
          <w:lang w:val="en-GB"/>
        </w:rPr>
        <w:t xml:space="preserve"> proceedings are listed in Annex A, so the answer is </w:t>
      </w:r>
      <w:proofErr w:type="gramStart"/>
      <w:r w:rsidRPr="00791E71">
        <w:rPr>
          <w:rFonts w:ascii="Arial" w:hAnsi="Arial" w:cs="Arial"/>
          <w:color w:val="7B7B7B" w:themeColor="accent3" w:themeShade="BF"/>
          <w:sz w:val="22"/>
          <w:szCs w:val="22"/>
          <w:u w:val="single"/>
          <w:lang w:val="en-GB"/>
        </w:rPr>
        <w:t>Yes</w:t>
      </w:r>
      <w:proofErr w:type="gramEnd"/>
      <w:r w:rsidR="00791E71">
        <w:rPr>
          <w:rFonts w:ascii="Arial" w:hAnsi="Arial" w:cs="Arial"/>
          <w:color w:val="7B7B7B" w:themeColor="accent3" w:themeShade="BF"/>
          <w:sz w:val="22"/>
          <w:szCs w:val="22"/>
          <w:u w:val="single"/>
          <w:lang w:val="en-GB"/>
        </w:rPr>
        <w:t>.</w:t>
      </w:r>
    </w:p>
    <w:p w14:paraId="3D17D7DC" w14:textId="567B5344" w:rsidR="007D59B0" w:rsidRPr="007D59B0" w:rsidRDefault="00AA1873" w:rsidP="008E65F1">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Was the proceeding opened after 26 June 2017, the effective date of EIR Recast (temporal scope)? The answer (29 June 2017) is </w:t>
      </w:r>
      <w:r w:rsidR="00791E71">
        <w:rPr>
          <w:rFonts w:ascii="Arial" w:hAnsi="Arial" w:cs="Arial"/>
          <w:color w:val="7B7B7B" w:themeColor="accent3" w:themeShade="BF"/>
          <w:sz w:val="22"/>
          <w:szCs w:val="22"/>
          <w:u w:val="single"/>
          <w:lang w:val="en-GB"/>
        </w:rPr>
        <w:t>Y</w:t>
      </w:r>
      <w:r w:rsidRPr="00791E71">
        <w:rPr>
          <w:rFonts w:ascii="Arial" w:hAnsi="Arial" w:cs="Arial"/>
          <w:color w:val="7B7B7B" w:themeColor="accent3" w:themeShade="BF"/>
          <w:sz w:val="22"/>
          <w:szCs w:val="22"/>
          <w:u w:val="single"/>
          <w:lang w:val="en-GB"/>
        </w:rPr>
        <w:t>es</w:t>
      </w:r>
      <w:r>
        <w:rPr>
          <w:rFonts w:ascii="Arial" w:hAnsi="Arial" w:cs="Arial"/>
          <w:color w:val="7B7B7B" w:themeColor="accent3" w:themeShade="BF"/>
          <w:sz w:val="22"/>
          <w:szCs w:val="22"/>
          <w:lang w:val="en-GB"/>
        </w:rPr>
        <w:t>.</w:t>
      </w:r>
    </w:p>
    <w:p w14:paraId="23DB7723" w14:textId="77777777" w:rsidR="007D59B0" w:rsidRDefault="007D59B0" w:rsidP="007D59B0">
      <w:pPr>
        <w:autoSpaceDE w:val="0"/>
        <w:autoSpaceDN w:val="0"/>
        <w:adjustRightInd w:val="0"/>
        <w:jc w:val="both"/>
        <w:rPr>
          <w:rFonts w:ascii="Arial" w:hAnsi="Arial" w:cs="Arial"/>
          <w:color w:val="7B7B7B" w:themeColor="accent3" w:themeShade="BF"/>
          <w:sz w:val="22"/>
          <w:szCs w:val="22"/>
          <w:lang w:val="en-GB"/>
        </w:rPr>
      </w:pPr>
    </w:p>
    <w:p w14:paraId="626FA5C6" w14:textId="6560DC21" w:rsidR="002D3473" w:rsidRPr="007D59B0" w:rsidRDefault="007D59B0" w:rsidP="007D59B0">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Since all four steps have been answered in the affirmative, then EIR Recast is applicable to the insolvency proceeding against PAJ.</w:t>
      </w:r>
      <w:r w:rsidR="002D3473" w:rsidRPr="007D59B0">
        <w:rPr>
          <w:rFonts w:ascii="Arial" w:hAnsi="Arial" w:cs="Arial"/>
          <w:color w:val="7B7B7B" w:themeColor="accent3" w:themeShade="BF"/>
          <w:sz w:val="22"/>
          <w:szCs w:val="22"/>
          <w:lang w:val="en-GB"/>
        </w:rPr>
        <w:t>]</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4D8F4F76" w14:textId="77777777" w:rsidR="00126133" w:rsidRDefault="0033768C"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126133">
        <w:rPr>
          <w:rFonts w:ascii="Arial" w:hAnsi="Arial" w:cs="Arial"/>
          <w:color w:val="7B7B7B" w:themeColor="accent3" w:themeShade="BF"/>
          <w:sz w:val="22"/>
          <w:szCs w:val="22"/>
          <w:lang w:val="en-GB"/>
        </w:rPr>
        <w:t>EIR Recast allows for opening of one or more secondary insolvency proceedings against a debtor in any member state where it possesses an establishment (Article 3(2) EIR Recast.</w:t>
      </w:r>
    </w:p>
    <w:p w14:paraId="4F5EAEB2" w14:textId="77777777" w:rsidR="00126133" w:rsidRDefault="00126133" w:rsidP="002A37BB">
      <w:pPr>
        <w:jc w:val="both"/>
        <w:rPr>
          <w:rFonts w:ascii="Arial" w:hAnsi="Arial" w:cs="Arial"/>
          <w:color w:val="7B7B7B" w:themeColor="accent3" w:themeShade="BF"/>
          <w:sz w:val="22"/>
          <w:szCs w:val="22"/>
          <w:lang w:val="en-GB"/>
        </w:rPr>
      </w:pPr>
    </w:p>
    <w:p w14:paraId="77CE8695" w14:textId="7DE487BE" w:rsidR="0077498C" w:rsidRDefault="001261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2(10) EIR Recast “establishment” means any place of opera</w:t>
      </w:r>
      <w:r w:rsidR="00392497">
        <w:rPr>
          <w:rFonts w:ascii="Arial" w:hAnsi="Arial" w:cs="Arial"/>
          <w:color w:val="7B7B7B" w:themeColor="accent3" w:themeShade="BF"/>
          <w:sz w:val="22"/>
          <w:szCs w:val="22"/>
          <w:lang w:val="en-GB"/>
        </w:rPr>
        <w:t>tions where a debtor carries out</w:t>
      </w:r>
      <w:r>
        <w:rPr>
          <w:rFonts w:ascii="Arial" w:hAnsi="Arial" w:cs="Arial"/>
          <w:color w:val="7B7B7B" w:themeColor="accent3" w:themeShade="BF"/>
          <w:sz w:val="22"/>
          <w:szCs w:val="22"/>
          <w:lang w:val="en-GB"/>
        </w:rPr>
        <w:t xml:space="preserve"> or has carried out</w:t>
      </w:r>
      <w:r w:rsidR="003924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the three-month period prior to the request to open main</w:t>
      </w:r>
      <w:r w:rsidR="00392497">
        <w:rPr>
          <w:rFonts w:ascii="Arial" w:hAnsi="Arial" w:cs="Arial"/>
          <w:color w:val="7B7B7B" w:themeColor="accent3" w:themeShade="BF"/>
          <w:sz w:val="22"/>
          <w:szCs w:val="22"/>
          <w:lang w:val="en-GB"/>
        </w:rPr>
        <w:t xml:space="preserve"> insolvency proceedings, non-transitory economic activity with human means and assets</w:t>
      </w:r>
      <w:r w:rsidR="00B73EAC">
        <w:rPr>
          <w:rFonts w:ascii="Arial" w:hAnsi="Arial" w:cs="Arial"/>
          <w:color w:val="7B7B7B" w:themeColor="accent3" w:themeShade="BF"/>
          <w:sz w:val="22"/>
          <w:szCs w:val="22"/>
          <w:lang w:val="en-GB"/>
        </w:rPr>
        <w:t xml:space="preserve"> </w:t>
      </w:r>
      <w:bookmarkStart w:id="1" w:name="_GoBack"/>
      <w:bookmarkEnd w:id="1"/>
      <w:r w:rsidR="00392497">
        <w:rPr>
          <w:rFonts w:ascii="Arial" w:hAnsi="Arial" w:cs="Arial"/>
          <w:color w:val="7B7B7B" w:themeColor="accent3" w:themeShade="BF"/>
          <w:sz w:val="22"/>
          <w:szCs w:val="22"/>
          <w:lang w:val="en-GB"/>
        </w:rPr>
        <w:t xml:space="preserve">(see </w:t>
      </w:r>
      <w:proofErr w:type="spellStart"/>
      <w:r w:rsidR="00392497">
        <w:rPr>
          <w:rFonts w:ascii="Arial" w:hAnsi="Arial" w:cs="Arial"/>
          <w:i/>
          <w:color w:val="7B7B7B" w:themeColor="accent3" w:themeShade="BF"/>
          <w:sz w:val="22"/>
          <w:szCs w:val="22"/>
          <w:lang w:val="en-GB"/>
        </w:rPr>
        <w:t>Interedil</w:t>
      </w:r>
      <w:proofErr w:type="spellEnd"/>
      <w:r w:rsidR="00392497">
        <w:rPr>
          <w:rFonts w:ascii="Arial" w:hAnsi="Arial" w:cs="Arial"/>
          <w:i/>
          <w:color w:val="7B7B7B" w:themeColor="accent3" w:themeShade="BF"/>
          <w:sz w:val="22"/>
          <w:szCs w:val="22"/>
          <w:lang w:val="en-GB"/>
        </w:rPr>
        <w:t xml:space="preserve"> </w:t>
      </w:r>
      <w:proofErr w:type="spellStart"/>
      <w:r w:rsidR="00392497">
        <w:rPr>
          <w:rFonts w:ascii="Arial" w:hAnsi="Arial" w:cs="Arial"/>
          <w:i/>
          <w:color w:val="7B7B7B" w:themeColor="accent3" w:themeShade="BF"/>
          <w:sz w:val="22"/>
          <w:szCs w:val="22"/>
          <w:lang w:val="en-GB"/>
        </w:rPr>
        <w:t>srl</w:t>
      </w:r>
      <w:proofErr w:type="spellEnd"/>
      <w:r w:rsidR="00392497">
        <w:rPr>
          <w:rFonts w:ascii="Arial" w:hAnsi="Arial" w:cs="Arial"/>
          <w:i/>
          <w:color w:val="7B7B7B" w:themeColor="accent3" w:themeShade="BF"/>
          <w:sz w:val="22"/>
          <w:szCs w:val="22"/>
          <w:lang w:val="en-GB"/>
        </w:rPr>
        <w:t xml:space="preserve"> v </w:t>
      </w:r>
      <w:proofErr w:type="spellStart"/>
      <w:r w:rsidR="00392497">
        <w:rPr>
          <w:rFonts w:ascii="Arial" w:hAnsi="Arial" w:cs="Arial"/>
          <w:i/>
          <w:color w:val="7B7B7B" w:themeColor="accent3" w:themeShade="BF"/>
          <w:sz w:val="22"/>
          <w:szCs w:val="22"/>
          <w:lang w:val="en-GB"/>
        </w:rPr>
        <w:t>Fallimento</w:t>
      </w:r>
      <w:proofErr w:type="spellEnd"/>
      <w:r w:rsidR="00392497">
        <w:rPr>
          <w:rFonts w:ascii="Arial" w:hAnsi="Arial" w:cs="Arial"/>
          <w:i/>
          <w:color w:val="7B7B7B" w:themeColor="accent3" w:themeShade="BF"/>
          <w:sz w:val="22"/>
          <w:szCs w:val="22"/>
          <w:lang w:val="en-GB"/>
        </w:rPr>
        <w:t xml:space="preserve"> </w:t>
      </w:r>
      <w:proofErr w:type="spellStart"/>
      <w:r w:rsidR="00392497">
        <w:rPr>
          <w:rFonts w:ascii="Arial" w:hAnsi="Arial" w:cs="Arial"/>
          <w:i/>
          <w:color w:val="7B7B7B" w:themeColor="accent3" w:themeShade="BF"/>
          <w:sz w:val="22"/>
          <w:szCs w:val="22"/>
          <w:lang w:val="en-GB"/>
        </w:rPr>
        <w:t>Interedil</w:t>
      </w:r>
      <w:proofErr w:type="spellEnd"/>
      <w:r w:rsidR="00392497">
        <w:rPr>
          <w:rFonts w:ascii="Arial" w:hAnsi="Arial" w:cs="Arial"/>
          <w:i/>
          <w:color w:val="7B7B7B" w:themeColor="accent3" w:themeShade="BF"/>
          <w:sz w:val="22"/>
          <w:szCs w:val="22"/>
          <w:lang w:val="en-GB"/>
        </w:rPr>
        <w:t xml:space="preserve"> </w:t>
      </w:r>
      <w:proofErr w:type="spellStart"/>
      <w:r w:rsidR="00392497">
        <w:rPr>
          <w:rFonts w:ascii="Arial" w:hAnsi="Arial" w:cs="Arial"/>
          <w:i/>
          <w:color w:val="7B7B7B" w:themeColor="accent3" w:themeShade="BF"/>
          <w:sz w:val="22"/>
          <w:szCs w:val="22"/>
          <w:lang w:val="en-GB"/>
        </w:rPr>
        <w:t>Srl</w:t>
      </w:r>
      <w:proofErr w:type="spellEnd"/>
      <w:r w:rsidR="00392497">
        <w:rPr>
          <w:rFonts w:ascii="Arial" w:hAnsi="Arial" w:cs="Arial"/>
          <w:i/>
          <w:color w:val="7B7B7B" w:themeColor="accent3" w:themeShade="BF"/>
          <w:sz w:val="22"/>
          <w:szCs w:val="22"/>
          <w:lang w:val="en-GB"/>
        </w:rPr>
        <w:t xml:space="preserve"> Case C-396/09, ECLI:EU:C:2011:261 (20 Oct 2011)</w:t>
      </w:r>
      <w:r w:rsidR="00791E71">
        <w:rPr>
          <w:rFonts w:ascii="Arial" w:hAnsi="Arial" w:cs="Arial"/>
          <w:color w:val="7B7B7B" w:themeColor="accent3" w:themeShade="BF"/>
          <w:sz w:val="22"/>
          <w:szCs w:val="22"/>
          <w:lang w:val="en-GB"/>
        </w:rPr>
        <w:t>)</w:t>
      </w:r>
      <w:r w:rsidR="00B73EAC">
        <w:rPr>
          <w:rFonts w:ascii="Arial" w:hAnsi="Arial" w:cs="Arial"/>
          <w:color w:val="7B7B7B" w:themeColor="accent3" w:themeShade="BF"/>
          <w:sz w:val="22"/>
          <w:szCs w:val="22"/>
          <w:lang w:val="en-GB"/>
        </w:rPr>
        <w:t>.</w:t>
      </w:r>
    </w:p>
    <w:p w14:paraId="74A9F331" w14:textId="5B10526A" w:rsidR="00392497" w:rsidRDefault="00392497" w:rsidP="002A37BB">
      <w:pPr>
        <w:jc w:val="both"/>
        <w:rPr>
          <w:rFonts w:ascii="Arial" w:hAnsi="Arial" w:cs="Arial"/>
          <w:color w:val="7B7B7B" w:themeColor="accent3" w:themeShade="BF"/>
          <w:sz w:val="22"/>
          <w:szCs w:val="22"/>
          <w:lang w:val="en-GB"/>
        </w:rPr>
      </w:pPr>
    </w:p>
    <w:p w14:paraId="1C369051" w14:textId="1EB454FE" w:rsidR="00392497" w:rsidRPr="008500BD" w:rsidRDefault="00392497"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In this case, PAJ has assets in (Madrid) Spain where it has warehouses that it rents out to other toy companies. Therefore PAJ has an establishment in Spain, as result of which the Spanish bank can open secondary insolvency proceedings.</w:t>
      </w:r>
      <w:r w:rsidR="00791E71">
        <w:rPr>
          <w:rFonts w:ascii="Arial" w:hAnsi="Arial" w:cs="Arial"/>
          <w:color w:val="7B7B7B" w:themeColor="accent3" w:themeShade="BF"/>
          <w:sz w:val="22"/>
          <w:szCs w:val="22"/>
          <w:lang w:val="en-GB"/>
        </w:rPr>
        <w:t>]</w:t>
      </w:r>
    </w:p>
    <w:p w14:paraId="35D8F287" w14:textId="113CD71D"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E7E4" w14:textId="77777777" w:rsidR="00CC75E4" w:rsidRDefault="00CC75E4" w:rsidP="00241B44">
      <w:r>
        <w:separator/>
      </w:r>
    </w:p>
  </w:endnote>
  <w:endnote w:type="continuationSeparator" w:id="0">
    <w:p w14:paraId="56836D50" w14:textId="77777777" w:rsidR="00CC75E4" w:rsidRDefault="00CC75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E2926" w:rsidRPr="00FC7B47" w:rsidRDefault="008E292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E2926" w:rsidRPr="00FC7B47" w:rsidRDefault="008E2926"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71C888AC" w:rsidR="008E2926" w:rsidRPr="009B4976" w:rsidRDefault="008E2926" w:rsidP="008E2926">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73EAC">
          <w:rPr>
            <w:rStyle w:val="PageNumber"/>
            <w:rFonts w:ascii="Arial" w:hAnsi="Arial" w:cs="Arial"/>
            <w:noProof/>
            <w:sz w:val="18"/>
            <w:szCs w:val="18"/>
          </w:rPr>
          <w:t>13</w:t>
        </w:r>
        <w:r w:rsidRPr="009B4976">
          <w:rPr>
            <w:rStyle w:val="PageNumber"/>
            <w:rFonts w:ascii="Arial" w:hAnsi="Arial" w:cs="Arial"/>
            <w:sz w:val="18"/>
            <w:szCs w:val="18"/>
          </w:rPr>
          <w:fldChar w:fldCharType="end"/>
        </w:r>
      </w:p>
    </w:sdtContent>
  </w:sdt>
  <w:p w14:paraId="30F05E79" w14:textId="79B15200" w:rsidR="008E2926" w:rsidRPr="009B4976" w:rsidRDefault="008E2926" w:rsidP="009B4976">
    <w:pPr>
      <w:pStyle w:val="Footer"/>
      <w:ind w:right="360"/>
      <w:rPr>
        <w:rFonts w:ascii="Arial" w:hAnsi="Arial" w:cs="Arial"/>
        <w:sz w:val="18"/>
        <w:szCs w:val="18"/>
        <w:lang w:val="en-GB"/>
      </w:rPr>
    </w:pPr>
    <w:r w:rsidRPr="00AF56D0">
      <w:rPr>
        <w:rFonts w:ascii="Arial" w:hAnsi="Arial" w:cs="Arial"/>
        <w:sz w:val="18"/>
        <w:szCs w:val="18"/>
        <w:lang w:val="en-GB"/>
      </w:rPr>
      <w:t>202021IFU-212</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DCCF" w14:textId="77777777" w:rsidR="00CC75E4" w:rsidRDefault="00CC75E4" w:rsidP="00241B44">
      <w:r>
        <w:separator/>
      </w:r>
    </w:p>
  </w:footnote>
  <w:footnote w:type="continuationSeparator" w:id="0">
    <w:p w14:paraId="64D06A9D" w14:textId="77777777" w:rsidR="00CC75E4" w:rsidRDefault="00CC75E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8855608"/>
    <w:multiLevelType w:val="hybridMultilevel"/>
    <w:tmpl w:val="04C8CDCE"/>
    <w:lvl w:ilvl="0" w:tplc="F4366A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ECB1679"/>
    <w:multiLevelType w:val="hybridMultilevel"/>
    <w:tmpl w:val="D736C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615D11"/>
    <w:multiLevelType w:val="hybridMultilevel"/>
    <w:tmpl w:val="21BEF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A8E0E46"/>
    <w:multiLevelType w:val="hybridMultilevel"/>
    <w:tmpl w:val="F73C6F6E"/>
    <w:lvl w:ilvl="0" w:tplc="77E29728">
      <w:start w:val="1"/>
      <w:numFmt w:val="low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0766C8"/>
    <w:multiLevelType w:val="hybridMultilevel"/>
    <w:tmpl w:val="C12EB35E"/>
    <w:lvl w:ilvl="0" w:tplc="44B060C4">
      <w:start w:val="1"/>
      <w:numFmt w:val="decimal"/>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1"/>
  </w:num>
  <w:num w:numId="3">
    <w:abstractNumId w:val="3"/>
  </w:num>
  <w:num w:numId="4">
    <w:abstractNumId w:val="15"/>
  </w:num>
  <w:num w:numId="5">
    <w:abstractNumId w:val="10"/>
  </w:num>
  <w:num w:numId="6">
    <w:abstractNumId w:val="12"/>
  </w:num>
  <w:num w:numId="7">
    <w:abstractNumId w:val="0"/>
  </w:num>
  <w:num w:numId="8">
    <w:abstractNumId w:val="8"/>
  </w:num>
  <w:num w:numId="9">
    <w:abstractNumId w:val="5"/>
  </w:num>
  <w:num w:numId="10">
    <w:abstractNumId w:val="2"/>
  </w:num>
  <w:num w:numId="11">
    <w:abstractNumId w:val="9"/>
  </w:num>
  <w:num w:numId="12">
    <w:abstractNumId w:val="6"/>
  </w:num>
  <w:num w:numId="13">
    <w:abstractNumId w:val="7"/>
  </w:num>
  <w:num w:numId="14">
    <w:abstractNumId w:val="13"/>
  </w:num>
  <w:num w:numId="15">
    <w:abstractNumId w:val="4"/>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C0C4A"/>
    <w:rsid w:val="000D55A8"/>
    <w:rsid w:val="000E4841"/>
    <w:rsid w:val="000F1677"/>
    <w:rsid w:val="000F3D6C"/>
    <w:rsid w:val="00101707"/>
    <w:rsid w:val="00113E29"/>
    <w:rsid w:val="0011473D"/>
    <w:rsid w:val="00115C85"/>
    <w:rsid w:val="00123855"/>
    <w:rsid w:val="00126133"/>
    <w:rsid w:val="00126A4D"/>
    <w:rsid w:val="0014171F"/>
    <w:rsid w:val="0014622C"/>
    <w:rsid w:val="00152348"/>
    <w:rsid w:val="0015456D"/>
    <w:rsid w:val="00155FA2"/>
    <w:rsid w:val="00161F1B"/>
    <w:rsid w:val="00162829"/>
    <w:rsid w:val="001657F4"/>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75A3"/>
    <w:rsid w:val="00303C2F"/>
    <w:rsid w:val="003144EF"/>
    <w:rsid w:val="00321168"/>
    <w:rsid w:val="003252C2"/>
    <w:rsid w:val="00326292"/>
    <w:rsid w:val="00326415"/>
    <w:rsid w:val="00330937"/>
    <w:rsid w:val="00330F31"/>
    <w:rsid w:val="00331480"/>
    <w:rsid w:val="00334648"/>
    <w:rsid w:val="00337002"/>
    <w:rsid w:val="0033768C"/>
    <w:rsid w:val="00337938"/>
    <w:rsid w:val="00340769"/>
    <w:rsid w:val="00341AA6"/>
    <w:rsid w:val="00361A0A"/>
    <w:rsid w:val="00364836"/>
    <w:rsid w:val="0036565C"/>
    <w:rsid w:val="0036625E"/>
    <w:rsid w:val="0037465A"/>
    <w:rsid w:val="00382C98"/>
    <w:rsid w:val="0038533C"/>
    <w:rsid w:val="00386568"/>
    <w:rsid w:val="00390B57"/>
    <w:rsid w:val="0039249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3E7F4A"/>
    <w:rsid w:val="00404329"/>
    <w:rsid w:val="004054F7"/>
    <w:rsid w:val="00405DC1"/>
    <w:rsid w:val="00415F1F"/>
    <w:rsid w:val="0042108F"/>
    <w:rsid w:val="00430FED"/>
    <w:rsid w:val="00434A8C"/>
    <w:rsid w:val="00437297"/>
    <w:rsid w:val="00444284"/>
    <w:rsid w:val="00445CE6"/>
    <w:rsid w:val="004534C2"/>
    <w:rsid w:val="0045446F"/>
    <w:rsid w:val="0045683E"/>
    <w:rsid w:val="00465BFF"/>
    <w:rsid w:val="00477C72"/>
    <w:rsid w:val="004846C7"/>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46B25"/>
    <w:rsid w:val="00553EB2"/>
    <w:rsid w:val="00560534"/>
    <w:rsid w:val="0056391B"/>
    <w:rsid w:val="005650E2"/>
    <w:rsid w:val="00567AD7"/>
    <w:rsid w:val="00575B2D"/>
    <w:rsid w:val="005833D0"/>
    <w:rsid w:val="005846F3"/>
    <w:rsid w:val="0058622F"/>
    <w:rsid w:val="00592F82"/>
    <w:rsid w:val="005A0CCA"/>
    <w:rsid w:val="005A25BB"/>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2164"/>
    <w:rsid w:val="006B435A"/>
    <w:rsid w:val="006B4C64"/>
    <w:rsid w:val="006D2DBE"/>
    <w:rsid w:val="006D6BD5"/>
    <w:rsid w:val="006E481A"/>
    <w:rsid w:val="006E5287"/>
    <w:rsid w:val="006E5298"/>
    <w:rsid w:val="006F4A78"/>
    <w:rsid w:val="006F60A3"/>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809BC"/>
    <w:rsid w:val="00782EE1"/>
    <w:rsid w:val="00784128"/>
    <w:rsid w:val="00791E71"/>
    <w:rsid w:val="00793173"/>
    <w:rsid w:val="007A107A"/>
    <w:rsid w:val="007A2A33"/>
    <w:rsid w:val="007A7B20"/>
    <w:rsid w:val="007C1FCC"/>
    <w:rsid w:val="007C50AA"/>
    <w:rsid w:val="007C6201"/>
    <w:rsid w:val="007D59B0"/>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167"/>
    <w:rsid w:val="0089145D"/>
    <w:rsid w:val="00894C1D"/>
    <w:rsid w:val="008A4DF2"/>
    <w:rsid w:val="008A54DA"/>
    <w:rsid w:val="008A6CFE"/>
    <w:rsid w:val="008B5333"/>
    <w:rsid w:val="008B6223"/>
    <w:rsid w:val="008C4AC6"/>
    <w:rsid w:val="008C66E0"/>
    <w:rsid w:val="008D02E1"/>
    <w:rsid w:val="008E0EC8"/>
    <w:rsid w:val="008E2926"/>
    <w:rsid w:val="008E3339"/>
    <w:rsid w:val="008E4219"/>
    <w:rsid w:val="008E65F1"/>
    <w:rsid w:val="008F20FC"/>
    <w:rsid w:val="008F5FFE"/>
    <w:rsid w:val="00905A43"/>
    <w:rsid w:val="00912C79"/>
    <w:rsid w:val="00914A23"/>
    <w:rsid w:val="009343EC"/>
    <w:rsid w:val="00942123"/>
    <w:rsid w:val="0095207B"/>
    <w:rsid w:val="00962045"/>
    <w:rsid w:val="00967219"/>
    <w:rsid w:val="0096735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30BD"/>
    <w:rsid w:val="009E2AEB"/>
    <w:rsid w:val="009E2E27"/>
    <w:rsid w:val="009E4DE3"/>
    <w:rsid w:val="009F275E"/>
    <w:rsid w:val="00A047EE"/>
    <w:rsid w:val="00A11E80"/>
    <w:rsid w:val="00A17858"/>
    <w:rsid w:val="00A2274A"/>
    <w:rsid w:val="00A235B7"/>
    <w:rsid w:val="00A27A7A"/>
    <w:rsid w:val="00A30E79"/>
    <w:rsid w:val="00A407EF"/>
    <w:rsid w:val="00A46B4C"/>
    <w:rsid w:val="00A5117B"/>
    <w:rsid w:val="00A54CB5"/>
    <w:rsid w:val="00A60074"/>
    <w:rsid w:val="00A62FDA"/>
    <w:rsid w:val="00A6627C"/>
    <w:rsid w:val="00A71019"/>
    <w:rsid w:val="00A81029"/>
    <w:rsid w:val="00A96489"/>
    <w:rsid w:val="00AA1873"/>
    <w:rsid w:val="00AB234B"/>
    <w:rsid w:val="00AB685C"/>
    <w:rsid w:val="00AB6C2D"/>
    <w:rsid w:val="00AC08F7"/>
    <w:rsid w:val="00AC3839"/>
    <w:rsid w:val="00AC7082"/>
    <w:rsid w:val="00AD2931"/>
    <w:rsid w:val="00AD513F"/>
    <w:rsid w:val="00AE2316"/>
    <w:rsid w:val="00AE74BA"/>
    <w:rsid w:val="00AF228E"/>
    <w:rsid w:val="00AF56D0"/>
    <w:rsid w:val="00B016A8"/>
    <w:rsid w:val="00B14819"/>
    <w:rsid w:val="00B15E2F"/>
    <w:rsid w:val="00B17AA9"/>
    <w:rsid w:val="00B30D9A"/>
    <w:rsid w:val="00B44713"/>
    <w:rsid w:val="00B56103"/>
    <w:rsid w:val="00B64929"/>
    <w:rsid w:val="00B736DF"/>
    <w:rsid w:val="00B73EAC"/>
    <w:rsid w:val="00B743D6"/>
    <w:rsid w:val="00B74FBD"/>
    <w:rsid w:val="00B77F46"/>
    <w:rsid w:val="00B82586"/>
    <w:rsid w:val="00B829A3"/>
    <w:rsid w:val="00B86DB1"/>
    <w:rsid w:val="00B87869"/>
    <w:rsid w:val="00B96CE3"/>
    <w:rsid w:val="00BA3C35"/>
    <w:rsid w:val="00BB0F2B"/>
    <w:rsid w:val="00BB38D1"/>
    <w:rsid w:val="00BC3E52"/>
    <w:rsid w:val="00BE4FF3"/>
    <w:rsid w:val="00BF50F7"/>
    <w:rsid w:val="00C02F29"/>
    <w:rsid w:val="00C20AFE"/>
    <w:rsid w:val="00C22A25"/>
    <w:rsid w:val="00C23D26"/>
    <w:rsid w:val="00C35671"/>
    <w:rsid w:val="00C35B77"/>
    <w:rsid w:val="00C376EB"/>
    <w:rsid w:val="00C46A92"/>
    <w:rsid w:val="00C46E65"/>
    <w:rsid w:val="00C46EC1"/>
    <w:rsid w:val="00C4793D"/>
    <w:rsid w:val="00C50C37"/>
    <w:rsid w:val="00C52796"/>
    <w:rsid w:val="00C53E2C"/>
    <w:rsid w:val="00C550C8"/>
    <w:rsid w:val="00C56B61"/>
    <w:rsid w:val="00C606C3"/>
    <w:rsid w:val="00C620F4"/>
    <w:rsid w:val="00C63E03"/>
    <w:rsid w:val="00C72848"/>
    <w:rsid w:val="00C762BF"/>
    <w:rsid w:val="00C7729F"/>
    <w:rsid w:val="00C7736C"/>
    <w:rsid w:val="00C82D87"/>
    <w:rsid w:val="00C8712A"/>
    <w:rsid w:val="00C963D3"/>
    <w:rsid w:val="00CB1983"/>
    <w:rsid w:val="00CB2CBB"/>
    <w:rsid w:val="00CB7CAC"/>
    <w:rsid w:val="00CC5335"/>
    <w:rsid w:val="00CC5BA4"/>
    <w:rsid w:val="00CC75E4"/>
    <w:rsid w:val="00CD4998"/>
    <w:rsid w:val="00CE1035"/>
    <w:rsid w:val="00CE2604"/>
    <w:rsid w:val="00CE6E50"/>
    <w:rsid w:val="00CF2819"/>
    <w:rsid w:val="00CF4F9D"/>
    <w:rsid w:val="00CF70DC"/>
    <w:rsid w:val="00D148DC"/>
    <w:rsid w:val="00D17FDC"/>
    <w:rsid w:val="00D26E26"/>
    <w:rsid w:val="00D421D6"/>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1676F"/>
    <w:rsid w:val="00E26E19"/>
    <w:rsid w:val="00E30C8A"/>
    <w:rsid w:val="00E31DF3"/>
    <w:rsid w:val="00E450A4"/>
    <w:rsid w:val="00E506BE"/>
    <w:rsid w:val="00E55547"/>
    <w:rsid w:val="00E604A1"/>
    <w:rsid w:val="00E6302B"/>
    <w:rsid w:val="00E6452F"/>
    <w:rsid w:val="00E64F45"/>
    <w:rsid w:val="00E673DD"/>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E5F81"/>
    <w:rsid w:val="00EF090E"/>
    <w:rsid w:val="00F033DA"/>
    <w:rsid w:val="00F13FB1"/>
    <w:rsid w:val="00F27CD8"/>
    <w:rsid w:val="00F30351"/>
    <w:rsid w:val="00F324BD"/>
    <w:rsid w:val="00F3323E"/>
    <w:rsid w:val="00F341F4"/>
    <w:rsid w:val="00F34F9D"/>
    <w:rsid w:val="00F35CCE"/>
    <w:rsid w:val="00F5524B"/>
    <w:rsid w:val="00F60538"/>
    <w:rsid w:val="00F61DD2"/>
    <w:rsid w:val="00F66AFF"/>
    <w:rsid w:val="00F71433"/>
    <w:rsid w:val="00F76CD4"/>
    <w:rsid w:val="00F82998"/>
    <w:rsid w:val="00F83464"/>
    <w:rsid w:val="00F93BE7"/>
    <w:rsid w:val="00F97C5B"/>
    <w:rsid w:val="00FA3D50"/>
    <w:rsid w:val="00FB7FBD"/>
    <w:rsid w:val="00FC01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546B25"/>
    <w:rPr>
      <w:rFonts w:ascii="EUAlbertina-Regu" w:hAnsi="EUAlbertina-Regu" w:hint="default"/>
      <w:b w:val="0"/>
      <w:bCs w:val="0"/>
      <w:i w:val="0"/>
      <w:iCs w:val="0"/>
      <w:color w:val="000000"/>
      <w:sz w:val="20"/>
      <w:szCs w:val="20"/>
    </w:rPr>
  </w:style>
  <w:style w:type="character" w:customStyle="1" w:styleId="fontstyle21">
    <w:name w:val="fontstyle21"/>
    <w:basedOn w:val="DefaultParagraphFont"/>
    <w:rsid w:val="00EE5F81"/>
    <w:rPr>
      <w:rFonts w:ascii="Calibri" w:hAnsi="Calibri" w:cs="Calibri" w:hint="default"/>
      <w:b w:val="0"/>
      <w:bCs w:val="0"/>
      <w:i w:val="0"/>
      <w:iCs w:val="0"/>
      <w:color w:val="893C4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5CCB-84E5-4FCE-AC64-E0CED95C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Omona</cp:lastModifiedBy>
  <cp:revision>31</cp:revision>
  <cp:lastPrinted>2019-08-27T05:42:00Z</cp:lastPrinted>
  <dcterms:created xsi:type="dcterms:W3CDTF">2021-07-31T14:35:00Z</dcterms:created>
  <dcterms:modified xsi:type="dcterms:W3CDTF">2021-07-31T21:22:00Z</dcterms:modified>
</cp:coreProperties>
</file>