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eastAsia="ja-JP"/>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a3"/>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a3"/>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Pr="00DC3CDE" w:rsidRDefault="002B2F9F" w:rsidP="00BE65AA">
      <w:pPr>
        <w:pStyle w:val="a3"/>
        <w:numPr>
          <w:ilvl w:val="0"/>
          <w:numId w:val="4"/>
        </w:numPr>
        <w:ind w:left="426"/>
        <w:jc w:val="both"/>
        <w:rPr>
          <w:rFonts w:ascii="Arial" w:hAnsi="Arial" w:cs="Arial"/>
          <w:sz w:val="22"/>
          <w:szCs w:val="22"/>
          <w:highlight w:val="yellow"/>
          <w:lang w:val="en-GB"/>
        </w:rPr>
      </w:pPr>
      <w:r w:rsidRPr="00DC3CDE">
        <w:rPr>
          <w:rFonts w:ascii="Arial" w:hAnsi="Arial" w:cs="Arial"/>
          <w:sz w:val="22"/>
          <w:szCs w:val="22"/>
          <w:highlight w:val="yellow"/>
          <w:lang w:val="en-GB"/>
        </w:rPr>
        <w:t xml:space="preserve">Adoption of the </w:t>
      </w:r>
      <w:proofErr w:type="spellStart"/>
      <w:r w:rsidRPr="00DC3CDE">
        <w:rPr>
          <w:rFonts w:ascii="Arial" w:hAnsi="Arial" w:cs="Arial"/>
          <w:sz w:val="22"/>
          <w:szCs w:val="22"/>
          <w:highlight w:val="yellow"/>
          <w:lang w:val="en-GB"/>
        </w:rPr>
        <w:t>UNCITRAL</w:t>
      </w:r>
      <w:proofErr w:type="spellEnd"/>
      <w:r w:rsidRPr="00DC3CDE">
        <w:rPr>
          <w:rFonts w:ascii="Arial" w:hAnsi="Arial" w:cs="Arial"/>
          <w:sz w:val="22"/>
          <w:szCs w:val="22"/>
          <w:highlight w:val="yellow"/>
          <w:lang w:val="en-GB"/>
        </w:rPr>
        <w:t xml:space="preserve"> Model Law on Cross-Border Insolvency</w:t>
      </w:r>
      <w:r w:rsidR="00E95C42" w:rsidRPr="00DC3CDE">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a3"/>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nhance Singapore’s insolvency and restructuring 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a3"/>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a3"/>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a3"/>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DC3CDE" w:rsidRDefault="0007291B" w:rsidP="00BE65AA">
      <w:pPr>
        <w:pStyle w:val="a3"/>
        <w:numPr>
          <w:ilvl w:val="0"/>
          <w:numId w:val="5"/>
        </w:numPr>
        <w:ind w:left="426"/>
        <w:jc w:val="both"/>
        <w:rPr>
          <w:rFonts w:ascii="Arial" w:hAnsi="Arial" w:cs="Arial"/>
          <w:sz w:val="22"/>
          <w:szCs w:val="22"/>
          <w:highlight w:val="yellow"/>
          <w:lang w:val="en-GB"/>
        </w:rPr>
      </w:pPr>
      <w:r w:rsidRPr="00DC3CDE">
        <w:rPr>
          <w:rFonts w:ascii="Arial" w:hAnsi="Arial" w:cs="Arial"/>
          <w:sz w:val="22"/>
          <w:szCs w:val="22"/>
          <w:highlight w:val="yellow"/>
          <w:lang w:val="en-GB"/>
        </w:rPr>
        <w:t>A</w:t>
      </w:r>
      <w:r w:rsidR="001A4484" w:rsidRPr="00DC3CDE">
        <w:rPr>
          <w:rFonts w:ascii="Arial" w:hAnsi="Arial" w:cs="Arial"/>
          <w:sz w:val="22"/>
          <w:szCs w:val="22"/>
          <w:highlight w:val="yellow"/>
          <w:lang w:val="en-GB"/>
        </w:rPr>
        <w:t>ny of the above</w:t>
      </w:r>
      <w:r w:rsidRPr="00DC3CDE">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a3"/>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a3"/>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a3"/>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DC3CDE" w:rsidRDefault="00FC32B6" w:rsidP="00BE65AA">
      <w:pPr>
        <w:pStyle w:val="a3"/>
        <w:numPr>
          <w:ilvl w:val="0"/>
          <w:numId w:val="6"/>
        </w:numPr>
        <w:ind w:left="426"/>
        <w:jc w:val="both"/>
        <w:rPr>
          <w:rFonts w:ascii="Arial" w:hAnsi="Arial" w:cs="Arial"/>
          <w:sz w:val="22"/>
          <w:szCs w:val="22"/>
          <w:highlight w:val="yellow"/>
          <w:lang w:val="en-GB"/>
        </w:rPr>
      </w:pPr>
      <w:r w:rsidRPr="00DC3CDE">
        <w:rPr>
          <w:rFonts w:ascii="Arial" w:hAnsi="Arial" w:cs="Arial"/>
          <w:sz w:val="22"/>
          <w:szCs w:val="22"/>
          <w:highlight w:val="yellow"/>
          <w:lang w:val="en-GB"/>
        </w:rPr>
        <w:t>Any of the above</w:t>
      </w:r>
      <w:r w:rsidR="00EA6F96" w:rsidRPr="00DC3CDE">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Pr="00DC3CDE" w:rsidRDefault="0007291B" w:rsidP="00BE65AA">
      <w:pPr>
        <w:pStyle w:val="a3"/>
        <w:numPr>
          <w:ilvl w:val="0"/>
          <w:numId w:val="7"/>
        </w:numPr>
        <w:ind w:left="426"/>
        <w:jc w:val="both"/>
        <w:rPr>
          <w:rFonts w:ascii="Arial" w:hAnsi="Arial" w:cs="Arial"/>
          <w:sz w:val="22"/>
          <w:szCs w:val="22"/>
          <w:highlight w:val="yellow"/>
          <w:lang w:val="en-GB"/>
        </w:rPr>
      </w:pPr>
      <w:r w:rsidRPr="00DC3CDE">
        <w:rPr>
          <w:rFonts w:ascii="Arial" w:hAnsi="Arial" w:cs="Arial"/>
          <w:sz w:val="22"/>
          <w:szCs w:val="22"/>
          <w:highlight w:val="yellow"/>
          <w:lang w:val="en-GB"/>
        </w:rPr>
        <w:t xml:space="preserve">Over 50% in </w:t>
      </w:r>
      <w:r w:rsidR="00416B96" w:rsidRPr="00DC3CDE">
        <w:rPr>
          <w:rFonts w:ascii="Arial" w:hAnsi="Arial" w:cs="Arial"/>
          <w:sz w:val="22"/>
          <w:szCs w:val="22"/>
          <w:highlight w:val="yellow"/>
          <w:lang w:val="en-GB"/>
        </w:rPr>
        <w:t>number</w:t>
      </w:r>
      <w:r w:rsidR="00F50041" w:rsidRPr="00DC3CDE">
        <w:rPr>
          <w:rFonts w:ascii="Arial" w:hAnsi="Arial" w:cs="Arial"/>
          <w:sz w:val="22"/>
          <w:szCs w:val="22"/>
          <w:highlight w:val="yellow"/>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a3"/>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a3"/>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a3"/>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a3"/>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a3"/>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DC3CDE" w:rsidRDefault="00C041E8" w:rsidP="00BE65AA">
      <w:pPr>
        <w:pStyle w:val="a3"/>
        <w:numPr>
          <w:ilvl w:val="0"/>
          <w:numId w:val="8"/>
        </w:numPr>
        <w:ind w:left="426"/>
        <w:jc w:val="both"/>
        <w:rPr>
          <w:rFonts w:ascii="Arial" w:hAnsi="Arial" w:cs="Arial"/>
          <w:sz w:val="22"/>
          <w:szCs w:val="22"/>
          <w:highlight w:val="yellow"/>
          <w:lang w:val="en-GB"/>
        </w:rPr>
      </w:pPr>
      <w:r w:rsidRPr="00DC3CDE">
        <w:rPr>
          <w:rFonts w:ascii="Arial" w:hAnsi="Arial" w:cs="Arial"/>
          <w:sz w:val="22"/>
          <w:szCs w:val="22"/>
          <w:highlight w:val="yellow"/>
          <w:lang w:val="en-GB"/>
        </w:rPr>
        <w:t>The automatic moratorium can be obtained without filing an application to Court</w:t>
      </w:r>
      <w:r w:rsidR="003E22E2" w:rsidRPr="00DC3CDE">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a3"/>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DC3CDE" w:rsidRDefault="00A92054" w:rsidP="00BE65AA">
      <w:pPr>
        <w:pStyle w:val="a3"/>
        <w:numPr>
          <w:ilvl w:val="0"/>
          <w:numId w:val="9"/>
        </w:numPr>
        <w:ind w:left="426"/>
        <w:jc w:val="both"/>
        <w:rPr>
          <w:rFonts w:ascii="Arial" w:hAnsi="Arial" w:cs="Arial"/>
          <w:sz w:val="22"/>
          <w:szCs w:val="22"/>
          <w:highlight w:val="yellow"/>
          <w:lang w:val="en-GB"/>
        </w:rPr>
      </w:pPr>
      <w:r w:rsidRPr="00DC3CDE">
        <w:rPr>
          <w:rFonts w:ascii="Arial" w:hAnsi="Arial" w:cs="Arial"/>
          <w:sz w:val="22"/>
          <w:szCs w:val="22"/>
          <w:highlight w:val="yellow"/>
          <w:lang w:val="en-GB"/>
        </w:rPr>
        <w:t>A receiver is appointed over the assets of the company</w:t>
      </w:r>
      <w:r w:rsidR="00B50EA0" w:rsidRPr="00DC3CDE">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a3"/>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a3"/>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a3"/>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a3"/>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DC3CDE" w:rsidRDefault="0007291B" w:rsidP="00BE65AA">
      <w:pPr>
        <w:pStyle w:val="a3"/>
        <w:numPr>
          <w:ilvl w:val="0"/>
          <w:numId w:val="10"/>
        </w:numPr>
        <w:ind w:left="426"/>
        <w:jc w:val="both"/>
        <w:rPr>
          <w:rFonts w:ascii="Arial" w:hAnsi="Arial" w:cs="Arial"/>
          <w:sz w:val="22"/>
          <w:szCs w:val="22"/>
          <w:highlight w:val="yellow"/>
          <w:lang w:val="en-GB"/>
        </w:rPr>
      </w:pPr>
      <w:r w:rsidRPr="00DC3CDE">
        <w:rPr>
          <w:rFonts w:ascii="Arial" w:hAnsi="Arial" w:cs="Arial"/>
          <w:sz w:val="22"/>
          <w:szCs w:val="22"/>
          <w:highlight w:val="yellow"/>
          <w:lang w:val="en-GB"/>
        </w:rPr>
        <w:t>P</w:t>
      </w:r>
      <w:r w:rsidR="001A4484" w:rsidRPr="00DC3CDE">
        <w:rPr>
          <w:rFonts w:ascii="Arial" w:hAnsi="Arial" w:cs="Arial"/>
          <w:sz w:val="22"/>
          <w:szCs w:val="22"/>
          <w:highlight w:val="yellow"/>
          <w:lang w:val="en-GB"/>
        </w:rPr>
        <w:t>reserving all or part of the company</w:t>
      </w:r>
      <w:r w:rsidR="004D7749" w:rsidRPr="00DC3CDE">
        <w:rPr>
          <w:rFonts w:ascii="Arial" w:hAnsi="Arial" w:cs="Arial"/>
          <w:sz w:val="22"/>
          <w:szCs w:val="22"/>
          <w:highlight w:val="yellow"/>
          <w:lang w:val="en-GB"/>
        </w:rPr>
        <w:t>’</w:t>
      </w:r>
      <w:r w:rsidR="001A4484" w:rsidRPr="00DC3CDE">
        <w:rPr>
          <w:rFonts w:ascii="Arial" w:hAnsi="Arial" w:cs="Arial"/>
          <w:sz w:val="22"/>
          <w:szCs w:val="22"/>
          <w:highlight w:val="yellow"/>
          <w:lang w:val="en-GB"/>
        </w:rPr>
        <w:t>s business as a going concern</w:t>
      </w:r>
      <w:r w:rsidRPr="00DC3CDE">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a3"/>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a3"/>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Singapore?</w:t>
      </w:r>
      <w:r w:rsidR="0007291B">
        <w:rPr>
          <w:rFonts w:ascii="Arial" w:hAnsi="Arial" w:cs="Arial"/>
          <w:sz w:val="22"/>
          <w:szCs w:val="22"/>
          <w:lang w:val="en-GB"/>
        </w:rPr>
        <w:t>:</w:t>
      </w:r>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a3"/>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a3"/>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DC3CDE" w:rsidRDefault="006F2457" w:rsidP="00BE65AA">
      <w:pPr>
        <w:pStyle w:val="a3"/>
        <w:numPr>
          <w:ilvl w:val="0"/>
          <w:numId w:val="11"/>
        </w:numPr>
        <w:ind w:left="426"/>
        <w:jc w:val="both"/>
        <w:rPr>
          <w:rFonts w:ascii="Arial" w:hAnsi="Arial" w:cs="Arial"/>
          <w:sz w:val="22"/>
          <w:szCs w:val="22"/>
          <w:highlight w:val="yellow"/>
          <w:lang w:val="en-GB"/>
        </w:rPr>
      </w:pPr>
      <w:r w:rsidRPr="00DC3CDE">
        <w:rPr>
          <w:rFonts w:ascii="Arial" w:hAnsi="Arial" w:cs="Arial"/>
          <w:sz w:val="22"/>
          <w:szCs w:val="22"/>
          <w:highlight w:val="yellow"/>
          <w:lang w:val="en-GB"/>
        </w:rPr>
        <w:t>Receivership</w:t>
      </w:r>
      <w:r w:rsidR="000C2AB6" w:rsidRPr="00DC3CDE">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a3"/>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a3"/>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a3"/>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DC3CDE" w:rsidRDefault="00C041E8" w:rsidP="00BE65AA">
      <w:pPr>
        <w:pStyle w:val="a3"/>
        <w:numPr>
          <w:ilvl w:val="0"/>
          <w:numId w:val="12"/>
        </w:numPr>
        <w:ind w:left="426"/>
        <w:jc w:val="both"/>
        <w:rPr>
          <w:rFonts w:ascii="Arial" w:hAnsi="Arial" w:cs="Arial"/>
          <w:sz w:val="22"/>
          <w:szCs w:val="22"/>
          <w:highlight w:val="yellow"/>
          <w:lang w:val="en-GB"/>
        </w:rPr>
      </w:pPr>
      <w:r w:rsidRPr="00DC3CDE">
        <w:rPr>
          <w:rFonts w:ascii="Arial" w:hAnsi="Arial" w:cs="Arial"/>
          <w:sz w:val="22"/>
          <w:szCs w:val="22"/>
          <w:highlight w:val="yellow"/>
          <w:lang w:val="en-GB"/>
        </w:rPr>
        <w:t>Brunei</w:t>
      </w:r>
      <w:r w:rsidR="00361BAA" w:rsidRPr="00DC3CDE">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a3"/>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a3"/>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 xml:space="preserve">Re </w:t>
      </w:r>
      <w:proofErr w:type="spellStart"/>
      <w:r w:rsidRPr="00670CB1">
        <w:rPr>
          <w:rFonts w:ascii="Arial" w:hAnsi="Arial" w:cs="Arial"/>
          <w:i/>
          <w:iCs/>
          <w:sz w:val="22"/>
          <w:szCs w:val="22"/>
          <w:lang w:val="en-GB"/>
        </w:rPr>
        <w:t>Zetta</w:t>
      </w:r>
      <w:proofErr w:type="spellEnd"/>
      <w:r w:rsidRPr="00670CB1">
        <w:rPr>
          <w:rFonts w:ascii="Arial" w:hAnsi="Arial" w:cs="Arial"/>
          <w:i/>
          <w:iCs/>
          <w:sz w:val="22"/>
          <w:szCs w:val="22"/>
          <w:lang w:val="en-GB"/>
        </w:rPr>
        <w:t xml:space="preserve">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a3"/>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a3"/>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a3"/>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DC3CDE" w:rsidRDefault="0007291B" w:rsidP="00BE65AA">
      <w:pPr>
        <w:pStyle w:val="a3"/>
        <w:numPr>
          <w:ilvl w:val="0"/>
          <w:numId w:val="13"/>
        </w:numPr>
        <w:ind w:left="426"/>
        <w:jc w:val="both"/>
        <w:rPr>
          <w:rFonts w:ascii="Arial" w:hAnsi="Arial" w:cs="Arial"/>
          <w:sz w:val="22"/>
          <w:szCs w:val="22"/>
          <w:highlight w:val="yellow"/>
          <w:lang w:val="en-GB"/>
        </w:rPr>
      </w:pPr>
      <w:r w:rsidRPr="00DC3CDE">
        <w:rPr>
          <w:rFonts w:ascii="Arial" w:hAnsi="Arial" w:cs="Arial"/>
          <w:sz w:val="22"/>
          <w:szCs w:val="22"/>
          <w:highlight w:val="yellow"/>
          <w:lang w:val="en-GB"/>
        </w:rPr>
        <w:t xml:space="preserve">The Court held that the omission of the word </w:t>
      </w:r>
      <w:r w:rsidR="004D7749" w:rsidRPr="00DC3CDE">
        <w:rPr>
          <w:rFonts w:ascii="Arial" w:hAnsi="Arial" w:cs="Arial"/>
          <w:sz w:val="22"/>
          <w:szCs w:val="22"/>
          <w:highlight w:val="yellow"/>
          <w:lang w:val="en-GB"/>
        </w:rPr>
        <w:t>“</w:t>
      </w:r>
      <w:r w:rsidRPr="00DC3CDE">
        <w:rPr>
          <w:rFonts w:ascii="Arial" w:hAnsi="Arial" w:cs="Arial"/>
          <w:sz w:val="22"/>
          <w:szCs w:val="22"/>
          <w:highlight w:val="yellow"/>
          <w:lang w:val="en-GB"/>
        </w:rPr>
        <w:t>manifestly</w:t>
      </w:r>
      <w:r w:rsidR="004D7749" w:rsidRPr="00DC3CDE">
        <w:rPr>
          <w:rFonts w:ascii="Arial" w:hAnsi="Arial" w:cs="Arial"/>
          <w:sz w:val="22"/>
          <w:szCs w:val="22"/>
          <w:highlight w:val="yellow"/>
          <w:lang w:val="en-GB"/>
        </w:rPr>
        <w:t>”</w:t>
      </w:r>
      <w:r w:rsidRPr="00DC3CDE">
        <w:rPr>
          <w:rFonts w:ascii="Arial" w:hAnsi="Arial" w:cs="Arial"/>
          <w:sz w:val="22"/>
          <w:szCs w:val="22"/>
          <w:highlight w:val="yellow"/>
          <w:lang w:val="en-GB"/>
        </w:rPr>
        <w:t xml:space="preserve"> from Article 6 of the Singapore Model Law meant that the standard of exclusion on public policy grounds was </w:t>
      </w:r>
      <w:r w:rsidR="00416B96" w:rsidRPr="00DC3CDE">
        <w:rPr>
          <w:rFonts w:ascii="Arial" w:hAnsi="Arial" w:cs="Arial"/>
          <w:sz w:val="22"/>
          <w:szCs w:val="22"/>
          <w:highlight w:val="yellow"/>
          <w:lang w:val="en-GB"/>
        </w:rPr>
        <w:t>higher</w:t>
      </w:r>
      <w:r w:rsidRPr="00DC3CDE">
        <w:rPr>
          <w:rFonts w:ascii="Arial" w:hAnsi="Arial" w:cs="Arial"/>
          <w:sz w:val="22"/>
          <w:szCs w:val="22"/>
          <w:highlight w:val="yellow"/>
          <w:lang w:val="en-GB"/>
        </w:rPr>
        <w:t xml:space="preserve"> than in jurisdictions where the Model Law had been enacted unmodified</w:t>
      </w:r>
      <w:r w:rsidR="00726B93" w:rsidRPr="00DC3CDE">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5CB59DF4" w14:textId="057D507A" w:rsidR="009B07AD" w:rsidRPr="000872FB" w:rsidRDefault="00A970D3" w:rsidP="002A37BB">
      <w:pPr>
        <w:ind w:left="720" w:hanging="720"/>
        <w:jc w:val="both"/>
        <w:rPr>
          <w:rFonts w:ascii="Arial" w:eastAsia="游明朝" w:hAnsi="Arial" w:cs="Arial"/>
          <w:color w:val="808080" w:themeColor="background1" w:themeShade="80"/>
          <w:sz w:val="22"/>
          <w:szCs w:val="22"/>
          <w:lang w:val="en-GB" w:eastAsia="ja-JP"/>
        </w:rPr>
      </w:pPr>
      <w:r w:rsidRPr="000872FB">
        <w:rPr>
          <w:rFonts w:ascii="Arial" w:eastAsia="游明朝" w:hAnsi="Arial" w:cs="Arial" w:hint="eastAsia"/>
          <w:color w:val="808080" w:themeColor="background1" w:themeShade="80"/>
          <w:sz w:val="22"/>
          <w:szCs w:val="22"/>
          <w:lang w:val="en-GB" w:eastAsia="ja-JP"/>
        </w:rPr>
        <w:t>There are two types of impeachable transactions under Singapore insolvency law</w:t>
      </w:r>
      <w:r w:rsidRPr="000872FB">
        <w:rPr>
          <w:rFonts w:ascii="Arial" w:eastAsia="游明朝" w:hAnsi="Arial" w:cs="Arial"/>
          <w:color w:val="808080" w:themeColor="background1" w:themeShade="80"/>
          <w:sz w:val="22"/>
          <w:szCs w:val="22"/>
          <w:lang w:val="en-GB" w:eastAsia="ja-JP"/>
        </w:rPr>
        <w:t>, i.e.</w:t>
      </w:r>
      <w:r w:rsidRPr="000872FB">
        <w:rPr>
          <w:rFonts w:ascii="Arial" w:eastAsia="游明朝" w:hAnsi="Arial" w:cs="Arial" w:hint="eastAsia"/>
          <w:color w:val="808080" w:themeColor="background1" w:themeShade="80"/>
          <w:sz w:val="22"/>
          <w:szCs w:val="22"/>
          <w:lang w:val="en-GB" w:eastAsia="ja-JP"/>
        </w:rPr>
        <w:t xml:space="preserve">: </w:t>
      </w:r>
    </w:p>
    <w:p w14:paraId="7002CD3D" w14:textId="4D6141B4" w:rsidR="00A970D3" w:rsidRPr="000872FB" w:rsidRDefault="00A970D3" w:rsidP="002A37BB">
      <w:pPr>
        <w:ind w:left="720" w:hanging="720"/>
        <w:jc w:val="both"/>
        <w:rPr>
          <w:rFonts w:ascii="Arial" w:eastAsia="游明朝" w:hAnsi="Arial" w:cs="Arial"/>
          <w:color w:val="808080" w:themeColor="background1" w:themeShade="80"/>
          <w:sz w:val="22"/>
          <w:szCs w:val="22"/>
          <w:lang w:val="en-GB" w:eastAsia="ja-JP"/>
        </w:rPr>
      </w:pPr>
      <w:r w:rsidRPr="000872FB">
        <w:rPr>
          <w:rFonts w:ascii="Arial" w:eastAsia="游明朝" w:hAnsi="Arial" w:cs="Arial"/>
          <w:color w:val="808080" w:themeColor="background1" w:themeShade="80"/>
          <w:sz w:val="22"/>
          <w:szCs w:val="22"/>
          <w:lang w:val="en-GB" w:eastAsia="ja-JP"/>
        </w:rPr>
        <w:t>(</w:t>
      </w:r>
      <w:proofErr w:type="spellStart"/>
      <w:r w:rsidRPr="000872FB">
        <w:rPr>
          <w:rFonts w:ascii="Arial" w:eastAsia="游明朝" w:hAnsi="Arial" w:cs="Arial"/>
          <w:color w:val="808080" w:themeColor="background1" w:themeShade="80"/>
          <w:sz w:val="22"/>
          <w:szCs w:val="22"/>
          <w:lang w:val="en-GB" w:eastAsia="ja-JP"/>
        </w:rPr>
        <w:t>i</w:t>
      </w:r>
      <w:proofErr w:type="spellEnd"/>
      <w:r w:rsidRPr="000872FB">
        <w:rPr>
          <w:rFonts w:ascii="Arial" w:eastAsia="游明朝" w:hAnsi="Arial" w:cs="Arial"/>
          <w:color w:val="808080" w:themeColor="background1" w:themeShade="80"/>
          <w:sz w:val="22"/>
          <w:szCs w:val="22"/>
          <w:lang w:val="en-GB" w:eastAsia="ja-JP"/>
        </w:rPr>
        <w:t>)</w:t>
      </w:r>
      <w:r w:rsidRPr="000872FB">
        <w:rPr>
          <w:rFonts w:ascii="Arial" w:eastAsia="游明朝" w:hAnsi="Arial" w:cs="Arial"/>
          <w:color w:val="808080" w:themeColor="background1" w:themeShade="80"/>
          <w:sz w:val="22"/>
          <w:szCs w:val="22"/>
          <w:lang w:val="en-GB" w:eastAsia="ja-JP"/>
        </w:rPr>
        <w:tab/>
        <w:t xml:space="preserve">an unfair preference transaction; and </w:t>
      </w:r>
    </w:p>
    <w:p w14:paraId="66CE32AE" w14:textId="01EE0867" w:rsidR="00A970D3" w:rsidRPr="000872FB" w:rsidRDefault="00A970D3" w:rsidP="002A37BB">
      <w:pPr>
        <w:ind w:left="720" w:hanging="720"/>
        <w:jc w:val="both"/>
        <w:rPr>
          <w:rFonts w:ascii="Arial" w:eastAsia="游明朝" w:hAnsi="Arial" w:cs="Arial"/>
          <w:color w:val="808080" w:themeColor="background1" w:themeShade="80"/>
          <w:sz w:val="22"/>
          <w:szCs w:val="22"/>
          <w:lang w:val="en-GB" w:eastAsia="ja-JP"/>
        </w:rPr>
      </w:pPr>
      <w:r w:rsidRPr="000872FB">
        <w:rPr>
          <w:rFonts w:ascii="Arial" w:eastAsia="游明朝" w:hAnsi="Arial" w:cs="Arial"/>
          <w:color w:val="808080" w:themeColor="background1" w:themeShade="80"/>
          <w:sz w:val="22"/>
          <w:szCs w:val="22"/>
          <w:lang w:val="en-GB" w:eastAsia="ja-JP"/>
        </w:rPr>
        <w:t>(ii)</w:t>
      </w:r>
      <w:r w:rsidRPr="000872FB">
        <w:rPr>
          <w:rFonts w:ascii="Arial" w:eastAsia="游明朝" w:hAnsi="Arial" w:cs="Arial"/>
          <w:color w:val="808080" w:themeColor="background1" w:themeShade="80"/>
          <w:sz w:val="22"/>
          <w:szCs w:val="22"/>
          <w:lang w:val="en-GB" w:eastAsia="ja-JP"/>
        </w:rPr>
        <w:tab/>
        <w:t xml:space="preserve">a transaction at an undervalue. </w:t>
      </w:r>
    </w:p>
    <w:p w14:paraId="67BFC0B2" w14:textId="2C9987C3" w:rsidR="00A970D3" w:rsidRPr="000872FB" w:rsidRDefault="00A970D3" w:rsidP="002A37BB">
      <w:pPr>
        <w:ind w:left="720" w:hanging="720"/>
        <w:jc w:val="both"/>
        <w:rPr>
          <w:rFonts w:ascii="Arial" w:eastAsia="游明朝" w:hAnsi="Arial" w:cs="Arial"/>
          <w:color w:val="808080" w:themeColor="background1" w:themeShade="80"/>
          <w:sz w:val="22"/>
          <w:szCs w:val="22"/>
          <w:lang w:val="en-GB" w:eastAsia="ja-JP"/>
        </w:rPr>
      </w:pPr>
    </w:p>
    <w:p w14:paraId="18F9FD03" w14:textId="021D6B4E" w:rsidR="00A970D3" w:rsidRPr="000872FB" w:rsidRDefault="00A970D3" w:rsidP="002A37BB">
      <w:pPr>
        <w:ind w:left="720" w:hanging="720"/>
        <w:jc w:val="both"/>
        <w:rPr>
          <w:rFonts w:ascii="Arial" w:eastAsia="游明朝" w:hAnsi="Arial" w:cs="Arial"/>
          <w:color w:val="808080" w:themeColor="background1" w:themeShade="80"/>
          <w:sz w:val="22"/>
          <w:szCs w:val="22"/>
          <w:lang w:val="en-GB" w:eastAsia="ja-JP"/>
        </w:rPr>
      </w:pPr>
      <w:r w:rsidRPr="000872FB">
        <w:rPr>
          <w:rFonts w:ascii="Arial" w:eastAsia="游明朝" w:hAnsi="Arial" w:cs="Arial" w:hint="eastAsia"/>
          <w:color w:val="808080" w:themeColor="background1" w:themeShade="80"/>
          <w:sz w:val="22"/>
          <w:szCs w:val="22"/>
          <w:lang w:val="en-GB" w:eastAsia="ja-JP"/>
        </w:rPr>
        <w:t>The elements of (</w:t>
      </w:r>
      <w:proofErr w:type="spellStart"/>
      <w:r w:rsidRPr="000872FB">
        <w:rPr>
          <w:rFonts w:ascii="Arial" w:eastAsia="游明朝" w:hAnsi="Arial" w:cs="Arial" w:hint="eastAsia"/>
          <w:color w:val="808080" w:themeColor="background1" w:themeShade="80"/>
          <w:sz w:val="22"/>
          <w:szCs w:val="22"/>
          <w:lang w:val="en-GB" w:eastAsia="ja-JP"/>
        </w:rPr>
        <w:t>i</w:t>
      </w:r>
      <w:proofErr w:type="spellEnd"/>
      <w:r w:rsidRPr="000872FB">
        <w:rPr>
          <w:rFonts w:ascii="Arial" w:eastAsia="游明朝" w:hAnsi="Arial" w:cs="Arial" w:hint="eastAsia"/>
          <w:color w:val="808080" w:themeColor="background1" w:themeShade="80"/>
          <w:sz w:val="22"/>
          <w:szCs w:val="22"/>
          <w:lang w:val="en-GB" w:eastAsia="ja-JP"/>
        </w:rPr>
        <w:t xml:space="preserve">) an unfair preference transaction are as follows: </w:t>
      </w:r>
    </w:p>
    <w:p w14:paraId="3DAA3207" w14:textId="73944044" w:rsidR="00A970D3" w:rsidRPr="000872FB" w:rsidRDefault="00A970D3" w:rsidP="002A37BB">
      <w:pPr>
        <w:ind w:left="720" w:hanging="720"/>
        <w:jc w:val="both"/>
        <w:rPr>
          <w:rFonts w:ascii="Arial" w:eastAsia="游明朝" w:hAnsi="Arial" w:cs="Arial"/>
          <w:color w:val="808080" w:themeColor="background1" w:themeShade="80"/>
          <w:sz w:val="22"/>
          <w:szCs w:val="22"/>
          <w:lang w:val="en-GB" w:eastAsia="ja-JP"/>
        </w:rPr>
      </w:pPr>
      <w:r w:rsidRPr="000872FB">
        <w:rPr>
          <w:rFonts w:ascii="Arial" w:eastAsia="游明朝" w:hAnsi="Arial" w:cs="Arial"/>
          <w:color w:val="808080" w:themeColor="background1" w:themeShade="80"/>
          <w:sz w:val="22"/>
          <w:szCs w:val="22"/>
          <w:lang w:val="en-GB" w:eastAsia="ja-JP"/>
        </w:rPr>
        <w:lastRenderedPageBreak/>
        <w:t>(a)</w:t>
      </w:r>
      <w:r w:rsidRPr="000872FB">
        <w:rPr>
          <w:rFonts w:ascii="Arial" w:eastAsia="游明朝" w:hAnsi="Arial" w:cs="Arial"/>
          <w:color w:val="808080" w:themeColor="background1" w:themeShade="80"/>
          <w:sz w:val="22"/>
          <w:szCs w:val="22"/>
          <w:lang w:val="en-GB" w:eastAsia="ja-JP"/>
        </w:rPr>
        <w:tab/>
        <w:t xml:space="preserve">the preferred person is one of the company’s creditors or guarantors for any of the company’s debts or other liabilities; </w:t>
      </w:r>
    </w:p>
    <w:p w14:paraId="0B8CB079" w14:textId="35384537" w:rsidR="00A970D3" w:rsidRPr="000872FB" w:rsidRDefault="00A970D3" w:rsidP="00A970D3">
      <w:pPr>
        <w:ind w:left="720" w:hanging="720"/>
        <w:jc w:val="both"/>
        <w:rPr>
          <w:rFonts w:ascii="Arial" w:eastAsia="游明朝" w:hAnsi="Arial" w:cs="Arial"/>
          <w:color w:val="808080" w:themeColor="background1" w:themeShade="80"/>
          <w:sz w:val="22"/>
          <w:szCs w:val="22"/>
          <w:lang w:val="en-GB" w:eastAsia="ja-JP"/>
        </w:rPr>
      </w:pPr>
      <w:r w:rsidRPr="000872FB">
        <w:rPr>
          <w:rFonts w:ascii="Arial" w:eastAsia="游明朝" w:hAnsi="Arial" w:cs="Arial"/>
          <w:color w:val="808080" w:themeColor="background1" w:themeShade="80"/>
          <w:sz w:val="22"/>
          <w:szCs w:val="22"/>
          <w:lang w:val="en-GB" w:eastAsia="ja-JP"/>
        </w:rPr>
        <w:t>(b)</w:t>
      </w:r>
      <w:r w:rsidRPr="000872FB">
        <w:rPr>
          <w:rFonts w:ascii="Arial" w:eastAsia="游明朝" w:hAnsi="Arial" w:cs="Arial"/>
          <w:color w:val="808080" w:themeColor="background1" w:themeShade="80"/>
          <w:sz w:val="22"/>
          <w:szCs w:val="22"/>
          <w:lang w:val="en-GB" w:eastAsia="ja-JP"/>
        </w:rPr>
        <w:tab/>
        <w:t xml:space="preserve">the company is unable to pay its debts (or becomes unable to pay its debts in consequence of the transaction) at that time;  </w:t>
      </w:r>
    </w:p>
    <w:p w14:paraId="2ED24A18" w14:textId="2D1F52A9" w:rsidR="00A970D3" w:rsidRPr="000872FB" w:rsidRDefault="00A970D3" w:rsidP="002A37BB">
      <w:pPr>
        <w:ind w:left="720" w:hanging="720"/>
        <w:jc w:val="both"/>
        <w:rPr>
          <w:rFonts w:ascii="Arial" w:eastAsia="游明朝" w:hAnsi="Arial" w:cs="Arial"/>
          <w:color w:val="808080" w:themeColor="background1" w:themeShade="80"/>
          <w:sz w:val="22"/>
          <w:szCs w:val="22"/>
          <w:lang w:val="en-GB" w:eastAsia="ja-JP"/>
        </w:rPr>
      </w:pPr>
      <w:r w:rsidRPr="000872FB">
        <w:rPr>
          <w:rFonts w:ascii="Arial" w:eastAsia="游明朝" w:hAnsi="Arial" w:cs="Arial"/>
          <w:color w:val="808080" w:themeColor="background1" w:themeShade="80"/>
          <w:sz w:val="22"/>
          <w:szCs w:val="22"/>
          <w:lang w:val="en-GB" w:eastAsia="ja-JP"/>
        </w:rPr>
        <w:t>(c)</w:t>
      </w:r>
      <w:r w:rsidRPr="000872FB">
        <w:rPr>
          <w:rFonts w:ascii="Arial" w:eastAsia="游明朝" w:hAnsi="Arial" w:cs="Arial"/>
          <w:color w:val="808080" w:themeColor="background1" w:themeShade="80"/>
          <w:sz w:val="22"/>
          <w:szCs w:val="22"/>
          <w:lang w:val="en-GB" w:eastAsia="ja-JP"/>
        </w:rPr>
        <w:tab/>
        <w:t xml:space="preserve">the company does anything or suffers anything to be done which has the effect of putting the preferred person into a position which, in the event of the company’s winding up, will be better than the position that the person would have been in if that thing had not been done; and </w:t>
      </w:r>
    </w:p>
    <w:p w14:paraId="6E781711" w14:textId="6331FA7A" w:rsidR="00A970D3" w:rsidRPr="000872FB" w:rsidRDefault="00A970D3" w:rsidP="002A37BB">
      <w:pPr>
        <w:ind w:left="720" w:hanging="720"/>
        <w:jc w:val="both"/>
        <w:rPr>
          <w:rFonts w:ascii="Arial" w:eastAsia="游明朝" w:hAnsi="Arial" w:cs="Arial"/>
          <w:color w:val="808080" w:themeColor="background1" w:themeShade="80"/>
          <w:sz w:val="22"/>
          <w:szCs w:val="22"/>
          <w:lang w:val="en-GB" w:eastAsia="ja-JP"/>
        </w:rPr>
      </w:pPr>
      <w:r w:rsidRPr="000872FB">
        <w:rPr>
          <w:rFonts w:ascii="Arial" w:eastAsia="游明朝" w:hAnsi="Arial" w:cs="Arial"/>
          <w:color w:val="808080" w:themeColor="background1" w:themeShade="80"/>
          <w:sz w:val="22"/>
          <w:szCs w:val="22"/>
          <w:lang w:val="en-GB" w:eastAsia="ja-JP"/>
        </w:rPr>
        <w:t xml:space="preserve">(d) </w:t>
      </w:r>
      <w:r w:rsidRPr="000872FB">
        <w:rPr>
          <w:rFonts w:ascii="Arial" w:eastAsia="游明朝" w:hAnsi="Arial" w:cs="Arial"/>
          <w:color w:val="808080" w:themeColor="background1" w:themeShade="80"/>
          <w:sz w:val="22"/>
          <w:szCs w:val="22"/>
          <w:lang w:val="en-GB" w:eastAsia="ja-JP"/>
        </w:rPr>
        <w:tab/>
        <w:t xml:space="preserve">the company was influenced in deciding to enter the transaction by a desire to produce the effect mentioned in (c). </w:t>
      </w:r>
    </w:p>
    <w:p w14:paraId="3E798936" w14:textId="77777777" w:rsidR="00DE03AF" w:rsidRPr="000872FB" w:rsidRDefault="00DE03AF" w:rsidP="002A37BB">
      <w:pPr>
        <w:jc w:val="both"/>
        <w:rPr>
          <w:rFonts w:ascii="Arial" w:hAnsi="Arial" w:cs="Arial"/>
          <w:color w:val="808080" w:themeColor="background1" w:themeShade="80"/>
          <w:sz w:val="22"/>
          <w:szCs w:val="22"/>
          <w:lang w:val="en-GB"/>
        </w:rPr>
      </w:pPr>
    </w:p>
    <w:p w14:paraId="5791A1DA" w14:textId="7E36F0D8" w:rsidR="00020557" w:rsidRPr="000872FB" w:rsidRDefault="00A970D3" w:rsidP="002A37BB">
      <w:pPr>
        <w:jc w:val="both"/>
        <w:rPr>
          <w:rFonts w:ascii="Arial" w:eastAsia="游明朝" w:hAnsi="Arial" w:cs="Arial"/>
          <w:color w:val="808080" w:themeColor="background1" w:themeShade="80"/>
          <w:sz w:val="22"/>
          <w:szCs w:val="22"/>
          <w:lang w:eastAsia="ja-JP"/>
        </w:rPr>
      </w:pPr>
      <w:r w:rsidRPr="000872FB">
        <w:rPr>
          <w:rFonts w:ascii="Arial" w:eastAsia="游明朝" w:hAnsi="Arial" w:cs="Arial" w:hint="eastAsia"/>
          <w:color w:val="808080" w:themeColor="background1" w:themeShade="80"/>
          <w:sz w:val="22"/>
          <w:szCs w:val="22"/>
          <w:lang w:eastAsia="ja-JP"/>
        </w:rPr>
        <w:t xml:space="preserve">The elements of (ii) a transaction at an undervalue are as follows: </w:t>
      </w:r>
    </w:p>
    <w:p w14:paraId="1CC27FD6" w14:textId="1CD93A32" w:rsidR="00A970D3" w:rsidRPr="000872FB" w:rsidRDefault="00A970D3" w:rsidP="00A970D3">
      <w:pPr>
        <w:ind w:left="720" w:hanging="720"/>
        <w:jc w:val="both"/>
        <w:rPr>
          <w:rFonts w:ascii="Arial" w:eastAsia="游明朝" w:hAnsi="Arial" w:cs="Arial"/>
          <w:color w:val="808080" w:themeColor="background1" w:themeShade="80"/>
          <w:sz w:val="22"/>
          <w:szCs w:val="22"/>
          <w:lang w:eastAsia="ja-JP"/>
        </w:rPr>
      </w:pPr>
      <w:r w:rsidRPr="000872FB">
        <w:rPr>
          <w:rFonts w:ascii="Arial" w:eastAsia="游明朝" w:hAnsi="Arial" w:cs="Arial"/>
          <w:color w:val="808080" w:themeColor="background1" w:themeShade="80"/>
          <w:sz w:val="22"/>
          <w:szCs w:val="22"/>
          <w:lang w:eastAsia="ja-JP"/>
        </w:rPr>
        <w:t>(a)</w:t>
      </w:r>
      <w:r w:rsidRPr="000872FB">
        <w:rPr>
          <w:rFonts w:ascii="Arial" w:eastAsia="游明朝" w:hAnsi="Arial" w:cs="Arial"/>
          <w:color w:val="808080" w:themeColor="background1" w:themeShade="80"/>
          <w:sz w:val="22"/>
          <w:szCs w:val="22"/>
          <w:lang w:eastAsia="ja-JP"/>
        </w:rPr>
        <w:tab/>
        <w:t xml:space="preserve">the company makes a gift to the person or otherwise enters into a transaction with that person for a consideration significantly less than the value of the consideration provided by the company; and </w:t>
      </w:r>
    </w:p>
    <w:p w14:paraId="11A5B857" w14:textId="3A2FB636" w:rsidR="00A970D3" w:rsidRPr="000872FB" w:rsidRDefault="00A970D3" w:rsidP="00A970D3">
      <w:pPr>
        <w:ind w:left="720" w:hanging="720"/>
        <w:jc w:val="both"/>
        <w:rPr>
          <w:rFonts w:ascii="Arial" w:eastAsia="游明朝" w:hAnsi="Arial" w:cs="Arial"/>
          <w:color w:val="808080" w:themeColor="background1" w:themeShade="80"/>
          <w:sz w:val="22"/>
          <w:szCs w:val="22"/>
          <w:lang w:eastAsia="ja-JP"/>
        </w:rPr>
      </w:pPr>
      <w:r w:rsidRPr="000872FB">
        <w:rPr>
          <w:rFonts w:ascii="Arial" w:eastAsia="游明朝" w:hAnsi="Arial" w:cs="Arial"/>
          <w:color w:val="808080" w:themeColor="background1" w:themeShade="80"/>
          <w:sz w:val="22"/>
          <w:szCs w:val="22"/>
          <w:lang w:eastAsia="ja-JP"/>
        </w:rPr>
        <w:t>(b)</w:t>
      </w:r>
      <w:r w:rsidRPr="000872FB">
        <w:rPr>
          <w:rFonts w:ascii="Arial" w:eastAsia="游明朝" w:hAnsi="Arial" w:cs="Arial"/>
          <w:color w:val="808080" w:themeColor="background1" w:themeShade="80"/>
          <w:sz w:val="22"/>
          <w:szCs w:val="22"/>
          <w:lang w:eastAsia="ja-JP"/>
        </w:rPr>
        <w:tab/>
        <w:t xml:space="preserve">the company is unable to pay its debts (or becomes unable to pay its debts in consequence of the transaction) at that time. </w:t>
      </w:r>
    </w:p>
    <w:p w14:paraId="04ACF4A1" w14:textId="77777777" w:rsidR="00A970D3" w:rsidRDefault="00A970D3" w:rsidP="002A37BB">
      <w:pPr>
        <w:jc w:val="both"/>
        <w:rPr>
          <w:rFonts w:ascii="Arial" w:hAnsi="Arial" w:cs="Arial"/>
          <w:sz w:val="22"/>
          <w:szCs w:val="22"/>
        </w:rPr>
      </w:pP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proofErr w:type="spellStart"/>
      <w:r w:rsidR="00F927F0">
        <w:rPr>
          <w:rFonts w:ascii="Arial" w:hAnsi="Arial" w:cs="Arial"/>
          <w:sz w:val="22"/>
          <w:szCs w:val="22"/>
          <w:lang w:val="en-GB"/>
        </w:rPr>
        <w:t>JIN</w:t>
      </w:r>
      <w:proofErr w:type="spellEnd"/>
      <w:r w:rsidR="00F927F0">
        <w:rPr>
          <w:rFonts w:ascii="Arial" w:hAnsi="Arial" w:cs="Arial"/>
          <w:sz w:val="22"/>
          <w:szCs w:val="22"/>
          <w:lang w:val="en-GB"/>
        </w:rPr>
        <w:t xml:space="preserve">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63EBEC0C" w14:textId="70F50A2B" w:rsidR="009B07AD" w:rsidRPr="002A37BB" w:rsidRDefault="00A970D3" w:rsidP="00A970D3">
      <w:pPr>
        <w:jc w:val="both"/>
        <w:rPr>
          <w:rFonts w:ascii="Arial" w:hAnsi="Arial" w:cs="Arial"/>
          <w:sz w:val="22"/>
          <w:szCs w:val="22"/>
        </w:rPr>
      </w:pPr>
      <w:r w:rsidRPr="000872FB">
        <w:rPr>
          <w:rFonts w:ascii="Arial" w:hAnsi="Arial" w:cs="Arial"/>
          <w:color w:val="7B7B7B" w:themeColor="accent3" w:themeShade="BF"/>
          <w:sz w:val="22"/>
          <w:szCs w:val="22"/>
        </w:rPr>
        <w:t xml:space="preserve">The objective of the </w:t>
      </w:r>
      <w:proofErr w:type="spellStart"/>
      <w:r w:rsidRPr="000872FB">
        <w:rPr>
          <w:rFonts w:ascii="Arial" w:hAnsi="Arial" w:cs="Arial"/>
          <w:color w:val="7B7B7B" w:themeColor="accent3" w:themeShade="BF"/>
          <w:sz w:val="22"/>
          <w:szCs w:val="22"/>
        </w:rPr>
        <w:t>JIN</w:t>
      </w:r>
      <w:proofErr w:type="spellEnd"/>
      <w:r w:rsidRPr="000872FB">
        <w:rPr>
          <w:rFonts w:ascii="Arial" w:hAnsi="Arial" w:cs="Arial"/>
          <w:color w:val="7B7B7B" w:themeColor="accent3" w:themeShade="BF"/>
          <w:sz w:val="22"/>
          <w:szCs w:val="22"/>
        </w:rPr>
        <w:t xml:space="preserve"> Guideline is to set up a framework for the communication and cooperation between courts in cross-border insolvency matters. The Guideline is significant in cross-border insolvency matters in Singapore because some leading jurisdictions for cross-border insolvency such as the US Bankruptcy Courts for the District of Delaware and the Southern District of New York have adopted the Guideline.</w:t>
      </w:r>
      <w:r>
        <w:rPr>
          <w:rFonts w:ascii="Arial" w:hAnsi="Arial" w:cs="Arial"/>
          <w:color w:val="7B7B7B" w:themeColor="accent3" w:themeShade="BF"/>
          <w:sz w:val="22"/>
          <w:szCs w:val="22"/>
        </w:rPr>
        <w:t xml:space="preserve"> </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How can a bankrupt obtain</w:t>
      </w:r>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a3"/>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a3"/>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4AF7625F" w14:textId="0FB92288" w:rsidR="00C72848" w:rsidRPr="000872FB" w:rsidRDefault="00463035" w:rsidP="002A37BB">
      <w:pPr>
        <w:ind w:left="720" w:hanging="720"/>
        <w:jc w:val="both"/>
        <w:rPr>
          <w:rFonts w:ascii="Arial" w:hAnsi="Arial" w:cs="Arial"/>
          <w:color w:val="7B7B7B" w:themeColor="accent3" w:themeShade="BF"/>
          <w:sz w:val="22"/>
          <w:szCs w:val="22"/>
          <w:lang w:val="en-GB"/>
        </w:rPr>
      </w:pPr>
      <w:r w:rsidRPr="000872FB">
        <w:rPr>
          <w:rFonts w:ascii="Arial" w:hAnsi="Arial" w:cs="Arial"/>
          <w:color w:val="7B7B7B" w:themeColor="accent3" w:themeShade="BF"/>
          <w:sz w:val="22"/>
          <w:szCs w:val="22"/>
          <w:lang w:val="en-GB"/>
        </w:rPr>
        <w:t>(</w:t>
      </w:r>
      <w:proofErr w:type="spellStart"/>
      <w:r w:rsidRPr="000872FB">
        <w:rPr>
          <w:rFonts w:ascii="Arial" w:hAnsi="Arial" w:cs="Arial"/>
          <w:color w:val="7B7B7B" w:themeColor="accent3" w:themeShade="BF"/>
          <w:sz w:val="22"/>
          <w:szCs w:val="22"/>
          <w:lang w:val="en-GB"/>
        </w:rPr>
        <w:t>i</w:t>
      </w:r>
      <w:proofErr w:type="spellEnd"/>
      <w:r w:rsidRPr="000872FB">
        <w:rPr>
          <w:rFonts w:ascii="Arial" w:hAnsi="Arial" w:cs="Arial"/>
          <w:color w:val="7B7B7B" w:themeColor="accent3" w:themeShade="BF"/>
          <w:sz w:val="22"/>
          <w:szCs w:val="22"/>
          <w:lang w:val="en-GB"/>
        </w:rPr>
        <w:t>)</w:t>
      </w:r>
      <w:r w:rsidRPr="000872FB">
        <w:rPr>
          <w:rFonts w:ascii="Arial" w:hAnsi="Arial" w:cs="Arial"/>
          <w:color w:val="7B7B7B" w:themeColor="accent3" w:themeShade="BF"/>
          <w:sz w:val="22"/>
          <w:szCs w:val="22"/>
          <w:lang w:val="en-GB"/>
        </w:rPr>
        <w:tab/>
        <w:t xml:space="preserve">According to the Singapore IRDA Section 392, a bankrupt can obtain an annulment of a bankruptcy order if the Court finds that: </w:t>
      </w:r>
    </w:p>
    <w:p w14:paraId="60070AC5" w14:textId="77777777" w:rsidR="00463035" w:rsidRPr="000872FB" w:rsidRDefault="00463035" w:rsidP="00463035">
      <w:pPr>
        <w:ind w:left="720" w:hanging="720"/>
        <w:jc w:val="both"/>
        <w:rPr>
          <w:rFonts w:ascii="Arial" w:hAnsi="Arial" w:cs="Arial"/>
          <w:color w:val="7B7B7B" w:themeColor="accent3" w:themeShade="BF"/>
          <w:sz w:val="22"/>
          <w:szCs w:val="22"/>
          <w:lang w:val="en-GB"/>
        </w:rPr>
      </w:pPr>
      <w:r w:rsidRPr="000872FB">
        <w:rPr>
          <w:rFonts w:ascii="Arial" w:hAnsi="Arial" w:cs="Arial"/>
          <w:color w:val="7B7B7B" w:themeColor="accent3" w:themeShade="BF"/>
          <w:sz w:val="22"/>
          <w:szCs w:val="22"/>
          <w:lang w:val="en-GB"/>
        </w:rPr>
        <w:t>(a)</w:t>
      </w:r>
      <w:r w:rsidRPr="000872FB">
        <w:rPr>
          <w:rFonts w:ascii="Arial" w:hAnsi="Arial" w:cs="Arial"/>
          <w:color w:val="7B7B7B" w:themeColor="accent3" w:themeShade="BF"/>
          <w:sz w:val="22"/>
          <w:szCs w:val="22"/>
          <w:lang w:val="en-GB"/>
        </w:rPr>
        <w:tab/>
        <w:t>on any ground existing at the time the order was made, the order ought not to have been made;</w:t>
      </w:r>
    </w:p>
    <w:p w14:paraId="093518B6" w14:textId="2C1780ED" w:rsidR="00463035" w:rsidRPr="000872FB" w:rsidRDefault="00463035" w:rsidP="00463035">
      <w:pPr>
        <w:ind w:left="720" w:hanging="720"/>
        <w:jc w:val="both"/>
        <w:rPr>
          <w:rFonts w:ascii="Arial" w:hAnsi="Arial" w:cs="Arial"/>
          <w:color w:val="7B7B7B" w:themeColor="accent3" w:themeShade="BF"/>
          <w:sz w:val="22"/>
          <w:szCs w:val="22"/>
          <w:lang w:val="en-GB"/>
        </w:rPr>
      </w:pPr>
      <w:r w:rsidRPr="000872FB">
        <w:rPr>
          <w:rFonts w:ascii="Arial" w:hAnsi="Arial" w:cs="Arial"/>
          <w:color w:val="7B7B7B" w:themeColor="accent3" w:themeShade="BF"/>
          <w:sz w:val="22"/>
          <w:szCs w:val="22"/>
          <w:lang w:val="en-GB"/>
        </w:rPr>
        <w:t>(b)</w:t>
      </w:r>
      <w:r w:rsidRPr="000872FB">
        <w:rPr>
          <w:rFonts w:ascii="Arial" w:hAnsi="Arial" w:cs="Arial"/>
          <w:color w:val="7B7B7B" w:themeColor="accent3" w:themeShade="BF"/>
          <w:sz w:val="22"/>
          <w:szCs w:val="22"/>
          <w:lang w:val="en-GB"/>
        </w:rPr>
        <w:tab/>
        <w:t>to the extent required by the regulations, both the debts and the expenses of the bankruptcy have all, since the making of the order, either been paid or secured for to the satisfaction of the Court; or</w:t>
      </w:r>
    </w:p>
    <w:p w14:paraId="4C6E7AA5" w14:textId="60949EB8" w:rsidR="00463035" w:rsidRPr="000872FB" w:rsidRDefault="00463035" w:rsidP="00463035">
      <w:pPr>
        <w:ind w:left="720" w:hanging="720"/>
        <w:jc w:val="both"/>
        <w:rPr>
          <w:rFonts w:ascii="Arial" w:hAnsi="Arial" w:cs="Arial"/>
          <w:color w:val="7B7B7B" w:themeColor="accent3" w:themeShade="BF"/>
          <w:sz w:val="22"/>
          <w:szCs w:val="22"/>
          <w:lang w:val="en-GB"/>
        </w:rPr>
      </w:pPr>
      <w:r w:rsidRPr="000872FB">
        <w:rPr>
          <w:rFonts w:ascii="Arial" w:hAnsi="Arial" w:cs="Arial"/>
          <w:color w:val="7B7B7B" w:themeColor="accent3" w:themeShade="BF"/>
          <w:sz w:val="22"/>
          <w:szCs w:val="22"/>
          <w:lang w:val="en-GB"/>
        </w:rPr>
        <w:t>(c)</w:t>
      </w:r>
      <w:r w:rsidRPr="000872FB">
        <w:rPr>
          <w:rFonts w:ascii="Arial" w:hAnsi="Arial" w:cs="Arial"/>
          <w:color w:val="7B7B7B" w:themeColor="accent3" w:themeShade="BF"/>
          <w:sz w:val="22"/>
          <w:szCs w:val="22"/>
          <w:lang w:val="en-GB"/>
        </w:rPr>
        <w:tab/>
        <w:t>(A) proceedings are pending in Malaysia for the distribution of the bankrupt’s estate and effects amongst the creditors under the bankruptcy law of Malaysia or (B) a majority of the creditors in number and value are resident in Malaysia, and that the distribution ought to take place there.</w:t>
      </w:r>
    </w:p>
    <w:p w14:paraId="4099D3CF" w14:textId="7AE5BA5E" w:rsidR="00463035" w:rsidRPr="000872FB" w:rsidRDefault="00463035" w:rsidP="00463035">
      <w:pPr>
        <w:ind w:left="720" w:hanging="720"/>
        <w:jc w:val="both"/>
        <w:rPr>
          <w:rFonts w:ascii="Arial" w:hAnsi="Arial" w:cs="Arial"/>
          <w:color w:val="7B7B7B" w:themeColor="accent3" w:themeShade="BF"/>
          <w:sz w:val="22"/>
          <w:szCs w:val="22"/>
          <w:lang w:val="en-GB"/>
        </w:rPr>
      </w:pPr>
    </w:p>
    <w:p w14:paraId="40BE8E49" w14:textId="77777777" w:rsidR="002D5171" w:rsidRPr="000872FB" w:rsidRDefault="00463035" w:rsidP="002D5171">
      <w:pPr>
        <w:ind w:left="720" w:hanging="720"/>
        <w:jc w:val="both"/>
        <w:rPr>
          <w:rFonts w:ascii="Arial" w:hAnsi="Arial" w:cs="Arial"/>
          <w:color w:val="7B7B7B" w:themeColor="accent3" w:themeShade="BF"/>
          <w:sz w:val="22"/>
          <w:szCs w:val="22"/>
          <w:lang w:val="en-GB"/>
        </w:rPr>
      </w:pPr>
      <w:r w:rsidRPr="000872FB">
        <w:rPr>
          <w:rFonts w:ascii="Arial" w:hAnsi="Arial" w:cs="Arial"/>
          <w:color w:val="7B7B7B" w:themeColor="accent3" w:themeShade="BF"/>
          <w:sz w:val="22"/>
          <w:szCs w:val="22"/>
          <w:lang w:val="en-GB"/>
        </w:rPr>
        <w:t>(ii)</w:t>
      </w:r>
      <w:r w:rsidRPr="000872FB">
        <w:rPr>
          <w:rFonts w:ascii="Arial" w:hAnsi="Arial" w:cs="Arial"/>
          <w:color w:val="7B7B7B" w:themeColor="accent3" w:themeShade="BF"/>
          <w:sz w:val="22"/>
          <w:szCs w:val="22"/>
          <w:lang w:val="en-GB"/>
        </w:rPr>
        <w:tab/>
        <w:t xml:space="preserve">According to the Singapore IRDA section 394, </w:t>
      </w:r>
      <w:r w:rsidR="002D5171" w:rsidRPr="000872FB">
        <w:rPr>
          <w:rFonts w:ascii="Arial" w:hAnsi="Arial" w:cs="Arial"/>
          <w:color w:val="7B7B7B" w:themeColor="accent3" w:themeShade="BF"/>
          <w:sz w:val="22"/>
          <w:szCs w:val="22"/>
          <w:lang w:val="en-GB"/>
        </w:rPr>
        <w:t xml:space="preserve">in order to obtain an order for discharge from bankruptcy, a bankrupt (or the Official Assignee or any other person having an interest in the matter) must </w:t>
      </w:r>
      <w:r w:rsidRPr="000872FB">
        <w:rPr>
          <w:rFonts w:ascii="Arial" w:hAnsi="Arial" w:cs="Arial"/>
          <w:color w:val="7B7B7B" w:themeColor="accent3" w:themeShade="BF"/>
          <w:sz w:val="22"/>
          <w:szCs w:val="22"/>
          <w:lang w:val="en-GB"/>
        </w:rPr>
        <w:t>apply to the cou</w:t>
      </w:r>
      <w:r w:rsidR="002D5171" w:rsidRPr="000872FB">
        <w:rPr>
          <w:rFonts w:ascii="Arial" w:hAnsi="Arial" w:cs="Arial"/>
          <w:color w:val="7B7B7B" w:themeColor="accent3" w:themeShade="BF"/>
          <w:sz w:val="22"/>
          <w:szCs w:val="22"/>
          <w:lang w:val="en-GB"/>
        </w:rPr>
        <w:t xml:space="preserve">rt for the discharge order. The Court may: </w:t>
      </w:r>
    </w:p>
    <w:p w14:paraId="7D9FB4C0" w14:textId="7A4EEBF2" w:rsidR="002D5171" w:rsidRPr="000872FB" w:rsidRDefault="002D5171" w:rsidP="002D5171">
      <w:pPr>
        <w:ind w:left="720" w:hanging="720"/>
        <w:jc w:val="both"/>
        <w:rPr>
          <w:rFonts w:ascii="Arial" w:hAnsi="Arial" w:cs="Arial"/>
          <w:color w:val="7B7B7B" w:themeColor="accent3" w:themeShade="BF"/>
          <w:sz w:val="22"/>
          <w:szCs w:val="22"/>
          <w:lang w:val="en-GB"/>
        </w:rPr>
      </w:pPr>
      <w:r w:rsidRPr="000872FB">
        <w:rPr>
          <w:rFonts w:ascii="Arial" w:hAnsi="Arial" w:cs="Arial"/>
          <w:color w:val="7B7B7B" w:themeColor="accent3" w:themeShade="BF"/>
          <w:sz w:val="22"/>
          <w:szCs w:val="22"/>
          <w:lang w:val="en-GB"/>
        </w:rPr>
        <w:lastRenderedPageBreak/>
        <w:t>(a)</w:t>
      </w:r>
      <w:r w:rsidRPr="000872FB">
        <w:rPr>
          <w:rFonts w:ascii="Arial" w:hAnsi="Arial" w:cs="Arial"/>
          <w:color w:val="7B7B7B" w:themeColor="accent3" w:themeShade="BF"/>
          <w:sz w:val="22"/>
          <w:szCs w:val="22"/>
          <w:lang w:val="en-GB"/>
        </w:rPr>
        <w:tab/>
        <w:t>refuse to discharge the bankrupt from bankruptcy;</w:t>
      </w:r>
    </w:p>
    <w:p w14:paraId="72E627C7" w14:textId="77777777" w:rsidR="002D5171" w:rsidRPr="000872FB" w:rsidRDefault="002D5171" w:rsidP="002D5171">
      <w:pPr>
        <w:ind w:left="720" w:hanging="720"/>
        <w:jc w:val="both"/>
        <w:rPr>
          <w:rFonts w:ascii="Arial" w:hAnsi="Arial" w:cs="Arial"/>
          <w:color w:val="7B7B7B" w:themeColor="accent3" w:themeShade="BF"/>
          <w:sz w:val="22"/>
          <w:szCs w:val="22"/>
          <w:lang w:val="en-GB"/>
        </w:rPr>
      </w:pPr>
      <w:r w:rsidRPr="000872FB">
        <w:rPr>
          <w:rFonts w:ascii="Arial" w:hAnsi="Arial" w:cs="Arial"/>
          <w:color w:val="7B7B7B" w:themeColor="accent3" w:themeShade="BF"/>
          <w:sz w:val="22"/>
          <w:szCs w:val="22"/>
          <w:lang w:val="en-GB"/>
        </w:rPr>
        <w:t>(b)</w:t>
      </w:r>
      <w:r w:rsidRPr="000872FB">
        <w:rPr>
          <w:rFonts w:ascii="Arial" w:hAnsi="Arial" w:cs="Arial"/>
          <w:color w:val="7B7B7B" w:themeColor="accent3" w:themeShade="BF"/>
          <w:sz w:val="22"/>
          <w:szCs w:val="22"/>
          <w:lang w:val="en-GB"/>
        </w:rPr>
        <w:tab/>
        <w:t>make an order discharging the bankrupt absolutely; or</w:t>
      </w:r>
    </w:p>
    <w:p w14:paraId="0F85A4BD" w14:textId="20050FD0" w:rsidR="0045683E" w:rsidRPr="00463035" w:rsidRDefault="002D5171" w:rsidP="00943CE8">
      <w:pPr>
        <w:ind w:left="720" w:hanging="720"/>
        <w:jc w:val="both"/>
        <w:rPr>
          <w:rFonts w:ascii="Arial" w:eastAsia="游明朝" w:hAnsi="Arial" w:cs="Arial"/>
          <w:bCs/>
          <w:sz w:val="22"/>
          <w:szCs w:val="22"/>
          <w:lang w:val="en-GB" w:eastAsia="ja-JP"/>
        </w:rPr>
      </w:pPr>
      <w:r w:rsidRPr="000872FB">
        <w:rPr>
          <w:rFonts w:ascii="Arial" w:hAnsi="Arial" w:cs="Arial"/>
          <w:color w:val="7B7B7B" w:themeColor="accent3" w:themeShade="BF"/>
          <w:sz w:val="22"/>
          <w:szCs w:val="22"/>
          <w:lang w:val="en-GB"/>
        </w:rPr>
        <w:t>(c)</w:t>
      </w:r>
      <w:r w:rsidRPr="000872FB">
        <w:rPr>
          <w:rFonts w:ascii="Arial" w:hAnsi="Arial" w:cs="Arial"/>
          <w:color w:val="7B7B7B" w:themeColor="accent3" w:themeShade="BF"/>
          <w:sz w:val="22"/>
          <w:szCs w:val="22"/>
          <w:lang w:val="en-GB"/>
        </w:rPr>
        <w:tab/>
        <w:t>make an order discharging the bankrupt subject to such conditions as the Court thinks fit to impose, incl</w:t>
      </w:r>
      <w:r w:rsidR="00943CE8" w:rsidRPr="000872FB">
        <w:rPr>
          <w:rFonts w:ascii="Arial" w:hAnsi="Arial" w:cs="Arial"/>
          <w:color w:val="7B7B7B" w:themeColor="accent3" w:themeShade="BF"/>
          <w:sz w:val="22"/>
          <w:szCs w:val="22"/>
          <w:lang w:val="en-GB"/>
        </w:rPr>
        <w:t>uding conditions with respect to future income or property.</w:t>
      </w:r>
      <w:r w:rsidR="00943CE8">
        <w:rPr>
          <w:rFonts w:ascii="Arial" w:hAnsi="Arial" w:cs="Arial"/>
          <w:color w:val="7B7B7B" w:themeColor="accent3" w:themeShade="BF"/>
          <w:sz w:val="22"/>
          <w:szCs w:val="22"/>
          <w:lang w:val="en-GB"/>
        </w:rPr>
        <w:t xml:space="preserve"> </w:t>
      </w: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a3"/>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a3"/>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72F57A5C" w14:textId="504724D4" w:rsidR="00544127" w:rsidRPr="000872FB" w:rsidRDefault="00742399" w:rsidP="002A37BB">
      <w:pPr>
        <w:jc w:val="both"/>
        <w:rPr>
          <w:rFonts w:ascii="Arial" w:eastAsia="游明朝" w:hAnsi="Arial" w:cs="Arial"/>
          <w:color w:val="808080" w:themeColor="background1" w:themeShade="80"/>
          <w:sz w:val="22"/>
          <w:szCs w:val="22"/>
          <w:lang w:eastAsia="ja-JP"/>
        </w:rPr>
      </w:pPr>
      <w:r w:rsidRPr="000872FB">
        <w:rPr>
          <w:rFonts w:ascii="Arial" w:eastAsia="游明朝" w:hAnsi="Arial" w:cs="Arial" w:hint="eastAsia"/>
          <w:color w:val="808080" w:themeColor="background1" w:themeShade="80"/>
          <w:sz w:val="22"/>
          <w:szCs w:val="22"/>
          <w:lang w:eastAsia="ja-JP"/>
        </w:rPr>
        <w:t>T</w:t>
      </w:r>
      <w:r w:rsidRPr="000872FB">
        <w:rPr>
          <w:rFonts w:ascii="Arial" w:eastAsia="游明朝" w:hAnsi="Arial" w:cs="Arial"/>
          <w:color w:val="808080" w:themeColor="background1" w:themeShade="80"/>
          <w:sz w:val="22"/>
          <w:szCs w:val="22"/>
          <w:lang w:eastAsia="ja-JP"/>
        </w:rPr>
        <w:t>he IRDA 2018, which came into effect on 30 July 2020, introduces new provisions as to (</w:t>
      </w:r>
      <w:proofErr w:type="spellStart"/>
      <w:r w:rsidRPr="000872FB">
        <w:rPr>
          <w:rFonts w:ascii="Arial" w:eastAsia="游明朝" w:hAnsi="Arial" w:cs="Arial"/>
          <w:color w:val="808080" w:themeColor="background1" w:themeShade="80"/>
          <w:sz w:val="22"/>
          <w:szCs w:val="22"/>
          <w:lang w:eastAsia="ja-JP"/>
        </w:rPr>
        <w:t>i</w:t>
      </w:r>
      <w:proofErr w:type="spellEnd"/>
      <w:r w:rsidRPr="000872FB">
        <w:rPr>
          <w:rFonts w:ascii="Arial" w:eastAsia="游明朝" w:hAnsi="Arial" w:cs="Arial"/>
          <w:color w:val="808080" w:themeColor="background1" w:themeShade="80"/>
          <w:sz w:val="22"/>
          <w:szCs w:val="22"/>
          <w:lang w:eastAsia="ja-JP"/>
        </w:rPr>
        <w:t xml:space="preserve">) the restrictions on ipso facto clauses and (ii) wrongful trading. </w:t>
      </w:r>
    </w:p>
    <w:p w14:paraId="545CB062" w14:textId="661C054D" w:rsidR="00742399" w:rsidRPr="000872FB" w:rsidRDefault="00742399" w:rsidP="002A37BB">
      <w:pPr>
        <w:jc w:val="both"/>
        <w:rPr>
          <w:rFonts w:ascii="Arial" w:eastAsia="游明朝" w:hAnsi="Arial" w:cs="Arial"/>
          <w:color w:val="808080" w:themeColor="background1" w:themeShade="80"/>
          <w:sz w:val="22"/>
          <w:szCs w:val="22"/>
          <w:lang w:eastAsia="ja-JP"/>
        </w:rPr>
      </w:pPr>
    </w:p>
    <w:p w14:paraId="5C04533B" w14:textId="6C7B864D" w:rsidR="00742399" w:rsidRPr="000872FB" w:rsidRDefault="00742399" w:rsidP="002A37BB">
      <w:pPr>
        <w:jc w:val="both"/>
        <w:rPr>
          <w:rFonts w:ascii="Arial" w:eastAsia="游明朝" w:hAnsi="Arial" w:cs="Arial"/>
          <w:color w:val="808080" w:themeColor="background1" w:themeShade="80"/>
          <w:sz w:val="22"/>
          <w:szCs w:val="22"/>
          <w:lang w:eastAsia="ja-JP"/>
        </w:rPr>
      </w:pPr>
      <w:r w:rsidRPr="000872FB">
        <w:rPr>
          <w:rFonts w:ascii="Arial" w:eastAsia="游明朝" w:hAnsi="Arial" w:cs="Arial"/>
          <w:color w:val="808080" w:themeColor="background1" w:themeShade="80"/>
          <w:sz w:val="22"/>
          <w:szCs w:val="22"/>
          <w:lang w:eastAsia="ja-JP"/>
        </w:rPr>
        <w:t>Regarding (</w:t>
      </w:r>
      <w:proofErr w:type="spellStart"/>
      <w:r w:rsidRPr="000872FB">
        <w:rPr>
          <w:rFonts w:ascii="Arial" w:eastAsia="游明朝" w:hAnsi="Arial" w:cs="Arial"/>
          <w:color w:val="808080" w:themeColor="background1" w:themeShade="80"/>
          <w:sz w:val="22"/>
          <w:szCs w:val="22"/>
          <w:lang w:eastAsia="ja-JP"/>
        </w:rPr>
        <w:t>i</w:t>
      </w:r>
      <w:proofErr w:type="spellEnd"/>
      <w:r w:rsidRPr="000872FB">
        <w:rPr>
          <w:rFonts w:ascii="Arial" w:eastAsia="游明朝" w:hAnsi="Arial" w:cs="Arial"/>
          <w:color w:val="808080" w:themeColor="background1" w:themeShade="80"/>
          <w:sz w:val="22"/>
          <w:szCs w:val="22"/>
          <w:lang w:eastAsia="ja-JP"/>
        </w:rPr>
        <w:t xml:space="preserve">) the restrictions on ipso facto clauses, Section 440 of the IRDA 2018 prohibits a person from exercising certain contractual rights (such as rights to terminate, or claim an accelerated payment under, any agreement), by reason only that the proceedings are commenced or that the company is insolvent. </w:t>
      </w:r>
    </w:p>
    <w:p w14:paraId="59DC225F" w14:textId="3446CA37" w:rsidR="00742399" w:rsidRPr="000872FB" w:rsidRDefault="00742399" w:rsidP="002A37BB">
      <w:pPr>
        <w:jc w:val="both"/>
        <w:rPr>
          <w:rFonts w:ascii="Arial" w:eastAsia="游明朝" w:hAnsi="Arial" w:cs="Arial"/>
          <w:color w:val="808080" w:themeColor="background1" w:themeShade="80"/>
          <w:sz w:val="22"/>
          <w:szCs w:val="22"/>
          <w:lang w:eastAsia="ja-JP"/>
        </w:rPr>
      </w:pPr>
    </w:p>
    <w:p w14:paraId="4E6412EF" w14:textId="66799F33" w:rsidR="00544127" w:rsidRPr="000872FB" w:rsidRDefault="008C31CC" w:rsidP="00EA0177">
      <w:pPr>
        <w:jc w:val="both"/>
        <w:rPr>
          <w:rFonts w:ascii="Arial" w:hAnsi="Arial" w:cs="Arial"/>
          <w:color w:val="808080" w:themeColor="background1" w:themeShade="80"/>
          <w:sz w:val="22"/>
          <w:szCs w:val="22"/>
        </w:rPr>
      </w:pPr>
      <w:r w:rsidRPr="000872FB">
        <w:rPr>
          <w:rFonts w:ascii="Arial" w:eastAsia="游明朝" w:hAnsi="Arial" w:cs="Arial"/>
          <w:color w:val="808080" w:themeColor="background1" w:themeShade="80"/>
          <w:sz w:val="22"/>
          <w:szCs w:val="22"/>
          <w:lang w:eastAsia="ja-JP"/>
        </w:rPr>
        <w:t xml:space="preserve">Regarding (ii) wrongful trading, under Section 239 of the IRDA 2018, the court may declare that any person who was a party to the company trading wrongfully is personally responsible for all or any of the company’s </w:t>
      </w:r>
      <w:r w:rsidR="00EA0177" w:rsidRPr="000872FB">
        <w:rPr>
          <w:rFonts w:ascii="Arial" w:eastAsia="游明朝" w:hAnsi="Arial" w:cs="Arial"/>
          <w:color w:val="808080" w:themeColor="background1" w:themeShade="80"/>
          <w:sz w:val="22"/>
          <w:szCs w:val="22"/>
          <w:lang w:eastAsia="ja-JP"/>
        </w:rPr>
        <w:t xml:space="preserve">debts or </w:t>
      </w:r>
      <w:r w:rsidRPr="000872FB">
        <w:rPr>
          <w:rFonts w:ascii="Arial" w:eastAsia="游明朝" w:hAnsi="Arial" w:cs="Arial"/>
          <w:color w:val="808080" w:themeColor="background1" w:themeShade="80"/>
          <w:sz w:val="22"/>
          <w:szCs w:val="22"/>
          <w:lang w:eastAsia="ja-JP"/>
        </w:rPr>
        <w:t>liabilities if the person knew (in the case that the person is an officer of the company, ought to have known) that the</w:t>
      </w:r>
      <w:r w:rsidR="00EA0177" w:rsidRPr="000872FB">
        <w:rPr>
          <w:rFonts w:ascii="Arial" w:eastAsia="游明朝" w:hAnsi="Arial" w:cs="Arial"/>
          <w:color w:val="808080" w:themeColor="background1" w:themeShade="80"/>
          <w:sz w:val="22"/>
          <w:szCs w:val="22"/>
          <w:lang w:eastAsia="ja-JP"/>
        </w:rPr>
        <w:t xml:space="preserve"> company was trading wrongfully. A company trades wrongfully if the company, when insolvent, incurs debts or liabilities without reasonable prospect of meeting them in full and that result in the company becoming insolvent. </w:t>
      </w: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390FDD25" w14:textId="07765515" w:rsidR="00DF75F8" w:rsidRPr="000872FB" w:rsidRDefault="00094503" w:rsidP="002A37BB">
      <w:pPr>
        <w:jc w:val="both"/>
        <w:rPr>
          <w:rFonts w:ascii="Arial" w:eastAsia="游明朝" w:hAnsi="Arial" w:cs="Arial"/>
          <w:color w:val="808080" w:themeColor="background1" w:themeShade="80"/>
          <w:sz w:val="22"/>
          <w:szCs w:val="22"/>
          <w:lang w:val="en-GB" w:eastAsia="ja-JP"/>
        </w:rPr>
      </w:pPr>
      <w:r w:rsidRPr="000872FB">
        <w:rPr>
          <w:rFonts w:ascii="Arial" w:eastAsia="游明朝" w:hAnsi="Arial" w:cs="Arial"/>
          <w:color w:val="808080" w:themeColor="background1" w:themeShade="80"/>
          <w:sz w:val="22"/>
          <w:szCs w:val="22"/>
          <w:lang w:val="en-GB" w:eastAsia="ja-JP"/>
        </w:rPr>
        <w:t>One of t</w:t>
      </w:r>
      <w:r w:rsidRPr="000872FB">
        <w:rPr>
          <w:rFonts w:ascii="Arial" w:eastAsia="游明朝" w:hAnsi="Arial" w:cs="Arial" w:hint="eastAsia"/>
          <w:color w:val="808080" w:themeColor="background1" w:themeShade="80"/>
          <w:sz w:val="22"/>
          <w:szCs w:val="22"/>
          <w:lang w:val="en-GB" w:eastAsia="ja-JP"/>
        </w:rPr>
        <w:t>he most essential differences between a judicial management and liquidation is the purpose of the proceedings</w:t>
      </w:r>
      <w:r w:rsidRPr="000872FB">
        <w:rPr>
          <w:rFonts w:ascii="Arial" w:eastAsia="游明朝" w:hAnsi="Arial" w:cs="Arial"/>
          <w:color w:val="808080" w:themeColor="background1" w:themeShade="80"/>
          <w:sz w:val="22"/>
          <w:szCs w:val="22"/>
          <w:lang w:val="en-GB" w:eastAsia="ja-JP"/>
        </w:rPr>
        <w:t xml:space="preserve">. The purpose of the liquidation is to dispose of the debtor (insolvent company)’s assets, to distribute them to the creditors and other parties, and to terminate the existence of the debtor, under the fair proceedings conducted by a liquidator and supervised by the court. On the other hand, </w:t>
      </w:r>
      <w:r w:rsidR="003A6E9E" w:rsidRPr="000872FB">
        <w:rPr>
          <w:rFonts w:ascii="Arial" w:eastAsia="游明朝" w:hAnsi="Arial" w:cs="Arial"/>
          <w:color w:val="808080" w:themeColor="background1" w:themeShade="80"/>
          <w:sz w:val="22"/>
          <w:szCs w:val="22"/>
          <w:lang w:val="en-GB" w:eastAsia="ja-JP"/>
        </w:rPr>
        <w:t xml:space="preserve">as stipulated in Section 89 (1)(a) of the IRDA, </w:t>
      </w:r>
      <w:r w:rsidRPr="000872FB">
        <w:rPr>
          <w:rFonts w:ascii="Arial" w:eastAsia="游明朝" w:hAnsi="Arial" w:cs="Arial"/>
          <w:color w:val="808080" w:themeColor="background1" w:themeShade="80"/>
          <w:sz w:val="22"/>
          <w:szCs w:val="22"/>
          <w:lang w:val="en-GB" w:eastAsia="ja-JP"/>
        </w:rPr>
        <w:t xml:space="preserve">the </w:t>
      </w:r>
      <w:r w:rsidR="003A6E9E" w:rsidRPr="000872FB">
        <w:rPr>
          <w:rFonts w:ascii="Arial" w:eastAsia="游明朝" w:hAnsi="Arial" w:cs="Arial"/>
          <w:color w:val="808080" w:themeColor="background1" w:themeShade="80"/>
          <w:sz w:val="22"/>
          <w:szCs w:val="22"/>
          <w:lang w:val="en-GB" w:eastAsia="ja-JP"/>
        </w:rPr>
        <w:t xml:space="preserve">main </w:t>
      </w:r>
      <w:r w:rsidRPr="000872FB">
        <w:rPr>
          <w:rFonts w:ascii="Arial" w:eastAsia="游明朝" w:hAnsi="Arial" w:cs="Arial"/>
          <w:color w:val="808080" w:themeColor="background1" w:themeShade="80"/>
          <w:sz w:val="22"/>
          <w:szCs w:val="22"/>
          <w:lang w:val="en-GB" w:eastAsia="ja-JP"/>
        </w:rPr>
        <w:t xml:space="preserve">purpose of the judicial management is to restructure the debtor (financially distressed company)’s business by utilizing the tools provided by the insolvency law such as moratorium, DIP finance, </w:t>
      </w:r>
      <w:r w:rsidR="009B7871" w:rsidRPr="000872FB">
        <w:rPr>
          <w:rFonts w:ascii="Arial" w:eastAsia="游明朝" w:hAnsi="Arial" w:cs="Arial"/>
          <w:color w:val="808080" w:themeColor="background1" w:themeShade="80"/>
          <w:sz w:val="22"/>
          <w:szCs w:val="22"/>
          <w:lang w:val="en-GB" w:eastAsia="ja-JP"/>
        </w:rPr>
        <w:t xml:space="preserve">restrictions on ipso facto clause, and others, under the fair proceedings conducted by a judicial manager and supervised by the court. </w:t>
      </w:r>
    </w:p>
    <w:p w14:paraId="30A3B314" w14:textId="1268756A" w:rsidR="007E40F0" w:rsidRPr="000872FB" w:rsidRDefault="007E40F0" w:rsidP="00087F21">
      <w:pPr>
        <w:jc w:val="both"/>
        <w:rPr>
          <w:rFonts w:ascii="Arial" w:hAnsi="Arial" w:cs="Arial"/>
          <w:bCs/>
          <w:color w:val="808080" w:themeColor="background1" w:themeShade="80"/>
          <w:sz w:val="22"/>
          <w:szCs w:val="22"/>
          <w:lang w:val="en-GB"/>
        </w:rPr>
      </w:pPr>
    </w:p>
    <w:p w14:paraId="4C6D0D64" w14:textId="2D8CACAC" w:rsidR="003A6E9E" w:rsidRPr="000872FB" w:rsidRDefault="003A6E9E" w:rsidP="00087F21">
      <w:pPr>
        <w:jc w:val="both"/>
        <w:rPr>
          <w:rFonts w:ascii="Arial" w:eastAsia="游明朝" w:hAnsi="Arial" w:cs="Arial"/>
          <w:bCs/>
          <w:color w:val="808080" w:themeColor="background1" w:themeShade="80"/>
          <w:sz w:val="22"/>
          <w:szCs w:val="22"/>
          <w:lang w:val="en-GB" w:eastAsia="ja-JP"/>
        </w:rPr>
      </w:pPr>
      <w:r w:rsidRPr="000872FB">
        <w:rPr>
          <w:rFonts w:ascii="Arial" w:eastAsia="游明朝" w:hAnsi="Arial" w:cs="Arial" w:hint="eastAsia"/>
          <w:bCs/>
          <w:color w:val="808080" w:themeColor="background1" w:themeShade="80"/>
          <w:sz w:val="22"/>
          <w:szCs w:val="22"/>
          <w:lang w:val="en-GB" w:eastAsia="ja-JP"/>
        </w:rPr>
        <w:t>The difference of the purpose lead</w:t>
      </w:r>
      <w:r w:rsidRPr="000872FB">
        <w:rPr>
          <w:rFonts w:ascii="Arial" w:eastAsia="游明朝" w:hAnsi="Arial" w:cs="Arial"/>
          <w:bCs/>
          <w:color w:val="808080" w:themeColor="background1" w:themeShade="80"/>
          <w:sz w:val="22"/>
          <w:szCs w:val="22"/>
          <w:lang w:val="en-GB" w:eastAsia="ja-JP"/>
        </w:rPr>
        <w:t>s</w:t>
      </w:r>
      <w:r w:rsidRPr="000872FB">
        <w:rPr>
          <w:rFonts w:ascii="Arial" w:eastAsia="游明朝" w:hAnsi="Arial" w:cs="Arial" w:hint="eastAsia"/>
          <w:bCs/>
          <w:color w:val="808080" w:themeColor="background1" w:themeShade="80"/>
          <w:sz w:val="22"/>
          <w:szCs w:val="22"/>
          <w:lang w:val="en-GB" w:eastAsia="ja-JP"/>
        </w:rPr>
        <w:t xml:space="preserve"> to </w:t>
      </w:r>
      <w:r w:rsidRPr="000872FB">
        <w:rPr>
          <w:rFonts w:ascii="Arial" w:eastAsia="游明朝" w:hAnsi="Arial" w:cs="Arial"/>
          <w:bCs/>
          <w:color w:val="808080" w:themeColor="background1" w:themeShade="80"/>
          <w:sz w:val="22"/>
          <w:szCs w:val="22"/>
          <w:lang w:val="en-GB" w:eastAsia="ja-JP"/>
        </w:rPr>
        <w:t xml:space="preserve">several differences of the proceedings. For example, </w:t>
      </w:r>
      <w:r w:rsidR="00DD4380" w:rsidRPr="000872FB">
        <w:rPr>
          <w:rFonts w:ascii="Arial" w:eastAsia="游明朝" w:hAnsi="Arial" w:cs="Arial"/>
          <w:bCs/>
          <w:color w:val="808080" w:themeColor="background1" w:themeShade="80"/>
          <w:sz w:val="22"/>
          <w:szCs w:val="22"/>
          <w:lang w:val="en-GB" w:eastAsia="ja-JP"/>
        </w:rPr>
        <w:t xml:space="preserve">while an application of liquidation can be made when a company is unable to pay its debts, </w:t>
      </w:r>
      <w:r w:rsidRPr="000872FB">
        <w:rPr>
          <w:rFonts w:ascii="Arial" w:eastAsia="游明朝" w:hAnsi="Arial" w:cs="Arial"/>
          <w:bCs/>
          <w:color w:val="808080" w:themeColor="background1" w:themeShade="80"/>
          <w:sz w:val="22"/>
          <w:szCs w:val="22"/>
          <w:lang w:val="en-GB" w:eastAsia="ja-JP"/>
        </w:rPr>
        <w:t>the requirement</w:t>
      </w:r>
      <w:r w:rsidR="00DD4380" w:rsidRPr="000872FB">
        <w:rPr>
          <w:rFonts w:ascii="Arial" w:eastAsia="游明朝" w:hAnsi="Arial" w:cs="Arial"/>
          <w:bCs/>
          <w:color w:val="808080" w:themeColor="background1" w:themeShade="80"/>
          <w:sz w:val="22"/>
          <w:szCs w:val="22"/>
          <w:lang w:val="en-GB" w:eastAsia="ja-JP"/>
        </w:rPr>
        <w:t>s for judicial management to be applied are (</w:t>
      </w:r>
      <w:proofErr w:type="spellStart"/>
      <w:r w:rsidR="00DD4380" w:rsidRPr="000872FB">
        <w:rPr>
          <w:rFonts w:ascii="Arial" w:eastAsia="游明朝" w:hAnsi="Arial" w:cs="Arial"/>
          <w:bCs/>
          <w:color w:val="808080" w:themeColor="background1" w:themeShade="80"/>
          <w:sz w:val="22"/>
          <w:szCs w:val="22"/>
          <w:lang w:val="en-GB" w:eastAsia="ja-JP"/>
        </w:rPr>
        <w:t>i</w:t>
      </w:r>
      <w:proofErr w:type="spellEnd"/>
      <w:r w:rsidR="00DD4380" w:rsidRPr="000872FB">
        <w:rPr>
          <w:rFonts w:ascii="Arial" w:eastAsia="游明朝" w:hAnsi="Arial" w:cs="Arial"/>
          <w:bCs/>
          <w:color w:val="808080" w:themeColor="background1" w:themeShade="80"/>
          <w:sz w:val="22"/>
          <w:szCs w:val="22"/>
          <w:lang w:val="en-GB" w:eastAsia="ja-JP"/>
        </w:rPr>
        <w:t xml:space="preserve">) the company is </w:t>
      </w:r>
      <w:r w:rsidR="00DD4380" w:rsidRPr="000872FB">
        <w:rPr>
          <w:rFonts w:ascii="Arial" w:eastAsia="游明朝" w:hAnsi="Arial" w:cs="Arial"/>
          <w:bCs/>
          <w:color w:val="808080" w:themeColor="background1" w:themeShade="80"/>
          <w:sz w:val="22"/>
          <w:szCs w:val="22"/>
          <w:u w:val="single"/>
          <w:lang w:val="en-GB" w:eastAsia="ja-JP"/>
        </w:rPr>
        <w:t>or is likely to become</w:t>
      </w:r>
      <w:r w:rsidR="00DD4380" w:rsidRPr="000872FB">
        <w:rPr>
          <w:rFonts w:ascii="Arial" w:eastAsia="游明朝" w:hAnsi="Arial" w:cs="Arial"/>
          <w:bCs/>
          <w:color w:val="808080" w:themeColor="background1" w:themeShade="80"/>
          <w:sz w:val="22"/>
          <w:szCs w:val="22"/>
          <w:lang w:val="en-GB" w:eastAsia="ja-JP"/>
        </w:rPr>
        <w:t xml:space="preserve"> unable to pay its debts and (ii) there is a reasonable probability of rehabilitating the company or of preserving all or part of its business as a going concern, or the interests of creditors would be better served otherwise than by resorting to a winding up as set forth in Section 90 of the IRDA. Also, under judicial management, </w:t>
      </w:r>
      <w:r w:rsidR="00C177FF" w:rsidRPr="000872FB">
        <w:rPr>
          <w:rFonts w:ascii="Arial" w:eastAsia="游明朝" w:hAnsi="Arial" w:cs="Arial"/>
          <w:bCs/>
          <w:color w:val="808080" w:themeColor="background1" w:themeShade="80"/>
          <w:sz w:val="22"/>
          <w:szCs w:val="22"/>
          <w:lang w:val="en-GB" w:eastAsia="ja-JP"/>
        </w:rPr>
        <w:t xml:space="preserve">the court may make an order that grants preferential treatment for any rescue financing to the debtor so that the debtor may be </w:t>
      </w:r>
      <w:r w:rsidR="00C177FF" w:rsidRPr="000872FB">
        <w:rPr>
          <w:rFonts w:ascii="Arial" w:eastAsia="游明朝" w:hAnsi="Arial" w:cs="Arial"/>
          <w:bCs/>
          <w:color w:val="808080" w:themeColor="background1" w:themeShade="80"/>
          <w:sz w:val="22"/>
          <w:szCs w:val="22"/>
          <w:lang w:val="en-GB" w:eastAsia="ja-JP"/>
        </w:rPr>
        <w:lastRenderedPageBreak/>
        <w:t>able to obtain rescue financing more easily. In addition, under judicial management, the judicial manager may submit a statement of proposal that includes the debtor’s business restructuring plan (sometimes the judicial manager also obtain</w:t>
      </w:r>
      <w:r w:rsidR="0069146F" w:rsidRPr="000872FB">
        <w:rPr>
          <w:rFonts w:ascii="Arial" w:eastAsia="游明朝" w:hAnsi="Arial" w:cs="Arial"/>
          <w:bCs/>
          <w:color w:val="808080" w:themeColor="background1" w:themeShade="80"/>
          <w:sz w:val="22"/>
          <w:szCs w:val="22"/>
          <w:lang w:val="en-GB" w:eastAsia="ja-JP"/>
        </w:rPr>
        <w:t>s approval of creditors under scheme of arrangement</w:t>
      </w:r>
      <w:r w:rsidR="00C177FF" w:rsidRPr="000872FB">
        <w:rPr>
          <w:rFonts w:ascii="Arial" w:eastAsia="游明朝" w:hAnsi="Arial" w:cs="Arial"/>
          <w:bCs/>
          <w:color w:val="808080" w:themeColor="background1" w:themeShade="80"/>
          <w:sz w:val="22"/>
          <w:szCs w:val="22"/>
          <w:lang w:val="en-GB" w:eastAsia="ja-JP"/>
        </w:rPr>
        <w:t>) and, if a certain number/value of creditors votes for the proposal</w:t>
      </w:r>
      <w:r w:rsidR="0069146F" w:rsidRPr="000872FB">
        <w:rPr>
          <w:rFonts w:ascii="Arial" w:eastAsia="游明朝" w:hAnsi="Arial" w:cs="Arial"/>
          <w:bCs/>
          <w:color w:val="808080" w:themeColor="background1" w:themeShade="80"/>
          <w:sz w:val="22"/>
          <w:szCs w:val="22"/>
          <w:lang w:val="en-GB" w:eastAsia="ja-JP"/>
        </w:rPr>
        <w:t xml:space="preserve"> (or the scheme)</w:t>
      </w:r>
      <w:r w:rsidR="00C177FF" w:rsidRPr="000872FB">
        <w:rPr>
          <w:rFonts w:ascii="Arial" w:eastAsia="游明朝" w:hAnsi="Arial" w:cs="Arial"/>
          <w:bCs/>
          <w:color w:val="808080" w:themeColor="background1" w:themeShade="80"/>
          <w:sz w:val="22"/>
          <w:szCs w:val="22"/>
          <w:lang w:val="en-GB" w:eastAsia="ja-JP"/>
        </w:rPr>
        <w:t xml:space="preserve">, it will </w:t>
      </w:r>
      <w:r w:rsidR="0069146F" w:rsidRPr="000872FB">
        <w:rPr>
          <w:rFonts w:ascii="Arial" w:eastAsia="游明朝" w:hAnsi="Arial" w:cs="Arial"/>
          <w:bCs/>
          <w:color w:val="808080" w:themeColor="background1" w:themeShade="80"/>
          <w:sz w:val="22"/>
          <w:szCs w:val="22"/>
          <w:lang w:val="en-GB" w:eastAsia="ja-JP"/>
        </w:rPr>
        <w:t xml:space="preserve">be </w:t>
      </w:r>
      <w:r w:rsidR="00C177FF" w:rsidRPr="000872FB">
        <w:rPr>
          <w:rFonts w:ascii="Arial" w:eastAsia="游明朝" w:hAnsi="Arial" w:cs="Arial"/>
          <w:bCs/>
          <w:color w:val="808080" w:themeColor="background1" w:themeShade="80"/>
          <w:sz w:val="22"/>
          <w:szCs w:val="22"/>
          <w:lang w:val="en-GB" w:eastAsia="ja-JP"/>
        </w:rPr>
        <w:t>bind</w:t>
      </w:r>
      <w:r w:rsidR="0069146F" w:rsidRPr="000872FB">
        <w:rPr>
          <w:rFonts w:ascii="Arial" w:eastAsia="游明朝" w:hAnsi="Arial" w:cs="Arial"/>
          <w:bCs/>
          <w:color w:val="808080" w:themeColor="background1" w:themeShade="80"/>
          <w:sz w:val="22"/>
          <w:szCs w:val="22"/>
          <w:lang w:val="en-GB" w:eastAsia="ja-JP"/>
        </w:rPr>
        <w:t>ing</w:t>
      </w:r>
      <w:r w:rsidR="00C177FF" w:rsidRPr="000872FB">
        <w:rPr>
          <w:rFonts w:ascii="Arial" w:eastAsia="游明朝" w:hAnsi="Arial" w:cs="Arial"/>
          <w:bCs/>
          <w:color w:val="808080" w:themeColor="background1" w:themeShade="80"/>
          <w:sz w:val="22"/>
          <w:szCs w:val="22"/>
          <w:lang w:val="en-GB" w:eastAsia="ja-JP"/>
        </w:rPr>
        <w:t xml:space="preserve"> the company, its credit</w:t>
      </w:r>
      <w:r w:rsidR="0069146F" w:rsidRPr="000872FB">
        <w:rPr>
          <w:rFonts w:ascii="Arial" w:eastAsia="游明朝" w:hAnsi="Arial" w:cs="Arial"/>
          <w:bCs/>
          <w:color w:val="808080" w:themeColor="background1" w:themeShade="80"/>
          <w:sz w:val="22"/>
          <w:szCs w:val="22"/>
          <w:lang w:val="en-GB" w:eastAsia="ja-JP"/>
        </w:rPr>
        <w:t xml:space="preserve">ors, and other related parties in order to restructure the company’s business as a going concern. As liquidation only aims at the dissolution of the company, it does not have the processes of submitting a plan of reorganization/restructuring nor voting for it by creditors or other constituents. </w:t>
      </w:r>
    </w:p>
    <w:p w14:paraId="669B9821" w14:textId="77777777" w:rsidR="009B7871" w:rsidRPr="0069146F" w:rsidRDefault="009B7871"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0"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a3"/>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a3"/>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a3"/>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a3"/>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a3"/>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a3"/>
        <w:rPr>
          <w:rFonts w:ascii="Arial" w:hAnsi="Arial" w:cs="Arial"/>
          <w:sz w:val="22"/>
          <w:szCs w:val="22"/>
          <w:lang w:val="en-GB"/>
        </w:rPr>
      </w:pPr>
    </w:p>
    <w:p w14:paraId="5B17AFE3" w14:textId="58D207AF" w:rsidR="00B81AE8" w:rsidRPr="005A6ED5" w:rsidRDefault="00235D7D" w:rsidP="00BE65AA">
      <w:pPr>
        <w:pStyle w:val="a3"/>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w:t>
      </w:r>
      <w:r w:rsidR="00B81AE8">
        <w:rPr>
          <w:rFonts w:ascii="Arial" w:hAnsi="Arial" w:cs="Arial"/>
          <w:sz w:val="22"/>
          <w:szCs w:val="22"/>
          <w:lang w:val="en-GB"/>
        </w:rPr>
        <w:lastRenderedPageBreak/>
        <w:t xml:space="preserve">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w:t>
      </w:r>
      <w:proofErr w:type="spellStart"/>
      <w:r>
        <w:rPr>
          <w:rFonts w:ascii="Arial" w:hAnsi="Arial" w:cs="Arial"/>
          <w:sz w:val="22"/>
          <w:szCs w:val="22"/>
          <w:lang w:val="en-GB"/>
        </w:rPr>
        <w:t>PEC’s</w:t>
      </w:r>
      <w:proofErr w:type="spellEnd"/>
      <w:r>
        <w:rPr>
          <w:rFonts w:ascii="Arial" w:hAnsi="Arial" w:cs="Arial"/>
          <w:sz w:val="22"/>
          <w:szCs w:val="22"/>
          <w:lang w:val="en-GB"/>
        </w:rPr>
        <w:t xml:space="preserve">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a3"/>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807A94A" w:rsidR="00CF14BE" w:rsidRPr="00CF14BE" w:rsidRDefault="00631DDB" w:rsidP="00BE65AA">
      <w:pPr>
        <w:pStyle w:val="a3"/>
        <w:numPr>
          <w:ilvl w:val="0"/>
          <w:numId w:val="3"/>
        </w:numPr>
        <w:ind w:left="426"/>
        <w:jc w:val="both"/>
        <w:rPr>
          <w:lang w:val="en-GB"/>
        </w:rPr>
      </w:pPr>
      <w:r>
        <w:rPr>
          <w:rFonts w:ascii="Arial" w:hAnsi="Arial" w:cs="Arial"/>
          <w:sz w:val="22"/>
          <w:szCs w:val="22"/>
          <w:lang w:val="en-GB"/>
        </w:rPr>
        <w:t xml:space="preserve">Assuming  that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a3"/>
        <w:rPr>
          <w:rFonts w:ascii="Arial" w:hAnsi="Arial" w:cs="Arial"/>
          <w:sz w:val="22"/>
          <w:szCs w:val="22"/>
          <w:lang w:val="en-GB"/>
        </w:rPr>
      </w:pPr>
    </w:p>
    <w:p w14:paraId="46D4CE13" w14:textId="6512A414" w:rsidR="004E6D1C" w:rsidRPr="00CF14BE" w:rsidRDefault="008B155E" w:rsidP="00BE65AA">
      <w:pPr>
        <w:pStyle w:val="a3"/>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w:t>
      </w:r>
      <w:proofErr w:type="spellStart"/>
      <w:r w:rsidRPr="00CF14BE">
        <w:rPr>
          <w:rFonts w:ascii="Arial" w:hAnsi="Arial" w:cs="Arial"/>
          <w:sz w:val="22"/>
          <w:szCs w:val="22"/>
          <w:lang w:val="en-GB"/>
        </w:rPr>
        <w:t>PEC’s</w:t>
      </w:r>
      <w:proofErr w:type="spellEnd"/>
      <w:r w:rsidRPr="00CF14BE">
        <w:rPr>
          <w:rFonts w:ascii="Arial" w:hAnsi="Arial" w:cs="Arial"/>
          <w:sz w:val="22"/>
          <w:szCs w:val="22"/>
          <w:lang w:val="en-GB"/>
        </w:rPr>
        <w:t xml:space="preserve">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30A844DC" w14:textId="77777777" w:rsidR="001A007A" w:rsidRPr="009E3DF6" w:rsidRDefault="0007291B" w:rsidP="009E3DF6">
      <w:pPr>
        <w:ind w:left="66"/>
        <w:jc w:val="both"/>
        <w:rPr>
          <w:rFonts w:ascii="Arial" w:hAnsi="Arial" w:cs="Arial"/>
          <w:sz w:val="22"/>
          <w:szCs w:val="22"/>
          <w:lang w:val="en-GB"/>
        </w:rPr>
      </w:pPr>
      <w:r w:rsidRPr="009E3DF6">
        <w:rPr>
          <w:rFonts w:ascii="Arial" w:hAnsi="Arial" w:cs="Arial"/>
          <w:color w:val="7B7B7B" w:themeColor="accent3" w:themeShade="BF"/>
          <w:sz w:val="22"/>
          <w:szCs w:val="22"/>
          <w:lang w:val="en-GB"/>
        </w:rPr>
        <w:t>[Type your answer here]</w:t>
      </w:r>
    </w:p>
    <w:p w14:paraId="39F6463D" w14:textId="24BB7CCC" w:rsidR="0042264F" w:rsidRDefault="0042264F" w:rsidP="0042264F">
      <w:pPr>
        <w:jc w:val="both"/>
        <w:rPr>
          <w:rFonts w:ascii="Arial" w:hAnsi="Arial" w:cs="Arial"/>
          <w:sz w:val="22"/>
          <w:szCs w:val="22"/>
          <w:lang w:val="en-GB"/>
        </w:rPr>
      </w:pPr>
      <w:r>
        <w:rPr>
          <w:rFonts w:ascii="Arial" w:hAnsi="Arial" w:cs="Arial"/>
          <w:sz w:val="22"/>
          <w:szCs w:val="22"/>
          <w:lang w:val="en-GB"/>
        </w:rPr>
        <w:t>T</w:t>
      </w:r>
      <w:r w:rsidRPr="0042264F">
        <w:rPr>
          <w:rFonts w:ascii="Arial" w:hAnsi="Arial" w:cs="Arial"/>
          <w:sz w:val="22"/>
          <w:szCs w:val="22"/>
          <w:lang w:val="en-GB"/>
        </w:rPr>
        <w:t>he purpose of judicial management proc</w:t>
      </w:r>
      <w:r>
        <w:rPr>
          <w:rFonts w:ascii="Arial" w:hAnsi="Arial" w:cs="Arial"/>
          <w:sz w:val="22"/>
          <w:szCs w:val="22"/>
          <w:lang w:val="en-GB"/>
        </w:rPr>
        <w:t xml:space="preserve">eedings and what must be </w:t>
      </w:r>
      <w:r w:rsidRPr="0042264F">
        <w:rPr>
          <w:rFonts w:ascii="Arial" w:hAnsi="Arial" w:cs="Arial"/>
          <w:sz w:val="22"/>
          <w:szCs w:val="22"/>
          <w:lang w:val="en-GB"/>
        </w:rPr>
        <w:t>presented to the court in order to obtain a judi</w:t>
      </w:r>
      <w:r>
        <w:rPr>
          <w:rFonts w:ascii="Arial" w:hAnsi="Arial" w:cs="Arial"/>
          <w:sz w:val="22"/>
          <w:szCs w:val="22"/>
          <w:lang w:val="en-GB"/>
        </w:rPr>
        <w:t>cial management order</w:t>
      </w:r>
    </w:p>
    <w:p w14:paraId="47AF68E3" w14:textId="77777777" w:rsidR="0042264F" w:rsidRDefault="0042264F" w:rsidP="0042264F">
      <w:pPr>
        <w:jc w:val="both"/>
        <w:rPr>
          <w:rFonts w:ascii="Arial" w:hAnsi="Arial" w:cs="Arial"/>
          <w:sz w:val="22"/>
          <w:szCs w:val="22"/>
          <w:lang w:val="en-GB"/>
        </w:rPr>
      </w:pPr>
    </w:p>
    <w:p w14:paraId="42F0A559" w14:textId="3F32C934" w:rsidR="0042264F" w:rsidRPr="000872FB" w:rsidRDefault="0042264F" w:rsidP="0042264F">
      <w:pPr>
        <w:jc w:val="both"/>
        <w:rPr>
          <w:rFonts w:ascii="Arial" w:hAnsi="Arial" w:cs="Arial"/>
          <w:color w:val="808080" w:themeColor="background1" w:themeShade="80"/>
          <w:sz w:val="22"/>
          <w:szCs w:val="22"/>
          <w:lang w:val="en-GB"/>
        </w:rPr>
      </w:pPr>
      <w:r w:rsidRPr="000872FB">
        <w:rPr>
          <w:rFonts w:ascii="Arial" w:hAnsi="Arial" w:cs="Arial"/>
          <w:color w:val="808080" w:themeColor="background1" w:themeShade="80"/>
          <w:sz w:val="22"/>
          <w:szCs w:val="22"/>
          <w:lang w:val="en-GB"/>
        </w:rPr>
        <w:t xml:space="preserve">The purposes of judicial management proceedings stipulated in Section 89 of the IRDA are as follows: </w:t>
      </w:r>
    </w:p>
    <w:p w14:paraId="20105199" w14:textId="10590A66" w:rsidR="0042264F" w:rsidRPr="000872FB" w:rsidRDefault="0042264F" w:rsidP="0042264F">
      <w:pPr>
        <w:ind w:left="720" w:hanging="720"/>
        <w:jc w:val="both"/>
        <w:rPr>
          <w:rFonts w:ascii="Arial" w:hAnsi="Arial" w:cs="Arial"/>
          <w:color w:val="808080" w:themeColor="background1" w:themeShade="80"/>
          <w:sz w:val="22"/>
          <w:szCs w:val="22"/>
          <w:lang w:val="en-GB"/>
        </w:rPr>
      </w:pPr>
      <w:r w:rsidRPr="000872FB">
        <w:rPr>
          <w:rFonts w:ascii="Arial" w:hAnsi="Arial" w:cs="Arial"/>
          <w:color w:val="808080" w:themeColor="background1" w:themeShade="80"/>
          <w:sz w:val="22"/>
          <w:szCs w:val="22"/>
          <w:lang w:val="en-GB"/>
        </w:rPr>
        <w:t>(a)</w:t>
      </w:r>
      <w:r w:rsidRPr="000872FB">
        <w:rPr>
          <w:rFonts w:ascii="Arial" w:hAnsi="Arial" w:cs="Arial"/>
          <w:color w:val="808080" w:themeColor="background1" w:themeShade="80"/>
          <w:sz w:val="22"/>
          <w:szCs w:val="22"/>
          <w:lang w:val="en-GB"/>
        </w:rPr>
        <w:tab/>
        <w:t>the survival of the company, or the whole or part of its undertaking, as a going concern;</w:t>
      </w:r>
    </w:p>
    <w:p w14:paraId="2D171D32" w14:textId="77777777" w:rsidR="0042264F" w:rsidRPr="000872FB" w:rsidRDefault="0042264F" w:rsidP="0042264F">
      <w:pPr>
        <w:ind w:left="720" w:hanging="720"/>
        <w:jc w:val="both"/>
        <w:rPr>
          <w:rFonts w:ascii="Arial" w:hAnsi="Arial" w:cs="Arial"/>
          <w:color w:val="808080" w:themeColor="background1" w:themeShade="80"/>
          <w:sz w:val="22"/>
          <w:szCs w:val="22"/>
          <w:lang w:val="en-GB"/>
        </w:rPr>
      </w:pPr>
      <w:r w:rsidRPr="000872FB">
        <w:rPr>
          <w:rFonts w:ascii="Arial" w:hAnsi="Arial" w:cs="Arial"/>
          <w:color w:val="808080" w:themeColor="background1" w:themeShade="80"/>
          <w:sz w:val="22"/>
          <w:szCs w:val="22"/>
          <w:lang w:val="en-GB"/>
        </w:rPr>
        <w:t>(b)</w:t>
      </w:r>
      <w:r w:rsidRPr="000872FB">
        <w:rPr>
          <w:rFonts w:ascii="Arial" w:hAnsi="Arial" w:cs="Arial"/>
          <w:color w:val="808080" w:themeColor="background1" w:themeShade="80"/>
          <w:sz w:val="22"/>
          <w:szCs w:val="22"/>
          <w:lang w:val="en-GB"/>
        </w:rPr>
        <w:tab/>
        <w:t>the approval under section 210 of the Companies Act or section 71 of a compromise or an arrangement between the company and any such persons as are mentioned in the applicable section;</w:t>
      </w:r>
    </w:p>
    <w:p w14:paraId="780CE041" w14:textId="3152F2AC" w:rsidR="0042264F" w:rsidRPr="000872FB" w:rsidRDefault="0042264F" w:rsidP="0042264F">
      <w:pPr>
        <w:ind w:left="720" w:hanging="720"/>
        <w:jc w:val="both"/>
        <w:rPr>
          <w:rFonts w:ascii="Arial" w:hAnsi="Arial" w:cs="Arial"/>
          <w:color w:val="808080" w:themeColor="background1" w:themeShade="80"/>
          <w:sz w:val="22"/>
          <w:szCs w:val="22"/>
          <w:lang w:val="en-GB"/>
        </w:rPr>
      </w:pPr>
      <w:r w:rsidRPr="000872FB">
        <w:rPr>
          <w:rFonts w:ascii="Arial" w:hAnsi="Arial" w:cs="Arial"/>
          <w:color w:val="808080" w:themeColor="background1" w:themeShade="80"/>
          <w:sz w:val="22"/>
          <w:szCs w:val="22"/>
          <w:lang w:val="en-GB"/>
        </w:rPr>
        <w:t>(c)</w:t>
      </w:r>
      <w:r w:rsidRPr="000872FB">
        <w:rPr>
          <w:rFonts w:ascii="Arial" w:hAnsi="Arial" w:cs="Arial"/>
          <w:color w:val="808080" w:themeColor="background1" w:themeShade="80"/>
          <w:sz w:val="22"/>
          <w:szCs w:val="22"/>
          <w:lang w:val="en-GB"/>
        </w:rPr>
        <w:tab/>
        <w:t>a more advantageous realisation of the company’s assets or property than on a winding up.</w:t>
      </w:r>
    </w:p>
    <w:p w14:paraId="1C0CBF40" w14:textId="7ED8C01A" w:rsidR="0042264F" w:rsidRPr="000872FB" w:rsidRDefault="0042264F" w:rsidP="0042264F">
      <w:pPr>
        <w:jc w:val="both"/>
        <w:rPr>
          <w:rFonts w:ascii="Arial" w:eastAsia="游明朝" w:hAnsi="Arial" w:cs="Arial"/>
          <w:color w:val="808080" w:themeColor="background1" w:themeShade="80"/>
          <w:sz w:val="22"/>
          <w:szCs w:val="22"/>
          <w:lang w:val="en-GB" w:eastAsia="ja-JP"/>
        </w:rPr>
      </w:pPr>
      <w:r w:rsidRPr="000872FB">
        <w:rPr>
          <w:rFonts w:ascii="Arial" w:eastAsia="游明朝" w:hAnsi="Arial" w:cs="Arial"/>
          <w:color w:val="808080" w:themeColor="background1" w:themeShade="80"/>
          <w:sz w:val="22"/>
          <w:szCs w:val="22"/>
          <w:lang w:val="en-GB" w:eastAsia="ja-JP"/>
        </w:rPr>
        <w:t>According to Section 90 of the IRDA, i</w:t>
      </w:r>
      <w:r w:rsidRPr="000872FB">
        <w:rPr>
          <w:rFonts w:ascii="Arial" w:eastAsia="游明朝" w:hAnsi="Arial" w:cs="Arial" w:hint="eastAsia"/>
          <w:color w:val="808080" w:themeColor="background1" w:themeShade="80"/>
          <w:sz w:val="22"/>
          <w:szCs w:val="22"/>
          <w:lang w:val="en-GB" w:eastAsia="ja-JP"/>
        </w:rPr>
        <w:t>n order to obtain a judicial management order, the petitioner must present to the court:</w:t>
      </w:r>
    </w:p>
    <w:p w14:paraId="78FFC991" w14:textId="7B591009" w:rsidR="0042264F" w:rsidRPr="000872FB" w:rsidRDefault="0042264F" w:rsidP="0042264F">
      <w:pPr>
        <w:ind w:left="720" w:hanging="720"/>
        <w:jc w:val="both"/>
        <w:rPr>
          <w:rFonts w:ascii="Arial" w:eastAsia="游明朝" w:hAnsi="Arial" w:cs="Arial"/>
          <w:color w:val="808080" w:themeColor="background1" w:themeShade="80"/>
          <w:sz w:val="22"/>
          <w:szCs w:val="22"/>
          <w:lang w:val="en-GB" w:eastAsia="ja-JP"/>
        </w:rPr>
      </w:pPr>
      <w:r w:rsidRPr="000872FB">
        <w:rPr>
          <w:rFonts w:ascii="Arial" w:eastAsia="游明朝" w:hAnsi="Arial" w:cs="Arial"/>
          <w:color w:val="808080" w:themeColor="background1" w:themeShade="80"/>
          <w:sz w:val="22"/>
          <w:szCs w:val="22"/>
          <w:lang w:val="en-GB" w:eastAsia="ja-JP"/>
        </w:rPr>
        <w:t>(a)</w:t>
      </w:r>
      <w:r w:rsidRPr="000872FB">
        <w:rPr>
          <w:rFonts w:ascii="Arial" w:eastAsia="游明朝" w:hAnsi="Arial" w:cs="Arial"/>
          <w:color w:val="808080" w:themeColor="background1" w:themeShade="80"/>
          <w:sz w:val="22"/>
          <w:szCs w:val="22"/>
          <w:lang w:val="en-GB" w:eastAsia="ja-JP"/>
        </w:rPr>
        <w:tab/>
        <w:t>that the company is, or is likely to become, unable to pay its debts; and</w:t>
      </w:r>
    </w:p>
    <w:p w14:paraId="56348B26" w14:textId="564355F6" w:rsidR="0042264F" w:rsidRPr="000872FB" w:rsidRDefault="0042264F" w:rsidP="0042264F">
      <w:pPr>
        <w:ind w:left="720" w:hanging="720"/>
        <w:jc w:val="both"/>
        <w:rPr>
          <w:rFonts w:ascii="Arial" w:eastAsia="游明朝" w:hAnsi="Arial" w:cs="Arial"/>
          <w:color w:val="808080" w:themeColor="background1" w:themeShade="80"/>
          <w:sz w:val="22"/>
          <w:szCs w:val="22"/>
          <w:lang w:val="en-GB" w:eastAsia="ja-JP"/>
        </w:rPr>
      </w:pPr>
      <w:r w:rsidRPr="000872FB">
        <w:rPr>
          <w:rFonts w:ascii="Arial" w:eastAsia="游明朝" w:hAnsi="Arial" w:cs="Arial"/>
          <w:color w:val="808080" w:themeColor="background1" w:themeShade="80"/>
          <w:sz w:val="22"/>
          <w:szCs w:val="22"/>
          <w:lang w:val="en-GB" w:eastAsia="ja-JP"/>
        </w:rPr>
        <w:t>(b)</w:t>
      </w:r>
      <w:r w:rsidRPr="000872FB">
        <w:rPr>
          <w:rFonts w:ascii="Arial" w:eastAsia="游明朝" w:hAnsi="Arial" w:cs="Arial"/>
          <w:color w:val="808080" w:themeColor="background1" w:themeShade="80"/>
          <w:sz w:val="22"/>
          <w:szCs w:val="22"/>
          <w:lang w:val="en-GB" w:eastAsia="ja-JP"/>
        </w:rPr>
        <w:tab/>
        <w:t xml:space="preserve">that there is a reasonable probability of rehabilitating the company or of preserving all or part of its business as a going concern, or that the interests of creditors would be better served otherwise than by resorting to a winding up. </w:t>
      </w:r>
    </w:p>
    <w:p w14:paraId="21283712" w14:textId="3319FEBE" w:rsidR="0042264F" w:rsidRPr="000872FB" w:rsidRDefault="0042264F" w:rsidP="0042264F">
      <w:pPr>
        <w:ind w:left="720" w:hanging="720"/>
        <w:jc w:val="both"/>
        <w:rPr>
          <w:rFonts w:ascii="Arial" w:eastAsia="游明朝" w:hAnsi="Arial" w:cs="Arial"/>
          <w:color w:val="808080" w:themeColor="background1" w:themeShade="80"/>
          <w:sz w:val="22"/>
          <w:szCs w:val="22"/>
          <w:lang w:eastAsia="ja-JP"/>
        </w:rPr>
      </w:pPr>
    </w:p>
    <w:p w14:paraId="074E7AAC" w14:textId="27DAC7C9" w:rsidR="0042264F" w:rsidRPr="000872FB" w:rsidRDefault="0042264F" w:rsidP="00C60DCB">
      <w:pPr>
        <w:jc w:val="both"/>
        <w:rPr>
          <w:rFonts w:ascii="Arial" w:eastAsia="游明朝" w:hAnsi="Arial" w:cs="Arial"/>
          <w:color w:val="808080" w:themeColor="background1" w:themeShade="80"/>
          <w:sz w:val="22"/>
          <w:szCs w:val="22"/>
          <w:lang w:eastAsia="ja-JP"/>
        </w:rPr>
      </w:pPr>
      <w:r w:rsidRPr="000872FB">
        <w:rPr>
          <w:rFonts w:ascii="Arial" w:eastAsia="游明朝" w:hAnsi="Arial" w:cs="Arial" w:hint="eastAsia"/>
          <w:color w:val="808080" w:themeColor="background1" w:themeShade="80"/>
          <w:sz w:val="22"/>
          <w:szCs w:val="22"/>
          <w:lang w:eastAsia="ja-JP"/>
        </w:rPr>
        <w:t xml:space="preserve">In the case of PEC, </w:t>
      </w:r>
      <w:r w:rsidR="00C60DCB" w:rsidRPr="000872FB">
        <w:rPr>
          <w:rFonts w:ascii="Arial" w:eastAsia="游明朝" w:hAnsi="Arial" w:cs="Arial"/>
          <w:color w:val="808080" w:themeColor="background1" w:themeShade="80"/>
          <w:sz w:val="22"/>
          <w:szCs w:val="22"/>
          <w:lang w:eastAsia="ja-JP"/>
        </w:rPr>
        <w:t xml:space="preserve">considering that PEC has required its bank </w:t>
      </w:r>
      <w:r w:rsidR="00C60DCB" w:rsidRPr="000872FB">
        <w:rPr>
          <w:rFonts w:ascii="Arial" w:eastAsia="游明朝" w:hAnsi="Arial" w:cs="Arial"/>
          <w:color w:val="808080" w:themeColor="background1" w:themeShade="80"/>
          <w:sz w:val="22"/>
          <w:szCs w:val="22"/>
          <w:lang w:val="en-GB" w:eastAsia="ja-JP"/>
        </w:rPr>
        <w:t>lenders</w:t>
      </w:r>
      <w:r w:rsidR="00C60DCB" w:rsidRPr="000872FB">
        <w:rPr>
          <w:rFonts w:ascii="Arial" w:eastAsia="游明朝" w:hAnsi="Arial" w:cs="Arial"/>
          <w:color w:val="808080" w:themeColor="background1" w:themeShade="80"/>
          <w:sz w:val="22"/>
          <w:szCs w:val="22"/>
          <w:lang w:eastAsia="ja-JP"/>
        </w:rPr>
        <w:t xml:space="preserve"> for waivers on certain terms in the loan and the reschedule of certain repayments, it may be arguable that the requirement (a) is satisfied. Also, given that the company carries out water and energy business, which is of strategic importance to Singapore, and the scale of the company is large (considering how much it has already raised funds), although </w:t>
      </w:r>
      <w:r w:rsidRPr="000872FB">
        <w:rPr>
          <w:rFonts w:ascii="Arial" w:eastAsia="游明朝" w:hAnsi="Arial" w:cs="Arial" w:hint="eastAsia"/>
          <w:color w:val="808080" w:themeColor="background1" w:themeShade="80"/>
          <w:sz w:val="22"/>
          <w:szCs w:val="22"/>
          <w:lang w:eastAsia="ja-JP"/>
        </w:rPr>
        <w:t>its business has been going downtu</w:t>
      </w:r>
      <w:r w:rsidR="00C60DCB" w:rsidRPr="000872FB">
        <w:rPr>
          <w:rFonts w:ascii="Arial" w:eastAsia="游明朝" w:hAnsi="Arial" w:cs="Arial" w:hint="eastAsia"/>
          <w:color w:val="808080" w:themeColor="background1" w:themeShade="80"/>
          <w:sz w:val="22"/>
          <w:szCs w:val="22"/>
          <w:lang w:eastAsia="ja-JP"/>
        </w:rPr>
        <w:t>rn, it may be arguable that the requirement (b) is satisfied if the company is properly man</w:t>
      </w:r>
      <w:r w:rsidR="00C60DCB" w:rsidRPr="000872FB">
        <w:rPr>
          <w:rFonts w:ascii="Arial" w:eastAsia="游明朝" w:hAnsi="Arial" w:cs="Arial"/>
          <w:color w:val="808080" w:themeColor="background1" w:themeShade="80"/>
          <w:sz w:val="22"/>
          <w:szCs w:val="22"/>
          <w:lang w:eastAsia="ja-JP"/>
        </w:rPr>
        <w:t>a</w:t>
      </w:r>
      <w:r w:rsidR="00C60DCB" w:rsidRPr="000872FB">
        <w:rPr>
          <w:rFonts w:ascii="Arial" w:eastAsia="游明朝" w:hAnsi="Arial" w:cs="Arial" w:hint="eastAsia"/>
          <w:color w:val="808080" w:themeColor="background1" w:themeShade="80"/>
          <w:sz w:val="22"/>
          <w:szCs w:val="22"/>
          <w:lang w:eastAsia="ja-JP"/>
        </w:rPr>
        <w:t xml:space="preserve">ged. </w:t>
      </w:r>
    </w:p>
    <w:p w14:paraId="37F161CF" w14:textId="77777777" w:rsidR="0042264F" w:rsidRPr="00C60DCB" w:rsidRDefault="0042264F" w:rsidP="0042264F">
      <w:pPr>
        <w:jc w:val="both"/>
        <w:rPr>
          <w:rFonts w:ascii="Arial" w:hAnsi="Arial" w:cs="Arial"/>
          <w:sz w:val="22"/>
          <w:szCs w:val="22"/>
          <w:highlight w:val="yellow"/>
          <w:lang w:val="en-GB"/>
        </w:rPr>
      </w:pPr>
    </w:p>
    <w:p w14:paraId="42421F43" w14:textId="5C114B8A" w:rsidR="0042264F" w:rsidRDefault="00790A40" w:rsidP="0042264F">
      <w:pPr>
        <w:jc w:val="both"/>
        <w:rPr>
          <w:rFonts w:ascii="Arial" w:hAnsi="Arial" w:cs="Arial"/>
          <w:sz w:val="22"/>
          <w:szCs w:val="22"/>
          <w:lang w:val="en-GB"/>
        </w:rPr>
      </w:pPr>
      <w:r>
        <w:rPr>
          <w:rFonts w:ascii="Arial" w:hAnsi="Arial" w:cs="Arial"/>
          <w:sz w:val="22"/>
          <w:szCs w:val="22"/>
          <w:lang w:val="en-GB"/>
        </w:rPr>
        <w:t>W</w:t>
      </w:r>
      <w:r w:rsidR="0042264F" w:rsidRPr="00C60DCB">
        <w:rPr>
          <w:rFonts w:ascii="Arial" w:hAnsi="Arial" w:cs="Arial"/>
          <w:sz w:val="22"/>
          <w:szCs w:val="22"/>
          <w:lang w:val="en-GB"/>
        </w:rPr>
        <w:t>hat requirements must be satisfied in order for PEC to be able to access rescue financing under the IRDA?</w:t>
      </w:r>
    </w:p>
    <w:p w14:paraId="39213B65" w14:textId="7C8695B4" w:rsidR="00790A40" w:rsidRDefault="00790A40" w:rsidP="0042264F">
      <w:pPr>
        <w:jc w:val="both"/>
        <w:rPr>
          <w:rFonts w:ascii="Arial" w:hAnsi="Arial" w:cs="Arial"/>
          <w:sz w:val="22"/>
          <w:szCs w:val="22"/>
          <w:lang w:val="en-GB"/>
        </w:rPr>
      </w:pPr>
      <w:bookmarkStart w:id="1" w:name="_GoBack"/>
      <w:bookmarkEnd w:id="1"/>
    </w:p>
    <w:p w14:paraId="522A02C4" w14:textId="145089D7" w:rsidR="00790A40" w:rsidRPr="000872FB" w:rsidRDefault="000E4FD1" w:rsidP="0042264F">
      <w:pPr>
        <w:jc w:val="both"/>
        <w:rPr>
          <w:rFonts w:ascii="Arial" w:eastAsia="游明朝" w:hAnsi="Arial" w:cs="Arial"/>
          <w:color w:val="808080" w:themeColor="background1" w:themeShade="80"/>
          <w:sz w:val="22"/>
          <w:szCs w:val="22"/>
          <w:lang w:val="en-GB" w:eastAsia="ja-JP"/>
        </w:rPr>
      </w:pPr>
      <w:r w:rsidRPr="000872FB">
        <w:rPr>
          <w:rFonts w:ascii="Arial" w:eastAsia="游明朝" w:hAnsi="Arial" w:cs="Arial" w:hint="eastAsia"/>
          <w:color w:val="808080" w:themeColor="background1" w:themeShade="80"/>
          <w:sz w:val="22"/>
          <w:szCs w:val="22"/>
          <w:lang w:val="en-GB" w:eastAsia="ja-JP"/>
        </w:rPr>
        <w:lastRenderedPageBreak/>
        <w:t>According to Section 67</w:t>
      </w:r>
      <w:r w:rsidR="00790A40" w:rsidRPr="000872FB">
        <w:rPr>
          <w:rFonts w:ascii="Arial" w:eastAsia="游明朝" w:hAnsi="Arial" w:cs="Arial" w:hint="eastAsia"/>
          <w:color w:val="808080" w:themeColor="background1" w:themeShade="80"/>
          <w:sz w:val="22"/>
          <w:szCs w:val="22"/>
          <w:lang w:val="en-GB" w:eastAsia="ja-JP"/>
        </w:rPr>
        <w:t>(9)</w:t>
      </w:r>
      <w:r w:rsidR="00790A40" w:rsidRPr="000872FB">
        <w:rPr>
          <w:rFonts w:ascii="Arial" w:eastAsia="游明朝" w:hAnsi="Arial" w:cs="Arial"/>
          <w:color w:val="808080" w:themeColor="background1" w:themeShade="80"/>
          <w:sz w:val="22"/>
          <w:szCs w:val="22"/>
          <w:lang w:val="en-GB" w:eastAsia="ja-JP"/>
        </w:rPr>
        <w:t xml:space="preserve"> of the IRDA</w:t>
      </w:r>
      <w:r w:rsidR="00790A40" w:rsidRPr="000872FB">
        <w:rPr>
          <w:rFonts w:ascii="Arial" w:eastAsia="游明朝" w:hAnsi="Arial" w:cs="Arial" w:hint="eastAsia"/>
          <w:color w:val="808080" w:themeColor="background1" w:themeShade="80"/>
          <w:sz w:val="22"/>
          <w:szCs w:val="22"/>
          <w:lang w:val="en-GB" w:eastAsia="ja-JP"/>
        </w:rPr>
        <w:t>, rescue financing m</w:t>
      </w:r>
      <w:r w:rsidR="00790A40" w:rsidRPr="000872FB">
        <w:rPr>
          <w:rFonts w:ascii="Arial" w:eastAsia="游明朝" w:hAnsi="Arial" w:cs="Arial"/>
          <w:color w:val="808080" w:themeColor="background1" w:themeShade="80"/>
          <w:sz w:val="22"/>
          <w:szCs w:val="22"/>
          <w:lang w:val="en-GB" w:eastAsia="ja-JP"/>
        </w:rPr>
        <w:t>ust</w:t>
      </w:r>
      <w:r w:rsidR="00A00B37" w:rsidRPr="000872FB">
        <w:rPr>
          <w:rFonts w:ascii="Arial" w:eastAsia="游明朝" w:hAnsi="Arial" w:cs="Arial"/>
          <w:color w:val="808080" w:themeColor="background1" w:themeShade="80"/>
          <w:sz w:val="22"/>
          <w:szCs w:val="22"/>
          <w:lang w:val="en-GB" w:eastAsia="ja-JP"/>
        </w:rPr>
        <w:t xml:space="preserve"> satisfy either or both of the following conditions: </w:t>
      </w:r>
    </w:p>
    <w:p w14:paraId="03EB2A6A" w14:textId="77777777" w:rsidR="00790A40" w:rsidRPr="000872FB" w:rsidRDefault="00790A40" w:rsidP="00790A40">
      <w:pPr>
        <w:ind w:left="720" w:hanging="720"/>
        <w:jc w:val="both"/>
        <w:rPr>
          <w:rFonts w:ascii="Arial" w:hAnsi="Arial" w:cs="Arial"/>
          <w:color w:val="808080" w:themeColor="background1" w:themeShade="80"/>
          <w:sz w:val="22"/>
          <w:szCs w:val="22"/>
          <w:lang w:val="en-GB"/>
        </w:rPr>
      </w:pPr>
      <w:r w:rsidRPr="000872FB">
        <w:rPr>
          <w:rFonts w:ascii="Arial" w:hAnsi="Arial" w:cs="Arial"/>
          <w:color w:val="808080" w:themeColor="background1" w:themeShade="80"/>
          <w:sz w:val="22"/>
          <w:szCs w:val="22"/>
          <w:lang w:val="en-GB"/>
        </w:rPr>
        <w:t>(a)</w:t>
      </w:r>
      <w:r w:rsidRPr="000872FB">
        <w:rPr>
          <w:rFonts w:ascii="Arial" w:hAnsi="Arial" w:cs="Arial"/>
          <w:color w:val="808080" w:themeColor="background1" w:themeShade="80"/>
          <w:sz w:val="22"/>
          <w:szCs w:val="22"/>
          <w:lang w:val="en-GB"/>
        </w:rPr>
        <w:tab/>
        <w:t>the financing is necessary for the survival of a company that obtains the financing, or of the whole or any part of the undertaking of that company, as a going concern;</w:t>
      </w:r>
    </w:p>
    <w:p w14:paraId="38F1D5AD" w14:textId="62D343D2" w:rsidR="00790A40" w:rsidRPr="000872FB" w:rsidRDefault="00790A40" w:rsidP="00790A40">
      <w:pPr>
        <w:ind w:left="720" w:hanging="720"/>
        <w:jc w:val="both"/>
        <w:rPr>
          <w:rFonts w:ascii="Arial" w:hAnsi="Arial" w:cs="Arial"/>
          <w:color w:val="808080" w:themeColor="background1" w:themeShade="80"/>
          <w:sz w:val="22"/>
          <w:szCs w:val="22"/>
          <w:lang w:val="en-GB"/>
        </w:rPr>
      </w:pPr>
      <w:r w:rsidRPr="000872FB">
        <w:rPr>
          <w:rFonts w:ascii="Arial" w:hAnsi="Arial" w:cs="Arial"/>
          <w:color w:val="808080" w:themeColor="background1" w:themeShade="80"/>
          <w:sz w:val="22"/>
          <w:szCs w:val="22"/>
          <w:lang w:val="en-GB"/>
        </w:rPr>
        <w:t>(b)</w:t>
      </w:r>
      <w:r w:rsidRPr="000872FB">
        <w:rPr>
          <w:rFonts w:ascii="Arial" w:hAnsi="Arial" w:cs="Arial"/>
          <w:color w:val="808080" w:themeColor="background1" w:themeShade="80"/>
          <w:sz w:val="22"/>
          <w:szCs w:val="22"/>
          <w:lang w:val="en-GB"/>
        </w:rPr>
        <w:tab/>
        <w:t xml:space="preserve">the financing is necessary to achieve a more advantageous realisation of the assets of a company that obtains the financing, than </w:t>
      </w:r>
      <w:r w:rsidR="000E4FD1" w:rsidRPr="000872FB">
        <w:rPr>
          <w:rFonts w:ascii="Arial" w:hAnsi="Arial" w:cs="Arial"/>
          <w:color w:val="808080" w:themeColor="background1" w:themeShade="80"/>
          <w:sz w:val="22"/>
          <w:szCs w:val="22"/>
          <w:lang w:val="en-GB"/>
        </w:rPr>
        <w:t xml:space="preserve">on a winding up of that company. </w:t>
      </w:r>
    </w:p>
    <w:p w14:paraId="5DDDBCE8" w14:textId="308906C7" w:rsidR="000E4FD1" w:rsidRPr="000872FB" w:rsidRDefault="000E4FD1" w:rsidP="00790A40">
      <w:pPr>
        <w:ind w:left="720" w:hanging="720"/>
        <w:jc w:val="both"/>
        <w:rPr>
          <w:rFonts w:ascii="Arial" w:hAnsi="Arial" w:cs="Arial"/>
          <w:color w:val="808080" w:themeColor="background1" w:themeShade="80"/>
          <w:sz w:val="22"/>
          <w:szCs w:val="22"/>
          <w:lang w:val="en-GB"/>
        </w:rPr>
      </w:pPr>
    </w:p>
    <w:p w14:paraId="13D5C30F" w14:textId="751B2EF5" w:rsidR="000E4FD1" w:rsidRPr="000872FB" w:rsidRDefault="000E4FD1" w:rsidP="000E4FD1">
      <w:pPr>
        <w:jc w:val="both"/>
        <w:rPr>
          <w:rFonts w:ascii="Arial" w:hAnsi="Arial" w:cs="Arial"/>
          <w:color w:val="808080" w:themeColor="background1" w:themeShade="80"/>
          <w:sz w:val="22"/>
          <w:szCs w:val="22"/>
          <w:lang w:val="en-GB"/>
        </w:rPr>
      </w:pPr>
      <w:r w:rsidRPr="000872FB">
        <w:rPr>
          <w:rFonts w:ascii="Arial" w:hAnsi="Arial" w:cs="Arial"/>
          <w:color w:val="808080" w:themeColor="background1" w:themeShade="80"/>
          <w:sz w:val="22"/>
          <w:szCs w:val="22"/>
          <w:lang w:val="en-GB"/>
        </w:rPr>
        <w:t xml:space="preserve">In addition, for rescue financing in the manner mentioned in Section 67(1)(b)-(d), the company must show that it would not have been able </w:t>
      </w:r>
      <w:r w:rsidRPr="000872FB">
        <w:rPr>
          <w:rFonts w:ascii="Arial" w:eastAsia="游明朝" w:hAnsi="Arial" w:cs="Arial"/>
          <w:color w:val="808080" w:themeColor="background1" w:themeShade="80"/>
          <w:sz w:val="22"/>
          <w:szCs w:val="22"/>
          <w:lang w:val="en-GB" w:eastAsia="ja-JP"/>
        </w:rPr>
        <w:t>to</w:t>
      </w:r>
      <w:r w:rsidRPr="000872FB">
        <w:rPr>
          <w:rFonts w:ascii="Arial" w:hAnsi="Arial" w:cs="Arial"/>
          <w:color w:val="808080" w:themeColor="background1" w:themeShade="80"/>
          <w:sz w:val="22"/>
          <w:szCs w:val="22"/>
          <w:lang w:val="en-GB"/>
        </w:rPr>
        <w:t xml:space="preserve"> obtain the rescue financing from any person unless the debt arising from the rescue financing is given the priority mentioned in these paragraphs. Moreover, for rescue financing in the manner mentioned in Section 67(1)(d), the company must show that there is adequate protection for the interests of the holder of that existing security interest. </w:t>
      </w:r>
    </w:p>
    <w:p w14:paraId="7DB617BD" w14:textId="77777777" w:rsidR="0042264F" w:rsidRPr="0042264F" w:rsidRDefault="0042264F" w:rsidP="0042264F">
      <w:pPr>
        <w:jc w:val="both"/>
        <w:rPr>
          <w:rFonts w:ascii="Arial" w:hAnsi="Arial" w:cs="Arial"/>
          <w:sz w:val="22"/>
          <w:szCs w:val="22"/>
          <w:lang w:val="en-GB"/>
        </w:rPr>
      </w:pPr>
    </w:p>
    <w:p w14:paraId="4266726E" w14:textId="01B29273" w:rsidR="001A007A" w:rsidRDefault="0042264F" w:rsidP="0042264F">
      <w:pPr>
        <w:jc w:val="both"/>
        <w:rPr>
          <w:rFonts w:ascii="Arial" w:hAnsi="Arial" w:cs="Arial"/>
          <w:sz w:val="22"/>
          <w:szCs w:val="22"/>
          <w:lang w:val="en-GB"/>
        </w:rPr>
      </w:pPr>
      <w:r w:rsidRPr="0042264F">
        <w:rPr>
          <w:rFonts w:ascii="Arial" w:hAnsi="Arial" w:cs="Arial"/>
          <w:sz w:val="22"/>
          <w:szCs w:val="22"/>
          <w:lang w:val="en-GB"/>
        </w:rPr>
        <w:t xml:space="preserve">What are the steps that need to be taken in order to place </w:t>
      </w:r>
      <w:proofErr w:type="spellStart"/>
      <w:r w:rsidRPr="0042264F">
        <w:rPr>
          <w:rFonts w:ascii="Arial" w:hAnsi="Arial" w:cs="Arial"/>
          <w:sz w:val="22"/>
          <w:szCs w:val="22"/>
          <w:lang w:val="en-GB"/>
        </w:rPr>
        <w:t>PEC’s</w:t>
      </w:r>
      <w:proofErr w:type="spellEnd"/>
      <w:r w:rsidRPr="0042264F">
        <w:rPr>
          <w:rFonts w:ascii="Arial" w:hAnsi="Arial" w:cs="Arial"/>
          <w:sz w:val="22"/>
          <w:szCs w:val="22"/>
          <w:lang w:val="en-GB"/>
        </w:rPr>
        <w:t xml:space="preserve"> subsidiaries under judicial management out of court? </w:t>
      </w:r>
    </w:p>
    <w:p w14:paraId="3AA8EF4A" w14:textId="0904034D" w:rsidR="000E4FD1" w:rsidRDefault="000E4FD1" w:rsidP="0042264F">
      <w:pPr>
        <w:jc w:val="both"/>
        <w:rPr>
          <w:rFonts w:ascii="Arial" w:hAnsi="Arial" w:cs="Arial"/>
          <w:sz w:val="22"/>
          <w:szCs w:val="22"/>
          <w:lang w:val="en-GB"/>
        </w:rPr>
      </w:pPr>
    </w:p>
    <w:p w14:paraId="79FF5AF7" w14:textId="46A615DF" w:rsidR="000E4FD1" w:rsidRPr="000872FB" w:rsidRDefault="00932C8B" w:rsidP="00932C8B">
      <w:pPr>
        <w:jc w:val="both"/>
        <w:rPr>
          <w:rFonts w:ascii="Arial" w:hAnsi="Arial" w:cs="Arial"/>
          <w:color w:val="808080" w:themeColor="background1" w:themeShade="80"/>
          <w:sz w:val="22"/>
          <w:szCs w:val="22"/>
          <w:lang w:val="en-GB"/>
        </w:rPr>
      </w:pPr>
      <w:r w:rsidRPr="000872FB">
        <w:rPr>
          <w:rFonts w:ascii="Arial" w:hAnsi="Arial" w:cs="Arial"/>
          <w:color w:val="808080" w:themeColor="background1" w:themeShade="80"/>
          <w:sz w:val="22"/>
          <w:szCs w:val="22"/>
          <w:lang w:val="en-GB"/>
        </w:rPr>
        <w:t xml:space="preserve">According to Section 94(1) of the IRDA, the company may, instead of applying to the court for a judicial management order, place itself under the judicial management proceedings (voluntary judicial management) if (a) the company is, or is likely to become, unable to pay its debts; (b) there is a reasonable probability of achieving one or more of the purposes of judicial management mentioned in section 89(1); and (c) the company obtains a resolution of its creditors for the company to be placed under judicial management. </w:t>
      </w:r>
    </w:p>
    <w:p w14:paraId="6F40BCE0" w14:textId="77777777" w:rsidR="007F659B"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proofErr w:type="spellStart"/>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s</w:t>
      </w:r>
      <w:proofErr w:type="spellEnd"/>
      <w:r w:rsidR="0007291B">
        <w:rPr>
          <w:rFonts w:ascii="Arial" w:hAnsi="Arial" w:cs="Arial"/>
          <w:sz w:val="22"/>
          <w:szCs w:val="22"/>
          <w:lang w:val="en-GB"/>
        </w:rPr>
        <w:t xml:space="preserve">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170EF99F" w14:textId="0BB35ADC" w:rsidR="005C529D" w:rsidRPr="000872FB" w:rsidRDefault="00166B4A" w:rsidP="002F60CA">
      <w:pPr>
        <w:autoSpaceDE w:val="0"/>
        <w:autoSpaceDN w:val="0"/>
        <w:adjustRightInd w:val="0"/>
        <w:jc w:val="both"/>
        <w:rPr>
          <w:rFonts w:ascii="Arial" w:hAnsi="Arial" w:cs="Arial"/>
          <w:color w:val="808080" w:themeColor="background1" w:themeShade="80"/>
          <w:sz w:val="22"/>
          <w:szCs w:val="22"/>
          <w:lang w:val="en-GB"/>
        </w:rPr>
      </w:pPr>
      <w:r w:rsidRPr="000872FB">
        <w:rPr>
          <w:rFonts w:ascii="Arial" w:hAnsi="Arial" w:cs="Arial"/>
          <w:color w:val="808080" w:themeColor="background1" w:themeShade="80"/>
          <w:sz w:val="22"/>
          <w:szCs w:val="22"/>
          <w:lang w:val="en-GB"/>
        </w:rPr>
        <w:t>Section 64(5)(b) of the IRDA states that a moratorium order under scheme of arrangement or judicial management proceedings may be expressed to apply to any act of any person in Singapore or within the jurisdiction</w:t>
      </w:r>
      <w:r w:rsidR="002F60CA" w:rsidRPr="000872FB">
        <w:rPr>
          <w:rFonts w:ascii="Arial" w:hAnsi="Arial" w:cs="Arial"/>
          <w:color w:val="808080" w:themeColor="background1" w:themeShade="80"/>
          <w:sz w:val="22"/>
          <w:szCs w:val="22"/>
          <w:lang w:val="en-GB"/>
        </w:rPr>
        <w:t xml:space="preserve"> of the Singapore court, whether the act takes place in Singapore or elsewhere. Therefore, the judicial management moratoria have extraterritorial effect to the extent set out in Section 64(5)(b). In other words, if a person who are not in Singapore nor within the jurisdiction of the Singapore court takes a legal action against the assets owned by the PEC group outside Singapore, then the moratoria cannot suspend such a legal action. </w:t>
      </w:r>
    </w:p>
    <w:p w14:paraId="348B0169" w14:textId="77777777" w:rsidR="005C529D" w:rsidRPr="00EF4D30" w:rsidRDefault="005C529D"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in order for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4721A448" w14:textId="332299CC" w:rsidR="002D3473" w:rsidRPr="000872FB" w:rsidRDefault="00A807BC" w:rsidP="00A807BC">
      <w:pPr>
        <w:autoSpaceDE w:val="0"/>
        <w:autoSpaceDN w:val="0"/>
        <w:adjustRightInd w:val="0"/>
        <w:jc w:val="both"/>
        <w:rPr>
          <w:rFonts w:ascii="Arial" w:hAnsi="Arial" w:cs="Arial"/>
          <w:color w:val="808080" w:themeColor="background1" w:themeShade="80"/>
          <w:sz w:val="22"/>
          <w:szCs w:val="22"/>
          <w:lang w:val="en-GB"/>
        </w:rPr>
      </w:pPr>
      <w:r w:rsidRPr="000872FB">
        <w:rPr>
          <w:rFonts w:ascii="Arial" w:hAnsi="Arial" w:cs="Arial"/>
          <w:color w:val="808080" w:themeColor="background1" w:themeShade="80"/>
          <w:sz w:val="22"/>
          <w:szCs w:val="22"/>
          <w:lang w:val="en-GB"/>
        </w:rPr>
        <w:t xml:space="preserve">Article 17.1 of the Third Schedule of the IRDA, which is basically equivalent to the </w:t>
      </w:r>
      <w:proofErr w:type="spellStart"/>
      <w:r w:rsidRPr="000872FB">
        <w:rPr>
          <w:rFonts w:ascii="Arial" w:hAnsi="Arial" w:cs="Arial"/>
          <w:color w:val="808080" w:themeColor="background1" w:themeShade="80"/>
          <w:sz w:val="22"/>
          <w:szCs w:val="22"/>
          <w:lang w:val="en-GB"/>
        </w:rPr>
        <w:t>UNCITRAL</w:t>
      </w:r>
      <w:proofErr w:type="spellEnd"/>
      <w:r w:rsidRPr="000872FB">
        <w:rPr>
          <w:rFonts w:ascii="Arial" w:hAnsi="Arial" w:cs="Arial"/>
          <w:color w:val="808080" w:themeColor="background1" w:themeShade="80"/>
          <w:sz w:val="22"/>
          <w:szCs w:val="22"/>
          <w:lang w:val="en-GB"/>
        </w:rPr>
        <w:t xml:space="preserve"> Model Law on Cross-Border Insolvency, sets out that subject to Article 6 (public policy exception), a foreign proceeding (defined in Article 2(h)) must be recognised if (a) the person or body applying for recognition is a foreign representative (defined in Article 2(</w:t>
      </w:r>
      <w:proofErr w:type="spellStart"/>
      <w:r w:rsidRPr="000872FB">
        <w:rPr>
          <w:rFonts w:ascii="Arial" w:hAnsi="Arial" w:cs="Arial"/>
          <w:color w:val="808080" w:themeColor="background1" w:themeShade="80"/>
          <w:sz w:val="22"/>
          <w:szCs w:val="22"/>
          <w:lang w:val="en-GB"/>
        </w:rPr>
        <w:t>i</w:t>
      </w:r>
      <w:proofErr w:type="spellEnd"/>
      <w:r w:rsidRPr="000872FB">
        <w:rPr>
          <w:rFonts w:ascii="Arial" w:hAnsi="Arial" w:cs="Arial"/>
          <w:color w:val="808080" w:themeColor="background1" w:themeShade="80"/>
          <w:sz w:val="22"/>
          <w:szCs w:val="22"/>
          <w:lang w:val="en-GB"/>
        </w:rPr>
        <w:t>)), (b) the application meets the procedural requirements stipulated Article 15(2) and (3) and (c) the application has been submitted to the High Court in Singapore.</w:t>
      </w: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FF466" w14:textId="77777777" w:rsidR="003F6783" w:rsidRDefault="003F6783">
      <w:r>
        <w:separator/>
      </w:r>
    </w:p>
  </w:endnote>
  <w:endnote w:type="continuationSeparator" w:id="0">
    <w:p w14:paraId="1D493F7B" w14:textId="77777777" w:rsidR="003F6783" w:rsidRDefault="003F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71CA4A86" w14:textId="77777777" w:rsidR="00E450A4" w:rsidRPr="00FC7B47" w:rsidRDefault="0007291B"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7899F0F6" w14:textId="77777777" w:rsidR="00E450A4" w:rsidRPr="00FC7B47" w:rsidRDefault="0007291B"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46DF9108" w14:textId="185C76C1" w:rsidR="009B4976" w:rsidRPr="009B4976" w:rsidRDefault="0007291B" w:rsidP="00E23A7A">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0872FB">
          <w:rPr>
            <w:rStyle w:val="af1"/>
            <w:rFonts w:ascii="Arial" w:hAnsi="Arial" w:cs="Arial"/>
            <w:b/>
            <w:bCs/>
            <w:noProof/>
            <w:sz w:val="18"/>
            <w:szCs w:val="18"/>
          </w:rPr>
          <w:t>11</w:t>
        </w:r>
        <w:r w:rsidRPr="0010593A">
          <w:rPr>
            <w:rStyle w:val="af1"/>
            <w:rFonts w:ascii="Arial" w:hAnsi="Arial" w:cs="Arial"/>
            <w:b/>
            <w:bCs/>
            <w:sz w:val="18"/>
            <w:szCs w:val="18"/>
          </w:rPr>
          <w:fldChar w:fldCharType="end"/>
        </w:r>
      </w:p>
    </w:sdtContent>
  </w:sdt>
  <w:p w14:paraId="09CBBDDF" w14:textId="520C784B" w:rsidR="00241FA3" w:rsidRPr="009B4976" w:rsidRDefault="00DC0C14" w:rsidP="009B4976">
    <w:pPr>
      <w:pStyle w:val="af"/>
      <w:ind w:right="360"/>
      <w:rPr>
        <w:rFonts w:ascii="Arial" w:hAnsi="Arial" w:cs="Arial"/>
        <w:sz w:val="18"/>
        <w:szCs w:val="18"/>
        <w:lang w:val="en-GB"/>
      </w:rPr>
    </w:pPr>
    <w:r w:rsidRPr="00DC0C14">
      <w:rPr>
        <w:rFonts w:ascii="Arial" w:hAnsi="Arial" w:cs="Arial"/>
        <w:sz w:val="18"/>
        <w:szCs w:val="18"/>
        <w:lang w:val="en-GB"/>
      </w:rPr>
      <w:t>202021IFU-403</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5D1AD" w14:textId="77777777" w:rsidR="003F6783" w:rsidRDefault="003F6783">
      <w:r>
        <w:separator/>
      </w:r>
    </w:p>
  </w:footnote>
  <w:footnote w:type="continuationSeparator" w:id="0">
    <w:p w14:paraId="79E4ABBB" w14:textId="77777777" w:rsidR="003F6783" w:rsidRDefault="003F6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4"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5"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7"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16"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7"/>
  </w:num>
  <w:num w:numId="6">
    <w:abstractNumId w:val="15"/>
  </w:num>
  <w:num w:numId="7">
    <w:abstractNumId w:val="2"/>
  </w:num>
  <w:num w:numId="8">
    <w:abstractNumId w:val="12"/>
  </w:num>
  <w:num w:numId="9">
    <w:abstractNumId w:val="14"/>
  </w:num>
  <w:num w:numId="10">
    <w:abstractNumId w:val="5"/>
  </w:num>
  <w:num w:numId="11">
    <w:abstractNumId w:val="11"/>
  </w:num>
  <w:num w:numId="12">
    <w:abstractNumId w:val="8"/>
  </w:num>
  <w:num w:numId="13">
    <w:abstractNumId w:val="9"/>
  </w:num>
  <w:num w:numId="14">
    <w:abstractNumId w:val="0"/>
  </w:num>
  <w:num w:numId="15">
    <w:abstractNumId w:val="10"/>
  </w:num>
  <w:num w:numId="16">
    <w:abstractNumId w:val="13"/>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774"/>
    <w:rsid w:val="000036E5"/>
    <w:rsid w:val="00010BA0"/>
    <w:rsid w:val="00015FF5"/>
    <w:rsid w:val="00020557"/>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2FB"/>
    <w:rsid w:val="00087F21"/>
    <w:rsid w:val="00093BE8"/>
    <w:rsid w:val="00094503"/>
    <w:rsid w:val="000A407B"/>
    <w:rsid w:val="000A68ED"/>
    <w:rsid w:val="000B4074"/>
    <w:rsid w:val="000B5FF1"/>
    <w:rsid w:val="000B609F"/>
    <w:rsid w:val="000C2AB6"/>
    <w:rsid w:val="000D2BEC"/>
    <w:rsid w:val="000D55A8"/>
    <w:rsid w:val="000E1246"/>
    <w:rsid w:val="000E4841"/>
    <w:rsid w:val="000E4FD1"/>
    <w:rsid w:val="000E7FE3"/>
    <w:rsid w:val="000F0B79"/>
    <w:rsid w:val="000F0CF2"/>
    <w:rsid w:val="000F1677"/>
    <w:rsid w:val="000F3D6C"/>
    <w:rsid w:val="00101707"/>
    <w:rsid w:val="00102CC9"/>
    <w:rsid w:val="0010593A"/>
    <w:rsid w:val="00105948"/>
    <w:rsid w:val="0011473D"/>
    <w:rsid w:val="00115C85"/>
    <w:rsid w:val="00123855"/>
    <w:rsid w:val="00126A4D"/>
    <w:rsid w:val="0013379E"/>
    <w:rsid w:val="0014171F"/>
    <w:rsid w:val="0014622C"/>
    <w:rsid w:val="00151F58"/>
    <w:rsid w:val="00152348"/>
    <w:rsid w:val="00152FD4"/>
    <w:rsid w:val="0015456D"/>
    <w:rsid w:val="00155FA2"/>
    <w:rsid w:val="00161F1B"/>
    <w:rsid w:val="00162829"/>
    <w:rsid w:val="0016368E"/>
    <w:rsid w:val="00166A82"/>
    <w:rsid w:val="00166B4A"/>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7412"/>
    <w:rsid w:val="0020090A"/>
    <w:rsid w:val="00202DFE"/>
    <w:rsid w:val="0020725B"/>
    <w:rsid w:val="002110F1"/>
    <w:rsid w:val="002208D9"/>
    <w:rsid w:val="00223CAE"/>
    <w:rsid w:val="00226EAA"/>
    <w:rsid w:val="002311E3"/>
    <w:rsid w:val="002356EA"/>
    <w:rsid w:val="00235D7D"/>
    <w:rsid w:val="00236264"/>
    <w:rsid w:val="00240B0E"/>
    <w:rsid w:val="0024116D"/>
    <w:rsid w:val="00241B44"/>
    <w:rsid w:val="00241FA3"/>
    <w:rsid w:val="00245EFB"/>
    <w:rsid w:val="0024716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D5171"/>
    <w:rsid w:val="002E38E2"/>
    <w:rsid w:val="002F1956"/>
    <w:rsid w:val="002F3440"/>
    <w:rsid w:val="002F60CA"/>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533C"/>
    <w:rsid w:val="00386568"/>
    <w:rsid w:val="00390B57"/>
    <w:rsid w:val="003948D5"/>
    <w:rsid w:val="00396821"/>
    <w:rsid w:val="00397D3A"/>
    <w:rsid w:val="003A051E"/>
    <w:rsid w:val="003A6E9E"/>
    <w:rsid w:val="003B170F"/>
    <w:rsid w:val="003B3C5F"/>
    <w:rsid w:val="003B6014"/>
    <w:rsid w:val="003C4471"/>
    <w:rsid w:val="003D0A6D"/>
    <w:rsid w:val="003D1EF3"/>
    <w:rsid w:val="003D55C1"/>
    <w:rsid w:val="003D70A7"/>
    <w:rsid w:val="003E0B16"/>
    <w:rsid w:val="003E22E2"/>
    <w:rsid w:val="003E67D1"/>
    <w:rsid w:val="003F6783"/>
    <w:rsid w:val="00404329"/>
    <w:rsid w:val="00405DC1"/>
    <w:rsid w:val="00406AE7"/>
    <w:rsid w:val="0041201B"/>
    <w:rsid w:val="00415F1F"/>
    <w:rsid w:val="00416B96"/>
    <w:rsid w:val="0042108F"/>
    <w:rsid w:val="0042264F"/>
    <w:rsid w:val="00430C5C"/>
    <w:rsid w:val="00430FED"/>
    <w:rsid w:val="00434A8C"/>
    <w:rsid w:val="00437297"/>
    <w:rsid w:val="00444284"/>
    <w:rsid w:val="00445CE6"/>
    <w:rsid w:val="004534C2"/>
    <w:rsid w:val="0045446F"/>
    <w:rsid w:val="0045683E"/>
    <w:rsid w:val="00463035"/>
    <w:rsid w:val="00465497"/>
    <w:rsid w:val="0046555A"/>
    <w:rsid w:val="00477C72"/>
    <w:rsid w:val="00491675"/>
    <w:rsid w:val="00493855"/>
    <w:rsid w:val="00494E28"/>
    <w:rsid w:val="00495E79"/>
    <w:rsid w:val="004A2D83"/>
    <w:rsid w:val="004A57DD"/>
    <w:rsid w:val="004A7B51"/>
    <w:rsid w:val="004A7D71"/>
    <w:rsid w:val="004A7EF3"/>
    <w:rsid w:val="004B11FD"/>
    <w:rsid w:val="004B23A2"/>
    <w:rsid w:val="004D1A5A"/>
    <w:rsid w:val="004D1C16"/>
    <w:rsid w:val="004D2FFF"/>
    <w:rsid w:val="004D363D"/>
    <w:rsid w:val="004D3721"/>
    <w:rsid w:val="004D64F9"/>
    <w:rsid w:val="004D7749"/>
    <w:rsid w:val="004E30B0"/>
    <w:rsid w:val="004E3A6B"/>
    <w:rsid w:val="004E622C"/>
    <w:rsid w:val="004E6D1C"/>
    <w:rsid w:val="004E7D70"/>
    <w:rsid w:val="004F5DE9"/>
    <w:rsid w:val="004F5FDF"/>
    <w:rsid w:val="0050319C"/>
    <w:rsid w:val="00510B34"/>
    <w:rsid w:val="005177FE"/>
    <w:rsid w:val="0052263B"/>
    <w:rsid w:val="00524728"/>
    <w:rsid w:val="005312B3"/>
    <w:rsid w:val="00531721"/>
    <w:rsid w:val="005331CA"/>
    <w:rsid w:val="00537970"/>
    <w:rsid w:val="00540E3A"/>
    <w:rsid w:val="00544127"/>
    <w:rsid w:val="005463A9"/>
    <w:rsid w:val="00546D65"/>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0680"/>
    <w:rsid w:val="005D16DD"/>
    <w:rsid w:val="005D43E0"/>
    <w:rsid w:val="005D58A3"/>
    <w:rsid w:val="005E1B79"/>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542"/>
    <w:rsid w:val="00631DDB"/>
    <w:rsid w:val="00632E44"/>
    <w:rsid w:val="00634622"/>
    <w:rsid w:val="006358BA"/>
    <w:rsid w:val="00636808"/>
    <w:rsid w:val="0063729B"/>
    <w:rsid w:val="00641515"/>
    <w:rsid w:val="00645F3A"/>
    <w:rsid w:val="006532AA"/>
    <w:rsid w:val="00654AF0"/>
    <w:rsid w:val="00654C2F"/>
    <w:rsid w:val="00654C95"/>
    <w:rsid w:val="00657087"/>
    <w:rsid w:val="00661BA6"/>
    <w:rsid w:val="00661D51"/>
    <w:rsid w:val="006639DB"/>
    <w:rsid w:val="006661EF"/>
    <w:rsid w:val="00667F67"/>
    <w:rsid w:val="00670CB1"/>
    <w:rsid w:val="00677AEB"/>
    <w:rsid w:val="00680EF2"/>
    <w:rsid w:val="00684441"/>
    <w:rsid w:val="00687A1D"/>
    <w:rsid w:val="0069146F"/>
    <w:rsid w:val="00697EA1"/>
    <w:rsid w:val="006A2646"/>
    <w:rsid w:val="006A6530"/>
    <w:rsid w:val="006B435A"/>
    <w:rsid w:val="006B4C64"/>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42399"/>
    <w:rsid w:val="00751747"/>
    <w:rsid w:val="007603F5"/>
    <w:rsid w:val="00764DB0"/>
    <w:rsid w:val="0076764D"/>
    <w:rsid w:val="0077498C"/>
    <w:rsid w:val="007809BC"/>
    <w:rsid w:val="00781734"/>
    <w:rsid w:val="007818AF"/>
    <w:rsid w:val="00784128"/>
    <w:rsid w:val="00784E9B"/>
    <w:rsid w:val="00787BCC"/>
    <w:rsid w:val="00790A40"/>
    <w:rsid w:val="0079309B"/>
    <w:rsid w:val="00793173"/>
    <w:rsid w:val="00796810"/>
    <w:rsid w:val="007A0F86"/>
    <w:rsid w:val="007A2A33"/>
    <w:rsid w:val="007A50B0"/>
    <w:rsid w:val="007B5C89"/>
    <w:rsid w:val="007C1FCC"/>
    <w:rsid w:val="007C23F2"/>
    <w:rsid w:val="007C6201"/>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51178"/>
    <w:rsid w:val="00853901"/>
    <w:rsid w:val="00856BD4"/>
    <w:rsid w:val="00867701"/>
    <w:rsid w:val="008723F3"/>
    <w:rsid w:val="00876F56"/>
    <w:rsid w:val="00881DE6"/>
    <w:rsid w:val="008837A6"/>
    <w:rsid w:val="0089145D"/>
    <w:rsid w:val="008A4DF2"/>
    <w:rsid w:val="008A6CFE"/>
    <w:rsid w:val="008B0F78"/>
    <w:rsid w:val="008B155E"/>
    <w:rsid w:val="008B5333"/>
    <w:rsid w:val="008B6223"/>
    <w:rsid w:val="008B779D"/>
    <w:rsid w:val="008C31CC"/>
    <w:rsid w:val="008C66E0"/>
    <w:rsid w:val="008E3339"/>
    <w:rsid w:val="008F20FC"/>
    <w:rsid w:val="008F5FFE"/>
    <w:rsid w:val="00905A43"/>
    <w:rsid w:val="00912C79"/>
    <w:rsid w:val="00921B8C"/>
    <w:rsid w:val="00932C8B"/>
    <w:rsid w:val="00942123"/>
    <w:rsid w:val="00943CE8"/>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B7871"/>
    <w:rsid w:val="009C0B8E"/>
    <w:rsid w:val="009C1BC8"/>
    <w:rsid w:val="009C2442"/>
    <w:rsid w:val="009C526D"/>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0B37"/>
    <w:rsid w:val="00A01DDA"/>
    <w:rsid w:val="00A047EE"/>
    <w:rsid w:val="00A2274A"/>
    <w:rsid w:val="00A235B7"/>
    <w:rsid w:val="00A27A7A"/>
    <w:rsid w:val="00A34ABE"/>
    <w:rsid w:val="00A407EF"/>
    <w:rsid w:val="00A46B4C"/>
    <w:rsid w:val="00A5117B"/>
    <w:rsid w:val="00A56D34"/>
    <w:rsid w:val="00A57EFB"/>
    <w:rsid w:val="00A60074"/>
    <w:rsid w:val="00A64900"/>
    <w:rsid w:val="00A6627C"/>
    <w:rsid w:val="00A71019"/>
    <w:rsid w:val="00A807BC"/>
    <w:rsid w:val="00A81029"/>
    <w:rsid w:val="00A83871"/>
    <w:rsid w:val="00A845F5"/>
    <w:rsid w:val="00A92054"/>
    <w:rsid w:val="00A94F39"/>
    <w:rsid w:val="00A96489"/>
    <w:rsid w:val="00A970D3"/>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7AA9"/>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E4FF3"/>
    <w:rsid w:val="00BE5B8E"/>
    <w:rsid w:val="00BE65AA"/>
    <w:rsid w:val="00BF42A8"/>
    <w:rsid w:val="00BF50F7"/>
    <w:rsid w:val="00C02F29"/>
    <w:rsid w:val="00C041E8"/>
    <w:rsid w:val="00C17718"/>
    <w:rsid w:val="00C177FF"/>
    <w:rsid w:val="00C20AFE"/>
    <w:rsid w:val="00C22A25"/>
    <w:rsid w:val="00C35671"/>
    <w:rsid w:val="00C35B77"/>
    <w:rsid w:val="00C376EB"/>
    <w:rsid w:val="00C46A92"/>
    <w:rsid w:val="00C46EC1"/>
    <w:rsid w:val="00C52796"/>
    <w:rsid w:val="00C5332A"/>
    <w:rsid w:val="00C53E2C"/>
    <w:rsid w:val="00C550C8"/>
    <w:rsid w:val="00C55824"/>
    <w:rsid w:val="00C56B61"/>
    <w:rsid w:val="00C606C3"/>
    <w:rsid w:val="00C60DCB"/>
    <w:rsid w:val="00C620F4"/>
    <w:rsid w:val="00C66D43"/>
    <w:rsid w:val="00C72848"/>
    <w:rsid w:val="00C7736C"/>
    <w:rsid w:val="00C82D87"/>
    <w:rsid w:val="00C8712A"/>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148DC"/>
    <w:rsid w:val="00D17FDC"/>
    <w:rsid w:val="00D21D8C"/>
    <w:rsid w:val="00D21F25"/>
    <w:rsid w:val="00D307FA"/>
    <w:rsid w:val="00D53719"/>
    <w:rsid w:val="00D63EFD"/>
    <w:rsid w:val="00D65741"/>
    <w:rsid w:val="00D77884"/>
    <w:rsid w:val="00D80DC2"/>
    <w:rsid w:val="00D84752"/>
    <w:rsid w:val="00D86B3B"/>
    <w:rsid w:val="00D8748A"/>
    <w:rsid w:val="00D93196"/>
    <w:rsid w:val="00DA0DC0"/>
    <w:rsid w:val="00DA124D"/>
    <w:rsid w:val="00DB243C"/>
    <w:rsid w:val="00DB482A"/>
    <w:rsid w:val="00DB50FB"/>
    <w:rsid w:val="00DB56F2"/>
    <w:rsid w:val="00DB6103"/>
    <w:rsid w:val="00DB6EF5"/>
    <w:rsid w:val="00DC0C14"/>
    <w:rsid w:val="00DC3089"/>
    <w:rsid w:val="00DC3CDE"/>
    <w:rsid w:val="00DC4420"/>
    <w:rsid w:val="00DC7761"/>
    <w:rsid w:val="00DD0802"/>
    <w:rsid w:val="00DD2E11"/>
    <w:rsid w:val="00DD4380"/>
    <w:rsid w:val="00DD7F33"/>
    <w:rsid w:val="00DE03AF"/>
    <w:rsid w:val="00DE121C"/>
    <w:rsid w:val="00DE28CA"/>
    <w:rsid w:val="00DE6633"/>
    <w:rsid w:val="00DF75F8"/>
    <w:rsid w:val="00DF7A3A"/>
    <w:rsid w:val="00E00C00"/>
    <w:rsid w:val="00E07C5A"/>
    <w:rsid w:val="00E15BA9"/>
    <w:rsid w:val="00E23A7A"/>
    <w:rsid w:val="00E26E19"/>
    <w:rsid w:val="00E3041B"/>
    <w:rsid w:val="00E30CC7"/>
    <w:rsid w:val="00E31DF3"/>
    <w:rsid w:val="00E426B2"/>
    <w:rsid w:val="00E450A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177"/>
    <w:rsid w:val="00EA0913"/>
    <w:rsid w:val="00EA5B00"/>
    <w:rsid w:val="00EA6F96"/>
    <w:rsid w:val="00EB146B"/>
    <w:rsid w:val="00EB45AC"/>
    <w:rsid w:val="00EC1A1D"/>
    <w:rsid w:val="00EC441F"/>
    <w:rsid w:val="00EC4755"/>
    <w:rsid w:val="00EC6A65"/>
    <w:rsid w:val="00ED0BC4"/>
    <w:rsid w:val="00ED21C1"/>
    <w:rsid w:val="00ED29B3"/>
    <w:rsid w:val="00ED447D"/>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9FBC4B"/>
  <w15:docId w15:val="{76407A83-4943-4176-AFCD-786645DF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a"/>
    <w:link w:val="a5"/>
    <w:unhideWhenUsed/>
    <w:rsid w:val="00241B44"/>
    <w:rPr>
      <w:szCs w:val="20"/>
    </w:rPr>
  </w:style>
  <w:style w:type="character" w:customStyle="1" w:styleId="a5">
    <w:name w:val="脚注文字列 (文字)"/>
    <w:aliases w:val="Footnote (文字),Footnote Text Char Char1 Char (文字),Footnote Text Char2 Char (文字),Footnote Text1 (文字),Fußnotentext Char Char Char Char (文字),Fußnotentext Char Char Char Char Char Char (文字),Fußnotentext Char Char Char Char Char Char Char Char (文字)"/>
    <w:basedOn w:val="a0"/>
    <w:link w:val="a4"/>
    <w:rsid w:val="00241B44"/>
    <w:rPr>
      <w:sz w:val="20"/>
      <w:szCs w:val="20"/>
    </w:rPr>
  </w:style>
  <w:style w:type="character" w:styleId="a6">
    <w:name w:val="footnote reference"/>
    <w:aliases w:val=" BVI fnr,-E Fußnotenzeichen,-E Fuûnotenzeichen,-E Fuﬂnotenzeichen,16 Point,BVI fnr,EN Footnote Reference,Footnote Reference Superscript,Footnote Refernece,Footnote numbe,Ref,SUPERS,Superscript 6 Point,callout,de nota al pie,fr,numbe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コメント文字列 (文字)"/>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コメント内容 (文字)"/>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吹き出し (文字)"/>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フッター (文字)"/>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ヘッダー (文字)"/>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2023">
      <w:bodyDiv w:val="1"/>
      <w:marLeft w:val="0"/>
      <w:marRight w:val="0"/>
      <w:marTop w:val="0"/>
      <w:marBottom w:val="0"/>
      <w:divBdr>
        <w:top w:val="none" w:sz="0" w:space="0" w:color="auto"/>
        <w:left w:val="none" w:sz="0" w:space="0" w:color="auto"/>
        <w:bottom w:val="none" w:sz="0" w:space="0" w:color="auto"/>
        <w:right w:val="none" w:sz="0" w:space="0" w:color="auto"/>
      </w:divBdr>
    </w:div>
    <w:div w:id="808523685">
      <w:bodyDiv w:val="1"/>
      <w:marLeft w:val="0"/>
      <w:marRight w:val="0"/>
      <w:marTop w:val="0"/>
      <w:marBottom w:val="0"/>
      <w:divBdr>
        <w:top w:val="none" w:sz="0" w:space="0" w:color="auto"/>
        <w:left w:val="none" w:sz="0" w:space="0" w:color="auto"/>
        <w:bottom w:val="none" w:sz="0" w:space="0" w:color="auto"/>
        <w:right w:val="none" w:sz="0" w:space="0" w:color="auto"/>
      </w:divBdr>
    </w:div>
    <w:div w:id="1594168687">
      <w:bodyDiv w:val="1"/>
      <w:marLeft w:val="0"/>
      <w:marRight w:val="0"/>
      <w:marTop w:val="0"/>
      <w:marBottom w:val="0"/>
      <w:divBdr>
        <w:top w:val="none" w:sz="0" w:space="0" w:color="auto"/>
        <w:left w:val="none" w:sz="0" w:space="0" w:color="auto"/>
        <w:bottom w:val="none" w:sz="0" w:space="0" w:color="auto"/>
        <w:right w:val="none" w:sz="0" w:space="0" w:color="auto"/>
      </w:divBdr>
    </w:div>
    <w:div w:id="1792743206">
      <w:bodyDiv w:val="1"/>
      <w:marLeft w:val="0"/>
      <w:marRight w:val="0"/>
      <w:marTop w:val="0"/>
      <w:marBottom w:val="0"/>
      <w:divBdr>
        <w:top w:val="none" w:sz="0" w:space="0" w:color="auto"/>
        <w:left w:val="none" w:sz="0" w:space="0" w:color="auto"/>
        <w:bottom w:val="none" w:sz="0" w:space="0" w:color="auto"/>
        <w:right w:val="none" w:sz="0" w:space="0" w:color="auto"/>
      </w:divBdr>
    </w:div>
    <w:div w:id="20496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795E1F02-6156-489B-B572-9376A428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3089</TotalTime>
  <Pages>11</Pages>
  <Words>3531</Words>
  <Characters>20132</Characters>
  <Application>Microsoft Office Word</Application>
  <DocSecurity>0</DocSecurity>
  <Lines>167</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N&amp;A</dc:creator>
  <cp:keywords/>
  <dc:description/>
  <cp:lastModifiedBy>N&amp;A</cp:lastModifiedBy>
  <cp:revision>6</cp:revision>
  <dcterms:created xsi:type="dcterms:W3CDTF">2021-01-20T09:05:00Z</dcterms:created>
  <dcterms:modified xsi:type="dcterms:W3CDTF">2021-07-31T19:34:00Z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