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191595" w:rsidRDefault="00C7729F" w:rsidP="003C4BCB">
      <w:pPr>
        <w:pStyle w:val="ListParagraph"/>
        <w:numPr>
          <w:ilvl w:val="0"/>
          <w:numId w:val="2"/>
        </w:numPr>
        <w:ind w:left="426"/>
        <w:jc w:val="both"/>
        <w:rPr>
          <w:rFonts w:ascii="Arial" w:hAnsi="Arial" w:cs="Arial"/>
          <w:sz w:val="22"/>
          <w:szCs w:val="22"/>
          <w:highlight w:val="yellow"/>
          <w:lang w:val="en-GB"/>
        </w:rPr>
      </w:pPr>
      <w:r w:rsidRPr="00191595">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191595">
        <w:rPr>
          <w:rFonts w:ascii="Arial" w:hAnsi="Arial" w:cs="Arial"/>
          <w:sz w:val="22"/>
          <w:szCs w:val="22"/>
          <w:highlight w:val="yellow"/>
          <w:lang w:val="en-GB"/>
        </w:rPr>
        <w:t>1960s,</w:t>
      </w:r>
      <w:r w:rsidRPr="00191595">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191595" w:rsidRDefault="00BB38D1" w:rsidP="003C4BCB">
      <w:pPr>
        <w:pStyle w:val="ListParagraph"/>
        <w:numPr>
          <w:ilvl w:val="0"/>
          <w:numId w:val="3"/>
        </w:numPr>
        <w:ind w:left="426"/>
        <w:jc w:val="both"/>
        <w:rPr>
          <w:rFonts w:ascii="Arial" w:hAnsi="Arial" w:cs="Arial"/>
          <w:iCs/>
          <w:sz w:val="22"/>
          <w:szCs w:val="22"/>
          <w:highlight w:val="yellow"/>
          <w:lang w:val="en-GB"/>
        </w:rPr>
      </w:pPr>
      <w:r w:rsidRPr="00191595">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91595" w:rsidRDefault="00874240" w:rsidP="003C4BCB">
      <w:pPr>
        <w:pStyle w:val="ListParagraph"/>
        <w:numPr>
          <w:ilvl w:val="0"/>
          <w:numId w:val="4"/>
        </w:numPr>
        <w:ind w:left="426"/>
        <w:jc w:val="both"/>
        <w:rPr>
          <w:rFonts w:ascii="Arial" w:hAnsi="Arial" w:cs="Arial"/>
          <w:sz w:val="22"/>
          <w:szCs w:val="22"/>
          <w:highlight w:val="yellow"/>
          <w:lang w:val="en-GB"/>
        </w:rPr>
      </w:pPr>
      <w:r w:rsidRPr="00191595">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1A4BC2" w:rsidRDefault="00874240" w:rsidP="003C4BCB">
      <w:pPr>
        <w:pStyle w:val="ListParagraph"/>
        <w:numPr>
          <w:ilvl w:val="0"/>
          <w:numId w:val="5"/>
        </w:numPr>
        <w:ind w:left="426"/>
        <w:jc w:val="both"/>
        <w:rPr>
          <w:rFonts w:ascii="Arial" w:hAnsi="Arial" w:cs="Arial"/>
          <w:sz w:val="22"/>
          <w:szCs w:val="22"/>
          <w:highlight w:val="yellow"/>
          <w:lang w:val="en-GB"/>
        </w:rPr>
      </w:pPr>
      <w:r w:rsidRPr="001A4BC2">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191595" w:rsidRDefault="00874240" w:rsidP="003C4BCB">
      <w:pPr>
        <w:pStyle w:val="ListParagraph"/>
        <w:numPr>
          <w:ilvl w:val="0"/>
          <w:numId w:val="6"/>
        </w:numPr>
        <w:ind w:left="426"/>
        <w:jc w:val="both"/>
        <w:rPr>
          <w:rFonts w:ascii="Arial" w:hAnsi="Arial" w:cs="Arial"/>
          <w:sz w:val="22"/>
          <w:szCs w:val="22"/>
          <w:highlight w:val="yellow"/>
          <w:lang w:val="en-GB"/>
        </w:rPr>
      </w:pPr>
      <w:r w:rsidRPr="00191595">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Pr="00191595" w:rsidRDefault="00113E29" w:rsidP="003C4BCB">
      <w:pPr>
        <w:pStyle w:val="ListParagraph"/>
        <w:numPr>
          <w:ilvl w:val="0"/>
          <w:numId w:val="7"/>
        </w:numPr>
        <w:ind w:left="426"/>
        <w:jc w:val="both"/>
        <w:rPr>
          <w:rFonts w:ascii="Arial" w:hAnsi="Arial" w:cs="Arial"/>
          <w:sz w:val="22"/>
          <w:szCs w:val="22"/>
          <w:highlight w:val="yellow"/>
          <w:lang w:val="en-GB"/>
        </w:rPr>
      </w:pPr>
      <w:r w:rsidRPr="00191595">
        <w:rPr>
          <w:rFonts w:ascii="Arial" w:hAnsi="Arial" w:cs="Arial"/>
          <w:sz w:val="22"/>
          <w:szCs w:val="22"/>
          <w:highlight w:val="yellow"/>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191595" w:rsidRDefault="00967219" w:rsidP="003C4BCB">
      <w:pPr>
        <w:pStyle w:val="ListParagraph"/>
        <w:numPr>
          <w:ilvl w:val="0"/>
          <w:numId w:val="8"/>
        </w:numPr>
        <w:ind w:left="426"/>
        <w:jc w:val="both"/>
        <w:rPr>
          <w:rFonts w:ascii="Arial" w:hAnsi="Arial" w:cs="Arial"/>
          <w:sz w:val="22"/>
          <w:szCs w:val="22"/>
          <w:highlight w:val="yellow"/>
          <w:lang w:val="en-GB"/>
        </w:rPr>
      </w:pPr>
      <w:r w:rsidRPr="00191595">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8E0E91" w:rsidRDefault="00967219" w:rsidP="003C4BCB">
      <w:pPr>
        <w:pStyle w:val="ListParagraph"/>
        <w:numPr>
          <w:ilvl w:val="0"/>
          <w:numId w:val="9"/>
        </w:numPr>
        <w:ind w:left="426"/>
        <w:jc w:val="both"/>
        <w:rPr>
          <w:rFonts w:ascii="Arial" w:hAnsi="Arial" w:cs="Arial"/>
          <w:sz w:val="22"/>
          <w:szCs w:val="22"/>
          <w:highlight w:val="yellow"/>
          <w:lang w:val="en-GB"/>
        </w:rPr>
      </w:pPr>
      <w:r w:rsidRPr="008E0E91">
        <w:rPr>
          <w:rFonts w:ascii="Arial" w:hAnsi="Arial" w:cs="Arial"/>
          <w:sz w:val="22"/>
          <w:szCs w:val="22"/>
          <w:highlight w:val="yellow"/>
          <w:lang w:val="en-GB"/>
        </w:rPr>
        <w:t xml:space="preserve">The contested transactions cannot be avoided if Fema GmbH can prove that the </w:t>
      </w:r>
      <w:r w:rsidRPr="008E0E91">
        <w:rPr>
          <w:rFonts w:ascii="Arial" w:hAnsi="Arial" w:cs="Arial"/>
          <w:i/>
          <w:sz w:val="22"/>
          <w:szCs w:val="22"/>
          <w:highlight w:val="yellow"/>
          <w:lang w:val="en-GB"/>
        </w:rPr>
        <w:t>lex causae</w:t>
      </w:r>
      <w:r w:rsidRPr="008E0E91">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E26236" w:rsidRDefault="00FC48D8" w:rsidP="003C4BCB">
      <w:pPr>
        <w:pStyle w:val="ListParagraph"/>
        <w:numPr>
          <w:ilvl w:val="0"/>
          <w:numId w:val="10"/>
        </w:numPr>
        <w:ind w:left="426"/>
        <w:jc w:val="both"/>
        <w:rPr>
          <w:rFonts w:ascii="Arial" w:hAnsi="Arial" w:cs="Arial"/>
          <w:sz w:val="22"/>
          <w:szCs w:val="22"/>
          <w:highlight w:val="yellow"/>
          <w:lang w:val="en-GB"/>
        </w:rPr>
      </w:pPr>
      <w:r w:rsidRPr="00E26236">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4A4ACA" w:rsidRDefault="00FC48D8" w:rsidP="003C4BCB">
      <w:pPr>
        <w:pStyle w:val="ListParagraph"/>
        <w:numPr>
          <w:ilvl w:val="0"/>
          <w:numId w:val="11"/>
        </w:numPr>
        <w:ind w:left="426"/>
        <w:jc w:val="both"/>
        <w:rPr>
          <w:rFonts w:ascii="Arial" w:hAnsi="Arial" w:cs="Arial"/>
          <w:sz w:val="22"/>
          <w:szCs w:val="22"/>
          <w:lang w:val="en-GB"/>
        </w:rPr>
      </w:pPr>
      <w:r w:rsidRPr="004A4ACA">
        <w:rPr>
          <w:rFonts w:ascii="Arial" w:hAnsi="Arial" w:cs="Arial"/>
          <w:sz w:val="22"/>
          <w:szCs w:val="22"/>
          <w:lang w:val="en-GB"/>
        </w:rPr>
        <w:t xml:space="preserve">Within 15 days, as stipulated in the applicable </w:t>
      </w:r>
      <w:r w:rsidRPr="004A4ACA">
        <w:rPr>
          <w:rFonts w:ascii="Arial" w:hAnsi="Arial" w:cs="Arial"/>
          <w:i/>
          <w:sz w:val="22"/>
          <w:szCs w:val="22"/>
          <w:lang w:val="en-GB"/>
        </w:rPr>
        <w:t>lex concursus secundarii</w:t>
      </w:r>
      <w:r w:rsidRPr="004A4ACA">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4A4ACA" w:rsidRDefault="00FC48D8" w:rsidP="003C4BCB">
      <w:pPr>
        <w:pStyle w:val="ListParagraph"/>
        <w:numPr>
          <w:ilvl w:val="0"/>
          <w:numId w:val="11"/>
        </w:numPr>
        <w:ind w:left="426"/>
        <w:jc w:val="both"/>
        <w:rPr>
          <w:rFonts w:ascii="Arial" w:hAnsi="Arial" w:cs="Arial"/>
          <w:sz w:val="22"/>
          <w:szCs w:val="22"/>
          <w:highlight w:val="yellow"/>
          <w:lang w:val="en-GB"/>
        </w:rPr>
      </w:pPr>
      <w:r w:rsidRPr="004A4ACA">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2C6F188" w14:textId="67344BC3" w:rsidR="003F3728"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77B7E0A8" w:rsidR="00636C15" w:rsidRDefault="003F3728"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Answer</w:t>
      </w:r>
    </w:p>
    <w:p w14:paraId="64328C42" w14:textId="6BF1466C" w:rsidR="003F3728" w:rsidRDefault="003F3728" w:rsidP="003F3728">
      <w:pPr>
        <w:ind w:left="78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 This relates to the concept of COMI to be found in Article 3(1) of the EIR Recast.</w:t>
      </w:r>
    </w:p>
    <w:p w14:paraId="22278769" w14:textId="61828974" w:rsidR="003F3728" w:rsidRDefault="003F3728" w:rsidP="003F3728">
      <w:pPr>
        <w:ind w:left="780"/>
        <w:jc w:val="both"/>
        <w:rPr>
          <w:rFonts w:ascii="Arial" w:hAnsi="Arial" w:cs="Arial"/>
          <w:color w:val="7B7B7B" w:themeColor="accent3" w:themeShade="BF"/>
          <w:sz w:val="22"/>
          <w:szCs w:val="22"/>
        </w:rPr>
      </w:pPr>
    </w:p>
    <w:p w14:paraId="67E01DD3" w14:textId="504BD288" w:rsidR="003F3728" w:rsidRDefault="003F3728" w:rsidP="003F3728">
      <w:pPr>
        <w:ind w:left="78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2 – Relates to the concept of Secondary Proceedings to be found in Article 3 (2) of the EIR Recast.</w:t>
      </w:r>
    </w:p>
    <w:p w14:paraId="23E5E072" w14:textId="77777777" w:rsidR="003F3728" w:rsidRPr="008500BD" w:rsidRDefault="003F3728" w:rsidP="00636C15">
      <w:pPr>
        <w:ind w:left="720" w:hanging="720"/>
        <w:jc w:val="both"/>
        <w:rPr>
          <w:rFonts w:ascii="Arial" w:hAnsi="Arial" w:cs="Arial"/>
          <w:sz w:val="22"/>
          <w:szCs w:val="22"/>
        </w:rPr>
      </w:pP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2DD9D1F6" w:rsidR="00636C15" w:rsidRDefault="00C55F10"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8589E11" w14:textId="166C77FC" w:rsidR="00C55F10" w:rsidRDefault="00C55F10" w:rsidP="00C55F1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41 (1) of the EIR Recast.  This Article imposes an obligation on the Insolvency Practitioner in  main proceedings and that in secondary proceedings to co-operate with each other provided the proceedings concern the same debtor.</w:t>
      </w:r>
    </w:p>
    <w:p w14:paraId="40D0FD34" w14:textId="0E1FC69D" w:rsidR="00C55F10" w:rsidRDefault="00C55F10" w:rsidP="00C55F1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(1) oblige courts before which a request to open proceedings is pending or has been opened to co-operate with any other court that has been asked to open insolvency proceedings or has already opened such.</w:t>
      </w:r>
    </w:p>
    <w:p w14:paraId="74133A57" w14:textId="764FF0F7" w:rsidR="00C55F10" w:rsidRPr="00C55F10" w:rsidRDefault="00C55F10" w:rsidP="00C55F1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43 an Insolvency practitioner in main proceedings must co-operate with and communicate with a court in which a request to open secondary proceedings have been made or in which such has been opened.</w:t>
      </w:r>
    </w:p>
    <w:p w14:paraId="6948B395" w14:textId="65A1604F" w:rsidR="00E90991" w:rsidRPr="008500BD" w:rsidRDefault="00E90991" w:rsidP="00BF7B97">
      <w:pPr>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057301AA" w:rsidR="00C72848" w:rsidRDefault="00933A5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8138C09" w14:textId="6B74103F" w:rsidR="00933A5C" w:rsidRDefault="00933A5C" w:rsidP="00BF7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provisions in the EIR Recast supports the view that it is a more rescue-oriented Regulation than its predecessor the EIR 2000:</w:t>
      </w:r>
    </w:p>
    <w:p w14:paraId="5EA03E64" w14:textId="2C186CBD" w:rsidR="001A4BC2" w:rsidRDefault="001A4BC2" w:rsidP="001A4BC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 extends the applicability of the EIR Recast to proceedings aimed at rescuing companies that are economically viable but in financial distress.</w:t>
      </w:r>
      <w:r w:rsidR="008E0E91">
        <w:rPr>
          <w:rFonts w:ascii="Arial" w:hAnsi="Arial" w:cs="Arial"/>
          <w:color w:val="7B7B7B" w:themeColor="accent3" w:themeShade="BF"/>
          <w:sz w:val="22"/>
          <w:szCs w:val="22"/>
          <w:lang w:val="en-GB"/>
        </w:rPr>
        <w:t xml:space="preserve">  The EIR 2000 did not provide for the restructuring of such entities.</w:t>
      </w:r>
    </w:p>
    <w:p w14:paraId="79472169" w14:textId="002040F6" w:rsidR="001A4BC2" w:rsidRDefault="001A4BC2" w:rsidP="001A4BC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2(4) refers to Annex </w:t>
      </w:r>
      <w:r w:rsidR="00BF7B97">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provides a wide list of 112 procedures covered by Annex A.</w:t>
      </w:r>
      <w:r w:rsidR="00C945F1">
        <w:rPr>
          <w:rFonts w:ascii="Arial" w:hAnsi="Arial" w:cs="Arial"/>
          <w:color w:val="7B7B7B" w:themeColor="accent3" w:themeShade="BF"/>
          <w:sz w:val="22"/>
          <w:szCs w:val="22"/>
          <w:lang w:val="en-GB"/>
        </w:rPr>
        <w:t xml:space="preserve">  This list covers insolvency proceedings in all 27 countries</w:t>
      </w:r>
    </w:p>
    <w:p w14:paraId="69265010" w14:textId="20E68883" w:rsidR="001A4BC2" w:rsidRPr="001A4BC2" w:rsidRDefault="00C945F1" w:rsidP="001A4BC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language of the EIR Recast places a lot of emphasis on restructuring  as opposed to liquidation – Recital 10.</w:t>
      </w:r>
    </w:p>
    <w:p w14:paraId="0B566C21" w14:textId="78C6B558" w:rsidR="00933A5C" w:rsidRPr="001A4BC2" w:rsidRDefault="00933A5C" w:rsidP="001A4BC2">
      <w:pPr>
        <w:jc w:val="both"/>
        <w:rPr>
          <w:rFonts w:ascii="Arial" w:hAnsi="Arial" w:cs="Arial"/>
          <w:sz w:val="22"/>
          <w:szCs w:val="22"/>
          <w:lang w:val="en-GB"/>
        </w:rPr>
      </w:pP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6CE909BC" w:rsidR="009954B2" w:rsidRDefault="001A4BC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327570D" w14:textId="57435AF9" w:rsidR="001A4BC2" w:rsidRDefault="001A4BC2" w:rsidP="002A37BB">
      <w:pPr>
        <w:ind w:left="720" w:hanging="720"/>
        <w:jc w:val="both"/>
        <w:rPr>
          <w:rFonts w:ascii="Arial" w:hAnsi="Arial" w:cs="Arial"/>
          <w:color w:val="7B7B7B" w:themeColor="accent3" w:themeShade="BF"/>
          <w:sz w:val="22"/>
          <w:szCs w:val="22"/>
          <w:lang w:val="en-GB"/>
        </w:rPr>
      </w:pPr>
    </w:p>
    <w:p w14:paraId="4E05E6B6" w14:textId="74212ABB" w:rsidR="001A4BC2" w:rsidRDefault="001A4BC2" w:rsidP="00BF7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examples of instruments aimed at controlling the opening, conduct and closure of secondary proceedings are:</w:t>
      </w:r>
    </w:p>
    <w:p w14:paraId="0002A058" w14:textId="121E3791" w:rsidR="00C84E40" w:rsidRDefault="00C84E40" w:rsidP="001A4B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option</w:t>
      </w:r>
      <w:r w:rsidR="00BF7B9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contained in the EIR Recast aimed at avoiding secondary proceedings is that of the right to give undertaking in Article 38(2) of the EIR Recast.  If the insolvency practitioner in the main proceedings gives an undertaking in accordance with Article 36, the court in which t</w:t>
      </w:r>
      <w:r w:rsidR="00BF7B97">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request to open secondary proceedings is made should not do so if the insolvency practitioner makes such a request if satisfied that the undertaking is sufficient to protect the general interest of local creditors as was decided in the Case of Re Collins &amp;Aikman Europe SA and other companies (2006) EWHC 1343 (Ch).  Such an undertaking only covers the assets in the Member State in which the secondary proceedings may be requested and guarantees treatment as if secondary proceedings have been opened.  There are a number of requirements to be met for such undertakings to be valid for example it must specify the factual assumption on which it is based and must be in writing.</w:t>
      </w:r>
    </w:p>
    <w:p w14:paraId="2328DB42" w14:textId="77777777" w:rsidR="00BF7B97" w:rsidRDefault="00C84E40" w:rsidP="001A4B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stay on individual enforcement measures once main proceedings have been opened.  This provides the opportunity for the debtor to negotiate restructuring deals with its creditors.  The EIR Recast gives the court the power to stay the opening of enforcement proceedings where a temporary stay of individual enforcement proceedings has been granted in the main insolvency proceedings under Recital 45 EIR Recast.  Such a stay is not automatic, a request should be made by the insolvency practitioner or the debtor in possession.  There is a time limit of three months for such stays and suitable measures should be in place to protect the interest of local creditors.  </w:t>
      </w:r>
    </w:p>
    <w:p w14:paraId="783AADE5" w14:textId="77777777" w:rsidR="00BF7B97" w:rsidRDefault="00BF7B97" w:rsidP="00BF7B97">
      <w:pPr>
        <w:pStyle w:val="ListParagraph"/>
        <w:jc w:val="both"/>
        <w:rPr>
          <w:rFonts w:ascii="Arial" w:hAnsi="Arial" w:cs="Arial"/>
          <w:color w:val="7B7B7B" w:themeColor="accent3" w:themeShade="BF"/>
          <w:sz w:val="22"/>
          <w:szCs w:val="22"/>
          <w:lang w:val="en-GB"/>
        </w:rPr>
      </w:pPr>
    </w:p>
    <w:p w14:paraId="1D2B6F64" w14:textId="717031FD" w:rsidR="00C84E40" w:rsidRDefault="00C84E40" w:rsidP="00BF7B9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circumstances in which such a stay can be lifted (i) if negotiations between the debtor and its creditors results in a restructuring plan (ii) if the continuance of the stay is detrimental to the rights of creditors and (iii)  if the insolvency practitioner or the debtor in possession has infringed on the prohibition on disposal of the debtors assets or on removal of them from the Member State where the stay was given.  In comparism to undertaking dealt with above, a stay is a weaker form of protection of the integrity of the main proceedings.</w:t>
      </w:r>
    </w:p>
    <w:p w14:paraId="651D0DBD" w14:textId="1D201DBA" w:rsidR="001A4BC2" w:rsidRPr="001A4BC2" w:rsidRDefault="001A4BC2" w:rsidP="001A4BC2">
      <w:pPr>
        <w:jc w:val="both"/>
        <w:rPr>
          <w:rFonts w:ascii="Arial" w:hAnsi="Arial" w:cs="Arial"/>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024A332" w14:textId="6313C8F8" w:rsidR="00544127" w:rsidRDefault="001A4B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911C616" w14:textId="09E8F45D" w:rsidR="001A4BC2" w:rsidRDefault="001A4BC2" w:rsidP="002A37BB">
      <w:pPr>
        <w:jc w:val="both"/>
        <w:rPr>
          <w:rFonts w:ascii="Arial" w:hAnsi="Arial" w:cs="Arial"/>
          <w:color w:val="7B7B7B" w:themeColor="accent3" w:themeShade="BF"/>
          <w:sz w:val="22"/>
          <w:szCs w:val="22"/>
          <w:lang w:val="en-GB"/>
        </w:rPr>
      </w:pPr>
    </w:p>
    <w:p w14:paraId="48F35A5E" w14:textId="48ECDB2B" w:rsidR="001A4BC2" w:rsidRDefault="001A4B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adoption of the new European regulation was needed and recommended by the European Commission in 2012 for a number of reasons.  Firstly, it can be said that this was anticipated under Article 46 of EIR 2000 which provides for a presentation of a report on the application of the EIR 2000 and a proposal for its adoption if necessary.  Some of its provisions needed adjustment and in other areas new rules were required.  This led to EIR Recast.</w:t>
      </w:r>
    </w:p>
    <w:p w14:paraId="537E52B3" w14:textId="30377B4A" w:rsidR="00C945F1" w:rsidRDefault="00C945F1" w:rsidP="002A37BB">
      <w:pPr>
        <w:jc w:val="both"/>
        <w:rPr>
          <w:rFonts w:ascii="Arial" w:hAnsi="Arial" w:cs="Arial"/>
          <w:color w:val="7B7B7B" w:themeColor="accent3" w:themeShade="BF"/>
          <w:sz w:val="22"/>
          <w:szCs w:val="22"/>
          <w:lang w:val="en-GB"/>
        </w:rPr>
      </w:pPr>
    </w:p>
    <w:p w14:paraId="5B818CB0" w14:textId="53B9E016" w:rsidR="00C945F1" w:rsidRDefault="00C945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be said that the EIR Recast broadened the scope for restructuring proceedings to ensure that it was responsive to the need of modern insolvency practice.  Unlike the EIR 2000 the EIR Recast applies to group of companies.  The scope of insolvency proceedings has been widened to deal with pre insolvency proceedings, hybrid proceedings and personal insolvency proceedings.</w:t>
      </w:r>
    </w:p>
    <w:p w14:paraId="1CD68CE0" w14:textId="6DE741E4" w:rsidR="00C945F1" w:rsidRDefault="00C945F1" w:rsidP="002A37BB">
      <w:pPr>
        <w:jc w:val="both"/>
        <w:rPr>
          <w:rFonts w:ascii="Arial" w:hAnsi="Arial" w:cs="Arial"/>
          <w:color w:val="7B7B7B" w:themeColor="accent3" w:themeShade="BF"/>
          <w:sz w:val="22"/>
          <w:szCs w:val="22"/>
          <w:lang w:val="en-GB"/>
        </w:rPr>
      </w:pPr>
    </w:p>
    <w:p w14:paraId="5BD7C3D5" w14:textId="7A630591" w:rsidR="00C945F1" w:rsidRDefault="00C945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revised meaning of COMI under the EIR Recast should be noted, although it is similar to that under EIR 2000, it goes a step further by imposing a three months restriction on the transfer of the debtor’s registered place of business upon the commencement of main proceedings.  This serves the purpose of dealing with forum shopping which was used by debtors trying to gain a more favourable outcome.</w:t>
      </w:r>
    </w:p>
    <w:p w14:paraId="1C9DA2AF" w14:textId="6676CBC5" w:rsidR="001A4BC2" w:rsidRDefault="001A4BC2" w:rsidP="002A37BB">
      <w:pPr>
        <w:jc w:val="both"/>
        <w:rPr>
          <w:rFonts w:ascii="Arial" w:hAnsi="Arial" w:cs="Arial"/>
          <w:color w:val="7B7B7B" w:themeColor="accent3" w:themeShade="BF"/>
          <w:sz w:val="22"/>
          <w:szCs w:val="22"/>
          <w:lang w:val="en-GB"/>
        </w:rPr>
      </w:pPr>
    </w:p>
    <w:p w14:paraId="7674273E" w14:textId="058ACCE4" w:rsidR="001A4BC2" w:rsidRDefault="00C945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w:t>
      </w:r>
      <w:r w:rsidR="001A4BC2">
        <w:rPr>
          <w:rFonts w:ascii="Arial" w:hAnsi="Arial" w:cs="Arial"/>
          <w:color w:val="7B7B7B" w:themeColor="accent3" w:themeShade="BF"/>
          <w:sz w:val="22"/>
          <w:szCs w:val="22"/>
          <w:lang w:val="en-GB"/>
        </w:rPr>
        <w:t xml:space="preserve"> also brought about an improvement of creditor information by interconnecting creditors registers and created a more modernised set of legal rules such as in the area of data protection.</w:t>
      </w:r>
    </w:p>
    <w:p w14:paraId="04D91CB6" w14:textId="182F29B7" w:rsidR="001A4BC2" w:rsidRDefault="001A4BC2" w:rsidP="002A37BB">
      <w:pPr>
        <w:jc w:val="both"/>
        <w:rPr>
          <w:rFonts w:ascii="Arial" w:hAnsi="Arial" w:cs="Arial"/>
          <w:color w:val="7B7B7B" w:themeColor="accent3" w:themeShade="BF"/>
          <w:sz w:val="22"/>
          <w:szCs w:val="22"/>
          <w:lang w:val="en-GB"/>
        </w:rPr>
      </w:pPr>
    </w:p>
    <w:p w14:paraId="646022C7" w14:textId="430E9BE4" w:rsidR="001A4BC2" w:rsidRPr="008500BD" w:rsidRDefault="001A4BC2" w:rsidP="002A37BB">
      <w:pPr>
        <w:jc w:val="both"/>
        <w:rPr>
          <w:rFonts w:ascii="Arial" w:hAnsi="Arial" w:cs="Arial"/>
          <w:sz w:val="22"/>
          <w:szCs w:val="22"/>
        </w:rPr>
      </w:pPr>
      <w:r>
        <w:rPr>
          <w:rFonts w:ascii="Arial" w:hAnsi="Arial" w:cs="Arial"/>
          <w:color w:val="7B7B7B" w:themeColor="accent3" w:themeShade="BF"/>
          <w:sz w:val="22"/>
          <w:szCs w:val="22"/>
          <w:lang w:val="en-GB"/>
        </w:rPr>
        <w:t>For the above reasons, it can be said that the new EIR Recast was not only anticipated under the EIR 200O but was also needed to modernised European insolvency practice.</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59F70F00" w:rsidR="00807119" w:rsidRDefault="00E90991" w:rsidP="002A37BB">
      <w:pPr>
        <w:jc w:val="both"/>
        <w:rPr>
          <w:rFonts w:ascii="Arial" w:hAnsi="Arial" w:cs="Arial"/>
          <w:sz w:val="22"/>
          <w:szCs w:val="22"/>
          <w:lang w:val="en-GB"/>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5896AE28" w14:textId="75F4182C" w:rsidR="004A4ACA" w:rsidRDefault="004A4ACA" w:rsidP="002A37BB">
      <w:pPr>
        <w:jc w:val="both"/>
        <w:rPr>
          <w:rFonts w:ascii="Arial" w:hAnsi="Arial" w:cs="Arial"/>
          <w:sz w:val="22"/>
          <w:szCs w:val="22"/>
          <w:lang w:val="en-GB"/>
        </w:rPr>
      </w:pPr>
    </w:p>
    <w:p w14:paraId="30504F70" w14:textId="0529AF87" w:rsidR="004A4ACA" w:rsidRDefault="004A4ACA" w:rsidP="002A37BB">
      <w:pPr>
        <w:jc w:val="both"/>
        <w:rPr>
          <w:rFonts w:ascii="Arial" w:hAnsi="Arial" w:cs="Arial"/>
          <w:sz w:val="22"/>
          <w:szCs w:val="22"/>
          <w:lang w:val="en-GB"/>
        </w:rPr>
      </w:pPr>
    </w:p>
    <w:p w14:paraId="4F4AA86B" w14:textId="412CFC66" w:rsidR="0043253E" w:rsidRDefault="0043253E" w:rsidP="002A37BB">
      <w:pPr>
        <w:jc w:val="both"/>
        <w:rPr>
          <w:rFonts w:ascii="Arial" w:hAnsi="Arial" w:cs="Arial"/>
          <w:sz w:val="22"/>
          <w:szCs w:val="22"/>
          <w:lang w:val="en-GB"/>
        </w:rPr>
      </w:pPr>
      <w:r>
        <w:rPr>
          <w:rFonts w:ascii="Arial" w:hAnsi="Arial" w:cs="Arial"/>
          <w:sz w:val="22"/>
          <w:szCs w:val="22"/>
          <w:lang w:val="en-GB"/>
        </w:rPr>
        <w:t>Answer</w:t>
      </w:r>
    </w:p>
    <w:p w14:paraId="75DBABBE" w14:textId="07589E4C" w:rsidR="004A4ACA" w:rsidRDefault="004A4ACA" w:rsidP="002A37BB">
      <w:pPr>
        <w:jc w:val="both"/>
        <w:rPr>
          <w:rFonts w:ascii="Arial" w:hAnsi="Arial" w:cs="Arial"/>
          <w:sz w:val="22"/>
          <w:szCs w:val="22"/>
          <w:lang w:val="en-GB"/>
        </w:rPr>
      </w:pPr>
    </w:p>
    <w:p w14:paraId="6DBD9044" w14:textId="45575B74" w:rsidR="004A4ACA" w:rsidRDefault="004A4ACA" w:rsidP="002A37BB">
      <w:pPr>
        <w:jc w:val="both"/>
        <w:rPr>
          <w:rFonts w:ascii="Arial" w:hAnsi="Arial" w:cs="Arial"/>
          <w:sz w:val="22"/>
          <w:szCs w:val="22"/>
          <w:lang w:val="en-GB"/>
        </w:rPr>
      </w:pPr>
      <w:r>
        <w:rPr>
          <w:rFonts w:ascii="Arial" w:hAnsi="Arial" w:cs="Arial"/>
          <w:sz w:val="22"/>
          <w:szCs w:val="22"/>
          <w:lang w:val="en-GB"/>
        </w:rPr>
        <w:t>The three major improvements and or innovations of the EIR Recast are as follows</w:t>
      </w:r>
      <w:r w:rsidR="00BF7B97">
        <w:rPr>
          <w:rFonts w:ascii="Arial" w:hAnsi="Arial" w:cs="Arial"/>
          <w:sz w:val="22"/>
          <w:szCs w:val="22"/>
          <w:lang w:val="en-GB"/>
        </w:rPr>
        <w:t>:</w:t>
      </w:r>
    </w:p>
    <w:p w14:paraId="511247BF" w14:textId="77777777" w:rsidR="00BF7B97" w:rsidRDefault="00BF7B97" w:rsidP="002A37BB">
      <w:pPr>
        <w:jc w:val="both"/>
        <w:rPr>
          <w:rFonts w:ascii="Arial" w:hAnsi="Arial" w:cs="Arial"/>
          <w:sz w:val="22"/>
          <w:szCs w:val="22"/>
          <w:lang w:val="en-GB"/>
        </w:rPr>
      </w:pPr>
    </w:p>
    <w:p w14:paraId="66C67A50" w14:textId="40FF0839" w:rsidR="004A4ACA" w:rsidRDefault="004A4ACA" w:rsidP="004A4ACA">
      <w:pPr>
        <w:pStyle w:val="ListParagraph"/>
        <w:numPr>
          <w:ilvl w:val="0"/>
          <w:numId w:val="22"/>
        </w:numPr>
        <w:jc w:val="both"/>
        <w:rPr>
          <w:rFonts w:ascii="Arial" w:hAnsi="Arial" w:cs="Arial"/>
          <w:sz w:val="22"/>
          <w:szCs w:val="22"/>
        </w:rPr>
      </w:pPr>
      <w:r>
        <w:rPr>
          <w:rFonts w:ascii="Arial" w:hAnsi="Arial" w:cs="Arial"/>
          <w:sz w:val="22"/>
          <w:szCs w:val="22"/>
        </w:rPr>
        <w:t xml:space="preserve">Under the EIR 2000 the duty to publish information on the opening of the insolvency proceedings in other Member States was left to the discretion of the liquidator.  Under Article 28(1) of the EIR Recast, the insolvency practitioner or debtors in possession are obliged to request publication of the notice on the opening of insolvency proceedings.  This applies to both main and secondary proceedings.  </w:t>
      </w:r>
    </w:p>
    <w:p w14:paraId="12EB4B0D" w14:textId="77777777" w:rsidR="004A4ACA" w:rsidRDefault="004A4ACA" w:rsidP="004A4ACA">
      <w:pPr>
        <w:pStyle w:val="ListParagraph"/>
        <w:jc w:val="both"/>
        <w:rPr>
          <w:rFonts w:ascii="Arial" w:hAnsi="Arial" w:cs="Arial"/>
          <w:sz w:val="22"/>
          <w:szCs w:val="22"/>
        </w:rPr>
      </w:pPr>
    </w:p>
    <w:p w14:paraId="74178A1C" w14:textId="674F2BE6" w:rsidR="004A4ACA" w:rsidRDefault="004A4ACA" w:rsidP="004A4ACA">
      <w:pPr>
        <w:pStyle w:val="ListParagraph"/>
        <w:jc w:val="both"/>
        <w:rPr>
          <w:rFonts w:ascii="Arial" w:hAnsi="Arial" w:cs="Arial"/>
          <w:sz w:val="22"/>
          <w:szCs w:val="22"/>
        </w:rPr>
      </w:pPr>
      <w:r>
        <w:rPr>
          <w:rFonts w:ascii="Arial" w:hAnsi="Arial" w:cs="Arial"/>
          <w:sz w:val="22"/>
          <w:szCs w:val="22"/>
        </w:rPr>
        <w:t>This innovation concerning publicity should ensure the smooth handling of cross-border insolvency.</w:t>
      </w:r>
    </w:p>
    <w:p w14:paraId="47422A85" w14:textId="77777777" w:rsidR="00BF7B97" w:rsidRDefault="004A4ACA" w:rsidP="004A4ACA">
      <w:pPr>
        <w:pStyle w:val="ListParagraph"/>
        <w:numPr>
          <w:ilvl w:val="0"/>
          <w:numId w:val="22"/>
        </w:numPr>
        <w:jc w:val="both"/>
        <w:rPr>
          <w:rFonts w:ascii="Arial" w:hAnsi="Arial" w:cs="Arial"/>
          <w:sz w:val="22"/>
          <w:szCs w:val="22"/>
        </w:rPr>
      </w:pPr>
      <w:r>
        <w:rPr>
          <w:rFonts w:ascii="Arial" w:hAnsi="Arial" w:cs="Arial"/>
          <w:sz w:val="22"/>
          <w:szCs w:val="22"/>
        </w:rPr>
        <w:lastRenderedPageBreak/>
        <w:t xml:space="preserve">Under the EIR 2000 every Member State had its own insolvency registration system and such registration systems were not necessarily interconnected.  This has considerably improved by the EIR Recast, Under Article 24 of the EIR Recast, Member States are obliged to establish and maintain in their country one or more registers in which information concerning insolvency proceedings are published.  Such information must be published as soon as possible after the opening of insolvency proceedings.  </w:t>
      </w:r>
    </w:p>
    <w:p w14:paraId="24F3F4C2" w14:textId="77777777" w:rsidR="00BF7B97" w:rsidRDefault="00BF7B97" w:rsidP="00BF7B97">
      <w:pPr>
        <w:pStyle w:val="ListParagraph"/>
        <w:jc w:val="both"/>
        <w:rPr>
          <w:rFonts w:ascii="Arial" w:hAnsi="Arial" w:cs="Arial"/>
          <w:sz w:val="22"/>
          <w:szCs w:val="22"/>
        </w:rPr>
      </w:pPr>
    </w:p>
    <w:p w14:paraId="4A713B00" w14:textId="1E184AA2" w:rsidR="004A4ACA" w:rsidRPr="00BF7B97" w:rsidRDefault="004A4ACA" w:rsidP="00BF7B97">
      <w:pPr>
        <w:pStyle w:val="ListParagraph"/>
        <w:jc w:val="both"/>
        <w:rPr>
          <w:rFonts w:ascii="Arial" w:hAnsi="Arial" w:cs="Arial"/>
          <w:sz w:val="22"/>
          <w:szCs w:val="22"/>
        </w:rPr>
      </w:pPr>
      <w:r w:rsidRPr="00BF7B97">
        <w:rPr>
          <w:rFonts w:ascii="Arial" w:hAnsi="Arial" w:cs="Arial"/>
          <w:sz w:val="22"/>
          <w:szCs w:val="22"/>
        </w:rPr>
        <w:t>The EIR Recast goes further by determining the minimum information that such “insolvency registers” should contain.  This includes the date of opening of proceedings, the court where such is opened, whether a main, secondary or territorial insolvency proceedings, debtor’s name, reregistration number, registered office, the name, postal address and email of the insolvency practitioner.  Under Article 25 if the EIR Recast there is now a search engine to information on the system.</w:t>
      </w:r>
    </w:p>
    <w:p w14:paraId="230ABCFC" w14:textId="77777777" w:rsidR="004A4ACA" w:rsidRDefault="004A4ACA" w:rsidP="004A4ACA">
      <w:pPr>
        <w:pStyle w:val="ListParagraph"/>
        <w:jc w:val="both"/>
        <w:rPr>
          <w:rFonts w:ascii="Arial" w:hAnsi="Arial" w:cs="Arial"/>
          <w:sz w:val="22"/>
          <w:szCs w:val="22"/>
        </w:rPr>
      </w:pPr>
    </w:p>
    <w:p w14:paraId="48D260FA" w14:textId="574D672F" w:rsidR="004A4ACA" w:rsidRDefault="004A4ACA" w:rsidP="004A4ACA">
      <w:pPr>
        <w:pStyle w:val="ListParagraph"/>
        <w:jc w:val="both"/>
        <w:rPr>
          <w:rFonts w:ascii="Arial" w:hAnsi="Arial" w:cs="Arial"/>
          <w:sz w:val="22"/>
          <w:szCs w:val="22"/>
        </w:rPr>
      </w:pPr>
      <w:r>
        <w:rPr>
          <w:rFonts w:ascii="Arial" w:hAnsi="Arial" w:cs="Arial"/>
          <w:sz w:val="22"/>
          <w:szCs w:val="22"/>
        </w:rPr>
        <w:t xml:space="preserve">Such publicity of information is of great importance to creditors both local and foreign especially if they are required to file claims within a prescribed period of time under the lex </w:t>
      </w:r>
      <w:r w:rsidR="00BF7B97">
        <w:rPr>
          <w:rFonts w:ascii="Arial" w:hAnsi="Arial" w:cs="Arial"/>
          <w:sz w:val="22"/>
          <w:szCs w:val="22"/>
        </w:rPr>
        <w:t>concursus</w:t>
      </w:r>
      <w:r>
        <w:rPr>
          <w:rFonts w:ascii="Arial" w:hAnsi="Arial" w:cs="Arial"/>
          <w:sz w:val="22"/>
          <w:szCs w:val="22"/>
        </w:rPr>
        <w:t xml:space="preserve"> rules.</w:t>
      </w:r>
    </w:p>
    <w:p w14:paraId="619653CC" w14:textId="5F19A3E1" w:rsidR="004A4ACA" w:rsidRDefault="004A4ACA" w:rsidP="004A4ACA">
      <w:pPr>
        <w:pStyle w:val="ListParagraph"/>
        <w:jc w:val="both"/>
        <w:rPr>
          <w:rFonts w:ascii="Arial" w:hAnsi="Arial" w:cs="Arial"/>
          <w:sz w:val="22"/>
          <w:szCs w:val="22"/>
        </w:rPr>
      </w:pPr>
    </w:p>
    <w:p w14:paraId="75B0E8B8" w14:textId="50740DA4" w:rsidR="004A4ACA" w:rsidRDefault="004A4ACA" w:rsidP="004A4ACA">
      <w:pPr>
        <w:pStyle w:val="ListParagraph"/>
        <w:numPr>
          <w:ilvl w:val="0"/>
          <w:numId w:val="22"/>
        </w:numPr>
        <w:jc w:val="both"/>
        <w:rPr>
          <w:rFonts w:ascii="Arial" w:hAnsi="Arial" w:cs="Arial"/>
          <w:sz w:val="22"/>
          <w:szCs w:val="22"/>
        </w:rPr>
      </w:pPr>
      <w:r>
        <w:rPr>
          <w:rFonts w:ascii="Arial" w:hAnsi="Arial" w:cs="Arial"/>
          <w:sz w:val="22"/>
          <w:szCs w:val="22"/>
        </w:rPr>
        <w:t xml:space="preserve">The EIR 2000 only contained one provision </w:t>
      </w:r>
      <w:r w:rsidR="006420C2">
        <w:rPr>
          <w:rFonts w:ascii="Arial" w:hAnsi="Arial" w:cs="Arial"/>
          <w:sz w:val="22"/>
          <w:szCs w:val="22"/>
        </w:rPr>
        <w:t>in Article 31 that mandates insolvency practitioners in main and secondary proceedings to communicate information with each other.  In contrast the EIR Recast introduces a comprehensive system of co-operation and communication between insolvency practitioners under Article 41, between courts under Article 42 and between insolvency practitioners and courts under Article 43.</w:t>
      </w:r>
    </w:p>
    <w:p w14:paraId="0F3C28E5" w14:textId="1F2D7DCB" w:rsidR="006420C2" w:rsidRDefault="006420C2" w:rsidP="006420C2">
      <w:pPr>
        <w:jc w:val="both"/>
        <w:rPr>
          <w:rFonts w:ascii="Arial" w:hAnsi="Arial" w:cs="Arial"/>
          <w:sz w:val="22"/>
          <w:szCs w:val="22"/>
        </w:rPr>
      </w:pPr>
    </w:p>
    <w:p w14:paraId="2F3FA3A6" w14:textId="67CE1418" w:rsidR="006420C2" w:rsidRPr="006420C2" w:rsidRDefault="006420C2" w:rsidP="006420C2">
      <w:pPr>
        <w:ind w:left="720"/>
        <w:jc w:val="both"/>
        <w:rPr>
          <w:rFonts w:ascii="Arial" w:hAnsi="Arial" w:cs="Arial"/>
          <w:sz w:val="22"/>
          <w:szCs w:val="22"/>
        </w:rPr>
      </w:pPr>
      <w:r>
        <w:rPr>
          <w:rFonts w:ascii="Arial" w:hAnsi="Arial" w:cs="Arial"/>
          <w:sz w:val="22"/>
          <w:szCs w:val="22"/>
        </w:rPr>
        <w:t xml:space="preserve">This improved framework for communication and co-operation should result in a more efficient and effective deployment of the debtor’s asset and protection of the rights of the creditors.  Under Articles 56 to 59 of the EIR Recast similar provisions are to be found in relation to members of a group of companies.  </w:t>
      </w:r>
    </w:p>
    <w:p w14:paraId="7940D274" w14:textId="5CB2A0E5" w:rsidR="00DF75F8" w:rsidRPr="008500BD" w:rsidRDefault="00DF75F8" w:rsidP="002A37BB">
      <w:pPr>
        <w:jc w:val="both"/>
        <w:rPr>
          <w:rFonts w:ascii="Arial" w:hAnsi="Arial" w:cs="Arial"/>
          <w:sz w:val="22"/>
          <w:szCs w:val="22"/>
          <w:lang w:val="en-GB"/>
        </w:rPr>
      </w:pP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E83D7AF" w14:textId="7A1068AD" w:rsidR="00DF75F8" w:rsidRDefault="00553F1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467F3718" w14:textId="5A09F5B1" w:rsidR="0043253E" w:rsidRDefault="0043253E" w:rsidP="0043253E">
      <w:pPr>
        <w:pStyle w:val="ListParagraph"/>
        <w:numPr>
          <w:ilvl w:val="0"/>
          <w:numId w:val="20"/>
        </w:numPr>
        <w:jc w:val="both"/>
        <w:rPr>
          <w:rFonts w:ascii="Arial" w:hAnsi="Arial" w:cs="Arial"/>
          <w:sz w:val="22"/>
          <w:szCs w:val="22"/>
          <w:lang w:val="en-GB"/>
        </w:rPr>
      </w:pPr>
      <w:r>
        <w:rPr>
          <w:rFonts w:ascii="Arial" w:hAnsi="Arial" w:cs="Arial"/>
          <w:sz w:val="22"/>
          <w:szCs w:val="22"/>
          <w:lang w:val="en-GB"/>
        </w:rPr>
        <w:t>The extension of insolvency to cover group insolvency proceedings is a much welcomed modernisation of insolvency in this area.  However, it can be argued that such regulation will miss the desired effect of securing the efficient administration of group insolvency proceedings including the co-ordinated restructuring of the group for the following reasons:</w:t>
      </w:r>
    </w:p>
    <w:p w14:paraId="4B236868" w14:textId="799EEE2A" w:rsidR="0043253E" w:rsidRDefault="0043253E" w:rsidP="0043253E">
      <w:pPr>
        <w:pStyle w:val="ListParagraph"/>
        <w:numPr>
          <w:ilvl w:val="0"/>
          <w:numId w:val="21"/>
        </w:numPr>
        <w:jc w:val="both"/>
        <w:rPr>
          <w:rFonts w:ascii="Arial" w:hAnsi="Arial" w:cs="Arial"/>
          <w:sz w:val="22"/>
          <w:szCs w:val="22"/>
          <w:lang w:val="en-GB"/>
        </w:rPr>
      </w:pPr>
      <w:r>
        <w:rPr>
          <w:rFonts w:ascii="Arial" w:hAnsi="Arial" w:cs="Arial"/>
          <w:sz w:val="22"/>
          <w:szCs w:val="22"/>
          <w:lang w:val="en-GB"/>
        </w:rPr>
        <w:t>Under Recital 56 EIR Recast such group co-ordination is not mandatory but voluntary.  There is a possibility of opting out without having to show good cause.  Insolvency practitioners are not obliged to follow any such co-ordinated activities under Article 70 of the EIR Recast.</w:t>
      </w:r>
    </w:p>
    <w:p w14:paraId="6123A8E2" w14:textId="1F66AE3E" w:rsidR="0043253E" w:rsidRDefault="0043253E" w:rsidP="0043253E">
      <w:pPr>
        <w:pStyle w:val="ListParagraph"/>
        <w:numPr>
          <w:ilvl w:val="0"/>
          <w:numId w:val="21"/>
        </w:numPr>
        <w:jc w:val="both"/>
        <w:rPr>
          <w:rFonts w:ascii="Arial" w:hAnsi="Arial" w:cs="Arial"/>
          <w:sz w:val="22"/>
          <w:szCs w:val="22"/>
          <w:lang w:val="en-GB"/>
        </w:rPr>
      </w:pPr>
      <w:r>
        <w:rPr>
          <w:rFonts w:ascii="Arial" w:hAnsi="Arial" w:cs="Arial"/>
          <w:sz w:val="22"/>
          <w:szCs w:val="22"/>
          <w:lang w:val="en-GB"/>
        </w:rPr>
        <w:t>Such group proceedings lack creditor involvement as creditors of the group of companies are not obliged to be informed of the opening or joining of such proceedings.  Under Article 63 right to be heard is given to the insolvency practitioner but not to the affected creditors in the court where the request to open group proceedings is dealt with.</w:t>
      </w:r>
    </w:p>
    <w:p w14:paraId="413751BF" w14:textId="7DBB9E52" w:rsidR="0043253E" w:rsidRDefault="0043253E" w:rsidP="0043253E">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Group proceedings can result in the complexity of proceedings and likely to result in increased cost.  Such disadvantages outweigh any potential benefit. </w:t>
      </w:r>
    </w:p>
    <w:p w14:paraId="21B5A74D" w14:textId="21D943E5" w:rsidR="0043253E" w:rsidRDefault="0043253E" w:rsidP="0043253E">
      <w:pPr>
        <w:pStyle w:val="ListParagraph"/>
        <w:numPr>
          <w:ilvl w:val="0"/>
          <w:numId w:val="21"/>
        </w:numPr>
        <w:jc w:val="both"/>
        <w:rPr>
          <w:rFonts w:ascii="Arial" w:hAnsi="Arial" w:cs="Arial"/>
          <w:sz w:val="22"/>
          <w:szCs w:val="22"/>
          <w:lang w:val="en-GB"/>
        </w:rPr>
      </w:pPr>
      <w:r>
        <w:rPr>
          <w:rFonts w:ascii="Arial" w:hAnsi="Arial" w:cs="Arial"/>
          <w:sz w:val="22"/>
          <w:szCs w:val="22"/>
          <w:lang w:val="en-GB"/>
        </w:rPr>
        <w:lastRenderedPageBreak/>
        <w:t xml:space="preserve">There is the possibility of the corporate group having members in non </w:t>
      </w:r>
      <w:r w:rsidR="002346FB">
        <w:rPr>
          <w:rFonts w:ascii="Arial" w:hAnsi="Arial" w:cs="Arial"/>
          <w:sz w:val="22"/>
          <w:szCs w:val="22"/>
          <w:lang w:val="en-GB"/>
        </w:rPr>
        <w:t xml:space="preserve">- </w:t>
      </w:r>
      <w:r>
        <w:rPr>
          <w:rFonts w:ascii="Arial" w:hAnsi="Arial" w:cs="Arial"/>
          <w:sz w:val="22"/>
          <w:szCs w:val="22"/>
          <w:lang w:val="en-GB"/>
        </w:rPr>
        <w:t>Member states, this can result in such members not being bound by the EIR Recast.  Such exclusion can limit the effectiveness of the group proceedings.</w:t>
      </w:r>
    </w:p>
    <w:p w14:paraId="6A2BD1C0" w14:textId="3867A049" w:rsidR="002346FB" w:rsidRDefault="002346FB" w:rsidP="002346FB">
      <w:pPr>
        <w:pStyle w:val="ListParagraph"/>
        <w:numPr>
          <w:ilvl w:val="0"/>
          <w:numId w:val="20"/>
        </w:numPr>
        <w:jc w:val="both"/>
        <w:rPr>
          <w:rFonts w:ascii="Arial" w:hAnsi="Arial" w:cs="Arial"/>
          <w:sz w:val="22"/>
          <w:szCs w:val="22"/>
          <w:lang w:val="en-GB"/>
        </w:rPr>
      </w:pPr>
      <w:r>
        <w:rPr>
          <w:rFonts w:ascii="Arial" w:hAnsi="Arial" w:cs="Arial"/>
          <w:sz w:val="22"/>
          <w:szCs w:val="22"/>
          <w:lang w:val="en-GB"/>
        </w:rPr>
        <w:t>The EIR Recast should have been an opportunity to get rid of the multi-layered system that allows for the opening of several insolvency proceedings against the same debtor in different member states.  This results in additional costs and complications.</w:t>
      </w:r>
    </w:p>
    <w:p w14:paraId="6E633D91" w14:textId="77777777" w:rsidR="00BF7B97" w:rsidRDefault="00BF7B97" w:rsidP="00BF7B97">
      <w:pPr>
        <w:ind w:left="360"/>
        <w:jc w:val="both"/>
        <w:rPr>
          <w:rFonts w:ascii="Arial" w:hAnsi="Arial" w:cs="Arial"/>
          <w:sz w:val="22"/>
          <w:szCs w:val="22"/>
          <w:lang w:val="en-GB"/>
        </w:rPr>
      </w:pPr>
    </w:p>
    <w:p w14:paraId="4986EF59" w14:textId="4F7C4B58" w:rsidR="002346FB" w:rsidRPr="002346FB" w:rsidRDefault="002346FB" w:rsidP="00BF7B97">
      <w:pPr>
        <w:ind w:left="360"/>
        <w:jc w:val="both"/>
        <w:rPr>
          <w:rFonts w:ascii="Arial" w:hAnsi="Arial" w:cs="Arial"/>
          <w:sz w:val="22"/>
          <w:szCs w:val="22"/>
          <w:lang w:val="en-GB"/>
        </w:rPr>
      </w:pPr>
      <w:r>
        <w:rPr>
          <w:rFonts w:ascii="Arial" w:hAnsi="Arial" w:cs="Arial"/>
          <w:sz w:val="22"/>
          <w:szCs w:val="22"/>
          <w:lang w:val="en-GB"/>
        </w:rPr>
        <w:t>Both of the above flaws identified in the EIR Recast can be dealt with by the introduction of soft laws in the above areas.</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614EE203" w:rsidR="002F75A3" w:rsidRDefault="006420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0DA914D" w14:textId="56E5614D" w:rsidR="005A0CC2"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Having considered the facts of the case in the question above it is my position that the Strasbourg Court ha</w:t>
      </w:r>
      <w:r w:rsidR="00BF7B9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international jurisdiction to open the requested insolvency proceedings for the following reasons:</w:t>
      </w:r>
    </w:p>
    <w:p w14:paraId="55917934" w14:textId="77777777" w:rsidR="005A0CC2" w:rsidRDefault="005A0CC2" w:rsidP="002A37BB">
      <w:pPr>
        <w:jc w:val="both"/>
        <w:rPr>
          <w:rFonts w:ascii="Arial" w:hAnsi="Arial" w:cs="Arial"/>
          <w:color w:val="7B7B7B" w:themeColor="accent3" w:themeShade="BF"/>
          <w:sz w:val="22"/>
          <w:szCs w:val="22"/>
          <w:lang w:val="en-GB"/>
        </w:rPr>
      </w:pPr>
    </w:p>
    <w:p w14:paraId="2A4164D5" w14:textId="3D231EF3" w:rsidR="006420C2"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EIR 2000 the COMI of an entity is that of where its registered office is and any such insolvency proceedings should be opened in a court in the debtor’s COMI.  From the information we have been given, we have been told that the company was registered in France, therefore insolvency proceedings can be opened at the Strasbourg Court that is within the territory of France.</w:t>
      </w:r>
    </w:p>
    <w:p w14:paraId="07672B78" w14:textId="1BFB503F" w:rsidR="005A0CC2" w:rsidRDefault="005A0CC2" w:rsidP="002A37BB">
      <w:pPr>
        <w:jc w:val="both"/>
        <w:rPr>
          <w:rFonts w:ascii="Arial" w:hAnsi="Arial" w:cs="Arial"/>
          <w:color w:val="7B7B7B" w:themeColor="accent3" w:themeShade="BF"/>
          <w:sz w:val="22"/>
          <w:szCs w:val="22"/>
          <w:lang w:val="en-GB"/>
        </w:rPr>
      </w:pPr>
    </w:p>
    <w:p w14:paraId="00C11EDF" w14:textId="66269D7A" w:rsidR="005A0CC2"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and decision in the case of Interedil Srl v Fallimento Interedil Srl is of significance here as the facts are somehow similar.  In the Interedil Case, Interedil Srl was a legal entity registered in Italy but subsequently relocated to London and registered in the UK as a foreing company.  Bankruptcy proceedings w</w:t>
      </w:r>
      <w:r w:rsidR="00BF7B97">
        <w:rPr>
          <w:rFonts w:ascii="Arial" w:hAnsi="Arial" w:cs="Arial"/>
          <w:color w:val="7B7B7B" w:themeColor="accent3" w:themeShade="BF"/>
          <w:sz w:val="22"/>
          <w:szCs w:val="22"/>
          <w:lang w:val="en-GB"/>
        </w:rPr>
        <w:t>ere</w:t>
      </w:r>
      <w:r>
        <w:rPr>
          <w:rFonts w:ascii="Arial" w:hAnsi="Arial" w:cs="Arial"/>
          <w:color w:val="7B7B7B" w:themeColor="accent3" w:themeShade="BF"/>
          <w:sz w:val="22"/>
          <w:szCs w:val="22"/>
          <w:lang w:val="en-GB"/>
        </w:rPr>
        <w:t xml:space="preserve"> opened in Italy and the decision to open bankruptcy in Italy as opposed to the UK was challenged by Interedil Srl arguing that because its registered office has been transferred to the UK only courts in the UK have jurisdiction to open insolvency proceedings.  The Italian court argued that such a presumption has </w:t>
      </w:r>
      <w:r w:rsidR="00BF7B97">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be rebutted by the following factors i.e. the existence of a lease agreements, contract with a bank and the fact that Italian registrar was not notified of the change of the company’s registered office.</w:t>
      </w:r>
    </w:p>
    <w:p w14:paraId="5DD93B13" w14:textId="77777777" w:rsidR="005A0CC2" w:rsidRDefault="005A0CC2" w:rsidP="002A37BB">
      <w:pPr>
        <w:jc w:val="both"/>
        <w:rPr>
          <w:rFonts w:ascii="Arial" w:hAnsi="Arial" w:cs="Arial"/>
          <w:color w:val="7B7B7B" w:themeColor="accent3" w:themeShade="BF"/>
          <w:sz w:val="22"/>
          <w:szCs w:val="22"/>
          <w:lang w:val="en-GB"/>
        </w:rPr>
      </w:pPr>
    </w:p>
    <w:p w14:paraId="5E763D65" w14:textId="414DA3C8" w:rsidR="005A0CC2"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CJEU held that where the bodies responsible for the management and supervision of the company are in the same place as its registered office and this is ascertainable by third parties the presumption concerning the registered office is irrefutable.  The presumption can be rebutted if third parties take the view that the place where the debtor is managed is not the same as where its registered office is.  The mere presence of some assets will not  be sufficient to rebut the registered office presumption.</w:t>
      </w:r>
    </w:p>
    <w:p w14:paraId="5A910719" w14:textId="08CA22F3" w:rsidR="005A0CC2" w:rsidRDefault="005A0CC2" w:rsidP="002A37BB">
      <w:pPr>
        <w:jc w:val="both"/>
        <w:rPr>
          <w:rFonts w:ascii="Arial" w:hAnsi="Arial" w:cs="Arial"/>
          <w:color w:val="7B7B7B" w:themeColor="accent3" w:themeShade="BF"/>
          <w:sz w:val="22"/>
          <w:szCs w:val="22"/>
          <w:lang w:val="en-GB"/>
        </w:rPr>
      </w:pPr>
    </w:p>
    <w:p w14:paraId="4DAB8816" w14:textId="0A719074" w:rsidR="005A0CC2"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we have been given concerning this Question 4.1 although PAJ has assets in Spain such as its warehouses, a credit agreement and a bank account in Spain this is not sufficient to rebut the presumption of France being its COMI.  The question/guidelines as laid down in the Interedil Srl case and repeated in Recital 30 of the EIR Recast should be followed.  There is no evidence from the facts we have been given to suggest that the management and supervision of the company has been transferred to Spain, thereby causing third parties to take the view that the place where the company is managed is not the same as the jurisdiction where its registered office is.</w:t>
      </w:r>
    </w:p>
    <w:p w14:paraId="13423677" w14:textId="335367E7" w:rsidR="005A0CC2" w:rsidRDefault="005A0CC2" w:rsidP="002A37BB">
      <w:pPr>
        <w:jc w:val="both"/>
        <w:rPr>
          <w:rFonts w:ascii="Arial" w:hAnsi="Arial" w:cs="Arial"/>
          <w:color w:val="7B7B7B" w:themeColor="accent3" w:themeShade="BF"/>
          <w:sz w:val="22"/>
          <w:szCs w:val="22"/>
          <w:lang w:val="en-GB"/>
        </w:rPr>
      </w:pPr>
    </w:p>
    <w:p w14:paraId="317DD6E7" w14:textId="5EE8BF18" w:rsidR="00126A4D" w:rsidRDefault="005A0CC2"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conclusion the registered office presumption is unlikely to be rebutted and Strasbourg Court </w:t>
      </w:r>
      <w:r>
        <w:rPr>
          <w:rFonts w:ascii="Arial" w:hAnsi="Arial" w:cs="Arial"/>
          <w:sz w:val="22"/>
          <w:szCs w:val="22"/>
          <w:lang w:val="en-GB"/>
        </w:rPr>
        <w:t>has jurisdiction to open the requested insolvency proceedings.</w:t>
      </w: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7992BCE1" w:rsidR="002D3473" w:rsidRDefault="00E2623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D64ECCB" w14:textId="73DCCE55" w:rsidR="00E26236" w:rsidRDefault="00E26236" w:rsidP="002A37BB">
      <w:pPr>
        <w:autoSpaceDE w:val="0"/>
        <w:autoSpaceDN w:val="0"/>
        <w:adjustRightInd w:val="0"/>
        <w:jc w:val="both"/>
        <w:rPr>
          <w:rFonts w:ascii="Arial" w:hAnsi="Arial" w:cs="Arial"/>
          <w:color w:val="7B7B7B" w:themeColor="accent3" w:themeShade="BF"/>
          <w:sz w:val="22"/>
          <w:szCs w:val="22"/>
          <w:lang w:val="en-GB"/>
        </w:rPr>
      </w:pPr>
    </w:p>
    <w:p w14:paraId="78E4819F" w14:textId="3D188829" w:rsidR="00E26236" w:rsidRDefault="00E2623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the EIR Recast will apply if the Strasbourg Court opens proceedings on the 29</w:t>
      </w:r>
      <w:r w:rsidRPr="00E2623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of June 2017.  This is because the EIR Recast applies after the 26</w:t>
      </w:r>
      <w:r w:rsidRPr="00E2623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of June 2017 under Article 92 of the EIR Recast.  In determining the EIR Recast’s scope the first point to consider is its temporal scope i.e. when does it apply in time.  This is satisfied as we are told proceedings commenced on the 29</w:t>
      </w:r>
      <w:r w:rsidRPr="00E2623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of June 2017.  Secondly the question of personal scope should also be addressed i.e. to whom does it apply, followed by the material scope i.e. which proceedings are covered by it and lastly the geographical scope i.e. what are the geographical limitations.</w:t>
      </w:r>
    </w:p>
    <w:p w14:paraId="419A1D3C" w14:textId="50605EB0" w:rsidR="00E26236" w:rsidRDefault="00E26236" w:rsidP="002A37BB">
      <w:pPr>
        <w:autoSpaceDE w:val="0"/>
        <w:autoSpaceDN w:val="0"/>
        <w:adjustRightInd w:val="0"/>
        <w:jc w:val="both"/>
        <w:rPr>
          <w:rFonts w:ascii="Arial" w:hAnsi="Arial" w:cs="Arial"/>
          <w:color w:val="7B7B7B" w:themeColor="accent3" w:themeShade="BF"/>
          <w:sz w:val="22"/>
          <w:szCs w:val="22"/>
          <w:lang w:val="en-GB"/>
        </w:rPr>
      </w:pPr>
    </w:p>
    <w:p w14:paraId="1C1D6240" w14:textId="36A6E3C1" w:rsidR="00E26236" w:rsidRDefault="00E2623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step by step plan for the above scenario is as follows:</w:t>
      </w:r>
    </w:p>
    <w:p w14:paraId="3B7C219B" w14:textId="103E886B" w:rsidR="00E26236" w:rsidRDefault="00E26236" w:rsidP="00E26236">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E26236">
        <w:rPr>
          <w:rFonts w:ascii="Arial" w:hAnsi="Arial" w:cs="Arial"/>
          <w:color w:val="7B7B7B" w:themeColor="accent3" w:themeShade="BF"/>
          <w:sz w:val="22"/>
          <w:szCs w:val="22"/>
          <w:lang w:val="en-GB"/>
        </w:rPr>
        <w:t>Does the debtor in this case PAJ ha</w:t>
      </w:r>
      <w:r w:rsidR="00BF7B97">
        <w:rPr>
          <w:rFonts w:ascii="Arial" w:hAnsi="Arial" w:cs="Arial"/>
          <w:color w:val="7B7B7B" w:themeColor="accent3" w:themeShade="BF"/>
          <w:sz w:val="22"/>
          <w:szCs w:val="22"/>
          <w:lang w:val="en-GB"/>
        </w:rPr>
        <w:t xml:space="preserve">ve </w:t>
      </w:r>
      <w:r w:rsidRPr="00E26236">
        <w:rPr>
          <w:rFonts w:ascii="Arial" w:hAnsi="Arial" w:cs="Arial"/>
          <w:color w:val="7B7B7B" w:themeColor="accent3" w:themeShade="BF"/>
          <w:sz w:val="22"/>
          <w:szCs w:val="22"/>
          <w:lang w:val="en-GB"/>
        </w:rPr>
        <w:t>a COMI in an EU Member State other than Denmark.  The answer to this is yes as we have been told that the company is registered in France.</w:t>
      </w:r>
    </w:p>
    <w:p w14:paraId="6C90EC6E" w14:textId="4BA89535" w:rsidR="00E26236" w:rsidRDefault="00E26236" w:rsidP="00E26236">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debtor an excluded entity? The answer to this is no as the debtor is a toy company not a bank, insurance company or any other excluded entity.</w:t>
      </w:r>
    </w:p>
    <w:p w14:paraId="1D70EF8B" w14:textId="07B31ECC" w:rsidR="00E26236" w:rsidRDefault="00E26236" w:rsidP="00E26236">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proceedings listed in Annex A to the EIR Recast? Yes Annex A includes pre insolvency proceedings.</w:t>
      </w:r>
    </w:p>
    <w:p w14:paraId="7DB128E2" w14:textId="24AF544F" w:rsidR="00E26236" w:rsidRDefault="00E26236" w:rsidP="00E26236">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Was the proceedings opened after 26</w:t>
      </w:r>
      <w:r w:rsidRPr="00E2623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 Yes the proceedings commenced on the 29</w:t>
      </w:r>
      <w:r w:rsidRPr="00E2623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of June 2017.</w:t>
      </w:r>
    </w:p>
    <w:p w14:paraId="75423236" w14:textId="08435CBF" w:rsidR="00E26236" w:rsidRPr="00E26236" w:rsidRDefault="00E26236" w:rsidP="00E2623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EIR Recast is applicable as all four steps above have been met.</w:t>
      </w:r>
    </w:p>
    <w:p w14:paraId="0CC1E034" w14:textId="77777777" w:rsidR="00E26236" w:rsidRPr="008500BD" w:rsidRDefault="00E26236" w:rsidP="002A37BB">
      <w:pPr>
        <w:autoSpaceDE w:val="0"/>
        <w:autoSpaceDN w:val="0"/>
        <w:adjustRightInd w:val="0"/>
        <w:jc w:val="both"/>
        <w:rPr>
          <w:rFonts w:ascii="Arial" w:hAnsi="Arial" w:cs="Arial"/>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lastRenderedPageBreak/>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69F9367C" w:rsidR="0077498C"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8AC1F65" w14:textId="1E3D3232" w:rsidR="005A0CC2" w:rsidRDefault="005A0CC2" w:rsidP="002A37BB">
      <w:pPr>
        <w:jc w:val="both"/>
        <w:rPr>
          <w:rFonts w:ascii="Arial" w:hAnsi="Arial" w:cs="Arial"/>
          <w:color w:val="7B7B7B" w:themeColor="accent3" w:themeShade="BF"/>
          <w:sz w:val="22"/>
          <w:szCs w:val="22"/>
          <w:lang w:val="en-GB"/>
        </w:rPr>
      </w:pPr>
    </w:p>
    <w:p w14:paraId="2CBB6D19" w14:textId="6344B228" w:rsidR="005A0CC2"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 (2) of the EIR Recast allows for the opening of one or more secondary proceedings against the debtor in any Member State where the debtor has an establishment.    Secondary proceedings are restricted </w:t>
      </w:r>
      <w:r w:rsidR="00BF7B97">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Member States in which the debtor has assets.  We have been provided with information that confirms that the debtor PAJ holds assets such as a warehouse, leases and a bank account in Spain on the face of it therefore the Spanish bank will be able to open secondary proceedings in Spain.</w:t>
      </w:r>
    </w:p>
    <w:p w14:paraId="6DD2FF41" w14:textId="52975B0C" w:rsidR="005A0CC2" w:rsidRDefault="005A0CC2" w:rsidP="002A37BB">
      <w:pPr>
        <w:jc w:val="both"/>
        <w:rPr>
          <w:rFonts w:ascii="Arial" w:hAnsi="Arial" w:cs="Arial"/>
          <w:color w:val="7B7B7B" w:themeColor="accent3" w:themeShade="BF"/>
          <w:sz w:val="22"/>
          <w:szCs w:val="22"/>
          <w:lang w:val="en-GB"/>
        </w:rPr>
      </w:pPr>
    </w:p>
    <w:p w14:paraId="3623483E" w14:textId="77777777" w:rsidR="00BF7B97" w:rsidRDefault="005A0CC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establishment in Article 2 (10) of the EIR Recast should be noted</w:t>
      </w:r>
      <w:r w:rsidR="00C84E40">
        <w:rPr>
          <w:rFonts w:ascii="Arial" w:hAnsi="Arial" w:cs="Arial"/>
          <w:color w:val="7B7B7B" w:themeColor="accent3" w:themeShade="BF"/>
          <w:sz w:val="22"/>
          <w:szCs w:val="22"/>
          <w:lang w:val="en-GB"/>
        </w:rPr>
        <w:t xml:space="preserve"> as this is important as mentioned above in the opening of secondary proceedings.  Establishment means “any place of operations where a debtor carries out or has carried out in the three-months period prior to the request to open main proceedings a non -transitory economic activity with human means and assets”.  </w:t>
      </w:r>
    </w:p>
    <w:p w14:paraId="7E376189" w14:textId="77777777" w:rsidR="00BF7B97" w:rsidRDefault="00BF7B97" w:rsidP="002A37BB">
      <w:pPr>
        <w:jc w:val="both"/>
        <w:rPr>
          <w:rFonts w:ascii="Arial" w:hAnsi="Arial" w:cs="Arial"/>
          <w:color w:val="7B7B7B" w:themeColor="accent3" w:themeShade="BF"/>
          <w:sz w:val="22"/>
          <w:szCs w:val="22"/>
          <w:lang w:val="en-GB"/>
        </w:rPr>
      </w:pPr>
    </w:p>
    <w:p w14:paraId="795E5549" w14:textId="5BE4D106" w:rsidR="00B747A0" w:rsidRDefault="00C84E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we have been given, it seems as if the debtor’s activities in Spain ha</w:t>
      </w:r>
      <w:r w:rsidR="00BF7B97">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some degree of continuity and stability, this is not just a purely occasional place of operations.  There is no requirement for any official form such as a branch office or representative office.  In the case of Brugo Group SpA v Illochroma SA ECLI:EU:C:2014:2158 the EJEU decided that there main proceedings have been opened in a Member State other than that of it’s registered office.  It should be possible to open secondary insolvency proceedings in the Member State of its registered office.  This is not the case in this Question 4.3 as the main proceedings are likely to be opened in France where the COMI is located.</w:t>
      </w:r>
      <w:r w:rsidR="00B747A0">
        <w:rPr>
          <w:rFonts w:ascii="Arial" w:hAnsi="Arial" w:cs="Arial"/>
          <w:color w:val="7B7B7B" w:themeColor="accent3" w:themeShade="BF"/>
          <w:sz w:val="22"/>
          <w:szCs w:val="22"/>
          <w:lang w:val="en-GB"/>
        </w:rPr>
        <w:t xml:space="preserve">  </w:t>
      </w:r>
    </w:p>
    <w:p w14:paraId="13B04B06" w14:textId="6D3AD355" w:rsidR="00B747A0" w:rsidRDefault="00B747A0" w:rsidP="002A37BB">
      <w:pPr>
        <w:jc w:val="both"/>
        <w:rPr>
          <w:rFonts w:ascii="Arial" w:hAnsi="Arial" w:cs="Arial"/>
          <w:color w:val="7B7B7B" w:themeColor="accent3" w:themeShade="BF"/>
          <w:sz w:val="22"/>
          <w:szCs w:val="22"/>
          <w:lang w:val="en-GB"/>
        </w:rPr>
      </w:pPr>
    </w:p>
    <w:p w14:paraId="04CA5FE4" w14:textId="7433B854" w:rsidR="00B747A0" w:rsidRDefault="00B747A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the EIR Recast will only be applicable if such secondary proceedings commence after the 26</w:t>
      </w:r>
      <w:r w:rsidRPr="00B747A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of June 2017.    Article 7 of the EIR Recast sets the general rule the applicable law to such secondary insolvency proceedings and their effect will be that of where the proceedings are opened.  In this case the applicable law will be that of Spain where secondary proceedings are opened.  </w:t>
      </w:r>
    </w:p>
    <w:p w14:paraId="7F3376F5" w14:textId="74678C5D" w:rsidR="00B747A0" w:rsidRDefault="00B747A0" w:rsidP="002A37BB">
      <w:pPr>
        <w:jc w:val="both"/>
        <w:rPr>
          <w:rFonts w:ascii="Arial" w:hAnsi="Arial" w:cs="Arial"/>
          <w:color w:val="7B7B7B" w:themeColor="accent3" w:themeShade="BF"/>
          <w:sz w:val="22"/>
          <w:szCs w:val="22"/>
          <w:lang w:val="en-GB"/>
        </w:rPr>
      </w:pPr>
    </w:p>
    <w:p w14:paraId="4380B343" w14:textId="235C6B8B" w:rsidR="00B747A0" w:rsidRPr="008500BD" w:rsidRDefault="00B747A0"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The Spanish bank will therefore be able to successfully open secondary proceedings in Spain thereby taking advantage of the Spanish distribution ranking provided an undertaken is not successful applied for by the insolvency practitioner in France.</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00D3" w14:textId="77777777" w:rsidR="00A01B82" w:rsidRDefault="00A01B82" w:rsidP="00241B44">
      <w:r>
        <w:separator/>
      </w:r>
    </w:p>
  </w:endnote>
  <w:endnote w:type="continuationSeparator" w:id="0">
    <w:p w14:paraId="6AE25CEB" w14:textId="77777777" w:rsidR="00A01B82" w:rsidRDefault="00A01B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17045A">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0C327925" w:rsidR="00241FA3" w:rsidRPr="009B4976" w:rsidRDefault="00AC6537" w:rsidP="009B4976">
    <w:pPr>
      <w:pStyle w:val="Footer"/>
      <w:ind w:right="360"/>
      <w:rPr>
        <w:rFonts w:ascii="Arial" w:hAnsi="Arial" w:cs="Arial"/>
        <w:sz w:val="18"/>
        <w:szCs w:val="18"/>
        <w:lang w:val="en-GB"/>
      </w:rPr>
    </w:pPr>
    <w:r>
      <w:rPr>
        <w:rFonts w:ascii="Arial" w:hAnsi="Arial" w:cs="Arial"/>
        <w:sz w:val="18"/>
        <w:szCs w:val="18"/>
        <w:lang w:val="en-GB"/>
      </w:rPr>
      <w:t>202021IFU - 274</w:t>
    </w:r>
    <w:bookmarkStart w:id="1" w:name="_GoBack"/>
    <w:bookmarkEnd w:id="1"/>
    <w:r w:rsidR="0073158B"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7321" w14:textId="77777777" w:rsidR="00AC6537" w:rsidRDefault="00AC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AF9D" w14:textId="77777777" w:rsidR="00A01B82" w:rsidRDefault="00A01B82" w:rsidP="00241B44">
      <w:r>
        <w:separator/>
      </w:r>
    </w:p>
  </w:footnote>
  <w:footnote w:type="continuationSeparator" w:id="0">
    <w:p w14:paraId="057ECA03" w14:textId="77777777" w:rsidR="00A01B82" w:rsidRDefault="00A01B8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C585" w14:textId="77777777" w:rsidR="00AC6537" w:rsidRDefault="00AC6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2D5D" w14:textId="77777777" w:rsidR="00AC6537" w:rsidRDefault="00AC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6851" w14:textId="77777777" w:rsidR="00AC6537" w:rsidRDefault="00AC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5C1"/>
    <w:multiLevelType w:val="hybridMultilevel"/>
    <w:tmpl w:val="5B765B8C"/>
    <w:lvl w:ilvl="0" w:tplc="6FACA6E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12CD2"/>
    <w:multiLevelType w:val="hybridMultilevel"/>
    <w:tmpl w:val="307C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37FC"/>
    <w:multiLevelType w:val="hybridMultilevel"/>
    <w:tmpl w:val="D1F07ECE"/>
    <w:lvl w:ilvl="0" w:tplc="AA946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A6720"/>
    <w:multiLevelType w:val="hybridMultilevel"/>
    <w:tmpl w:val="86DE7F5E"/>
    <w:lvl w:ilvl="0" w:tplc="0B5AB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0C9405C"/>
    <w:multiLevelType w:val="hybridMultilevel"/>
    <w:tmpl w:val="7C16B4C2"/>
    <w:lvl w:ilvl="0" w:tplc="A1C23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32322B5"/>
    <w:multiLevelType w:val="hybridMultilevel"/>
    <w:tmpl w:val="EB2230D8"/>
    <w:lvl w:ilvl="0" w:tplc="44863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AA66A6"/>
    <w:multiLevelType w:val="hybridMultilevel"/>
    <w:tmpl w:val="D716EE5C"/>
    <w:lvl w:ilvl="0" w:tplc="FD56605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0473D8D"/>
    <w:multiLevelType w:val="hybridMultilevel"/>
    <w:tmpl w:val="D842F1CA"/>
    <w:lvl w:ilvl="0" w:tplc="742AE3DA">
      <w:start w:val="1"/>
      <w:numFmt w:val="bullet"/>
      <w:lvlText w:val="-"/>
      <w:lvlJc w:val="left"/>
      <w:pPr>
        <w:ind w:left="4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E7B4164"/>
    <w:multiLevelType w:val="hybridMultilevel"/>
    <w:tmpl w:val="C14AE8B0"/>
    <w:lvl w:ilvl="0" w:tplc="5778F5F0">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65D1B1A"/>
    <w:multiLevelType w:val="hybridMultilevel"/>
    <w:tmpl w:val="E5CC4056"/>
    <w:lvl w:ilvl="0" w:tplc="720A7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F20A1"/>
    <w:multiLevelType w:val="hybridMultilevel"/>
    <w:tmpl w:val="4A667DE6"/>
    <w:lvl w:ilvl="0" w:tplc="8B20E6C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9"/>
  </w:num>
  <w:num w:numId="5">
    <w:abstractNumId w:val="13"/>
  </w:num>
  <w:num w:numId="6">
    <w:abstractNumId w:val="16"/>
  </w:num>
  <w:num w:numId="7">
    <w:abstractNumId w:val="4"/>
  </w:num>
  <w:num w:numId="8">
    <w:abstractNumId w:val="10"/>
  </w:num>
  <w:num w:numId="9">
    <w:abstractNumId w:val="9"/>
  </w:num>
  <w:num w:numId="10">
    <w:abstractNumId w:val="6"/>
  </w:num>
  <w:num w:numId="11">
    <w:abstractNumId w:val="12"/>
  </w:num>
  <w:num w:numId="12">
    <w:abstractNumId w:val="18"/>
  </w:num>
  <w:num w:numId="13">
    <w:abstractNumId w:val="7"/>
  </w:num>
  <w:num w:numId="14">
    <w:abstractNumId w:val="17"/>
  </w:num>
  <w:num w:numId="15">
    <w:abstractNumId w:val="20"/>
  </w:num>
  <w:num w:numId="16">
    <w:abstractNumId w:val="21"/>
  </w:num>
  <w:num w:numId="17">
    <w:abstractNumId w:val="2"/>
  </w:num>
  <w:num w:numId="18">
    <w:abstractNumId w:val="1"/>
  </w:num>
  <w:num w:numId="19">
    <w:abstractNumId w:val="15"/>
  </w:num>
  <w:num w:numId="20">
    <w:abstractNumId w:val="11"/>
  </w:num>
  <w:num w:numId="21">
    <w:abstractNumId w:val="0"/>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C85"/>
    <w:rsid w:val="00123855"/>
    <w:rsid w:val="00126A4D"/>
    <w:rsid w:val="0014171F"/>
    <w:rsid w:val="0014622C"/>
    <w:rsid w:val="00152348"/>
    <w:rsid w:val="0015456D"/>
    <w:rsid w:val="00155FA2"/>
    <w:rsid w:val="00161F1B"/>
    <w:rsid w:val="00162829"/>
    <w:rsid w:val="0017045A"/>
    <w:rsid w:val="00174DC4"/>
    <w:rsid w:val="00175A7D"/>
    <w:rsid w:val="00180548"/>
    <w:rsid w:val="00180AC4"/>
    <w:rsid w:val="00180CCE"/>
    <w:rsid w:val="0018267A"/>
    <w:rsid w:val="00182779"/>
    <w:rsid w:val="001830DF"/>
    <w:rsid w:val="00187A34"/>
    <w:rsid w:val="00191595"/>
    <w:rsid w:val="001966D9"/>
    <w:rsid w:val="001A4BC2"/>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46FB"/>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3F3728"/>
    <w:rsid w:val="00404329"/>
    <w:rsid w:val="00405DC1"/>
    <w:rsid w:val="00415F1F"/>
    <w:rsid w:val="0042108F"/>
    <w:rsid w:val="00430FED"/>
    <w:rsid w:val="0043253E"/>
    <w:rsid w:val="00434A8C"/>
    <w:rsid w:val="00437297"/>
    <w:rsid w:val="00444284"/>
    <w:rsid w:val="00445CE6"/>
    <w:rsid w:val="004534C2"/>
    <w:rsid w:val="0045446F"/>
    <w:rsid w:val="0045683E"/>
    <w:rsid w:val="00465BFF"/>
    <w:rsid w:val="00477C72"/>
    <w:rsid w:val="00491675"/>
    <w:rsid w:val="00493855"/>
    <w:rsid w:val="00495E79"/>
    <w:rsid w:val="004A0692"/>
    <w:rsid w:val="004A4ACA"/>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53F11"/>
    <w:rsid w:val="00560534"/>
    <w:rsid w:val="0056391B"/>
    <w:rsid w:val="005650E2"/>
    <w:rsid w:val="00567AD7"/>
    <w:rsid w:val="00575B2D"/>
    <w:rsid w:val="005833D0"/>
    <w:rsid w:val="005846F3"/>
    <w:rsid w:val="0058622F"/>
    <w:rsid w:val="00592F82"/>
    <w:rsid w:val="005A0CC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420C2"/>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44CD0"/>
    <w:rsid w:val="007603F5"/>
    <w:rsid w:val="00764DB0"/>
    <w:rsid w:val="0076764D"/>
    <w:rsid w:val="0077498C"/>
    <w:rsid w:val="007809BC"/>
    <w:rsid w:val="00782EE1"/>
    <w:rsid w:val="00784128"/>
    <w:rsid w:val="00793173"/>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6094"/>
    <w:rsid w:val="008279C0"/>
    <w:rsid w:val="00841051"/>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E0E91"/>
    <w:rsid w:val="008E0EC8"/>
    <w:rsid w:val="008E3339"/>
    <w:rsid w:val="008F20FC"/>
    <w:rsid w:val="008F5FFE"/>
    <w:rsid w:val="00905A43"/>
    <w:rsid w:val="00912C79"/>
    <w:rsid w:val="00914A23"/>
    <w:rsid w:val="00933A5C"/>
    <w:rsid w:val="00942123"/>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1B82"/>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6489"/>
    <w:rsid w:val="00AB685C"/>
    <w:rsid w:val="00AB6C2D"/>
    <w:rsid w:val="00AC08F7"/>
    <w:rsid w:val="00AC3839"/>
    <w:rsid w:val="00AC6537"/>
    <w:rsid w:val="00AC7082"/>
    <w:rsid w:val="00AD2931"/>
    <w:rsid w:val="00AD513F"/>
    <w:rsid w:val="00AE2316"/>
    <w:rsid w:val="00AE74BA"/>
    <w:rsid w:val="00AF228E"/>
    <w:rsid w:val="00B016A8"/>
    <w:rsid w:val="00B14819"/>
    <w:rsid w:val="00B15E2F"/>
    <w:rsid w:val="00B17AA9"/>
    <w:rsid w:val="00B30D9A"/>
    <w:rsid w:val="00B44713"/>
    <w:rsid w:val="00B56103"/>
    <w:rsid w:val="00B64929"/>
    <w:rsid w:val="00B6758A"/>
    <w:rsid w:val="00B736DF"/>
    <w:rsid w:val="00B743D6"/>
    <w:rsid w:val="00B747A0"/>
    <w:rsid w:val="00B74FBD"/>
    <w:rsid w:val="00B77F46"/>
    <w:rsid w:val="00B82586"/>
    <w:rsid w:val="00B829A3"/>
    <w:rsid w:val="00B86DB1"/>
    <w:rsid w:val="00B87869"/>
    <w:rsid w:val="00B96CE3"/>
    <w:rsid w:val="00BB0F2B"/>
    <w:rsid w:val="00BB38D1"/>
    <w:rsid w:val="00BE4FF3"/>
    <w:rsid w:val="00BF50F7"/>
    <w:rsid w:val="00BF7B97"/>
    <w:rsid w:val="00C02F29"/>
    <w:rsid w:val="00C20AFE"/>
    <w:rsid w:val="00C22A25"/>
    <w:rsid w:val="00C35671"/>
    <w:rsid w:val="00C35B77"/>
    <w:rsid w:val="00C376EB"/>
    <w:rsid w:val="00C435D0"/>
    <w:rsid w:val="00C46A92"/>
    <w:rsid w:val="00C46EC1"/>
    <w:rsid w:val="00C52796"/>
    <w:rsid w:val="00C53E2C"/>
    <w:rsid w:val="00C550C8"/>
    <w:rsid w:val="00C55F10"/>
    <w:rsid w:val="00C56B61"/>
    <w:rsid w:val="00C606C3"/>
    <w:rsid w:val="00C620F4"/>
    <w:rsid w:val="00C63E03"/>
    <w:rsid w:val="00C72848"/>
    <w:rsid w:val="00C7729F"/>
    <w:rsid w:val="00C7736C"/>
    <w:rsid w:val="00C82D87"/>
    <w:rsid w:val="00C84E40"/>
    <w:rsid w:val="00C8712A"/>
    <w:rsid w:val="00C945F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26236"/>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0D6D"/>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C94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6B58-6991-CB49-B230-B59F006B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Henrietta Cole</cp:lastModifiedBy>
  <cp:revision>3</cp:revision>
  <cp:lastPrinted>2019-08-27T05:42:00Z</cp:lastPrinted>
  <dcterms:created xsi:type="dcterms:W3CDTF">2021-07-31T20:27:00Z</dcterms:created>
  <dcterms:modified xsi:type="dcterms:W3CDTF">2021-07-31T20:28:00Z</dcterms:modified>
</cp:coreProperties>
</file>