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B825" w14:textId="77777777" w:rsidR="004B23A2" w:rsidRDefault="00437297" w:rsidP="0040057A">
      <w:pPr>
        <w:jc w:val="both"/>
        <w:rPr>
          <w:rFonts w:ascii="Arial" w:hAnsi="Arial" w:cs="Arial"/>
          <w:b/>
          <w:sz w:val="22"/>
          <w:szCs w:val="22"/>
          <w:lang w:val="en-GB"/>
        </w:rPr>
      </w:pPr>
      <w:r>
        <w:rPr>
          <w:rFonts w:ascii="Arial" w:hAnsi="Arial" w:cs="Arial"/>
          <w:b/>
          <w:noProof/>
          <w:sz w:val="22"/>
          <w:szCs w:val="22"/>
          <w:lang w:val="en-GB" w:eastAsia="en-GB"/>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40057A">
      <w:pPr>
        <w:jc w:val="both"/>
        <w:rPr>
          <w:rFonts w:ascii="Arial" w:hAnsi="Arial" w:cs="Arial"/>
          <w:b/>
          <w:sz w:val="22"/>
          <w:szCs w:val="22"/>
          <w:lang w:val="en-GB"/>
        </w:rPr>
      </w:pPr>
    </w:p>
    <w:p w14:paraId="0B9FD485" w14:textId="77777777" w:rsidR="00397D3A" w:rsidRDefault="00397D3A" w:rsidP="0040057A">
      <w:pPr>
        <w:jc w:val="both"/>
        <w:rPr>
          <w:rFonts w:ascii="Arial" w:hAnsi="Arial" w:cs="Arial"/>
          <w:b/>
          <w:sz w:val="22"/>
          <w:szCs w:val="22"/>
          <w:lang w:val="en-GB"/>
        </w:rPr>
      </w:pPr>
    </w:p>
    <w:p w14:paraId="0DA8B083" w14:textId="77777777" w:rsidR="00437297" w:rsidRDefault="00437297" w:rsidP="0040057A">
      <w:pPr>
        <w:jc w:val="both"/>
        <w:rPr>
          <w:rFonts w:ascii="Arial" w:hAnsi="Arial" w:cs="Arial"/>
          <w:b/>
          <w:sz w:val="22"/>
          <w:szCs w:val="22"/>
          <w:lang w:val="en-GB"/>
        </w:rPr>
      </w:pPr>
    </w:p>
    <w:p w14:paraId="1B883BED" w14:textId="77777777" w:rsidR="00437297" w:rsidRDefault="00437297" w:rsidP="0040057A">
      <w:pPr>
        <w:jc w:val="both"/>
        <w:rPr>
          <w:rFonts w:ascii="Arial" w:hAnsi="Arial" w:cs="Arial"/>
          <w:b/>
          <w:sz w:val="22"/>
          <w:szCs w:val="22"/>
          <w:lang w:val="en-GB"/>
        </w:rPr>
      </w:pPr>
    </w:p>
    <w:p w14:paraId="546FBEA0" w14:textId="77777777" w:rsidR="00397D3A" w:rsidRDefault="00397D3A" w:rsidP="0040057A">
      <w:pPr>
        <w:jc w:val="both"/>
        <w:rPr>
          <w:rFonts w:ascii="Arial" w:hAnsi="Arial" w:cs="Arial"/>
          <w:b/>
          <w:sz w:val="22"/>
          <w:szCs w:val="22"/>
          <w:lang w:val="en-GB"/>
        </w:rPr>
      </w:pPr>
    </w:p>
    <w:p w14:paraId="5DF0DD8F" w14:textId="77777777" w:rsidR="00397D3A" w:rsidRDefault="00397D3A" w:rsidP="0040057A">
      <w:pPr>
        <w:jc w:val="both"/>
        <w:rPr>
          <w:rFonts w:ascii="Arial" w:hAnsi="Arial" w:cs="Arial"/>
          <w:b/>
          <w:sz w:val="22"/>
          <w:szCs w:val="22"/>
          <w:lang w:val="en-GB"/>
        </w:rPr>
      </w:pPr>
    </w:p>
    <w:p w14:paraId="7C70A431" w14:textId="77777777" w:rsidR="00E93993" w:rsidRDefault="00E93993" w:rsidP="0040057A">
      <w:pPr>
        <w:jc w:val="both"/>
        <w:rPr>
          <w:rFonts w:ascii="Arial" w:hAnsi="Arial" w:cs="Arial"/>
          <w:b/>
          <w:sz w:val="22"/>
          <w:szCs w:val="22"/>
          <w:lang w:val="en-GB"/>
        </w:rPr>
      </w:pPr>
    </w:p>
    <w:p w14:paraId="0857E590" w14:textId="77777777" w:rsidR="00434A8C" w:rsidRDefault="00434A8C" w:rsidP="0040057A">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4472C4" w:themeColor="accent1"/>
          <w:sz w:val="22"/>
          <w:szCs w:val="22"/>
          <w:lang w:val="en-GB"/>
        </w:rPr>
      </w:pPr>
    </w:p>
    <w:p w14:paraId="2F0E7F3C" w14:textId="348B53C6" w:rsidR="0011473D" w:rsidRDefault="00C56B61" w:rsidP="0040057A">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40057A">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000000" w:themeColor="text1"/>
          <w:sz w:val="28"/>
          <w:szCs w:val="28"/>
          <w:lang w:val="en-GB"/>
        </w:rPr>
      </w:pPr>
    </w:p>
    <w:p w14:paraId="13BC1813" w14:textId="608D750E" w:rsidR="002638B0" w:rsidRPr="006B503E" w:rsidRDefault="009164DD" w:rsidP="0040057A">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40057A">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4472C4" w:themeColor="accent1"/>
          <w:sz w:val="22"/>
          <w:szCs w:val="22"/>
          <w:lang w:val="en-GB"/>
        </w:rPr>
      </w:pPr>
    </w:p>
    <w:p w14:paraId="06068B59" w14:textId="77777777" w:rsidR="009D0811" w:rsidRDefault="009D0811" w:rsidP="0040057A">
      <w:pPr>
        <w:jc w:val="both"/>
        <w:rPr>
          <w:rFonts w:ascii="Arial" w:hAnsi="Arial" w:cs="Arial"/>
          <w:b/>
          <w:sz w:val="22"/>
          <w:szCs w:val="22"/>
          <w:lang w:val="en-GB"/>
        </w:rPr>
      </w:pPr>
    </w:p>
    <w:p w14:paraId="441C99F7" w14:textId="77777777" w:rsidR="00E93993" w:rsidRDefault="00E93993" w:rsidP="0040057A">
      <w:pPr>
        <w:jc w:val="both"/>
        <w:rPr>
          <w:rFonts w:ascii="Arial" w:hAnsi="Arial" w:cs="Arial"/>
          <w:b/>
          <w:sz w:val="22"/>
          <w:szCs w:val="22"/>
          <w:lang w:val="en-GB"/>
        </w:rPr>
      </w:pPr>
    </w:p>
    <w:p w14:paraId="184B8142" w14:textId="77777777" w:rsidR="00397D3A" w:rsidRDefault="00397D3A" w:rsidP="0040057A">
      <w:pPr>
        <w:jc w:val="both"/>
        <w:rPr>
          <w:rFonts w:ascii="Arial" w:hAnsi="Arial" w:cs="Arial"/>
          <w:b/>
          <w:sz w:val="22"/>
          <w:szCs w:val="22"/>
          <w:lang w:val="en-GB"/>
        </w:rPr>
      </w:pPr>
    </w:p>
    <w:p w14:paraId="23AA835D" w14:textId="77777777" w:rsidR="00397D3A" w:rsidRDefault="00397D3A" w:rsidP="0040057A">
      <w:pPr>
        <w:jc w:val="both"/>
        <w:rPr>
          <w:rFonts w:ascii="Arial" w:hAnsi="Arial" w:cs="Arial"/>
          <w:b/>
          <w:sz w:val="22"/>
          <w:szCs w:val="22"/>
          <w:lang w:val="en-GB"/>
        </w:rPr>
      </w:pPr>
    </w:p>
    <w:p w14:paraId="5F7E5E13" w14:textId="77777777" w:rsidR="00437297" w:rsidRDefault="00437297" w:rsidP="0040057A">
      <w:pPr>
        <w:jc w:val="both"/>
        <w:rPr>
          <w:rFonts w:ascii="Arial" w:hAnsi="Arial" w:cs="Arial"/>
          <w:b/>
          <w:sz w:val="22"/>
          <w:szCs w:val="22"/>
          <w:lang w:val="en-GB"/>
        </w:rPr>
      </w:pPr>
    </w:p>
    <w:p w14:paraId="0DEBF033" w14:textId="77777777" w:rsidR="00397D3A" w:rsidRDefault="00397D3A" w:rsidP="0040057A">
      <w:pPr>
        <w:jc w:val="both"/>
        <w:rPr>
          <w:rFonts w:ascii="Arial" w:hAnsi="Arial" w:cs="Arial"/>
          <w:b/>
          <w:sz w:val="22"/>
          <w:szCs w:val="22"/>
          <w:lang w:val="en-GB"/>
        </w:rPr>
      </w:pPr>
    </w:p>
    <w:p w14:paraId="2F6A7A38" w14:textId="77777777" w:rsidR="00397D3A" w:rsidRDefault="00397D3A" w:rsidP="0040057A">
      <w:pPr>
        <w:jc w:val="both"/>
        <w:rPr>
          <w:rFonts w:ascii="Arial" w:hAnsi="Arial" w:cs="Arial"/>
          <w:b/>
          <w:sz w:val="22"/>
          <w:szCs w:val="22"/>
          <w:lang w:val="en-GB"/>
        </w:rPr>
      </w:pPr>
    </w:p>
    <w:p w14:paraId="22DF77D5" w14:textId="77777777" w:rsidR="00DB56F2" w:rsidRDefault="00DB56F2" w:rsidP="0040057A">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40057A">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40057A">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40057A">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40057A">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40057A">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40057A">
      <w:pPr>
        <w:jc w:val="both"/>
        <w:rPr>
          <w:rFonts w:ascii="Arial" w:hAnsi="Arial" w:cs="Arial"/>
          <w:b/>
          <w:sz w:val="22"/>
          <w:szCs w:val="22"/>
          <w:lang w:val="en-GB"/>
        </w:rPr>
      </w:pPr>
    </w:p>
    <w:p w14:paraId="075EFA42" w14:textId="77777777" w:rsidR="00DB56F2" w:rsidRDefault="00DB56F2" w:rsidP="0040057A">
      <w:pPr>
        <w:jc w:val="both"/>
        <w:rPr>
          <w:rFonts w:ascii="Arial" w:hAnsi="Arial" w:cs="Arial"/>
          <w:b/>
          <w:sz w:val="22"/>
          <w:szCs w:val="22"/>
          <w:lang w:val="en-GB"/>
        </w:rPr>
      </w:pPr>
    </w:p>
    <w:p w14:paraId="61B35DB0" w14:textId="77777777" w:rsidR="00397D3A" w:rsidRDefault="00397D3A" w:rsidP="0040057A">
      <w:pPr>
        <w:jc w:val="both"/>
        <w:rPr>
          <w:rFonts w:ascii="Arial" w:hAnsi="Arial" w:cs="Arial"/>
          <w:b/>
          <w:sz w:val="22"/>
          <w:szCs w:val="22"/>
          <w:lang w:val="en-GB"/>
        </w:rPr>
      </w:pPr>
    </w:p>
    <w:p w14:paraId="391E0D1E" w14:textId="77777777" w:rsidR="00397D3A" w:rsidRDefault="00397D3A" w:rsidP="0040057A">
      <w:pPr>
        <w:jc w:val="both"/>
        <w:rPr>
          <w:rFonts w:ascii="Arial" w:hAnsi="Arial" w:cs="Arial"/>
          <w:b/>
          <w:sz w:val="22"/>
          <w:szCs w:val="22"/>
          <w:lang w:val="en-GB"/>
        </w:rPr>
      </w:pPr>
    </w:p>
    <w:p w14:paraId="50EA0C1E" w14:textId="77777777" w:rsidR="00397D3A" w:rsidRDefault="00397D3A" w:rsidP="0040057A">
      <w:pPr>
        <w:jc w:val="both"/>
        <w:rPr>
          <w:rFonts w:ascii="Arial" w:hAnsi="Arial" w:cs="Arial"/>
          <w:b/>
          <w:sz w:val="22"/>
          <w:szCs w:val="22"/>
          <w:lang w:val="en-GB"/>
        </w:rPr>
      </w:pPr>
    </w:p>
    <w:p w14:paraId="3DDFBB08" w14:textId="77777777" w:rsidR="00397D3A" w:rsidRDefault="00397D3A" w:rsidP="0040057A">
      <w:pPr>
        <w:jc w:val="both"/>
        <w:rPr>
          <w:rFonts w:ascii="Arial" w:hAnsi="Arial" w:cs="Arial"/>
          <w:b/>
          <w:sz w:val="22"/>
          <w:szCs w:val="22"/>
          <w:lang w:val="en-GB"/>
        </w:rPr>
      </w:pPr>
    </w:p>
    <w:p w14:paraId="4B16FD78" w14:textId="77777777" w:rsidR="00397D3A" w:rsidRDefault="00397D3A" w:rsidP="0040057A">
      <w:pPr>
        <w:jc w:val="both"/>
        <w:rPr>
          <w:rFonts w:ascii="Arial" w:hAnsi="Arial" w:cs="Arial"/>
          <w:b/>
          <w:sz w:val="22"/>
          <w:szCs w:val="22"/>
          <w:lang w:val="en-GB"/>
        </w:rPr>
      </w:pPr>
    </w:p>
    <w:p w14:paraId="4C06BD15" w14:textId="77777777" w:rsidR="00397D3A" w:rsidRDefault="00397D3A" w:rsidP="0040057A">
      <w:pPr>
        <w:jc w:val="both"/>
        <w:rPr>
          <w:rFonts w:ascii="Arial" w:hAnsi="Arial" w:cs="Arial"/>
          <w:b/>
          <w:sz w:val="22"/>
          <w:szCs w:val="22"/>
          <w:lang w:val="en-GB"/>
        </w:rPr>
      </w:pPr>
    </w:p>
    <w:p w14:paraId="3990BC53" w14:textId="77777777" w:rsidR="00397D3A" w:rsidRDefault="00397D3A" w:rsidP="0040057A">
      <w:pPr>
        <w:jc w:val="both"/>
        <w:rPr>
          <w:rFonts w:ascii="Arial" w:hAnsi="Arial" w:cs="Arial"/>
          <w:b/>
          <w:sz w:val="22"/>
          <w:szCs w:val="22"/>
          <w:lang w:val="en-GB"/>
        </w:rPr>
      </w:pPr>
    </w:p>
    <w:p w14:paraId="00959300" w14:textId="77777777" w:rsidR="00136839" w:rsidRDefault="00136839" w:rsidP="0040057A">
      <w:pPr>
        <w:jc w:val="both"/>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40057A">
      <w:pPr>
        <w:jc w:val="both"/>
        <w:rPr>
          <w:rFonts w:ascii="Arial" w:hAnsi="Arial" w:cs="Arial"/>
          <w:b/>
          <w:sz w:val="22"/>
          <w:szCs w:val="22"/>
          <w:u w:val="single"/>
          <w:lang w:val="en-GB"/>
        </w:rPr>
      </w:pPr>
    </w:p>
    <w:p w14:paraId="11D8A231" w14:textId="77777777" w:rsidR="00640623" w:rsidRDefault="00640623" w:rsidP="0040057A">
      <w:pPr>
        <w:jc w:val="both"/>
        <w:rPr>
          <w:rFonts w:ascii="Arial" w:hAnsi="Arial" w:cs="Arial"/>
          <w:b/>
          <w:sz w:val="22"/>
          <w:szCs w:val="22"/>
          <w:u w:val="single"/>
          <w:lang w:val="en-GB"/>
        </w:rPr>
      </w:pPr>
    </w:p>
    <w:p w14:paraId="01C4586C" w14:textId="77777777" w:rsidR="004402DC" w:rsidRDefault="004402DC" w:rsidP="0040057A">
      <w:pPr>
        <w:jc w:val="both"/>
        <w:rPr>
          <w:rFonts w:ascii="Arial" w:hAnsi="Arial" w:cs="Arial"/>
          <w:b/>
          <w:sz w:val="22"/>
          <w:szCs w:val="22"/>
          <w:u w:val="single"/>
          <w:lang w:val="en-GB"/>
        </w:rPr>
      </w:pPr>
    </w:p>
    <w:p w14:paraId="7CA92CEB" w14:textId="77777777" w:rsidR="00510995" w:rsidRPr="00592F82" w:rsidRDefault="00510995" w:rsidP="0040057A">
      <w:pPr>
        <w:jc w:val="both"/>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40057A">
      <w:pPr>
        <w:jc w:val="both"/>
        <w:rPr>
          <w:rFonts w:ascii="Arial" w:hAnsi="Arial" w:cs="Arial"/>
          <w:sz w:val="22"/>
          <w:szCs w:val="22"/>
          <w:lang w:val="en-GB"/>
        </w:rPr>
      </w:pPr>
    </w:p>
    <w:p w14:paraId="3C5754A3" w14:textId="77777777" w:rsidR="00510995" w:rsidRDefault="00510995" w:rsidP="0040057A">
      <w:pPr>
        <w:jc w:val="both"/>
        <w:rPr>
          <w:rFonts w:ascii="Arial" w:hAnsi="Arial" w:cs="Arial"/>
          <w:b/>
          <w:sz w:val="22"/>
          <w:szCs w:val="22"/>
          <w:lang w:val="en-GB"/>
        </w:rPr>
      </w:pPr>
    </w:p>
    <w:p w14:paraId="7D56CDAD" w14:textId="77777777" w:rsidR="00510995" w:rsidRPr="001E23FD" w:rsidRDefault="00510995" w:rsidP="0040057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40057A">
      <w:pPr>
        <w:jc w:val="both"/>
        <w:rPr>
          <w:rFonts w:ascii="Arial" w:hAnsi="Arial" w:cs="Arial"/>
          <w:b/>
          <w:sz w:val="22"/>
          <w:szCs w:val="22"/>
          <w:lang w:val="en-GB"/>
        </w:rPr>
      </w:pPr>
    </w:p>
    <w:p w14:paraId="2DAD9767" w14:textId="77777777" w:rsidR="00510995" w:rsidRPr="001E23FD" w:rsidRDefault="00510995" w:rsidP="0040057A">
      <w:pPr>
        <w:jc w:val="both"/>
        <w:rPr>
          <w:rFonts w:ascii="Arial" w:hAnsi="Arial" w:cs="Arial"/>
          <w:sz w:val="22"/>
          <w:szCs w:val="22"/>
          <w:lang w:val="en-GB"/>
        </w:rPr>
      </w:pPr>
    </w:p>
    <w:p w14:paraId="779622FB" w14:textId="77777777" w:rsidR="00510995" w:rsidRPr="001E23FD" w:rsidRDefault="00510995" w:rsidP="0040057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40057A">
      <w:pPr>
        <w:ind w:left="720" w:hanging="720"/>
        <w:jc w:val="both"/>
        <w:rPr>
          <w:rFonts w:ascii="Arial" w:hAnsi="Arial" w:cs="Arial"/>
          <w:sz w:val="22"/>
          <w:szCs w:val="22"/>
          <w:lang w:val="en-GB"/>
        </w:rPr>
      </w:pPr>
    </w:p>
    <w:p w14:paraId="180CB6A1" w14:textId="77777777" w:rsidR="00510995" w:rsidRPr="001E23FD" w:rsidRDefault="00510995" w:rsidP="0040057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40057A">
      <w:pPr>
        <w:ind w:left="720" w:hanging="720"/>
        <w:jc w:val="both"/>
        <w:rPr>
          <w:rFonts w:ascii="Arial" w:hAnsi="Arial" w:cs="Arial"/>
          <w:sz w:val="22"/>
          <w:szCs w:val="22"/>
          <w:lang w:val="en-GB"/>
        </w:rPr>
      </w:pPr>
    </w:p>
    <w:p w14:paraId="01569334" w14:textId="77777777" w:rsidR="00510995" w:rsidRPr="001E23FD" w:rsidRDefault="00510995" w:rsidP="0040057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40057A">
      <w:pPr>
        <w:ind w:left="720" w:hanging="720"/>
        <w:jc w:val="both"/>
        <w:rPr>
          <w:rFonts w:ascii="Arial" w:hAnsi="Arial" w:cs="Arial"/>
          <w:sz w:val="22"/>
          <w:szCs w:val="22"/>
          <w:lang w:val="en-GB"/>
        </w:rPr>
      </w:pPr>
    </w:p>
    <w:p w14:paraId="1F7C4770" w14:textId="11AC3929" w:rsidR="00510995" w:rsidRPr="001E23FD" w:rsidRDefault="00510995" w:rsidP="0040057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40057A">
      <w:pPr>
        <w:ind w:left="720" w:hanging="720"/>
        <w:jc w:val="both"/>
        <w:rPr>
          <w:rFonts w:ascii="Arial" w:hAnsi="Arial" w:cs="Arial"/>
          <w:sz w:val="22"/>
          <w:szCs w:val="22"/>
          <w:lang w:val="en-GB"/>
        </w:rPr>
      </w:pPr>
    </w:p>
    <w:p w14:paraId="49A84B7A" w14:textId="77777777" w:rsidR="00510995" w:rsidRPr="001E23FD" w:rsidRDefault="00510995" w:rsidP="0040057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40057A">
      <w:pPr>
        <w:ind w:left="720" w:hanging="720"/>
        <w:jc w:val="both"/>
        <w:rPr>
          <w:rFonts w:ascii="Arial" w:hAnsi="Arial" w:cs="Arial"/>
          <w:sz w:val="22"/>
          <w:szCs w:val="22"/>
          <w:lang w:val="en-GB"/>
        </w:rPr>
      </w:pPr>
    </w:p>
    <w:p w14:paraId="20011BC6" w14:textId="0436AA6A" w:rsidR="00510995" w:rsidRPr="001E23FD" w:rsidRDefault="00510995" w:rsidP="0040057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40057A">
      <w:pPr>
        <w:ind w:left="720" w:hanging="720"/>
        <w:jc w:val="both"/>
        <w:rPr>
          <w:rFonts w:ascii="Arial" w:hAnsi="Arial" w:cs="Arial"/>
          <w:sz w:val="22"/>
          <w:szCs w:val="22"/>
          <w:lang w:val="en-GB"/>
        </w:rPr>
      </w:pPr>
    </w:p>
    <w:p w14:paraId="6E51568B" w14:textId="5BAFCEB5" w:rsidR="004A2D83" w:rsidRPr="00592F82" w:rsidRDefault="00510995" w:rsidP="0040057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40057A">
      <w:pPr>
        <w:ind w:left="720" w:hanging="720"/>
        <w:jc w:val="both"/>
        <w:rPr>
          <w:rFonts w:ascii="Arial" w:hAnsi="Arial" w:cs="Arial"/>
          <w:sz w:val="22"/>
          <w:szCs w:val="22"/>
          <w:lang w:val="en-GB"/>
        </w:rPr>
      </w:pPr>
    </w:p>
    <w:p w14:paraId="4E64244C" w14:textId="77777777" w:rsidR="00F3323E" w:rsidRPr="00592F82" w:rsidRDefault="00F3323E" w:rsidP="0040057A">
      <w:pPr>
        <w:ind w:left="720" w:hanging="720"/>
        <w:jc w:val="both"/>
        <w:rPr>
          <w:rFonts w:ascii="Arial" w:hAnsi="Arial" w:cs="Arial"/>
          <w:sz w:val="22"/>
          <w:szCs w:val="22"/>
          <w:lang w:val="en-GB"/>
        </w:rPr>
      </w:pPr>
    </w:p>
    <w:p w14:paraId="72D14EAC" w14:textId="77777777" w:rsidR="00136839" w:rsidRDefault="00136839" w:rsidP="0040057A">
      <w:pPr>
        <w:jc w:val="both"/>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40057A">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40057A">
      <w:pPr>
        <w:ind w:left="720" w:hanging="720"/>
        <w:jc w:val="both"/>
        <w:rPr>
          <w:rFonts w:ascii="Arial" w:hAnsi="Arial" w:cs="Arial"/>
          <w:sz w:val="22"/>
          <w:szCs w:val="22"/>
          <w:lang w:val="en-GB"/>
        </w:rPr>
      </w:pPr>
    </w:p>
    <w:p w14:paraId="27A9F337" w14:textId="77777777" w:rsidR="005D43E0" w:rsidRPr="00CA448F" w:rsidRDefault="0029433F" w:rsidP="0040057A">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40057A">
      <w:pPr>
        <w:ind w:left="720" w:hanging="720"/>
        <w:jc w:val="both"/>
        <w:rPr>
          <w:rFonts w:ascii="Arial" w:hAnsi="Arial" w:cs="Arial"/>
          <w:sz w:val="22"/>
          <w:szCs w:val="22"/>
          <w:lang w:val="en-GB"/>
        </w:rPr>
      </w:pPr>
    </w:p>
    <w:p w14:paraId="7CA37521" w14:textId="77777777" w:rsidR="005D43E0" w:rsidRPr="00CA448F" w:rsidRDefault="005D43E0" w:rsidP="0040057A">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40057A">
      <w:pPr>
        <w:autoSpaceDE w:val="0"/>
        <w:autoSpaceDN w:val="0"/>
        <w:adjustRightInd w:val="0"/>
        <w:jc w:val="both"/>
        <w:rPr>
          <w:rFonts w:ascii="Arial" w:hAnsi="Arial" w:cs="Arial"/>
          <w:sz w:val="22"/>
          <w:szCs w:val="22"/>
        </w:rPr>
      </w:pPr>
    </w:p>
    <w:p w14:paraId="2FE48410" w14:textId="41135781" w:rsidR="002073B6"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40057A">
      <w:pPr>
        <w:ind w:left="1440" w:hanging="1440"/>
        <w:jc w:val="both"/>
        <w:rPr>
          <w:rFonts w:ascii="Arial" w:hAnsi="Arial" w:cs="Arial"/>
          <w:sz w:val="22"/>
          <w:szCs w:val="22"/>
          <w:lang w:val="en-GB"/>
        </w:rPr>
      </w:pPr>
    </w:p>
    <w:p w14:paraId="6B27461F" w14:textId="6C4DFD13" w:rsidR="002073B6" w:rsidRPr="00CA448F" w:rsidRDefault="002073B6" w:rsidP="0040057A">
      <w:pPr>
        <w:jc w:val="both"/>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40057A">
      <w:pPr>
        <w:ind w:left="720" w:hanging="720"/>
        <w:jc w:val="both"/>
        <w:rPr>
          <w:rFonts w:ascii="Arial" w:hAnsi="Arial" w:cs="Arial"/>
          <w:sz w:val="22"/>
          <w:szCs w:val="22"/>
          <w:lang w:val="en-GB"/>
        </w:rPr>
      </w:pPr>
    </w:p>
    <w:p w14:paraId="695E6FD7" w14:textId="59CD2F03" w:rsidR="002073B6" w:rsidRDefault="002073B6" w:rsidP="0040057A">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40057A">
      <w:pPr>
        <w:jc w:val="both"/>
        <w:rPr>
          <w:rFonts w:ascii="Arial" w:hAnsi="Arial" w:cs="Arial"/>
          <w:sz w:val="22"/>
          <w:szCs w:val="22"/>
          <w:lang w:val="en-GB"/>
        </w:rPr>
      </w:pPr>
    </w:p>
    <w:p w14:paraId="72A0E1E1" w14:textId="77703B40" w:rsidR="002073B6" w:rsidRDefault="002073B6" w:rsidP="0040057A">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40057A">
      <w:pPr>
        <w:jc w:val="both"/>
        <w:rPr>
          <w:rFonts w:ascii="Arial" w:hAnsi="Arial" w:cs="Arial"/>
          <w:sz w:val="22"/>
          <w:szCs w:val="22"/>
          <w:lang w:val="en-GB"/>
        </w:rPr>
      </w:pPr>
    </w:p>
    <w:p w14:paraId="0FCF7294" w14:textId="73117167" w:rsidR="002073B6" w:rsidRDefault="002073B6" w:rsidP="0040057A">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40057A">
      <w:pPr>
        <w:jc w:val="both"/>
        <w:rPr>
          <w:rFonts w:ascii="Arial" w:hAnsi="Arial" w:cs="Arial"/>
          <w:sz w:val="22"/>
          <w:szCs w:val="22"/>
          <w:lang w:val="en-GB"/>
        </w:rPr>
      </w:pPr>
    </w:p>
    <w:p w14:paraId="45CA5D52" w14:textId="3AA7D3A8" w:rsidR="002073B6" w:rsidRPr="00F86400" w:rsidRDefault="002073B6" w:rsidP="0040057A">
      <w:pPr>
        <w:pStyle w:val="ListParagraph"/>
        <w:numPr>
          <w:ilvl w:val="0"/>
          <w:numId w:val="9"/>
        </w:numPr>
        <w:ind w:left="426" w:hanging="426"/>
        <w:jc w:val="both"/>
        <w:rPr>
          <w:rFonts w:ascii="Arial" w:hAnsi="Arial" w:cs="Arial"/>
          <w:bCs/>
          <w:sz w:val="22"/>
          <w:szCs w:val="22"/>
          <w:highlight w:val="yellow"/>
          <w:lang w:val="en-GB"/>
        </w:rPr>
      </w:pPr>
      <w:r w:rsidRPr="00F86400">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40057A">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40057A">
      <w:pPr>
        <w:ind w:left="1440" w:hanging="1440"/>
        <w:jc w:val="both"/>
        <w:rPr>
          <w:rFonts w:ascii="Arial" w:hAnsi="Arial" w:cs="Arial"/>
          <w:sz w:val="22"/>
          <w:szCs w:val="22"/>
          <w:lang w:val="en-GB"/>
        </w:rPr>
      </w:pPr>
    </w:p>
    <w:p w14:paraId="450482A6" w14:textId="4D6758B5" w:rsidR="002073B6" w:rsidRPr="00CA448F" w:rsidRDefault="002073B6" w:rsidP="0040057A">
      <w:pPr>
        <w:jc w:val="both"/>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40057A">
      <w:pPr>
        <w:ind w:left="1440" w:hanging="1440"/>
        <w:jc w:val="both"/>
        <w:rPr>
          <w:rFonts w:ascii="Arial" w:hAnsi="Arial" w:cs="Arial"/>
          <w:sz w:val="22"/>
          <w:szCs w:val="22"/>
          <w:lang w:val="en-GB"/>
        </w:rPr>
      </w:pPr>
    </w:p>
    <w:p w14:paraId="165F64AA" w14:textId="3D9335EE" w:rsidR="002073B6" w:rsidRDefault="002073B6" w:rsidP="0040057A">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40057A">
      <w:pPr>
        <w:jc w:val="both"/>
        <w:rPr>
          <w:rFonts w:ascii="Arial" w:hAnsi="Arial" w:cs="Arial"/>
          <w:sz w:val="22"/>
          <w:szCs w:val="22"/>
          <w:lang w:val="en-GB"/>
        </w:rPr>
      </w:pPr>
    </w:p>
    <w:p w14:paraId="3E66D4EF" w14:textId="42507DC6" w:rsidR="002073B6" w:rsidRDefault="002073B6" w:rsidP="0040057A">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40057A">
      <w:pPr>
        <w:jc w:val="both"/>
        <w:rPr>
          <w:rFonts w:ascii="Arial" w:hAnsi="Arial" w:cs="Arial"/>
          <w:sz w:val="22"/>
          <w:szCs w:val="22"/>
          <w:lang w:val="en-GB"/>
        </w:rPr>
      </w:pPr>
    </w:p>
    <w:p w14:paraId="4714A6AD" w14:textId="07BC456D" w:rsidR="002073B6" w:rsidRPr="00F86400" w:rsidRDefault="002073B6" w:rsidP="0040057A">
      <w:pPr>
        <w:pStyle w:val="ListParagraph"/>
        <w:numPr>
          <w:ilvl w:val="0"/>
          <w:numId w:val="11"/>
        </w:numPr>
        <w:ind w:left="426" w:hanging="426"/>
        <w:jc w:val="both"/>
        <w:rPr>
          <w:rFonts w:ascii="Arial" w:hAnsi="Arial" w:cs="Arial"/>
          <w:bCs/>
          <w:sz w:val="22"/>
          <w:szCs w:val="22"/>
          <w:highlight w:val="yellow"/>
          <w:lang w:val="en-GB"/>
        </w:rPr>
      </w:pPr>
      <w:r w:rsidRPr="00F86400">
        <w:rPr>
          <w:rFonts w:ascii="Arial" w:hAnsi="Arial" w:cs="Arial"/>
          <w:bCs/>
          <w:sz w:val="22"/>
          <w:szCs w:val="22"/>
          <w:highlight w:val="yellow"/>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40057A">
      <w:pPr>
        <w:jc w:val="both"/>
        <w:rPr>
          <w:rFonts w:ascii="Arial" w:hAnsi="Arial" w:cs="Arial"/>
          <w:bCs/>
          <w:sz w:val="22"/>
          <w:szCs w:val="22"/>
          <w:lang w:val="en-GB"/>
        </w:rPr>
      </w:pPr>
    </w:p>
    <w:p w14:paraId="20F83A87" w14:textId="660EAF8A" w:rsidR="002073B6" w:rsidRPr="00CA448F" w:rsidRDefault="002073B6" w:rsidP="0040057A">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40057A">
      <w:pPr>
        <w:ind w:left="720" w:hanging="720"/>
        <w:jc w:val="both"/>
        <w:rPr>
          <w:rFonts w:ascii="Arial" w:hAnsi="Arial" w:cs="Arial"/>
          <w:sz w:val="22"/>
          <w:szCs w:val="22"/>
          <w:lang w:val="en-GB"/>
        </w:rPr>
      </w:pPr>
    </w:p>
    <w:p w14:paraId="2C35569C" w14:textId="77777777" w:rsidR="00DE3A7C"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40057A">
      <w:pPr>
        <w:ind w:left="1440" w:hanging="1440"/>
        <w:jc w:val="both"/>
        <w:rPr>
          <w:rFonts w:ascii="Arial" w:hAnsi="Arial" w:cs="Arial"/>
          <w:sz w:val="22"/>
          <w:szCs w:val="22"/>
          <w:lang w:val="en-GB"/>
        </w:rPr>
      </w:pPr>
    </w:p>
    <w:p w14:paraId="458A3B55" w14:textId="1021EF43" w:rsidR="002073B6" w:rsidRPr="00CA448F" w:rsidRDefault="002073B6" w:rsidP="0040057A">
      <w:pPr>
        <w:jc w:val="both"/>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40057A">
      <w:pPr>
        <w:ind w:left="720" w:hanging="720"/>
        <w:jc w:val="both"/>
        <w:rPr>
          <w:rFonts w:ascii="Arial" w:hAnsi="Arial" w:cs="Arial"/>
          <w:sz w:val="22"/>
          <w:szCs w:val="22"/>
          <w:lang w:val="en-GB"/>
        </w:rPr>
      </w:pPr>
    </w:p>
    <w:p w14:paraId="6C872D3D" w14:textId="11D5460F" w:rsidR="002073B6" w:rsidRPr="00CA448F" w:rsidRDefault="002073B6" w:rsidP="0040057A">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F86400" w:rsidRDefault="002073B6" w:rsidP="0040057A">
      <w:pPr>
        <w:pStyle w:val="ListParagraph"/>
        <w:numPr>
          <w:ilvl w:val="0"/>
          <w:numId w:val="13"/>
        </w:numPr>
        <w:ind w:left="426" w:hanging="426"/>
        <w:jc w:val="both"/>
        <w:rPr>
          <w:rFonts w:ascii="Arial" w:hAnsi="Arial" w:cs="Arial"/>
          <w:bCs/>
          <w:sz w:val="22"/>
          <w:szCs w:val="22"/>
          <w:highlight w:val="yellow"/>
          <w:lang w:val="en-GB"/>
        </w:rPr>
      </w:pPr>
      <w:r w:rsidRPr="00F86400">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40057A">
      <w:pPr>
        <w:jc w:val="both"/>
        <w:rPr>
          <w:rFonts w:ascii="Arial" w:hAnsi="Arial" w:cs="Arial"/>
          <w:bCs/>
          <w:sz w:val="22"/>
          <w:szCs w:val="22"/>
          <w:lang w:val="en-GB"/>
        </w:rPr>
      </w:pPr>
    </w:p>
    <w:p w14:paraId="31128441" w14:textId="375C39FE" w:rsidR="002073B6" w:rsidRDefault="002073B6" w:rsidP="0040057A">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40057A">
      <w:pPr>
        <w:jc w:val="both"/>
        <w:rPr>
          <w:rFonts w:ascii="Arial" w:hAnsi="Arial" w:cs="Arial"/>
          <w:sz w:val="22"/>
          <w:szCs w:val="22"/>
          <w:lang w:val="en-GB"/>
        </w:rPr>
      </w:pPr>
    </w:p>
    <w:p w14:paraId="77CF7FF2" w14:textId="60BE4D00" w:rsidR="002073B6" w:rsidRPr="00CA448F" w:rsidRDefault="002073B6" w:rsidP="0040057A">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40057A">
      <w:pPr>
        <w:ind w:left="1440" w:hanging="1440"/>
        <w:jc w:val="both"/>
        <w:rPr>
          <w:rFonts w:ascii="Arial" w:hAnsi="Arial" w:cs="Arial"/>
          <w:sz w:val="22"/>
          <w:szCs w:val="22"/>
          <w:lang w:val="en-GB"/>
        </w:rPr>
      </w:pPr>
    </w:p>
    <w:p w14:paraId="0E070D66" w14:textId="77777777" w:rsidR="00DE3A7C"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40057A">
      <w:pPr>
        <w:ind w:left="1440" w:hanging="1440"/>
        <w:jc w:val="both"/>
        <w:rPr>
          <w:rFonts w:ascii="Arial" w:hAnsi="Arial" w:cs="Arial"/>
          <w:sz w:val="22"/>
          <w:szCs w:val="22"/>
          <w:lang w:val="en-GB"/>
        </w:rPr>
      </w:pPr>
    </w:p>
    <w:p w14:paraId="4CBD3E1A" w14:textId="0B85C495" w:rsidR="002073B6" w:rsidRPr="00CA448F" w:rsidRDefault="005906C2" w:rsidP="0040057A">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40057A">
      <w:pPr>
        <w:ind w:left="720" w:hanging="720"/>
        <w:jc w:val="both"/>
        <w:rPr>
          <w:rFonts w:ascii="Arial" w:hAnsi="Arial" w:cs="Arial"/>
          <w:sz w:val="22"/>
          <w:szCs w:val="22"/>
          <w:lang w:val="en-GB"/>
        </w:rPr>
      </w:pPr>
    </w:p>
    <w:p w14:paraId="23FFE8EC" w14:textId="3CE92B6D" w:rsidR="002073B6" w:rsidRPr="00F86400" w:rsidRDefault="008D1432" w:rsidP="0040057A">
      <w:pPr>
        <w:pStyle w:val="ListParagraph"/>
        <w:numPr>
          <w:ilvl w:val="0"/>
          <w:numId w:val="15"/>
        </w:numPr>
        <w:ind w:left="426" w:hanging="426"/>
        <w:jc w:val="both"/>
        <w:rPr>
          <w:rFonts w:ascii="Arial" w:hAnsi="Arial" w:cs="Arial"/>
          <w:bCs/>
          <w:sz w:val="22"/>
          <w:szCs w:val="22"/>
          <w:highlight w:val="yellow"/>
          <w:lang w:val="en-GB"/>
        </w:rPr>
      </w:pPr>
      <w:r w:rsidRPr="00F86400">
        <w:rPr>
          <w:rFonts w:ascii="Arial" w:hAnsi="Arial" w:cs="Arial"/>
          <w:bCs/>
          <w:sz w:val="22"/>
          <w:szCs w:val="22"/>
          <w:highlight w:val="yellow"/>
          <w:lang w:val="en-GB"/>
        </w:rPr>
        <w:t>True</w:t>
      </w:r>
      <w:r w:rsidR="002073B6" w:rsidRPr="00F86400">
        <w:rPr>
          <w:rFonts w:ascii="Arial" w:hAnsi="Arial" w:cs="Arial"/>
          <w:bCs/>
          <w:sz w:val="22"/>
          <w:szCs w:val="22"/>
          <w:highlight w:val="yellow"/>
          <w:lang w:val="en-GB"/>
        </w:rPr>
        <w:t>.</w:t>
      </w:r>
    </w:p>
    <w:p w14:paraId="5833C54B" w14:textId="77777777" w:rsidR="006F58B3" w:rsidRPr="006F58B3" w:rsidRDefault="006F58B3" w:rsidP="0040057A">
      <w:pPr>
        <w:jc w:val="both"/>
        <w:rPr>
          <w:rFonts w:ascii="Arial" w:hAnsi="Arial" w:cs="Arial"/>
          <w:bCs/>
          <w:sz w:val="22"/>
          <w:szCs w:val="22"/>
          <w:lang w:val="en-GB"/>
        </w:rPr>
      </w:pPr>
    </w:p>
    <w:p w14:paraId="6879FBF6" w14:textId="2A318881" w:rsidR="002073B6" w:rsidRPr="00CA448F" w:rsidRDefault="008D1432" w:rsidP="0040057A">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40057A">
      <w:pPr>
        <w:ind w:left="1440" w:hanging="1440"/>
        <w:jc w:val="both"/>
        <w:rPr>
          <w:rFonts w:ascii="Arial" w:hAnsi="Arial" w:cs="Arial"/>
          <w:sz w:val="22"/>
          <w:szCs w:val="22"/>
          <w:lang w:val="en-GB"/>
        </w:rPr>
      </w:pPr>
    </w:p>
    <w:p w14:paraId="4EE1F5AE" w14:textId="77777777" w:rsidR="00DE3A7C"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40057A">
      <w:pPr>
        <w:ind w:left="1440" w:hanging="1440"/>
        <w:jc w:val="both"/>
        <w:rPr>
          <w:rFonts w:ascii="Arial" w:hAnsi="Arial" w:cs="Arial"/>
          <w:sz w:val="22"/>
          <w:szCs w:val="22"/>
          <w:lang w:val="en-GB"/>
        </w:rPr>
      </w:pPr>
    </w:p>
    <w:p w14:paraId="29FC5174" w14:textId="173B0563" w:rsidR="002073B6" w:rsidRPr="00CA448F" w:rsidRDefault="002073B6" w:rsidP="0040057A">
      <w:pPr>
        <w:jc w:val="both"/>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40057A">
      <w:pPr>
        <w:ind w:left="720" w:hanging="720"/>
        <w:jc w:val="both"/>
        <w:rPr>
          <w:rFonts w:ascii="Arial" w:hAnsi="Arial" w:cs="Arial"/>
          <w:sz w:val="22"/>
          <w:szCs w:val="22"/>
          <w:lang w:val="en-GB"/>
        </w:rPr>
      </w:pPr>
    </w:p>
    <w:p w14:paraId="1D491458" w14:textId="15767220" w:rsidR="002073B6" w:rsidRDefault="002073B6" w:rsidP="0040057A">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40057A">
      <w:pPr>
        <w:jc w:val="both"/>
        <w:rPr>
          <w:rFonts w:ascii="Arial" w:hAnsi="Arial" w:cs="Arial"/>
          <w:sz w:val="22"/>
          <w:szCs w:val="22"/>
          <w:lang w:val="en-GB"/>
        </w:rPr>
      </w:pPr>
    </w:p>
    <w:p w14:paraId="2C1F3246" w14:textId="62BA4443" w:rsidR="002073B6" w:rsidRDefault="002073B6" w:rsidP="0040057A">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40057A">
      <w:pPr>
        <w:jc w:val="both"/>
        <w:rPr>
          <w:rFonts w:ascii="Arial" w:hAnsi="Arial" w:cs="Arial"/>
          <w:sz w:val="22"/>
          <w:szCs w:val="22"/>
          <w:lang w:val="en-GB"/>
        </w:rPr>
      </w:pPr>
    </w:p>
    <w:p w14:paraId="616022B5" w14:textId="210B3C35" w:rsidR="002073B6" w:rsidRDefault="002073B6" w:rsidP="0040057A">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40057A">
      <w:pPr>
        <w:jc w:val="both"/>
        <w:rPr>
          <w:rFonts w:ascii="Arial" w:hAnsi="Arial" w:cs="Arial"/>
          <w:sz w:val="22"/>
          <w:szCs w:val="22"/>
          <w:lang w:val="en-GB"/>
        </w:rPr>
      </w:pPr>
    </w:p>
    <w:p w14:paraId="337E7C87" w14:textId="32E4E24A" w:rsidR="002073B6" w:rsidRPr="00F86400" w:rsidRDefault="002073B6" w:rsidP="0040057A">
      <w:pPr>
        <w:pStyle w:val="ListParagraph"/>
        <w:numPr>
          <w:ilvl w:val="0"/>
          <w:numId w:val="17"/>
        </w:numPr>
        <w:ind w:left="426" w:hanging="426"/>
        <w:jc w:val="both"/>
        <w:rPr>
          <w:rFonts w:ascii="Arial" w:hAnsi="Arial" w:cs="Arial"/>
          <w:bCs/>
          <w:sz w:val="22"/>
          <w:szCs w:val="22"/>
          <w:highlight w:val="yellow"/>
          <w:lang w:val="en-GB"/>
        </w:rPr>
      </w:pPr>
      <w:r w:rsidRPr="00F86400">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40057A">
      <w:pPr>
        <w:ind w:left="720" w:hanging="720"/>
        <w:jc w:val="both"/>
        <w:rPr>
          <w:rFonts w:ascii="Arial" w:hAnsi="Arial" w:cs="Arial"/>
          <w:b/>
          <w:sz w:val="22"/>
          <w:szCs w:val="22"/>
          <w:lang w:val="en-GB"/>
        </w:rPr>
      </w:pPr>
    </w:p>
    <w:p w14:paraId="59AB1BE2" w14:textId="77777777" w:rsidR="00DE3A7C"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40057A">
      <w:pPr>
        <w:ind w:left="1440" w:hanging="1440"/>
        <w:jc w:val="both"/>
        <w:rPr>
          <w:rFonts w:ascii="Arial" w:hAnsi="Arial" w:cs="Arial"/>
          <w:sz w:val="22"/>
          <w:szCs w:val="22"/>
          <w:lang w:val="en-GB"/>
        </w:rPr>
      </w:pPr>
    </w:p>
    <w:p w14:paraId="3425C2D8" w14:textId="17457E2A" w:rsidR="002073B6" w:rsidRPr="00CA448F" w:rsidRDefault="002073B6" w:rsidP="0040057A">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40057A">
      <w:pPr>
        <w:jc w:val="both"/>
        <w:rPr>
          <w:rFonts w:ascii="Arial" w:hAnsi="Arial" w:cs="Arial"/>
          <w:sz w:val="22"/>
          <w:szCs w:val="22"/>
          <w:lang w:val="en-GB"/>
        </w:rPr>
      </w:pPr>
    </w:p>
    <w:p w14:paraId="3C5FC44B" w14:textId="71B58E6B" w:rsidR="002073B6" w:rsidRDefault="002073B6" w:rsidP="0040057A">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40057A">
      <w:pPr>
        <w:jc w:val="both"/>
        <w:rPr>
          <w:rFonts w:ascii="Arial" w:hAnsi="Arial" w:cs="Arial"/>
          <w:sz w:val="22"/>
          <w:szCs w:val="22"/>
          <w:lang w:val="en-GB"/>
        </w:rPr>
      </w:pPr>
    </w:p>
    <w:p w14:paraId="59FA80E0" w14:textId="03D675CC" w:rsidR="002073B6" w:rsidRDefault="002073B6" w:rsidP="0040057A">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40057A">
      <w:pPr>
        <w:jc w:val="both"/>
        <w:rPr>
          <w:rFonts w:ascii="Arial" w:hAnsi="Arial" w:cs="Arial"/>
          <w:sz w:val="22"/>
          <w:szCs w:val="22"/>
          <w:lang w:val="en-GB"/>
        </w:rPr>
      </w:pPr>
    </w:p>
    <w:p w14:paraId="75642A41" w14:textId="0B23BFEA" w:rsidR="002073B6" w:rsidRPr="00A029EC" w:rsidRDefault="002073B6" w:rsidP="0040057A">
      <w:pPr>
        <w:pStyle w:val="ListParagraph"/>
        <w:numPr>
          <w:ilvl w:val="0"/>
          <w:numId w:val="18"/>
        </w:numPr>
        <w:ind w:left="426" w:hanging="426"/>
        <w:jc w:val="both"/>
        <w:rPr>
          <w:rFonts w:ascii="Arial" w:hAnsi="Arial" w:cs="Arial"/>
          <w:bCs/>
          <w:sz w:val="22"/>
          <w:szCs w:val="22"/>
          <w:highlight w:val="yellow"/>
          <w:lang w:val="en-GB"/>
        </w:rPr>
      </w:pPr>
      <w:r w:rsidRPr="00A029EC">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40057A">
      <w:pPr>
        <w:jc w:val="both"/>
        <w:rPr>
          <w:rFonts w:ascii="Arial" w:hAnsi="Arial" w:cs="Arial"/>
          <w:bCs/>
          <w:sz w:val="22"/>
          <w:szCs w:val="22"/>
          <w:lang w:val="en-GB"/>
        </w:rPr>
      </w:pPr>
    </w:p>
    <w:p w14:paraId="435272A5" w14:textId="72E6EDEC" w:rsidR="002073B6" w:rsidRPr="00CA448F" w:rsidRDefault="002073B6" w:rsidP="0040057A">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40057A">
      <w:pPr>
        <w:ind w:left="1440" w:hanging="1440"/>
        <w:jc w:val="both"/>
        <w:rPr>
          <w:rFonts w:ascii="Arial" w:hAnsi="Arial" w:cs="Arial"/>
          <w:sz w:val="22"/>
          <w:szCs w:val="22"/>
          <w:lang w:val="en-GB"/>
        </w:rPr>
      </w:pPr>
    </w:p>
    <w:p w14:paraId="51C567A2" w14:textId="74C77019" w:rsidR="002073B6" w:rsidRPr="00CA448F" w:rsidRDefault="002073B6" w:rsidP="0040057A">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40057A">
      <w:pPr>
        <w:ind w:left="720" w:hanging="720"/>
        <w:jc w:val="both"/>
        <w:rPr>
          <w:rFonts w:ascii="Arial" w:hAnsi="Arial" w:cs="Arial"/>
          <w:sz w:val="22"/>
          <w:szCs w:val="22"/>
          <w:lang w:val="en-GB"/>
        </w:rPr>
      </w:pPr>
    </w:p>
    <w:p w14:paraId="439540AC" w14:textId="6B954BA9" w:rsidR="002073B6" w:rsidRPr="00A029EC" w:rsidRDefault="002073B6" w:rsidP="0040057A">
      <w:pPr>
        <w:pStyle w:val="ListParagraph"/>
        <w:numPr>
          <w:ilvl w:val="0"/>
          <w:numId w:val="20"/>
        </w:numPr>
        <w:ind w:left="426" w:hanging="426"/>
        <w:jc w:val="both"/>
        <w:rPr>
          <w:rFonts w:ascii="Arial" w:hAnsi="Arial" w:cs="Arial"/>
          <w:bCs/>
          <w:sz w:val="22"/>
          <w:szCs w:val="22"/>
          <w:highlight w:val="yellow"/>
          <w:lang w:val="en-GB"/>
        </w:rPr>
      </w:pPr>
      <w:r w:rsidRPr="00A029EC">
        <w:rPr>
          <w:rFonts w:ascii="Arial" w:hAnsi="Arial" w:cs="Arial"/>
          <w:bCs/>
          <w:sz w:val="22"/>
          <w:szCs w:val="22"/>
          <w:highlight w:val="yellow"/>
          <w:lang w:val="en-GB"/>
        </w:rPr>
        <w:t xml:space="preserve">Interest on debts owed by the debtor stops accruing on the date of commencement of Preventive Composition. </w:t>
      </w:r>
      <w:r w:rsidRPr="00A029EC">
        <w:rPr>
          <w:rFonts w:ascii="Arial" w:hAnsi="Arial" w:cs="Arial"/>
          <w:bCs/>
          <w:sz w:val="22"/>
          <w:szCs w:val="22"/>
          <w:highlight w:val="yellow"/>
          <w:lang w:val="en-GB"/>
        </w:rPr>
        <w:tab/>
      </w:r>
    </w:p>
    <w:p w14:paraId="59848C9A" w14:textId="77777777" w:rsidR="006F58B3" w:rsidRPr="006F58B3" w:rsidRDefault="006F58B3" w:rsidP="0040057A">
      <w:pPr>
        <w:jc w:val="both"/>
        <w:rPr>
          <w:rFonts w:ascii="Arial" w:hAnsi="Arial" w:cs="Arial"/>
          <w:bCs/>
          <w:sz w:val="22"/>
          <w:szCs w:val="22"/>
          <w:lang w:val="en-GB"/>
        </w:rPr>
      </w:pPr>
    </w:p>
    <w:p w14:paraId="3492BEDA" w14:textId="4D12D3AD" w:rsidR="002073B6" w:rsidRDefault="002073B6" w:rsidP="0040057A">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40057A">
      <w:pPr>
        <w:jc w:val="both"/>
        <w:rPr>
          <w:rFonts w:ascii="Arial" w:hAnsi="Arial" w:cs="Arial"/>
          <w:sz w:val="22"/>
          <w:szCs w:val="22"/>
          <w:lang w:val="en-GB"/>
        </w:rPr>
      </w:pPr>
    </w:p>
    <w:p w14:paraId="190CA9E3" w14:textId="0ED3FA43" w:rsidR="002073B6" w:rsidRDefault="002073B6" w:rsidP="0040057A">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40057A">
      <w:pPr>
        <w:jc w:val="both"/>
        <w:rPr>
          <w:rFonts w:ascii="Arial" w:hAnsi="Arial" w:cs="Arial"/>
          <w:sz w:val="22"/>
          <w:szCs w:val="22"/>
          <w:lang w:val="en-GB"/>
        </w:rPr>
      </w:pPr>
    </w:p>
    <w:p w14:paraId="080B7891" w14:textId="0BA9415C" w:rsidR="002073B6" w:rsidRPr="00CA448F" w:rsidRDefault="002073B6" w:rsidP="0040057A">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40057A">
      <w:pPr>
        <w:ind w:left="720" w:hanging="720"/>
        <w:jc w:val="both"/>
        <w:rPr>
          <w:rFonts w:ascii="Arial" w:hAnsi="Arial" w:cs="Arial"/>
          <w:sz w:val="22"/>
          <w:szCs w:val="22"/>
          <w:lang w:val="en-GB"/>
        </w:rPr>
      </w:pPr>
    </w:p>
    <w:p w14:paraId="41023C9E" w14:textId="77777777" w:rsidR="00DE3A7C"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40057A">
      <w:pPr>
        <w:ind w:left="1440" w:hanging="1440"/>
        <w:jc w:val="both"/>
        <w:rPr>
          <w:rFonts w:ascii="Arial" w:hAnsi="Arial" w:cs="Arial"/>
          <w:sz w:val="22"/>
          <w:szCs w:val="22"/>
          <w:lang w:val="en-GB"/>
        </w:rPr>
      </w:pPr>
    </w:p>
    <w:p w14:paraId="64A70AA6" w14:textId="0DDC4647" w:rsidR="002073B6" w:rsidRPr="00CA448F" w:rsidRDefault="002073B6" w:rsidP="0040057A">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40057A">
      <w:pPr>
        <w:ind w:left="720" w:hanging="720"/>
        <w:jc w:val="both"/>
        <w:rPr>
          <w:rFonts w:ascii="Arial" w:hAnsi="Arial" w:cs="Arial"/>
          <w:sz w:val="22"/>
          <w:szCs w:val="22"/>
          <w:lang w:val="en-GB"/>
        </w:rPr>
      </w:pPr>
    </w:p>
    <w:p w14:paraId="6119C70B" w14:textId="7AEBD449" w:rsidR="002073B6" w:rsidRPr="00A029EC" w:rsidRDefault="002073B6" w:rsidP="0040057A">
      <w:pPr>
        <w:pStyle w:val="ListParagraph"/>
        <w:numPr>
          <w:ilvl w:val="0"/>
          <w:numId w:val="22"/>
        </w:numPr>
        <w:ind w:left="426" w:hanging="426"/>
        <w:jc w:val="both"/>
        <w:rPr>
          <w:rFonts w:ascii="Arial" w:hAnsi="Arial" w:cs="Arial"/>
          <w:bCs/>
          <w:sz w:val="22"/>
          <w:szCs w:val="22"/>
          <w:highlight w:val="yellow"/>
          <w:lang w:val="en-GB"/>
        </w:rPr>
      </w:pPr>
      <w:r w:rsidRPr="00A029EC">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40057A">
      <w:pPr>
        <w:jc w:val="both"/>
        <w:rPr>
          <w:rFonts w:ascii="Arial" w:hAnsi="Arial" w:cs="Arial"/>
          <w:bCs/>
          <w:sz w:val="22"/>
          <w:szCs w:val="22"/>
          <w:lang w:val="en-GB"/>
        </w:rPr>
      </w:pPr>
    </w:p>
    <w:p w14:paraId="5605B34F" w14:textId="495F2371" w:rsidR="002073B6" w:rsidRDefault="002073B6" w:rsidP="0040057A">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40057A">
      <w:pPr>
        <w:jc w:val="both"/>
        <w:rPr>
          <w:rFonts w:ascii="Arial" w:hAnsi="Arial" w:cs="Arial"/>
          <w:sz w:val="22"/>
          <w:szCs w:val="22"/>
          <w:lang w:val="en-GB"/>
        </w:rPr>
      </w:pPr>
    </w:p>
    <w:p w14:paraId="698F3E2A" w14:textId="569EBAF9" w:rsidR="002073B6" w:rsidRDefault="002073B6" w:rsidP="0040057A">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40057A">
      <w:pPr>
        <w:jc w:val="both"/>
        <w:rPr>
          <w:rFonts w:ascii="Arial" w:hAnsi="Arial" w:cs="Arial"/>
          <w:sz w:val="22"/>
          <w:szCs w:val="22"/>
          <w:lang w:val="en-GB"/>
        </w:rPr>
      </w:pPr>
    </w:p>
    <w:p w14:paraId="313E7C06" w14:textId="503D75DC" w:rsidR="002073B6" w:rsidRPr="00CA448F" w:rsidRDefault="002073B6" w:rsidP="0040057A">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40057A">
      <w:pPr>
        <w:ind w:left="1440" w:hanging="1440"/>
        <w:jc w:val="both"/>
        <w:rPr>
          <w:rFonts w:ascii="Arial" w:hAnsi="Arial" w:cs="Arial"/>
          <w:sz w:val="22"/>
          <w:szCs w:val="22"/>
          <w:lang w:val="en-GB"/>
        </w:rPr>
      </w:pPr>
    </w:p>
    <w:p w14:paraId="5A2043A9" w14:textId="77777777" w:rsidR="00DE3A7C" w:rsidRPr="00CA448F" w:rsidRDefault="002073B6" w:rsidP="0040057A">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40057A">
      <w:pPr>
        <w:ind w:left="1440" w:hanging="1440"/>
        <w:jc w:val="both"/>
        <w:rPr>
          <w:rFonts w:ascii="Arial" w:hAnsi="Arial" w:cs="Arial"/>
          <w:sz w:val="22"/>
          <w:szCs w:val="22"/>
          <w:lang w:val="en-GB"/>
        </w:rPr>
      </w:pPr>
    </w:p>
    <w:p w14:paraId="49446C32" w14:textId="0AD6970B" w:rsidR="002073B6" w:rsidRPr="00922A3A" w:rsidRDefault="001A1E2D" w:rsidP="0040057A">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40057A">
      <w:pPr>
        <w:ind w:left="720" w:hanging="720"/>
        <w:jc w:val="both"/>
        <w:rPr>
          <w:rFonts w:ascii="Arial" w:hAnsi="Arial" w:cs="Arial"/>
          <w:sz w:val="22"/>
          <w:szCs w:val="22"/>
          <w:lang w:val="en-GB"/>
        </w:rPr>
      </w:pPr>
    </w:p>
    <w:p w14:paraId="147741BA" w14:textId="5D1C18E7" w:rsidR="002073B6" w:rsidRPr="006F58B3" w:rsidRDefault="00B22E51" w:rsidP="0040057A">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40057A">
      <w:pPr>
        <w:jc w:val="both"/>
        <w:rPr>
          <w:rFonts w:ascii="Arial" w:hAnsi="Arial" w:cs="Arial"/>
          <w:sz w:val="22"/>
          <w:szCs w:val="22"/>
          <w:lang w:val="en-GB"/>
        </w:rPr>
      </w:pPr>
    </w:p>
    <w:p w14:paraId="1E591EB3" w14:textId="48A50DF7" w:rsidR="002073B6" w:rsidRPr="00A029EC" w:rsidRDefault="00BA06CC" w:rsidP="0040057A">
      <w:pPr>
        <w:pStyle w:val="ListParagraph"/>
        <w:numPr>
          <w:ilvl w:val="0"/>
          <w:numId w:val="24"/>
        </w:numPr>
        <w:ind w:left="426" w:hanging="426"/>
        <w:jc w:val="both"/>
        <w:rPr>
          <w:rFonts w:ascii="Arial" w:hAnsi="Arial" w:cs="Arial"/>
          <w:bCs/>
          <w:sz w:val="22"/>
          <w:szCs w:val="22"/>
          <w:highlight w:val="yellow"/>
          <w:lang w:val="en-GB"/>
        </w:rPr>
      </w:pPr>
      <w:r w:rsidRPr="00A029EC">
        <w:rPr>
          <w:rFonts w:ascii="Arial" w:hAnsi="Arial" w:cs="Arial"/>
          <w:sz w:val="22"/>
          <w:szCs w:val="22"/>
          <w:highlight w:val="yellow"/>
        </w:rPr>
        <w:t>A</w:t>
      </w:r>
      <w:r w:rsidR="00F80E9B" w:rsidRPr="00A029EC">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A029EC">
        <w:rPr>
          <w:rFonts w:ascii="Arial" w:hAnsi="Arial" w:cs="Arial"/>
          <w:bCs/>
          <w:sz w:val="22"/>
          <w:szCs w:val="22"/>
          <w:highlight w:val="yellow"/>
          <w:lang w:val="en-GB"/>
        </w:rPr>
        <w:t xml:space="preserve">. </w:t>
      </w:r>
    </w:p>
    <w:p w14:paraId="7F15A46D" w14:textId="77777777" w:rsidR="006F58B3" w:rsidRPr="006F58B3" w:rsidRDefault="006F58B3" w:rsidP="0040057A">
      <w:pPr>
        <w:jc w:val="both"/>
        <w:rPr>
          <w:rFonts w:ascii="Arial" w:hAnsi="Arial" w:cs="Arial"/>
          <w:bCs/>
          <w:sz w:val="22"/>
          <w:szCs w:val="22"/>
          <w:lang w:val="en-GB"/>
        </w:rPr>
      </w:pPr>
    </w:p>
    <w:p w14:paraId="5B5B360C" w14:textId="7C51F8C8" w:rsidR="002073B6" w:rsidRDefault="00821EDC" w:rsidP="0040057A">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40057A">
      <w:pPr>
        <w:jc w:val="both"/>
        <w:rPr>
          <w:rFonts w:ascii="Arial" w:hAnsi="Arial" w:cs="Arial"/>
          <w:sz w:val="22"/>
          <w:szCs w:val="22"/>
          <w:lang w:val="en-GB"/>
        </w:rPr>
      </w:pPr>
    </w:p>
    <w:p w14:paraId="77B9E7DE" w14:textId="7DC1C200" w:rsidR="002073B6" w:rsidRPr="00FF7906" w:rsidRDefault="00FF7906" w:rsidP="0040057A">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40057A">
      <w:pPr>
        <w:ind w:left="720" w:hanging="720"/>
        <w:jc w:val="both"/>
        <w:rPr>
          <w:rFonts w:ascii="Arial" w:hAnsi="Arial" w:cs="Arial"/>
          <w:sz w:val="22"/>
          <w:szCs w:val="22"/>
          <w:lang w:val="en-GB"/>
        </w:rPr>
      </w:pPr>
    </w:p>
    <w:p w14:paraId="636417FD" w14:textId="11F93528" w:rsidR="006F58B3" w:rsidRDefault="006F58B3" w:rsidP="0040057A">
      <w:pPr>
        <w:ind w:left="720" w:hanging="720"/>
        <w:jc w:val="both"/>
        <w:rPr>
          <w:rFonts w:ascii="Arial" w:hAnsi="Arial" w:cs="Arial"/>
          <w:sz w:val="22"/>
          <w:szCs w:val="22"/>
          <w:lang w:val="en-GB"/>
        </w:rPr>
      </w:pPr>
    </w:p>
    <w:p w14:paraId="2078F6C1" w14:textId="5B9F1EEE" w:rsidR="006F58B3" w:rsidRDefault="006F58B3" w:rsidP="0040057A">
      <w:pPr>
        <w:ind w:left="720" w:hanging="720"/>
        <w:jc w:val="both"/>
        <w:rPr>
          <w:rFonts w:ascii="Arial" w:hAnsi="Arial" w:cs="Arial"/>
          <w:sz w:val="22"/>
          <w:szCs w:val="22"/>
          <w:lang w:val="en-GB"/>
        </w:rPr>
      </w:pPr>
    </w:p>
    <w:p w14:paraId="027281FB" w14:textId="77777777" w:rsidR="006F58B3" w:rsidRPr="00CA448F" w:rsidRDefault="006F58B3" w:rsidP="0040057A">
      <w:pPr>
        <w:ind w:left="720" w:hanging="720"/>
        <w:jc w:val="both"/>
        <w:rPr>
          <w:rFonts w:ascii="Arial" w:hAnsi="Arial" w:cs="Arial"/>
          <w:sz w:val="22"/>
          <w:szCs w:val="22"/>
          <w:lang w:val="en-GB"/>
        </w:rPr>
      </w:pPr>
    </w:p>
    <w:p w14:paraId="2C36B1F5" w14:textId="77777777" w:rsidR="00DE3A7C" w:rsidRPr="00CA448F" w:rsidRDefault="002073B6" w:rsidP="0040057A">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40057A">
      <w:pPr>
        <w:ind w:left="720" w:hanging="720"/>
        <w:jc w:val="both"/>
        <w:rPr>
          <w:rFonts w:ascii="Arial" w:hAnsi="Arial" w:cs="Arial"/>
          <w:sz w:val="22"/>
          <w:szCs w:val="22"/>
          <w:lang w:val="en-GB"/>
        </w:rPr>
      </w:pPr>
    </w:p>
    <w:p w14:paraId="72E60C51" w14:textId="0DD27995" w:rsidR="002073B6" w:rsidRPr="00CA448F" w:rsidRDefault="002073B6" w:rsidP="0040057A">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40057A">
      <w:pPr>
        <w:ind w:left="720" w:hanging="720"/>
        <w:jc w:val="both"/>
        <w:rPr>
          <w:rFonts w:ascii="Arial" w:hAnsi="Arial" w:cs="Arial"/>
          <w:sz w:val="22"/>
          <w:szCs w:val="22"/>
          <w:lang w:val="en-GB"/>
        </w:rPr>
      </w:pPr>
    </w:p>
    <w:p w14:paraId="30E2AA94" w14:textId="7DF134C6" w:rsidR="002073B6" w:rsidRDefault="002073B6" w:rsidP="0040057A">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40057A">
      <w:pPr>
        <w:jc w:val="both"/>
        <w:rPr>
          <w:rFonts w:ascii="Arial" w:hAnsi="Arial" w:cs="Arial"/>
          <w:sz w:val="22"/>
          <w:szCs w:val="22"/>
          <w:lang w:val="en-GB"/>
        </w:rPr>
      </w:pPr>
    </w:p>
    <w:p w14:paraId="3625363A" w14:textId="111F8E2F" w:rsidR="002073B6" w:rsidRDefault="002073B6" w:rsidP="0040057A">
      <w:pPr>
        <w:pStyle w:val="ListParagraph"/>
        <w:numPr>
          <w:ilvl w:val="0"/>
          <w:numId w:val="25"/>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40057A">
      <w:pPr>
        <w:jc w:val="both"/>
        <w:rPr>
          <w:rFonts w:ascii="Arial" w:hAnsi="Arial" w:cs="Arial"/>
          <w:bCs/>
          <w:sz w:val="22"/>
          <w:szCs w:val="22"/>
          <w:lang w:val="en-GB"/>
        </w:rPr>
      </w:pPr>
    </w:p>
    <w:p w14:paraId="6A27203B" w14:textId="115A7D29" w:rsidR="002073B6" w:rsidRPr="00A029EC" w:rsidRDefault="002073B6" w:rsidP="0040057A">
      <w:pPr>
        <w:pStyle w:val="ListParagraph"/>
        <w:numPr>
          <w:ilvl w:val="0"/>
          <w:numId w:val="25"/>
        </w:numPr>
        <w:ind w:left="426" w:hanging="426"/>
        <w:jc w:val="both"/>
        <w:rPr>
          <w:rFonts w:ascii="Arial" w:hAnsi="Arial" w:cs="Arial"/>
          <w:sz w:val="22"/>
          <w:szCs w:val="22"/>
          <w:highlight w:val="yellow"/>
          <w:lang w:val="en-GB"/>
        </w:rPr>
      </w:pPr>
      <w:r w:rsidRPr="00A029EC">
        <w:rPr>
          <w:rFonts w:ascii="Arial" w:hAnsi="Arial" w:cs="Arial"/>
          <w:sz w:val="22"/>
          <w:szCs w:val="22"/>
          <w:highlight w:val="yellow"/>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40057A">
      <w:pPr>
        <w:jc w:val="both"/>
        <w:rPr>
          <w:rFonts w:ascii="Arial" w:hAnsi="Arial" w:cs="Arial"/>
          <w:sz w:val="22"/>
          <w:szCs w:val="22"/>
          <w:lang w:val="en-GB"/>
        </w:rPr>
      </w:pPr>
    </w:p>
    <w:p w14:paraId="02C87DC8" w14:textId="459201FC" w:rsidR="003C6597" w:rsidRPr="00CA448F" w:rsidRDefault="002073B6" w:rsidP="0040057A">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40057A">
      <w:pPr>
        <w:jc w:val="both"/>
        <w:rPr>
          <w:rFonts w:ascii="Arial" w:hAnsi="Arial" w:cs="Arial"/>
          <w:bCs/>
          <w:sz w:val="22"/>
          <w:szCs w:val="22"/>
          <w:lang w:val="en-GB"/>
        </w:rPr>
      </w:pPr>
    </w:p>
    <w:p w14:paraId="2310A624" w14:textId="50C26E6C" w:rsidR="002C1EC5" w:rsidRPr="00CA448F" w:rsidRDefault="002C1EC5" w:rsidP="0040057A">
      <w:pPr>
        <w:jc w:val="both"/>
        <w:rPr>
          <w:rFonts w:ascii="Arial" w:hAnsi="Arial" w:cs="Arial"/>
          <w:bCs/>
          <w:sz w:val="22"/>
          <w:szCs w:val="22"/>
          <w:lang w:val="en-GB"/>
        </w:rPr>
      </w:pPr>
    </w:p>
    <w:p w14:paraId="458E4DDF" w14:textId="77777777" w:rsidR="00962045" w:rsidRPr="00CA448F" w:rsidRDefault="00DF75F8" w:rsidP="0040057A">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40057A">
      <w:pPr>
        <w:ind w:left="720" w:hanging="720"/>
        <w:jc w:val="both"/>
        <w:rPr>
          <w:rFonts w:ascii="Arial" w:hAnsi="Arial" w:cs="Arial"/>
          <w:sz w:val="22"/>
          <w:szCs w:val="22"/>
          <w:lang w:val="en-GB"/>
        </w:rPr>
      </w:pPr>
    </w:p>
    <w:p w14:paraId="71F98141" w14:textId="77777777" w:rsidR="002C13C8" w:rsidRPr="00CA448F" w:rsidRDefault="002C13C8" w:rsidP="0040057A">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40057A">
      <w:pPr>
        <w:ind w:left="720" w:hanging="720"/>
        <w:jc w:val="both"/>
        <w:rPr>
          <w:rFonts w:ascii="Arial" w:hAnsi="Arial" w:cs="Arial"/>
          <w:sz w:val="22"/>
          <w:szCs w:val="22"/>
          <w:lang w:val="en-GB"/>
        </w:rPr>
      </w:pPr>
    </w:p>
    <w:p w14:paraId="39EB7667" w14:textId="344E90CE" w:rsidR="00007BF3" w:rsidRPr="00CA448F" w:rsidRDefault="006645D6" w:rsidP="0040057A">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40057A">
      <w:pPr>
        <w:ind w:left="720" w:hanging="720"/>
        <w:jc w:val="both"/>
        <w:rPr>
          <w:rFonts w:ascii="Arial" w:hAnsi="Arial" w:cs="Arial"/>
          <w:sz w:val="22"/>
          <w:szCs w:val="22"/>
          <w:lang w:val="en-GB"/>
        </w:rPr>
      </w:pPr>
    </w:p>
    <w:p w14:paraId="0A17D9AF" w14:textId="1F51F1ED" w:rsidR="00A334F9" w:rsidRDefault="00A029EC" w:rsidP="0040057A">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2CC86831" w14:textId="15895A69" w:rsidR="00A029EC" w:rsidRDefault="00A029EC" w:rsidP="0055357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point of distinction concerning the registration of real property interest including mortgages in the different emirates of the UAE is that each emirate has its own </w:t>
      </w:r>
      <w:r w:rsidR="00C31B3C">
        <w:rPr>
          <w:rFonts w:ascii="Arial" w:hAnsi="Arial" w:cs="Arial"/>
          <w:color w:val="808080" w:themeColor="background1" w:themeShade="80"/>
          <w:sz w:val="22"/>
          <w:szCs w:val="22"/>
          <w:lang w:val="en-GB"/>
        </w:rPr>
        <w:t xml:space="preserve">land </w:t>
      </w:r>
      <w:r>
        <w:rPr>
          <w:rFonts w:ascii="Arial" w:hAnsi="Arial" w:cs="Arial"/>
          <w:color w:val="808080" w:themeColor="background1" w:themeShade="80"/>
          <w:sz w:val="22"/>
          <w:szCs w:val="22"/>
          <w:lang w:val="en-GB"/>
        </w:rPr>
        <w:t>registration system</w:t>
      </w:r>
      <w:r w:rsidR="006856F3">
        <w:rPr>
          <w:rFonts w:ascii="Arial" w:hAnsi="Arial" w:cs="Arial"/>
          <w:color w:val="808080" w:themeColor="background1" w:themeShade="80"/>
          <w:sz w:val="22"/>
          <w:szCs w:val="22"/>
          <w:lang w:val="en-GB"/>
        </w:rPr>
        <w:t>.  It should also be noted that the registration and enforcement of mortgages is subject to slightly different laws and procedure in each emirate.  However</w:t>
      </w:r>
      <w:r w:rsidR="00F47248">
        <w:rPr>
          <w:rFonts w:ascii="Arial" w:hAnsi="Arial" w:cs="Arial"/>
          <w:color w:val="808080" w:themeColor="background1" w:themeShade="80"/>
          <w:sz w:val="22"/>
          <w:szCs w:val="22"/>
          <w:lang w:val="en-GB"/>
        </w:rPr>
        <w:t>,</w:t>
      </w:r>
      <w:r w:rsidR="006856F3">
        <w:rPr>
          <w:rFonts w:ascii="Arial" w:hAnsi="Arial" w:cs="Arial"/>
          <w:color w:val="808080" w:themeColor="background1" w:themeShade="80"/>
          <w:sz w:val="22"/>
          <w:szCs w:val="22"/>
          <w:lang w:val="en-GB"/>
        </w:rPr>
        <w:t xml:space="preserve"> the substance of the law is similar.</w:t>
      </w:r>
    </w:p>
    <w:p w14:paraId="42D6456E" w14:textId="77777777" w:rsidR="00F47248" w:rsidRDefault="00F47248" w:rsidP="0040057A">
      <w:pPr>
        <w:ind w:left="720" w:hanging="720"/>
        <w:jc w:val="both"/>
        <w:rPr>
          <w:rFonts w:ascii="Arial" w:hAnsi="Arial" w:cs="Arial"/>
          <w:color w:val="808080" w:themeColor="background1" w:themeShade="80"/>
          <w:sz w:val="22"/>
          <w:szCs w:val="22"/>
          <w:lang w:val="en-GB"/>
        </w:rPr>
      </w:pPr>
    </w:p>
    <w:p w14:paraId="515E1F12" w14:textId="1FFB3BB5" w:rsidR="00F47248" w:rsidRPr="00CA448F" w:rsidRDefault="00F47248" w:rsidP="0055357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between the sale of mortgaged real property following a debtor default is that real property is in a financial free zone and if the real property is in “mainland” UAE is that in the financial zones right of sale </w:t>
      </w:r>
      <w:r w:rsidR="002C5B94">
        <w:rPr>
          <w:rFonts w:ascii="Arial" w:hAnsi="Arial" w:cs="Arial"/>
          <w:color w:val="808080" w:themeColor="background1" w:themeShade="80"/>
          <w:sz w:val="22"/>
          <w:szCs w:val="22"/>
          <w:lang w:val="en-GB"/>
        </w:rPr>
        <w:t xml:space="preserve">does not have to be enforced through the courts.  The creditor </w:t>
      </w:r>
      <w:r w:rsidR="007B4866">
        <w:rPr>
          <w:rFonts w:ascii="Arial" w:hAnsi="Arial" w:cs="Arial"/>
          <w:color w:val="808080" w:themeColor="background1" w:themeShade="80"/>
          <w:sz w:val="22"/>
          <w:szCs w:val="22"/>
          <w:lang w:val="en-GB"/>
        </w:rPr>
        <w:t xml:space="preserve">can sell and apply the proceeds of sale </w:t>
      </w:r>
      <w:r w:rsidR="00966BAD">
        <w:rPr>
          <w:rFonts w:ascii="Arial" w:hAnsi="Arial" w:cs="Arial"/>
          <w:color w:val="808080" w:themeColor="background1" w:themeShade="80"/>
          <w:sz w:val="22"/>
          <w:szCs w:val="22"/>
          <w:lang w:val="en-GB"/>
        </w:rPr>
        <w:t>in satisfaction of the mortgaged debt.  In the UAE any such creditor will have to enforce the right of sale through the court.</w:t>
      </w:r>
    </w:p>
    <w:p w14:paraId="43BB66E0" w14:textId="4B71E8ED" w:rsidR="00A334F9" w:rsidRDefault="00A334F9" w:rsidP="0040057A">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40057A">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40057A">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40057A">
      <w:pPr>
        <w:ind w:left="720" w:hanging="720"/>
        <w:jc w:val="both"/>
        <w:rPr>
          <w:rFonts w:ascii="Arial" w:hAnsi="Arial" w:cs="Arial"/>
          <w:sz w:val="22"/>
          <w:szCs w:val="22"/>
        </w:rPr>
      </w:pPr>
    </w:p>
    <w:p w14:paraId="589D300E" w14:textId="55A1E88D" w:rsidR="00651151" w:rsidRPr="00CA448F" w:rsidRDefault="00651151" w:rsidP="0040057A">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40057A">
      <w:pPr>
        <w:jc w:val="both"/>
        <w:rPr>
          <w:rFonts w:ascii="Arial" w:hAnsi="Arial" w:cs="Arial"/>
          <w:sz w:val="22"/>
          <w:szCs w:val="22"/>
          <w:lang w:val="en-GB"/>
        </w:rPr>
      </w:pPr>
    </w:p>
    <w:p w14:paraId="1BDCFC4D" w14:textId="3EA23161" w:rsidR="00651151" w:rsidRDefault="00651151" w:rsidP="0040057A">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40057A">
      <w:pPr>
        <w:jc w:val="both"/>
        <w:rPr>
          <w:rFonts w:ascii="Arial" w:hAnsi="Arial" w:cs="Arial"/>
          <w:sz w:val="22"/>
          <w:szCs w:val="22"/>
          <w:lang w:val="en-GB"/>
        </w:rPr>
      </w:pPr>
    </w:p>
    <w:p w14:paraId="07C7D272" w14:textId="00E68DAC" w:rsidR="00651151" w:rsidRDefault="00651151" w:rsidP="0040057A">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40057A">
      <w:pPr>
        <w:jc w:val="both"/>
        <w:rPr>
          <w:rFonts w:ascii="Arial" w:hAnsi="Arial" w:cs="Arial"/>
          <w:sz w:val="22"/>
          <w:szCs w:val="22"/>
          <w:lang w:val="en-GB"/>
        </w:rPr>
      </w:pPr>
    </w:p>
    <w:p w14:paraId="0F7C4547" w14:textId="4C285A13" w:rsidR="00651151" w:rsidRPr="006F58B3" w:rsidRDefault="00651151" w:rsidP="0040057A">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lastRenderedPageBreak/>
        <w:t>Confirmation of the primary determination as to whether a debtor’s proposal should be adopted;</w:t>
      </w:r>
    </w:p>
    <w:p w14:paraId="43146A66" w14:textId="77777777" w:rsidR="006F58B3" w:rsidRPr="006F58B3" w:rsidRDefault="006F58B3" w:rsidP="0040057A">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40057A">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40057A">
      <w:pPr>
        <w:ind w:left="720" w:hanging="720"/>
        <w:jc w:val="both"/>
        <w:rPr>
          <w:rFonts w:ascii="Arial" w:hAnsi="Arial" w:cs="Arial"/>
          <w:sz w:val="22"/>
          <w:szCs w:val="22"/>
        </w:rPr>
      </w:pPr>
    </w:p>
    <w:p w14:paraId="63350B14" w14:textId="5B4953F6" w:rsidR="00651151" w:rsidRDefault="00966BAD" w:rsidP="0040057A">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Answer</w:t>
      </w:r>
    </w:p>
    <w:p w14:paraId="01D17385" w14:textId="2C6ED472" w:rsidR="00966BAD" w:rsidRDefault="00966BAD" w:rsidP="0040057A">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The Court.</w:t>
      </w:r>
    </w:p>
    <w:p w14:paraId="49430DA2" w14:textId="07A8D7E4" w:rsidR="00966BAD" w:rsidRDefault="00020A86" w:rsidP="0040057A">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 Majority c</w:t>
      </w:r>
      <w:r w:rsidR="00966BAD">
        <w:rPr>
          <w:rFonts w:ascii="Arial" w:hAnsi="Arial" w:cs="Arial"/>
          <w:color w:val="808080" w:themeColor="background1" w:themeShade="80"/>
          <w:sz w:val="22"/>
          <w:szCs w:val="22"/>
        </w:rPr>
        <w:t xml:space="preserve">reditors </w:t>
      </w:r>
      <w:r w:rsidR="00EE144F">
        <w:rPr>
          <w:rFonts w:ascii="Arial" w:hAnsi="Arial" w:cs="Arial"/>
          <w:color w:val="808080" w:themeColor="background1" w:themeShade="80"/>
          <w:sz w:val="22"/>
          <w:szCs w:val="22"/>
        </w:rPr>
        <w:t>holding two thirds</w:t>
      </w:r>
      <w:r w:rsidR="00B05D36">
        <w:rPr>
          <w:rFonts w:ascii="Arial" w:hAnsi="Arial" w:cs="Arial"/>
          <w:color w:val="808080" w:themeColor="background1" w:themeShade="80"/>
          <w:sz w:val="22"/>
          <w:szCs w:val="22"/>
        </w:rPr>
        <w:t xml:space="preserve"> of the debtor’s debt </w:t>
      </w:r>
      <w:r w:rsidR="00966BAD">
        <w:rPr>
          <w:rFonts w:ascii="Arial" w:hAnsi="Arial" w:cs="Arial"/>
          <w:color w:val="808080" w:themeColor="background1" w:themeShade="80"/>
          <w:sz w:val="22"/>
          <w:szCs w:val="22"/>
        </w:rPr>
        <w:t>whose debt have been admitted</w:t>
      </w:r>
      <w:r>
        <w:rPr>
          <w:rFonts w:ascii="Arial" w:hAnsi="Arial" w:cs="Arial"/>
          <w:color w:val="808080" w:themeColor="background1" w:themeShade="80"/>
          <w:sz w:val="22"/>
          <w:szCs w:val="22"/>
        </w:rPr>
        <w:t xml:space="preserve"> </w:t>
      </w:r>
      <w:r w:rsidR="00B05D36">
        <w:rPr>
          <w:rFonts w:ascii="Arial" w:hAnsi="Arial" w:cs="Arial"/>
          <w:color w:val="808080" w:themeColor="background1" w:themeShade="80"/>
          <w:sz w:val="22"/>
          <w:szCs w:val="22"/>
        </w:rPr>
        <w:t>including those whose debt have been admitted temporarily.</w:t>
      </w:r>
    </w:p>
    <w:p w14:paraId="19CBB665" w14:textId="5C76E2AB" w:rsidR="002934F3" w:rsidRDefault="00931AED" w:rsidP="0040057A">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w:t>
      </w:r>
    </w:p>
    <w:p w14:paraId="39D5DC72" w14:textId="57E2B17B" w:rsidR="00931AED" w:rsidRPr="00966BAD" w:rsidRDefault="00931AED" w:rsidP="0040057A">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Trustee.</w:t>
      </w:r>
    </w:p>
    <w:p w14:paraId="115D0320" w14:textId="0B45D446" w:rsidR="00651151" w:rsidRDefault="00651151" w:rsidP="0040057A">
      <w:pPr>
        <w:ind w:left="720" w:hanging="720"/>
        <w:jc w:val="both"/>
        <w:rPr>
          <w:rFonts w:ascii="Arial" w:hAnsi="Arial" w:cs="Arial"/>
          <w:color w:val="808080" w:themeColor="background1" w:themeShade="80"/>
          <w:sz w:val="22"/>
          <w:szCs w:val="22"/>
        </w:rPr>
      </w:pPr>
    </w:p>
    <w:p w14:paraId="10ED3CB3" w14:textId="783E6C80" w:rsidR="006F58B3" w:rsidRDefault="006F58B3" w:rsidP="0040057A">
      <w:pPr>
        <w:ind w:left="720" w:hanging="720"/>
        <w:jc w:val="both"/>
        <w:rPr>
          <w:rFonts w:ascii="Arial" w:hAnsi="Arial" w:cs="Arial"/>
          <w:color w:val="808080" w:themeColor="background1" w:themeShade="80"/>
          <w:sz w:val="22"/>
          <w:szCs w:val="22"/>
        </w:rPr>
      </w:pPr>
    </w:p>
    <w:p w14:paraId="0DD563AA" w14:textId="4E5D194B" w:rsidR="006F58B3" w:rsidRDefault="006F58B3" w:rsidP="0040057A">
      <w:pPr>
        <w:ind w:left="720" w:hanging="720"/>
        <w:jc w:val="both"/>
        <w:rPr>
          <w:rFonts w:ascii="Arial" w:hAnsi="Arial" w:cs="Arial"/>
          <w:color w:val="808080" w:themeColor="background1" w:themeShade="80"/>
          <w:sz w:val="22"/>
          <w:szCs w:val="22"/>
        </w:rPr>
      </w:pPr>
    </w:p>
    <w:p w14:paraId="64A03659" w14:textId="7151E7F2" w:rsidR="006F58B3" w:rsidRDefault="006F58B3" w:rsidP="0040057A">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40057A">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40057A">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40057A">
      <w:pPr>
        <w:ind w:left="720" w:hanging="720"/>
        <w:jc w:val="both"/>
        <w:rPr>
          <w:rFonts w:ascii="Arial" w:hAnsi="Arial" w:cs="Arial"/>
          <w:b/>
          <w:bCs/>
          <w:sz w:val="22"/>
          <w:szCs w:val="22"/>
          <w:lang w:val="en-GB"/>
        </w:rPr>
      </w:pPr>
    </w:p>
    <w:p w14:paraId="480A5E93" w14:textId="2142AA9C" w:rsidR="00822751" w:rsidRPr="00CA448F" w:rsidRDefault="00651151" w:rsidP="0040057A">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40057A">
      <w:pPr>
        <w:jc w:val="both"/>
        <w:rPr>
          <w:rFonts w:ascii="Arial" w:hAnsi="Arial" w:cs="Arial"/>
          <w:color w:val="808080" w:themeColor="background1" w:themeShade="80"/>
          <w:sz w:val="22"/>
          <w:szCs w:val="22"/>
          <w:lang w:val="en-GB"/>
        </w:rPr>
      </w:pPr>
    </w:p>
    <w:p w14:paraId="50DAF75B" w14:textId="2D28783F" w:rsidR="00C72848" w:rsidRDefault="00931AED" w:rsidP="0040057A">
      <w:pPr>
        <w:jc w:val="both"/>
        <w:rPr>
          <w:rFonts w:ascii="Arial" w:hAnsi="Arial" w:cs="Arial"/>
          <w:color w:val="808080" w:themeColor="background1" w:themeShade="80"/>
          <w:sz w:val="22"/>
          <w:szCs w:val="22"/>
          <w:lang w:val="en-GB"/>
        </w:rPr>
      </w:pPr>
      <w:r w:rsidRPr="007061CB">
        <w:rPr>
          <w:rFonts w:ascii="Arial" w:hAnsi="Arial" w:cs="Arial"/>
          <w:color w:val="808080" w:themeColor="background1" w:themeShade="80"/>
          <w:sz w:val="22"/>
          <w:szCs w:val="22"/>
          <w:lang w:val="en-GB"/>
        </w:rPr>
        <w:t>Answer</w:t>
      </w:r>
    </w:p>
    <w:p w14:paraId="73FFD506" w14:textId="32C9C360" w:rsidR="007061CB" w:rsidRPr="007061CB" w:rsidRDefault="007061CB"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circumstances that could give rise to a debtor commencing preventative composition is that under which the debtor is obliged to apply to initiate bankruptcy proceedings.  The conditions are the debtor should not be subject to liquidation proceedings, the debtor should provide all information or funding required, the debtor should not have acted in bad faith or abused the court procedure for making an application and there has not been a judgement for dishonesty against the debtor.  In the case of bankruptcy proceedings the debtor should have been unable to meet its payment obligations for a period of 30 consecutive business days.</w:t>
      </w:r>
    </w:p>
    <w:p w14:paraId="00D8F8B8" w14:textId="573F9A16" w:rsidR="00651151" w:rsidRDefault="00651151" w:rsidP="0040057A">
      <w:pPr>
        <w:jc w:val="both"/>
        <w:rPr>
          <w:rFonts w:ascii="Arial" w:hAnsi="Arial" w:cs="Arial"/>
          <w:color w:val="808080" w:themeColor="background1" w:themeShade="80"/>
          <w:sz w:val="22"/>
          <w:szCs w:val="22"/>
          <w:lang w:val="en-GB"/>
        </w:rPr>
      </w:pPr>
    </w:p>
    <w:p w14:paraId="3E072ACA" w14:textId="77777777" w:rsidR="00E968BE" w:rsidRPr="00CA448F" w:rsidRDefault="00E968BE" w:rsidP="0040057A">
      <w:pPr>
        <w:jc w:val="both"/>
        <w:rPr>
          <w:rFonts w:ascii="Arial" w:hAnsi="Arial" w:cs="Arial"/>
          <w:color w:val="808080" w:themeColor="background1" w:themeShade="80"/>
          <w:sz w:val="22"/>
          <w:szCs w:val="22"/>
          <w:lang w:val="en-GB"/>
        </w:rPr>
      </w:pPr>
    </w:p>
    <w:p w14:paraId="25D57778" w14:textId="28C0BBC8" w:rsidR="00B52047" w:rsidRPr="00CA448F" w:rsidRDefault="00B52047" w:rsidP="0040057A">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40057A">
      <w:pPr>
        <w:jc w:val="both"/>
        <w:rPr>
          <w:rFonts w:ascii="Arial" w:hAnsi="Arial" w:cs="Arial"/>
          <w:bCs/>
          <w:color w:val="808080" w:themeColor="background1" w:themeShade="80"/>
          <w:sz w:val="22"/>
          <w:szCs w:val="22"/>
          <w:lang w:val="en-GB"/>
        </w:rPr>
      </w:pPr>
    </w:p>
    <w:p w14:paraId="212B0E9B" w14:textId="482EDEBA" w:rsidR="00B52047" w:rsidRPr="00CA448F" w:rsidRDefault="00B52047" w:rsidP="0040057A">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40057A">
      <w:pPr>
        <w:jc w:val="both"/>
        <w:rPr>
          <w:rFonts w:ascii="Arial" w:hAnsi="Arial" w:cs="Arial"/>
          <w:sz w:val="22"/>
          <w:szCs w:val="22"/>
          <w:lang w:val="en-GB"/>
        </w:rPr>
      </w:pPr>
    </w:p>
    <w:p w14:paraId="63A31AA1" w14:textId="602C88B4" w:rsidR="00B52047" w:rsidRDefault="000E78E0"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473F3DA4" w14:textId="40F7283F" w:rsidR="000E78E0" w:rsidRPr="00CA448F" w:rsidRDefault="000E78E0"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difference for a creditor regarding the commencement of Preventative Composition or Ban</w:t>
      </w:r>
      <w:r w:rsidR="001F2947">
        <w:rPr>
          <w:rFonts w:ascii="Arial" w:hAnsi="Arial" w:cs="Arial"/>
          <w:color w:val="808080" w:themeColor="background1" w:themeShade="80"/>
          <w:sz w:val="22"/>
          <w:szCs w:val="22"/>
          <w:lang w:val="en-GB"/>
        </w:rPr>
        <w:t>kruptcy of a debtor is that in the case of Preventative Composition the debtor will need to apply to the court but in the case of Bankruptcy the creditor is able to apply to commence the process.</w:t>
      </w:r>
    </w:p>
    <w:p w14:paraId="7D0F34CC" w14:textId="4B697F61" w:rsidR="00B52047" w:rsidRPr="00CA448F" w:rsidRDefault="00B52047" w:rsidP="0040057A">
      <w:pPr>
        <w:jc w:val="both"/>
        <w:rPr>
          <w:rFonts w:ascii="Arial" w:hAnsi="Arial" w:cs="Arial"/>
          <w:color w:val="808080" w:themeColor="background1" w:themeShade="80"/>
          <w:sz w:val="22"/>
          <w:szCs w:val="22"/>
          <w:lang w:val="en-GB"/>
        </w:rPr>
      </w:pPr>
    </w:p>
    <w:p w14:paraId="6F5579D9" w14:textId="77777777" w:rsidR="009D3340" w:rsidRPr="00CA448F" w:rsidRDefault="009D3340" w:rsidP="0040057A">
      <w:pPr>
        <w:jc w:val="both"/>
        <w:rPr>
          <w:rFonts w:ascii="Arial" w:hAnsi="Arial" w:cs="Arial"/>
          <w:bCs/>
          <w:color w:val="808080" w:themeColor="background1" w:themeShade="80"/>
          <w:sz w:val="22"/>
          <w:szCs w:val="22"/>
          <w:lang w:val="en-GB"/>
        </w:rPr>
      </w:pPr>
    </w:p>
    <w:p w14:paraId="2D0464E7" w14:textId="77777777" w:rsidR="00962045" w:rsidRPr="00CA448F" w:rsidRDefault="00DF75F8" w:rsidP="0040057A">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40057A">
      <w:pPr>
        <w:jc w:val="both"/>
        <w:rPr>
          <w:rFonts w:ascii="Arial" w:hAnsi="Arial" w:cs="Arial"/>
          <w:b/>
          <w:sz w:val="22"/>
          <w:szCs w:val="22"/>
          <w:lang w:val="en-GB"/>
        </w:rPr>
      </w:pPr>
    </w:p>
    <w:p w14:paraId="0AFD4235" w14:textId="3AC6596D" w:rsidR="0077431E" w:rsidRPr="00CA448F" w:rsidRDefault="0077431E" w:rsidP="0040057A">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40057A">
      <w:pPr>
        <w:jc w:val="both"/>
        <w:rPr>
          <w:rFonts w:ascii="Arial" w:hAnsi="Arial" w:cs="Arial"/>
          <w:sz w:val="22"/>
          <w:szCs w:val="22"/>
          <w:lang w:val="en-GB"/>
        </w:rPr>
      </w:pPr>
    </w:p>
    <w:p w14:paraId="7DC98B29" w14:textId="2CF6A959" w:rsidR="00C550C8" w:rsidRPr="00CA448F" w:rsidRDefault="0077431E" w:rsidP="0040057A">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40057A">
      <w:pPr>
        <w:jc w:val="both"/>
        <w:rPr>
          <w:rFonts w:ascii="Arial" w:hAnsi="Arial" w:cs="Arial"/>
          <w:sz w:val="22"/>
          <w:szCs w:val="22"/>
        </w:rPr>
      </w:pPr>
    </w:p>
    <w:p w14:paraId="0CA09841" w14:textId="4BFC3CA7" w:rsidR="001A45DB" w:rsidRDefault="00592610" w:rsidP="0040057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Answer</w:t>
      </w:r>
    </w:p>
    <w:p w14:paraId="251C1394" w14:textId="77777777" w:rsidR="00A913AA" w:rsidRDefault="00A913AA" w:rsidP="0040057A">
      <w:pPr>
        <w:jc w:val="both"/>
        <w:rPr>
          <w:rFonts w:ascii="Arial" w:hAnsi="Arial" w:cs="Arial"/>
          <w:color w:val="808080" w:themeColor="background1" w:themeShade="80"/>
          <w:sz w:val="22"/>
          <w:szCs w:val="22"/>
        </w:rPr>
      </w:pPr>
    </w:p>
    <w:p w14:paraId="4127C851" w14:textId="06C82150" w:rsidR="00A913AA" w:rsidRDefault="00A913AA" w:rsidP="0040057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Bankruptcy Law applies to the following entities:</w:t>
      </w:r>
    </w:p>
    <w:p w14:paraId="50C092AF" w14:textId="7B41D345" w:rsidR="00A913AA" w:rsidRDefault="00A913AA" w:rsidP="0040057A">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Companies governed by the Commercial Companies Law.</w:t>
      </w:r>
    </w:p>
    <w:p w14:paraId="28EF3144" w14:textId="57FFADDD" w:rsidR="00A913AA" w:rsidRDefault="00A913AA" w:rsidP="0040057A">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Companies set up under other legislation who are subject </w:t>
      </w:r>
      <w:r w:rsidR="0031595C">
        <w:rPr>
          <w:rFonts w:ascii="Arial" w:hAnsi="Arial" w:cs="Arial"/>
          <w:color w:val="808080" w:themeColor="background1" w:themeShade="80"/>
          <w:sz w:val="22"/>
          <w:szCs w:val="22"/>
        </w:rPr>
        <w:t>the Bankruptcy law voluntarily or by law.</w:t>
      </w:r>
    </w:p>
    <w:p w14:paraId="67A8F659" w14:textId="3E9EA12C" w:rsidR="0031595C" w:rsidRDefault="0031595C" w:rsidP="0040057A">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Free zone companies and establishments excluding those in the financial free zones i.e. Dubai and Abu Dhabi.</w:t>
      </w:r>
    </w:p>
    <w:p w14:paraId="6699E83A" w14:textId="703B7129" w:rsidR="0031595C" w:rsidRDefault="0031595C" w:rsidP="0040057A">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Traders</w:t>
      </w:r>
    </w:p>
    <w:p w14:paraId="396EF1B5" w14:textId="3369BC6D" w:rsidR="0031595C" w:rsidRDefault="0031595C" w:rsidP="0040057A">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Licensed civil companies of a professional </w:t>
      </w:r>
      <w:r w:rsidR="00C01972">
        <w:rPr>
          <w:rFonts w:ascii="Arial" w:hAnsi="Arial" w:cs="Arial"/>
          <w:color w:val="808080" w:themeColor="background1" w:themeShade="80"/>
          <w:sz w:val="22"/>
          <w:szCs w:val="22"/>
        </w:rPr>
        <w:t>nature.</w:t>
      </w:r>
    </w:p>
    <w:p w14:paraId="676F49A9" w14:textId="78940B1C" w:rsidR="00C01972" w:rsidRDefault="00C01972" w:rsidP="0040057A">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State owned companies that have opted into the application of the Bankruptcy Law.</w:t>
      </w:r>
    </w:p>
    <w:p w14:paraId="7A6E67E1" w14:textId="68FAFC33" w:rsidR="00C01972" w:rsidRPr="00C01972" w:rsidRDefault="00C01972" w:rsidP="0040057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terms of how the Bankruptcy Law have been received in the UAE very few applications have been dealt with under it.  However, it can be said that it has made</w:t>
      </w:r>
      <w:r w:rsidR="00A8267F">
        <w:rPr>
          <w:rFonts w:ascii="Arial" w:hAnsi="Arial" w:cs="Arial"/>
          <w:color w:val="808080" w:themeColor="background1" w:themeShade="80"/>
          <w:sz w:val="22"/>
          <w:szCs w:val="22"/>
        </w:rPr>
        <w:t xml:space="preserve"> negotiations between debtors and creditors to take place with more degree of certainty.</w:t>
      </w:r>
    </w:p>
    <w:p w14:paraId="28BFBABC" w14:textId="77777777" w:rsidR="001A45DB" w:rsidRPr="00CA448F" w:rsidRDefault="001A45DB" w:rsidP="0040057A">
      <w:pPr>
        <w:jc w:val="both"/>
        <w:rPr>
          <w:rFonts w:ascii="Arial" w:hAnsi="Arial" w:cs="Arial"/>
          <w:color w:val="808080" w:themeColor="background1" w:themeShade="80"/>
          <w:sz w:val="22"/>
          <w:szCs w:val="22"/>
        </w:rPr>
      </w:pPr>
    </w:p>
    <w:p w14:paraId="0A971952" w14:textId="159C1DB2" w:rsidR="00DF75F8" w:rsidRPr="00CA448F" w:rsidRDefault="00DF75F8" w:rsidP="0040057A">
      <w:pPr>
        <w:jc w:val="both"/>
        <w:rPr>
          <w:rFonts w:ascii="Arial" w:hAnsi="Arial" w:cs="Arial"/>
          <w:sz w:val="22"/>
          <w:szCs w:val="22"/>
          <w:lang w:val="en-GB"/>
        </w:rPr>
      </w:pPr>
    </w:p>
    <w:p w14:paraId="2E3527DA" w14:textId="61B44B04" w:rsidR="00D17FDC" w:rsidRPr="00CA448F" w:rsidRDefault="00F76A65" w:rsidP="0040057A">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40057A">
      <w:pPr>
        <w:jc w:val="both"/>
        <w:rPr>
          <w:rFonts w:ascii="Arial" w:hAnsi="Arial" w:cs="Arial"/>
          <w:sz w:val="22"/>
          <w:szCs w:val="22"/>
          <w:shd w:val="clear" w:color="auto" w:fill="FFFFFF"/>
        </w:rPr>
      </w:pPr>
    </w:p>
    <w:p w14:paraId="0164DF66" w14:textId="24F2BAA8" w:rsidR="00F76A65" w:rsidRPr="00CA448F" w:rsidRDefault="00F76A65" w:rsidP="0040057A">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40057A">
      <w:pPr>
        <w:jc w:val="both"/>
        <w:rPr>
          <w:rFonts w:ascii="Arial" w:hAnsi="Arial" w:cs="Arial"/>
          <w:sz w:val="22"/>
          <w:szCs w:val="22"/>
          <w:lang w:val="en-GB"/>
        </w:rPr>
      </w:pPr>
    </w:p>
    <w:p w14:paraId="2DD624B3" w14:textId="00F685F2" w:rsidR="001A45DB" w:rsidRDefault="0040057A"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0C7D4AA4" w14:textId="311AC473" w:rsidR="0040057A" w:rsidRDefault="0040057A"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in the UAE is required to actively engage in restructuring in bankruptcy proceedings in several respect</w:t>
      </w:r>
      <w:r w:rsidR="00553571">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It should be noted that Bankruptcy is covered by the Bankruptcy Act of 2016 as amended.  Restructuring is one of the two possible outcomes to an application by a debtor for the start of bankruptcy proceedings under Article 67 of the Bankruptcy Act, the other being liquidation once bankruptcy has been declared.  It should be noted that restructuring is an alternative to liquidation and can be initiated by either a debtor or creditor.</w:t>
      </w:r>
    </w:p>
    <w:p w14:paraId="1E88277B" w14:textId="685F674F" w:rsidR="0040057A" w:rsidRDefault="0040057A" w:rsidP="0040057A">
      <w:pPr>
        <w:jc w:val="both"/>
        <w:rPr>
          <w:rFonts w:ascii="Arial" w:hAnsi="Arial" w:cs="Arial"/>
          <w:color w:val="808080" w:themeColor="background1" w:themeShade="80"/>
          <w:sz w:val="22"/>
          <w:szCs w:val="22"/>
          <w:lang w:val="en-GB"/>
        </w:rPr>
      </w:pPr>
    </w:p>
    <w:p w14:paraId="2FC3B102" w14:textId="06E78AC0" w:rsidR="0040057A" w:rsidRDefault="0040057A"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debtor can file for bankruptcy proceedings if the debtor has failed to meet its payment obligations for 30 consecutive business days.  The debtor is obliged to give 15 day notice to a “competent controlling body” if this applies.  It should be noted that under the Federal Decree Law 21 of 2020 there is a suspension of such applications by the debtor between the 1</w:t>
      </w:r>
      <w:r w:rsidRPr="0040057A">
        <w:rPr>
          <w:rFonts w:ascii="Arial" w:hAnsi="Arial" w:cs="Arial"/>
          <w:color w:val="808080" w:themeColor="background1" w:themeShade="80"/>
          <w:sz w:val="22"/>
          <w:szCs w:val="22"/>
          <w:vertAlign w:val="superscript"/>
          <w:lang w:val="en-GB"/>
        </w:rPr>
        <w:t>st</w:t>
      </w:r>
      <w:r>
        <w:rPr>
          <w:rFonts w:ascii="Arial" w:hAnsi="Arial" w:cs="Arial"/>
          <w:color w:val="808080" w:themeColor="background1" w:themeShade="80"/>
          <w:sz w:val="22"/>
          <w:szCs w:val="22"/>
          <w:lang w:val="en-GB"/>
        </w:rPr>
        <w:t xml:space="preserve"> of April 2020 to the 31</w:t>
      </w:r>
      <w:r w:rsidRPr="0040057A">
        <w:rPr>
          <w:rFonts w:ascii="Arial" w:hAnsi="Arial" w:cs="Arial"/>
          <w:color w:val="808080" w:themeColor="background1" w:themeShade="80"/>
          <w:sz w:val="22"/>
          <w:szCs w:val="22"/>
          <w:vertAlign w:val="superscript"/>
          <w:lang w:val="en-GB"/>
        </w:rPr>
        <w:t>st</w:t>
      </w:r>
      <w:r>
        <w:rPr>
          <w:rFonts w:ascii="Arial" w:hAnsi="Arial" w:cs="Arial"/>
          <w:color w:val="808080" w:themeColor="background1" w:themeShade="80"/>
          <w:sz w:val="22"/>
          <w:szCs w:val="22"/>
          <w:lang w:val="en-GB"/>
        </w:rPr>
        <w:t xml:space="preserve"> of July 2021.  This is aimed at the provision of some relief to debtors if such financial distress is as a result of the COVID pandemic.</w:t>
      </w:r>
    </w:p>
    <w:p w14:paraId="690BF3F0" w14:textId="77777777" w:rsidR="0040057A" w:rsidRDefault="0040057A" w:rsidP="0040057A">
      <w:pPr>
        <w:jc w:val="both"/>
        <w:rPr>
          <w:rFonts w:ascii="Arial" w:hAnsi="Arial" w:cs="Arial"/>
          <w:color w:val="808080" w:themeColor="background1" w:themeShade="80"/>
          <w:sz w:val="22"/>
          <w:szCs w:val="22"/>
          <w:lang w:val="en-GB"/>
        </w:rPr>
      </w:pPr>
    </w:p>
    <w:p w14:paraId="2F0B226F" w14:textId="6B64919F" w:rsidR="0040057A" w:rsidRDefault="0040057A"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UAE courts </w:t>
      </w:r>
      <w:r w:rsidR="00553571">
        <w:rPr>
          <w:rFonts w:ascii="Arial" w:hAnsi="Arial" w:cs="Arial"/>
          <w:color w:val="808080" w:themeColor="background1" w:themeShade="80"/>
          <w:sz w:val="22"/>
          <w:szCs w:val="22"/>
          <w:lang w:val="en-GB"/>
        </w:rPr>
        <w:t>are</w:t>
      </w:r>
      <w:r>
        <w:rPr>
          <w:rFonts w:ascii="Arial" w:hAnsi="Arial" w:cs="Arial"/>
          <w:color w:val="808080" w:themeColor="background1" w:themeShade="80"/>
          <w:sz w:val="22"/>
          <w:szCs w:val="22"/>
          <w:lang w:val="en-GB"/>
        </w:rPr>
        <w:t xml:space="preserve"> empowered on an application by a debtor to grant the debtor a 40 day grace period to negotiate a settlement of its debts with its creditors under Article 170 of the 2020 Bankruptcy Law Amendment.  This is a relatively short period of time to positively influence t</w:t>
      </w:r>
      <w:r w:rsidR="00553571">
        <w:rPr>
          <w:rFonts w:ascii="Arial" w:hAnsi="Arial" w:cs="Arial"/>
          <w:color w:val="808080" w:themeColor="background1" w:themeShade="80"/>
          <w:sz w:val="22"/>
          <w:szCs w:val="22"/>
          <w:lang w:val="en-GB"/>
        </w:rPr>
        <w:t xml:space="preserve">he </w:t>
      </w:r>
      <w:r>
        <w:rPr>
          <w:rFonts w:ascii="Arial" w:hAnsi="Arial" w:cs="Arial"/>
          <w:color w:val="808080" w:themeColor="background1" w:themeShade="80"/>
          <w:sz w:val="22"/>
          <w:szCs w:val="22"/>
          <w:lang w:val="en-GB"/>
        </w:rPr>
        <w:t xml:space="preserve">outcome of such negotiations. </w:t>
      </w:r>
    </w:p>
    <w:p w14:paraId="7356D6EA" w14:textId="657FB3EF" w:rsidR="0040057A" w:rsidRDefault="0040057A" w:rsidP="0040057A">
      <w:pPr>
        <w:jc w:val="both"/>
        <w:rPr>
          <w:rFonts w:ascii="Arial" w:hAnsi="Arial" w:cs="Arial"/>
          <w:color w:val="808080" w:themeColor="background1" w:themeShade="80"/>
          <w:sz w:val="22"/>
          <w:szCs w:val="22"/>
          <w:lang w:val="en-GB"/>
        </w:rPr>
      </w:pPr>
    </w:p>
    <w:p w14:paraId="6F26CB70" w14:textId="0C337E6C" w:rsidR="0040057A" w:rsidRDefault="0040057A"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the making of an application for bankruptcy, the Court is obliged to appoint an expert to assess the financial situation of debtor under Article 76. Under the Court’s mandate the expert is obliged to report on the debtor’s financial situation and give an opinion on the possibility of the debtor’s successful restructuring.</w:t>
      </w:r>
    </w:p>
    <w:p w14:paraId="7BE49EB4" w14:textId="0CA959FA" w:rsidR="00B24FC6" w:rsidRDefault="00B24FC6" w:rsidP="0040057A">
      <w:pPr>
        <w:jc w:val="both"/>
        <w:rPr>
          <w:rFonts w:ascii="Arial" w:hAnsi="Arial" w:cs="Arial"/>
          <w:color w:val="808080" w:themeColor="background1" w:themeShade="80"/>
          <w:sz w:val="22"/>
          <w:szCs w:val="22"/>
          <w:lang w:val="en-GB"/>
        </w:rPr>
      </w:pPr>
    </w:p>
    <w:p w14:paraId="57ED8597" w14:textId="339BAE8B" w:rsidR="00B24FC6" w:rsidRDefault="00B24FC6"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an automatic moratorium on the commencement of legal actions against the debtor once bankruptcy has commenced until the approval of a restructuring plan or 10 months following the court’s decision to open bankruptcy proceedings.  Under Article 162 the court acting in consultation with the trustee can extend this period for a further 4 months.</w:t>
      </w:r>
    </w:p>
    <w:p w14:paraId="7683EBFA" w14:textId="3E00BBB9" w:rsidR="001374EB" w:rsidRDefault="001374EB" w:rsidP="0040057A">
      <w:pPr>
        <w:jc w:val="both"/>
        <w:rPr>
          <w:rFonts w:ascii="Arial" w:hAnsi="Arial" w:cs="Arial"/>
          <w:color w:val="808080" w:themeColor="background1" w:themeShade="80"/>
          <w:sz w:val="22"/>
          <w:szCs w:val="22"/>
          <w:lang w:val="en-GB"/>
        </w:rPr>
      </w:pPr>
    </w:p>
    <w:p w14:paraId="3D2E833F" w14:textId="76AB574E" w:rsidR="001374EB" w:rsidRDefault="001374EB"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also important to note that the commencement of restructuring procedures suspends any criminal action concerning dishonoured cheques including against the signatory of the cheque.</w:t>
      </w:r>
    </w:p>
    <w:p w14:paraId="2641331D" w14:textId="2E52A90B" w:rsidR="001374EB" w:rsidRDefault="001374EB" w:rsidP="0040057A">
      <w:pPr>
        <w:jc w:val="both"/>
        <w:rPr>
          <w:rFonts w:ascii="Arial" w:hAnsi="Arial" w:cs="Arial"/>
          <w:color w:val="808080" w:themeColor="background1" w:themeShade="80"/>
          <w:sz w:val="22"/>
          <w:szCs w:val="22"/>
          <w:lang w:val="en-GB"/>
        </w:rPr>
      </w:pPr>
    </w:p>
    <w:p w14:paraId="342BC5BE" w14:textId="74E5CABF" w:rsidR="001374EB" w:rsidRDefault="001374EB"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Secure creditors are required to obtain the court’s permission to enable them to enforce their security provided the conditions for the court granting such an order are met.  The right of secure creditors to enforce their security is not automatic.</w:t>
      </w:r>
    </w:p>
    <w:p w14:paraId="2EA00018" w14:textId="4B305230" w:rsidR="001374EB" w:rsidRDefault="001374EB" w:rsidP="0040057A">
      <w:pPr>
        <w:jc w:val="both"/>
        <w:rPr>
          <w:rFonts w:ascii="Arial" w:hAnsi="Arial" w:cs="Arial"/>
          <w:color w:val="808080" w:themeColor="background1" w:themeShade="80"/>
          <w:sz w:val="22"/>
          <w:szCs w:val="22"/>
          <w:lang w:val="en-GB"/>
        </w:rPr>
      </w:pPr>
    </w:p>
    <w:p w14:paraId="17CDE17E" w14:textId="6E577731" w:rsidR="001374EB" w:rsidRDefault="001374EB" w:rsidP="0040057A">
      <w:pPr>
        <w:jc w:val="both"/>
        <w:rPr>
          <w:rFonts w:ascii="Arial" w:hAnsi="Arial" w:cs="Arial"/>
          <w:color w:val="808080" w:themeColor="background1" w:themeShade="80"/>
          <w:sz w:val="22"/>
          <w:szCs w:val="22"/>
          <w:lang w:val="en-GB"/>
        </w:rPr>
      </w:pPr>
    </w:p>
    <w:p w14:paraId="3EFFC0A7" w14:textId="748EA095" w:rsidR="001374EB" w:rsidRDefault="001374EB" w:rsidP="0040057A">
      <w:pPr>
        <w:jc w:val="both"/>
        <w:rPr>
          <w:rFonts w:ascii="Arial" w:hAnsi="Arial" w:cs="Arial"/>
          <w:color w:val="808080" w:themeColor="background1" w:themeShade="80"/>
          <w:sz w:val="22"/>
          <w:szCs w:val="22"/>
          <w:lang w:val="en-GB"/>
        </w:rPr>
      </w:pPr>
    </w:p>
    <w:p w14:paraId="1EB3583C" w14:textId="2C847F60" w:rsidR="001374EB" w:rsidRDefault="001374EB"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the submission of the trustee’s report to the Court, it should be noted that the Court will consider the option of restructuring as opposed to liquidation unless it considers liquidation to be appropriate.  The reverse is not the case.</w:t>
      </w:r>
    </w:p>
    <w:p w14:paraId="721740FE" w14:textId="0125362E" w:rsidR="001374EB" w:rsidRDefault="001374EB" w:rsidP="0040057A">
      <w:pPr>
        <w:jc w:val="both"/>
        <w:rPr>
          <w:rFonts w:ascii="Arial" w:hAnsi="Arial" w:cs="Arial"/>
          <w:color w:val="808080" w:themeColor="background1" w:themeShade="80"/>
          <w:sz w:val="22"/>
          <w:szCs w:val="22"/>
          <w:lang w:val="en-GB"/>
        </w:rPr>
      </w:pPr>
    </w:p>
    <w:p w14:paraId="0B9C3764" w14:textId="5AB76129" w:rsidR="001374EB" w:rsidRDefault="001374EB"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Court’s decision concerning the restructuring of a company following application or bankruptcy is final under Article 108.  It should be noted that there are guidelines that the Court is obliged to following in the making of such determination.  The rights of the secure creditor is not affected by the implementation of the restructuring scheme.  However, the debtor is able to offer alternate security to such a secured creditor which the secure creditor can accept or reject.  If rejected the Court can compel the secure creditor to accept it if it considers the alternate security is of equal value to the existing security and such a decision would not prejudice the creditor.</w:t>
      </w:r>
    </w:p>
    <w:p w14:paraId="48175A3B" w14:textId="42ED5855" w:rsidR="001374EB" w:rsidRDefault="001374EB" w:rsidP="0040057A">
      <w:pPr>
        <w:jc w:val="both"/>
        <w:rPr>
          <w:rFonts w:ascii="Arial" w:hAnsi="Arial" w:cs="Arial"/>
          <w:color w:val="808080" w:themeColor="background1" w:themeShade="80"/>
          <w:sz w:val="22"/>
          <w:szCs w:val="22"/>
          <w:lang w:val="en-GB"/>
        </w:rPr>
      </w:pPr>
    </w:p>
    <w:p w14:paraId="266298FC" w14:textId="3D7943F6" w:rsidR="001374EB" w:rsidRDefault="001374EB"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All of the above demonstrate how the court is obliged to engage in restructuring upon the application for bankruptcy by a debtor.</w:t>
      </w:r>
    </w:p>
    <w:p w14:paraId="7030F913" w14:textId="21D03D66" w:rsidR="001374EB" w:rsidRDefault="001374EB" w:rsidP="0040057A">
      <w:pPr>
        <w:jc w:val="both"/>
        <w:rPr>
          <w:rFonts w:ascii="Arial" w:hAnsi="Arial" w:cs="Arial"/>
          <w:color w:val="808080" w:themeColor="background1" w:themeShade="80"/>
          <w:sz w:val="22"/>
          <w:szCs w:val="22"/>
          <w:lang w:val="en-GB"/>
        </w:rPr>
      </w:pPr>
    </w:p>
    <w:p w14:paraId="4CD03052" w14:textId="77777777" w:rsidR="001374EB" w:rsidRDefault="001374EB" w:rsidP="0040057A">
      <w:pPr>
        <w:jc w:val="both"/>
        <w:rPr>
          <w:rFonts w:ascii="Arial" w:hAnsi="Arial" w:cs="Arial"/>
          <w:color w:val="808080" w:themeColor="background1" w:themeShade="80"/>
          <w:sz w:val="22"/>
          <w:szCs w:val="22"/>
          <w:lang w:val="en-GB"/>
        </w:rPr>
      </w:pPr>
    </w:p>
    <w:p w14:paraId="0C4F4E02" w14:textId="59705839" w:rsidR="001374EB" w:rsidRDefault="001374EB" w:rsidP="0040057A">
      <w:pPr>
        <w:jc w:val="both"/>
        <w:rPr>
          <w:rFonts w:ascii="Arial" w:hAnsi="Arial" w:cs="Arial"/>
          <w:color w:val="808080" w:themeColor="background1" w:themeShade="80"/>
          <w:sz w:val="22"/>
          <w:szCs w:val="22"/>
          <w:lang w:val="en-GB"/>
        </w:rPr>
      </w:pPr>
    </w:p>
    <w:p w14:paraId="45F57712" w14:textId="77777777" w:rsidR="001374EB" w:rsidRPr="00CA448F" w:rsidRDefault="001374EB" w:rsidP="0040057A">
      <w:pPr>
        <w:jc w:val="both"/>
        <w:rPr>
          <w:rFonts w:ascii="Arial" w:hAnsi="Arial" w:cs="Arial"/>
          <w:color w:val="808080" w:themeColor="background1" w:themeShade="80"/>
          <w:sz w:val="22"/>
          <w:szCs w:val="22"/>
          <w:lang w:val="en-GB"/>
        </w:rPr>
      </w:pPr>
    </w:p>
    <w:p w14:paraId="7FF1F163" w14:textId="7FC6572D" w:rsidR="001A45DB" w:rsidRPr="00CA448F" w:rsidRDefault="001A45DB" w:rsidP="0040057A">
      <w:pPr>
        <w:jc w:val="both"/>
        <w:rPr>
          <w:rFonts w:ascii="Arial" w:hAnsi="Arial" w:cs="Arial"/>
          <w:color w:val="808080" w:themeColor="background1" w:themeShade="80"/>
          <w:sz w:val="22"/>
          <w:szCs w:val="22"/>
          <w:lang w:val="en-GB"/>
        </w:rPr>
      </w:pPr>
    </w:p>
    <w:p w14:paraId="770B4F0F" w14:textId="5D0C8B91" w:rsidR="001A45DB" w:rsidRPr="00CA448F" w:rsidRDefault="001A45DB" w:rsidP="0040057A">
      <w:pPr>
        <w:jc w:val="both"/>
        <w:rPr>
          <w:rFonts w:ascii="Arial" w:hAnsi="Arial" w:cs="Arial"/>
          <w:sz w:val="22"/>
          <w:szCs w:val="22"/>
          <w:shd w:val="clear" w:color="auto" w:fill="FFFFFF"/>
        </w:rPr>
      </w:pPr>
    </w:p>
    <w:p w14:paraId="2DFE3209" w14:textId="6D58F469" w:rsidR="00122F36" w:rsidRPr="00CA448F" w:rsidRDefault="00122F36" w:rsidP="0040057A">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40057A">
      <w:pPr>
        <w:jc w:val="both"/>
        <w:rPr>
          <w:rFonts w:ascii="Arial" w:hAnsi="Arial" w:cs="Arial"/>
          <w:sz w:val="22"/>
          <w:szCs w:val="22"/>
          <w:shd w:val="clear" w:color="auto" w:fill="FFFFFF"/>
        </w:rPr>
      </w:pPr>
    </w:p>
    <w:p w14:paraId="24020BB9" w14:textId="766E0D06" w:rsidR="00122F36" w:rsidRPr="00CA448F" w:rsidRDefault="001A45DB" w:rsidP="0040057A">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40057A">
      <w:pPr>
        <w:jc w:val="both"/>
        <w:rPr>
          <w:rFonts w:ascii="Arial" w:hAnsi="Arial" w:cs="Arial"/>
          <w:sz w:val="22"/>
          <w:szCs w:val="22"/>
          <w:shd w:val="clear" w:color="auto" w:fill="FFFFFF"/>
        </w:rPr>
      </w:pPr>
    </w:p>
    <w:p w14:paraId="718EECD5" w14:textId="06430F7A" w:rsidR="001A45DB" w:rsidRDefault="000128DB" w:rsidP="0040057A">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Answer</w:t>
      </w:r>
    </w:p>
    <w:p w14:paraId="55B57BFC" w14:textId="2E624305" w:rsidR="000128DB" w:rsidRDefault="000128DB" w:rsidP="0040057A">
      <w:pPr>
        <w:jc w:val="both"/>
        <w:rPr>
          <w:rFonts w:ascii="Arial" w:hAnsi="Arial" w:cs="Arial"/>
          <w:color w:val="808080" w:themeColor="background1" w:themeShade="80"/>
          <w:sz w:val="22"/>
          <w:szCs w:val="22"/>
          <w:shd w:val="clear" w:color="auto" w:fill="FFFFFF"/>
        </w:rPr>
      </w:pPr>
    </w:p>
    <w:p w14:paraId="0AB1F3CE" w14:textId="5B103075" w:rsidR="000128DB" w:rsidRDefault="00D83563" w:rsidP="0040057A">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The UAE insolvency system involves the forced compromise of individual creditor claims, it is true that the courts involvement is to ensure that the rights of all parties including the individual creditors are protected one of the mechanisms for achieving this is the emphasis on the court’s involvement </w:t>
      </w:r>
      <w:r w:rsidR="0081129B">
        <w:rPr>
          <w:rFonts w:ascii="Arial" w:hAnsi="Arial" w:cs="Arial"/>
          <w:color w:val="808080" w:themeColor="background1" w:themeShade="80"/>
          <w:sz w:val="22"/>
          <w:szCs w:val="22"/>
          <w:shd w:val="clear" w:color="auto" w:fill="FFFFFF"/>
        </w:rPr>
        <w:t xml:space="preserve">in such proceedings.  </w:t>
      </w:r>
      <w:r w:rsidR="00CE1DCF">
        <w:rPr>
          <w:rFonts w:ascii="Arial" w:hAnsi="Arial" w:cs="Arial"/>
          <w:color w:val="808080" w:themeColor="background1" w:themeShade="80"/>
          <w:sz w:val="22"/>
          <w:szCs w:val="22"/>
          <w:shd w:val="clear" w:color="auto" w:fill="FFFFFF"/>
        </w:rPr>
        <w:t>There are a number of examples of such court involvement.  The decision as to whether restructuring is appropriate is made by the court upon the preparation of the scheme by the trustee under Article 103. Any variation of the scheme is done by a majority of creditors but also needs to be approved by the court.  The implementation of the scheme is dependent on the court’s approval.</w:t>
      </w:r>
    </w:p>
    <w:p w14:paraId="171FE6F3" w14:textId="3DEBC814" w:rsidR="00CE1DCF" w:rsidRDefault="00CE1DCF" w:rsidP="0040057A">
      <w:pPr>
        <w:jc w:val="both"/>
        <w:rPr>
          <w:rFonts w:ascii="Arial" w:hAnsi="Arial" w:cs="Arial"/>
          <w:color w:val="808080" w:themeColor="background1" w:themeShade="80"/>
          <w:sz w:val="22"/>
          <w:szCs w:val="22"/>
          <w:shd w:val="clear" w:color="auto" w:fill="FFFFFF"/>
        </w:rPr>
      </w:pPr>
    </w:p>
    <w:p w14:paraId="19676BE7" w14:textId="22B232F6" w:rsidR="00CE1DCF" w:rsidRPr="00CA448F" w:rsidRDefault="00CE1DCF" w:rsidP="0040057A">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Although the level of involvement by the court seems burdensome, such scrutiny by the court is necessary to ensure that the process and rules are correctly applied and the aim of restructuring is achieved and to avoid any abuse of the system.</w:t>
      </w:r>
    </w:p>
    <w:p w14:paraId="603872A3" w14:textId="7092CF06" w:rsidR="001A45DB" w:rsidRPr="00CA448F" w:rsidRDefault="001A45DB" w:rsidP="0040057A">
      <w:pPr>
        <w:jc w:val="both"/>
        <w:rPr>
          <w:rFonts w:ascii="Arial" w:hAnsi="Arial" w:cs="Arial"/>
          <w:color w:val="808080" w:themeColor="background1" w:themeShade="80"/>
          <w:sz w:val="22"/>
          <w:szCs w:val="22"/>
          <w:shd w:val="clear" w:color="auto" w:fill="FFFFFF"/>
        </w:rPr>
      </w:pPr>
    </w:p>
    <w:p w14:paraId="5921E84C" w14:textId="7E21B68A" w:rsidR="0077431E" w:rsidRDefault="0077431E" w:rsidP="0040057A">
      <w:pPr>
        <w:jc w:val="both"/>
        <w:rPr>
          <w:rFonts w:ascii="Arial" w:hAnsi="Arial" w:cs="Arial"/>
          <w:sz w:val="22"/>
          <w:szCs w:val="22"/>
          <w:shd w:val="clear" w:color="auto" w:fill="FFFFFF"/>
        </w:rPr>
      </w:pPr>
    </w:p>
    <w:p w14:paraId="6E64D493" w14:textId="2D3C02C4" w:rsidR="00224E71" w:rsidRDefault="00224E71" w:rsidP="0040057A">
      <w:pPr>
        <w:jc w:val="both"/>
        <w:rPr>
          <w:rFonts w:ascii="Arial" w:hAnsi="Arial" w:cs="Arial"/>
          <w:sz w:val="22"/>
          <w:szCs w:val="22"/>
          <w:shd w:val="clear" w:color="auto" w:fill="FFFFFF"/>
        </w:rPr>
      </w:pPr>
    </w:p>
    <w:p w14:paraId="7242DA50" w14:textId="09BE2959" w:rsidR="00224E71" w:rsidRDefault="00224E71" w:rsidP="0040057A">
      <w:pPr>
        <w:jc w:val="both"/>
        <w:rPr>
          <w:rFonts w:ascii="Arial" w:hAnsi="Arial" w:cs="Arial"/>
          <w:sz w:val="22"/>
          <w:szCs w:val="22"/>
          <w:shd w:val="clear" w:color="auto" w:fill="FFFFFF"/>
        </w:rPr>
      </w:pPr>
    </w:p>
    <w:p w14:paraId="5F44FF97" w14:textId="77777777" w:rsidR="00224E71" w:rsidRPr="00CA448F" w:rsidRDefault="00224E71" w:rsidP="0040057A">
      <w:pPr>
        <w:jc w:val="both"/>
        <w:rPr>
          <w:rFonts w:ascii="Arial" w:hAnsi="Arial" w:cs="Arial"/>
          <w:sz w:val="22"/>
          <w:szCs w:val="22"/>
          <w:shd w:val="clear" w:color="auto" w:fill="FFFFFF"/>
        </w:rPr>
      </w:pPr>
    </w:p>
    <w:p w14:paraId="48469270" w14:textId="1F769F16" w:rsidR="009B0723" w:rsidRPr="00CA448F" w:rsidRDefault="00DF75F8" w:rsidP="0040057A">
      <w:pPr>
        <w:jc w:val="both"/>
        <w:rPr>
          <w:rFonts w:ascii="Arial" w:hAnsi="Arial" w:cs="Arial"/>
          <w:b/>
          <w:sz w:val="22"/>
          <w:szCs w:val="22"/>
          <w:lang w:val="en-GB"/>
        </w:rPr>
      </w:pPr>
      <w:r w:rsidRPr="00CA448F">
        <w:rPr>
          <w:rFonts w:ascii="Arial" w:hAnsi="Arial" w:cs="Arial"/>
          <w:b/>
          <w:sz w:val="22"/>
          <w:szCs w:val="22"/>
          <w:lang w:val="en-GB"/>
        </w:rPr>
        <w:lastRenderedPageBreak/>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40057A">
      <w:pPr>
        <w:jc w:val="both"/>
        <w:rPr>
          <w:rFonts w:ascii="Arial" w:hAnsi="Arial" w:cs="Arial"/>
          <w:sz w:val="22"/>
          <w:szCs w:val="22"/>
          <w:lang w:val="en-GB"/>
        </w:rPr>
      </w:pPr>
    </w:p>
    <w:p w14:paraId="78252754" w14:textId="3A856A82" w:rsidR="00822751" w:rsidRPr="00CA448F" w:rsidRDefault="003C0156" w:rsidP="0040057A">
      <w:pPr>
        <w:jc w:val="both"/>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40057A">
      <w:pPr>
        <w:jc w:val="both"/>
        <w:rPr>
          <w:rFonts w:ascii="Arial" w:hAnsi="Arial" w:cs="Arial"/>
          <w:sz w:val="22"/>
          <w:szCs w:val="22"/>
          <w:lang w:val="en-GB"/>
        </w:rPr>
      </w:pPr>
    </w:p>
    <w:p w14:paraId="0CCF6A97" w14:textId="16884C3F" w:rsidR="004300F1" w:rsidRPr="00CA448F" w:rsidRDefault="004300F1" w:rsidP="0040057A">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40057A">
      <w:pPr>
        <w:jc w:val="both"/>
        <w:rPr>
          <w:rFonts w:ascii="Arial" w:hAnsi="Arial" w:cs="Arial"/>
          <w:sz w:val="22"/>
          <w:szCs w:val="22"/>
          <w:lang w:val="en-GB"/>
        </w:rPr>
      </w:pPr>
    </w:p>
    <w:p w14:paraId="031F23F4" w14:textId="05838BD6" w:rsidR="003C0156" w:rsidRPr="00CA448F" w:rsidRDefault="003C0156" w:rsidP="0040057A">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40057A">
      <w:pPr>
        <w:jc w:val="both"/>
        <w:rPr>
          <w:rFonts w:ascii="Arial" w:hAnsi="Arial" w:cs="Arial"/>
          <w:b/>
          <w:sz w:val="22"/>
          <w:szCs w:val="22"/>
          <w:lang w:val="en-GB"/>
        </w:rPr>
      </w:pPr>
    </w:p>
    <w:p w14:paraId="10D2931E" w14:textId="518224AC" w:rsidR="003C0156" w:rsidRPr="00CA448F" w:rsidRDefault="003C0156" w:rsidP="0040057A">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40057A">
      <w:pPr>
        <w:jc w:val="both"/>
        <w:rPr>
          <w:rFonts w:ascii="Arial" w:hAnsi="Arial" w:cs="Arial"/>
          <w:sz w:val="22"/>
          <w:szCs w:val="22"/>
          <w:lang w:val="en-GB"/>
        </w:rPr>
      </w:pPr>
    </w:p>
    <w:p w14:paraId="580459A3" w14:textId="60D807CE" w:rsidR="003C0156" w:rsidRPr="00CA448F" w:rsidRDefault="003C0156" w:rsidP="0040057A">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40057A">
      <w:pPr>
        <w:jc w:val="both"/>
        <w:rPr>
          <w:rFonts w:ascii="Arial" w:hAnsi="Arial" w:cs="Arial"/>
          <w:sz w:val="22"/>
          <w:szCs w:val="22"/>
          <w:lang w:val="en-GB"/>
        </w:rPr>
      </w:pPr>
    </w:p>
    <w:p w14:paraId="5D931986" w14:textId="007F82EA" w:rsidR="00BD1061" w:rsidRDefault="00DE4D4F"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4F2C84C4" w14:textId="41D849F1" w:rsidR="00C16789" w:rsidRDefault="00C16789"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ten necessary steps are</w:t>
      </w:r>
    </w:p>
    <w:p w14:paraId="5CFC486E" w14:textId="1EF6D24A" w:rsidR="00983D17" w:rsidRPr="00983D17" w:rsidRDefault="00726FCD"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making of an application for Preventive Composition by the debtor.</w:t>
      </w:r>
    </w:p>
    <w:p w14:paraId="6412D84A" w14:textId="3E65CE29" w:rsidR="00726FCD" w:rsidRDefault="00BF6C8E"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Appointment and preparation of a report by the expert appointed by the court within</w:t>
      </w:r>
      <w:r w:rsidR="005F6F6A">
        <w:rPr>
          <w:rFonts w:ascii="Arial" w:hAnsi="Arial" w:cs="Arial"/>
          <w:color w:val="808080" w:themeColor="background1" w:themeShade="80"/>
          <w:sz w:val="22"/>
          <w:szCs w:val="22"/>
          <w:lang w:val="en-GB"/>
        </w:rPr>
        <w:t xml:space="preserve"> 20 days from the instruction of the expert to do so.</w:t>
      </w:r>
    </w:p>
    <w:p w14:paraId="16E73195" w14:textId="7670FFA8" w:rsidR="005F6F6A" w:rsidRDefault="00983D17"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decides on the Preventative Composition application within 5 business days of receipt or within 5 business days of the expert’s report.</w:t>
      </w:r>
    </w:p>
    <w:p w14:paraId="680CD567" w14:textId="31E04DF0" w:rsidR="00983D17" w:rsidRDefault="00EC7354"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Appointment of a trustee who should publish the court’s decision to commence Preventative Composition within 5 business days of his/her appointment.</w:t>
      </w:r>
    </w:p>
    <w:p w14:paraId="3FFDCF50" w14:textId="7BEFED33" w:rsidR="00EC7354" w:rsidRDefault="003253D6"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have 20 business days within which to file their claims from the date of the giving of notice directly or by publication in a newspaper by the trustee.</w:t>
      </w:r>
    </w:p>
    <w:p w14:paraId="12584A2F" w14:textId="019B2AD6" w:rsidR="0041150C" w:rsidRDefault="0041150C"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At the end of the period for filing claims the trustee must prepare and lodge a list of claimants with the court within 10 business.</w:t>
      </w:r>
    </w:p>
    <w:p w14:paraId="62A78548" w14:textId="4FB102DB" w:rsidR="007F4081" w:rsidRPr="00AB762E" w:rsidRDefault="007F4081" w:rsidP="0040057A">
      <w:pPr>
        <w:pStyle w:val="ListParagraph"/>
        <w:numPr>
          <w:ilvl w:val="0"/>
          <w:numId w:val="39"/>
        </w:numPr>
        <w:jc w:val="both"/>
        <w:rPr>
          <w:rFonts w:ascii="Arial" w:hAnsi="Arial" w:cs="Arial"/>
          <w:color w:val="808080" w:themeColor="background1" w:themeShade="80"/>
          <w:sz w:val="22"/>
          <w:szCs w:val="22"/>
          <w:highlight w:val="yellow"/>
          <w:lang w:val="en-GB"/>
        </w:rPr>
      </w:pPr>
      <w:r w:rsidRPr="00AB762E">
        <w:rPr>
          <w:rFonts w:ascii="Arial" w:hAnsi="Arial" w:cs="Arial"/>
          <w:color w:val="808080" w:themeColor="background1" w:themeShade="80"/>
          <w:sz w:val="22"/>
          <w:szCs w:val="22"/>
          <w:highlight w:val="yellow"/>
          <w:lang w:val="en-GB"/>
        </w:rPr>
        <w:t>The Preventative Composition scheme must be presented to the court within 45 days from the date of publication/notice under (4) above.</w:t>
      </w:r>
    </w:p>
    <w:p w14:paraId="64C6599F" w14:textId="621982A5" w:rsidR="006E7302" w:rsidRPr="00BC4BC5" w:rsidRDefault="006E7302" w:rsidP="0040057A">
      <w:pPr>
        <w:pStyle w:val="ListParagraph"/>
        <w:numPr>
          <w:ilvl w:val="0"/>
          <w:numId w:val="39"/>
        </w:numPr>
        <w:jc w:val="both"/>
        <w:rPr>
          <w:rFonts w:ascii="Arial" w:hAnsi="Arial" w:cs="Arial"/>
          <w:color w:val="808080" w:themeColor="background1" w:themeShade="80"/>
          <w:sz w:val="22"/>
          <w:szCs w:val="22"/>
          <w:highlight w:val="yellow"/>
          <w:lang w:val="en-GB"/>
        </w:rPr>
      </w:pPr>
      <w:r w:rsidRPr="00BC4BC5">
        <w:rPr>
          <w:rFonts w:ascii="Arial" w:hAnsi="Arial" w:cs="Arial"/>
          <w:color w:val="808080" w:themeColor="background1" w:themeShade="80"/>
          <w:sz w:val="22"/>
          <w:szCs w:val="22"/>
          <w:highlight w:val="yellow"/>
          <w:lang w:val="en-GB"/>
        </w:rPr>
        <w:t>The court must review the draft within 10 business days of its submission to the court by the trustee.</w:t>
      </w:r>
    </w:p>
    <w:p w14:paraId="28691363" w14:textId="3B17D714" w:rsidR="006E7302" w:rsidRDefault="006E7302"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satisfied the court directs the issuance of invitations to a meeting to discuss the scheme to the creditors within 5 business days.</w:t>
      </w:r>
    </w:p>
    <w:p w14:paraId="74BF3F7E" w14:textId="67F3B0BE" w:rsidR="00050CC4" w:rsidRDefault="00050CC4"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meeting to be within 15 working days of the date of the invitation.</w:t>
      </w:r>
    </w:p>
    <w:p w14:paraId="2ACBAF42" w14:textId="512BD2CC" w:rsidR="008366E5" w:rsidRDefault="008366E5"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Presentation of the draft scheme if approved to the court by the trustee within 3 business days</w:t>
      </w:r>
    </w:p>
    <w:p w14:paraId="630F4919" w14:textId="729121FE" w:rsidR="008366E5" w:rsidRDefault="00B25FA1" w:rsidP="0040057A">
      <w:pPr>
        <w:pStyle w:val="ListParagraph"/>
        <w:numPr>
          <w:ilvl w:val="0"/>
          <w:numId w:val="3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Registration and publication of the scheme within 7 business days of its approval by the court.</w:t>
      </w:r>
    </w:p>
    <w:p w14:paraId="213EA941" w14:textId="77777777" w:rsidR="003253D6" w:rsidRPr="00C16789" w:rsidRDefault="003253D6" w:rsidP="0040057A">
      <w:pPr>
        <w:pStyle w:val="ListParagraph"/>
        <w:jc w:val="both"/>
        <w:rPr>
          <w:rFonts w:ascii="Arial" w:hAnsi="Arial" w:cs="Arial"/>
          <w:color w:val="808080" w:themeColor="background1" w:themeShade="80"/>
          <w:sz w:val="22"/>
          <w:szCs w:val="22"/>
          <w:lang w:val="en-GB"/>
        </w:rPr>
      </w:pPr>
    </w:p>
    <w:p w14:paraId="6CDA2848" w14:textId="08483F1B" w:rsidR="00BD1061" w:rsidRPr="00CA448F" w:rsidRDefault="00BD1061" w:rsidP="0040057A">
      <w:pPr>
        <w:jc w:val="both"/>
        <w:rPr>
          <w:rFonts w:ascii="Arial" w:hAnsi="Arial" w:cs="Arial"/>
          <w:color w:val="808080" w:themeColor="background1" w:themeShade="80"/>
          <w:sz w:val="22"/>
          <w:szCs w:val="22"/>
          <w:lang w:val="en-GB"/>
        </w:rPr>
      </w:pPr>
    </w:p>
    <w:p w14:paraId="56A9A67B" w14:textId="77777777" w:rsidR="00BD1061" w:rsidRPr="00CA448F" w:rsidRDefault="00BD1061" w:rsidP="0040057A">
      <w:pPr>
        <w:jc w:val="both"/>
        <w:rPr>
          <w:rFonts w:ascii="Arial" w:hAnsi="Arial" w:cs="Arial"/>
          <w:sz w:val="22"/>
          <w:szCs w:val="22"/>
          <w:lang w:val="en-GB"/>
        </w:rPr>
      </w:pPr>
    </w:p>
    <w:p w14:paraId="0A96B7DC" w14:textId="1C377FB3" w:rsidR="003C0156" w:rsidRPr="00CA448F" w:rsidRDefault="003C0156" w:rsidP="0040057A">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40057A">
      <w:pPr>
        <w:jc w:val="both"/>
        <w:rPr>
          <w:rFonts w:ascii="Arial" w:hAnsi="Arial" w:cs="Arial"/>
          <w:b/>
          <w:sz w:val="22"/>
          <w:szCs w:val="22"/>
          <w:lang w:val="en-GB"/>
        </w:rPr>
      </w:pPr>
    </w:p>
    <w:p w14:paraId="3CBAA349" w14:textId="3916CCDC" w:rsidR="003C0156" w:rsidRPr="00CA448F" w:rsidRDefault="003C0156" w:rsidP="0040057A">
      <w:pPr>
        <w:jc w:val="both"/>
        <w:rPr>
          <w:rFonts w:ascii="Arial" w:hAnsi="Arial" w:cs="Arial"/>
          <w:sz w:val="22"/>
          <w:szCs w:val="22"/>
          <w:lang w:val="en-GB"/>
        </w:rPr>
      </w:pPr>
      <w:r w:rsidRPr="00CA448F">
        <w:rPr>
          <w:rFonts w:ascii="Arial" w:hAnsi="Arial" w:cs="Arial"/>
          <w:sz w:val="22"/>
          <w:szCs w:val="22"/>
          <w:lang w:val="en-GB"/>
        </w:rPr>
        <w:lastRenderedPageBreak/>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40057A">
      <w:pPr>
        <w:jc w:val="both"/>
        <w:rPr>
          <w:rFonts w:ascii="Arial" w:hAnsi="Arial" w:cs="Arial"/>
          <w:sz w:val="22"/>
          <w:szCs w:val="22"/>
          <w:lang w:val="en-GB"/>
        </w:rPr>
      </w:pPr>
    </w:p>
    <w:p w14:paraId="018D5BEE" w14:textId="1949CF6A" w:rsidR="009D3106" w:rsidRDefault="008418BF"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3FA6DC2A" w14:textId="7F591C1C" w:rsidR="008418BF" w:rsidRDefault="008418BF" w:rsidP="0040057A">
      <w:pPr>
        <w:jc w:val="both"/>
        <w:rPr>
          <w:rFonts w:ascii="Arial" w:hAnsi="Arial" w:cs="Arial"/>
          <w:color w:val="808080" w:themeColor="background1" w:themeShade="80"/>
          <w:sz w:val="22"/>
          <w:szCs w:val="22"/>
          <w:lang w:val="en-GB"/>
        </w:rPr>
      </w:pPr>
    </w:p>
    <w:p w14:paraId="18984ABF" w14:textId="12073DE5" w:rsidR="008418BF" w:rsidRDefault="008418BF"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process that will be followed as part of any liquidation is as follows:</w:t>
      </w:r>
    </w:p>
    <w:p w14:paraId="3ADE2760" w14:textId="0E6B359C"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debtor in this case VGK LLC is automatically subject to bankruptcy proceedings following an annulment or rescission of a preventative composition scheme under Article 64.</w:t>
      </w:r>
    </w:p>
    <w:p w14:paraId="41F4475C" w14:textId="4C40E08E"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creditors should apply to the court for a termination of the preventative composition scheme on grounds that the implementation of the scheme is impossible and that the termination of the procedure would result in VGK LLC being unable to pay its debts for more than 30 business days under Article 65.</w:t>
      </w:r>
    </w:p>
    <w:p w14:paraId="6FF37DAD" w14:textId="64722C69"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make an order for the debtor’s bankruptcy  and the liquidation of VGK LLC’s assets.  The most applicable circumstance in this case is the termination of a preventative composition as provided for under the bankruptcy law.</w:t>
      </w:r>
    </w:p>
    <w:p w14:paraId="75283C92" w14:textId="17D484B8"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If the court orders liquidation, the court then appoints a trustee to undertake the liquidation  or under Article 126 the court can order that the previously appointed trustee in the preventative composition measures should continue in office.</w:t>
      </w:r>
    </w:p>
    <w:p w14:paraId="4EF44136" w14:textId="266FEC65"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appointed trustee is required to advertise his or her appointment within three business days of his or her appointment under Article 128.</w:t>
      </w:r>
    </w:p>
    <w:p w14:paraId="2ECCB35D" w14:textId="506CC3C2"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should do a monthly report to the court.</w:t>
      </w:r>
    </w:p>
    <w:p w14:paraId="779ED213" w14:textId="709AD202"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have 10 working days from the date of judgement to make their claims with the trustee and these must be considered by the trustee except if VGK LLC’s assets are insufficient to pay legal fees and secure creditors.  We have not been given sufficient information as to whether the shareholders loan was secured in relation to the restaurant site.</w:t>
      </w:r>
    </w:p>
    <w:p w14:paraId="03A7D642" w14:textId="5DBEE85B"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is then able to liquidate the debtor’s assets by public auction under the court’s supervision</w:t>
      </w:r>
    </w:p>
    <w:p w14:paraId="7FE4D66D" w14:textId="04292589"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VKG LLC may be allowed to sell its asset if it is in the creditor’s interest to do so.</w:t>
      </w:r>
    </w:p>
    <w:p w14:paraId="3991A607" w14:textId="7E777FFF"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then distributes the proceeds of sale </w:t>
      </w:r>
    </w:p>
    <w:p w14:paraId="497661C8" w14:textId="6B418748" w:rsid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then makes an order confirming the conclusion of the liquidation which is then advertised</w:t>
      </w:r>
    </w:p>
    <w:p w14:paraId="4BEFD5A8" w14:textId="60012743" w:rsidR="008418BF" w:rsidRPr="008418BF" w:rsidRDefault="008418BF" w:rsidP="008418BF">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debtor is deemed to be rehabilitated after five years of earlier if the debtor is able to discharge its debt before then.</w:t>
      </w:r>
    </w:p>
    <w:p w14:paraId="4DBB2753" w14:textId="1FE0791D" w:rsidR="009D3106" w:rsidRPr="00CA448F" w:rsidRDefault="009D3106" w:rsidP="0040057A">
      <w:pPr>
        <w:jc w:val="both"/>
        <w:rPr>
          <w:rFonts w:ascii="Arial" w:hAnsi="Arial" w:cs="Arial"/>
          <w:color w:val="808080" w:themeColor="background1" w:themeShade="80"/>
          <w:sz w:val="22"/>
          <w:szCs w:val="22"/>
          <w:lang w:val="en-GB"/>
        </w:rPr>
      </w:pPr>
    </w:p>
    <w:p w14:paraId="5F170A59" w14:textId="77777777" w:rsidR="003C0156" w:rsidRPr="00CA448F" w:rsidRDefault="003C0156" w:rsidP="0040057A">
      <w:pPr>
        <w:jc w:val="both"/>
        <w:rPr>
          <w:rFonts w:ascii="Arial" w:hAnsi="Arial" w:cs="Arial"/>
          <w:sz w:val="22"/>
          <w:szCs w:val="22"/>
          <w:lang w:val="en-GB"/>
        </w:rPr>
      </w:pPr>
    </w:p>
    <w:p w14:paraId="5BE1299C" w14:textId="7B3C0E9C" w:rsidR="003C0156" w:rsidRPr="00CA448F" w:rsidRDefault="003C0156" w:rsidP="0040057A">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40057A">
      <w:pPr>
        <w:jc w:val="both"/>
        <w:rPr>
          <w:rFonts w:ascii="Arial" w:hAnsi="Arial" w:cs="Arial"/>
          <w:sz w:val="22"/>
          <w:szCs w:val="22"/>
          <w:lang w:val="en-GB"/>
        </w:rPr>
      </w:pPr>
    </w:p>
    <w:p w14:paraId="4DB41691" w14:textId="62D31E95" w:rsidR="003C0156" w:rsidRPr="00CA448F" w:rsidRDefault="003C0156" w:rsidP="0040057A">
      <w:pPr>
        <w:jc w:val="both"/>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40057A">
      <w:pPr>
        <w:jc w:val="both"/>
        <w:rPr>
          <w:rFonts w:ascii="Arial" w:hAnsi="Arial" w:cs="Arial"/>
          <w:sz w:val="22"/>
          <w:szCs w:val="22"/>
          <w:lang w:val="en-GB"/>
        </w:rPr>
      </w:pPr>
    </w:p>
    <w:p w14:paraId="385F7F1A" w14:textId="0986ABB5" w:rsidR="00640623" w:rsidRDefault="00B350D0"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w:t>
      </w:r>
    </w:p>
    <w:p w14:paraId="0E75E4E5" w14:textId="5BDAEA20" w:rsidR="00B350D0" w:rsidRDefault="00B350D0" w:rsidP="0040057A">
      <w:pPr>
        <w:jc w:val="both"/>
        <w:rPr>
          <w:rFonts w:ascii="Arial" w:hAnsi="Arial" w:cs="Arial"/>
          <w:color w:val="808080" w:themeColor="background1" w:themeShade="80"/>
          <w:sz w:val="22"/>
          <w:szCs w:val="22"/>
          <w:lang w:val="en-GB"/>
        </w:rPr>
      </w:pPr>
    </w:p>
    <w:p w14:paraId="7854ABA8" w14:textId="107FC4D2" w:rsidR="00B350D0" w:rsidRDefault="00B350D0" w:rsidP="004005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action that the VGK’s creditors can take if they wish to have VGK Limited liquidated in DIFC are as follows:</w:t>
      </w:r>
    </w:p>
    <w:p w14:paraId="10AE5D5F" w14:textId="0C40B804" w:rsidR="00B350D0" w:rsidRDefault="00B350D0" w:rsidP="0040057A">
      <w:pPr>
        <w:jc w:val="both"/>
        <w:rPr>
          <w:rFonts w:ascii="Arial" w:hAnsi="Arial" w:cs="Arial"/>
          <w:color w:val="808080" w:themeColor="background1" w:themeShade="80"/>
          <w:sz w:val="22"/>
          <w:szCs w:val="22"/>
          <w:lang w:val="en-GB"/>
        </w:rPr>
      </w:pPr>
    </w:p>
    <w:p w14:paraId="29E03544" w14:textId="2AD50567" w:rsidR="00B350D0" w:rsidRDefault="00B350D0" w:rsidP="00B350D0">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VGK was incorporated and registered in DIFC and can therefore be wound up under the insolvency law of the DIFC.  Winding up can either be done voluntarily by a resolution or the company’s shareholders or compulsorily under an order made by the DIFC’s court under Article 51.  As we have been told that VGK is unable to pay its debt (insolvent) the creditors can commence voluntary winding up.</w:t>
      </w:r>
    </w:p>
    <w:p w14:paraId="493D1397" w14:textId="39833555" w:rsidR="00B350D0" w:rsidRDefault="00B350D0" w:rsidP="00B350D0">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Article 56 the winding up is deemed to start at the time of the passing of the resolution to wind up the company.  The company though it continues to exist and still have its legal personality during the winding up must cease to carry on business from the date of the passing of the resolution for its winding up.  The directors retain control of the company until a liquidator is appointed.  At the passing of the resolution the company may nominate a liquidator to be appointed this should be the one nominated by the creditors if there is no such nomination then under Article 68 one nominated by the company.  </w:t>
      </w:r>
    </w:p>
    <w:p w14:paraId="79A1DD56" w14:textId="43ADB239" w:rsidR="00B350D0" w:rsidRDefault="00B350D0" w:rsidP="00B350D0">
      <w:pPr>
        <w:pStyle w:val="ListParagraph"/>
        <w:numPr>
          <w:ilvl w:val="0"/>
          <w:numId w:val="3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creditors also have the power to appoint a liquidation committee to carry out the functions prescribed under Art 69 at the creditors meeting.</w:t>
      </w:r>
    </w:p>
    <w:p w14:paraId="799B0E05" w14:textId="77777777" w:rsidR="00553571" w:rsidRDefault="00553571" w:rsidP="00553571">
      <w:pPr>
        <w:pStyle w:val="ListParagraph"/>
        <w:ind w:left="420"/>
        <w:jc w:val="both"/>
        <w:rPr>
          <w:rFonts w:ascii="Arial" w:hAnsi="Arial" w:cs="Arial"/>
          <w:color w:val="808080" w:themeColor="background1" w:themeShade="80"/>
          <w:sz w:val="22"/>
          <w:szCs w:val="22"/>
          <w:lang w:val="en-GB"/>
        </w:rPr>
      </w:pPr>
    </w:p>
    <w:p w14:paraId="2587E00A" w14:textId="4FE292C9" w:rsidR="00B350D0" w:rsidRDefault="00B350D0" w:rsidP="00B350D0">
      <w:pPr>
        <w:ind w:left="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Compulsory winding up can also be used as we have been advised that the company is unable to pay its debt.  Such an application to the court can be made by the company, its directors or any creditor.  In this case the most likely applicant is going to be the creditors.  The creditors must however be able to show that they are owed more than $2,000 by the company.</w:t>
      </w:r>
    </w:p>
    <w:p w14:paraId="4226094D" w14:textId="77777777" w:rsidR="00553571" w:rsidRDefault="00553571" w:rsidP="00B350D0">
      <w:pPr>
        <w:ind w:left="60"/>
        <w:jc w:val="both"/>
        <w:rPr>
          <w:rFonts w:ascii="Arial" w:hAnsi="Arial" w:cs="Arial"/>
          <w:color w:val="808080" w:themeColor="background1" w:themeShade="80"/>
          <w:sz w:val="22"/>
          <w:szCs w:val="22"/>
          <w:lang w:val="en-GB"/>
        </w:rPr>
      </w:pPr>
    </w:p>
    <w:p w14:paraId="1A93001D" w14:textId="5CD76FA2" w:rsidR="00B350D0" w:rsidRDefault="00B350D0" w:rsidP="00B350D0">
      <w:pPr>
        <w:ind w:left="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order by the court f</w:t>
      </w:r>
      <w:r w:rsidR="00553571">
        <w:rPr>
          <w:rFonts w:ascii="Arial" w:hAnsi="Arial" w:cs="Arial"/>
          <w:color w:val="808080" w:themeColor="background1" w:themeShade="80"/>
          <w:sz w:val="22"/>
          <w:szCs w:val="22"/>
          <w:lang w:val="en-GB"/>
        </w:rPr>
        <w:t>o</w:t>
      </w:r>
      <w:r>
        <w:rPr>
          <w:rFonts w:ascii="Arial" w:hAnsi="Arial" w:cs="Arial"/>
          <w:color w:val="808080" w:themeColor="background1" w:themeShade="80"/>
          <w:sz w:val="22"/>
          <w:szCs w:val="22"/>
          <w:lang w:val="en-GB"/>
        </w:rPr>
        <w:t>r the winding up of the company must identify the liquidator.  The liquidator is responsible for gathering, realising and distributing the company’s asset as is set out in schedule 3 of the Act.  These include the selling of the company’s assets, carrying on the business of the company if considered to be beneficial to the winding up.</w:t>
      </w:r>
    </w:p>
    <w:p w14:paraId="723F0D84" w14:textId="77F664D4" w:rsidR="00B350D0" w:rsidRDefault="00B350D0" w:rsidP="00B350D0">
      <w:pPr>
        <w:ind w:left="60"/>
        <w:jc w:val="both"/>
        <w:rPr>
          <w:rFonts w:ascii="Arial" w:hAnsi="Arial" w:cs="Arial"/>
          <w:color w:val="808080" w:themeColor="background1" w:themeShade="80"/>
          <w:sz w:val="22"/>
          <w:szCs w:val="22"/>
          <w:lang w:val="en-GB"/>
        </w:rPr>
      </w:pPr>
    </w:p>
    <w:p w14:paraId="42871E2A" w14:textId="2AD286DC" w:rsidR="00B350D0" w:rsidRDefault="00B350D0" w:rsidP="00B350D0">
      <w:pPr>
        <w:ind w:left="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creditors are obliged to submit their claims in writing.  The liquidator may ask for the claims to be proved following which the liquidator may admit or reject the claim. There is an opportunity to appeal the rejection of any such claim within 21 days.</w:t>
      </w:r>
    </w:p>
    <w:p w14:paraId="2F2FC86F" w14:textId="60D8CB5E" w:rsidR="00B350D0" w:rsidRDefault="00B350D0" w:rsidP="00B350D0">
      <w:pPr>
        <w:jc w:val="both"/>
        <w:rPr>
          <w:rFonts w:ascii="Arial" w:hAnsi="Arial" w:cs="Arial"/>
          <w:color w:val="808080" w:themeColor="background1" w:themeShade="80"/>
          <w:sz w:val="22"/>
          <w:szCs w:val="22"/>
          <w:lang w:val="en-GB"/>
        </w:rPr>
      </w:pPr>
    </w:p>
    <w:p w14:paraId="77FEBD25" w14:textId="070D5E14" w:rsidR="00B350D0" w:rsidRPr="00B350D0" w:rsidRDefault="00B350D0" w:rsidP="00B350D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liquidator is then obliged to pay the creditors of the company.  This is followed by the calling of a creditors meeting and the dissolution of the company.</w:t>
      </w:r>
    </w:p>
    <w:p w14:paraId="2BE1BC9C" w14:textId="77777777" w:rsidR="00B350D0" w:rsidRPr="00B350D0" w:rsidRDefault="00B350D0" w:rsidP="00B350D0">
      <w:pPr>
        <w:jc w:val="both"/>
        <w:rPr>
          <w:rFonts w:ascii="Arial" w:hAnsi="Arial" w:cs="Arial"/>
          <w:color w:val="808080" w:themeColor="background1" w:themeShade="80"/>
          <w:sz w:val="22"/>
          <w:szCs w:val="22"/>
          <w:lang w:val="en-GB"/>
        </w:rPr>
      </w:pPr>
    </w:p>
    <w:p w14:paraId="4462B235" w14:textId="77777777" w:rsidR="009B0723" w:rsidRPr="00CA448F" w:rsidRDefault="009B0723" w:rsidP="0040057A">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40057A">
      <w:pPr>
        <w:autoSpaceDE w:val="0"/>
        <w:autoSpaceDN w:val="0"/>
        <w:adjustRightInd w:val="0"/>
        <w:jc w:val="both"/>
        <w:rPr>
          <w:rFonts w:ascii="Arial" w:hAnsi="Arial" w:cs="Arial"/>
          <w:sz w:val="22"/>
          <w:szCs w:val="22"/>
          <w:lang w:val="en-GB"/>
        </w:rPr>
      </w:pPr>
    </w:p>
    <w:p w14:paraId="6A4F7661" w14:textId="2656899F" w:rsidR="00CA448F" w:rsidRPr="00CA448F" w:rsidRDefault="00C606C3" w:rsidP="0040057A">
      <w:pPr>
        <w:jc w:val="both"/>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839B" w14:textId="77777777" w:rsidR="003610FD" w:rsidRDefault="003610FD" w:rsidP="00241B44">
      <w:r>
        <w:separator/>
      </w:r>
    </w:p>
  </w:endnote>
  <w:endnote w:type="continuationSeparator" w:id="0">
    <w:p w14:paraId="23DDF75F" w14:textId="77777777" w:rsidR="003610FD" w:rsidRDefault="003610F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C4BC5">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1F59BECD" w14:textId="2F7D96CC" w:rsidR="00241FA3" w:rsidRPr="009B4976" w:rsidRDefault="007061CB" w:rsidP="009B4976">
    <w:pPr>
      <w:pStyle w:val="Footer"/>
      <w:ind w:right="360"/>
      <w:rPr>
        <w:rFonts w:ascii="Arial" w:hAnsi="Arial" w:cs="Arial"/>
        <w:sz w:val="18"/>
        <w:szCs w:val="18"/>
        <w:lang w:val="en-GB"/>
      </w:rPr>
    </w:pPr>
    <w:r>
      <w:rPr>
        <w:rFonts w:ascii="Arial" w:hAnsi="Arial" w:cs="Arial"/>
        <w:sz w:val="18"/>
        <w:szCs w:val="18"/>
        <w:lang w:val="en-GB"/>
      </w:rPr>
      <w:t xml:space="preserve">202021IFU - </w:t>
    </w:r>
    <w:r>
      <w:rPr>
        <w:rFonts w:ascii="Arial" w:hAnsi="Arial" w:cs="Arial"/>
        <w:sz w:val="18"/>
        <w:szCs w:val="18"/>
        <w:lang w:val="en-GB"/>
      </w:rPr>
      <w:t>274</w:t>
    </w:r>
    <w:bookmarkStart w:id="1" w:name="_GoBack"/>
    <w:bookmarkEnd w:id="1"/>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A82D" w14:textId="77777777" w:rsidR="007061CB" w:rsidRDefault="0070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F13F" w14:textId="77777777" w:rsidR="003610FD" w:rsidRDefault="003610FD" w:rsidP="00241B44">
      <w:r>
        <w:separator/>
      </w:r>
    </w:p>
  </w:footnote>
  <w:footnote w:type="continuationSeparator" w:id="0">
    <w:p w14:paraId="7CB1C534" w14:textId="77777777" w:rsidR="003610FD" w:rsidRDefault="003610F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474B" w14:textId="77777777" w:rsidR="007061CB" w:rsidRDefault="0070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EC1B" w14:textId="77777777" w:rsidR="007061CB" w:rsidRDefault="00706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E365" w14:textId="77777777" w:rsidR="007061CB" w:rsidRDefault="0070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EF45C3F"/>
    <w:multiLevelType w:val="hybridMultilevel"/>
    <w:tmpl w:val="9CEC7610"/>
    <w:lvl w:ilvl="0" w:tplc="6CF8C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E5875"/>
    <w:multiLevelType w:val="hybridMultilevel"/>
    <w:tmpl w:val="09FE9800"/>
    <w:lvl w:ilvl="0" w:tplc="2F3A1ADE">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5E4313"/>
    <w:multiLevelType w:val="hybridMultilevel"/>
    <w:tmpl w:val="6C86EEC6"/>
    <w:lvl w:ilvl="0" w:tplc="6CD0E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0"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5" w15:restartNumberingAfterBreak="0">
    <w:nsid w:val="63FE4BC7"/>
    <w:multiLevelType w:val="hybridMultilevel"/>
    <w:tmpl w:val="F3605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6"/>
  </w:num>
  <w:num w:numId="5">
    <w:abstractNumId w:val="38"/>
  </w:num>
  <w:num w:numId="6">
    <w:abstractNumId w:val="9"/>
  </w:num>
  <w:num w:numId="7">
    <w:abstractNumId w:val="37"/>
  </w:num>
  <w:num w:numId="8">
    <w:abstractNumId w:val="6"/>
  </w:num>
  <w:num w:numId="9">
    <w:abstractNumId w:val="8"/>
  </w:num>
  <w:num w:numId="10">
    <w:abstractNumId w:val="4"/>
  </w:num>
  <w:num w:numId="11">
    <w:abstractNumId w:val="19"/>
  </w:num>
  <w:num w:numId="12">
    <w:abstractNumId w:val="15"/>
  </w:num>
  <w:num w:numId="13">
    <w:abstractNumId w:val="28"/>
  </w:num>
  <w:num w:numId="14">
    <w:abstractNumId w:val="21"/>
  </w:num>
  <w:num w:numId="15">
    <w:abstractNumId w:val="33"/>
  </w:num>
  <w:num w:numId="16">
    <w:abstractNumId w:val="0"/>
  </w:num>
  <w:num w:numId="17">
    <w:abstractNumId w:val="11"/>
  </w:num>
  <w:num w:numId="18">
    <w:abstractNumId w:val="17"/>
  </w:num>
  <w:num w:numId="19">
    <w:abstractNumId w:val="23"/>
  </w:num>
  <w:num w:numId="20">
    <w:abstractNumId w:val="22"/>
  </w:num>
  <w:num w:numId="21">
    <w:abstractNumId w:val="5"/>
  </w:num>
  <w:num w:numId="22">
    <w:abstractNumId w:val="27"/>
  </w:num>
  <w:num w:numId="23">
    <w:abstractNumId w:val="3"/>
  </w:num>
  <w:num w:numId="24">
    <w:abstractNumId w:val="26"/>
  </w:num>
  <w:num w:numId="25">
    <w:abstractNumId w:val="14"/>
  </w:num>
  <w:num w:numId="26">
    <w:abstractNumId w:val="32"/>
  </w:num>
  <w:num w:numId="27">
    <w:abstractNumId w:val="12"/>
  </w:num>
  <w:num w:numId="28">
    <w:abstractNumId w:val="1"/>
  </w:num>
  <w:num w:numId="29">
    <w:abstractNumId w:val="10"/>
  </w:num>
  <w:num w:numId="30">
    <w:abstractNumId w:val="24"/>
  </w:num>
  <w:num w:numId="31">
    <w:abstractNumId w:val="20"/>
  </w:num>
  <w:num w:numId="32">
    <w:abstractNumId w:val="16"/>
  </w:num>
  <w:num w:numId="33">
    <w:abstractNumId w:val="2"/>
  </w:num>
  <w:num w:numId="34">
    <w:abstractNumId w:val="30"/>
  </w:num>
  <w:num w:numId="35">
    <w:abstractNumId w:val="31"/>
  </w:num>
  <w:num w:numId="36">
    <w:abstractNumId w:val="13"/>
  </w:num>
  <w:num w:numId="37">
    <w:abstractNumId w:val="25"/>
  </w:num>
  <w:num w:numId="38">
    <w:abstractNumId w:val="18"/>
  </w:num>
  <w:num w:numId="39">
    <w:abstractNumId w:val="35"/>
  </w:num>
  <w:num w:numId="4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128DB"/>
    <w:rsid w:val="00020557"/>
    <w:rsid w:val="00020A86"/>
    <w:rsid w:val="00021FC2"/>
    <w:rsid w:val="000250C7"/>
    <w:rsid w:val="000265C1"/>
    <w:rsid w:val="00026F16"/>
    <w:rsid w:val="00037621"/>
    <w:rsid w:val="00044D46"/>
    <w:rsid w:val="00045088"/>
    <w:rsid w:val="00045904"/>
    <w:rsid w:val="000502FD"/>
    <w:rsid w:val="00050CC4"/>
    <w:rsid w:val="00065166"/>
    <w:rsid w:val="00082609"/>
    <w:rsid w:val="000851CC"/>
    <w:rsid w:val="00085C85"/>
    <w:rsid w:val="00087F21"/>
    <w:rsid w:val="00093BE8"/>
    <w:rsid w:val="000A407B"/>
    <w:rsid w:val="000A68ED"/>
    <w:rsid w:val="000B5FF1"/>
    <w:rsid w:val="000B609F"/>
    <w:rsid w:val="000D2888"/>
    <w:rsid w:val="000D55A8"/>
    <w:rsid w:val="000E4841"/>
    <w:rsid w:val="000E4FA3"/>
    <w:rsid w:val="000E78E0"/>
    <w:rsid w:val="000F1677"/>
    <w:rsid w:val="000F3D6C"/>
    <w:rsid w:val="00101707"/>
    <w:rsid w:val="00102CC9"/>
    <w:rsid w:val="0010593A"/>
    <w:rsid w:val="00111F83"/>
    <w:rsid w:val="0011473D"/>
    <w:rsid w:val="00115C85"/>
    <w:rsid w:val="00122F36"/>
    <w:rsid w:val="00123855"/>
    <w:rsid w:val="00126A4D"/>
    <w:rsid w:val="00136839"/>
    <w:rsid w:val="001374EB"/>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2947"/>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34F3"/>
    <w:rsid w:val="0029433F"/>
    <w:rsid w:val="00294829"/>
    <w:rsid w:val="0029690F"/>
    <w:rsid w:val="00297C8A"/>
    <w:rsid w:val="002A2389"/>
    <w:rsid w:val="002A2A60"/>
    <w:rsid w:val="002A37BB"/>
    <w:rsid w:val="002B1C45"/>
    <w:rsid w:val="002C13C8"/>
    <w:rsid w:val="002C1EC5"/>
    <w:rsid w:val="002C2FDA"/>
    <w:rsid w:val="002C3547"/>
    <w:rsid w:val="002C5B94"/>
    <w:rsid w:val="002D0021"/>
    <w:rsid w:val="002D299D"/>
    <w:rsid w:val="002D3473"/>
    <w:rsid w:val="002F1956"/>
    <w:rsid w:val="002F3440"/>
    <w:rsid w:val="002F75A3"/>
    <w:rsid w:val="00303C2F"/>
    <w:rsid w:val="00305E53"/>
    <w:rsid w:val="00307D85"/>
    <w:rsid w:val="003144EF"/>
    <w:rsid w:val="0031595C"/>
    <w:rsid w:val="00320701"/>
    <w:rsid w:val="003253D6"/>
    <w:rsid w:val="00326292"/>
    <w:rsid w:val="00326415"/>
    <w:rsid w:val="00330442"/>
    <w:rsid w:val="00330937"/>
    <w:rsid w:val="00330F31"/>
    <w:rsid w:val="00334648"/>
    <w:rsid w:val="0033768C"/>
    <w:rsid w:val="00337938"/>
    <w:rsid w:val="00340769"/>
    <w:rsid w:val="00341AA6"/>
    <w:rsid w:val="003610FD"/>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739C"/>
    <w:rsid w:val="0040057A"/>
    <w:rsid w:val="0040332F"/>
    <w:rsid w:val="00404329"/>
    <w:rsid w:val="00405DC1"/>
    <w:rsid w:val="0041150C"/>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571"/>
    <w:rsid w:val="00553EB2"/>
    <w:rsid w:val="00560534"/>
    <w:rsid w:val="0056391B"/>
    <w:rsid w:val="005650E2"/>
    <w:rsid w:val="00567AD7"/>
    <w:rsid w:val="00575B2D"/>
    <w:rsid w:val="005833D0"/>
    <w:rsid w:val="005846F3"/>
    <w:rsid w:val="005854B7"/>
    <w:rsid w:val="0058622F"/>
    <w:rsid w:val="005906C2"/>
    <w:rsid w:val="005919BD"/>
    <w:rsid w:val="00592610"/>
    <w:rsid w:val="00592F82"/>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5F6F6A"/>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4C2F"/>
    <w:rsid w:val="00657087"/>
    <w:rsid w:val="006639DB"/>
    <w:rsid w:val="006645D6"/>
    <w:rsid w:val="006661EF"/>
    <w:rsid w:val="00677AEB"/>
    <w:rsid w:val="00680EF2"/>
    <w:rsid w:val="006856F3"/>
    <w:rsid w:val="00687A1D"/>
    <w:rsid w:val="00697EA1"/>
    <w:rsid w:val="006A2646"/>
    <w:rsid w:val="006A6530"/>
    <w:rsid w:val="006B435A"/>
    <w:rsid w:val="006B4C64"/>
    <w:rsid w:val="006B503E"/>
    <w:rsid w:val="006C146A"/>
    <w:rsid w:val="006D6BD5"/>
    <w:rsid w:val="006E481A"/>
    <w:rsid w:val="006E5298"/>
    <w:rsid w:val="006E7302"/>
    <w:rsid w:val="006F41CC"/>
    <w:rsid w:val="006F4A78"/>
    <w:rsid w:val="006F58B3"/>
    <w:rsid w:val="006F734A"/>
    <w:rsid w:val="00700D83"/>
    <w:rsid w:val="0070415A"/>
    <w:rsid w:val="00704852"/>
    <w:rsid w:val="007061CB"/>
    <w:rsid w:val="007074E9"/>
    <w:rsid w:val="00713DA4"/>
    <w:rsid w:val="00714BF1"/>
    <w:rsid w:val="00721383"/>
    <w:rsid w:val="0072681C"/>
    <w:rsid w:val="00726FCD"/>
    <w:rsid w:val="0073158B"/>
    <w:rsid w:val="007333CC"/>
    <w:rsid w:val="0073399A"/>
    <w:rsid w:val="00737C86"/>
    <w:rsid w:val="00740DAD"/>
    <w:rsid w:val="007566B8"/>
    <w:rsid w:val="007603F5"/>
    <w:rsid w:val="00764DB0"/>
    <w:rsid w:val="0076764D"/>
    <w:rsid w:val="0077431E"/>
    <w:rsid w:val="0077498C"/>
    <w:rsid w:val="007809BC"/>
    <w:rsid w:val="00784128"/>
    <w:rsid w:val="00787BCC"/>
    <w:rsid w:val="00793173"/>
    <w:rsid w:val="007A2A33"/>
    <w:rsid w:val="007A7EA9"/>
    <w:rsid w:val="007B4866"/>
    <w:rsid w:val="007B4F09"/>
    <w:rsid w:val="007B58FF"/>
    <w:rsid w:val="007B5C89"/>
    <w:rsid w:val="007C1FCC"/>
    <w:rsid w:val="007C6201"/>
    <w:rsid w:val="007D7C92"/>
    <w:rsid w:val="007E1154"/>
    <w:rsid w:val="007E6BA4"/>
    <w:rsid w:val="007F4081"/>
    <w:rsid w:val="007F41F8"/>
    <w:rsid w:val="007F659B"/>
    <w:rsid w:val="00803040"/>
    <w:rsid w:val="0080454E"/>
    <w:rsid w:val="00804C32"/>
    <w:rsid w:val="00806302"/>
    <w:rsid w:val="00806E0A"/>
    <w:rsid w:val="00807119"/>
    <w:rsid w:val="0081129B"/>
    <w:rsid w:val="00815F57"/>
    <w:rsid w:val="00821EDC"/>
    <w:rsid w:val="00822751"/>
    <w:rsid w:val="0082483F"/>
    <w:rsid w:val="008279C0"/>
    <w:rsid w:val="00830004"/>
    <w:rsid w:val="00830097"/>
    <w:rsid w:val="008366E5"/>
    <w:rsid w:val="008418BF"/>
    <w:rsid w:val="00867701"/>
    <w:rsid w:val="008723F3"/>
    <w:rsid w:val="00876F56"/>
    <w:rsid w:val="00881DE6"/>
    <w:rsid w:val="00882920"/>
    <w:rsid w:val="008837A6"/>
    <w:rsid w:val="0089145D"/>
    <w:rsid w:val="008A4DF2"/>
    <w:rsid w:val="008A6CFE"/>
    <w:rsid w:val="008B403D"/>
    <w:rsid w:val="008B5333"/>
    <w:rsid w:val="008B6223"/>
    <w:rsid w:val="008C2BD9"/>
    <w:rsid w:val="008C66E0"/>
    <w:rsid w:val="008D1432"/>
    <w:rsid w:val="008E3339"/>
    <w:rsid w:val="008F20FC"/>
    <w:rsid w:val="008F5FFE"/>
    <w:rsid w:val="0090239E"/>
    <w:rsid w:val="00905A43"/>
    <w:rsid w:val="00912C79"/>
    <w:rsid w:val="009164DD"/>
    <w:rsid w:val="00921B8C"/>
    <w:rsid w:val="00922A3A"/>
    <w:rsid w:val="00931AED"/>
    <w:rsid w:val="00942123"/>
    <w:rsid w:val="0095207B"/>
    <w:rsid w:val="00953349"/>
    <w:rsid w:val="00962045"/>
    <w:rsid w:val="00965804"/>
    <w:rsid w:val="00966BAD"/>
    <w:rsid w:val="00971CDF"/>
    <w:rsid w:val="00973D65"/>
    <w:rsid w:val="00980E61"/>
    <w:rsid w:val="00983D17"/>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1E79"/>
    <w:rsid w:val="009F275E"/>
    <w:rsid w:val="00A029EC"/>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267F"/>
    <w:rsid w:val="00A845F5"/>
    <w:rsid w:val="00A913AA"/>
    <w:rsid w:val="00A96489"/>
    <w:rsid w:val="00AB2425"/>
    <w:rsid w:val="00AB685C"/>
    <w:rsid w:val="00AB6C2D"/>
    <w:rsid w:val="00AB762E"/>
    <w:rsid w:val="00AC08F7"/>
    <w:rsid w:val="00AC3839"/>
    <w:rsid w:val="00AC7082"/>
    <w:rsid w:val="00AD4BE8"/>
    <w:rsid w:val="00AD6545"/>
    <w:rsid w:val="00AE1A12"/>
    <w:rsid w:val="00AF228E"/>
    <w:rsid w:val="00AF771B"/>
    <w:rsid w:val="00B007F7"/>
    <w:rsid w:val="00B016A8"/>
    <w:rsid w:val="00B05D36"/>
    <w:rsid w:val="00B14819"/>
    <w:rsid w:val="00B15E2F"/>
    <w:rsid w:val="00B17AA9"/>
    <w:rsid w:val="00B22A28"/>
    <w:rsid w:val="00B22E51"/>
    <w:rsid w:val="00B24FC6"/>
    <w:rsid w:val="00B2589E"/>
    <w:rsid w:val="00B25FA1"/>
    <w:rsid w:val="00B350D0"/>
    <w:rsid w:val="00B44713"/>
    <w:rsid w:val="00B46C4B"/>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364"/>
    <w:rsid w:val="00B94841"/>
    <w:rsid w:val="00B960A8"/>
    <w:rsid w:val="00B9639B"/>
    <w:rsid w:val="00BA06CC"/>
    <w:rsid w:val="00BB0F2B"/>
    <w:rsid w:val="00BC4BC5"/>
    <w:rsid w:val="00BD1061"/>
    <w:rsid w:val="00BD5C7A"/>
    <w:rsid w:val="00BD7133"/>
    <w:rsid w:val="00BE0C4E"/>
    <w:rsid w:val="00BE4FF3"/>
    <w:rsid w:val="00BE5D2E"/>
    <w:rsid w:val="00BF50F7"/>
    <w:rsid w:val="00BF6C8E"/>
    <w:rsid w:val="00BF7738"/>
    <w:rsid w:val="00C01972"/>
    <w:rsid w:val="00C02F29"/>
    <w:rsid w:val="00C16789"/>
    <w:rsid w:val="00C17718"/>
    <w:rsid w:val="00C2018C"/>
    <w:rsid w:val="00C20AFE"/>
    <w:rsid w:val="00C22A25"/>
    <w:rsid w:val="00C24907"/>
    <w:rsid w:val="00C31B3C"/>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77784"/>
    <w:rsid w:val="00C82D87"/>
    <w:rsid w:val="00C8712A"/>
    <w:rsid w:val="00C902C8"/>
    <w:rsid w:val="00C919D1"/>
    <w:rsid w:val="00C963D3"/>
    <w:rsid w:val="00CA448F"/>
    <w:rsid w:val="00CB1983"/>
    <w:rsid w:val="00CB2CBB"/>
    <w:rsid w:val="00CB7CAC"/>
    <w:rsid w:val="00CC30A3"/>
    <w:rsid w:val="00CC5335"/>
    <w:rsid w:val="00CC5451"/>
    <w:rsid w:val="00CC5BA4"/>
    <w:rsid w:val="00CD4998"/>
    <w:rsid w:val="00CD707C"/>
    <w:rsid w:val="00CE1035"/>
    <w:rsid w:val="00CE1DCF"/>
    <w:rsid w:val="00CE6E50"/>
    <w:rsid w:val="00CF0079"/>
    <w:rsid w:val="00CF2819"/>
    <w:rsid w:val="00CF4F9D"/>
    <w:rsid w:val="00CF70DC"/>
    <w:rsid w:val="00D06723"/>
    <w:rsid w:val="00D148DC"/>
    <w:rsid w:val="00D17FDC"/>
    <w:rsid w:val="00D21D8C"/>
    <w:rsid w:val="00D41FDB"/>
    <w:rsid w:val="00D53719"/>
    <w:rsid w:val="00D63EFD"/>
    <w:rsid w:val="00D83191"/>
    <w:rsid w:val="00D83563"/>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4D4F"/>
    <w:rsid w:val="00DE6633"/>
    <w:rsid w:val="00DE71A2"/>
    <w:rsid w:val="00DE7516"/>
    <w:rsid w:val="00DE7B11"/>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721"/>
    <w:rsid w:val="00E71CB0"/>
    <w:rsid w:val="00E74ECD"/>
    <w:rsid w:val="00E77C3D"/>
    <w:rsid w:val="00E90991"/>
    <w:rsid w:val="00E909F0"/>
    <w:rsid w:val="00E90D47"/>
    <w:rsid w:val="00E93993"/>
    <w:rsid w:val="00E948DC"/>
    <w:rsid w:val="00E9597C"/>
    <w:rsid w:val="00E968BE"/>
    <w:rsid w:val="00EA0913"/>
    <w:rsid w:val="00EA5B00"/>
    <w:rsid w:val="00EB146B"/>
    <w:rsid w:val="00EB45AC"/>
    <w:rsid w:val="00EC1E6D"/>
    <w:rsid w:val="00EC441F"/>
    <w:rsid w:val="00EC4755"/>
    <w:rsid w:val="00EC7354"/>
    <w:rsid w:val="00ED0BC4"/>
    <w:rsid w:val="00ED447D"/>
    <w:rsid w:val="00EE0B41"/>
    <w:rsid w:val="00EE144F"/>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47248"/>
    <w:rsid w:val="00F5524B"/>
    <w:rsid w:val="00F5620F"/>
    <w:rsid w:val="00F60538"/>
    <w:rsid w:val="00F61DD2"/>
    <w:rsid w:val="00F66AFF"/>
    <w:rsid w:val="00F71433"/>
    <w:rsid w:val="00F76A65"/>
    <w:rsid w:val="00F80E9B"/>
    <w:rsid w:val="00F823E3"/>
    <w:rsid w:val="00F86400"/>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DBB0-5DDD-E245-902F-3D7BBF11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Henrietta Cole</cp:lastModifiedBy>
  <cp:revision>2</cp:revision>
  <cp:lastPrinted>2019-08-27T05:42:00Z</cp:lastPrinted>
  <dcterms:created xsi:type="dcterms:W3CDTF">2021-07-31T19:41:00Z</dcterms:created>
  <dcterms:modified xsi:type="dcterms:W3CDTF">2021-07-31T19:41:00Z</dcterms:modified>
</cp:coreProperties>
</file>