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521CE6" w:rsidRDefault="004A40BD" w:rsidP="00545969">
      <w:pPr>
        <w:pStyle w:val="ListParagraph"/>
        <w:numPr>
          <w:ilvl w:val="0"/>
          <w:numId w:val="11"/>
        </w:numPr>
        <w:ind w:left="426"/>
        <w:rPr>
          <w:rFonts w:ascii="Arial" w:hAnsi="Arial" w:cs="Arial"/>
          <w:sz w:val="22"/>
          <w:szCs w:val="22"/>
          <w:highlight w:val="yellow"/>
          <w:lang w:val="en-GB"/>
        </w:rPr>
      </w:pPr>
      <w:r w:rsidRPr="00521CE6">
        <w:rPr>
          <w:rFonts w:ascii="Arial" w:hAnsi="Arial" w:cs="Arial"/>
          <w:sz w:val="22"/>
          <w:szCs w:val="22"/>
          <w:highlight w:val="yellow"/>
          <w:lang w:val="en-GB"/>
        </w:rPr>
        <w:t>B</w:t>
      </w:r>
      <w:r w:rsidR="00780E21" w:rsidRPr="00521CE6">
        <w:rPr>
          <w:rFonts w:ascii="Arial" w:hAnsi="Arial" w:cs="Arial"/>
          <w:sz w:val="22"/>
          <w:szCs w:val="22"/>
          <w:highlight w:val="yellow"/>
          <w:lang w:val="en-GB"/>
        </w:rPr>
        <w:t>y court decision</w:t>
      </w:r>
      <w:r w:rsidR="00E86A87" w:rsidRPr="00521CE6">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2137A7" w:rsidRDefault="00E86A87" w:rsidP="00545969">
      <w:pPr>
        <w:pStyle w:val="ListParagraph"/>
        <w:numPr>
          <w:ilvl w:val="0"/>
          <w:numId w:val="13"/>
        </w:numPr>
        <w:ind w:left="426"/>
        <w:rPr>
          <w:rFonts w:ascii="Arial" w:hAnsi="Arial" w:cs="Arial"/>
          <w:sz w:val="22"/>
          <w:szCs w:val="22"/>
          <w:highlight w:val="yellow"/>
          <w:lang w:val="en-GB"/>
        </w:rPr>
      </w:pPr>
      <w:r w:rsidRPr="002137A7">
        <w:rPr>
          <w:rFonts w:ascii="Arial" w:hAnsi="Arial" w:cs="Arial"/>
          <w:sz w:val="22"/>
          <w:szCs w:val="22"/>
          <w:highlight w:val="yellow"/>
          <w:lang w:val="en-GB"/>
        </w:rPr>
        <w:t>Surety</w:t>
      </w:r>
      <w:r w:rsidR="00B77BF0" w:rsidRPr="002137A7">
        <w:rPr>
          <w:rFonts w:ascii="Arial" w:hAnsi="Arial" w:cs="Arial"/>
          <w:sz w:val="22"/>
          <w:szCs w:val="22"/>
          <w:highlight w:val="yellow"/>
          <w:lang w:val="en-GB"/>
        </w:rPr>
        <w:t>ship</w:t>
      </w:r>
      <w:r w:rsidR="007D7536" w:rsidRPr="002137A7">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proofErr w:type="spellStart"/>
      <w:r w:rsidRPr="00545969">
        <w:rPr>
          <w:rFonts w:ascii="Arial" w:hAnsi="Arial" w:cs="Arial"/>
          <w:i/>
          <w:sz w:val="22"/>
          <w:szCs w:val="22"/>
          <w:lang w:val="en-GB"/>
        </w:rPr>
        <w:t>Grundschuld</w:t>
      </w:r>
      <w:proofErr w:type="spellEnd"/>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2137A7" w:rsidRDefault="004A40BD" w:rsidP="00545969">
      <w:pPr>
        <w:pStyle w:val="ListParagraph"/>
        <w:numPr>
          <w:ilvl w:val="0"/>
          <w:numId w:val="15"/>
        </w:numPr>
        <w:ind w:left="426"/>
        <w:rPr>
          <w:rFonts w:ascii="Arial" w:hAnsi="Arial" w:cs="Arial"/>
          <w:sz w:val="22"/>
          <w:szCs w:val="22"/>
          <w:highlight w:val="yellow"/>
          <w:lang w:val="en-GB"/>
        </w:rPr>
      </w:pPr>
      <w:r w:rsidRPr="002137A7">
        <w:rPr>
          <w:rFonts w:ascii="Arial" w:hAnsi="Arial" w:cs="Arial"/>
          <w:sz w:val="22"/>
          <w:szCs w:val="22"/>
          <w:highlight w:val="yellow"/>
          <w:lang w:val="en-GB"/>
        </w:rPr>
        <w:t>Th</w:t>
      </w:r>
      <w:r w:rsidR="003D7817" w:rsidRPr="002137A7">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1924BA" w:rsidRDefault="00B23E79" w:rsidP="00BF0162">
      <w:pPr>
        <w:pStyle w:val="ListParagraph"/>
        <w:numPr>
          <w:ilvl w:val="0"/>
          <w:numId w:val="17"/>
        </w:numPr>
        <w:ind w:left="426"/>
        <w:rPr>
          <w:rFonts w:ascii="Arial" w:hAnsi="Arial" w:cs="Arial"/>
          <w:sz w:val="22"/>
          <w:szCs w:val="22"/>
          <w:highlight w:val="yellow"/>
          <w:lang w:val="en-GB"/>
        </w:rPr>
      </w:pPr>
      <w:r w:rsidRPr="001924BA">
        <w:rPr>
          <w:rFonts w:ascii="Arial" w:hAnsi="Arial" w:cs="Arial"/>
          <w:sz w:val="22"/>
          <w:szCs w:val="22"/>
          <w:highlight w:val="yellow"/>
          <w:lang w:val="en-GB"/>
        </w:rPr>
        <w:t>The directors of a Limited Liability Company (</w:t>
      </w:r>
      <w:r w:rsidRPr="001924BA">
        <w:rPr>
          <w:rFonts w:ascii="Arial" w:hAnsi="Arial" w:cs="Arial"/>
          <w:i/>
          <w:sz w:val="22"/>
          <w:szCs w:val="22"/>
          <w:highlight w:val="yellow"/>
          <w:lang w:val="en-GB"/>
        </w:rPr>
        <w:t>GmbH</w:t>
      </w:r>
      <w:r w:rsidRPr="001924BA">
        <w:rPr>
          <w:rFonts w:ascii="Arial" w:hAnsi="Arial" w:cs="Arial"/>
          <w:sz w:val="22"/>
          <w:szCs w:val="22"/>
          <w:highlight w:val="yellow"/>
          <w:lang w:val="en-GB"/>
        </w:rPr>
        <w:t>)</w:t>
      </w:r>
      <w:r w:rsidR="007D7536" w:rsidRPr="001924BA">
        <w:rPr>
          <w:rFonts w:ascii="Arial" w:hAnsi="Arial" w:cs="Arial"/>
          <w:sz w:val="22"/>
          <w:szCs w:val="22"/>
          <w:highlight w:val="yellow"/>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Legal persons only</w:t>
      </w:r>
      <w:r w:rsidR="007D7536" w:rsidRPr="00BF0162">
        <w:rPr>
          <w:rFonts w:ascii="Arial" w:hAnsi="Arial" w:cs="Arial"/>
          <w:sz w:val="22"/>
          <w:szCs w:val="22"/>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F457B3" w:rsidRDefault="004A40BD" w:rsidP="00BF0162">
      <w:pPr>
        <w:pStyle w:val="ListParagraph"/>
        <w:numPr>
          <w:ilvl w:val="0"/>
          <w:numId w:val="19"/>
        </w:numPr>
        <w:ind w:left="426"/>
        <w:rPr>
          <w:rFonts w:ascii="Arial" w:hAnsi="Arial" w:cs="Arial"/>
          <w:sz w:val="22"/>
          <w:szCs w:val="22"/>
          <w:highlight w:val="yellow"/>
        </w:rPr>
      </w:pPr>
      <w:r w:rsidRPr="00F457B3">
        <w:rPr>
          <w:rFonts w:ascii="Arial" w:hAnsi="Arial" w:cs="Arial"/>
          <w:sz w:val="22"/>
          <w:szCs w:val="22"/>
          <w:highlight w:val="yellow"/>
        </w:rPr>
        <w:t>R</w:t>
      </w:r>
      <w:r w:rsidR="003939F8" w:rsidRPr="00F457B3">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F457B3" w:rsidRDefault="00797096" w:rsidP="00BF0162">
      <w:pPr>
        <w:pStyle w:val="ListParagraph"/>
        <w:numPr>
          <w:ilvl w:val="0"/>
          <w:numId w:val="24"/>
        </w:numPr>
        <w:ind w:left="426"/>
        <w:rPr>
          <w:rFonts w:ascii="Arial" w:hAnsi="Arial" w:cs="Arial"/>
          <w:sz w:val="22"/>
          <w:szCs w:val="22"/>
          <w:highlight w:val="yellow"/>
          <w:lang w:val="en-GB"/>
        </w:rPr>
      </w:pPr>
      <w:r w:rsidRPr="00F457B3">
        <w:rPr>
          <w:rFonts w:ascii="Arial" w:hAnsi="Arial" w:cs="Arial"/>
          <w:sz w:val="22"/>
          <w:szCs w:val="22"/>
          <w:highlight w:val="yellow"/>
          <w:lang w:val="en-GB"/>
        </w:rPr>
        <w:t>The debtor</w:t>
      </w:r>
      <w:r w:rsidR="00E676A0" w:rsidRPr="00F457B3">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F457B3" w:rsidRDefault="004A40BD" w:rsidP="00D4592B">
      <w:pPr>
        <w:pStyle w:val="ListParagraph"/>
        <w:numPr>
          <w:ilvl w:val="0"/>
          <w:numId w:val="25"/>
        </w:numPr>
        <w:ind w:left="426"/>
        <w:rPr>
          <w:rFonts w:ascii="Arial" w:hAnsi="Arial" w:cs="Arial"/>
          <w:sz w:val="22"/>
          <w:szCs w:val="22"/>
          <w:highlight w:val="yellow"/>
          <w:lang w:val="en-GB"/>
        </w:rPr>
      </w:pPr>
      <w:r w:rsidRPr="00F457B3">
        <w:rPr>
          <w:rFonts w:ascii="Arial" w:hAnsi="Arial" w:cs="Arial"/>
          <w:sz w:val="22"/>
          <w:szCs w:val="22"/>
          <w:highlight w:val="yellow"/>
          <w:lang w:val="en-GB"/>
        </w:rPr>
        <w:t>Lo</w:t>
      </w:r>
      <w:r w:rsidR="004E1B0F" w:rsidRPr="00F457B3">
        <w:rPr>
          <w:rFonts w:ascii="Arial" w:hAnsi="Arial" w:cs="Arial"/>
          <w:sz w:val="22"/>
          <w:szCs w:val="22"/>
          <w:highlight w:val="yellow"/>
          <w:lang w:val="en-GB"/>
        </w:rPr>
        <w:t>cation of assets</w:t>
      </w:r>
      <w:r w:rsidR="00E676A0" w:rsidRPr="00F457B3">
        <w:rPr>
          <w:rFonts w:ascii="Arial" w:hAnsi="Arial" w:cs="Arial"/>
          <w:sz w:val="22"/>
          <w:szCs w:val="22"/>
          <w:highlight w:val="yellow"/>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B34DC0" w:rsidRDefault="00E9597C" w:rsidP="00C55824">
      <w:pPr>
        <w:jc w:val="both"/>
        <w:rPr>
          <w:rFonts w:ascii="Arial" w:hAnsi="Arial" w:cs="Arial"/>
          <w:sz w:val="22"/>
          <w:szCs w:val="22"/>
          <w:lang w:val="en-GB"/>
        </w:rPr>
      </w:pPr>
      <w:r w:rsidRPr="00B34DC0">
        <w:rPr>
          <w:rFonts w:ascii="Arial" w:hAnsi="Arial" w:cs="Arial"/>
          <w:b/>
          <w:bCs/>
          <w:sz w:val="22"/>
          <w:szCs w:val="22"/>
          <w:lang w:val="en-GB"/>
        </w:rPr>
        <w:lastRenderedPageBreak/>
        <w:t>Question 1.8</w:t>
      </w:r>
      <w:r w:rsidRPr="00B34DC0">
        <w:rPr>
          <w:rFonts w:ascii="Arial" w:hAnsi="Arial" w:cs="Arial"/>
          <w:sz w:val="22"/>
          <w:szCs w:val="22"/>
          <w:lang w:val="en-GB"/>
        </w:rPr>
        <w:t xml:space="preserve"> </w:t>
      </w:r>
    </w:p>
    <w:p w14:paraId="54C01A0C" w14:textId="77777777" w:rsidR="00E86A87" w:rsidRPr="00B34DC0" w:rsidRDefault="00E86A87" w:rsidP="00C55824">
      <w:pPr>
        <w:jc w:val="both"/>
        <w:rPr>
          <w:rFonts w:ascii="Arial" w:hAnsi="Arial" w:cs="Arial"/>
          <w:sz w:val="22"/>
          <w:szCs w:val="22"/>
          <w:lang w:val="en-GB"/>
        </w:rPr>
      </w:pPr>
    </w:p>
    <w:p w14:paraId="68B424A2" w14:textId="7F133782" w:rsidR="00E86A87" w:rsidRPr="00B34DC0" w:rsidRDefault="00AD62C1" w:rsidP="00E86A87">
      <w:pPr>
        <w:ind w:left="720" w:hanging="720"/>
        <w:rPr>
          <w:rFonts w:ascii="Arial" w:hAnsi="Arial" w:cs="Arial"/>
          <w:sz w:val="22"/>
          <w:szCs w:val="22"/>
          <w:lang w:val="en-GB"/>
        </w:rPr>
      </w:pPr>
      <w:r w:rsidRPr="00B34DC0">
        <w:rPr>
          <w:rFonts w:ascii="Arial" w:hAnsi="Arial" w:cs="Arial"/>
          <w:sz w:val="22"/>
          <w:szCs w:val="22"/>
          <w:lang w:val="en-GB"/>
        </w:rPr>
        <w:t xml:space="preserve">The rights of which group </w:t>
      </w:r>
      <w:r w:rsidRPr="00B34DC0">
        <w:rPr>
          <w:rFonts w:ascii="Arial" w:hAnsi="Arial" w:cs="Arial"/>
          <w:b/>
          <w:sz w:val="22"/>
          <w:szCs w:val="22"/>
          <w:lang w:val="en-GB"/>
        </w:rPr>
        <w:t>cannot</w:t>
      </w:r>
      <w:r w:rsidRPr="00B34DC0">
        <w:rPr>
          <w:rFonts w:ascii="Arial" w:hAnsi="Arial" w:cs="Arial"/>
          <w:sz w:val="22"/>
          <w:szCs w:val="22"/>
          <w:lang w:val="en-GB"/>
        </w:rPr>
        <w:t xml:space="preserve"> be affected by an insolvency plan?</w:t>
      </w:r>
    </w:p>
    <w:p w14:paraId="61EE58BB" w14:textId="77777777" w:rsidR="00E86A87" w:rsidRPr="00B34DC0" w:rsidRDefault="00E86A87" w:rsidP="00C55824">
      <w:pPr>
        <w:jc w:val="both"/>
        <w:rPr>
          <w:rFonts w:ascii="Arial" w:hAnsi="Arial" w:cs="Arial"/>
          <w:sz w:val="22"/>
          <w:szCs w:val="22"/>
          <w:lang w:val="en-GB"/>
        </w:rPr>
      </w:pPr>
    </w:p>
    <w:p w14:paraId="0FCEDDC5" w14:textId="66BCD39D" w:rsidR="00E86A87" w:rsidRPr="00B34DC0" w:rsidRDefault="00AD62C1" w:rsidP="00D4592B">
      <w:pPr>
        <w:pStyle w:val="ListParagraph"/>
        <w:numPr>
          <w:ilvl w:val="0"/>
          <w:numId w:val="27"/>
        </w:numPr>
        <w:ind w:left="426"/>
        <w:rPr>
          <w:rFonts w:ascii="Arial" w:hAnsi="Arial" w:cs="Arial"/>
          <w:sz w:val="22"/>
          <w:szCs w:val="22"/>
          <w:lang w:val="en-GB"/>
        </w:rPr>
      </w:pPr>
      <w:r w:rsidRPr="00B34DC0">
        <w:rPr>
          <w:rFonts w:ascii="Arial" w:hAnsi="Arial" w:cs="Arial"/>
          <w:sz w:val="22"/>
          <w:szCs w:val="22"/>
          <w:lang w:val="en-GB"/>
        </w:rPr>
        <w:t>Employees</w:t>
      </w:r>
      <w:r w:rsidR="00E676A0" w:rsidRPr="00B34DC0">
        <w:rPr>
          <w:rFonts w:ascii="Arial" w:hAnsi="Arial" w:cs="Arial"/>
          <w:sz w:val="22"/>
          <w:szCs w:val="22"/>
          <w:lang w:val="en-GB"/>
        </w:rPr>
        <w:t>.</w:t>
      </w:r>
    </w:p>
    <w:p w14:paraId="2E6B3413" w14:textId="77777777" w:rsidR="00D4592B" w:rsidRPr="00B34DC0" w:rsidRDefault="00D4592B" w:rsidP="00D4592B">
      <w:pPr>
        <w:ind w:left="426" w:hanging="284"/>
        <w:rPr>
          <w:rFonts w:ascii="Arial" w:hAnsi="Arial" w:cs="Arial"/>
          <w:sz w:val="22"/>
          <w:szCs w:val="22"/>
          <w:lang w:val="en-GB"/>
        </w:rPr>
      </w:pPr>
    </w:p>
    <w:p w14:paraId="0E1E8E42" w14:textId="3B88DB64" w:rsidR="00E86A87" w:rsidRPr="00B34DC0" w:rsidRDefault="00AD62C1" w:rsidP="00D4592B">
      <w:pPr>
        <w:pStyle w:val="ListParagraph"/>
        <w:numPr>
          <w:ilvl w:val="0"/>
          <w:numId w:val="27"/>
        </w:numPr>
        <w:ind w:left="426"/>
        <w:rPr>
          <w:rFonts w:ascii="Arial" w:hAnsi="Arial" w:cs="Arial"/>
          <w:sz w:val="22"/>
          <w:szCs w:val="22"/>
          <w:lang w:val="en-GB"/>
        </w:rPr>
      </w:pPr>
      <w:r w:rsidRPr="00B34DC0">
        <w:rPr>
          <w:rFonts w:ascii="Arial" w:hAnsi="Arial" w:cs="Arial"/>
          <w:sz w:val="22"/>
          <w:szCs w:val="22"/>
          <w:lang w:val="en-GB"/>
        </w:rPr>
        <w:t>Shareholders</w:t>
      </w:r>
      <w:r w:rsidR="00E676A0" w:rsidRPr="00B34DC0">
        <w:rPr>
          <w:rFonts w:ascii="Arial" w:hAnsi="Arial" w:cs="Arial"/>
          <w:sz w:val="22"/>
          <w:szCs w:val="22"/>
          <w:lang w:val="en-GB"/>
        </w:rPr>
        <w:t>.</w:t>
      </w:r>
    </w:p>
    <w:p w14:paraId="27E1684F" w14:textId="77777777" w:rsidR="00D4592B" w:rsidRPr="00B34DC0" w:rsidRDefault="00D4592B" w:rsidP="00D4592B">
      <w:pPr>
        <w:ind w:left="426" w:hanging="284"/>
        <w:rPr>
          <w:rFonts w:ascii="Arial" w:hAnsi="Arial" w:cs="Arial"/>
          <w:sz w:val="22"/>
          <w:szCs w:val="22"/>
          <w:lang w:val="en-GB"/>
        </w:rPr>
      </w:pPr>
    </w:p>
    <w:p w14:paraId="45443C96" w14:textId="1BDBE9AE" w:rsidR="00E86A87" w:rsidRPr="00B34DC0" w:rsidRDefault="00AD62C1" w:rsidP="00D4592B">
      <w:pPr>
        <w:pStyle w:val="ListParagraph"/>
        <w:numPr>
          <w:ilvl w:val="0"/>
          <w:numId w:val="27"/>
        </w:numPr>
        <w:ind w:left="426"/>
        <w:rPr>
          <w:rFonts w:ascii="Arial" w:hAnsi="Arial" w:cs="Arial"/>
          <w:sz w:val="22"/>
          <w:szCs w:val="22"/>
          <w:lang w:val="en-GB"/>
        </w:rPr>
      </w:pPr>
      <w:r w:rsidRPr="00B34DC0">
        <w:rPr>
          <w:rFonts w:ascii="Arial" w:hAnsi="Arial" w:cs="Arial"/>
          <w:sz w:val="22"/>
          <w:szCs w:val="22"/>
          <w:lang w:val="en-GB"/>
        </w:rPr>
        <w:t>Banks</w:t>
      </w:r>
      <w:r w:rsidR="00D4592B" w:rsidRPr="00B34DC0">
        <w:rPr>
          <w:rFonts w:ascii="Arial" w:hAnsi="Arial" w:cs="Arial"/>
          <w:sz w:val="22"/>
          <w:szCs w:val="22"/>
          <w:lang w:val="en-GB"/>
        </w:rPr>
        <w:t>.</w:t>
      </w:r>
    </w:p>
    <w:p w14:paraId="6D108DEB" w14:textId="77777777" w:rsidR="00D4592B" w:rsidRPr="00B34DC0" w:rsidRDefault="00D4592B" w:rsidP="00D4592B">
      <w:pPr>
        <w:ind w:left="426" w:hanging="284"/>
        <w:rPr>
          <w:rFonts w:ascii="Arial" w:hAnsi="Arial" w:cs="Arial"/>
          <w:sz w:val="22"/>
          <w:szCs w:val="22"/>
          <w:highlight w:val="yellow"/>
          <w:lang w:val="en-GB"/>
        </w:rPr>
      </w:pPr>
    </w:p>
    <w:p w14:paraId="65D532B0" w14:textId="5CE65DF7" w:rsidR="00E86A87" w:rsidRPr="00B34DC0" w:rsidRDefault="00AD62C1" w:rsidP="00D4592B">
      <w:pPr>
        <w:pStyle w:val="ListParagraph"/>
        <w:numPr>
          <w:ilvl w:val="0"/>
          <w:numId w:val="27"/>
        </w:numPr>
        <w:ind w:left="426"/>
        <w:rPr>
          <w:rFonts w:ascii="Arial" w:hAnsi="Arial" w:cs="Arial"/>
          <w:sz w:val="22"/>
          <w:szCs w:val="22"/>
          <w:highlight w:val="yellow"/>
          <w:lang w:val="en-GB"/>
        </w:rPr>
      </w:pPr>
      <w:r w:rsidRPr="00B34DC0">
        <w:rPr>
          <w:rFonts w:ascii="Arial" w:hAnsi="Arial" w:cs="Arial"/>
          <w:sz w:val="22"/>
          <w:szCs w:val="22"/>
          <w:highlight w:val="yellow"/>
          <w:lang w:val="en-GB"/>
        </w:rPr>
        <w:t>Creditors with a right to separation</w:t>
      </w:r>
      <w:r w:rsidR="00E676A0" w:rsidRPr="00B34DC0">
        <w:rPr>
          <w:rFonts w:ascii="Arial" w:hAnsi="Arial" w:cs="Arial"/>
          <w:sz w:val="22"/>
          <w:szCs w:val="22"/>
          <w:highlight w:val="yellow"/>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F457B3" w:rsidRDefault="004A7773" w:rsidP="00D4592B">
      <w:pPr>
        <w:pStyle w:val="ListParagraph"/>
        <w:numPr>
          <w:ilvl w:val="0"/>
          <w:numId w:val="29"/>
        </w:numPr>
        <w:ind w:left="426"/>
        <w:rPr>
          <w:rFonts w:ascii="Arial" w:hAnsi="Arial" w:cs="Arial"/>
          <w:sz w:val="22"/>
          <w:szCs w:val="22"/>
          <w:highlight w:val="yellow"/>
          <w:lang w:val="en-GB"/>
        </w:rPr>
      </w:pPr>
      <w:r w:rsidRPr="00F457B3">
        <w:rPr>
          <w:rFonts w:ascii="Arial" w:hAnsi="Arial" w:cs="Arial"/>
          <w:sz w:val="22"/>
          <w:szCs w:val="22"/>
          <w:highlight w:val="yellow"/>
          <w:lang w:val="en-GB"/>
        </w:rPr>
        <w:t>Six years</w:t>
      </w:r>
      <w:r w:rsidR="005F75C3" w:rsidRPr="00F457B3">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7A3385" w:rsidRDefault="00F54BA3" w:rsidP="00D4592B">
      <w:pPr>
        <w:pStyle w:val="ListParagraph"/>
        <w:numPr>
          <w:ilvl w:val="0"/>
          <w:numId w:val="31"/>
        </w:numPr>
        <w:ind w:left="426"/>
        <w:rPr>
          <w:rFonts w:ascii="Arial" w:hAnsi="Arial" w:cs="Arial"/>
          <w:sz w:val="22"/>
          <w:szCs w:val="22"/>
          <w:lang w:val="en-GB"/>
        </w:rPr>
      </w:pPr>
      <w:r w:rsidRPr="007A3385">
        <w:rPr>
          <w:rFonts w:ascii="Arial" w:hAnsi="Arial" w:cs="Arial"/>
          <w:sz w:val="22"/>
          <w:szCs w:val="22"/>
          <w:lang w:val="en-GB"/>
        </w:rPr>
        <w:t>By decision of the court</w:t>
      </w:r>
      <w:r w:rsidR="002B40FB" w:rsidRPr="007A3385">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7A3385" w:rsidRDefault="00F54BA3" w:rsidP="00D4592B">
      <w:pPr>
        <w:pStyle w:val="ListParagraph"/>
        <w:numPr>
          <w:ilvl w:val="0"/>
          <w:numId w:val="31"/>
        </w:numPr>
        <w:ind w:left="426"/>
        <w:rPr>
          <w:rFonts w:ascii="Arial" w:hAnsi="Arial" w:cs="Arial"/>
          <w:sz w:val="22"/>
          <w:szCs w:val="22"/>
          <w:highlight w:val="yellow"/>
          <w:lang w:val="en-GB"/>
        </w:rPr>
      </w:pPr>
      <w:r w:rsidRPr="007A3385">
        <w:rPr>
          <w:rFonts w:ascii="Arial" w:hAnsi="Arial" w:cs="Arial"/>
          <w:sz w:val="22"/>
          <w:szCs w:val="22"/>
          <w:highlight w:val="yellow"/>
          <w:lang w:val="en-GB"/>
        </w:rPr>
        <w:t>By statute (by force of law)</w:t>
      </w:r>
      <w:r w:rsidR="002B40FB" w:rsidRPr="007A3385">
        <w:rPr>
          <w:rFonts w:ascii="Arial" w:hAnsi="Arial" w:cs="Arial"/>
          <w:sz w:val="22"/>
          <w:szCs w:val="22"/>
          <w:highlight w:val="yellow"/>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21ED5F66"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2A717EEF" w14:textId="5F1F571C" w:rsidR="007A3385" w:rsidRDefault="007A3385" w:rsidP="00C34152">
      <w:pPr>
        <w:jc w:val="both"/>
        <w:rPr>
          <w:rFonts w:ascii="Arial" w:hAnsi="Arial" w:cs="Arial"/>
          <w:sz w:val="22"/>
          <w:szCs w:val="22"/>
          <w:lang w:val="en-GB"/>
        </w:rPr>
      </w:pPr>
    </w:p>
    <w:p w14:paraId="505DC787" w14:textId="46E5519F" w:rsidR="007A3385" w:rsidRPr="007A3385" w:rsidRDefault="007A3385" w:rsidP="007A3385">
      <w:pPr>
        <w:pStyle w:val="ListParagraph"/>
        <w:numPr>
          <w:ilvl w:val="0"/>
          <w:numId w:val="34"/>
        </w:numPr>
        <w:jc w:val="both"/>
        <w:rPr>
          <w:rFonts w:ascii="Arial" w:hAnsi="Arial" w:cs="Arial"/>
          <w:color w:val="7B7B7B" w:themeColor="accent3" w:themeShade="BF"/>
          <w:sz w:val="22"/>
          <w:szCs w:val="22"/>
        </w:rPr>
      </w:pPr>
      <w:r w:rsidRPr="007A3385">
        <w:rPr>
          <w:rFonts w:ascii="Arial" w:hAnsi="Arial" w:cs="Arial"/>
          <w:color w:val="7B7B7B" w:themeColor="accent3" w:themeShade="BF"/>
          <w:sz w:val="22"/>
          <w:szCs w:val="22"/>
        </w:rPr>
        <w:t>Principle of universality applies in respect of insolvency proceedings in Germany which means that effects of insolvency proceedings opened in Germany are also binding in other countries;</w:t>
      </w:r>
    </w:p>
    <w:p w14:paraId="79E48278" w14:textId="77777777" w:rsidR="007A3385" w:rsidRDefault="007A3385" w:rsidP="007A3385">
      <w:pPr>
        <w:pStyle w:val="ListParagraph"/>
        <w:numPr>
          <w:ilvl w:val="0"/>
          <w:numId w:val="34"/>
        </w:numPr>
        <w:jc w:val="both"/>
        <w:rPr>
          <w:rFonts w:ascii="Arial" w:hAnsi="Arial" w:cs="Arial"/>
          <w:color w:val="7B7B7B" w:themeColor="accent3" w:themeShade="BF"/>
          <w:sz w:val="22"/>
          <w:szCs w:val="22"/>
        </w:rPr>
      </w:pPr>
      <w:r w:rsidRPr="007A3385">
        <w:rPr>
          <w:rFonts w:ascii="Arial" w:hAnsi="Arial" w:cs="Arial"/>
          <w:color w:val="7B7B7B" w:themeColor="accent3" w:themeShade="BF"/>
          <w:sz w:val="22"/>
          <w:szCs w:val="22"/>
        </w:rPr>
        <w:t>Principle of universalism also applies in respect of recognition of foreign insolvency proceedings</w:t>
      </w:r>
      <w:r>
        <w:rPr>
          <w:rFonts w:ascii="Arial" w:hAnsi="Arial" w:cs="Arial"/>
          <w:color w:val="7B7B7B" w:themeColor="accent3" w:themeShade="BF"/>
          <w:sz w:val="22"/>
          <w:szCs w:val="22"/>
        </w:rPr>
        <w:t xml:space="preserve"> except in cases if</w:t>
      </w:r>
    </w:p>
    <w:p w14:paraId="766B9556" w14:textId="77777777" w:rsidR="007A3385" w:rsidRDefault="007A3385" w:rsidP="007A3385">
      <w:pPr>
        <w:pStyle w:val="ListParagraph"/>
        <w:ind w:left="1080"/>
        <w:jc w:val="both"/>
        <w:rPr>
          <w:rFonts w:ascii="Arial" w:hAnsi="Arial" w:cs="Arial"/>
          <w:color w:val="7B7B7B" w:themeColor="accent3" w:themeShade="BF"/>
          <w:sz w:val="22"/>
          <w:szCs w:val="22"/>
        </w:rPr>
      </w:pPr>
    </w:p>
    <w:p w14:paraId="2F719133" w14:textId="02981EBD" w:rsidR="007A3385" w:rsidRPr="007A3385" w:rsidRDefault="007A3385" w:rsidP="007A3385">
      <w:pPr>
        <w:pStyle w:val="ListParagraph"/>
        <w:numPr>
          <w:ilvl w:val="0"/>
          <w:numId w:val="36"/>
        </w:numPr>
        <w:jc w:val="both"/>
        <w:rPr>
          <w:rFonts w:ascii="Arial" w:hAnsi="Arial" w:cs="Arial"/>
          <w:color w:val="7B7B7B" w:themeColor="accent3" w:themeShade="BF"/>
          <w:sz w:val="22"/>
          <w:szCs w:val="22"/>
        </w:rPr>
      </w:pPr>
      <w:r w:rsidRPr="007A3385">
        <w:rPr>
          <w:rFonts w:ascii="Arial" w:hAnsi="Arial" w:cs="Arial"/>
          <w:color w:val="7B7B7B" w:themeColor="accent3" w:themeShade="BF"/>
          <w:sz w:val="22"/>
          <w:szCs w:val="22"/>
        </w:rPr>
        <w:t>if the courts of the state of the opening of proceedings do not have jurisdiction in accordance with German law;</w:t>
      </w:r>
    </w:p>
    <w:p w14:paraId="4B971BF8" w14:textId="77777777" w:rsidR="007A3385" w:rsidRDefault="007A3385" w:rsidP="007A3385">
      <w:pPr>
        <w:jc w:val="both"/>
        <w:rPr>
          <w:rFonts w:ascii="Arial" w:hAnsi="Arial" w:cs="Arial"/>
          <w:color w:val="7B7B7B" w:themeColor="accent3" w:themeShade="BF"/>
          <w:sz w:val="22"/>
          <w:szCs w:val="22"/>
        </w:rPr>
      </w:pPr>
      <w:bookmarkStart w:id="1" w:name="p1407"/>
      <w:bookmarkEnd w:id="1"/>
    </w:p>
    <w:p w14:paraId="32DC2346" w14:textId="4576D216" w:rsidR="007A3385" w:rsidRPr="007A3385" w:rsidRDefault="007A3385" w:rsidP="007A3385">
      <w:pPr>
        <w:pStyle w:val="ListParagraph"/>
        <w:numPr>
          <w:ilvl w:val="0"/>
          <w:numId w:val="36"/>
        </w:numPr>
        <w:jc w:val="both"/>
        <w:rPr>
          <w:rFonts w:ascii="Arial" w:hAnsi="Arial" w:cs="Arial"/>
          <w:color w:val="7B7B7B" w:themeColor="accent3" w:themeShade="BF"/>
          <w:sz w:val="22"/>
          <w:szCs w:val="22"/>
        </w:rPr>
      </w:pPr>
      <w:r w:rsidRPr="007A3385">
        <w:rPr>
          <w:rFonts w:ascii="Arial" w:hAnsi="Arial" w:cs="Arial"/>
          <w:color w:val="7B7B7B" w:themeColor="accent3" w:themeShade="BF"/>
          <w:sz w:val="22"/>
          <w:szCs w:val="22"/>
        </w:rPr>
        <w:t>where recognition leads to a result which is manifestly incompatible with major principles of German law, in particular where it is incompatible with basic rights.</w:t>
      </w:r>
    </w:p>
    <w:p w14:paraId="79153311" w14:textId="77777777" w:rsidR="007A3385" w:rsidRPr="007A3385" w:rsidRDefault="007A3385" w:rsidP="007A3385">
      <w:pPr>
        <w:jc w:val="both"/>
        <w:rPr>
          <w:rFonts w:ascii="Arial" w:hAnsi="Arial" w:cs="Arial"/>
          <w:color w:val="7B7B7B" w:themeColor="accent3" w:themeShade="BF"/>
          <w:sz w:val="22"/>
          <w:szCs w:val="22"/>
        </w:rPr>
      </w:pPr>
    </w:p>
    <w:p w14:paraId="627B1BDA" w14:textId="0056051A" w:rsidR="007A3385" w:rsidRPr="007A3385" w:rsidRDefault="007A3385" w:rsidP="00025925">
      <w:pPr>
        <w:pStyle w:val="ListParagraph"/>
        <w:numPr>
          <w:ilvl w:val="0"/>
          <w:numId w:val="36"/>
        </w:numPr>
        <w:jc w:val="both"/>
        <w:rPr>
          <w:rFonts w:ascii="Arial" w:hAnsi="Arial" w:cs="Arial"/>
          <w:color w:val="7B7B7B" w:themeColor="accent3" w:themeShade="BF"/>
          <w:sz w:val="22"/>
          <w:szCs w:val="22"/>
        </w:rPr>
      </w:pPr>
      <w:r w:rsidRPr="007A3385">
        <w:rPr>
          <w:rFonts w:ascii="Arial" w:hAnsi="Arial" w:cs="Arial"/>
          <w:color w:val="7B7B7B" w:themeColor="accent3" w:themeShade="BF"/>
          <w:sz w:val="22"/>
          <w:szCs w:val="22"/>
        </w:rPr>
        <w:lastRenderedPageBreak/>
        <w:t xml:space="preserve">By operation of the principle of </w:t>
      </w:r>
      <w:r w:rsidRPr="007A3385">
        <w:rPr>
          <w:rFonts w:ascii="Arial" w:hAnsi="Arial" w:cs="Arial"/>
          <w:i/>
          <w:iCs/>
          <w:color w:val="7B7B7B" w:themeColor="accent3" w:themeShade="BF"/>
          <w:sz w:val="22"/>
          <w:szCs w:val="22"/>
        </w:rPr>
        <w:t xml:space="preserve">lex </w:t>
      </w:r>
      <w:proofErr w:type="spellStart"/>
      <w:r w:rsidRPr="007A3385">
        <w:rPr>
          <w:rFonts w:ascii="Arial" w:hAnsi="Arial" w:cs="Arial"/>
          <w:i/>
          <w:iCs/>
          <w:color w:val="7B7B7B" w:themeColor="accent3" w:themeShade="BF"/>
          <w:sz w:val="22"/>
          <w:szCs w:val="22"/>
        </w:rPr>
        <w:t>fori</w:t>
      </w:r>
      <w:proofErr w:type="spellEnd"/>
      <w:r w:rsidRPr="007A3385">
        <w:rPr>
          <w:rFonts w:ascii="Arial" w:hAnsi="Arial" w:cs="Arial"/>
          <w:i/>
          <w:iCs/>
          <w:color w:val="7B7B7B" w:themeColor="accent3" w:themeShade="BF"/>
          <w:sz w:val="22"/>
          <w:szCs w:val="22"/>
        </w:rPr>
        <w:t xml:space="preserve"> concursus,</w:t>
      </w:r>
      <w:r w:rsidRPr="007A3385">
        <w:rPr>
          <w:rFonts w:ascii="Arial" w:hAnsi="Arial" w:cs="Arial"/>
          <w:color w:val="7B7B7B" w:themeColor="accent3" w:themeShade="BF"/>
          <w:sz w:val="22"/>
          <w:szCs w:val="22"/>
        </w:rPr>
        <w:t xml:space="preserve"> t</w:t>
      </w:r>
      <w:r w:rsidRPr="007A3385">
        <w:rPr>
          <w:rFonts w:ascii="Arial" w:hAnsi="Arial" w:cs="Arial"/>
          <w:color w:val="7B7B7B" w:themeColor="accent3" w:themeShade="BF"/>
          <w:sz w:val="22"/>
          <w:szCs w:val="22"/>
        </w:rPr>
        <w:t>he insolvency proceedings and their effects</w:t>
      </w:r>
      <w:r w:rsidRPr="007A3385">
        <w:rPr>
          <w:rFonts w:ascii="Arial" w:hAnsi="Arial" w:cs="Arial"/>
          <w:color w:val="7B7B7B" w:themeColor="accent3" w:themeShade="BF"/>
          <w:sz w:val="22"/>
          <w:szCs w:val="22"/>
        </w:rPr>
        <w:t>, unless otherwise provided,</w:t>
      </w:r>
      <w:r w:rsidRPr="007A3385">
        <w:rPr>
          <w:rFonts w:ascii="Arial" w:hAnsi="Arial" w:cs="Arial"/>
          <w:color w:val="7B7B7B" w:themeColor="accent3" w:themeShade="BF"/>
          <w:sz w:val="22"/>
          <w:szCs w:val="22"/>
        </w:rPr>
        <w:t xml:space="preserve"> shall be subject to the law of the state in which the proceedings have been opened.</w:t>
      </w:r>
      <w:r w:rsidRPr="007A3385">
        <w:rPr>
          <w:rFonts w:ascii="Arial" w:hAnsi="Arial" w:cs="Arial"/>
          <w:color w:val="7B7B7B" w:themeColor="accent3" w:themeShade="BF"/>
          <w:sz w:val="22"/>
          <w:szCs w:val="22"/>
        </w:rPr>
        <w:t xml:space="preserve"> However</w:t>
      </w:r>
      <w:r w:rsidR="00B34DC0">
        <w:rPr>
          <w:rFonts w:ascii="Arial" w:hAnsi="Arial" w:cs="Arial"/>
          <w:color w:val="7B7B7B" w:themeColor="accent3" w:themeShade="BF"/>
          <w:sz w:val="22"/>
          <w:szCs w:val="22"/>
        </w:rPr>
        <w:t>,</w:t>
      </w:r>
      <w:r w:rsidRPr="007A3385">
        <w:rPr>
          <w:rFonts w:ascii="Arial" w:hAnsi="Arial" w:cs="Arial"/>
          <w:color w:val="7B7B7B" w:themeColor="accent3" w:themeShade="BF"/>
          <w:sz w:val="22"/>
          <w:szCs w:val="22"/>
        </w:rPr>
        <w:t xml:space="preserve"> </w:t>
      </w:r>
      <w:r w:rsidR="009E19D3" w:rsidRPr="007A3385">
        <w:rPr>
          <w:rFonts w:ascii="Arial" w:hAnsi="Arial" w:cs="Arial"/>
          <w:color w:val="7B7B7B" w:themeColor="accent3" w:themeShade="BF"/>
          <w:sz w:val="22"/>
          <w:szCs w:val="22"/>
        </w:rPr>
        <w:t>the</w:t>
      </w:r>
      <w:r w:rsidRPr="007A3385">
        <w:rPr>
          <w:rFonts w:ascii="Arial" w:hAnsi="Arial" w:cs="Arial"/>
          <w:color w:val="7B7B7B" w:themeColor="accent3" w:themeShade="BF"/>
          <w:sz w:val="22"/>
          <w:szCs w:val="22"/>
        </w:rPr>
        <w:t xml:space="preserve"> </w:t>
      </w:r>
      <w:r w:rsidR="009E19D3" w:rsidRPr="007A3385">
        <w:rPr>
          <w:rFonts w:ascii="Arial" w:hAnsi="Arial" w:cs="Arial"/>
          <w:color w:val="7B7B7B" w:themeColor="accent3" w:themeShade="BF"/>
          <w:sz w:val="22"/>
          <w:szCs w:val="22"/>
        </w:rPr>
        <w:t>exception</w:t>
      </w:r>
      <w:r w:rsidRPr="007A3385">
        <w:rPr>
          <w:rFonts w:ascii="Arial" w:hAnsi="Arial" w:cs="Arial"/>
          <w:color w:val="7B7B7B" w:themeColor="accent3" w:themeShade="BF"/>
          <w:sz w:val="22"/>
          <w:szCs w:val="22"/>
        </w:rPr>
        <w:t xml:space="preserve"> being in respect of </w:t>
      </w:r>
      <w:r w:rsidRPr="009E19D3">
        <w:rPr>
          <w:rFonts w:ascii="Arial" w:hAnsi="Arial" w:cs="Arial"/>
          <w:color w:val="7B7B7B" w:themeColor="accent3" w:themeShade="BF"/>
          <w:sz w:val="22"/>
          <w:szCs w:val="22"/>
        </w:rPr>
        <w:t>a contract relating to a right in rem in an immovable object or a right to use an immovable object</w:t>
      </w:r>
      <w:r w:rsidRPr="009E19D3">
        <w:rPr>
          <w:rFonts w:ascii="Arial" w:hAnsi="Arial" w:cs="Arial"/>
          <w:color w:val="7B7B7B" w:themeColor="accent3" w:themeShade="BF"/>
          <w:sz w:val="22"/>
          <w:szCs w:val="22"/>
        </w:rPr>
        <w:t>, t</w:t>
      </w:r>
      <w:r w:rsidRPr="009E19D3">
        <w:rPr>
          <w:rFonts w:ascii="Arial" w:hAnsi="Arial" w:cs="Arial"/>
          <w:color w:val="7B7B7B" w:themeColor="accent3" w:themeShade="BF"/>
          <w:sz w:val="22"/>
          <w:szCs w:val="22"/>
        </w:rPr>
        <w:t xml:space="preserve">he effects of the insolvency proceedings </w:t>
      </w:r>
      <w:r w:rsidR="009E19D3" w:rsidRPr="009E19D3">
        <w:rPr>
          <w:rFonts w:ascii="Arial" w:hAnsi="Arial" w:cs="Arial"/>
          <w:color w:val="7B7B7B" w:themeColor="accent3" w:themeShade="BF"/>
          <w:sz w:val="22"/>
          <w:szCs w:val="22"/>
        </w:rPr>
        <w:t>in which case s</w:t>
      </w:r>
      <w:r w:rsidRPr="009E19D3">
        <w:rPr>
          <w:rFonts w:ascii="Arial" w:hAnsi="Arial" w:cs="Arial"/>
          <w:color w:val="7B7B7B" w:themeColor="accent3" w:themeShade="BF"/>
          <w:sz w:val="22"/>
          <w:szCs w:val="22"/>
        </w:rPr>
        <w:t>hall be subject to the law of the state in which the object is situated. </w:t>
      </w:r>
    </w:p>
    <w:p w14:paraId="720BC2ED" w14:textId="7F382FE3" w:rsidR="00D71A34" w:rsidRPr="00D71A34" w:rsidRDefault="00D71A34" w:rsidP="007A3385">
      <w:pPr>
        <w:pStyle w:val="ListParagraph"/>
        <w:ind w:left="1080"/>
        <w:jc w:val="both"/>
        <w:rPr>
          <w:rFonts w:ascii="Arial" w:hAnsi="Arial" w:cs="Arial"/>
          <w:b/>
          <w:color w:val="FF0000"/>
          <w:sz w:val="22"/>
          <w:szCs w:val="22"/>
          <w:lang w:val="en-GB"/>
        </w:rPr>
      </w:pP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ListParagraph"/>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 and which are not?</w:t>
      </w:r>
    </w:p>
    <w:p w14:paraId="7F9D361B" w14:textId="77777777" w:rsidR="00C34152" w:rsidRPr="007A3213" w:rsidRDefault="00C34152" w:rsidP="00C34152">
      <w:pPr>
        <w:pStyle w:val="ListParagraph"/>
        <w:ind w:left="0"/>
        <w:rPr>
          <w:rFonts w:ascii="Arial" w:hAnsi="Arial" w:cs="Arial"/>
          <w:sz w:val="22"/>
          <w:szCs w:val="22"/>
          <w:lang w:val="en-GB"/>
        </w:rPr>
      </w:pPr>
    </w:p>
    <w:p w14:paraId="5240995C" w14:textId="1C1BBE38" w:rsidR="00C036DE" w:rsidRDefault="006C3181" w:rsidP="00C036DE">
      <w:pPr>
        <w:jc w:val="both"/>
        <w:rPr>
          <w:rFonts w:ascii="Arial" w:hAnsi="Arial" w:cs="Arial"/>
          <w:color w:val="7B7B7B" w:themeColor="accent3" w:themeShade="BF"/>
          <w:sz w:val="22"/>
          <w:szCs w:val="22"/>
        </w:rPr>
      </w:pPr>
      <w:r w:rsidRPr="006C3181">
        <w:rPr>
          <w:rFonts w:ascii="Arial" w:hAnsi="Arial" w:cs="Arial"/>
          <w:color w:val="7B7B7B" w:themeColor="accent3" w:themeShade="BF"/>
          <w:sz w:val="22"/>
          <w:szCs w:val="22"/>
        </w:rPr>
        <w:t>Germany has no register of security interests in movable assets at all</w:t>
      </w:r>
      <w:r w:rsidRPr="006C3181">
        <w:rPr>
          <w:rFonts w:ascii="Arial" w:hAnsi="Arial" w:cs="Arial"/>
          <w:color w:val="7B7B7B" w:themeColor="accent3" w:themeShade="BF"/>
          <w:sz w:val="22"/>
          <w:szCs w:val="22"/>
        </w:rPr>
        <w:t xml:space="preserve"> and therefor publicity of various security rights is addressed in different ways. </w:t>
      </w:r>
      <w:r w:rsidR="00C036DE">
        <w:rPr>
          <w:rFonts w:ascii="Arial" w:hAnsi="Arial" w:cs="Arial"/>
          <w:color w:val="7B7B7B" w:themeColor="accent3" w:themeShade="BF"/>
          <w:sz w:val="22"/>
          <w:szCs w:val="22"/>
        </w:rPr>
        <w:t>Legal rules for c</w:t>
      </w:r>
      <w:r w:rsidRPr="006C3181">
        <w:rPr>
          <w:rFonts w:ascii="Arial" w:hAnsi="Arial" w:cs="Arial"/>
          <w:color w:val="7B7B7B" w:themeColor="accent3" w:themeShade="BF"/>
          <w:sz w:val="22"/>
          <w:szCs w:val="22"/>
        </w:rPr>
        <w:t xml:space="preserve">reation of security rights just like </w:t>
      </w:r>
      <w:r w:rsidR="00C82116" w:rsidRPr="006C3181">
        <w:rPr>
          <w:rFonts w:ascii="Arial" w:hAnsi="Arial" w:cs="Arial"/>
          <w:color w:val="7B7B7B" w:themeColor="accent3" w:themeShade="BF"/>
          <w:sz w:val="22"/>
          <w:szCs w:val="22"/>
        </w:rPr>
        <w:t>contractual</w:t>
      </w:r>
      <w:r w:rsidRPr="006C3181">
        <w:rPr>
          <w:rFonts w:ascii="Arial" w:hAnsi="Arial" w:cs="Arial"/>
          <w:color w:val="7B7B7B" w:themeColor="accent3" w:themeShade="BF"/>
          <w:sz w:val="22"/>
          <w:szCs w:val="22"/>
        </w:rPr>
        <w:t xml:space="preserve"> tr</w:t>
      </w:r>
      <w:r w:rsidR="00C82116">
        <w:rPr>
          <w:rFonts w:ascii="Arial" w:hAnsi="Arial" w:cs="Arial"/>
          <w:color w:val="7B7B7B" w:themeColor="accent3" w:themeShade="BF"/>
          <w:sz w:val="22"/>
          <w:szCs w:val="22"/>
        </w:rPr>
        <w:t>ansfer</w:t>
      </w:r>
      <w:r w:rsidRPr="006C3181">
        <w:rPr>
          <w:rFonts w:ascii="Arial" w:hAnsi="Arial" w:cs="Arial"/>
          <w:color w:val="7B7B7B" w:themeColor="accent3" w:themeShade="BF"/>
          <w:sz w:val="22"/>
          <w:szCs w:val="22"/>
        </w:rPr>
        <w:t xml:space="preserve"> of </w:t>
      </w:r>
      <w:r w:rsidR="00C82116" w:rsidRPr="006C3181">
        <w:rPr>
          <w:rFonts w:ascii="Arial" w:hAnsi="Arial" w:cs="Arial"/>
          <w:color w:val="7B7B7B" w:themeColor="accent3" w:themeShade="BF"/>
          <w:sz w:val="22"/>
          <w:szCs w:val="22"/>
        </w:rPr>
        <w:t>ownership</w:t>
      </w:r>
      <w:r w:rsidRPr="006C3181">
        <w:rPr>
          <w:rFonts w:ascii="Arial" w:hAnsi="Arial" w:cs="Arial"/>
          <w:color w:val="7B7B7B" w:themeColor="accent3" w:themeShade="BF"/>
          <w:sz w:val="22"/>
          <w:szCs w:val="22"/>
        </w:rPr>
        <w:t xml:space="preserve"> of assets vary and are governed by the nature of </w:t>
      </w:r>
      <w:r w:rsidR="00C82116" w:rsidRPr="006C3181">
        <w:rPr>
          <w:rFonts w:ascii="Arial" w:hAnsi="Arial" w:cs="Arial"/>
          <w:color w:val="7B7B7B" w:themeColor="accent3" w:themeShade="BF"/>
          <w:sz w:val="22"/>
          <w:szCs w:val="22"/>
        </w:rPr>
        <w:t>the</w:t>
      </w:r>
      <w:r w:rsidRPr="006C3181">
        <w:rPr>
          <w:rFonts w:ascii="Arial" w:hAnsi="Arial" w:cs="Arial"/>
          <w:color w:val="7B7B7B" w:themeColor="accent3" w:themeShade="BF"/>
          <w:sz w:val="22"/>
          <w:szCs w:val="22"/>
        </w:rPr>
        <w:t xml:space="preserve"> assets in question. </w:t>
      </w:r>
      <w:r w:rsidR="00C036DE">
        <w:rPr>
          <w:rFonts w:ascii="Arial" w:hAnsi="Arial" w:cs="Arial"/>
          <w:color w:val="7B7B7B" w:themeColor="accent3" w:themeShade="BF"/>
          <w:sz w:val="22"/>
          <w:szCs w:val="22"/>
        </w:rPr>
        <w:t>Such rules are also influenced by the ‘requirement under the “publicity principle” as well as the required for of contractual arrangement.</w:t>
      </w:r>
    </w:p>
    <w:p w14:paraId="58188C2E" w14:textId="77777777" w:rsidR="00C036DE" w:rsidRDefault="00C036DE" w:rsidP="00C036DE">
      <w:pPr>
        <w:jc w:val="both"/>
        <w:rPr>
          <w:rFonts w:ascii="Arial" w:hAnsi="Arial" w:cs="Arial"/>
          <w:color w:val="7B7B7B" w:themeColor="accent3" w:themeShade="BF"/>
          <w:sz w:val="22"/>
          <w:szCs w:val="22"/>
        </w:rPr>
      </w:pPr>
    </w:p>
    <w:p w14:paraId="724E3744" w14:textId="321A0284" w:rsidR="004B14C9" w:rsidRDefault="00C036DE" w:rsidP="00C036D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Security Rights and Publicity Requirements:</w:t>
      </w:r>
    </w:p>
    <w:p w14:paraId="32115E5C" w14:textId="5F5DC177" w:rsidR="00C036DE" w:rsidRDefault="00C036DE" w:rsidP="00C036DE">
      <w:pPr>
        <w:jc w:val="both"/>
        <w:rPr>
          <w:rFonts w:ascii="Arial" w:hAnsi="Arial" w:cs="Arial"/>
          <w:color w:val="7B7B7B" w:themeColor="accent3" w:themeShade="BF"/>
          <w:sz w:val="22"/>
          <w:szCs w:val="22"/>
        </w:rPr>
      </w:pPr>
    </w:p>
    <w:p w14:paraId="46512D46" w14:textId="2AE6C4A2" w:rsidR="00C036DE" w:rsidRDefault="00C036DE" w:rsidP="00C036DE">
      <w:pPr>
        <w:pStyle w:val="ListParagraph"/>
        <w:numPr>
          <w:ilvl w:val="0"/>
          <w:numId w:val="47"/>
        </w:numPr>
        <w:jc w:val="both"/>
        <w:rPr>
          <w:rFonts w:ascii="Arial" w:hAnsi="Arial" w:cs="Arial"/>
          <w:color w:val="7B7B7B" w:themeColor="accent3" w:themeShade="BF"/>
          <w:sz w:val="22"/>
          <w:szCs w:val="22"/>
        </w:rPr>
      </w:pPr>
      <w:r w:rsidRPr="00C036DE">
        <w:rPr>
          <w:rFonts w:ascii="Arial" w:hAnsi="Arial" w:cs="Arial"/>
          <w:color w:val="7B7B7B" w:themeColor="accent3" w:themeShade="BF"/>
          <w:sz w:val="22"/>
          <w:szCs w:val="22"/>
          <w:u w:val="single"/>
        </w:rPr>
        <w:t>Security ownership and assignment</w:t>
      </w:r>
      <w:r>
        <w:rPr>
          <w:rFonts w:ascii="Arial" w:hAnsi="Arial" w:cs="Arial"/>
          <w:color w:val="7B7B7B" w:themeColor="accent3" w:themeShade="BF"/>
          <w:sz w:val="22"/>
          <w:szCs w:val="22"/>
        </w:rPr>
        <w:t xml:space="preserve"> – aren’t required to be subject to publicity. Security ownership is deemed to create by way of constructive possession. The same applies with respect to assignment, except </w:t>
      </w:r>
      <w:proofErr w:type="spellStart"/>
      <w:r>
        <w:rPr>
          <w:rFonts w:ascii="Arial" w:hAnsi="Arial" w:cs="Arial"/>
          <w:color w:val="7B7B7B" w:themeColor="accent3" w:themeShade="BF"/>
          <w:sz w:val="22"/>
          <w:szCs w:val="22"/>
        </w:rPr>
        <w:t>incase</w:t>
      </w:r>
      <w:proofErr w:type="spellEnd"/>
      <w:r>
        <w:rPr>
          <w:rFonts w:ascii="Arial" w:hAnsi="Arial" w:cs="Arial"/>
          <w:color w:val="7B7B7B" w:themeColor="accent3" w:themeShade="BF"/>
          <w:sz w:val="22"/>
          <w:szCs w:val="22"/>
        </w:rPr>
        <w:t xml:space="preserve"> for registered inland waterway vessels, which for a valid creation of security ownership required registration of the creditor as the owner in the Ship Register under the Ship Register Regulations.</w:t>
      </w:r>
    </w:p>
    <w:p w14:paraId="72123751" w14:textId="77777777" w:rsidR="00C036DE" w:rsidRDefault="00C036DE" w:rsidP="00C036DE">
      <w:pPr>
        <w:pStyle w:val="ListParagraph"/>
        <w:ind w:left="1080"/>
        <w:jc w:val="both"/>
        <w:rPr>
          <w:rFonts w:ascii="Arial" w:hAnsi="Arial" w:cs="Arial"/>
          <w:color w:val="7B7B7B" w:themeColor="accent3" w:themeShade="BF"/>
          <w:sz w:val="22"/>
          <w:szCs w:val="22"/>
        </w:rPr>
      </w:pPr>
    </w:p>
    <w:p w14:paraId="2AD3EE77" w14:textId="2C5374F6" w:rsidR="00C036DE" w:rsidRDefault="00C036DE" w:rsidP="00C036DE">
      <w:pPr>
        <w:pStyle w:val="ListParagraph"/>
        <w:numPr>
          <w:ilvl w:val="0"/>
          <w:numId w:val="4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r w:rsidRPr="00C036DE">
        <w:rPr>
          <w:rFonts w:ascii="Arial" w:hAnsi="Arial" w:cs="Arial"/>
          <w:color w:val="7B7B7B" w:themeColor="accent3" w:themeShade="BF"/>
          <w:sz w:val="22"/>
          <w:szCs w:val="22"/>
          <w:u w:val="single"/>
        </w:rPr>
        <w:t>Pledges</w:t>
      </w:r>
      <w:r>
        <w:rPr>
          <w:rFonts w:ascii="Arial" w:hAnsi="Arial" w:cs="Arial"/>
          <w:color w:val="7B7B7B" w:themeColor="accent3" w:themeShade="BF"/>
          <w:sz w:val="22"/>
          <w:szCs w:val="22"/>
        </w:rPr>
        <w:t xml:space="preserve"> – in respect of tangibles the necessary act of publicity required is transfer of possession. The publicity principle is stricter with respect to pledge to be created over claims which is achieved by way of notification of the debtor. Pledge rights other than claims do not require any specific act of publicity</w:t>
      </w:r>
    </w:p>
    <w:p w14:paraId="7622AA28" w14:textId="42503A3B" w:rsidR="00C036DE" w:rsidRDefault="00C036DE" w:rsidP="00C036DE">
      <w:pPr>
        <w:pStyle w:val="ListParagraph"/>
        <w:ind w:left="1080"/>
        <w:jc w:val="both"/>
        <w:rPr>
          <w:rFonts w:ascii="Arial" w:hAnsi="Arial" w:cs="Arial"/>
          <w:color w:val="7B7B7B" w:themeColor="accent3" w:themeShade="BF"/>
          <w:sz w:val="22"/>
          <w:szCs w:val="22"/>
        </w:rPr>
      </w:pPr>
    </w:p>
    <w:p w14:paraId="1AD6CE71" w14:textId="47375713" w:rsidR="00C036DE" w:rsidRDefault="00C036DE" w:rsidP="00C036DE">
      <w:pPr>
        <w:pStyle w:val="ListParagraph"/>
        <w:numPr>
          <w:ilvl w:val="0"/>
          <w:numId w:val="47"/>
        </w:numPr>
        <w:jc w:val="both"/>
        <w:rPr>
          <w:rFonts w:ascii="Arial" w:hAnsi="Arial" w:cs="Arial"/>
          <w:color w:val="7B7B7B" w:themeColor="accent3" w:themeShade="BF"/>
          <w:sz w:val="22"/>
          <w:szCs w:val="22"/>
        </w:rPr>
      </w:pPr>
      <w:r w:rsidRPr="00C036DE">
        <w:rPr>
          <w:rFonts w:ascii="Arial" w:hAnsi="Arial" w:cs="Arial"/>
          <w:color w:val="7B7B7B" w:themeColor="accent3" w:themeShade="BF"/>
          <w:sz w:val="22"/>
          <w:szCs w:val="22"/>
          <w:u w:val="single"/>
        </w:rPr>
        <w:t>Immoveable</w:t>
      </w:r>
      <w:r>
        <w:rPr>
          <w:rFonts w:ascii="Arial" w:hAnsi="Arial" w:cs="Arial"/>
          <w:color w:val="7B7B7B" w:themeColor="accent3" w:themeShade="BF"/>
          <w:sz w:val="22"/>
          <w:szCs w:val="22"/>
        </w:rPr>
        <w:t xml:space="preserve">: Publicity required and guaranteed by valid requirement of mortgage being registered in the Land Register (as described under the Ship Register Regulations). Also applies in case of ships and planes.  </w:t>
      </w:r>
    </w:p>
    <w:p w14:paraId="18C9517F" w14:textId="77777777" w:rsidR="00C036DE" w:rsidRPr="00C036DE" w:rsidRDefault="00C036DE" w:rsidP="00C036DE">
      <w:pPr>
        <w:jc w:val="both"/>
        <w:rPr>
          <w:rFonts w:ascii="Arial" w:hAnsi="Arial" w:cs="Arial"/>
          <w:color w:val="7B7B7B" w:themeColor="accent3" w:themeShade="BF"/>
          <w:sz w:val="22"/>
          <w:szCs w:val="22"/>
        </w:rPr>
      </w:pPr>
    </w:p>
    <w:p w14:paraId="6B031977" w14:textId="77777777" w:rsidR="00B30912" w:rsidRPr="007A3213" w:rsidRDefault="00B30912"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5F366BD3" w14:textId="12F8C0AA" w:rsidR="00B34DC0" w:rsidRPr="00B34DC0" w:rsidRDefault="00B34DC0" w:rsidP="00B34DC0">
      <w:pPr>
        <w:pStyle w:val="ListParagraph"/>
        <w:numPr>
          <w:ilvl w:val="0"/>
          <w:numId w:val="48"/>
        </w:numPr>
        <w:jc w:val="both"/>
        <w:rPr>
          <w:rFonts w:ascii="Arial" w:hAnsi="Arial" w:cs="Arial"/>
          <w:color w:val="7B7B7B" w:themeColor="accent3" w:themeShade="BF"/>
          <w:sz w:val="22"/>
          <w:szCs w:val="22"/>
        </w:rPr>
      </w:pPr>
      <w:r w:rsidRPr="00B34DC0">
        <w:rPr>
          <w:rFonts w:ascii="Arial" w:hAnsi="Arial" w:cs="Arial"/>
          <w:color w:val="7B7B7B" w:themeColor="accent3" w:themeShade="BF"/>
          <w:sz w:val="22"/>
          <w:szCs w:val="22"/>
        </w:rPr>
        <w:t xml:space="preserve">A verification meeting as described in Section 29 (a) 2. of the Insolvency Act, 1994 is </w:t>
      </w:r>
      <w:r w:rsidRPr="00B34DC0">
        <w:rPr>
          <w:rFonts w:ascii="Arial" w:hAnsi="Arial" w:cs="Arial"/>
          <w:color w:val="7B7B7B" w:themeColor="accent3" w:themeShade="BF"/>
          <w:sz w:val="22"/>
          <w:szCs w:val="22"/>
        </w:rPr>
        <w:t xml:space="preserve">a creditors' assembly verifying the </w:t>
      </w:r>
      <w:proofErr w:type="spellStart"/>
      <w:r w:rsidRPr="00B34DC0">
        <w:rPr>
          <w:rFonts w:ascii="Arial" w:hAnsi="Arial" w:cs="Arial"/>
          <w:color w:val="7B7B7B" w:themeColor="accent3" w:themeShade="BF"/>
          <w:sz w:val="22"/>
          <w:szCs w:val="22"/>
        </w:rPr>
        <w:t>filed</w:t>
      </w:r>
      <w:proofErr w:type="spellEnd"/>
      <w:r>
        <w:rPr>
          <w:rFonts w:ascii="Arial" w:hAnsi="Arial" w:cs="Arial"/>
          <w:color w:val="7B7B7B" w:themeColor="accent3" w:themeShade="BF"/>
          <w:sz w:val="22"/>
          <w:szCs w:val="22"/>
        </w:rPr>
        <w:t xml:space="preserve"> and registered</w:t>
      </w:r>
      <w:r w:rsidRPr="00B34DC0">
        <w:rPr>
          <w:rFonts w:ascii="Arial" w:hAnsi="Arial" w:cs="Arial"/>
          <w:color w:val="7B7B7B" w:themeColor="accent3" w:themeShade="BF"/>
          <w:sz w:val="22"/>
          <w:szCs w:val="22"/>
        </w:rPr>
        <w:t xml:space="preserve"> claims</w:t>
      </w:r>
      <w:r w:rsidRPr="00B34DC0">
        <w:rPr>
          <w:rFonts w:ascii="Arial" w:hAnsi="Arial" w:cs="Arial"/>
          <w:color w:val="7B7B7B" w:themeColor="accent3" w:themeShade="BF"/>
          <w:sz w:val="22"/>
          <w:szCs w:val="22"/>
        </w:rPr>
        <w:t>;</w:t>
      </w:r>
    </w:p>
    <w:p w14:paraId="343FB2BF" w14:textId="77777777" w:rsidR="00B34DC0" w:rsidRDefault="00B34DC0" w:rsidP="00B34DC0">
      <w:pPr>
        <w:pStyle w:val="ListParagraph"/>
        <w:ind w:left="1080"/>
        <w:jc w:val="both"/>
        <w:rPr>
          <w:rFonts w:ascii="Arial" w:hAnsi="Arial" w:cs="Arial"/>
          <w:color w:val="7B7B7B" w:themeColor="accent3" w:themeShade="BF"/>
          <w:sz w:val="22"/>
          <w:szCs w:val="22"/>
        </w:rPr>
      </w:pPr>
    </w:p>
    <w:p w14:paraId="6DB128F9" w14:textId="56F07E7D" w:rsidR="00B34DC0" w:rsidRDefault="005562E4" w:rsidP="00B34DC0">
      <w:pPr>
        <w:pStyle w:val="ListParagraph"/>
        <w:numPr>
          <w:ilvl w:val="0"/>
          <w:numId w:val="48"/>
        </w:numPr>
        <w:jc w:val="both"/>
        <w:rPr>
          <w:rFonts w:ascii="Arial" w:hAnsi="Arial" w:cs="Arial"/>
          <w:color w:val="7B7B7B" w:themeColor="accent3" w:themeShade="BF"/>
          <w:sz w:val="22"/>
          <w:szCs w:val="22"/>
        </w:rPr>
      </w:pPr>
      <w:r w:rsidRPr="005562E4">
        <w:rPr>
          <w:rFonts w:ascii="Arial" w:hAnsi="Arial" w:cs="Arial"/>
          <w:color w:val="7B7B7B" w:themeColor="accent3" w:themeShade="BF"/>
          <w:sz w:val="22"/>
          <w:szCs w:val="22"/>
        </w:rPr>
        <w:t xml:space="preserve">During the verification meeting the filed claims </w:t>
      </w:r>
      <w:r>
        <w:rPr>
          <w:rFonts w:ascii="Arial" w:hAnsi="Arial" w:cs="Arial"/>
          <w:color w:val="7B7B7B" w:themeColor="accent3" w:themeShade="BF"/>
          <w:sz w:val="22"/>
          <w:szCs w:val="22"/>
        </w:rPr>
        <w:t>are</w:t>
      </w:r>
      <w:r w:rsidRPr="005562E4">
        <w:rPr>
          <w:rFonts w:ascii="Arial" w:hAnsi="Arial" w:cs="Arial"/>
          <w:color w:val="7B7B7B" w:themeColor="accent3" w:themeShade="BF"/>
          <w:sz w:val="22"/>
          <w:szCs w:val="22"/>
        </w:rPr>
        <w:t xml:space="preserve"> verified in accordance with their amount and rank. Claims contested by the insolvency administrator, by the debtor or by an insolvency creditor </w:t>
      </w:r>
      <w:r>
        <w:rPr>
          <w:rFonts w:ascii="Arial" w:hAnsi="Arial" w:cs="Arial"/>
          <w:color w:val="7B7B7B" w:themeColor="accent3" w:themeShade="BF"/>
          <w:sz w:val="22"/>
          <w:szCs w:val="22"/>
        </w:rPr>
        <w:t>are required to be</w:t>
      </w:r>
      <w:r w:rsidRPr="005562E4">
        <w:rPr>
          <w:rFonts w:ascii="Arial" w:hAnsi="Arial" w:cs="Arial"/>
          <w:color w:val="7B7B7B" w:themeColor="accent3" w:themeShade="BF"/>
          <w:sz w:val="22"/>
          <w:szCs w:val="22"/>
        </w:rPr>
        <w:t xml:space="preserve"> discussed individually.</w:t>
      </w:r>
    </w:p>
    <w:p w14:paraId="407DC148" w14:textId="77777777" w:rsidR="00B34DC0" w:rsidRPr="00B34DC0" w:rsidRDefault="00B34DC0" w:rsidP="00B34DC0">
      <w:pPr>
        <w:pStyle w:val="ListParagraph"/>
        <w:rPr>
          <w:rFonts w:ascii="Arial" w:hAnsi="Arial" w:cs="Arial"/>
          <w:color w:val="7B7B7B" w:themeColor="accent3" w:themeShade="BF"/>
          <w:sz w:val="22"/>
          <w:szCs w:val="22"/>
        </w:rPr>
      </w:pPr>
    </w:p>
    <w:p w14:paraId="08071F61" w14:textId="1360F997" w:rsidR="00B34DC0" w:rsidRDefault="00B34DC0" w:rsidP="00B34DC0">
      <w:pPr>
        <w:pStyle w:val="ListParagraph"/>
        <w:numPr>
          <w:ilvl w:val="0"/>
          <w:numId w:val="4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such verification meeting is required to take place not less than o</w:t>
      </w:r>
      <w:r w:rsidRPr="00B34DC0">
        <w:rPr>
          <w:rFonts w:ascii="Arial" w:hAnsi="Arial" w:cs="Arial"/>
          <w:color w:val="7B7B7B" w:themeColor="accent3" w:themeShade="BF"/>
          <w:sz w:val="22"/>
          <w:szCs w:val="22"/>
        </w:rPr>
        <w:t>ne week and not more than two month</w:t>
      </w:r>
      <w:r w:rsidR="001275A2">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from the e</w:t>
      </w:r>
      <w:r w:rsidRPr="00B34DC0">
        <w:rPr>
          <w:rFonts w:ascii="Arial" w:hAnsi="Arial" w:cs="Arial"/>
          <w:color w:val="7B7B7B" w:themeColor="accent3" w:themeShade="BF"/>
          <w:sz w:val="22"/>
          <w:szCs w:val="22"/>
        </w:rPr>
        <w:t>xpiry</w:t>
      </w:r>
      <w:r w:rsidRPr="00B34DC0">
        <w:rPr>
          <w:rFonts w:ascii="Arial" w:hAnsi="Arial" w:cs="Arial"/>
          <w:color w:val="7B7B7B" w:themeColor="accent3" w:themeShade="BF"/>
          <w:sz w:val="22"/>
          <w:szCs w:val="22"/>
        </w:rPr>
        <w:t xml:space="preserve"> of the period to file claims</w:t>
      </w:r>
      <w:r w:rsidR="005562E4">
        <w:rPr>
          <w:rFonts w:ascii="Arial" w:hAnsi="Arial" w:cs="Arial"/>
          <w:color w:val="7B7B7B" w:themeColor="accent3" w:themeShade="BF"/>
          <w:sz w:val="22"/>
          <w:szCs w:val="22"/>
        </w:rPr>
        <w:t>.</w:t>
      </w:r>
    </w:p>
    <w:p w14:paraId="2D4202F9" w14:textId="77777777" w:rsidR="00B34DC0" w:rsidRPr="00B34DC0" w:rsidRDefault="00B34DC0" w:rsidP="00B34DC0">
      <w:pPr>
        <w:pStyle w:val="ListParagraph"/>
        <w:rPr>
          <w:rFonts w:ascii="Arial" w:hAnsi="Arial" w:cs="Arial"/>
          <w:color w:val="7B7B7B" w:themeColor="accent3" w:themeShade="BF"/>
          <w:sz w:val="22"/>
          <w:szCs w:val="22"/>
        </w:rPr>
      </w:pPr>
    </w:p>
    <w:p w14:paraId="6D1DE424" w14:textId="617062D8" w:rsidR="005562E4" w:rsidRPr="005562E4" w:rsidRDefault="005562E4" w:rsidP="00B34DC0">
      <w:pPr>
        <w:pStyle w:val="ListParagraph"/>
        <w:numPr>
          <w:ilvl w:val="0"/>
          <w:numId w:val="48"/>
        </w:numPr>
        <w:jc w:val="both"/>
        <w:rPr>
          <w:rFonts w:ascii="Arial" w:hAnsi="Arial" w:cs="Arial"/>
          <w:color w:val="7B7B7B" w:themeColor="accent3" w:themeShade="BF"/>
          <w:sz w:val="22"/>
          <w:szCs w:val="22"/>
        </w:rPr>
      </w:pPr>
      <w:r w:rsidRPr="005562E4">
        <w:rPr>
          <w:rFonts w:ascii="Arial" w:hAnsi="Arial" w:cs="Arial"/>
          <w:color w:val="7B7B7B" w:themeColor="accent3" w:themeShade="BF"/>
          <w:sz w:val="22"/>
          <w:szCs w:val="22"/>
        </w:rPr>
        <w:t>During the verification meeting</w:t>
      </w:r>
      <w:r>
        <w:rPr>
          <w:rFonts w:ascii="Arial" w:hAnsi="Arial" w:cs="Arial"/>
          <w:color w:val="7B7B7B" w:themeColor="accent3" w:themeShade="BF"/>
          <w:sz w:val="22"/>
          <w:szCs w:val="22"/>
        </w:rPr>
        <w:t xml:space="preserve">, </w:t>
      </w:r>
      <w:r w:rsidRPr="005562E4">
        <w:rPr>
          <w:rFonts w:ascii="Arial" w:hAnsi="Arial" w:cs="Arial"/>
          <w:color w:val="7B7B7B" w:themeColor="accent3" w:themeShade="BF"/>
          <w:sz w:val="22"/>
          <w:szCs w:val="22"/>
        </w:rPr>
        <w:t>claims filed after expiry of the filing period</w:t>
      </w:r>
      <w:r>
        <w:rPr>
          <w:rFonts w:ascii="Arial" w:hAnsi="Arial" w:cs="Arial"/>
          <w:color w:val="7B7B7B" w:themeColor="accent3" w:themeShade="BF"/>
          <w:sz w:val="22"/>
          <w:szCs w:val="22"/>
        </w:rPr>
        <w:t xml:space="preserve"> are also required to be verified.</w:t>
      </w:r>
    </w:p>
    <w:p w14:paraId="2EC61E28" w14:textId="77777777" w:rsidR="005562E4" w:rsidRPr="005562E4" w:rsidRDefault="005562E4" w:rsidP="005562E4">
      <w:pPr>
        <w:pStyle w:val="ListParagraph"/>
        <w:rPr>
          <w:rFonts w:ascii="Arial" w:hAnsi="Arial" w:cs="Arial"/>
          <w:color w:val="7B7B7B" w:themeColor="accent3" w:themeShade="BF"/>
          <w:sz w:val="22"/>
          <w:szCs w:val="22"/>
        </w:rPr>
      </w:pPr>
    </w:p>
    <w:p w14:paraId="327DAA6E" w14:textId="50C8BAFA" w:rsidR="001821C7" w:rsidRPr="005562E4" w:rsidRDefault="005562E4" w:rsidP="005562E4">
      <w:pPr>
        <w:pStyle w:val="ListParagraph"/>
        <w:numPr>
          <w:ilvl w:val="0"/>
          <w:numId w:val="4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Filed</w:t>
      </w:r>
      <w:r w:rsidR="00B34DC0">
        <w:rPr>
          <w:rFonts w:ascii="Arial" w:hAnsi="Arial" w:cs="Arial"/>
          <w:color w:val="7B7B7B" w:themeColor="accent3" w:themeShade="BF"/>
          <w:sz w:val="22"/>
          <w:szCs w:val="22"/>
        </w:rPr>
        <w:t xml:space="preserve"> claims are </w:t>
      </w:r>
      <w:r>
        <w:rPr>
          <w:rFonts w:ascii="Arial" w:hAnsi="Arial" w:cs="Arial"/>
          <w:color w:val="7B7B7B" w:themeColor="accent3" w:themeShade="BF"/>
          <w:sz w:val="22"/>
          <w:szCs w:val="22"/>
        </w:rPr>
        <w:t>deemed</w:t>
      </w:r>
      <w:r w:rsidR="00B34DC0">
        <w:rPr>
          <w:rFonts w:ascii="Arial" w:hAnsi="Arial" w:cs="Arial"/>
          <w:color w:val="7B7B7B" w:themeColor="accent3" w:themeShade="BF"/>
          <w:sz w:val="22"/>
          <w:szCs w:val="22"/>
        </w:rPr>
        <w:t xml:space="preserve"> to be verified in the </w:t>
      </w:r>
      <w:r>
        <w:rPr>
          <w:rFonts w:ascii="Arial" w:hAnsi="Arial" w:cs="Arial"/>
          <w:color w:val="7B7B7B" w:themeColor="accent3" w:themeShade="BF"/>
          <w:sz w:val="22"/>
          <w:szCs w:val="22"/>
        </w:rPr>
        <w:t>verification meetings</w:t>
      </w:r>
      <w:r w:rsidR="00B34DC0">
        <w:rPr>
          <w:rFonts w:ascii="Arial" w:hAnsi="Arial" w:cs="Arial"/>
          <w:color w:val="7B7B7B" w:themeColor="accent3" w:themeShade="BF"/>
          <w:sz w:val="22"/>
          <w:szCs w:val="22"/>
        </w:rPr>
        <w:t xml:space="preserve"> only </w:t>
      </w:r>
      <w:r>
        <w:rPr>
          <w:rFonts w:ascii="Arial" w:hAnsi="Arial" w:cs="Arial"/>
          <w:color w:val="7B7B7B" w:themeColor="accent3" w:themeShade="BF"/>
          <w:sz w:val="22"/>
          <w:szCs w:val="22"/>
        </w:rPr>
        <w:t>if n</w:t>
      </w:r>
      <w:r w:rsidRPr="005562E4">
        <w:rPr>
          <w:rFonts w:ascii="Arial" w:hAnsi="Arial" w:cs="Arial"/>
          <w:color w:val="7B7B7B" w:themeColor="accent3" w:themeShade="BF"/>
          <w:sz w:val="22"/>
          <w:szCs w:val="22"/>
        </w:rPr>
        <w:t xml:space="preserve">o objection is raised by </w:t>
      </w:r>
      <w:r>
        <w:rPr>
          <w:rFonts w:ascii="Arial" w:hAnsi="Arial" w:cs="Arial"/>
          <w:color w:val="7B7B7B" w:themeColor="accent3" w:themeShade="BF"/>
          <w:sz w:val="22"/>
          <w:szCs w:val="22"/>
        </w:rPr>
        <w:t xml:space="preserve">(a) </w:t>
      </w:r>
      <w:r w:rsidRPr="005562E4">
        <w:rPr>
          <w:rFonts w:ascii="Arial" w:hAnsi="Arial" w:cs="Arial"/>
          <w:color w:val="7B7B7B" w:themeColor="accent3" w:themeShade="BF"/>
          <w:sz w:val="22"/>
          <w:szCs w:val="22"/>
        </w:rPr>
        <w:t>the insolvency administrator</w:t>
      </w:r>
      <w:r>
        <w:rPr>
          <w:rFonts w:ascii="Arial" w:hAnsi="Arial" w:cs="Arial"/>
          <w:color w:val="7B7B7B" w:themeColor="accent3" w:themeShade="BF"/>
          <w:sz w:val="22"/>
          <w:szCs w:val="22"/>
        </w:rPr>
        <w:t xml:space="preserve">; </w:t>
      </w:r>
      <w:r w:rsidRPr="005562E4">
        <w:rPr>
          <w:rFonts w:ascii="Arial" w:hAnsi="Arial" w:cs="Arial"/>
          <w:color w:val="7B7B7B" w:themeColor="accent3" w:themeShade="BF"/>
          <w:sz w:val="22"/>
          <w:szCs w:val="22"/>
        </w:rPr>
        <w:t>or</w:t>
      </w:r>
      <w:r>
        <w:rPr>
          <w:rFonts w:ascii="Arial" w:hAnsi="Arial" w:cs="Arial"/>
          <w:color w:val="7B7B7B" w:themeColor="accent3" w:themeShade="BF"/>
          <w:sz w:val="22"/>
          <w:szCs w:val="22"/>
        </w:rPr>
        <w:t xml:space="preserve"> (ii) b</w:t>
      </w:r>
      <w:r w:rsidRPr="005562E4">
        <w:rPr>
          <w:rFonts w:ascii="Arial" w:hAnsi="Arial" w:cs="Arial"/>
          <w:color w:val="7B7B7B" w:themeColor="accent3" w:themeShade="BF"/>
          <w:sz w:val="22"/>
          <w:szCs w:val="22"/>
        </w:rPr>
        <w:t>y an insolvency creditor during the verification meeting</w:t>
      </w:r>
      <w:r>
        <w:rPr>
          <w:rFonts w:ascii="Arial" w:hAnsi="Arial" w:cs="Arial"/>
          <w:color w:val="7B7B7B" w:themeColor="accent3" w:themeShade="BF"/>
          <w:sz w:val="22"/>
          <w:szCs w:val="22"/>
        </w:rPr>
        <w:t>; (iii)</w:t>
      </w:r>
      <w:r w:rsidRPr="005562E4">
        <w:rPr>
          <w:rFonts w:ascii="Arial" w:hAnsi="Arial" w:cs="Arial"/>
          <w:color w:val="7B7B7B" w:themeColor="accent3" w:themeShade="BF"/>
          <w:sz w:val="22"/>
          <w:szCs w:val="22"/>
        </w:rPr>
        <w:t xml:space="preserve"> or in the written proceedings (</w:t>
      </w:r>
      <w:r w:rsidRPr="005562E4">
        <w:rPr>
          <w:rFonts w:ascii="Arial" w:hAnsi="Arial" w:cs="Arial"/>
          <w:color w:val="7B7B7B" w:themeColor="accent3" w:themeShade="BF"/>
          <w:sz w:val="22"/>
          <w:szCs w:val="22"/>
        </w:rPr>
        <w:t xml:space="preserve">under </w:t>
      </w:r>
      <w:r w:rsidRPr="005562E4">
        <w:rPr>
          <w:rFonts w:ascii="Arial" w:hAnsi="Arial" w:cs="Arial"/>
          <w:color w:val="7B7B7B" w:themeColor="accent3" w:themeShade="BF"/>
          <w:sz w:val="22"/>
          <w:szCs w:val="22"/>
        </w:rPr>
        <w:t>section 177)</w:t>
      </w:r>
      <w:r>
        <w:rPr>
          <w:rFonts w:ascii="Arial" w:hAnsi="Arial" w:cs="Arial"/>
          <w:color w:val="7B7B7B" w:themeColor="accent3" w:themeShade="BF"/>
          <w:sz w:val="22"/>
          <w:szCs w:val="22"/>
        </w:rPr>
        <w:t xml:space="preserve">; </w:t>
      </w:r>
      <w:r w:rsidRPr="005562E4">
        <w:rPr>
          <w:rFonts w:ascii="Arial" w:hAnsi="Arial" w:cs="Arial"/>
          <w:color w:val="7B7B7B" w:themeColor="accent3" w:themeShade="BF"/>
          <w:sz w:val="22"/>
          <w:szCs w:val="22"/>
        </w:rPr>
        <w:t xml:space="preserve">or </w:t>
      </w:r>
      <w:r>
        <w:rPr>
          <w:rFonts w:ascii="Arial" w:hAnsi="Arial" w:cs="Arial"/>
          <w:color w:val="7B7B7B" w:themeColor="accent3" w:themeShade="BF"/>
          <w:sz w:val="22"/>
          <w:szCs w:val="22"/>
        </w:rPr>
        <w:t xml:space="preserve">(iv) </w:t>
      </w:r>
      <w:r w:rsidRPr="005562E4">
        <w:rPr>
          <w:rFonts w:ascii="Arial" w:hAnsi="Arial" w:cs="Arial"/>
          <w:color w:val="7B7B7B" w:themeColor="accent3" w:themeShade="BF"/>
          <w:sz w:val="22"/>
          <w:szCs w:val="22"/>
        </w:rPr>
        <w:t>if any objection raised by a party is removed. The debtor's objection shall not bar determination of a claim.</w:t>
      </w: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2B24A32E" w14:textId="780F4C17" w:rsidR="00CC34BB" w:rsidRPr="002448BF" w:rsidRDefault="00C82116" w:rsidP="002448BF">
      <w:pPr>
        <w:pStyle w:val="ListParagraph"/>
        <w:numPr>
          <w:ilvl w:val="0"/>
          <w:numId w:val="37"/>
        </w:numPr>
        <w:jc w:val="both"/>
        <w:rPr>
          <w:rFonts w:ascii="Arial" w:hAnsi="Arial" w:cs="Arial"/>
          <w:color w:val="7B7B7B" w:themeColor="accent3" w:themeShade="BF"/>
          <w:sz w:val="22"/>
          <w:szCs w:val="22"/>
        </w:rPr>
      </w:pPr>
      <w:r w:rsidRPr="002448BF">
        <w:rPr>
          <w:rFonts w:ascii="Arial" w:hAnsi="Arial" w:cs="Arial"/>
          <w:color w:val="7B7B7B" w:themeColor="accent3" w:themeShade="BF"/>
          <w:sz w:val="22"/>
          <w:szCs w:val="22"/>
        </w:rPr>
        <w:t>T</w:t>
      </w:r>
      <w:r w:rsidRPr="002448BF">
        <w:rPr>
          <w:rFonts w:ascii="Arial" w:hAnsi="Arial" w:cs="Arial"/>
          <w:color w:val="7B7B7B" w:themeColor="accent3" w:themeShade="BF"/>
          <w:sz w:val="22"/>
          <w:szCs w:val="22"/>
        </w:rPr>
        <w:t>he provisions</w:t>
      </w:r>
      <w:r w:rsidRPr="002448BF">
        <w:rPr>
          <w:rFonts w:ascii="Arial" w:hAnsi="Arial" w:cs="Arial"/>
          <w:color w:val="7B7B7B" w:themeColor="accent3" w:themeShade="BF"/>
          <w:sz w:val="22"/>
          <w:szCs w:val="22"/>
        </w:rPr>
        <w:t xml:space="preserve"> under the Germany Insolvency Act, 1994</w:t>
      </w:r>
      <w:r w:rsidRPr="002448BF">
        <w:rPr>
          <w:rFonts w:ascii="Arial" w:hAnsi="Arial" w:cs="Arial"/>
          <w:color w:val="7B7B7B" w:themeColor="accent3" w:themeShade="BF"/>
          <w:sz w:val="22"/>
          <w:szCs w:val="22"/>
        </w:rPr>
        <w:t xml:space="preserve"> only authorize the debtor in possession to assume and perform under the contract. The German law does not provide for a general right of the trustee or the debtor in possession to reject (executory) contracts, except in the cases of leases</w:t>
      </w:r>
      <w:r w:rsidRPr="002448BF">
        <w:rPr>
          <w:rFonts w:ascii="Arial" w:hAnsi="Arial" w:cs="Arial"/>
          <w:color w:val="7B7B7B" w:themeColor="accent3" w:themeShade="BF"/>
          <w:sz w:val="22"/>
          <w:szCs w:val="22"/>
        </w:rPr>
        <w:t xml:space="preserve"> as provided under Section 109 and 279 of the Insolvency Act</w:t>
      </w:r>
      <w:r w:rsidRPr="002448BF">
        <w:rPr>
          <w:rFonts w:ascii="Arial" w:hAnsi="Arial" w:cs="Arial"/>
          <w:color w:val="7B7B7B" w:themeColor="accent3" w:themeShade="BF"/>
          <w:sz w:val="22"/>
          <w:szCs w:val="22"/>
        </w:rPr>
        <w:t xml:space="preserve"> or employment contracts</w:t>
      </w:r>
      <w:r w:rsidRPr="002448BF">
        <w:rPr>
          <w:rFonts w:ascii="Arial" w:hAnsi="Arial" w:cs="Arial"/>
          <w:color w:val="7B7B7B" w:themeColor="accent3" w:themeShade="BF"/>
          <w:sz w:val="22"/>
          <w:szCs w:val="22"/>
        </w:rPr>
        <w:t xml:space="preserve"> (as provided </w:t>
      </w:r>
      <w:r w:rsidRPr="002448BF">
        <w:rPr>
          <w:rFonts w:ascii="Arial" w:hAnsi="Arial" w:cs="Arial"/>
          <w:color w:val="7B7B7B" w:themeColor="accent3" w:themeShade="BF"/>
          <w:sz w:val="22"/>
          <w:szCs w:val="22"/>
        </w:rPr>
        <w:t>under Section 1</w:t>
      </w:r>
      <w:r w:rsidRPr="002448BF">
        <w:rPr>
          <w:rFonts w:ascii="Arial" w:hAnsi="Arial" w:cs="Arial"/>
          <w:color w:val="7B7B7B" w:themeColor="accent3" w:themeShade="BF"/>
          <w:sz w:val="22"/>
          <w:szCs w:val="22"/>
        </w:rPr>
        <w:t>13</w:t>
      </w:r>
      <w:r w:rsidRPr="002448BF">
        <w:rPr>
          <w:rFonts w:ascii="Arial" w:hAnsi="Arial" w:cs="Arial"/>
          <w:color w:val="7B7B7B" w:themeColor="accent3" w:themeShade="BF"/>
          <w:sz w:val="22"/>
          <w:szCs w:val="22"/>
        </w:rPr>
        <w:t xml:space="preserve"> and 279 of the Insolvency Act</w:t>
      </w:r>
      <w:r w:rsidRPr="002448BF">
        <w:rPr>
          <w:rFonts w:ascii="Arial" w:hAnsi="Arial" w:cs="Arial"/>
          <w:color w:val="7B7B7B" w:themeColor="accent3" w:themeShade="BF"/>
          <w:sz w:val="22"/>
          <w:szCs w:val="22"/>
        </w:rPr>
        <w:t>).</w:t>
      </w:r>
      <w:r w:rsidRPr="002448BF">
        <w:rPr>
          <w:rFonts w:ascii="Arial" w:hAnsi="Arial" w:cs="Arial"/>
          <w:color w:val="7B7B7B" w:themeColor="accent3" w:themeShade="BF"/>
          <w:sz w:val="22"/>
          <w:szCs w:val="22"/>
        </w:rPr>
        <w:t xml:space="preserve"> Some types of contracts terminate automatically in the case of insolvency</w:t>
      </w:r>
      <w:r w:rsidR="00382A97" w:rsidRPr="002448BF">
        <w:rPr>
          <w:rFonts w:ascii="Arial" w:hAnsi="Arial" w:cs="Arial"/>
          <w:color w:val="7B7B7B" w:themeColor="accent3" w:themeShade="BF"/>
          <w:sz w:val="22"/>
          <w:szCs w:val="22"/>
        </w:rPr>
        <w:t>.</w:t>
      </w:r>
    </w:p>
    <w:p w14:paraId="3AEC16A2" w14:textId="77777777" w:rsidR="00382A97" w:rsidRDefault="00382A97" w:rsidP="00382A97">
      <w:pPr>
        <w:ind w:left="720" w:hanging="720"/>
        <w:jc w:val="both"/>
        <w:rPr>
          <w:rFonts w:ascii="Arial" w:hAnsi="Arial" w:cs="Arial"/>
          <w:color w:val="7B7B7B" w:themeColor="accent3" w:themeShade="BF"/>
          <w:sz w:val="22"/>
          <w:szCs w:val="22"/>
        </w:rPr>
      </w:pPr>
    </w:p>
    <w:p w14:paraId="2F870066" w14:textId="77777777" w:rsidR="002448BF" w:rsidRDefault="00382A97" w:rsidP="002448BF">
      <w:pPr>
        <w:pStyle w:val="ListParagraph"/>
        <w:numPr>
          <w:ilvl w:val="0"/>
          <w:numId w:val="37"/>
        </w:numPr>
        <w:jc w:val="both"/>
        <w:rPr>
          <w:rFonts w:ascii="Arial" w:hAnsi="Arial" w:cs="Arial"/>
          <w:color w:val="7B7B7B" w:themeColor="accent3" w:themeShade="BF"/>
          <w:sz w:val="22"/>
          <w:szCs w:val="22"/>
        </w:rPr>
      </w:pPr>
      <w:r w:rsidRPr="002448BF">
        <w:rPr>
          <w:rFonts w:ascii="Arial" w:hAnsi="Arial" w:cs="Arial"/>
          <w:color w:val="7B7B7B" w:themeColor="accent3" w:themeShade="BF"/>
          <w:sz w:val="22"/>
          <w:szCs w:val="22"/>
        </w:rPr>
        <w:t xml:space="preserve">The standard rule that applies in the event of insolvency proceedings is that the contracts are also wound up meaning that the party to the contract also has the obligation to fulfil their obligations under the contract even after the opening of the insolvency proceedings. </w:t>
      </w:r>
    </w:p>
    <w:p w14:paraId="69271867" w14:textId="77777777" w:rsidR="002448BF" w:rsidRPr="002448BF" w:rsidRDefault="002448BF" w:rsidP="002448BF">
      <w:pPr>
        <w:pStyle w:val="ListParagraph"/>
        <w:rPr>
          <w:rFonts w:ascii="Arial" w:hAnsi="Arial" w:cs="Arial"/>
          <w:color w:val="7B7B7B" w:themeColor="accent3" w:themeShade="BF"/>
          <w:sz w:val="22"/>
          <w:szCs w:val="22"/>
        </w:rPr>
      </w:pPr>
    </w:p>
    <w:p w14:paraId="004BF426" w14:textId="77777777" w:rsidR="00FF345A" w:rsidRDefault="00382A97" w:rsidP="00FF345A">
      <w:pPr>
        <w:pStyle w:val="ListParagraph"/>
        <w:numPr>
          <w:ilvl w:val="0"/>
          <w:numId w:val="37"/>
        </w:numPr>
        <w:jc w:val="both"/>
        <w:rPr>
          <w:rFonts w:ascii="Arial" w:hAnsi="Arial" w:cs="Arial"/>
          <w:color w:val="7B7B7B" w:themeColor="accent3" w:themeShade="BF"/>
          <w:sz w:val="22"/>
          <w:szCs w:val="22"/>
        </w:rPr>
      </w:pPr>
      <w:r w:rsidRPr="002448BF">
        <w:rPr>
          <w:rFonts w:ascii="Arial" w:hAnsi="Arial" w:cs="Arial"/>
          <w:color w:val="7B7B7B" w:themeColor="accent3" w:themeShade="BF"/>
          <w:sz w:val="22"/>
          <w:szCs w:val="22"/>
        </w:rPr>
        <w:t>However, c</w:t>
      </w:r>
      <w:r w:rsidRPr="002448BF">
        <w:rPr>
          <w:rFonts w:ascii="Arial" w:hAnsi="Arial" w:cs="Arial"/>
          <w:color w:val="7B7B7B" w:themeColor="accent3" w:themeShade="BF"/>
          <w:sz w:val="22"/>
          <w:szCs w:val="22"/>
        </w:rPr>
        <w:t xml:space="preserve">onsideration must be paid to the fact that an executory contract is one under which the obligation of both the insolvent and the other party to the contract are so far unperformed that the failure of either to complete performance would constitute a material breach excusing the performance of the other. This is why the administrator retains the right to choose fulfillment on the part of the insolvency administrator. </w:t>
      </w:r>
      <w:r w:rsidRPr="00FF345A">
        <w:rPr>
          <w:rFonts w:ascii="Arial" w:hAnsi="Arial" w:cs="Arial"/>
          <w:color w:val="7B7B7B" w:themeColor="accent3" w:themeShade="BF"/>
          <w:sz w:val="22"/>
          <w:szCs w:val="22"/>
        </w:rPr>
        <w:t>In th</w:t>
      </w:r>
      <w:r w:rsidR="00FF345A">
        <w:rPr>
          <w:rFonts w:ascii="Arial" w:hAnsi="Arial" w:cs="Arial"/>
          <w:color w:val="7B7B7B" w:themeColor="accent3" w:themeShade="BF"/>
          <w:sz w:val="22"/>
          <w:szCs w:val="22"/>
        </w:rPr>
        <w:t>at</w:t>
      </w:r>
      <w:r w:rsidRPr="00FF345A">
        <w:rPr>
          <w:rFonts w:ascii="Arial" w:hAnsi="Arial" w:cs="Arial"/>
          <w:color w:val="7B7B7B" w:themeColor="accent3" w:themeShade="BF"/>
          <w:sz w:val="22"/>
          <w:szCs w:val="22"/>
        </w:rPr>
        <w:t xml:space="preserve"> event, full claim is required to be satisfied from the insolvency estate. </w:t>
      </w:r>
    </w:p>
    <w:p w14:paraId="7CE2175D" w14:textId="77777777" w:rsidR="00FF345A" w:rsidRPr="00FF345A" w:rsidRDefault="00FF345A" w:rsidP="00FF345A">
      <w:pPr>
        <w:pStyle w:val="ListParagraph"/>
        <w:rPr>
          <w:rFonts w:ascii="Arial" w:hAnsi="Arial" w:cs="Arial"/>
          <w:color w:val="7B7B7B" w:themeColor="accent3" w:themeShade="BF"/>
          <w:sz w:val="22"/>
          <w:szCs w:val="22"/>
        </w:rPr>
      </w:pPr>
    </w:p>
    <w:p w14:paraId="0FF65190" w14:textId="702616F7" w:rsidR="002448BF" w:rsidRPr="00FF345A" w:rsidRDefault="00382A97" w:rsidP="00FF345A">
      <w:pPr>
        <w:pStyle w:val="ListParagraph"/>
        <w:numPr>
          <w:ilvl w:val="0"/>
          <w:numId w:val="37"/>
        </w:numPr>
        <w:jc w:val="both"/>
        <w:rPr>
          <w:rFonts w:ascii="Arial" w:hAnsi="Arial" w:cs="Arial"/>
          <w:color w:val="7B7B7B" w:themeColor="accent3" w:themeShade="BF"/>
          <w:sz w:val="22"/>
          <w:szCs w:val="22"/>
        </w:rPr>
      </w:pPr>
      <w:r w:rsidRPr="00FF345A">
        <w:rPr>
          <w:rFonts w:ascii="Arial" w:hAnsi="Arial" w:cs="Arial"/>
          <w:color w:val="7B7B7B" w:themeColor="accent3" w:themeShade="BF"/>
          <w:sz w:val="22"/>
          <w:szCs w:val="22"/>
        </w:rPr>
        <w:t>However, in the event the administrator chooses to reject fulfillment of the contractual claim, then the contracting party can register a claim for equalization to the schedule that shall then be discharged/</w:t>
      </w:r>
      <w:r w:rsidR="002448BF" w:rsidRPr="00FF345A">
        <w:rPr>
          <w:rFonts w:ascii="Arial" w:hAnsi="Arial" w:cs="Arial"/>
          <w:color w:val="7B7B7B" w:themeColor="accent3" w:themeShade="BF"/>
          <w:sz w:val="22"/>
          <w:szCs w:val="22"/>
        </w:rPr>
        <w:t>satisfied</w:t>
      </w:r>
      <w:r w:rsidRPr="00FF345A">
        <w:rPr>
          <w:rFonts w:ascii="Arial" w:hAnsi="Arial" w:cs="Arial"/>
          <w:color w:val="7B7B7B" w:themeColor="accent3" w:themeShade="BF"/>
          <w:sz w:val="22"/>
          <w:szCs w:val="22"/>
        </w:rPr>
        <w:t xml:space="preserve"> on a pro rata basis. </w:t>
      </w:r>
    </w:p>
    <w:p w14:paraId="77A3C798" w14:textId="77777777" w:rsidR="002448BF" w:rsidRPr="002448BF" w:rsidRDefault="002448BF" w:rsidP="002448BF">
      <w:pPr>
        <w:pStyle w:val="ListParagraph"/>
        <w:rPr>
          <w:rFonts w:ascii="Arial" w:hAnsi="Arial" w:cs="Arial"/>
          <w:color w:val="7B7B7B" w:themeColor="accent3" w:themeShade="BF"/>
          <w:sz w:val="22"/>
          <w:szCs w:val="22"/>
        </w:rPr>
      </w:pPr>
    </w:p>
    <w:p w14:paraId="0B170BB5" w14:textId="3158523C" w:rsidR="00A24DB8" w:rsidRPr="00A24DB8" w:rsidRDefault="00A24DB8" w:rsidP="00A24DB8">
      <w:pPr>
        <w:pStyle w:val="ListParagraph"/>
        <w:numPr>
          <w:ilvl w:val="0"/>
          <w:numId w:val="37"/>
        </w:numPr>
        <w:jc w:val="both"/>
        <w:rPr>
          <w:rFonts w:ascii="Arial" w:hAnsi="Arial" w:cs="Arial"/>
          <w:color w:val="7B7B7B" w:themeColor="accent3" w:themeShade="BF"/>
          <w:sz w:val="22"/>
          <w:szCs w:val="22"/>
        </w:rPr>
      </w:pPr>
      <w:r w:rsidRPr="00A24DB8">
        <w:rPr>
          <w:rFonts w:ascii="Arial" w:hAnsi="Arial" w:cs="Arial"/>
          <w:color w:val="7B7B7B" w:themeColor="accent3" w:themeShade="BF"/>
          <w:sz w:val="22"/>
          <w:szCs w:val="22"/>
        </w:rPr>
        <w:t>Lease</w:t>
      </w:r>
      <w:r>
        <w:rPr>
          <w:rFonts w:ascii="Arial" w:hAnsi="Arial" w:cs="Arial"/>
          <w:color w:val="7B7B7B" w:themeColor="accent3" w:themeShade="BF"/>
          <w:sz w:val="22"/>
          <w:szCs w:val="22"/>
        </w:rPr>
        <w:t>/Rental contracts</w:t>
      </w:r>
      <w:r w:rsidRPr="00A24DB8">
        <w:rPr>
          <w:rFonts w:ascii="Arial" w:hAnsi="Arial" w:cs="Arial"/>
          <w:color w:val="7B7B7B" w:themeColor="accent3" w:themeShade="BF"/>
          <w:sz w:val="22"/>
          <w:szCs w:val="22"/>
        </w:rPr>
        <w:t xml:space="preserve">: </w:t>
      </w:r>
    </w:p>
    <w:p w14:paraId="0E28CDE4" w14:textId="77777777" w:rsidR="00A24DB8" w:rsidRPr="00A24DB8" w:rsidRDefault="00A24DB8" w:rsidP="00A24DB8">
      <w:pPr>
        <w:pStyle w:val="ListParagraph"/>
        <w:ind w:left="1080"/>
        <w:jc w:val="both"/>
        <w:rPr>
          <w:rFonts w:ascii="Arial" w:hAnsi="Arial" w:cs="Arial"/>
          <w:color w:val="7B7B7B" w:themeColor="accent3" w:themeShade="BF"/>
          <w:sz w:val="22"/>
          <w:szCs w:val="22"/>
        </w:rPr>
      </w:pPr>
    </w:p>
    <w:p w14:paraId="59473819" w14:textId="55486879" w:rsidR="00A24DB8" w:rsidRDefault="00FF345A" w:rsidP="00A24DB8">
      <w:pPr>
        <w:pStyle w:val="ListParagraph"/>
        <w:numPr>
          <w:ilvl w:val="0"/>
          <w:numId w:val="3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terms of Section 109 of the Insolvency Act, 1994, i</w:t>
      </w:r>
      <w:r w:rsidR="00A24DB8" w:rsidRPr="00A24DB8">
        <w:rPr>
          <w:rFonts w:ascii="Arial" w:hAnsi="Arial" w:cs="Arial"/>
          <w:color w:val="7B7B7B" w:themeColor="accent3" w:themeShade="BF"/>
          <w:sz w:val="22"/>
          <w:szCs w:val="22"/>
        </w:rPr>
        <w:t>n case of a</w:t>
      </w:r>
      <w:r w:rsidR="002448BF" w:rsidRPr="00A24DB8">
        <w:rPr>
          <w:rFonts w:ascii="Arial" w:hAnsi="Arial" w:cs="Arial"/>
          <w:color w:val="7B7B7B" w:themeColor="accent3" w:themeShade="BF"/>
          <w:sz w:val="22"/>
          <w:szCs w:val="22"/>
        </w:rPr>
        <w:t xml:space="preserve"> contract for the tenancy</w:t>
      </w:r>
      <w:r>
        <w:rPr>
          <w:rFonts w:ascii="Arial" w:hAnsi="Arial" w:cs="Arial"/>
          <w:color w:val="7B7B7B" w:themeColor="accent3" w:themeShade="BF"/>
          <w:sz w:val="22"/>
          <w:szCs w:val="22"/>
        </w:rPr>
        <w:t>,</w:t>
      </w:r>
      <w:r w:rsidR="002448BF" w:rsidRPr="00A24DB8">
        <w:rPr>
          <w:rFonts w:ascii="Arial" w:hAnsi="Arial" w:cs="Arial"/>
          <w:color w:val="7B7B7B" w:themeColor="accent3" w:themeShade="BF"/>
          <w:sz w:val="22"/>
          <w:szCs w:val="22"/>
        </w:rPr>
        <w:t xml:space="preserve"> lease of immovables or premises concluded by the debtor as tenant or lessee may be terminated by the insolvency administrator without regard to the agreed term of the contract or an agreed exclusion of a right to the legal period of notice; </w:t>
      </w:r>
    </w:p>
    <w:p w14:paraId="004187C0" w14:textId="77777777" w:rsidR="00A24DB8" w:rsidRPr="00A24DB8" w:rsidRDefault="00A24DB8" w:rsidP="00A24DB8">
      <w:pPr>
        <w:pStyle w:val="ListParagraph"/>
        <w:ind w:left="1440"/>
        <w:jc w:val="both"/>
        <w:rPr>
          <w:rFonts w:ascii="Arial" w:hAnsi="Arial" w:cs="Arial"/>
          <w:color w:val="7B7B7B" w:themeColor="accent3" w:themeShade="BF"/>
          <w:sz w:val="22"/>
          <w:szCs w:val="22"/>
        </w:rPr>
      </w:pPr>
    </w:p>
    <w:p w14:paraId="5EA02479" w14:textId="51C7A6CC" w:rsidR="00A24DB8" w:rsidRDefault="00A24DB8" w:rsidP="00A24DB8">
      <w:pPr>
        <w:pStyle w:val="ListParagraph"/>
        <w:numPr>
          <w:ilvl w:val="0"/>
          <w:numId w:val="39"/>
        </w:numPr>
        <w:jc w:val="both"/>
        <w:rPr>
          <w:rFonts w:ascii="Arial" w:hAnsi="Arial" w:cs="Arial"/>
          <w:color w:val="7B7B7B" w:themeColor="accent3" w:themeShade="BF"/>
          <w:sz w:val="22"/>
          <w:szCs w:val="22"/>
        </w:rPr>
      </w:pPr>
      <w:r w:rsidRPr="00A24DB8">
        <w:rPr>
          <w:rFonts w:ascii="Arial" w:hAnsi="Arial" w:cs="Arial"/>
          <w:color w:val="7B7B7B" w:themeColor="accent3" w:themeShade="BF"/>
          <w:sz w:val="22"/>
          <w:szCs w:val="22"/>
        </w:rPr>
        <w:t xml:space="preserve">If </w:t>
      </w:r>
      <w:r w:rsidR="002448BF" w:rsidRPr="00A24DB8">
        <w:rPr>
          <w:rFonts w:ascii="Arial" w:hAnsi="Arial" w:cs="Arial"/>
          <w:color w:val="7B7B7B" w:themeColor="accent3" w:themeShade="BF"/>
          <w:sz w:val="22"/>
          <w:szCs w:val="22"/>
        </w:rPr>
        <w:t>the dwelling of the debtor is the subject-matter of the lease agreement, termination shall be replaced by the right of the insolvency administrator to declare that claims becoming due on expiry of the period specified in the first sentence may not be asserted in the insolvency proceedings</w:t>
      </w:r>
      <w:r>
        <w:rPr>
          <w:rFonts w:ascii="Arial" w:hAnsi="Arial" w:cs="Arial"/>
          <w:color w:val="7B7B7B" w:themeColor="accent3" w:themeShade="BF"/>
          <w:sz w:val="22"/>
          <w:szCs w:val="22"/>
        </w:rPr>
        <w:t>;</w:t>
      </w:r>
    </w:p>
    <w:p w14:paraId="6284414D" w14:textId="77777777" w:rsidR="00A24DB8" w:rsidRPr="00A24DB8" w:rsidRDefault="00A24DB8" w:rsidP="00A24DB8">
      <w:pPr>
        <w:pStyle w:val="ListParagraph"/>
        <w:rPr>
          <w:rFonts w:ascii="Arial" w:hAnsi="Arial" w:cs="Arial"/>
          <w:color w:val="7B7B7B" w:themeColor="accent3" w:themeShade="BF"/>
          <w:sz w:val="22"/>
          <w:szCs w:val="22"/>
        </w:rPr>
      </w:pPr>
    </w:p>
    <w:p w14:paraId="404FF0A4" w14:textId="4A83BAC7" w:rsidR="00382A97" w:rsidRDefault="002448BF" w:rsidP="00A24DB8">
      <w:pPr>
        <w:pStyle w:val="ListParagraph"/>
        <w:numPr>
          <w:ilvl w:val="0"/>
          <w:numId w:val="39"/>
        </w:numPr>
        <w:jc w:val="both"/>
        <w:rPr>
          <w:rFonts w:ascii="Arial" w:hAnsi="Arial" w:cs="Arial"/>
          <w:color w:val="7B7B7B" w:themeColor="accent3" w:themeShade="BF"/>
          <w:sz w:val="22"/>
          <w:szCs w:val="22"/>
        </w:rPr>
      </w:pPr>
      <w:r w:rsidRPr="00A24DB8">
        <w:rPr>
          <w:rFonts w:ascii="Arial" w:hAnsi="Arial" w:cs="Arial"/>
          <w:color w:val="7B7B7B" w:themeColor="accent3" w:themeShade="BF"/>
          <w:sz w:val="22"/>
          <w:szCs w:val="22"/>
        </w:rPr>
        <w:t>If the administrator terminates under the first sentence or if he submits the declaration in accordance with the second sentence, the other party may claim damages as an insolvency creditor for premature termination of such contract.</w:t>
      </w:r>
      <w:r w:rsidR="00382A97" w:rsidRPr="00A24DB8">
        <w:rPr>
          <w:rFonts w:ascii="Arial" w:hAnsi="Arial" w:cs="Arial"/>
          <w:color w:val="7B7B7B" w:themeColor="accent3" w:themeShade="BF"/>
          <w:sz w:val="22"/>
          <w:szCs w:val="22"/>
        </w:rPr>
        <w:t xml:space="preserve"> </w:t>
      </w:r>
    </w:p>
    <w:p w14:paraId="54BD0856" w14:textId="77777777" w:rsidR="00A24DB8" w:rsidRPr="00A24DB8" w:rsidRDefault="00A24DB8" w:rsidP="00A24DB8">
      <w:pPr>
        <w:pStyle w:val="ListParagraph"/>
        <w:rPr>
          <w:rFonts w:ascii="Arial" w:hAnsi="Arial" w:cs="Arial"/>
          <w:color w:val="7B7B7B" w:themeColor="accent3" w:themeShade="BF"/>
          <w:sz w:val="22"/>
          <w:szCs w:val="22"/>
        </w:rPr>
      </w:pPr>
    </w:p>
    <w:p w14:paraId="04BDB1AB" w14:textId="24578D8F" w:rsidR="00A24DB8" w:rsidRDefault="00A24DB8" w:rsidP="00A24DB8">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Employment contract</w:t>
      </w:r>
      <w:r w:rsidRPr="00A24DB8">
        <w:rPr>
          <w:rFonts w:ascii="Arial" w:hAnsi="Arial" w:cs="Arial"/>
          <w:color w:val="7B7B7B" w:themeColor="accent3" w:themeShade="BF"/>
          <w:sz w:val="22"/>
          <w:szCs w:val="22"/>
        </w:rPr>
        <w:t xml:space="preserve">: </w:t>
      </w:r>
    </w:p>
    <w:p w14:paraId="4DDE5E8C" w14:textId="66DDF228" w:rsidR="00A24DB8" w:rsidRDefault="00A24DB8" w:rsidP="00A24DB8">
      <w:pPr>
        <w:pStyle w:val="ListParagraph"/>
        <w:ind w:left="1080"/>
        <w:jc w:val="both"/>
        <w:rPr>
          <w:rFonts w:ascii="Arial" w:hAnsi="Arial" w:cs="Arial"/>
          <w:color w:val="7B7B7B" w:themeColor="accent3" w:themeShade="BF"/>
          <w:sz w:val="22"/>
          <w:szCs w:val="22"/>
        </w:rPr>
      </w:pPr>
    </w:p>
    <w:p w14:paraId="64B19179" w14:textId="0D9AC1C8" w:rsidR="00A24DB8" w:rsidRDefault="00FF345A" w:rsidP="00A24DB8">
      <w:pPr>
        <w:pStyle w:val="ListParagraph"/>
        <w:numPr>
          <w:ilvl w:val="0"/>
          <w:numId w:val="4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In terms of Section 113 of the Insolvency Act, 1994, a</w:t>
      </w:r>
      <w:r w:rsidR="00A24DB8" w:rsidRPr="00A24DB8">
        <w:rPr>
          <w:rFonts w:ascii="Arial" w:hAnsi="Arial" w:cs="Arial"/>
          <w:color w:val="7B7B7B" w:themeColor="accent3" w:themeShade="BF"/>
          <w:sz w:val="22"/>
          <w:szCs w:val="22"/>
        </w:rPr>
        <w:t>n employment relationship may be terminated by the insolvency administrator and by the other party irrespective of any agreed duration of such contract or agreed exclusion of the right to routine termination.</w:t>
      </w:r>
    </w:p>
    <w:p w14:paraId="40EA37FD" w14:textId="77777777" w:rsidR="00A24DB8" w:rsidRDefault="00A24DB8" w:rsidP="00A24DB8">
      <w:pPr>
        <w:pStyle w:val="ListParagraph"/>
        <w:ind w:left="1440"/>
        <w:jc w:val="both"/>
        <w:rPr>
          <w:rFonts w:ascii="Arial" w:hAnsi="Arial" w:cs="Arial"/>
          <w:color w:val="7B7B7B" w:themeColor="accent3" w:themeShade="BF"/>
          <w:sz w:val="22"/>
          <w:szCs w:val="22"/>
        </w:rPr>
      </w:pPr>
    </w:p>
    <w:p w14:paraId="6B9FC571" w14:textId="14D23C7C" w:rsidR="00A24DB8" w:rsidRDefault="00A24DB8" w:rsidP="00A24DB8">
      <w:pPr>
        <w:pStyle w:val="ListParagraph"/>
        <w:numPr>
          <w:ilvl w:val="0"/>
          <w:numId w:val="40"/>
        </w:numPr>
        <w:jc w:val="both"/>
        <w:rPr>
          <w:rFonts w:ascii="Arial" w:hAnsi="Arial" w:cs="Arial"/>
          <w:color w:val="7B7B7B" w:themeColor="accent3" w:themeShade="BF"/>
          <w:sz w:val="22"/>
          <w:szCs w:val="22"/>
        </w:rPr>
      </w:pPr>
      <w:r w:rsidRPr="00A24DB8">
        <w:rPr>
          <w:rFonts w:ascii="Arial" w:hAnsi="Arial" w:cs="Arial"/>
          <w:color w:val="7B7B7B" w:themeColor="accent3" w:themeShade="BF"/>
          <w:sz w:val="22"/>
          <w:szCs w:val="22"/>
        </w:rPr>
        <w:t>If the administrator terminates such contract, the other party may claim damages as an insolvency creditor for premature termination of the employment.</w:t>
      </w:r>
    </w:p>
    <w:p w14:paraId="7153DEC4" w14:textId="77777777" w:rsidR="00FF345A" w:rsidRPr="00FF345A" w:rsidRDefault="00FF345A" w:rsidP="00FF345A">
      <w:pPr>
        <w:pStyle w:val="ListParagraph"/>
        <w:rPr>
          <w:rFonts w:ascii="Arial" w:hAnsi="Arial" w:cs="Arial"/>
          <w:color w:val="7B7B7B" w:themeColor="accent3" w:themeShade="BF"/>
          <w:sz w:val="22"/>
          <w:szCs w:val="22"/>
        </w:rPr>
      </w:pPr>
    </w:p>
    <w:p w14:paraId="60672DC6" w14:textId="76AE882F" w:rsidR="00FF345A" w:rsidRPr="00FF345A" w:rsidRDefault="00FF345A" w:rsidP="00FF345A">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r w:rsidRPr="00FF345A">
        <w:rPr>
          <w:rFonts w:ascii="Arial" w:hAnsi="Arial" w:cs="Arial"/>
          <w:color w:val="7B7B7B" w:themeColor="accent3" w:themeShade="BF"/>
          <w:sz w:val="22"/>
          <w:szCs w:val="22"/>
        </w:rPr>
        <w:t>loan relationship entered into by the debtor as the lender shall continue with effect for the assets insofar as the object owed is made available to the borrower.</w:t>
      </w:r>
    </w:p>
    <w:p w14:paraId="00130585" w14:textId="529A5CA6" w:rsidR="00780E21" w:rsidRPr="00C82116" w:rsidRDefault="00780E21" w:rsidP="00A24DB8">
      <w:pPr>
        <w:jc w:val="both"/>
        <w:rPr>
          <w:rFonts w:ascii="Arial" w:hAnsi="Arial" w:cs="Arial"/>
          <w:color w:val="7B7B7B" w:themeColor="accent3" w:themeShade="BF"/>
          <w:sz w:val="22"/>
          <w:szCs w:val="22"/>
        </w:rPr>
      </w:pPr>
    </w:p>
    <w:p w14:paraId="06E1270C" w14:textId="77777777" w:rsidR="00CC34BB" w:rsidRPr="007A3213" w:rsidRDefault="00CC34BB" w:rsidP="003E4613">
      <w:pPr>
        <w:jc w:val="both"/>
        <w:rPr>
          <w:rFonts w:ascii="Arial" w:hAnsi="Arial" w:cs="Arial"/>
          <w:color w:val="000000"/>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w:t>
      </w:r>
      <w:proofErr w:type="gramStart"/>
      <w:r w:rsidR="0007535A">
        <w:rPr>
          <w:rFonts w:ascii="Arial" w:hAnsi="Arial" w:cs="Arial"/>
          <w:sz w:val="22"/>
          <w:szCs w:val="22"/>
          <w:lang w:val="en-GB"/>
        </w:rPr>
        <w:t>maintains</w:t>
      </w:r>
      <w:proofErr w:type="gramEnd"/>
      <w:r w:rsidR="0007535A">
        <w:rPr>
          <w:rFonts w:ascii="Arial" w:hAnsi="Arial" w:cs="Arial"/>
          <w:sz w:val="22"/>
          <w:szCs w:val="22"/>
          <w:lang w:val="en-GB"/>
        </w:rPr>
        <w:t xml:space="preserve">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et seq</w:t>
      </w:r>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HTMLPreformatted"/>
        <w:jc w:val="both"/>
        <w:rPr>
          <w:rFonts w:ascii="Arial" w:hAnsi="Arial" w:cs="Arial"/>
          <w:sz w:val="22"/>
          <w:szCs w:val="22"/>
          <w:lang w:val="en-GB"/>
        </w:rPr>
      </w:pPr>
    </w:p>
    <w:p w14:paraId="4FD71047" w14:textId="5AF9AAE4" w:rsidR="009123EB"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544EE3E3" w14:textId="77777777" w:rsidR="009123EB" w:rsidRDefault="009123EB" w:rsidP="00C34152">
      <w:pPr>
        <w:jc w:val="both"/>
        <w:rPr>
          <w:rFonts w:ascii="Arial" w:hAnsi="Arial" w:cs="Arial"/>
          <w:sz w:val="22"/>
          <w:szCs w:val="22"/>
          <w:lang w:val="en-GB"/>
        </w:rPr>
      </w:pPr>
    </w:p>
    <w:p w14:paraId="339C1D86" w14:textId="05871C39" w:rsidR="00515102" w:rsidRPr="00A06C42" w:rsidRDefault="00D26A97" w:rsidP="00A06C42">
      <w:pPr>
        <w:pStyle w:val="ListParagraph"/>
        <w:numPr>
          <w:ilvl w:val="0"/>
          <w:numId w:val="41"/>
        </w:numPr>
        <w:jc w:val="both"/>
        <w:rPr>
          <w:rFonts w:ascii="Arial" w:hAnsi="Arial" w:cs="Arial"/>
          <w:sz w:val="22"/>
          <w:szCs w:val="22"/>
        </w:rPr>
      </w:pPr>
      <w:bookmarkStart w:id="2" w:name="_Hlk17745211"/>
      <w:r w:rsidRPr="00A06C42">
        <w:rPr>
          <w:rFonts w:ascii="Arial" w:hAnsi="Arial" w:cs="Arial"/>
          <w:color w:val="7B7B7B" w:themeColor="accent3" w:themeShade="BF"/>
          <w:sz w:val="22"/>
          <w:szCs w:val="22"/>
        </w:rPr>
        <w:t xml:space="preserve">The Insolvency Act, 1994 provides for instances where certain transactions may be avoided </w:t>
      </w:r>
      <w:r w:rsidR="00CD3874">
        <w:rPr>
          <w:rFonts w:ascii="Arial" w:hAnsi="Arial" w:cs="Arial"/>
          <w:color w:val="7B7B7B" w:themeColor="accent3" w:themeShade="BF"/>
          <w:sz w:val="22"/>
          <w:szCs w:val="22"/>
        </w:rPr>
        <w:t xml:space="preserve">or contested </w:t>
      </w:r>
      <w:r w:rsidRPr="00A06C42">
        <w:rPr>
          <w:rFonts w:ascii="Arial" w:hAnsi="Arial" w:cs="Arial"/>
          <w:color w:val="7B7B7B" w:themeColor="accent3" w:themeShade="BF"/>
          <w:sz w:val="22"/>
          <w:szCs w:val="22"/>
        </w:rPr>
        <w:t>by the insolvency practitioner</w:t>
      </w:r>
      <w:r w:rsidR="00A06C42" w:rsidRPr="00A06C42">
        <w:rPr>
          <w:rFonts w:ascii="Arial" w:hAnsi="Arial" w:cs="Arial"/>
          <w:color w:val="7B7B7B" w:themeColor="accent3" w:themeShade="BF"/>
          <w:sz w:val="22"/>
          <w:szCs w:val="22"/>
        </w:rPr>
        <w:t>, those which have been entered into three months prior to the</w:t>
      </w:r>
      <w:r w:rsidR="00A06C42">
        <w:rPr>
          <w:rFonts w:ascii="Arial" w:hAnsi="Arial" w:cs="Arial"/>
          <w:color w:val="7B7B7B" w:themeColor="accent3" w:themeShade="BF"/>
          <w:sz w:val="22"/>
          <w:szCs w:val="22"/>
        </w:rPr>
        <w:t xml:space="preserve"> insolvency </w:t>
      </w:r>
      <w:r w:rsidR="005562E4">
        <w:rPr>
          <w:rFonts w:ascii="Arial" w:hAnsi="Arial" w:cs="Arial"/>
          <w:color w:val="7B7B7B" w:themeColor="accent3" w:themeShade="BF"/>
          <w:sz w:val="22"/>
          <w:szCs w:val="22"/>
        </w:rPr>
        <w:t>and are subject to avoidance or</w:t>
      </w:r>
      <w:r w:rsidR="00A06C42">
        <w:rPr>
          <w:rFonts w:ascii="Arial" w:hAnsi="Arial" w:cs="Arial"/>
          <w:color w:val="7B7B7B" w:themeColor="accent3" w:themeShade="BF"/>
          <w:sz w:val="22"/>
          <w:szCs w:val="22"/>
        </w:rPr>
        <w:t xml:space="preserve"> </w:t>
      </w:r>
      <w:proofErr w:type="spellStart"/>
      <w:r w:rsidR="00A06C42">
        <w:rPr>
          <w:rFonts w:ascii="Arial" w:hAnsi="Arial" w:cs="Arial"/>
          <w:color w:val="7B7B7B" w:themeColor="accent3" w:themeShade="BF"/>
          <w:sz w:val="22"/>
          <w:szCs w:val="22"/>
        </w:rPr>
        <w:t>or</w:t>
      </w:r>
      <w:proofErr w:type="spellEnd"/>
      <w:r w:rsidR="00A06C42">
        <w:rPr>
          <w:rFonts w:ascii="Arial" w:hAnsi="Arial" w:cs="Arial"/>
          <w:color w:val="7B7B7B" w:themeColor="accent3" w:themeShade="BF"/>
          <w:sz w:val="22"/>
          <w:szCs w:val="22"/>
        </w:rPr>
        <w:t xml:space="preserve"> </w:t>
      </w:r>
      <w:proofErr w:type="spellStart"/>
      <w:r w:rsidR="00A06C42">
        <w:rPr>
          <w:rFonts w:ascii="Arial" w:hAnsi="Arial" w:cs="Arial"/>
          <w:color w:val="7B7B7B" w:themeColor="accent3" w:themeShade="BF"/>
          <w:sz w:val="22"/>
          <w:szCs w:val="22"/>
        </w:rPr>
        <w:t>clawback</w:t>
      </w:r>
      <w:proofErr w:type="spellEnd"/>
      <w:r w:rsidR="005562E4">
        <w:rPr>
          <w:rFonts w:ascii="Arial" w:hAnsi="Arial" w:cs="Arial"/>
          <w:color w:val="7B7B7B" w:themeColor="accent3" w:themeShade="BF"/>
          <w:sz w:val="22"/>
          <w:szCs w:val="22"/>
        </w:rPr>
        <w:t xml:space="preserve"> in terms of the provisions of the Insolvency Act, 1994.</w:t>
      </w:r>
    </w:p>
    <w:p w14:paraId="636FB519" w14:textId="77777777" w:rsidR="00A06C42" w:rsidRPr="00A06C42" w:rsidRDefault="00A06C42" w:rsidP="00A06C42">
      <w:pPr>
        <w:pStyle w:val="ListParagraph"/>
        <w:ind w:left="1080"/>
        <w:jc w:val="both"/>
        <w:rPr>
          <w:rFonts w:ascii="Arial" w:hAnsi="Arial" w:cs="Arial"/>
          <w:sz w:val="22"/>
          <w:szCs w:val="22"/>
        </w:rPr>
      </w:pPr>
    </w:p>
    <w:p w14:paraId="1A8060B1" w14:textId="3EDF2A69" w:rsidR="00A06C42" w:rsidRPr="00CD3874" w:rsidRDefault="00CD3874" w:rsidP="00A06C42">
      <w:pPr>
        <w:pStyle w:val="ListParagraph"/>
        <w:numPr>
          <w:ilvl w:val="0"/>
          <w:numId w:val="41"/>
        </w:numPr>
        <w:jc w:val="both"/>
        <w:rPr>
          <w:rFonts w:ascii="Arial" w:hAnsi="Arial" w:cs="Arial"/>
          <w:sz w:val="22"/>
          <w:szCs w:val="22"/>
        </w:rPr>
      </w:pPr>
      <w:r>
        <w:rPr>
          <w:rFonts w:ascii="Arial" w:hAnsi="Arial" w:cs="Arial"/>
          <w:color w:val="7B7B7B" w:themeColor="accent3" w:themeShade="BF"/>
          <w:sz w:val="22"/>
          <w:szCs w:val="22"/>
        </w:rPr>
        <w:t>Some of such transactions that may be relevant for assessment of the case in hand include:</w:t>
      </w:r>
    </w:p>
    <w:p w14:paraId="29A47C6F" w14:textId="77777777" w:rsidR="00CD3874" w:rsidRPr="00CD3874" w:rsidRDefault="00CD3874" w:rsidP="00CD3874">
      <w:pPr>
        <w:pStyle w:val="ListParagraph"/>
        <w:rPr>
          <w:rFonts w:ascii="Arial" w:hAnsi="Arial" w:cs="Arial"/>
          <w:sz w:val="22"/>
          <w:szCs w:val="22"/>
        </w:rPr>
      </w:pPr>
    </w:p>
    <w:p w14:paraId="789C5FAA" w14:textId="76D36F90" w:rsidR="00CD3874" w:rsidRDefault="00CD3874" w:rsidP="00CD3874">
      <w:pPr>
        <w:pStyle w:val="ListParagraph"/>
        <w:numPr>
          <w:ilvl w:val="0"/>
          <w:numId w:val="43"/>
        </w:numPr>
        <w:ind w:left="1350"/>
        <w:jc w:val="both"/>
        <w:rPr>
          <w:rFonts w:ascii="Arial" w:hAnsi="Arial" w:cs="Arial"/>
          <w:color w:val="7B7B7B" w:themeColor="accent3" w:themeShade="BF"/>
          <w:sz w:val="22"/>
          <w:szCs w:val="22"/>
        </w:rPr>
      </w:pPr>
      <w:r w:rsidRPr="00CD3874">
        <w:rPr>
          <w:rFonts w:ascii="Arial" w:hAnsi="Arial" w:cs="Arial"/>
          <w:color w:val="7B7B7B" w:themeColor="accent3" w:themeShade="BF"/>
          <w:sz w:val="22"/>
          <w:szCs w:val="22"/>
        </w:rPr>
        <w:t>transaction granting or facilitating an insolvency creditor a security or satisfaction</w:t>
      </w:r>
      <w:r>
        <w:rPr>
          <w:rFonts w:ascii="Arial" w:hAnsi="Arial" w:cs="Arial"/>
          <w:color w:val="7B7B7B" w:themeColor="accent3" w:themeShade="BF"/>
          <w:sz w:val="22"/>
          <w:szCs w:val="22"/>
        </w:rPr>
        <w:t xml:space="preserve"> in terms of Section 130 of the Insolvency Act:</w:t>
      </w:r>
    </w:p>
    <w:p w14:paraId="3BA26FF2" w14:textId="77777777" w:rsidR="00CD3874" w:rsidRPr="00CD3874" w:rsidRDefault="00CD3874" w:rsidP="00CD3874">
      <w:pPr>
        <w:pStyle w:val="ListParagraph"/>
        <w:ind w:left="1350"/>
        <w:jc w:val="both"/>
        <w:rPr>
          <w:rFonts w:ascii="Arial" w:hAnsi="Arial" w:cs="Arial"/>
          <w:color w:val="7B7B7B" w:themeColor="accent3" w:themeShade="BF"/>
          <w:sz w:val="22"/>
          <w:szCs w:val="22"/>
        </w:rPr>
      </w:pPr>
    </w:p>
    <w:p w14:paraId="220EFB9D" w14:textId="350B0A40" w:rsidR="00CD3874" w:rsidRPr="00CD3874" w:rsidRDefault="00CD3874" w:rsidP="00CD3874">
      <w:pPr>
        <w:pStyle w:val="ListParagraph"/>
        <w:numPr>
          <w:ilvl w:val="0"/>
          <w:numId w:val="44"/>
        </w:numPr>
        <w:ind w:left="1800"/>
        <w:jc w:val="both"/>
        <w:rPr>
          <w:rFonts w:ascii="Arial" w:hAnsi="Arial" w:cs="Arial"/>
          <w:color w:val="7B7B7B" w:themeColor="accent3" w:themeShade="BF"/>
          <w:sz w:val="22"/>
          <w:szCs w:val="22"/>
        </w:rPr>
      </w:pPr>
      <w:r w:rsidRPr="00CD3874">
        <w:rPr>
          <w:rFonts w:ascii="Arial" w:hAnsi="Arial" w:cs="Arial"/>
          <w:color w:val="7B7B7B" w:themeColor="accent3" w:themeShade="BF"/>
          <w:sz w:val="22"/>
          <w:szCs w:val="22"/>
        </w:rPr>
        <w:t>if it was made during the last three months prior to the request to open insolvency proceedings, if the debtor was illiquid on the date of the transaction, and if the creditor was aware of his insolvency on this date, or</w:t>
      </w:r>
    </w:p>
    <w:p w14:paraId="084F9F35" w14:textId="77777777" w:rsidR="00CD3874" w:rsidRDefault="00CD3874" w:rsidP="00CD3874">
      <w:pPr>
        <w:pStyle w:val="ListParagraph"/>
        <w:ind w:left="1800"/>
        <w:jc w:val="both"/>
        <w:rPr>
          <w:rFonts w:ascii="Arial" w:hAnsi="Arial" w:cs="Arial"/>
          <w:color w:val="7B7B7B" w:themeColor="accent3" w:themeShade="BF"/>
          <w:sz w:val="22"/>
          <w:szCs w:val="22"/>
        </w:rPr>
      </w:pPr>
      <w:bookmarkStart w:id="3" w:name="p0553"/>
      <w:bookmarkEnd w:id="3"/>
    </w:p>
    <w:p w14:paraId="33D77D71" w14:textId="719B5F26" w:rsidR="00CD3874" w:rsidRDefault="00CD3874" w:rsidP="00CD3874">
      <w:pPr>
        <w:pStyle w:val="ListParagraph"/>
        <w:numPr>
          <w:ilvl w:val="0"/>
          <w:numId w:val="44"/>
        </w:numPr>
        <w:ind w:left="1800"/>
        <w:jc w:val="both"/>
        <w:rPr>
          <w:rFonts w:ascii="Arial" w:hAnsi="Arial" w:cs="Arial"/>
          <w:color w:val="7B7B7B" w:themeColor="accent3" w:themeShade="BF"/>
          <w:sz w:val="22"/>
          <w:szCs w:val="22"/>
        </w:rPr>
      </w:pPr>
      <w:r w:rsidRPr="00CD3874">
        <w:rPr>
          <w:rFonts w:ascii="Arial" w:hAnsi="Arial" w:cs="Arial"/>
          <w:color w:val="7B7B7B" w:themeColor="accent3" w:themeShade="BF"/>
          <w:sz w:val="22"/>
          <w:szCs w:val="22"/>
        </w:rPr>
        <w:t>if it was made after the request to open insolvency proceedings, and if the creditor was aware of the debtor's insolvency on the date of the transaction, or of the request to open insolvency proceedings.</w:t>
      </w:r>
    </w:p>
    <w:p w14:paraId="7D74B140" w14:textId="77777777" w:rsidR="00CD3874" w:rsidRPr="00CD3874" w:rsidRDefault="00CD3874" w:rsidP="00CD3874">
      <w:pPr>
        <w:pStyle w:val="ListParagraph"/>
        <w:rPr>
          <w:rFonts w:ascii="Arial" w:hAnsi="Arial" w:cs="Arial"/>
          <w:color w:val="7B7B7B" w:themeColor="accent3" w:themeShade="BF"/>
          <w:sz w:val="22"/>
          <w:szCs w:val="22"/>
        </w:rPr>
      </w:pPr>
    </w:p>
    <w:p w14:paraId="709E2169" w14:textId="4F287E04" w:rsidR="00CD3874" w:rsidRDefault="00CD3874" w:rsidP="00CD3874">
      <w:pPr>
        <w:pStyle w:val="ListParagraph"/>
        <w:numPr>
          <w:ilvl w:val="0"/>
          <w:numId w:val="45"/>
        </w:numPr>
        <w:ind w:left="12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instant case, the security interest over the lorry and assignment of all future receivables and cashflows was created by D in </w:t>
      </w:r>
      <w:proofErr w:type="spellStart"/>
      <w:r>
        <w:rPr>
          <w:rFonts w:ascii="Arial" w:hAnsi="Arial" w:cs="Arial"/>
          <w:color w:val="7B7B7B" w:themeColor="accent3" w:themeShade="BF"/>
          <w:sz w:val="22"/>
          <w:szCs w:val="22"/>
        </w:rPr>
        <w:t>favour</w:t>
      </w:r>
      <w:proofErr w:type="spellEnd"/>
      <w:r>
        <w:rPr>
          <w:rFonts w:ascii="Arial" w:hAnsi="Arial" w:cs="Arial"/>
          <w:color w:val="7B7B7B" w:themeColor="accent3" w:themeShade="BF"/>
          <w:sz w:val="22"/>
          <w:szCs w:val="22"/>
        </w:rPr>
        <w:t xml:space="preserve"> of B in January 2018, </w:t>
      </w:r>
      <w:proofErr w:type="gramStart"/>
      <w:r>
        <w:rPr>
          <w:rFonts w:ascii="Arial" w:hAnsi="Arial" w:cs="Arial"/>
          <w:color w:val="7B7B7B" w:themeColor="accent3" w:themeShade="BF"/>
          <w:sz w:val="22"/>
          <w:szCs w:val="22"/>
        </w:rPr>
        <w:t>i.e.</w:t>
      </w:r>
      <w:proofErr w:type="gramEnd"/>
      <w:r>
        <w:rPr>
          <w:rFonts w:ascii="Arial" w:hAnsi="Arial" w:cs="Arial"/>
          <w:color w:val="7B7B7B" w:themeColor="accent3" w:themeShade="BF"/>
          <w:sz w:val="22"/>
          <w:szCs w:val="22"/>
        </w:rPr>
        <w:t xml:space="preserve"> 16 months prior to the insolvency (i.e. August 06, 2019) or even potential insolvency of D, thereby rendering the transaction outsider the purview of 1. </w:t>
      </w:r>
      <w:r>
        <w:rPr>
          <w:rFonts w:ascii="Arial" w:hAnsi="Arial" w:cs="Arial"/>
          <w:color w:val="7B7B7B" w:themeColor="accent3" w:themeShade="BF"/>
          <w:sz w:val="22"/>
          <w:szCs w:val="22"/>
        </w:rPr>
        <w:lastRenderedPageBreak/>
        <w:t xml:space="preserve">above. Also, the creation of security interest clearly was not done after the request was made by D to open insolvency proceedings, </w:t>
      </w:r>
      <w:proofErr w:type="gramStart"/>
      <w:r>
        <w:rPr>
          <w:rFonts w:ascii="Arial" w:hAnsi="Arial" w:cs="Arial"/>
          <w:color w:val="7B7B7B" w:themeColor="accent3" w:themeShade="BF"/>
          <w:sz w:val="22"/>
          <w:szCs w:val="22"/>
        </w:rPr>
        <w:t>i.e.</w:t>
      </w:r>
      <w:proofErr w:type="gramEnd"/>
      <w:r>
        <w:rPr>
          <w:rFonts w:ascii="Arial" w:hAnsi="Arial" w:cs="Arial"/>
          <w:color w:val="7B7B7B" w:themeColor="accent3" w:themeShade="BF"/>
          <w:sz w:val="22"/>
          <w:szCs w:val="22"/>
        </w:rPr>
        <w:t xml:space="preserve"> on August 01, 2019, and B was not aware of D’s insolvency or its request to open insolvency proceedings in the beginning of 2018. Thus, the transaction may be clawed back at the instance of the administrator.  </w:t>
      </w:r>
    </w:p>
    <w:p w14:paraId="5F773DB6" w14:textId="77777777" w:rsidR="00CD3874" w:rsidRDefault="00CD3874" w:rsidP="00CD3874">
      <w:pPr>
        <w:pStyle w:val="ListParagraph"/>
        <w:ind w:left="1260"/>
        <w:jc w:val="both"/>
        <w:rPr>
          <w:rFonts w:ascii="Arial" w:hAnsi="Arial" w:cs="Arial"/>
          <w:color w:val="7B7B7B" w:themeColor="accent3" w:themeShade="BF"/>
          <w:sz w:val="22"/>
          <w:szCs w:val="22"/>
        </w:rPr>
      </w:pPr>
    </w:p>
    <w:p w14:paraId="2834B742" w14:textId="0D5355D9" w:rsidR="00CD3874" w:rsidRDefault="00CD3874" w:rsidP="00CD3874">
      <w:pPr>
        <w:pStyle w:val="ListParagraph"/>
        <w:numPr>
          <w:ilvl w:val="0"/>
          <w:numId w:val="43"/>
        </w:numPr>
        <w:ind w:left="1350"/>
        <w:jc w:val="both"/>
        <w:rPr>
          <w:rFonts w:ascii="Arial" w:hAnsi="Arial" w:cs="Arial"/>
          <w:color w:val="7B7B7B" w:themeColor="accent3" w:themeShade="BF"/>
          <w:sz w:val="22"/>
          <w:szCs w:val="22"/>
        </w:rPr>
      </w:pPr>
      <w:r w:rsidRPr="00CD3874">
        <w:rPr>
          <w:rFonts w:ascii="Arial" w:hAnsi="Arial" w:cs="Arial"/>
          <w:color w:val="7B7B7B" w:themeColor="accent3" w:themeShade="BF"/>
          <w:sz w:val="22"/>
          <w:szCs w:val="22"/>
        </w:rPr>
        <w:t>A transaction granting or facilitating an insolvency creditor a security or satisfaction without his entitlement to such security or satisfaction, or to the kind or date of such security or satisfaction, may be contested if such transaction was made</w:t>
      </w:r>
      <w:r>
        <w:rPr>
          <w:rFonts w:ascii="Arial" w:hAnsi="Arial" w:cs="Arial"/>
          <w:color w:val="7B7B7B" w:themeColor="accent3" w:themeShade="BF"/>
          <w:sz w:val="22"/>
          <w:szCs w:val="22"/>
        </w:rPr>
        <w:t>:</w:t>
      </w:r>
    </w:p>
    <w:p w14:paraId="511128AB" w14:textId="77777777" w:rsidR="00CD3874" w:rsidRPr="00CD3874" w:rsidRDefault="00CD3874" w:rsidP="00CD3874">
      <w:pPr>
        <w:pStyle w:val="ListParagraph"/>
        <w:ind w:left="1350"/>
        <w:jc w:val="both"/>
        <w:rPr>
          <w:rFonts w:ascii="Arial" w:hAnsi="Arial" w:cs="Arial"/>
          <w:color w:val="7B7B7B" w:themeColor="accent3" w:themeShade="BF"/>
          <w:sz w:val="22"/>
          <w:szCs w:val="22"/>
        </w:rPr>
      </w:pPr>
    </w:p>
    <w:p w14:paraId="09671B5F" w14:textId="68284EE8" w:rsidR="00CD3874" w:rsidRDefault="00CD3874" w:rsidP="00CD3874">
      <w:pPr>
        <w:pStyle w:val="ListParagraph"/>
        <w:numPr>
          <w:ilvl w:val="0"/>
          <w:numId w:val="46"/>
        </w:numPr>
        <w:ind w:left="1800"/>
        <w:jc w:val="both"/>
        <w:rPr>
          <w:rFonts w:ascii="Arial" w:hAnsi="Arial" w:cs="Arial"/>
          <w:color w:val="7B7B7B" w:themeColor="accent3" w:themeShade="BF"/>
          <w:sz w:val="22"/>
          <w:szCs w:val="22"/>
        </w:rPr>
      </w:pPr>
      <w:bookmarkStart w:id="4" w:name="p0559"/>
      <w:bookmarkEnd w:id="4"/>
      <w:r w:rsidRPr="00CD3874">
        <w:rPr>
          <w:rFonts w:ascii="Arial" w:hAnsi="Arial" w:cs="Arial"/>
          <w:color w:val="7B7B7B" w:themeColor="accent3" w:themeShade="BF"/>
          <w:sz w:val="22"/>
          <w:szCs w:val="22"/>
        </w:rPr>
        <w:t>during the last month prior to the request to open insolvency proceedings or after such request;</w:t>
      </w:r>
    </w:p>
    <w:p w14:paraId="6D680D98" w14:textId="77777777" w:rsidR="00CD3874" w:rsidRPr="00CD3874" w:rsidRDefault="00CD3874" w:rsidP="00CD3874">
      <w:pPr>
        <w:pStyle w:val="ListParagraph"/>
        <w:ind w:left="1800"/>
        <w:jc w:val="both"/>
        <w:rPr>
          <w:rFonts w:ascii="Arial" w:hAnsi="Arial" w:cs="Arial"/>
          <w:color w:val="7B7B7B" w:themeColor="accent3" w:themeShade="BF"/>
          <w:sz w:val="22"/>
          <w:szCs w:val="22"/>
        </w:rPr>
      </w:pPr>
    </w:p>
    <w:p w14:paraId="5391CE6C" w14:textId="4BDE6EF6" w:rsidR="00CD3874" w:rsidRDefault="00CD3874" w:rsidP="00CD3874">
      <w:pPr>
        <w:pStyle w:val="ListParagraph"/>
        <w:numPr>
          <w:ilvl w:val="0"/>
          <w:numId w:val="46"/>
        </w:numPr>
        <w:ind w:left="1800"/>
        <w:jc w:val="both"/>
        <w:rPr>
          <w:rFonts w:ascii="Arial" w:hAnsi="Arial" w:cs="Arial"/>
          <w:color w:val="7B7B7B" w:themeColor="accent3" w:themeShade="BF"/>
          <w:sz w:val="22"/>
          <w:szCs w:val="22"/>
        </w:rPr>
      </w:pPr>
      <w:bookmarkStart w:id="5" w:name="p0560"/>
      <w:bookmarkEnd w:id="5"/>
      <w:r w:rsidRPr="00CD3874">
        <w:rPr>
          <w:rFonts w:ascii="Arial" w:hAnsi="Arial" w:cs="Arial"/>
          <w:color w:val="7B7B7B" w:themeColor="accent3" w:themeShade="BF"/>
          <w:sz w:val="22"/>
          <w:szCs w:val="22"/>
        </w:rPr>
        <w:t>within the second or third month prior to the request to open insolvency proceedings, and the debtor was illiquid on the date of the transaction;</w:t>
      </w:r>
    </w:p>
    <w:p w14:paraId="3ADA7CE3" w14:textId="77777777" w:rsidR="00CD3874" w:rsidRPr="00CD3874" w:rsidRDefault="00CD3874" w:rsidP="00CD3874">
      <w:pPr>
        <w:pStyle w:val="ListParagraph"/>
        <w:rPr>
          <w:rFonts w:ascii="Arial" w:hAnsi="Arial" w:cs="Arial"/>
          <w:color w:val="7B7B7B" w:themeColor="accent3" w:themeShade="BF"/>
          <w:sz w:val="22"/>
          <w:szCs w:val="22"/>
        </w:rPr>
      </w:pPr>
    </w:p>
    <w:p w14:paraId="1BA8E6F2" w14:textId="3E4D691A" w:rsidR="00CD3874" w:rsidRPr="00CD3874" w:rsidRDefault="00CD3874" w:rsidP="00CD3874">
      <w:pPr>
        <w:pStyle w:val="ListParagraph"/>
        <w:numPr>
          <w:ilvl w:val="0"/>
          <w:numId w:val="46"/>
        </w:numPr>
        <w:ind w:left="1800"/>
        <w:jc w:val="both"/>
        <w:rPr>
          <w:rFonts w:ascii="Arial" w:hAnsi="Arial" w:cs="Arial"/>
          <w:color w:val="7B7B7B" w:themeColor="accent3" w:themeShade="BF"/>
          <w:sz w:val="22"/>
          <w:szCs w:val="22"/>
        </w:rPr>
      </w:pPr>
      <w:bookmarkStart w:id="6" w:name="p0561"/>
      <w:bookmarkEnd w:id="6"/>
      <w:r w:rsidRPr="00CD3874">
        <w:rPr>
          <w:rFonts w:ascii="Arial" w:hAnsi="Arial" w:cs="Arial"/>
          <w:color w:val="7B7B7B" w:themeColor="accent3" w:themeShade="BF"/>
          <w:sz w:val="22"/>
          <w:szCs w:val="22"/>
        </w:rPr>
        <w:t>within the second or third month prior to the request to open insolvency proceedings, and the creditor was aware of the disadvantage to the insolvency creditors arising from such transaction on its date.</w:t>
      </w:r>
    </w:p>
    <w:p w14:paraId="6941774F" w14:textId="77777777" w:rsidR="00CD3874" w:rsidRDefault="00CD3874" w:rsidP="00CD3874">
      <w:pPr>
        <w:pStyle w:val="ListParagraph"/>
        <w:ind w:left="1350"/>
        <w:jc w:val="both"/>
        <w:rPr>
          <w:rFonts w:ascii="Arial" w:hAnsi="Arial" w:cs="Arial"/>
          <w:color w:val="7B7B7B" w:themeColor="accent3" w:themeShade="BF"/>
          <w:sz w:val="22"/>
          <w:szCs w:val="22"/>
        </w:rPr>
      </w:pPr>
      <w:bookmarkStart w:id="7" w:name="p0562"/>
      <w:bookmarkEnd w:id="7"/>
    </w:p>
    <w:p w14:paraId="39B07FFF" w14:textId="14D8A099" w:rsidR="00CD3874" w:rsidRPr="00CD3874" w:rsidRDefault="00CD3874" w:rsidP="00CD3874">
      <w:pPr>
        <w:pStyle w:val="ListParagraph"/>
        <w:ind w:left="1350"/>
        <w:jc w:val="both"/>
        <w:rPr>
          <w:rFonts w:ascii="Arial" w:hAnsi="Arial" w:cs="Arial"/>
          <w:color w:val="7B7B7B" w:themeColor="accent3" w:themeShade="BF"/>
          <w:sz w:val="22"/>
          <w:szCs w:val="22"/>
        </w:rPr>
      </w:pPr>
      <w:r w:rsidRPr="00CD3874">
        <w:rPr>
          <w:rFonts w:ascii="Arial" w:hAnsi="Arial" w:cs="Arial"/>
          <w:color w:val="7B7B7B" w:themeColor="accent3" w:themeShade="BF"/>
          <w:sz w:val="22"/>
          <w:szCs w:val="22"/>
        </w:rPr>
        <w:t xml:space="preserve">For application of subsection (1) no. 3, awareness of circumstances pointing directly to the disadvantage shall be considered equivalent to awareness of the disadvantage to the insolvency creditors. </w:t>
      </w:r>
    </w:p>
    <w:p w14:paraId="4A398724" w14:textId="15F5B02D" w:rsidR="00A06C42" w:rsidRDefault="00A06C42" w:rsidP="009123EB">
      <w:pPr>
        <w:pStyle w:val="ListParagraph"/>
        <w:ind w:left="1350"/>
        <w:jc w:val="both"/>
        <w:rPr>
          <w:rFonts w:ascii="Arial" w:hAnsi="Arial" w:cs="Arial"/>
          <w:color w:val="7B7B7B" w:themeColor="accent3" w:themeShade="BF"/>
          <w:sz w:val="22"/>
          <w:szCs w:val="22"/>
        </w:rPr>
      </w:pPr>
    </w:p>
    <w:p w14:paraId="0D746B45" w14:textId="4643DD07" w:rsidR="009123EB" w:rsidRDefault="009123EB" w:rsidP="009123EB">
      <w:pPr>
        <w:pStyle w:val="ListParagraph"/>
        <w:ind w:left="1350"/>
        <w:jc w:val="both"/>
        <w:rPr>
          <w:rFonts w:ascii="Arial" w:hAnsi="Arial" w:cs="Arial"/>
          <w:color w:val="7B7B7B" w:themeColor="accent3" w:themeShade="BF"/>
          <w:sz w:val="22"/>
          <w:szCs w:val="22"/>
        </w:rPr>
      </w:pPr>
    </w:p>
    <w:p w14:paraId="348340C4" w14:textId="432F781F" w:rsidR="009123EB" w:rsidRDefault="009123EB" w:rsidP="009123EB">
      <w:pPr>
        <w:pStyle w:val="ListParagraph"/>
        <w:numPr>
          <w:ilvl w:val="0"/>
          <w:numId w:val="45"/>
        </w:numPr>
        <w:ind w:left="12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same analysis as above applies with respect to this class of avoidance transactions as well. Further, it may be noted that the enforcement of security interest otherwise legally create in favor of B is to be considered adjunct of the legitimate creation of security interest, and as such, the entitlement to such security or satisfaction cannot be contested, albeit such security enforcement may have taken place within the proscribed periods prior to the opening of the insolvency proceedings by D.  </w:t>
      </w:r>
    </w:p>
    <w:p w14:paraId="142718C3" w14:textId="77777777" w:rsidR="009123EB" w:rsidRPr="009123EB" w:rsidRDefault="009123EB" w:rsidP="009123EB">
      <w:pPr>
        <w:jc w:val="both"/>
        <w:rPr>
          <w:rFonts w:ascii="Arial" w:hAnsi="Arial" w:cs="Arial"/>
          <w:color w:val="7B7B7B" w:themeColor="accent3" w:themeShade="BF"/>
          <w:sz w:val="22"/>
          <w:szCs w:val="22"/>
        </w:rPr>
      </w:pPr>
    </w:p>
    <w:p w14:paraId="3EEBD70C" w14:textId="573E5F47" w:rsidR="00A06C42" w:rsidRPr="00A06C42" w:rsidRDefault="009123EB" w:rsidP="009123EB">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Therefore,</w:t>
      </w:r>
      <w:r w:rsidR="00A06C42" w:rsidRPr="00A06C42">
        <w:rPr>
          <w:rFonts w:ascii="Arial" w:hAnsi="Arial" w:cs="Arial"/>
          <w:color w:val="7B7B7B" w:themeColor="accent3" w:themeShade="BF"/>
          <w:sz w:val="22"/>
          <w:szCs w:val="22"/>
        </w:rPr>
        <w:t xml:space="preserve"> the above transactions do not cover one in which </w:t>
      </w:r>
      <w:r w:rsidR="001275A2">
        <w:rPr>
          <w:rFonts w:ascii="Arial" w:hAnsi="Arial" w:cs="Arial"/>
          <w:color w:val="7B7B7B" w:themeColor="accent3" w:themeShade="BF"/>
          <w:sz w:val="22"/>
          <w:szCs w:val="22"/>
        </w:rPr>
        <w:t xml:space="preserve">the </w:t>
      </w:r>
      <w:r w:rsidR="00A06C42" w:rsidRPr="00A06C42">
        <w:rPr>
          <w:rFonts w:ascii="Arial" w:hAnsi="Arial" w:cs="Arial"/>
          <w:color w:val="7B7B7B" w:themeColor="accent3" w:themeShade="BF"/>
          <w:sz w:val="22"/>
          <w:szCs w:val="22"/>
        </w:rPr>
        <w:t>creditor</w:t>
      </w:r>
      <w:r w:rsidR="001275A2">
        <w:rPr>
          <w:rFonts w:ascii="Arial" w:hAnsi="Arial" w:cs="Arial"/>
          <w:color w:val="7B7B7B" w:themeColor="accent3" w:themeShade="BF"/>
          <w:sz w:val="22"/>
          <w:szCs w:val="22"/>
        </w:rPr>
        <w:t xml:space="preserve"> B being the lender bank</w:t>
      </w:r>
      <w:r w:rsidR="00A06C42" w:rsidRPr="00A06C42">
        <w:rPr>
          <w:rFonts w:ascii="Arial" w:hAnsi="Arial" w:cs="Arial"/>
          <w:color w:val="7B7B7B" w:themeColor="accent3" w:themeShade="BF"/>
          <w:sz w:val="22"/>
          <w:szCs w:val="22"/>
        </w:rPr>
        <w:t xml:space="preserve"> has, upon failure of the debtor </w:t>
      </w:r>
      <w:r w:rsidR="001275A2">
        <w:rPr>
          <w:rFonts w:ascii="Arial" w:hAnsi="Arial" w:cs="Arial"/>
          <w:color w:val="7B7B7B" w:themeColor="accent3" w:themeShade="BF"/>
          <w:sz w:val="22"/>
          <w:szCs w:val="22"/>
        </w:rPr>
        <w:t xml:space="preserve">D </w:t>
      </w:r>
      <w:r w:rsidR="00A06C42" w:rsidRPr="00A06C42">
        <w:rPr>
          <w:rFonts w:ascii="Arial" w:hAnsi="Arial" w:cs="Arial"/>
          <w:color w:val="7B7B7B" w:themeColor="accent3" w:themeShade="BF"/>
          <w:sz w:val="22"/>
          <w:szCs w:val="22"/>
        </w:rPr>
        <w:t>to pay its dues owed to the creditor, legitimately exercise</w:t>
      </w:r>
      <w:r w:rsidR="001275A2">
        <w:rPr>
          <w:rFonts w:ascii="Arial" w:hAnsi="Arial" w:cs="Arial"/>
          <w:color w:val="7B7B7B" w:themeColor="accent3" w:themeShade="BF"/>
          <w:sz w:val="22"/>
          <w:szCs w:val="22"/>
        </w:rPr>
        <w:t>d</w:t>
      </w:r>
      <w:r w:rsidR="00A06C42" w:rsidRPr="00A06C42">
        <w:rPr>
          <w:rFonts w:ascii="Arial" w:hAnsi="Arial" w:cs="Arial"/>
          <w:color w:val="7B7B7B" w:themeColor="accent3" w:themeShade="BF"/>
          <w:sz w:val="22"/>
          <w:szCs w:val="22"/>
        </w:rPr>
        <w:t xml:space="preserve"> its right to recovery through enforcement of security interest created in </w:t>
      </w:r>
      <w:r w:rsidR="001275A2">
        <w:rPr>
          <w:rFonts w:ascii="Arial" w:hAnsi="Arial" w:cs="Arial"/>
          <w:color w:val="7B7B7B" w:themeColor="accent3" w:themeShade="BF"/>
          <w:sz w:val="22"/>
          <w:szCs w:val="22"/>
        </w:rPr>
        <w:t xml:space="preserve">its </w:t>
      </w:r>
      <w:proofErr w:type="spellStart"/>
      <w:r w:rsidR="001275A2">
        <w:rPr>
          <w:rFonts w:ascii="Arial" w:hAnsi="Arial" w:cs="Arial"/>
          <w:color w:val="7B7B7B" w:themeColor="accent3" w:themeShade="BF"/>
          <w:sz w:val="22"/>
          <w:szCs w:val="22"/>
        </w:rPr>
        <w:t>favour</w:t>
      </w:r>
      <w:proofErr w:type="spellEnd"/>
      <w:r w:rsidR="001275A2">
        <w:rPr>
          <w:rFonts w:ascii="Arial" w:hAnsi="Arial" w:cs="Arial"/>
          <w:color w:val="7B7B7B" w:themeColor="accent3" w:themeShade="BF"/>
          <w:sz w:val="22"/>
          <w:szCs w:val="22"/>
        </w:rPr>
        <w:t xml:space="preserve">, </w:t>
      </w:r>
      <w:r w:rsidR="00A06C42">
        <w:rPr>
          <w:rFonts w:ascii="Arial" w:hAnsi="Arial" w:cs="Arial"/>
          <w:color w:val="7B7B7B" w:themeColor="accent3" w:themeShade="BF"/>
          <w:sz w:val="22"/>
          <w:szCs w:val="22"/>
        </w:rPr>
        <w:t>as the same cannot be said to have disadvantaged the general body of creditors (as they would have been said to b</w:t>
      </w:r>
      <w:r w:rsidR="001275A2">
        <w:rPr>
          <w:rFonts w:ascii="Arial" w:hAnsi="Arial" w:cs="Arial"/>
          <w:color w:val="7B7B7B" w:themeColor="accent3" w:themeShade="BF"/>
          <w:sz w:val="22"/>
          <w:szCs w:val="22"/>
        </w:rPr>
        <w:t>e</w:t>
      </w:r>
      <w:r w:rsidR="00A06C42">
        <w:rPr>
          <w:rFonts w:ascii="Arial" w:hAnsi="Arial" w:cs="Arial"/>
          <w:color w:val="7B7B7B" w:themeColor="accent3" w:themeShade="BF"/>
          <w:sz w:val="22"/>
          <w:szCs w:val="22"/>
        </w:rPr>
        <w:t xml:space="preserve"> disadvantaged at the time of creation of the security itself, and so cannot be disadvantaged again at the time of its retaliation or enforcement again)</w:t>
      </w:r>
      <w:r>
        <w:rPr>
          <w:rFonts w:ascii="Arial" w:hAnsi="Arial" w:cs="Arial"/>
          <w:color w:val="7B7B7B" w:themeColor="accent3" w:themeShade="BF"/>
          <w:sz w:val="22"/>
          <w:szCs w:val="22"/>
        </w:rPr>
        <w:t>; or said to have not been not entitle to exercise its right to enforcement of the said security interest because of reasons cited above</w:t>
      </w:r>
      <w:r w:rsidR="00A06C42">
        <w:rPr>
          <w:rFonts w:ascii="Arial" w:hAnsi="Arial" w:cs="Arial"/>
          <w:color w:val="7B7B7B" w:themeColor="accent3" w:themeShade="BF"/>
          <w:sz w:val="22"/>
          <w:szCs w:val="22"/>
        </w:rPr>
        <w:t xml:space="preserve">. </w:t>
      </w:r>
    </w:p>
    <w:p w14:paraId="37102164" w14:textId="77777777" w:rsidR="00102CC9" w:rsidRPr="007A3213" w:rsidRDefault="00102CC9" w:rsidP="00087F21">
      <w:pPr>
        <w:jc w:val="both"/>
        <w:rPr>
          <w:rFonts w:ascii="Arial" w:hAnsi="Arial" w:cs="Arial"/>
          <w:sz w:val="22"/>
          <w:szCs w:val="22"/>
          <w:lang w:val="en-GB"/>
        </w:rPr>
      </w:pPr>
    </w:p>
    <w:bookmarkEnd w:id="2"/>
    <w:p w14:paraId="29833350" w14:textId="337D681B" w:rsidR="00FA3037" w:rsidRDefault="00FA3037" w:rsidP="00FA3037">
      <w:pPr>
        <w:autoSpaceDE w:val="0"/>
        <w:autoSpaceDN w:val="0"/>
        <w:adjustRightInd w:val="0"/>
        <w:snapToGrid w:val="0"/>
        <w:spacing w:before="8"/>
        <w:jc w:val="right"/>
        <w:rPr>
          <w:rFonts w:ascii="Arial" w:hAnsi="Arial" w:cs="Arial"/>
          <w:b/>
          <w:color w:val="FF0000"/>
          <w:sz w:val="22"/>
          <w:szCs w:val="22"/>
        </w:rPr>
      </w:pPr>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B82F" w14:textId="77777777" w:rsidR="00034998" w:rsidRDefault="00034998" w:rsidP="00241B44">
      <w:r>
        <w:separator/>
      </w:r>
    </w:p>
  </w:endnote>
  <w:endnote w:type="continuationSeparator" w:id="0">
    <w:p w14:paraId="1FD5372A" w14:textId="77777777" w:rsidR="00034998" w:rsidRDefault="0003499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13D715D1" w:rsidR="002124BE" w:rsidRPr="009B4976" w:rsidRDefault="002124BE"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16DA8">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4A3CA157" w14:textId="775140D0" w:rsidR="005562E4" w:rsidRPr="009B4976" w:rsidRDefault="005562E4" w:rsidP="005562E4">
    <w:pPr>
      <w:pStyle w:val="Footer"/>
      <w:ind w:right="360"/>
      <w:rPr>
        <w:rFonts w:ascii="Arial" w:hAnsi="Arial" w:cs="Arial"/>
        <w:sz w:val="18"/>
        <w:szCs w:val="18"/>
        <w:lang w:val="en-GB"/>
      </w:rPr>
    </w:pPr>
    <w:r w:rsidRPr="009F047E">
      <w:rPr>
        <w:rFonts w:ascii="Arial" w:hAnsi="Arial" w:cs="Arial"/>
        <w:sz w:val="18"/>
        <w:szCs w:val="18"/>
        <w:lang w:val="en-GB"/>
      </w:rPr>
      <w:t>202021IFU-387</w:t>
    </w:r>
    <w:r w:rsidRPr="009B4976">
      <w:rPr>
        <w:rFonts w:ascii="Arial" w:hAnsi="Arial" w:cs="Arial"/>
        <w:sz w:val="18"/>
        <w:szCs w:val="18"/>
        <w:lang w:val="en-GB"/>
      </w:rPr>
      <w:t>.assessment</w:t>
    </w:r>
    <w:r>
      <w:rPr>
        <w:rFonts w:ascii="Arial" w:hAnsi="Arial" w:cs="Arial"/>
        <w:sz w:val="18"/>
        <w:szCs w:val="18"/>
        <w:lang w:val="en-GB"/>
      </w:rPr>
      <w:t>6</w:t>
    </w:r>
    <w:r>
      <w:rPr>
        <w:rFonts w:ascii="Arial" w:hAnsi="Arial" w:cs="Arial"/>
        <w:sz w:val="18"/>
        <w:szCs w:val="18"/>
        <w:lang w:val="en-GB"/>
      </w:rPr>
      <w:t>B</w:t>
    </w:r>
  </w:p>
  <w:p w14:paraId="5AC08553" w14:textId="50438B1C" w:rsidR="00BC2C6F" w:rsidRDefault="00BC2C6F" w:rsidP="005562E4">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8D53" w14:textId="77777777" w:rsidR="00034998" w:rsidRDefault="00034998" w:rsidP="00241B44">
      <w:r>
        <w:separator/>
      </w:r>
    </w:p>
  </w:footnote>
  <w:footnote w:type="continuationSeparator" w:id="0">
    <w:p w14:paraId="7D7D3094" w14:textId="77777777" w:rsidR="00034998" w:rsidRDefault="0003499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77777777" w:rsidR="002124BE" w:rsidRDefault="002124BE" w:rsidP="009B4976">
    <w:pPr>
      <w:pStyle w:val="Footer"/>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96E9B"/>
    <w:multiLevelType w:val="hybridMultilevel"/>
    <w:tmpl w:val="D5F2494E"/>
    <w:lvl w:ilvl="0" w:tplc="FE941444">
      <w:start w:val="1"/>
      <w:numFmt w:val="lowerLetter"/>
      <w:lvlText w:val="(%1)"/>
      <w:lvlJc w:val="left"/>
      <w:pPr>
        <w:ind w:left="1440" w:hanging="360"/>
      </w:pPr>
      <w:rPr>
        <w:rFonts w:hint="default"/>
        <w:color w:val="000000"/>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D6E69"/>
    <w:multiLevelType w:val="hybridMultilevel"/>
    <w:tmpl w:val="EC1EDE0E"/>
    <w:lvl w:ilvl="0" w:tplc="E54E66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36E11"/>
    <w:multiLevelType w:val="hybridMultilevel"/>
    <w:tmpl w:val="C6820704"/>
    <w:lvl w:ilvl="0" w:tplc="5F5A8C3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24E2E"/>
    <w:multiLevelType w:val="hybridMultilevel"/>
    <w:tmpl w:val="1E72609C"/>
    <w:lvl w:ilvl="0" w:tplc="63B8FC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BFA6FF2"/>
    <w:multiLevelType w:val="hybridMultilevel"/>
    <w:tmpl w:val="1E72609C"/>
    <w:lvl w:ilvl="0" w:tplc="63B8FC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DF468F"/>
    <w:multiLevelType w:val="hybridMultilevel"/>
    <w:tmpl w:val="8D929524"/>
    <w:lvl w:ilvl="0" w:tplc="07FCCD6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2B4291"/>
    <w:multiLevelType w:val="hybridMultilevel"/>
    <w:tmpl w:val="EC700AEE"/>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A31B25"/>
    <w:multiLevelType w:val="hybridMultilevel"/>
    <w:tmpl w:val="EA64AE90"/>
    <w:lvl w:ilvl="0" w:tplc="6BB45096">
      <w:start w:val="1"/>
      <w:numFmt w:val="lowerRoman"/>
      <w:lvlText w:val="(%1)"/>
      <w:lvlJc w:val="left"/>
      <w:pPr>
        <w:ind w:left="1080" w:hanging="72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E30D2F"/>
    <w:multiLevelType w:val="hybridMultilevel"/>
    <w:tmpl w:val="27AE902A"/>
    <w:lvl w:ilvl="0" w:tplc="F816E6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BF20FC"/>
    <w:multiLevelType w:val="hybridMultilevel"/>
    <w:tmpl w:val="399EC3EE"/>
    <w:lvl w:ilvl="0" w:tplc="D2FEEE1C">
      <w:start w:val="1"/>
      <w:numFmt w:val="bullet"/>
      <w:lvlText w:val="-"/>
      <w:lvlJc w:val="left"/>
      <w:pPr>
        <w:ind w:left="420" w:hanging="360"/>
      </w:pPr>
      <w:rPr>
        <w:rFonts w:ascii="Arial" w:eastAsia="Times New Roman" w:hAnsi="Arial" w:cs="Arial"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27" w15:restartNumberingAfterBreak="0">
    <w:nsid w:val="42782B6E"/>
    <w:multiLevelType w:val="hybridMultilevel"/>
    <w:tmpl w:val="D28E2920"/>
    <w:lvl w:ilvl="0" w:tplc="D55824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9"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7850C3"/>
    <w:multiLevelType w:val="hybridMultilevel"/>
    <w:tmpl w:val="2828D780"/>
    <w:lvl w:ilvl="0" w:tplc="54D6119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B80654"/>
    <w:multiLevelType w:val="hybridMultilevel"/>
    <w:tmpl w:val="F68E559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DE3966"/>
    <w:multiLevelType w:val="hybridMultilevel"/>
    <w:tmpl w:val="9920DE36"/>
    <w:lvl w:ilvl="0" w:tplc="A12E0B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DE52063"/>
    <w:multiLevelType w:val="hybridMultilevel"/>
    <w:tmpl w:val="47FE2944"/>
    <w:lvl w:ilvl="0" w:tplc="50A085F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E44403C"/>
    <w:multiLevelType w:val="hybridMultilevel"/>
    <w:tmpl w:val="F68E559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8"/>
  </w:num>
  <w:num w:numId="2">
    <w:abstractNumId w:val="15"/>
  </w:num>
  <w:num w:numId="3">
    <w:abstractNumId w:val="39"/>
  </w:num>
  <w:num w:numId="4">
    <w:abstractNumId w:val="35"/>
  </w:num>
  <w:num w:numId="5">
    <w:abstractNumId w:val="30"/>
  </w:num>
  <w:num w:numId="6">
    <w:abstractNumId w:val="24"/>
  </w:num>
  <w:num w:numId="7">
    <w:abstractNumId w:val="7"/>
  </w:num>
  <w:num w:numId="8">
    <w:abstractNumId w:val="22"/>
  </w:num>
  <w:num w:numId="9">
    <w:abstractNumId w:val="21"/>
  </w:num>
  <w:num w:numId="10">
    <w:abstractNumId w:val="41"/>
  </w:num>
  <w:num w:numId="11">
    <w:abstractNumId w:val="4"/>
  </w:num>
  <w:num w:numId="12">
    <w:abstractNumId w:val="31"/>
  </w:num>
  <w:num w:numId="13">
    <w:abstractNumId w:val="33"/>
  </w:num>
  <w:num w:numId="14">
    <w:abstractNumId w:val="5"/>
  </w:num>
  <w:num w:numId="15">
    <w:abstractNumId w:val="25"/>
  </w:num>
  <w:num w:numId="16">
    <w:abstractNumId w:val="19"/>
  </w:num>
  <w:num w:numId="17">
    <w:abstractNumId w:val="43"/>
  </w:num>
  <w:num w:numId="18">
    <w:abstractNumId w:val="34"/>
  </w:num>
  <w:num w:numId="19">
    <w:abstractNumId w:val="44"/>
  </w:num>
  <w:num w:numId="20">
    <w:abstractNumId w:val="9"/>
  </w:num>
  <w:num w:numId="21">
    <w:abstractNumId w:val="0"/>
  </w:num>
  <w:num w:numId="22">
    <w:abstractNumId w:val="14"/>
  </w:num>
  <w:num w:numId="23">
    <w:abstractNumId w:val="8"/>
  </w:num>
  <w:num w:numId="24">
    <w:abstractNumId w:val="32"/>
  </w:num>
  <w:num w:numId="25">
    <w:abstractNumId w:val="2"/>
  </w:num>
  <w:num w:numId="26">
    <w:abstractNumId w:val="20"/>
  </w:num>
  <w:num w:numId="27">
    <w:abstractNumId w:val="17"/>
  </w:num>
  <w:num w:numId="28">
    <w:abstractNumId w:val="42"/>
  </w:num>
  <w:num w:numId="29">
    <w:abstractNumId w:val="38"/>
  </w:num>
  <w:num w:numId="30">
    <w:abstractNumId w:val="29"/>
  </w:num>
  <w:num w:numId="31">
    <w:abstractNumId w:val="37"/>
  </w:num>
  <w:num w:numId="32">
    <w:abstractNumId w:val="12"/>
  </w:num>
  <w:num w:numId="33">
    <w:abstractNumId w:val="3"/>
  </w:num>
  <w:num w:numId="34">
    <w:abstractNumId w:val="36"/>
  </w:num>
  <w:num w:numId="35">
    <w:abstractNumId w:val="6"/>
  </w:num>
  <w:num w:numId="36">
    <w:abstractNumId w:val="13"/>
  </w:num>
  <w:num w:numId="37">
    <w:abstractNumId w:val="46"/>
  </w:num>
  <w:num w:numId="38">
    <w:abstractNumId w:val="1"/>
  </w:num>
  <w:num w:numId="39">
    <w:abstractNumId w:val="11"/>
  </w:num>
  <w:num w:numId="40">
    <w:abstractNumId w:val="10"/>
  </w:num>
  <w:num w:numId="41">
    <w:abstractNumId w:val="18"/>
  </w:num>
  <w:num w:numId="42">
    <w:abstractNumId w:val="23"/>
  </w:num>
  <w:num w:numId="43">
    <w:abstractNumId w:val="16"/>
  </w:num>
  <w:num w:numId="44">
    <w:abstractNumId w:val="40"/>
  </w:num>
  <w:num w:numId="45">
    <w:abstractNumId w:val="26"/>
  </w:num>
  <w:num w:numId="46">
    <w:abstractNumId w:val="47"/>
  </w:num>
  <w:num w:numId="47">
    <w:abstractNumId w:val="45"/>
  </w:num>
  <w:num w:numId="4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4998"/>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677"/>
    <w:rsid w:val="000F3D6C"/>
    <w:rsid w:val="00101319"/>
    <w:rsid w:val="00101707"/>
    <w:rsid w:val="00102CC9"/>
    <w:rsid w:val="0010593A"/>
    <w:rsid w:val="0011473D"/>
    <w:rsid w:val="00115C85"/>
    <w:rsid w:val="00123855"/>
    <w:rsid w:val="00126A4D"/>
    <w:rsid w:val="001275A2"/>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4BA"/>
    <w:rsid w:val="00192C84"/>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37A7"/>
    <w:rsid w:val="00214F37"/>
    <w:rsid w:val="00216DA8"/>
    <w:rsid w:val="00222AF0"/>
    <w:rsid w:val="002231AA"/>
    <w:rsid w:val="00233B9E"/>
    <w:rsid w:val="002356EA"/>
    <w:rsid w:val="0024116D"/>
    <w:rsid w:val="00241785"/>
    <w:rsid w:val="00241B44"/>
    <w:rsid w:val="00241FA3"/>
    <w:rsid w:val="002448BF"/>
    <w:rsid w:val="00244AE8"/>
    <w:rsid w:val="00245EFB"/>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6713"/>
    <w:rsid w:val="00382A97"/>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5F1F"/>
    <w:rsid w:val="0042108F"/>
    <w:rsid w:val="0042667D"/>
    <w:rsid w:val="00430FED"/>
    <w:rsid w:val="0043344A"/>
    <w:rsid w:val="00434A8C"/>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1CE6"/>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562E4"/>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D16DD"/>
    <w:rsid w:val="005D1FA5"/>
    <w:rsid w:val="005D43E0"/>
    <w:rsid w:val="005D4E0F"/>
    <w:rsid w:val="005D58A3"/>
    <w:rsid w:val="005E1B79"/>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35A"/>
    <w:rsid w:val="006B4C64"/>
    <w:rsid w:val="006B64B4"/>
    <w:rsid w:val="006C3181"/>
    <w:rsid w:val="006C3F50"/>
    <w:rsid w:val="006C6DF5"/>
    <w:rsid w:val="006D41E7"/>
    <w:rsid w:val="006D6BD5"/>
    <w:rsid w:val="006E481A"/>
    <w:rsid w:val="006E5298"/>
    <w:rsid w:val="006F4A78"/>
    <w:rsid w:val="006F734A"/>
    <w:rsid w:val="00700D83"/>
    <w:rsid w:val="00704852"/>
    <w:rsid w:val="00705CEF"/>
    <w:rsid w:val="007074E9"/>
    <w:rsid w:val="007119A7"/>
    <w:rsid w:val="0071353C"/>
    <w:rsid w:val="00713DA4"/>
    <w:rsid w:val="00714BF1"/>
    <w:rsid w:val="00721383"/>
    <w:rsid w:val="00726C84"/>
    <w:rsid w:val="0073158B"/>
    <w:rsid w:val="007333CC"/>
    <w:rsid w:val="0073399A"/>
    <w:rsid w:val="00740DAD"/>
    <w:rsid w:val="00743CA6"/>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85"/>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5A43"/>
    <w:rsid w:val="00907762"/>
    <w:rsid w:val="009115D8"/>
    <w:rsid w:val="009123EB"/>
    <w:rsid w:val="0091244E"/>
    <w:rsid w:val="00912C79"/>
    <w:rsid w:val="0091484E"/>
    <w:rsid w:val="00921B8C"/>
    <w:rsid w:val="00930D92"/>
    <w:rsid w:val="00937B1F"/>
    <w:rsid w:val="0094077F"/>
    <w:rsid w:val="009418C9"/>
    <w:rsid w:val="00942123"/>
    <w:rsid w:val="00943E7F"/>
    <w:rsid w:val="00950565"/>
    <w:rsid w:val="0095207B"/>
    <w:rsid w:val="00962045"/>
    <w:rsid w:val="009668D7"/>
    <w:rsid w:val="00966B3D"/>
    <w:rsid w:val="009741AC"/>
    <w:rsid w:val="00980E61"/>
    <w:rsid w:val="00982D29"/>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19D3"/>
    <w:rsid w:val="009E2AEB"/>
    <w:rsid w:val="009E2E27"/>
    <w:rsid w:val="009E33FC"/>
    <w:rsid w:val="009E45DF"/>
    <w:rsid w:val="009E4DE3"/>
    <w:rsid w:val="009E5234"/>
    <w:rsid w:val="009F275E"/>
    <w:rsid w:val="009F4E80"/>
    <w:rsid w:val="00A03D04"/>
    <w:rsid w:val="00A047EE"/>
    <w:rsid w:val="00A053F2"/>
    <w:rsid w:val="00A06C42"/>
    <w:rsid w:val="00A13D68"/>
    <w:rsid w:val="00A2274A"/>
    <w:rsid w:val="00A235B7"/>
    <w:rsid w:val="00A24DB8"/>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4DC0"/>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5EF2"/>
    <w:rsid w:val="00BE1500"/>
    <w:rsid w:val="00BE4FF3"/>
    <w:rsid w:val="00BF0162"/>
    <w:rsid w:val="00BF49DF"/>
    <w:rsid w:val="00BF50F7"/>
    <w:rsid w:val="00BF59BF"/>
    <w:rsid w:val="00BF77BA"/>
    <w:rsid w:val="00C02F29"/>
    <w:rsid w:val="00C02F34"/>
    <w:rsid w:val="00C036DE"/>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116"/>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3874"/>
    <w:rsid w:val="00CD4998"/>
    <w:rsid w:val="00CD5117"/>
    <w:rsid w:val="00CE1035"/>
    <w:rsid w:val="00CE4D69"/>
    <w:rsid w:val="00CE51E2"/>
    <w:rsid w:val="00CE5EDA"/>
    <w:rsid w:val="00CE6593"/>
    <w:rsid w:val="00CE6E50"/>
    <w:rsid w:val="00CF2819"/>
    <w:rsid w:val="00CF4F9D"/>
    <w:rsid w:val="00CF5CEE"/>
    <w:rsid w:val="00CF70DC"/>
    <w:rsid w:val="00D05110"/>
    <w:rsid w:val="00D07F71"/>
    <w:rsid w:val="00D148DC"/>
    <w:rsid w:val="00D17384"/>
    <w:rsid w:val="00D17FDC"/>
    <w:rsid w:val="00D21D8C"/>
    <w:rsid w:val="00D26A97"/>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457B3"/>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345A"/>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 w:type="paragraph" w:customStyle="1" w:styleId="liste1">
    <w:name w:val="liste1"/>
    <w:basedOn w:val="Normal"/>
    <w:rsid w:val="007A3385"/>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46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6790904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89091049">
      <w:bodyDiv w:val="1"/>
      <w:marLeft w:val="0"/>
      <w:marRight w:val="0"/>
      <w:marTop w:val="0"/>
      <w:marBottom w:val="0"/>
      <w:divBdr>
        <w:top w:val="none" w:sz="0" w:space="0" w:color="auto"/>
        <w:left w:val="none" w:sz="0" w:space="0" w:color="auto"/>
        <w:bottom w:val="none" w:sz="0" w:space="0" w:color="auto"/>
        <w:right w:val="none" w:sz="0" w:space="0" w:color="auto"/>
      </w:divBdr>
    </w:div>
    <w:div w:id="1490900639">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199675832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669481FA-D491-4465-8CA6-19CCF927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2669</Words>
  <Characters>15216</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annie jain</cp:lastModifiedBy>
  <cp:revision>2</cp:revision>
  <cp:lastPrinted>2019-08-27T05:42:00Z</cp:lastPrinted>
  <dcterms:created xsi:type="dcterms:W3CDTF">2021-07-31T19:13:00Z</dcterms:created>
  <dcterms:modified xsi:type="dcterms:W3CDTF">2021-07-31T19:13:00Z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