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w:t>
      </w:r>
      <w:proofErr w:type="spellStart"/>
      <w:r w:rsidRPr="00256B74">
        <w:rPr>
          <w:rFonts w:ascii="Arial" w:hAnsi="Arial" w:cs="Arial"/>
        </w:rPr>
        <w:t>FabCo</w:t>
      </w:r>
      <w:proofErr w:type="spellEnd"/>
      <w:r w:rsidRPr="00256B74">
        <w:rPr>
          <w:rFonts w:ascii="Arial" w:hAnsi="Arial" w:cs="Arial"/>
        </w:rPr>
        <w:t xml:space="preserve">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F52B35" w:rsidRDefault="00256B74" w:rsidP="0093467C">
      <w:pPr>
        <w:pStyle w:val="AODocTxt"/>
        <w:numPr>
          <w:ilvl w:val="0"/>
          <w:numId w:val="15"/>
        </w:numPr>
        <w:spacing w:before="0" w:line="240" w:lineRule="auto"/>
        <w:ind w:left="426"/>
        <w:rPr>
          <w:rFonts w:ascii="Arial" w:hAnsi="Arial" w:cs="Arial"/>
          <w:highlight w:val="yellow"/>
        </w:rPr>
      </w:pPr>
      <w:r w:rsidRPr="00F52B35">
        <w:rPr>
          <w:rFonts w:ascii="Arial" w:hAnsi="Arial" w:cs="Arial"/>
          <w:highlight w:val="yellow"/>
        </w:rPr>
        <w:t xml:space="preserve">Yes, if other creditors owed at least </w:t>
      </w:r>
      <w:r w:rsidR="005D6642" w:rsidRPr="00F52B35">
        <w:rPr>
          <w:rFonts w:ascii="Arial" w:hAnsi="Arial" w:cs="Arial"/>
          <w:highlight w:val="yellow"/>
        </w:rPr>
        <w:t>US</w:t>
      </w:r>
      <w:r w:rsidRPr="00F52B35">
        <w:rPr>
          <w:rFonts w:ascii="Arial" w:hAnsi="Arial" w:cs="Arial"/>
          <w:highlight w:val="yellow"/>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Pr="00A76C0F" w:rsidRDefault="0093467C" w:rsidP="0093467C">
      <w:pPr>
        <w:pStyle w:val="AODocTxt"/>
        <w:numPr>
          <w:ilvl w:val="0"/>
          <w:numId w:val="13"/>
        </w:numPr>
        <w:spacing w:before="0" w:line="240" w:lineRule="auto"/>
        <w:ind w:left="426"/>
        <w:rPr>
          <w:rFonts w:ascii="Arial" w:hAnsi="Arial" w:cs="Arial"/>
          <w:highlight w:val="yellow"/>
        </w:rPr>
      </w:pPr>
      <w:r w:rsidRPr="00A76C0F">
        <w:rPr>
          <w:rFonts w:ascii="Arial" w:hAnsi="Arial" w:cs="Arial"/>
          <w:highlight w:val="yellow"/>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MNO Corp, which owns all of XYZ Corp’s shares</w:t>
      </w:r>
      <w:r>
        <w:rPr>
          <w:rFonts w:ascii="Arial" w:hAnsi="Arial" w:cs="Arial"/>
        </w:rPr>
        <w:t>.</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F52B35" w:rsidRDefault="00223917" w:rsidP="00223917">
      <w:pPr>
        <w:pStyle w:val="AODocTxt"/>
        <w:numPr>
          <w:ilvl w:val="0"/>
          <w:numId w:val="16"/>
        </w:numPr>
        <w:spacing w:before="0" w:line="240" w:lineRule="auto"/>
        <w:ind w:left="426"/>
        <w:rPr>
          <w:rFonts w:ascii="Arial" w:hAnsi="Arial" w:cs="Arial"/>
          <w:highlight w:val="yellow"/>
        </w:rPr>
      </w:pPr>
      <w:r w:rsidRPr="00F52B35">
        <w:rPr>
          <w:rFonts w:ascii="Arial" w:hAnsi="Arial" w:cs="Arial"/>
          <w:highlight w:val="yellow"/>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 xml:space="preserve">Both (a) </w:t>
      </w:r>
      <w:r w:rsidR="00A3165E">
        <w:rPr>
          <w:rFonts w:ascii="Arial" w:hAnsi="Arial" w:cs="Arial"/>
        </w:rPr>
        <w:t>and</w:t>
      </w:r>
      <w:r w:rsidRPr="00160679">
        <w:rPr>
          <w:rFonts w:ascii="Arial" w:hAnsi="Arial" w:cs="Arial"/>
        </w:rPr>
        <w:t xml:space="preserve"> (c)</w:t>
      </w:r>
      <w:r w:rsidR="00A3165E">
        <w:rPr>
          <w:rFonts w:ascii="Arial" w:hAnsi="Arial" w:cs="Arial"/>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915943" w:rsidRDefault="00160679" w:rsidP="00A3165E">
      <w:pPr>
        <w:pStyle w:val="AODocTxt"/>
        <w:numPr>
          <w:ilvl w:val="0"/>
          <w:numId w:val="18"/>
        </w:numPr>
        <w:spacing w:before="0" w:line="240" w:lineRule="auto"/>
        <w:ind w:left="426"/>
        <w:rPr>
          <w:rFonts w:ascii="Arial" w:hAnsi="Arial" w:cs="Arial"/>
          <w:highlight w:val="yellow"/>
        </w:rPr>
      </w:pPr>
      <w:r w:rsidRPr="00915943">
        <w:rPr>
          <w:rFonts w:ascii="Arial" w:hAnsi="Arial" w:cs="Arial"/>
          <w:highlight w:val="yellow"/>
        </w:rPr>
        <w:t xml:space="preserve">Both (b) </w:t>
      </w:r>
      <w:r w:rsidR="00A3165E" w:rsidRPr="00915943">
        <w:rPr>
          <w:rFonts w:ascii="Arial" w:hAnsi="Arial" w:cs="Arial"/>
          <w:highlight w:val="yellow"/>
        </w:rPr>
        <w:t>and</w:t>
      </w:r>
      <w:r w:rsidRPr="00915943">
        <w:rPr>
          <w:rFonts w:ascii="Arial" w:hAnsi="Arial" w:cs="Arial"/>
          <w:highlight w:val="yellow"/>
        </w:rPr>
        <w:t xml:space="preserve"> (c)</w:t>
      </w:r>
      <w:r w:rsidR="00A3165E" w:rsidRPr="00915943">
        <w:rPr>
          <w:rFonts w:ascii="Arial" w:hAnsi="Arial" w:cs="Arial"/>
          <w:highlight w:val="yellow"/>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Pr="00A917E3" w:rsidRDefault="006B3571" w:rsidP="006B3571">
      <w:pPr>
        <w:pStyle w:val="AODocTxt"/>
        <w:numPr>
          <w:ilvl w:val="0"/>
          <w:numId w:val="20"/>
        </w:numPr>
        <w:spacing w:before="0" w:line="240" w:lineRule="auto"/>
        <w:ind w:left="426"/>
        <w:rPr>
          <w:rFonts w:ascii="Arial" w:hAnsi="Arial" w:cs="Arial"/>
          <w:highlight w:val="yellow"/>
        </w:rPr>
      </w:pPr>
      <w:r w:rsidRPr="00A917E3">
        <w:rPr>
          <w:rFonts w:ascii="Arial" w:hAnsi="Arial" w:cs="Arial"/>
          <w:highlight w:val="yellow"/>
        </w:rPr>
        <w:t>The clause is triggered by the bankruptcy filing of a third party, not the debtor.</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A917E3" w:rsidRDefault="002D6789" w:rsidP="002D6789">
      <w:pPr>
        <w:pStyle w:val="AODocTxt"/>
        <w:numPr>
          <w:ilvl w:val="0"/>
          <w:numId w:val="22"/>
        </w:numPr>
        <w:spacing w:before="0" w:line="240" w:lineRule="auto"/>
        <w:ind w:left="426"/>
        <w:rPr>
          <w:rFonts w:ascii="Arial" w:hAnsi="Arial" w:cs="Arial"/>
          <w:highlight w:val="yellow"/>
        </w:rPr>
      </w:pPr>
      <w:r w:rsidRPr="00A917E3">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555088" w:rsidRDefault="002D78C5" w:rsidP="002D78C5">
      <w:pPr>
        <w:pStyle w:val="AODocTxt"/>
        <w:numPr>
          <w:ilvl w:val="0"/>
          <w:numId w:val="24"/>
        </w:numPr>
        <w:spacing w:before="0" w:line="240" w:lineRule="auto"/>
        <w:ind w:left="426"/>
        <w:rPr>
          <w:rFonts w:ascii="Arial" w:hAnsi="Arial" w:cs="Arial"/>
          <w:highlight w:val="yellow"/>
        </w:rPr>
      </w:pPr>
      <w:r w:rsidRPr="00555088">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EC6FF0" w:rsidRDefault="006245E3" w:rsidP="006245E3">
      <w:pPr>
        <w:pStyle w:val="AODocTxt"/>
        <w:numPr>
          <w:ilvl w:val="0"/>
          <w:numId w:val="26"/>
        </w:numPr>
        <w:spacing w:before="0" w:line="240" w:lineRule="auto"/>
        <w:ind w:left="426"/>
        <w:rPr>
          <w:rFonts w:ascii="Arial" w:hAnsi="Arial" w:cs="Arial"/>
          <w:highlight w:val="yellow"/>
        </w:rPr>
      </w:pPr>
      <w:r w:rsidRPr="00EC6FF0">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173E27" w:rsidRDefault="000C4C5B" w:rsidP="000C4C5B">
      <w:pPr>
        <w:pStyle w:val="AODocTxt"/>
        <w:numPr>
          <w:ilvl w:val="0"/>
          <w:numId w:val="28"/>
        </w:numPr>
        <w:spacing w:before="0" w:line="240" w:lineRule="auto"/>
        <w:ind w:left="426"/>
        <w:rPr>
          <w:rFonts w:ascii="Arial" w:hAnsi="Arial" w:cs="Arial"/>
          <w:highlight w:val="yellow"/>
        </w:rPr>
      </w:pPr>
      <w:r w:rsidRPr="00173E27">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0E121BA8" w:rsidR="00DF158F" w:rsidRPr="00173E27" w:rsidRDefault="00DF158F" w:rsidP="00DF158F">
      <w:pPr>
        <w:pStyle w:val="AODocTxt"/>
        <w:numPr>
          <w:ilvl w:val="0"/>
          <w:numId w:val="30"/>
        </w:numPr>
        <w:spacing w:before="0" w:line="240" w:lineRule="auto"/>
        <w:ind w:left="426"/>
        <w:rPr>
          <w:rFonts w:ascii="Arial" w:hAnsi="Arial" w:cs="Arial"/>
          <w:highlight w:val="yellow"/>
        </w:rPr>
      </w:pPr>
      <w:r w:rsidRPr="00173E27">
        <w:rPr>
          <w:rFonts w:ascii="Arial" w:hAnsi="Arial" w:cs="Arial"/>
          <w:highlight w:val="yellow"/>
        </w:rPr>
        <w:t>Prosecution of avoidance actions pursuant to section 544.</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2C0E1876" w:rsidR="009B07AD" w:rsidRDefault="00405D49" w:rsidP="00405D4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a corporation to be eligible to be a debtor in a US chapter 7 or 11 proceeding, the corporation should have a presence, place of business or any asset (which can include intangible) in the US.</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72DF9C53" w:rsidR="009B07AD" w:rsidRDefault="00DD730C" w:rsidP="00DD730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is no statutory definition of an executory contract. Instead, a definition is based on an amalgamation of various case precedents. On this basis, an executory contract is one where material obligations within that contract have not been performed as yet by both or more parties </w:t>
      </w:r>
      <w:r w:rsidR="007C47B7">
        <w:rPr>
          <w:rFonts w:ascii="Arial" w:hAnsi="Arial" w:cs="Arial"/>
          <w:color w:val="7B7B7B" w:themeColor="accent3" w:themeShade="BF"/>
          <w:sz w:val="22"/>
          <w:szCs w:val="22"/>
        </w:rPr>
        <w:t xml:space="preserve">(not just one party) </w:t>
      </w:r>
      <w:r>
        <w:rPr>
          <w:rFonts w:ascii="Arial" w:hAnsi="Arial" w:cs="Arial"/>
          <w:color w:val="7B7B7B" w:themeColor="accent3" w:themeShade="BF"/>
          <w:sz w:val="22"/>
          <w:szCs w:val="22"/>
        </w:rPr>
        <w:t>to the contract.</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17AE2B11" w:rsidR="00C72848" w:rsidRDefault="00E80137" w:rsidP="00E801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priming lien is a security interest, given to a creditor providing debtor-in-possession financing to a debtor undergoing </w:t>
      </w:r>
      <w:r w:rsidR="004C48A3">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 xml:space="preserve">hapter 11 bankruptcy, over the estate or assets of a debtor, on a senior ranking or </w:t>
      </w:r>
      <w:proofErr w:type="spellStart"/>
      <w:r>
        <w:rPr>
          <w:rFonts w:ascii="Arial" w:hAnsi="Arial" w:cs="Arial"/>
          <w:color w:val="7B7B7B" w:themeColor="accent3" w:themeShade="BF"/>
          <w:sz w:val="22"/>
          <w:szCs w:val="22"/>
          <w:lang w:val="en-GB"/>
        </w:rPr>
        <w:t>pari</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passu</w:t>
      </w:r>
      <w:proofErr w:type="spellEnd"/>
      <w:r>
        <w:rPr>
          <w:rFonts w:ascii="Arial" w:hAnsi="Arial" w:cs="Arial"/>
          <w:color w:val="7B7B7B" w:themeColor="accent3" w:themeShade="BF"/>
          <w:sz w:val="22"/>
          <w:szCs w:val="22"/>
          <w:lang w:val="en-GB"/>
        </w:rPr>
        <w:t xml:space="preserve"> basis to other secured creditors with </w:t>
      </w:r>
      <w:r w:rsidR="007C47B7">
        <w:rPr>
          <w:rFonts w:ascii="Arial" w:hAnsi="Arial" w:cs="Arial"/>
          <w:color w:val="7B7B7B" w:themeColor="accent3" w:themeShade="BF"/>
          <w:sz w:val="22"/>
          <w:szCs w:val="22"/>
          <w:lang w:val="en-GB"/>
        </w:rPr>
        <w:t xml:space="preserve">pre-existing </w:t>
      </w:r>
      <w:r>
        <w:rPr>
          <w:rFonts w:ascii="Arial" w:hAnsi="Arial" w:cs="Arial"/>
          <w:color w:val="7B7B7B" w:themeColor="accent3" w:themeShade="BF"/>
          <w:sz w:val="22"/>
          <w:szCs w:val="22"/>
          <w:lang w:val="en-GB"/>
        </w:rPr>
        <w:t>security interests over the same estate or assets of the debtor. A priming lien is granted by a court and will depend on whether the esta</w:t>
      </w:r>
      <w:r w:rsidR="007C47B7">
        <w:rPr>
          <w:rFonts w:ascii="Arial" w:hAnsi="Arial" w:cs="Arial"/>
          <w:color w:val="7B7B7B" w:themeColor="accent3" w:themeShade="BF"/>
          <w:sz w:val="22"/>
          <w:szCs w:val="22"/>
          <w:lang w:val="en-GB"/>
        </w:rPr>
        <w:t xml:space="preserve">te has any unencumbered assets – </w:t>
      </w:r>
      <w:r>
        <w:rPr>
          <w:rFonts w:ascii="Arial" w:hAnsi="Arial" w:cs="Arial"/>
          <w:color w:val="7B7B7B" w:themeColor="accent3" w:themeShade="BF"/>
          <w:sz w:val="22"/>
          <w:szCs w:val="22"/>
          <w:lang w:val="en-GB"/>
        </w:rPr>
        <w:t>failing</w:t>
      </w:r>
      <w:r w:rsidR="007C47B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the court considers that financing cannot be obtained by the debtor without a priming lien. </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 xml:space="preserve">In voting on a plan of reorganization, which </w:t>
      </w:r>
      <w:proofErr w:type="gramStart"/>
      <w:r w:rsidRPr="00777C53">
        <w:rPr>
          <w:rFonts w:ascii="Arial" w:hAnsi="Arial" w:cs="Arial"/>
        </w:rPr>
        <w:t>class(</w:t>
      </w:r>
      <w:proofErr w:type="gramEnd"/>
      <w:r w:rsidRPr="00777C53">
        <w:rPr>
          <w:rFonts w:ascii="Arial" w:hAnsi="Arial" w:cs="Arial"/>
        </w:rPr>
        <w:t>es) of creditors are (i)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96A8396" w14:textId="78CA6A1B" w:rsidR="009954B2" w:rsidRDefault="003049EC" w:rsidP="003049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plan of reorganization is approved by creditors (holding in aggregate at least two-thirds of value in claims against the debtor) in a simple majority vote of creditors. In this context, (i) the unimpaired class is deemed to accept the plan; (ii) the class of creditors that receive nothing under the plan are deemed to reject the plan; and (iii) the impaired class of creditors </w:t>
      </w:r>
      <w:r w:rsidR="007C47B7">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permitted to vote on the plan. </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27D8A4BF" w14:textId="78A44B49" w:rsidR="00787BCC" w:rsidRDefault="004C48A3" w:rsidP="004C48A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stay is automatic once a chapter 11 proceeding is filed whereas stays are not automatic in chapter 15 proceedings, as they are only granted after the foreign main proceedings are granted recognition by the court, and in any case </w:t>
      </w:r>
      <w:r w:rsidR="007C47B7">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limited </w:t>
      </w:r>
      <w:r w:rsidR="007C47B7">
        <w:rPr>
          <w:rFonts w:ascii="Arial" w:hAnsi="Arial" w:cs="Arial"/>
          <w:color w:val="7B7B7B" w:themeColor="accent3" w:themeShade="BF"/>
          <w:sz w:val="22"/>
          <w:szCs w:val="22"/>
          <w:lang w:val="en-GB"/>
        </w:rPr>
        <w:t xml:space="preserve">in reach </w:t>
      </w:r>
      <w:r>
        <w:rPr>
          <w:rFonts w:ascii="Arial" w:hAnsi="Arial" w:cs="Arial"/>
          <w:color w:val="7B7B7B" w:themeColor="accent3" w:themeShade="BF"/>
          <w:sz w:val="22"/>
          <w:szCs w:val="22"/>
          <w:lang w:val="en-GB"/>
        </w:rPr>
        <w:t>to the</w:t>
      </w:r>
      <w:r w:rsidR="007C47B7">
        <w:rPr>
          <w:rFonts w:ascii="Arial" w:hAnsi="Arial" w:cs="Arial"/>
          <w:color w:val="7B7B7B" w:themeColor="accent3" w:themeShade="BF"/>
          <w:sz w:val="22"/>
          <w:szCs w:val="22"/>
          <w:lang w:val="en-GB"/>
        </w:rPr>
        <w:t xml:space="preserve"> debtors’</w:t>
      </w:r>
      <w:r>
        <w:rPr>
          <w:rFonts w:ascii="Arial" w:hAnsi="Arial" w:cs="Arial"/>
          <w:color w:val="7B7B7B" w:themeColor="accent3" w:themeShade="BF"/>
          <w:sz w:val="22"/>
          <w:szCs w:val="22"/>
          <w:lang w:val="en-GB"/>
        </w:rPr>
        <w:t xml:space="preserve"> assets</w:t>
      </w:r>
      <w:r w:rsidR="007C47B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that are in the US. Chap</w:t>
      </w:r>
      <w:r w:rsidR="007C47B7">
        <w:rPr>
          <w:rFonts w:ascii="Arial" w:hAnsi="Arial" w:cs="Arial"/>
          <w:color w:val="7B7B7B" w:themeColor="accent3" w:themeShade="BF"/>
          <w:sz w:val="22"/>
          <w:szCs w:val="22"/>
          <w:lang w:val="en-GB"/>
        </w:rPr>
        <w:t>ter 15 proceedings also empower</w:t>
      </w:r>
      <w:r>
        <w:rPr>
          <w:rFonts w:ascii="Arial" w:hAnsi="Arial" w:cs="Arial"/>
          <w:color w:val="7B7B7B" w:themeColor="accent3" w:themeShade="BF"/>
          <w:sz w:val="22"/>
          <w:szCs w:val="22"/>
          <w:lang w:val="en-GB"/>
        </w:rPr>
        <w:t xml:space="preserve"> a court to grant interim stays while the recognition of a foreign main proceeding is pending</w:t>
      </w:r>
      <w:r w:rsidR="007C47B7">
        <w:rPr>
          <w:rFonts w:ascii="Arial" w:hAnsi="Arial" w:cs="Arial"/>
          <w:color w:val="7B7B7B" w:themeColor="accent3" w:themeShade="BF"/>
          <w:sz w:val="22"/>
          <w:szCs w:val="22"/>
          <w:lang w:val="en-GB"/>
        </w:rPr>
        <w:t xml:space="preserve"> which is a feature that is not available, nor necessary in chapter 11 proceedings</w:t>
      </w:r>
      <w:r>
        <w:rPr>
          <w:rFonts w:ascii="Arial" w:hAnsi="Arial" w:cs="Arial"/>
          <w:color w:val="7B7B7B" w:themeColor="accent3" w:themeShade="BF"/>
          <w:sz w:val="22"/>
          <w:szCs w:val="22"/>
          <w:lang w:val="en-GB"/>
        </w:rPr>
        <w:t xml:space="preserve">. </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7D32F358" w14:textId="77777777" w:rsidR="007C47B7" w:rsidRDefault="007C47B7" w:rsidP="002A37BB">
      <w:pPr>
        <w:jc w:val="both"/>
        <w:rPr>
          <w:rFonts w:ascii="Arial" w:hAnsi="Arial" w:cs="Arial"/>
          <w:color w:val="7B7B7B" w:themeColor="accent3" w:themeShade="BF"/>
          <w:sz w:val="22"/>
          <w:szCs w:val="22"/>
          <w:lang w:val="en-GB"/>
        </w:rPr>
      </w:pPr>
    </w:p>
    <w:p w14:paraId="4024A332" w14:textId="548D3FEE" w:rsidR="00544127" w:rsidRPr="002A37BB" w:rsidRDefault="004377A9" w:rsidP="002A37BB">
      <w:pPr>
        <w:jc w:val="both"/>
        <w:rPr>
          <w:rFonts w:ascii="Arial" w:hAnsi="Arial" w:cs="Arial"/>
          <w:sz w:val="22"/>
          <w:szCs w:val="22"/>
        </w:rPr>
      </w:pPr>
      <w:r>
        <w:rPr>
          <w:rFonts w:ascii="Arial" w:hAnsi="Arial" w:cs="Arial"/>
          <w:color w:val="7B7B7B" w:themeColor="accent3" w:themeShade="BF"/>
          <w:sz w:val="22"/>
          <w:szCs w:val="22"/>
          <w:lang w:val="en-GB"/>
        </w:rPr>
        <w:t>In the case of Delaware corporations, directors have a fiduciary duty to act in the best interests of the corporation, to owe their loyalty to the corporation</w:t>
      </w:r>
      <w:r w:rsidR="00EB1558">
        <w:rPr>
          <w:rFonts w:ascii="Arial" w:hAnsi="Arial" w:cs="Arial"/>
          <w:color w:val="7B7B7B" w:themeColor="accent3" w:themeShade="BF"/>
          <w:sz w:val="22"/>
          <w:szCs w:val="22"/>
          <w:lang w:val="en-GB"/>
        </w:rPr>
        <w:t xml:space="preserve"> and a duty of care to take decisions on the basis of reasonable information available to them. These duties are owed to the corporation’s shareholders and the corporation itself but not to creditors. This position does not change including when the corporation is near insolvency, or even when it is insolvent.</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4EFC7AB1" w14:textId="77777777" w:rsidR="001E152E" w:rsidRDefault="001E152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US Supreme Court held in </w:t>
      </w:r>
      <w:r>
        <w:rPr>
          <w:rFonts w:ascii="Arial" w:hAnsi="Arial" w:cs="Arial"/>
          <w:i/>
          <w:color w:val="7B7B7B" w:themeColor="accent3" w:themeShade="BF"/>
          <w:sz w:val="22"/>
          <w:szCs w:val="22"/>
          <w:lang w:val="en-GB"/>
        </w:rPr>
        <w:t xml:space="preserve">Bullard v Blue Hills Bank </w:t>
      </w:r>
      <w:r>
        <w:rPr>
          <w:rFonts w:ascii="Arial" w:hAnsi="Arial" w:cs="Arial"/>
          <w:color w:val="7B7B7B" w:themeColor="accent3" w:themeShade="BF"/>
          <w:sz w:val="22"/>
          <w:szCs w:val="22"/>
          <w:lang w:val="en-GB"/>
        </w:rPr>
        <w:t xml:space="preserve">that a bankruptcy court may enter a final order on the basis that it resolves a discrete dispute (rather than disposing of all issues, as would be the case in non-bankruptcy proceedings) and that such a final order is then appealable. </w:t>
      </w:r>
    </w:p>
    <w:p w14:paraId="3F1675F6" w14:textId="77777777" w:rsidR="001E152E" w:rsidRDefault="001E152E" w:rsidP="002A37BB">
      <w:pPr>
        <w:jc w:val="both"/>
        <w:rPr>
          <w:rFonts w:ascii="Arial" w:hAnsi="Arial" w:cs="Arial"/>
          <w:color w:val="7B7B7B" w:themeColor="accent3" w:themeShade="BF"/>
          <w:sz w:val="22"/>
          <w:szCs w:val="22"/>
          <w:lang w:val="en-GB"/>
        </w:rPr>
      </w:pPr>
    </w:p>
    <w:p w14:paraId="1979504B" w14:textId="7EDD2D98" w:rsidR="001E152E" w:rsidRDefault="001E152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Bankruptcy court appeals are heard by district courts however, appeals can also be heard by a Bankruptcy Appellate Panel, depending on the circuit in question. Any further appeal would be to the relevant and applicable circuit court of appeals. Only sparingly would an appeal be a court of appeals directly (assuming the court of appeals agrees to accept), namely when the bankruptcy or district court is of the view that a unique question of law needs resolving, or that an appeal would </w:t>
      </w:r>
      <w:r w:rsidR="001C4F6C">
        <w:rPr>
          <w:rFonts w:ascii="Arial" w:hAnsi="Arial" w:cs="Arial"/>
          <w:color w:val="7B7B7B" w:themeColor="accent3" w:themeShade="BF"/>
          <w:sz w:val="22"/>
          <w:szCs w:val="22"/>
          <w:lang w:val="en-GB"/>
        </w:rPr>
        <w:t>significantly progress the case.</w:t>
      </w:r>
    </w:p>
    <w:p w14:paraId="4FA8193E" w14:textId="77777777" w:rsidR="001C4F6C" w:rsidRDefault="001C4F6C" w:rsidP="002A37BB">
      <w:pPr>
        <w:jc w:val="both"/>
        <w:rPr>
          <w:rFonts w:ascii="Arial" w:hAnsi="Arial" w:cs="Arial"/>
          <w:color w:val="7B7B7B" w:themeColor="accent3" w:themeShade="BF"/>
          <w:sz w:val="22"/>
          <w:szCs w:val="22"/>
          <w:lang w:val="en-GB"/>
        </w:rPr>
      </w:pPr>
    </w:p>
    <w:p w14:paraId="062B2AC4" w14:textId="7E36B904" w:rsidR="001C4F6C" w:rsidRPr="001C4F6C" w:rsidRDefault="001C4F6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non-final orders, it is likely that a district court or Bankruptcy Appellate Panel would review both factual matters and interpretations of law, which form the basis of the appeal on a fresh basis.</w:t>
      </w:r>
    </w:p>
    <w:p w14:paraId="050B7D02" w14:textId="4BBC0B7B" w:rsidR="00D17FDC" w:rsidRDefault="00D17FDC" w:rsidP="0045501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12607A43" w14:textId="77777777" w:rsidR="00B0148A" w:rsidRDefault="00B0148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Claims for a</w:t>
      </w:r>
      <w:r w:rsidR="002A3AA3">
        <w:rPr>
          <w:rFonts w:ascii="Arial" w:hAnsi="Arial" w:cs="Arial"/>
          <w:color w:val="7B7B7B" w:themeColor="accent3" w:themeShade="BF"/>
          <w:sz w:val="22"/>
          <w:szCs w:val="22"/>
          <w:lang w:val="en-GB"/>
        </w:rPr>
        <w:t xml:space="preserve">voidance of preferences runs for </w:t>
      </w:r>
      <w:r>
        <w:rPr>
          <w:rFonts w:ascii="Arial" w:hAnsi="Arial" w:cs="Arial"/>
          <w:color w:val="7B7B7B" w:themeColor="accent3" w:themeShade="BF"/>
          <w:sz w:val="22"/>
          <w:szCs w:val="22"/>
          <w:lang w:val="en-GB"/>
        </w:rPr>
        <w:t xml:space="preserve">a period of </w:t>
      </w:r>
      <w:r w:rsidR="002A3AA3">
        <w:rPr>
          <w:rFonts w:ascii="Arial" w:hAnsi="Arial" w:cs="Arial"/>
          <w:color w:val="7B7B7B" w:themeColor="accent3" w:themeShade="BF"/>
          <w:sz w:val="22"/>
          <w:szCs w:val="22"/>
          <w:lang w:val="en-GB"/>
        </w:rPr>
        <w:t>90 days prior to the date of petition (</w:t>
      </w:r>
      <w:r>
        <w:rPr>
          <w:rFonts w:ascii="Arial" w:hAnsi="Arial" w:cs="Arial"/>
          <w:color w:val="7B7B7B" w:themeColor="accent3" w:themeShade="BF"/>
          <w:sz w:val="22"/>
          <w:szCs w:val="22"/>
          <w:lang w:val="en-GB"/>
        </w:rPr>
        <w:t xml:space="preserve">during which period </w:t>
      </w:r>
      <w:r w:rsidR="002A3AA3">
        <w:rPr>
          <w:rFonts w:ascii="Arial" w:hAnsi="Arial" w:cs="Arial"/>
          <w:color w:val="7B7B7B" w:themeColor="accent3" w:themeShade="BF"/>
          <w:sz w:val="22"/>
          <w:szCs w:val="22"/>
          <w:lang w:val="en-GB"/>
        </w:rPr>
        <w:t xml:space="preserve">a presumption of insolvency applies) or for 1 year for insiders of the debtor. In contrast, fraudulent conveyance runs for a period of 2 years prior to the date of petition. </w:t>
      </w:r>
    </w:p>
    <w:p w14:paraId="011D8D4A" w14:textId="77777777" w:rsidR="00B0148A" w:rsidRDefault="00B0148A" w:rsidP="002A37BB">
      <w:pPr>
        <w:jc w:val="both"/>
        <w:rPr>
          <w:rFonts w:ascii="Arial" w:hAnsi="Arial" w:cs="Arial"/>
          <w:color w:val="7B7B7B" w:themeColor="accent3" w:themeShade="BF"/>
          <w:sz w:val="22"/>
          <w:szCs w:val="22"/>
          <w:lang w:val="en-GB"/>
        </w:rPr>
      </w:pPr>
    </w:p>
    <w:p w14:paraId="4E83D7AF" w14:textId="32C2FE84" w:rsidR="00DF75F8" w:rsidRPr="002A37BB" w:rsidRDefault="00B0148A" w:rsidP="002A37BB">
      <w:pPr>
        <w:jc w:val="both"/>
        <w:rPr>
          <w:rFonts w:ascii="Arial" w:hAnsi="Arial" w:cs="Arial"/>
          <w:sz w:val="22"/>
          <w:szCs w:val="22"/>
          <w:lang w:val="en-GB"/>
        </w:rPr>
      </w:pPr>
      <w:r>
        <w:rPr>
          <w:rFonts w:ascii="Arial" w:hAnsi="Arial" w:cs="Arial"/>
          <w:color w:val="7B7B7B" w:themeColor="accent3" w:themeShade="BF"/>
          <w:sz w:val="22"/>
          <w:szCs w:val="22"/>
          <w:lang w:val="en-GB"/>
        </w:rPr>
        <w:t>In the case of avoiding a transfer for preference, the person receiving the transfer should be a creditor of the debtor at the time. If the person was not a creditor at the time, the transfer may be recoverable as a fraudulent conveyance instead.</w:t>
      </w:r>
    </w:p>
    <w:p w14:paraId="6407022F" w14:textId="37973A33" w:rsidR="00C87E0A" w:rsidRDefault="00C87E0A" w:rsidP="00455018">
      <w:pPr>
        <w:jc w:val="both"/>
        <w:rPr>
          <w:rFonts w:ascii="Arial" w:hAnsi="Arial" w:cs="Arial"/>
          <w:color w:val="808080" w:themeColor="background1" w:themeShade="80"/>
          <w:sz w:val="22"/>
          <w:szCs w:val="22"/>
          <w:lang w:val="en-GB"/>
        </w:rPr>
      </w:pPr>
    </w:p>
    <w:p w14:paraId="7DAADE6C" w14:textId="0309C20F" w:rsidR="00B0148A" w:rsidRDefault="00B0148A" w:rsidP="00455018">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Under section 548, a fraudulent conveyance involves a transfer by the debtor “with the actual intent to….defraud any entity to which the debtor was or became…indebted”. This intent may be demonstrated a number of ways, as exemplified by various case law on fraud. In a constructive fraudulent conveyance, no actual fraudulent intent is required as all that needs to be demonstrated is that the debtor received less than the equivalent in value in a transfer, along with one other requirement as laid out in section 548.</w:t>
      </w: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03481D9E" w14:textId="017E59C9" w:rsidR="005E6076" w:rsidRDefault="00CF32D7"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purposes of chapter 15, a US bankruptcy court determines a foreign proceeding as either main or non-main proceeding on the basis of the debtor’s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interests, which may be established in a variety of ways, such as jurisdiction of incorporation</w:t>
      </w:r>
      <w:r w:rsidR="00C40440">
        <w:rPr>
          <w:rFonts w:ascii="Arial" w:hAnsi="Arial" w:cs="Arial"/>
          <w:color w:val="7B7B7B" w:themeColor="accent3" w:themeShade="BF"/>
          <w:sz w:val="22"/>
          <w:szCs w:val="22"/>
          <w:lang w:val="en-GB"/>
        </w:rPr>
        <w:t xml:space="preserve"> (the main presumption)</w:t>
      </w:r>
      <w:r>
        <w:rPr>
          <w:rFonts w:ascii="Arial" w:hAnsi="Arial" w:cs="Arial"/>
          <w:color w:val="7B7B7B" w:themeColor="accent3" w:themeShade="BF"/>
          <w:sz w:val="22"/>
          <w:szCs w:val="22"/>
          <w:lang w:val="en-GB"/>
        </w:rPr>
        <w:t>, place of headquarters, where its assets are primarily based or where most of its affected creditors are located.</w:t>
      </w:r>
    </w:p>
    <w:p w14:paraId="5FE7B574" w14:textId="77777777" w:rsidR="006F1957" w:rsidRDefault="006F1957" w:rsidP="005E6076">
      <w:pPr>
        <w:jc w:val="both"/>
        <w:rPr>
          <w:rFonts w:ascii="Arial" w:hAnsi="Arial" w:cs="Arial"/>
          <w:color w:val="7B7B7B" w:themeColor="accent3" w:themeShade="BF"/>
          <w:sz w:val="22"/>
          <w:szCs w:val="22"/>
          <w:lang w:val="en-GB"/>
        </w:rPr>
      </w:pPr>
    </w:p>
    <w:p w14:paraId="57290B5D" w14:textId="2117F0C1" w:rsidR="006F1957" w:rsidRPr="002A37BB" w:rsidRDefault="006F1957" w:rsidP="005E6076">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any case, the determination of a debtor’s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interests should be objectively ascertainable. Equally, a debtor’s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 can also be rejected on the basis that a US court considers mala fide intention was involved in manipulating the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w:t>
      </w:r>
      <w:r w:rsidR="00C40440">
        <w:rPr>
          <w:rFonts w:ascii="Arial" w:hAnsi="Arial" w:cs="Arial"/>
          <w:color w:val="7B7B7B" w:themeColor="accent3" w:themeShade="BF"/>
          <w:sz w:val="22"/>
          <w:szCs w:val="22"/>
          <w:lang w:val="en-GB"/>
        </w:rPr>
        <w:t xml:space="preserve">, such as under the circumstances following the conclusion of the </w:t>
      </w:r>
      <w:r w:rsidR="00C40440">
        <w:rPr>
          <w:rFonts w:ascii="Arial" w:hAnsi="Arial" w:cs="Arial"/>
          <w:i/>
          <w:color w:val="7B7B7B" w:themeColor="accent3" w:themeShade="BF"/>
          <w:sz w:val="22"/>
          <w:szCs w:val="22"/>
          <w:lang w:val="en-GB"/>
        </w:rPr>
        <w:t xml:space="preserve">Bear Stearns </w:t>
      </w:r>
      <w:r w:rsidR="00C40440">
        <w:rPr>
          <w:rFonts w:ascii="Arial" w:hAnsi="Arial" w:cs="Arial"/>
          <w:color w:val="7B7B7B" w:themeColor="accent3" w:themeShade="BF"/>
          <w:sz w:val="22"/>
          <w:szCs w:val="22"/>
          <w:lang w:val="en-GB"/>
        </w:rPr>
        <w:t>case</w:t>
      </w:r>
      <w:r>
        <w:rPr>
          <w:rFonts w:ascii="Arial" w:hAnsi="Arial" w:cs="Arial"/>
          <w:color w:val="7B7B7B" w:themeColor="accent3" w:themeShade="BF"/>
          <w:sz w:val="22"/>
          <w:szCs w:val="22"/>
          <w:lang w:val="en-GB"/>
        </w:rPr>
        <w:t>.</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(i)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16955A49" w14:textId="77777777" w:rsidR="009B60D0" w:rsidRDefault="009B60D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a chapter 11 petition being filed by Rental Corporation, an automatic stay becomes effective therefore </w:t>
      </w:r>
    </w:p>
    <w:p w14:paraId="198B8AFE" w14:textId="77777777" w:rsidR="009B60D0" w:rsidRDefault="009B60D0" w:rsidP="002A37BB">
      <w:pPr>
        <w:jc w:val="both"/>
        <w:rPr>
          <w:rFonts w:ascii="Arial" w:hAnsi="Arial" w:cs="Arial"/>
          <w:color w:val="7B7B7B" w:themeColor="accent3" w:themeShade="BF"/>
          <w:sz w:val="22"/>
          <w:szCs w:val="22"/>
          <w:lang w:val="en-GB"/>
        </w:rPr>
      </w:pPr>
    </w:p>
    <w:p w14:paraId="195FF496" w14:textId="77777777" w:rsidR="009B60D0" w:rsidRDefault="009B60D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w:t>
      </w: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DOJ investigation would continue as is because the automatic stay that comes into place under chapter 11 does not apply to regulatory investigations as led by the DOJ; </w:t>
      </w:r>
    </w:p>
    <w:p w14:paraId="4F3E8DC3" w14:textId="77777777" w:rsidR="009B60D0" w:rsidRDefault="009B60D0" w:rsidP="002A37BB">
      <w:pPr>
        <w:jc w:val="both"/>
        <w:rPr>
          <w:rFonts w:ascii="Arial" w:hAnsi="Arial" w:cs="Arial"/>
          <w:color w:val="7B7B7B" w:themeColor="accent3" w:themeShade="BF"/>
          <w:sz w:val="22"/>
          <w:szCs w:val="22"/>
          <w:lang w:val="en-GB"/>
        </w:rPr>
      </w:pPr>
    </w:p>
    <w:p w14:paraId="536AABB3" w14:textId="3F09E50A" w:rsidR="009B60D0" w:rsidRDefault="009B60D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(ii) the securities class action litigation would be stayed pursuant to the automatic stay put in place, as the securities class action litigation appears to be a pre-petition claim; </w:t>
      </w:r>
    </w:p>
    <w:p w14:paraId="2F8C3BEB" w14:textId="77777777" w:rsidR="009B60D0" w:rsidRDefault="009B60D0" w:rsidP="002A37BB">
      <w:pPr>
        <w:jc w:val="both"/>
        <w:rPr>
          <w:rFonts w:ascii="Arial" w:hAnsi="Arial" w:cs="Arial"/>
          <w:color w:val="7B7B7B" w:themeColor="accent3" w:themeShade="BF"/>
          <w:sz w:val="22"/>
          <w:szCs w:val="22"/>
          <w:lang w:val="en-GB"/>
        </w:rPr>
      </w:pPr>
    </w:p>
    <w:p w14:paraId="79A481C7" w14:textId="414D1549" w:rsidR="00EB4E83" w:rsidRDefault="009B60D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the delinquent leases </w:t>
      </w:r>
      <w:r w:rsidR="00EB4E83">
        <w:rPr>
          <w:rFonts w:ascii="Arial" w:hAnsi="Arial" w:cs="Arial"/>
          <w:color w:val="7B7B7B" w:themeColor="accent3" w:themeShade="BF"/>
          <w:sz w:val="22"/>
          <w:szCs w:val="22"/>
          <w:lang w:val="en-GB"/>
        </w:rPr>
        <w:t>represent possible creditor claims by the applicable lessors, and therefore the automatic stay would apply to termination of the leases which would result in possession or control of Rental Corporation’s property, since to do otherwise would cause irreparable harm to the estate of a business based on sub-leasing property to clients while the leases have not expired</w:t>
      </w:r>
      <w:r>
        <w:rPr>
          <w:rFonts w:ascii="Arial" w:hAnsi="Arial" w:cs="Arial"/>
          <w:color w:val="7B7B7B" w:themeColor="accent3" w:themeShade="BF"/>
          <w:sz w:val="22"/>
          <w:szCs w:val="22"/>
          <w:lang w:val="en-GB"/>
        </w:rPr>
        <w:t xml:space="preserve">; and </w:t>
      </w:r>
    </w:p>
    <w:p w14:paraId="079F9FB7" w14:textId="77777777" w:rsidR="00EB4E83" w:rsidRDefault="00EB4E83" w:rsidP="002A37BB">
      <w:pPr>
        <w:jc w:val="both"/>
        <w:rPr>
          <w:rFonts w:ascii="Arial" w:hAnsi="Arial" w:cs="Arial"/>
          <w:color w:val="7B7B7B" w:themeColor="accent3" w:themeShade="BF"/>
          <w:sz w:val="22"/>
          <w:szCs w:val="22"/>
          <w:lang w:val="en-GB"/>
        </w:rPr>
      </w:pPr>
    </w:p>
    <w:p w14:paraId="0D37BBBB" w14:textId="08C99247" w:rsidR="002F75A3" w:rsidRPr="002A37BB" w:rsidRDefault="009B60D0"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(iv) </w:t>
      </w: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credit facility</w:t>
      </w:r>
      <w:r w:rsidR="00EB4E83">
        <w:rPr>
          <w:rFonts w:ascii="Arial" w:hAnsi="Arial" w:cs="Arial"/>
          <w:color w:val="7B7B7B" w:themeColor="accent3" w:themeShade="BF"/>
          <w:sz w:val="22"/>
          <w:szCs w:val="22"/>
          <w:lang w:val="en-GB"/>
        </w:rPr>
        <w:t xml:space="preserve"> also represents a possible creditor claim by the applicable lenders, and therefore the automatic stay would apply to repayments under the credit facility,</w:t>
      </w:r>
      <w:r>
        <w:rPr>
          <w:rFonts w:ascii="Arial" w:hAnsi="Arial" w:cs="Arial"/>
          <w:color w:val="7B7B7B" w:themeColor="accent3" w:themeShade="BF"/>
          <w:sz w:val="22"/>
          <w:szCs w:val="22"/>
          <w:lang w:val="en-GB"/>
        </w:rPr>
        <w:t xml:space="preserve"> </w:t>
      </w:r>
      <w:r w:rsidR="00EB4E83">
        <w:rPr>
          <w:rFonts w:ascii="Arial" w:hAnsi="Arial" w:cs="Arial"/>
          <w:color w:val="7B7B7B" w:themeColor="accent3" w:themeShade="BF"/>
          <w:sz w:val="22"/>
          <w:szCs w:val="22"/>
          <w:lang w:val="en-GB"/>
        </w:rPr>
        <w:t>while the claims of all creditors are compiled and ranked according to their priority</w:t>
      </w:r>
      <w:r>
        <w:rPr>
          <w:rFonts w:ascii="Arial" w:hAnsi="Arial" w:cs="Arial"/>
          <w:color w:val="7B7B7B" w:themeColor="accent3" w:themeShade="BF"/>
          <w:sz w:val="22"/>
          <w:szCs w:val="22"/>
          <w:lang w:val="en-GB"/>
        </w:rPr>
        <w:t xml:space="preserve">.  </w:t>
      </w:r>
    </w:p>
    <w:p w14:paraId="41AC42D7" w14:textId="5B09C93A" w:rsidR="00805305" w:rsidRDefault="00805305"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122A5A" w14:textId="5118DF71" w:rsidR="0012224B" w:rsidRDefault="00EB4E83"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lessors can apply to </w:t>
      </w:r>
      <w:r w:rsidR="00FE05E8">
        <w:rPr>
          <w:rFonts w:ascii="Arial" w:hAnsi="Arial" w:cs="Arial"/>
          <w:color w:val="7B7B7B" w:themeColor="accent3" w:themeShade="BF"/>
          <w:sz w:val="22"/>
          <w:szCs w:val="22"/>
          <w:lang w:val="en-GB"/>
        </w:rPr>
        <w:t>have the automatic stay lifted through a lift-stay or relief from stay motion on one of the following grounds:</w:t>
      </w:r>
    </w:p>
    <w:p w14:paraId="4240C825" w14:textId="77777777" w:rsidR="00FE05E8" w:rsidRDefault="00FE05E8" w:rsidP="0012224B">
      <w:pPr>
        <w:jc w:val="both"/>
        <w:rPr>
          <w:rFonts w:ascii="Arial" w:hAnsi="Arial" w:cs="Arial"/>
          <w:color w:val="7B7B7B" w:themeColor="accent3" w:themeShade="BF"/>
          <w:sz w:val="22"/>
          <w:szCs w:val="22"/>
          <w:lang w:val="en-GB"/>
        </w:rPr>
      </w:pPr>
    </w:p>
    <w:p w14:paraId="0F57D9C7" w14:textId="439080E6" w:rsidR="00FE05E8" w:rsidRDefault="00FE05E8"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Rental Corporation has no equity in the leased properties and therefore they are irrelevant for the reorganization (subject to the outcome of a valuation report), unless the debtor is able to show that the reorganization can be undertaken in enough time to avoid the</w:t>
      </w:r>
      <w:r w:rsidR="0098794C">
        <w:rPr>
          <w:rFonts w:ascii="Arial" w:hAnsi="Arial" w:cs="Arial"/>
          <w:color w:val="7B7B7B" w:themeColor="accent3" w:themeShade="BF"/>
          <w:sz w:val="22"/>
          <w:szCs w:val="22"/>
          <w:lang w:val="en-GB"/>
        </w:rPr>
        <w:t xml:space="preserve"> need for the</w:t>
      </w:r>
      <w:r>
        <w:rPr>
          <w:rFonts w:ascii="Arial" w:hAnsi="Arial" w:cs="Arial"/>
          <w:color w:val="7B7B7B" w:themeColor="accent3" w:themeShade="BF"/>
          <w:sz w:val="22"/>
          <w:szCs w:val="22"/>
          <w:lang w:val="en-GB"/>
        </w:rPr>
        <w:t xml:space="preserve"> stay </w:t>
      </w:r>
      <w:r w:rsidR="0098794C">
        <w:rPr>
          <w:rFonts w:ascii="Arial" w:hAnsi="Arial" w:cs="Arial"/>
          <w:color w:val="7B7B7B" w:themeColor="accent3" w:themeShade="BF"/>
          <w:sz w:val="22"/>
          <w:szCs w:val="22"/>
          <w:lang w:val="en-GB"/>
        </w:rPr>
        <w:t xml:space="preserve">to be </w:t>
      </w:r>
      <w:r>
        <w:rPr>
          <w:rFonts w:ascii="Arial" w:hAnsi="Arial" w:cs="Arial"/>
          <w:color w:val="7B7B7B" w:themeColor="accent3" w:themeShade="BF"/>
          <w:sz w:val="22"/>
          <w:szCs w:val="22"/>
          <w:lang w:val="en-GB"/>
        </w:rPr>
        <w:t>lifted;</w:t>
      </w:r>
    </w:p>
    <w:p w14:paraId="384A5407" w14:textId="77777777" w:rsidR="00FE05E8" w:rsidRDefault="00FE05E8" w:rsidP="0012224B">
      <w:pPr>
        <w:jc w:val="both"/>
        <w:rPr>
          <w:rFonts w:ascii="Arial" w:hAnsi="Arial" w:cs="Arial"/>
          <w:color w:val="7B7B7B" w:themeColor="accent3" w:themeShade="BF"/>
          <w:sz w:val="22"/>
          <w:szCs w:val="22"/>
          <w:lang w:val="en-GB"/>
        </w:rPr>
      </w:pPr>
    </w:p>
    <w:p w14:paraId="58DE895E" w14:textId="3B248E6D" w:rsidR="00FE05E8" w:rsidRDefault="00FE05E8"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the lessor arguing that there is insufficient protection of its interest in the leased properties since their value may decline during the bankruptcy proceedings, and therefore the lessor recovering less than full recovery (again subject to a valuation report), unless the debtor is able to show that the property is of value that may be lost to the business, which should be protected against </w:t>
      </w:r>
      <w:r w:rsidR="0098794C">
        <w:rPr>
          <w:rFonts w:ascii="Arial" w:hAnsi="Arial" w:cs="Arial"/>
          <w:color w:val="7B7B7B" w:themeColor="accent3" w:themeShade="BF"/>
          <w:sz w:val="22"/>
          <w:szCs w:val="22"/>
          <w:lang w:val="en-GB"/>
        </w:rPr>
        <w:t>by the lessor submitting</w:t>
      </w:r>
      <w:r>
        <w:rPr>
          <w:rFonts w:ascii="Arial" w:hAnsi="Arial" w:cs="Arial"/>
          <w:color w:val="7B7B7B" w:themeColor="accent3" w:themeShade="BF"/>
          <w:sz w:val="22"/>
          <w:szCs w:val="22"/>
          <w:lang w:val="en-GB"/>
        </w:rPr>
        <w:t xml:space="preserve"> something of equivalent value; or</w:t>
      </w:r>
    </w:p>
    <w:p w14:paraId="3E0BEBCC" w14:textId="77777777" w:rsidR="00FE05E8" w:rsidRDefault="00FE05E8" w:rsidP="0012224B">
      <w:pPr>
        <w:jc w:val="both"/>
        <w:rPr>
          <w:rFonts w:ascii="Arial" w:hAnsi="Arial" w:cs="Arial"/>
          <w:color w:val="7B7B7B" w:themeColor="accent3" w:themeShade="BF"/>
          <w:sz w:val="22"/>
          <w:szCs w:val="22"/>
          <w:lang w:val="en-GB"/>
        </w:rPr>
      </w:pPr>
    </w:p>
    <w:p w14:paraId="4A4B01F7" w14:textId="0478BF39" w:rsidR="00FE05E8" w:rsidRPr="00FE05E8" w:rsidRDefault="00FE05E8"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(iii) </w:t>
      </w: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property remains subject to the stay despite 90 days having passed without a reorganization plan</w:t>
      </w:r>
      <w:r w:rsidR="0098794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nor has Rental Corporation made any payments on the delinquent leases. </w:t>
      </w:r>
    </w:p>
    <w:p w14:paraId="5C7C0778" w14:textId="64893652" w:rsidR="00BD4A58" w:rsidRDefault="00BD4A58"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 xml:space="preserve">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w:t>
      </w:r>
      <w:r w:rsidRPr="00861B58">
        <w:rPr>
          <w:rFonts w:ascii="Arial" w:hAnsi="Arial" w:cs="Arial"/>
        </w:rPr>
        <w:t>Corporation is concerned it cannot afford the clean-up that may be required and is seeking to sell its business. Home Corporation is int</w:t>
      </w:r>
      <w:bookmarkStart w:id="1" w:name="_GoBack"/>
      <w:bookmarkEnd w:id="1"/>
      <w:r w:rsidRPr="00861B58">
        <w:rPr>
          <w:rFonts w:ascii="Arial" w:hAnsi="Arial" w:cs="Arial"/>
        </w:rPr>
        <w: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0F5C1C68" w14:textId="77777777" w:rsidR="0025658D" w:rsidRDefault="00575779"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sale under section 363 of the Bankruptcy Code enables Paint Corporation to sell its business under court approval to a strategic purchaser such as Home Corporation. Through section 363, Home Corporation would be able to continue operating the business in the ordinary course, while the bankruptcy proceedings continued, and which could result in high purchase price for Paint Corporation’s business, as compared to a sale outside of section 363. </w:t>
      </w:r>
    </w:p>
    <w:p w14:paraId="1D3C5F1D" w14:textId="77777777" w:rsidR="0025658D" w:rsidRDefault="0025658D" w:rsidP="002A37BB">
      <w:pPr>
        <w:autoSpaceDE w:val="0"/>
        <w:autoSpaceDN w:val="0"/>
        <w:adjustRightInd w:val="0"/>
        <w:jc w:val="both"/>
        <w:rPr>
          <w:rFonts w:ascii="Arial" w:hAnsi="Arial" w:cs="Arial"/>
          <w:color w:val="7B7B7B" w:themeColor="accent3" w:themeShade="BF"/>
          <w:sz w:val="22"/>
          <w:szCs w:val="22"/>
          <w:lang w:val="en-GB"/>
        </w:rPr>
      </w:pPr>
    </w:p>
    <w:p w14:paraId="626FA5C6" w14:textId="249517DE" w:rsidR="002D3473" w:rsidRDefault="0025658D"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particular reason for the high purchase price is that a section 363 sale is free and clear of creditor interests (such as the claim that could arise from the investigation being led by the Environmental Protection Agency), and even more so because Home Corporation could potentially keep the valuable portion of Paint Corporation’s business (on the basis that it is a good faith purchaser), if the sale were to be overturned on appeal. </w:t>
      </w:r>
    </w:p>
    <w:p w14:paraId="06C17572" w14:textId="77777777" w:rsidR="0025658D" w:rsidRDefault="0025658D" w:rsidP="002A37BB">
      <w:pPr>
        <w:autoSpaceDE w:val="0"/>
        <w:autoSpaceDN w:val="0"/>
        <w:adjustRightInd w:val="0"/>
        <w:jc w:val="both"/>
        <w:rPr>
          <w:rFonts w:ascii="Arial" w:hAnsi="Arial" w:cs="Arial"/>
          <w:color w:val="7B7B7B" w:themeColor="accent3" w:themeShade="BF"/>
          <w:sz w:val="22"/>
          <w:szCs w:val="22"/>
          <w:lang w:val="en-GB"/>
        </w:rPr>
      </w:pPr>
    </w:p>
    <w:p w14:paraId="46C34911" w14:textId="450F76FD" w:rsidR="0025658D" w:rsidRDefault="0025658D"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facilitate the sale of the business to Home Corporation, Paint Corporation can look into assigning the distribution contracts, if they are deemed as executory contracts (which appears likely as obligations may be outstanding on the side of both Paint Corporation and the relevant home improvement stores), on the basis that Home Corporation provides sufficient assurances that it would continue to perform under the distribution contracts assigned to it.</w:t>
      </w:r>
    </w:p>
    <w:p w14:paraId="7D54A1D3" w14:textId="77777777" w:rsidR="0025658D" w:rsidRDefault="0025658D" w:rsidP="002A37BB">
      <w:pPr>
        <w:autoSpaceDE w:val="0"/>
        <w:autoSpaceDN w:val="0"/>
        <w:adjustRightInd w:val="0"/>
        <w:jc w:val="both"/>
        <w:rPr>
          <w:rFonts w:ascii="Arial" w:hAnsi="Arial" w:cs="Arial"/>
          <w:color w:val="7B7B7B" w:themeColor="accent3" w:themeShade="BF"/>
          <w:sz w:val="22"/>
          <w:szCs w:val="22"/>
          <w:lang w:val="en-GB"/>
        </w:rPr>
      </w:pPr>
    </w:p>
    <w:p w14:paraId="32D10B4C" w14:textId="4EAB73CE" w:rsidR="0025658D" w:rsidRPr="0025658D" w:rsidRDefault="0025658D"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sale to Home Corporation is also likely to be effective as it may satisfy the two prong test for sale of the business in the ordinary course of business, as Home Corporation may appeal to both the vertical (creditor expectations) and horizontal (similar business to Paint Corporation) dimensions. </w:t>
      </w: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7DEEE" w14:textId="77777777" w:rsidR="00E77399" w:rsidRDefault="00E77399" w:rsidP="00241B44">
      <w:r>
        <w:separator/>
      </w:r>
    </w:p>
  </w:endnote>
  <w:endnote w:type="continuationSeparator" w:id="0">
    <w:p w14:paraId="1CBD67AE" w14:textId="77777777" w:rsidR="00E77399" w:rsidRDefault="00E7739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25658D" w:rsidRPr="00FC7B47" w:rsidRDefault="0025658D"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25658D" w:rsidRPr="00FC7B47" w:rsidRDefault="0025658D"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409602822"/>
      <w:docPartObj>
        <w:docPartGallery w:val="Page Numbers (Bottom of Page)"/>
        <w:docPartUnique/>
      </w:docPartObj>
    </w:sdtPr>
    <w:sdtContent>
      <w:p w14:paraId="0A05F8FD" w14:textId="301381CC" w:rsidR="0025658D" w:rsidRPr="009B4976" w:rsidRDefault="0025658D" w:rsidP="0025658D">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861B58">
          <w:rPr>
            <w:rStyle w:val="PageNumber"/>
            <w:rFonts w:ascii="Arial" w:hAnsi="Arial" w:cs="Arial"/>
            <w:noProof/>
            <w:sz w:val="18"/>
            <w:szCs w:val="18"/>
          </w:rPr>
          <w:t>2</w:t>
        </w:r>
        <w:r w:rsidRPr="009B4976">
          <w:rPr>
            <w:rStyle w:val="PageNumber"/>
            <w:rFonts w:ascii="Arial" w:hAnsi="Arial" w:cs="Arial"/>
            <w:sz w:val="18"/>
            <w:szCs w:val="18"/>
          </w:rPr>
          <w:fldChar w:fldCharType="end"/>
        </w:r>
      </w:p>
    </w:sdtContent>
  </w:sdt>
  <w:p w14:paraId="30F05E79" w14:textId="7EF44F32" w:rsidR="0025658D" w:rsidRPr="009B4976" w:rsidRDefault="0025658D" w:rsidP="009B4976">
    <w:pPr>
      <w:pStyle w:val="Footer"/>
      <w:ind w:right="360"/>
      <w:rPr>
        <w:rFonts w:ascii="Arial" w:hAnsi="Arial" w:cs="Arial"/>
        <w:sz w:val="18"/>
        <w:szCs w:val="18"/>
        <w:lang w:val="en-GB"/>
      </w:rPr>
    </w:pPr>
    <w:r>
      <w:rPr>
        <w:rFonts w:ascii="Arial" w:hAnsi="Arial" w:cs="Arial"/>
        <w:sz w:val="18"/>
        <w:szCs w:val="18"/>
        <w:lang w:val="en-GB"/>
      </w:rPr>
      <w:t>202021IFU-395</w:t>
    </w:r>
    <w:r w:rsidRPr="009B4976">
      <w:rPr>
        <w:rFonts w:ascii="Arial" w:hAnsi="Arial" w:cs="Arial"/>
        <w:sz w:val="18"/>
        <w:szCs w:val="18"/>
        <w:lang w:val="en-GB"/>
      </w:rPr>
      <w:t>.assessment</w:t>
    </w:r>
    <w:r>
      <w:rPr>
        <w:rFonts w:ascii="Arial" w:hAnsi="Arial" w:cs="Arial"/>
        <w:sz w:val="18"/>
        <w:szCs w:val="18"/>
        <w:lang w:val="en-GB"/>
      </w:rPr>
      <w:t>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B94E" w14:textId="77777777" w:rsidR="00E77399" w:rsidRDefault="00E77399" w:rsidP="00241B44">
      <w:r>
        <w:separator/>
      </w:r>
    </w:p>
  </w:footnote>
  <w:footnote w:type="continuationSeparator" w:id="0">
    <w:p w14:paraId="2136C01A" w14:textId="77777777" w:rsidR="00E77399" w:rsidRDefault="00E77399"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24"/>
  </w:num>
  <w:num w:numId="4">
    <w:abstractNumId w:val="21"/>
  </w:num>
  <w:num w:numId="5">
    <w:abstractNumId w:val="15"/>
  </w:num>
  <w:num w:numId="6">
    <w:abstractNumId w:val="0"/>
  </w:num>
  <w:num w:numId="7">
    <w:abstractNumId w:val="11"/>
  </w:num>
  <w:num w:numId="8">
    <w:abstractNumId w:val="1"/>
  </w:num>
  <w:num w:numId="9">
    <w:abstractNumId w:val="5"/>
  </w:num>
  <w:num w:numId="10">
    <w:abstractNumId w:val="6"/>
  </w:num>
  <w:num w:numId="11">
    <w:abstractNumId w:val="16"/>
  </w:num>
  <w:num w:numId="12">
    <w:abstractNumId w:val="25"/>
  </w:num>
  <w:num w:numId="13">
    <w:abstractNumId w:val="31"/>
  </w:num>
  <w:num w:numId="14">
    <w:abstractNumId w:val="7"/>
  </w:num>
  <w:num w:numId="15">
    <w:abstractNumId w:val="8"/>
  </w:num>
  <w:num w:numId="16">
    <w:abstractNumId w:val="12"/>
  </w:num>
  <w:num w:numId="17">
    <w:abstractNumId w:val="30"/>
  </w:num>
  <w:num w:numId="18">
    <w:abstractNumId w:val="18"/>
  </w:num>
  <w:num w:numId="19">
    <w:abstractNumId w:val="23"/>
  </w:num>
  <w:num w:numId="20">
    <w:abstractNumId w:val="4"/>
  </w:num>
  <w:num w:numId="21">
    <w:abstractNumId w:val="10"/>
  </w:num>
  <w:num w:numId="22">
    <w:abstractNumId w:val="26"/>
  </w:num>
  <w:num w:numId="23">
    <w:abstractNumId w:val="2"/>
  </w:num>
  <w:num w:numId="24">
    <w:abstractNumId w:val="20"/>
  </w:num>
  <w:num w:numId="25">
    <w:abstractNumId w:val="3"/>
  </w:num>
  <w:num w:numId="26">
    <w:abstractNumId w:val="14"/>
  </w:num>
  <w:num w:numId="27">
    <w:abstractNumId w:val="22"/>
  </w:num>
  <w:num w:numId="28">
    <w:abstractNumId w:val="19"/>
  </w:num>
  <w:num w:numId="29">
    <w:abstractNumId w:val="13"/>
  </w:num>
  <w:num w:numId="30">
    <w:abstractNumId w:val="32"/>
  </w:num>
  <w:num w:numId="31">
    <w:abstractNumId w:val="9"/>
  </w:num>
  <w:num w:numId="32">
    <w:abstractNumId w:val="29"/>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73E27"/>
    <w:rsid w:val="00180548"/>
    <w:rsid w:val="00180AC4"/>
    <w:rsid w:val="00180CCE"/>
    <w:rsid w:val="0018267A"/>
    <w:rsid w:val="00182779"/>
    <w:rsid w:val="001830DF"/>
    <w:rsid w:val="001966D9"/>
    <w:rsid w:val="001A7E9A"/>
    <w:rsid w:val="001B0F70"/>
    <w:rsid w:val="001B5016"/>
    <w:rsid w:val="001C45FC"/>
    <w:rsid w:val="001C4F6C"/>
    <w:rsid w:val="001D0469"/>
    <w:rsid w:val="001D4862"/>
    <w:rsid w:val="001E152E"/>
    <w:rsid w:val="001E25B9"/>
    <w:rsid w:val="001E49E0"/>
    <w:rsid w:val="001E7B5A"/>
    <w:rsid w:val="001F7412"/>
    <w:rsid w:val="00202DFE"/>
    <w:rsid w:val="0020725B"/>
    <w:rsid w:val="002110F1"/>
    <w:rsid w:val="00223917"/>
    <w:rsid w:val="0024116D"/>
    <w:rsid w:val="00241B44"/>
    <w:rsid w:val="00241FA3"/>
    <w:rsid w:val="00245EFB"/>
    <w:rsid w:val="0025386E"/>
    <w:rsid w:val="0025658D"/>
    <w:rsid w:val="00256B74"/>
    <w:rsid w:val="002638B0"/>
    <w:rsid w:val="0026647A"/>
    <w:rsid w:val="002668D3"/>
    <w:rsid w:val="0027299F"/>
    <w:rsid w:val="00284EBE"/>
    <w:rsid w:val="002903A7"/>
    <w:rsid w:val="0029433F"/>
    <w:rsid w:val="00294829"/>
    <w:rsid w:val="0029690F"/>
    <w:rsid w:val="00297C8A"/>
    <w:rsid w:val="002A2A60"/>
    <w:rsid w:val="002A37BB"/>
    <w:rsid w:val="002A3AA3"/>
    <w:rsid w:val="002B1C45"/>
    <w:rsid w:val="002C13C8"/>
    <w:rsid w:val="002C3547"/>
    <w:rsid w:val="002D0021"/>
    <w:rsid w:val="002D299D"/>
    <w:rsid w:val="002D3473"/>
    <w:rsid w:val="002D6789"/>
    <w:rsid w:val="002D78C5"/>
    <w:rsid w:val="002F1956"/>
    <w:rsid w:val="002F3440"/>
    <w:rsid w:val="002F75A3"/>
    <w:rsid w:val="00301D2B"/>
    <w:rsid w:val="00303C2F"/>
    <w:rsid w:val="003049EC"/>
    <w:rsid w:val="003144EF"/>
    <w:rsid w:val="00326292"/>
    <w:rsid w:val="00326415"/>
    <w:rsid w:val="00330937"/>
    <w:rsid w:val="00330F31"/>
    <w:rsid w:val="00331593"/>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C53FE"/>
    <w:rsid w:val="003D0A6D"/>
    <w:rsid w:val="003E0B16"/>
    <w:rsid w:val="003E67D1"/>
    <w:rsid w:val="00404329"/>
    <w:rsid w:val="00405D49"/>
    <w:rsid w:val="00405DC1"/>
    <w:rsid w:val="00415F1F"/>
    <w:rsid w:val="0042108F"/>
    <w:rsid w:val="004248F6"/>
    <w:rsid w:val="004273B0"/>
    <w:rsid w:val="00430FED"/>
    <w:rsid w:val="00434A8C"/>
    <w:rsid w:val="00437297"/>
    <w:rsid w:val="004377A9"/>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C48A3"/>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331CA"/>
    <w:rsid w:val="00537970"/>
    <w:rsid w:val="00540E3A"/>
    <w:rsid w:val="00544127"/>
    <w:rsid w:val="005463A9"/>
    <w:rsid w:val="00553EB2"/>
    <w:rsid w:val="00555088"/>
    <w:rsid w:val="00560534"/>
    <w:rsid w:val="0056391B"/>
    <w:rsid w:val="005650E2"/>
    <w:rsid w:val="00567AD7"/>
    <w:rsid w:val="00575779"/>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1957"/>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5C89"/>
    <w:rsid w:val="007C1FCC"/>
    <w:rsid w:val="007C47B7"/>
    <w:rsid w:val="007C6201"/>
    <w:rsid w:val="007D7C92"/>
    <w:rsid w:val="007E1154"/>
    <w:rsid w:val="007E6BA4"/>
    <w:rsid w:val="007F12AB"/>
    <w:rsid w:val="007F41F8"/>
    <w:rsid w:val="007F659B"/>
    <w:rsid w:val="0080454E"/>
    <w:rsid w:val="00804C32"/>
    <w:rsid w:val="00805305"/>
    <w:rsid w:val="00806302"/>
    <w:rsid w:val="00807119"/>
    <w:rsid w:val="0082483F"/>
    <w:rsid w:val="008279C0"/>
    <w:rsid w:val="00861B58"/>
    <w:rsid w:val="008723F3"/>
    <w:rsid w:val="00881DE6"/>
    <w:rsid w:val="008837A6"/>
    <w:rsid w:val="0089145D"/>
    <w:rsid w:val="008A4DF2"/>
    <w:rsid w:val="008A6CFE"/>
    <w:rsid w:val="008B5333"/>
    <w:rsid w:val="008B6223"/>
    <w:rsid w:val="008C66E0"/>
    <w:rsid w:val="008E3339"/>
    <w:rsid w:val="008F20FC"/>
    <w:rsid w:val="008F5FFE"/>
    <w:rsid w:val="00902FA7"/>
    <w:rsid w:val="00905A43"/>
    <w:rsid w:val="00912C79"/>
    <w:rsid w:val="00915943"/>
    <w:rsid w:val="00921B8C"/>
    <w:rsid w:val="0092565E"/>
    <w:rsid w:val="0093467C"/>
    <w:rsid w:val="00942123"/>
    <w:rsid w:val="00943BEE"/>
    <w:rsid w:val="0095207B"/>
    <w:rsid w:val="00962045"/>
    <w:rsid w:val="00980E61"/>
    <w:rsid w:val="0098794C"/>
    <w:rsid w:val="00991428"/>
    <w:rsid w:val="00992676"/>
    <w:rsid w:val="009954B2"/>
    <w:rsid w:val="00996691"/>
    <w:rsid w:val="009B0723"/>
    <w:rsid w:val="009B07AD"/>
    <w:rsid w:val="009B0883"/>
    <w:rsid w:val="009B15E2"/>
    <w:rsid w:val="009B4976"/>
    <w:rsid w:val="009B60D0"/>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48A8"/>
    <w:rsid w:val="00A76C0F"/>
    <w:rsid w:val="00A81029"/>
    <w:rsid w:val="00A917E3"/>
    <w:rsid w:val="00A95463"/>
    <w:rsid w:val="00A96489"/>
    <w:rsid w:val="00AA7BE3"/>
    <w:rsid w:val="00AB1B65"/>
    <w:rsid w:val="00AB2425"/>
    <w:rsid w:val="00AB685C"/>
    <w:rsid w:val="00AB6C2D"/>
    <w:rsid w:val="00AC08F7"/>
    <w:rsid w:val="00AC3839"/>
    <w:rsid w:val="00AC7082"/>
    <w:rsid w:val="00AD4BE8"/>
    <w:rsid w:val="00AF228E"/>
    <w:rsid w:val="00B0148A"/>
    <w:rsid w:val="00B016A8"/>
    <w:rsid w:val="00B10961"/>
    <w:rsid w:val="00B12612"/>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16C92"/>
    <w:rsid w:val="00C20AFE"/>
    <w:rsid w:val="00C22A25"/>
    <w:rsid w:val="00C35671"/>
    <w:rsid w:val="00C35B77"/>
    <w:rsid w:val="00C362AA"/>
    <w:rsid w:val="00C376EB"/>
    <w:rsid w:val="00C40440"/>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1035"/>
    <w:rsid w:val="00CE6E50"/>
    <w:rsid w:val="00CF2819"/>
    <w:rsid w:val="00CF32D7"/>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4420"/>
    <w:rsid w:val="00DD0802"/>
    <w:rsid w:val="00DD2E11"/>
    <w:rsid w:val="00DD730C"/>
    <w:rsid w:val="00DE03AF"/>
    <w:rsid w:val="00DE121C"/>
    <w:rsid w:val="00DE5357"/>
    <w:rsid w:val="00DE6633"/>
    <w:rsid w:val="00DF158F"/>
    <w:rsid w:val="00DF75F8"/>
    <w:rsid w:val="00DF7A3A"/>
    <w:rsid w:val="00E00C00"/>
    <w:rsid w:val="00E07C5A"/>
    <w:rsid w:val="00E15BA9"/>
    <w:rsid w:val="00E26E10"/>
    <w:rsid w:val="00E26E19"/>
    <w:rsid w:val="00E31DF3"/>
    <w:rsid w:val="00E450A4"/>
    <w:rsid w:val="00E506BE"/>
    <w:rsid w:val="00E55547"/>
    <w:rsid w:val="00E6302B"/>
    <w:rsid w:val="00E6452F"/>
    <w:rsid w:val="00E64F45"/>
    <w:rsid w:val="00E653A0"/>
    <w:rsid w:val="00E6742D"/>
    <w:rsid w:val="00E71CB0"/>
    <w:rsid w:val="00E77399"/>
    <w:rsid w:val="00E77C3D"/>
    <w:rsid w:val="00E80137"/>
    <w:rsid w:val="00E90991"/>
    <w:rsid w:val="00E909F0"/>
    <w:rsid w:val="00E90D47"/>
    <w:rsid w:val="00E93993"/>
    <w:rsid w:val="00E9597C"/>
    <w:rsid w:val="00EA0913"/>
    <w:rsid w:val="00EA5B00"/>
    <w:rsid w:val="00EB146B"/>
    <w:rsid w:val="00EB1558"/>
    <w:rsid w:val="00EB45AC"/>
    <w:rsid w:val="00EB4E83"/>
    <w:rsid w:val="00EC441F"/>
    <w:rsid w:val="00EC4755"/>
    <w:rsid w:val="00EC6FF0"/>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2B35"/>
    <w:rsid w:val="00F5524B"/>
    <w:rsid w:val="00F60538"/>
    <w:rsid w:val="00F61DD2"/>
    <w:rsid w:val="00F66AFF"/>
    <w:rsid w:val="00F71433"/>
    <w:rsid w:val="00F97C5B"/>
    <w:rsid w:val="00FA3D50"/>
    <w:rsid w:val="00FB7FBD"/>
    <w:rsid w:val="00FC374A"/>
    <w:rsid w:val="00FC43EC"/>
    <w:rsid w:val="00FC7AC7"/>
    <w:rsid w:val="00FC7B47"/>
    <w:rsid w:val="00FD035C"/>
    <w:rsid w:val="00FD1A35"/>
    <w:rsid w:val="00FD2EA4"/>
    <w:rsid w:val="00FD36C5"/>
    <w:rsid w:val="00FD6310"/>
    <w:rsid w:val="00FD7C7B"/>
    <w:rsid w:val="00FE05E8"/>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8696-4A7C-4449-9702-1DC80C42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20</cp:revision>
  <cp:lastPrinted>2019-08-27T05:42:00Z</cp:lastPrinted>
  <dcterms:created xsi:type="dcterms:W3CDTF">2020-08-30T16:04:00Z</dcterms:created>
  <dcterms:modified xsi:type="dcterms:W3CDTF">2021-07-31T16:20:00Z</dcterms:modified>
</cp:coreProperties>
</file>