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s-CO" w:eastAsia="es-CO"/>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FA97F7B" w:rsidR="0011473D" w:rsidRDefault="00C56B61"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478BFD8" w:rsidR="002638B0" w:rsidRPr="0013473C" w:rsidRDefault="00661556"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6"/>
          <w:szCs w:val="26"/>
          <w:lang w:val="en-GB"/>
        </w:rPr>
      </w:pPr>
      <w:r w:rsidRPr="0013473C">
        <w:rPr>
          <w:rFonts w:ascii="Arial" w:hAnsi="Arial" w:cs="Arial"/>
          <w:b/>
          <w:color w:val="000000" w:themeColor="text1"/>
          <w:sz w:val="26"/>
          <w:szCs w:val="26"/>
          <w:lang w:val="en-GB"/>
        </w:rPr>
        <w:t>CAYMAN ISLANDS</w:t>
      </w:r>
    </w:p>
    <w:p w14:paraId="43FD13D3" w14:textId="77777777" w:rsidR="00434A8C" w:rsidRPr="007C6201" w:rsidRDefault="00434A8C"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7E4DD5A" w14:textId="77777777" w:rsidR="006C5AFE" w:rsidRPr="00592F82" w:rsidRDefault="006C5AFE" w:rsidP="006C5AF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20CB975" w14:textId="77777777" w:rsidR="006C5AFE" w:rsidRPr="00592F82" w:rsidRDefault="006C5AFE" w:rsidP="006C5AFE">
      <w:pPr>
        <w:jc w:val="both"/>
        <w:rPr>
          <w:rFonts w:ascii="Arial" w:hAnsi="Arial" w:cs="Arial"/>
          <w:sz w:val="22"/>
          <w:szCs w:val="22"/>
          <w:lang w:val="en-GB"/>
        </w:rPr>
      </w:pPr>
    </w:p>
    <w:p w14:paraId="4D33AFB2" w14:textId="77777777" w:rsidR="006C5AFE" w:rsidRDefault="006C5AFE" w:rsidP="006C5AFE">
      <w:pPr>
        <w:jc w:val="both"/>
        <w:rPr>
          <w:rFonts w:ascii="Arial" w:hAnsi="Arial" w:cs="Arial"/>
          <w:b/>
          <w:sz w:val="22"/>
          <w:szCs w:val="22"/>
          <w:lang w:val="en-GB"/>
        </w:rPr>
      </w:pPr>
    </w:p>
    <w:p w14:paraId="52E8129C" w14:textId="77777777" w:rsidR="006C5AFE" w:rsidRPr="001E23FD" w:rsidRDefault="006C5AFE" w:rsidP="006C5AF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C1EC76F" w14:textId="77777777" w:rsidR="006C5AFE" w:rsidRPr="001E23FD" w:rsidRDefault="006C5AFE" w:rsidP="006C5AFE">
      <w:pPr>
        <w:jc w:val="both"/>
        <w:rPr>
          <w:rFonts w:ascii="Arial" w:hAnsi="Arial" w:cs="Arial"/>
          <w:b/>
          <w:sz w:val="22"/>
          <w:szCs w:val="22"/>
          <w:lang w:val="en-GB"/>
        </w:rPr>
      </w:pPr>
    </w:p>
    <w:p w14:paraId="33D5C238" w14:textId="77777777" w:rsidR="006C5AFE" w:rsidRPr="001E23FD" w:rsidRDefault="006C5AFE" w:rsidP="006C5AFE">
      <w:pPr>
        <w:jc w:val="both"/>
        <w:rPr>
          <w:rFonts w:ascii="Arial" w:hAnsi="Arial" w:cs="Arial"/>
          <w:sz w:val="22"/>
          <w:szCs w:val="22"/>
          <w:lang w:val="en-GB"/>
        </w:rPr>
      </w:pPr>
    </w:p>
    <w:p w14:paraId="2A88B077"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8E6A211" w14:textId="77777777" w:rsidR="006C5AFE" w:rsidRPr="001E23FD" w:rsidRDefault="006C5AFE" w:rsidP="006C5AFE">
      <w:pPr>
        <w:ind w:left="720" w:hanging="720"/>
        <w:jc w:val="both"/>
        <w:rPr>
          <w:rFonts w:ascii="Arial" w:hAnsi="Arial" w:cs="Arial"/>
          <w:sz w:val="22"/>
          <w:szCs w:val="22"/>
          <w:lang w:val="en-GB"/>
        </w:rPr>
      </w:pPr>
    </w:p>
    <w:p w14:paraId="22E4420A"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9C647A3" w14:textId="77777777" w:rsidR="006C5AFE" w:rsidRPr="001E23FD" w:rsidRDefault="006C5AFE" w:rsidP="006C5AFE">
      <w:pPr>
        <w:ind w:left="720" w:hanging="720"/>
        <w:jc w:val="both"/>
        <w:rPr>
          <w:rFonts w:ascii="Arial" w:hAnsi="Arial" w:cs="Arial"/>
          <w:sz w:val="22"/>
          <w:szCs w:val="22"/>
          <w:lang w:val="en-GB"/>
        </w:rPr>
      </w:pPr>
    </w:p>
    <w:p w14:paraId="36B6EF10"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2FE1128" w14:textId="77777777" w:rsidR="006C5AFE" w:rsidRPr="001E23FD" w:rsidRDefault="006C5AFE" w:rsidP="006C5AFE">
      <w:pPr>
        <w:ind w:left="720" w:hanging="720"/>
        <w:jc w:val="both"/>
        <w:rPr>
          <w:rFonts w:ascii="Arial" w:hAnsi="Arial" w:cs="Arial"/>
          <w:sz w:val="22"/>
          <w:szCs w:val="22"/>
          <w:lang w:val="en-GB"/>
        </w:rPr>
      </w:pPr>
    </w:p>
    <w:p w14:paraId="07E4E4EE" w14:textId="6C6BD83D"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32F372E" w14:textId="77777777" w:rsidR="006C5AFE" w:rsidRPr="001E23FD" w:rsidRDefault="006C5AFE" w:rsidP="006C5AFE">
      <w:pPr>
        <w:ind w:left="720" w:hanging="720"/>
        <w:jc w:val="both"/>
        <w:rPr>
          <w:rFonts w:ascii="Arial" w:hAnsi="Arial" w:cs="Arial"/>
          <w:sz w:val="22"/>
          <w:szCs w:val="22"/>
          <w:lang w:val="en-GB"/>
        </w:rPr>
      </w:pPr>
    </w:p>
    <w:p w14:paraId="7564CCCE"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711E6A9" w14:textId="77777777" w:rsidR="006C5AFE" w:rsidRPr="001E23FD" w:rsidRDefault="006C5AFE" w:rsidP="006C5AFE">
      <w:pPr>
        <w:ind w:left="720" w:hanging="720"/>
        <w:jc w:val="both"/>
        <w:rPr>
          <w:rFonts w:ascii="Arial" w:hAnsi="Arial" w:cs="Arial"/>
          <w:sz w:val="22"/>
          <w:szCs w:val="22"/>
          <w:lang w:val="en-GB"/>
        </w:rPr>
      </w:pPr>
    </w:p>
    <w:p w14:paraId="44CAA38E"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CF16756" w14:textId="77777777" w:rsidR="006C5AFE" w:rsidRPr="001E23FD" w:rsidRDefault="006C5AFE" w:rsidP="006C5AFE">
      <w:pPr>
        <w:ind w:left="720" w:hanging="720"/>
        <w:jc w:val="both"/>
        <w:rPr>
          <w:rFonts w:ascii="Arial" w:hAnsi="Arial" w:cs="Arial"/>
          <w:sz w:val="22"/>
          <w:szCs w:val="22"/>
          <w:lang w:val="en-GB"/>
        </w:rPr>
      </w:pPr>
    </w:p>
    <w:p w14:paraId="5EA5E58F" w14:textId="44162589" w:rsidR="004A2D83" w:rsidRPr="00592F82" w:rsidRDefault="006C5AFE" w:rsidP="006C5AF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Pr="00B02C56">
        <w:rPr>
          <w:rFonts w:ascii="Arial" w:hAnsi="Arial" w:cs="Arial"/>
          <w:b/>
          <w:bCs/>
          <w:sz w:val="22"/>
          <w:szCs w:val="22"/>
          <w:lang w:val="en-GB"/>
        </w:rPr>
        <w:t xml:space="preserve">7 </w:t>
      </w:r>
      <w:r w:rsidRPr="001E23FD">
        <w:rPr>
          <w:rFonts w:ascii="Arial" w:hAnsi="Arial" w:cs="Arial"/>
          <w:b/>
          <w:bCs/>
          <w:sz w:val="22"/>
          <w:szCs w:val="22"/>
          <w:lang w:val="en-GB"/>
        </w:rPr>
        <w:t>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17BBE0CF" w14:textId="50F2A90A" w:rsidR="00A26898" w:rsidRPr="00E177F0" w:rsidRDefault="00A26898" w:rsidP="00A26898">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1.1</w:t>
      </w:r>
    </w:p>
    <w:p w14:paraId="1DAC1A53" w14:textId="77777777" w:rsidR="00A26898" w:rsidRPr="00E177F0" w:rsidRDefault="00A26898" w:rsidP="00A26898">
      <w:pPr>
        <w:rPr>
          <w:rFonts w:ascii="Arial" w:hAnsi="Arial" w:cs="Arial"/>
          <w:b/>
          <w:bCs/>
          <w:sz w:val="22"/>
          <w:szCs w:val="22"/>
          <w:lang w:val="en-GB"/>
        </w:rPr>
      </w:pPr>
    </w:p>
    <w:p w14:paraId="6E7AB3AC" w14:textId="769D0A22" w:rsidR="00A26898" w:rsidRPr="00D06A87" w:rsidRDefault="00A26898" w:rsidP="00A26898">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744BBF4C" w14:textId="77777777" w:rsidR="00A26898" w:rsidRDefault="00A26898" w:rsidP="00A26898">
      <w:pPr>
        <w:rPr>
          <w:rFonts w:ascii="Arial" w:hAnsi="Arial" w:cs="Arial"/>
          <w:sz w:val="22"/>
          <w:szCs w:val="22"/>
          <w:lang w:val="en-GB"/>
        </w:rPr>
      </w:pPr>
    </w:p>
    <w:p w14:paraId="18F6C384" w14:textId="77777777" w:rsidR="00A26898" w:rsidRDefault="00A26898" w:rsidP="00A26898">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4DB77100" w14:textId="77777777" w:rsidR="00A26898" w:rsidRDefault="00A26898" w:rsidP="00A26898">
      <w:pPr>
        <w:rPr>
          <w:rFonts w:ascii="Arial" w:hAnsi="Arial" w:cs="Arial"/>
          <w:sz w:val="22"/>
          <w:szCs w:val="22"/>
          <w:lang w:val="en-GB"/>
        </w:rPr>
      </w:pPr>
    </w:p>
    <w:p w14:paraId="1176E2DF" w14:textId="76ECD5B5" w:rsidR="00A26898" w:rsidRDefault="00C24785" w:rsidP="00A65730">
      <w:pPr>
        <w:pStyle w:val="Prrafodelista"/>
        <w:numPr>
          <w:ilvl w:val="0"/>
          <w:numId w:val="3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incorporated in the Cayman Islands</w:t>
      </w:r>
      <w:r w:rsidR="00931FD7" w:rsidRPr="00A65730">
        <w:rPr>
          <w:rFonts w:ascii="Arial" w:hAnsi="Arial" w:cs="Arial"/>
          <w:sz w:val="22"/>
          <w:szCs w:val="22"/>
          <w:lang w:val="en-GB"/>
        </w:rPr>
        <w:t>.</w:t>
      </w:r>
    </w:p>
    <w:p w14:paraId="52AF0B0C" w14:textId="77777777" w:rsidR="00A65730" w:rsidRPr="00A65730" w:rsidRDefault="00A65730" w:rsidP="00A65730">
      <w:pPr>
        <w:rPr>
          <w:rFonts w:ascii="Arial" w:hAnsi="Arial" w:cs="Arial"/>
          <w:sz w:val="22"/>
          <w:szCs w:val="22"/>
          <w:lang w:val="en-GB"/>
        </w:rPr>
      </w:pPr>
    </w:p>
    <w:p w14:paraId="18EA3EA2" w14:textId="1011DA15" w:rsidR="00A26898" w:rsidRDefault="00C24785" w:rsidP="00A65730">
      <w:pPr>
        <w:pStyle w:val="Prrafodelista"/>
        <w:numPr>
          <w:ilvl w:val="0"/>
          <w:numId w:val="3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with property located in the Cayman Islands</w:t>
      </w:r>
      <w:r w:rsidR="00A46FE2" w:rsidRPr="00A65730">
        <w:rPr>
          <w:rFonts w:ascii="Arial" w:hAnsi="Arial" w:cs="Arial"/>
          <w:sz w:val="22"/>
          <w:szCs w:val="22"/>
          <w:lang w:val="en-GB"/>
        </w:rPr>
        <w:t>.</w:t>
      </w:r>
    </w:p>
    <w:p w14:paraId="79E6ACAF" w14:textId="77777777" w:rsidR="00A65730" w:rsidRPr="00A65730" w:rsidRDefault="00A65730" w:rsidP="00A65730">
      <w:pPr>
        <w:rPr>
          <w:rFonts w:ascii="Arial" w:hAnsi="Arial" w:cs="Arial"/>
          <w:sz w:val="22"/>
          <w:szCs w:val="22"/>
          <w:lang w:val="en-GB"/>
        </w:rPr>
      </w:pPr>
    </w:p>
    <w:p w14:paraId="6D719A7A" w14:textId="7D374B2F" w:rsidR="00A26898" w:rsidRDefault="00A00B76" w:rsidP="00A65730">
      <w:pPr>
        <w:pStyle w:val="Prrafodelista"/>
        <w:numPr>
          <w:ilvl w:val="0"/>
          <w:numId w:val="3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carrying on business in the Cayman Islands</w:t>
      </w:r>
      <w:r w:rsidR="00A46FE2" w:rsidRPr="00A65730">
        <w:rPr>
          <w:rFonts w:ascii="Arial" w:hAnsi="Arial" w:cs="Arial"/>
          <w:sz w:val="22"/>
          <w:szCs w:val="22"/>
          <w:lang w:val="en-GB"/>
        </w:rPr>
        <w:t>.</w:t>
      </w:r>
    </w:p>
    <w:p w14:paraId="21C88751" w14:textId="77777777" w:rsidR="00A65730" w:rsidRPr="00A65730" w:rsidRDefault="00A65730" w:rsidP="00A65730">
      <w:pPr>
        <w:rPr>
          <w:rFonts w:ascii="Arial" w:hAnsi="Arial" w:cs="Arial"/>
          <w:sz w:val="22"/>
          <w:szCs w:val="22"/>
          <w:lang w:val="en-GB"/>
        </w:rPr>
      </w:pPr>
    </w:p>
    <w:p w14:paraId="3A401B0E" w14:textId="0209C022" w:rsidR="00A26898" w:rsidRPr="00C2066F" w:rsidRDefault="00A00B76" w:rsidP="00A65730">
      <w:pPr>
        <w:pStyle w:val="Prrafodelista"/>
        <w:numPr>
          <w:ilvl w:val="0"/>
          <w:numId w:val="31"/>
        </w:numPr>
        <w:ind w:left="426"/>
        <w:rPr>
          <w:rFonts w:ascii="Arial" w:hAnsi="Arial" w:cs="Arial"/>
          <w:sz w:val="22"/>
          <w:szCs w:val="22"/>
          <w:highlight w:val="yellow"/>
          <w:lang w:val="en-GB"/>
        </w:rPr>
      </w:pPr>
      <w:r w:rsidRPr="00C2066F">
        <w:rPr>
          <w:rFonts w:ascii="Arial" w:hAnsi="Arial" w:cs="Arial"/>
          <w:sz w:val="22"/>
          <w:szCs w:val="22"/>
          <w:highlight w:val="yellow"/>
          <w:lang w:val="en-GB"/>
        </w:rPr>
        <w:t>a</w:t>
      </w:r>
      <w:r w:rsidR="00A26898" w:rsidRPr="00C2066F">
        <w:rPr>
          <w:rFonts w:ascii="Arial" w:hAnsi="Arial" w:cs="Arial"/>
          <w:sz w:val="22"/>
          <w:szCs w:val="22"/>
          <w:highlight w:val="yellow"/>
          <w:lang w:val="en-GB"/>
        </w:rPr>
        <w:t>ny of the above</w:t>
      </w:r>
      <w:r w:rsidR="00A46FE2" w:rsidRPr="00C2066F">
        <w:rPr>
          <w:rFonts w:ascii="Arial" w:hAnsi="Arial" w:cs="Arial"/>
          <w:sz w:val="22"/>
          <w:szCs w:val="22"/>
          <w:highlight w:val="yellow"/>
          <w:lang w:val="en-GB"/>
        </w:rPr>
        <w:t>.</w:t>
      </w:r>
    </w:p>
    <w:p w14:paraId="59EE93E0" w14:textId="77777777" w:rsidR="00A26898" w:rsidRDefault="00A26898" w:rsidP="00C55824">
      <w:pPr>
        <w:jc w:val="both"/>
        <w:rPr>
          <w:rFonts w:ascii="Arial" w:hAnsi="Arial" w:cs="Arial"/>
          <w:b/>
          <w:bCs/>
          <w:sz w:val="22"/>
          <w:szCs w:val="22"/>
        </w:rPr>
      </w:pPr>
    </w:p>
    <w:p w14:paraId="6FEC7620" w14:textId="59CCD0A0" w:rsidR="00A26898" w:rsidRPr="00B9639B" w:rsidRDefault="00A26898" w:rsidP="00A26898">
      <w:pPr>
        <w:jc w:val="both"/>
        <w:rPr>
          <w:rFonts w:ascii="Arial" w:hAnsi="Arial" w:cs="Arial"/>
          <w:b/>
          <w:bCs/>
          <w:sz w:val="22"/>
          <w:szCs w:val="22"/>
        </w:rPr>
      </w:pPr>
      <w:r w:rsidRPr="00B9639B">
        <w:rPr>
          <w:rFonts w:ascii="Arial" w:hAnsi="Arial" w:cs="Arial"/>
          <w:b/>
          <w:bCs/>
          <w:sz w:val="22"/>
          <w:szCs w:val="22"/>
        </w:rPr>
        <w:t>Question</w:t>
      </w:r>
      <w:r w:rsidR="00BC3A55">
        <w:rPr>
          <w:rFonts w:ascii="Arial" w:hAnsi="Arial" w:cs="Arial"/>
          <w:b/>
          <w:bCs/>
          <w:sz w:val="22"/>
          <w:szCs w:val="22"/>
        </w:rPr>
        <w:t xml:space="preserve"> 1.2</w:t>
      </w:r>
    </w:p>
    <w:p w14:paraId="5D7C92E6" w14:textId="77777777" w:rsidR="00A26898" w:rsidRDefault="00A26898" w:rsidP="00A26898">
      <w:pPr>
        <w:jc w:val="both"/>
        <w:rPr>
          <w:rFonts w:ascii="Arial" w:hAnsi="Arial" w:cs="Arial"/>
          <w:sz w:val="22"/>
          <w:szCs w:val="22"/>
        </w:rPr>
      </w:pPr>
    </w:p>
    <w:p w14:paraId="0F1C6357" w14:textId="2821A944" w:rsidR="00A26898" w:rsidRDefault="00A26898" w:rsidP="00A26898">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3855C4">
        <w:rPr>
          <w:rFonts w:ascii="Arial" w:hAnsi="Arial" w:cs="Arial"/>
          <w:sz w:val="22"/>
          <w:szCs w:val="22"/>
          <w:lang w:val="en-GB"/>
        </w:rPr>
        <w:t xml:space="preserve">is </w:t>
      </w:r>
      <w:r w:rsidRPr="005A2E18">
        <w:rPr>
          <w:rFonts w:ascii="Arial" w:hAnsi="Arial" w:cs="Arial"/>
          <w:b/>
          <w:bCs/>
          <w:sz w:val="22"/>
          <w:szCs w:val="22"/>
          <w:lang w:val="en-GB"/>
        </w:rPr>
        <w:t>not</w:t>
      </w:r>
      <w:r>
        <w:rPr>
          <w:rFonts w:ascii="Arial" w:hAnsi="Arial" w:cs="Arial"/>
          <w:sz w:val="22"/>
          <w:szCs w:val="22"/>
          <w:lang w:val="en-GB"/>
        </w:rPr>
        <w:t xml:space="preserve"> available in the Cayman Islands</w:t>
      </w:r>
      <w:r w:rsidR="00D06A87">
        <w:rPr>
          <w:rFonts w:ascii="Arial" w:hAnsi="Arial" w:cs="Arial"/>
          <w:sz w:val="22"/>
          <w:szCs w:val="22"/>
          <w:lang w:val="en-GB"/>
        </w:rPr>
        <w:t>?</w:t>
      </w:r>
    </w:p>
    <w:p w14:paraId="4F1BB5A7" w14:textId="77777777" w:rsidR="00A26898" w:rsidRDefault="00A26898" w:rsidP="00A26898">
      <w:pPr>
        <w:ind w:left="720" w:hanging="720"/>
        <w:rPr>
          <w:rFonts w:ascii="Arial" w:hAnsi="Arial" w:cs="Arial"/>
          <w:sz w:val="22"/>
          <w:szCs w:val="22"/>
          <w:lang w:val="en-GB"/>
        </w:rPr>
      </w:pPr>
    </w:p>
    <w:p w14:paraId="7514B895" w14:textId="6FBF3E17" w:rsidR="00A26898" w:rsidRDefault="00C41A0C" w:rsidP="003855C4">
      <w:pPr>
        <w:pStyle w:val="Prrafodelista"/>
        <w:numPr>
          <w:ilvl w:val="0"/>
          <w:numId w:val="32"/>
        </w:numPr>
        <w:ind w:left="426"/>
        <w:rPr>
          <w:rFonts w:ascii="Arial" w:hAnsi="Arial" w:cs="Arial"/>
          <w:sz w:val="22"/>
          <w:szCs w:val="22"/>
          <w:lang w:val="en-GB"/>
        </w:rPr>
      </w:pPr>
      <w:r w:rsidRPr="003855C4">
        <w:rPr>
          <w:rFonts w:ascii="Arial" w:hAnsi="Arial" w:cs="Arial"/>
          <w:sz w:val="22"/>
          <w:szCs w:val="22"/>
          <w:lang w:val="en-GB"/>
        </w:rPr>
        <w:t>Appointment of a receiver</w:t>
      </w:r>
      <w:r w:rsidR="00A46FE2" w:rsidRPr="003855C4">
        <w:rPr>
          <w:rFonts w:ascii="Arial" w:hAnsi="Arial" w:cs="Arial"/>
          <w:sz w:val="22"/>
          <w:szCs w:val="22"/>
          <w:lang w:val="en-GB"/>
        </w:rPr>
        <w:t>.</w:t>
      </w:r>
    </w:p>
    <w:p w14:paraId="16BDEDB2" w14:textId="77777777" w:rsidR="003855C4" w:rsidRPr="003855C4" w:rsidRDefault="003855C4" w:rsidP="003855C4">
      <w:pPr>
        <w:rPr>
          <w:rFonts w:ascii="Arial" w:hAnsi="Arial" w:cs="Arial"/>
          <w:sz w:val="22"/>
          <w:szCs w:val="22"/>
          <w:lang w:val="en-GB"/>
        </w:rPr>
      </w:pPr>
    </w:p>
    <w:p w14:paraId="36FA2211" w14:textId="0F548A87" w:rsidR="00A26898" w:rsidRPr="00624C92" w:rsidRDefault="00A26898" w:rsidP="003855C4">
      <w:pPr>
        <w:pStyle w:val="Prrafodelista"/>
        <w:numPr>
          <w:ilvl w:val="0"/>
          <w:numId w:val="32"/>
        </w:numPr>
        <w:ind w:left="426"/>
        <w:rPr>
          <w:rFonts w:ascii="Arial" w:hAnsi="Arial" w:cs="Arial"/>
          <w:sz w:val="22"/>
          <w:szCs w:val="22"/>
          <w:highlight w:val="yellow"/>
          <w:lang w:val="en-GB"/>
        </w:rPr>
      </w:pPr>
      <w:r w:rsidRPr="00624C92">
        <w:rPr>
          <w:rFonts w:ascii="Arial" w:hAnsi="Arial" w:cs="Arial"/>
          <w:sz w:val="22"/>
          <w:szCs w:val="22"/>
          <w:highlight w:val="yellow"/>
          <w:lang w:val="en-GB"/>
        </w:rPr>
        <w:t>Court</w:t>
      </w:r>
      <w:r w:rsidR="00A46FE2" w:rsidRPr="00624C92">
        <w:rPr>
          <w:rFonts w:ascii="Arial" w:hAnsi="Arial" w:cs="Arial"/>
          <w:sz w:val="22"/>
          <w:szCs w:val="22"/>
          <w:highlight w:val="yellow"/>
          <w:lang w:val="en-GB"/>
        </w:rPr>
        <w:t>-</w:t>
      </w:r>
      <w:r w:rsidRPr="00624C92">
        <w:rPr>
          <w:rFonts w:ascii="Arial" w:hAnsi="Arial" w:cs="Arial"/>
          <w:sz w:val="22"/>
          <w:szCs w:val="22"/>
          <w:highlight w:val="yellow"/>
          <w:lang w:val="en-GB"/>
        </w:rPr>
        <w:t>supervised liquidation</w:t>
      </w:r>
      <w:r w:rsidR="00A46FE2" w:rsidRPr="00624C92">
        <w:rPr>
          <w:rFonts w:ascii="Arial" w:hAnsi="Arial" w:cs="Arial"/>
          <w:sz w:val="22"/>
          <w:szCs w:val="22"/>
          <w:highlight w:val="yellow"/>
          <w:lang w:val="en-GB"/>
        </w:rPr>
        <w:t>.</w:t>
      </w:r>
    </w:p>
    <w:p w14:paraId="39530DBF" w14:textId="77777777" w:rsidR="003855C4" w:rsidRPr="003855C4" w:rsidRDefault="003855C4" w:rsidP="003855C4">
      <w:pPr>
        <w:rPr>
          <w:rFonts w:ascii="Arial" w:hAnsi="Arial" w:cs="Arial"/>
          <w:sz w:val="22"/>
          <w:szCs w:val="22"/>
          <w:lang w:val="en-GB"/>
        </w:rPr>
      </w:pPr>
    </w:p>
    <w:p w14:paraId="1BB5FA17" w14:textId="424334C6" w:rsidR="00650CB6" w:rsidRDefault="00650CB6" w:rsidP="003855C4">
      <w:pPr>
        <w:pStyle w:val="Prrafodelista"/>
        <w:numPr>
          <w:ilvl w:val="0"/>
          <w:numId w:val="32"/>
        </w:numPr>
        <w:ind w:left="426"/>
        <w:rPr>
          <w:rFonts w:ascii="Arial" w:hAnsi="Arial" w:cs="Arial"/>
          <w:sz w:val="22"/>
          <w:szCs w:val="22"/>
          <w:lang w:val="en-GB"/>
        </w:rPr>
      </w:pPr>
      <w:r w:rsidRPr="003855C4">
        <w:rPr>
          <w:rFonts w:ascii="Arial" w:hAnsi="Arial" w:cs="Arial"/>
          <w:sz w:val="22"/>
          <w:szCs w:val="22"/>
          <w:lang w:val="en-GB"/>
        </w:rPr>
        <w:t>Official liquidation</w:t>
      </w:r>
      <w:r w:rsidR="00A46FE2" w:rsidRPr="003855C4">
        <w:rPr>
          <w:rFonts w:ascii="Arial" w:hAnsi="Arial" w:cs="Arial"/>
          <w:sz w:val="22"/>
          <w:szCs w:val="22"/>
          <w:lang w:val="en-GB"/>
        </w:rPr>
        <w:t>.</w:t>
      </w:r>
    </w:p>
    <w:p w14:paraId="274C6859" w14:textId="77777777" w:rsidR="003855C4" w:rsidRPr="003855C4" w:rsidRDefault="003855C4" w:rsidP="003855C4">
      <w:pPr>
        <w:rPr>
          <w:rFonts w:ascii="Arial" w:hAnsi="Arial" w:cs="Arial"/>
          <w:sz w:val="22"/>
          <w:szCs w:val="22"/>
          <w:lang w:val="en-GB"/>
        </w:rPr>
      </w:pPr>
    </w:p>
    <w:p w14:paraId="34F9BC6B" w14:textId="1473E179" w:rsidR="00A26898" w:rsidRPr="003855C4" w:rsidRDefault="00A26898" w:rsidP="003855C4">
      <w:pPr>
        <w:pStyle w:val="Prrafodelista"/>
        <w:numPr>
          <w:ilvl w:val="0"/>
          <w:numId w:val="32"/>
        </w:numPr>
        <w:ind w:left="426"/>
        <w:rPr>
          <w:rFonts w:ascii="Arial" w:hAnsi="Arial" w:cs="Arial"/>
          <w:sz w:val="22"/>
          <w:szCs w:val="22"/>
          <w:lang w:val="en-GB"/>
        </w:rPr>
      </w:pPr>
      <w:r w:rsidRPr="003855C4">
        <w:rPr>
          <w:rFonts w:ascii="Arial" w:hAnsi="Arial" w:cs="Arial"/>
          <w:sz w:val="22"/>
          <w:szCs w:val="22"/>
          <w:lang w:val="en-GB"/>
        </w:rPr>
        <w:t xml:space="preserve">Deed of </w:t>
      </w:r>
      <w:r w:rsidR="00A46FE2" w:rsidRPr="003855C4">
        <w:rPr>
          <w:rFonts w:ascii="Arial" w:hAnsi="Arial" w:cs="Arial"/>
          <w:sz w:val="22"/>
          <w:szCs w:val="22"/>
          <w:lang w:val="en-GB"/>
        </w:rPr>
        <w:t>C</w:t>
      </w:r>
      <w:r w:rsidRPr="003855C4">
        <w:rPr>
          <w:rFonts w:ascii="Arial" w:hAnsi="Arial" w:cs="Arial"/>
          <w:sz w:val="22"/>
          <w:szCs w:val="22"/>
          <w:lang w:val="en-GB"/>
        </w:rPr>
        <w:t xml:space="preserve">ompany </w:t>
      </w:r>
      <w:r w:rsidR="00A46FE2" w:rsidRPr="003855C4">
        <w:rPr>
          <w:rFonts w:ascii="Arial" w:hAnsi="Arial" w:cs="Arial"/>
          <w:sz w:val="22"/>
          <w:szCs w:val="22"/>
          <w:lang w:val="en-GB"/>
        </w:rPr>
        <w:t>A</w:t>
      </w:r>
      <w:r w:rsidRPr="003855C4">
        <w:rPr>
          <w:rFonts w:ascii="Arial" w:hAnsi="Arial" w:cs="Arial"/>
          <w:sz w:val="22"/>
          <w:szCs w:val="22"/>
          <w:lang w:val="en-GB"/>
        </w:rPr>
        <w:t>rrangement</w:t>
      </w:r>
      <w:r w:rsidR="00A46FE2" w:rsidRPr="003855C4">
        <w:rPr>
          <w:rFonts w:ascii="Arial" w:hAnsi="Arial" w:cs="Arial"/>
          <w:sz w:val="22"/>
          <w:szCs w:val="22"/>
          <w:lang w:val="en-GB"/>
        </w:rPr>
        <w:t>.</w:t>
      </w:r>
    </w:p>
    <w:p w14:paraId="385539B3" w14:textId="035DCED0" w:rsidR="00920BE7" w:rsidRDefault="00920BE7" w:rsidP="00920BE7">
      <w:pPr>
        <w:ind w:left="66"/>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4657F451" w14:textId="3EEE59BF"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223E2968" w:rsidR="00210493" w:rsidRDefault="00A00B76" w:rsidP="003855C4">
      <w:pPr>
        <w:pStyle w:val="Prrafodelista"/>
        <w:numPr>
          <w:ilvl w:val="0"/>
          <w:numId w:val="3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may cease trading where it is necessary and beneficial to the liquidation</w:t>
      </w:r>
      <w:r w:rsidR="00A46FE2" w:rsidRPr="003855C4">
        <w:rPr>
          <w:rFonts w:ascii="Arial" w:hAnsi="Arial" w:cs="Arial"/>
          <w:color w:val="000000" w:themeColor="text1"/>
          <w:sz w:val="22"/>
          <w:szCs w:val="22"/>
          <w:lang w:val="en-GB"/>
        </w:rPr>
        <w:t>.</w:t>
      </w:r>
    </w:p>
    <w:p w14:paraId="3C62B35C" w14:textId="77777777" w:rsidR="003855C4" w:rsidRPr="003855C4" w:rsidRDefault="003855C4" w:rsidP="003855C4">
      <w:pPr>
        <w:rPr>
          <w:rFonts w:ascii="Arial" w:hAnsi="Arial" w:cs="Arial"/>
          <w:color w:val="000000" w:themeColor="text1"/>
          <w:sz w:val="22"/>
          <w:szCs w:val="22"/>
          <w:lang w:val="en-GB"/>
        </w:rPr>
      </w:pPr>
    </w:p>
    <w:p w14:paraId="402E2D59" w14:textId="0779D24E" w:rsidR="00210493" w:rsidRPr="00966ECF" w:rsidRDefault="00A00B76" w:rsidP="003855C4">
      <w:pPr>
        <w:pStyle w:val="Prrafodelista"/>
        <w:numPr>
          <w:ilvl w:val="0"/>
          <w:numId w:val="33"/>
        </w:numPr>
        <w:ind w:left="426"/>
        <w:rPr>
          <w:rFonts w:ascii="Arial" w:hAnsi="Arial" w:cs="Arial"/>
          <w:color w:val="000000" w:themeColor="text1"/>
          <w:sz w:val="22"/>
          <w:szCs w:val="22"/>
          <w:highlight w:val="yellow"/>
          <w:lang w:val="en-GB"/>
        </w:rPr>
      </w:pPr>
      <w:r w:rsidRPr="00966ECF">
        <w:rPr>
          <w:rFonts w:ascii="Arial" w:hAnsi="Arial" w:cs="Arial"/>
          <w:color w:val="000000" w:themeColor="text1"/>
          <w:sz w:val="22"/>
          <w:szCs w:val="22"/>
          <w:highlight w:val="yellow"/>
          <w:lang w:val="en-GB"/>
        </w:rPr>
        <w:t>t</w:t>
      </w:r>
      <w:r w:rsidR="00210493" w:rsidRPr="00966ECF">
        <w:rPr>
          <w:rFonts w:ascii="Arial" w:hAnsi="Arial" w:cs="Arial"/>
          <w:color w:val="000000" w:themeColor="text1"/>
          <w:sz w:val="22"/>
          <w:szCs w:val="22"/>
          <w:highlight w:val="yellow"/>
          <w:lang w:val="en-GB"/>
        </w:rPr>
        <w:t>he company must cease trading except where it is necessary and beneficial to the liquidation</w:t>
      </w:r>
      <w:r w:rsidR="00A46FE2" w:rsidRPr="00966ECF">
        <w:rPr>
          <w:rFonts w:ascii="Arial" w:hAnsi="Arial" w:cs="Arial"/>
          <w:color w:val="000000" w:themeColor="text1"/>
          <w:sz w:val="22"/>
          <w:szCs w:val="22"/>
          <w:highlight w:val="yellow"/>
          <w:lang w:val="en-GB"/>
        </w:rPr>
        <w:t>.</w:t>
      </w:r>
    </w:p>
    <w:p w14:paraId="3AAA5463" w14:textId="77777777" w:rsidR="003855C4" w:rsidRPr="003855C4" w:rsidRDefault="003855C4" w:rsidP="003855C4">
      <w:pPr>
        <w:rPr>
          <w:rFonts w:ascii="Arial" w:hAnsi="Arial" w:cs="Arial"/>
          <w:color w:val="000000" w:themeColor="text1"/>
          <w:sz w:val="22"/>
          <w:szCs w:val="22"/>
          <w:lang w:val="en-GB"/>
        </w:rPr>
      </w:pPr>
    </w:p>
    <w:p w14:paraId="32FB1A04" w14:textId="0E081AA3" w:rsidR="00210493" w:rsidRDefault="00A00B76" w:rsidP="003855C4">
      <w:pPr>
        <w:pStyle w:val="Prrafodelista"/>
        <w:numPr>
          <w:ilvl w:val="0"/>
          <w:numId w:val="3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must cease trading if it is necessary and beneficial to the liquidation</w:t>
      </w:r>
      <w:r w:rsidR="00A46FE2" w:rsidRPr="003855C4">
        <w:rPr>
          <w:rFonts w:ascii="Arial" w:hAnsi="Arial" w:cs="Arial"/>
          <w:color w:val="000000" w:themeColor="text1"/>
          <w:sz w:val="22"/>
          <w:szCs w:val="22"/>
          <w:lang w:val="en-GB"/>
        </w:rPr>
        <w:t>.</w:t>
      </w:r>
    </w:p>
    <w:p w14:paraId="097EB3D5" w14:textId="77777777" w:rsidR="003855C4" w:rsidRPr="003855C4" w:rsidRDefault="003855C4" w:rsidP="003855C4">
      <w:pPr>
        <w:rPr>
          <w:rFonts w:ascii="Arial" w:hAnsi="Arial" w:cs="Arial"/>
          <w:color w:val="000000" w:themeColor="text1"/>
          <w:sz w:val="22"/>
          <w:szCs w:val="22"/>
          <w:lang w:val="en-GB"/>
        </w:rPr>
      </w:pPr>
    </w:p>
    <w:p w14:paraId="322E7C99" w14:textId="5DE179C4" w:rsidR="00210493" w:rsidRPr="003855C4" w:rsidRDefault="00A00B76" w:rsidP="003855C4">
      <w:pPr>
        <w:pStyle w:val="Prrafodelista"/>
        <w:numPr>
          <w:ilvl w:val="0"/>
          <w:numId w:val="3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may cease trading unless it is necessary and beneficial to the liquidation</w:t>
      </w:r>
      <w:r w:rsidR="00A46FE2" w:rsidRPr="003855C4">
        <w:rPr>
          <w:rFonts w:ascii="Arial" w:hAnsi="Arial" w:cs="Arial"/>
          <w:color w:val="000000" w:themeColor="text1"/>
          <w:sz w:val="22"/>
          <w:szCs w:val="22"/>
          <w:lang w:val="en-GB"/>
        </w:rPr>
        <w:t>.</w:t>
      </w:r>
    </w:p>
    <w:p w14:paraId="3A416421" w14:textId="4444684E" w:rsidR="00210493" w:rsidRDefault="00210493" w:rsidP="00210493">
      <w:pPr>
        <w:rPr>
          <w:rFonts w:ascii="Arial" w:hAnsi="Arial" w:cs="Arial"/>
          <w:color w:val="808080" w:themeColor="background1" w:themeShade="80"/>
          <w:sz w:val="22"/>
          <w:szCs w:val="22"/>
          <w:lang w:val="en-GB"/>
        </w:rPr>
      </w:pPr>
    </w:p>
    <w:p w14:paraId="0F62503B" w14:textId="49AC9D62" w:rsidR="003855C4" w:rsidRDefault="003855C4" w:rsidP="00210493">
      <w:pPr>
        <w:rPr>
          <w:rFonts w:ascii="Arial" w:hAnsi="Arial" w:cs="Arial"/>
          <w:color w:val="808080" w:themeColor="background1" w:themeShade="80"/>
          <w:sz w:val="22"/>
          <w:szCs w:val="22"/>
          <w:lang w:val="en-GB"/>
        </w:rPr>
      </w:pPr>
    </w:p>
    <w:p w14:paraId="7E1E8A0C" w14:textId="74A2D934" w:rsidR="003855C4" w:rsidRDefault="003855C4" w:rsidP="00210493">
      <w:pPr>
        <w:rPr>
          <w:rFonts w:ascii="Arial" w:hAnsi="Arial" w:cs="Arial"/>
          <w:color w:val="808080" w:themeColor="background1" w:themeShade="80"/>
          <w:sz w:val="22"/>
          <w:szCs w:val="22"/>
          <w:lang w:val="en-GB"/>
        </w:rPr>
      </w:pPr>
    </w:p>
    <w:p w14:paraId="2673A0FE" w14:textId="77777777" w:rsidR="003855C4" w:rsidRDefault="003855C4" w:rsidP="00210493">
      <w:pPr>
        <w:rPr>
          <w:rFonts w:ascii="Arial" w:hAnsi="Arial" w:cs="Arial"/>
          <w:color w:val="808080" w:themeColor="background1" w:themeShade="80"/>
          <w:sz w:val="22"/>
          <w:szCs w:val="22"/>
          <w:lang w:val="en-GB"/>
        </w:rPr>
      </w:pPr>
    </w:p>
    <w:p w14:paraId="44750412" w14:textId="67A649C1"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1.4</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358DBBC0" w:rsidR="00E177F0" w:rsidRDefault="00A00B76" w:rsidP="00607C84">
      <w:pPr>
        <w:pStyle w:val="Prrafodelista"/>
        <w:numPr>
          <w:ilvl w:val="0"/>
          <w:numId w:val="3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enforce their security with leave of the court</w:t>
      </w:r>
      <w:r w:rsidR="00A46FE2" w:rsidRPr="00607C84">
        <w:rPr>
          <w:rFonts w:ascii="Arial" w:hAnsi="Arial" w:cs="Arial"/>
          <w:sz w:val="22"/>
          <w:szCs w:val="22"/>
          <w:lang w:val="en-GB"/>
        </w:rPr>
        <w:t>.</w:t>
      </w:r>
    </w:p>
    <w:p w14:paraId="3CD76321" w14:textId="77777777" w:rsidR="00607C84" w:rsidRPr="00607C84" w:rsidRDefault="00607C84" w:rsidP="00607C84">
      <w:pPr>
        <w:rPr>
          <w:rFonts w:ascii="Arial" w:hAnsi="Arial" w:cs="Arial"/>
          <w:sz w:val="22"/>
          <w:szCs w:val="22"/>
          <w:lang w:val="en-GB"/>
        </w:rPr>
      </w:pPr>
    </w:p>
    <w:p w14:paraId="1851E1FD" w14:textId="5875A815" w:rsidR="00E177F0" w:rsidRDefault="00A00B76" w:rsidP="00607C84">
      <w:pPr>
        <w:pStyle w:val="Prrafodelista"/>
        <w:numPr>
          <w:ilvl w:val="0"/>
          <w:numId w:val="3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enforce their security with leave of the court provided the liquidator is on notice of the application</w:t>
      </w:r>
      <w:r w:rsidR="00803C72" w:rsidRPr="00607C84">
        <w:rPr>
          <w:rFonts w:ascii="Arial" w:hAnsi="Arial" w:cs="Arial"/>
          <w:sz w:val="22"/>
          <w:szCs w:val="22"/>
          <w:lang w:val="en-GB"/>
        </w:rPr>
        <w:t>.</w:t>
      </w:r>
    </w:p>
    <w:p w14:paraId="37D434E6" w14:textId="77777777" w:rsidR="00607C84" w:rsidRPr="00607C84" w:rsidRDefault="00607C84" w:rsidP="00607C84">
      <w:pPr>
        <w:rPr>
          <w:rFonts w:ascii="Arial" w:hAnsi="Arial" w:cs="Arial"/>
          <w:sz w:val="22"/>
          <w:szCs w:val="22"/>
          <w:lang w:val="en-GB"/>
        </w:rPr>
      </w:pPr>
    </w:p>
    <w:p w14:paraId="170E8422" w14:textId="286F687F" w:rsidR="00E177F0" w:rsidRPr="004B7849" w:rsidRDefault="00E2786A" w:rsidP="00607C84">
      <w:pPr>
        <w:pStyle w:val="Prrafodelista"/>
        <w:numPr>
          <w:ilvl w:val="0"/>
          <w:numId w:val="34"/>
        </w:numPr>
        <w:ind w:left="426"/>
        <w:rPr>
          <w:rFonts w:ascii="Arial" w:hAnsi="Arial" w:cs="Arial"/>
          <w:sz w:val="22"/>
          <w:szCs w:val="22"/>
          <w:highlight w:val="yellow"/>
          <w:lang w:val="en-GB"/>
        </w:rPr>
      </w:pPr>
      <w:r w:rsidRPr="004B7849">
        <w:rPr>
          <w:rFonts w:ascii="Arial" w:hAnsi="Arial" w:cs="Arial"/>
          <w:sz w:val="22"/>
          <w:szCs w:val="22"/>
          <w:highlight w:val="yellow"/>
          <w:lang w:val="en-GB"/>
        </w:rPr>
        <w:t>m</w:t>
      </w:r>
      <w:r w:rsidR="00E177F0" w:rsidRPr="004B7849">
        <w:rPr>
          <w:rFonts w:ascii="Arial" w:hAnsi="Arial" w:cs="Arial"/>
          <w:sz w:val="22"/>
          <w:szCs w:val="22"/>
          <w:highlight w:val="yellow"/>
          <w:lang w:val="en-GB"/>
        </w:rPr>
        <w:t>ay enforce their security without leave of the court</w:t>
      </w:r>
      <w:r w:rsidR="00803C72" w:rsidRPr="004B7849">
        <w:rPr>
          <w:rFonts w:ascii="Arial" w:hAnsi="Arial" w:cs="Arial"/>
          <w:sz w:val="22"/>
          <w:szCs w:val="22"/>
          <w:highlight w:val="yellow"/>
          <w:lang w:val="en-GB"/>
        </w:rPr>
        <w:t>.</w:t>
      </w:r>
    </w:p>
    <w:p w14:paraId="4DB4F0F7" w14:textId="77777777" w:rsidR="00607C84" w:rsidRPr="00607C84" w:rsidRDefault="00607C84" w:rsidP="00607C84">
      <w:pPr>
        <w:rPr>
          <w:rFonts w:ascii="Arial" w:hAnsi="Arial" w:cs="Arial"/>
          <w:sz w:val="22"/>
          <w:szCs w:val="22"/>
          <w:lang w:val="en-GB"/>
        </w:rPr>
      </w:pPr>
    </w:p>
    <w:p w14:paraId="0E818B06" w14:textId="457F6F3F" w:rsidR="00E177F0" w:rsidRPr="00607C84" w:rsidRDefault="00E2786A" w:rsidP="00607C84">
      <w:pPr>
        <w:pStyle w:val="Prrafodelista"/>
        <w:numPr>
          <w:ilvl w:val="0"/>
          <w:numId w:val="3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not enforce their security until the liquidator has adjudicated on the proofs of debt</w:t>
      </w:r>
      <w:r w:rsidR="00803C72" w:rsidRPr="00607C84">
        <w:rPr>
          <w:rFonts w:ascii="Arial" w:hAnsi="Arial" w:cs="Arial"/>
          <w:sz w:val="22"/>
          <w:szCs w:val="22"/>
          <w:lang w:val="en-GB"/>
        </w:rPr>
        <w:t>.</w:t>
      </w:r>
    </w:p>
    <w:p w14:paraId="40E9F45B" w14:textId="095CC40C" w:rsidR="00920BE7" w:rsidRDefault="00920BE7" w:rsidP="00920BE7">
      <w:pPr>
        <w:rPr>
          <w:rFonts w:ascii="Arial" w:hAnsi="Arial" w:cs="Arial"/>
          <w:sz w:val="22"/>
          <w:szCs w:val="22"/>
          <w:lang w:val="en-GB"/>
        </w:rPr>
      </w:pPr>
    </w:p>
    <w:p w14:paraId="2D3EB2FD" w14:textId="6DF1B0D6" w:rsidR="008F6CAB" w:rsidRPr="00E177F0" w:rsidRDefault="008F6CAB" w:rsidP="008F6CAB">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1.5</w:t>
      </w:r>
    </w:p>
    <w:p w14:paraId="59655E76" w14:textId="77777777" w:rsidR="008F6CAB" w:rsidRPr="00E177F0" w:rsidRDefault="008F6CAB" w:rsidP="008F6CAB">
      <w:pPr>
        <w:rPr>
          <w:rFonts w:ascii="Arial" w:hAnsi="Arial" w:cs="Arial"/>
          <w:b/>
          <w:bCs/>
          <w:sz w:val="22"/>
          <w:szCs w:val="22"/>
          <w:lang w:val="en-GB"/>
        </w:rPr>
      </w:pPr>
    </w:p>
    <w:p w14:paraId="20E5CACE" w14:textId="03A8F2EC" w:rsidR="008F6CAB" w:rsidRPr="00D06A87" w:rsidRDefault="008F6CAB" w:rsidP="008F6CAB">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1F6C7AFE" w14:textId="2AA216EE" w:rsidR="008F6CAB" w:rsidRDefault="008F6CAB" w:rsidP="008F6CAB">
      <w:pPr>
        <w:rPr>
          <w:rFonts w:ascii="Arial" w:hAnsi="Arial" w:cs="Arial"/>
          <w:sz w:val="22"/>
          <w:szCs w:val="22"/>
          <w:lang w:val="en-GB"/>
        </w:rPr>
      </w:pPr>
    </w:p>
    <w:p w14:paraId="275676FD" w14:textId="21BC043E" w:rsidR="008F6CAB" w:rsidRDefault="008F6CAB" w:rsidP="008F6CAB">
      <w:pPr>
        <w:rPr>
          <w:rFonts w:ascii="Arial" w:hAnsi="Arial" w:cs="Arial"/>
          <w:sz w:val="22"/>
          <w:szCs w:val="22"/>
          <w:lang w:val="en-GB"/>
        </w:rPr>
      </w:pPr>
      <w:r>
        <w:rPr>
          <w:rFonts w:ascii="Arial" w:hAnsi="Arial" w:cs="Arial"/>
          <w:sz w:val="22"/>
          <w:szCs w:val="22"/>
          <w:lang w:val="en-GB"/>
        </w:rPr>
        <w:t xml:space="preserve">In a provisional liquidation, </w:t>
      </w:r>
      <w:r w:rsidR="0018424C">
        <w:rPr>
          <w:rFonts w:ascii="Arial" w:hAnsi="Arial" w:cs="Arial"/>
          <w:sz w:val="22"/>
          <w:szCs w:val="22"/>
          <w:lang w:val="en-GB"/>
        </w:rPr>
        <w:t xml:space="preserve">the existing management: </w:t>
      </w:r>
    </w:p>
    <w:p w14:paraId="0983F9D1" w14:textId="27138BC9" w:rsidR="008F6CAB" w:rsidRDefault="008F6CAB" w:rsidP="008F6CAB">
      <w:pPr>
        <w:rPr>
          <w:rFonts w:ascii="Arial" w:hAnsi="Arial" w:cs="Arial"/>
          <w:sz w:val="22"/>
          <w:szCs w:val="22"/>
          <w:lang w:val="en-GB"/>
        </w:rPr>
      </w:pPr>
    </w:p>
    <w:p w14:paraId="33E67516" w14:textId="38641890" w:rsidR="008F6CAB" w:rsidRDefault="00E2786A" w:rsidP="00607C84">
      <w:pPr>
        <w:pStyle w:val="Prrafodelista"/>
        <w:numPr>
          <w:ilvl w:val="0"/>
          <w:numId w:val="35"/>
        </w:numPr>
        <w:ind w:left="426"/>
        <w:rPr>
          <w:rFonts w:ascii="Arial" w:hAnsi="Arial" w:cs="Arial"/>
          <w:sz w:val="22"/>
          <w:szCs w:val="22"/>
          <w:lang w:val="en-GB"/>
        </w:rPr>
      </w:pPr>
      <w:r>
        <w:rPr>
          <w:rFonts w:ascii="Arial" w:hAnsi="Arial" w:cs="Arial"/>
          <w:sz w:val="22"/>
          <w:szCs w:val="22"/>
          <w:lang w:val="en-GB"/>
        </w:rPr>
        <w:t>c</w:t>
      </w:r>
      <w:r w:rsidR="0018424C" w:rsidRPr="00607C84">
        <w:rPr>
          <w:rFonts w:ascii="Arial" w:hAnsi="Arial" w:cs="Arial"/>
          <w:sz w:val="22"/>
          <w:szCs w:val="22"/>
          <w:lang w:val="en-GB"/>
        </w:rPr>
        <w:t>ontinues to be in control of the company</w:t>
      </w:r>
      <w:r w:rsidR="00803C72" w:rsidRPr="00607C84">
        <w:rPr>
          <w:rFonts w:ascii="Arial" w:hAnsi="Arial" w:cs="Arial"/>
          <w:sz w:val="22"/>
          <w:szCs w:val="22"/>
          <w:lang w:val="en-GB"/>
        </w:rPr>
        <w:t>.</w:t>
      </w:r>
    </w:p>
    <w:p w14:paraId="243A0719" w14:textId="77777777" w:rsidR="00607C84" w:rsidRPr="00607C84" w:rsidRDefault="00607C84" w:rsidP="00607C84">
      <w:pPr>
        <w:rPr>
          <w:rFonts w:ascii="Arial" w:hAnsi="Arial" w:cs="Arial"/>
          <w:sz w:val="22"/>
          <w:szCs w:val="22"/>
          <w:lang w:val="en-GB"/>
        </w:rPr>
      </w:pPr>
    </w:p>
    <w:p w14:paraId="04BFB815" w14:textId="24DEB2DF" w:rsidR="0018424C" w:rsidRDefault="00E2786A" w:rsidP="00607C84">
      <w:pPr>
        <w:pStyle w:val="Prrafodelista"/>
        <w:numPr>
          <w:ilvl w:val="0"/>
          <w:numId w:val="35"/>
        </w:numPr>
        <w:ind w:left="426"/>
        <w:rPr>
          <w:rFonts w:ascii="Arial" w:hAnsi="Arial" w:cs="Arial"/>
          <w:sz w:val="22"/>
          <w:szCs w:val="22"/>
          <w:lang w:val="en-GB"/>
        </w:rPr>
      </w:pPr>
      <w:r>
        <w:rPr>
          <w:rFonts w:ascii="Arial" w:hAnsi="Arial" w:cs="Arial"/>
          <w:sz w:val="22"/>
          <w:szCs w:val="22"/>
          <w:lang w:val="en-GB"/>
        </w:rPr>
        <w:t>c</w:t>
      </w:r>
      <w:r w:rsidR="0018424C" w:rsidRPr="00607C84">
        <w:rPr>
          <w:rFonts w:ascii="Arial" w:hAnsi="Arial" w:cs="Arial"/>
          <w:sz w:val="22"/>
          <w:szCs w:val="22"/>
          <w:lang w:val="en-GB"/>
        </w:rPr>
        <w:t xml:space="preserve">ontinues to be in control of the company subject to supervision by the </w:t>
      </w:r>
      <w:r w:rsidR="00803C72" w:rsidRPr="00607C84">
        <w:rPr>
          <w:rFonts w:ascii="Arial" w:hAnsi="Arial" w:cs="Arial"/>
          <w:sz w:val="22"/>
          <w:szCs w:val="22"/>
          <w:lang w:val="en-GB"/>
        </w:rPr>
        <w:t>c</w:t>
      </w:r>
      <w:r w:rsidR="0018424C" w:rsidRPr="00607C84">
        <w:rPr>
          <w:rFonts w:ascii="Arial" w:hAnsi="Arial" w:cs="Arial"/>
          <w:sz w:val="22"/>
          <w:szCs w:val="22"/>
          <w:lang w:val="en-GB"/>
        </w:rPr>
        <w:t>ourt</w:t>
      </w:r>
      <w:r w:rsidR="00920BE7" w:rsidRPr="00607C84">
        <w:rPr>
          <w:rFonts w:ascii="Arial" w:hAnsi="Arial" w:cs="Arial"/>
          <w:sz w:val="22"/>
          <w:szCs w:val="22"/>
          <w:lang w:val="en-GB"/>
        </w:rPr>
        <w:t xml:space="preserve"> and the provisional liquidator</w:t>
      </w:r>
      <w:r w:rsidR="00803C72" w:rsidRPr="00607C84">
        <w:rPr>
          <w:rFonts w:ascii="Arial" w:hAnsi="Arial" w:cs="Arial"/>
          <w:sz w:val="22"/>
          <w:szCs w:val="22"/>
          <w:lang w:val="en-GB"/>
        </w:rPr>
        <w:t>.</w:t>
      </w:r>
    </w:p>
    <w:p w14:paraId="643D978C" w14:textId="77777777" w:rsidR="00607C84" w:rsidRPr="00607C84" w:rsidRDefault="00607C84" w:rsidP="00607C84">
      <w:pPr>
        <w:rPr>
          <w:rFonts w:ascii="Arial" w:hAnsi="Arial" w:cs="Arial"/>
          <w:sz w:val="22"/>
          <w:szCs w:val="22"/>
          <w:lang w:val="en-GB"/>
        </w:rPr>
      </w:pPr>
    </w:p>
    <w:p w14:paraId="687A1F80" w14:textId="0021D7DC" w:rsidR="0018424C" w:rsidRPr="003F1E27" w:rsidRDefault="00E2786A" w:rsidP="00607C84">
      <w:pPr>
        <w:pStyle w:val="Prrafodelista"/>
        <w:numPr>
          <w:ilvl w:val="0"/>
          <w:numId w:val="35"/>
        </w:numPr>
        <w:ind w:left="426"/>
        <w:rPr>
          <w:rFonts w:ascii="Arial" w:hAnsi="Arial" w:cs="Arial"/>
          <w:sz w:val="22"/>
          <w:szCs w:val="22"/>
          <w:highlight w:val="yellow"/>
          <w:lang w:val="en-GB"/>
        </w:rPr>
      </w:pPr>
      <w:r w:rsidRPr="003F1E27">
        <w:rPr>
          <w:rFonts w:ascii="Arial" w:hAnsi="Arial" w:cs="Arial"/>
          <w:sz w:val="22"/>
          <w:szCs w:val="22"/>
          <w:highlight w:val="yellow"/>
          <w:lang w:val="en-GB"/>
        </w:rPr>
        <w:t>m</w:t>
      </w:r>
      <w:r w:rsidR="0018424C" w:rsidRPr="003F1E27">
        <w:rPr>
          <w:rFonts w:ascii="Arial" w:hAnsi="Arial" w:cs="Arial"/>
          <w:sz w:val="22"/>
          <w:szCs w:val="22"/>
          <w:highlight w:val="yellow"/>
          <w:lang w:val="en-GB"/>
        </w:rPr>
        <w:t>ay continue to be in control of the company subject to supervision by the provisional liquidator</w:t>
      </w:r>
      <w:r w:rsidR="00920BE7" w:rsidRPr="003F1E27">
        <w:rPr>
          <w:rFonts w:ascii="Arial" w:hAnsi="Arial" w:cs="Arial"/>
          <w:sz w:val="22"/>
          <w:szCs w:val="22"/>
          <w:highlight w:val="yellow"/>
          <w:lang w:val="en-GB"/>
        </w:rPr>
        <w:t xml:space="preserve"> and the </w:t>
      </w:r>
      <w:r w:rsidR="00803C72" w:rsidRPr="003F1E27">
        <w:rPr>
          <w:rFonts w:ascii="Arial" w:hAnsi="Arial" w:cs="Arial"/>
          <w:sz w:val="22"/>
          <w:szCs w:val="22"/>
          <w:highlight w:val="yellow"/>
          <w:lang w:val="en-GB"/>
        </w:rPr>
        <w:t>c</w:t>
      </w:r>
      <w:r w:rsidR="00920BE7" w:rsidRPr="003F1E27">
        <w:rPr>
          <w:rFonts w:ascii="Arial" w:hAnsi="Arial" w:cs="Arial"/>
          <w:sz w:val="22"/>
          <w:szCs w:val="22"/>
          <w:highlight w:val="yellow"/>
          <w:lang w:val="en-GB"/>
        </w:rPr>
        <w:t>ourt</w:t>
      </w:r>
      <w:r w:rsidR="00803C72" w:rsidRPr="003F1E27">
        <w:rPr>
          <w:rFonts w:ascii="Arial" w:hAnsi="Arial" w:cs="Arial"/>
          <w:sz w:val="22"/>
          <w:szCs w:val="22"/>
          <w:highlight w:val="yellow"/>
          <w:lang w:val="en-GB"/>
        </w:rPr>
        <w:t>.</w:t>
      </w:r>
    </w:p>
    <w:p w14:paraId="56664228" w14:textId="77777777" w:rsidR="00607C84" w:rsidRPr="00607C84" w:rsidRDefault="00607C84" w:rsidP="00607C84">
      <w:pPr>
        <w:rPr>
          <w:rFonts w:ascii="Arial" w:hAnsi="Arial" w:cs="Arial"/>
          <w:sz w:val="22"/>
          <w:szCs w:val="22"/>
          <w:lang w:val="en-GB"/>
        </w:rPr>
      </w:pPr>
    </w:p>
    <w:p w14:paraId="0A53F672" w14:textId="3FB89BDE" w:rsidR="0018424C" w:rsidRPr="00607C84" w:rsidRDefault="00E2786A" w:rsidP="00607C84">
      <w:pPr>
        <w:pStyle w:val="Prrafodelista"/>
        <w:numPr>
          <w:ilvl w:val="0"/>
          <w:numId w:val="35"/>
        </w:numPr>
        <w:ind w:left="426"/>
        <w:rPr>
          <w:rFonts w:ascii="Arial" w:hAnsi="Arial" w:cs="Arial"/>
          <w:sz w:val="22"/>
          <w:szCs w:val="22"/>
          <w:lang w:val="en-GB"/>
        </w:rPr>
      </w:pPr>
      <w:r>
        <w:rPr>
          <w:rFonts w:ascii="Arial" w:hAnsi="Arial" w:cs="Arial"/>
          <w:sz w:val="22"/>
          <w:szCs w:val="22"/>
          <w:lang w:val="en-GB"/>
        </w:rPr>
        <w:t>i</w:t>
      </w:r>
      <w:r w:rsidR="0018424C" w:rsidRPr="00607C84">
        <w:rPr>
          <w:rFonts w:ascii="Arial" w:hAnsi="Arial" w:cs="Arial"/>
          <w:sz w:val="22"/>
          <w:szCs w:val="22"/>
          <w:lang w:val="en-GB"/>
        </w:rPr>
        <w:t>s not permitted to remain in control of the company</w:t>
      </w:r>
      <w:r w:rsidR="00803C72" w:rsidRPr="00607C84">
        <w:rPr>
          <w:rFonts w:ascii="Arial" w:hAnsi="Arial" w:cs="Arial"/>
          <w:sz w:val="22"/>
          <w:szCs w:val="22"/>
          <w:lang w:val="en-GB"/>
        </w:rPr>
        <w:t>.</w:t>
      </w:r>
    </w:p>
    <w:p w14:paraId="3FF1AC5E" w14:textId="77777777" w:rsidR="008F6CAB" w:rsidRDefault="008F6CAB" w:rsidP="00AD12C7">
      <w:pPr>
        <w:rPr>
          <w:rFonts w:ascii="Arial" w:hAnsi="Arial" w:cs="Arial"/>
          <w:sz w:val="22"/>
          <w:szCs w:val="22"/>
          <w:lang w:val="en-GB"/>
        </w:rPr>
      </w:pPr>
    </w:p>
    <w:p w14:paraId="6B3DF470" w14:textId="0419B837" w:rsidR="0018424C" w:rsidRPr="00E177F0" w:rsidRDefault="0018424C" w:rsidP="0018424C">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1.6</w:t>
      </w:r>
    </w:p>
    <w:p w14:paraId="42D75FDA" w14:textId="77777777" w:rsidR="0018424C" w:rsidRPr="00E177F0" w:rsidRDefault="0018424C" w:rsidP="0018424C">
      <w:pPr>
        <w:rPr>
          <w:rFonts w:ascii="Arial" w:hAnsi="Arial" w:cs="Arial"/>
          <w:b/>
          <w:bCs/>
          <w:sz w:val="22"/>
          <w:szCs w:val="22"/>
          <w:lang w:val="en-GB"/>
        </w:rPr>
      </w:pPr>
    </w:p>
    <w:p w14:paraId="5B850F14" w14:textId="037C01A8" w:rsidR="0018424C" w:rsidRPr="00D06A87" w:rsidRDefault="0018424C" w:rsidP="0018424C">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11C862AA" w14:textId="77777777" w:rsidR="0018424C" w:rsidRDefault="0018424C" w:rsidP="00E177F0">
      <w:pPr>
        <w:rPr>
          <w:rFonts w:ascii="Arial" w:hAnsi="Arial" w:cs="Arial"/>
          <w:sz w:val="22"/>
          <w:szCs w:val="22"/>
          <w:lang w:val="en-GB"/>
        </w:rPr>
      </w:pPr>
    </w:p>
    <w:p w14:paraId="2DE7AD99" w14:textId="77777777" w:rsidR="0018424C" w:rsidRDefault="0018424C" w:rsidP="00E177F0">
      <w:pPr>
        <w:rPr>
          <w:rFonts w:ascii="Arial" w:hAnsi="Arial" w:cs="Arial"/>
          <w:sz w:val="22"/>
          <w:szCs w:val="22"/>
          <w:lang w:val="en-GB"/>
        </w:rPr>
      </w:pPr>
      <w:r>
        <w:rPr>
          <w:rFonts w:ascii="Arial" w:hAnsi="Arial" w:cs="Arial"/>
          <w:sz w:val="22"/>
          <w:szCs w:val="22"/>
          <w:lang w:val="en-GB"/>
        </w:rPr>
        <w:t>Once a provisional liquidator is appointed:</w:t>
      </w:r>
    </w:p>
    <w:p w14:paraId="6D381892" w14:textId="77777777" w:rsidR="0018424C" w:rsidRDefault="0018424C" w:rsidP="00E177F0">
      <w:pPr>
        <w:rPr>
          <w:rFonts w:ascii="Arial" w:hAnsi="Arial" w:cs="Arial"/>
          <w:sz w:val="22"/>
          <w:szCs w:val="22"/>
          <w:lang w:val="en-GB"/>
        </w:rPr>
      </w:pPr>
    </w:p>
    <w:p w14:paraId="5C48A999" w14:textId="4C3654C0" w:rsidR="0018424C" w:rsidRPr="00103A49" w:rsidRDefault="00E2786A" w:rsidP="000507A7">
      <w:pPr>
        <w:pStyle w:val="Prrafodelista"/>
        <w:numPr>
          <w:ilvl w:val="0"/>
          <w:numId w:val="36"/>
        </w:numPr>
        <w:ind w:left="426"/>
        <w:rPr>
          <w:rFonts w:ascii="Arial" w:hAnsi="Arial" w:cs="Arial"/>
          <w:sz w:val="22"/>
          <w:szCs w:val="22"/>
          <w:highlight w:val="yellow"/>
          <w:lang w:val="en-GB"/>
        </w:rPr>
      </w:pPr>
      <w:r w:rsidRPr="00103A49">
        <w:rPr>
          <w:rFonts w:ascii="Arial" w:hAnsi="Arial" w:cs="Arial"/>
          <w:sz w:val="22"/>
          <w:szCs w:val="22"/>
          <w:highlight w:val="yellow"/>
          <w:lang w:val="en-GB"/>
        </w:rPr>
        <w:t>n</w:t>
      </w:r>
      <w:r w:rsidR="0018424C" w:rsidRPr="00103A49">
        <w:rPr>
          <w:rFonts w:ascii="Arial" w:hAnsi="Arial" w:cs="Arial"/>
          <w:sz w:val="22"/>
          <w:szCs w:val="22"/>
          <w:highlight w:val="yellow"/>
          <w:lang w:val="en-GB"/>
        </w:rPr>
        <w:t>o action may be commenced against the company</w:t>
      </w:r>
      <w:r w:rsidR="003A2780" w:rsidRPr="00103A49">
        <w:rPr>
          <w:rFonts w:ascii="Arial" w:hAnsi="Arial" w:cs="Arial"/>
          <w:sz w:val="22"/>
          <w:szCs w:val="22"/>
          <w:highlight w:val="yellow"/>
          <w:lang w:val="en-GB"/>
        </w:rPr>
        <w:t xml:space="preserve"> without leave of the court</w:t>
      </w:r>
      <w:r w:rsidR="00803C72" w:rsidRPr="00103A49">
        <w:rPr>
          <w:rFonts w:ascii="Arial" w:hAnsi="Arial" w:cs="Arial"/>
          <w:sz w:val="22"/>
          <w:szCs w:val="22"/>
          <w:highlight w:val="yellow"/>
          <w:lang w:val="en-GB"/>
        </w:rPr>
        <w:t>.</w:t>
      </w:r>
    </w:p>
    <w:p w14:paraId="52566F4D" w14:textId="77777777" w:rsidR="000507A7" w:rsidRPr="000507A7" w:rsidRDefault="000507A7" w:rsidP="000507A7">
      <w:pPr>
        <w:rPr>
          <w:rFonts w:ascii="Arial" w:hAnsi="Arial" w:cs="Arial"/>
          <w:sz w:val="22"/>
          <w:szCs w:val="22"/>
          <w:lang w:val="en-GB"/>
        </w:rPr>
      </w:pPr>
    </w:p>
    <w:p w14:paraId="47FEA3DD" w14:textId="48F20236" w:rsidR="0018424C" w:rsidRDefault="00E2786A" w:rsidP="000507A7">
      <w:pPr>
        <w:pStyle w:val="Prrafodelista"/>
        <w:numPr>
          <w:ilvl w:val="0"/>
          <w:numId w:val="36"/>
        </w:numPr>
        <w:ind w:left="426"/>
        <w:rPr>
          <w:rFonts w:ascii="Arial" w:hAnsi="Arial" w:cs="Arial"/>
          <w:sz w:val="22"/>
          <w:szCs w:val="22"/>
          <w:lang w:val="en-GB"/>
        </w:rPr>
      </w:pPr>
      <w:r>
        <w:rPr>
          <w:rFonts w:ascii="Arial" w:hAnsi="Arial" w:cs="Arial"/>
          <w:sz w:val="22"/>
          <w:szCs w:val="22"/>
          <w:lang w:val="en-GB"/>
        </w:rPr>
        <w:t>n</w:t>
      </w:r>
      <w:r w:rsidR="0018424C" w:rsidRPr="000507A7">
        <w:rPr>
          <w:rFonts w:ascii="Arial" w:hAnsi="Arial" w:cs="Arial"/>
          <w:sz w:val="22"/>
          <w:szCs w:val="22"/>
          <w:lang w:val="en-GB"/>
        </w:rPr>
        <w:t>o existing action may be continued against the company</w:t>
      </w:r>
      <w:r w:rsidR="003A2780" w:rsidRPr="000507A7">
        <w:rPr>
          <w:rFonts w:ascii="Arial" w:hAnsi="Arial" w:cs="Arial"/>
          <w:sz w:val="22"/>
          <w:szCs w:val="22"/>
          <w:lang w:val="en-GB"/>
        </w:rPr>
        <w:t xml:space="preserve"> without permission of the provisional liquidator</w:t>
      </w:r>
      <w:r w:rsidR="00803C72" w:rsidRPr="000507A7">
        <w:rPr>
          <w:rFonts w:ascii="Arial" w:hAnsi="Arial" w:cs="Arial"/>
          <w:sz w:val="22"/>
          <w:szCs w:val="22"/>
          <w:lang w:val="en-GB"/>
        </w:rPr>
        <w:t>.</w:t>
      </w:r>
    </w:p>
    <w:p w14:paraId="596D3104" w14:textId="77777777" w:rsidR="000507A7" w:rsidRPr="000507A7" w:rsidRDefault="000507A7" w:rsidP="000507A7">
      <w:pPr>
        <w:rPr>
          <w:rFonts w:ascii="Arial" w:hAnsi="Arial" w:cs="Arial"/>
          <w:sz w:val="22"/>
          <w:szCs w:val="22"/>
          <w:lang w:val="en-GB"/>
        </w:rPr>
      </w:pPr>
    </w:p>
    <w:p w14:paraId="310A773F" w14:textId="7EE62330" w:rsidR="0018424C" w:rsidRDefault="00E2786A" w:rsidP="000507A7">
      <w:pPr>
        <w:pStyle w:val="Prrafodelista"/>
        <w:numPr>
          <w:ilvl w:val="0"/>
          <w:numId w:val="36"/>
        </w:numPr>
        <w:ind w:left="426"/>
        <w:rPr>
          <w:rFonts w:ascii="Arial" w:hAnsi="Arial" w:cs="Arial"/>
          <w:sz w:val="22"/>
          <w:szCs w:val="22"/>
          <w:lang w:val="en-GB"/>
        </w:rPr>
      </w:pPr>
      <w:r>
        <w:rPr>
          <w:rFonts w:ascii="Arial" w:hAnsi="Arial" w:cs="Arial"/>
          <w:sz w:val="22"/>
          <w:szCs w:val="22"/>
          <w:lang w:val="en-GB"/>
        </w:rPr>
        <w:t>l</w:t>
      </w:r>
      <w:r w:rsidR="003A2780" w:rsidRPr="000507A7">
        <w:rPr>
          <w:rFonts w:ascii="Arial" w:hAnsi="Arial" w:cs="Arial"/>
          <w:sz w:val="22"/>
          <w:szCs w:val="22"/>
          <w:lang w:val="en-GB"/>
        </w:rPr>
        <w:t xml:space="preserve">egal proceedings may be commenced or </w:t>
      </w:r>
      <w:r w:rsidR="0018424C" w:rsidRPr="000507A7">
        <w:rPr>
          <w:rFonts w:ascii="Arial" w:hAnsi="Arial" w:cs="Arial"/>
          <w:sz w:val="22"/>
          <w:szCs w:val="22"/>
          <w:lang w:val="en-GB"/>
        </w:rPr>
        <w:t>continued against the company</w:t>
      </w:r>
      <w:r w:rsidR="003A2780" w:rsidRPr="000507A7">
        <w:rPr>
          <w:rFonts w:ascii="Arial" w:hAnsi="Arial" w:cs="Arial"/>
          <w:sz w:val="22"/>
          <w:szCs w:val="22"/>
          <w:lang w:val="en-GB"/>
        </w:rPr>
        <w:t xml:space="preserve"> without leave of the court</w:t>
      </w:r>
      <w:r w:rsidR="00803C72" w:rsidRPr="000507A7">
        <w:rPr>
          <w:rFonts w:ascii="Arial" w:hAnsi="Arial" w:cs="Arial"/>
          <w:sz w:val="22"/>
          <w:szCs w:val="22"/>
          <w:lang w:val="en-GB"/>
        </w:rPr>
        <w:t>.</w:t>
      </w:r>
    </w:p>
    <w:p w14:paraId="53D80DAE" w14:textId="77777777" w:rsidR="000507A7" w:rsidRPr="000507A7" w:rsidRDefault="000507A7" w:rsidP="000507A7">
      <w:pPr>
        <w:rPr>
          <w:rFonts w:ascii="Arial" w:hAnsi="Arial" w:cs="Arial"/>
          <w:sz w:val="22"/>
          <w:szCs w:val="22"/>
          <w:lang w:val="en-GB"/>
        </w:rPr>
      </w:pPr>
    </w:p>
    <w:p w14:paraId="1763501D" w14:textId="75E65BA1" w:rsidR="00AD12C7" w:rsidRPr="000507A7" w:rsidRDefault="00531EF1" w:rsidP="000507A7">
      <w:pPr>
        <w:pStyle w:val="Prrafodelista"/>
        <w:numPr>
          <w:ilvl w:val="0"/>
          <w:numId w:val="36"/>
        </w:numPr>
        <w:ind w:left="426"/>
        <w:rPr>
          <w:rFonts w:ascii="Arial" w:hAnsi="Arial" w:cs="Arial"/>
          <w:sz w:val="22"/>
          <w:szCs w:val="22"/>
          <w:lang w:val="en-GB"/>
        </w:rPr>
      </w:pPr>
      <w:r>
        <w:rPr>
          <w:rFonts w:ascii="Arial" w:hAnsi="Arial" w:cs="Arial"/>
          <w:sz w:val="22"/>
          <w:szCs w:val="22"/>
          <w:lang w:val="en-GB"/>
        </w:rPr>
        <w:t>n</w:t>
      </w:r>
      <w:r w:rsidR="0018424C" w:rsidRPr="000507A7">
        <w:rPr>
          <w:rFonts w:ascii="Arial" w:hAnsi="Arial" w:cs="Arial"/>
          <w:sz w:val="22"/>
          <w:szCs w:val="22"/>
          <w:lang w:val="en-GB"/>
        </w:rPr>
        <w:t>o action may be commenced against the company</w:t>
      </w:r>
      <w:r w:rsidR="003A2780" w:rsidRPr="000507A7">
        <w:rPr>
          <w:rFonts w:ascii="Arial" w:hAnsi="Arial" w:cs="Arial"/>
          <w:sz w:val="22"/>
          <w:szCs w:val="22"/>
          <w:lang w:val="en-GB"/>
        </w:rPr>
        <w:t>.</w:t>
      </w:r>
    </w:p>
    <w:p w14:paraId="2BB16D6B" w14:textId="77777777" w:rsidR="002476AF" w:rsidRDefault="002476AF" w:rsidP="00C55824">
      <w:pPr>
        <w:jc w:val="both"/>
        <w:rPr>
          <w:rFonts w:ascii="Arial" w:hAnsi="Arial" w:cs="Arial"/>
          <w:b/>
          <w:bCs/>
          <w:sz w:val="22"/>
          <w:szCs w:val="22"/>
        </w:rPr>
      </w:pPr>
    </w:p>
    <w:p w14:paraId="5AF5BCF4" w14:textId="64CEB0D8"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1.7</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803C72">
        <w:rPr>
          <w:rFonts w:ascii="Arial" w:hAnsi="Arial" w:cs="Arial"/>
          <w:b/>
          <w:bCs/>
          <w:sz w:val="22"/>
          <w:szCs w:val="22"/>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0738DECA" w:rsidR="00920BE7" w:rsidRDefault="00920BE7" w:rsidP="0020526E">
      <w:pPr>
        <w:pStyle w:val="Prrafodelista"/>
        <w:numPr>
          <w:ilvl w:val="0"/>
          <w:numId w:val="38"/>
        </w:numPr>
        <w:ind w:left="426"/>
        <w:jc w:val="both"/>
        <w:rPr>
          <w:rFonts w:ascii="Arial" w:hAnsi="Arial" w:cs="Arial"/>
          <w:sz w:val="22"/>
          <w:szCs w:val="22"/>
          <w:lang w:val="en-GB"/>
        </w:rPr>
      </w:pPr>
      <w:r w:rsidRPr="000B6F5D">
        <w:rPr>
          <w:rFonts w:ascii="Arial" w:hAnsi="Arial" w:cs="Arial"/>
          <w:sz w:val="22"/>
          <w:szCs w:val="22"/>
          <w:lang w:val="en-GB"/>
        </w:rPr>
        <w:t>Sums due to company employees</w:t>
      </w:r>
      <w:r w:rsidR="00803C72" w:rsidRPr="000B6F5D">
        <w:rPr>
          <w:rFonts w:ascii="Arial" w:hAnsi="Arial" w:cs="Arial"/>
          <w:sz w:val="22"/>
          <w:szCs w:val="22"/>
          <w:lang w:val="en-GB"/>
        </w:rPr>
        <w:t>.</w:t>
      </w:r>
    </w:p>
    <w:p w14:paraId="2BC78E00" w14:textId="77777777" w:rsidR="000B6F5D" w:rsidRPr="000B6F5D" w:rsidRDefault="000B6F5D" w:rsidP="0020526E">
      <w:pPr>
        <w:ind w:left="426"/>
        <w:jc w:val="both"/>
        <w:rPr>
          <w:rFonts w:ascii="Arial" w:hAnsi="Arial" w:cs="Arial"/>
          <w:sz w:val="22"/>
          <w:szCs w:val="22"/>
          <w:lang w:val="en-GB"/>
        </w:rPr>
      </w:pPr>
    </w:p>
    <w:p w14:paraId="490DC0BC" w14:textId="219F6CB2" w:rsidR="00920BE7" w:rsidRDefault="00920BE7" w:rsidP="0020526E">
      <w:pPr>
        <w:pStyle w:val="Prrafodelista"/>
        <w:numPr>
          <w:ilvl w:val="0"/>
          <w:numId w:val="38"/>
        </w:numPr>
        <w:ind w:left="426"/>
        <w:jc w:val="both"/>
        <w:rPr>
          <w:rFonts w:ascii="Arial" w:hAnsi="Arial" w:cs="Arial"/>
          <w:sz w:val="22"/>
          <w:szCs w:val="22"/>
          <w:lang w:val="en-GB"/>
        </w:rPr>
      </w:pPr>
      <w:r w:rsidRPr="000B6F5D">
        <w:rPr>
          <w:rFonts w:ascii="Arial" w:hAnsi="Arial" w:cs="Arial"/>
          <w:sz w:val="22"/>
          <w:szCs w:val="22"/>
          <w:lang w:val="en-GB"/>
        </w:rPr>
        <w:t>Taxes due to the Cayman Islands government</w:t>
      </w:r>
      <w:r w:rsidR="00803C72" w:rsidRPr="000B6F5D">
        <w:rPr>
          <w:rFonts w:ascii="Arial" w:hAnsi="Arial" w:cs="Arial"/>
          <w:sz w:val="22"/>
          <w:szCs w:val="22"/>
          <w:lang w:val="en-GB"/>
        </w:rPr>
        <w:t>.</w:t>
      </w:r>
    </w:p>
    <w:p w14:paraId="7C19A235" w14:textId="77777777" w:rsidR="000B6F5D" w:rsidRPr="000B6F5D" w:rsidRDefault="000B6F5D" w:rsidP="0020526E">
      <w:pPr>
        <w:ind w:left="426"/>
        <w:jc w:val="both"/>
        <w:rPr>
          <w:rFonts w:ascii="Arial" w:hAnsi="Arial" w:cs="Arial"/>
          <w:sz w:val="22"/>
          <w:szCs w:val="22"/>
          <w:lang w:val="en-GB"/>
        </w:rPr>
      </w:pPr>
    </w:p>
    <w:p w14:paraId="682992C3" w14:textId="0C3472EB" w:rsidR="00920BE7" w:rsidRPr="001D74AE" w:rsidRDefault="00853B56" w:rsidP="0020526E">
      <w:pPr>
        <w:pStyle w:val="Prrafodelista"/>
        <w:numPr>
          <w:ilvl w:val="0"/>
          <w:numId w:val="38"/>
        </w:numPr>
        <w:ind w:left="426"/>
        <w:jc w:val="both"/>
        <w:rPr>
          <w:rFonts w:ascii="Arial" w:hAnsi="Arial" w:cs="Arial"/>
          <w:sz w:val="22"/>
          <w:szCs w:val="22"/>
          <w:highlight w:val="yellow"/>
          <w:lang w:val="en-GB"/>
        </w:rPr>
      </w:pPr>
      <w:r w:rsidRPr="001D74AE">
        <w:rPr>
          <w:rFonts w:ascii="Arial" w:hAnsi="Arial" w:cs="Arial"/>
          <w:sz w:val="22"/>
          <w:szCs w:val="22"/>
          <w:highlight w:val="yellow"/>
          <w:lang w:val="en-GB"/>
        </w:rPr>
        <w:t>Amounts due to p</w:t>
      </w:r>
      <w:r w:rsidR="005327B7" w:rsidRPr="001D74AE">
        <w:rPr>
          <w:rFonts w:ascii="Arial" w:hAnsi="Arial" w:cs="Arial"/>
          <w:sz w:val="22"/>
          <w:szCs w:val="22"/>
          <w:highlight w:val="yellow"/>
          <w:lang w:val="en-GB"/>
        </w:rPr>
        <w:t>referred shareholders</w:t>
      </w:r>
      <w:r w:rsidR="00803C72" w:rsidRPr="001D74AE">
        <w:rPr>
          <w:rFonts w:ascii="Arial" w:hAnsi="Arial" w:cs="Arial"/>
          <w:sz w:val="22"/>
          <w:szCs w:val="22"/>
          <w:highlight w:val="yellow"/>
          <w:lang w:val="en-GB"/>
        </w:rPr>
        <w:t>.</w:t>
      </w:r>
    </w:p>
    <w:p w14:paraId="53296209" w14:textId="77777777" w:rsidR="0020526E" w:rsidRPr="0020526E" w:rsidRDefault="0020526E" w:rsidP="0020526E">
      <w:pPr>
        <w:ind w:left="426"/>
        <w:jc w:val="both"/>
        <w:rPr>
          <w:rFonts w:ascii="Arial" w:hAnsi="Arial" w:cs="Arial"/>
          <w:sz w:val="22"/>
          <w:szCs w:val="22"/>
          <w:lang w:val="en-GB"/>
        </w:rPr>
      </w:pPr>
    </w:p>
    <w:p w14:paraId="1CB15487" w14:textId="0441F3FF" w:rsidR="00920BE7" w:rsidRDefault="00920BE7" w:rsidP="0020526E">
      <w:pPr>
        <w:pStyle w:val="Prrafodelista"/>
        <w:numPr>
          <w:ilvl w:val="0"/>
          <w:numId w:val="38"/>
        </w:numPr>
        <w:ind w:left="426"/>
        <w:jc w:val="both"/>
        <w:rPr>
          <w:rFonts w:ascii="Arial" w:hAnsi="Arial" w:cs="Arial"/>
          <w:sz w:val="22"/>
          <w:szCs w:val="22"/>
          <w:lang w:val="en-GB"/>
        </w:rPr>
      </w:pPr>
      <w:r w:rsidRPr="000B6F5D">
        <w:rPr>
          <w:rFonts w:ascii="Arial" w:hAnsi="Arial" w:cs="Arial"/>
          <w:sz w:val="22"/>
          <w:szCs w:val="22"/>
          <w:lang w:val="en-GB"/>
        </w:rPr>
        <w:t>Sums due to depositors (if the company is a bank)</w:t>
      </w:r>
      <w:r w:rsidR="00803C72" w:rsidRPr="000B6F5D">
        <w:rPr>
          <w:rFonts w:ascii="Arial" w:hAnsi="Arial" w:cs="Arial"/>
          <w:sz w:val="22"/>
          <w:szCs w:val="22"/>
          <w:lang w:val="en-GB"/>
        </w:rPr>
        <w:t>.</w:t>
      </w:r>
    </w:p>
    <w:p w14:paraId="713A3F0C" w14:textId="77777777" w:rsidR="0020526E" w:rsidRPr="0020526E" w:rsidRDefault="0020526E" w:rsidP="0020526E">
      <w:pPr>
        <w:ind w:left="426"/>
        <w:jc w:val="both"/>
        <w:rPr>
          <w:rFonts w:ascii="Arial" w:hAnsi="Arial" w:cs="Arial"/>
          <w:sz w:val="22"/>
          <w:szCs w:val="22"/>
          <w:lang w:val="en-GB"/>
        </w:rPr>
      </w:pPr>
    </w:p>
    <w:p w14:paraId="35B146E3" w14:textId="705B259C" w:rsidR="00920BE7" w:rsidRPr="001D74AE" w:rsidRDefault="00920BE7" w:rsidP="0020526E">
      <w:pPr>
        <w:pStyle w:val="Prrafodelista"/>
        <w:numPr>
          <w:ilvl w:val="0"/>
          <w:numId w:val="38"/>
        </w:numPr>
        <w:ind w:left="426"/>
        <w:jc w:val="both"/>
        <w:rPr>
          <w:rFonts w:ascii="Arial" w:hAnsi="Arial" w:cs="Arial"/>
          <w:sz w:val="22"/>
          <w:szCs w:val="22"/>
          <w:lang w:val="en-GB"/>
        </w:rPr>
      </w:pPr>
      <w:r w:rsidRPr="001D74AE">
        <w:rPr>
          <w:rFonts w:ascii="Arial" w:hAnsi="Arial" w:cs="Arial"/>
          <w:sz w:val="22"/>
          <w:szCs w:val="22"/>
          <w:lang w:val="en-GB"/>
        </w:rPr>
        <w:t>Unsecured debts which are not subject to subordination agreements</w:t>
      </w:r>
      <w:r w:rsidR="00803C72" w:rsidRPr="001D74AE">
        <w:rPr>
          <w:rFonts w:ascii="Arial" w:hAnsi="Arial" w:cs="Arial"/>
          <w:sz w:val="22"/>
          <w:szCs w:val="22"/>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5EAE0DDD"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920BE7">
        <w:rPr>
          <w:rFonts w:ascii="Arial" w:hAnsi="Arial" w:cs="Arial"/>
          <w:b/>
          <w:bCs/>
          <w:sz w:val="22"/>
          <w:szCs w:val="22"/>
        </w:rPr>
        <w:t>8</w:t>
      </w:r>
    </w:p>
    <w:p w14:paraId="5A6D3398" w14:textId="77777777" w:rsidR="00E9597C" w:rsidRDefault="00E9597C" w:rsidP="00C55824">
      <w:pPr>
        <w:autoSpaceDE w:val="0"/>
        <w:autoSpaceDN w:val="0"/>
        <w:adjustRightInd w:val="0"/>
        <w:jc w:val="both"/>
        <w:rPr>
          <w:rFonts w:ascii="Arial" w:hAnsi="Arial" w:cs="Arial"/>
          <w:sz w:val="22"/>
          <w:szCs w:val="22"/>
        </w:rPr>
      </w:pPr>
    </w:p>
    <w:p w14:paraId="1329D9ED" w14:textId="786811AB" w:rsidR="00D06A87" w:rsidRDefault="00D06A87" w:rsidP="00AD12C7">
      <w:pPr>
        <w:jc w:val="both"/>
        <w:rPr>
          <w:rFonts w:ascii="Arial" w:hAnsi="Arial" w:cs="Arial"/>
          <w:sz w:val="22"/>
          <w:szCs w:val="22"/>
          <w:lang w:val="en-GB"/>
        </w:rPr>
      </w:pPr>
      <w:r>
        <w:rPr>
          <w:rFonts w:ascii="Arial" w:hAnsi="Arial" w:cs="Arial"/>
          <w:sz w:val="22"/>
          <w:szCs w:val="22"/>
          <w:lang w:val="en-GB"/>
        </w:rPr>
        <w:t xml:space="preserve">Select the </w:t>
      </w:r>
      <w:r w:rsidRPr="00D06A87">
        <w:rPr>
          <w:rFonts w:ascii="Arial" w:hAnsi="Arial" w:cs="Arial"/>
          <w:b/>
          <w:bCs/>
          <w:sz w:val="22"/>
          <w:szCs w:val="22"/>
          <w:lang w:val="en-GB"/>
        </w:rPr>
        <w:t>correct answer</w:t>
      </w:r>
      <w:r>
        <w:rPr>
          <w:rFonts w:ascii="Arial" w:hAnsi="Arial" w:cs="Arial"/>
          <w:sz w:val="22"/>
          <w:szCs w:val="22"/>
          <w:lang w:val="en-GB"/>
        </w:rPr>
        <w:t>.</w:t>
      </w:r>
    </w:p>
    <w:p w14:paraId="7C4E7028" w14:textId="77777777" w:rsidR="00D06A87" w:rsidRDefault="00D06A87" w:rsidP="00AD12C7">
      <w:pPr>
        <w:jc w:val="both"/>
        <w:rPr>
          <w:rFonts w:ascii="Arial" w:hAnsi="Arial" w:cs="Arial"/>
          <w:sz w:val="22"/>
          <w:szCs w:val="22"/>
          <w:lang w:val="en-GB"/>
        </w:rPr>
      </w:pPr>
    </w:p>
    <w:p w14:paraId="56E38F6C" w14:textId="66C65A04" w:rsidR="002C4B43" w:rsidRDefault="002C4B43" w:rsidP="00AD12C7">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r w:rsidR="00AE619D">
        <w:rPr>
          <w:rFonts w:ascii="Arial" w:hAnsi="Arial" w:cs="Arial"/>
          <w:sz w:val="22"/>
          <w:szCs w:val="22"/>
          <w:lang w:val="en-GB"/>
        </w:rPr>
        <w:t xml:space="preserve"> it</w:t>
      </w:r>
      <w:r>
        <w:rPr>
          <w:rFonts w:ascii="Arial" w:hAnsi="Arial" w:cs="Arial"/>
          <w:sz w:val="22"/>
          <w:szCs w:val="22"/>
          <w:lang w:val="en-GB"/>
        </w:rPr>
        <w:t>:</w:t>
      </w:r>
    </w:p>
    <w:p w14:paraId="31D94C6A" w14:textId="77777777" w:rsidR="002C4B43" w:rsidRDefault="002C4B43" w:rsidP="00AD12C7">
      <w:pPr>
        <w:jc w:val="both"/>
        <w:rPr>
          <w:rFonts w:ascii="Arial" w:hAnsi="Arial" w:cs="Arial"/>
          <w:sz w:val="22"/>
          <w:szCs w:val="22"/>
          <w:lang w:val="en-GB"/>
        </w:rPr>
      </w:pPr>
    </w:p>
    <w:p w14:paraId="2D36D8E0" w14:textId="019E772F" w:rsidR="002C4B43" w:rsidRDefault="002C4B43" w:rsidP="0020526E">
      <w:pPr>
        <w:pStyle w:val="Prrafodelista"/>
        <w:numPr>
          <w:ilvl w:val="0"/>
          <w:numId w:val="39"/>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w:t>
      </w:r>
      <w:r w:rsidR="00803C72" w:rsidRPr="0020526E">
        <w:rPr>
          <w:rFonts w:ascii="Arial" w:hAnsi="Arial" w:cs="Arial"/>
          <w:sz w:val="22"/>
          <w:szCs w:val="22"/>
          <w:lang w:val="en-GB"/>
        </w:rPr>
        <w:t>,</w:t>
      </w:r>
      <w:r w:rsidRPr="0020526E">
        <w:rPr>
          <w:rFonts w:ascii="Arial" w:hAnsi="Arial" w:cs="Arial"/>
          <w:sz w:val="22"/>
          <w:szCs w:val="22"/>
          <w:lang w:val="en-GB"/>
        </w:rPr>
        <w:t xml:space="preserve"> or at a time when it is unable to pay its debts and the dominant intention of the company’s directors was to give the applicable creditor a preference over other creditors</w:t>
      </w:r>
      <w:r w:rsidR="00803C72" w:rsidRPr="0020526E">
        <w:rPr>
          <w:rFonts w:ascii="Arial" w:hAnsi="Arial" w:cs="Arial"/>
          <w:sz w:val="22"/>
          <w:szCs w:val="22"/>
          <w:lang w:val="en-GB"/>
        </w:rPr>
        <w:t>.</w:t>
      </w:r>
    </w:p>
    <w:p w14:paraId="0A6CBAA5" w14:textId="77777777" w:rsidR="0020526E" w:rsidRPr="0020526E" w:rsidRDefault="0020526E" w:rsidP="0020526E">
      <w:pPr>
        <w:jc w:val="both"/>
        <w:rPr>
          <w:rFonts w:ascii="Arial" w:hAnsi="Arial" w:cs="Arial"/>
          <w:sz w:val="22"/>
          <w:szCs w:val="22"/>
          <w:lang w:val="en-GB"/>
        </w:rPr>
      </w:pPr>
    </w:p>
    <w:p w14:paraId="2B89F80F" w14:textId="6CFD7D05" w:rsidR="002C4B43" w:rsidRDefault="002C4B43" w:rsidP="0020526E">
      <w:pPr>
        <w:pStyle w:val="Prrafodelista"/>
        <w:numPr>
          <w:ilvl w:val="0"/>
          <w:numId w:val="39"/>
        </w:numPr>
        <w:ind w:left="426"/>
        <w:jc w:val="both"/>
        <w:rPr>
          <w:rFonts w:ascii="Arial" w:hAnsi="Arial" w:cs="Arial"/>
          <w:sz w:val="22"/>
          <w:szCs w:val="22"/>
          <w:lang w:val="en-GB"/>
        </w:rPr>
      </w:pPr>
      <w:r w:rsidRPr="009C6A32">
        <w:rPr>
          <w:rFonts w:ascii="Arial" w:hAnsi="Arial" w:cs="Arial"/>
          <w:sz w:val="22"/>
          <w:szCs w:val="22"/>
          <w:highlight w:val="yellow"/>
          <w:lang w:val="en-GB"/>
        </w:rPr>
        <w:t>occurs in the six months before the deemed commencement of the company’s liquidation and at a time when it is unable to pay its debts and the dominant intention of the company’s directors was to give the applicable creditor a preference over other creditors</w:t>
      </w:r>
      <w:r w:rsidR="00D06A87" w:rsidRPr="0020526E">
        <w:rPr>
          <w:rFonts w:ascii="Arial" w:hAnsi="Arial" w:cs="Arial"/>
          <w:sz w:val="22"/>
          <w:szCs w:val="22"/>
          <w:lang w:val="en-GB"/>
        </w:rPr>
        <w:t>.</w:t>
      </w:r>
    </w:p>
    <w:p w14:paraId="3E6016E4" w14:textId="77777777" w:rsidR="0020526E" w:rsidRPr="0020526E" w:rsidRDefault="0020526E" w:rsidP="0020526E">
      <w:pPr>
        <w:jc w:val="both"/>
        <w:rPr>
          <w:rFonts w:ascii="Arial" w:hAnsi="Arial" w:cs="Arial"/>
          <w:sz w:val="22"/>
          <w:szCs w:val="22"/>
          <w:lang w:val="en-GB"/>
        </w:rPr>
      </w:pPr>
    </w:p>
    <w:p w14:paraId="66FE1ACF" w14:textId="1BE3EF5F" w:rsidR="002C4B43" w:rsidRDefault="002C4B43" w:rsidP="0020526E">
      <w:pPr>
        <w:pStyle w:val="Prrafodelista"/>
        <w:numPr>
          <w:ilvl w:val="0"/>
          <w:numId w:val="39"/>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 and at a time when it is unable to pay its debts</w:t>
      </w:r>
      <w:r w:rsidR="00D06A87" w:rsidRPr="0020526E">
        <w:rPr>
          <w:rFonts w:ascii="Arial" w:hAnsi="Arial" w:cs="Arial"/>
          <w:sz w:val="22"/>
          <w:szCs w:val="22"/>
          <w:lang w:val="en-GB"/>
        </w:rPr>
        <w:t>,</w:t>
      </w:r>
      <w:r w:rsidRPr="0020526E">
        <w:rPr>
          <w:rFonts w:ascii="Arial" w:hAnsi="Arial" w:cs="Arial"/>
          <w:sz w:val="22"/>
          <w:szCs w:val="22"/>
          <w:lang w:val="en-GB"/>
        </w:rPr>
        <w:t xml:space="preserve"> or the dominant intention of the company’s directors was to give the applicable creditor a preference over other creditors</w:t>
      </w:r>
      <w:r w:rsidR="00D06A87" w:rsidRPr="0020526E">
        <w:rPr>
          <w:rFonts w:ascii="Arial" w:hAnsi="Arial" w:cs="Arial"/>
          <w:sz w:val="22"/>
          <w:szCs w:val="22"/>
          <w:lang w:val="en-GB"/>
        </w:rPr>
        <w:t>.</w:t>
      </w:r>
    </w:p>
    <w:p w14:paraId="49C168F3" w14:textId="77777777" w:rsidR="0020526E" w:rsidRPr="0020526E" w:rsidRDefault="0020526E" w:rsidP="0020526E">
      <w:pPr>
        <w:jc w:val="both"/>
        <w:rPr>
          <w:rFonts w:ascii="Arial" w:hAnsi="Arial" w:cs="Arial"/>
          <w:sz w:val="22"/>
          <w:szCs w:val="22"/>
          <w:lang w:val="en-GB"/>
        </w:rPr>
      </w:pPr>
    </w:p>
    <w:p w14:paraId="3D575C5A" w14:textId="3EB926D7" w:rsidR="002C4B43" w:rsidRPr="0020526E" w:rsidRDefault="002C4B43" w:rsidP="0020526E">
      <w:pPr>
        <w:pStyle w:val="Prrafodelista"/>
        <w:numPr>
          <w:ilvl w:val="0"/>
          <w:numId w:val="39"/>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w:t>
      </w:r>
      <w:r w:rsidR="00D06A87" w:rsidRPr="0020526E">
        <w:rPr>
          <w:rFonts w:ascii="Arial" w:hAnsi="Arial" w:cs="Arial"/>
          <w:sz w:val="22"/>
          <w:szCs w:val="22"/>
          <w:lang w:val="en-GB"/>
        </w:rPr>
        <w:t>,</w:t>
      </w:r>
      <w:r w:rsidRPr="0020526E">
        <w:rPr>
          <w:rFonts w:ascii="Arial" w:hAnsi="Arial" w:cs="Arial"/>
          <w:sz w:val="22"/>
          <w:szCs w:val="22"/>
          <w:lang w:val="en-GB"/>
        </w:rPr>
        <w:t xml:space="preserve"> or at a time when it is unable to pay its debts</w:t>
      </w:r>
      <w:r w:rsidR="00D06A87" w:rsidRPr="0020526E">
        <w:rPr>
          <w:rFonts w:ascii="Arial" w:hAnsi="Arial" w:cs="Arial"/>
          <w:sz w:val="22"/>
          <w:szCs w:val="22"/>
          <w:lang w:val="en-GB"/>
        </w:rPr>
        <w:t>,</w:t>
      </w:r>
      <w:r w:rsidRPr="0020526E">
        <w:rPr>
          <w:rFonts w:ascii="Arial" w:hAnsi="Arial" w:cs="Arial"/>
          <w:sz w:val="22"/>
          <w:szCs w:val="22"/>
          <w:lang w:val="en-GB"/>
        </w:rPr>
        <w:t xml:space="preserve"> or the dominant intention of the company’s directors was to give the applicable creditor a preference over other creditors</w:t>
      </w:r>
      <w:r w:rsidR="00D06A87" w:rsidRPr="0020526E">
        <w:rPr>
          <w:rFonts w:ascii="Arial" w:hAnsi="Arial" w:cs="Arial"/>
          <w:sz w:val="22"/>
          <w:szCs w:val="22"/>
          <w:lang w:val="en-GB"/>
        </w:rPr>
        <w:t>.</w:t>
      </w:r>
    </w:p>
    <w:p w14:paraId="7D4BC663" w14:textId="0C110E2E" w:rsidR="005B79F4" w:rsidRDefault="005B79F4" w:rsidP="00C55824">
      <w:pPr>
        <w:jc w:val="both"/>
        <w:rPr>
          <w:rFonts w:ascii="Arial" w:hAnsi="Arial" w:cs="Arial"/>
          <w:sz w:val="22"/>
          <w:szCs w:val="22"/>
        </w:rPr>
      </w:pPr>
    </w:p>
    <w:p w14:paraId="5F06B867" w14:textId="184DA7AB"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920BE7">
        <w:rPr>
          <w:rFonts w:ascii="Arial" w:hAnsi="Arial" w:cs="Arial"/>
          <w:b/>
          <w:bCs/>
          <w:sz w:val="22"/>
          <w:szCs w:val="22"/>
        </w:rPr>
        <w:t>9</w:t>
      </w:r>
    </w:p>
    <w:p w14:paraId="1FDD2BC0" w14:textId="77777777" w:rsidR="00E9597C" w:rsidRPr="00B9639B" w:rsidRDefault="00E9597C" w:rsidP="00C55824">
      <w:pPr>
        <w:jc w:val="both"/>
        <w:rPr>
          <w:rFonts w:ascii="Arial" w:hAnsi="Arial" w:cs="Arial"/>
          <w:sz w:val="22"/>
          <w:szCs w:val="22"/>
        </w:rPr>
      </w:pPr>
    </w:p>
    <w:p w14:paraId="39FD348E" w14:textId="21953ADF" w:rsidR="00023705" w:rsidRDefault="00023705" w:rsidP="00AD12C7">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correct answer</w:t>
      </w:r>
      <w:r w:rsidR="00D06A87">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804D744" w14:textId="12577B9F" w:rsidR="00AD12C7" w:rsidRDefault="002C4B43" w:rsidP="002C4B4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412E4C57" w14:textId="28338DAF" w:rsidR="002C4B43" w:rsidRDefault="002C4B43" w:rsidP="002C4B43">
      <w:pPr>
        <w:jc w:val="both"/>
        <w:rPr>
          <w:rFonts w:ascii="Arial" w:hAnsi="Arial" w:cs="Arial"/>
          <w:sz w:val="22"/>
          <w:szCs w:val="22"/>
          <w:lang w:val="en-GB"/>
        </w:rPr>
      </w:pPr>
    </w:p>
    <w:p w14:paraId="5CCF3183" w14:textId="67EEF3CA" w:rsidR="002C4B43" w:rsidRDefault="002C4B43" w:rsidP="0020526E">
      <w:pPr>
        <w:pStyle w:val="Prrafodelista"/>
        <w:numPr>
          <w:ilvl w:val="0"/>
          <w:numId w:val="40"/>
        </w:numPr>
        <w:ind w:left="426"/>
        <w:jc w:val="both"/>
        <w:rPr>
          <w:rFonts w:ascii="Arial" w:hAnsi="Arial" w:cs="Arial"/>
          <w:sz w:val="22"/>
          <w:szCs w:val="22"/>
          <w:lang w:val="en-GB"/>
        </w:rPr>
      </w:pPr>
      <w:r w:rsidRPr="0020526E">
        <w:rPr>
          <w:rFonts w:ascii="Arial" w:hAnsi="Arial" w:cs="Arial"/>
          <w:sz w:val="22"/>
          <w:szCs w:val="22"/>
          <w:lang w:val="en-GB"/>
        </w:rPr>
        <w:t>50% or more representing 75% or more in value of the creditors must agree</w:t>
      </w:r>
      <w:r w:rsidR="00D06A87" w:rsidRPr="0020526E">
        <w:rPr>
          <w:rFonts w:ascii="Arial" w:hAnsi="Arial" w:cs="Arial"/>
          <w:sz w:val="22"/>
          <w:szCs w:val="22"/>
          <w:lang w:val="en-GB"/>
        </w:rPr>
        <w:t>.</w:t>
      </w:r>
    </w:p>
    <w:p w14:paraId="550B8C0F" w14:textId="77777777" w:rsidR="0020526E" w:rsidRPr="0020526E" w:rsidRDefault="0020526E" w:rsidP="0020526E">
      <w:pPr>
        <w:jc w:val="both"/>
        <w:rPr>
          <w:rFonts w:ascii="Arial" w:hAnsi="Arial" w:cs="Arial"/>
          <w:sz w:val="22"/>
          <w:szCs w:val="22"/>
          <w:lang w:val="en-GB"/>
        </w:rPr>
      </w:pPr>
    </w:p>
    <w:p w14:paraId="09FEDFA5" w14:textId="6013CA5D" w:rsidR="002C4B43" w:rsidRDefault="002C4B43" w:rsidP="0020526E">
      <w:pPr>
        <w:pStyle w:val="Prrafodelista"/>
        <w:numPr>
          <w:ilvl w:val="0"/>
          <w:numId w:val="40"/>
        </w:numPr>
        <w:ind w:left="426"/>
        <w:jc w:val="both"/>
        <w:rPr>
          <w:rFonts w:ascii="Arial" w:hAnsi="Arial" w:cs="Arial"/>
          <w:sz w:val="22"/>
          <w:szCs w:val="22"/>
          <w:lang w:val="en-GB"/>
        </w:rPr>
      </w:pPr>
      <w:r w:rsidRPr="0020526E">
        <w:rPr>
          <w:rFonts w:ascii="Arial" w:hAnsi="Arial" w:cs="Arial"/>
          <w:sz w:val="22"/>
          <w:szCs w:val="22"/>
          <w:lang w:val="en-GB"/>
        </w:rPr>
        <w:t xml:space="preserve">50% or more representing more than 75% </w:t>
      </w:r>
      <w:r w:rsidR="00684D9D">
        <w:rPr>
          <w:rFonts w:ascii="Arial" w:hAnsi="Arial" w:cs="Arial"/>
          <w:sz w:val="22"/>
          <w:szCs w:val="22"/>
          <w:lang w:val="en-GB"/>
        </w:rPr>
        <w:t>o</w:t>
      </w:r>
      <w:r w:rsidRPr="0020526E">
        <w:rPr>
          <w:rFonts w:ascii="Arial" w:hAnsi="Arial" w:cs="Arial"/>
          <w:sz w:val="22"/>
          <w:szCs w:val="22"/>
          <w:lang w:val="en-GB"/>
        </w:rPr>
        <w:t>f the creditors must agree</w:t>
      </w:r>
      <w:r w:rsidR="00D06A87" w:rsidRPr="0020526E">
        <w:rPr>
          <w:rFonts w:ascii="Arial" w:hAnsi="Arial" w:cs="Arial"/>
          <w:sz w:val="22"/>
          <w:szCs w:val="22"/>
          <w:lang w:val="en-GB"/>
        </w:rPr>
        <w:t>.</w:t>
      </w:r>
    </w:p>
    <w:p w14:paraId="70ADC769" w14:textId="77777777" w:rsidR="0020526E" w:rsidRPr="0020526E" w:rsidRDefault="0020526E" w:rsidP="0020526E">
      <w:pPr>
        <w:jc w:val="both"/>
        <w:rPr>
          <w:rFonts w:ascii="Arial" w:hAnsi="Arial" w:cs="Arial"/>
          <w:sz w:val="22"/>
          <w:szCs w:val="22"/>
          <w:lang w:val="en-GB"/>
        </w:rPr>
      </w:pPr>
    </w:p>
    <w:p w14:paraId="76B427CF" w14:textId="41F916DE" w:rsidR="002C4B43" w:rsidRDefault="00684D9D" w:rsidP="0020526E">
      <w:pPr>
        <w:pStyle w:val="Prrafodelista"/>
        <w:numPr>
          <w:ilvl w:val="0"/>
          <w:numId w:val="40"/>
        </w:numPr>
        <w:ind w:left="426"/>
        <w:jc w:val="both"/>
        <w:rPr>
          <w:rFonts w:ascii="Arial" w:hAnsi="Arial" w:cs="Arial"/>
          <w:sz w:val="22"/>
          <w:szCs w:val="22"/>
          <w:lang w:val="en-GB"/>
        </w:rPr>
      </w:pPr>
      <w:r>
        <w:rPr>
          <w:rFonts w:ascii="Arial" w:hAnsi="Arial" w:cs="Arial"/>
          <w:sz w:val="22"/>
          <w:szCs w:val="22"/>
          <w:lang w:val="en-GB"/>
        </w:rPr>
        <w:t>m</w:t>
      </w:r>
      <w:r w:rsidR="002C4B43" w:rsidRPr="0020526E">
        <w:rPr>
          <w:rFonts w:ascii="Arial" w:hAnsi="Arial" w:cs="Arial"/>
          <w:sz w:val="22"/>
          <w:szCs w:val="22"/>
          <w:lang w:val="en-GB"/>
        </w:rPr>
        <w:t>ore than 50% representing more than 75% of the creditors must agree</w:t>
      </w:r>
      <w:r w:rsidR="00D06A87" w:rsidRPr="0020526E">
        <w:rPr>
          <w:rFonts w:ascii="Arial" w:hAnsi="Arial" w:cs="Arial"/>
          <w:sz w:val="22"/>
          <w:szCs w:val="22"/>
          <w:lang w:val="en-GB"/>
        </w:rPr>
        <w:t>.</w:t>
      </w:r>
    </w:p>
    <w:p w14:paraId="73AC8BA6" w14:textId="77777777" w:rsidR="0020526E" w:rsidRPr="0020526E" w:rsidRDefault="0020526E" w:rsidP="0020526E">
      <w:pPr>
        <w:jc w:val="both"/>
        <w:rPr>
          <w:rFonts w:ascii="Arial" w:hAnsi="Arial" w:cs="Arial"/>
          <w:sz w:val="22"/>
          <w:szCs w:val="22"/>
          <w:lang w:val="en-GB"/>
        </w:rPr>
      </w:pPr>
    </w:p>
    <w:p w14:paraId="33EA8AB5" w14:textId="7066AA98" w:rsidR="002C4B43" w:rsidRPr="0020526E" w:rsidRDefault="00684D9D" w:rsidP="0020526E">
      <w:pPr>
        <w:pStyle w:val="Prrafodelista"/>
        <w:numPr>
          <w:ilvl w:val="0"/>
          <w:numId w:val="40"/>
        </w:numPr>
        <w:ind w:left="426"/>
        <w:jc w:val="both"/>
        <w:rPr>
          <w:rFonts w:ascii="Arial" w:hAnsi="Arial" w:cs="Arial"/>
          <w:sz w:val="22"/>
          <w:szCs w:val="22"/>
          <w:lang w:val="en-GB"/>
        </w:rPr>
      </w:pPr>
      <w:r w:rsidRPr="009C6A32">
        <w:rPr>
          <w:rFonts w:ascii="Arial" w:hAnsi="Arial" w:cs="Arial"/>
          <w:sz w:val="22"/>
          <w:szCs w:val="22"/>
          <w:highlight w:val="yellow"/>
          <w:lang w:val="en-GB"/>
        </w:rPr>
        <w:t>m</w:t>
      </w:r>
      <w:r w:rsidR="002C4B43" w:rsidRPr="009C6A32">
        <w:rPr>
          <w:rFonts w:ascii="Arial" w:hAnsi="Arial" w:cs="Arial"/>
          <w:sz w:val="22"/>
          <w:szCs w:val="22"/>
          <w:highlight w:val="yellow"/>
          <w:lang w:val="en-GB"/>
        </w:rPr>
        <w:t xml:space="preserve">ore than 50% representing 75% or more </w:t>
      </w:r>
      <w:r w:rsidR="00016475" w:rsidRPr="009C6A32">
        <w:rPr>
          <w:rFonts w:ascii="Arial" w:hAnsi="Arial" w:cs="Arial"/>
          <w:sz w:val="22"/>
          <w:szCs w:val="22"/>
          <w:highlight w:val="yellow"/>
          <w:lang w:val="en-GB"/>
        </w:rPr>
        <w:t xml:space="preserve">in value </w:t>
      </w:r>
      <w:r w:rsidR="002C4B43" w:rsidRPr="009C6A32">
        <w:rPr>
          <w:rFonts w:ascii="Arial" w:hAnsi="Arial" w:cs="Arial"/>
          <w:sz w:val="22"/>
          <w:szCs w:val="22"/>
          <w:highlight w:val="yellow"/>
          <w:lang w:val="en-GB"/>
        </w:rPr>
        <w:t>of the creditors must agree</w:t>
      </w:r>
      <w:r w:rsidR="00D06A87" w:rsidRPr="009C6A32">
        <w:rPr>
          <w:rFonts w:ascii="Arial" w:hAnsi="Arial" w:cs="Arial"/>
          <w:sz w:val="22"/>
          <w:szCs w:val="22"/>
          <w:highlight w:val="yellow"/>
          <w:lang w:val="en-GB"/>
        </w:rPr>
        <w:t>.</w:t>
      </w:r>
    </w:p>
    <w:p w14:paraId="4BD87DFB" w14:textId="77777777" w:rsidR="00AD12C7" w:rsidRDefault="00AD12C7" w:rsidP="00C55824">
      <w:pPr>
        <w:jc w:val="both"/>
        <w:rPr>
          <w:rFonts w:ascii="Arial" w:eastAsiaTheme="minorHAnsi" w:hAnsi="Arial" w:cs="Arial"/>
          <w:sz w:val="22"/>
          <w:szCs w:val="22"/>
          <w:lang w:val="en-GB"/>
        </w:rPr>
      </w:pPr>
    </w:p>
    <w:p w14:paraId="1F24CE49" w14:textId="6BE8F22B"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1.1</w:t>
      </w:r>
      <w:r w:rsidR="00920BE7">
        <w:rPr>
          <w:rFonts w:ascii="Arial" w:hAnsi="Arial" w:cs="Arial"/>
          <w:b/>
          <w:bCs/>
          <w:sz w:val="22"/>
          <w:szCs w:val="22"/>
        </w:rPr>
        <w:t>0</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5327B7">
        <w:rPr>
          <w:rFonts w:ascii="Arial" w:hAnsi="Arial" w:cs="Arial"/>
          <w:b/>
          <w:bCs/>
          <w:sz w:val="22"/>
          <w:szCs w:val="22"/>
        </w:rPr>
        <w:t>incorrect</w:t>
      </w:r>
      <w:r>
        <w:rPr>
          <w:rFonts w:ascii="Arial" w:hAnsi="Arial" w:cs="Arial"/>
          <w:b/>
          <w:bCs/>
          <w:sz w:val="22"/>
          <w:szCs w:val="22"/>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47C3E92E"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r w:rsidR="00126081">
        <w:rPr>
          <w:rFonts w:ascii="Arial" w:hAnsi="Arial" w:cs="Arial"/>
          <w:sz w:val="22"/>
          <w:szCs w:val="22"/>
        </w:rPr>
        <w:t xml:space="preserve"> the</w:t>
      </w:r>
      <w:r>
        <w:rPr>
          <w:rFonts w:ascii="Arial" w:hAnsi="Arial" w:cs="Arial"/>
          <w:sz w:val="22"/>
          <w:szCs w:val="22"/>
        </w:rPr>
        <w:t>:</w:t>
      </w:r>
    </w:p>
    <w:p w14:paraId="64C89572" w14:textId="77777777" w:rsidR="005327B7" w:rsidRDefault="005327B7" w:rsidP="00C55824">
      <w:pPr>
        <w:jc w:val="both"/>
        <w:rPr>
          <w:rFonts w:ascii="Arial" w:hAnsi="Arial" w:cs="Arial"/>
          <w:sz w:val="22"/>
          <w:szCs w:val="22"/>
        </w:rPr>
      </w:pPr>
    </w:p>
    <w:p w14:paraId="183FD236" w14:textId="31AEB01F" w:rsidR="002C4B43" w:rsidRDefault="005327B7" w:rsidP="0020526E">
      <w:pPr>
        <w:pStyle w:val="Prrafodelista"/>
        <w:numPr>
          <w:ilvl w:val="0"/>
          <w:numId w:val="41"/>
        </w:numPr>
        <w:ind w:left="426"/>
        <w:jc w:val="both"/>
        <w:rPr>
          <w:rFonts w:ascii="Arial" w:hAnsi="Arial" w:cs="Arial"/>
          <w:sz w:val="22"/>
          <w:szCs w:val="22"/>
          <w:lang w:val="en-GB"/>
        </w:rPr>
      </w:pPr>
      <w:r>
        <w:rPr>
          <w:rFonts w:ascii="Arial" w:hAnsi="Arial" w:cs="Arial"/>
          <w:sz w:val="22"/>
          <w:szCs w:val="22"/>
          <w:lang w:val="en-GB"/>
        </w:rPr>
        <w:t>company passes a special resolution requiring it to be wound up</w:t>
      </w:r>
      <w:r w:rsidR="00D06A87">
        <w:rPr>
          <w:rFonts w:ascii="Arial" w:hAnsi="Arial" w:cs="Arial"/>
          <w:sz w:val="22"/>
          <w:szCs w:val="22"/>
          <w:lang w:val="en-GB"/>
        </w:rPr>
        <w:t>.</w:t>
      </w:r>
    </w:p>
    <w:p w14:paraId="5816B264" w14:textId="77777777" w:rsidR="0020526E" w:rsidRPr="0020526E" w:rsidRDefault="0020526E" w:rsidP="0020526E">
      <w:pPr>
        <w:ind w:left="66"/>
        <w:jc w:val="both"/>
        <w:rPr>
          <w:rFonts w:ascii="Arial" w:hAnsi="Arial" w:cs="Arial"/>
          <w:sz w:val="22"/>
          <w:szCs w:val="22"/>
          <w:lang w:val="en-GB"/>
        </w:rPr>
      </w:pPr>
    </w:p>
    <w:p w14:paraId="3C399740" w14:textId="29BF04D3" w:rsidR="005327B7" w:rsidRDefault="005327B7" w:rsidP="0020526E">
      <w:pPr>
        <w:pStyle w:val="Prrafodelista"/>
        <w:numPr>
          <w:ilvl w:val="0"/>
          <w:numId w:val="41"/>
        </w:numPr>
        <w:ind w:left="426"/>
        <w:jc w:val="both"/>
        <w:rPr>
          <w:rFonts w:ascii="Arial" w:hAnsi="Arial" w:cs="Arial"/>
          <w:sz w:val="22"/>
          <w:szCs w:val="22"/>
          <w:lang w:val="en-GB"/>
        </w:rPr>
      </w:pPr>
      <w:r>
        <w:rPr>
          <w:rFonts w:ascii="Arial" w:hAnsi="Arial" w:cs="Arial"/>
          <w:sz w:val="22"/>
          <w:szCs w:val="22"/>
          <w:lang w:val="en-GB"/>
        </w:rPr>
        <w:t>company does not commence business within a year of incorporation</w:t>
      </w:r>
      <w:r w:rsidR="00D06A87">
        <w:rPr>
          <w:rFonts w:ascii="Arial" w:hAnsi="Arial" w:cs="Arial"/>
          <w:sz w:val="22"/>
          <w:szCs w:val="22"/>
          <w:lang w:val="en-GB"/>
        </w:rPr>
        <w:t>.</w:t>
      </w:r>
    </w:p>
    <w:p w14:paraId="4E2D0EEF" w14:textId="77777777" w:rsidR="0020526E" w:rsidRPr="0020526E" w:rsidRDefault="0020526E" w:rsidP="0020526E">
      <w:pPr>
        <w:ind w:left="66"/>
        <w:jc w:val="both"/>
        <w:rPr>
          <w:rFonts w:ascii="Arial" w:hAnsi="Arial" w:cs="Arial"/>
          <w:sz w:val="22"/>
          <w:szCs w:val="22"/>
          <w:lang w:val="en-GB"/>
        </w:rPr>
      </w:pPr>
    </w:p>
    <w:p w14:paraId="4693129F" w14:textId="4BC5CB9C" w:rsidR="005327B7" w:rsidRDefault="005327B7" w:rsidP="0020526E">
      <w:pPr>
        <w:pStyle w:val="Prrafodelista"/>
        <w:numPr>
          <w:ilvl w:val="0"/>
          <w:numId w:val="41"/>
        </w:numPr>
        <w:ind w:left="426"/>
        <w:jc w:val="both"/>
        <w:rPr>
          <w:rFonts w:ascii="Arial" w:hAnsi="Arial" w:cs="Arial"/>
          <w:sz w:val="22"/>
          <w:szCs w:val="22"/>
          <w:lang w:val="en-GB"/>
        </w:rPr>
      </w:pPr>
      <w:r>
        <w:rPr>
          <w:rFonts w:ascii="Arial" w:hAnsi="Arial" w:cs="Arial"/>
          <w:sz w:val="22"/>
          <w:szCs w:val="22"/>
          <w:lang w:val="en-GB"/>
        </w:rPr>
        <w:t>company is unable to pay its debts</w:t>
      </w:r>
      <w:r w:rsidR="00D06A87">
        <w:rPr>
          <w:rFonts w:ascii="Arial" w:hAnsi="Arial" w:cs="Arial"/>
          <w:sz w:val="22"/>
          <w:szCs w:val="22"/>
          <w:lang w:val="en-GB"/>
        </w:rPr>
        <w:t>.</w:t>
      </w:r>
    </w:p>
    <w:p w14:paraId="49CC2231" w14:textId="06E215DF" w:rsidR="0020526E" w:rsidRDefault="0020526E" w:rsidP="0020526E">
      <w:pPr>
        <w:ind w:left="66"/>
        <w:jc w:val="both"/>
        <w:rPr>
          <w:rFonts w:ascii="Arial" w:hAnsi="Arial" w:cs="Arial"/>
          <w:sz w:val="22"/>
          <w:szCs w:val="22"/>
          <w:lang w:val="en-GB"/>
        </w:rPr>
      </w:pPr>
    </w:p>
    <w:p w14:paraId="2A6DC602" w14:textId="77777777" w:rsidR="00126081" w:rsidRPr="0020526E" w:rsidRDefault="00126081" w:rsidP="0020526E">
      <w:pPr>
        <w:ind w:left="66"/>
        <w:jc w:val="both"/>
        <w:rPr>
          <w:rFonts w:ascii="Arial" w:hAnsi="Arial" w:cs="Arial"/>
          <w:sz w:val="22"/>
          <w:szCs w:val="22"/>
          <w:lang w:val="en-GB"/>
        </w:rPr>
      </w:pPr>
    </w:p>
    <w:p w14:paraId="54C62EA5" w14:textId="505204D4" w:rsidR="005327B7" w:rsidRPr="001D74AE" w:rsidRDefault="005327B7" w:rsidP="0020526E">
      <w:pPr>
        <w:pStyle w:val="Prrafodelista"/>
        <w:numPr>
          <w:ilvl w:val="0"/>
          <w:numId w:val="41"/>
        </w:numPr>
        <w:ind w:left="426"/>
        <w:jc w:val="both"/>
        <w:rPr>
          <w:rFonts w:ascii="Arial" w:hAnsi="Arial" w:cs="Arial"/>
          <w:sz w:val="22"/>
          <w:szCs w:val="22"/>
          <w:highlight w:val="yellow"/>
          <w:lang w:val="en-GB"/>
        </w:rPr>
      </w:pPr>
      <w:r w:rsidRPr="001D74AE">
        <w:rPr>
          <w:rFonts w:ascii="Arial" w:hAnsi="Arial" w:cs="Arial"/>
          <w:sz w:val="22"/>
          <w:szCs w:val="22"/>
          <w:highlight w:val="yellow"/>
          <w:lang w:val="en-GB"/>
        </w:rPr>
        <w:t>board of directors decides it is “just and equitable” for the company to be wound up</w:t>
      </w:r>
      <w:r w:rsidR="00D06A87" w:rsidRPr="001D74AE">
        <w:rPr>
          <w:rFonts w:ascii="Arial" w:hAnsi="Arial" w:cs="Arial"/>
          <w:sz w:val="22"/>
          <w:szCs w:val="22"/>
          <w:highlight w:val="yellow"/>
          <w:lang w:val="en-GB"/>
        </w:rPr>
        <w:t>.</w:t>
      </w:r>
    </w:p>
    <w:p w14:paraId="75902B81" w14:textId="77777777" w:rsidR="00126081" w:rsidRPr="00126081" w:rsidRDefault="00126081" w:rsidP="00126081">
      <w:pPr>
        <w:ind w:left="66"/>
        <w:jc w:val="both"/>
        <w:rPr>
          <w:rFonts w:ascii="Arial" w:hAnsi="Arial" w:cs="Arial"/>
          <w:sz w:val="22"/>
          <w:szCs w:val="22"/>
          <w:lang w:val="en-GB"/>
        </w:rPr>
      </w:pPr>
    </w:p>
    <w:p w14:paraId="00D29C75" w14:textId="3B27F4AB" w:rsidR="005327B7" w:rsidRPr="00416D2B" w:rsidRDefault="005327B7" w:rsidP="0020526E">
      <w:pPr>
        <w:pStyle w:val="Prrafodelista"/>
        <w:numPr>
          <w:ilvl w:val="0"/>
          <w:numId w:val="41"/>
        </w:numPr>
        <w:ind w:left="426"/>
        <w:jc w:val="both"/>
        <w:rPr>
          <w:rFonts w:ascii="Arial" w:hAnsi="Arial" w:cs="Arial"/>
          <w:sz w:val="22"/>
          <w:szCs w:val="22"/>
          <w:lang w:val="en-GB"/>
        </w:rPr>
      </w:pPr>
      <w:r>
        <w:rPr>
          <w:rFonts w:ascii="Arial" w:hAnsi="Arial" w:cs="Arial"/>
          <w:sz w:val="22"/>
          <w:szCs w:val="22"/>
          <w:lang w:val="en-GB"/>
        </w:rPr>
        <w:t>company is carrying on regulated business in the Cayman Islands without a license.</w:t>
      </w:r>
    </w:p>
    <w:p w14:paraId="5BB957E4" w14:textId="305790B2" w:rsidR="00416D2B" w:rsidRDefault="00416D2B" w:rsidP="002A37BB">
      <w:pPr>
        <w:jc w:val="both"/>
        <w:rPr>
          <w:rFonts w:ascii="Arial" w:hAnsi="Arial" w:cs="Arial"/>
          <w:bCs/>
          <w:sz w:val="22"/>
          <w:szCs w:val="22"/>
          <w:lang w:val="en-GB"/>
        </w:rPr>
      </w:pPr>
    </w:p>
    <w:p w14:paraId="2A56CB6A" w14:textId="77777777" w:rsidR="00AB0E3A" w:rsidRPr="00C55824" w:rsidRDefault="00AB0E3A"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9779D96" w:rsidR="00D27CBC" w:rsidRDefault="00A26898" w:rsidP="00D27CBC">
      <w:pPr>
        <w:jc w:val="both"/>
        <w:rPr>
          <w:rFonts w:ascii="Arial" w:hAnsi="Arial" w:cs="Arial"/>
          <w:sz w:val="22"/>
          <w:szCs w:val="22"/>
          <w:lang w:val="en-GB"/>
        </w:rPr>
      </w:pPr>
      <w:r>
        <w:rPr>
          <w:rFonts w:ascii="Arial" w:hAnsi="Arial" w:cs="Arial"/>
          <w:sz w:val="22"/>
          <w:szCs w:val="22"/>
          <w:lang w:val="en-GB"/>
        </w:rPr>
        <w:t xml:space="preserve">Explain the </w:t>
      </w:r>
      <w:r w:rsidR="00E45C5C">
        <w:rPr>
          <w:rFonts w:ascii="Arial" w:hAnsi="Arial" w:cs="Arial"/>
          <w:sz w:val="22"/>
          <w:szCs w:val="22"/>
          <w:lang w:val="en-GB"/>
        </w:rPr>
        <w:t xml:space="preserve">extent to which it is possible to register 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w:t>
      </w:r>
    </w:p>
    <w:p w14:paraId="14F77008" w14:textId="73919960" w:rsidR="00A26898" w:rsidRDefault="00A26898" w:rsidP="00D27CBC">
      <w:pPr>
        <w:jc w:val="both"/>
        <w:rPr>
          <w:rFonts w:ascii="Arial" w:hAnsi="Arial" w:cs="Arial"/>
          <w:sz w:val="22"/>
          <w:szCs w:val="22"/>
          <w:lang w:val="en-GB"/>
        </w:rPr>
      </w:pPr>
    </w:p>
    <w:p w14:paraId="2B6D43B0" w14:textId="77777777" w:rsidR="00E13528" w:rsidRPr="00E13528" w:rsidRDefault="00E13528" w:rsidP="00E13528">
      <w:pPr>
        <w:ind w:left="709" w:hanging="709"/>
        <w:jc w:val="both"/>
        <w:rPr>
          <w:rFonts w:ascii="Arial" w:hAnsi="Arial" w:cs="Arial"/>
          <w:color w:val="808080" w:themeColor="background1" w:themeShade="80"/>
          <w:sz w:val="22"/>
          <w:szCs w:val="22"/>
          <w:lang w:val="en-GB"/>
        </w:rPr>
      </w:pPr>
      <w:r w:rsidRPr="00E13528">
        <w:rPr>
          <w:rFonts w:ascii="Arial" w:hAnsi="Arial" w:cs="Arial"/>
          <w:color w:val="808080" w:themeColor="background1" w:themeShade="80"/>
          <w:sz w:val="22"/>
          <w:szCs w:val="22"/>
          <w:lang w:val="en-GB"/>
        </w:rPr>
        <w:t>There is not a centralized register for securities assets in the Cayman Islands. Security must be registered if is over the real state, ships, aircraft, motor vehicles, and intellectual property. For that reason, a secured creditor over another sort of assets, different to described, have to ensure that has sufficient control to prevent the sale of each secured asset to a third party.</w:t>
      </w:r>
    </w:p>
    <w:p w14:paraId="19CA7CA0" w14:textId="77777777" w:rsidR="00E13528" w:rsidRPr="00E13528" w:rsidRDefault="00E13528" w:rsidP="00E13528">
      <w:pPr>
        <w:ind w:left="709" w:hanging="709"/>
        <w:jc w:val="both"/>
        <w:rPr>
          <w:rFonts w:ascii="Arial" w:hAnsi="Arial" w:cs="Arial"/>
          <w:color w:val="808080" w:themeColor="background1" w:themeShade="80"/>
          <w:sz w:val="22"/>
          <w:szCs w:val="22"/>
          <w:lang w:val="en-GB"/>
        </w:rPr>
      </w:pPr>
    </w:p>
    <w:p w14:paraId="16E19D36" w14:textId="081BB6C2" w:rsidR="002B3A96" w:rsidRDefault="00E13528" w:rsidP="00E13528">
      <w:pPr>
        <w:ind w:left="709" w:hanging="709"/>
        <w:jc w:val="both"/>
        <w:rPr>
          <w:rFonts w:ascii="Arial" w:hAnsi="Arial" w:cs="Arial"/>
          <w:color w:val="808080" w:themeColor="background1" w:themeShade="80"/>
          <w:sz w:val="22"/>
          <w:szCs w:val="22"/>
          <w:lang w:val="en-GB"/>
        </w:rPr>
      </w:pPr>
      <w:r w:rsidRPr="00E13528">
        <w:rPr>
          <w:rFonts w:ascii="Arial" w:hAnsi="Arial" w:cs="Arial"/>
          <w:color w:val="808080" w:themeColor="background1" w:themeShade="80"/>
          <w:sz w:val="22"/>
          <w:szCs w:val="22"/>
          <w:lang w:val="en-GB"/>
        </w:rPr>
        <w:t>Nonetheless, a creditor may register its security on the Register of Mortgages and Charges, but it does not create a priority. In any case, the location of assets will determine applicable rules regarding preference and perfection of security interests.</w:t>
      </w: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77777777" w:rsidR="00D27CBC" w:rsidRPr="00B70966" w:rsidRDefault="00D27CBC" w:rsidP="00D27CBC">
      <w:pPr>
        <w:jc w:val="both"/>
        <w:rPr>
          <w:rFonts w:ascii="Arial" w:hAnsi="Arial" w:cs="Arial"/>
          <w:sz w:val="22"/>
          <w:szCs w:val="22"/>
          <w:lang w:val="en-GB"/>
        </w:rPr>
      </w:pPr>
      <w:r w:rsidRPr="00B70966">
        <w:rPr>
          <w:rFonts w:ascii="Arial" w:hAnsi="Arial" w:cs="Arial"/>
          <w:sz w:val="22"/>
          <w:szCs w:val="22"/>
          <w:lang w:val="en-GB"/>
        </w:rPr>
        <w:t xml:space="preserve">Explain the legal basis for the Cayman Islands Grand Court’s power to assist foreign bankruptcy proceedings and </w:t>
      </w:r>
      <w:r>
        <w:rPr>
          <w:rFonts w:ascii="Arial" w:hAnsi="Arial" w:cs="Arial"/>
          <w:sz w:val="22"/>
          <w:szCs w:val="22"/>
          <w:lang w:val="en-GB"/>
        </w:rPr>
        <w:t xml:space="preserve">the </w:t>
      </w:r>
      <w:r w:rsidRPr="00B70966">
        <w:rPr>
          <w:rFonts w:ascii="Arial" w:hAnsi="Arial" w:cs="Arial"/>
          <w:sz w:val="22"/>
          <w:szCs w:val="22"/>
          <w:lang w:val="en-GB"/>
        </w:rPr>
        <w:t>circumstances in which such powers may be exercised.</w:t>
      </w:r>
    </w:p>
    <w:p w14:paraId="176341A6" w14:textId="77777777" w:rsidR="00D27CBC" w:rsidRDefault="00D27CBC" w:rsidP="00D27CBC">
      <w:pPr>
        <w:jc w:val="both"/>
        <w:rPr>
          <w:rFonts w:ascii="Arial" w:hAnsi="Arial" w:cs="Arial"/>
          <w:b/>
          <w:bCs/>
          <w:sz w:val="22"/>
          <w:szCs w:val="22"/>
          <w:lang w:val="en-GB"/>
        </w:rPr>
      </w:pPr>
    </w:p>
    <w:p w14:paraId="55054633" w14:textId="1C29F057" w:rsidR="006168C6" w:rsidRPr="006168C6" w:rsidRDefault="00E13528" w:rsidP="00E13528">
      <w:pPr>
        <w:ind w:left="709" w:hanging="709"/>
        <w:jc w:val="both"/>
        <w:rPr>
          <w:rFonts w:ascii="Arial" w:hAnsi="Arial" w:cs="Arial"/>
          <w:color w:val="808080" w:themeColor="background1" w:themeShade="80"/>
          <w:sz w:val="22"/>
          <w:szCs w:val="22"/>
          <w:lang w:val="en-GB"/>
        </w:rPr>
      </w:pPr>
      <w:r w:rsidRPr="00E13528">
        <w:rPr>
          <w:rFonts w:ascii="Arial" w:hAnsi="Arial" w:cs="Arial"/>
          <w:color w:val="808080" w:themeColor="background1" w:themeShade="80"/>
          <w:sz w:val="22"/>
          <w:szCs w:val="22"/>
          <w:lang w:val="en-GB"/>
        </w:rPr>
        <w:t>The Cayman Islands has not implemented the UNCITRAL Model Law on Cross-border Insolvency. Nonetheless, the Cayman Islands Grand Court has the discretion to grant some reliefs that could comprise some ancillary orders as recognizing the right of a foreign representative to act in the Islands on behalf of, or in the name of, a debtor; staying the enforcement of any judgment against a debtor; among others.</w:t>
      </w:r>
      <w:r w:rsidR="006168C6" w:rsidRPr="006168C6">
        <w:rPr>
          <w:rFonts w:ascii="Arial" w:hAnsi="Arial" w:cs="Arial"/>
          <w:color w:val="808080" w:themeColor="background1" w:themeShade="80"/>
          <w:sz w:val="22"/>
          <w:szCs w:val="22"/>
          <w:lang w:val="en-GB"/>
        </w:rPr>
        <w:t xml:space="preserve"> </w:t>
      </w:r>
    </w:p>
    <w:p w14:paraId="4662E386" w14:textId="77777777" w:rsidR="006168C6" w:rsidRPr="006168C6" w:rsidRDefault="006168C6" w:rsidP="006168C6">
      <w:pPr>
        <w:jc w:val="both"/>
        <w:rPr>
          <w:rFonts w:ascii="Arial" w:hAnsi="Arial" w:cs="Arial"/>
          <w:color w:val="808080" w:themeColor="background1" w:themeShade="80"/>
          <w:sz w:val="22"/>
          <w:szCs w:val="22"/>
          <w:lang w:val="en-GB"/>
        </w:rPr>
      </w:pPr>
    </w:p>
    <w:p w14:paraId="5ABF7314" w14:textId="77777777" w:rsidR="006168C6" w:rsidRPr="006168C6" w:rsidRDefault="006168C6" w:rsidP="00E13528">
      <w:pPr>
        <w:ind w:left="709" w:hanging="709"/>
        <w:jc w:val="both"/>
        <w:rPr>
          <w:rFonts w:ascii="Arial" w:hAnsi="Arial" w:cs="Arial"/>
          <w:color w:val="808080" w:themeColor="background1" w:themeShade="80"/>
          <w:sz w:val="22"/>
          <w:szCs w:val="22"/>
          <w:lang w:val="en-GB"/>
        </w:rPr>
      </w:pPr>
      <w:r w:rsidRPr="006168C6">
        <w:rPr>
          <w:rFonts w:ascii="Arial" w:hAnsi="Arial" w:cs="Arial"/>
          <w:color w:val="808080" w:themeColor="background1" w:themeShade="80"/>
          <w:sz w:val="22"/>
          <w:szCs w:val="22"/>
          <w:lang w:val="en-GB"/>
        </w:rPr>
        <w:t xml:space="preserve">To exercise the discretionary power, the Cayman Islands Grand Court must follow some criteria to ensure economic and expeditious administration of the debtor’s state. It implies “just treatment of all holders of claims, wherever they are domiciled, in accordance with established principles of natural justice; the protection of claim holders in the Cayman Islands against prejudice and inconvenience in the processing of claims in foreign proceedings; the prevention of preferential or fraudulent dispositions of property in the debtor’s estate; the distribution of the estate among creditors substantially in accordance with the statutory order of priority; the recognition and enforcement of security interests created by the debtor; the non-enforcement of foreign taxes, fines and penalties; comity (mutual recognition and co-operation concerning legal decisions)” (section 243, Companies Law) </w:t>
      </w:r>
    </w:p>
    <w:p w14:paraId="7DAEB994" w14:textId="77777777" w:rsidR="006168C6" w:rsidRPr="006168C6" w:rsidRDefault="006168C6" w:rsidP="006168C6">
      <w:pPr>
        <w:jc w:val="both"/>
        <w:rPr>
          <w:rFonts w:ascii="Arial" w:hAnsi="Arial" w:cs="Arial"/>
          <w:color w:val="808080" w:themeColor="background1" w:themeShade="80"/>
          <w:sz w:val="22"/>
          <w:szCs w:val="22"/>
          <w:lang w:val="en-GB"/>
        </w:rPr>
      </w:pPr>
    </w:p>
    <w:p w14:paraId="7891321B" w14:textId="77777777" w:rsidR="00E13528" w:rsidRPr="00E13528" w:rsidRDefault="00E13528" w:rsidP="00E13528">
      <w:pPr>
        <w:ind w:left="709" w:hanging="709"/>
        <w:jc w:val="both"/>
        <w:rPr>
          <w:rFonts w:ascii="Arial" w:hAnsi="Arial" w:cs="Arial"/>
          <w:color w:val="808080" w:themeColor="background1" w:themeShade="80"/>
          <w:sz w:val="22"/>
          <w:szCs w:val="22"/>
          <w:lang w:val="en-GB"/>
        </w:rPr>
      </w:pPr>
      <w:r w:rsidRPr="00E13528">
        <w:rPr>
          <w:rFonts w:ascii="Arial" w:hAnsi="Arial" w:cs="Arial"/>
          <w:color w:val="808080" w:themeColor="background1" w:themeShade="80"/>
          <w:sz w:val="22"/>
          <w:szCs w:val="22"/>
          <w:lang w:val="en-GB"/>
        </w:rPr>
        <w:t>In addition, the Cayman Islands does not provide legislation for protocols. However, a liquidator could reach protocols with foreign representatives to ensure the orderly administration of an estate of a company in official liquidation, avoidance of duplication of work, and avoidance of conflict between the official liquidator and the foreign representative.</w:t>
      </w:r>
    </w:p>
    <w:p w14:paraId="753C1F74" w14:textId="77777777" w:rsidR="00E13528" w:rsidRPr="00E13528" w:rsidRDefault="00E13528" w:rsidP="00E13528">
      <w:pPr>
        <w:ind w:left="709" w:hanging="709"/>
        <w:jc w:val="both"/>
        <w:rPr>
          <w:rFonts w:ascii="Arial" w:hAnsi="Arial" w:cs="Arial"/>
          <w:color w:val="808080" w:themeColor="background1" w:themeShade="80"/>
          <w:sz w:val="22"/>
          <w:szCs w:val="22"/>
          <w:lang w:val="en-GB"/>
        </w:rPr>
      </w:pPr>
    </w:p>
    <w:p w14:paraId="1551A3B2" w14:textId="071F7DE3" w:rsidR="006168C6" w:rsidRDefault="00E13528" w:rsidP="00E13528">
      <w:pPr>
        <w:ind w:left="709" w:hanging="709"/>
        <w:jc w:val="both"/>
        <w:rPr>
          <w:rFonts w:ascii="Arial" w:hAnsi="Arial" w:cs="Arial"/>
          <w:color w:val="808080" w:themeColor="background1" w:themeShade="80"/>
          <w:sz w:val="22"/>
          <w:szCs w:val="22"/>
          <w:lang w:val="en-GB"/>
        </w:rPr>
      </w:pPr>
      <w:r w:rsidRPr="00E13528">
        <w:rPr>
          <w:rFonts w:ascii="Arial" w:hAnsi="Arial" w:cs="Arial"/>
          <w:color w:val="808080" w:themeColor="background1" w:themeShade="80"/>
          <w:sz w:val="22"/>
          <w:szCs w:val="22"/>
          <w:lang w:val="en-GB"/>
        </w:rPr>
        <w:t>Finally, every creditor will be treated in equal conditions, because the Cayman Islan</w:t>
      </w:r>
      <w:r>
        <w:rPr>
          <w:rFonts w:ascii="Arial" w:hAnsi="Arial" w:cs="Arial"/>
          <w:color w:val="808080" w:themeColor="background1" w:themeShade="80"/>
          <w:sz w:val="22"/>
          <w:szCs w:val="22"/>
          <w:lang w:val="en-GB"/>
        </w:rPr>
        <w:t>ds legislation is pro creditors</w:t>
      </w:r>
      <w:r w:rsidR="006168C6">
        <w:rPr>
          <w:rFonts w:ascii="Arial" w:hAnsi="Arial" w:cs="Arial"/>
          <w:color w:val="808080" w:themeColor="background1" w:themeShade="80"/>
          <w:sz w:val="22"/>
          <w:szCs w:val="22"/>
          <w:lang w:val="en-GB"/>
        </w:rPr>
        <w:t>.</w:t>
      </w:r>
    </w:p>
    <w:p w14:paraId="1CFEF39B" w14:textId="77777777" w:rsidR="006168C6" w:rsidRDefault="006168C6" w:rsidP="006168C6">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30F79B9E" w14:textId="2A666977" w:rsidR="00E4294D" w:rsidRDefault="00E13528" w:rsidP="00E13528">
      <w:pPr>
        <w:ind w:left="709" w:hanging="709"/>
        <w:jc w:val="both"/>
        <w:rPr>
          <w:rFonts w:ascii="Arial" w:hAnsi="Arial" w:cs="Arial"/>
          <w:color w:val="808080" w:themeColor="background1" w:themeShade="80"/>
          <w:sz w:val="22"/>
          <w:szCs w:val="22"/>
          <w:lang w:val="en-GB"/>
        </w:rPr>
      </w:pPr>
      <w:r w:rsidRPr="00E13528">
        <w:rPr>
          <w:rFonts w:ascii="Arial" w:hAnsi="Arial" w:cs="Arial"/>
          <w:color w:val="808080" w:themeColor="background1" w:themeShade="80"/>
          <w:sz w:val="22"/>
          <w:szCs w:val="22"/>
          <w:lang w:val="en-GB"/>
        </w:rPr>
        <w:t>The requirements for the recognition of foreign judgments depend on whether where the country from which the judgment originates assures substantial reciprocity of treatment regarding the enforcement of Cayman Islands Judgments, an event in which applies Order 71 of the Grand Court Rules. If that requirement does not fulfill, then will be applicable The Grand Court Rules (or the regular procedural regime for litigation), as follow:</w:t>
      </w:r>
    </w:p>
    <w:p w14:paraId="1EA2F3DD" w14:textId="77777777" w:rsidR="009164CB" w:rsidRPr="00AB0E3A" w:rsidRDefault="009164CB" w:rsidP="00013C83">
      <w:pPr>
        <w:jc w:val="both"/>
        <w:rPr>
          <w:rFonts w:ascii="Arial" w:hAnsi="Arial" w:cs="Arial"/>
          <w:color w:val="808080" w:themeColor="background1" w:themeShade="80"/>
          <w:sz w:val="22"/>
          <w:szCs w:val="22"/>
          <w:lang w:val="en-GB"/>
        </w:rPr>
      </w:pPr>
    </w:p>
    <w:tbl>
      <w:tblPr>
        <w:tblStyle w:val="Tablaconcuadrcula"/>
        <w:tblW w:w="0" w:type="auto"/>
        <w:tblLook w:val="04A0" w:firstRow="1" w:lastRow="0" w:firstColumn="1" w:lastColumn="0" w:noHBand="0" w:noVBand="1"/>
      </w:tblPr>
      <w:tblGrid>
        <w:gridCol w:w="4508"/>
        <w:gridCol w:w="4508"/>
      </w:tblGrid>
      <w:tr w:rsidR="00F92042" w14:paraId="790A0143" w14:textId="77777777" w:rsidTr="00F92042">
        <w:tc>
          <w:tcPr>
            <w:tcW w:w="4508" w:type="dxa"/>
            <w:shd w:val="clear" w:color="auto" w:fill="D9D9D9" w:themeFill="background1" w:themeFillShade="D9"/>
          </w:tcPr>
          <w:p w14:paraId="2BA98915" w14:textId="5C3C2EFD" w:rsidR="00F92042" w:rsidRPr="00F92042" w:rsidRDefault="00F92042" w:rsidP="00D27CBC">
            <w:pPr>
              <w:jc w:val="both"/>
              <w:rPr>
                <w:rFonts w:ascii="Arial" w:hAnsi="Arial" w:cs="Arial"/>
                <w:b/>
                <w:bCs/>
                <w:color w:val="44546A" w:themeColor="text2"/>
                <w:sz w:val="22"/>
                <w:szCs w:val="22"/>
                <w:lang w:val="en-GB"/>
              </w:rPr>
            </w:pPr>
            <w:r w:rsidRPr="00F92042">
              <w:rPr>
                <w:rFonts w:ascii="Arial" w:hAnsi="Arial" w:cs="Arial"/>
                <w:b/>
                <w:color w:val="808080" w:themeColor="background1" w:themeShade="80"/>
                <w:sz w:val="22"/>
                <w:szCs w:val="22"/>
                <w:lang w:val="en-GB"/>
              </w:rPr>
              <w:t>Order 71 of the Grand Court Rules or Law of 1996</w:t>
            </w:r>
          </w:p>
        </w:tc>
        <w:tc>
          <w:tcPr>
            <w:tcW w:w="4508" w:type="dxa"/>
            <w:shd w:val="clear" w:color="auto" w:fill="D9D9D9" w:themeFill="background1" w:themeFillShade="D9"/>
          </w:tcPr>
          <w:p w14:paraId="21FCC478" w14:textId="3CFC9941" w:rsidR="00F92042" w:rsidRPr="00F92042" w:rsidRDefault="00F92042" w:rsidP="00D27CBC">
            <w:pPr>
              <w:jc w:val="both"/>
              <w:rPr>
                <w:rFonts w:ascii="Arial" w:hAnsi="Arial" w:cs="Arial"/>
                <w:b/>
                <w:bCs/>
                <w:color w:val="44546A" w:themeColor="text2"/>
                <w:sz w:val="22"/>
                <w:szCs w:val="22"/>
                <w:lang w:val="en-GB"/>
              </w:rPr>
            </w:pPr>
            <w:r w:rsidRPr="00F92042">
              <w:rPr>
                <w:rFonts w:ascii="Arial" w:hAnsi="Arial" w:cs="Arial"/>
                <w:b/>
                <w:color w:val="808080" w:themeColor="background1" w:themeShade="80"/>
                <w:sz w:val="22"/>
                <w:szCs w:val="22"/>
                <w:lang w:val="en-GB"/>
              </w:rPr>
              <w:t>The Grand Court Rules (Common Law)</w:t>
            </w:r>
          </w:p>
        </w:tc>
      </w:tr>
      <w:tr w:rsidR="00F92042" w14:paraId="1DBFDC8A" w14:textId="77777777" w:rsidTr="00F92042">
        <w:tc>
          <w:tcPr>
            <w:tcW w:w="4508" w:type="dxa"/>
          </w:tcPr>
          <w:p w14:paraId="33F8737D" w14:textId="6D819437" w:rsidR="00B951B2" w:rsidRPr="00B951B2" w:rsidRDefault="00B951B2" w:rsidP="00B951B2">
            <w:pPr>
              <w:jc w:val="both"/>
              <w:rPr>
                <w:rFonts w:ascii="Arial" w:hAnsi="Arial" w:cs="Arial"/>
                <w:bCs/>
                <w:color w:val="44546A" w:themeColor="text2"/>
                <w:sz w:val="22"/>
                <w:szCs w:val="22"/>
              </w:rPr>
            </w:pPr>
            <w:r>
              <w:rPr>
                <w:rFonts w:ascii="Arial" w:hAnsi="Arial" w:cs="Arial"/>
                <w:bCs/>
                <w:color w:val="44546A" w:themeColor="text2"/>
                <w:sz w:val="22"/>
                <w:szCs w:val="22"/>
              </w:rPr>
              <w:t>T</w:t>
            </w:r>
            <w:r w:rsidRPr="00B951B2">
              <w:rPr>
                <w:rFonts w:ascii="Arial" w:hAnsi="Arial" w:cs="Arial"/>
                <w:bCs/>
                <w:color w:val="44546A" w:themeColor="text2"/>
                <w:sz w:val="22"/>
                <w:szCs w:val="22"/>
              </w:rPr>
              <w:t>he foreign judgment must be:</w:t>
            </w:r>
          </w:p>
          <w:p w14:paraId="5D7358F3" w14:textId="7FBC9822" w:rsidR="00B951B2" w:rsidRPr="00B951B2" w:rsidRDefault="00B951B2" w:rsidP="00B951B2">
            <w:pPr>
              <w:jc w:val="both"/>
              <w:rPr>
                <w:rFonts w:ascii="Arial" w:hAnsi="Arial" w:cs="Arial"/>
                <w:bCs/>
                <w:color w:val="44546A" w:themeColor="text2"/>
                <w:sz w:val="22"/>
                <w:szCs w:val="22"/>
              </w:rPr>
            </w:pPr>
            <w:r w:rsidRPr="00B951B2">
              <w:rPr>
                <w:rFonts w:ascii="Arial" w:hAnsi="Arial" w:cs="Arial"/>
                <w:bCs/>
                <w:color w:val="44546A" w:themeColor="text2"/>
                <w:sz w:val="22"/>
                <w:szCs w:val="22"/>
              </w:rPr>
              <w:t>final;</w:t>
            </w:r>
          </w:p>
          <w:p w14:paraId="2D285A9D" w14:textId="2740BFB5" w:rsidR="00B951B2" w:rsidRPr="00B951B2" w:rsidRDefault="00337C19" w:rsidP="00B951B2">
            <w:pPr>
              <w:jc w:val="both"/>
              <w:rPr>
                <w:rFonts w:ascii="Arial" w:hAnsi="Arial" w:cs="Arial"/>
                <w:bCs/>
                <w:color w:val="44546A" w:themeColor="text2"/>
                <w:sz w:val="22"/>
                <w:szCs w:val="22"/>
              </w:rPr>
            </w:pPr>
            <w:r>
              <w:rPr>
                <w:rFonts w:ascii="Arial" w:hAnsi="Arial" w:cs="Arial"/>
                <w:bCs/>
                <w:color w:val="44546A" w:themeColor="text2"/>
                <w:sz w:val="22"/>
                <w:szCs w:val="22"/>
              </w:rPr>
              <w:t>A</w:t>
            </w:r>
            <w:r w:rsidR="00B951B2" w:rsidRPr="00B951B2">
              <w:rPr>
                <w:rFonts w:ascii="Arial" w:hAnsi="Arial" w:cs="Arial"/>
                <w:bCs/>
                <w:color w:val="44546A" w:themeColor="text2"/>
                <w:sz w:val="22"/>
                <w:szCs w:val="22"/>
              </w:rPr>
              <w:t xml:space="preserve"> money judgment; and</w:t>
            </w:r>
          </w:p>
          <w:p w14:paraId="0FDF6719" w14:textId="32FA0A24" w:rsidR="00F92042" w:rsidRPr="00B951B2" w:rsidRDefault="00337C19" w:rsidP="00B951B2">
            <w:pPr>
              <w:jc w:val="both"/>
              <w:rPr>
                <w:rFonts w:ascii="Arial" w:hAnsi="Arial" w:cs="Arial"/>
                <w:b/>
                <w:bCs/>
                <w:color w:val="44546A" w:themeColor="text2"/>
                <w:sz w:val="22"/>
                <w:szCs w:val="22"/>
              </w:rPr>
            </w:pPr>
            <w:r w:rsidRPr="00B951B2">
              <w:rPr>
                <w:rFonts w:ascii="Arial" w:hAnsi="Arial" w:cs="Arial"/>
                <w:bCs/>
                <w:color w:val="44546A" w:themeColor="text2"/>
                <w:sz w:val="22"/>
                <w:szCs w:val="22"/>
              </w:rPr>
              <w:t xml:space="preserve">Made </w:t>
            </w:r>
            <w:r w:rsidR="00B951B2" w:rsidRPr="00B951B2">
              <w:rPr>
                <w:rFonts w:ascii="Arial" w:hAnsi="Arial" w:cs="Arial"/>
                <w:bCs/>
                <w:color w:val="44546A" w:themeColor="text2"/>
                <w:sz w:val="22"/>
                <w:szCs w:val="22"/>
              </w:rPr>
              <w:t>after the 1996 Law was extended to the relevant foreign country.</w:t>
            </w:r>
          </w:p>
        </w:tc>
        <w:tc>
          <w:tcPr>
            <w:tcW w:w="4508" w:type="dxa"/>
          </w:tcPr>
          <w:p w14:paraId="5083F754" w14:textId="77777777" w:rsidR="00E13528" w:rsidRPr="00E13528" w:rsidRDefault="00E13528" w:rsidP="00E13528">
            <w:pPr>
              <w:jc w:val="both"/>
              <w:rPr>
                <w:rFonts w:ascii="Arial" w:hAnsi="Arial" w:cs="Arial"/>
                <w:bCs/>
                <w:color w:val="44546A" w:themeColor="text2"/>
                <w:sz w:val="22"/>
                <w:szCs w:val="22"/>
              </w:rPr>
            </w:pPr>
            <w:r w:rsidRPr="00E13528">
              <w:rPr>
                <w:rFonts w:ascii="Arial" w:hAnsi="Arial" w:cs="Arial"/>
                <w:bCs/>
                <w:color w:val="44546A" w:themeColor="text2"/>
                <w:sz w:val="22"/>
                <w:szCs w:val="22"/>
              </w:rPr>
              <w:t>In contrast to recognition pursuant to Order 71 of the Grand Court Rules, any money and no-money judgment are enforceable pursuant to common law. The mandatory requirements to enforce a judgment are:</w:t>
            </w:r>
          </w:p>
          <w:p w14:paraId="71B42BE0" w14:textId="77777777" w:rsidR="00E13528" w:rsidRPr="00E13528" w:rsidRDefault="00E13528" w:rsidP="00E13528">
            <w:pPr>
              <w:jc w:val="both"/>
              <w:rPr>
                <w:rFonts w:ascii="Arial" w:hAnsi="Arial" w:cs="Arial"/>
                <w:bCs/>
                <w:color w:val="44546A" w:themeColor="text2"/>
                <w:sz w:val="22"/>
                <w:szCs w:val="22"/>
              </w:rPr>
            </w:pPr>
            <w:r w:rsidRPr="00E13528">
              <w:rPr>
                <w:rFonts w:ascii="Arial" w:hAnsi="Arial" w:cs="Arial"/>
                <w:bCs/>
                <w:color w:val="44546A" w:themeColor="text2"/>
                <w:sz w:val="22"/>
                <w:szCs w:val="22"/>
              </w:rPr>
              <w:t>(a) the judgment is final;</w:t>
            </w:r>
          </w:p>
          <w:p w14:paraId="280432D4" w14:textId="77777777" w:rsidR="00E13528" w:rsidRPr="00E13528" w:rsidRDefault="00E13528" w:rsidP="00E13528">
            <w:pPr>
              <w:jc w:val="both"/>
              <w:rPr>
                <w:rFonts w:ascii="Arial" w:hAnsi="Arial" w:cs="Arial"/>
                <w:bCs/>
                <w:color w:val="44546A" w:themeColor="text2"/>
                <w:sz w:val="22"/>
                <w:szCs w:val="22"/>
              </w:rPr>
            </w:pPr>
            <w:r w:rsidRPr="00E13528">
              <w:rPr>
                <w:rFonts w:ascii="Arial" w:hAnsi="Arial" w:cs="Arial"/>
                <w:bCs/>
                <w:color w:val="44546A" w:themeColor="text2"/>
                <w:sz w:val="22"/>
                <w:szCs w:val="22"/>
              </w:rPr>
              <w:t>(b) the foreign court had jurisdiction over the debtor;</w:t>
            </w:r>
          </w:p>
          <w:p w14:paraId="441EABA2" w14:textId="77777777" w:rsidR="00E13528" w:rsidRPr="00E13528" w:rsidRDefault="00E13528" w:rsidP="00E13528">
            <w:pPr>
              <w:jc w:val="both"/>
              <w:rPr>
                <w:rFonts w:ascii="Arial" w:hAnsi="Arial" w:cs="Arial"/>
                <w:bCs/>
                <w:color w:val="44546A" w:themeColor="text2"/>
                <w:sz w:val="22"/>
                <w:szCs w:val="22"/>
              </w:rPr>
            </w:pPr>
            <w:r w:rsidRPr="00E13528">
              <w:rPr>
                <w:rFonts w:ascii="Arial" w:hAnsi="Arial" w:cs="Arial"/>
                <w:bCs/>
                <w:color w:val="44546A" w:themeColor="text2"/>
                <w:sz w:val="22"/>
                <w:szCs w:val="22"/>
              </w:rPr>
              <w:t>(c) the foreign judgment was not obtained by fraud;</w:t>
            </w:r>
          </w:p>
          <w:p w14:paraId="67AB3DAA" w14:textId="77777777" w:rsidR="00E13528" w:rsidRPr="00E13528" w:rsidRDefault="00E13528" w:rsidP="00E13528">
            <w:pPr>
              <w:jc w:val="both"/>
              <w:rPr>
                <w:rFonts w:ascii="Arial" w:hAnsi="Arial" w:cs="Arial"/>
                <w:bCs/>
                <w:color w:val="44546A" w:themeColor="text2"/>
                <w:sz w:val="22"/>
                <w:szCs w:val="22"/>
              </w:rPr>
            </w:pPr>
            <w:r w:rsidRPr="00E13528">
              <w:rPr>
                <w:rFonts w:ascii="Arial" w:hAnsi="Arial" w:cs="Arial"/>
                <w:bCs/>
                <w:color w:val="44546A" w:themeColor="text2"/>
                <w:sz w:val="22"/>
                <w:szCs w:val="22"/>
              </w:rPr>
              <w:t>(d) the foreign judgment is not contrary to the public policy of the Cayman Islands; and</w:t>
            </w:r>
          </w:p>
          <w:p w14:paraId="0882D206" w14:textId="2F699E77" w:rsidR="009B69EB" w:rsidRPr="00337C19" w:rsidRDefault="00E13528" w:rsidP="00E13528">
            <w:pPr>
              <w:jc w:val="both"/>
              <w:rPr>
                <w:rFonts w:ascii="Arial" w:hAnsi="Arial" w:cs="Arial"/>
                <w:bCs/>
                <w:color w:val="44546A" w:themeColor="text2"/>
                <w:sz w:val="22"/>
                <w:szCs w:val="22"/>
              </w:rPr>
            </w:pPr>
            <w:r w:rsidRPr="00E13528">
              <w:rPr>
                <w:rFonts w:ascii="Arial" w:hAnsi="Arial" w:cs="Arial"/>
                <w:bCs/>
                <w:color w:val="44546A" w:themeColor="text2"/>
                <w:sz w:val="22"/>
                <w:szCs w:val="22"/>
              </w:rPr>
              <w:t>(e) the foreign judgment was not obtained contrary to the rules of natural justice.</w:t>
            </w:r>
          </w:p>
        </w:tc>
      </w:tr>
    </w:tbl>
    <w:p w14:paraId="0D989436" w14:textId="77777777" w:rsidR="00D27CBC" w:rsidRDefault="00D27CBC" w:rsidP="00D27CBC">
      <w:pPr>
        <w:jc w:val="both"/>
        <w:rPr>
          <w:rFonts w:ascii="Arial" w:hAnsi="Arial" w:cs="Arial"/>
          <w:b/>
          <w:bCs/>
          <w:color w:val="44546A" w:themeColor="text2"/>
          <w:sz w:val="22"/>
          <w:szCs w:val="22"/>
          <w:lang w:val="en-GB"/>
        </w:rPr>
      </w:pPr>
    </w:p>
    <w:p w14:paraId="0298B838" w14:textId="2619BDD0" w:rsidR="00FA18CF" w:rsidRDefault="00FA18CF"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2E90EFD2" w14:textId="22A3B14D" w:rsidR="00775E93" w:rsidRDefault="00775E93" w:rsidP="002476AF">
      <w:pPr>
        <w:jc w:val="both"/>
        <w:rPr>
          <w:rFonts w:ascii="Arial" w:hAnsi="Arial" w:cs="Arial"/>
          <w:sz w:val="22"/>
          <w:szCs w:val="22"/>
          <w:lang w:val="en-GB"/>
        </w:rPr>
      </w:pPr>
      <w:r>
        <w:rPr>
          <w:rFonts w:ascii="Arial" w:hAnsi="Arial" w:cs="Arial"/>
          <w:sz w:val="22"/>
          <w:szCs w:val="22"/>
          <w:lang w:val="en-GB"/>
        </w:rPr>
        <w:t>In the absence of a statutory prohibition on insolvent trading, the Cayman Islands is ill</w:t>
      </w:r>
      <w:r w:rsidR="00626639">
        <w:rPr>
          <w:rFonts w:ascii="Arial" w:hAnsi="Arial" w:cs="Arial"/>
          <w:sz w:val="22"/>
          <w:szCs w:val="22"/>
          <w:lang w:val="en-GB"/>
        </w:rPr>
        <w:t>-</w:t>
      </w:r>
      <w:r>
        <w:rPr>
          <w:rFonts w:ascii="Arial" w:hAnsi="Arial" w:cs="Arial"/>
          <w:sz w:val="22"/>
          <w:szCs w:val="22"/>
          <w:lang w:val="en-GB"/>
        </w:rPr>
        <w:t>equipped to deal with directors who wilfully disregard the interests of creditors.</w:t>
      </w:r>
    </w:p>
    <w:p w14:paraId="5D728BD1" w14:textId="77777777" w:rsidR="002476AF" w:rsidRDefault="002476AF" w:rsidP="00775E93">
      <w:pPr>
        <w:jc w:val="both"/>
        <w:rPr>
          <w:rFonts w:ascii="Arial" w:hAnsi="Arial" w:cs="Arial"/>
          <w:sz w:val="22"/>
          <w:szCs w:val="22"/>
          <w:lang w:val="en-GB"/>
        </w:rPr>
      </w:pPr>
    </w:p>
    <w:p w14:paraId="0E6AC538" w14:textId="77777777"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7C59527C" w14:textId="53031EF7" w:rsidR="00FD7FF2" w:rsidRDefault="00E13528" w:rsidP="00E13528">
      <w:pPr>
        <w:ind w:left="709" w:hanging="709"/>
        <w:jc w:val="both"/>
        <w:rPr>
          <w:rFonts w:ascii="Arial" w:hAnsi="Arial" w:cs="Arial"/>
          <w:color w:val="808080" w:themeColor="background1" w:themeShade="80"/>
          <w:sz w:val="22"/>
          <w:szCs w:val="22"/>
        </w:rPr>
      </w:pPr>
      <w:r w:rsidRPr="00E13528">
        <w:rPr>
          <w:rFonts w:ascii="Arial" w:hAnsi="Arial" w:cs="Arial"/>
          <w:color w:val="808080" w:themeColor="background1" w:themeShade="80"/>
          <w:sz w:val="22"/>
          <w:szCs w:val="22"/>
          <w:lang w:val="en-GB"/>
        </w:rPr>
        <w:t xml:space="preserve">I agree with the statement. Although there is not a statutory prohibition in that sense, the Cayman Islands has a mechanism to deal with the directors’ liability when they acted disregarding the creditors’ interest. For instance, directors are liable when they caused damages breaking their fiduciary duties. The guide mentions the case of </w:t>
      </w:r>
      <w:r w:rsidRPr="00E13528">
        <w:rPr>
          <w:rFonts w:ascii="Arial" w:hAnsi="Arial" w:cs="Arial"/>
          <w:i/>
          <w:color w:val="808080" w:themeColor="background1" w:themeShade="80"/>
          <w:sz w:val="22"/>
          <w:szCs w:val="22"/>
          <w:lang w:val="en-GB"/>
        </w:rPr>
        <w:t xml:space="preserve">Prospect Properties v McNeill </w:t>
      </w:r>
      <w:r w:rsidRPr="00E13528">
        <w:rPr>
          <w:rFonts w:ascii="Arial" w:hAnsi="Arial" w:cs="Arial"/>
          <w:color w:val="808080" w:themeColor="background1" w:themeShade="80"/>
          <w:sz w:val="22"/>
          <w:szCs w:val="22"/>
          <w:lang w:val="en-GB"/>
        </w:rPr>
        <w:t xml:space="preserve">(1990-91) in which the Grand Court held that directors must act for benefit of the debtor and its creditors. In addition, the official liquidator may pursue claims against a director for </w:t>
      </w:r>
      <w:r>
        <w:rPr>
          <w:rFonts w:ascii="Arial" w:hAnsi="Arial" w:cs="Arial"/>
          <w:color w:val="808080" w:themeColor="background1" w:themeShade="80"/>
          <w:sz w:val="22"/>
          <w:szCs w:val="22"/>
          <w:lang w:val="en-GB"/>
        </w:rPr>
        <w:t>breaking their fiduciary duties</w:t>
      </w:r>
      <w:r w:rsidR="00FD7FF2">
        <w:rPr>
          <w:rFonts w:ascii="Arial" w:hAnsi="Arial" w:cs="Arial"/>
          <w:color w:val="808080" w:themeColor="background1" w:themeShade="80"/>
          <w:sz w:val="22"/>
          <w:szCs w:val="22"/>
        </w:rPr>
        <w:t>.</w:t>
      </w:r>
    </w:p>
    <w:p w14:paraId="74F18F47" w14:textId="77777777" w:rsidR="00FD7FF2" w:rsidRDefault="00FD7FF2" w:rsidP="00E4294D">
      <w:pPr>
        <w:jc w:val="both"/>
        <w:rPr>
          <w:rFonts w:ascii="Arial" w:hAnsi="Arial" w:cs="Arial"/>
          <w:color w:val="808080" w:themeColor="background1" w:themeShade="80"/>
          <w:sz w:val="22"/>
          <w:szCs w:val="22"/>
        </w:rPr>
      </w:pPr>
    </w:p>
    <w:p w14:paraId="7DC409A9" w14:textId="07D9CD18" w:rsidR="00E4294D" w:rsidRPr="00532F7C" w:rsidRDefault="00E13528" w:rsidP="00E13528">
      <w:pPr>
        <w:ind w:left="709" w:hanging="709"/>
        <w:jc w:val="both"/>
        <w:rPr>
          <w:rFonts w:ascii="Arial" w:hAnsi="Arial" w:cs="Arial"/>
          <w:color w:val="808080" w:themeColor="background1" w:themeShade="80"/>
          <w:sz w:val="22"/>
          <w:szCs w:val="22"/>
        </w:rPr>
      </w:pPr>
      <w:r w:rsidRPr="00E13528">
        <w:rPr>
          <w:rFonts w:ascii="Arial" w:hAnsi="Arial" w:cs="Arial"/>
          <w:color w:val="808080" w:themeColor="background1" w:themeShade="80"/>
          <w:sz w:val="22"/>
          <w:szCs w:val="22"/>
        </w:rPr>
        <w:t>According to Christopher Smith, KRyS Global, directors owe common law and fiduciary duties ordinary to the company, not specifically to creditors neither shareholders; nonetheless, that general rule changes when the company is insolvent or potentially insolvent. In those cases</w:t>
      </w:r>
      <w:r w:rsidR="00F4545B">
        <w:rPr>
          <w:rFonts w:ascii="Arial" w:hAnsi="Arial" w:cs="Arial"/>
          <w:color w:val="808080" w:themeColor="background1" w:themeShade="80"/>
          <w:sz w:val="22"/>
          <w:szCs w:val="22"/>
        </w:rPr>
        <w:t xml:space="preserve"> “</w:t>
      </w:r>
      <w:r w:rsidR="00F4545B" w:rsidRPr="00F4545B">
        <w:rPr>
          <w:rFonts w:ascii="Arial" w:hAnsi="Arial" w:cs="Arial"/>
          <w:i/>
          <w:color w:val="808080" w:themeColor="background1" w:themeShade="80"/>
          <w:sz w:val="22"/>
          <w:szCs w:val="22"/>
        </w:rPr>
        <w:t>Directors can be personally liable for losses incurred by the company if they incur additional liabilities when they knew or should have known that there was no reasonable prospect of the company avoiding insolvent liquidation</w:t>
      </w:r>
      <w:r w:rsidR="00F4545B" w:rsidRPr="00F4545B">
        <w:rPr>
          <w:rFonts w:ascii="Arial" w:hAnsi="Arial" w:cs="Arial"/>
          <w:color w:val="808080" w:themeColor="background1" w:themeShade="80"/>
          <w:sz w:val="22"/>
          <w:szCs w:val="22"/>
        </w:rPr>
        <w:t>.</w:t>
      </w:r>
      <w:r w:rsidR="00F4545B">
        <w:rPr>
          <w:rFonts w:ascii="Arial" w:hAnsi="Arial" w:cs="Arial"/>
          <w:color w:val="808080" w:themeColor="background1" w:themeShade="80"/>
          <w:sz w:val="22"/>
          <w:szCs w:val="22"/>
        </w:rPr>
        <w:t>”</w:t>
      </w:r>
    </w:p>
    <w:p w14:paraId="3C96BAC4" w14:textId="1907AFE5" w:rsidR="00E4294D" w:rsidRDefault="00E4294D" w:rsidP="00BC3A55">
      <w:pPr>
        <w:jc w:val="both"/>
        <w:rPr>
          <w:rFonts w:ascii="Arial" w:hAnsi="Arial" w:cs="Arial"/>
          <w:color w:val="808080" w:themeColor="background1" w:themeShade="80"/>
          <w:sz w:val="22"/>
          <w:szCs w:val="22"/>
        </w:rPr>
      </w:pPr>
    </w:p>
    <w:p w14:paraId="56F3AF0B" w14:textId="0D5CB72D" w:rsidR="00F4545B" w:rsidRDefault="00E13528" w:rsidP="00E13528">
      <w:pPr>
        <w:ind w:left="709" w:hanging="709"/>
        <w:jc w:val="both"/>
        <w:rPr>
          <w:rFonts w:ascii="Arial" w:hAnsi="Arial" w:cs="Arial"/>
          <w:color w:val="808080" w:themeColor="background1" w:themeShade="80"/>
          <w:sz w:val="22"/>
          <w:szCs w:val="22"/>
        </w:rPr>
      </w:pPr>
      <w:r w:rsidRPr="00E13528">
        <w:rPr>
          <w:rFonts w:ascii="Arial" w:hAnsi="Arial" w:cs="Arial"/>
          <w:color w:val="808080" w:themeColor="background1" w:themeShade="80"/>
          <w:sz w:val="22"/>
          <w:szCs w:val="22"/>
        </w:rPr>
        <w:t xml:space="preserve">However, is not common the use of those actions in the Cayman Islands, reason by which the Government is implementing changes in their </w:t>
      </w:r>
      <w:r>
        <w:rPr>
          <w:rFonts w:ascii="Arial" w:hAnsi="Arial" w:cs="Arial"/>
          <w:color w:val="808080" w:themeColor="background1" w:themeShade="80"/>
          <w:sz w:val="22"/>
          <w:szCs w:val="22"/>
        </w:rPr>
        <w:t>regulation (Smith, KRyS Global)</w:t>
      </w:r>
      <w:r w:rsidR="00D43422">
        <w:rPr>
          <w:rFonts w:ascii="Arial" w:hAnsi="Arial" w:cs="Arial"/>
          <w:color w:val="808080" w:themeColor="background1" w:themeShade="80"/>
          <w:sz w:val="22"/>
          <w:szCs w:val="22"/>
        </w:rPr>
        <w:t>.</w:t>
      </w:r>
    </w:p>
    <w:p w14:paraId="6F724901" w14:textId="3E3AE27B" w:rsidR="00D17FDC" w:rsidRDefault="00D17FDC"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09A05661"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Receivers have a limited 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115BC897" w14:textId="77777777" w:rsidR="00E13528" w:rsidRPr="00E13528" w:rsidRDefault="00E13528" w:rsidP="00E13528">
      <w:pPr>
        <w:ind w:left="709" w:hanging="709"/>
        <w:jc w:val="both"/>
        <w:rPr>
          <w:rFonts w:ascii="Arial" w:hAnsi="Arial" w:cs="Arial"/>
          <w:color w:val="808080" w:themeColor="background1" w:themeShade="80"/>
          <w:sz w:val="22"/>
          <w:szCs w:val="22"/>
          <w:lang w:val="en-GB"/>
        </w:rPr>
      </w:pPr>
      <w:r w:rsidRPr="00E13528">
        <w:rPr>
          <w:rFonts w:ascii="Arial" w:hAnsi="Arial" w:cs="Arial"/>
          <w:color w:val="808080" w:themeColor="background1" w:themeShade="80"/>
          <w:sz w:val="22"/>
          <w:szCs w:val="22"/>
          <w:lang w:val="en-GB"/>
        </w:rPr>
        <w:t>The receiver is not an administrator of the insolvency state as it functions in the United Kingdom regulation. In the Cayman Islands’ regulation, receivers are appointed by creditors or, for instance, holders of a floating charge, and grant to the receivers' powers to enforce or realize the security or make payments according to creditor’s instructions. In this scenario, receivers are not supervised by the Grand Court. Their duties and appointment forms are regulated on Order 30 of the Grand Court Rules.</w:t>
      </w:r>
    </w:p>
    <w:p w14:paraId="092AF2E5" w14:textId="77777777" w:rsidR="00E13528" w:rsidRPr="00E13528" w:rsidRDefault="00E13528" w:rsidP="00E13528">
      <w:pPr>
        <w:ind w:left="709" w:hanging="709"/>
        <w:jc w:val="both"/>
        <w:rPr>
          <w:rFonts w:ascii="Arial" w:hAnsi="Arial" w:cs="Arial"/>
          <w:color w:val="808080" w:themeColor="background1" w:themeShade="80"/>
          <w:sz w:val="22"/>
          <w:szCs w:val="22"/>
          <w:lang w:val="en-GB"/>
        </w:rPr>
      </w:pPr>
    </w:p>
    <w:p w14:paraId="4FB4EAD8" w14:textId="77777777" w:rsidR="00E13528" w:rsidRPr="00E13528" w:rsidRDefault="00E13528" w:rsidP="00E13528">
      <w:pPr>
        <w:ind w:left="709" w:hanging="709"/>
        <w:jc w:val="both"/>
        <w:rPr>
          <w:rFonts w:ascii="Arial" w:hAnsi="Arial" w:cs="Arial"/>
          <w:color w:val="808080" w:themeColor="background1" w:themeShade="80"/>
          <w:sz w:val="22"/>
          <w:szCs w:val="22"/>
          <w:lang w:val="en-GB"/>
        </w:rPr>
      </w:pPr>
      <w:r w:rsidRPr="00E13528">
        <w:rPr>
          <w:rFonts w:ascii="Arial" w:hAnsi="Arial" w:cs="Arial"/>
          <w:color w:val="808080" w:themeColor="background1" w:themeShade="80"/>
          <w:sz w:val="22"/>
          <w:szCs w:val="22"/>
          <w:lang w:val="en-GB"/>
        </w:rPr>
        <w:t>On the other hand, a receiver may be appointed by the Gran Court for Segregated Portfolio Company (or SP) when it deems that a particular portfolio of the company is likely to be insufficient to discharge the claims of creditors in respect of that portfolio. The management will be with the purpose of orderly distribution of the segregated portfolio assets.</w:t>
      </w:r>
    </w:p>
    <w:p w14:paraId="6AA24E63" w14:textId="77777777" w:rsidR="00E13528" w:rsidRPr="00E13528" w:rsidRDefault="00E13528" w:rsidP="00E13528">
      <w:pPr>
        <w:ind w:left="709" w:hanging="709"/>
        <w:jc w:val="both"/>
        <w:rPr>
          <w:rFonts w:ascii="Arial" w:hAnsi="Arial" w:cs="Arial"/>
          <w:color w:val="808080" w:themeColor="background1" w:themeShade="80"/>
          <w:sz w:val="22"/>
          <w:szCs w:val="22"/>
          <w:lang w:val="en-GB"/>
        </w:rPr>
      </w:pPr>
    </w:p>
    <w:p w14:paraId="50B51924" w14:textId="226468F6" w:rsidR="00485A6E" w:rsidRDefault="00E13528" w:rsidP="00E13528">
      <w:pPr>
        <w:ind w:left="709" w:hanging="709"/>
        <w:jc w:val="both"/>
        <w:rPr>
          <w:rFonts w:ascii="Arial" w:hAnsi="Arial" w:cs="Arial"/>
          <w:color w:val="808080" w:themeColor="background1" w:themeShade="80"/>
          <w:sz w:val="22"/>
          <w:szCs w:val="22"/>
          <w:lang w:val="en-GB"/>
        </w:rPr>
      </w:pPr>
      <w:r w:rsidRPr="00E13528">
        <w:rPr>
          <w:rFonts w:ascii="Arial" w:hAnsi="Arial" w:cs="Arial"/>
          <w:color w:val="808080" w:themeColor="background1" w:themeShade="80"/>
          <w:sz w:val="22"/>
          <w:szCs w:val="22"/>
          <w:lang w:val="en-GB"/>
        </w:rPr>
        <w:t>Thus, indeed, receivers have a limited role to play in an insolvency scenario, because it depends on the main purpose of their appointment and their functions are limited to the creditors' interests or the judici</w:t>
      </w:r>
      <w:r>
        <w:rPr>
          <w:rFonts w:ascii="Arial" w:hAnsi="Arial" w:cs="Arial"/>
          <w:color w:val="808080" w:themeColor="background1" w:themeShade="80"/>
          <w:sz w:val="22"/>
          <w:szCs w:val="22"/>
          <w:lang w:val="en-GB"/>
        </w:rPr>
        <w:t>al order, depending on the case</w:t>
      </w:r>
      <w:r w:rsidR="00096A8D" w:rsidRPr="00096A8D">
        <w:rPr>
          <w:rFonts w:ascii="Arial" w:hAnsi="Arial" w:cs="Arial"/>
          <w:color w:val="808080" w:themeColor="background1" w:themeShade="80"/>
          <w:sz w:val="22"/>
          <w:szCs w:val="22"/>
          <w:lang w:val="en-GB"/>
        </w:rPr>
        <w:t>.</w:t>
      </w:r>
    </w:p>
    <w:p w14:paraId="139BBEF3" w14:textId="4D526C83" w:rsidR="000E63D8" w:rsidRPr="002A37BB" w:rsidRDefault="000E63D8"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7DB712AC" w:rsidR="003938A1" w:rsidRDefault="00016475" w:rsidP="002476AF">
      <w:pPr>
        <w:jc w:val="both"/>
        <w:rPr>
          <w:rFonts w:ascii="Arial" w:hAnsi="Arial" w:cs="Arial"/>
          <w:sz w:val="22"/>
          <w:szCs w:val="22"/>
          <w:lang w:val="en-GB"/>
        </w:rPr>
      </w:pPr>
      <w:bookmarkStart w:id="0" w:name="_Hlk17745211"/>
      <w:r>
        <w:rPr>
          <w:rFonts w:ascii="Arial" w:hAnsi="Arial" w:cs="Arial"/>
          <w:sz w:val="22"/>
          <w:szCs w:val="22"/>
          <w:lang w:val="en-GB"/>
        </w:rPr>
        <w:t xml:space="preserve">Black Pearl Ltd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Pr>
          <w:rFonts w:ascii="Arial" w:hAnsi="Arial" w:cs="Arial"/>
          <w:sz w:val="22"/>
          <w:szCs w:val="22"/>
          <w:lang w:val="en-GB"/>
        </w:rPr>
        <w:t>pirate</w:t>
      </w:r>
      <w:r w:rsidR="00D41E11">
        <w:rPr>
          <w:rFonts w:ascii="Arial" w:hAnsi="Arial" w:cs="Arial"/>
          <w:sz w:val="22"/>
          <w:szCs w:val="22"/>
          <w:lang w:val="en-GB"/>
        </w:rPr>
        <w:t>-</w:t>
      </w:r>
      <w:r>
        <w:rPr>
          <w:rFonts w:ascii="Arial" w:hAnsi="Arial" w:cs="Arial"/>
          <w:sz w:val="22"/>
          <w:szCs w:val="22"/>
          <w:lang w:val="en-GB"/>
        </w:rPr>
        <w:t xml:space="preserve">themed </w:t>
      </w:r>
      <w:r w:rsidR="004D4774">
        <w:rPr>
          <w:rFonts w:ascii="Arial" w:hAnsi="Arial" w:cs="Arial"/>
          <w:sz w:val="22"/>
          <w:szCs w:val="22"/>
          <w:lang w:val="en-GB"/>
        </w:rPr>
        <w:t xml:space="preserve">cruise ships across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 S</w:t>
      </w:r>
      <w:r>
        <w:rPr>
          <w:rFonts w:ascii="Arial" w:hAnsi="Arial" w:cs="Arial"/>
          <w:sz w:val="22"/>
          <w:szCs w:val="22"/>
          <w:lang w:val="en-GB"/>
        </w:rPr>
        <w:t>parrow</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75</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4D4774">
        <w:rPr>
          <w:rFonts w:ascii="Arial" w:hAnsi="Arial" w:cs="Arial"/>
          <w:sz w:val="22"/>
          <w:szCs w:val="22"/>
          <w:lang w:val="en-GB"/>
        </w:rPr>
        <w:t xml:space="preserve">. </w:t>
      </w:r>
      <w:r w:rsidR="00241BC4">
        <w:rPr>
          <w:rFonts w:ascii="Arial" w:hAnsi="Arial" w:cs="Arial"/>
          <w:sz w:val="22"/>
          <w:szCs w:val="22"/>
          <w:lang w:val="en-GB"/>
        </w:rPr>
        <w:t xml:space="preserve">The family continues to own and manage the business. </w:t>
      </w:r>
    </w:p>
    <w:p w14:paraId="44D931DF" w14:textId="77777777" w:rsidR="003938A1" w:rsidRDefault="003938A1" w:rsidP="002476AF">
      <w:pPr>
        <w:jc w:val="both"/>
        <w:rPr>
          <w:rFonts w:ascii="Arial" w:hAnsi="Arial" w:cs="Arial"/>
          <w:sz w:val="22"/>
          <w:szCs w:val="22"/>
          <w:lang w:val="en-GB"/>
        </w:rPr>
      </w:pPr>
    </w:p>
    <w:p w14:paraId="7B200897" w14:textId="609EAF4A" w:rsidR="00E55912" w:rsidRDefault="007808EB" w:rsidP="002476AF">
      <w:pPr>
        <w:jc w:val="both"/>
        <w:rPr>
          <w:rFonts w:ascii="Arial" w:hAnsi="Arial" w:cs="Arial"/>
          <w:sz w:val="22"/>
          <w:szCs w:val="22"/>
          <w:lang w:val="en-GB"/>
        </w:rPr>
      </w:pPr>
      <w:r>
        <w:rPr>
          <w:rFonts w:ascii="Arial" w:hAnsi="Arial" w:cs="Arial"/>
          <w:sz w:val="22"/>
          <w:szCs w:val="22"/>
          <w:lang w:val="en-GB"/>
        </w:rPr>
        <w:t xml:space="preserve">In recent years, </w:t>
      </w:r>
      <w:r w:rsidR="00C41A0C">
        <w:rPr>
          <w:rFonts w:ascii="Arial" w:hAnsi="Arial" w:cs="Arial"/>
          <w:sz w:val="22"/>
          <w:szCs w:val="22"/>
          <w:lang w:val="en-GB"/>
        </w:rPr>
        <w:t>Black Pearl</w:t>
      </w:r>
      <w:r w:rsidR="00EA6EC9">
        <w:rPr>
          <w:rFonts w:ascii="Arial" w:hAnsi="Arial" w:cs="Arial"/>
          <w:sz w:val="22"/>
          <w:szCs w:val="22"/>
          <w:lang w:val="en-GB"/>
        </w:rPr>
        <w:t xml:space="preserve"> </w:t>
      </w:r>
      <w:r>
        <w:rPr>
          <w:rFonts w:ascii="Arial" w:hAnsi="Arial" w:cs="Arial"/>
          <w:sz w:val="22"/>
          <w:szCs w:val="22"/>
          <w:lang w:val="en-GB"/>
        </w:rPr>
        <w:t xml:space="preserve">has </w:t>
      </w:r>
      <w:r w:rsidR="00EA6EC9">
        <w:rPr>
          <w:rFonts w:ascii="Arial" w:hAnsi="Arial" w:cs="Arial"/>
          <w:sz w:val="22"/>
          <w:szCs w:val="22"/>
          <w:lang w:val="en-GB"/>
        </w:rPr>
        <w:t xml:space="preserve">been rapidly expanding its </w:t>
      </w:r>
      <w:r>
        <w:rPr>
          <w:rFonts w:ascii="Arial" w:hAnsi="Arial" w:cs="Arial"/>
          <w:sz w:val="22"/>
          <w:szCs w:val="22"/>
          <w:lang w:val="en-GB"/>
        </w:rPr>
        <w:t xml:space="preserve">cruise ship </w:t>
      </w:r>
      <w:r w:rsidR="00EA6EC9">
        <w:rPr>
          <w:rFonts w:ascii="Arial" w:hAnsi="Arial" w:cs="Arial"/>
          <w:sz w:val="22"/>
          <w:szCs w:val="22"/>
          <w:lang w:val="en-GB"/>
        </w:rPr>
        <w:t>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 xml:space="preserve">due to Covid-19 </w:t>
      </w:r>
      <w:r w:rsidR="004D4774">
        <w:rPr>
          <w:rFonts w:ascii="Arial" w:hAnsi="Arial" w:cs="Arial"/>
          <w:sz w:val="22"/>
          <w:szCs w:val="22"/>
          <w:lang w:val="en-GB"/>
        </w:rPr>
        <w:t xml:space="preserve">has badly affected </w:t>
      </w:r>
      <w:r w:rsidR="00016475">
        <w:rPr>
          <w:rFonts w:ascii="Arial" w:hAnsi="Arial" w:cs="Arial"/>
          <w:sz w:val="22"/>
          <w:szCs w:val="22"/>
          <w:lang w:val="en-GB"/>
        </w:rPr>
        <w:t>Black Pearl’s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7CC0084C" w:rsidR="003938A1" w:rsidRDefault="00E55912" w:rsidP="002476AF">
      <w:pPr>
        <w:jc w:val="both"/>
        <w:rPr>
          <w:rFonts w:ascii="Arial" w:hAnsi="Arial" w:cs="Arial"/>
          <w:sz w:val="22"/>
          <w:szCs w:val="22"/>
          <w:lang w:val="en-GB"/>
        </w:rPr>
      </w:pPr>
      <w:r>
        <w:rPr>
          <w:rFonts w:ascii="Arial" w:hAnsi="Arial" w:cs="Arial"/>
          <w:sz w:val="22"/>
          <w:szCs w:val="22"/>
          <w:lang w:val="en-GB"/>
        </w:rPr>
        <w:t xml:space="preserve">Within weeks </w:t>
      </w:r>
      <w:r w:rsidR="00016475">
        <w:rPr>
          <w:rFonts w:ascii="Arial" w:hAnsi="Arial" w:cs="Arial"/>
          <w:sz w:val="22"/>
          <w:szCs w:val="22"/>
          <w:lang w:val="en-GB"/>
        </w:rPr>
        <w:t xml:space="preserve">Black Pearl </w:t>
      </w:r>
      <w:r>
        <w:rPr>
          <w:rFonts w:ascii="Arial" w:hAnsi="Arial" w:cs="Arial"/>
          <w:sz w:val="22"/>
          <w:szCs w:val="22"/>
          <w:lang w:val="en-GB"/>
        </w:rPr>
        <w:t>is going to</w:t>
      </w:r>
      <w:r w:rsidR="004D4774">
        <w:rPr>
          <w:rFonts w:ascii="Arial" w:hAnsi="Arial" w:cs="Arial"/>
          <w:sz w:val="22"/>
          <w:szCs w:val="22"/>
          <w:lang w:val="en-GB"/>
        </w:rPr>
        <w:t xml:space="preserve"> default on </w:t>
      </w:r>
      <w:r>
        <w:rPr>
          <w:rFonts w:ascii="Arial" w:hAnsi="Arial" w:cs="Arial"/>
          <w:sz w:val="22"/>
          <w:szCs w:val="22"/>
          <w:lang w:val="en-GB"/>
        </w:rPr>
        <w:t>its loan repayments to Monster Mortgage</w:t>
      </w:r>
      <w:r w:rsidR="00891116">
        <w:rPr>
          <w:rFonts w:ascii="Arial" w:hAnsi="Arial" w:cs="Arial"/>
          <w:sz w:val="22"/>
          <w:szCs w:val="22"/>
          <w:lang w:val="en-GB"/>
        </w:rPr>
        <w:t xml:space="preserve"> (Monster)</w:t>
      </w:r>
      <w:r>
        <w:rPr>
          <w:rFonts w:ascii="Arial" w:hAnsi="Arial" w:cs="Arial"/>
          <w:sz w:val="22"/>
          <w:szCs w:val="22"/>
          <w:lang w:val="en-GB"/>
        </w:rPr>
        <w:t xml:space="preserve">. Monster has lent </w:t>
      </w:r>
      <w:r w:rsidR="005641E2">
        <w:rPr>
          <w:rFonts w:ascii="Arial" w:hAnsi="Arial" w:cs="Arial"/>
          <w:sz w:val="22"/>
          <w:szCs w:val="22"/>
          <w:lang w:val="en-GB"/>
        </w:rPr>
        <w:t>Black Pearl</w:t>
      </w:r>
      <w:r>
        <w:rPr>
          <w:rFonts w:ascii="Arial" w:hAnsi="Arial" w:cs="Arial"/>
          <w:sz w:val="22"/>
          <w:szCs w:val="22"/>
          <w:lang w:val="en-GB"/>
        </w:rPr>
        <w:t xml:space="preserve"> </w:t>
      </w:r>
      <w:r w:rsidR="00A02163">
        <w:rPr>
          <w:rFonts w:ascii="Arial" w:hAnsi="Arial" w:cs="Arial"/>
          <w:sz w:val="22"/>
          <w:szCs w:val="22"/>
          <w:lang w:val="en-GB"/>
        </w:rPr>
        <w:t xml:space="preserve">USD </w:t>
      </w:r>
      <w:r>
        <w:rPr>
          <w:rFonts w:ascii="Arial" w:hAnsi="Arial" w:cs="Arial"/>
          <w:sz w:val="22"/>
          <w:szCs w:val="22"/>
          <w:lang w:val="en-GB"/>
        </w:rPr>
        <w:t>100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Pr>
          <w:rFonts w:ascii="Arial" w:hAnsi="Arial" w:cs="Arial"/>
          <w:sz w:val="22"/>
          <w:szCs w:val="22"/>
          <w:lang w:val="en-GB"/>
        </w:rPr>
        <w:t xml:space="preserve"> (</w:t>
      </w:r>
      <w:r w:rsidR="00A02163">
        <w:rPr>
          <w:rFonts w:ascii="Arial" w:hAnsi="Arial" w:cs="Arial"/>
          <w:sz w:val="22"/>
          <w:szCs w:val="22"/>
          <w:lang w:val="en-GB"/>
        </w:rPr>
        <w:t xml:space="preserve">USD </w:t>
      </w:r>
      <w:r>
        <w:rPr>
          <w:rFonts w:ascii="Arial" w:hAnsi="Arial" w:cs="Arial"/>
          <w:sz w:val="22"/>
          <w:szCs w:val="22"/>
          <w:lang w:val="en-GB"/>
        </w:rPr>
        <w:t>40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Pr>
          <w:rFonts w:ascii="Arial" w:hAnsi="Arial" w:cs="Arial"/>
          <w:sz w:val="22"/>
          <w:szCs w:val="22"/>
          <w:lang w:val="en-GB"/>
        </w:rPr>
        <w:t xml:space="preserve">of </w:t>
      </w:r>
      <w:r w:rsidR="00C41A0C">
        <w:rPr>
          <w:rFonts w:ascii="Arial" w:hAnsi="Arial" w:cs="Arial"/>
          <w:sz w:val="22"/>
          <w:szCs w:val="22"/>
          <w:lang w:val="en-GB"/>
        </w:rPr>
        <w:t>Black Pearl</w:t>
      </w:r>
      <w:r>
        <w:rPr>
          <w:rFonts w:ascii="Arial" w:hAnsi="Arial" w:cs="Arial"/>
          <w:sz w:val="22"/>
          <w:szCs w:val="22"/>
          <w:lang w:val="en-GB"/>
        </w:rPr>
        <w:t xml:space="preserve">’s cruise ships).  </w:t>
      </w:r>
    </w:p>
    <w:p w14:paraId="00B08957" w14:textId="77777777" w:rsidR="003938A1" w:rsidRDefault="003938A1" w:rsidP="002476AF">
      <w:pPr>
        <w:jc w:val="both"/>
        <w:rPr>
          <w:rFonts w:ascii="Arial" w:hAnsi="Arial" w:cs="Arial"/>
          <w:sz w:val="22"/>
          <w:szCs w:val="22"/>
          <w:lang w:val="en-GB"/>
        </w:rPr>
      </w:pPr>
    </w:p>
    <w:p w14:paraId="10265994" w14:textId="2EEBB58D" w:rsidR="003938A1" w:rsidRDefault="00C41A0C" w:rsidP="002476AF">
      <w:pPr>
        <w:jc w:val="both"/>
        <w:rPr>
          <w:rFonts w:ascii="Arial" w:hAnsi="Arial" w:cs="Arial"/>
          <w:sz w:val="22"/>
          <w:szCs w:val="22"/>
          <w:lang w:val="en-GB"/>
        </w:rPr>
      </w:pPr>
      <w:r>
        <w:rPr>
          <w:rFonts w:ascii="Arial" w:hAnsi="Arial" w:cs="Arial"/>
          <w:sz w:val="22"/>
          <w:szCs w:val="22"/>
          <w:lang w:val="en-GB"/>
        </w:rPr>
        <w:t>Black Pearl</w:t>
      </w:r>
      <w:r w:rsidR="004D4774">
        <w:rPr>
          <w:rFonts w:ascii="Arial" w:hAnsi="Arial" w:cs="Arial"/>
          <w:sz w:val="22"/>
          <w:szCs w:val="22"/>
          <w:lang w:val="en-GB"/>
        </w:rPr>
        <w:t xml:space="preserve"> </w:t>
      </w:r>
      <w:r w:rsidR="00241BC4">
        <w:rPr>
          <w:rFonts w:ascii="Arial" w:hAnsi="Arial" w:cs="Arial"/>
          <w:sz w:val="22"/>
          <w:szCs w:val="22"/>
          <w:lang w:val="en-GB"/>
        </w:rPr>
        <w:t>has</w:t>
      </w:r>
      <w:r w:rsidR="004D4774">
        <w:rPr>
          <w:rFonts w:ascii="Arial" w:hAnsi="Arial" w:cs="Arial"/>
          <w:sz w:val="22"/>
          <w:szCs w:val="22"/>
          <w:lang w:val="en-GB"/>
        </w:rPr>
        <w:t xml:space="preserve"> already </w:t>
      </w:r>
      <w:r w:rsidR="00241BC4">
        <w:rPr>
          <w:rFonts w:ascii="Arial" w:hAnsi="Arial" w:cs="Arial"/>
          <w:sz w:val="22"/>
          <w:szCs w:val="22"/>
          <w:lang w:val="en-GB"/>
        </w:rPr>
        <w:t xml:space="preserve">failed to pay </w:t>
      </w:r>
      <w:r w:rsidR="004D4774">
        <w:rPr>
          <w:rFonts w:ascii="Arial" w:hAnsi="Arial" w:cs="Arial"/>
          <w:sz w:val="22"/>
          <w:szCs w:val="22"/>
          <w:lang w:val="en-GB"/>
        </w:rPr>
        <w:t>various service providers</w:t>
      </w:r>
      <w:r w:rsidR="00241BC4">
        <w:rPr>
          <w:rFonts w:ascii="Arial" w:hAnsi="Arial" w:cs="Arial"/>
          <w:sz w:val="22"/>
          <w:szCs w:val="22"/>
          <w:lang w:val="en-GB"/>
        </w:rPr>
        <w:t xml:space="preserve"> </w:t>
      </w:r>
      <w:r>
        <w:rPr>
          <w:rFonts w:ascii="Arial" w:hAnsi="Arial" w:cs="Arial"/>
          <w:sz w:val="22"/>
          <w:szCs w:val="22"/>
          <w:lang w:val="en-GB"/>
        </w:rPr>
        <w:t xml:space="preserve">for several months </w:t>
      </w:r>
      <w:r w:rsidR="003938A1">
        <w:rPr>
          <w:rFonts w:ascii="Arial" w:hAnsi="Arial" w:cs="Arial"/>
          <w:sz w:val="22"/>
          <w:szCs w:val="22"/>
          <w:lang w:val="en-GB"/>
        </w:rPr>
        <w:t>(tender</w:t>
      </w:r>
      <w:r w:rsidR="00333CA0">
        <w:rPr>
          <w:rFonts w:ascii="Arial" w:hAnsi="Arial" w:cs="Arial"/>
          <w:sz w:val="22"/>
          <w:szCs w:val="22"/>
          <w:lang w:val="en-GB"/>
        </w:rPr>
        <w:t xml:space="preserve"> vessels</w:t>
      </w:r>
      <w:r w:rsidR="003938A1">
        <w:rPr>
          <w:rFonts w:ascii="Arial" w:hAnsi="Arial" w:cs="Arial"/>
          <w:sz w:val="22"/>
          <w:szCs w:val="22"/>
          <w:lang w:val="en-GB"/>
        </w:rPr>
        <w:t xml:space="preserve">, food </w:t>
      </w:r>
      <w:r w:rsidR="00333CA0">
        <w:rPr>
          <w:rFonts w:ascii="Arial" w:hAnsi="Arial" w:cs="Arial"/>
          <w:sz w:val="22"/>
          <w:szCs w:val="22"/>
          <w:lang w:val="en-GB"/>
        </w:rPr>
        <w:t xml:space="preserve">and beverage </w:t>
      </w:r>
      <w:r w:rsidR="003938A1">
        <w:rPr>
          <w:rFonts w:ascii="Arial" w:hAnsi="Arial" w:cs="Arial"/>
          <w:sz w:val="22"/>
          <w:szCs w:val="22"/>
          <w:lang w:val="en-GB"/>
        </w:rPr>
        <w:t>suppliers,</w:t>
      </w:r>
      <w:r w:rsidR="00333CA0">
        <w:rPr>
          <w:rFonts w:ascii="Arial" w:hAnsi="Arial" w:cs="Arial"/>
          <w:sz w:val="22"/>
          <w:szCs w:val="22"/>
          <w:lang w:val="en-GB"/>
        </w:rPr>
        <w:t xml:space="preserve"> </w:t>
      </w:r>
      <w:r w:rsidR="00391C9D">
        <w:rPr>
          <w:rFonts w:ascii="Arial" w:hAnsi="Arial" w:cs="Arial"/>
          <w:sz w:val="22"/>
          <w:szCs w:val="22"/>
          <w:lang w:val="en-GB"/>
        </w:rPr>
        <w:t xml:space="preserve">utilities, </w:t>
      </w:r>
      <w:r w:rsidR="00333CA0">
        <w:rPr>
          <w:rFonts w:ascii="Arial" w:hAnsi="Arial" w:cs="Arial"/>
          <w:sz w:val="22"/>
          <w:szCs w:val="22"/>
          <w:lang w:val="en-GB"/>
        </w:rPr>
        <w:t xml:space="preserve">engineers and </w:t>
      </w:r>
      <w:r w:rsidR="003938A1">
        <w:rPr>
          <w:rFonts w:ascii="Arial" w:hAnsi="Arial" w:cs="Arial"/>
          <w:sz w:val="22"/>
          <w:szCs w:val="22"/>
          <w:lang w:val="en-GB"/>
        </w:rPr>
        <w:t>mechanics)</w:t>
      </w:r>
      <w:r w:rsidR="004D4774">
        <w:rPr>
          <w:rFonts w:ascii="Arial" w:hAnsi="Arial" w:cs="Arial"/>
          <w:sz w:val="22"/>
          <w:szCs w:val="22"/>
          <w:lang w:val="en-GB"/>
        </w:rPr>
        <w:t xml:space="preserve">. </w:t>
      </w:r>
      <w:r w:rsidR="00A02163">
        <w:rPr>
          <w:rFonts w:ascii="Arial" w:hAnsi="Arial" w:cs="Arial"/>
          <w:sz w:val="22"/>
          <w:szCs w:val="22"/>
          <w:lang w:val="en-GB"/>
        </w:rPr>
        <w:t>The p</w:t>
      </w:r>
      <w:r w:rsidR="00391C9D">
        <w:rPr>
          <w:rFonts w:ascii="Arial" w:hAnsi="Arial" w:cs="Arial"/>
          <w:sz w:val="22"/>
          <w:szCs w:val="22"/>
          <w:lang w:val="en-GB"/>
        </w:rPr>
        <w:t xml:space="preserve">ayment of utilities is particularly important to the ongoing repair and maintenance of the fleet of vessels at </w:t>
      </w:r>
      <w:r>
        <w:rPr>
          <w:rFonts w:ascii="Arial" w:hAnsi="Arial" w:cs="Arial"/>
          <w:sz w:val="22"/>
          <w:szCs w:val="22"/>
          <w:lang w:val="en-GB"/>
        </w:rPr>
        <w:t>Black Pearl</w:t>
      </w:r>
      <w:r w:rsidR="00391C9D">
        <w:rPr>
          <w:rFonts w:ascii="Arial" w:hAnsi="Arial" w:cs="Arial"/>
          <w:sz w:val="22"/>
          <w:szCs w:val="22"/>
          <w:lang w:val="en-GB"/>
        </w:rPr>
        <w:t xml:space="preserve">’s dry dock facility in </w:t>
      </w:r>
      <w:r>
        <w:rPr>
          <w:rFonts w:ascii="Arial" w:hAnsi="Arial" w:cs="Arial"/>
          <w:sz w:val="22"/>
          <w:szCs w:val="22"/>
          <w:lang w:val="en-GB"/>
        </w:rPr>
        <w:t xml:space="preserve">Little </w:t>
      </w:r>
      <w:r w:rsidR="00391C9D">
        <w:rPr>
          <w:rFonts w:ascii="Arial" w:hAnsi="Arial" w:cs="Arial"/>
          <w:sz w:val="22"/>
          <w:szCs w:val="22"/>
          <w:lang w:val="en-GB"/>
        </w:rPr>
        <w:t>Cayman</w:t>
      </w:r>
      <w:r>
        <w:rPr>
          <w:rFonts w:ascii="Arial" w:hAnsi="Arial" w:cs="Arial"/>
          <w:sz w:val="22"/>
          <w:szCs w:val="22"/>
          <w:lang w:val="en-GB"/>
        </w:rPr>
        <w:t>.</w:t>
      </w:r>
    </w:p>
    <w:p w14:paraId="0B881CB6" w14:textId="77777777" w:rsidR="003938A1" w:rsidRDefault="003938A1" w:rsidP="002476AF">
      <w:pPr>
        <w:jc w:val="both"/>
        <w:rPr>
          <w:rFonts w:ascii="Arial" w:hAnsi="Arial" w:cs="Arial"/>
          <w:sz w:val="22"/>
          <w:szCs w:val="22"/>
          <w:lang w:val="en-GB"/>
        </w:rPr>
      </w:pPr>
    </w:p>
    <w:p w14:paraId="13B2990A" w14:textId="16519593"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C41A0C">
        <w:rPr>
          <w:rFonts w:ascii="Arial" w:hAnsi="Arial" w:cs="Arial"/>
          <w:sz w:val="22"/>
          <w:szCs w:val="22"/>
          <w:lang w:val="en-GB"/>
        </w:rPr>
        <w:t>Black Pearl</w:t>
      </w:r>
      <w:r>
        <w:rPr>
          <w:rFonts w:ascii="Arial" w:hAnsi="Arial" w:cs="Arial"/>
          <w:sz w:val="22"/>
          <w:szCs w:val="22"/>
          <w:lang w:val="en-GB"/>
        </w:rPr>
        <w:t xml:space="preserve"> has recently lost arbitration proceedings in London in relation to the construction of a new fleet of ships and been ordered to pay 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 xml:space="preserve">Jolly Roger </w:t>
      </w:r>
      <w:r w:rsidR="00241BC4">
        <w:rPr>
          <w:rFonts w:ascii="Arial" w:hAnsi="Arial" w:cs="Arial"/>
          <w:sz w:val="22"/>
          <w:szCs w:val="22"/>
          <w:lang w:val="en-GB"/>
        </w:rPr>
        <w:t>Inc</w:t>
      </w:r>
      <w:r>
        <w:rPr>
          <w:rFonts w:ascii="Arial" w:hAnsi="Arial" w:cs="Arial"/>
          <w:sz w:val="22"/>
          <w:szCs w:val="22"/>
          <w:lang w:val="en-GB"/>
        </w:rPr>
        <w:t>.</w:t>
      </w:r>
      <w:r w:rsidR="00EA6EC9">
        <w:rPr>
          <w:rFonts w:ascii="Arial" w:hAnsi="Arial" w:cs="Arial"/>
          <w:sz w:val="22"/>
          <w:szCs w:val="22"/>
          <w:lang w:val="en-GB"/>
        </w:rPr>
        <w:t xml:space="preserve"> It will not be able to satisfy that award.</w:t>
      </w:r>
    </w:p>
    <w:p w14:paraId="04BE230E" w14:textId="1BB521C2" w:rsidR="004D4774" w:rsidRDefault="004D4774" w:rsidP="002476AF">
      <w:pPr>
        <w:jc w:val="both"/>
        <w:rPr>
          <w:rFonts w:ascii="Arial" w:hAnsi="Arial" w:cs="Arial"/>
          <w:sz w:val="22"/>
          <w:szCs w:val="22"/>
          <w:lang w:val="en-GB"/>
        </w:rPr>
      </w:pPr>
    </w:p>
    <w:p w14:paraId="13DBE15E" w14:textId="58EDAFC3"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28264E5A" w:rsidR="002A2C21" w:rsidRPr="00977CE5" w:rsidRDefault="002A2C21" w:rsidP="00977CE5">
      <w:pPr>
        <w:pStyle w:val="Prrafodelista"/>
        <w:numPr>
          <w:ilvl w:val="0"/>
          <w:numId w:val="42"/>
        </w:numPr>
        <w:ind w:left="426"/>
        <w:jc w:val="both"/>
        <w:rPr>
          <w:rFonts w:ascii="Arial" w:hAnsi="Arial" w:cs="Arial"/>
          <w:sz w:val="22"/>
          <w:szCs w:val="22"/>
          <w:lang w:val="en-GB"/>
        </w:rPr>
      </w:pPr>
      <w:r w:rsidRPr="00977CE5">
        <w:rPr>
          <w:rFonts w:ascii="Arial" w:hAnsi="Arial" w:cs="Arial"/>
          <w:sz w:val="22"/>
          <w:szCs w:val="22"/>
          <w:lang w:val="en-GB"/>
        </w:rPr>
        <w:t>What action can Monster take to protect itself?</w:t>
      </w:r>
    </w:p>
    <w:p w14:paraId="60988ABD" w14:textId="38EBC5DE" w:rsidR="00952187" w:rsidRDefault="00952187" w:rsidP="00251783">
      <w:pPr>
        <w:ind w:left="66"/>
        <w:jc w:val="both"/>
        <w:rPr>
          <w:rFonts w:ascii="Arial" w:hAnsi="Arial" w:cs="Arial"/>
          <w:sz w:val="22"/>
          <w:szCs w:val="22"/>
          <w:lang w:val="en-GB"/>
        </w:rPr>
      </w:pPr>
    </w:p>
    <w:p w14:paraId="2C4CCC84" w14:textId="77777777" w:rsidR="00E13528" w:rsidRPr="00E13528" w:rsidRDefault="00E13528" w:rsidP="00E13528">
      <w:pPr>
        <w:ind w:left="709" w:hanging="709"/>
        <w:jc w:val="both"/>
        <w:rPr>
          <w:rFonts w:ascii="Arial" w:hAnsi="Arial" w:cs="Arial"/>
          <w:color w:val="808080" w:themeColor="background1" w:themeShade="80"/>
          <w:sz w:val="22"/>
          <w:szCs w:val="22"/>
          <w:lang w:val="en-GB"/>
        </w:rPr>
      </w:pPr>
      <w:r w:rsidRPr="00E13528">
        <w:rPr>
          <w:rFonts w:ascii="Arial" w:hAnsi="Arial" w:cs="Arial"/>
          <w:color w:val="808080" w:themeColor="background1" w:themeShade="80"/>
          <w:sz w:val="22"/>
          <w:szCs w:val="22"/>
          <w:lang w:val="en-GB"/>
        </w:rPr>
        <w:t>Monster could foreclose its mortgage by USD 40 million over 4 Black Pearl’s cruise ship. Monster may begin an executive proceeding against Black Pearl to recover the USD 60 MM remaining. In that last case, foreclosure has to be done by the time of the beginning of a liquidation proceeding (section 99, Companies Law).</w:t>
      </w:r>
    </w:p>
    <w:p w14:paraId="194EB6FA" w14:textId="77777777" w:rsidR="00E13528" w:rsidRPr="00E13528" w:rsidRDefault="00E13528" w:rsidP="00E13528">
      <w:pPr>
        <w:ind w:left="709" w:hanging="709"/>
        <w:jc w:val="both"/>
        <w:rPr>
          <w:rFonts w:ascii="Arial" w:hAnsi="Arial" w:cs="Arial"/>
          <w:color w:val="808080" w:themeColor="background1" w:themeShade="80"/>
          <w:sz w:val="22"/>
          <w:szCs w:val="22"/>
          <w:lang w:val="en-GB"/>
        </w:rPr>
      </w:pPr>
    </w:p>
    <w:p w14:paraId="4812A5E5" w14:textId="7BCE522F" w:rsidR="00251783" w:rsidRPr="00251783" w:rsidRDefault="00E13528" w:rsidP="00E13528">
      <w:pPr>
        <w:ind w:left="709" w:hanging="709"/>
        <w:jc w:val="both"/>
        <w:rPr>
          <w:rFonts w:ascii="Arial" w:hAnsi="Arial" w:cs="Arial"/>
          <w:color w:val="808080" w:themeColor="background1" w:themeShade="80"/>
          <w:sz w:val="22"/>
          <w:szCs w:val="22"/>
          <w:lang w:val="en-GB"/>
        </w:rPr>
      </w:pPr>
      <w:r w:rsidRPr="00E13528">
        <w:rPr>
          <w:rFonts w:ascii="Arial" w:hAnsi="Arial" w:cs="Arial"/>
          <w:color w:val="808080" w:themeColor="background1" w:themeShade="80"/>
          <w:sz w:val="22"/>
          <w:szCs w:val="22"/>
          <w:lang w:val="en-GB"/>
        </w:rPr>
        <w:t>In addition, pursuant to section 94 of the Corporate Law, Monster may request the beginning of a liquidation proceeding under Official Liquidation arguing that: 1) Black Pearl is a foreign company registered in the Cayman Islands; and 2) is not able to pay its debts (section 92 y 93), case in which Monster have to prove that. On the other hand, Monster may request for the beginning of a scheme of the arrangement, and in this scenario, Black Pearl’s consent will be required.</w:t>
      </w:r>
    </w:p>
    <w:p w14:paraId="3B91E68A" w14:textId="77777777" w:rsidR="00251783" w:rsidRPr="00952187" w:rsidRDefault="00251783" w:rsidP="00251783">
      <w:pPr>
        <w:jc w:val="both"/>
        <w:rPr>
          <w:rFonts w:ascii="Arial" w:hAnsi="Arial" w:cs="Arial"/>
          <w:sz w:val="22"/>
          <w:szCs w:val="22"/>
          <w:lang w:val="en-GB"/>
        </w:rPr>
      </w:pPr>
    </w:p>
    <w:p w14:paraId="2954EC21" w14:textId="3114E680" w:rsidR="002A2C21" w:rsidRDefault="002A2C21" w:rsidP="00977CE5">
      <w:pPr>
        <w:pStyle w:val="Prrafodelista"/>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What action can </w:t>
      </w:r>
      <w:r w:rsidR="00C41A0C" w:rsidRPr="00977CE5">
        <w:rPr>
          <w:rFonts w:ascii="Arial" w:hAnsi="Arial" w:cs="Arial"/>
          <w:sz w:val="22"/>
          <w:szCs w:val="22"/>
          <w:lang w:val="en-GB"/>
        </w:rPr>
        <w:t>Jolly Roger</w:t>
      </w:r>
      <w:r w:rsidR="00977CE5" w:rsidRPr="00977CE5">
        <w:rPr>
          <w:rFonts w:ascii="Arial" w:hAnsi="Arial" w:cs="Arial"/>
          <w:sz w:val="22"/>
          <w:szCs w:val="22"/>
          <w:lang w:val="en-GB"/>
        </w:rPr>
        <w:t xml:space="preserve"> Inc</w:t>
      </w:r>
      <w:r w:rsidR="00C41A0C" w:rsidRPr="00977CE5">
        <w:rPr>
          <w:rFonts w:ascii="Arial" w:hAnsi="Arial" w:cs="Arial"/>
          <w:sz w:val="22"/>
          <w:szCs w:val="22"/>
          <w:lang w:val="en-GB"/>
        </w:rPr>
        <w:t xml:space="preserve"> </w:t>
      </w:r>
      <w:r w:rsidRPr="00977CE5">
        <w:rPr>
          <w:rFonts w:ascii="Arial" w:hAnsi="Arial" w:cs="Arial"/>
          <w:sz w:val="22"/>
          <w:szCs w:val="22"/>
          <w:lang w:val="en-GB"/>
        </w:rPr>
        <w:t xml:space="preserve"> take against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09DB87E2" w14:textId="6297AC19" w:rsidR="00251783" w:rsidRDefault="00251783" w:rsidP="00251783">
      <w:pPr>
        <w:jc w:val="both"/>
        <w:rPr>
          <w:rFonts w:ascii="Arial" w:hAnsi="Arial" w:cs="Arial"/>
          <w:sz w:val="22"/>
          <w:szCs w:val="22"/>
          <w:lang w:val="en-GB"/>
        </w:rPr>
      </w:pPr>
    </w:p>
    <w:p w14:paraId="29C90B8E" w14:textId="77777777" w:rsidR="00E13528" w:rsidRPr="00E13528" w:rsidRDefault="00E13528" w:rsidP="00E13528">
      <w:pPr>
        <w:ind w:left="709" w:hanging="709"/>
        <w:jc w:val="both"/>
        <w:rPr>
          <w:rFonts w:ascii="Arial" w:hAnsi="Arial" w:cs="Arial"/>
          <w:color w:val="808080" w:themeColor="background1" w:themeShade="80"/>
          <w:sz w:val="22"/>
          <w:szCs w:val="22"/>
          <w:lang w:val="en-GB"/>
        </w:rPr>
      </w:pPr>
      <w:r w:rsidRPr="00E13528">
        <w:rPr>
          <w:rFonts w:ascii="Arial" w:hAnsi="Arial" w:cs="Arial"/>
          <w:color w:val="808080" w:themeColor="background1" w:themeShade="80"/>
          <w:sz w:val="22"/>
          <w:szCs w:val="22"/>
          <w:lang w:val="en-GB"/>
        </w:rPr>
        <w:t xml:space="preserve">In the same way that Monster, Jolly Roger Inc could begin a foreclose proceeding, but foreclose have to be done by the time of the beginning of a liquidation proceeding (section 99, Companies Law). On the contrary, if foreclose will not be finished by the date of the beginning of the insolvency proceeding, Jolly Roger Inc will not retain the assets of Black Pearl. </w:t>
      </w:r>
    </w:p>
    <w:p w14:paraId="20CD1DCE" w14:textId="77777777" w:rsidR="00E13528" w:rsidRPr="00E13528" w:rsidRDefault="00E13528" w:rsidP="00E13528">
      <w:pPr>
        <w:ind w:left="709" w:hanging="709"/>
        <w:jc w:val="both"/>
        <w:rPr>
          <w:rFonts w:ascii="Arial" w:hAnsi="Arial" w:cs="Arial"/>
          <w:color w:val="808080" w:themeColor="background1" w:themeShade="80"/>
          <w:sz w:val="22"/>
          <w:szCs w:val="22"/>
          <w:lang w:val="en-GB"/>
        </w:rPr>
      </w:pPr>
    </w:p>
    <w:p w14:paraId="6FB22088" w14:textId="0CBAB3F9" w:rsidR="00251783" w:rsidRPr="00251783" w:rsidRDefault="00E13528" w:rsidP="00E13528">
      <w:pPr>
        <w:ind w:left="709" w:hanging="709"/>
        <w:jc w:val="both"/>
        <w:rPr>
          <w:rFonts w:ascii="Arial" w:hAnsi="Arial" w:cs="Arial"/>
          <w:color w:val="808080" w:themeColor="background1" w:themeShade="80"/>
          <w:sz w:val="22"/>
          <w:szCs w:val="22"/>
          <w:lang w:val="en-GB"/>
        </w:rPr>
      </w:pPr>
      <w:r w:rsidRPr="00E13528">
        <w:rPr>
          <w:rFonts w:ascii="Arial" w:hAnsi="Arial" w:cs="Arial"/>
          <w:color w:val="808080" w:themeColor="background1" w:themeShade="80"/>
          <w:sz w:val="22"/>
          <w:szCs w:val="22"/>
          <w:lang w:val="en-GB"/>
        </w:rPr>
        <w:t>In any case, Jolly Roger Inc may request also a beginning of an official liquidation proceeding according to sections 92 and 93 of the Companies Law or a scheme of arrangement. In that last case, Black P</w:t>
      </w:r>
      <w:r>
        <w:rPr>
          <w:rFonts w:ascii="Arial" w:hAnsi="Arial" w:cs="Arial"/>
          <w:color w:val="808080" w:themeColor="background1" w:themeShade="80"/>
          <w:sz w:val="22"/>
          <w:szCs w:val="22"/>
          <w:lang w:val="en-GB"/>
        </w:rPr>
        <w:t>earl’s consent will be required</w:t>
      </w:r>
      <w:r w:rsidR="003F439D">
        <w:rPr>
          <w:rFonts w:ascii="Arial" w:hAnsi="Arial" w:cs="Arial"/>
          <w:color w:val="808080" w:themeColor="background1" w:themeShade="80"/>
          <w:sz w:val="22"/>
          <w:szCs w:val="22"/>
          <w:lang w:val="en-GB"/>
        </w:rPr>
        <w:t>.</w:t>
      </w:r>
    </w:p>
    <w:p w14:paraId="5C96F779" w14:textId="77777777" w:rsidR="00952187" w:rsidRPr="00952187" w:rsidRDefault="00952187" w:rsidP="00977CE5">
      <w:pPr>
        <w:ind w:left="426"/>
        <w:jc w:val="both"/>
        <w:rPr>
          <w:rFonts w:ascii="Arial" w:hAnsi="Arial" w:cs="Arial"/>
          <w:sz w:val="22"/>
          <w:szCs w:val="22"/>
          <w:lang w:val="en-GB"/>
        </w:rPr>
      </w:pPr>
    </w:p>
    <w:p w14:paraId="786BD95B" w14:textId="68D55129" w:rsidR="002A2C21" w:rsidRDefault="002A2C21" w:rsidP="00977CE5">
      <w:pPr>
        <w:pStyle w:val="Prrafodelista"/>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What action can the unsecured trade creditors take against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5A977972" w14:textId="70E6ACB9" w:rsidR="00A6661F" w:rsidRDefault="00A6661F" w:rsidP="00A6661F">
      <w:pPr>
        <w:jc w:val="both"/>
        <w:rPr>
          <w:rFonts w:ascii="Arial" w:hAnsi="Arial" w:cs="Arial"/>
          <w:sz w:val="22"/>
          <w:szCs w:val="22"/>
          <w:lang w:val="en-GB"/>
        </w:rPr>
      </w:pPr>
    </w:p>
    <w:p w14:paraId="73ADAFB4" w14:textId="77777777" w:rsidR="003F439D" w:rsidRDefault="00A6661F" w:rsidP="00E13528">
      <w:pPr>
        <w:ind w:left="709" w:hanging="709"/>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They may request for a beginning of an official liquidation proceeding according to sections 92 and 93 of the Companies Law</w:t>
      </w:r>
      <w:r w:rsidR="003F439D">
        <w:rPr>
          <w:rFonts w:ascii="Arial" w:hAnsi="Arial" w:cs="Arial"/>
          <w:color w:val="808080" w:themeColor="background1" w:themeShade="80"/>
          <w:sz w:val="22"/>
          <w:szCs w:val="22"/>
          <w:lang w:val="en-GB"/>
        </w:rPr>
        <w:t xml:space="preserve"> or a scheme of arrangement. In that last case, Black Pearl’s consent will be required</w:t>
      </w:r>
      <w:r>
        <w:rPr>
          <w:rFonts w:ascii="Arial" w:hAnsi="Arial" w:cs="Arial"/>
          <w:color w:val="808080" w:themeColor="background1" w:themeShade="80"/>
          <w:sz w:val="22"/>
          <w:szCs w:val="22"/>
          <w:lang w:val="en-GB"/>
        </w:rPr>
        <w:t>.</w:t>
      </w:r>
      <w:r w:rsidR="005A2C6D">
        <w:rPr>
          <w:rFonts w:ascii="Arial" w:hAnsi="Arial" w:cs="Arial"/>
          <w:color w:val="808080" w:themeColor="background1" w:themeShade="80"/>
          <w:sz w:val="22"/>
          <w:szCs w:val="22"/>
          <w:lang w:val="en-GB"/>
        </w:rPr>
        <w:t xml:space="preserve"> </w:t>
      </w:r>
    </w:p>
    <w:p w14:paraId="27F84B5C" w14:textId="77777777" w:rsidR="003F439D" w:rsidRDefault="003F439D" w:rsidP="00A6661F">
      <w:pPr>
        <w:jc w:val="both"/>
        <w:rPr>
          <w:rFonts w:ascii="Arial" w:hAnsi="Arial" w:cs="Arial"/>
          <w:color w:val="808080" w:themeColor="background1" w:themeShade="80"/>
          <w:sz w:val="22"/>
          <w:szCs w:val="22"/>
          <w:lang w:val="en-GB"/>
        </w:rPr>
      </w:pPr>
    </w:p>
    <w:p w14:paraId="5C7D2BD1" w14:textId="20C5162B" w:rsidR="00A6661F" w:rsidRPr="00A6661F" w:rsidRDefault="005A2C6D" w:rsidP="00E13528">
      <w:pPr>
        <w:ind w:left="709" w:hanging="709"/>
        <w:jc w:val="both"/>
        <w:rPr>
          <w:rFonts w:ascii="Arial" w:hAnsi="Arial" w:cs="Arial"/>
          <w:sz w:val="22"/>
          <w:szCs w:val="22"/>
          <w:lang w:val="en-GB"/>
        </w:rPr>
      </w:pPr>
      <w:r>
        <w:rPr>
          <w:rFonts w:ascii="Arial" w:hAnsi="Arial" w:cs="Arial"/>
          <w:color w:val="808080" w:themeColor="background1" w:themeShade="80"/>
          <w:sz w:val="22"/>
          <w:szCs w:val="22"/>
          <w:lang w:val="en-GB"/>
        </w:rPr>
        <w:t xml:space="preserve">If the creditors have secured, they could foreclose their collateral even </w:t>
      </w:r>
      <w:r w:rsidR="003F439D">
        <w:rPr>
          <w:rFonts w:ascii="Arial" w:hAnsi="Arial" w:cs="Arial"/>
          <w:color w:val="808080" w:themeColor="background1" w:themeShade="80"/>
          <w:sz w:val="22"/>
          <w:szCs w:val="22"/>
          <w:lang w:val="en-GB"/>
        </w:rPr>
        <w:t>if Black Pearl is admitted to</w:t>
      </w:r>
      <w:r>
        <w:rPr>
          <w:rFonts w:ascii="Arial" w:hAnsi="Arial" w:cs="Arial"/>
          <w:color w:val="808080" w:themeColor="background1" w:themeShade="80"/>
          <w:sz w:val="22"/>
          <w:szCs w:val="22"/>
          <w:lang w:val="en-GB"/>
        </w:rPr>
        <w:t xml:space="preserve"> an insolvency proceeding. </w:t>
      </w:r>
    </w:p>
    <w:p w14:paraId="2D2F4E09" w14:textId="77777777" w:rsidR="00952187" w:rsidRPr="00952187" w:rsidRDefault="00952187" w:rsidP="00977CE5">
      <w:pPr>
        <w:ind w:left="426"/>
        <w:jc w:val="both"/>
        <w:rPr>
          <w:rFonts w:ascii="Arial" w:hAnsi="Arial" w:cs="Arial"/>
          <w:sz w:val="22"/>
          <w:szCs w:val="22"/>
          <w:lang w:val="en-GB"/>
        </w:rPr>
      </w:pPr>
    </w:p>
    <w:p w14:paraId="50895D5F" w14:textId="3F83127D" w:rsidR="00F730FA" w:rsidRDefault="00F730FA" w:rsidP="00977CE5">
      <w:pPr>
        <w:pStyle w:val="Prrafodelista"/>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Does the Cayman Islands Court have jurisdiction over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73CD31B5" w14:textId="77777777" w:rsidR="00251BF2" w:rsidRPr="00251BF2" w:rsidRDefault="00251BF2" w:rsidP="00251BF2">
      <w:pPr>
        <w:pStyle w:val="Prrafodelista"/>
        <w:rPr>
          <w:rFonts w:ascii="Arial" w:hAnsi="Arial" w:cs="Arial"/>
          <w:sz w:val="22"/>
          <w:szCs w:val="22"/>
          <w:lang w:val="en-GB"/>
        </w:rPr>
      </w:pPr>
    </w:p>
    <w:p w14:paraId="22690B3F" w14:textId="3C99C788" w:rsidR="00251BF2" w:rsidRPr="00251BF2" w:rsidRDefault="00251BF2" w:rsidP="00E13528">
      <w:pPr>
        <w:ind w:left="709" w:hanging="709"/>
        <w:jc w:val="both"/>
        <w:rPr>
          <w:rFonts w:ascii="Arial" w:hAnsi="Arial" w:cs="Arial"/>
          <w:color w:val="808080" w:themeColor="background1" w:themeShade="80"/>
          <w:sz w:val="22"/>
          <w:szCs w:val="22"/>
          <w:lang w:val="en-GB"/>
        </w:rPr>
      </w:pPr>
      <w:r w:rsidRPr="00251BF2">
        <w:rPr>
          <w:rFonts w:ascii="Arial" w:hAnsi="Arial" w:cs="Arial"/>
          <w:color w:val="808080" w:themeColor="background1" w:themeShade="80"/>
          <w:sz w:val="22"/>
          <w:szCs w:val="22"/>
          <w:lang w:val="en-GB"/>
        </w:rPr>
        <w:t xml:space="preserve">Yes, </w:t>
      </w:r>
      <w:r>
        <w:rPr>
          <w:rFonts w:ascii="Arial" w:hAnsi="Arial" w:cs="Arial"/>
          <w:color w:val="808080" w:themeColor="background1" w:themeShade="80"/>
          <w:sz w:val="22"/>
          <w:szCs w:val="22"/>
          <w:lang w:val="en-GB"/>
        </w:rPr>
        <w:t>the Cayman Islands Court has jurisdiction over Black Pearl, because it is a company registered in the Cayman Islands (</w:t>
      </w:r>
      <w:r w:rsidR="006168C6">
        <w:rPr>
          <w:rFonts w:ascii="Arial" w:hAnsi="Arial" w:cs="Arial"/>
          <w:color w:val="808080" w:themeColor="background1" w:themeShade="80"/>
          <w:sz w:val="22"/>
          <w:szCs w:val="22"/>
          <w:lang w:val="en-GB"/>
        </w:rPr>
        <w:t>section</w:t>
      </w:r>
      <w:r>
        <w:rPr>
          <w:rFonts w:ascii="Arial" w:hAnsi="Arial" w:cs="Arial"/>
          <w:color w:val="808080" w:themeColor="background1" w:themeShade="80"/>
          <w:sz w:val="22"/>
          <w:szCs w:val="22"/>
          <w:lang w:val="en-GB"/>
        </w:rPr>
        <w:t xml:space="preserve"> 93, Companies Law).</w:t>
      </w:r>
    </w:p>
    <w:p w14:paraId="43E439C8" w14:textId="77777777" w:rsidR="00952187" w:rsidRPr="00952187" w:rsidRDefault="00952187" w:rsidP="00977CE5">
      <w:pPr>
        <w:ind w:left="426"/>
        <w:jc w:val="both"/>
        <w:rPr>
          <w:rFonts w:ascii="Arial" w:hAnsi="Arial" w:cs="Arial"/>
          <w:sz w:val="22"/>
          <w:szCs w:val="22"/>
          <w:lang w:val="en-GB"/>
        </w:rPr>
      </w:pPr>
    </w:p>
    <w:p w14:paraId="24A6BD44" w14:textId="652F06D1" w:rsidR="00F730FA" w:rsidRPr="00977CE5" w:rsidRDefault="002A2C21" w:rsidP="00977CE5">
      <w:pPr>
        <w:pStyle w:val="Prrafodelista"/>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Is there a legal route via which </w:t>
      </w:r>
      <w:r w:rsidR="00C41A0C" w:rsidRPr="00977CE5">
        <w:rPr>
          <w:rFonts w:ascii="Arial" w:hAnsi="Arial" w:cs="Arial"/>
          <w:sz w:val="22"/>
          <w:szCs w:val="22"/>
          <w:lang w:val="en-GB"/>
        </w:rPr>
        <w:t>Black Pearl</w:t>
      </w:r>
      <w:r w:rsidRPr="00977CE5">
        <w:rPr>
          <w:rFonts w:ascii="Arial" w:hAnsi="Arial" w:cs="Arial"/>
          <w:sz w:val="22"/>
          <w:szCs w:val="22"/>
          <w:lang w:val="en-GB"/>
        </w:rPr>
        <w:t xml:space="preserve"> can</w:t>
      </w:r>
      <w:r w:rsidR="00EA6EC9" w:rsidRPr="00977CE5">
        <w:rPr>
          <w:rFonts w:ascii="Arial" w:hAnsi="Arial" w:cs="Arial"/>
          <w:sz w:val="22"/>
          <w:szCs w:val="22"/>
          <w:lang w:val="en-GB"/>
        </w:rPr>
        <w:t xml:space="preserve"> </w:t>
      </w:r>
      <w:r w:rsidR="00F730FA" w:rsidRPr="00977CE5">
        <w:rPr>
          <w:rFonts w:ascii="Arial" w:hAnsi="Arial" w:cs="Arial"/>
          <w:sz w:val="22"/>
          <w:szCs w:val="22"/>
          <w:lang w:val="en-GB"/>
        </w:rPr>
        <w:t xml:space="preserve">protect </w:t>
      </w:r>
      <w:r w:rsidR="00C41A0C" w:rsidRPr="00977CE5">
        <w:rPr>
          <w:rFonts w:ascii="Arial" w:hAnsi="Arial" w:cs="Arial"/>
          <w:sz w:val="22"/>
          <w:szCs w:val="22"/>
          <w:lang w:val="en-GB"/>
        </w:rPr>
        <w:t xml:space="preserve">itself </w:t>
      </w:r>
      <w:r w:rsidR="00F730FA" w:rsidRPr="00977CE5">
        <w:rPr>
          <w:rFonts w:ascii="Arial" w:hAnsi="Arial" w:cs="Arial"/>
          <w:sz w:val="22"/>
          <w:szCs w:val="22"/>
          <w:lang w:val="en-GB"/>
        </w:rPr>
        <w:t xml:space="preserve">and </w:t>
      </w:r>
      <w:r w:rsidRPr="00977CE5">
        <w:rPr>
          <w:rFonts w:ascii="Arial" w:hAnsi="Arial" w:cs="Arial"/>
          <w:sz w:val="22"/>
          <w:szCs w:val="22"/>
          <w:lang w:val="en-GB"/>
        </w:rPr>
        <w:t xml:space="preserve">seek to </w:t>
      </w:r>
      <w:r w:rsidR="007808EB" w:rsidRPr="00977CE5">
        <w:rPr>
          <w:rFonts w:ascii="Arial" w:hAnsi="Arial" w:cs="Arial"/>
          <w:sz w:val="22"/>
          <w:szCs w:val="22"/>
          <w:lang w:val="en-GB"/>
        </w:rPr>
        <w:t>restructure</w:t>
      </w:r>
      <w:r w:rsidR="00F730FA" w:rsidRPr="00977CE5">
        <w:rPr>
          <w:rFonts w:ascii="Arial" w:hAnsi="Arial" w:cs="Arial"/>
          <w:sz w:val="22"/>
          <w:szCs w:val="22"/>
          <w:lang w:val="en-GB"/>
        </w:rPr>
        <w:t>?</w:t>
      </w:r>
      <w:r w:rsidR="00C41A0C" w:rsidRPr="00977CE5">
        <w:rPr>
          <w:rFonts w:ascii="Arial" w:hAnsi="Arial" w:cs="Arial"/>
          <w:sz w:val="22"/>
          <w:szCs w:val="22"/>
          <w:lang w:val="en-GB"/>
        </w:rPr>
        <w:t xml:space="preserve"> </w:t>
      </w:r>
    </w:p>
    <w:p w14:paraId="5E9F761E" w14:textId="5CA90E08" w:rsidR="00952187" w:rsidRDefault="00952187" w:rsidP="00A6661F">
      <w:pPr>
        <w:jc w:val="both"/>
        <w:rPr>
          <w:rFonts w:ascii="Arial" w:hAnsi="Arial" w:cs="Arial"/>
          <w:sz w:val="22"/>
          <w:szCs w:val="22"/>
          <w:lang w:val="en-GB"/>
        </w:rPr>
      </w:pPr>
    </w:p>
    <w:p w14:paraId="7BFF1708" w14:textId="77777777" w:rsidR="00E13528" w:rsidRPr="00E13528" w:rsidRDefault="00E13528" w:rsidP="00E13528">
      <w:pPr>
        <w:ind w:left="709" w:hanging="709"/>
        <w:jc w:val="both"/>
        <w:rPr>
          <w:rFonts w:ascii="Arial" w:hAnsi="Arial" w:cs="Arial"/>
          <w:color w:val="808080" w:themeColor="background1" w:themeShade="80"/>
          <w:sz w:val="22"/>
          <w:szCs w:val="22"/>
          <w:lang w:val="en-GB"/>
        </w:rPr>
      </w:pPr>
      <w:r w:rsidRPr="00E13528">
        <w:rPr>
          <w:rFonts w:ascii="Arial" w:hAnsi="Arial" w:cs="Arial"/>
          <w:color w:val="808080" w:themeColor="background1" w:themeShade="80"/>
          <w:sz w:val="22"/>
          <w:szCs w:val="22"/>
          <w:lang w:val="en-GB"/>
        </w:rPr>
        <w:t>Pursuant to the Cayman Islands’ law, Black Pearl has no obligation to begin an insolvency proceeding. In addition, the Cayman Islands law has no provisions for recovery proceedings as Chapter 11 of the US law. It only has liquidation proceedings as voluntary, provisional, and official.</w:t>
      </w:r>
    </w:p>
    <w:p w14:paraId="0423784F" w14:textId="77777777" w:rsidR="00E13528" w:rsidRPr="00E13528" w:rsidRDefault="00E13528" w:rsidP="00E13528">
      <w:pPr>
        <w:ind w:left="709" w:hanging="709"/>
        <w:jc w:val="both"/>
        <w:rPr>
          <w:rFonts w:ascii="Arial" w:hAnsi="Arial" w:cs="Arial"/>
          <w:color w:val="808080" w:themeColor="background1" w:themeShade="80"/>
          <w:sz w:val="22"/>
          <w:szCs w:val="22"/>
          <w:lang w:val="en-GB"/>
        </w:rPr>
      </w:pPr>
    </w:p>
    <w:p w14:paraId="5FCB1F7A" w14:textId="77777777" w:rsidR="00E13528" w:rsidRPr="00E13528" w:rsidRDefault="00E13528" w:rsidP="00E13528">
      <w:pPr>
        <w:ind w:left="709" w:hanging="709"/>
        <w:jc w:val="both"/>
        <w:rPr>
          <w:rFonts w:ascii="Arial" w:hAnsi="Arial" w:cs="Arial"/>
          <w:color w:val="808080" w:themeColor="background1" w:themeShade="80"/>
          <w:sz w:val="22"/>
          <w:szCs w:val="22"/>
          <w:lang w:val="en-GB"/>
        </w:rPr>
      </w:pPr>
      <w:r w:rsidRPr="00E13528">
        <w:rPr>
          <w:rFonts w:ascii="Arial" w:hAnsi="Arial" w:cs="Arial"/>
          <w:color w:val="808080" w:themeColor="background1" w:themeShade="80"/>
          <w:sz w:val="22"/>
          <w:szCs w:val="22"/>
          <w:lang w:val="en-GB"/>
        </w:rPr>
        <w:t>For purposes of keeping Black Pearl as an ongoing concern, it may pursue a scheme of the arrangement, by which Black Pearl may restructure its debts. In that case, it may request for a provisional liquidation and apply a stay to prevent foreclose proceedings against the debtor (also known as a moratorium, pursuant to section 104(3), Companies Law). Black Pearl could argue that during the provisional liquidation will be pursuing an agreement with some of all of its creditors that after all may be approved by the Grand Court.</w:t>
      </w:r>
    </w:p>
    <w:p w14:paraId="0E836EAE" w14:textId="77777777" w:rsidR="00E13528" w:rsidRPr="00E13528" w:rsidRDefault="00E13528" w:rsidP="00E13528">
      <w:pPr>
        <w:ind w:left="709" w:hanging="709"/>
        <w:jc w:val="both"/>
        <w:rPr>
          <w:rFonts w:ascii="Arial" w:hAnsi="Arial" w:cs="Arial"/>
          <w:color w:val="808080" w:themeColor="background1" w:themeShade="80"/>
          <w:sz w:val="22"/>
          <w:szCs w:val="22"/>
          <w:lang w:val="en-GB"/>
        </w:rPr>
      </w:pPr>
    </w:p>
    <w:p w14:paraId="5C8C2478" w14:textId="60E3E914" w:rsidR="00A6661F" w:rsidRDefault="00E13528" w:rsidP="00E13528">
      <w:pPr>
        <w:ind w:left="709" w:hanging="709"/>
        <w:jc w:val="both"/>
        <w:rPr>
          <w:rFonts w:ascii="Arial" w:hAnsi="Arial" w:cs="Arial"/>
          <w:color w:val="808080" w:themeColor="background1" w:themeShade="80"/>
          <w:sz w:val="22"/>
          <w:szCs w:val="22"/>
          <w:lang w:val="en-GB"/>
        </w:rPr>
      </w:pPr>
      <w:r w:rsidRPr="00E13528">
        <w:rPr>
          <w:rFonts w:ascii="Arial" w:hAnsi="Arial" w:cs="Arial"/>
          <w:color w:val="808080" w:themeColor="background1" w:themeShade="80"/>
          <w:sz w:val="22"/>
          <w:szCs w:val="22"/>
          <w:lang w:val="en-GB"/>
        </w:rPr>
        <w:t>Black Pearl could agree on debt f</w:t>
      </w:r>
      <w:r>
        <w:rPr>
          <w:rFonts w:ascii="Arial" w:hAnsi="Arial" w:cs="Arial"/>
          <w:color w:val="808080" w:themeColor="background1" w:themeShade="80"/>
          <w:sz w:val="22"/>
          <w:szCs w:val="22"/>
          <w:lang w:val="en-GB"/>
        </w:rPr>
        <w:t>or equity or pre-packaged sales</w:t>
      </w:r>
      <w:r w:rsidR="00F01854">
        <w:rPr>
          <w:rFonts w:ascii="Arial" w:hAnsi="Arial" w:cs="Arial"/>
          <w:color w:val="808080" w:themeColor="background1" w:themeShade="80"/>
          <w:sz w:val="22"/>
          <w:szCs w:val="22"/>
          <w:lang w:val="en-GB"/>
        </w:rPr>
        <w:t>.</w:t>
      </w:r>
    </w:p>
    <w:p w14:paraId="61D5E073" w14:textId="4A576C8B" w:rsidR="00A6661F" w:rsidRPr="00952187" w:rsidRDefault="00A6661F" w:rsidP="00A6661F">
      <w:pPr>
        <w:jc w:val="both"/>
        <w:rPr>
          <w:rFonts w:ascii="Arial" w:hAnsi="Arial" w:cs="Arial"/>
          <w:sz w:val="22"/>
          <w:szCs w:val="22"/>
          <w:lang w:val="en-GB"/>
        </w:rPr>
      </w:pPr>
    </w:p>
    <w:p w14:paraId="20A1D69F" w14:textId="67F50158" w:rsidR="00927C9D" w:rsidRPr="00977CE5" w:rsidRDefault="00C41A0C" w:rsidP="00977CE5">
      <w:pPr>
        <w:pStyle w:val="Prrafodelista"/>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Following on from </w:t>
      </w:r>
      <w:r w:rsidR="003429BA" w:rsidRPr="00977CE5">
        <w:rPr>
          <w:rFonts w:ascii="Arial" w:hAnsi="Arial" w:cs="Arial"/>
          <w:sz w:val="22"/>
          <w:szCs w:val="22"/>
          <w:lang w:val="en-GB"/>
        </w:rPr>
        <w:t>(</w:t>
      </w:r>
      <w:r w:rsidRPr="00977CE5">
        <w:rPr>
          <w:rFonts w:ascii="Arial" w:hAnsi="Arial" w:cs="Arial"/>
          <w:sz w:val="22"/>
          <w:szCs w:val="22"/>
          <w:lang w:val="en-GB"/>
        </w:rPr>
        <w:t>e</w:t>
      </w:r>
      <w:r w:rsidR="003429BA" w:rsidRPr="00977CE5">
        <w:rPr>
          <w:rFonts w:ascii="Arial" w:hAnsi="Arial" w:cs="Arial"/>
          <w:sz w:val="22"/>
          <w:szCs w:val="22"/>
          <w:lang w:val="en-GB"/>
        </w:rPr>
        <w:t>) above</w:t>
      </w:r>
      <w:r w:rsidR="00177068">
        <w:rPr>
          <w:rFonts w:ascii="Arial" w:hAnsi="Arial" w:cs="Arial"/>
          <w:sz w:val="22"/>
          <w:szCs w:val="22"/>
          <w:lang w:val="en-GB"/>
        </w:rPr>
        <w:t xml:space="preserve"> and assuming </w:t>
      </w:r>
      <w:r w:rsidR="007421C1">
        <w:rPr>
          <w:rFonts w:ascii="Arial" w:hAnsi="Arial" w:cs="Arial"/>
          <w:sz w:val="22"/>
          <w:szCs w:val="22"/>
          <w:lang w:val="en-GB"/>
        </w:rPr>
        <w:t xml:space="preserve">there is a legal route via which Black Pearly can protect itself </w:t>
      </w:r>
      <w:r w:rsidR="002B676E">
        <w:rPr>
          <w:rFonts w:ascii="Arial" w:hAnsi="Arial" w:cs="Arial"/>
          <w:sz w:val="22"/>
          <w:szCs w:val="22"/>
          <w:lang w:val="en-GB"/>
        </w:rPr>
        <w:t>and seek to restructure,</w:t>
      </w:r>
      <w:r w:rsidRPr="00977CE5">
        <w:rPr>
          <w:rFonts w:ascii="Arial" w:hAnsi="Arial" w:cs="Arial"/>
          <w:sz w:val="22"/>
          <w:szCs w:val="22"/>
          <w:lang w:val="en-GB"/>
        </w:rPr>
        <w:t xml:space="preserve"> c</w:t>
      </w:r>
      <w:r w:rsidR="00F730FA" w:rsidRPr="00977CE5">
        <w:rPr>
          <w:rFonts w:ascii="Arial" w:hAnsi="Arial" w:cs="Arial"/>
          <w:sz w:val="22"/>
          <w:szCs w:val="22"/>
          <w:lang w:val="en-GB"/>
        </w:rPr>
        <w:t xml:space="preserve">an the </w:t>
      </w:r>
      <w:r w:rsidRPr="00977CE5">
        <w:rPr>
          <w:rFonts w:ascii="Arial" w:hAnsi="Arial" w:cs="Arial"/>
          <w:sz w:val="22"/>
          <w:szCs w:val="22"/>
          <w:lang w:val="en-GB"/>
        </w:rPr>
        <w:t xml:space="preserve">Sparrow </w:t>
      </w:r>
      <w:r w:rsidR="00F730FA" w:rsidRPr="00977CE5">
        <w:rPr>
          <w:rFonts w:ascii="Arial" w:hAnsi="Arial" w:cs="Arial"/>
          <w:sz w:val="22"/>
          <w:szCs w:val="22"/>
          <w:lang w:val="en-GB"/>
        </w:rPr>
        <w:t xml:space="preserve">family continue to run </w:t>
      </w:r>
      <w:r w:rsidRPr="00977CE5">
        <w:rPr>
          <w:rFonts w:ascii="Arial" w:hAnsi="Arial" w:cs="Arial"/>
          <w:sz w:val="22"/>
          <w:szCs w:val="22"/>
          <w:lang w:val="en-GB"/>
        </w:rPr>
        <w:t>Black Pearl</w:t>
      </w:r>
      <w:r w:rsidR="00F730FA" w:rsidRPr="00977CE5">
        <w:rPr>
          <w:rFonts w:ascii="Arial" w:hAnsi="Arial" w:cs="Arial"/>
          <w:sz w:val="22"/>
          <w:szCs w:val="22"/>
          <w:lang w:val="en-GB"/>
        </w:rPr>
        <w:t xml:space="preserve"> during this process?</w:t>
      </w:r>
    </w:p>
    <w:p w14:paraId="7ADDA549" w14:textId="5EB4B225" w:rsidR="00952187" w:rsidRDefault="00952187" w:rsidP="009A4F3D">
      <w:pPr>
        <w:ind w:left="66"/>
        <w:jc w:val="both"/>
        <w:rPr>
          <w:rFonts w:ascii="Arial" w:hAnsi="Arial" w:cs="Arial"/>
          <w:sz w:val="22"/>
          <w:szCs w:val="22"/>
          <w:lang w:val="en-GB"/>
        </w:rPr>
      </w:pPr>
    </w:p>
    <w:p w14:paraId="6B8933D0" w14:textId="681CFE9E" w:rsidR="009A4F3D" w:rsidRPr="00A6661F" w:rsidRDefault="00FB4087" w:rsidP="00E13528">
      <w:pPr>
        <w:ind w:left="709" w:hanging="709"/>
        <w:jc w:val="both"/>
        <w:rPr>
          <w:rFonts w:ascii="Arial" w:hAnsi="Arial" w:cs="Arial"/>
          <w:color w:val="808080" w:themeColor="background1" w:themeShade="80"/>
          <w:sz w:val="22"/>
          <w:szCs w:val="22"/>
          <w:lang w:val="en-GB"/>
        </w:rPr>
      </w:pPr>
      <w:r w:rsidRPr="00FB4087">
        <w:rPr>
          <w:rFonts w:ascii="Arial" w:hAnsi="Arial" w:cs="Arial"/>
          <w:color w:val="808080" w:themeColor="background1" w:themeShade="80"/>
          <w:sz w:val="22"/>
          <w:szCs w:val="22"/>
          <w:lang w:val="en-GB"/>
        </w:rPr>
        <w:t xml:space="preserve">The administration could preserve its functions just if Black Pearl does not request provisional liquidation, because if it requests it, the Grand Court will appoint provisional liquidators. Nonetheless, the Grand Court could determine if will </w:t>
      </w:r>
      <w:r>
        <w:rPr>
          <w:rFonts w:ascii="Arial" w:hAnsi="Arial" w:cs="Arial"/>
          <w:color w:val="808080" w:themeColor="background1" w:themeShade="80"/>
          <w:sz w:val="22"/>
          <w:szCs w:val="22"/>
          <w:lang w:val="en-GB"/>
        </w:rPr>
        <w:t>remain some powers to directors</w:t>
      </w:r>
      <w:r w:rsidR="00ED6779">
        <w:rPr>
          <w:rFonts w:ascii="Arial" w:hAnsi="Arial" w:cs="Arial"/>
          <w:color w:val="808080" w:themeColor="background1" w:themeShade="80"/>
          <w:sz w:val="22"/>
          <w:szCs w:val="22"/>
          <w:lang w:val="en-GB"/>
        </w:rPr>
        <w:t>.</w:t>
      </w:r>
    </w:p>
    <w:p w14:paraId="3FD366C4" w14:textId="77777777" w:rsidR="009A4F3D" w:rsidRPr="00952187" w:rsidRDefault="009A4F3D" w:rsidP="009A4F3D">
      <w:pPr>
        <w:ind w:left="66"/>
        <w:jc w:val="both"/>
        <w:rPr>
          <w:rFonts w:ascii="Arial" w:hAnsi="Arial" w:cs="Arial"/>
          <w:sz w:val="22"/>
          <w:szCs w:val="22"/>
          <w:lang w:val="en-GB"/>
        </w:rPr>
      </w:pPr>
    </w:p>
    <w:p w14:paraId="5144D848" w14:textId="1228B854" w:rsidR="00BC3A55" w:rsidRPr="00977CE5" w:rsidRDefault="00641AB6" w:rsidP="00977CE5">
      <w:pPr>
        <w:pStyle w:val="Prrafodelista"/>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Assuming that the Cayman Islands </w:t>
      </w:r>
      <w:r w:rsidR="002B676E">
        <w:rPr>
          <w:rFonts w:ascii="Arial" w:hAnsi="Arial" w:cs="Arial"/>
          <w:sz w:val="22"/>
          <w:szCs w:val="22"/>
          <w:lang w:val="en-GB"/>
        </w:rPr>
        <w:t>C</w:t>
      </w:r>
      <w:r w:rsidR="00196C2B" w:rsidRPr="00977CE5">
        <w:rPr>
          <w:rFonts w:ascii="Arial" w:hAnsi="Arial" w:cs="Arial"/>
          <w:sz w:val="22"/>
          <w:szCs w:val="22"/>
          <w:lang w:val="en-GB"/>
        </w:rPr>
        <w:t>ourt has jurisdiction, w</w:t>
      </w:r>
      <w:r w:rsidR="00BC3A55" w:rsidRPr="00977CE5">
        <w:rPr>
          <w:rFonts w:ascii="Arial" w:hAnsi="Arial" w:cs="Arial"/>
          <w:sz w:val="22"/>
          <w:szCs w:val="22"/>
          <w:lang w:val="en-GB"/>
        </w:rPr>
        <w:t xml:space="preserve">hat factors </w:t>
      </w:r>
      <w:r w:rsidR="002A2C21" w:rsidRPr="00977CE5">
        <w:rPr>
          <w:rFonts w:ascii="Arial" w:hAnsi="Arial" w:cs="Arial"/>
          <w:sz w:val="22"/>
          <w:szCs w:val="22"/>
          <w:lang w:val="en-GB"/>
        </w:rPr>
        <w:t xml:space="preserve">will </w:t>
      </w:r>
      <w:r w:rsidR="00BC3A55" w:rsidRPr="00977CE5">
        <w:rPr>
          <w:rFonts w:ascii="Arial" w:hAnsi="Arial" w:cs="Arial"/>
          <w:sz w:val="22"/>
          <w:szCs w:val="22"/>
          <w:lang w:val="en-GB"/>
        </w:rPr>
        <w:t xml:space="preserve">the court take into consideration before approving </w:t>
      </w:r>
      <w:r w:rsidR="00927C9D" w:rsidRPr="00977CE5">
        <w:rPr>
          <w:rFonts w:ascii="Arial" w:hAnsi="Arial" w:cs="Arial"/>
          <w:sz w:val="22"/>
          <w:szCs w:val="22"/>
          <w:lang w:val="en-GB"/>
        </w:rPr>
        <w:t>any</w:t>
      </w:r>
      <w:r w:rsidR="00BC3A55" w:rsidRPr="00977CE5">
        <w:rPr>
          <w:rFonts w:ascii="Arial" w:hAnsi="Arial" w:cs="Arial"/>
          <w:sz w:val="22"/>
          <w:szCs w:val="22"/>
          <w:lang w:val="en-GB"/>
        </w:rPr>
        <w:t xml:space="preserve"> </w:t>
      </w:r>
      <w:r w:rsidR="00333CA0" w:rsidRPr="00977CE5">
        <w:rPr>
          <w:rFonts w:ascii="Arial" w:hAnsi="Arial" w:cs="Arial"/>
          <w:sz w:val="22"/>
          <w:szCs w:val="22"/>
          <w:lang w:val="en-GB"/>
        </w:rPr>
        <w:t xml:space="preserve">proposed </w:t>
      </w:r>
      <w:r w:rsidR="00BC3A55" w:rsidRPr="00977CE5">
        <w:rPr>
          <w:rFonts w:ascii="Arial" w:hAnsi="Arial" w:cs="Arial"/>
          <w:sz w:val="22"/>
          <w:szCs w:val="22"/>
          <w:lang w:val="en-GB"/>
        </w:rPr>
        <w:t>restructuring</w:t>
      </w:r>
      <w:r w:rsidR="00F730FA" w:rsidRPr="00977CE5">
        <w:rPr>
          <w:rFonts w:ascii="Arial" w:hAnsi="Arial" w:cs="Arial"/>
          <w:sz w:val="22"/>
          <w:szCs w:val="22"/>
          <w:lang w:val="en-GB"/>
        </w:rPr>
        <w:t>?</w:t>
      </w:r>
    </w:p>
    <w:p w14:paraId="36B32EAD" w14:textId="77777777" w:rsidR="002476AF" w:rsidRPr="00EA6EC9" w:rsidRDefault="002476AF" w:rsidP="00EA6EC9">
      <w:pPr>
        <w:jc w:val="both"/>
        <w:rPr>
          <w:rFonts w:ascii="Arial" w:hAnsi="Arial" w:cs="Arial"/>
          <w:sz w:val="22"/>
          <w:szCs w:val="22"/>
          <w:lang w:val="en-GB"/>
        </w:rPr>
      </w:pPr>
    </w:p>
    <w:bookmarkEnd w:id="0"/>
    <w:p w14:paraId="51911D9F" w14:textId="5B49BF09" w:rsidR="00952187" w:rsidRDefault="00FB4087" w:rsidP="00E13528">
      <w:pPr>
        <w:ind w:left="709" w:hanging="709"/>
        <w:jc w:val="both"/>
        <w:rPr>
          <w:rFonts w:ascii="Arial" w:hAnsi="Arial" w:cs="Arial"/>
          <w:color w:val="808080" w:themeColor="background1" w:themeShade="80"/>
          <w:sz w:val="22"/>
          <w:szCs w:val="22"/>
          <w:lang w:val="en-GB"/>
        </w:rPr>
      </w:pPr>
      <w:r w:rsidRPr="00FB4087">
        <w:rPr>
          <w:rFonts w:ascii="Arial" w:hAnsi="Arial" w:cs="Arial"/>
          <w:color w:val="808080" w:themeColor="background1" w:themeShade="80"/>
          <w:sz w:val="22"/>
          <w:szCs w:val="22"/>
          <w:lang w:val="en-GB"/>
        </w:rPr>
        <w:t>Order 102, rule 20 of the Grand Court Rules and Practice Direction 10/20, governs the proceeding to obtain the approval of the arrangement. Pursuant to these rules, Black Pearl must request for convening hearings and in these meetings, creditors and the debtor will discuss the scheme proposals. The Grand Court will approve the final scheme proposal if all classes voted to accept the scheme of arrangement and in each class have voted more than 50% representing 75% in value of the creditors (or members) of that class</w:t>
      </w:r>
      <w:bookmarkStart w:id="1" w:name="_GoBack"/>
      <w:bookmarkEnd w:id="1"/>
      <w:r w:rsidR="009A4F3D">
        <w:rPr>
          <w:rFonts w:ascii="Arial" w:hAnsi="Arial" w:cs="Arial"/>
          <w:color w:val="808080" w:themeColor="background1" w:themeShade="80"/>
          <w:sz w:val="22"/>
          <w:szCs w:val="22"/>
          <w:lang w:val="en-GB"/>
        </w:rPr>
        <w:t>.</w:t>
      </w:r>
    </w:p>
    <w:p w14:paraId="02F8A354" w14:textId="56606250" w:rsidR="00E13528" w:rsidRDefault="00E13528" w:rsidP="009A4F3D">
      <w:pPr>
        <w:jc w:val="both"/>
        <w:rPr>
          <w:rFonts w:ascii="Arial" w:hAnsi="Arial" w:cs="Arial"/>
          <w:color w:val="808080" w:themeColor="background1" w:themeShade="80"/>
          <w:sz w:val="22"/>
          <w:szCs w:val="22"/>
          <w:lang w:val="en-GB"/>
        </w:rPr>
      </w:pPr>
    </w:p>
    <w:p w14:paraId="4AA88B20" w14:textId="28DA87C6" w:rsidR="00E13528" w:rsidRDefault="00E13528" w:rsidP="009A4F3D">
      <w:pPr>
        <w:jc w:val="both"/>
        <w:rPr>
          <w:rFonts w:ascii="Arial" w:hAnsi="Arial" w:cs="Arial"/>
          <w:b/>
          <w:color w:val="808080" w:themeColor="background1" w:themeShade="80"/>
          <w:sz w:val="22"/>
          <w:szCs w:val="22"/>
          <w:lang w:val="en-GB"/>
        </w:rPr>
      </w:pPr>
      <w:r w:rsidRPr="00E13528">
        <w:rPr>
          <w:rFonts w:ascii="Arial" w:hAnsi="Arial" w:cs="Arial"/>
          <w:b/>
          <w:color w:val="808080" w:themeColor="background1" w:themeShade="80"/>
          <w:sz w:val="22"/>
          <w:szCs w:val="22"/>
          <w:lang w:val="en-GB"/>
        </w:rPr>
        <w:t>REFERENCES</w:t>
      </w:r>
    </w:p>
    <w:p w14:paraId="62977B90" w14:textId="153F4E11" w:rsidR="00E13528" w:rsidRDefault="00E13528" w:rsidP="009A4F3D">
      <w:pPr>
        <w:jc w:val="both"/>
        <w:rPr>
          <w:rFonts w:ascii="Arial" w:hAnsi="Arial" w:cs="Arial"/>
          <w:b/>
          <w:color w:val="808080" w:themeColor="background1" w:themeShade="80"/>
          <w:sz w:val="22"/>
          <w:szCs w:val="22"/>
          <w:lang w:val="en-GB"/>
        </w:rPr>
      </w:pPr>
    </w:p>
    <w:p w14:paraId="38A2AD1B" w14:textId="1DFCE94E" w:rsidR="00E13528" w:rsidRPr="009A4F3D" w:rsidRDefault="00E13528" w:rsidP="00E13528">
      <w:pPr>
        <w:ind w:left="709" w:hanging="709"/>
        <w:jc w:val="both"/>
        <w:rPr>
          <w:rFonts w:ascii="Arial" w:hAnsi="Arial" w:cs="Arial"/>
          <w:color w:val="808080" w:themeColor="background1" w:themeShade="80"/>
          <w:sz w:val="22"/>
          <w:szCs w:val="22"/>
          <w:lang w:val="en-GB"/>
        </w:rPr>
      </w:pPr>
      <w:r w:rsidRPr="00E13528">
        <w:rPr>
          <w:rFonts w:ascii="Arial" w:hAnsi="Arial" w:cs="Arial"/>
          <w:color w:val="808080" w:themeColor="background1" w:themeShade="80"/>
          <w:sz w:val="22"/>
          <w:szCs w:val="22"/>
          <w:lang w:val="en-GB"/>
        </w:rPr>
        <w:t>Christopher Smith, KRyS Global</w:t>
      </w:r>
      <w:r>
        <w:rPr>
          <w:rFonts w:ascii="Arial" w:hAnsi="Arial" w:cs="Arial"/>
          <w:color w:val="808080" w:themeColor="background1" w:themeShade="80"/>
          <w:sz w:val="22"/>
          <w:szCs w:val="22"/>
          <w:lang w:val="en-GB"/>
        </w:rPr>
        <w:t xml:space="preserve">. </w:t>
      </w:r>
      <w:r w:rsidRPr="00E13528">
        <w:rPr>
          <w:rFonts w:ascii="Arial" w:hAnsi="Arial" w:cs="Arial"/>
          <w:color w:val="808080" w:themeColor="background1" w:themeShade="80"/>
          <w:sz w:val="22"/>
          <w:szCs w:val="22"/>
          <w:lang w:val="en-GB"/>
        </w:rPr>
        <w:t>Insolvency and directors' duties in the Cayman Islands: overview</w:t>
      </w:r>
      <w:r>
        <w:rPr>
          <w:rFonts w:ascii="Arial" w:hAnsi="Arial" w:cs="Arial"/>
          <w:color w:val="808080" w:themeColor="background1" w:themeShade="80"/>
          <w:sz w:val="22"/>
          <w:szCs w:val="22"/>
          <w:lang w:val="en-GB"/>
        </w:rPr>
        <w:t xml:space="preserve">. November 1, 2016. Available on </w:t>
      </w:r>
      <w:hyperlink r:id="rId9" w:history="1">
        <w:r w:rsidRPr="008A5444">
          <w:rPr>
            <w:rStyle w:val="Hipervnculo"/>
            <w:rFonts w:ascii="Arial" w:hAnsi="Arial" w:cs="Arial"/>
            <w:sz w:val="22"/>
            <w:szCs w:val="22"/>
            <w:lang w:val="en-GB"/>
          </w:rPr>
          <w:t>https://uk.practicallaw.thomsonreuters.com/7-607-6325?transitionType=Default&amp;contextData=(sc.Default)&amp;firstPage=true</w:t>
        </w:r>
      </w:hyperlink>
      <w:r>
        <w:rPr>
          <w:rFonts w:ascii="Arial" w:hAnsi="Arial" w:cs="Arial"/>
          <w:color w:val="808080" w:themeColor="background1" w:themeShade="80"/>
          <w:sz w:val="22"/>
          <w:szCs w:val="22"/>
          <w:lang w:val="en-GB"/>
        </w:rPr>
        <w:t xml:space="preserve"> </w:t>
      </w: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7781D" w14:textId="77777777" w:rsidR="001817EE" w:rsidRDefault="001817EE" w:rsidP="00241B44">
      <w:r>
        <w:separator/>
      </w:r>
    </w:p>
  </w:endnote>
  <w:endnote w:type="continuationSeparator" w:id="0">
    <w:p w14:paraId="21AFC00C" w14:textId="77777777" w:rsidR="001817EE" w:rsidRDefault="001817E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5BBCC268" w14:textId="77777777" w:rsidR="001817EE" w:rsidRPr="00FC7B47" w:rsidRDefault="001817EE"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737AF335" w14:textId="77777777" w:rsidR="001817EE" w:rsidRPr="00FC7B47" w:rsidRDefault="001817EE" w:rsidP="00FC7B47">
    <w:pPr>
      <w:pStyle w:val="Piedepgina"/>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4BA64FDE" w14:textId="2E4D5876" w:rsidR="001817EE" w:rsidRPr="009B4976" w:rsidRDefault="001817EE" w:rsidP="001463D6">
        <w:pPr>
          <w:pStyle w:val="Piedepgina"/>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FB4087">
          <w:rPr>
            <w:rStyle w:val="Nmerodepgina"/>
            <w:rFonts w:ascii="Arial" w:hAnsi="Arial" w:cs="Arial"/>
            <w:b/>
            <w:bCs/>
            <w:noProof/>
            <w:sz w:val="18"/>
            <w:szCs w:val="18"/>
          </w:rPr>
          <w:t>10</w:t>
        </w:r>
        <w:r w:rsidRPr="0010593A">
          <w:rPr>
            <w:rStyle w:val="Nmerodepgina"/>
            <w:rFonts w:ascii="Arial" w:hAnsi="Arial" w:cs="Arial"/>
            <w:b/>
            <w:bCs/>
            <w:sz w:val="18"/>
            <w:szCs w:val="18"/>
          </w:rPr>
          <w:fldChar w:fldCharType="end"/>
        </w:r>
      </w:p>
    </w:sdtContent>
  </w:sdt>
  <w:p w14:paraId="4652DD67" w14:textId="61203DA2" w:rsidR="001817EE" w:rsidRPr="009B4976" w:rsidRDefault="001817EE" w:rsidP="009B4976">
    <w:pPr>
      <w:pStyle w:val="Piedepgina"/>
      <w:ind w:right="360"/>
      <w:rPr>
        <w:rFonts w:ascii="Arial" w:hAnsi="Arial" w:cs="Arial"/>
        <w:sz w:val="18"/>
        <w:szCs w:val="18"/>
        <w:lang w:val="en-GB"/>
      </w:rPr>
    </w:pPr>
    <w:r>
      <w:rPr>
        <w:rFonts w:ascii="Arial" w:hAnsi="Arial" w:cs="Arial"/>
        <w:sz w:val="18"/>
        <w:szCs w:val="18"/>
        <w:lang w:val="en-GB"/>
      </w:rPr>
      <w:t>202021IFU-318</w:t>
    </w:r>
    <w:r w:rsidRPr="009B4976">
      <w:rPr>
        <w:rFonts w:ascii="Arial" w:hAnsi="Arial" w:cs="Arial"/>
        <w:sz w:val="18"/>
        <w:szCs w:val="18"/>
        <w:lang w:val="en-GB"/>
      </w:rPr>
      <w:t>.assessment</w:t>
    </w:r>
    <w:r>
      <w:rPr>
        <w:rFonts w:ascii="Arial" w:hAnsi="Arial" w:cs="Arial"/>
        <w:sz w:val="18"/>
        <w:szCs w:val="18"/>
        <w:lang w:val="en-GB"/>
      </w:rPr>
      <w:t>5C.docx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94AB8" w14:textId="77777777" w:rsidR="001817EE" w:rsidRDefault="001817EE" w:rsidP="00241B44">
      <w:r>
        <w:separator/>
      </w:r>
    </w:p>
  </w:footnote>
  <w:footnote w:type="continuationSeparator" w:id="0">
    <w:p w14:paraId="329038C9" w14:textId="77777777" w:rsidR="001817EE" w:rsidRDefault="001817E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D55C1"/>
    <w:multiLevelType w:val="hybridMultilevel"/>
    <w:tmpl w:val="0D50F2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837911"/>
    <w:multiLevelType w:val="hybridMultilevel"/>
    <w:tmpl w:val="BD68F5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0"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52A71"/>
    <w:multiLevelType w:val="hybridMultilevel"/>
    <w:tmpl w:val="C8003DA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BF1CBB"/>
    <w:multiLevelType w:val="hybridMultilevel"/>
    <w:tmpl w:val="EE08511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4980728C"/>
    <w:multiLevelType w:val="hybridMultilevel"/>
    <w:tmpl w:val="4E8E37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4B2B64A2"/>
    <w:multiLevelType w:val="hybridMultilevel"/>
    <w:tmpl w:val="B554F5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5671E6F"/>
    <w:multiLevelType w:val="hybridMultilevel"/>
    <w:tmpl w:val="73E6E0E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5AEA02E5"/>
    <w:multiLevelType w:val="hybridMultilevel"/>
    <w:tmpl w:val="63146D18"/>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F41250"/>
    <w:multiLevelType w:val="hybridMultilevel"/>
    <w:tmpl w:val="831EB3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A0357A"/>
    <w:multiLevelType w:val="hybridMultilevel"/>
    <w:tmpl w:val="79726B9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6AAD45AB"/>
    <w:multiLevelType w:val="hybridMultilevel"/>
    <w:tmpl w:val="DF50ADF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0D55C3"/>
    <w:multiLevelType w:val="hybridMultilevel"/>
    <w:tmpl w:val="9D7E87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20"/>
  </w:num>
  <w:num w:numId="3">
    <w:abstractNumId w:val="17"/>
  </w:num>
  <w:num w:numId="4">
    <w:abstractNumId w:val="36"/>
  </w:num>
  <w:num w:numId="5">
    <w:abstractNumId w:val="18"/>
  </w:num>
  <w:num w:numId="6">
    <w:abstractNumId w:val="28"/>
  </w:num>
  <w:num w:numId="7">
    <w:abstractNumId w:val="38"/>
  </w:num>
  <w:num w:numId="8">
    <w:abstractNumId w:val="32"/>
  </w:num>
  <w:num w:numId="9">
    <w:abstractNumId w:val="15"/>
  </w:num>
  <w:num w:numId="10">
    <w:abstractNumId w:val="9"/>
  </w:num>
  <w:num w:numId="11">
    <w:abstractNumId w:val="11"/>
  </w:num>
  <w:num w:numId="12">
    <w:abstractNumId w:val="16"/>
  </w:num>
  <w:num w:numId="13">
    <w:abstractNumId w:val="21"/>
  </w:num>
  <w:num w:numId="14">
    <w:abstractNumId w:val="2"/>
  </w:num>
  <w:num w:numId="15">
    <w:abstractNumId w:val="12"/>
  </w:num>
  <w:num w:numId="16">
    <w:abstractNumId w:val="34"/>
  </w:num>
  <w:num w:numId="17">
    <w:abstractNumId w:val="4"/>
  </w:num>
  <w:num w:numId="18">
    <w:abstractNumId w:val="7"/>
  </w:num>
  <w:num w:numId="19">
    <w:abstractNumId w:val="24"/>
  </w:num>
  <w:num w:numId="20">
    <w:abstractNumId w:val="22"/>
  </w:num>
  <w:num w:numId="21">
    <w:abstractNumId w:val="1"/>
  </w:num>
  <w:num w:numId="22">
    <w:abstractNumId w:val="10"/>
  </w:num>
  <w:num w:numId="23">
    <w:abstractNumId w:val="40"/>
  </w:num>
  <w:num w:numId="24">
    <w:abstractNumId w:val="0"/>
  </w:num>
  <w:num w:numId="25">
    <w:abstractNumId w:val="30"/>
  </w:num>
  <w:num w:numId="26">
    <w:abstractNumId w:val="8"/>
  </w:num>
  <w:num w:numId="27">
    <w:abstractNumId w:val="14"/>
  </w:num>
  <w:num w:numId="28">
    <w:abstractNumId w:val="3"/>
  </w:num>
  <w:num w:numId="29">
    <w:abstractNumId w:val="5"/>
  </w:num>
  <w:num w:numId="30">
    <w:abstractNumId w:val="19"/>
  </w:num>
  <w:num w:numId="31">
    <w:abstractNumId w:val="37"/>
  </w:num>
  <w:num w:numId="32">
    <w:abstractNumId w:val="26"/>
  </w:num>
  <w:num w:numId="33">
    <w:abstractNumId w:val="31"/>
  </w:num>
  <w:num w:numId="34">
    <w:abstractNumId w:val="35"/>
  </w:num>
  <w:num w:numId="35">
    <w:abstractNumId w:val="41"/>
  </w:num>
  <w:num w:numId="36">
    <w:abstractNumId w:val="13"/>
  </w:num>
  <w:num w:numId="37">
    <w:abstractNumId w:val="29"/>
  </w:num>
  <w:num w:numId="38">
    <w:abstractNumId w:val="6"/>
  </w:num>
  <w:num w:numId="39">
    <w:abstractNumId w:val="27"/>
  </w:num>
  <w:num w:numId="40">
    <w:abstractNumId w:val="23"/>
  </w:num>
  <w:num w:numId="41">
    <w:abstractNumId w:val="25"/>
  </w:num>
  <w:num w:numId="42">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10BA0"/>
    <w:rsid w:val="00013C83"/>
    <w:rsid w:val="00016475"/>
    <w:rsid w:val="00020557"/>
    <w:rsid w:val="00021FC2"/>
    <w:rsid w:val="00023705"/>
    <w:rsid w:val="000250C7"/>
    <w:rsid w:val="00026F16"/>
    <w:rsid w:val="00037621"/>
    <w:rsid w:val="00044D46"/>
    <w:rsid w:val="00045088"/>
    <w:rsid w:val="00045904"/>
    <w:rsid w:val="000502FD"/>
    <w:rsid w:val="000507A7"/>
    <w:rsid w:val="000577D2"/>
    <w:rsid w:val="00064010"/>
    <w:rsid w:val="00065166"/>
    <w:rsid w:val="00082609"/>
    <w:rsid w:val="000851CC"/>
    <w:rsid w:val="00087F21"/>
    <w:rsid w:val="00093BE8"/>
    <w:rsid w:val="00096A8D"/>
    <w:rsid w:val="000A407B"/>
    <w:rsid w:val="000A68ED"/>
    <w:rsid w:val="000B5FF1"/>
    <w:rsid w:val="000B609F"/>
    <w:rsid w:val="000B6F5D"/>
    <w:rsid w:val="000C3F26"/>
    <w:rsid w:val="000D55A8"/>
    <w:rsid w:val="000E4841"/>
    <w:rsid w:val="000E63D8"/>
    <w:rsid w:val="000F1677"/>
    <w:rsid w:val="000F3D6C"/>
    <w:rsid w:val="00101707"/>
    <w:rsid w:val="00102CC9"/>
    <w:rsid w:val="00103A49"/>
    <w:rsid w:val="0010593A"/>
    <w:rsid w:val="001108F8"/>
    <w:rsid w:val="0011473D"/>
    <w:rsid w:val="00115C85"/>
    <w:rsid w:val="00123855"/>
    <w:rsid w:val="00126081"/>
    <w:rsid w:val="00126A4D"/>
    <w:rsid w:val="0013473C"/>
    <w:rsid w:val="0014171F"/>
    <w:rsid w:val="0014622C"/>
    <w:rsid w:val="001463D6"/>
    <w:rsid w:val="00152348"/>
    <w:rsid w:val="0015456D"/>
    <w:rsid w:val="00155FA2"/>
    <w:rsid w:val="00161F1B"/>
    <w:rsid w:val="00162829"/>
    <w:rsid w:val="00163644"/>
    <w:rsid w:val="00177068"/>
    <w:rsid w:val="00180548"/>
    <w:rsid w:val="00180AC4"/>
    <w:rsid w:val="00180CCE"/>
    <w:rsid w:val="001817EE"/>
    <w:rsid w:val="0018267A"/>
    <w:rsid w:val="00182779"/>
    <w:rsid w:val="001830DF"/>
    <w:rsid w:val="0018424C"/>
    <w:rsid w:val="001966D9"/>
    <w:rsid w:val="00196C2B"/>
    <w:rsid w:val="001A007A"/>
    <w:rsid w:val="001A7E9A"/>
    <w:rsid w:val="001B0F70"/>
    <w:rsid w:val="001B5016"/>
    <w:rsid w:val="001C45FC"/>
    <w:rsid w:val="001D0469"/>
    <w:rsid w:val="001D13A8"/>
    <w:rsid w:val="001D29C0"/>
    <w:rsid w:val="001D4862"/>
    <w:rsid w:val="001D74AE"/>
    <w:rsid w:val="001E25B9"/>
    <w:rsid w:val="001E49E0"/>
    <w:rsid w:val="001E78A4"/>
    <w:rsid w:val="001E7B5A"/>
    <w:rsid w:val="001F7412"/>
    <w:rsid w:val="0020090A"/>
    <w:rsid w:val="00202DFE"/>
    <w:rsid w:val="0020526E"/>
    <w:rsid w:val="0020725B"/>
    <w:rsid w:val="00210493"/>
    <w:rsid w:val="002110F1"/>
    <w:rsid w:val="002172B8"/>
    <w:rsid w:val="002356EA"/>
    <w:rsid w:val="0024116D"/>
    <w:rsid w:val="00241B44"/>
    <w:rsid w:val="00241BC4"/>
    <w:rsid w:val="00241FA3"/>
    <w:rsid w:val="00242BF9"/>
    <w:rsid w:val="00245EFB"/>
    <w:rsid w:val="002476AF"/>
    <w:rsid w:val="00251783"/>
    <w:rsid w:val="00251BF2"/>
    <w:rsid w:val="0025386E"/>
    <w:rsid w:val="002638B0"/>
    <w:rsid w:val="0026647A"/>
    <w:rsid w:val="002668D3"/>
    <w:rsid w:val="0027299F"/>
    <w:rsid w:val="00284EBE"/>
    <w:rsid w:val="002903A7"/>
    <w:rsid w:val="0029433F"/>
    <w:rsid w:val="00294829"/>
    <w:rsid w:val="00296674"/>
    <w:rsid w:val="0029690F"/>
    <w:rsid w:val="00297C8A"/>
    <w:rsid w:val="002A2A60"/>
    <w:rsid w:val="002A2C21"/>
    <w:rsid w:val="002A37BB"/>
    <w:rsid w:val="002A4B95"/>
    <w:rsid w:val="002B1C45"/>
    <w:rsid w:val="002B3A96"/>
    <w:rsid w:val="002B676E"/>
    <w:rsid w:val="002C13C8"/>
    <w:rsid w:val="002C3547"/>
    <w:rsid w:val="002C4B43"/>
    <w:rsid w:val="002D0021"/>
    <w:rsid w:val="002D299D"/>
    <w:rsid w:val="002D3473"/>
    <w:rsid w:val="002F1956"/>
    <w:rsid w:val="002F3440"/>
    <w:rsid w:val="002F75A3"/>
    <w:rsid w:val="00303C2F"/>
    <w:rsid w:val="003042CB"/>
    <w:rsid w:val="00305564"/>
    <w:rsid w:val="003144EF"/>
    <w:rsid w:val="00326292"/>
    <w:rsid w:val="00326415"/>
    <w:rsid w:val="00330937"/>
    <w:rsid w:val="00330F31"/>
    <w:rsid w:val="00333CA0"/>
    <w:rsid w:val="00334648"/>
    <w:rsid w:val="0033768C"/>
    <w:rsid w:val="00337938"/>
    <w:rsid w:val="00337C19"/>
    <w:rsid w:val="00340769"/>
    <w:rsid w:val="00341AA6"/>
    <w:rsid w:val="003429BA"/>
    <w:rsid w:val="00361A0A"/>
    <w:rsid w:val="00364836"/>
    <w:rsid w:val="0036565C"/>
    <w:rsid w:val="0036625E"/>
    <w:rsid w:val="0037465A"/>
    <w:rsid w:val="00377065"/>
    <w:rsid w:val="00382C98"/>
    <w:rsid w:val="0038533C"/>
    <w:rsid w:val="003855C4"/>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3E7B09"/>
    <w:rsid w:val="003F1E27"/>
    <w:rsid w:val="003F439D"/>
    <w:rsid w:val="00404329"/>
    <w:rsid w:val="00405DC1"/>
    <w:rsid w:val="00406382"/>
    <w:rsid w:val="00415F1F"/>
    <w:rsid w:val="00416D2B"/>
    <w:rsid w:val="0042108F"/>
    <w:rsid w:val="00430FED"/>
    <w:rsid w:val="00434A8C"/>
    <w:rsid w:val="00437297"/>
    <w:rsid w:val="00444284"/>
    <w:rsid w:val="00445CE6"/>
    <w:rsid w:val="00453352"/>
    <w:rsid w:val="004534C2"/>
    <w:rsid w:val="0045446F"/>
    <w:rsid w:val="0045683E"/>
    <w:rsid w:val="00460F33"/>
    <w:rsid w:val="00477C72"/>
    <w:rsid w:val="00485A6E"/>
    <w:rsid w:val="00491675"/>
    <w:rsid w:val="00493855"/>
    <w:rsid w:val="00495E79"/>
    <w:rsid w:val="004A2D83"/>
    <w:rsid w:val="004A57DD"/>
    <w:rsid w:val="004A7B51"/>
    <w:rsid w:val="004A7D71"/>
    <w:rsid w:val="004A7EF3"/>
    <w:rsid w:val="004B11FD"/>
    <w:rsid w:val="004B23A2"/>
    <w:rsid w:val="004B7849"/>
    <w:rsid w:val="004C0A63"/>
    <w:rsid w:val="004C5EAD"/>
    <w:rsid w:val="004D1A5A"/>
    <w:rsid w:val="004D2FFF"/>
    <w:rsid w:val="004D3721"/>
    <w:rsid w:val="004D4774"/>
    <w:rsid w:val="004D64F9"/>
    <w:rsid w:val="004E3A6B"/>
    <w:rsid w:val="004E622C"/>
    <w:rsid w:val="004F5FDF"/>
    <w:rsid w:val="00500285"/>
    <w:rsid w:val="00501EDC"/>
    <w:rsid w:val="005177FE"/>
    <w:rsid w:val="0052263B"/>
    <w:rsid w:val="00524728"/>
    <w:rsid w:val="00527EDC"/>
    <w:rsid w:val="00531EF1"/>
    <w:rsid w:val="00532230"/>
    <w:rsid w:val="005327B7"/>
    <w:rsid w:val="00532F7C"/>
    <w:rsid w:val="005331CA"/>
    <w:rsid w:val="00537970"/>
    <w:rsid w:val="00540E3A"/>
    <w:rsid w:val="00544127"/>
    <w:rsid w:val="005463A9"/>
    <w:rsid w:val="00551038"/>
    <w:rsid w:val="00553EB2"/>
    <w:rsid w:val="00560534"/>
    <w:rsid w:val="0056391B"/>
    <w:rsid w:val="005641E2"/>
    <w:rsid w:val="005650E2"/>
    <w:rsid w:val="00567AD7"/>
    <w:rsid w:val="00575B2D"/>
    <w:rsid w:val="005833D0"/>
    <w:rsid w:val="005846F3"/>
    <w:rsid w:val="0058622F"/>
    <w:rsid w:val="00592F82"/>
    <w:rsid w:val="005A0CCA"/>
    <w:rsid w:val="005A2C6D"/>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07C84"/>
    <w:rsid w:val="00610388"/>
    <w:rsid w:val="00610AC7"/>
    <w:rsid w:val="00612CA5"/>
    <w:rsid w:val="006153EC"/>
    <w:rsid w:val="006168C6"/>
    <w:rsid w:val="0062142E"/>
    <w:rsid w:val="00621A17"/>
    <w:rsid w:val="00624C92"/>
    <w:rsid w:val="00626639"/>
    <w:rsid w:val="00627CC9"/>
    <w:rsid w:val="00627E7B"/>
    <w:rsid w:val="00630542"/>
    <w:rsid w:val="00632E44"/>
    <w:rsid w:val="00634622"/>
    <w:rsid w:val="00636808"/>
    <w:rsid w:val="00641515"/>
    <w:rsid w:val="00641AB6"/>
    <w:rsid w:val="00650CB6"/>
    <w:rsid w:val="00650FE1"/>
    <w:rsid w:val="00654C2F"/>
    <w:rsid w:val="00657087"/>
    <w:rsid w:val="00661556"/>
    <w:rsid w:val="006639DB"/>
    <w:rsid w:val="006661EF"/>
    <w:rsid w:val="00677AEB"/>
    <w:rsid w:val="00680EF2"/>
    <w:rsid w:val="00684D9D"/>
    <w:rsid w:val="00687A1D"/>
    <w:rsid w:val="00697EA1"/>
    <w:rsid w:val="006A2646"/>
    <w:rsid w:val="006A5375"/>
    <w:rsid w:val="006A6530"/>
    <w:rsid w:val="006B435A"/>
    <w:rsid w:val="006B4C64"/>
    <w:rsid w:val="006C5AFE"/>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421C1"/>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7C92"/>
    <w:rsid w:val="007E1154"/>
    <w:rsid w:val="007E6BA4"/>
    <w:rsid w:val="007F1E42"/>
    <w:rsid w:val="007F41F8"/>
    <w:rsid w:val="007F659B"/>
    <w:rsid w:val="00803C72"/>
    <w:rsid w:val="0080454E"/>
    <w:rsid w:val="00804C32"/>
    <w:rsid w:val="00806302"/>
    <w:rsid w:val="00807119"/>
    <w:rsid w:val="0082483F"/>
    <w:rsid w:val="008279C0"/>
    <w:rsid w:val="00853B56"/>
    <w:rsid w:val="00867701"/>
    <w:rsid w:val="008723F3"/>
    <w:rsid w:val="00876F56"/>
    <w:rsid w:val="00881DE6"/>
    <w:rsid w:val="008837A6"/>
    <w:rsid w:val="00891116"/>
    <w:rsid w:val="0089145D"/>
    <w:rsid w:val="008A4DF2"/>
    <w:rsid w:val="008A6CFE"/>
    <w:rsid w:val="008B4B20"/>
    <w:rsid w:val="008B5333"/>
    <w:rsid w:val="008B6223"/>
    <w:rsid w:val="008C66E0"/>
    <w:rsid w:val="008D2856"/>
    <w:rsid w:val="008E3339"/>
    <w:rsid w:val="008F20FC"/>
    <w:rsid w:val="008F5FFE"/>
    <w:rsid w:val="008F6CAB"/>
    <w:rsid w:val="00905A43"/>
    <w:rsid w:val="00912C79"/>
    <w:rsid w:val="009164CB"/>
    <w:rsid w:val="00920BE7"/>
    <w:rsid w:val="00921B8C"/>
    <w:rsid w:val="00927C9D"/>
    <w:rsid w:val="00931FD7"/>
    <w:rsid w:val="00942123"/>
    <w:rsid w:val="0095207B"/>
    <w:rsid w:val="00952187"/>
    <w:rsid w:val="00962045"/>
    <w:rsid w:val="00966ECF"/>
    <w:rsid w:val="00974650"/>
    <w:rsid w:val="00977CE5"/>
    <w:rsid w:val="00980E61"/>
    <w:rsid w:val="009858FC"/>
    <w:rsid w:val="00985988"/>
    <w:rsid w:val="00991428"/>
    <w:rsid w:val="0099169D"/>
    <w:rsid w:val="00992676"/>
    <w:rsid w:val="009954B2"/>
    <w:rsid w:val="00996691"/>
    <w:rsid w:val="009A3AB7"/>
    <w:rsid w:val="009A4F3D"/>
    <w:rsid w:val="009B0723"/>
    <w:rsid w:val="009B07AD"/>
    <w:rsid w:val="009B0883"/>
    <w:rsid w:val="009B15E2"/>
    <w:rsid w:val="009B4976"/>
    <w:rsid w:val="009B5D0B"/>
    <w:rsid w:val="009B69EB"/>
    <w:rsid w:val="009C0B8E"/>
    <w:rsid w:val="009C1BC8"/>
    <w:rsid w:val="009C2442"/>
    <w:rsid w:val="009C6A32"/>
    <w:rsid w:val="009D0811"/>
    <w:rsid w:val="009D0EE1"/>
    <w:rsid w:val="009D20B1"/>
    <w:rsid w:val="009D3F45"/>
    <w:rsid w:val="009D47B8"/>
    <w:rsid w:val="009D7DE3"/>
    <w:rsid w:val="009E2AEB"/>
    <w:rsid w:val="009E2E27"/>
    <w:rsid w:val="009E45DF"/>
    <w:rsid w:val="009E4DE3"/>
    <w:rsid w:val="009F275E"/>
    <w:rsid w:val="00A00B76"/>
    <w:rsid w:val="00A02163"/>
    <w:rsid w:val="00A047EE"/>
    <w:rsid w:val="00A2274A"/>
    <w:rsid w:val="00A235B7"/>
    <w:rsid w:val="00A25392"/>
    <w:rsid w:val="00A26898"/>
    <w:rsid w:val="00A27A7A"/>
    <w:rsid w:val="00A34ABE"/>
    <w:rsid w:val="00A407EF"/>
    <w:rsid w:val="00A46B4C"/>
    <w:rsid w:val="00A46FE2"/>
    <w:rsid w:val="00A5117B"/>
    <w:rsid w:val="00A56D34"/>
    <w:rsid w:val="00A60074"/>
    <w:rsid w:val="00A65730"/>
    <w:rsid w:val="00A6627C"/>
    <w:rsid w:val="00A6661F"/>
    <w:rsid w:val="00A71019"/>
    <w:rsid w:val="00A81029"/>
    <w:rsid w:val="00A845F5"/>
    <w:rsid w:val="00A96489"/>
    <w:rsid w:val="00AB0E3A"/>
    <w:rsid w:val="00AB2425"/>
    <w:rsid w:val="00AB685C"/>
    <w:rsid w:val="00AB6C2D"/>
    <w:rsid w:val="00AC08F7"/>
    <w:rsid w:val="00AC2F1F"/>
    <w:rsid w:val="00AC3839"/>
    <w:rsid w:val="00AC43F8"/>
    <w:rsid w:val="00AC7082"/>
    <w:rsid w:val="00AD12C7"/>
    <w:rsid w:val="00AD4BE8"/>
    <w:rsid w:val="00AE619D"/>
    <w:rsid w:val="00AF228E"/>
    <w:rsid w:val="00B016A8"/>
    <w:rsid w:val="00B14819"/>
    <w:rsid w:val="00B15E2F"/>
    <w:rsid w:val="00B17AA9"/>
    <w:rsid w:val="00B32FE7"/>
    <w:rsid w:val="00B44713"/>
    <w:rsid w:val="00B51B95"/>
    <w:rsid w:val="00B53FBE"/>
    <w:rsid w:val="00B56103"/>
    <w:rsid w:val="00B57E3E"/>
    <w:rsid w:val="00B64929"/>
    <w:rsid w:val="00B70966"/>
    <w:rsid w:val="00B736DF"/>
    <w:rsid w:val="00B743D6"/>
    <w:rsid w:val="00B74FBD"/>
    <w:rsid w:val="00B77F46"/>
    <w:rsid w:val="00B82586"/>
    <w:rsid w:val="00B829A3"/>
    <w:rsid w:val="00B8406D"/>
    <w:rsid w:val="00B86DB1"/>
    <w:rsid w:val="00B87869"/>
    <w:rsid w:val="00B951B2"/>
    <w:rsid w:val="00B9639B"/>
    <w:rsid w:val="00BA3AE6"/>
    <w:rsid w:val="00BA4008"/>
    <w:rsid w:val="00BB0F2B"/>
    <w:rsid w:val="00BC3A55"/>
    <w:rsid w:val="00BE4FF3"/>
    <w:rsid w:val="00BF50F7"/>
    <w:rsid w:val="00C02F29"/>
    <w:rsid w:val="00C17718"/>
    <w:rsid w:val="00C2066F"/>
    <w:rsid w:val="00C20AFE"/>
    <w:rsid w:val="00C22A25"/>
    <w:rsid w:val="00C24785"/>
    <w:rsid w:val="00C35671"/>
    <w:rsid w:val="00C35B77"/>
    <w:rsid w:val="00C37610"/>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CBB"/>
    <w:rsid w:val="00CB7CAC"/>
    <w:rsid w:val="00CC5335"/>
    <w:rsid w:val="00CC5BA4"/>
    <w:rsid w:val="00CC6748"/>
    <w:rsid w:val="00CD4998"/>
    <w:rsid w:val="00CE1035"/>
    <w:rsid w:val="00CE6E50"/>
    <w:rsid w:val="00CF2819"/>
    <w:rsid w:val="00CF4F9D"/>
    <w:rsid w:val="00CF70DC"/>
    <w:rsid w:val="00D063C2"/>
    <w:rsid w:val="00D06A87"/>
    <w:rsid w:val="00D148DC"/>
    <w:rsid w:val="00D17FDC"/>
    <w:rsid w:val="00D21D8C"/>
    <w:rsid w:val="00D27CBC"/>
    <w:rsid w:val="00D41E11"/>
    <w:rsid w:val="00D43422"/>
    <w:rsid w:val="00D53719"/>
    <w:rsid w:val="00D6188D"/>
    <w:rsid w:val="00D63EF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3528"/>
    <w:rsid w:val="00E15BA9"/>
    <w:rsid w:val="00E177F0"/>
    <w:rsid w:val="00E25582"/>
    <w:rsid w:val="00E26E19"/>
    <w:rsid w:val="00E2786A"/>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51C2"/>
    <w:rsid w:val="00EC53E6"/>
    <w:rsid w:val="00EC6D86"/>
    <w:rsid w:val="00ED0BC4"/>
    <w:rsid w:val="00ED447D"/>
    <w:rsid w:val="00ED5BDC"/>
    <w:rsid w:val="00ED6779"/>
    <w:rsid w:val="00EE4971"/>
    <w:rsid w:val="00EE6CB0"/>
    <w:rsid w:val="00EF090E"/>
    <w:rsid w:val="00EF5572"/>
    <w:rsid w:val="00F01854"/>
    <w:rsid w:val="00F033DA"/>
    <w:rsid w:val="00F13691"/>
    <w:rsid w:val="00F13FB1"/>
    <w:rsid w:val="00F27CD8"/>
    <w:rsid w:val="00F30351"/>
    <w:rsid w:val="00F3323E"/>
    <w:rsid w:val="00F341F4"/>
    <w:rsid w:val="00F34F9D"/>
    <w:rsid w:val="00F35CCE"/>
    <w:rsid w:val="00F4545B"/>
    <w:rsid w:val="00F5524B"/>
    <w:rsid w:val="00F60538"/>
    <w:rsid w:val="00F61DD2"/>
    <w:rsid w:val="00F66AFF"/>
    <w:rsid w:val="00F71433"/>
    <w:rsid w:val="00F730FA"/>
    <w:rsid w:val="00F92042"/>
    <w:rsid w:val="00F97C5B"/>
    <w:rsid w:val="00FA18CF"/>
    <w:rsid w:val="00FA3D50"/>
    <w:rsid w:val="00FB4087"/>
    <w:rsid w:val="00FB7FBD"/>
    <w:rsid w:val="00FC374A"/>
    <w:rsid w:val="00FC74C8"/>
    <w:rsid w:val="00FC7B47"/>
    <w:rsid w:val="00FD035C"/>
    <w:rsid w:val="00FD1A35"/>
    <w:rsid w:val="00FD2EA4"/>
    <w:rsid w:val="00FD36C5"/>
    <w:rsid w:val="00FD6310"/>
    <w:rsid w:val="00FD7C7B"/>
    <w:rsid w:val="00FD7FF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2040647F"/>
  <w14:defaultImageDpi w14:val="32767"/>
  <w15:docId w15:val="{C7F4059A-B1D5-4326-A1A9-4AA7C669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paragraph" w:styleId="Ttulo2">
    <w:name w:val="heading 2"/>
    <w:basedOn w:val="Normal"/>
    <w:next w:val="Normal"/>
    <w:link w:val="Ttulo2C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iPriority w:val="99"/>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uiPriority w:val="99"/>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iPriority w:val="99"/>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Ttulo2Car">
    <w:name w:val="Título 2 Car"/>
    <w:basedOn w:val="Fuentedeprrafopredeter"/>
    <w:link w:val="Ttulo2"/>
    <w:rsid w:val="00853B56"/>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table" w:styleId="Tablaconcuadrcula">
    <w:name w:val="Table Grid"/>
    <w:basedOn w:val="Tablanormal"/>
    <w:uiPriority w:val="39"/>
    <w:rsid w:val="00F92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k.practicallaw.thomsonreuters.com/7-607-6325?transitionType=Default&amp;contextData=(sc.Default)&amp;firstPag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BD4D0-8206-410D-939E-2D716FF1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10</Pages>
  <Words>3287</Words>
  <Characters>18080</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cp:lastModifiedBy>
  <cp:revision>6</cp:revision>
  <cp:lastPrinted>2019-08-27T05:42:00Z</cp:lastPrinted>
  <dcterms:created xsi:type="dcterms:W3CDTF">2021-02-15T10:07:00Z</dcterms:created>
  <dcterms:modified xsi:type="dcterms:W3CDTF">2021-07-31T11:41:00Z</dcterms:modified>
</cp:coreProperties>
</file>