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s-CO" w:eastAsia="es-CO"/>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Prrafodelista"/>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Prrafodelista"/>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Prrafodelista"/>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3A7FED" w:rsidRDefault="00C7729F" w:rsidP="003C4BCB">
      <w:pPr>
        <w:pStyle w:val="Prrafodelista"/>
        <w:numPr>
          <w:ilvl w:val="0"/>
          <w:numId w:val="2"/>
        </w:numPr>
        <w:ind w:left="426"/>
        <w:jc w:val="both"/>
        <w:rPr>
          <w:rFonts w:ascii="Arial" w:hAnsi="Arial" w:cs="Arial"/>
          <w:sz w:val="22"/>
          <w:szCs w:val="22"/>
          <w:highlight w:val="yellow"/>
          <w:lang w:val="en-GB"/>
        </w:rPr>
      </w:pPr>
      <w:r w:rsidRPr="003A7FED">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3A7FED">
        <w:rPr>
          <w:rFonts w:ascii="Arial" w:hAnsi="Arial" w:cs="Arial"/>
          <w:sz w:val="22"/>
          <w:szCs w:val="22"/>
          <w:highlight w:val="yellow"/>
          <w:lang w:val="en-GB"/>
        </w:rPr>
        <w:t>1960s,</w:t>
      </w:r>
      <w:r w:rsidRPr="003A7FED">
        <w:rPr>
          <w:rFonts w:ascii="Arial" w:hAnsi="Arial" w:cs="Arial"/>
          <w:sz w:val="22"/>
          <w:szCs w:val="22"/>
          <w:highlight w:val="yellow"/>
          <w:lang w:val="en-GB"/>
        </w:rPr>
        <w:t xml:space="preserve"> but these initiatives failed.</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Prrafodelista"/>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7364F1" w:rsidRDefault="00BB38D1" w:rsidP="003C4BCB">
      <w:pPr>
        <w:pStyle w:val="Prrafodelista"/>
        <w:numPr>
          <w:ilvl w:val="0"/>
          <w:numId w:val="3"/>
        </w:numPr>
        <w:ind w:left="426"/>
        <w:jc w:val="both"/>
        <w:rPr>
          <w:rFonts w:ascii="Arial" w:hAnsi="Arial" w:cs="Arial"/>
          <w:iCs/>
          <w:sz w:val="22"/>
          <w:szCs w:val="22"/>
          <w:highlight w:val="yellow"/>
          <w:lang w:val="en-GB"/>
        </w:rPr>
      </w:pPr>
      <w:r w:rsidRPr="007364F1">
        <w:rPr>
          <w:rFonts w:ascii="Arial" w:hAnsi="Arial"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Prrafodelista"/>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Prrafodelista"/>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1E5F8A" w:rsidRDefault="00874240" w:rsidP="003C4BCB">
      <w:pPr>
        <w:pStyle w:val="Prrafodelista"/>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18 EIR Recast (“</w:t>
      </w:r>
      <w:r w:rsidRPr="001E5F8A">
        <w:rPr>
          <w:rFonts w:ascii="Arial" w:hAnsi="Arial" w:cs="Arial"/>
          <w:bCs/>
          <w:sz w:val="22"/>
          <w:szCs w:val="22"/>
          <w:lang w:val="en-GB"/>
        </w:rPr>
        <w:t>Effects of insolvency proceedings on pending lawsuits or arbitral proceedings”</w:t>
      </w:r>
      <w:r w:rsidRPr="001E5F8A">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AD3B07" w:rsidRDefault="00967219" w:rsidP="003C4BCB">
      <w:pPr>
        <w:pStyle w:val="Prrafodelista"/>
        <w:numPr>
          <w:ilvl w:val="0"/>
          <w:numId w:val="4"/>
        </w:numPr>
        <w:ind w:left="426"/>
        <w:jc w:val="both"/>
        <w:rPr>
          <w:rFonts w:ascii="Arial" w:hAnsi="Arial" w:cs="Arial"/>
          <w:sz w:val="22"/>
          <w:szCs w:val="22"/>
          <w:highlight w:val="yellow"/>
          <w:lang w:val="en-GB"/>
        </w:rPr>
      </w:pPr>
      <w:r w:rsidRPr="00AD3B07">
        <w:rPr>
          <w:rFonts w:ascii="Arial" w:hAnsi="Arial" w:cs="Arial"/>
          <w:sz w:val="22"/>
          <w:szCs w:val="22"/>
          <w:highlight w:val="yellow"/>
          <w:lang w:val="en-GB"/>
        </w:rPr>
        <w:t>Article 31 EIR Recast (“</w:t>
      </w:r>
      <w:r w:rsidRPr="00AD3B07">
        <w:rPr>
          <w:rFonts w:ascii="Arial" w:hAnsi="Arial" w:cs="Arial"/>
          <w:bCs/>
          <w:sz w:val="22"/>
          <w:szCs w:val="22"/>
          <w:highlight w:val="yellow"/>
          <w:lang w:val="en-GB"/>
        </w:rPr>
        <w:t>Honouring of an obligation to a debtor”</w:t>
      </w:r>
      <w:r w:rsidRPr="00AD3B07">
        <w:rPr>
          <w:rFonts w:ascii="Arial" w:hAnsi="Arial" w:cs="Arial"/>
          <w:sz w:val="22"/>
          <w:szCs w:val="22"/>
          <w:highlight w:val="yellow"/>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Prrafodelista"/>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Prrafodelista"/>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Prrafodelista"/>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Prrafodelista"/>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710C18" w:rsidRDefault="00874240" w:rsidP="003C4BCB">
      <w:pPr>
        <w:pStyle w:val="Prrafodelista"/>
        <w:numPr>
          <w:ilvl w:val="0"/>
          <w:numId w:val="5"/>
        </w:numPr>
        <w:ind w:left="426"/>
        <w:jc w:val="both"/>
        <w:rPr>
          <w:rFonts w:ascii="Arial" w:hAnsi="Arial" w:cs="Arial"/>
          <w:sz w:val="22"/>
          <w:szCs w:val="22"/>
          <w:highlight w:val="yellow"/>
          <w:lang w:val="en-GB"/>
        </w:rPr>
      </w:pPr>
      <w:r w:rsidRPr="00710C18">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Prrafodelista"/>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C33772" w:rsidRDefault="00874240" w:rsidP="003C4BCB">
      <w:pPr>
        <w:pStyle w:val="Prrafodelista"/>
        <w:numPr>
          <w:ilvl w:val="0"/>
          <w:numId w:val="6"/>
        </w:numPr>
        <w:ind w:left="426"/>
        <w:jc w:val="both"/>
        <w:rPr>
          <w:rFonts w:ascii="Arial" w:hAnsi="Arial" w:cs="Arial"/>
          <w:sz w:val="22"/>
          <w:szCs w:val="22"/>
          <w:highlight w:val="yellow"/>
          <w:lang w:val="en-GB"/>
        </w:rPr>
      </w:pPr>
      <w:r w:rsidRPr="00C33772">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Prrafodelista"/>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Pr="00C33772" w:rsidRDefault="00874240" w:rsidP="003C4BCB">
      <w:pPr>
        <w:pStyle w:val="Prrafodelista"/>
        <w:numPr>
          <w:ilvl w:val="0"/>
          <w:numId w:val="6"/>
        </w:numPr>
        <w:ind w:left="426"/>
        <w:jc w:val="both"/>
        <w:rPr>
          <w:rFonts w:ascii="Arial" w:hAnsi="Arial" w:cs="Arial"/>
          <w:sz w:val="22"/>
          <w:szCs w:val="22"/>
          <w:lang w:val="en-GB"/>
        </w:rPr>
      </w:pPr>
      <w:r w:rsidRPr="00C33772">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Prrafodelista"/>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Prrafodelista"/>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Prrafodelista"/>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Prrafodelista"/>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6813E5" w:rsidRDefault="00113E29" w:rsidP="003C4BCB">
      <w:pPr>
        <w:pStyle w:val="Prrafodelista"/>
        <w:numPr>
          <w:ilvl w:val="0"/>
          <w:numId w:val="7"/>
        </w:numPr>
        <w:ind w:left="426"/>
        <w:jc w:val="both"/>
        <w:rPr>
          <w:rFonts w:ascii="Arial" w:hAnsi="Arial" w:cs="Arial"/>
          <w:sz w:val="22"/>
          <w:szCs w:val="22"/>
          <w:highlight w:val="yellow"/>
          <w:lang w:val="en-GB"/>
        </w:rPr>
      </w:pPr>
      <w:r w:rsidRPr="006813E5">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Prrafodelista"/>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Prrafodelista"/>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2960B0" w:rsidRDefault="00967219" w:rsidP="003C4BCB">
      <w:pPr>
        <w:pStyle w:val="Prrafodelista"/>
        <w:numPr>
          <w:ilvl w:val="0"/>
          <w:numId w:val="8"/>
        </w:numPr>
        <w:ind w:left="426"/>
        <w:jc w:val="both"/>
        <w:rPr>
          <w:rFonts w:ascii="Arial" w:hAnsi="Arial" w:cs="Arial"/>
          <w:sz w:val="22"/>
          <w:szCs w:val="22"/>
          <w:highlight w:val="yellow"/>
          <w:lang w:val="en-GB"/>
        </w:rPr>
      </w:pPr>
      <w:r w:rsidRPr="002960B0">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Prrafodelista"/>
        <w:numPr>
          <w:ilvl w:val="0"/>
          <w:numId w:val="8"/>
        </w:numPr>
        <w:ind w:left="426"/>
        <w:jc w:val="both"/>
        <w:rPr>
          <w:rFonts w:ascii="Arial" w:hAnsi="Arial" w:cs="Arial"/>
          <w:sz w:val="22"/>
          <w:szCs w:val="22"/>
          <w:lang w:val="en-GB"/>
        </w:rPr>
      </w:pPr>
      <w:r w:rsidRPr="00AE74BA">
        <w:rPr>
          <w:rFonts w:ascii="Arial" w:hAnsi="Arial" w:cs="Arial"/>
          <w:i/>
          <w:sz w:val="22"/>
          <w:szCs w:val="22"/>
          <w:lang w:val="en-GB"/>
        </w:rPr>
        <w:t>Actio pauliana</w:t>
      </w:r>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Prrafodelista"/>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Textocomentario"/>
        <w:rPr>
          <w:lang w:val="en-GB"/>
        </w:rPr>
      </w:pPr>
    </w:p>
    <w:p w14:paraId="2542F9D9" w14:textId="77777777" w:rsidR="00E9597C" w:rsidRPr="00DA770B" w:rsidRDefault="00E9597C" w:rsidP="002A37BB">
      <w:pPr>
        <w:jc w:val="both"/>
        <w:rPr>
          <w:rFonts w:ascii="Arial" w:hAnsi="Arial" w:cs="Arial"/>
          <w:sz w:val="22"/>
          <w:szCs w:val="22"/>
        </w:rPr>
      </w:pPr>
      <w:r w:rsidRPr="00DA770B">
        <w:rPr>
          <w:rFonts w:ascii="Arial" w:hAnsi="Arial" w:cs="Arial"/>
          <w:b/>
          <w:bCs/>
          <w:sz w:val="22"/>
          <w:szCs w:val="22"/>
        </w:rPr>
        <w:t>Question 1.8</w:t>
      </w:r>
      <w:r w:rsidRPr="00DA770B">
        <w:rPr>
          <w:rFonts w:ascii="Arial" w:hAnsi="Arial" w:cs="Arial"/>
          <w:sz w:val="22"/>
          <w:szCs w:val="22"/>
        </w:rPr>
        <w:t xml:space="preserve"> </w:t>
      </w:r>
    </w:p>
    <w:p w14:paraId="2E73BC84" w14:textId="77777777" w:rsidR="00E9597C" w:rsidRPr="00DA770B" w:rsidRDefault="00E9597C" w:rsidP="002A37BB">
      <w:pPr>
        <w:jc w:val="both"/>
        <w:rPr>
          <w:rFonts w:ascii="Arial" w:hAnsi="Arial" w:cs="Arial"/>
          <w:sz w:val="22"/>
          <w:szCs w:val="22"/>
        </w:rPr>
      </w:pPr>
    </w:p>
    <w:p w14:paraId="65819D19" w14:textId="07D677FE" w:rsidR="00113E29" w:rsidRPr="00DA770B" w:rsidRDefault="00113E29" w:rsidP="00113E29">
      <w:pPr>
        <w:jc w:val="both"/>
        <w:rPr>
          <w:rFonts w:ascii="Arial" w:hAnsi="Arial" w:cs="Arial"/>
          <w:sz w:val="22"/>
          <w:szCs w:val="22"/>
          <w:lang w:val="en-GB"/>
        </w:rPr>
      </w:pPr>
      <w:r w:rsidRPr="00DA770B">
        <w:rPr>
          <w:rFonts w:ascii="Arial" w:hAnsi="Arial" w:cs="Arial"/>
          <w:sz w:val="22"/>
          <w:szCs w:val="22"/>
          <w:lang w:val="en-GB"/>
        </w:rPr>
        <w:t xml:space="preserve">The dispute in the main proceedings, pending before the Spanish court, is between Abogados SA (Spain) and Fema GmbH (Germany), concerning an action to set aside two payments (“contested payments”) in the amount of EUR 800,000, made pursuant to a sales agreement of 10 September 2019, governed by English law. The contested payments had been made by Abogados SA to Fema GmbH before the former went insolvent. The insolvency practitioner of Abogados SA claims that under applicable </w:t>
      </w:r>
      <w:r w:rsidR="00967219" w:rsidRPr="00DA770B">
        <w:rPr>
          <w:rFonts w:ascii="Arial" w:hAnsi="Arial" w:cs="Arial"/>
          <w:sz w:val="22"/>
          <w:szCs w:val="22"/>
          <w:lang w:val="en-GB"/>
        </w:rPr>
        <w:t>Spanish</w:t>
      </w:r>
      <w:r w:rsidRPr="00DA770B">
        <w:rPr>
          <w:rFonts w:ascii="Arial" w:hAnsi="Arial" w:cs="Arial"/>
          <w:sz w:val="22"/>
          <w:szCs w:val="22"/>
          <w:lang w:val="en-GB"/>
        </w:rPr>
        <w:t xml:space="preserve"> law the contested payments shall be set aside. This is due to the fact that </w:t>
      </w:r>
      <w:r w:rsidR="00967219" w:rsidRPr="00DA770B">
        <w:rPr>
          <w:rFonts w:ascii="Arial" w:hAnsi="Arial" w:cs="Arial"/>
          <w:sz w:val="22"/>
          <w:szCs w:val="22"/>
          <w:lang w:val="en-GB"/>
        </w:rPr>
        <w:t>Fema</w:t>
      </w:r>
      <w:r w:rsidRPr="00DA770B">
        <w:rPr>
          <w:rFonts w:ascii="Arial" w:hAnsi="Arial" w:cs="Arial"/>
          <w:sz w:val="22"/>
          <w:szCs w:val="22"/>
          <w:lang w:val="en-GB"/>
        </w:rPr>
        <w:t xml:space="preserve"> GmbH must have been aware that </w:t>
      </w:r>
      <w:r w:rsidR="00967219" w:rsidRPr="00DA770B">
        <w:rPr>
          <w:rFonts w:ascii="Arial" w:hAnsi="Arial" w:cs="Arial"/>
          <w:sz w:val="22"/>
          <w:szCs w:val="22"/>
          <w:lang w:val="en-GB"/>
        </w:rPr>
        <w:t>Abogados</w:t>
      </w:r>
      <w:r w:rsidRPr="00DA770B">
        <w:rPr>
          <w:rFonts w:ascii="Arial" w:hAnsi="Arial" w:cs="Arial"/>
          <w:sz w:val="22"/>
          <w:szCs w:val="22"/>
          <w:lang w:val="en-GB"/>
        </w:rPr>
        <w:t xml:space="preserve"> </w:t>
      </w:r>
      <w:r w:rsidR="00967219" w:rsidRPr="00DA770B">
        <w:rPr>
          <w:rFonts w:ascii="Arial" w:hAnsi="Arial" w:cs="Arial"/>
          <w:sz w:val="22"/>
          <w:szCs w:val="22"/>
          <w:lang w:val="en-GB"/>
        </w:rPr>
        <w:t>S</w:t>
      </w:r>
      <w:r w:rsidRPr="00DA770B">
        <w:rPr>
          <w:rFonts w:ascii="Arial" w:hAnsi="Arial" w:cs="Arial"/>
          <w:sz w:val="22"/>
          <w:szCs w:val="22"/>
          <w:lang w:val="en-GB"/>
        </w:rPr>
        <w:t>A was facing insolvency at the time that the payments were made.</w:t>
      </w:r>
    </w:p>
    <w:p w14:paraId="3874BA80" w14:textId="77777777" w:rsidR="00113E29" w:rsidRPr="00DA770B" w:rsidRDefault="00113E29" w:rsidP="00113E29">
      <w:pPr>
        <w:jc w:val="both"/>
        <w:rPr>
          <w:rFonts w:ascii="Arial" w:hAnsi="Arial" w:cs="Arial"/>
          <w:sz w:val="22"/>
          <w:szCs w:val="22"/>
          <w:lang w:val="en-GB"/>
        </w:rPr>
      </w:pPr>
    </w:p>
    <w:p w14:paraId="712381FC" w14:textId="77777777" w:rsidR="00113E29" w:rsidRPr="00DA770B" w:rsidRDefault="00113E29" w:rsidP="00113E29">
      <w:pPr>
        <w:jc w:val="both"/>
        <w:rPr>
          <w:rFonts w:ascii="Arial" w:hAnsi="Arial" w:cs="Arial"/>
          <w:sz w:val="22"/>
          <w:szCs w:val="22"/>
          <w:lang w:val="en-GB"/>
        </w:rPr>
      </w:pPr>
      <w:r w:rsidRPr="00DA770B">
        <w:rPr>
          <w:rFonts w:ascii="Arial" w:hAnsi="Arial" w:cs="Arial"/>
          <w:sz w:val="22"/>
          <w:szCs w:val="22"/>
          <w:lang w:val="en-GB"/>
        </w:rPr>
        <w:t xml:space="preserve">Considering the facts of the case and relevant provisions of the EIR Recast, which one of the following statements is the </w:t>
      </w:r>
      <w:r w:rsidRPr="00DA770B">
        <w:rPr>
          <w:rFonts w:ascii="Arial" w:hAnsi="Arial" w:cs="Arial"/>
          <w:b/>
          <w:bCs/>
          <w:sz w:val="22"/>
          <w:szCs w:val="22"/>
          <w:u w:val="single"/>
          <w:lang w:val="en-GB"/>
        </w:rPr>
        <w:t>most accurate</w:t>
      </w:r>
      <w:r w:rsidRPr="00DA770B">
        <w:rPr>
          <w:rFonts w:ascii="Arial" w:hAnsi="Arial" w:cs="Arial"/>
          <w:sz w:val="22"/>
          <w:szCs w:val="22"/>
          <w:lang w:val="en-GB"/>
        </w:rPr>
        <w:t>?</w:t>
      </w:r>
    </w:p>
    <w:p w14:paraId="7A3E974E" w14:textId="77777777" w:rsidR="00113E29" w:rsidRPr="00DA770B" w:rsidRDefault="00113E29" w:rsidP="00113E29">
      <w:pPr>
        <w:jc w:val="both"/>
        <w:rPr>
          <w:rFonts w:ascii="Arial" w:hAnsi="Arial" w:cs="Arial"/>
          <w:sz w:val="22"/>
          <w:szCs w:val="22"/>
          <w:lang w:val="en-GB"/>
        </w:rPr>
      </w:pPr>
    </w:p>
    <w:p w14:paraId="0CADD2EB" w14:textId="745D3393" w:rsidR="00967219" w:rsidRPr="00550E6C" w:rsidRDefault="00967219" w:rsidP="003C4BCB">
      <w:pPr>
        <w:pStyle w:val="Prrafodelista"/>
        <w:numPr>
          <w:ilvl w:val="0"/>
          <w:numId w:val="9"/>
        </w:numPr>
        <w:ind w:left="426"/>
        <w:jc w:val="both"/>
        <w:rPr>
          <w:rFonts w:ascii="Arial" w:hAnsi="Arial" w:cs="Arial"/>
          <w:sz w:val="22"/>
          <w:szCs w:val="22"/>
          <w:lang w:val="en-GB"/>
        </w:rPr>
      </w:pPr>
      <w:r w:rsidRPr="00550E6C">
        <w:rPr>
          <w:rFonts w:ascii="Arial" w:hAnsi="Arial" w:cs="Arial"/>
          <w:sz w:val="22"/>
          <w:szCs w:val="22"/>
          <w:lang w:val="en-GB"/>
        </w:rPr>
        <w:t>The contested payments shall not be avoided if Fema GmbH proves that such transactions cannot be challenged on the basis of the insolvency provisions of English law (Article 16 EIR Recast).</w:t>
      </w:r>
    </w:p>
    <w:p w14:paraId="36908564" w14:textId="77777777" w:rsidR="00544F6E" w:rsidRPr="00DA770B" w:rsidRDefault="00544F6E" w:rsidP="00544F6E">
      <w:pPr>
        <w:jc w:val="both"/>
        <w:rPr>
          <w:rFonts w:ascii="Arial" w:hAnsi="Arial" w:cs="Arial"/>
          <w:sz w:val="22"/>
          <w:szCs w:val="22"/>
          <w:lang w:val="en-GB"/>
        </w:rPr>
      </w:pPr>
    </w:p>
    <w:p w14:paraId="76494558" w14:textId="6B5D9262" w:rsidR="00113E29" w:rsidRPr="00DA770B" w:rsidRDefault="00113E29" w:rsidP="003C4BCB">
      <w:pPr>
        <w:pStyle w:val="Prrafodelista"/>
        <w:numPr>
          <w:ilvl w:val="0"/>
          <w:numId w:val="9"/>
        </w:numPr>
        <w:ind w:left="426"/>
        <w:jc w:val="both"/>
        <w:rPr>
          <w:rFonts w:ascii="Arial" w:hAnsi="Arial" w:cs="Arial"/>
          <w:sz w:val="22"/>
          <w:szCs w:val="22"/>
          <w:lang w:val="en-GB"/>
        </w:rPr>
      </w:pPr>
      <w:r w:rsidRPr="00DA770B">
        <w:rPr>
          <w:rFonts w:ascii="Arial" w:hAnsi="Arial" w:cs="Arial"/>
          <w:sz w:val="22"/>
          <w:szCs w:val="22"/>
          <w:lang w:val="en-GB"/>
        </w:rPr>
        <w:t xml:space="preserve">To defend the contested payments </w:t>
      </w:r>
      <w:r w:rsidR="00967219" w:rsidRPr="00DA770B">
        <w:rPr>
          <w:rFonts w:ascii="Arial" w:hAnsi="Arial" w:cs="Arial"/>
          <w:sz w:val="22"/>
          <w:szCs w:val="22"/>
          <w:lang w:val="en-GB"/>
        </w:rPr>
        <w:t>Fema</w:t>
      </w:r>
      <w:r w:rsidRPr="00DA770B">
        <w:rPr>
          <w:rFonts w:ascii="Arial" w:hAnsi="Arial" w:cs="Arial"/>
          <w:sz w:val="22"/>
          <w:szCs w:val="22"/>
          <w:lang w:val="en-GB"/>
        </w:rPr>
        <w:t xml:space="preserve"> GmbH can rely solely, in a purely abstract manner, on the unchallengeable character of the payments at issue on the basis of a provision of the </w:t>
      </w:r>
      <w:r w:rsidRPr="00DA770B">
        <w:rPr>
          <w:rFonts w:ascii="Arial" w:hAnsi="Arial" w:cs="Arial"/>
          <w:i/>
          <w:sz w:val="22"/>
          <w:szCs w:val="22"/>
          <w:lang w:val="en-GB"/>
        </w:rPr>
        <w:t>lex causae</w:t>
      </w:r>
      <w:r w:rsidRPr="00DA770B">
        <w:rPr>
          <w:rFonts w:ascii="Arial" w:hAnsi="Arial" w:cs="Arial"/>
          <w:sz w:val="22"/>
          <w:szCs w:val="22"/>
          <w:lang w:val="en-GB"/>
        </w:rPr>
        <w:t>.</w:t>
      </w:r>
    </w:p>
    <w:p w14:paraId="7FC59F93" w14:textId="77777777" w:rsidR="00544F6E" w:rsidRPr="00DA770B" w:rsidRDefault="00544F6E" w:rsidP="00544F6E">
      <w:pPr>
        <w:jc w:val="both"/>
        <w:rPr>
          <w:rFonts w:ascii="Arial" w:hAnsi="Arial" w:cs="Arial"/>
          <w:sz w:val="22"/>
          <w:szCs w:val="22"/>
          <w:lang w:val="en-GB"/>
        </w:rPr>
      </w:pPr>
    </w:p>
    <w:p w14:paraId="26DE6341" w14:textId="05C7F195" w:rsidR="00967219" w:rsidRPr="00550E6C" w:rsidRDefault="00967219" w:rsidP="003C4BCB">
      <w:pPr>
        <w:pStyle w:val="Prrafodelista"/>
        <w:numPr>
          <w:ilvl w:val="0"/>
          <w:numId w:val="9"/>
        </w:numPr>
        <w:ind w:left="426"/>
        <w:jc w:val="both"/>
        <w:rPr>
          <w:rFonts w:ascii="Arial" w:hAnsi="Arial" w:cs="Arial"/>
          <w:sz w:val="22"/>
          <w:szCs w:val="22"/>
          <w:highlight w:val="yellow"/>
          <w:lang w:val="en-GB"/>
        </w:rPr>
      </w:pPr>
      <w:r w:rsidRPr="00550E6C">
        <w:rPr>
          <w:rFonts w:ascii="Arial" w:hAnsi="Arial" w:cs="Arial"/>
          <w:sz w:val="22"/>
          <w:szCs w:val="22"/>
          <w:highlight w:val="yellow"/>
          <w:lang w:val="en-GB"/>
        </w:rPr>
        <w:t xml:space="preserve">The contested transactions cannot be avoided if Fema GmbH can prove that the </w:t>
      </w:r>
      <w:r w:rsidRPr="00550E6C">
        <w:rPr>
          <w:rFonts w:ascii="Arial" w:hAnsi="Arial" w:cs="Arial"/>
          <w:i/>
          <w:sz w:val="22"/>
          <w:szCs w:val="22"/>
          <w:highlight w:val="yellow"/>
          <w:lang w:val="en-GB"/>
        </w:rPr>
        <w:t>lex causae</w:t>
      </w:r>
      <w:r w:rsidRPr="00550E6C">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DA770B" w:rsidRDefault="00544F6E" w:rsidP="00544F6E">
      <w:pPr>
        <w:jc w:val="both"/>
        <w:rPr>
          <w:rFonts w:ascii="Arial" w:hAnsi="Arial" w:cs="Arial"/>
          <w:sz w:val="22"/>
          <w:szCs w:val="22"/>
          <w:lang w:val="en-GB"/>
        </w:rPr>
      </w:pPr>
    </w:p>
    <w:p w14:paraId="3C90C191" w14:textId="24E2AB9D" w:rsidR="00967219" w:rsidRPr="00DA770B" w:rsidRDefault="00967219" w:rsidP="003C4BCB">
      <w:pPr>
        <w:pStyle w:val="Prrafodelista"/>
        <w:numPr>
          <w:ilvl w:val="0"/>
          <w:numId w:val="9"/>
        </w:numPr>
        <w:ind w:left="426"/>
        <w:jc w:val="both"/>
        <w:rPr>
          <w:rFonts w:ascii="Arial" w:hAnsi="Arial" w:cs="Arial"/>
          <w:sz w:val="22"/>
          <w:szCs w:val="22"/>
          <w:lang w:val="en-GB"/>
        </w:rPr>
      </w:pPr>
      <w:r w:rsidRPr="00DA770B">
        <w:rPr>
          <w:rFonts w:ascii="Arial" w:hAnsi="Arial" w:cs="Arial"/>
          <w:sz w:val="22"/>
          <w:szCs w:val="22"/>
          <w:lang w:val="en-GB"/>
        </w:rPr>
        <w:t xml:space="preserve">The insolvency practitioner will always succeed in his claim if he can clearly prove that under the </w:t>
      </w:r>
      <w:r w:rsidRPr="00DA770B">
        <w:rPr>
          <w:rFonts w:ascii="Arial" w:hAnsi="Arial" w:cs="Arial"/>
          <w:i/>
          <w:sz w:val="22"/>
          <w:szCs w:val="22"/>
          <w:lang w:val="en-GB"/>
        </w:rPr>
        <w:t>lex concursus</w:t>
      </w:r>
      <w:r w:rsidRPr="00DA770B">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A554CE" w:rsidRDefault="00FC48D8" w:rsidP="003C4BCB">
      <w:pPr>
        <w:pStyle w:val="Prrafodelista"/>
        <w:numPr>
          <w:ilvl w:val="0"/>
          <w:numId w:val="10"/>
        </w:numPr>
        <w:ind w:left="426"/>
        <w:jc w:val="both"/>
        <w:rPr>
          <w:rFonts w:ascii="Arial" w:hAnsi="Arial" w:cs="Arial"/>
          <w:sz w:val="22"/>
          <w:szCs w:val="22"/>
          <w:highlight w:val="yellow"/>
          <w:lang w:val="en-GB"/>
        </w:rPr>
      </w:pPr>
      <w:r w:rsidRPr="00A554CE">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Prrafodelista"/>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Pr="00A554CE" w:rsidRDefault="00FC48D8" w:rsidP="003C4BCB">
      <w:pPr>
        <w:pStyle w:val="Prrafodelista"/>
        <w:numPr>
          <w:ilvl w:val="0"/>
          <w:numId w:val="10"/>
        </w:numPr>
        <w:ind w:left="426"/>
        <w:jc w:val="both"/>
        <w:rPr>
          <w:rFonts w:ascii="Arial" w:hAnsi="Arial" w:cs="Arial"/>
          <w:sz w:val="22"/>
          <w:szCs w:val="22"/>
          <w:lang w:val="en-GB"/>
        </w:rPr>
      </w:pPr>
      <w:r w:rsidRPr="00A554CE">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Prrafodelista"/>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DA770B" w:rsidRDefault="00E9597C" w:rsidP="002A37BB">
      <w:pPr>
        <w:jc w:val="both"/>
        <w:rPr>
          <w:rFonts w:ascii="Arial" w:hAnsi="Arial" w:cs="Arial"/>
          <w:sz w:val="22"/>
          <w:szCs w:val="22"/>
        </w:rPr>
      </w:pPr>
      <w:r w:rsidRPr="00DA770B">
        <w:rPr>
          <w:rFonts w:ascii="Arial" w:hAnsi="Arial" w:cs="Arial"/>
          <w:b/>
          <w:bCs/>
          <w:sz w:val="22"/>
          <w:szCs w:val="22"/>
        </w:rPr>
        <w:t>Question 1.10</w:t>
      </w:r>
      <w:r w:rsidR="006F4A78" w:rsidRPr="00DA770B">
        <w:rPr>
          <w:rFonts w:ascii="Arial" w:hAnsi="Arial" w:cs="Arial"/>
          <w:sz w:val="22"/>
          <w:szCs w:val="22"/>
        </w:rPr>
        <w:t xml:space="preserve"> </w:t>
      </w:r>
    </w:p>
    <w:p w14:paraId="72785BD8" w14:textId="77777777" w:rsidR="00E9597C" w:rsidRPr="00DA770B" w:rsidRDefault="00E9597C" w:rsidP="002A37BB">
      <w:pPr>
        <w:jc w:val="both"/>
        <w:rPr>
          <w:rFonts w:ascii="Arial" w:hAnsi="Arial" w:cs="Arial"/>
          <w:sz w:val="22"/>
          <w:szCs w:val="22"/>
        </w:rPr>
      </w:pPr>
    </w:p>
    <w:p w14:paraId="63111962" w14:textId="0A4B349E" w:rsidR="00FC48D8" w:rsidRPr="00DA770B" w:rsidRDefault="00FC48D8" w:rsidP="00FC48D8">
      <w:pPr>
        <w:jc w:val="both"/>
        <w:rPr>
          <w:rFonts w:ascii="Arial" w:hAnsi="Arial" w:cs="Arial"/>
          <w:sz w:val="22"/>
          <w:szCs w:val="22"/>
          <w:lang w:val="en-GB"/>
        </w:rPr>
      </w:pPr>
      <w:r w:rsidRPr="00DA770B">
        <w:rPr>
          <w:rFonts w:ascii="Arial" w:hAnsi="Arial" w:cs="Arial"/>
          <w:sz w:val="22"/>
          <w:szCs w:val="22"/>
          <w:lang w:val="en-GB"/>
        </w:rPr>
        <w:t>The French tax authority asserts to have a tax claim against a Spanish, LPZ Corp (debtor). The debtor is subject to the main insolvency proceeding (</w:t>
      </w:r>
      <w:r w:rsidRPr="00DA770B">
        <w:rPr>
          <w:rFonts w:ascii="Arial" w:hAnsi="Arial" w:cs="Arial"/>
          <w:i/>
          <w:sz w:val="22"/>
          <w:szCs w:val="22"/>
          <w:lang w:val="en-GB"/>
        </w:rPr>
        <w:t>Concurso</w:t>
      </w:r>
      <w:r w:rsidRPr="00DA770B">
        <w:rPr>
          <w:rFonts w:ascii="Arial" w:hAnsi="Arial" w:cs="Arial"/>
          <w:sz w:val="22"/>
          <w:szCs w:val="22"/>
          <w:lang w:val="en-GB"/>
        </w:rPr>
        <w:t>) in Spain. In addition, a secondary insolvency proceeding (</w:t>
      </w:r>
      <w:r w:rsidRPr="00DA770B">
        <w:rPr>
          <w:rFonts w:ascii="Arial" w:hAnsi="Arial" w:cs="Arial"/>
          <w:iCs/>
          <w:sz w:val="22"/>
          <w:szCs w:val="22"/>
          <w:lang w:val="en-GB"/>
        </w:rPr>
        <w:t>Examinership</w:t>
      </w:r>
      <w:r w:rsidRPr="00DA770B">
        <w:rPr>
          <w:rFonts w:ascii="Arial" w:hAnsi="Arial" w:cs="Arial"/>
          <w:sz w:val="22"/>
          <w:szCs w:val="22"/>
          <w:lang w:val="en-GB"/>
        </w:rPr>
        <w:t>) relating to LPZ Corp has been opened in Ireland.</w:t>
      </w:r>
    </w:p>
    <w:p w14:paraId="2207B97E" w14:textId="77777777" w:rsidR="00FC48D8" w:rsidRPr="00DA770B" w:rsidRDefault="00FC48D8" w:rsidP="00FC48D8">
      <w:pPr>
        <w:jc w:val="both"/>
        <w:rPr>
          <w:rFonts w:ascii="Arial" w:hAnsi="Arial" w:cs="Arial"/>
          <w:sz w:val="22"/>
          <w:szCs w:val="22"/>
          <w:lang w:val="en-GB"/>
        </w:rPr>
      </w:pPr>
    </w:p>
    <w:p w14:paraId="1D63D80A" w14:textId="77777777" w:rsidR="00FC48D8" w:rsidRPr="00DA770B" w:rsidRDefault="00FC48D8" w:rsidP="00FC48D8">
      <w:pPr>
        <w:jc w:val="both"/>
        <w:rPr>
          <w:rFonts w:ascii="Arial" w:hAnsi="Arial" w:cs="Arial"/>
          <w:sz w:val="22"/>
          <w:szCs w:val="22"/>
          <w:lang w:val="en-GB"/>
        </w:rPr>
      </w:pPr>
      <w:r w:rsidRPr="00DA770B">
        <w:rPr>
          <w:rFonts w:ascii="Arial" w:hAnsi="Arial" w:cs="Arial"/>
          <w:sz w:val="22"/>
          <w:szCs w:val="22"/>
          <w:lang w:val="en-GB"/>
        </w:rPr>
        <w:t>Assume that:</w:t>
      </w:r>
    </w:p>
    <w:p w14:paraId="1A63B321" w14:textId="77777777" w:rsidR="00FC48D8" w:rsidRPr="00DA770B" w:rsidRDefault="00FC48D8" w:rsidP="00FC48D8">
      <w:pPr>
        <w:jc w:val="both"/>
        <w:rPr>
          <w:rFonts w:ascii="Arial" w:hAnsi="Arial" w:cs="Arial"/>
          <w:sz w:val="22"/>
          <w:szCs w:val="22"/>
          <w:lang w:val="en-GB"/>
        </w:rPr>
      </w:pPr>
      <w:r w:rsidRPr="00DA770B">
        <w:rPr>
          <w:rFonts w:ascii="Arial" w:hAnsi="Arial" w:cs="Arial"/>
          <w:sz w:val="22"/>
          <w:szCs w:val="22"/>
          <w:lang w:val="en-GB"/>
        </w:rPr>
        <w:t xml:space="preserve"> </w:t>
      </w:r>
    </w:p>
    <w:p w14:paraId="7DDBB501" w14:textId="317A0333" w:rsidR="00FC48D8" w:rsidRPr="00DA770B" w:rsidRDefault="00FC48D8" w:rsidP="003C4BCB">
      <w:pPr>
        <w:pStyle w:val="Prrafodelista"/>
        <w:numPr>
          <w:ilvl w:val="0"/>
          <w:numId w:val="1"/>
        </w:numPr>
        <w:ind w:left="426"/>
        <w:jc w:val="both"/>
        <w:rPr>
          <w:rFonts w:ascii="Arial" w:hAnsi="Arial" w:cs="Arial"/>
          <w:sz w:val="22"/>
          <w:szCs w:val="22"/>
          <w:lang w:val="en-GB"/>
        </w:rPr>
      </w:pPr>
      <w:r w:rsidRPr="00DA770B">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DA770B" w:rsidRDefault="008017F0" w:rsidP="008017F0">
      <w:pPr>
        <w:ind w:left="66"/>
        <w:jc w:val="both"/>
        <w:rPr>
          <w:rFonts w:ascii="Arial" w:hAnsi="Arial" w:cs="Arial"/>
          <w:sz w:val="22"/>
          <w:szCs w:val="22"/>
          <w:lang w:val="en-GB"/>
        </w:rPr>
      </w:pPr>
    </w:p>
    <w:p w14:paraId="70BBD428" w14:textId="6C494F6A" w:rsidR="00FC48D8" w:rsidRPr="00DA770B" w:rsidRDefault="00FC48D8" w:rsidP="003C4BCB">
      <w:pPr>
        <w:pStyle w:val="Prrafodelista"/>
        <w:numPr>
          <w:ilvl w:val="0"/>
          <w:numId w:val="1"/>
        </w:numPr>
        <w:ind w:left="426"/>
        <w:jc w:val="both"/>
        <w:rPr>
          <w:rFonts w:ascii="Arial" w:hAnsi="Arial" w:cs="Arial"/>
          <w:sz w:val="22"/>
          <w:szCs w:val="22"/>
          <w:lang w:val="en-GB"/>
        </w:rPr>
      </w:pPr>
      <w:r w:rsidRPr="00DA770B">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DA770B" w:rsidRDefault="00FC48D8" w:rsidP="00FC48D8">
      <w:pPr>
        <w:jc w:val="both"/>
        <w:rPr>
          <w:rFonts w:ascii="Arial" w:hAnsi="Arial" w:cs="Arial"/>
          <w:sz w:val="22"/>
          <w:szCs w:val="22"/>
          <w:lang w:val="en-GB"/>
        </w:rPr>
      </w:pPr>
    </w:p>
    <w:p w14:paraId="1C45491E" w14:textId="4CD34756" w:rsidR="00FC48D8" w:rsidRPr="00DA770B" w:rsidRDefault="00FC48D8" w:rsidP="00FC48D8">
      <w:pPr>
        <w:jc w:val="both"/>
        <w:rPr>
          <w:rFonts w:ascii="Arial" w:eastAsiaTheme="minorHAnsi" w:hAnsi="Arial" w:cs="Arial"/>
          <w:sz w:val="22"/>
          <w:szCs w:val="22"/>
          <w:lang w:val="en-GB"/>
        </w:rPr>
      </w:pPr>
      <w:r w:rsidRPr="00DA770B">
        <w:rPr>
          <w:rFonts w:ascii="Arial" w:hAnsi="Arial" w:cs="Arial"/>
          <w:sz w:val="22"/>
          <w:szCs w:val="22"/>
          <w:lang w:val="en-GB"/>
        </w:rPr>
        <w:t xml:space="preserve">The </w:t>
      </w:r>
      <w:r w:rsidR="008017F0" w:rsidRPr="00DA770B">
        <w:rPr>
          <w:rFonts w:ascii="Arial" w:hAnsi="Arial" w:cs="Arial"/>
          <w:sz w:val="22"/>
          <w:szCs w:val="22"/>
          <w:lang w:val="en-GB"/>
        </w:rPr>
        <w:t xml:space="preserve">French </w:t>
      </w:r>
      <w:r w:rsidRPr="00DA770B">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DA770B" w:rsidRDefault="00FC48D8" w:rsidP="00FC48D8">
      <w:pPr>
        <w:jc w:val="both"/>
        <w:rPr>
          <w:rFonts w:ascii="Arial" w:eastAsiaTheme="minorHAnsi" w:hAnsi="Arial" w:cs="Arial"/>
          <w:sz w:val="22"/>
          <w:szCs w:val="22"/>
          <w:lang w:val="en-GB"/>
        </w:rPr>
      </w:pPr>
    </w:p>
    <w:p w14:paraId="50171844" w14:textId="35A17E67" w:rsidR="00FC48D8" w:rsidRPr="00DA770B" w:rsidRDefault="00FC48D8" w:rsidP="003C4BCB">
      <w:pPr>
        <w:pStyle w:val="Prrafodelista"/>
        <w:numPr>
          <w:ilvl w:val="0"/>
          <w:numId w:val="11"/>
        </w:numPr>
        <w:ind w:left="426"/>
        <w:jc w:val="both"/>
        <w:rPr>
          <w:rFonts w:ascii="Arial" w:hAnsi="Arial" w:cs="Arial"/>
          <w:sz w:val="22"/>
          <w:szCs w:val="22"/>
          <w:lang w:val="en-GB"/>
        </w:rPr>
      </w:pPr>
      <w:r w:rsidRPr="00DA770B">
        <w:rPr>
          <w:rFonts w:ascii="Arial" w:hAnsi="Arial" w:cs="Arial"/>
          <w:sz w:val="22"/>
          <w:szCs w:val="22"/>
          <w:lang w:val="en-GB"/>
        </w:rPr>
        <w:t>Within two (2) months following the publication date, as guaranteed by the French law (law applicable to the creditor).</w:t>
      </w:r>
    </w:p>
    <w:p w14:paraId="0F7AFCE7" w14:textId="77777777" w:rsidR="008017F0" w:rsidRPr="00B76945" w:rsidRDefault="008017F0" w:rsidP="008017F0">
      <w:pPr>
        <w:jc w:val="both"/>
        <w:rPr>
          <w:rFonts w:ascii="Arial" w:hAnsi="Arial" w:cs="Arial"/>
          <w:sz w:val="22"/>
          <w:szCs w:val="22"/>
          <w:highlight w:val="lightGray"/>
          <w:lang w:val="en-GB"/>
        </w:rPr>
      </w:pPr>
    </w:p>
    <w:p w14:paraId="210ADB92" w14:textId="53F1A9BD" w:rsidR="00FC48D8" w:rsidRPr="00DA770B" w:rsidRDefault="00FC48D8" w:rsidP="003C4BCB">
      <w:pPr>
        <w:pStyle w:val="Prrafodelista"/>
        <w:numPr>
          <w:ilvl w:val="0"/>
          <w:numId w:val="11"/>
        </w:numPr>
        <w:ind w:left="426"/>
        <w:jc w:val="both"/>
        <w:rPr>
          <w:rFonts w:ascii="Arial" w:hAnsi="Arial" w:cs="Arial"/>
          <w:sz w:val="22"/>
          <w:szCs w:val="22"/>
          <w:highlight w:val="yellow"/>
          <w:lang w:val="en-GB"/>
        </w:rPr>
      </w:pPr>
      <w:r w:rsidRPr="00DA770B">
        <w:rPr>
          <w:rFonts w:ascii="Arial" w:hAnsi="Arial" w:cs="Arial"/>
          <w:sz w:val="22"/>
          <w:szCs w:val="22"/>
          <w:highlight w:val="yellow"/>
          <w:lang w:val="en-GB"/>
        </w:rPr>
        <w:t xml:space="preserve">Within 15 days, as stipulated in the applicable </w:t>
      </w:r>
      <w:r w:rsidRPr="00DA770B">
        <w:rPr>
          <w:rFonts w:ascii="Arial" w:hAnsi="Arial" w:cs="Arial"/>
          <w:i/>
          <w:sz w:val="22"/>
          <w:szCs w:val="22"/>
          <w:highlight w:val="yellow"/>
          <w:lang w:val="en-GB"/>
        </w:rPr>
        <w:t>lex concursus secundarii</w:t>
      </w:r>
      <w:r w:rsidRPr="00DA770B">
        <w:rPr>
          <w:rFonts w:ascii="Arial" w:hAnsi="Arial" w:cs="Arial"/>
          <w:sz w:val="22"/>
          <w:szCs w:val="22"/>
          <w:highlight w:val="yellow"/>
          <w:lang w:val="en-GB"/>
        </w:rPr>
        <w:t xml:space="preserve"> (law of the insolvency proceeding at issue).</w:t>
      </w:r>
    </w:p>
    <w:p w14:paraId="79099DDC" w14:textId="77777777" w:rsidR="008017F0" w:rsidRPr="00B76945" w:rsidRDefault="008017F0" w:rsidP="008017F0">
      <w:pPr>
        <w:jc w:val="both"/>
        <w:rPr>
          <w:rFonts w:ascii="Arial" w:hAnsi="Arial" w:cs="Arial"/>
          <w:sz w:val="22"/>
          <w:szCs w:val="22"/>
          <w:highlight w:val="lightGray"/>
          <w:lang w:val="en-GB"/>
        </w:rPr>
      </w:pPr>
    </w:p>
    <w:p w14:paraId="389634F9" w14:textId="55B4DCC0" w:rsidR="00FC48D8" w:rsidRPr="00DA770B" w:rsidRDefault="00FC48D8" w:rsidP="003C4BCB">
      <w:pPr>
        <w:pStyle w:val="Prrafodelista"/>
        <w:numPr>
          <w:ilvl w:val="0"/>
          <w:numId w:val="11"/>
        </w:numPr>
        <w:ind w:left="426"/>
        <w:jc w:val="both"/>
        <w:rPr>
          <w:rFonts w:ascii="Arial" w:hAnsi="Arial" w:cs="Arial"/>
          <w:sz w:val="22"/>
          <w:szCs w:val="22"/>
          <w:lang w:val="en-GB"/>
        </w:rPr>
      </w:pPr>
      <w:r w:rsidRPr="00DA770B">
        <w:rPr>
          <w:rFonts w:ascii="Arial" w:hAnsi="Arial" w:cs="Arial"/>
          <w:sz w:val="22"/>
          <w:szCs w:val="22"/>
          <w:lang w:val="en-GB"/>
        </w:rPr>
        <w:t>Within 30 days following the publication of the opening of insolvency proceedings in the insolvency register of Ireland.</w:t>
      </w:r>
    </w:p>
    <w:p w14:paraId="1685A032" w14:textId="77777777" w:rsidR="008017F0" w:rsidRPr="00DA770B" w:rsidRDefault="008017F0" w:rsidP="008017F0">
      <w:pPr>
        <w:jc w:val="both"/>
        <w:rPr>
          <w:rFonts w:ascii="Arial" w:hAnsi="Arial" w:cs="Arial"/>
          <w:sz w:val="22"/>
          <w:szCs w:val="22"/>
          <w:lang w:val="en-GB"/>
        </w:rPr>
      </w:pPr>
    </w:p>
    <w:p w14:paraId="757B127D" w14:textId="7CD48ECF" w:rsidR="00FC48D8" w:rsidRPr="00DA770B" w:rsidRDefault="00FC48D8" w:rsidP="003C4BCB">
      <w:pPr>
        <w:pStyle w:val="Prrafodelista"/>
        <w:numPr>
          <w:ilvl w:val="0"/>
          <w:numId w:val="11"/>
        </w:numPr>
        <w:ind w:left="426"/>
        <w:jc w:val="both"/>
        <w:rPr>
          <w:rFonts w:ascii="Arial" w:hAnsi="Arial" w:cs="Arial"/>
          <w:sz w:val="22"/>
          <w:szCs w:val="22"/>
          <w:lang w:val="en-GB"/>
        </w:rPr>
      </w:pPr>
      <w:r w:rsidRPr="00DA770B">
        <w:rPr>
          <w:rFonts w:ascii="Arial" w:hAnsi="Arial" w:cs="Arial"/>
          <w:sz w:val="22"/>
          <w:szCs w:val="22"/>
          <w:lang w:val="en-GB"/>
        </w:rPr>
        <w:t xml:space="preserve">Within the time limit prescribed by the </w:t>
      </w:r>
      <w:r w:rsidRPr="00DA770B">
        <w:rPr>
          <w:rFonts w:ascii="Arial" w:hAnsi="Arial" w:cs="Arial"/>
          <w:i/>
          <w:sz w:val="22"/>
          <w:szCs w:val="22"/>
          <w:lang w:val="en-GB"/>
        </w:rPr>
        <w:t>lex concursus</w:t>
      </w:r>
      <w:r w:rsidRPr="00DA770B">
        <w:rPr>
          <w:rFonts w:ascii="Arial" w:hAnsi="Arial" w:cs="Arial"/>
          <w:sz w:val="22"/>
          <w:szCs w:val="22"/>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0DA57013" w14:textId="607A62DD" w:rsidR="00A554CE"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r w:rsidR="00A554CE">
        <w:rPr>
          <w:rFonts w:ascii="Arial" w:hAnsi="Arial" w:cs="Arial"/>
          <w:sz w:val="22"/>
          <w:szCs w:val="22"/>
          <w:lang w:val="en-GB"/>
        </w:rPr>
        <w:t xml:space="preserve"> </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5C7DD9F3" w14:textId="4119F2E7" w:rsidR="00636C15" w:rsidRPr="00A554CE" w:rsidRDefault="00A554CE" w:rsidP="00A554CE">
      <w:pPr>
        <w:ind w:left="720" w:hanging="720"/>
        <w:jc w:val="both"/>
        <w:rPr>
          <w:rFonts w:ascii="Arial" w:hAnsi="Arial" w:cs="Arial"/>
          <w:iCs/>
          <w:color w:val="7B7B7B" w:themeColor="accent3" w:themeShade="BF"/>
          <w:sz w:val="22"/>
          <w:szCs w:val="22"/>
        </w:rPr>
      </w:pPr>
      <w:r>
        <w:rPr>
          <w:rFonts w:ascii="Arial" w:hAnsi="Arial" w:cs="Arial"/>
          <w:color w:val="7B7B7B" w:themeColor="accent3" w:themeShade="BF"/>
          <w:sz w:val="22"/>
          <w:szCs w:val="22"/>
        </w:rPr>
        <w:t xml:space="preserve">Statement 1 is related to COMI and </w:t>
      </w:r>
      <w:r w:rsidRPr="00A554CE">
        <w:rPr>
          <w:rFonts w:ascii="Arial" w:hAnsi="Arial" w:cs="Arial"/>
          <w:color w:val="7B7B7B" w:themeColor="accent3" w:themeShade="BF"/>
          <w:sz w:val="22"/>
          <w:szCs w:val="22"/>
        </w:rPr>
        <w:t>preventing fraudulent or abusive forum shopping</w:t>
      </w:r>
      <w:r>
        <w:rPr>
          <w:rFonts w:ascii="Arial" w:hAnsi="Arial" w:cs="Arial"/>
          <w:color w:val="7B7B7B" w:themeColor="accent3" w:themeShade="BF"/>
          <w:sz w:val="22"/>
          <w:szCs w:val="22"/>
        </w:rPr>
        <w:t>, pursuant Recital 29. The statement is not expressly in the EIR Recast. However, according to the guide page 15, quote 28, i</w:t>
      </w:r>
      <w:r w:rsidRPr="00A554CE">
        <w:rPr>
          <w:rFonts w:ascii="Arial" w:hAnsi="Arial" w:cs="Arial"/>
          <w:color w:val="7B7B7B" w:themeColor="accent3" w:themeShade="BF"/>
          <w:sz w:val="22"/>
          <w:szCs w:val="22"/>
        </w:rPr>
        <w:t xml:space="preserve">n Case C-106/16, </w:t>
      </w:r>
      <w:r w:rsidRPr="00A554CE">
        <w:rPr>
          <w:rFonts w:ascii="Arial" w:hAnsi="Arial" w:cs="Arial"/>
          <w:i/>
          <w:iCs/>
          <w:color w:val="7B7B7B" w:themeColor="accent3" w:themeShade="BF"/>
          <w:sz w:val="22"/>
          <w:szCs w:val="22"/>
        </w:rPr>
        <w:t>Polbud – Wykonawstwo</w:t>
      </w:r>
      <w:r>
        <w:rPr>
          <w:rFonts w:ascii="Arial" w:hAnsi="Arial" w:cs="Arial"/>
          <w:iCs/>
          <w:color w:val="7B7B7B" w:themeColor="accent3" w:themeShade="BF"/>
          <w:sz w:val="22"/>
          <w:szCs w:val="22"/>
        </w:rPr>
        <w:t>, the Court of Justice of European Union recognized that “</w:t>
      </w:r>
      <w:r w:rsidRPr="00A554CE">
        <w:rPr>
          <w:rFonts w:ascii="Arial" w:hAnsi="Arial" w:cs="Arial"/>
          <w:i/>
          <w:iCs/>
          <w:color w:val="7B7B7B" w:themeColor="accent3" w:themeShade="BF"/>
          <w:sz w:val="22"/>
          <w:szCs w:val="22"/>
        </w:rPr>
        <w:t>the transfer of a registered office to acquire the benefit of more favorable (company) legislation without change of the real head office enjoyed the protection of the freedom of establishment and did not constitute abuse</w:t>
      </w:r>
      <w:r>
        <w:rPr>
          <w:rFonts w:ascii="Arial" w:hAnsi="Arial" w:cs="Arial"/>
          <w:iCs/>
          <w:color w:val="7B7B7B" w:themeColor="accent3" w:themeShade="BF"/>
          <w:sz w:val="22"/>
          <w:szCs w:val="22"/>
        </w:rPr>
        <w:t>”.</w:t>
      </w:r>
    </w:p>
    <w:p w14:paraId="22C610C9" w14:textId="423549C9" w:rsidR="00DE03AF" w:rsidRDefault="00DE03AF" w:rsidP="002A37BB">
      <w:pPr>
        <w:jc w:val="both"/>
        <w:rPr>
          <w:rFonts w:ascii="Arial" w:hAnsi="Arial" w:cs="Arial"/>
          <w:sz w:val="22"/>
          <w:szCs w:val="22"/>
        </w:rPr>
      </w:pPr>
    </w:p>
    <w:p w14:paraId="115C8AAD" w14:textId="10F1D3D2" w:rsidR="000A2F16" w:rsidRPr="000A2F16" w:rsidRDefault="000A2F16" w:rsidP="000A2F16">
      <w:pPr>
        <w:ind w:left="720" w:hanging="720"/>
        <w:jc w:val="both"/>
        <w:rPr>
          <w:rFonts w:ascii="Arial" w:hAnsi="Arial" w:cs="Arial"/>
          <w:color w:val="7B7B7B" w:themeColor="accent3" w:themeShade="BF"/>
          <w:sz w:val="22"/>
          <w:szCs w:val="22"/>
        </w:rPr>
      </w:pPr>
      <w:r w:rsidRPr="000A2F16">
        <w:rPr>
          <w:rFonts w:ascii="Arial" w:hAnsi="Arial" w:cs="Arial"/>
          <w:color w:val="7B7B7B" w:themeColor="accent3" w:themeShade="BF"/>
          <w:sz w:val="22"/>
          <w:szCs w:val="22"/>
        </w:rPr>
        <w:t>State</w:t>
      </w:r>
      <w:r>
        <w:rPr>
          <w:rFonts w:ascii="Arial" w:hAnsi="Arial" w:cs="Arial"/>
          <w:color w:val="7B7B7B" w:themeColor="accent3" w:themeShade="BF"/>
          <w:sz w:val="22"/>
          <w:szCs w:val="22"/>
        </w:rPr>
        <w:t xml:space="preserve">ment 2 is related to </w:t>
      </w:r>
      <w:r w:rsidR="004574AF">
        <w:rPr>
          <w:rFonts w:ascii="Arial" w:hAnsi="Arial" w:cs="Arial"/>
          <w:color w:val="7B7B7B" w:themeColor="accent3" w:themeShade="BF"/>
          <w:sz w:val="22"/>
          <w:szCs w:val="22"/>
        </w:rPr>
        <w:t xml:space="preserve">Secondary Insolvency Proceedings, pursuant Recital 23 of the EIR Recast. </w:t>
      </w:r>
    </w:p>
    <w:p w14:paraId="0EF10B4A" w14:textId="77777777" w:rsidR="000A2F16" w:rsidRPr="008500BD" w:rsidRDefault="000A2F16"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16675D5F" w14:textId="5D5FA3F4" w:rsidR="00636C15" w:rsidRPr="00F921AF" w:rsidRDefault="00F921AF" w:rsidP="00F921AF">
      <w:pPr>
        <w:pStyle w:val="Prrafodelista"/>
        <w:numPr>
          <w:ilvl w:val="0"/>
          <w:numId w:val="1"/>
        </w:numPr>
        <w:jc w:val="both"/>
        <w:rPr>
          <w:rFonts w:ascii="Arial" w:hAnsi="Arial" w:cs="Arial"/>
          <w:color w:val="7B7B7B" w:themeColor="accent3" w:themeShade="BF"/>
          <w:sz w:val="22"/>
          <w:szCs w:val="22"/>
          <w:lang w:val="en-GB"/>
        </w:rPr>
      </w:pPr>
      <w:r w:rsidRPr="00F921AF">
        <w:rPr>
          <w:rFonts w:ascii="Arial" w:hAnsi="Arial" w:cs="Arial"/>
          <w:color w:val="7B7B7B" w:themeColor="accent3" w:themeShade="BF"/>
          <w:sz w:val="22"/>
          <w:szCs w:val="22"/>
          <w:lang w:val="en-GB"/>
        </w:rPr>
        <w:t>Article 41 establishes cooperation and communication between insolvency practitioners</w:t>
      </w:r>
    </w:p>
    <w:p w14:paraId="1E49315A" w14:textId="69A4A595" w:rsidR="00F921AF" w:rsidRPr="00F921AF" w:rsidRDefault="00F921AF" w:rsidP="00F921AF">
      <w:pPr>
        <w:pStyle w:val="Prrafodelista"/>
        <w:numPr>
          <w:ilvl w:val="0"/>
          <w:numId w:val="1"/>
        </w:numPr>
        <w:jc w:val="both"/>
        <w:rPr>
          <w:rFonts w:ascii="Arial" w:hAnsi="Arial" w:cs="Arial"/>
          <w:color w:val="7B7B7B" w:themeColor="accent3" w:themeShade="BF"/>
          <w:sz w:val="22"/>
          <w:szCs w:val="22"/>
          <w:lang w:val="en-GB"/>
        </w:rPr>
      </w:pPr>
      <w:r w:rsidRPr="00F921AF">
        <w:rPr>
          <w:rFonts w:ascii="Arial" w:hAnsi="Arial" w:cs="Arial"/>
          <w:color w:val="7B7B7B" w:themeColor="accent3" w:themeShade="BF"/>
          <w:sz w:val="22"/>
          <w:szCs w:val="22"/>
          <w:lang w:val="en-GB"/>
        </w:rPr>
        <w:t xml:space="preserve">Article 42 establishes cooperation and communication between courts </w:t>
      </w:r>
    </w:p>
    <w:p w14:paraId="246541AC" w14:textId="171ABBDE" w:rsidR="00F921AF" w:rsidRPr="00F921AF" w:rsidRDefault="00F921AF" w:rsidP="00F921AF">
      <w:pPr>
        <w:pStyle w:val="Prrafodelista"/>
        <w:numPr>
          <w:ilvl w:val="0"/>
          <w:numId w:val="1"/>
        </w:numPr>
        <w:jc w:val="both"/>
        <w:rPr>
          <w:rFonts w:ascii="Arial" w:hAnsi="Arial" w:cs="Arial"/>
          <w:sz w:val="22"/>
          <w:szCs w:val="22"/>
          <w:lang w:val="en-GB"/>
        </w:rPr>
      </w:pPr>
      <w:r w:rsidRPr="00F921AF">
        <w:rPr>
          <w:rFonts w:ascii="Arial" w:hAnsi="Arial" w:cs="Arial"/>
          <w:color w:val="7B7B7B" w:themeColor="accent3" w:themeShade="BF"/>
          <w:sz w:val="22"/>
          <w:szCs w:val="22"/>
          <w:lang w:val="en-GB"/>
        </w:rPr>
        <w:t>Article 43 establishes cooperation and communication between insolvency practitioners and courts.</w:t>
      </w:r>
    </w:p>
    <w:p w14:paraId="6948B395" w14:textId="65A1604F" w:rsidR="00E90991" w:rsidRPr="008500BD" w:rsidRDefault="00E90991" w:rsidP="002A37BB">
      <w:pPr>
        <w:ind w:left="720" w:hanging="720"/>
        <w:jc w:val="both"/>
        <w:rPr>
          <w:rFonts w:ascii="Arial" w:hAnsi="Arial" w:cs="Arial"/>
          <w:sz w:val="22"/>
          <w:szCs w:val="22"/>
          <w:lang w:val="en-GB"/>
        </w:rPr>
      </w:pPr>
    </w:p>
    <w:p w14:paraId="7AF8A6A4" w14:textId="77777777" w:rsidR="00FE2DE2" w:rsidRPr="008500BD" w:rsidRDefault="00FE2DE2" w:rsidP="002A37BB">
      <w:pPr>
        <w:ind w:left="720" w:hanging="720"/>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572227E7" w14:textId="793173DC" w:rsidR="0045683E" w:rsidRDefault="007D2477" w:rsidP="007D24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EIR Recast t</w:t>
      </w:r>
      <w:r w:rsidRPr="007D2477">
        <w:rPr>
          <w:rFonts w:ascii="Arial" w:hAnsi="Arial" w:cs="Arial"/>
          <w:color w:val="7B7B7B" w:themeColor="accent3" w:themeShade="BF"/>
          <w:sz w:val="22"/>
          <w:szCs w:val="22"/>
          <w:lang w:val="en-GB"/>
        </w:rPr>
        <w:t>here</w:t>
      </w:r>
      <w:r>
        <w:rPr>
          <w:rFonts w:ascii="Arial" w:hAnsi="Arial" w:cs="Arial"/>
          <w:color w:val="7B7B7B" w:themeColor="accent3" w:themeShade="BF"/>
          <w:sz w:val="22"/>
          <w:szCs w:val="22"/>
          <w:lang w:val="en-GB"/>
        </w:rPr>
        <w:t xml:space="preserve"> are some provisions explaining that statement as following:</w:t>
      </w:r>
    </w:p>
    <w:p w14:paraId="7936C3C5" w14:textId="7731AB9C" w:rsidR="007D2477" w:rsidRDefault="007D2477" w:rsidP="007D2477">
      <w:pPr>
        <w:ind w:left="720" w:hanging="720"/>
        <w:jc w:val="both"/>
        <w:rPr>
          <w:rFonts w:ascii="Arial" w:hAnsi="Arial" w:cs="Arial"/>
          <w:color w:val="7B7B7B" w:themeColor="accent3" w:themeShade="BF"/>
          <w:sz w:val="22"/>
          <w:szCs w:val="22"/>
          <w:lang w:val="en-GB"/>
        </w:rPr>
      </w:pPr>
    </w:p>
    <w:p w14:paraId="47916D38" w14:textId="053374EF" w:rsidR="007D2477" w:rsidRPr="007D2477" w:rsidRDefault="00743F91" w:rsidP="007D2477">
      <w:pPr>
        <w:pStyle w:val="Prrafodelista"/>
        <w:numPr>
          <w:ilvl w:val="0"/>
          <w:numId w:val="12"/>
        </w:numPr>
        <w:jc w:val="both"/>
        <w:rPr>
          <w:rFonts w:ascii="Arial" w:hAnsi="Arial" w:cs="Arial"/>
          <w:bCs/>
          <w:sz w:val="22"/>
          <w:szCs w:val="22"/>
          <w:lang w:val="en-GB"/>
        </w:rPr>
      </w:pPr>
      <w:r w:rsidRPr="00743F91">
        <w:rPr>
          <w:rFonts w:ascii="Arial" w:hAnsi="Arial" w:cs="Arial"/>
          <w:b/>
          <w:color w:val="7B7B7B" w:themeColor="accent3" w:themeShade="BF"/>
          <w:sz w:val="22"/>
          <w:szCs w:val="22"/>
          <w:lang w:val="en-GB"/>
        </w:rPr>
        <w:t>Recital 10</w:t>
      </w:r>
      <w:r>
        <w:rPr>
          <w:rFonts w:ascii="Arial" w:hAnsi="Arial" w:cs="Arial"/>
          <w:color w:val="7B7B7B" w:themeColor="accent3" w:themeShade="BF"/>
          <w:sz w:val="22"/>
          <w:szCs w:val="22"/>
          <w:lang w:val="en-GB"/>
        </w:rPr>
        <w:t xml:space="preserve"> </w:t>
      </w:r>
      <w:r>
        <w:rPr>
          <w:rFonts w:ascii="Arial" w:hAnsi="Arial" w:cs="Arial"/>
          <w:b/>
          <w:color w:val="7B7B7B" w:themeColor="accent3" w:themeShade="BF"/>
          <w:sz w:val="22"/>
          <w:szCs w:val="22"/>
          <w:lang w:val="en-GB"/>
        </w:rPr>
        <w:t xml:space="preserve">of the EIR Recast </w:t>
      </w:r>
      <w:r>
        <w:rPr>
          <w:rFonts w:ascii="Arial" w:hAnsi="Arial" w:cs="Arial"/>
          <w:color w:val="7B7B7B" w:themeColor="accent3" w:themeShade="BF"/>
          <w:sz w:val="22"/>
          <w:szCs w:val="22"/>
          <w:lang w:val="en-GB"/>
        </w:rPr>
        <w:t>establishes a possibility to extend the scope to rescue proceedings</w:t>
      </w:r>
      <w:r w:rsidR="007D2477" w:rsidRPr="007D2477">
        <w:rPr>
          <w:rFonts w:ascii="Arial" w:hAnsi="Arial" w:cs="Arial"/>
          <w:color w:val="7B7B7B" w:themeColor="accent3" w:themeShade="BF"/>
          <w:sz w:val="22"/>
          <w:szCs w:val="22"/>
          <w:lang w:val="en-GB"/>
        </w:rPr>
        <w:t>: “</w:t>
      </w:r>
      <w:r w:rsidR="007D2477" w:rsidRPr="007D2477">
        <w:rPr>
          <w:rFonts w:ascii="Arial" w:hAnsi="Arial" w:cs="Arial"/>
          <w:i/>
          <w:color w:val="7B7B7B" w:themeColor="accent3" w:themeShade="BF"/>
          <w:sz w:val="22"/>
          <w:szCs w:val="22"/>
          <w:lang w:val="en-GB"/>
        </w:rPr>
        <w:t>The scope of this Regulation should extend to proceedings which promote the rescue of economically viable but distressed businesses and which give a second chance to entrepreneurs. It should, in particular, extend to proceedings which provide for restructuring of a debtor at a stage where there is only a likelihood of insolvency, and to proceedings which leave the debtor fully or partially in control of its assets and affairs. It should also extend to proceedings providing for a debt discharge or a debt adjustment in relation to consumers and selfemployed persons, for example by reducing the amount to be paid by the debtor or by extending the payment period granted to the debtor. Since such proceedings do not necessarily entail the appointment of an insolvency practitioner, they should be covered by this Regulation if they take place under the control or supervision of a court. In this context, the term ‘control’ should include situations where the court only intervenes on appeal by a creditor or other interested parties</w:t>
      </w:r>
      <w:r w:rsidR="007D2477" w:rsidRPr="007D2477">
        <w:rPr>
          <w:rFonts w:ascii="Arial" w:hAnsi="Arial" w:cs="Arial"/>
          <w:color w:val="7B7B7B" w:themeColor="accent3" w:themeShade="BF"/>
          <w:sz w:val="22"/>
          <w:szCs w:val="22"/>
          <w:lang w:val="en-GB"/>
        </w:rPr>
        <w:t>.”</w:t>
      </w:r>
    </w:p>
    <w:p w14:paraId="300EBD82" w14:textId="39C2F86F" w:rsidR="00DE461B" w:rsidRPr="00DE461B" w:rsidRDefault="00DE461B" w:rsidP="00DE461B">
      <w:pPr>
        <w:pStyle w:val="Prrafodelista"/>
        <w:numPr>
          <w:ilvl w:val="0"/>
          <w:numId w:val="12"/>
        </w:numPr>
        <w:jc w:val="both"/>
        <w:rPr>
          <w:rFonts w:ascii="Arial" w:hAnsi="Arial" w:cs="Arial"/>
          <w:color w:val="7B7B7B" w:themeColor="accent3" w:themeShade="BF"/>
          <w:sz w:val="22"/>
          <w:szCs w:val="22"/>
          <w:lang w:val="en-GB"/>
        </w:rPr>
      </w:pPr>
      <w:r w:rsidRPr="00DE461B">
        <w:rPr>
          <w:rFonts w:ascii="Arial" w:hAnsi="Arial" w:cs="Arial"/>
          <w:b/>
          <w:color w:val="7B7B7B" w:themeColor="accent3" w:themeShade="BF"/>
          <w:sz w:val="22"/>
          <w:szCs w:val="22"/>
          <w:lang w:val="en-GB"/>
        </w:rPr>
        <w:t>Article 46 of the EIR Recast</w:t>
      </w:r>
      <w:r>
        <w:rPr>
          <w:rFonts w:ascii="Arial" w:hAnsi="Arial" w:cs="Arial"/>
          <w:color w:val="7B7B7B" w:themeColor="accent3" w:themeShade="BF"/>
          <w:sz w:val="22"/>
          <w:szCs w:val="22"/>
          <w:lang w:val="en-GB"/>
        </w:rPr>
        <w:t xml:space="preserve"> allows to stay realisation of debtor’s assets to grant interest of creditors: “</w:t>
      </w:r>
      <w:r w:rsidRPr="00DE461B">
        <w:rPr>
          <w:rFonts w:ascii="Arial" w:hAnsi="Arial" w:cs="Arial"/>
          <w:i/>
          <w:color w:val="7B7B7B" w:themeColor="accent3" w:themeShade="BF"/>
          <w:sz w:val="22"/>
          <w:szCs w:val="22"/>
        </w:rPr>
        <w:t>1. The court which opened the secondary insolvency proceedings shall stay the process of realisation of assets in whole or in part on receipt of a request from the insolvency practitioner in the main insolvency proceedings. In such a case, it may require the insolvency practitioner in the main insolvency proceedings to take any suitable measure to guarantee the interests of the creditors in the secondary insolvency proceedings and of individual classes of creditors. Such a request from the insolvency practitioner may be rejected only if it is manifestly of no interest to the creditors in the main insolvency proceedings. Such a stay of the process of realisation of assets may be ordered for up to 3 months. It may be continued or renewed for similar periods</w:t>
      </w:r>
      <w:r w:rsidRPr="00DE461B">
        <w:rPr>
          <w:rFonts w:ascii="Arial" w:hAnsi="Arial" w:cs="Arial"/>
          <w:color w:val="7B7B7B" w:themeColor="accent3" w:themeShade="BF"/>
          <w:sz w:val="22"/>
          <w:szCs w:val="22"/>
        </w:rPr>
        <w:t>.</w:t>
      </w:r>
      <w:r>
        <w:rPr>
          <w:rFonts w:ascii="Arial" w:hAnsi="Arial" w:cs="Arial"/>
          <w:color w:val="7B7B7B" w:themeColor="accent3" w:themeShade="BF"/>
          <w:sz w:val="22"/>
          <w:szCs w:val="22"/>
        </w:rPr>
        <w:t>”</w:t>
      </w:r>
    </w:p>
    <w:p w14:paraId="1C6F100B" w14:textId="3165F903" w:rsidR="007D2477" w:rsidRDefault="007D2477" w:rsidP="007D2477">
      <w:pPr>
        <w:pStyle w:val="Prrafodelista"/>
        <w:numPr>
          <w:ilvl w:val="0"/>
          <w:numId w:val="12"/>
        </w:numPr>
        <w:jc w:val="both"/>
        <w:rPr>
          <w:rFonts w:ascii="Arial" w:hAnsi="Arial" w:cs="Arial"/>
          <w:color w:val="7B7B7B" w:themeColor="accent3" w:themeShade="BF"/>
          <w:sz w:val="22"/>
          <w:szCs w:val="22"/>
          <w:lang w:val="en-GB"/>
        </w:rPr>
      </w:pPr>
      <w:r w:rsidRPr="00743F91">
        <w:rPr>
          <w:rFonts w:ascii="Arial" w:hAnsi="Arial" w:cs="Arial"/>
          <w:b/>
          <w:color w:val="7B7B7B" w:themeColor="accent3" w:themeShade="BF"/>
          <w:sz w:val="22"/>
          <w:szCs w:val="22"/>
          <w:lang w:val="en-GB"/>
        </w:rPr>
        <w:t>Article 47 of the EIR Recast</w:t>
      </w:r>
      <w:r w:rsidRPr="007D2477">
        <w:rPr>
          <w:rFonts w:ascii="Arial" w:hAnsi="Arial" w:cs="Arial"/>
          <w:color w:val="7B7B7B" w:themeColor="accent3" w:themeShade="BF"/>
          <w:sz w:val="22"/>
          <w:szCs w:val="22"/>
          <w:lang w:val="en-GB"/>
        </w:rPr>
        <w:t xml:space="preserve"> allows to propose reorganization plans in a secondary insolvency proceeding: “</w:t>
      </w:r>
      <w:r w:rsidRPr="00743F91">
        <w:rPr>
          <w:rFonts w:ascii="Arial" w:hAnsi="Arial" w:cs="Arial"/>
          <w:i/>
          <w:color w:val="7B7B7B" w:themeColor="accent3" w:themeShade="BF"/>
          <w:sz w:val="22"/>
          <w:szCs w:val="22"/>
          <w:lang w:val="en-GB"/>
        </w:rPr>
        <w:t>Where the law of the Member State where secondary insolvency proceedings have been opened allows for such proceedings to be closed without liquidation by a restructuring plan, a composition or a comparable measure, the insolvency practitioner in the main insolvency proceedings shall be empowered to propose such a measure in accordance with the procedure of that Member State</w:t>
      </w:r>
      <w:r w:rsidRPr="007D2477">
        <w:rPr>
          <w:rFonts w:ascii="Arial" w:hAnsi="Arial" w:cs="Arial"/>
          <w:color w:val="7B7B7B" w:themeColor="accent3" w:themeShade="BF"/>
          <w:sz w:val="22"/>
          <w:szCs w:val="22"/>
          <w:lang w:val="en-GB"/>
        </w:rPr>
        <w:t>. (…)”</w:t>
      </w:r>
    </w:p>
    <w:p w14:paraId="4E78E8F4" w14:textId="77777777" w:rsidR="00743F91" w:rsidRPr="007D2477" w:rsidRDefault="00743F91" w:rsidP="00D5177C">
      <w:pPr>
        <w:pStyle w:val="Prrafodelista"/>
        <w:jc w:val="both"/>
        <w:rPr>
          <w:rFonts w:ascii="Arial" w:hAnsi="Arial" w:cs="Arial"/>
          <w:color w:val="7B7B7B" w:themeColor="accent3" w:themeShade="BF"/>
          <w:sz w:val="22"/>
          <w:szCs w:val="22"/>
          <w:lang w:val="en-GB"/>
        </w:rPr>
      </w:pP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12ED1EE9"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 xml:space="preserve">The first example is provided in article 36 of the EIR Recast by which the insolvency practitioner in the main insolvency proceedings may give a unilateral undertaking in respect to the assets located in the Member State in which secondary insolvency proceedings could be opened. </w:t>
      </w:r>
    </w:p>
    <w:p w14:paraId="2DC798CD" w14:textId="77777777" w:rsidR="006C0C80" w:rsidRPr="006C0C80" w:rsidRDefault="006C0C80" w:rsidP="006C0C80">
      <w:pPr>
        <w:ind w:left="720" w:hanging="720"/>
        <w:jc w:val="both"/>
        <w:rPr>
          <w:rFonts w:ascii="Arial" w:hAnsi="Arial" w:cs="Arial"/>
          <w:color w:val="7B7B7B" w:themeColor="accent3" w:themeShade="BF"/>
          <w:sz w:val="22"/>
          <w:szCs w:val="22"/>
          <w:lang w:val="en-GB"/>
        </w:rPr>
      </w:pPr>
    </w:p>
    <w:p w14:paraId="5D3DC73D"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In this scenario, the undertaking may establish options to realise the debtor’s assets and the distribution in favor to local creditors pursuant to distribution and preference rules of the applicable law of the Member State in which secondary insolvency proceedings could have been opened. It is knowing as “synthetic” secondary proceedings.</w:t>
      </w:r>
    </w:p>
    <w:p w14:paraId="2611560A" w14:textId="77777777" w:rsidR="006C0C80" w:rsidRPr="006C0C80" w:rsidRDefault="006C0C80" w:rsidP="006C0C80">
      <w:pPr>
        <w:ind w:left="720" w:hanging="720"/>
        <w:jc w:val="both"/>
        <w:rPr>
          <w:rFonts w:ascii="Arial" w:hAnsi="Arial" w:cs="Arial"/>
          <w:color w:val="7B7B7B" w:themeColor="accent3" w:themeShade="BF"/>
          <w:sz w:val="22"/>
          <w:szCs w:val="22"/>
          <w:lang w:val="en-GB"/>
        </w:rPr>
      </w:pPr>
    </w:p>
    <w:p w14:paraId="387454B2" w14:textId="021E802C" w:rsidR="00A419B8" w:rsidRPr="008500BD" w:rsidRDefault="006C0C80" w:rsidP="006C0C80">
      <w:pPr>
        <w:ind w:left="720" w:hanging="720"/>
        <w:jc w:val="both"/>
        <w:rPr>
          <w:rFonts w:ascii="Arial" w:hAnsi="Arial" w:cs="Arial"/>
          <w:sz w:val="22"/>
          <w:szCs w:val="22"/>
          <w:lang w:val="en-GB"/>
        </w:rPr>
      </w:pPr>
      <w:r w:rsidRPr="006C0C80">
        <w:rPr>
          <w:rFonts w:ascii="Arial" w:hAnsi="Arial" w:cs="Arial"/>
          <w:color w:val="7B7B7B" w:themeColor="accent3" w:themeShade="BF"/>
          <w:sz w:val="22"/>
          <w:szCs w:val="22"/>
          <w:lang w:val="en-GB"/>
        </w:rPr>
        <w:t>The second example is a temporary stay of the opening of secondary insolvency proceedings, pursuant to article 38.3 of the EIR Recast. The stay will be extended to no more than 3 months. It will be necessary a request from the debtor in possession or the insolvency practitioner. It will be necessary to provide suitable measures to protect the interests of the local creditors, for example, banning insolvency practitioners from removing or disposing of any assets situated at the place of the debtor’s establishment, unless this is done in the ordinary course of business.</w:t>
      </w:r>
    </w:p>
    <w:p w14:paraId="321358EA" w14:textId="77777777" w:rsidR="009954B2" w:rsidRPr="008500BD" w:rsidRDefault="009954B2" w:rsidP="002A37BB">
      <w:pPr>
        <w:jc w:val="both"/>
        <w:rPr>
          <w:rFonts w:ascii="Arial" w:hAnsi="Arial" w:cs="Arial"/>
          <w:bCs/>
          <w:sz w:val="22"/>
          <w:szCs w:val="22"/>
          <w:lang w:val="en-GB"/>
        </w:rPr>
      </w:pPr>
    </w:p>
    <w:p w14:paraId="526ED9B7" w14:textId="35C7BEE5" w:rsidR="00AE2316" w:rsidRDefault="00AE2316">
      <w:pPr>
        <w:rPr>
          <w:rFonts w:ascii="Arial" w:hAnsi="Arial" w:cs="Arial"/>
          <w:b/>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7B03F0D1"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The EU Convention No. 1346/2000 of May 29 of 2000 on insolvency proceedings (“EIR 2000”) suffered many modifications during 15 years and the judicial practice demonstrated that some adjustments were needed to implement practical insolvency proceedings. Pursuant to article 46 of the EIR 2000, European Commission had to file on June 1st of 2012, information related to application and modifications needed of the EIR 2000. Case law development for the CJEU was relevant to perform the EIR Recast.</w:t>
      </w:r>
    </w:p>
    <w:p w14:paraId="613A8593" w14:textId="77777777" w:rsidR="006C0C80" w:rsidRPr="006C0C80" w:rsidRDefault="006C0C80" w:rsidP="006C0C80">
      <w:pPr>
        <w:ind w:left="720" w:hanging="720"/>
        <w:jc w:val="both"/>
        <w:rPr>
          <w:rFonts w:ascii="Arial" w:hAnsi="Arial" w:cs="Arial"/>
          <w:color w:val="7B7B7B" w:themeColor="accent3" w:themeShade="BF"/>
          <w:sz w:val="22"/>
          <w:szCs w:val="22"/>
          <w:lang w:val="en-GB"/>
        </w:rPr>
      </w:pPr>
    </w:p>
    <w:p w14:paraId="1D2337CA"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Indeed,  European Commission considered that cross-border insolvency proceedings should operate efficiently and effectively (Recital 3, EIR Recast). Thus, EIR Recast’s scope extended to some aspects not included by the EIR 2000, as ruling for “Bankruptcy, proceedings relating to the winding-up of insolvent companies or other legal persons, judicial arrangements, compositions and analogous proceedings and actions related to such proceedings” (Recital 7, EIR Recast).</w:t>
      </w:r>
    </w:p>
    <w:p w14:paraId="6B1FFC9F" w14:textId="77777777" w:rsidR="006C0C80" w:rsidRPr="006C0C80" w:rsidRDefault="006C0C80" w:rsidP="006C0C80">
      <w:pPr>
        <w:ind w:left="720" w:hanging="720"/>
        <w:jc w:val="both"/>
        <w:rPr>
          <w:rFonts w:ascii="Arial" w:hAnsi="Arial" w:cs="Arial"/>
          <w:color w:val="7B7B7B" w:themeColor="accent3" w:themeShade="BF"/>
          <w:sz w:val="22"/>
          <w:szCs w:val="22"/>
          <w:lang w:val="en-GB"/>
        </w:rPr>
      </w:pPr>
    </w:p>
    <w:p w14:paraId="452B6176"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In addition, EIR Recast expanded its effects to rescue proceedings, even before the debtor will be in face of financial distress and want to enter in a rescue proceeding to prevent a real default and to restructure its business plan (Recital 17, EIR Recast).</w:t>
      </w:r>
    </w:p>
    <w:p w14:paraId="2C46D5E4" w14:textId="77777777" w:rsidR="006C0C80" w:rsidRPr="006C0C80" w:rsidRDefault="006C0C80" w:rsidP="006C0C80">
      <w:pPr>
        <w:ind w:left="720" w:hanging="720"/>
        <w:jc w:val="both"/>
        <w:rPr>
          <w:rFonts w:ascii="Arial" w:hAnsi="Arial" w:cs="Arial"/>
          <w:color w:val="7B7B7B" w:themeColor="accent3" w:themeShade="BF"/>
          <w:sz w:val="22"/>
          <w:szCs w:val="22"/>
          <w:lang w:val="en-GB"/>
        </w:rPr>
      </w:pPr>
    </w:p>
    <w:p w14:paraId="3488667E"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EIR Recast also included more rules regarding cooperation and coordination effects. It created Annex A by which established insolvency proceedings covered by EIR Recast’s effects. It is almost 112 proceedings. Thus, the court or authority in charge of recognizing insolvency proceedings under EIR Recast has to verify that the proceeding in a Member State is deemed an insolvency proceeding in Annex A without more considerations.</w:t>
      </w:r>
    </w:p>
    <w:p w14:paraId="6FD0C15E" w14:textId="77777777" w:rsidR="006C0C80" w:rsidRPr="006C0C80" w:rsidRDefault="006C0C80" w:rsidP="006C0C80">
      <w:pPr>
        <w:ind w:left="720" w:hanging="720"/>
        <w:jc w:val="both"/>
        <w:rPr>
          <w:rFonts w:ascii="Arial" w:hAnsi="Arial" w:cs="Arial"/>
          <w:color w:val="7B7B7B" w:themeColor="accent3" w:themeShade="BF"/>
          <w:sz w:val="22"/>
          <w:szCs w:val="22"/>
          <w:lang w:val="en-GB"/>
        </w:rPr>
      </w:pPr>
    </w:p>
    <w:p w14:paraId="24243221" w14:textId="36972BEF" w:rsidR="005647F9"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Finally, among measures not implemented in the EIR 2000 but necessary to get an efficient cross-border framework was coordination and cooperation rules. EIR 2000 just included one article in regard, but EIR Recast includes rules to cooperation between courts, insolvency practitioners and courts, and between insolvency practitioners. However, it left a mistake that will be explained in point 3.3 of this document regarding the insolvency of corporate groups.</w:t>
      </w: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03D191C9"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The 3 major improvements or innovations of the EIR Recast was the following:</w:t>
      </w:r>
    </w:p>
    <w:p w14:paraId="19D2730F" w14:textId="77777777" w:rsidR="006C0C80" w:rsidRPr="006C0C80" w:rsidRDefault="006C0C80" w:rsidP="006C0C80">
      <w:pPr>
        <w:ind w:left="720" w:hanging="720"/>
        <w:jc w:val="both"/>
        <w:rPr>
          <w:rFonts w:ascii="Arial" w:hAnsi="Arial" w:cs="Arial"/>
          <w:color w:val="7B7B7B" w:themeColor="accent3" w:themeShade="BF"/>
          <w:sz w:val="22"/>
          <w:szCs w:val="22"/>
          <w:lang w:val="en-GB"/>
        </w:rPr>
      </w:pPr>
    </w:p>
    <w:p w14:paraId="3994D247"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1.</w:t>
      </w:r>
      <w:r w:rsidRPr="006C0C80">
        <w:rPr>
          <w:rFonts w:ascii="Arial" w:hAnsi="Arial" w:cs="Arial"/>
          <w:color w:val="7B7B7B" w:themeColor="accent3" w:themeShade="BF"/>
          <w:sz w:val="22"/>
          <w:szCs w:val="22"/>
          <w:lang w:val="en-GB"/>
        </w:rPr>
        <w:tab/>
        <w:t>EIR Recast applies not just to liquidation proceedings, but also, to rescue proceedings. EIR Recast implemented rescue proceedings as secondary insolvency proceedings. For that reason, the professional designated will be an insolvency practitioner, not just a liquidator. It rule allows to maximize assets’ value, promotes efficiency in the insolvency proceedings, increases employments and investments in distressed companies.</w:t>
      </w:r>
    </w:p>
    <w:p w14:paraId="1D53C0BE"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2.</w:t>
      </w:r>
      <w:r w:rsidRPr="006C0C80">
        <w:rPr>
          <w:rFonts w:ascii="Arial" w:hAnsi="Arial" w:cs="Arial"/>
          <w:color w:val="7B7B7B" w:themeColor="accent3" w:themeShade="BF"/>
          <w:sz w:val="22"/>
          <w:szCs w:val="22"/>
          <w:lang w:val="en-GB"/>
        </w:rPr>
        <w:tab/>
        <w:t>EIR 2000 did not provide a definition for Center of Main Interests (COMI) in any article but in a recital. However, EIR Recast provides presumptions to establish the COMI. For that purpose, EIR Recast collected positions provided through the case law of CJEU, for instance, positions held in cases as Interedil Srl c. Fallimento Interedil Srl, Eurofood IFSC Ltd. among others.</w:t>
      </w:r>
    </w:p>
    <w:p w14:paraId="3115EF6C"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3.</w:t>
      </w:r>
      <w:r w:rsidRPr="006C0C80">
        <w:rPr>
          <w:rFonts w:ascii="Arial" w:hAnsi="Arial" w:cs="Arial"/>
          <w:color w:val="7B7B7B" w:themeColor="accent3" w:themeShade="BF"/>
          <w:sz w:val="22"/>
          <w:szCs w:val="22"/>
          <w:lang w:val="en-GB"/>
        </w:rPr>
        <w:tab/>
        <w:t>Article 28 of the EIR Recast establishes as mandatory due to inform creditors fixing a notice on the opening of insolvency proceedings. EIR 2000 did not establish a uniform way to do a publication, thus, EIR Recast establishes a proceeding to fix the notice. Additionally, EIR Recast establishes complete rules regarding cooperation and communication between courts, and between insolvency practitioners and the Court (articles 42 and 43).</w:t>
      </w:r>
    </w:p>
    <w:p w14:paraId="318ED721" w14:textId="77777777" w:rsidR="006C0C80" w:rsidRPr="006C0C80" w:rsidRDefault="006C0C80" w:rsidP="006C0C80">
      <w:pPr>
        <w:ind w:left="720" w:hanging="720"/>
        <w:jc w:val="both"/>
        <w:rPr>
          <w:rFonts w:ascii="Arial" w:hAnsi="Arial" w:cs="Arial"/>
          <w:color w:val="7B7B7B" w:themeColor="accent3" w:themeShade="BF"/>
          <w:sz w:val="22"/>
          <w:szCs w:val="22"/>
          <w:lang w:val="en-GB"/>
        </w:rPr>
      </w:pPr>
    </w:p>
    <w:p w14:paraId="5D874A34" w14:textId="4FDFDF1C" w:rsidR="004020A6" w:rsidRPr="008146A9" w:rsidRDefault="006C0C80" w:rsidP="006C0C80">
      <w:pPr>
        <w:ind w:left="720" w:hanging="720"/>
        <w:jc w:val="both"/>
        <w:rPr>
          <w:rFonts w:ascii="Arial" w:hAnsi="Arial" w:cs="Arial"/>
          <w:color w:val="7B7B7B" w:themeColor="accent3" w:themeShade="BF"/>
          <w:sz w:val="22"/>
          <w:szCs w:val="22"/>
        </w:rPr>
      </w:pPr>
      <w:r w:rsidRPr="006C0C80">
        <w:rPr>
          <w:rFonts w:ascii="Arial" w:hAnsi="Arial" w:cs="Arial"/>
          <w:color w:val="7B7B7B" w:themeColor="accent3" w:themeShade="BF"/>
          <w:sz w:val="22"/>
          <w:szCs w:val="22"/>
          <w:lang w:val="en-GB"/>
        </w:rPr>
        <w:t>Another improvement of the EIR Recast was article 36 by which establishes synthetic secondary proceedings or the right to give an undertaking explained in point 2.4 above.</w:t>
      </w:r>
    </w:p>
    <w:p w14:paraId="3DAA6780" w14:textId="657CEFE1" w:rsidR="00962045" w:rsidRPr="001A44F4" w:rsidRDefault="00962045" w:rsidP="002A37BB">
      <w:pPr>
        <w:jc w:val="both"/>
        <w:rPr>
          <w:rFonts w:ascii="Arial" w:hAnsi="Arial" w:cs="Arial"/>
          <w:sz w:val="22"/>
          <w:szCs w:val="22"/>
          <w:shd w:val="clear" w:color="auto" w:fill="FFFFFF"/>
        </w:rPr>
      </w:pP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5A0EA71C"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b/>
          <w:color w:val="7B7B7B" w:themeColor="accent3" w:themeShade="BF"/>
          <w:sz w:val="22"/>
          <w:szCs w:val="22"/>
          <w:lang w:val="en-GB"/>
        </w:rPr>
        <w:t>First</w:t>
      </w:r>
      <w:r w:rsidRPr="006C0C80">
        <w:rPr>
          <w:rFonts w:ascii="Arial" w:hAnsi="Arial" w:cs="Arial"/>
          <w:color w:val="7B7B7B" w:themeColor="accent3" w:themeShade="BF"/>
          <w:sz w:val="22"/>
          <w:szCs w:val="22"/>
          <w:lang w:val="en-GB"/>
        </w:rPr>
        <w:t>: In the event of an insolvency of Group of Companies Indeed, recital 56 establishes voluntary coordination and cooperation of proceedings. In addition, article 64 (1) of the EIR Recast allows the insolvency practitioner to reject to be part of a coordinated insolvency proceeding if such cooperation does not commercial sense. Given that standard is broad it is difficult to determine limits for reject cooperation and coordination measures.</w:t>
      </w:r>
    </w:p>
    <w:p w14:paraId="7F2DC35F" w14:textId="77777777" w:rsidR="006C0C80" w:rsidRPr="006C0C80" w:rsidRDefault="006C0C80" w:rsidP="006C0C80">
      <w:pPr>
        <w:ind w:left="720" w:hanging="720"/>
        <w:jc w:val="both"/>
        <w:rPr>
          <w:rFonts w:ascii="Arial" w:hAnsi="Arial" w:cs="Arial"/>
          <w:color w:val="7B7B7B" w:themeColor="accent3" w:themeShade="BF"/>
          <w:sz w:val="22"/>
          <w:szCs w:val="22"/>
          <w:lang w:val="en-GB"/>
        </w:rPr>
      </w:pPr>
    </w:p>
    <w:p w14:paraId="19AD0A6D"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 xml:space="preserve">Furthermore, if the insolvency practitioner allows the coordination because accept it expressly or does not reject the cooperation between the prescribed period of 30 days; it is not mandatory to follow the coordination plan neither instructions of the coordination pursuant to article 70 of the EIR Recast. </w:t>
      </w:r>
    </w:p>
    <w:p w14:paraId="1E75B544" w14:textId="77777777" w:rsidR="006C0C80" w:rsidRPr="006C0C80" w:rsidRDefault="006C0C80" w:rsidP="006C0C80">
      <w:pPr>
        <w:ind w:left="720" w:hanging="720"/>
        <w:jc w:val="both"/>
        <w:rPr>
          <w:rFonts w:ascii="Arial" w:hAnsi="Arial" w:cs="Arial"/>
          <w:color w:val="7B7B7B" w:themeColor="accent3" w:themeShade="BF"/>
          <w:sz w:val="22"/>
          <w:szCs w:val="22"/>
          <w:lang w:val="en-GB"/>
        </w:rPr>
      </w:pPr>
    </w:p>
    <w:p w14:paraId="24B7B7FD"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 xml:space="preserve">The broad spectrum in coordination and cooperation rules of group-corporation insolvency proceedings of the EIR Recast could obstruct successfully reorganization of them; and even in liquidation proceedings, the not coordination of insolvency proceedings avoid a due distribution of assets between all creditors. That is contrary to the efficiency principle of a cross-border insolvency framework. </w:t>
      </w:r>
    </w:p>
    <w:p w14:paraId="371A26EC" w14:textId="77777777" w:rsidR="006C0C80" w:rsidRPr="006C0C80" w:rsidRDefault="006C0C80" w:rsidP="006C0C80">
      <w:pPr>
        <w:ind w:left="720" w:hanging="720"/>
        <w:jc w:val="both"/>
        <w:rPr>
          <w:rFonts w:ascii="Arial" w:hAnsi="Arial" w:cs="Arial"/>
          <w:color w:val="7B7B7B" w:themeColor="accent3" w:themeShade="BF"/>
          <w:sz w:val="22"/>
          <w:szCs w:val="22"/>
          <w:lang w:val="en-GB"/>
        </w:rPr>
      </w:pPr>
    </w:p>
    <w:p w14:paraId="0154068D"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 xml:space="preserve">As explained in the Guide, from a point of view of commercial treatment, companies function as one entity, but in face of an insolvency proceeding, the limited liability will operate, appointing an insolvency practitioner and a court for each proceeding. Not cooperation in many scenarios prevents the preservation of the economic value of the company and difficult efficiency insolvency.  </w:t>
      </w:r>
    </w:p>
    <w:p w14:paraId="0F8C0865" w14:textId="77777777" w:rsidR="006C0C80" w:rsidRPr="006C0C80" w:rsidRDefault="006C0C80" w:rsidP="006C0C80">
      <w:pPr>
        <w:ind w:left="720" w:hanging="720"/>
        <w:jc w:val="both"/>
        <w:rPr>
          <w:rFonts w:ascii="Arial" w:hAnsi="Arial" w:cs="Arial"/>
          <w:color w:val="7B7B7B" w:themeColor="accent3" w:themeShade="BF"/>
          <w:sz w:val="22"/>
          <w:szCs w:val="22"/>
          <w:lang w:val="en-GB"/>
        </w:rPr>
      </w:pPr>
    </w:p>
    <w:p w14:paraId="0A2AD4E0" w14:textId="77777777" w:rsidR="006C0C80"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color w:val="7B7B7B" w:themeColor="accent3" w:themeShade="BF"/>
          <w:sz w:val="22"/>
          <w:szCs w:val="22"/>
          <w:lang w:val="en-GB"/>
        </w:rPr>
        <w:t>A way to solve it is trying to celebrate protocols or agreements to determine relevant measures to grant at least essential points of cooperation.</w:t>
      </w:r>
    </w:p>
    <w:p w14:paraId="28354D9C" w14:textId="77777777" w:rsidR="006C0C80" w:rsidRPr="006C0C80" w:rsidRDefault="006C0C80" w:rsidP="006C0C80">
      <w:pPr>
        <w:ind w:left="720" w:hanging="720"/>
        <w:jc w:val="both"/>
        <w:rPr>
          <w:rFonts w:ascii="Arial" w:hAnsi="Arial" w:cs="Arial"/>
          <w:color w:val="7B7B7B" w:themeColor="accent3" w:themeShade="BF"/>
          <w:sz w:val="22"/>
          <w:szCs w:val="22"/>
          <w:lang w:val="en-GB"/>
        </w:rPr>
      </w:pPr>
    </w:p>
    <w:p w14:paraId="1090895D" w14:textId="1FEF2CA8" w:rsidR="00A53107" w:rsidRPr="006C0C80" w:rsidRDefault="006C0C80" w:rsidP="006C0C80">
      <w:pPr>
        <w:ind w:left="720" w:hanging="720"/>
        <w:jc w:val="both"/>
        <w:rPr>
          <w:rFonts w:ascii="Arial" w:hAnsi="Arial" w:cs="Arial"/>
          <w:color w:val="7B7B7B" w:themeColor="accent3" w:themeShade="BF"/>
          <w:sz w:val="22"/>
          <w:szCs w:val="22"/>
          <w:lang w:val="en-GB"/>
        </w:rPr>
      </w:pPr>
      <w:r w:rsidRPr="006C0C80">
        <w:rPr>
          <w:rFonts w:ascii="Arial" w:hAnsi="Arial" w:cs="Arial"/>
          <w:b/>
          <w:color w:val="7B7B7B" w:themeColor="accent3" w:themeShade="BF"/>
          <w:sz w:val="22"/>
          <w:szCs w:val="22"/>
          <w:lang w:val="en-GB"/>
        </w:rPr>
        <w:t>Second</w:t>
      </w:r>
      <w:r w:rsidRPr="006C0C80">
        <w:rPr>
          <w:rFonts w:ascii="Arial" w:hAnsi="Arial" w:cs="Arial"/>
          <w:color w:val="7B7B7B" w:themeColor="accent3" w:themeShade="BF"/>
          <w:sz w:val="22"/>
          <w:szCs w:val="22"/>
          <w:lang w:val="en-GB"/>
        </w:rPr>
        <w:t>: Another mistake of EIR Recast was not granting rights to creditors either to the court to activate cooperation or coordination measures. In fact, only insolvency practitioners could promote coordination of group-corporations insolvency proceedings. Nonetheless, domestic law could impose some majorities from creditors to allow insolvency practitioners for requesting cooperation and coordination measures. However, that mechanism is not enough to ensure active participation, for example, from affected creditors.</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Prêt A Jouer</w:t>
      </w:r>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r w:rsidR="00ED472A" w:rsidRPr="008500BD">
        <w:rPr>
          <w:rFonts w:ascii="Arial" w:hAnsi="Arial" w:cs="Arial"/>
          <w:i/>
          <w:iCs/>
          <w:sz w:val="22"/>
          <w:szCs w:val="22"/>
          <w:lang w:val="en-GB"/>
        </w:rPr>
        <w:t>procédure de sauvegarde</w:t>
      </w:r>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63D2896C" w14:textId="77777777" w:rsidR="00960B83" w:rsidRPr="00960B83" w:rsidRDefault="00960B83" w:rsidP="00960B83">
      <w:pPr>
        <w:ind w:left="720" w:hanging="720"/>
        <w:jc w:val="both"/>
        <w:rPr>
          <w:rFonts w:ascii="Arial" w:hAnsi="Arial" w:cs="Arial"/>
          <w:color w:val="7B7B7B" w:themeColor="accent3" w:themeShade="BF"/>
          <w:sz w:val="22"/>
          <w:szCs w:val="22"/>
          <w:lang w:val="en-GB"/>
        </w:rPr>
      </w:pPr>
      <w:r w:rsidRPr="00960B83">
        <w:rPr>
          <w:rFonts w:ascii="Arial" w:hAnsi="Arial" w:cs="Arial"/>
          <w:color w:val="7B7B7B" w:themeColor="accent3" w:themeShade="BF"/>
          <w:sz w:val="22"/>
          <w:szCs w:val="22"/>
          <w:lang w:val="en-GB"/>
        </w:rPr>
        <w:t>Scope of EIR 2000 does not depend only on the time of request filing but also depends on the material, personal and territorial scope. First, pursuant to article 92 of EIR Recast, it applies from 26 June 2017, thus apparently the EIR 2000 will be the framework applicable.</w:t>
      </w:r>
    </w:p>
    <w:p w14:paraId="1EEED81E" w14:textId="77777777" w:rsidR="00960B83" w:rsidRPr="00960B83" w:rsidRDefault="00960B83" w:rsidP="00960B83">
      <w:pPr>
        <w:ind w:left="720" w:hanging="720"/>
        <w:jc w:val="both"/>
        <w:rPr>
          <w:rFonts w:ascii="Arial" w:hAnsi="Arial" w:cs="Arial"/>
          <w:color w:val="7B7B7B" w:themeColor="accent3" w:themeShade="BF"/>
          <w:sz w:val="22"/>
          <w:szCs w:val="22"/>
          <w:lang w:val="en-GB"/>
        </w:rPr>
      </w:pPr>
    </w:p>
    <w:p w14:paraId="0D37BBBB" w14:textId="4BE5AF3E" w:rsidR="002F75A3" w:rsidRPr="00CC1FA3" w:rsidRDefault="00960B83" w:rsidP="00960B83">
      <w:pPr>
        <w:ind w:left="720" w:hanging="720"/>
        <w:jc w:val="both"/>
        <w:rPr>
          <w:rFonts w:ascii="Arial" w:hAnsi="Arial" w:cs="Arial"/>
          <w:color w:val="7B7B7B" w:themeColor="accent3" w:themeShade="BF"/>
          <w:sz w:val="22"/>
          <w:szCs w:val="22"/>
        </w:rPr>
      </w:pPr>
      <w:r w:rsidRPr="00960B83">
        <w:rPr>
          <w:rFonts w:ascii="Arial" w:hAnsi="Arial" w:cs="Arial"/>
          <w:color w:val="7B7B7B" w:themeColor="accent3" w:themeShade="BF"/>
          <w:sz w:val="22"/>
          <w:szCs w:val="22"/>
          <w:lang w:val="en-GB"/>
        </w:rPr>
        <w:t>Second, pursuant to article 1 of EIR 2000, it applies to “collective insolvency proceedings which entail the partial or total divestment of a debtor and the appointment of a liquidator”. In addition, article 2(a) of the EIR 2000 defines “insolvency proceedings” as “the collective proceedings referred to in Article 1(1). These proceedings are listed in Annex A”. The “procédure de sauvegarde” is listed in Annex A.</w:t>
      </w:r>
    </w:p>
    <w:p w14:paraId="36341318" w14:textId="192E0D22" w:rsidR="00CC1FA3" w:rsidRDefault="00CC1FA3" w:rsidP="007F277A">
      <w:pPr>
        <w:ind w:left="720" w:hanging="720"/>
        <w:jc w:val="both"/>
        <w:rPr>
          <w:rFonts w:ascii="Arial" w:hAnsi="Arial" w:cs="Arial"/>
          <w:color w:val="7B7B7B" w:themeColor="accent3" w:themeShade="BF"/>
          <w:sz w:val="22"/>
          <w:szCs w:val="22"/>
        </w:rPr>
      </w:pPr>
    </w:p>
    <w:p w14:paraId="0BB2D0BD" w14:textId="429ADFA4" w:rsidR="00D95496" w:rsidRDefault="00CC1FA3" w:rsidP="00520D99">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fact of </w:t>
      </w:r>
      <w:r w:rsidRPr="00CC1FA3">
        <w:rPr>
          <w:rFonts w:ascii="Arial" w:hAnsi="Arial" w:cs="Arial"/>
          <w:i/>
          <w:color w:val="7B7B7B" w:themeColor="accent3" w:themeShade="BF"/>
          <w:sz w:val="22"/>
          <w:szCs w:val="22"/>
        </w:rPr>
        <w:t>Bank Handlowy w Warszawie SA, PPHU ‘ADAX’/Ryszard Adamiak, v Christianapol sp. z o.o.</w:t>
      </w:r>
      <w:r w:rsidRPr="00CC1FA3">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judgement of November 22, 2012), the Court </w:t>
      </w:r>
      <w:r w:rsidR="00520D99">
        <w:rPr>
          <w:rFonts w:ascii="Arial" w:hAnsi="Arial" w:cs="Arial"/>
          <w:color w:val="7B7B7B" w:themeColor="accent3" w:themeShade="BF"/>
          <w:sz w:val="22"/>
          <w:szCs w:val="22"/>
        </w:rPr>
        <w:t>recognized the</w:t>
      </w:r>
      <w:r>
        <w:rPr>
          <w:rFonts w:ascii="Arial" w:hAnsi="Arial" w:cs="Arial"/>
          <w:color w:val="7B7B7B" w:themeColor="accent3" w:themeShade="BF"/>
          <w:sz w:val="22"/>
          <w:szCs w:val="22"/>
        </w:rPr>
        <w:t xml:space="preserve"> </w:t>
      </w:r>
      <w:r w:rsidRPr="00CC1FA3">
        <w:rPr>
          <w:rFonts w:ascii="Arial" w:hAnsi="Arial" w:cs="Arial"/>
          <w:color w:val="7B7B7B" w:themeColor="accent3" w:themeShade="BF"/>
          <w:sz w:val="22"/>
          <w:szCs w:val="22"/>
          <w:lang w:val="en-GB"/>
        </w:rPr>
        <w:t>“procédure de sauvegarde”</w:t>
      </w:r>
      <w:r w:rsidR="00520D99">
        <w:rPr>
          <w:rFonts w:ascii="Arial" w:hAnsi="Arial" w:cs="Arial"/>
          <w:color w:val="7B7B7B" w:themeColor="accent3" w:themeShade="BF"/>
          <w:sz w:val="22"/>
          <w:szCs w:val="22"/>
          <w:lang w:val="en-GB"/>
        </w:rPr>
        <w:t xml:space="preserve"> within </w:t>
      </w:r>
      <w:r w:rsidR="00C33581">
        <w:rPr>
          <w:rFonts w:ascii="Arial" w:hAnsi="Arial" w:cs="Arial"/>
          <w:color w:val="7B7B7B" w:themeColor="accent3" w:themeShade="BF"/>
          <w:sz w:val="22"/>
          <w:szCs w:val="22"/>
          <w:lang w:val="en-GB"/>
        </w:rPr>
        <w:t xml:space="preserve">the </w:t>
      </w:r>
      <w:r w:rsidR="00520D99">
        <w:rPr>
          <w:rFonts w:ascii="Arial" w:hAnsi="Arial" w:cs="Arial"/>
          <w:color w:val="7B7B7B" w:themeColor="accent3" w:themeShade="BF"/>
          <w:sz w:val="22"/>
          <w:szCs w:val="22"/>
          <w:lang w:val="en-GB"/>
        </w:rPr>
        <w:t>scope of EIR 2000, in means that is an insolvency proceeding pursuant to EIR 2000.</w:t>
      </w:r>
    </w:p>
    <w:p w14:paraId="4F5AA758" w14:textId="37B80B09" w:rsidR="00DB1DA2" w:rsidRDefault="00DB1DA2" w:rsidP="00520D99">
      <w:pPr>
        <w:ind w:left="720" w:hanging="720"/>
        <w:jc w:val="both"/>
        <w:rPr>
          <w:rFonts w:ascii="Arial" w:hAnsi="Arial" w:cs="Arial"/>
          <w:color w:val="7B7B7B" w:themeColor="accent3" w:themeShade="BF"/>
          <w:sz w:val="22"/>
          <w:szCs w:val="22"/>
          <w:lang w:val="en-GB"/>
        </w:rPr>
      </w:pPr>
    </w:p>
    <w:p w14:paraId="2A8C2A78" w14:textId="541B9D58" w:rsidR="00DB1DA2" w:rsidRDefault="00C33581" w:rsidP="00520D99">
      <w:pPr>
        <w:ind w:left="720" w:hanging="720"/>
        <w:jc w:val="both"/>
        <w:rPr>
          <w:rFonts w:ascii="Arial" w:hAnsi="Arial" w:cs="Arial"/>
          <w:color w:val="7B7B7B" w:themeColor="accent3" w:themeShade="BF"/>
          <w:sz w:val="22"/>
          <w:szCs w:val="22"/>
          <w:lang w:val="en-GB"/>
        </w:rPr>
      </w:pPr>
      <w:r w:rsidRPr="00C33581">
        <w:rPr>
          <w:rFonts w:ascii="Arial" w:hAnsi="Arial" w:cs="Arial"/>
          <w:color w:val="7B7B7B" w:themeColor="accent3" w:themeShade="BF"/>
          <w:sz w:val="22"/>
          <w:szCs w:val="22"/>
          <w:lang w:val="en-GB"/>
        </w:rPr>
        <w:t>Third, PAJ is not excluded from the EIR 2000 scope, pursuant to Article 1 (2). Finally, Strasbourg is a city of France and tha</w:t>
      </w:r>
      <w:r>
        <w:rPr>
          <w:rFonts w:ascii="Arial" w:hAnsi="Arial" w:cs="Arial"/>
          <w:color w:val="7B7B7B" w:themeColor="accent3" w:themeShade="BF"/>
          <w:sz w:val="22"/>
          <w:szCs w:val="22"/>
          <w:lang w:val="en-GB"/>
        </w:rPr>
        <w:t>t country is a member of the EU</w:t>
      </w:r>
      <w:r w:rsidR="00DB1DA2">
        <w:rPr>
          <w:rFonts w:ascii="Arial" w:hAnsi="Arial" w:cs="Arial"/>
          <w:color w:val="7B7B7B" w:themeColor="accent3" w:themeShade="BF"/>
          <w:sz w:val="22"/>
          <w:szCs w:val="22"/>
          <w:lang w:val="en-GB"/>
        </w:rPr>
        <w:t>.</w:t>
      </w:r>
    </w:p>
    <w:p w14:paraId="5BEABABE" w14:textId="274CD24B" w:rsidR="00520D99" w:rsidRDefault="00520D99" w:rsidP="00520D99">
      <w:pPr>
        <w:ind w:left="720" w:hanging="720"/>
        <w:jc w:val="both"/>
        <w:rPr>
          <w:rFonts w:ascii="Arial" w:hAnsi="Arial" w:cs="Arial"/>
          <w:color w:val="7B7B7B" w:themeColor="accent3" w:themeShade="BF"/>
          <w:sz w:val="22"/>
          <w:szCs w:val="22"/>
          <w:lang w:val="en-GB"/>
        </w:rPr>
      </w:pPr>
    </w:p>
    <w:p w14:paraId="2D75B0E0" w14:textId="0C85D3B8" w:rsidR="00520D99" w:rsidRPr="00C33581" w:rsidRDefault="00520D99" w:rsidP="00C3358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Now, </w:t>
      </w:r>
      <w:r w:rsidR="00A23B0D">
        <w:rPr>
          <w:rFonts w:ascii="Arial" w:hAnsi="Arial" w:cs="Arial"/>
          <w:color w:val="7B7B7B" w:themeColor="accent3" w:themeShade="BF"/>
          <w:sz w:val="22"/>
          <w:szCs w:val="22"/>
          <w:lang w:val="en-GB"/>
        </w:rPr>
        <w:t>pursuant to article 3 (1) of EIR 2000, “</w:t>
      </w:r>
      <w:r w:rsidR="00A23B0D" w:rsidRPr="00A23B0D">
        <w:rPr>
          <w:rFonts w:ascii="Arial" w:hAnsi="Arial" w:cs="Arial"/>
          <w:i/>
          <w:color w:val="7B7B7B" w:themeColor="accent3" w:themeShade="BF"/>
          <w:sz w:val="22"/>
          <w:szCs w:val="22"/>
        </w:rPr>
        <w:t xml:space="preserve">The courts of the Member State within the territory of which the centre of a debtor’s main interests is situated </w:t>
      </w:r>
      <w:r w:rsidR="00A23B0D" w:rsidRPr="00A23B0D">
        <w:rPr>
          <w:rFonts w:ascii="Arial" w:hAnsi="Arial" w:cs="Arial"/>
          <w:i/>
          <w:color w:val="7B7B7B" w:themeColor="accent3" w:themeShade="BF"/>
          <w:sz w:val="22"/>
          <w:szCs w:val="22"/>
          <w:u w:val="single"/>
        </w:rPr>
        <w:t>shall have jurisdiction to open insolvency proceedings</w:t>
      </w:r>
      <w:r w:rsidR="00A23B0D">
        <w:rPr>
          <w:rFonts w:ascii="Arial" w:hAnsi="Arial" w:cs="Arial"/>
          <w:color w:val="7B7B7B" w:themeColor="accent3" w:themeShade="BF"/>
          <w:sz w:val="22"/>
          <w:szCs w:val="22"/>
        </w:rPr>
        <w:t xml:space="preserve">”. </w:t>
      </w:r>
      <w:r w:rsidR="00C33581" w:rsidRPr="00C33581">
        <w:rPr>
          <w:rFonts w:ascii="Arial" w:hAnsi="Arial" w:cs="Arial"/>
          <w:color w:val="7B7B7B" w:themeColor="accent3" w:themeShade="BF"/>
          <w:sz w:val="22"/>
          <w:szCs w:val="22"/>
        </w:rPr>
        <w:t>It means that is necessary to determine whether the PAJ’s main interests (COMI) are situated in Strasbourg or in another territory of a Member State. If COMI is situated in Strasbourg, the proceeding will be deemed as the main proceeding, but if it is situated in the territory of another Member Stater the safeguard proceeding could be opened limited to the assets in Strasbourg.</w:t>
      </w:r>
    </w:p>
    <w:p w14:paraId="4F043C3C" w14:textId="4C6AAB95" w:rsidR="00DB1DA2" w:rsidRDefault="00DB1DA2" w:rsidP="00A23B0D">
      <w:pPr>
        <w:ind w:left="720" w:hanging="720"/>
        <w:jc w:val="both"/>
        <w:rPr>
          <w:rFonts w:ascii="Arial" w:hAnsi="Arial" w:cs="Arial"/>
          <w:color w:val="7B7B7B" w:themeColor="accent3" w:themeShade="BF"/>
          <w:sz w:val="22"/>
          <w:szCs w:val="22"/>
        </w:rPr>
      </w:pPr>
    </w:p>
    <w:p w14:paraId="50340F8B" w14:textId="089275B2" w:rsidR="005E19A1" w:rsidRPr="00C33581" w:rsidRDefault="00DB1DA2" w:rsidP="00C33581">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EIR 2000 does not include a definition for COMI. However, the European Court of Justice (ECJ) (now named </w:t>
      </w:r>
      <w:r w:rsidRPr="00DB1DA2">
        <w:rPr>
          <w:rFonts w:ascii="Arial" w:hAnsi="Arial" w:cs="Arial"/>
          <w:color w:val="7B7B7B" w:themeColor="accent3" w:themeShade="BF"/>
          <w:sz w:val="22"/>
          <w:szCs w:val="22"/>
        </w:rPr>
        <w:t>CJEU</w:t>
      </w:r>
      <w:r>
        <w:rPr>
          <w:rFonts w:ascii="Arial" w:hAnsi="Arial" w:cs="Arial"/>
          <w:color w:val="7B7B7B" w:themeColor="accent3" w:themeShade="BF"/>
          <w:sz w:val="22"/>
          <w:szCs w:val="22"/>
        </w:rPr>
        <w:t xml:space="preserve">) held in the case of </w:t>
      </w:r>
      <w:r w:rsidRPr="0021300C">
        <w:rPr>
          <w:rFonts w:ascii="Arial" w:hAnsi="Arial" w:cs="Arial"/>
          <w:i/>
          <w:color w:val="7B7B7B" w:themeColor="accent3" w:themeShade="BF"/>
          <w:sz w:val="22"/>
          <w:szCs w:val="22"/>
        </w:rPr>
        <w:t>Eurofood IFSC Ltd</w:t>
      </w:r>
      <w:r w:rsidR="0021300C">
        <w:rPr>
          <w:rFonts w:ascii="Arial" w:hAnsi="Arial" w:cs="Arial"/>
          <w:color w:val="7B7B7B" w:themeColor="accent3" w:themeShade="BF"/>
          <w:sz w:val="22"/>
          <w:szCs w:val="22"/>
        </w:rPr>
        <w:t xml:space="preserve"> </w:t>
      </w:r>
      <w:r w:rsidR="00C33581" w:rsidRPr="00C33581">
        <w:rPr>
          <w:rFonts w:ascii="Arial" w:hAnsi="Arial" w:cs="Arial"/>
          <w:color w:val="7B7B7B" w:themeColor="accent3" w:themeShade="BF"/>
          <w:sz w:val="22"/>
          <w:szCs w:val="22"/>
        </w:rPr>
        <w:t>that the presumption of the place of the registered office as the center of its main interests allows the proof to the contrary. It is possible only if factors that are both objective and ascertainable by third parties enable it to be established that an actual situation exists which is different from that which locating it at that registered office is deemed to reflect. For instance, “</w:t>
      </w:r>
      <w:r w:rsidR="00C33581" w:rsidRPr="00C33581">
        <w:rPr>
          <w:rFonts w:ascii="Arial" w:hAnsi="Arial" w:cs="Arial"/>
          <w:i/>
          <w:color w:val="7B7B7B" w:themeColor="accent3" w:themeShade="BF"/>
          <w:sz w:val="22"/>
          <w:szCs w:val="22"/>
        </w:rPr>
        <w:t>in the case of a 'letterbox' company not carrying out any business in the territory of the Member State in which its registered office is situated</w:t>
      </w:r>
      <w:r w:rsidR="00C33581" w:rsidRPr="00C33581">
        <w:rPr>
          <w:rFonts w:ascii="Arial" w:hAnsi="Arial" w:cs="Arial"/>
          <w:color w:val="7B7B7B" w:themeColor="accent3" w:themeShade="BF"/>
          <w:sz w:val="22"/>
          <w:szCs w:val="22"/>
        </w:rPr>
        <w:t>”.</w:t>
      </w:r>
    </w:p>
    <w:p w14:paraId="19EC1937" w14:textId="77777777" w:rsidR="005E19A1" w:rsidRDefault="005E19A1" w:rsidP="00396313">
      <w:pPr>
        <w:ind w:left="720" w:hanging="720"/>
        <w:jc w:val="both"/>
        <w:rPr>
          <w:rFonts w:ascii="Arial" w:hAnsi="Arial" w:cs="Arial"/>
          <w:color w:val="7B7B7B" w:themeColor="accent3" w:themeShade="BF"/>
          <w:sz w:val="22"/>
          <w:szCs w:val="22"/>
        </w:rPr>
      </w:pPr>
    </w:p>
    <w:p w14:paraId="7090C861" w14:textId="31F13BB0" w:rsidR="00D95496" w:rsidRPr="00A23B0D" w:rsidRDefault="00C33581" w:rsidP="00396313">
      <w:pPr>
        <w:ind w:left="720" w:hanging="720"/>
        <w:jc w:val="both"/>
        <w:rPr>
          <w:rFonts w:ascii="Arial" w:hAnsi="Arial" w:cs="Arial"/>
          <w:sz w:val="22"/>
          <w:szCs w:val="22"/>
        </w:rPr>
      </w:pPr>
      <w:r w:rsidRPr="00C33581">
        <w:rPr>
          <w:rFonts w:ascii="Arial" w:hAnsi="Arial" w:cs="Arial"/>
          <w:color w:val="7B7B7B" w:themeColor="accent3" w:themeShade="BF"/>
          <w:sz w:val="22"/>
          <w:szCs w:val="22"/>
        </w:rPr>
        <w:t>In this case, is possible to conclude that since 2011 PAJ had a toy store in France, which means that PAJ has not only a “letterbox” but also that they carrying out its business in the territory of Strasbourg. In consequence, the Strasbourg Court will have international jurisdiction to open the requested insolvency proceeding under EIR 2000.</w:t>
      </w:r>
      <w:r w:rsidR="00115162">
        <w:rPr>
          <w:rFonts w:ascii="Arial" w:hAnsi="Arial" w:cs="Arial"/>
          <w:color w:val="7B7B7B" w:themeColor="accent3" w:themeShade="BF"/>
          <w:sz w:val="22"/>
          <w:szCs w:val="22"/>
        </w:rPr>
        <w:t xml:space="preserve"> </w:t>
      </w: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1940EB2A" w14:textId="77777777" w:rsidR="00F64810" w:rsidRPr="00F64810" w:rsidRDefault="00F64810" w:rsidP="00F64810">
      <w:pPr>
        <w:ind w:left="720" w:hanging="720"/>
        <w:jc w:val="both"/>
        <w:rPr>
          <w:rFonts w:ascii="Arial" w:hAnsi="Arial" w:cs="Arial"/>
          <w:color w:val="7B7B7B" w:themeColor="accent3" w:themeShade="BF"/>
          <w:sz w:val="22"/>
          <w:szCs w:val="22"/>
          <w:lang w:val="en-GB"/>
        </w:rPr>
      </w:pPr>
      <w:r w:rsidRPr="00F64810">
        <w:rPr>
          <w:rFonts w:ascii="Arial" w:hAnsi="Arial" w:cs="Arial"/>
          <w:color w:val="7B7B7B" w:themeColor="accent3" w:themeShade="BF"/>
          <w:sz w:val="22"/>
          <w:szCs w:val="22"/>
          <w:lang w:val="en-GB"/>
        </w:rPr>
        <w:t>Pursuant to article 92 of EIR Recast, it applies from 26 June 2017, thus if the Strasbourg Court opens the respective proceeding on 29 June 2017, the EIR Recast will be applicable. For that purpose, the scope of EIR Recast will be applicable since the time of the opening of proceedings, which means, the time at which the judgment opening insolvency proceedings becomes effective, regardless of whether the judgment is final or not (Article 2 (8) EIR Recast). Indeed, proceedings opened before that date will be governed by EIR 2000.</w:t>
      </w:r>
    </w:p>
    <w:p w14:paraId="6A8A5FAE" w14:textId="77777777" w:rsidR="00F64810" w:rsidRPr="00F64810" w:rsidRDefault="00F64810" w:rsidP="00F64810">
      <w:pPr>
        <w:ind w:left="720" w:hanging="720"/>
        <w:jc w:val="both"/>
        <w:rPr>
          <w:rFonts w:ascii="Arial" w:hAnsi="Arial" w:cs="Arial"/>
          <w:color w:val="7B7B7B" w:themeColor="accent3" w:themeShade="BF"/>
          <w:sz w:val="22"/>
          <w:szCs w:val="22"/>
          <w:lang w:val="en-GB"/>
        </w:rPr>
      </w:pPr>
    </w:p>
    <w:p w14:paraId="5985839B" w14:textId="77777777" w:rsidR="00F64810" w:rsidRPr="00F64810" w:rsidRDefault="00F64810" w:rsidP="00F64810">
      <w:pPr>
        <w:ind w:left="720" w:hanging="720"/>
        <w:jc w:val="both"/>
        <w:rPr>
          <w:rFonts w:ascii="Arial" w:hAnsi="Arial" w:cs="Arial"/>
          <w:color w:val="7B7B7B" w:themeColor="accent3" w:themeShade="BF"/>
          <w:sz w:val="22"/>
          <w:szCs w:val="22"/>
          <w:lang w:val="en-GB"/>
        </w:rPr>
      </w:pPr>
      <w:r w:rsidRPr="00F64810">
        <w:rPr>
          <w:rFonts w:ascii="Arial" w:hAnsi="Arial" w:cs="Arial"/>
          <w:color w:val="7B7B7B" w:themeColor="accent3" w:themeShade="BF"/>
          <w:sz w:val="22"/>
          <w:szCs w:val="22"/>
          <w:lang w:val="en-GB"/>
        </w:rPr>
        <w:t xml:space="preserve"> Answered the first question to determine if EIR Recast is applicable (temporal scope), now it is necessary to determine if is applicable since material, personal and territorial scope. Regarding material scope, the “</w:t>
      </w:r>
      <w:r w:rsidRPr="00F64810">
        <w:rPr>
          <w:rFonts w:ascii="Arial" w:hAnsi="Arial" w:cs="Arial"/>
          <w:i/>
          <w:color w:val="7B7B7B" w:themeColor="accent3" w:themeShade="BF"/>
          <w:sz w:val="22"/>
          <w:szCs w:val="22"/>
          <w:lang w:val="en-GB"/>
        </w:rPr>
        <w:t>sauvegarde</w:t>
      </w:r>
      <w:r w:rsidRPr="00F64810">
        <w:rPr>
          <w:rFonts w:ascii="Arial" w:hAnsi="Arial" w:cs="Arial"/>
          <w:color w:val="7B7B7B" w:themeColor="accent3" w:themeShade="BF"/>
          <w:sz w:val="22"/>
          <w:szCs w:val="22"/>
          <w:lang w:val="en-GB"/>
        </w:rPr>
        <w:t xml:space="preserve">” proceeding is listed in Annex A. Second, in respect of personal scope, PAJ is not excluded from the EIR Recast because is not a proceeding related to insurance undertakings; credit institutions; investment firms, and other firms, institutions, and undertakings covered by Directive 2001/24/EC; or collective investment undertakings.  </w:t>
      </w:r>
    </w:p>
    <w:p w14:paraId="7216B2A3" w14:textId="77777777" w:rsidR="00F64810" w:rsidRPr="00F64810" w:rsidRDefault="00F64810" w:rsidP="00F64810">
      <w:pPr>
        <w:ind w:left="720" w:hanging="720"/>
        <w:jc w:val="both"/>
        <w:rPr>
          <w:rFonts w:ascii="Arial" w:hAnsi="Arial" w:cs="Arial"/>
          <w:color w:val="7B7B7B" w:themeColor="accent3" w:themeShade="BF"/>
          <w:sz w:val="22"/>
          <w:szCs w:val="22"/>
          <w:lang w:val="en-GB"/>
        </w:rPr>
      </w:pPr>
    </w:p>
    <w:p w14:paraId="6BD0158B" w14:textId="77777777" w:rsidR="00F64810" w:rsidRPr="00F64810" w:rsidRDefault="00F64810" w:rsidP="00F64810">
      <w:pPr>
        <w:ind w:left="720" w:hanging="720"/>
        <w:jc w:val="both"/>
        <w:rPr>
          <w:rFonts w:ascii="Arial" w:hAnsi="Arial" w:cs="Arial"/>
          <w:i/>
          <w:color w:val="7B7B7B" w:themeColor="accent3" w:themeShade="BF"/>
          <w:sz w:val="22"/>
          <w:szCs w:val="22"/>
          <w:lang w:val="en-GB"/>
        </w:rPr>
      </w:pPr>
      <w:r w:rsidRPr="00F64810">
        <w:rPr>
          <w:rFonts w:ascii="Arial" w:hAnsi="Arial" w:cs="Arial"/>
          <w:color w:val="7B7B7B" w:themeColor="accent3" w:themeShade="BF"/>
          <w:sz w:val="22"/>
          <w:szCs w:val="22"/>
          <w:lang w:val="en-GB"/>
        </w:rPr>
        <w:t xml:space="preserve">Third, with regard to territorial scope, France is a Member State of the European Union. Pursuant to article 3 of EIR Recast the center of main interests shall be the place where the debtor conducts the administration of its interests on a regular basis and which is ascertainable by third parties. That regulation includes rules development in case law. Indeed, EIR Recast includes the scope of the case </w:t>
      </w:r>
      <w:r w:rsidRPr="00F64810">
        <w:rPr>
          <w:rFonts w:ascii="Arial" w:hAnsi="Arial" w:cs="Arial"/>
          <w:i/>
          <w:color w:val="7B7B7B" w:themeColor="accent3" w:themeShade="BF"/>
          <w:sz w:val="22"/>
          <w:szCs w:val="22"/>
          <w:lang w:val="en-GB"/>
        </w:rPr>
        <w:t xml:space="preserve">Eurofood IFSC Ltd. </w:t>
      </w:r>
    </w:p>
    <w:p w14:paraId="28D758ED" w14:textId="77777777" w:rsidR="00F64810" w:rsidRPr="00F64810" w:rsidRDefault="00F64810" w:rsidP="00F64810">
      <w:pPr>
        <w:ind w:left="720" w:hanging="720"/>
        <w:jc w:val="both"/>
        <w:rPr>
          <w:rFonts w:ascii="Arial" w:hAnsi="Arial" w:cs="Arial"/>
          <w:color w:val="7B7B7B" w:themeColor="accent3" w:themeShade="BF"/>
          <w:sz w:val="22"/>
          <w:szCs w:val="22"/>
          <w:lang w:val="en-GB"/>
        </w:rPr>
      </w:pPr>
    </w:p>
    <w:p w14:paraId="687B576F" w14:textId="77777777" w:rsidR="00F64810" w:rsidRPr="00F64810" w:rsidRDefault="00F64810" w:rsidP="00F64810">
      <w:pPr>
        <w:ind w:left="720" w:hanging="720"/>
        <w:jc w:val="both"/>
        <w:rPr>
          <w:rFonts w:ascii="Arial" w:hAnsi="Arial" w:cs="Arial"/>
          <w:color w:val="7B7B7B" w:themeColor="accent3" w:themeShade="BF"/>
          <w:sz w:val="22"/>
          <w:szCs w:val="22"/>
          <w:lang w:val="en-GB"/>
        </w:rPr>
      </w:pPr>
      <w:r w:rsidRPr="00F64810">
        <w:rPr>
          <w:rFonts w:ascii="Arial" w:hAnsi="Arial" w:cs="Arial"/>
          <w:color w:val="7B7B7B" w:themeColor="accent3" w:themeShade="BF"/>
          <w:sz w:val="22"/>
          <w:szCs w:val="22"/>
          <w:lang w:val="en-GB"/>
        </w:rPr>
        <w:t xml:space="preserve">Thus, in this case, is possible to conclude that COMI of PAJ is in France because since 2011 PAJ had a toy store in there, which means that PAJ has not only a “letterbox” but also that they carrying out its business in the territory of Strasbourg. In consequence, the Strasbourg Court will have international jurisdiction to open the requested insolvency proceeding under EIR Recast. </w:t>
      </w:r>
    </w:p>
    <w:p w14:paraId="5ED62745" w14:textId="77777777" w:rsidR="00F64810" w:rsidRPr="00F64810" w:rsidRDefault="00F64810" w:rsidP="00F64810">
      <w:pPr>
        <w:ind w:left="720" w:hanging="720"/>
        <w:jc w:val="both"/>
        <w:rPr>
          <w:rFonts w:ascii="Arial" w:hAnsi="Arial" w:cs="Arial"/>
          <w:color w:val="7B7B7B" w:themeColor="accent3" w:themeShade="BF"/>
          <w:sz w:val="22"/>
          <w:szCs w:val="22"/>
          <w:lang w:val="en-GB"/>
        </w:rPr>
      </w:pPr>
    </w:p>
    <w:p w14:paraId="282D120F" w14:textId="58AD7C20" w:rsidR="005271EE" w:rsidRPr="00E4643E" w:rsidRDefault="00F64810" w:rsidP="00F64810">
      <w:pPr>
        <w:ind w:left="720" w:hanging="720"/>
        <w:jc w:val="both"/>
        <w:rPr>
          <w:rFonts w:ascii="Arial" w:hAnsi="Arial" w:cs="Arial"/>
          <w:color w:val="7B7B7B" w:themeColor="accent3" w:themeShade="BF"/>
          <w:sz w:val="22"/>
          <w:szCs w:val="22"/>
        </w:rPr>
      </w:pPr>
      <w:r w:rsidRPr="00F64810">
        <w:rPr>
          <w:rFonts w:ascii="Arial" w:hAnsi="Arial" w:cs="Arial"/>
          <w:color w:val="7B7B7B" w:themeColor="accent3" w:themeShade="BF"/>
          <w:sz w:val="22"/>
          <w:szCs w:val="22"/>
          <w:lang w:val="en-GB"/>
        </w:rPr>
        <w:t>In conclusion, is possible to conclude that the “</w:t>
      </w:r>
      <w:r w:rsidRPr="00F64810">
        <w:rPr>
          <w:rFonts w:ascii="Arial" w:hAnsi="Arial" w:cs="Arial"/>
          <w:i/>
          <w:color w:val="7B7B7B" w:themeColor="accent3" w:themeShade="BF"/>
          <w:sz w:val="22"/>
          <w:szCs w:val="22"/>
          <w:lang w:val="en-GB"/>
        </w:rPr>
        <w:t>sauvegarde</w:t>
      </w:r>
      <w:r w:rsidRPr="00F64810">
        <w:rPr>
          <w:rFonts w:ascii="Arial" w:hAnsi="Arial" w:cs="Arial"/>
          <w:color w:val="7B7B7B" w:themeColor="accent3" w:themeShade="BF"/>
          <w:sz w:val="22"/>
          <w:szCs w:val="22"/>
          <w:lang w:val="en-GB"/>
        </w:rPr>
        <w:t>” proceeding falls into the EIR Recast Scope and Strasbourg Court has international jurisdiction to know that proceeding as the main proceeding. Notwithstanding is important to mention that the case does not determine if economic problems are just in Spain, in Strasbourg, or in general. For that reason, if the economic problems are just in Spain, the Strasbourg Court may reject the request of beginning a “</w:t>
      </w:r>
      <w:r w:rsidRPr="00F64810">
        <w:rPr>
          <w:rFonts w:ascii="Arial" w:hAnsi="Arial" w:cs="Arial"/>
          <w:i/>
          <w:color w:val="7B7B7B" w:themeColor="accent3" w:themeShade="BF"/>
          <w:sz w:val="22"/>
          <w:szCs w:val="22"/>
          <w:lang w:val="en-GB"/>
        </w:rPr>
        <w:t>sauvegarde</w:t>
      </w:r>
      <w:r w:rsidRPr="00F64810">
        <w:rPr>
          <w:rFonts w:ascii="Arial" w:hAnsi="Arial" w:cs="Arial"/>
          <w:color w:val="7B7B7B" w:themeColor="accent3" w:themeShade="BF"/>
          <w:sz w:val="22"/>
          <w:szCs w:val="22"/>
          <w:lang w:val="en-GB"/>
        </w:rPr>
        <w:t>” proceeding.</w:t>
      </w:r>
    </w:p>
    <w:p w14:paraId="218E20D3" w14:textId="77777777" w:rsidR="00E4643E" w:rsidRPr="00FF09A2" w:rsidRDefault="00E4643E" w:rsidP="002A37BB">
      <w:pPr>
        <w:autoSpaceDE w:val="0"/>
        <w:autoSpaceDN w:val="0"/>
        <w:adjustRightInd w:val="0"/>
        <w:jc w:val="both"/>
        <w:rPr>
          <w:rFonts w:ascii="Arial" w:hAnsi="Arial" w:cs="Arial"/>
          <w:sz w:val="22"/>
          <w:szCs w:val="22"/>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w:t>
      </w:r>
      <w:r w:rsidR="009B4976" w:rsidRPr="004B1420">
        <w:rPr>
          <w:rFonts w:ascii="Arial" w:hAnsi="Arial" w:cs="Arial"/>
          <w:sz w:val="22"/>
          <w:szCs w:val="22"/>
          <w:lang w:val="en-GB"/>
        </w:rPr>
        <w:t>secondary insolvency</w:t>
      </w:r>
      <w:r w:rsidR="009B4976" w:rsidRPr="008500BD">
        <w:rPr>
          <w:rFonts w:ascii="Arial" w:hAnsi="Arial" w:cs="Arial"/>
          <w:sz w:val="22"/>
          <w:szCs w:val="22"/>
          <w:lang w:val="en-GB"/>
        </w:rPr>
        <w:t xml:space="preserve">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77CE8695" w14:textId="359DB1CE" w:rsidR="0077498C" w:rsidRDefault="00115162" w:rsidP="001151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 xml:space="preserve">Article 2 of EIR Recast defines an </w:t>
      </w:r>
      <w:r w:rsidRPr="00115162">
        <w:rPr>
          <w:rFonts w:ascii="Arial" w:hAnsi="Arial" w:cs="Arial"/>
          <w:color w:val="7B7B7B" w:themeColor="accent3" w:themeShade="BF"/>
          <w:sz w:val="22"/>
          <w:szCs w:val="22"/>
        </w:rPr>
        <w:t xml:space="preserve">‘establishment’ </w:t>
      </w:r>
      <w:r>
        <w:rPr>
          <w:rFonts w:ascii="Arial" w:hAnsi="Arial" w:cs="Arial"/>
          <w:color w:val="7B7B7B" w:themeColor="accent3" w:themeShade="BF"/>
          <w:sz w:val="22"/>
          <w:szCs w:val="22"/>
        </w:rPr>
        <w:t>as</w:t>
      </w:r>
      <w:r w:rsidRPr="00115162">
        <w:rPr>
          <w:rFonts w:ascii="Arial" w:hAnsi="Arial" w:cs="Arial"/>
          <w:color w:val="7B7B7B" w:themeColor="accent3" w:themeShade="BF"/>
          <w:sz w:val="22"/>
          <w:szCs w:val="22"/>
        </w:rPr>
        <w:t xml:space="preserve"> </w:t>
      </w:r>
      <w:r w:rsidR="008E768E">
        <w:rPr>
          <w:rFonts w:ascii="Arial" w:hAnsi="Arial" w:cs="Arial"/>
          <w:color w:val="7B7B7B" w:themeColor="accent3" w:themeShade="BF"/>
          <w:sz w:val="22"/>
          <w:szCs w:val="22"/>
        </w:rPr>
        <w:t>“</w:t>
      </w:r>
      <w:r w:rsidRPr="008E768E">
        <w:rPr>
          <w:rFonts w:ascii="Arial" w:hAnsi="Arial" w:cs="Arial"/>
          <w:i/>
          <w:color w:val="7B7B7B" w:themeColor="accent3" w:themeShade="BF"/>
          <w:sz w:val="22"/>
          <w:szCs w:val="22"/>
        </w:rPr>
        <w:t>any place of operations where a debtor carries out or has carried out in the 3-month period prior to the request to open main insolvency proceedings a non-transitory economic activity with human means and assets</w:t>
      </w:r>
      <w:r w:rsidR="008E768E">
        <w:rPr>
          <w:rFonts w:ascii="Arial" w:hAnsi="Arial" w:cs="Arial"/>
          <w:i/>
          <w:color w:val="7B7B7B" w:themeColor="accent3" w:themeShade="BF"/>
          <w:sz w:val="22"/>
          <w:szCs w:val="22"/>
        </w:rPr>
        <w:t>”</w:t>
      </w:r>
      <w:r>
        <w:rPr>
          <w:rFonts w:ascii="Arial" w:hAnsi="Arial" w:cs="Arial"/>
          <w:color w:val="7B7B7B" w:themeColor="accent3" w:themeShade="BF"/>
          <w:sz w:val="22"/>
          <w:szCs w:val="22"/>
        </w:rPr>
        <w:t>.</w:t>
      </w:r>
      <w:r w:rsidR="008E768E">
        <w:rPr>
          <w:rFonts w:ascii="Arial" w:hAnsi="Arial" w:cs="Arial"/>
          <w:color w:val="7B7B7B" w:themeColor="accent3" w:themeShade="BF"/>
          <w:sz w:val="22"/>
          <w:szCs w:val="22"/>
        </w:rPr>
        <w:t xml:space="preserve"> Its effects are limited to the Spain territory and assets located there.</w:t>
      </w:r>
    </w:p>
    <w:p w14:paraId="20273BFB" w14:textId="53D39DC7" w:rsidR="008E768E" w:rsidRDefault="008E768E" w:rsidP="00115162">
      <w:pPr>
        <w:ind w:left="720" w:hanging="720"/>
        <w:jc w:val="both"/>
        <w:rPr>
          <w:rFonts w:ascii="Arial" w:hAnsi="Arial" w:cs="Arial"/>
          <w:color w:val="7B7B7B" w:themeColor="accent3" w:themeShade="BF"/>
          <w:sz w:val="22"/>
          <w:szCs w:val="22"/>
        </w:rPr>
      </w:pPr>
    </w:p>
    <w:p w14:paraId="7858D08D" w14:textId="1EA5EBF5" w:rsidR="008E768E" w:rsidRDefault="008E768E" w:rsidP="001151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this case, PAJ </w:t>
      </w:r>
      <w:r w:rsidR="003456A3">
        <w:rPr>
          <w:rFonts w:ascii="Arial" w:hAnsi="Arial" w:cs="Arial"/>
          <w:color w:val="7B7B7B" w:themeColor="accent3" w:themeShade="BF"/>
          <w:sz w:val="22"/>
          <w:szCs w:val="22"/>
        </w:rPr>
        <w:t>has a</w:t>
      </w:r>
      <w:r w:rsidR="003456A3" w:rsidRPr="003456A3">
        <w:rPr>
          <w:rFonts w:ascii="Arial" w:hAnsi="Arial" w:cs="Arial"/>
          <w:color w:val="7B7B7B" w:themeColor="accent3" w:themeShade="BF"/>
          <w:sz w:val="22"/>
          <w:szCs w:val="22"/>
        </w:rPr>
        <w:t xml:space="preserve"> bank account</w:t>
      </w:r>
      <w:r w:rsidR="003456A3">
        <w:rPr>
          <w:rFonts w:ascii="Arial" w:hAnsi="Arial" w:cs="Arial"/>
          <w:color w:val="7B7B7B" w:themeColor="accent3" w:themeShade="BF"/>
          <w:sz w:val="22"/>
          <w:szCs w:val="22"/>
        </w:rPr>
        <w:t xml:space="preserve"> in Spain</w:t>
      </w:r>
      <w:r w:rsidR="003456A3" w:rsidRPr="003456A3">
        <w:rPr>
          <w:rFonts w:ascii="Arial" w:hAnsi="Arial" w:cs="Arial"/>
          <w:color w:val="7B7B7B" w:themeColor="accent3" w:themeShade="BF"/>
          <w:sz w:val="22"/>
          <w:szCs w:val="22"/>
        </w:rPr>
        <w:t xml:space="preserve">. </w:t>
      </w:r>
      <w:r w:rsidR="003456A3">
        <w:rPr>
          <w:rFonts w:ascii="Arial" w:hAnsi="Arial" w:cs="Arial"/>
          <w:color w:val="7B7B7B" w:themeColor="accent3" w:themeShade="BF"/>
          <w:sz w:val="22"/>
          <w:szCs w:val="22"/>
        </w:rPr>
        <w:t>In 2013,</w:t>
      </w:r>
      <w:r w:rsidR="003456A3" w:rsidRPr="003456A3">
        <w:rPr>
          <w:rFonts w:ascii="Arial" w:hAnsi="Arial" w:cs="Arial"/>
          <w:color w:val="7B7B7B" w:themeColor="accent3" w:themeShade="BF"/>
          <w:sz w:val="22"/>
          <w:szCs w:val="22"/>
        </w:rPr>
        <w:t xml:space="preserve"> PAJ started negotiations with local distributors and signed</w:t>
      </w:r>
      <w:r w:rsidR="003456A3">
        <w:rPr>
          <w:rFonts w:ascii="Arial" w:hAnsi="Arial" w:cs="Arial"/>
          <w:color w:val="7B7B7B" w:themeColor="accent3" w:themeShade="BF"/>
          <w:sz w:val="22"/>
          <w:szCs w:val="22"/>
        </w:rPr>
        <w:t xml:space="preserve"> some Memorandums of Understandings</w:t>
      </w:r>
      <w:r w:rsidR="003456A3" w:rsidRPr="003456A3">
        <w:rPr>
          <w:rFonts w:ascii="Arial" w:hAnsi="Arial" w:cs="Arial"/>
          <w:color w:val="7B7B7B" w:themeColor="accent3" w:themeShade="BF"/>
          <w:sz w:val="22"/>
          <w:szCs w:val="22"/>
        </w:rPr>
        <w:t>.</w:t>
      </w:r>
      <w:r w:rsidR="003456A3">
        <w:rPr>
          <w:rFonts w:ascii="Arial" w:hAnsi="Arial" w:cs="Arial"/>
          <w:color w:val="7B7B7B" w:themeColor="accent3" w:themeShade="BF"/>
          <w:sz w:val="22"/>
          <w:szCs w:val="22"/>
        </w:rPr>
        <w:t xml:space="preserve"> According to facts, PAJ has not a “place” opened to the public. Nonetheless, </w:t>
      </w:r>
      <w:r w:rsidR="00D23265">
        <w:rPr>
          <w:rFonts w:ascii="Arial" w:hAnsi="Arial" w:cs="Arial"/>
          <w:color w:val="7B7B7B" w:themeColor="accent3" w:themeShade="BF"/>
          <w:sz w:val="22"/>
          <w:szCs w:val="22"/>
        </w:rPr>
        <w:t xml:space="preserve">in the case </w:t>
      </w:r>
      <w:r w:rsidR="00D23265" w:rsidRPr="00D23265">
        <w:rPr>
          <w:rFonts w:ascii="Arial" w:hAnsi="Arial" w:cs="Arial"/>
          <w:i/>
          <w:color w:val="7B7B7B" w:themeColor="accent3" w:themeShade="BF"/>
          <w:sz w:val="22"/>
          <w:szCs w:val="22"/>
        </w:rPr>
        <w:t xml:space="preserve">Burgo Group SpA </w:t>
      </w:r>
      <w:r w:rsidR="00D23265">
        <w:rPr>
          <w:rFonts w:ascii="Arial" w:hAnsi="Arial" w:cs="Arial"/>
          <w:i/>
          <w:color w:val="7B7B7B" w:themeColor="accent3" w:themeShade="BF"/>
          <w:sz w:val="22"/>
          <w:szCs w:val="22"/>
        </w:rPr>
        <w:t xml:space="preserve">v Illochroma SA, in liquidation </w:t>
      </w:r>
      <w:r w:rsidR="00D23265" w:rsidRPr="00D23265">
        <w:rPr>
          <w:rFonts w:ascii="Arial" w:hAnsi="Arial" w:cs="Arial"/>
          <w:i/>
          <w:color w:val="7B7B7B" w:themeColor="accent3" w:themeShade="BF"/>
          <w:sz w:val="22"/>
          <w:szCs w:val="22"/>
        </w:rPr>
        <w:t xml:space="preserve">ECLI:EU:C:2014:2158 (Sep. 4, 2014), </w:t>
      </w:r>
      <w:r w:rsidR="00D23265" w:rsidRPr="00D23265">
        <w:rPr>
          <w:rFonts w:ascii="Arial" w:hAnsi="Arial" w:cs="Arial"/>
          <w:color w:val="7B7B7B" w:themeColor="accent3" w:themeShade="BF"/>
          <w:sz w:val="22"/>
          <w:szCs w:val="22"/>
        </w:rPr>
        <w:t>the CJEU</w:t>
      </w:r>
      <w:r w:rsidR="003456A3" w:rsidRPr="00D23265">
        <w:rPr>
          <w:rFonts w:ascii="Arial" w:hAnsi="Arial" w:cs="Arial"/>
          <w:color w:val="7B7B7B" w:themeColor="accent3" w:themeShade="BF"/>
          <w:sz w:val="22"/>
          <w:szCs w:val="22"/>
        </w:rPr>
        <w:t xml:space="preserve"> </w:t>
      </w:r>
      <w:r w:rsidR="00D23265">
        <w:rPr>
          <w:rFonts w:ascii="Arial" w:hAnsi="Arial" w:cs="Arial"/>
          <w:color w:val="7B7B7B" w:themeColor="accent3" w:themeShade="BF"/>
          <w:sz w:val="22"/>
          <w:szCs w:val="22"/>
        </w:rPr>
        <w:t xml:space="preserve">held that </w:t>
      </w:r>
      <w:r w:rsidR="00C46160">
        <w:rPr>
          <w:rFonts w:ascii="Arial" w:hAnsi="Arial" w:cs="Arial"/>
          <w:color w:val="7B7B7B" w:themeColor="accent3" w:themeShade="BF"/>
          <w:sz w:val="22"/>
          <w:szCs w:val="22"/>
        </w:rPr>
        <w:t xml:space="preserve">though </w:t>
      </w:r>
      <w:r w:rsidR="00D23265">
        <w:rPr>
          <w:rFonts w:ascii="Arial" w:hAnsi="Arial" w:cs="Arial"/>
          <w:color w:val="7B7B7B" w:themeColor="accent3" w:themeShade="BF"/>
          <w:sz w:val="22"/>
          <w:szCs w:val="22"/>
        </w:rPr>
        <w:t>“</w:t>
      </w:r>
      <w:r w:rsidR="00D23265" w:rsidRPr="00D23265">
        <w:rPr>
          <w:rFonts w:ascii="Arial" w:hAnsi="Arial" w:cs="Arial"/>
          <w:i/>
          <w:color w:val="7B7B7B" w:themeColor="accent3" w:themeShade="BF"/>
          <w:sz w:val="22"/>
          <w:szCs w:val="22"/>
        </w:rPr>
        <w:t>the presence alone of goods in isolation or bank accounts does not, in principle, satisfy the requirements for classification as an ‘establishment’</w:t>
      </w:r>
      <w:r w:rsidR="00C46160">
        <w:rPr>
          <w:rFonts w:ascii="Arial" w:hAnsi="Arial" w:cs="Arial"/>
          <w:color w:val="7B7B7B" w:themeColor="accent3" w:themeShade="BF"/>
          <w:sz w:val="22"/>
          <w:szCs w:val="22"/>
        </w:rPr>
        <w:t xml:space="preserve"> (…) </w:t>
      </w:r>
      <w:r w:rsidR="00D23265" w:rsidRPr="00D23265">
        <w:rPr>
          <w:rFonts w:ascii="Arial" w:hAnsi="Arial" w:cs="Arial"/>
          <w:i/>
          <w:color w:val="7B7B7B" w:themeColor="accent3" w:themeShade="BF"/>
          <w:sz w:val="22"/>
          <w:szCs w:val="22"/>
        </w:rPr>
        <w:t>it is not disputed that there is no reference in the definition in Article 2(h) of that regulation to the place of the registered office of a debtor company or to the legal status of the place in which the operations in question are carried out</w:t>
      </w:r>
      <w:r w:rsidR="00D23265">
        <w:rPr>
          <w:rFonts w:ascii="Arial" w:hAnsi="Arial" w:cs="Arial"/>
          <w:color w:val="7B7B7B" w:themeColor="accent3" w:themeShade="BF"/>
          <w:sz w:val="22"/>
          <w:szCs w:val="22"/>
        </w:rPr>
        <w:t>”.</w:t>
      </w:r>
    </w:p>
    <w:p w14:paraId="1BC93155" w14:textId="3132ADFD" w:rsidR="00D23265" w:rsidRDefault="00D23265" w:rsidP="00115162">
      <w:pPr>
        <w:ind w:left="720" w:hanging="720"/>
        <w:jc w:val="both"/>
        <w:rPr>
          <w:rFonts w:ascii="Arial" w:hAnsi="Arial" w:cs="Arial"/>
          <w:color w:val="7B7B7B" w:themeColor="accent3" w:themeShade="BF"/>
          <w:sz w:val="22"/>
          <w:szCs w:val="22"/>
        </w:rPr>
      </w:pPr>
    </w:p>
    <w:p w14:paraId="3DDC7615" w14:textId="77777777" w:rsidR="00B05986" w:rsidRPr="00B05986" w:rsidRDefault="00B05986" w:rsidP="00B05986">
      <w:pPr>
        <w:ind w:left="720" w:hanging="720"/>
        <w:jc w:val="both"/>
        <w:rPr>
          <w:rFonts w:ascii="Arial" w:hAnsi="Arial" w:cs="Arial"/>
          <w:color w:val="7B7B7B" w:themeColor="accent3" w:themeShade="BF"/>
          <w:sz w:val="22"/>
          <w:szCs w:val="22"/>
        </w:rPr>
      </w:pPr>
      <w:r w:rsidRPr="00B05986">
        <w:rPr>
          <w:rFonts w:ascii="Arial" w:hAnsi="Arial" w:cs="Arial"/>
          <w:color w:val="7B7B7B" w:themeColor="accent3" w:themeShade="BF"/>
          <w:sz w:val="22"/>
          <w:szCs w:val="22"/>
        </w:rPr>
        <w:t xml:space="preserve">Thus, for the purpose to determine if it is possible to open a secondary insolvency proceeding in Spain, the Court has to take into account that PAJ has not a place of the registered office there, neither any specific place in which the operations in question are carried out. However, PAJ neither has just credit with a bank in Spain, but has business with local distributors, and has subscribed some MOUs with them. Therefore, the Court may open a secondary insolvency proceeding just if there are assets in Spain to granting, an issue that is not clear in the case given as an example. </w:t>
      </w:r>
    </w:p>
    <w:p w14:paraId="4DAAD3BA" w14:textId="77777777" w:rsidR="00B05986" w:rsidRPr="00B05986" w:rsidRDefault="00B05986" w:rsidP="00B05986">
      <w:pPr>
        <w:ind w:left="720" w:hanging="720"/>
        <w:jc w:val="both"/>
        <w:rPr>
          <w:rFonts w:ascii="Arial" w:hAnsi="Arial" w:cs="Arial"/>
          <w:color w:val="7B7B7B" w:themeColor="accent3" w:themeShade="BF"/>
          <w:sz w:val="22"/>
          <w:szCs w:val="22"/>
        </w:rPr>
      </w:pPr>
    </w:p>
    <w:p w14:paraId="5F692A56" w14:textId="7AD12342" w:rsidR="00C46160" w:rsidRDefault="00B05986" w:rsidP="00B05986">
      <w:pPr>
        <w:ind w:left="720" w:hanging="720"/>
        <w:jc w:val="both"/>
        <w:rPr>
          <w:rFonts w:ascii="Arial" w:hAnsi="Arial" w:cs="Arial"/>
          <w:color w:val="7B7B7B" w:themeColor="accent3" w:themeShade="BF"/>
          <w:sz w:val="22"/>
          <w:szCs w:val="22"/>
        </w:rPr>
      </w:pPr>
      <w:r w:rsidRPr="00B05986">
        <w:rPr>
          <w:rFonts w:ascii="Arial" w:hAnsi="Arial" w:cs="Arial"/>
          <w:color w:val="7B7B7B" w:themeColor="accent3" w:themeShade="BF"/>
          <w:sz w:val="22"/>
          <w:szCs w:val="22"/>
        </w:rPr>
        <w:t>In the event that PAJ has not assets in Spain, the Court may not open a secondary insolvency proceeding because there will be no measures to decree in favor to local creditors to grant a distribution ranking (article 3(2) EIR Recast). In that case, the Bank should be part of</w:t>
      </w:r>
      <w:r>
        <w:rPr>
          <w:rFonts w:ascii="Arial" w:hAnsi="Arial" w:cs="Arial"/>
          <w:color w:val="7B7B7B" w:themeColor="accent3" w:themeShade="BF"/>
          <w:sz w:val="22"/>
          <w:szCs w:val="22"/>
        </w:rPr>
        <w:t xml:space="preserve"> the main insolvency proceeding</w:t>
      </w:r>
      <w:r w:rsidR="00C46160">
        <w:rPr>
          <w:rFonts w:ascii="Arial" w:hAnsi="Arial" w:cs="Arial"/>
          <w:color w:val="7B7B7B" w:themeColor="accent3" w:themeShade="BF"/>
          <w:sz w:val="22"/>
          <w:szCs w:val="22"/>
        </w:rPr>
        <w:t>.</w:t>
      </w:r>
    </w:p>
    <w:p w14:paraId="2020BC02" w14:textId="740481CD" w:rsidR="00C46160" w:rsidRDefault="00C46160" w:rsidP="00115162">
      <w:pPr>
        <w:ind w:left="720" w:hanging="720"/>
        <w:jc w:val="both"/>
        <w:rPr>
          <w:rFonts w:ascii="Arial" w:hAnsi="Arial" w:cs="Arial"/>
          <w:color w:val="7B7B7B" w:themeColor="accent3" w:themeShade="BF"/>
          <w:sz w:val="22"/>
          <w:szCs w:val="22"/>
        </w:rPr>
      </w:pPr>
    </w:p>
    <w:p w14:paraId="6BF47AEC" w14:textId="32B997DC" w:rsidR="001A26FC" w:rsidRDefault="001A26FC" w:rsidP="00115162">
      <w:pPr>
        <w:ind w:left="720" w:hanging="720"/>
        <w:jc w:val="both"/>
        <w:rPr>
          <w:rFonts w:ascii="Arial" w:hAnsi="Arial" w:cs="Arial"/>
          <w:color w:val="7B7B7B" w:themeColor="accent3" w:themeShade="BF"/>
          <w:sz w:val="22"/>
          <w:szCs w:val="22"/>
        </w:rPr>
      </w:pPr>
    </w:p>
    <w:p w14:paraId="5F3D6FF6" w14:textId="442BEA22" w:rsidR="001A26FC" w:rsidRPr="001A26FC" w:rsidRDefault="001A26FC" w:rsidP="00115162">
      <w:pPr>
        <w:ind w:left="720" w:hanging="720"/>
        <w:jc w:val="both"/>
        <w:rPr>
          <w:rFonts w:ascii="Arial" w:hAnsi="Arial" w:cs="Arial"/>
          <w:b/>
          <w:color w:val="7B7B7B" w:themeColor="accent3" w:themeShade="BF"/>
          <w:sz w:val="22"/>
          <w:szCs w:val="22"/>
        </w:rPr>
      </w:pPr>
      <w:r w:rsidRPr="001A26FC">
        <w:rPr>
          <w:rFonts w:ascii="Arial" w:hAnsi="Arial" w:cs="Arial"/>
          <w:b/>
          <w:color w:val="7B7B7B" w:themeColor="accent3" w:themeShade="BF"/>
          <w:sz w:val="22"/>
          <w:szCs w:val="22"/>
        </w:rPr>
        <w:t>REFERENCES</w:t>
      </w:r>
    </w:p>
    <w:p w14:paraId="056FDC26" w14:textId="694E24FB" w:rsidR="001A26FC" w:rsidRDefault="001A26FC" w:rsidP="00115162">
      <w:pPr>
        <w:ind w:left="720" w:hanging="720"/>
        <w:jc w:val="both"/>
        <w:rPr>
          <w:rFonts w:ascii="Arial" w:hAnsi="Arial" w:cs="Arial"/>
          <w:color w:val="7B7B7B" w:themeColor="accent3" w:themeShade="BF"/>
          <w:sz w:val="22"/>
          <w:szCs w:val="22"/>
        </w:rPr>
      </w:pPr>
    </w:p>
    <w:p w14:paraId="75EDA46C" w14:textId="604123FA" w:rsidR="001A26FC" w:rsidRPr="001A26FC" w:rsidRDefault="001A26FC" w:rsidP="001A26FC">
      <w:pPr>
        <w:ind w:left="720" w:hanging="720"/>
        <w:jc w:val="both"/>
        <w:rPr>
          <w:rFonts w:ascii="Arial" w:hAnsi="Arial" w:cs="Arial"/>
          <w:color w:val="7B7B7B" w:themeColor="accent3" w:themeShade="BF"/>
          <w:sz w:val="22"/>
          <w:szCs w:val="22"/>
        </w:rPr>
      </w:pPr>
      <w:r w:rsidRPr="001A26FC">
        <w:rPr>
          <w:rFonts w:ascii="Arial" w:hAnsi="Arial" w:cs="Arial"/>
          <w:color w:val="7B7B7B" w:themeColor="accent3" w:themeShade="BF"/>
          <w:sz w:val="22"/>
          <w:szCs w:val="22"/>
        </w:rPr>
        <w:t>REGULATION (EU) 2015/848 OF THE EUROPEAN PARLIAMENT AND OF THE COUNCIL of 20 May 2015 on insolvency proceedings (recast)</w:t>
      </w:r>
    </w:p>
    <w:p w14:paraId="45762579" w14:textId="4056E1FC" w:rsidR="001A26FC" w:rsidRDefault="001A26FC" w:rsidP="00115162">
      <w:pPr>
        <w:ind w:left="720" w:hanging="720"/>
        <w:jc w:val="both"/>
        <w:rPr>
          <w:rFonts w:ascii="Arial" w:hAnsi="Arial" w:cs="Arial"/>
          <w:color w:val="7B7B7B" w:themeColor="accent3" w:themeShade="BF"/>
          <w:sz w:val="22"/>
          <w:szCs w:val="22"/>
        </w:rPr>
      </w:pPr>
    </w:p>
    <w:p w14:paraId="602848DA" w14:textId="5E5BD783" w:rsidR="001A26FC" w:rsidRDefault="006C0C80" w:rsidP="00115162">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CJEU</w:t>
      </w:r>
      <w:r w:rsidRPr="006C0C80">
        <w:rPr>
          <w:rFonts w:ascii="Arial" w:hAnsi="Arial" w:cs="Arial"/>
          <w:color w:val="7B7B7B" w:themeColor="accent3" w:themeShade="BF"/>
          <w:sz w:val="22"/>
          <w:szCs w:val="22"/>
        </w:rPr>
        <w:t xml:space="preserve"> (First Chamber) 22 November 2012</w:t>
      </w:r>
      <w:r>
        <w:rPr>
          <w:rFonts w:ascii="Arial" w:hAnsi="Arial" w:cs="Arial"/>
          <w:color w:val="7B7B7B" w:themeColor="accent3" w:themeShade="BF"/>
          <w:sz w:val="22"/>
          <w:szCs w:val="22"/>
        </w:rPr>
        <w:t xml:space="preserve">. Case C-116/1. </w:t>
      </w:r>
      <w:r w:rsidRPr="006C0C80">
        <w:rPr>
          <w:rFonts w:ascii="Arial" w:hAnsi="Arial" w:cs="Arial"/>
          <w:color w:val="7B7B7B" w:themeColor="accent3" w:themeShade="BF"/>
          <w:sz w:val="22"/>
          <w:szCs w:val="22"/>
        </w:rPr>
        <w:t>Bank Handlowy w Warszawie SA, PPHU ‘ADAX’/Ryszard Adamiak, v Christianapol sp. z o.o.</w:t>
      </w:r>
      <w:r>
        <w:rPr>
          <w:rFonts w:ascii="Arial" w:hAnsi="Arial" w:cs="Arial"/>
          <w:color w:val="7B7B7B" w:themeColor="accent3" w:themeShade="BF"/>
          <w:sz w:val="22"/>
          <w:szCs w:val="22"/>
        </w:rPr>
        <w:t xml:space="preserve"> Available on </w:t>
      </w:r>
      <w:hyperlink r:id="rId9" w:history="1">
        <w:r w:rsidRPr="006C0C80">
          <w:rPr>
            <w:rStyle w:val="Hipervnculo"/>
            <w:rFonts w:ascii="Arial" w:hAnsi="Arial" w:cs="Arial"/>
            <w:sz w:val="22"/>
            <w:szCs w:val="22"/>
          </w:rPr>
          <w:t>https://eur-lex.europa.eu/legal-content/EN/TXT/PDF/?uri=CELEX:62011CJ0116&amp;from=ES</w:t>
        </w:r>
      </w:hyperlink>
      <w:r w:rsidRPr="006C0C80">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 </w:t>
      </w:r>
    </w:p>
    <w:p w14:paraId="045DF0F9" w14:textId="6BD41586" w:rsidR="006C0C80" w:rsidRDefault="006C0C80" w:rsidP="00115162">
      <w:pPr>
        <w:ind w:left="720" w:hanging="720"/>
        <w:jc w:val="both"/>
        <w:rPr>
          <w:rFonts w:ascii="Arial" w:hAnsi="Arial" w:cs="Arial"/>
          <w:color w:val="7B7B7B" w:themeColor="accent3" w:themeShade="BF"/>
          <w:sz w:val="22"/>
          <w:szCs w:val="22"/>
        </w:rPr>
      </w:pPr>
    </w:p>
    <w:p w14:paraId="0F744BE4" w14:textId="77777777" w:rsidR="006C0C80" w:rsidRPr="006C0C80" w:rsidRDefault="006C0C80" w:rsidP="006C0C80">
      <w:pPr>
        <w:ind w:left="720" w:hanging="720"/>
        <w:jc w:val="both"/>
        <w:rPr>
          <w:rFonts w:ascii="Arial" w:hAnsi="Arial" w:cs="Arial"/>
          <w:color w:val="7B7B7B" w:themeColor="accent3" w:themeShade="BF"/>
          <w:sz w:val="22"/>
          <w:szCs w:val="22"/>
        </w:rPr>
      </w:pPr>
      <w:r w:rsidRPr="006C0C80">
        <w:rPr>
          <w:rFonts w:ascii="Arial" w:hAnsi="Arial" w:cs="Arial"/>
          <w:color w:val="7B7B7B" w:themeColor="accent3" w:themeShade="BF"/>
          <w:sz w:val="22"/>
          <w:szCs w:val="22"/>
        </w:rPr>
        <w:t>European Court of Justice (ECJ) (now named CJEU</w:t>
      </w:r>
      <w:r>
        <w:rPr>
          <w:rFonts w:ascii="Arial" w:hAnsi="Arial" w:cs="Arial"/>
          <w:color w:val="7B7B7B" w:themeColor="accent3" w:themeShade="BF"/>
          <w:sz w:val="22"/>
          <w:szCs w:val="22"/>
        </w:rPr>
        <w:t xml:space="preserve">). </w:t>
      </w:r>
      <w:r w:rsidRPr="006C0C80">
        <w:rPr>
          <w:rFonts w:ascii="Arial" w:hAnsi="Arial" w:cs="Arial"/>
          <w:color w:val="7B7B7B" w:themeColor="accent3" w:themeShade="BF"/>
          <w:sz w:val="22"/>
          <w:szCs w:val="22"/>
        </w:rPr>
        <w:t>Case C-341/04, ECLI:EU:C:2006:281 (May 2, 2006)</w:t>
      </w:r>
      <w:r>
        <w:rPr>
          <w:rFonts w:ascii="Arial" w:hAnsi="Arial" w:cs="Arial"/>
          <w:color w:val="7B7B7B" w:themeColor="accent3" w:themeShade="BF"/>
          <w:sz w:val="22"/>
          <w:szCs w:val="22"/>
        </w:rPr>
        <w:t xml:space="preserve"> </w:t>
      </w:r>
      <w:r w:rsidRPr="006C0C80">
        <w:rPr>
          <w:rFonts w:ascii="Arial" w:hAnsi="Arial" w:cs="Arial"/>
          <w:i/>
          <w:color w:val="7B7B7B" w:themeColor="accent3" w:themeShade="BF"/>
          <w:sz w:val="22"/>
          <w:szCs w:val="22"/>
        </w:rPr>
        <w:t>Eurofood IFSC Ltd</w:t>
      </w:r>
      <w:r>
        <w:rPr>
          <w:rFonts w:ascii="Arial" w:hAnsi="Arial" w:cs="Arial"/>
          <w:color w:val="7B7B7B" w:themeColor="accent3" w:themeShade="BF"/>
          <w:sz w:val="22"/>
          <w:szCs w:val="22"/>
        </w:rPr>
        <w:t xml:space="preserve">. Available on </w:t>
      </w:r>
      <w:hyperlink r:id="rId10" w:history="1">
        <w:r w:rsidRPr="006C0C80">
          <w:rPr>
            <w:rStyle w:val="Hipervnculo"/>
            <w:rFonts w:ascii="Arial" w:hAnsi="Arial" w:cs="Arial"/>
            <w:sz w:val="22"/>
            <w:szCs w:val="22"/>
          </w:rPr>
          <w:t>https://eur-lex.europa.eu/legal-content/EN/TXT/PDF/?uri=CELEX:62004CJ0341&amp;from=EN</w:t>
        </w:r>
      </w:hyperlink>
      <w:r w:rsidRPr="006C0C80">
        <w:rPr>
          <w:rFonts w:ascii="Arial" w:hAnsi="Arial" w:cs="Arial"/>
          <w:color w:val="7B7B7B" w:themeColor="accent3" w:themeShade="BF"/>
          <w:sz w:val="22"/>
          <w:szCs w:val="22"/>
        </w:rPr>
        <w:t xml:space="preserve"> </w:t>
      </w:r>
    </w:p>
    <w:p w14:paraId="424A9D3B" w14:textId="2AB2D81C" w:rsidR="006C0C80" w:rsidRPr="006C0C80" w:rsidRDefault="006C0C80" w:rsidP="006C0C80">
      <w:pPr>
        <w:ind w:left="720" w:hanging="720"/>
        <w:jc w:val="both"/>
        <w:rPr>
          <w:rFonts w:ascii="Arial" w:hAnsi="Arial" w:cs="Arial"/>
          <w:color w:val="7B7B7B" w:themeColor="accent3" w:themeShade="BF"/>
          <w:sz w:val="22"/>
          <w:szCs w:val="22"/>
        </w:rPr>
      </w:pPr>
    </w:p>
    <w:p w14:paraId="147F122E" w14:textId="3E1524DE" w:rsidR="001A26FC" w:rsidRDefault="006C0C80" w:rsidP="006C0C80">
      <w:pPr>
        <w:ind w:left="720" w:hanging="720"/>
        <w:jc w:val="both"/>
        <w:rPr>
          <w:rFonts w:ascii="Arial" w:hAnsi="Arial" w:cs="Arial"/>
          <w:color w:val="7B7B7B" w:themeColor="accent3" w:themeShade="BF"/>
          <w:sz w:val="22"/>
          <w:szCs w:val="22"/>
        </w:rPr>
      </w:pPr>
      <w:r w:rsidRPr="006C0C80">
        <w:rPr>
          <w:rFonts w:ascii="Arial" w:hAnsi="Arial" w:cs="Arial"/>
          <w:color w:val="7B7B7B" w:themeColor="accent3" w:themeShade="BF"/>
          <w:sz w:val="22"/>
          <w:szCs w:val="22"/>
        </w:rPr>
        <w:t>CJEU (First Chamber)</w:t>
      </w:r>
      <w:r>
        <w:rPr>
          <w:rFonts w:ascii="Arial" w:hAnsi="Arial" w:cs="Arial"/>
          <w:color w:val="7B7B7B" w:themeColor="accent3" w:themeShade="BF"/>
          <w:sz w:val="22"/>
          <w:szCs w:val="22"/>
        </w:rPr>
        <w:t xml:space="preserve"> </w:t>
      </w:r>
      <w:r w:rsidRPr="006C0C80">
        <w:rPr>
          <w:rFonts w:ascii="Arial" w:hAnsi="Arial" w:cs="Arial"/>
          <w:color w:val="7B7B7B" w:themeColor="accent3" w:themeShade="BF"/>
          <w:sz w:val="22"/>
          <w:szCs w:val="22"/>
        </w:rPr>
        <w:t>4 September 2014</w:t>
      </w:r>
      <w:r>
        <w:rPr>
          <w:rFonts w:ascii="Arial" w:hAnsi="Arial" w:cs="Arial"/>
          <w:color w:val="7B7B7B" w:themeColor="accent3" w:themeShade="BF"/>
          <w:sz w:val="22"/>
          <w:szCs w:val="22"/>
        </w:rPr>
        <w:t xml:space="preserve">. Case C-327/13. </w:t>
      </w:r>
      <w:r w:rsidRPr="006C0C80">
        <w:rPr>
          <w:rFonts w:ascii="Arial" w:hAnsi="Arial" w:cs="Arial"/>
          <w:color w:val="7B7B7B" w:themeColor="accent3" w:themeShade="BF"/>
          <w:sz w:val="22"/>
          <w:szCs w:val="22"/>
        </w:rPr>
        <w:t>Burgo Group SpA v Illochroma SA, in liquidation, Jérôme Theetten, acting in his capacity</w:t>
      </w:r>
      <w:r>
        <w:rPr>
          <w:rFonts w:ascii="Arial" w:hAnsi="Arial" w:cs="Arial"/>
          <w:color w:val="7B7B7B" w:themeColor="accent3" w:themeShade="BF"/>
          <w:sz w:val="22"/>
          <w:szCs w:val="22"/>
        </w:rPr>
        <w:t xml:space="preserve"> as liquidator of Illochroma S.A. Available on </w:t>
      </w:r>
      <w:hyperlink r:id="rId11" w:history="1">
        <w:r w:rsidRPr="000D3E44">
          <w:rPr>
            <w:rStyle w:val="Hipervnculo"/>
            <w:rFonts w:ascii="Arial" w:hAnsi="Arial" w:cs="Arial"/>
            <w:sz w:val="22"/>
            <w:szCs w:val="22"/>
          </w:rPr>
          <w:t>https://eur-lex.europa.eu/legal-content/EN/TXT/PDF/?uri=CELEX:62013CJ0327&amp;from=EN</w:t>
        </w:r>
      </w:hyperlink>
      <w:r>
        <w:rPr>
          <w:rFonts w:ascii="Arial" w:hAnsi="Arial" w:cs="Arial"/>
          <w:color w:val="7B7B7B" w:themeColor="accent3" w:themeShade="BF"/>
          <w:sz w:val="22"/>
          <w:szCs w:val="22"/>
        </w:rPr>
        <w:t xml:space="preserve"> </w:t>
      </w:r>
    </w:p>
    <w:p w14:paraId="7B275592" w14:textId="09407040" w:rsidR="00B77F46" w:rsidRPr="004E3A6B" w:rsidRDefault="00C606C3" w:rsidP="004E3A6B">
      <w:pPr>
        <w:jc w:val="center"/>
        <w:rPr>
          <w:rFonts w:ascii="Arial" w:hAnsi="Arial" w:cs="Arial"/>
          <w:b/>
          <w:bCs/>
          <w:sz w:val="22"/>
          <w:szCs w:val="22"/>
          <w:lang w:val="en-GB"/>
        </w:rPr>
      </w:pPr>
      <w:bookmarkStart w:id="1" w:name="_GoBack"/>
      <w:bookmarkEnd w:id="1"/>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4B504" w14:textId="77777777" w:rsidR="008E768E" w:rsidRDefault="008E768E" w:rsidP="00241B44">
      <w:r>
        <w:separator/>
      </w:r>
    </w:p>
  </w:endnote>
  <w:endnote w:type="continuationSeparator" w:id="0">
    <w:p w14:paraId="6EFAA353" w14:textId="77777777" w:rsidR="008E768E" w:rsidRDefault="008E768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8E768E" w:rsidRPr="00FC7B47" w:rsidRDefault="008E768E" w:rsidP="009B4976">
        <w:pPr>
          <w:pStyle w:val="Piedepgina"/>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8E768E" w:rsidRPr="00FC7B47" w:rsidRDefault="008E768E" w:rsidP="00FC7B47">
    <w:pPr>
      <w:pStyle w:val="Piedepgina"/>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sz w:val="18"/>
        <w:szCs w:val="18"/>
      </w:rPr>
      <w:id w:val="-1409602822"/>
      <w:docPartObj>
        <w:docPartGallery w:val="Page Numbers (Bottom of Page)"/>
        <w:docPartUnique/>
      </w:docPartObj>
    </w:sdtPr>
    <w:sdtEndPr>
      <w:rPr>
        <w:rStyle w:val="Nmerodepgina"/>
      </w:rPr>
    </w:sdtEndPr>
    <w:sdtContent>
      <w:p w14:paraId="0A05F8FD" w14:textId="124CC28F" w:rsidR="008E768E" w:rsidRPr="009B4976" w:rsidRDefault="008E768E" w:rsidP="007364F1">
        <w:pPr>
          <w:pStyle w:val="Piedepgina"/>
          <w:framePr w:wrap="none" w:vAnchor="text" w:hAnchor="margin" w:xAlign="right" w:y="1"/>
          <w:rPr>
            <w:rStyle w:val="Nmerodepgina"/>
            <w:rFonts w:ascii="Arial" w:hAnsi="Arial" w:cs="Arial"/>
            <w:sz w:val="18"/>
            <w:szCs w:val="18"/>
          </w:rPr>
        </w:pPr>
        <w:r w:rsidRPr="009B4976">
          <w:rPr>
            <w:rStyle w:val="Nmerodepgina"/>
            <w:rFonts w:ascii="Arial" w:hAnsi="Arial" w:cs="Arial"/>
            <w:sz w:val="18"/>
            <w:szCs w:val="18"/>
          </w:rPr>
          <w:t xml:space="preserve">Page </w:t>
        </w:r>
        <w:r w:rsidRPr="009B4976">
          <w:rPr>
            <w:rStyle w:val="Nmerodepgina"/>
            <w:rFonts w:ascii="Arial" w:hAnsi="Arial" w:cs="Arial"/>
            <w:sz w:val="18"/>
            <w:szCs w:val="18"/>
          </w:rPr>
          <w:fldChar w:fldCharType="begin"/>
        </w:r>
        <w:r w:rsidRPr="009B4976">
          <w:rPr>
            <w:rStyle w:val="Nmerodepgina"/>
            <w:rFonts w:ascii="Arial" w:hAnsi="Arial" w:cs="Arial"/>
            <w:sz w:val="18"/>
            <w:szCs w:val="18"/>
          </w:rPr>
          <w:instrText xml:space="preserve"> PAGE </w:instrText>
        </w:r>
        <w:r w:rsidRPr="009B4976">
          <w:rPr>
            <w:rStyle w:val="Nmerodepgina"/>
            <w:rFonts w:ascii="Arial" w:hAnsi="Arial" w:cs="Arial"/>
            <w:sz w:val="18"/>
            <w:szCs w:val="18"/>
          </w:rPr>
          <w:fldChar w:fldCharType="separate"/>
        </w:r>
        <w:r w:rsidR="00E65039">
          <w:rPr>
            <w:rStyle w:val="Nmerodepgina"/>
            <w:rFonts w:ascii="Arial" w:hAnsi="Arial" w:cs="Arial"/>
            <w:noProof/>
            <w:sz w:val="18"/>
            <w:szCs w:val="18"/>
          </w:rPr>
          <w:t>12</w:t>
        </w:r>
        <w:r w:rsidRPr="009B4976">
          <w:rPr>
            <w:rStyle w:val="Nmerodepgina"/>
            <w:rFonts w:ascii="Arial" w:hAnsi="Arial" w:cs="Arial"/>
            <w:sz w:val="18"/>
            <w:szCs w:val="18"/>
          </w:rPr>
          <w:fldChar w:fldCharType="end"/>
        </w:r>
      </w:p>
    </w:sdtContent>
  </w:sdt>
  <w:p w14:paraId="30F05E79" w14:textId="7B001E98" w:rsidR="008E768E" w:rsidRPr="009B4976" w:rsidRDefault="008E768E" w:rsidP="009B4976">
    <w:pPr>
      <w:pStyle w:val="Piedepgina"/>
      <w:ind w:right="360"/>
      <w:rPr>
        <w:rFonts w:ascii="Arial" w:hAnsi="Arial" w:cs="Arial"/>
        <w:sz w:val="18"/>
        <w:szCs w:val="18"/>
        <w:lang w:val="en-GB"/>
      </w:rPr>
    </w:pPr>
    <w:r>
      <w:rPr>
        <w:rFonts w:ascii="Arial" w:hAnsi="Arial" w:cs="Arial"/>
        <w:sz w:val="18"/>
        <w:szCs w:val="18"/>
        <w:lang w:val="en-GB"/>
      </w:rPr>
      <w:t>202021IFU-318</w:t>
    </w:r>
    <w:r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BE707" w14:textId="77777777" w:rsidR="008E768E" w:rsidRDefault="008E768E" w:rsidP="00241B44">
      <w:r>
        <w:separator/>
      </w:r>
    </w:p>
  </w:footnote>
  <w:footnote w:type="continuationSeparator" w:id="0">
    <w:p w14:paraId="4BEF341C" w14:textId="77777777" w:rsidR="008E768E" w:rsidRDefault="008E768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CE900330"/>
    <w:lvl w:ilvl="0" w:tplc="A94C6982">
      <w:start w:val="1"/>
      <w:numFmt w:val="bullet"/>
      <w:lvlText w:val=""/>
      <w:lvlJc w:val="left"/>
      <w:pPr>
        <w:ind w:left="720" w:hanging="360"/>
      </w:pPr>
      <w:rPr>
        <w:rFonts w:ascii="Symbol" w:hAnsi="Symbol" w:hint="default"/>
        <w:color w:val="808080" w:themeColor="background1"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4930235"/>
    <w:multiLevelType w:val="hybridMultilevel"/>
    <w:tmpl w:val="AE7C68EC"/>
    <w:lvl w:ilvl="0" w:tplc="6ED45858">
      <w:start w:val="1"/>
      <w:numFmt w:val="decimal"/>
      <w:lvlText w:val="%1."/>
      <w:lvlJc w:val="left"/>
      <w:pPr>
        <w:ind w:left="720" w:hanging="360"/>
      </w:pPr>
      <w:rPr>
        <w:rFonts w:hint="default"/>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91F7071"/>
    <w:multiLevelType w:val="hybridMultilevel"/>
    <w:tmpl w:val="26063E3E"/>
    <w:lvl w:ilvl="0" w:tplc="CBCCDC96">
      <w:start w:val="1"/>
      <w:numFmt w:val="decimal"/>
      <w:lvlText w:val="%1."/>
      <w:lvlJc w:val="left"/>
      <w:pPr>
        <w:ind w:left="720" w:hanging="360"/>
      </w:pPr>
      <w:rPr>
        <w:rFonts w:hint="default"/>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ED46FFC"/>
    <w:multiLevelType w:val="hybridMultilevel"/>
    <w:tmpl w:val="930EFBE8"/>
    <w:lvl w:ilvl="0" w:tplc="4EBE4E42">
      <w:start w:val="1"/>
      <w:numFmt w:val="decimal"/>
      <w:lvlText w:val="%1."/>
      <w:lvlJc w:val="left"/>
      <w:pPr>
        <w:ind w:left="720" w:hanging="360"/>
      </w:pPr>
      <w:rPr>
        <w:rFonts w:hint="default"/>
        <w:color w:val="7B7B7B" w:themeColor="accent3" w:themeShade="B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11"/>
  </w:num>
  <w:num w:numId="5">
    <w:abstractNumId w:val="8"/>
  </w:num>
  <w:num w:numId="6">
    <w:abstractNumId w:val="10"/>
  </w:num>
  <w:num w:numId="7">
    <w:abstractNumId w:val="0"/>
  </w:num>
  <w:num w:numId="8">
    <w:abstractNumId w:val="6"/>
  </w:num>
  <w:num w:numId="9">
    <w:abstractNumId w:val="5"/>
  </w:num>
  <w:num w:numId="10">
    <w:abstractNumId w:val="2"/>
  </w:num>
  <w:num w:numId="11">
    <w:abstractNumId w:val="7"/>
  </w:num>
  <w:num w:numId="12">
    <w:abstractNumId w:val="13"/>
  </w:num>
  <w:num w:numId="13">
    <w:abstractNumId w:val="12"/>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243C"/>
    <w:rsid w:val="00007146"/>
    <w:rsid w:val="00010BA0"/>
    <w:rsid w:val="0001344B"/>
    <w:rsid w:val="00020557"/>
    <w:rsid w:val="000250C7"/>
    <w:rsid w:val="00026F16"/>
    <w:rsid w:val="00037621"/>
    <w:rsid w:val="00044D46"/>
    <w:rsid w:val="00045088"/>
    <w:rsid w:val="00045904"/>
    <w:rsid w:val="00065166"/>
    <w:rsid w:val="00082609"/>
    <w:rsid w:val="000851CC"/>
    <w:rsid w:val="00087CD6"/>
    <w:rsid w:val="00093BE8"/>
    <w:rsid w:val="000A2F16"/>
    <w:rsid w:val="000A68ED"/>
    <w:rsid w:val="000A7BF9"/>
    <w:rsid w:val="000B5FF1"/>
    <w:rsid w:val="000B609F"/>
    <w:rsid w:val="000C3627"/>
    <w:rsid w:val="000D55A8"/>
    <w:rsid w:val="000E1017"/>
    <w:rsid w:val="000E4841"/>
    <w:rsid w:val="000F1677"/>
    <w:rsid w:val="000F3D6C"/>
    <w:rsid w:val="00101707"/>
    <w:rsid w:val="00113E29"/>
    <w:rsid w:val="0011473D"/>
    <w:rsid w:val="00115162"/>
    <w:rsid w:val="00115C85"/>
    <w:rsid w:val="00123855"/>
    <w:rsid w:val="00126A4D"/>
    <w:rsid w:val="0014171F"/>
    <w:rsid w:val="0014622C"/>
    <w:rsid w:val="00152348"/>
    <w:rsid w:val="0015456D"/>
    <w:rsid w:val="00155FA2"/>
    <w:rsid w:val="00161F1B"/>
    <w:rsid w:val="00162829"/>
    <w:rsid w:val="001743C5"/>
    <w:rsid w:val="00174DC4"/>
    <w:rsid w:val="00175A7D"/>
    <w:rsid w:val="00180548"/>
    <w:rsid w:val="00180AC4"/>
    <w:rsid w:val="00180CCE"/>
    <w:rsid w:val="0018267A"/>
    <w:rsid w:val="00182779"/>
    <w:rsid w:val="001830DF"/>
    <w:rsid w:val="00187A34"/>
    <w:rsid w:val="001946C3"/>
    <w:rsid w:val="001966D9"/>
    <w:rsid w:val="001A26FC"/>
    <w:rsid w:val="001A44F4"/>
    <w:rsid w:val="001A7E9A"/>
    <w:rsid w:val="001B0A01"/>
    <w:rsid w:val="001B0F70"/>
    <w:rsid w:val="001B5016"/>
    <w:rsid w:val="001C45FC"/>
    <w:rsid w:val="001C71AD"/>
    <w:rsid w:val="001D0469"/>
    <w:rsid w:val="001D4862"/>
    <w:rsid w:val="001D6E1C"/>
    <w:rsid w:val="001E25B9"/>
    <w:rsid w:val="001E49E0"/>
    <w:rsid w:val="001E5F8A"/>
    <w:rsid w:val="001E7B5A"/>
    <w:rsid w:val="001F7412"/>
    <w:rsid w:val="00202DFE"/>
    <w:rsid w:val="00203720"/>
    <w:rsid w:val="0020725B"/>
    <w:rsid w:val="002110F1"/>
    <w:rsid w:val="0021300C"/>
    <w:rsid w:val="00222FB5"/>
    <w:rsid w:val="0024116D"/>
    <w:rsid w:val="00241B44"/>
    <w:rsid w:val="00241FA3"/>
    <w:rsid w:val="00244C44"/>
    <w:rsid w:val="00245EFB"/>
    <w:rsid w:val="0025386E"/>
    <w:rsid w:val="00254183"/>
    <w:rsid w:val="002638B0"/>
    <w:rsid w:val="0026647A"/>
    <w:rsid w:val="002668D3"/>
    <w:rsid w:val="0027299F"/>
    <w:rsid w:val="00284EBE"/>
    <w:rsid w:val="0029433F"/>
    <w:rsid w:val="00294829"/>
    <w:rsid w:val="002960B0"/>
    <w:rsid w:val="0029690F"/>
    <w:rsid w:val="00297C8A"/>
    <w:rsid w:val="002A2A60"/>
    <w:rsid w:val="002A37BB"/>
    <w:rsid w:val="002B1C45"/>
    <w:rsid w:val="002C13C8"/>
    <w:rsid w:val="002C2F6F"/>
    <w:rsid w:val="002C3547"/>
    <w:rsid w:val="002D0021"/>
    <w:rsid w:val="002D3473"/>
    <w:rsid w:val="002F1956"/>
    <w:rsid w:val="002F3440"/>
    <w:rsid w:val="002F75A3"/>
    <w:rsid w:val="00303C2F"/>
    <w:rsid w:val="0030756F"/>
    <w:rsid w:val="003144EF"/>
    <w:rsid w:val="003252C2"/>
    <w:rsid w:val="00326292"/>
    <w:rsid w:val="00326415"/>
    <w:rsid w:val="00330937"/>
    <w:rsid w:val="00330F31"/>
    <w:rsid w:val="00331480"/>
    <w:rsid w:val="00334648"/>
    <w:rsid w:val="0033768C"/>
    <w:rsid w:val="00337938"/>
    <w:rsid w:val="00340769"/>
    <w:rsid w:val="00341AA6"/>
    <w:rsid w:val="003456A3"/>
    <w:rsid w:val="00361A0A"/>
    <w:rsid w:val="00362265"/>
    <w:rsid w:val="00364836"/>
    <w:rsid w:val="0036565C"/>
    <w:rsid w:val="0036625E"/>
    <w:rsid w:val="0037465A"/>
    <w:rsid w:val="00375418"/>
    <w:rsid w:val="00382C98"/>
    <w:rsid w:val="0038533C"/>
    <w:rsid w:val="00386568"/>
    <w:rsid w:val="00390B57"/>
    <w:rsid w:val="003948D5"/>
    <w:rsid w:val="00396313"/>
    <w:rsid w:val="00396821"/>
    <w:rsid w:val="00397D3A"/>
    <w:rsid w:val="003A051E"/>
    <w:rsid w:val="003A7FED"/>
    <w:rsid w:val="003B0A27"/>
    <w:rsid w:val="003B170F"/>
    <w:rsid w:val="003B3C5F"/>
    <w:rsid w:val="003C0F7C"/>
    <w:rsid w:val="003C4342"/>
    <w:rsid w:val="003C4471"/>
    <w:rsid w:val="003C4BCB"/>
    <w:rsid w:val="003D0A6D"/>
    <w:rsid w:val="003D1974"/>
    <w:rsid w:val="003E0B16"/>
    <w:rsid w:val="003E67D1"/>
    <w:rsid w:val="004020A6"/>
    <w:rsid w:val="00402D59"/>
    <w:rsid w:val="00404329"/>
    <w:rsid w:val="00405DC1"/>
    <w:rsid w:val="00415F1F"/>
    <w:rsid w:val="00416F7D"/>
    <w:rsid w:val="0042108F"/>
    <w:rsid w:val="00430FED"/>
    <w:rsid w:val="00434A8C"/>
    <w:rsid w:val="00437297"/>
    <w:rsid w:val="00440EAF"/>
    <w:rsid w:val="00444284"/>
    <w:rsid w:val="00445CE6"/>
    <w:rsid w:val="004534C2"/>
    <w:rsid w:val="0045446F"/>
    <w:rsid w:val="0045683E"/>
    <w:rsid w:val="004574AF"/>
    <w:rsid w:val="00465BFF"/>
    <w:rsid w:val="00477C72"/>
    <w:rsid w:val="00491675"/>
    <w:rsid w:val="00493855"/>
    <w:rsid w:val="00495E79"/>
    <w:rsid w:val="004A0692"/>
    <w:rsid w:val="004A57DD"/>
    <w:rsid w:val="004A7B51"/>
    <w:rsid w:val="004A7D71"/>
    <w:rsid w:val="004A7EF3"/>
    <w:rsid w:val="004B11FD"/>
    <w:rsid w:val="004B1420"/>
    <w:rsid w:val="004B23A2"/>
    <w:rsid w:val="004C0D03"/>
    <w:rsid w:val="004C0D33"/>
    <w:rsid w:val="004D1A5A"/>
    <w:rsid w:val="004D2FFF"/>
    <w:rsid w:val="004D3721"/>
    <w:rsid w:val="004D64F9"/>
    <w:rsid w:val="004E3A6B"/>
    <w:rsid w:val="004E622C"/>
    <w:rsid w:val="004F5FDF"/>
    <w:rsid w:val="005177FE"/>
    <w:rsid w:val="00520D99"/>
    <w:rsid w:val="0052263B"/>
    <w:rsid w:val="00524728"/>
    <w:rsid w:val="005271EE"/>
    <w:rsid w:val="00531E9D"/>
    <w:rsid w:val="005331CA"/>
    <w:rsid w:val="00537970"/>
    <w:rsid w:val="00540E3A"/>
    <w:rsid w:val="00544127"/>
    <w:rsid w:val="00544F6E"/>
    <w:rsid w:val="005463A9"/>
    <w:rsid w:val="00550E6C"/>
    <w:rsid w:val="00553EB2"/>
    <w:rsid w:val="00560534"/>
    <w:rsid w:val="0056391B"/>
    <w:rsid w:val="005647F9"/>
    <w:rsid w:val="005650E2"/>
    <w:rsid w:val="00567AD7"/>
    <w:rsid w:val="00575B2D"/>
    <w:rsid w:val="005833D0"/>
    <w:rsid w:val="005846F3"/>
    <w:rsid w:val="0058622F"/>
    <w:rsid w:val="00592F82"/>
    <w:rsid w:val="005A0CCA"/>
    <w:rsid w:val="005A5B57"/>
    <w:rsid w:val="005A726D"/>
    <w:rsid w:val="005B67AC"/>
    <w:rsid w:val="005B79F4"/>
    <w:rsid w:val="005D43E0"/>
    <w:rsid w:val="005D58A3"/>
    <w:rsid w:val="005E19A1"/>
    <w:rsid w:val="005E1B79"/>
    <w:rsid w:val="005E7008"/>
    <w:rsid w:val="005F026D"/>
    <w:rsid w:val="005F2AEA"/>
    <w:rsid w:val="005F2D0B"/>
    <w:rsid w:val="005F4B31"/>
    <w:rsid w:val="00610388"/>
    <w:rsid w:val="00611DE6"/>
    <w:rsid w:val="00612CA5"/>
    <w:rsid w:val="006153EC"/>
    <w:rsid w:val="00621A17"/>
    <w:rsid w:val="00627CC9"/>
    <w:rsid w:val="00627E7B"/>
    <w:rsid w:val="00630542"/>
    <w:rsid w:val="00632E44"/>
    <w:rsid w:val="00634622"/>
    <w:rsid w:val="00636808"/>
    <w:rsid w:val="00636C15"/>
    <w:rsid w:val="00641515"/>
    <w:rsid w:val="00654B27"/>
    <w:rsid w:val="00654C2F"/>
    <w:rsid w:val="00657087"/>
    <w:rsid w:val="006603F1"/>
    <w:rsid w:val="006639DB"/>
    <w:rsid w:val="006661EF"/>
    <w:rsid w:val="00677AEB"/>
    <w:rsid w:val="00680EF2"/>
    <w:rsid w:val="006813E5"/>
    <w:rsid w:val="00687A1D"/>
    <w:rsid w:val="00697EA1"/>
    <w:rsid w:val="006A2646"/>
    <w:rsid w:val="006A6530"/>
    <w:rsid w:val="006B435A"/>
    <w:rsid w:val="006B4C64"/>
    <w:rsid w:val="006C0C80"/>
    <w:rsid w:val="006D6BD5"/>
    <w:rsid w:val="006E481A"/>
    <w:rsid w:val="006E5287"/>
    <w:rsid w:val="006E5298"/>
    <w:rsid w:val="006F4A78"/>
    <w:rsid w:val="006F734A"/>
    <w:rsid w:val="006F750D"/>
    <w:rsid w:val="00700D83"/>
    <w:rsid w:val="00704852"/>
    <w:rsid w:val="007074E9"/>
    <w:rsid w:val="00710C18"/>
    <w:rsid w:val="0071338F"/>
    <w:rsid w:val="00713DA4"/>
    <w:rsid w:val="00714BF1"/>
    <w:rsid w:val="00721383"/>
    <w:rsid w:val="0073158B"/>
    <w:rsid w:val="007333CC"/>
    <w:rsid w:val="0073399A"/>
    <w:rsid w:val="007364F1"/>
    <w:rsid w:val="00743F91"/>
    <w:rsid w:val="007603F5"/>
    <w:rsid w:val="0076492D"/>
    <w:rsid w:val="00764DB0"/>
    <w:rsid w:val="0076764D"/>
    <w:rsid w:val="0077498C"/>
    <w:rsid w:val="007809BC"/>
    <w:rsid w:val="00782EE1"/>
    <w:rsid w:val="00784128"/>
    <w:rsid w:val="00791BFA"/>
    <w:rsid w:val="00793173"/>
    <w:rsid w:val="007A2A33"/>
    <w:rsid w:val="007A4EB9"/>
    <w:rsid w:val="007A7B20"/>
    <w:rsid w:val="007C1FCC"/>
    <w:rsid w:val="007C3BF1"/>
    <w:rsid w:val="007C50AA"/>
    <w:rsid w:val="007C6201"/>
    <w:rsid w:val="007D2477"/>
    <w:rsid w:val="007D30E1"/>
    <w:rsid w:val="007D3C43"/>
    <w:rsid w:val="007D7C92"/>
    <w:rsid w:val="007E1154"/>
    <w:rsid w:val="007E39B3"/>
    <w:rsid w:val="007E44C4"/>
    <w:rsid w:val="007E6BA4"/>
    <w:rsid w:val="007F277A"/>
    <w:rsid w:val="007F41F8"/>
    <w:rsid w:val="007F6A57"/>
    <w:rsid w:val="00800B76"/>
    <w:rsid w:val="008017F0"/>
    <w:rsid w:val="0080454E"/>
    <w:rsid w:val="00804C32"/>
    <w:rsid w:val="00804DA6"/>
    <w:rsid w:val="00806302"/>
    <w:rsid w:val="00807119"/>
    <w:rsid w:val="008146A9"/>
    <w:rsid w:val="0082483F"/>
    <w:rsid w:val="008279C0"/>
    <w:rsid w:val="00841051"/>
    <w:rsid w:val="008500BD"/>
    <w:rsid w:val="00860723"/>
    <w:rsid w:val="008723F3"/>
    <w:rsid w:val="00874240"/>
    <w:rsid w:val="00881DE6"/>
    <w:rsid w:val="008837A6"/>
    <w:rsid w:val="00884B65"/>
    <w:rsid w:val="0089145D"/>
    <w:rsid w:val="00894C1D"/>
    <w:rsid w:val="008A117D"/>
    <w:rsid w:val="008A4DF2"/>
    <w:rsid w:val="008A6CFE"/>
    <w:rsid w:val="008B5333"/>
    <w:rsid w:val="008B6223"/>
    <w:rsid w:val="008C4AC6"/>
    <w:rsid w:val="008C66E0"/>
    <w:rsid w:val="008E0EC8"/>
    <w:rsid w:val="008E3339"/>
    <w:rsid w:val="008E768E"/>
    <w:rsid w:val="008F20FC"/>
    <w:rsid w:val="008F3EEE"/>
    <w:rsid w:val="008F5FFE"/>
    <w:rsid w:val="00905A43"/>
    <w:rsid w:val="00912C79"/>
    <w:rsid w:val="00914A23"/>
    <w:rsid w:val="00924383"/>
    <w:rsid w:val="00942123"/>
    <w:rsid w:val="0095207B"/>
    <w:rsid w:val="00960B83"/>
    <w:rsid w:val="00962045"/>
    <w:rsid w:val="00967219"/>
    <w:rsid w:val="00980E61"/>
    <w:rsid w:val="00991428"/>
    <w:rsid w:val="00992676"/>
    <w:rsid w:val="009954B2"/>
    <w:rsid w:val="00996691"/>
    <w:rsid w:val="009B0723"/>
    <w:rsid w:val="009B07AD"/>
    <w:rsid w:val="009B0883"/>
    <w:rsid w:val="009B15E2"/>
    <w:rsid w:val="009B4976"/>
    <w:rsid w:val="009B6227"/>
    <w:rsid w:val="009C0B8E"/>
    <w:rsid w:val="009C1BC8"/>
    <w:rsid w:val="009C2442"/>
    <w:rsid w:val="009C5E52"/>
    <w:rsid w:val="009D0811"/>
    <w:rsid w:val="009D0EE1"/>
    <w:rsid w:val="009D4D3F"/>
    <w:rsid w:val="009E2AEB"/>
    <w:rsid w:val="009E2E27"/>
    <w:rsid w:val="009E4DE3"/>
    <w:rsid w:val="009F275E"/>
    <w:rsid w:val="00A047EE"/>
    <w:rsid w:val="00A11E80"/>
    <w:rsid w:val="00A17858"/>
    <w:rsid w:val="00A2274A"/>
    <w:rsid w:val="00A235B7"/>
    <w:rsid w:val="00A23B0D"/>
    <w:rsid w:val="00A27A7A"/>
    <w:rsid w:val="00A407EF"/>
    <w:rsid w:val="00A419B8"/>
    <w:rsid w:val="00A46B4C"/>
    <w:rsid w:val="00A5117B"/>
    <w:rsid w:val="00A53107"/>
    <w:rsid w:val="00A548AB"/>
    <w:rsid w:val="00A54CB5"/>
    <w:rsid w:val="00A554CE"/>
    <w:rsid w:val="00A5592D"/>
    <w:rsid w:val="00A60074"/>
    <w:rsid w:val="00A62FDA"/>
    <w:rsid w:val="00A6627C"/>
    <w:rsid w:val="00A71019"/>
    <w:rsid w:val="00A81029"/>
    <w:rsid w:val="00A96489"/>
    <w:rsid w:val="00AB685C"/>
    <w:rsid w:val="00AB6C2D"/>
    <w:rsid w:val="00AC08F7"/>
    <w:rsid w:val="00AC3839"/>
    <w:rsid w:val="00AC49B7"/>
    <w:rsid w:val="00AC7082"/>
    <w:rsid w:val="00AD2931"/>
    <w:rsid w:val="00AD3B07"/>
    <w:rsid w:val="00AD513F"/>
    <w:rsid w:val="00AE2316"/>
    <w:rsid w:val="00AE74BA"/>
    <w:rsid w:val="00AF228E"/>
    <w:rsid w:val="00B016A8"/>
    <w:rsid w:val="00B03FFC"/>
    <w:rsid w:val="00B05986"/>
    <w:rsid w:val="00B14819"/>
    <w:rsid w:val="00B15E2F"/>
    <w:rsid w:val="00B17AA9"/>
    <w:rsid w:val="00B30D9A"/>
    <w:rsid w:val="00B44713"/>
    <w:rsid w:val="00B56103"/>
    <w:rsid w:val="00B64929"/>
    <w:rsid w:val="00B736DF"/>
    <w:rsid w:val="00B743D6"/>
    <w:rsid w:val="00B74FBD"/>
    <w:rsid w:val="00B76945"/>
    <w:rsid w:val="00B771C0"/>
    <w:rsid w:val="00B77F46"/>
    <w:rsid w:val="00B82586"/>
    <w:rsid w:val="00B829A3"/>
    <w:rsid w:val="00B86DB1"/>
    <w:rsid w:val="00B87869"/>
    <w:rsid w:val="00B96CE3"/>
    <w:rsid w:val="00BB0F2B"/>
    <w:rsid w:val="00BB38D1"/>
    <w:rsid w:val="00BC0856"/>
    <w:rsid w:val="00BE4FF3"/>
    <w:rsid w:val="00BF50F7"/>
    <w:rsid w:val="00C02F29"/>
    <w:rsid w:val="00C20AFE"/>
    <w:rsid w:val="00C22A25"/>
    <w:rsid w:val="00C33581"/>
    <w:rsid w:val="00C33772"/>
    <w:rsid w:val="00C35671"/>
    <w:rsid w:val="00C35B77"/>
    <w:rsid w:val="00C376EB"/>
    <w:rsid w:val="00C46160"/>
    <w:rsid w:val="00C46A92"/>
    <w:rsid w:val="00C46EC1"/>
    <w:rsid w:val="00C52796"/>
    <w:rsid w:val="00C53E2C"/>
    <w:rsid w:val="00C550C8"/>
    <w:rsid w:val="00C56B61"/>
    <w:rsid w:val="00C606C3"/>
    <w:rsid w:val="00C620F4"/>
    <w:rsid w:val="00C63E03"/>
    <w:rsid w:val="00C7018D"/>
    <w:rsid w:val="00C72848"/>
    <w:rsid w:val="00C7729F"/>
    <w:rsid w:val="00C7736C"/>
    <w:rsid w:val="00C82D87"/>
    <w:rsid w:val="00C8712A"/>
    <w:rsid w:val="00C93268"/>
    <w:rsid w:val="00C963D3"/>
    <w:rsid w:val="00CA19EB"/>
    <w:rsid w:val="00CB1983"/>
    <w:rsid w:val="00CB2CBB"/>
    <w:rsid w:val="00CB7CAC"/>
    <w:rsid w:val="00CC1FA3"/>
    <w:rsid w:val="00CC5335"/>
    <w:rsid w:val="00CC5BA4"/>
    <w:rsid w:val="00CD4998"/>
    <w:rsid w:val="00CE1035"/>
    <w:rsid w:val="00CE6E50"/>
    <w:rsid w:val="00CF25C4"/>
    <w:rsid w:val="00CF2819"/>
    <w:rsid w:val="00CF4F9D"/>
    <w:rsid w:val="00CF70DC"/>
    <w:rsid w:val="00D148DC"/>
    <w:rsid w:val="00D15103"/>
    <w:rsid w:val="00D17FDC"/>
    <w:rsid w:val="00D23265"/>
    <w:rsid w:val="00D26E26"/>
    <w:rsid w:val="00D5177C"/>
    <w:rsid w:val="00D51785"/>
    <w:rsid w:val="00D51F40"/>
    <w:rsid w:val="00D56543"/>
    <w:rsid w:val="00D56B4E"/>
    <w:rsid w:val="00D608A4"/>
    <w:rsid w:val="00D60E46"/>
    <w:rsid w:val="00D63EFD"/>
    <w:rsid w:val="00D651FD"/>
    <w:rsid w:val="00D75351"/>
    <w:rsid w:val="00D84752"/>
    <w:rsid w:val="00D86B3B"/>
    <w:rsid w:val="00D8748A"/>
    <w:rsid w:val="00D93196"/>
    <w:rsid w:val="00D95496"/>
    <w:rsid w:val="00DA0DC0"/>
    <w:rsid w:val="00DA770B"/>
    <w:rsid w:val="00DB1DA2"/>
    <w:rsid w:val="00DB243C"/>
    <w:rsid w:val="00DB482A"/>
    <w:rsid w:val="00DB56F2"/>
    <w:rsid w:val="00DB6EF5"/>
    <w:rsid w:val="00DC3089"/>
    <w:rsid w:val="00DC4420"/>
    <w:rsid w:val="00DD0802"/>
    <w:rsid w:val="00DD2E11"/>
    <w:rsid w:val="00DD47EF"/>
    <w:rsid w:val="00DE03AF"/>
    <w:rsid w:val="00DE121C"/>
    <w:rsid w:val="00DE461B"/>
    <w:rsid w:val="00DE6633"/>
    <w:rsid w:val="00DF0864"/>
    <w:rsid w:val="00DF75F8"/>
    <w:rsid w:val="00DF7A3A"/>
    <w:rsid w:val="00E00C00"/>
    <w:rsid w:val="00E07C5A"/>
    <w:rsid w:val="00E11098"/>
    <w:rsid w:val="00E1263B"/>
    <w:rsid w:val="00E15BA9"/>
    <w:rsid w:val="00E26E19"/>
    <w:rsid w:val="00E30C8A"/>
    <w:rsid w:val="00E31DF3"/>
    <w:rsid w:val="00E450A4"/>
    <w:rsid w:val="00E4643E"/>
    <w:rsid w:val="00E506BE"/>
    <w:rsid w:val="00E55547"/>
    <w:rsid w:val="00E604A1"/>
    <w:rsid w:val="00E62065"/>
    <w:rsid w:val="00E6302B"/>
    <w:rsid w:val="00E6452F"/>
    <w:rsid w:val="00E64F45"/>
    <w:rsid w:val="00E65039"/>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B5C"/>
    <w:rsid w:val="00EB5CA4"/>
    <w:rsid w:val="00EC00F9"/>
    <w:rsid w:val="00ED0BC4"/>
    <w:rsid w:val="00ED20E8"/>
    <w:rsid w:val="00ED472A"/>
    <w:rsid w:val="00ED54B6"/>
    <w:rsid w:val="00EE4971"/>
    <w:rsid w:val="00EF090E"/>
    <w:rsid w:val="00F033DA"/>
    <w:rsid w:val="00F13FB1"/>
    <w:rsid w:val="00F27CD8"/>
    <w:rsid w:val="00F30351"/>
    <w:rsid w:val="00F3323E"/>
    <w:rsid w:val="00F341F4"/>
    <w:rsid w:val="00F34F9D"/>
    <w:rsid w:val="00F35CCE"/>
    <w:rsid w:val="00F5524B"/>
    <w:rsid w:val="00F60538"/>
    <w:rsid w:val="00F61DD2"/>
    <w:rsid w:val="00F64810"/>
    <w:rsid w:val="00F66AFF"/>
    <w:rsid w:val="00F71433"/>
    <w:rsid w:val="00F74CF7"/>
    <w:rsid w:val="00F76CD4"/>
    <w:rsid w:val="00F83464"/>
    <w:rsid w:val="00F921AF"/>
    <w:rsid w:val="00F93BE7"/>
    <w:rsid w:val="00F97C5B"/>
    <w:rsid w:val="00FA3D50"/>
    <w:rsid w:val="00FB7FBD"/>
    <w:rsid w:val="00FC374A"/>
    <w:rsid w:val="00FC48D8"/>
    <w:rsid w:val="00FC7B47"/>
    <w:rsid w:val="00FD035C"/>
    <w:rsid w:val="00FD1A35"/>
    <w:rsid w:val="00FD36C5"/>
    <w:rsid w:val="00FD6310"/>
    <w:rsid w:val="00FD7C7B"/>
    <w:rsid w:val="00FE1D12"/>
    <w:rsid w:val="00FE2122"/>
    <w:rsid w:val="00FE2A86"/>
    <w:rsid w:val="00FE2DE2"/>
    <w:rsid w:val="00FF09A2"/>
    <w:rsid w:val="00FF163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B7F7726"/>
  <w14:defaultImageDpi w14:val="32767"/>
  <w15:docId w15:val="{F6BCDE62-A791-466C-8A49-9A9833DE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0542"/>
  </w:style>
  <w:style w:type="paragraph" w:styleId="Prrafodelista">
    <w:name w:val="List Paragraph"/>
    <w:basedOn w:val="Normal"/>
    <w:uiPriority w:val="34"/>
    <w:qFormat/>
    <w:rsid w:val="00430FED"/>
    <w:pPr>
      <w:ind w:left="720"/>
      <w:contextualSpacing/>
    </w:pPr>
  </w:style>
  <w:style w:type="paragraph" w:styleId="Textonotapie">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TextonotapieCar"/>
    <w:uiPriority w:val="99"/>
    <w:unhideWhenUsed/>
    <w:rsid w:val="00241B44"/>
    <w:rPr>
      <w:szCs w:val="20"/>
    </w:rPr>
  </w:style>
  <w:style w:type="character" w:customStyle="1" w:styleId="TextonotapieCar">
    <w:name w:val="Texto nota pie Car"/>
    <w:aliases w:val="fn Car,Fußnotentext Char Char Char Char Car,Fußnotentext Char Char Char Char Char Char Car,Fußnotentext Char Char Char Char Char Char Char Char Car,Fußnotentextf Car,footnotes Car,Footnote Text Char2 Char Car,Footnote Car,ft Car"/>
    <w:basedOn w:val="Fuentedeprrafopredeter"/>
    <w:link w:val="Textonotapie"/>
    <w:uiPriority w:val="99"/>
    <w:rsid w:val="00241B44"/>
    <w:rPr>
      <w:sz w:val="20"/>
      <w:szCs w:val="20"/>
    </w:rPr>
  </w:style>
  <w:style w:type="character" w:styleId="Refdenotaalpie">
    <w:name w:val="footnote reference"/>
    <w:aliases w:val="fr,Footnote Refernece,BVI fnr,callout,16 Point,Superscript 6 Point,Footnote Reference Superscript,Ref,de nota al pie,-E Fußnotenzeichen,number,SUPERS,EN Footnote Reference,-E Fuﬂnotenzeichen,-E Fuûnotenzeichen,Footnote numbe, BVI fnr"/>
    <w:basedOn w:val="Fuentedeprrafopredeter"/>
    <w:uiPriority w:val="99"/>
    <w:unhideWhenUsed/>
    <w:qFormat/>
    <w:rsid w:val="00241B44"/>
    <w:rPr>
      <w:vertAlign w:val="superscript"/>
    </w:rPr>
  </w:style>
  <w:style w:type="character" w:styleId="Hipervnculo">
    <w:name w:val="Hyperlink"/>
    <w:basedOn w:val="Fuentedeprrafopredeter"/>
    <w:uiPriority w:val="99"/>
    <w:unhideWhenUsed/>
    <w:rsid w:val="00A047EE"/>
    <w:rPr>
      <w:color w:val="0563C1" w:themeColor="hyperlink"/>
      <w:u w:val="single"/>
    </w:rPr>
  </w:style>
  <w:style w:type="character" w:customStyle="1" w:styleId="UnresolvedMention1">
    <w:name w:val="Unresolved Mention1"/>
    <w:basedOn w:val="Fuentedeprrafopredeter"/>
    <w:uiPriority w:val="99"/>
    <w:rsid w:val="00A047EE"/>
    <w:rPr>
      <w:color w:val="605E5C"/>
      <w:shd w:val="clear" w:color="auto" w:fill="E1DFDD"/>
    </w:rPr>
  </w:style>
  <w:style w:type="character" w:styleId="Refdecomentario">
    <w:name w:val="annotation reference"/>
    <w:basedOn w:val="Fuentedeprrafopredeter"/>
    <w:uiPriority w:val="99"/>
    <w:semiHidden/>
    <w:unhideWhenUsed/>
    <w:rsid w:val="008B5333"/>
    <w:rPr>
      <w:sz w:val="16"/>
      <w:szCs w:val="16"/>
    </w:rPr>
  </w:style>
  <w:style w:type="paragraph" w:styleId="Textocomentario">
    <w:name w:val="annotation text"/>
    <w:basedOn w:val="Normal"/>
    <w:link w:val="TextocomentarioCar"/>
    <w:uiPriority w:val="99"/>
    <w:unhideWhenUsed/>
    <w:rsid w:val="008B5333"/>
    <w:rPr>
      <w:szCs w:val="20"/>
    </w:rPr>
  </w:style>
  <w:style w:type="character" w:customStyle="1" w:styleId="TextocomentarioCar">
    <w:name w:val="Texto comentario Car"/>
    <w:basedOn w:val="Fuentedeprrafopredeter"/>
    <w:link w:val="Textocomentario"/>
    <w:uiPriority w:val="99"/>
    <w:rsid w:val="008B5333"/>
    <w:rPr>
      <w:rFonts w:eastAsia="Times New Roman"/>
      <w:sz w:val="20"/>
      <w:szCs w:val="20"/>
    </w:rPr>
  </w:style>
  <w:style w:type="paragraph" w:styleId="Asuntodelcomentario">
    <w:name w:val="annotation subject"/>
    <w:basedOn w:val="Textocomentario"/>
    <w:next w:val="Textocomentario"/>
    <w:link w:val="AsuntodelcomentarioCar"/>
    <w:uiPriority w:val="99"/>
    <w:semiHidden/>
    <w:unhideWhenUsed/>
    <w:rsid w:val="008B5333"/>
    <w:rPr>
      <w:b/>
      <w:bCs/>
    </w:rPr>
  </w:style>
  <w:style w:type="character" w:customStyle="1" w:styleId="AsuntodelcomentarioCar">
    <w:name w:val="Asunto del comentario Car"/>
    <w:basedOn w:val="TextocomentarioCar"/>
    <w:link w:val="Asuntodelcomentario"/>
    <w:uiPriority w:val="99"/>
    <w:semiHidden/>
    <w:rsid w:val="008B5333"/>
    <w:rPr>
      <w:rFonts w:eastAsia="Times New Roman"/>
      <w:b/>
      <w:bCs/>
      <w:sz w:val="20"/>
      <w:szCs w:val="20"/>
    </w:rPr>
  </w:style>
  <w:style w:type="paragraph" w:styleId="Textodeglobo">
    <w:name w:val="Balloon Text"/>
    <w:basedOn w:val="Normal"/>
    <w:link w:val="TextodegloboCar"/>
    <w:uiPriority w:val="99"/>
    <w:semiHidden/>
    <w:unhideWhenUsed/>
    <w:rsid w:val="008B5333"/>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333"/>
    <w:rPr>
      <w:rFonts w:ascii="Tahoma" w:eastAsia="Times New Roman" w:hAnsi="Tahoma" w:cs="Tahoma"/>
      <w:sz w:val="16"/>
      <w:szCs w:val="16"/>
    </w:rPr>
  </w:style>
  <w:style w:type="paragraph" w:styleId="Piedepgina">
    <w:name w:val="footer"/>
    <w:basedOn w:val="Normal"/>
    <w:link w:val="PiedepginaCar"/>
    <w:uiPriority w:val="99"/>
    <w:unhideWhenUsed/>
    <w:rsid w:val="00FC7B47"/>
    <w:pPr>
      <w:tabs>
        <w:tab w:val="center" w:pos="4513"/>
        <w:tab w:val="right" w:pos="9026"/>
      </w:tabs>
    </w:pPr>
  </w:style>
  <w:style w:type="character" w:customStyle="1" w:styleId="PiedepginaCar">
    <w:name w:val="Pie de página Car"/>
    <w:basedOn w:val="Fuentedeprrafopredeter"/>
    <w:link w:val="Piedepgina"/>
    <w:uiPriority w:val="99"/>
    <w:rsid w:val="00FC7B47"/>
    <w:rPr>
      <w:rFonts w:eastAsia="Times New Roman"/>
      <w:sz w:val="20"/>
    </w:rPr>
  </w:style>
  <w:style w:type="character" w:styleId="Nmerodepgina">
    <w:name w:val="page number"/>
    <w:basedOn w:val="Fuentedeprrafopredeter"/>
    <w:uiPriority w:val="99"/>
    <w:semiHidden/>
    <w:unhideWhenUsed/>
    <w:rsid w:val="00FC7B47"/>
  </w:style>
  <w:style w:type="paragraph" w:styleId="Encabezado">
    <w:name w:val="header"/>
    <w:basedOn w:val="Normal"/>
    <w:link w:val="EncabezadoCar"/>
    <w:uiPriority w:val="99"/>
    <w:unhideWhenUsed/>
    <w:rsid w:val="00FC7B47"/>
    <w:pPr>
      <w:tabs>
        <w:tab w:val="center" w:pos="4513"/>
        <w:tab w:val="right" w:pos="9026"/>
      </w:tabs>
    </w:pPr>
  </w:style>
  <w:style w:type="character" w:customStyle="1" w:styleId="EncabezadoCar">
    <w:name w:val="Encabezado Car"/>
    <w:basedOn w:val="Fuentedeprrafopredeter"/>
    <w:link w:val="Encabezado"/>
    <w:uiPriority w:val="99"/>
    <w:rsid w:val="00FC7B47"/>
    <w:rPr>
      <w:rFonts w:eastAsia="Times New Roman"/>
      <w:sz w:val="20"/>
    </w:rPr>
  </w:style>
  <w:style w:type="character" w:customStyle="1" w:styleId="UnresolvedMention2">
    <w:name w:val="Unresolved Mention2"/>
    <w:basedOn w:val="Fuentedeprrafopredeter"/>
    <w:uiPriority w:val="99"/>
    <w:semiHidden/>
    <w:unhideWhenUsed/>
    <w:rsid w:val="007333CC"/>
    <w:rPr>
      <w:color w:val="605E5C"/>
      <w:shd w:val="clear" w:color="auto" w:fill="E1DFDD"/>
    </w:rPr>
  </w:style>
  <w:style w:type="character" w:styleId="Hipervnculovisitado">
    <w:name w:val="FollowedHyperlink"/>
    <w:basedOn w:val="Fuentedeprrafopredeter"/>
    <w:uiPriority w:val="99"/>
    <w:semiHidden/>
    <w:unhideWhenUsed/>
    <w:rsid w:val="00E6452F"/>
    <w:rPr>
      <w:color w:val="954F72" w:themeColor="followedHyperlink"/>
      <w:u w:val="single"/>
    </w:rPr>
  </w:style>
  <w:style w:type="character" w:styleId="Textoennegrita">
    <w:name w:val="Strong"/>
    <w:basedOn w:val="Fuentedeprrafopredeter"/>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58130516">
      <w:bodyDiv w:val="1"/>
      <w:marLeft w:val="0"/>
      <w:marRight w:val="0"/>
      <w:marTop w:val="0"/>
      <w:marBottom w:val="0"/>
      <w:divBdr>
        <w:top w:val="none" w:sz="0" w:space="0" w:color="auto"/>
        <w:left w:val="none" w:sz="0" w:space="0" w:color="auto"/>
        <w:bottom w:val="none" w:sz="0" w:space="0" w:color="auto"/>
        <w:right w:val="none" w:sz="0" w:space="0" w:color="auto"/>
      </w:divBdr>
      <w:divsChild>
        <w:div w:id="798258948">
          <w:marLeft w:val="0"/>
          <w:marRight w:val="0"/>
          <w:marTop w:val="0"/>
          <w:marBottom w:val="0"/>
          <w:divBdr>
            <w:top w:val="none" w:sz="0" w:space="0" w:color="auto"/>
            <w:left w:val="none" w:sz="0" w:space="0" w:color="auto"/>
            <w:bottom w:val="none" w:sz="0" w:space="0" w:color="auto"/>
            <w:right w:val="none" w:sz="0" w:space="0" w:color="auto"/>
          </w:divBdr>
        </w:div>
        <w:div w:id="2011830058">
          <w:marLeft w:val="0"/>
          <w:marRight w:val="0"/>
          <w:marTop w:val="0"/>
          <w:marBottom w:val="0"/>
          <w:divBdr>
            <w:top w:val="none" w:sz="0" w:space="0" w:color="auto"/>
            <w:left w:val="none" w:sz="0" w:space="0" w:color="auto"/>
            <w:bottom w:val="none" w:sz="0" w:space="0" w:color="auto"/>
            <w:right w:val="none" w:sz="0" w:space="0" w:color="auto"/>
          </w:divBdr>
        </w:div>
      </w:divsChild>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062483783">
      <w:bodyDiv w:val="1"/>
      <w:marLeft w:val="0"/>
      <w:marRight w:val="0"/>
      <w:marTop w:val="0"/>
      <w:marBottom w:val="0"/>
      <w:divBdr>
        <w:top w:val="none" w:sz="0" w:space="0" w:color="auto"/>
        <w:left w:val="none" w:sz="0" w:space="0" w:color="auto"/>
        <w:bottom w:val="none" w:sz="0" w:space="0" w:color="auto"/>
        <w:right w:val="none" w:sz="0" w:space="0" w:color="auto"/>
      </w:divBdr>
      <w:divsChild>
        <w:div w:id="240717067">
          <w:marLeft w:val="0"/>
          <w:marRight w:val="0"/>
          <w:marTop w:val="0"/>
          <w:marBottom w:val="0"/>
          <w:divBdr>
            <w:top w:val="none" w:sz="0" w:space="0" w:color="auto"/>
            <w:left w:val="none" w:sz="0" w:space="0" w:color="auto"/>
            <w:bottom w:val="none" w:sz="0" w:space="0" w:color="auto"/>
            <w:right w:val="none" w:sz="0" w:space="0" w:color="auto"/>
          </w:divBdr>
        </w:div>
        <w:div w:id="1877545303">
          <w:marLeft w:val="0"/>
          <w:marRight w:val="0"/>
          <w:marTop w:val="0"/>
          <w:marBottom w:val="0"/>
          <w:divBdr>
            <w:top w:val="none" w:sz="0" w:space="0" w:color="auto"/>
            <w:left w:val="none" w:sz="0" w:space="0" w:color="auto"/>
            <w:bottom w:val="none" w:sz="0" w:space="0" w:color="auto"/>
            <w:right w:val="none" w:sz="0" w:space="0" w:color="auto"/>
          </w:divBdr>
        </w:div>
      </w:divsChild>
    </w:div>
    <w:div w:id="1598753447">
      <w:bodyDiv w:val="1"/>
      <w:marLeft w:val="0"/>
      <w:marRight w:val="0"/>
      <w:marTop w:val="0"/>
      <w:marBottom w:val="0"/>
      <w:divBdr>
        <w:top w:val="none" w:sz="0" w:space="0" w:color="auto"/>
        <w:left w:val="none" w:sz="0" w:space="0" w:color="auto"/>
        <w:bottom w:val="none" w:sz="0" w:space="0" w:color="auto"/>
        <w:right w:val="none" w:sz="0" w:space="0" w:color="auto"/>
      </w:divBdr>
      <w:divsChild>
        <w:div w:id="549921073">
          <w:marLeft w:val="0"/>
          <w:marRight w:val="0"/>
          <w:marTop w:val="0"/>
          <w:marBottom w:val="0"/>
          <w:divBdr>
            <w:top w:val="none" w:sz="0" w:space="0" w:color="auto"/>
            <w:left w:val="none" w:sz="0" w:space="0" w:color="auto"/>
            <w:bottom w:val="none" w:sz="0" w:space="0" w:color="auto"/>
            <w:right w:val="none" w:sz="0" w:space="0" w:color="auto"/>
          </w:divBdr>
        </w:div>
        <w:div w:id="1661614406">
          <w:marLeft w:val="0"/>
          <w:marRight w:val="0"/>
          <w:marTop w:val="0"/>
          <w:marBottom w:val="0"/>
          <w:divBdr>
            <w:top w:val="none" w:sz="0" w:space="0" w:color="auto"/>
            <w:left w:val="none" w:sz="0" w:space="0" w:color="auto"/>
            <w:bottom w:val="none" w:sz="0" w:space="0" w:color="auto"/>
            <w:right w:val="none" w:sz="0" w:space="0" w:color="auto"/>
          </w:divBdr>
        </w:div>
        <w:div w:id="1200974768">
          <w:marLeft w:val="0"/>
          <w:marRight w:val="0"/>
          <w:marTop w:val="0"/>
          <w:marBottom w:val="0"/>
          <w:divBdr>
            <w:top w:val="none" w:sz="0" w:space="0" w:color="auto"/>
            <w:left w:val="none" w:sz="0" w:space="0" w:color="auto"/>
            <w:bottom w:val="none" w:sz="0" w:space="0" w:color="auto"/>
            <w:right w:val="none" w:sz="0" w:space="0" w:color="auto"/>
          </w:divBdr>
        </w:div>
      </w:divsChild>
    </w:div>
    <w:div w:id="1768845482">
      <w:bodyDiv w:val="1"/>
      <w:marLeft w:val="0"/>
      <w:marRight w:val="0"/>
      <w:marTop w:val="0"/>
      <w:marBottom w:val="0"/>
      <w:divBdr>
        <w:top w:val="none" w:sz="0" w:space="0" w:color="auto"/>
        <w:left w:val="none" w:sz="0" w:space="0" w:color="auto"/>
        <w:bottom w:val="none" w:sz="0" w:space="0" w:color="auto"/>
        <w:right w:val="none" w:sz="0" w:space="0" w:color="auto"/>
      </w:divBdr>
      <w:divsChild>
        <w:div w:id="312101569">
          <w:marLeft w:val="0"/>
          <w:marRight w:val="0"/>
          <w:marTop w:val="0"/>
          <w:marBottom w:val="0"/>
          <w:divBdr>
            <w:top w:val="none" w:sz="0" w:space="0" w:color="auto"/>
            <w:left w:val="none" w:sz="0" w:space="0" w:color="auto"/>
            <w:bottom w:val="none" w:sz="0" w:space="0" w:color="auto"/>
            <w:right w:val="none" w:sz="0" w:space="0" w:color="auto"/>
          </w:divBdr>
        </w:div>
        <w:div w:id="2065566056">
          <w:marLeft w:val="0"/>
          <w:marRight w:val="0"/>
          <w:marTop w:val="0"/>
          <w:marBottom w:val="0"/>
          <w:divBdr>
            <w:top w:val="none" w:sz="0" w:space="0" w:color="auto"/>
            <w:left w:val="none" w:sz="0" w:space="0" w:color="auto"/>
            <w:bottom w:val="none" w:sz="0" w:space="0" w:color="auto"/>
            <w:right w:val="none" w:sz="0" w:space="0" w:color="auto"/>
          </w:divBdr>
        </w:div>
        <w:div w:id="1921133314">
          <w:marLeft w:val="0"/>
          <w:marRight w:val="0"/>
          <w:marTop w:val="0"/>
          <w:marBottom w:val="0"/>
          <w:divBdr>
            <w:top w:val="none" w:sz="0" w:space="0" w:color="auto"/>
            <w:left w:val="none" w:sz="0" w:space="0" w:color="auto"/>
            <w:bottom w:val="none" w:sz="0" w:space="0" w:color="auto"/>
            <w:right w:val="none" w:sz="0" w:space="0" w:color="auto"/>
          </w:divBdr>
        </w:div>
        <w:div w:id="121660863">
          <w:marLeft w:val="0"/>
          <w:marRight w:val="0"/>
          <w:marTop w:val="0"/>
          <w:marBottom w:val="0"/>
          <w:divBdr>
            <w:top w:val="none" w:sz="0" w:space="0" w:color="auto"/>
            <w:left w:val="none" w:sz="0" w:space="0" w:color="auto"/>
            <w:bottom w:val="none" w:sz="0" w:space="0" w:color="auto"/>
            <w:right w:val="none" w:sz="0" w:space="0" w:color="auto"/>
          </w:divBdr>
        </w:div>
      </w:divsChild>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PDF/?uri=CELEX:62013CJ0327&amp;fro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EN/TXT/PDF/?uri=CELEX:62004CJ0341&amp;from=EN" TargetMode="External"/><Relationship Id="rId4" Type="http://schemas.openxmlformats.org/officeDocument/2006/relationships/settings" Target="settings.xml"/><Relationship Id="rId9" Type="http://schemas.openxmlformats.org/officeDocument/2006/relationships/hyperlink" Target="https://eur-lex.europa.eu/legal-content/EN/TXT/PDF/?uri=CELEX:62011CJ0116&amp;fr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5BFE-3ADF-4613-BE25-BD1CF4A6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8514</TotalTime>
  <Pages>13</Pages>
  <Words>5707</Words>
  <Characters>31392</Characters>
  <Application>Microsoft Office Word</Application>
  <DocSecurity>0</DocSecurity>
  <Lines>261</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cp:lastModifiedBy>
  <cp:revision>44</cp:revision>
  <cp:lastPrinted>2019-08-27T05:42:00Z</cp:lastPrinted>
  <dcterms:created xsi:type="dcterms:W3CDTF">2020-08-30T10:14:00Z</dcterms:created>
  <dcterms:modified xsi:type="dcterms:W3CDTF">2021-07-31T11:19:00Z</dcterms:modified>
</cp:coreProperties>
</file>