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rPr>
        <w:drawing>
          <wp:inline distT="0" distB="0" distL="0" distR="0">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14:textFill>
            <w14:solidFill>
              <w14:schemeClr w14:val="tx1"/>
            </w14:solidFill>
          </w14:textFill>
        </w:rPr>
        <w:t>SUMMATIVE (FORMAL) ASSESSMENT: MODULE 4C</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sz w:val="28"/>
          <w:szCs w:val="28"/>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14:textFill>
            <w14:solidFill>
              <w14:schemeClr w14:val="tx1"/>
            </w14:solidFill>
          </w14:textFill>
        </w:rPr>
        <w:t>CANADA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jc w:val="center"/>
        <w:rPr>
          <w:rFonts w:ascii="Arial" w:hAnsi="Arial" w:cs="Arial"/>
          <w:b/>
          <w:color w:val="00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00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4C</w:t>
      </w:r>
      <w:r>
        <w:rPr>
          <w:rFonts w:ascii="Arial" w:hAnsi="Arial" w:cs="Arial"/>
          <w:bCs/>
          <w:color w:val="767171" w:themeColor="background2" w:themeShade="80"/>
          <w:sz w:val="22"/>
          <w:szCs w:val="22"/>
          <w:lang w:val="en-GB"/>
        </w:rPr>
        <w:t xml:space="preserve"> 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4C</w:t>
      </w:r>
      <w:r>
        <w:rPr>
          <w:rFonts w:ascii="Arial" w:hAnsi="Arial" w:cs="Arial"/>
          <w:bCs/>
          <w:color w:val="767171" w:themeColor="background2" w:themeShade="80"/>
          <w:sz w:val="22"/>
          <w:szCs w:val="22"/>
          <w:lang w:val="en-GB"/>
        </w:rPr>
        <w:t>.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jc w:val="both"/>
        <w:rPr>
          <w:rFonts w:ascii="Arial" w:hAnsi="Arial" w:cs="Arial"/>
          <w:b/>
          <w:color w:val="767171"/>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pPr>
        <w:jc w:val="both"/>
        <w:rPr>
          <w:rFonts w:ascii="Arial" w:hAnsi="Arial" w:cs="Arial"/>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pPr>
        <w:jc w:val="both"/>
        <w:rPr>
          <w:rFonts w:ascii="Arial" w:hAnsi="Arial" w:cs="Arial"/>
          <w:b/>
          <w:sz w:val="22"/>
          <w:szCs w:val="22"/>
          <w:lang w:val="en-GB"/>
        </w:rPr>
      </w:pPr>
    </w:p>
    <w:p>
      <w:pPr>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r>
      <w:r>
        <w:rPr>
          <w:rFonts w:ascii="Arial" w:hAnsi="Arial" w:cs="Arial"/>
          <w:sz w:val="22"/>
          <w:szCs w:val="22"/>
          <w:lang w:val="en-GB"/>
        </w:rPr>
        <w:t xml:space="preserve">You must save this document using the following format: </w:t>
      </w:r>
      <w:r>
        <w:rPr>
          <w:rFonts w:ascii="Arial" w:hAnsi="Arial" w:cs="Arial"/>
          <w:b/>
          <w:bCs/>
          <w:sz w:val="22"/>
          <w:szCs w:val="22"/>
          <w:lang w:val="en-GB" w:eastAsia="en-GB"/>
        </w:rPr>
        <w:t>[studentnumber.assessment4C]</w:t>
      </w:r>
      <w:r>
        <w:rPr>
          <w:rFonts w:ascii="Arial" w:hAnsi="Arial" w:cs="Arial"/>
          <w:sz w:val="22"/>
          <w:szCs w:val="22"/>
          <w:lang w:val="en-GB" w:eastAsia="en-GB"/>
        </w:rPr>
        <w:t>. An example would be something along the following lines: 202021IFU-314.assessment4C</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r>
      <w:r>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xml:space="preserve">. The assessment submission portal will close at </w:t>
      </w:r>
      <w:r>
        <w:rPr>
          <w:rFonts w:ascii="Arial" w:hAnsi="Arial" w:cs="Arial"/>
          <w:b/>
          <w:sz w:val="22"/>
          <w:szCs w:val="22"/>
          <w:lang w:val="en-GB"/>
        </w:rPr>
        <w:t>23:00 (11 pm) BST (GMT +1) on 31 July 2021</w:t>
      </w:r>
      <w:r>
        <w:rPr>
          <w:rFonts w:ascii="Arial" w:hAnsi="Arial" w:cs="Arial"/>
          <w:sz w:val="22"/>
          <w:szCs w:val="22"/>
          <w:lang w:val="en-GB"/>
        </w:rPr>
        <w:t>. No submissions can be made after the portal has closed and no further uploading of documents will be allowed, no matter the circumstances.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 pages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both"/>
        <w:rPr>
          <w:rFonts w:ascii="Arial" w:hAnsi="Arial" w:cs="Arial"/>
          <w:sz w:val="22"/>
          <w:szCs w:val="22"/>
          <w:lang w:val="en-GB"/>
        </w:rPr>
      </w:pPr>
      <w:r>
        <w:rPr>
          <w:rFonts w:ascii="Arial" w:hAnsi="Arial" w:cs="Arial"/>
          <w:b/>
          <w:sz w:val="22"/>
          <w:szCs w:val="22"/>
          <w:u w:val="single"/>
          <w:lang w:val="en-GB"/>
        </w:rPr>
        <w:t>ANSWER ALL THE QUESTIONS</w:t>
      </w:r>
    </w:p>
    <w:p>
      <w:pPr>
        <w:ind w:left="720" w:hanging="720"/>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rial" w:hAnsi="Arial" w:cs="Arial"/>
          <w:sz w:val="22"/>
          <w:szCs w:val="22"/>
          <w:lang w:val="en-GB"/>
        </w:rPr>
      </w:pPr>
    </w:p>
    <w:p>
      <w:pPr>
        <w:jc w:val="both"/>
        <w:rPr>
          <w:rFonts w:ascii="Arial" w:hAnsi="Arial" w:cs="Arial"/>
          <w:sz w:val="22"/>
          <w:szCs w:val="22"/>
          <w:lang w:val="en-GB"/>
        </w:rPr>
      </w:pPr>
      <w:r>
        <w:rPr>
          <w:rFonts w:ascii="Arial" w:hAnsi="Arial" w:cs="Arial"/>
          <w:b/>
          <w:bCs/>
          <w:sz w:val="22"/>
          <w:szCs w:val="22"/>
          <w:lang w:val="en-GB"/>
        </w:rPr>
        <w:t>Question 1.1</w:t>
      </w:r>
      <w:r>
        <w:rPr>
          <w:rFonts w:ascii="Arial" w:hAnsi="Arial" w:cs="Arial"/>
          <w:sz w:val="22"/>
          <w:szCs w:val="22"/>
          <w:lang w:val="en-GB"/>
        </w:rPr>
        <w:t xml:space="preserve"> </w:t>
      </w:r>
    </w:p>
    <w:p>
      <w:pPr>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Which branch of the Canadian government has the exclusive power to make laws in relation to bankruptcy and insolvency? Indicate the </w:t>
      </w:r>
      <w:r>
        <w:rPr>
          <w:rFonts w:ascii="Arial" w:hAnsi="Arial" w:cs="Arial"/>
          <w:b/>
          <w:bCs/>
          <w:sz w:val="22"/>
          <w:szCs w:val="22"/>
          <w:lang w:val="en-GB"/>
        </w:rPr>
        <w:t>correct answer</w:t>
      </w:r>
      <w:r>
        <w:rPr>
          <w:rFonts w:ascii="Arial" w:hAnsi="Arial" w:cs="Arial"/>
          <w:sz w:val="22"/>
          <w:szCs w:val="22"/>
          <w:lang w:val="en-GB"/>
        </w:rPr>
        <w:t xml:space="preserve"> from the options below.</w:t>
      </w:r>
    </w:p>
    <w:p>
      <w:pPr>
        <w:ind w:left="720" w:hanging="720"/>
        <w:rPr>
          <w:rFonts w:ascii="Arial" w:hAnsi="Arial" w:cs="Arial"/>
          <w:sz w:val="22"/>
          <w:szCs w:val="22"/>
          <w:lang w:val="en-GB"/>
        </w:rPr>
      </w:pPr>
    </w:p>
    <w:p>
      <w:pPr>
        <w:pStyle w:val="18"/>
        <w:numPr>
          <w:ilvl w:val="0"/>
          <w:numId w:val="1"/>
        </w:numPr>
        <w:ind w:left="426"/>
        <w:rPr>
          <w:rFonts w:ascii="Arial" w:hAnsi="Arial" w:cs="Arial"/>
          <w:sz w:val="22"/>
          <w:szCs w:val="22"/>
          <w:highlight w:val="yellow"/>
          <w:lang w:val="en-GB"/>
        </w:rPr>
      </w:pPr>
      <w:r>
        <w:rPr>
          <w:rFonts w:ascii="Arial" w:hAnsi="Arial" w:cs="Arial"/>
          <w:sz w:val="22"/>
          <w:szCs w:val="22"/>
          <w:highlight w:val="yellow"/>
          <w:lang w:val="en-GB"/>
        </w:rPr>
        <w:t>Federal.</w:t>
      </w:r>
      <w:r>
        <w:rPr>
          <w:rFonts w:hint="eastAsia" w:ascii="Arial" w:hAnsi="Arial" w:eastAsia="新細明體" w:cs="Arial"/>
          <w:sz w:val="22"/>
          <w:szCs w:val="22"/>
          <w:highlight w:val="yellow"/>
          <w:lang w:val="en-US" w:eastAsia="zh-TW"/>
        </w:rPr>
        <w:t xml:space="preserve"> </w:t>
      </w:r>
    </w:p>
    <w:p>
      <w:pPr>
        <w:rPr>
          <w:rFonts w:ascii="Arial" w:hAnsi="Arial" w:cs="Arial"/>
          <w:sz w:val="22"/>
          <w:szCs w:val="22"/>
          <w:lang w:val="en-GB"/>
        </w:rPr>
      </w:pPr>
    </w:p>
    <w:p>
      <w:pPr>
        <w:pStyle w:val="18"/>
        <w:numPr>
          <w:ilvl w:val="0"/>
          <w:numId w:val="1"/>
        </w:numPr>
        <w:ind w:left="426"/>
        <w:rPr>
          <w:rFonts w:ascii="Arial" w:hAnsi="Arial" w:cs="Arial"/>
          <w:sz w:val="22"/>
          <w:szCs w:val="22"/>
          <w:lang w:val="en-GB"/>
        </w:rPr>
      </w:pPr>
      <w:r>
        <w:rPr>
          <w:rFonts w:ascii="Arial" w:hAnsi="Arial" w:cs="Arial"/>
          <w:sz w:val="22"/>
          <w:szCs w:val="22"/>
          <w:lang w:val="en-GB"/>
        </w:rPr>
        <w:t>Provincial.</w:t>
      </w:r>
    </w:p>
    <w:p>
      <w:pPr>
        <w:rPr>
          <w:rFonts w:ascii="Arial" w:hAnsi="Arial" w:cs="Arial"/>
          <w:sz w:val="22"/>
          <w:szCs w:val="22"/>
          <w:lang w:val="en-GB"/>
        </w:rPr>
      </w:pPr>
    </w:p>
    <w:p>
      <w:pPr>
        <w:pStyle w:val="18"/>
        <w:numPr>
          <w:ilvl w:val="0"/>
          <w:numId w:val="1"/>
        </w:numPr>
        <w:ind w:left="426"/>
        <w:rPr>
          <w:rFonts w:ascii="Arial" w:hAnsi="Arial" w:cs="Arial"/>
          <w:sz w:val="22"/>
          <w:szCs w:val="22"/>
          <w:lang w:val="en-GB"/>
        </w:rPr>
      </w:pPr>
      <w:r>
        <w:rPr>
          <w:rFonts w:ascii="Arial" w:hAnsi="Arial" w:cs="Arial"/>
          <w:sz w:val="22"/>
          <w:szCs w:val="22"/>
          <w:lang w:val="en-GB"/>
        </w:rPr>
        <w:t>Municipal.</w:t>
      </w:r>
    </w:p>
    <w:p>
      <w:pPr>
        <w:rPr>
          <w:rFonts w:ascii="Arial" w:hAnsi="Arial" w:cs="Arial"/>
          <w:sz w:val="22"/>
          <w:szCs w:val="22"/>
          <w:lang w:val="en-GB"/>
        </w:rPr>
      </w:pPr>
    </w:p>
    <w:p>
      <w:pPr>
        <w:pStyle w:val="18"/>
        <w:numPr>
          <w:ilvl w:val="0"/>
          <w:numId w:val="1"/>
        </w:numPr>
        <w:ind w:left="426"/>
        <w:rPr>
          <w:rFonts w:ascii="Arial" w:hAnsi="Arial" w:cs="Arial"/>
          <w:sz w:val="22"/>
          <w:szCs w:val="22"/>
          <w:lang w:val="en-GB"/>
        </w:rPr>
      </w:pPr>
      <w:r>
        <w:rPr>
          <w:rFonts w:ascii="Arial" w:hAnsi="Arial" w:cs="Arial"/>
          <w:sz w:val="22"/>
          <w:szCs w:val="22"/>
          <w:lang w:val="en-GB"/>
        </w:rPr>
        <w:t>The power is shared between the three levels of government.</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1.2</w:t>
      </w:r>
    </w:p>
    <w:p>
      <w:pPr>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What features are common to all formal insolvency procedures in Canada? Select the </w:t>
      </w:r>
      <w:r>
        <w:rPr>
          <w:rFonts w:ascii="Arial" w:hAnsi="Arial" w:cs="Arial"/>
          <w:b/>
          <w:bCs/>
          <w:sz w:val="22"/>
          <w:szCs w:val="22"/>
          <w:lang w:val="en-GB"/>
        </w:rPr>
        <w:t>correct answer</w:t>
      </w:r>
      <w:r>
        <w:rPr>
          <w:rFonts w:ascii="Arial" w:hAnsi="Arial" w:cs="Arial"/>
          <w:sz w:val="22"/>
          <w:szCs w:val="22"/>
          <w:lang w:val="en-GB"/>
        </w:rPr>
        <w:t xml:space="preserve"> from the options below.</w:t>
      </w:r>
    </w:p>
    <w:p>
      <w:pPr>
        <w:ind w:left="720" w:hanging="720"/>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They are fragmented.</w:t>
      </w:r>
    </w:p>
    <w:p>
      <w:pPr>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They follow a “modified universalist” approach.</w:t>
      </w:r>
    </w:p>
    <w:p>
      <w:pPr>
        <w:rPr>
          <w:rFonts w:ascii="Arial" w:hAnsi="Arial" w:cs="Arial"/>
          <w:sz w:val="22"/>
          <w:szCs w:val="22"/>
          <w:lang w:val="en-GB"/>
        </w:rPr>
      </w:pPr>
    </w:p>
    <w:p>
      <w:pPr>
        <w:pStyle w:val="18"/>
        <w:numPr>
          <w:ilvl w:val="0"/>
          <w:numId w:val="2"/>
        </w:numPr>
        <w:ind w:left="426"/>
        <w:rPr>
          <w:rFonts w:ascii="Arial" w:hAnsi="Arial" w:cs="Arial"/>
          <w:sz w:val="22"/>
          <w:szCs w:val="22"/>
          <w:highlight w:val="yellow"/>
          <w:lang w:val="en-GB"/>
        </w:rPr>
      </w:pPr>
      <w:r>
        <w:rPr>
          <w:rFonts w:ascii="Arial" w:hAnsi="Arial" w:cs="Arial"/>
          <w:sz w:val="22"/>
          <w:szCs w:val="22"/>
          <w:highlight w:val="yellow"/>
          <w:lang w:val="en-GB"/>
        </w:rPr>
        <w:t>They follow a single-proceeding model and take a universalist approach except in regard to cross-border issues.</w:t>
      </w:r>
    </w:p>
    <w:p>
      <w:pPr>
        <w:rPr>
          <w:rFonts w:ascii="Arial" w:hAnsi="Arial" w:cs="Arial"/>
          <w:sz w:val="22"/>
          <w:szCs w:val="22"/>
          <w:lang w:val="en-GB"/>
        </w:rPr>
      </w:pPr>
    </w:p>
    <w:p>
      <w:pPr>
        <w:pStyle w:val="18"/>
        <w:numPr>
          <w:ilvl w:val="0"/>
          <w:numId w:val="2"/>
        </w:numPr>
        <w:ind w:left="426"/>
        <w:rPr>
          <w:rFonts w:ascii="Arial" w:hAnsi="Arial" w:cs="Arial"/>
          <w:sz w:val="22"/>
          <w:szCs w:val="22"/>
          <w:lang w:val="en-GB"/>
        </w:rPr>
      </w:pPr>
      <w:r>
        <w:rPr>
          <w:rFonts w:ascii="Arial" w:hAnsi="Arial" w:cs="Arial"/>
          <w:sz w:val="22"/>
          <w:szCs w:val="22"/>
          <w:lang w:val="en-GB"/>
        </w:rPr>
        <w:t xml:space="preserve">They are flexible and focused on restructuring, but they do not provide for the recognition or disposition of claims or assets held outside of Canada. </w:t>
      </w:r>
    </w:p>
    <w:p>
      <w:pPr>
        <w:ind w:left="66"/>
        <w:jc w:val="both"/>
        <w:rPr>
          <w:rFonts w:ascii="Arial" w:hAnsi="Arial" w:cs="Arial"/>
          <w:iCs/>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1.3</w:t>
      </w:r>
    </w:p>
    <w:p>
      <w:pPr>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pPr>
        <w:ind w:left="720" w:hanging="720"/>
        <w:rPr>
          <w:rFonts w:ascii="Arial" w:hAnsi="Arial" w:cs="Arial"/>
          <w:sz w:val="22"/>
          <w:szCs w:val="22"/>
          <w:lang w:val="en-GB"/>
        </w:rPr>
      </w:pPr>
    </w:p>
    <w:p>
      <w:pPr>
        <w:pStyle w:val="18"/>
        <w:numPr>
          <w:ilvl w:val="0"/>
          <w:numId w:val="3"/>
        </w:numPr>
        <w:ind w:left="426"/>
        <w:rPr>
          <w:rFonts w:ascii="Arial" w:hAnsi="Arial" w:cs="Arial"/>
          <w:sz w:val="22"/>
          <w:szCs w:val="22"/>
          <w:lang w:val="en-GB"/>
        </w:rPr>
      </w:pPr>
      <w:r>
        <w:rPr>
          <w:rFonts w:ascii="Arial" w:hAnsi="Arial" w:cs="Arial"/>
          <w:sz w:val="22"/>
          <w:szCs w:val="22"/>
          <w:lang w:val="en-GB"/>
        </w:rPr>
        <w:t>The provincial government.</w:t>
      </w:r>
    </w:p>
    <w:p>
      <w:pPr>
        <w:rPr>
          <w:rFonts w:ascii="Arial" w:hAnsi="Arial" w:cs="Arial"/>
          <w:sz w:val="22"/>
          <w:szCs w:val="22"/>
          <w:lang w:val="en-GB"/>
        </w:rPr>
      </w:pPr>
    </w:p>
    <w:p>
      <w:pPr>
        <w:pStyle w:val="18"/>
        <w:numPr>
          <w:ilvl w:val="0"/>
          <w:numId w:val="3"/>
        </w:numPr>
        <w:ind w:left="426"/>
        <w:rPr>
          <w:rFonts w:ascii="Arial" w:hAnsi="Arial" w:cs="Arial"/>
          <w:sz w:val="22"/>
          <w:szCs w:val="22"/>
          <w:lang w:val="en-GB"/>
        </w:rPr>
      </w:pPr>
      <w:r>
        <w:rPr>
          <w:rFonts w:ascii="Arial" w:hAnsi="Arial" w:cs="Arial"/>
          <w:sz w:val="22"/>
          <w:szCs w:val="22"/>
          <w:lang w:val="en-GB"/>
        </w:rPr>
        <w:t>The municipal government.</w:t>
      </w:r>
    </w:p>
    <w:p>
      <w:pPr>
        <w:rPr>
          <w:rFonts w:ascii="Arial" w:hAnsi="Arial" w:cs="Arial"/>
          <w:sz w:val="22"/>
          <w:szCs w:val="22"/>
          <w:lang w:val="en-GB"/>
        </w:rPr>
      </w:pPr>
    </w:p>
    <w:p>
      <w:pPr>
        <w:pStyle w:val="18"/>
        <w:numPr>
          <w:ilvl w:val="0"/>
          <w:numId w:val="3"/>
        </w:numPr>
        <w:ind w:left="426"/>
        <w:rPr>
          <w:rFonts w:ascii="Arial" w:hAnsi="Arial" w:cs="Arial"/>
          <w:sz w:val="22"/>
          <w:szCs w:val="22"/>
          <w:highlight w:val="yellow"/>
          <w:lang w:val="en-GB"/>
        </w:rPr>
      </w:pPr>
      <w:r>
        <w:rPr>
          <w:rFonts w:ascii="Arial" w:hAnsi="Arial" w:cs="Arial"/>
          <w:sz w:val="22"/>
          <w:szCs w:val="22"/>
          <w:highlight w:val="yellow"/>
          <w:lang w:val="en-GB"/>
        </w:rPr>
        <w:t>The Office of the Superintendent of Bankruptcy (the OSB).</w:t>
      </w:r>
    </w:p>
    <w:p>
      <w:pPr>
        <w:rPr>
          <w:rFonts w:ascii="Arial" w:hAnsi="Arial" w:cs="Arial"/>
          <w:sz w:val="22"/>
          <w:szCs w:val="22"/>
          <w:lang w:val="en-GB"/>
        </w:rPr>
      </w:pPr>
    </w:p>
    <w:p>
      <w:pPr>
        <w:pStyle w:val="18"/>
        <w:numPr>
          <w:ilvl w:val="0"/>
          <w:numId w:val="3"/>
        </w:numPr>
        <w:ind w:left="426"/>
        <w:rPr>
          <w:rFonts w:ascii="Arial" w:hAnsi="Arial" w:cs="Arial"/>
          <w:sz w:val="22"/>
          <w:szCs w:val="22"/>
          <w:lang w:val="en-GB"/>
        </w:rPr>
      </w:pPr>
      <w:r>
        <w:rPr>
          <w:rFonts w:ascii="Arial" w:hAnsi="Arial" w:cs="Arial"/>
          <w:sz w:val="22"/>
          <w:szCs w:val="22"/>
          <w:lang w:val="en-GB"/>
        </w:rPr>
        <w:t>The bankruptcy court.</w:t>
      </w:r>
    </w:p>
    <w:p>
      <w:pPr>
        <w:rPr>
          <w:rFonts w:ascii="Arial" w:hAnsi="Arial" w:cs="Arial"/>
          <w:sz w:val="22"/>
          <w:szCs w:val="22"/>
          <w:lang w:val="en-GB"/>
        </w:rPr>
      </w:pPr>
    </w:p>
    <w:p>
      <w:pPr>
        <w:pStyle w:val="18"/>
        <w:numPr>
          <w:ilvl w:val="0"/>
          <w:numId w:val="3"/>
        </w:numPr>
        <w:ind w:left="426"/>
        <w:rPr>
          <w:rFonts w:ascii="Arial" w:hAnsi="Arial" w:cs="Arial"/>
          <w:sz w:val="22"/>
          <w:szCs w:val="22"/>
          <w:lang w:val="en-GB"/>
        </w:rPr>
      </w:pPr>
      <w:r>
        <w:rPr>
          <w:rFonts w:ascii="Arial" w:hAnsi="Arial" w:cs="Arial"/>
          <w:sz w:val="22"/>
          <w:szCs w:val="22"/>
          <w:lang w:val="en-GB"/>
        </w:rPr>
        <w:t>(a) and (d).</w:t>
      </w:r>
    </w:p>
    <w:p>
      <w:pPr>
        <w:jc w:val="both"/>
        <w:rPr>
          <w:rFonts w:ascii="Arial" w:hAnsi="Arial" w:cs="Arial"/>
          <w:b/>
          <w:bCs/>
          <w:sz w:val="22"/>
          <w:szCs w:val="22"/>
          <w:lang w:val="en-GB"/>
        </w:rPr>
      </w:pPr>
    </w:p>
    <w:p>
      <w:pPr>
        <w:jc w:val="both"/>
        <w:rPr>
          <w:rFonts w:ascii="Arial" w:hAnsi="Arial" w:cs="Arial"/>
          <w:b/>
          <w:bCs/>
          <w:sz w:val="22"/>
          <w:szCs w:val="22"/>
          <w:lang w:val="en-GB"/>
        </w:rPr>
      </w:pPr>
    </w:p>
    <w:p>
      <w:pPr>
        <w:jc w:val="both"/>
        <w:rPr>
          <w:rFonts w:ascii="Arial" w:hAnsi="Arial" w:cs="Arial"/>
          <w:sz w:val="22"/>
          <w:szCs w:val="22"/>
          <w:highlight w:val="none"/>
          <w:lang w:val="en-GB"/>
        </w:rPr>
      </w:pPr>
      <w:r>
        <w:rPr>
          <w:rFonts w:ascii="Arial" w:hAnsi="Arial" w:cs="Arial"/>
          <w:b/>
          <w:bCs/>
          <w:sz w:val="22"/>
          <w:szCs w:val="22"/>
          <w:highlight w:val="none"/>
          <w:lang w:val="en-GB"/>
        </w:rPr>
        <w:t>Question 1.4</w:t>
      </w:r>
      <w:r>
        <w:rPr>
          <w:rFonts w:ascii="Arial" w:hAnsi="Arial" w:cs="Arial"/>
          <w:sz w:val="22"/>
          <w:szCs w:val="22"/>
          <w:highlight w:val="none"/>
          <w:lang w:val="en-GB"/>
        </w:rPr>
        <w:t xml:space="preserve"> </w:t>
      </w:r>
    </w:p>
    <w:p>
      <w:pPr>
        <w:jc w:val="both"/>
        <w:rPr>
          <w:rFonts w:ascii="Arial" w:hAnsi="Arial" w:cs="Arial"/>
          <w:sz w:val="22"/>
          <w:szCs w:val="22"/>
          <w:lang w:val="en-GB"/>
        </w:rPr>
      </w:pPr>
    </w:p>
    <w:p>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pPr>
        <w:ind w:left="720" w:hanging="720"/>
        <w:rPr>
          <w:rFonts w:ascii="Arial" w:hAnsi="Arial" w:cs="Arial"/>
          <w:sz w:val="22"/>
          <w:szCs w:val="22"/>
          <w:lang w:val="en-GB"/>
        </w:rPr>
      </w:pPr>
    </w:p>
    <w:p>
      <w:pPr>
        <w:pStyle w:val="18"/>
        <w:numPr>
          <w:ilvl w:val="0"/>
          <w:numId w:val="4"/>
        </w:numPr>
        <w:ind w:left="426"/>
        <w:rPr>
          <w:rFonts w:ascii="Arial" w:hAnsi="Arial" w:cs="Arial"/>
          <w:sz w:val="22"/>
          <w:szCs w:val="22"/>
          <w:highlight w:val="none"/>
          <w:lang w:val="en-GB"/>
        </w:rPr>
      </w:pPr>
      <w:r>
        <w:rPr>
          <w:rFonts w:ascii="Arial" w:hAnsi="Arial" w:cs="Arial"/>
          <w:sz w:val="22"/>
          <w:szCs w:val="22"/>
          <w:highlight w:val="none"/>
          <w:lang w:val="en-GB"/>
        </w:rPr>
        <w:t>Yes.</w:t>
      </w:r>
    </w:p>
    <w:p>
      <w:pPr>
        <w:rPr>
          <w:rFonts w:ascii="Arial" w:hAnsi="Arial" w:cs="Arial"/>
          <w:sz w:val="22"/>
          <w:szCs w:val="22"/>
          <w:lang w:val="en-GB"/>
        </w:rPr>
      </w:pPr>
    </w:p>
    <w:p>
      <w:pPr>
        <w:pStyle w:val="18"/>
        <w:numPr>
          <w:ilvl w:val="0"/>
          <w:numId w:val="4"/>
        </w:numPr>
        <w:ind w:left="426"/>
        <w:rPr>
          <w:rFonts w:ascii="Arial" w:hAnsi="Arial" w:cs="Arial"/>
          <w:sz w:val="22"/>
          <w:szCs w:val="22"/>
          <w:highlight w:val="yellow"/>
          <w:lang w:val="en-GB"/>
        </w:rPr>
      </w:pPr>
      <w:r>
        <w:rPr>
          <w:rFonts w:ascii="Arial" w:hAnsi="Arial" w:cs="Arial"/>
          <w:sz w:val="22"/>
          <w:szCs w:val="22"/>
          <w:highlight w:val="yellow"/>
          <w:lang w:val="en-GB"/>
        </w:rPr>
        <w:t>No. It is a discretionary order granted as part of the initial order by the court.</w:t>
      </w:r>
    </w:p>
    <w:p>
      <w:pPr>
        <w:rPr>
          <w:rFonts w:ascii="Arial" w:hAnsi="Arial" w:cs="Arial"/>
          <w:sz w:val="22"/>
          <w:szCs w:val="22"/>
          <w:lang w:val="en-GB"/>
        </w:rPr>
      </w:pPr>
    </w:p>
    <w:p>
      <w:pPr>
        <w:pStyle w:val="18"/>
        <w:numPr>
          <w:ilvl w:val="0"/>
          <w:numId w:val="4"/>
        </w:numPr>
        <w:ind w:left="426"/>
        <w:rPr>
          <w:rFonts w:ascii="Arial" w:hAnsi="Arial" w:cs="Arial"/>
          <w:sz w:val="22"/>
          <w:szCs w:val="22"/>
          <w:lang w:val="en-GB"/>
        </w:rPr>
      </w:pPr>
      <w:r>
        <w:rPr>
          <w:rFonts w:ascii="Arial" w:hAnsi="Arial" w:cs="Arial"/>
          <w:sz w:val="22"/>
          <w:szCs w:val="22"/>
          <w:lang w:val="en-GB"/>
        </w:rPr>
        <w:t>It depends on the circumstances of the proceeding.</w:t>
      </w:r>
    </w:p>
    <w:p>
      <w:pPr>
        <w:keepNext/>
        <w:jc w:val="both"/>
        <w:rPr>
          <w:rFonts w:ascii="Arial" w:hAnsi="Arial" w:cs="Arial"/>
          <w:b/>
          <w:bCs/>
          <w:sz w:val="22"/>
          <w:szCs w:val="22"/>
          <w:lang w:val="en-GB"/>
        </w:rPr>
      </w:pPr>
    </w:p>
    <w:p>
      <w:pPr>
        <w:keepNext/>
        <w:jc w:val="both"/>
        <w:rPr>
          <w:rFonts w:ascii="Arial" w:hAnsi="Arial" w:cs="Arial"/>
          <w:b/>
          <w:bCs/>
          <w:sz w:val="22"/>
          <w:szCs w:val="22"/>
          <w:lang w:val="en-GB"/>
        </w:rPr>
      </w:pPr>
    </w:p>
    <w:p>
      <w:pPr>
        <w:keepNext/>
        <w:jc w:val="both"/>
        <w:rPr>
          <w:rFonts w:ascii="Arial" w:hAnsi="Arial" w:cs="Arial"/>
          <w:b/>
          <w:bCs/>
          <w:sz w:val="22"/>
          <w:szCs w:val="22"/>
          <w:lang w:val="en-GB"/>
        </w:rPr>
      </w:pPr>
      <w:r>
        <w:rPr>
          <w:rFonts w:ascii="Arial" w:hAnsi="Arial" w:cs="Arial"/>
          <w:b/>
          <w:bCs/>
          <w:sz w:val="22"/>
          <w:szCs w:val="22"/>
          <w:lang w:val="en-GB"/>
        </w:rPr>
        <w:t xml:space="preserve">Question 1.5 </w:t>
      </w:r>
    </w:p>
    <w:p>
      <w:pPr>
        <w:autoSpaceDE w:val="0"/>
        <w:autoSpaceDN w:val="0"/>
        <w:adjustRightInd w:val="0"/>
        <w:jc w:val="both"/>
        <w:rPr>
          <w:rFonts w:ascii="Arial" w:hAnsi="Arial" w:cs="Arial"/>
          <w:sz w:val="22"/>
          <w:szCs w:val="22"/>
          <w:lang w:val="en-GB"/>
        </w:rPr>
      </w:pPr>
    </w:p>
    <w:p>
      <w:pPr>
        <w:rPr>
          <w:rFonts w:ascii="Arial" w:hAnsi="Arial" w:cs="Arial"/>
          <w:sz w:val="22"/>
          <w:szCs w:val="22"/>
        </w:rPr>
      </w:pPr>
      <w:r>
        <w:rPr>
          <w:rFonts w:ascii="Arial" w:hAnsi="Arial" w:cs="Arial"/>
          <w:sz w:val="22"/>
          <w:szCs w:val="22"/>
          <w:lang w:val="en-GB"/>
        </w:rPr>
        <w:t xml:space="preserve">An “insolvent person” under section 2 of the BIA </w:t>
      </w:r>
      <w:r>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Pr>
          <w:rFonts w:ascii="Arial" w:hAnsi="Arial" w:cs="Arial"/>
          <w:b/>
          <w:sz w:val="22"/>
          <w:szCs w:val="22"/>
          <w:u w:val="single"/>
        </w:rPr>
        <w:t>and:</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Select the </w:t>
      </w:r>
      <w:r>
        <w:rPr>
          <w:rFonts w:ascii="Arial" w:hAnsi="Arial" w:cs="Arial"/>
          <w:b/>
          <w:bCs/>
          <w:sz w:val="22"/>
          <w:szCs w:val="22"/>
          <w:lang w:val="en-GB"/>
        </w:rPr>
        <w:t>best answer</w:t>
      </w:r>
      <w:r>
        <w:rPr>
          <w:rFonts w:ascii="Arial" w:hAnsi="Arial" w:cs="Arial"/>
          <w:sz w:val="22"/>
          <w:szCs w:val="22"/>
          <w:lang w:val="en-GB"/>
        </w:rPr>
        <w:t xml:space="preserve"> from the options below.</w:t>
      </w:r>
    </w:p>
    <w:p>
      <w:pPr>
        <w:ind w:left="720" w:hanging="720"/>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rPr>
        <w:t>is unable to meet obligations as they generally become due</w:t>
      </w:r>
      <w:r>
        <w:rPr>
          <w:rFonts w:ascii="Arial" w:hAnsi="Arial" w:cs="Arial"/>
          <w:sz w:val="22"/>
          <w:szCs w:val="22"/>
          <w:lang w:val="en-GB"/>
        </w:rPr>
        <w:t>.</w:t>
      </w:r>
    </w:p>
    <w:p>
      <w:pPr>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rPr>
        <w:t>has ceased paying current obligations in the ordinary course of business as they generally become due</w:t>
      </w:r>
      <w:r>
        <w:rPr>
          <w:rFonts w:ascii="Arial" w:hAnsi="Arial" w:cs="Arial"/>
          <w:sz w:val="22"/>
          <w:szCs w:val="22"/>
          <w:lang w:val="en-GB"/>
        </w:rPr>
        <w:t>.</w:t>
      </w:r>
    </w:p>
    <w:p>
      <w:pPr>
        <w:rPr>
          <w:rFonts w:ascii="Arial" w:hAnsi="Arial" w:cs="Arial"/>
          <w:sz w:val="22"/>
          <w:szCs w:val="22"/>
          <w:lang w:val="en-GB"/>
        </w:rPr>
      </w:pPr>
    </w:p>
    <w:p>
      <w:pPr>
        <w:pStyle w:val="18"/>
        <w:numPr>
          <w:ilvl w:val="0"/>
          <w:numId w:val="5"/>
        </w:numPr>
        <w:ind w:left="426"/>
        <w:rPr>
          <w:rFonts w:ascii="Arial" w:hAnsi="Arial" w:cs="Arial"/>
          <w:sz w:val="22"/>
          <w:szCs w:val="22"/>
          <w:lang w:val="en-GB"/>
        </w:rPr>
      </w:pPr>
      <w:r>
        <w:rPr>
          <w:rFonts w:ascii="Arial" w:hAnsi="Arial" w:cs="Arial"/>
          <w:sz w:val="22"/>
          <w:szCs w:val="22"/>
        </w:rPr>
        <w:t>the aggregate of whose property is not, at fair valuation, sufficient to enable payment of all of his obligations, due and accruing due</w:t>
      </w:r>
      <w:r>
        <w:rPr>
          <w:rFonts w:ascii="Arial" w:hAnsi="Arial" w:cs="Arial"/>
          <w:sz w:val="22"/>
          <w:szCs w:val="22"/>
          <w:lang w:val="en-GB"/>
        </w:rPr>
        <w:t>.</w:t>
      </w:r>
    </w:p>
    <w:p>
      <w:pPr>
        <w:rPr>
          <w:rFonts w:ascii="Arial" w:hAnsi="Arial" w:cs="Arial"/>
          <w:sz w:val="22"/>
          <w:szCs w:val="22"/>
          <w:lang w:val="en-GB"/>
        </w:rPr>
      </w:pPr>
    </w:p>
    <w:p>
      <w:pPr>
        <w:pStyle w:val="18"/>
        <w:numPr>
          <w:ilvl w:val="0"/>
          <w:numId w:val="5"/>
        </w:numPr>
        <w:ind w:left="426"/>
        <w:rPr>
          <w:rFonts w:ascii="Arial" w:hAnsi="Arial" w:cs="Arial"/>
          <w:sz w:val="22"/>
          <w:szCs w:val="22"/>
          <w:highlight w:val="yellow"/>
          <w:lang w:val="en-GB"/>
        </w:rPr>
      </w:pPr>
      <w:r>
        <w:rPr>
          <w:rFonts w:ascii="Arial" w:hAnsi="Arial" w:cs="Arial"/>
          <w:sz w:val="22"/>
          <w:szCs w:val="22"/>
          <w:highlight w:val="yellow"/>
          <w:lang w:val="en-GB"/>
        </w:rPr>
        <w:t xml:space="preserve">any or all of the above. </w:t>
      </w:r>
    </w:p>
    <w:p>
      <w:pPr>
        <w:autoSpaceDE w:val="0"/>
        <w:autoSpaceDN w:val="0"/>
        <w:adjustRightInd w:val="0"/>
        <w:jc w:val="both"/>
        <w:rPr>
          <w:rFonts w:ascii="Arial" w:hAnsi="Arial" w:cs="Arial"/>
          <w:b/>
          <w:bCs/>
          <w:sz w:val="22"/>
          <w:szCs w:val="22"/>
          <w:lang w:val="en-GB"/>
        </w:rPr>
      </w:pPr>
    </w:p>
    <w:p>
      <w:pPr>
        <w:autoSpaceDE w:val="0"/>
        <w:autoSpaceDN w:val="0"/>
        <w:adjustRightInd w:val="0"/>
        <w:jc w:val="both"/>
        <w:rPr>
          <w:rFonts w:ascii="Arial" w:hAnsi="Arial" w:cs="Arial"/>
          <w:b/>
          <w:bCs/>
          <w:sz w:val="22"/>
          <w:szCs w:val="22"/>
          <w:lang w:val="en-GB"/>
        </w:rPr>
      </w:pPr>
    </w:p>
    <w:p>
      <w:pPr>
        <w:autoSpaceDE w:val="0"/>
        <w:autoSpaceDN w:val="0"/>
        <w:adjustRightInd w:val="0"/>
        <w:jc w:val="both"/>
        <w:rPr>
          <w:rFonts w:ascii="Arial" w:hAnsi="Arial" w:cs="Arial"/>
          <w:sz w:val="22"/>
          <w:szCs w:val="22"/>
          <w:lang w:val="en-GB"/>
        </w:rPr>
      </w:pPr>
      <w:r>
        <w:rPr>
          <w:rFonts w:ascii="Arial" w:hAnsi="Arial" w:cs="Arial"/>
          <w:b/>
          <w:bCs/>
          <w:sz w:val="22"/>
          <w:szCs w:val="22"/>
          <w:lang w:val="en-GB"/>
        </w:rPr>
        <w:t>Question 1.6</w:t>
      </w:r>
      <w:r>
        <w:rPr>
          <w:rFonts w:ascii="Arial" w:hAnsi="Arial" w:cs="Arial"/>
          <w:sz w:val="22"/>
          <w:szCs w:val="22"/>
          <w:lang w:val="en-GB"/>
        </w:rPr>
        <w:t xml:space="preserve"> </w:t>
      </w:r>
    </w:p>
    <w:p>
      <w:pPr>
        <w:jc w:val="both"/>
        <w:rPr>
          <w:rFonts w:ascii="Arial" w:hAnsi="Arial" w:cs="Arial"/>
          <w:sz w:val="22"/>
          <w:szCs w:val="22"/>
          <w:lang w:val="en-GB"/>
        </w:rPr>
      </w:pPr>
    </w:p>
    <w:p>
      <w:pPr>
        <w:jc w:val="both"/>
        <w:rPr>
          <w:rFonts w:ascii="Arial" w:hAnsi="Arial" w:cs="Arial"/>
          <w:sz w:val="22"/>
          <w:szCs w:val="22"/>
          <w:highlight w:val="none"/>
          <w:lang w:val="en-GB"/>
        </w:rPr>
      </w:pPr>
      <w:r>
        <w:rPr>
          <w:rFonts w:ascii="Arial" w:hAnsi="Arial" w:cs="Arial"/>
          <w:sz w:val="22"/>
          <w:szCs w:val="22"/>
          <w:lang w:val="en-GB"/>
        </w:rPr>
        <w:t>Which o</w:t>
      </w:r>
      <w:r>
        <w:rPr>
          <w:rFonts w:ascii="Arial" w:hAnsi="Arial" w:cs="Arial"/>
          <w:sz w:val="22"/>
          <w:szCs w:val="22"/>
          <w:highlight w:val="none"/>
          <w:lang w:val="en-GB"/>
        </w:rPr>
        <w:t>f the following is an act of bankruptcy under section 42 of the BIA?</w:t>
      </w:r>
    </w:p>
    <w:p>
      <w:pPr>
        <w:ind w:left="426" w:hanging="284"/>
        <w:jc w:val="both"/>
        <w:rPr>
          <w:rFonts w:ascii="Arial" w:hAnsi="Arial" w:cs="Arial"/>
          <w:sz w:val="22"/>
          <w:szCs w:val="22"/>
          <w:highlight w:val="none"/>
          <w:lang w:val="en-GB"/>
        </w:rPr>
      </w:pPr>
    </w:p>
    <w:p>
      <w:pPr>
        <w:pStyle w:val="18"/>
        <w:numPr>
          <w:ilvl w:val="0"/>
          <w:numId w:val="6"/>
        </w:numPr>
        <w:ind w:left="426"/>
        <w:jc w:val="both"/>
        <w:rPr>
          <w:rFonts w:ascii="Arial" w:hAnsi="Arial" w:cs="Arial"/>
          <w:sz w:val="22"/>
          <w:szCs w:val="22"/>
          <w:highlight w:val="none"/>
          <w:lang w:val="en-GB"/>
        </w:rPr>
      </w:pPr>
      <w:r>
        <w:rPr>
          <w:rFonts w:ascii="Arial" w:hAnsi="Arial" w:cs="Arial"/>
          <w:sz w:val="22"/>
          <w:szCs w:val="22"/>
          <w:highlight w:val="none"/>
          <w:lang w:val="en-GB"/>
        </w:rPr>
        <w:t>In Canada or elsewhere the bankrupt makes any transfer of the debtor’s property or any part of it, or creates any charge on it, that is a fraudulent preference.</w:t>
      </w:r>
    </w:p>
    <w:p>
      <w:pPr>
        <w:jc w:val="both"/>
        <w:rPr>
          <w:rFonts w:ascii="Arial" w:hAnsi="Arial" w:cs="Arial"/>
          <w:sz w:val="22"/>
          <w:szCs w:val="22"/>
          <w:highlight w:val="none"/>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debtor defaults on a proposal.</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debtor ceases to meet liabilities as they generally become due.</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The debtor makes an admission of his inability to pay debts.</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All of the above.</w:t>
      </w:r>
    </w:p>
    <w:p>
      <w:pPr>
        <w:jc w:val="both"/>
        <w:rPr>
          <w:rFonts w:ascii="Arial" w:hAnsi="Arial" w:cs="Arial"/>
          <w:b/>
          <w:bCs/>
          <w:sz w:val="22"/>
          <w:szCs w:val="22"/>
          <w:lang w:val="en-GB"/>
        </w:rPr>
      </w:pPr>
    </w:p>
    <w:p>
      <w:pPr>
        <w:jc w:val="both"/>
        <w:rPr>
          <w:rFonts w:ascii="Arial" w:hAnsi="Arial" w:cs="Arial"/>
          <w:b/>
          <w:bCs/>
          <w:sz w:val="22"/>
          <w:szCs w:val="22"/>
          <w:lang w:val="en-GB"/>
        </w:rPr>
      </w:pPr>
    </w:p>
    <w:p>
      <w:pPr>
        <w:jc w:val="both"/>
        <w:rPr>
          <w:rFonts w:ascii="Arial" w:hAnsi="Arial" w:cs="Arial"/>
          <w:sz w:val="22"/>
          <w:szCs w:val="22"/>
          <w:highlight w:val="none"/>
          <w:lang w:val="en-GB"/>
        </w:rPr>
      </w:pPr>
      <w:r>
        <w:rPr>
          <w:rFonts w:ascii="Arial" w:hAnsi="Arial" w:cs="Arial"/>
          <w:b/>
          <w:bCs/>
          <w:sz w:val="22"/>
          <w:szCs w:val="22"/>
          <w:highlight w:val="none"/>
          <w:lang w:val="en-GB"/>
        </w:rPr>
        <w:t>Question 1.7</w:t>
      </w:r>
      <w:r>
        <w:rPr>
          <w:rFonts w:ascii="Arial" w:hAnsi="Arial" w:cs="Arial"/>
          <w:sz w:val="22"/>
          <w:szCs w:val="22"/>
          <w:highlight w:val="none"/>
          <w:lang w:val="en-GB"/>
        </w:rPr>
        <w:t xml:space="preserve"> </w:t>
      </w:r>
    </w:p>
    <w:p>
      <w:pPr>
        <w:jc w:val="both"/>
        <w:rPr>
          <w:rFonts w:ascii="Arial" w:hAnsi="Arial" w:cs="Arial" w:eastAsiaTheme="minorHAnsi"/>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Indicate whether the statement below is True or False:</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It is possible to fund continued operations during restructuring proceedings in Canada.</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True.</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False.</w:t>
      </w:r>
    </w:p>
    <w:p>
      <w:pPr>
        <w:jc w:val="both"/>
        <w:rPr>
          <w:rFonts w:ascii="Arial" w:hAnsi="Arial" w:cs="Arial"/>
          <w:sz w:val="22"/>
          <w:szCs w:val="22"/>
          <w:lang w:val="en-GB"/>
        </w:rPr>
      </w:pPr>
      <w:r>
        <w:rPr>
          <w:rFonts w:ascii="Arial" w:hAnsi="Arial" w:cs="Arial"/>
          <w:b/>
          <w:bCs/>
          <w:sz w:val="22"/>
          <w:szCs w:val="22"/>
          <w:lang w:val="en-GB"/>
        </w:rPr>
        <w:t>Question 1.8</w:t>
      </w:r>
      <w:r>
        <w:rPr>
          <w:rFonts w:ascii="Arial" w:hAnsi="Arial" w:cs="Arial"/>
          <w:sz w:val="22"/>
          <w:szCs w:val="22"/>
          <w:lang w:val="en-GB"/>
        </w:rPr>
        <w:t xml:space="preserve"> </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Indicate whether the statement below is True or False:</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The CCAA provides for a statutory priority over pre-filing creditors to suppliers of goods and services to the debtor after the granting of an initial order.</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True.</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False.</w:t>
      </w:r>
    </w:p>
    <w:p>
      <w:pPr>
        <w:jc w:val="both"/>
        <w:rPr>
          <w:rFonts w:ascii="Arial" w:hAnsi="Arial" w:cs="Arial" w:eastAsiaTheme="minorHAnsi"/>
          <w:sz w:val="22"/>
          <w:szCs w:val="22"/>
          <w:lang w:val="en-GB"/>
        </w:rPr>
      </w:pPr>
    </w:p>
    <w:p>
      <w:pPr>
        <w:jc w:val="both"/>
        <w:rPr>
          <w:rFonts w:ascii="Arial" w:hAnsi="Arial" w:cs="Arial"/>
          <w:sz w:val="22"/>
          <w:szCs w:val="22"/>
          <w:lang w:val="en-GB"/>
        </w:rPr>
      </w:pPr>
      <w:r>
        <w:rPr>
          <w:rFonts w:ascii="Arial" w:hAnsi="Arial" w:cs="Arial"/>
          <w:b/>
          <w:bCs/>
          <w:sz w:val="22"/>
          <w:szCs w:val="22"/>
          <w:lang w:val="en-GB"/>
        </w:rPr>
        <w:t>Question 1.9</w:t>
      </w:r>
      <w:r>
        <w:rPr>
          <w:rFonts w:ascii="Arial" w:hAnsi="Arial" w:cs="Arial"/>
          <w:sz w:val="22"/>
          <w:szCs w:val="22"/>
          <w:lang w:val="en-GB"/>
        </w:rPr>
        <w:t xml:space="preserve"> </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Indicate whether the statement below is True or False:</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If a </w:t>
      </w:r>
      <w:r>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True.</w:t>
      </w:r>
      <w:r>
        <w:rPr>
          <w:rFonts w:hint="eastAsia" w:ascii="Arial" w:hAnsi="Arial" w:eastAsia="新細明體" w:cs="Arial"/>
          <w:sz w:val="22"/>
          <w:szCs w:val="22"/>
          <w:highlight w:val="yellow"/>
          <w:lang w:val="en-US" w:eastAsia="zh-TW"/>
        </w:rPr>
        <w:t xml:space="preserve"> </w:t>
      </w:r>
      <w:bookmarkStart w:id="1" w:name="_GoBack"/>
      <w:bookmarkEnd w:id="1"/>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False.</w:t>
      </w:r>
    </w:p>
    <w:p>
      <w:pPr>
        <w:rPr>
          <w:rFonts w:ascii="Arial" w:hAnsi="Arial" w:cs="Arial"/>
          <w:b/>
          <w:sz w:val="22"/>
          <w:szCs w:val="22"/>
          <w:lang w:val="en-GB"/>
        </w:rPr>
      </w:pP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 xml:space="preserve">Question 1.10 </w:t>
      </w:r>
    </w:p>
    <w:p>
      <w:pPr>
        <w:rPr>
          <w:rFonts w:ascii="Arial" w:hAnsi="Arial" w:cs="Arial"/>
          <w:b/>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Indicate whether the statement below is True or False:</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pPr>
        <w:rPr>
          <w:rFonts w:ascii="Arial" w:hAnsi="Arial" w:cs="Arial"/>
          <w:sz w:val="22"/>
          <w:szCs w:val="22"/>
          <w:lang w:val="en-GB"/>
        </w:rPr>
      </w:pPr>
    </w:p>
    <w:p>
      <w:pPr>
        <w:pStyle w:val="18"/>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True.</w:t>
      </w:r>
    </w:p>
    <w:p>
      <w:pPr>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False.</w:t>
      </w:r>
    </w:p>
    <w:p>
      <w:pPr>
        <w:rPr>
          <w:rFonts w:ascii="Arial" w:hAnsi="Arial" w:cs="Arial"/>
          <w:b/>
          <w:sz w:val="22"/>
          <w:szCs w:val="22"/>
          <w:lang w:val="en-GB"/>
        </w:rPr>
      </w:pPr>
    </w:p>
    <w:p>
      <w:pPr>
        <w:jc w:val="both"/>
        <w:rPr>
          <w:rFonts w:ascii="Arial" w:hAnsi="Arial" w:cs="Arial"/>
          <w:bCs/>
          <w:sz w:val="22"/>
          <w:szCs w:val="22"/>
          <w:lang w:val="en-GB"/>
        </w:rPr>
      </w:pPr>
    </w:p>
    <w:p>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r>
      <w:r>
        <w:rPr>
          <w:rFonts w:ascii="Arial" w:hAnsi="Arial" w:cs="Arial"/>
          <w:b/>
          <w:bCs/>
          <w:sz w:val="22"/>
          <w:szCs w:val="22"/>
          <w:lang w:val="en-GB"/>
        </w:rPr>
        <w:t>[maximum 3 marks]</w:t>
      </w:r>
      <w:r>
        <w:rPr>
          <w:rFonts w:ascii="Arial" w:hAnsi="Arial" w:cs="Arial"/>
          <w:sz w:val="22"/>
          <w:szCs w:val="22"/>
          <w:lang w:val="en-GB"/>
        </w:rPr>
        <w:t xml:space="preserve">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Identify the different ways in which a debtor can enter bankruptcy in Canada.</w:t>
      </w:r>
    </w:p>
    <w:p>
      <w:pPr>
        <w:ind w:left="720" w:hanging="720"/>
        <w:jc w:val="both"/>
        <w:rPr>
          <w:rFonts w:ascii="Arial" w:hAnsi="Arial" w:cs="Arial"/>
          <w:sz w:val="22"/>
          <w:szCs w:val="22"/>
          <w:lang w:val="en-GB"/>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There are three methods in which a debtor can enter bankruptcy in Canada which are:-</w:t>
      </w:r>
    </w:p>
    <w:p>
      <w:pPr>
        <w:numPr>
          <w:ilvl w:val="0"/>
          <w:numId w:val="11"/>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color w:val="7C7C7C" w:themeColor="accent3" w:themeShade="BF"/>
          <w:sz w:val="22"/>
          <w:szCs w:val="22"/>
          <w:lang w:val="en-US" w:eastAsia="zh-TW"/>
        </w:rPr>
        <w:t>i</w:t>
      </w:r>
      <w:r>
        <w:rPr>
          <w:rFonts w:hint="eastAsia" w:ascii="Arial" w:hAnsi="Arial" w:eastAsia="新細明體" w:cs="Arial"/>
          <w:bCs/>
          <w:color w:val="7B7B7B"/>
          <w:sz w:val="22"/>
          <w:szCs w:val="22"/>
          <w:lang w:val="en-US" w:eastAsia="zh-TW"/>
        </w:rPr>
        <w:t>nvoluntary (which the creditor make out an application for the bankruptcy)</w:t>
      </w:r>
    </w:p>
    <w:p>
      <w:pPr>
        <w:numPr>
          <w:ilvl w:val="0"/>
          <w:numId w:val="11"/>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 xml:space="preserve">voluntary (which debtor voluntarily makes an assignment to bankruptcy proceedings), and </w:t>
      </w:r>
    </w:p>
    <w:p>
      <w:pPr>
        <w:numPr>
          <w:ilvl w:val="0"/>
          <w:numId w:val="11"/>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on the failure of a BIA proposal (which a class of creditors rejected the corporate proposal in voting).</w:t>
      </w:r>
    </w:p>
    <w:p>
      <w:pPr>
        <w:ind w:left="720" w:hanging="720"/>
        <w:jc w:val="both"/>
        <w:rPr>
          <w:rFonts w:ascii="Arial" w:hAnsi="Arial" w:cs="Arial"/>
          <w:b/>
          <w:bCs/>
          <w:sz w:val="22"/>
          <w:szCs w:val="22"/>
          <w:lang w:val="en-GB"/>
        </w:rPr>
      </w:pPr>
    </w:p>
    <w:p>
      <w:pPr>
        <w:ind w:left="720" w:hanging="720"/>
        <w:jc w:val="both"/>
        <w:rPr>
          <w:rFonts w:ascii="Arial" w:hAnsi="Arial" w:cs="Arial"/>
          <w:b/>
          <w:bCs/>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2.2</w:t>
      </w:r>
      <w:r>
        <w:rPr>
          <w:rFonts w:ascii="Arial" w:hAnsi="Arial" w:cs="Arial"/>
          <w:b/>
          <w:bCs/>
          <w:sz w:val="22"/>
          <w:szCs w:val="22"/>
          <w:lang w:val="en-GB"/>
        </w:rPr>
        <w:tab/>
      </w:r>
      <w:r>
        <w:rPr>
          <w:rFonts w:ascii="Arial" w:hAnsi="Arial" w:cs="Arial"/>
          <w:b/>
          <w:bCs/>
          <w:sz w:val="22"/>
          <w:szCs w:val="22"/>
          <w:lang w:val="en-GB"/>
        </w:rPr>
        <w:t>[maximum 2 marks]</w:t>
      </w:r>
      <w:r>
        <w:rPr>
          <w:rFonts w:ascii="Arial" w:hAnsi="Arial" w:cs="Arial"/>
          <w:sz w:val="22"/>
          <w:szCs w:val="22"/>
          <w:lang w:val="en-GB"/>
        </w:rPr>
        <w:t xml:space="preserve"> </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What are the requirements that a creditor must demonstrate to make out an application for an involuntary bankruptcy order?</w:t>
      </w:r>
    </w:p>
    <w:p>
      <w:pPr>
        <w:ind w:left="720" w:hanging="720"/>
        <w:jc w:val="both"/>
        <w:rPr>
          <w:rFonts w:ascii="Arial" w:hAnsi="Arial" w:cs="Arial"/>
          <w:sz w:val="22"/>
          <w:szCs w:val="22"/>
          <w:lang w:val="en-GB"/>
        </w:rPr>
      </w:pPr>
    </w:p>
    <w:p>
      <w:pPr>
        <w:ind w:left="0" w:leftChars="0" w:firstLine="0" w:firstLineChars="0"/>
        <w:jc w:val="both"/>
        <w:rPr>
          <w:rFonts w:hint="eastAsia" w:ascii="Arial" w:hAnsi="Arial" w:eastAsia="新細明體" w:cs="Arial"/>
          <w:color w:val="7B7B7B"/>
          <w:sz w:val="22"/>
          <w:szCs w:val="22"/>
          <w:lang w:val="en-GB" w:eastAsia="zh-TW"/>
        </w:rPr>
      </w:pPr>
      <w:r>
        <w:rPr>
          <w:rFonts w:hint="eastAsia" w:ascii="Arial" w:hAnsi="Arial" w:eastAsia="新細明體" w:cs="Arial"/>
          <w:color w:val="7C7C7C" w:themeColor="accent3" w:themeShade="BF"/>
          <w:sz w:val="22"/>
          <w:szCs w:val="22"/>
          <w:lang w:val="en-US" w:eastAsia="zh-TW"/>
        </w:rPr>
        <w:t xml:space="preserve">For a creditor to take out an application for an involuntary bankruptcy order, he/ she must prove himself/herself be owed in excess of CAD 1,000 of unsecured </w:t>
      </w:r>
      <w:r>
        <w:rPr>
          <w:rFonts w:hint="eastAsia" w:ascii="Arial" w:hAnsi="Arial" w:eastAsia="新細明體" w:cs="Arial"/>
          <w:color w:val="7B7B7B"/>
          <w:sz w:val="22"/>
          <w:szCs w:val="22"/>
          <w:lang w:val="en-US" w:eastAsia="zh-TW"/>
        </w:rPr>
        <w:t xml:space="preserve">debt and provide evidence that the debtor has committed an </w:t>
      </w:r>
      <w:r>
        <w:rPr>
          <w:rFonts w:hint="default" w:ascii="Arial" w:hAnsi="Arial" w:eastAsia="新細明體" w:cs="Arial"/>
          <w:color w:val="7B7B7B"/>
          <w:sz w:val="22"/>
          <w:szCs w:val="22"/>
          <w:lang w:val="en-US" w:eastAsia="zh-TW"/>
        </w:rPr>
        <w:t>“</w:t>
      </w:r>
      <w:r>
        <w:rPr>
          <w:rFonts w:hint="eastAsia" w:ascii="Arial" w:hAnsi="Arial" w:eastAsia="新細明體" w:cs="Arial"/>
          <w:color w:val="7B7B7B"/>
          <w:sz w:val="22"/>
          <w:szCs w:val="22"/>
          <w:lang w:val="en-US" w:eastAsia="zh-TW"/>
        </w:rPr>
        <w:t>act of bankruptcy</w:t>
      </w:r>
      <w:r>
        <w:rPr>
          <w:rFonts w:hint="default" w:ascii="Arial" w:hAnsi="Arial" w:eastAsia="新細明體" w:cs="Arial"/>
          <w:color w:val="7B7B7B"/>
          <w:sz w:val="22"/>
          <w:szCs w:val="22"/>
          <w:lang w:val="en-US" w:eastAsia="zh-TW"/>
        </w:rPr>
        <w:t>”</w:t>
      </w:r>
      <w:r>
        <w:rPr>
          <w:rFonts w:hint="eastAsia" w:ascii="Arial" w:hAnsi="Arial" w:eastAsia="新細明體" w:cs="Arial"/>
          <w:color w:val="7B7B7B"/>
          <w:sz w:val="22"/>
          <w:szCs w:val="22"/>
          <w:lang w:val="en-US" w:eastAsia="zh-TW"/>
        </w:rPr>
        <w:t xml:space="preserve"> within six months of the date of the filing of the application. </w:t>
      </w:r>
      <w:r>
        <w:rPr>
          <w:rFonts w:hint="eastAsia" w:ascii="Arial" w:hAnsi="Arial" w:eastAsia="新細明體" w:cs="Arial"/>
          <w:color w:val="7C7C7C" w:themeColor="accent3" w:themeShade="BF"/>
          <w:sz w:val="22"/>
          <w:szCs w:val="22"/>
          <w:lang w:val="en-US" w:eastAsia="zh-TW"/>
        </w:rPr>
        <w:t xml:space="preserve">The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act of bankruptcy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involves the conduct which either shows that the debtor is insolvent or shows that the debtor violated certain norms of commercial morality by attempting to frustrate the legitimate collect efforts of the creditor. </w:t>
      </w:r>
    </w:p>
    <w:p>
      <w:pPr>
        <w:ind w:left="720" w:hanging="720"/>
        <w:jc w:val="both"/>
        <w:rPr>
          <w:rFonts w:ascii="Arial" w:hAnsi="Arial" w:cs="Arial"/>
          <w:color w:val="7B7B7B"/>
          <w:sz w:val="22"/>
          <w:szCs w:val="22"/>
          <w:lang w:val="en-GB"/>
        </w:rPr>
      </w:pPr>
    </w:p>
    <w:p>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r>
      <w:r>
        <w:rPr>
          <w:rFonts w:ascii="Arial" w:hAnsi="Arial" w:cs="Arial"/>
          <w:b/>
          <w:bCs/>
          <w:sz w:val="22"/>
          <w:szCs w:val="22"/>
          <w:lang w:val="en-GB"/>
        </w:rPr>
        <w:t xml:space="preserve">[maximum 3 marks] </w:t>
      </w:r>
    </w:p>
    <w:p>
      <w:pPr>
        <w:ind w:left="720" w:hanging="720"/>
        <w:jc w:val="both"/>
        <w:rPr>
          <w:rFonts w:ascii="Arial" w:hAnsi="Arial" w:cs="Arial"/>
          <w:b/>
          <w:bCs/>
          <w:sz w:val="22"/>
          <w:szCs w:val="22"/>
          <w:lang w:val="en-GB"/>
        </w:rPr>
      </w:pPr>
    </w:p>
    <w:p>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 xml:space="preserve">Name three </w:t>
      </w:r>
      <w:r>
        <w:rPr>
          <w:rFonts w:ascii="Arial" w:hAnsi="Arial" w:cs="Arial"/>
          <w:bCs/>
          <w:sz w:val="22"/>
          <w:szCs w:val="22"/>
        </w:rPr>
        <w:t>of these functions.</w:t>
      </w:r>
      <w:r>
        <w:rPr>
          <w:rFonts w:ascii="Arial" w:hAnsi="Arial" w:cs="Arial"/>
          <w:b/>
          <w:sz w:val="22"/>
          <w:szCs w:val="22"/>
        </w:rPr>
        <w:t xml:space="preserve"> </w:t>
      </w:r>
    </w:p>
    <w:p>
      <w:pPr>
        <w:ind w:left="720" w:hanging="720"/>
        <w:jc w:val="both"/>
        <w:rPr>
          <w:rFonts w:ascii="Arial" w:hAnsi="Arial" w:cs="Arial"/>
          <w:sz w:val="22"/>
          <w:szCs w:val="22"/>
          <w:lang w:val="en-GB"/>
        </w:rPr>
      </w:pPr>
    </w:p>
    <w:p>
      <w:pPr>
        <w:jc w:val="both"/>
        <w:rPr>
          <w:rFonts w:hint="eastAsia" w:ascii="Arial" w:hAnsi="Arial" w:eastAsia="新細明體" w:cs="Arial"/>
          <w:bCs/>
          <w:color w:val="7B7B7B"/>
          <w:sz w:val="22"/>
          <w:szCs w:val="22"/>
          <w:lang w:val="en-US" w:eastAsia="zh-TW"/>
        </w:rPr>
      </w:pPr>
      <w:r>
        <w:rPr>
          <w:rFonts w:hint="eastAsia" w:ascii="Arial" w:hAnsi="Arial" w:eastAsia="新細明體" w:cs="Arial"/>
          <w:color w:val="7C7C7C" w:themeColor="accent3" w:themeShade="BF"/>
          <w:sz w:val="22"/>
          <w:szCs w:val="22"/>
          <w:lang w:val="en-US" w:eastAsia="zh-TW"/>
        </w:rPr>
        <w:t xml:space="preserve">The Office of the Superintendent of Bankruptcy is to ensure bankruptcies and insolvencies are handled fairly and efficiently.   The functions of the Office of the Superintendent of Bankruptcy are to supervise all estates and matters which the BIA applies or select matters under CCAA, </w:t>
      </w:r>
      <w:r>
        <w:rPr>
          <w:rFonts w:hint="eastAsia" w:ascii="Arial" w:hAnsi="Arial" w:eastAsia="新細明體" w:cs="Arial"/>
          <w:bCs/>
          <w:color w:val="7B7B7B"/>
          <w:sz w:val="22"/>
          <w:szCs w:val="22"/>
          <w:lang w:val="en-US" w:eastAsia="zh-TW"/>
        </w:rPr>
        <w:t xml:space="preserve">regulate the insolvency profession as well as to ensure compliance through maintenance and enforcement of the regulatory framework.  It includes the following:- </w:t>
      </w:r>
    </w:p>
    <w:p>
      <w:pPr>
        <w:numPr>
          <w:ilvl w:val="0"/>
          <w:numId w:val="12"/>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licensing and supervising of trustees;</w:t>
      </w:r>
    </w:p>
    <w:p>
      <w:pPr>
        <w:numPr>
          <w:ilvl w:val="0"/>
          <w:numId w:val="12"/>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inspecting or investigating estates;</w:t>
      </w:r>
    </w:p>
    <w:p>
      <w:pPr>
        <w:numPr>
          <w:ilvl w:val="0"/>
          <w:numId w:val="12"/>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receiving and dealing with complaints from creditors against estate professionals during proceedings;</w:t>
      </w:r>
    </w:p>
    <w:p>
      <w:pPr>
        <w:numPr>
          <w:ilvl w:val="0"/>
          <w:numId w:val="12"/>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examining a trustee</w:t>
      </w:r>
      <w:r>
        <w:rPr>
          <w:rFonts w:hint="default" w:ascii="Arial" w:hAnsi="Arial" w:eastAsia="新細明體" w:cs="Arial"/>
          <w:bCs/>
          <w:color w:val="7B7B7B"/>
          <w:sz w:val="22"/>
          <w:szCs w:val="22"/>
          <w:lang w:val="en-US" w:eastAsia="zh-TW"/>
        </w:rPr>
        <w:t>’</w:t>
      </w:r>
      <w:r>
        <w:rPr>
          <w:rFonts w:hint="eastAsia" w:ascii="Arial" w:hAnsi="Arial" w:eastAsia="新細明體" w:cs="Arial"/>
          <w:bCs/>
          <w:color w:val="7B7B7B"/>
          <w:sz w:val="22"/>
          <w:szCs w:val="22"/>
          <w:lang w:val="en-US" w:eastAsia="zh-TW"/>
        </w:rPr>
        <w:t xml:space="preserve">s account of a bankruptcy and ensuring all the correct information is accounted for; and </w:t>
      </w:r>
    </w:p>
    <w:p>
      <w:pPr>
        <w:numPr>
          <w:ilvl w:val="0"/>
          <w:numId w:val="12"/>
        </w:numPr>
        <w:ind w:left="736" w:leftChars="199" w:hanging="338" w:hangingChars="154"/>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maintaining public records regarding the filing of proposals, bankruptcies, license issues and appointments of receivers under the BIA</w:t>
      </w:r>
    </w:p>
    <w:p>
      <w:pPr>
        <w:ind w:left="720" w:hanging="720"/>
        <w:jc w:val="both"/>
        <w:rPr>
          <w:rFonts w:ascii="Arial" w:hAnsi="Arial" w:cs="Arial"/>
          <w:b/>
          <w:bCs/>
          <w:sz w:val="22"/>
          <w:szCs w:val="22"/>
          <w:lang w:val="en-GB"/>
        </w:rPr>
      </w:pPr>
    </w:p>
    <w:p>
      <w:pPr>
        <w:ind w:left="720" w:hanging="720"/>
        <w:jc w:val="both"/>
        <w:rPr>
          <w:rFonts w:ascii="Arial" w:hAnsi="Arial" w:cs="Arial"/>
          <w:b/>
          <w:bCs/>
          <w:sz w:val="22"/>
          <w:szCs w:val="22"/>
          <w:lang w:val="en-GB"/>
        </w:rPr>
      </w:pPr>
      <w:r>
        <w:rPr>
          <w:rFonts w:ascii="Arial" w:hAnsi="Arial" w:cs="Arial"/>
          <w:b/>
          <w:bCs/>
          <w:sz w:val="22"/>
          <w:szCs w:val="22"/>
          <w:lang w:val="en-GB"/>
        </w:rPr>
        <w:t>Question 2.4</w:t>
      </w:r>
      <w:r>
        <w:rPr>
          <w:rFonts w:ascii="Arial" w:hAnsi="Arial" w:cs="Arial"/>
          <w:b/>
          <w:bCs/>
          <w:sz w:val="22"/>
          <w:szCs w:val="22"/>
          <w:lang w:val="en-GB"/>
        </w:rPr>
        <w:tab/>
      </w:r>
      <w:r>
        <w:rPr>
          <w:rFonts w:ascii="Arial" w:hAnsi="Arial" w:cs="Arial"/>
          <w:b/>
          <w:bCs/>
          <w:sz w:val="22"/>
          <w:szCs w:val="22"/>
          <w:lang w:val="en-GB"/>
        </w:rPr>
        <w:t xml:space="preserve">[maximum 2 marks]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What are the </w:t>
      </w:r>
      <w:r>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p>
    <w:p>
      <w:pPr>
        <w:ind w:left="720" w:hanging="720"/>
        <w:jc w:val="both"/>
        <w:rPr>
          <w:rFonts w:ascii="Arial" w:hAnsi="Arial" w:cs="Arial"/>
          <w:sz w:val="22"/>
          <w:szCs w:val="22"/>
          <w:lang w:val="en-GB"/>
        </w:rPr>
      </w:pPr>
    </w:p>
    <w:p>
      <w:pPr>
        <w:numPr>
          <w:ilvl w:val="0"/>
          <w:numId w:val="0"/>
        </w:numPr>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An individual bankrupt is automatically discharged 9 months after the bankruptcy is filed if :-</w:t>
      </w:r>
    </w:p>
    <w:p>
      <w:pPr>
        <w:numPr>
          <w:ilvl w:val="0"/>
          <w:numId w:val="13"/>
        </w:numPr>
        <w:ind w:left="739" w:leftChars="199" w:hanging="341" w:hangingChars="155"/>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it is his/her first bankruptcy;</w:t>
      </w:r>
    </w:p>
    <w:p>
      <w:pPr>
        <w:numPr>
          <w:ilvl w:val="0"/>
          <w:numId w:val="13"/>
        </w:numPr>
        <w:ind w:left="739" w:leftChars="199" w:hanging="341" w:hangingChars="155"/>
        <w:jc w:val="both"/>
        <w:rPr>
          <w:rFonts w:hint="eastAsia" w:ascii="Arial" w:hAnsi="Arial" w:eastAsia="新細明體" w:cs="Arial"/>
          <w:bCs/>
          <w:color w:val="7B7B7B"/>
          <w:sz w:val="22"/>
          <w:szCs w:val="22"/>
          <w:lang w:val="en-US" w:eastAsia="zh-TW"/>
        </w:rPr>
      </w:pPr>
      <w:r>
        <w:rPr>
          <w:rFonts w:hint="eastAsia" w:ascii="Arial" w:hAnsi="Arial" w:eastAsia="新細明體" w:cs="Arial"/>
          <w:bCs/>
          <w:color w:val="7B7B7B"/>
          <w:sz w:val="22"/>
          <w:szCs w:val="22"/>
          <w:lang w:val="en-US" w:eastAsia="zh-TW"/>
        </w:rPr>
        <w:t>the Bankrupt has attended two financial counselling sessions;</w:t>
      </w:r>
    </w:p>
    <w:p>
      <w:pPr>
        <w:numPr>
          <w:ilvl w:val="0"/>
          <w:numId w:val="13"/>
        </w:numPr>
        <w:ind w:left="739" w:leftChars="199" w:hanging="341" w:hangingChars="155"/>
        <w:jc w:val="both"/>
        <w:rPr>
          <w:rFonts w:hint="eastAsia" w:ascii="Arial" w:hAnsi="Arial" w:eastAsia="新細明體" w:cs="Arial"/>
          <w:bCs/>
          <w:color w:val="7B7B7B"/>
          <w:sz w:val="22"/>
          <w:szCs w:val="22"/>
          <w:lang w:val="en-GB" w:eastAsia="zh-TW"/>
        </w:rPr>
      </w:pPr>
      <w:r>
        <w:rPr>
          <w:rFonts w:hint="eastAsia" w:ascii="Arial" w:hAnsi="Arial" w:eastAsia="新細明體" w:cs="Arial"/>
          <w:bCs/>
          <w:color w:val="7B7B7B"/>
          <w:sz w:val="22"/>
          <w:szCs w:val="22"/>
          <w:lang w:val="en-US" w:eastAsia="zh-TW"/>
        </w:rPr>
        <w:t>the bankrupt is not required to pay a portion of his income into the bankruptcy estate as per the standards established by the Office of the Superintendent of Bankruptcy;</w:t>
      </w:r>
    </w:p>
    <w:p>
      <w:pPr>
        <w:numPr>
          <w:ilvl w:val="0"/>
          <w:numId w:val="13"/>
        </w:numPr>
        <w:ind w:left="739" w:leftChars="199" w:hanging="341" w:hangingChars="155"/>
        <w:jc w:val="both"/>
        <w:rPr>
          <w:rFonts w:hint="eastAsia" w:ascii="Arial" w:hAnsi="Arial" w:eastAsia="新細明體" w:cs="Arial"/>
          <w:bCs/>
          <w:color w:val="7B7B7B"/>
          <w:sz w:val="22"/>
          <w:szCs w:val="22"/>
          <w:lang w:val="en-GB" w:eastAsia="zh-TW"/>
        </w:rPr>
      </w:pPr>
      <w:r>
        <w:rPr>
          <w:rFonts w:hint="eastAsia" w:ascii="Arial" w:hAnsi="Arial" w:eastAsia="新細明體" w:cs="Arial"/>
          <w:bCs/>
          <w:color w:val="7B7B7B"/>
          <w:sz w:val="22"/>
          <w:szCs w:val="22"/>
          <w:lang w:val="en-US" w:eastAsia="zh-TW"/>
        </w:rPr>
        <w:t>the discharge is not opposed by a creditor, the trustee or the Office of the Superintendent of the Bankruptcy.</w:t>
      </w:r>
    </w:p>
    <w:p>
      <w:pPr>
        <w:numPr>
          <w:ilvl w:val="0"/>
          <w:numId w:val="0"/>
        </w:numPr>
        <w:jc w:val="both"/>
        <w:rPr>
          <w:rFonts w:hint="eastAsia" w:ascii="Arial" w:hAnsi="Arial" w:eastAsia="新細明體" w:cs="Arial"/>
          <w:bCs/>
          <w:color w:val="7B7B7B"/>
          <w:sz w:val="22"/>
          <w:szCs w:val="22"/>
          <w:lang w:val="en-US" w:eastAsia="zh-TW"/>
        </w:rPr>
      </w:pPr>
    </w:p>
    <w:p>
      <w:pPr>
        <w:numPr>
          <w:ilvl w:val="0"/>
          <w:numId w:val="0"/>
        </w:numPr>
        <w:jc w:val="both"/>
        <w:rPr>
          <w:rFonts w:hint="eastAsia" w:ascii="Arial" w:hAnsi="Arial" w:eastAsia="新細明體" w:cs="Arial"/>
          <w:bCs/>
          <w:color w:val="7B7B7B"/>
          <w:sz w:val="22"/>
          <w:szCs w:val="22"/>
          <w:lang w:val="en-GB" w:eastAsia="zh-TW"/>
        </w:rPr>
      </w:pPr>
    </w:p>
    <w:p>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pPr>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3.1</w:t>
      </w:r>
      <w:r>
        <w:rPr>
          <w:rFonts w:ascii="Arial" w:hAnsi="Arial" w:cs="Arial"/>
          <w:sz w:val="22"/>
          <w:szCs w:val="22"/>
          <w:lang w:val="en-GB"/>
        </w:rPr>
        <w:t xml:space="preserve"> </w:t>
      </w:r>
      <w:r>
        <w:rPr>
          <w:rFonts w:ascii="Arial" w:hAnsi="Arial" w:cs="Arial"/>
          <w:b/>
          <w:sz w:val="22"/>
          <w:szCs w:val="22"/>
          <w:lang w:val="en-GB"/>
        </w:rPr>
        <w:t>[maximum 8 marks</w:t>
      </w:r>
      <w:r>
        <w:rPr>
          <w:rFonts w:ascii="Arial" w:hAnsi="Arial" w:cs="Arial"/>
          <w:sz w:val="22"/>
          <w:szCs w:val="22"/>
          <w:lang w:val="en-GB"/>
        </w:rPr>
        <w:t>]</w:t>
      </w:r>
    </w:p>
    <w:p>
      <w:pPr>
        <w:ind w:left="720" w:hanging="720"/>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In your essay you should refer to at least the following:</w:t>
      </w:r>
    </w:p>
    <w:p>
      <w:pPr>
        <w:rPr>
          <w:rFonts w:ascii="Arial" w:hAnsi="Arial" w:cs="Arial"/>
          <w:sz w:val="22"/>
          <w:szCs w:val="22"/>
          <w:lang w:val="en-GB"/>
        </w:rPr>
      </w:pPr>
    </w:p>
    <w:p>
      <w:pPr>
        <w:pStyle w:val="18"/>
        <w:numPr>
          <w:ilvl w:val="0"/>
          <w:numId w:val="14"/>
        </w:numPr>
        <w:ind w:left="426"/>
        <w:rPr>
          <w:rFonts w:ascii="Arial" w:hAnsi="Arial" w:cs="Arial"/>
          <w:sz w:val="22"/>
          <w:szCs w:val="22"/>
          <w:lang w:val="en-GB"/>
        </w:rPr>
      </w:pPr>
      <w:r>
        <w:rPr>
          <w:rFonts w:ascii="Arial" w:hAnsi="Arial" w:cs="Arial"/>
          <w:sz w:val="22"/>
          <w:szCs w:val="22"/>
          <w:lang w:val="en-GB"/>
        </w:rPr>
        <w:t>Whether the monitor and / or proposal trustee is court-appointed; and</w:t>
      </w:r>
    </w:p>
    <w:p>
      <w:pPr>
        <w:ind w:left="66"/>
        <w:rPr>
          <w:rFonts w:ascii="Arial" w:hAnsi="Arial" w:cs="Arial"/>
          <w:sz w:val="22"/>
          <w:szCs w:val="22"/>
          <w:lang w:val="en-GB"/>
        </w:rPr>
      </w:pPr>
    </w:p>
    <w:p>
      <w:pPr>
        <w:pStyle w:val="18"/>
        <w:numPr>
          <w:ilvl w:val="0"/>
          <w:numId w:val="14"/>
        </w:numPr>
        <w:ind w:left="426"/>
        <w:rPr>
          <w:rFonts w:ascii="Arial" w:hAnsi="Arial" w:cs="Arial"/>
          <w:sz w:val="22"/>
          <w:szCs w:val="22"/>
          <w:lang w:val="en-GB"/>
        </w:rPr>
      </w:pPr>
      <w:r>
        <w:rPr>
          <w:rFonts w:ascii="Arial" w:hAnsi="Arial" w:cs="Arial"/>
          <w:sz w:val="22"/>
          <w:szCs w:val="22"/>
          <w:lang w:val="en-GB"/>
        </w:rPr>
        <w:t>The statutory duties, if any, of the monitor and / or proposal trustee.</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highlight w:val="none"/>
          <w:lang w:val="en-US" w:eastAsia="zh-TW"/>
        </w:rPr>
      </w:pPr>
      <w:r>
        <w:rPr>
          <w:rFonts w:hint="eastAsia" w:ascii="Arial" w:hAnsi="Arial" w:eastAsia="新細明體" w:cs="Arial"/>
          <w:color w:val="7C7C7C" w:themeColor="accent3" w:themeShade="BF"/>
          <w:sz w:val="22"/>
          <w:szCs w:val="22"/>
          <w:lang w:val="en-US" w:eastAsia="zh-TW"/>
        </w:rPr>
        <w:t xml:space="preserve">Though BIA proposal proceedings and CCAA proceedings are debtor-in-possession, the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Monitor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in the CCAA proceedings is appointed by the court and act as an officer of the court to oversee the process on its behalf and any plan of arrangement which was approved by the creditors of the debtor must</w:t>
      </w:r>
      <w:r>
        <w:rPr>
          <w:rFonts w:hint="eastAsia" w:ascii="Arial" w:hAnsi="Arial" w:eastAsia="新細明體" w:cs="Arial"/>
          <w:color w:val="7C7C7C" w:themeColor="accent3" w:themeShade="BF"/>
          <w:sz w:val="22"/>
          <w:szCs w:val="22"/>
          <w:highlight w:val="none"/>
          <w:lang w:val="en-US" w:eastAsia="zh-TW"/>
        </w:rPr>
        <w:t xml:space="preserve"> also be approved by the court while the </w:t>
      </w:r>
      <w:r>
        <w:rPr>
          <w:rFonts w:hint="default" w:ascii="Arial" w:hAnsi="Arial" w:eastAsia="新細明體" w:cs="Arial"/>
          <w:color w:val="7C7C7C" w:themeColor="accent3" w:themeShade="BF"/>
          <w:sz w:val="22"/>
          <w:szCs w:val="22"/>
          <w:highlight w:val="none"/>
          <w:lang w:val="en-US" w:eastAsia="zh-TW"/>
        </w:rPr>
        <w:t>“</w:t>
      </w:r>
      <w:r>
        <w:rPr>
          <w:rFonts w:hint="eastAsia" w:ascii="Arial" w:hAnsi="Arial" w:eastAsia="新細明體" w:cs="Arial"/>
          <w:color w:val="7C7C7C" w:themeColor="accent3" w:themeShade="BF"/>
          <w:sz w:val="22"/>
          <w:szCs w:val="22"/>
          <w:highlight w:val="none"/>
          <w:lang w:val="en-US" w:eastAsia="zh-TW"/>
        </w:rPr>
        <w:t>proposal trustee</w:t>
      </w:r>
      <w:r>
        <w:rPr>
          <w:rFonts w:hint="default" w:ascii="Arial" w:hAnsi="Arial" w:eastAsia="新細明體" w:cs="Arial"/>
          <w:color w:val="7C7C7C" w:themeColor="accent3" w:themeShade="BF"/>
          <w:sz w:val="22"/>
          <w:szCs w:val="22"/>
          <w:highlight w:val="none"/>
          <w:lang w:val="en-US" w:eastAsia="zh-TW"/>
        </w:rPr>
        <w:t>”</w:t>
      </w:r>
      <w:r>
        <w:rPr>
          <w:rFonts w:hint="eastAsia" w:ascii="Arial" w:hAnsi="Arial" w:eastAsia="新細明體" w:cs="Arial"/>
          <w:color w:val="7C7C7C" w:themeColor="accent3" w:themeShade="BF"/>
          <w:sz w:val="22"/>
          <w:szCs w:val="22"/>
          <w:highlight w:val="none"/>
          <w:lang w:val="en-US" w:eastAsia="zh-TW"/>
        </w:rPr>
        <w:t xml:space="preserve"> in a BIA proposal is an independent third party who is appointed by the Official Receiver to assist the company with the filing of its Notice of Intention to make a proposal and/or Proposal and to monitor the company's ongoing operations during the Stay period.</w:t>
      </w:r>
    </w:p>
    <w:p>
      <w:pPr>
        <w:jc w:val="both"/>
        <w:rPr>
          <w:rFonts w:hint="eastAsia" w:ascii="Arial" w:hAnsi="Arial" w:eastAsia="新細明體" w:cs="Arial"/>
          <w:color w:val="7C7C7C" w:themeColor="accent3" w:themeShade="BF"/>
          <w:sz w:val="22"/>
          <w:szCs w:val="22"/>
          <w:lang w:val="en-US" w:eastAsia="zh-TW"/>
        </w:rPr>
      </w:pPr>
    </w:p>
    <w:p>
      <w:pPr>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Both the Monitor and proposal trustee play a supervisory and advisory role in the proceeding. The proposal trustee gives notice of the filing of the Notice of Intention to make a proposal or the proposal to all known creditors, files a projected cash-flow statement accompanied by a report from the trustee of its reasonableness and call a meeting of creditors to vote on the proposal. In the creditor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meeting, the proposal trustee is required to report on the financial situation of the debtor and the cause of the financial difficulties of the debtor.  Lastly, the proposal trustee must make the final application to the bankruptcy court for approval of the proposal when such proposal was approved by the creditors.</w:t>
      </w:r>
    </w:p>
    <w:p>
      <w:pPr>
        <w:tabs>
          <w:tab w:val="left" w:pos="6235"/>
        </w:tabs>
        <w:jc w:val="both"/>
        <w:rPr>
          <w:rFonts w:hint="eastAsia" w:ascii="Arial" w:hAnsi="Arial" w:eastAsia="新細明體" w:cs="Arial"/>
          <w:color w:val="7C7C7C" w:themeColor="accent3" w:themeShade="BF"/>
          <w:sz w:val="22"/>
          <w:szCs w:val="22"/>
          <w:lang w:val="en-US" w:eastAsia="zh-TW"/>
        </w:rPr>
      </w:pPr>
    </w:p>
    <w:p>
      <w:pPr>
        <w:tabs>
          <w:tab w:val="left" w:pos="6235"/>
        </w:tabs>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Monitor in CCAA proceedings acts an officer of the court on behalf of all stakeholders oversees the steps taken by the company.  The Monitor assists with the preparation of the cash-flow statements and the negotiation of the plan between the company and its stakeholders.  The Monitor files periodic reports to the courts and creditors, including reports to set out their views regarding any proposed disposition of assets or debtor-in-possession financing. Subject to the court</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approval, the Monitor can be authorized to sell assets, direct certain corporate functions or engage in litigation on behalf of the company in order to allow the Monitor manage the company more effectively during the restructuring.</w:t>
      </w:r>
    </w:p>
    <w:p>
      <w:pPr>
        <w:jc w:val="both"/>
        <w:rPr>
          <w:rFonts w:ascii="Arial" w:hAnsi="Arial" w:cs="Arial"/>
          <w:color w:val="7B7B7B"/>
          <w:sz w:val="22"/>
          <w:szCs w:val="22"/>
          <w:lang w:val="en-GB"/>
        </w:rPr>
      </w:pPr>
    </w:p>
    <w:p>
      <w:pPr>
        <w:jc w:val="both"/>
        <w:rPr>
          <w:rFonts w:ascii="Arial" w:hAnsi="Arial" w:cs="Arial"/>
          <w:color w:val="7B7B7B"/>
          <w:sz w:val="22"/>
          <w:szCs w:val="22"/>
          <w:lang w:val="en-GB"/>
        </w:rPr>
      </w:pPr>
    </w:p>
    <w:p>
      <w:pPr>
        <w:jc w:val="both"/>
        <w:rPr>
          <w:rFonts w:ascii="Arial" w:hAnsi="Arial" w:cs="Arial"/>
          <w:b/>
          <w:bCs/>
          <w:sz w:val="22"/>
          <w:szCs w:val="22"/>
          <w:shd w:val="clear" w:color="auto" w:fill="FFFFFF"/>
          <w:lang w:val="en-GB"/>
        </w:rPr>
      </w:pPr>
      <w:r>
        <w:rPr>
          <w:rFonts w:ascii="Arial" w:hAnsi="Arial" w:cs="Arial"/>
          <w:b/>
          <w:bCs/>
          <w:sz w:val="22"/>
          <w:szCs w:val="22"/>
          <w:shd w:val="clear" w:color="auto" w:fill="FFFFFF"/>
          <w:lang w:val="en-GB"/>
        </w:rPr>
        <w:t>Question 3.2 [maximum 7 marks]</w:t>
      </w:r>
    </w:p>
    <w:p>
      <w:pPr>
        <w:jc w:val="both"/>
        <w:rPr>
          <w:rFonts w:ascii="Arial" w:hAnsi="Arial" w:cs="Arial"/>
          <w:sz w:val="22"/>
          <w:szCs w:val="22"/>
          <w:shd w:val="clear" w:color="auto" w:fill="FFFFFF"/>
          <w:lang w:val="en-GB"/>
        </w:rPr>
      </w:pPr>
    </w:p>
    <w:p>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Write a short essay that identifies 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pPr>
        <w:jc w:val="both"/>
        <w:rPr>
          <w:rFonts w:ascii="Arial" w:hAnsi="Arial" w:cs="Arial"/>
          <w:sz w:val="22"/>
          <w:szCs w:val="22"/>
          <w:shd w:val="clear" w:color="auto" w:fill="FFFFFF"/>
          <w:lang w:val="en-GB"/>
        </w:rPr>
      </w:pPr>
    </w:p>
    <w:p>
      <w:pPr>
        <w:tabs>
          <w:tab w:val="left" w:pos="7751"/>
        </w:tabs>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The main policy goals of the Canadian insolvency regime is to strike a balance between reorganization and liquidation.  The policy focus on certainty, transparency, asset preservation and especially rehabilitation.  For example, an individual bankrupt is automatically discharged 9 months after the bankruptcy is filed if it is his/her first bankruptcy, he/ she has attended two financial counselling sessions, he/she  is not required to pay a portion of his income into the bankruptcy estate as per the standards established by the Office of the Superintendent of Bankruptcy and such discharge is not opposed by a creditor, the trustee or the Office of the Superintendent of the Bankruptcy. The speedy discharge favours debtor rehabilitation. </w:t>
      </w:r>
    </w:p>
    <w:p>
      <w:pPr>
        <w:tabs>
          <w:tab w:val="left" w:pos="7751"/>
        </w:tabs>
        <w:jc w:val="both"/>
        <w:rPr>
          <w:rFonts w:hint="eastAsia" w:ascii="Arial" w:hAnsi="Arial" w:eastAsia="新細明體" w:cs="Arial"/>
          <w:color w:val="7C7C7C" w:themeColor="accent3" w:themeShade="BF"/>
          <w:sz w:val="22"/>
          <w:szCs w:val="22"/>
          <w:lang w:val="en-US" w:eastAsia="zh-TW"/>
        </w:rPr>
      </w:pPr>
    </w:p>
    <w:p>
      <w:pPr>
        <w:tabs>
          <w:tab w:val="left" w:pos="7751"/>
        </w:tabs>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The national insolvency system in Canada is described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universalist</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approach as its system affect the debtor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assets wherever located.  The Canadian insolvency permits foreign creditors to participate in Canadian proceedings with the same rights and priorities as similarly situated domestic creditors. </w:t>
      </w:r>
    </w:p>
    <w:p>
      <w:pPr>
        <w:jc w:val="both"/>
        <w:rPr>
          <w:rFonts w:ascii="Arial" w:hAnsi="Arial" w:cs="Arial"/>
          <w:color w:val="7B7B7B"/>
          <w:sz w:val="22"/>
          <w:szCs w:val="22"/>
          <w:lang w:val="en-GB"/>
        </w:rPr>
      </w:pPr>
    </w:p>
    <w:p>
      <w:pPr>
        <w:jc w:val="both"/>
        <w:rPr>
          <w:rFonts w:ascii="Arial" w:hAnsi="Arial" w:cs="Arial"/>
          <w:color w:val="7B7B7B"/>
          <w:sz w:val="22"/>
          <w:szCs w:val="22"/>
          <w:lang w:val="en-GB"/>
        </w:rPr>
      </w:pPr>
    </w:p>
    <w:p>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4.1 [maximum 15 marks]</w:t>
      </w:r>
    </w:p>
    <w:p>
      <w:pPr>
        <w:jc w:val="both"/>
        <w:rPr>
          <w:rFonts w:ascii="Arial" w:hAnsi="Arial" w:cs="Arial"/>
          <w:sz w:val="22"/>
          <w:szCs w:val="22"/>
          <w:lang w:val="en-GB"/>
        </w:rPr>
      </w:pPr>
    </w:p>
    <w:p>
      <w:pPr>
        <w:jc w:val="both"/>
        <w:rPr>
          <w:rFonts w:ascii="Arial" w:hAnsi="Arial" w:cs="Arial"/>
          <w:sz w:val="22"/>
          <w:szCs w:val="22"/>
          <w:lang w:val="en-GB"/>
        </w:rPr>
      </w:pPr>
      <w:bookmarkStart w:id="0" w:name="_Hlk17745211"/>
      <w:r>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in excess of CAD 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w:t>
      </w:r>
      <w:r>
        <w:rPr>
          <w:rFonts w:ascii="Arial" w:hAnsi="Arial" w:cs="Arial"/>
          <w:sz w:val="22"/>
          <w:szCs w:val="22"/>
          <w:highlight w:val="none"/>
          <w:lang w:val="en-GB"/>
        </w:rPr>
        <w:t>D 2 million. That lawsuit in Canada is still in the pleadings phase. It also appears that the Canadian resident in charge of the fulfillment office and warehouse in Canada may have been diverting funds improperly. The foreign agent wants to further investigate. The foreign agent consults you about seeking recognition of the foreign proceeding in Canada in order to m</w:t>
      </w:r>
      <w:r>
        <w:rPr>
          <w:rFonts w:ascii="Arial" w:hAnsi="Arial" w:cs="Arial"/>
          <w:sz w:val="22"/>
          <w:szCs w:val="22"/>
          <w:lang w:val="en-GB"/>
        </w:rPr>
        <w:t xml:space="preserve">aximize recoveries and provide for an equitable distribution of value among all creditors. </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u w:val="single"/>
          <w:lang w:val="en-GB"/>
        </w:rPr>
        <w:t>Using the facts above, answer the questions that follow</w:t>
      </w:r>
      <w:r>
        <w:rPr>
          <w:rFonts w:ascii="Arial" w:hAnsi="Arial" w:cs="Arial"/>
          <w:b/>
          <w:bCs/>
          <w:sz w:val="22"/>
          <w:szCs w:val="22"/>
          <w:lang w:val="en-GB"/>
        </w:rPr>
        <w:t>.</w:t>
      </w:r>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4.1 [maximum 5 marks]</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The foreign agent wants to understand the formal proof requirements to obtain recognition of the foreign proceeding in Canada. What is your advice?</w:t>
      </w:r>
    </w:p>
    <w:p>
      <w:pPr>
        <w:jc w:val="both"/>
        <w:rPr>
          <w:rFonts w:ascii="Arial" w:hAnsi="Arial" w:cs="Arial"/>
          <w:sz w:val="22"/>
          <w:szCs w:val="22"/>
          <w:lang w:val="en-GB"/>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To obtain recognition of the foreign proceeding in Canada, there are three formal proof requirements which includes:-</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numPr>
          <w:ilvl w:val="0"/>
          <w:numId w:val="15"/>
        </w:numPr>
        <w:autoSpaceDE w:val="0"/>
        <w:autoSpaceDN w:val="0"/>
        <w:adjustRightInd w:val="0"/>
        <w:ind w:left="934" w:leftChars="300" w:hanging="334" w:hangingChars="152"/>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to prove the proceeding is a foreign proceeding in accordance with the statutory definition;</w:t>
      </w:r>
    </w:p>
    <w:p>
      <w:pPr>
        <w:numPr>
          <w:ilvl w:val="0"/>
          <w:numId w:val="15"/>
        </w:numPr>
        <w:autoSpaceDE w:val="0"/>
        <w:autoSpaceDN w:val="0"/>
        <w:adjustRightInd w:val="0"/>
        <w:ind w:left="934" w:leftChars="300" w:hanging="334" w:hangingChars="152"/>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to prove that the foreign agent is a foreign representative in accordance with the statutory definition; and</w:t>
      </w:r>
    </w:p>
    <w:p>
      <w:pPr>
        <w:numPr>
          <w:ilvl w:val="0"/>
          <w:numId w:val="15"/>
        </w:numPr>
        <w:autoSpaceDE w:val="0"/>
        <w:autoSpaceDN w:val="0"/>
        <w:adjustRightInd w:val="0"/>
        <w:ind w:left="934" w:leftChars="300" w:hanging="334" w:hangingChars="152"/>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to confirm whether the foreign proceeding is a foreign main proceeding or a foreign non-main proceeding based on a center of main interest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COMI</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analysis.</w:t>
      </w:r>
    </w:p>
    <w:p>
      <w:pPr>
        <w:numPr>
          <w:ilvl w:val="0"/>
          <w:numId w:val="0"/>
        </w:num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numPr>
          <w:ilvl w:val="0"/>
          <w:numId w:val="0"/>
        </w:num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First of all, the foreign agent should provide evidence to show that the online seller has a head office where senior management of the company have their offices located in the foreign jurisdiction.  Also, the foreign agent should also provide sufficient information which indicates the subject online seller was registered in the foreign jurisdiction.  Furthermore, the foreign agent could show where the principal assets or operations that the online seller was found.   </w:t>
      </w:r>
    </w:p>
    <w:p>
      <w:pPr>
        <w:numPr>
          <w:ilvl w:val="0"/>
          <w:numId w:val="0"/>
        </w:num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numPr>
          <w:ilvl w:val="0"/>
          <w:numId w:val="0"/>
        </w:num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After proving the location of the COMI that the online seller locates, the foreign agent could provide his authority empowered by the legislation in the foreign jurisdiction/ foreign proceedings and how he operates under the law of the foreign jurisdiction.</w:t>
      </w:r>
    </w:p>
    <w:p>
      <w:pPr>
        <w:numPr>
          <w:ilvl w:val="0"/>
          <w:numId w:val="0"/>
        </w:num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ascii="Arial" w:hAnsi="Arial" w:cs="Arial"/>
          <w:color w:val="7B7B7B"/>
          <w:sz w:val="22"/>
          <w:szCs w:val="22"/>
          <w:lang w:val="en-GB"/>
        </w:rPr>
      </w:pPr>
    </w:p>
    <w:p>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Question 4.2 [maximum 5 marks]</w:t>
      </w:r>
    </w:p>
    <w:p>
      <w:pPr>
        <w:autoSpaceDE w:val="0"/>
        <w:autoSpaceDN w:val="0"/>
        <w:adjustRightInd w:val="0"/>
        <w:jc w:val="both"/>
        <w:rPr>
          <w:rFonts w:ascii="Arial" w:hAnsi="Arial" w:cs="Arial"/>
          <w:sz w:val="22"/>
          <w:szCs w:val="22"/>
          <w:lang w:val="en-GB"/>
        </w:rPr>
      </w:pPr>
    </w:p>
    <w:p>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Pr>
          <w:rFonts w:ascii="Arial" w:hAnsi="Arial" w:cs="Arial"/>
          <w:color w:val="000000" w:themeColor="text1"/>
          <w:sz w:val="22"/>
          <w:szCs w:val="22"/>
          <w:lang w:val="en-GB"/>
          <w14:textFill>
            <w14:solidFill>
              <w14:schemeClr w14:val="tx1"/>
            </w14:solidFill>
          </w14:textFill>
        </w:rPr>
        <w:t xml:space="preserve">whether or not you believe the foreign agent can obtain a stay of the Canadian litigation and why. </w:t>
      </w:r>
      <w:r>
        <w:rPr>
          <w:rFonts w:ascii="Arial" w:hAnsi="Arial" w:cs="Arial"/>
          <w:sz w:val="22"/>
          <w:szCs w:val="22"/>
          <w:lang w:val="en-GB"/>
        </w:rPr>
        <w:t>What do you tell the foreign agent?</w:t>
      </w:r>
    </w:p>
    <w:p>
      <w:pPr>
        <w:autoSpaceDE w:val="0"/>
        <w:autoSpaceDN w:val="0"/>
        <w:adjustRightInd w:val="0"/>
        <w:jc w:val="both"/>
        <w:rPr>
          <w:rFonts w:ascii="Arial" w:hAnsi="Arial" w:cs="Arial"/>
          <w:sz w:val="22"/>
          <w:szCs w:val="22"/>
          <w:lang w:val="en-GB"/>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Whether the foreign agent can obtain a stay of the Canadian litigation depends on whether the foreign proceeding could be recognized as the foreign main proceeding.  If the foreign agent could provide evidence to show the location of the COMI of the online seller was located in the foreign proceedings, it could help the foreign proceeding to be recognized as the foreign main proceedings.  When a foreign proceeding is recognized as the foreign main proceeding, automatic stay of proceedings could be obtained.</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However, if a foreign proceeding is recognized as a foreign non-main proceeding, a stay of the Canadian litigation may also be obtained if its request was justified.  If there is no asymmetrical, public policy violation or unfair treatment to Canadian creditors, recognition would be generally permitted by court.</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GB" w:eastAsia="zh-TW"/>
        </w:rPr>
      </w:pPr>
    </w:p>
    <w:p>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Question 4.3 [maximum 5 marks]</w:t>
      </w:r>
    </w:p>
    <w:p>
      <w:pPr>
        <w:autoSpaceDE w:val="0"/>
        <w:autoSpaceDN w:val="0"/>
        <w:adjustRightInd w:val="0"/>
        <w:jc w:val="both"/>
        <w:rPr>
          <w:rFonts w:ascii="Arial" w:hAnsi="Arial" w:cs="Arial"/>
          <w:sz w:val="22"/>
          <w:szCs w:val="22"/>
          <w:lang w:val="en-GB"/>
        </w:rPr>
      </w:pPr>
    </w:p>
    <w:bookmarkEnd w:id="0"/>
    <w:p>
      <w:pPr>
        <w:jc w:val="both"/>
        <w:rPr>
          <w:rFonts w:ascii="Arial" w:hAnsi="Arial" w:cs="Arial"/>
          <w:color w:val="000000"/>
          <w:sz w:val="22"/>
          <w:szCs w:val="22"/>
          <w:lang w:val="en-GB"/>
        </w:rPr>
      </w:pPr>
      <w:r>
        <w:rPr>
          <w:rFonts w:ascii="Arial" w:hAnsi="Arial" w:cs="Arial"/>
          <w:color w:val="000000" w:themeColor="text1"/>
          <w:sz w:val="22"/>
          <w:szCs w:val="22"/>
          <w:lang w:val="en-GB"/>
          <w14:textFill>
            <w14:solidFill>
              <w14:schemeClr w14:val="tx1"/>
            </w14:solidFill>
          </w14:textFill>
        </w:rPr>
        <w:t>The foreign agent wants to know whether they can compel the Canadian resident who was in charge of the fulfillment office and warehouse in Canada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pPr>
        <w:jc w:val="both"/>
        <w:rPr>
          <w:rFonts w:ascii="Arial" w:hAnsi="Arial" w:cs="Arial"/>
          <w:color w:val="000000"/>
          <w:sz w:val="22"/>
          <w:szCs w:val="22"/>
          <w:lang w:val="en-GB"/>
        </w:rPr>
      </w:pPr>
    </w:p>
    <w:p>
      <w:pPr>
        <w:jc w:val="both"/>
        <w:rPr>
          <w:rFonts w:ascii="Arial" w:hAnsi="Arial" w:cs="Arial"/>
          <w:color w:val="000000"/>
          <w:sz w:val="22"/>
          <w:szCs w:val="22"/>
          <w:lang w:val="en-GB"/>
        </w:rPr>
      </w:pPr>
      <w:r>
        <w:rPr>
          <w:rFonts w:hint="eastAsia" w:ascii="Arial" w:hAnsi="Arial" w:eastAsia="新細明體" w:cs="Arial"/>
          <w:color w:val="7C7C7C" w:themeColor="accent3" w:themeShade="BF"/>
          <w:sz w:val="22"/>
          <w:szCs w:val="22"/>
          <w:lang w:val="en-US" w:eastAsia="zh-TW"/>
        </w:rPr>
        <w:t xml:space="preserve">After the recognition of the foreign proceeding as foreign main proceeding, </w:t>
      </w:r>
      <w:r>
        <w:rPr>
          <w:rFonts w:ascii="Arial" w:hAnsi="Arial" w:cs="Arial"/>
          <w:color w:val="000000" w:themeColor="text1"/>
          <w:sz w:val="22"/>
          <w:szCs w:val="22"/>
          <w:lang w:val="en-GB"/>
          <w14:textFill>
            <w14:solidFill>
              <w14:schemeClr w14:val="tx1"/>
            </w14:solidFill>
          </w14:textFill>
        </w:rPr>
        <w:t xml:space="preserve"> </w:t>
      </w:r>
      <w:r>
        <w:rPr>
          <w:rFonts w:hint="eastAsia" w:ascii="Arial" w:hAnsi="Arial" w:eastAsia="新細明體" w:cs="Arial"/>
          <w:color w:val="7C7C7C" w:themeColor="accent3" w:themeShade="BF"/>
          <w:sz w:val="22"/>
          <w:szCs w:val="22"/>
          <w:lang w:val="en-US" w:eastAsia="zh-TW"/>
        </w:rPr>
        <w:t>the foreign agent can obtain a stay of the Canadian litigation. The foreign agent was given the authority to appear and be heard in the Canadian courts.   If the Canadian resident who was in charge of the fulfillment office and warehouse in Canada was discovered of acting or had acted unfairly which undermines or prejudices their legitimate expectations, the foreign agent could assert their claim in court.  If the foreign agent could prove their claim successfully, the Canadian court has broad remedial powers to ensure the affected party (i.e. Foreign agent) has access to an appropriate remedy, which might include a return of the value from the Canadian resident or request the Canadian resident to restore the position as before the oppressive transaction occurred.</w:t>
      </w:r>
    </w:p>
    <w:p>
      <w:pPr>
        <w:jc w:val="both"/>
        <w:rPr>
          <w:rFonts w:ascii="Arial" w:hAnsi="Arial" w:cs="Arial"/>
          <w:color w:val="000000"/>
          <w:sz w:val="22"/>
          <w:szCs w:val="22"/>
          <w:lang w:val="en-GB"/>
        </w:rPr>
      </w:pPr>
    </w:p>
    <w:p>
      <w:pPr>
        <w:jc w:val="both"/>
        <w:rPr>
          <w:rFonts w:ascii="Arial" w:hAnsi="Arial" w:cs="Arial"/>
          <w:color w:val="000000"/>
          <w:sz w:val="22"/>
          <w:szCs w:val="22"/>
          <w:lang w:val="en-GB"/>
        </w:rPr>
      </w:pPr>
    </w:p>
    <w:p>
      <w:pPr>
        <w:jc w:val="center"/>
        <w:rPr>
          <w:rFonts w:ascii="Arial" w:hAnsi="Arial" w:cs="Arial"/>
          <w:b/>
          <w:bCs/>
          <w:sz w:val="22"/>
          <w:szCs w:val="22"/>
          <w:lang w:val="en-GB"/>
        </w:rPr>
      </w:pPr>
      <w:r>
        <w:rPr>
          <w:rFonts w:ascii="Arial" w:hAnsi="Arial" w:cs="Arial"/>
          <w:b/>
          <w:bCs/>
          <w:sz w:val="22"/>
          <w:szCs w:val="22"/>
          <w:lang w:val="en-GB"/>
        </w:rPr>
        <w:t>* End of Assessment *</w:t>
      </w:r>
    </w:p>
    <w:sectPr>
      <w:headerReference r:id="rId4" w:type="first"/>
      <w:footerReference r:id="rId7" w:type="first"/>
      <w:headerReference r:id="rId3" w:type="default"/>
      <w:footerReference r:id="rId5" w:type="default"/>
      <w:footerReference r:id="rId6"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Fonts w:ascii="Arial" w:hAnsi="Arial" w:cs="Arial"/>
        <w:sz w:val="18"/>
        <w:szCs w:val="18"/>
      </w:rPr>
    </w:pPr>
    <w:sdt>
      <w:sdtPr>
        <w:rPr>
          <w:rStyle w:val="13"/>
          <w:rFonts w:ascii="Arial" w:hAnsi="Arial" w:cs="Arial"/>
          <w:b/>
          <w:bCs/>
          <w:sz w:val="18"/>
          <w:szCs w:val="18"/>
        </w:rPr>
        <w:id w:val="-1409602822"/>
      </w:sdtPr>
      <w:sdtEndPr>
        <w:rPr>
          <w:rStyle w:val="13"/>
          <w:rFonts w:ascii="Arial" w:hAnsi="Arial" w:cs="Arial"/>
          <w:b w:val="0"/>
          <w:bCs w:val="0"/>
          <w:sz w:val="18"/>
          <w:szCs w:val="18"/>
        </w:rPr>
      </w:sdtEndPr>
      <w:sdtContent>
        <w:r>
          <w:rPr>
            <w:rStyle w:val="13"/>
            <w:rFonts w:ascii="Arial" w:hAnsi="Arial" w:cs="Arial"/>
            <w:b/>
            <w:bCs/>
            <w:sz w:val="18"/>
            <w:szCs w:val="18"/>
          </w:rPr>
          <w:t xml:space="preserve">Page </w:t>
        </w:r>
        <w:r>
          <w:rPr>
            <w:rStyle w:val="13"/>
            <w:rFonts w:ascii="Arial" w:hAnsi="Arial" w:cs="Arial"/>
            <w:b/>
            <w:bCs/>
            <w:sz w:val="18"/>
            <w:szCs w:val="18"/>
          </w:rPr>
          <w:fldChar w:fldCharType="begin"/>
        </w:r>
        <w:r>
          <w:rPr>
            <w:rStyle w:val="13"/>
            <w:rFonts w:ascii="Arial" w:hAnsi="Arial" w:cs="Arial"/>
            <w:b/>
            <w:bCs/>
            <w:sz w:val="18"/>
            <w:szCs w:val="18"/>
          </w:rPr>
          <w:instrText xml:space="preserve"> PAGE </w:instrText>
        </w:r>
        <w:r>
          <w:rPr>
            <w:rStyle w:val="13"/>
            <w:rFonts w:ascii="Arial" w:hAnsi="Arial" w:cs="Arial"/>
            <w:b/>
            <w:bCs/>
            <w:sz w:val="18"/>
            <w:szCs w:val="18"/>
          </w:rPr>
          <w:fldChar w:fldCharType="separate"/>
        </w:r>
        <w:r>
          <w:rPr>
            <w:rStyle w:val="13"/>
            <w:rFonts w:ascii="Arial" w:hAnsi="Arial" w:cs="Arial"/>
            <w:b/>
            <w:bCs/>
            <w:sz w:val="18"/>
            <w:szCs w:val="18"/>
          </w:rPr>
          <w:t>6</w:t>
        </w:r>
        <w:r>
          <w:rPr>
            <w:rStyle w:val="13"/>
            <w:rFonts w:ascii="Arial" w:hAnsi="Arial" w:cs="Arial"/>
            <w:b/>
            <w:bCs/>
            <w:sz w:val="18"/>
            <w:szCs w:val="18"/>
          </w:rPr>
          <w:fldChar w:fldCharType="end"/>
        </w:r>
      </w:sdtContent>
    </w:sdt>
  </w:p>
  <w:p>
    <w:pPr>
      <w:pStyle w:val="5"/>
      <w:ind w:right="360"/>
      <w:rPr>
        <w:rFonts w:ascii="Arial" w:hAnsi="Arial" w:cs="Arial"/>
        <w:sz w:val="18"/>
        <w:szCs w:val="18"/>
        <w:lang w:val="en-GB"/>
      </w:rPr>
    </w:pPr>
    <w:r>
      <w:rPr>
        <w:rFonts w:hint="eastAsia" w:ascii="Arial" w:hAnsi="Arial" w:cs="Arial"/>
        <w:sz w:val="18"/>
        <w:szCs w:val="18"/>
        <w:lang w:val="en-GB"/>
      </w:rPr>
      <w:t>202021IFU-331</w:t>
    </w:r>
    <w:r>
      <w:rPr>
        <w:rFonts w:ascii="Arial" w:hAnsi="Arial" w:cs="Arial"/>
        <w:sz w:val="18"/>
        <w:szCs w:val="18"/>
        <w:lang w:val="en-GB"/>
      </w:rPr>
      <w:t>.assessment4C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rPr>
      <w:id w:val="-758512077"/>
    </w:sdtPr>
    <w:sdtEndPr>
      <w:rPr>
        <w:rStyle w:val="13"/>
        <w:rFonts w:ascii="Arial" w:hAnsi="Arial" w:cs="Arial"/>
        <w:b w:val="0"/>
        <w:sz w:val="22"/>
        <w:szCs w:val="22"/>
      </w:rPr>
    </w:sdtEndPr>
    <w:sdtContent>
      <w:p>
        <w:pPr>
          <w:pStyle w:val="5"/>
          <w:framePr w:wrap="around" w:vAnchor="text" w:hAnchor="margin" w:xAlign="right" w:y="1"/>
          <w:rPr>
            <w:rStyle w:val="13"/>
            <w:rFonts w:ascii="Arial" w:hAnsi="Arial" w:cs="Arial"/>
            <w:sz w:val="22"/>
            <w:szCs w:val="22"/>
          </w:rPr>
        </w:pPr>
        <w:r>
          <w:rPr>
            <w:rStyle w:val="13"/>
            <w:rFonts w:ascii="Arial" w:hAnsi="Arial" w:cs="Arial"/>
            <w:b/>
          </w:rPr>
          <w:t xml:space="preserve">Page </w:t>
        </w:r>
        <w:r>
          <w:rPr>
            <w:rStyle w:val="13"/>
            <w:rFonts w:ascii="Arial" w:hAnsi="Arial" w:cs="Arial"/>
            <w:b/>
            <w:sz w:val="22"/>
            <w:szCs w:val="22"/>
          </w:rPr>
          <w:fldChar w:fldCharType="begin"/>
        </w:r>
        <w:r>
          <w:rPr>
            <w:rStyle w:val="13"/>
            <w:rFonts w:ascii="Arial" w:hAnsi="Arial" w:cs="Arial"/>
            <w:b/>
            <w:sz w:val="22"/>
            <w:szCs w:val="22"/>
          </w:rPr>
          <w:instrText xml:space="preserve"> PAGE </w:instrText>
        </w:r>
        <w:r>
          <w:rPr>
            <w:rStyle w:val="13"/>
            <w:rFonts w:ascii="Arial" w:hAnsi="Arial" w:cs="Arial"/>
            <w:b/>
            <w:sz w:val="22"/>
            <w:szCs w:val="22"/>
          </w:rPr>
          <w:fldChar w:fldCharType="separate"/>
        </w:r>
        <w:r>
          <w:rPr>
            <w:rStyle w:val="13"/>
            <w:rFonts w:ascii="Arial" w:hAnsi="Arial" w:cs="Arial"/>
            <w:b/>
            <w:sz w:val="22"/>
            <w:szCs w:val="22"/>
          </w:rPr>
          <w:t>10</w:t>
        </w:r>
        <w:r>
          <w:rPr>
            <w:rStyle w:val="13"/>
            <w:rFonts w:ascii="Arial" w:hAnsi="Arial" w:cs="Arial"/>
            <w:b/>
            <w:sz w:val="22"/>
            <w:szCs w:val="22"/>
          </w:rPr>
          <w:fldChar w:fldCharType="end"/>
        </w:r>
      </w:p>
    </w:sdtContent>
  </w:sdt>
  <w:p>
    <w:pPr>
      <w:pStyle w:val="5"/>
      <w:ind w:right="360"/>
      <w:rPr>
        <w:rFonts w:ascii="Arial" w:hAnsi="Arial" w:cs="Arial"/>
        <w:sz w:val="22"/>
        <w:szCs w:val="22"/>
      </w:rPr>
    </w:pPr>
    <w:r>
      <w:t>student number.assessment2B.docx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927"/>
    <w:multiLevelType w:val="multilevel"/>
    <w:tmpl w:val="0F4A4927"/>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194C29E7"/>
    <w:multiLevelType w:val="multilevel"/>
    <w:tmpl w:val="194C29E7"/>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
    <w:nsid w:val="1B4F662D"/>
    <w:multiLevelType w:val="multilevel"/>
    <w:tmpl w:val="1B4F662D"/>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2A995BAF"/>
    <w:multiLevelType w:val="multilevel"/>
    <w:tmpl w:val="2A995BAF"/>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359F5DC3"/>
    <w:multiLevelType w:val="multilevel"/>
    <w:tmpl w:val="359F5DC3"/>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49C68A4"/>
    <w:multiLevelType w:val="multilevel"/>
    <w:tmpl w:val="449C68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5812C92"/>
    <w:multiLevelType w:val="multilevel"/>
    <w:tmpl w:val="45812C92"/>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4A6D7351"/>
    <w:multiLevelType w:val="multilevel"/>
    <w:tmpl w:val="4A6D7351"/>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4A9A29D2"/>
    <w:multiLevelType w:val="multilevel"/>
    <w:tmpl w:val="4A9A29D2"/>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4F507250"/>
    <w:multiLevelType w:val="multilevel"/>
    <w:tmpl w:val="4F507250"/>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60BB1FC2"/>
    <w:multiLevelType w:val="singleLevel"/>
    <w:tmpl w:val="60BB1FC2"/>
    <w:lvl w:ilvl="0" w:tentative="0">
      <w:start w:val="1"/>
      <w:numFmt w:val="lowerLetter"/>
      <w:suff w:val="space"/>
      <w:lvlText w:val="(%1)"/>
      <w:lvlJc w:val="left"/>
    </w:lvl>
  </w:abstractNum>
  <w:abstractNum w:abstractNumId="11">
    <w:nsid w:val="60BB2314"/>
    <w:multiLevelType w:val="singleLevel"/>
    <w:tmpl w:val="60BB2314"/>
    <w:lvl w:ilvl="0" w:tentative="0">
      <w:start w:val="1"/>
      <w:numFmt w:val="lowerLetter"/>
      <w:suff w:val="space"/>
      <w:lvlText w:val="(%1)"/>
      <w:lvlJc w:val="left"/>
    </w:lvl>
  </w:abstractNum>
  <w:abstractNum w:abstractNumId="12">
    <w:nsid w:val="60D6E04F"/>
    <w:multiLevelType w:val="singleLevel"/>
    <w:tmpl w:val="60D6E04F"/>
    <w:lvl w:ilvl="0" w:tentative="0">
      <w:start w:val="1"/>
      <w:numFmt w:val="decimal"/>
      <w:suff w:val="space"/>
      <w:lvlText w:val="(%1)"/>
      <w:lvlJc w:val="left"/>
    </w:lvl>
  </w:abstractNum>
  <w:abstractNum w:abstractNumId="13">
    <w:nsid w:val="6103E800"/>
    <w:multiLevelType w:val="singleLevel"/>
    <w:tmpl w:val="6103E800"/>
    <w:lvl w:ilvl="0" w:tentative="0">
      <w:start w:val="1"/>
      <w:numFmt w:val="lowerLetter"/>
      <w:suff w:val="space"/>
      <w:lvlText w:val="(%1)"/>
      <w:lvlJc w:val="left"/>
    </w:lvl>
  </w:abstractNum>
  <w:abstractNum w:abstractNumId="14">
    <w:nsid w:val="6E9D3CB6"/>
    <w:multiLevelType w:val="multilevel"/>
    <w:tmpl w:val="6E9D3CB6"/>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9"/>
  </w:num>
  <w:num w:numId="2">
    <w:abstractNumId w:val="2"/>
  </w:num>
  <w:num w:numId="3">
    <w:abstractNumId w:val="4"/>
  </w:num>
  <w:num w:numId="4">
    <w:abstractNumId w:val="1"/>
  </w:num>
  <w:num w:numId="5">
    <w:abstractNumId w:val="0"/>
  </w:num>
  <w:num w:numId="6">
    <w:abstractNumId w:val="8"/>
  </w:num>
  <w:num w:numId="7">
    <w:abstractNumId w:val="14"/>
  </w:num>
  <w:num w:numId="8">
    <w:abstractNumId w:val="6"/>
  </w:num>
  <w:num w:numId="9">
    <w:abstractNumId w:val="3"/>
  </w:num>
  <w:num w:numId="10">
    <w:abstractNumId w:val="7"/>
  </w:num>
  <w:num w:numId="11">
    <w:abstractNumId w:val="10"/>
  </w:num>
  <w:num w:numId="12">
    <w:abstractNumId w:val="13"/>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val="1"/>
  <w:documentProtection w:enforcement="0"/>
  <w:defaultTabStop w:val="720"/>
  <w:drawingGridHorizontalSpacing w:val="100"/>
  <w:displayHorizontalDrawingGridEvery w:val="0"/>
  <w:displayVerticalDrawingGridEvery w:val="2"/>
  <w:doNotShadeFormData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C"/>
    <w:rsid w:val="00035DCA"/>
    <w:rsid w:val="00055CC5"/>
    <w:rsid w:val="00107795"/>
    <w:rsid w:val="0019721F"/>
    <w:rsid w:val="001B0BDE"/>
    <w:rsid w:val="00266441"/>
    <w:rsid w:val="002A49B4"/>
    <w:rsid w:val="00410C9A"/>
    <w:rsid w:val="00513258"/>
    <w:rsid w:val="00554069"/>
    <w:rsid w:val="005625A0"/>
    <w:rsid w:val="008C6FAA"/>
    <w:rsid w:val="008F5F63"/>
    <w:rsid w:val="00950086"/>
    <w:rsid w:val="009569A2"/>
    <w:rsid w:val="00A13E9B"/>
    <w:rsid w:val="00A254C1"/>
    <w:rsid w:val="00A70963"/>
    <w:rsid w:val="00C158CC"/>
    <w:rsid w:val="00E0683B"/>
    <w:rsid w:val="00F83D52"/>
    <w:rsid w:val="016D3208"/>
    <w:rsid w:val="05AC7A9D"/>
    <w:rsid w:val="0A673CE1"/>
    <w:rsid w:val="0A946645"/>
    <w:rsid w:val="0B70484D"/>
    <w:rsid w:val="0D894728"/>
    <w:rsid w:val="0DCB158E"/>
    <w:rsid w:val="1572122B"/>
    <w:rsid w:val="1A2D6AEE"/>
    <w:rsid w:val="1F381502"/>
    <w:rsid w:val="21A47639"/>
    <w:rsid w:val="23065356"/>
    <w:rsid w:val="23F843A4"/>
    <w:rsid w:val="246307F7"/>
    <w:rsid w:val="24CF2866"/>
    <w:rsid w:val="2963173F"/>
    <w:rsid w:val="2ABE7C86"/>
    <w:rsid w:val="2F7E25F5"/>
    <w:rsid w:val="32825123"/>
    <w:rsid w:val="36977107"/>
    <w:rsid w:val="377D0F58"/>
    <w:rsid w:val="37C40C25"/>
    <w:rsid w:val="3977285B"/>
    <w:rsid w:val="3A7B2317"/>
    <w:rsid w:val="3BDB4A04"/>
    <w:rsid w:val="3C0008A7"/>
    <w:rsid w:val="3DE76B15"/>
    <w:rsid w:val="3E0D0144"/>
    <w:rsid w:val="3F870502"/>
    <w:rsid w:val="3F955C3A"/>
    <w:rsid w:val="3FB8323E"/>
    <w:rsid w:val="4022328B"/>
    <w:rsid w:val="45463692"/>
    <w:rsid w:val="47F65DB9"/>
    <w:rsid w:val="47FE3266"/>
    <w:rsid w:val="48503278"/>
    <w:rsid w:val="50474BFB"/>
    <w:rsid w:val="508F0177"/>
    <w:rsid w:val="52D36366"/>
    <w:rsid w:val="53040477"/>
    <w:rsid w:val="54720824"/>
    <w:rsid w:val="554339FD"/>
    <w:rsid w:val="55C952F0"/>
    <w:rsid w:val="566B523E"/>
    <w:rsid w:val="589B431B"/>
    <w:rsid w:val="59A457C3"/>
    <w:rsid w:val="5A65074C"/>
    <w:rsid w:val="5BDA4CA2"/>
    <w:rsid w:val="5BDD5B3C"/>
    <w:rsid w:val="60BE3B1C"/>
    <w:rsid w:val="6C633FCD"/>
    <w:rsid w:val="6DC05192"/>
    <w:rsid w:val="6DC12504"/>
    <w:rsid w:val="6DEE7C4B"/>
    <w:rsid w:val="73F906C1"/>
    <w:rsid w:val="76811CD5"/>
    <w:rsid w:val="794E319D"/>
    <w:rsid w:val="79573E92"/>
    <w:rsid w:val="7C276BCF"/>
    <w:rsid w:val="7C9245A4"/>
    <w:rsid w:val="7EA74E9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 w:val="20"/>
      <w:szCs w:val="24"/>
      <w:lang w:val="en-US" w:eastAsia="en-US" w:bidi="ar-SA"/>
    </w:rPr>
  </w:style>
  <w:style w:type="character" w:default="1" w:styleId="9">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25"/>
    <w:unhideWhenUsed/>
    <w:qFormat/>
    <w:uiPriority w:val="99"/>
    <w:pPr>
      <w:tabs>
        <w:tab w:val="center" w:pos="4513"/>
        <w:tab w:val="right" w:pos="9026"/>
      </w:tabs>
    </w:pPr>
  </w:style>
  <w:style w:type="paragraph" w:styleId="3">
    <w:name w:val="annotation text"/>
    <w:basedOn w:val="1"/>
    <w:link w:val="21"/>
    <w:unhideWhenUsed/>
    <w:qFormat/>
    <w:uiPriority w:val="99"/>
    <w:rPr>
      <w:szCs w:val="20"/>
    </w:rPr>
  </w:style>
  <w:style w:type="paragraph" w:styleId="4">
    <w:name w:val="footnote text"/>
    <w:basedOn w:val="1"/>
    <w:link w:val="19"/>
    <w:unhideWhenUsed/>
    <w:qFormat/>
    <w:uiPriority w:val="0"/>
    <w:rPr>
      <w:szCs w:val="20"/>
    </w:rPr>
  </w:style>
  <w:style w:type="paragraph" w:styleId="5">
    <w:name w:val="footer"/>
    <w:basedOn w:val="1"/>
    <w:link w:val="24"/>
    <w:unhideWhenUsed/>
    <w:qFormat/>
    <w:uiPriority w:val="99"/>
    <w:pPr>
      <w:tabs>
        <w:tab w:val="center" w:pos="4513"/>
        <w:tab w:val="right" w:pos="9026"/>
      </w:tabs>
    </w:pPr>
  </w:style>
  <w:style w:type="paragraph" w:styleId="6">
    <w:name w:val="annotation subject"/>
    <w:basedOn w:val="3"/>
    <w:next w:val="3"/>
    <w:link w:val="22"/>
    <w:unhideWhenUsed/>
    <w:qFormat/>
    <w:uiPriority w:val="99"/>
    <w:rPr>
      <w:b/>
      <w:bCs/>
    </w:r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rPr>
  </w:style>
  <w:style w:type="paragraph" w:styleId="8">
    <w:name w:val="Balloon Text"/>
    <w:basedOn w:val="1"/>
    <w:link w:val="23"/>
    <w:unhideWhenUsed/>
    <w:qFormat/>
    <w:uiPriority w:val="99"/>
    <w:rPr>
      <w:rFonts w:ascii="Tahoma" w:hAnsi="Tahoma" w:cs="Tahoma"/>
      <w:sz w:val="16"/>
      <w:szCs w:val="16"/>
    </w:rPr>
  </w:style>
  <w:style w:type="character" w:styleId="10">
    <w:name w:val="footnote reference"/>
    <w:basedOn w:val="9"/>
    <w:unhideWhenUsed/>
    <w:qFormat/>
    <w:uiPriority w:val="0"/>
    <w:rPr>
      <w:vertAlign w:val="superscript"/>
    </w:rPr>
  </w:style>
  <w:style w:type="character" w:styleId="11">
    <w:name w:val="annotation reference"/>
    <w:basedOn w:val="9"/>
    <w:unhideWhenUsed/>
    <w:qFormat/>
    <w:uiPriority w:val="99"/>
    <w:rPr>
      <w:sz w:val="16"/>
      <w:szCs w:val="16"/>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page number"/>
    <w:basedOn w:val="9"/>
    <w:unhideWhenUsed/>
    <w:qFormat/>
    <w:uiPriority w:val="99"/>
  </w:style>
  <w:style w:type="character" w:styleId="14">
    <w:name w:val="Strong"/>
    <w:basedOn w:val="9"/>
    <w:qFormat/>
    <w:uiPriority w:val="22"/>
    <w:rPr>
      <w:b/>
      <w:bCs/>
    </w:rPr>
  </w:style>
  <w:style w:type="character" w:styleId="15">
    <w:name w:val="FollowedHyperlink"/>
    <w:basedOn w:val="9"/>
    <w:unhideWhenUsed/>
    <w:qFormat/>
    <w:uiPriority w:val="99"/>
    <w:rPr>
      <w:color w:val="954F72" w:themeColor="followedHyperlink"/>
      <w:u w:val="single"/>
      <w14:textFill>
        <w14:solidFill>
          <w14:schemeClr w14:val="folHlink"/>
        </w14:solidFill>
      </w14:textFill>
    </w:rPr>
  </w:style>
  <w:style w:type="character" w:customStyle="1" w:styleId="17">
    <w:name w:val="apple-converted-space"/>
    <w:basedOn w:val="9"/>
    <w:qFormat/>
    <w:uiPriority w:val="0"/>
  </w:style>
  <w:style w:type="paragraph" w:customStyle="1" w:styleId="18">
    <w:name w:val="List Paragraph"/>
    <w:basedOn w:val="1"/>
    <w:qFormat/>
    <w:uiPriority w:val="34"/>
    <w:pPr>
      <w:ind w:left="720"/>
      <w:contextualSpacing/>
    </w:pPr>
  </w:style>
  <w:style w:type="character" w:customStyle="1" w:styleId="19">
    <w:name w:val="Footnote Text Char"/>
    <w:basedOn w:val="9"/>
    <w:link w:val="4"/>
    <w:qFormat/>
    <w:uiPriority w:val="0"/>
    <w:rPr>
      <w:sz w:val="20"/>
      <w:szCs w:val="20"/>
    </w:rPr>
  </w:style>
  <w:style w:type="character" w:customStyle="1" w:styleId="20">
    <w:name w:val="Unresolved Mention1"/>
    <w:basedOn w:val="9"/>
    <w:qFormat/>
    <w:uiPriority w:val="99"/>
    <w:rPr>
      <w:color w:val="605E5C"/>
      <w:shd w:val="clear" w:color="auto" w:fill="E1DFDD"/>
    </w:rPr>
  </w:style>
  <w:style w:type="character" w:customStyle="1" w:styleId="21">
    <w:name w:val="Comment Text Char"/>
    <w:basedOn w:val="9"/>
    <w:link w:val="3"/>
    <w:qFormat/>
    <w:uiPriority w:val="99"/>
    <w:rPr>
      <w:rFonts w:eastAsia="Times New Roman"/>
      <w:sz w:val="20"/>
      <w:szCs w:val="20"/>
    </w:rPr>
  </w:style>
  <w:style w:type="character" w:customStyle="1" w:styleId="22">
    <w:name w:val="Comment Subject Char"/>
    <w:basedOn w:val="21"/>
    <w:link w:val="6"/>
    <w:semiHidden/>
    <w:qFormat/>
    <w:uiPriority w:val="99"/>
    <w:rPr>
      <w:rFonts w:eastAsia="Times New Roman"/>
      <w:b/>
      <w:bCs/>
      <w:sz w:val="20"/>
      <w:szCs w:val="20"/>
    </w:rPr>
  </w:style>
  <w:style w:type="character" w:customStyle="1" w:styleId="23">
    <w:name w:val="Balloon Text Char"/>
    <w:basedOn w:val="9"/>
    <w:link w:val="8"/>
    <w:semiHidden/>
    <w:qFormat/>
    <w:uiPriority w:val="99"/>
    <w:rPr>
      <w:rFonts w:ascii="Tahoma" w:hAnsi="Tahoma" w:eastAsia="Times New Roman" w:cs="Tahoma"/>
      <w:sz w:val="16"/>
      <w:szCs w:val="16"/>
    </w:rPr>
  </w:style>
  <w:style w:type="character" w:customStyle="1" w:styleId="24">
    <w:name w:val="Footer Char"/>
    <w:basedOn w:val="9"/>
    <w:link w:val="5"/>
    <w:qFormat/>
    <w:uiPriority w:val="99"/>
    <w:rPr>
      <w:rFonts w:eastAsia="Times New Roman"/>
      <w:sz w:val="20"/>
    </w:rPr>
  </w:style>
  <w:style w:type="character" w:customStyle="1" w:styleId="25">
    <w:name w:val="Header Char"/>
    <w:basedOn w:val="9"/>
    <w:link w:val="2"/>
    <w:qFormat/>
    <w:uiPriority w:val="99"/>
    <w:rPr>
      <w:rFonts w:eastAsia="Times New Roman"/>
      <w:sz w:val="20"/>
    </w:rPr>
  </w:style>
  <w:style w:type="character" w:customStyle="1" w:styleId="26">
    <w:name w:val="Unresolved Mention2"/>
    <w:basedOn w:val="9"/>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 w:type="paragraph" w:customStyle="1" w:styleId="28">
    <w:name w:val="DocsID"/>
    <w:basedOn w:val="1"/>
    <w:qFormat/>
    <w:uiPriority w:val="0"/>
    <w:pPr>
      <w:spacing w:before="20"/>
    </w:pPr>
    <w:rPr>
      <w:rFonts w:ascii="Arial" w:hAnsi="Arial" w:cs="Arial"/>
      <w:color w:val="000080"/>
      <w:sz w:val="16"/>
      <w:szCs w:val="20"/>
      <w:lang w:val="en-C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1672</Words>
  <Characters>9535</Characters>
  <Lines>79</Lines>
  <Paragraphs>22</Paragraphs>
  <ScaleCrop>false</ScaleCrop>
  <LinksUpToDate>false</LinksUpToDate>
  <CharactersWithSpaces>11185</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2021-02-09T10:53:00Z</dcterms:created>
  <dc:creator>user</dc:creator>
  <cp:lastModifiedBy>user</cp:lastModifiedBy>
  <dcterms:modified xsi:type="dcterms:W3CDTF">2021-07-31T12:57:26Z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y fmtid="{D5CDD505-2E9C-101B-9397-08002B2CF9AE}" pid="4" name="KSOProductBuildVer">
    <vt:lpwstr>1028-10.8.0.6003</vt:lpwstr>
  </property>
</Properties>
</file>