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77777777"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lang w:val="de-DE" w:eastAsia="de-DE"/>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xml:space="preserve">. </w:t>
      </w:r>
      <w:proofErr w:type="gramStart"/>
      <w:r w:rsidRPr="007A3213">
        <w:rPr>
          <w:rFonts w:ascii="Arial" w:hAnsi="Arial" w:cs="Arial"/>
          <w:bCs/>
          <w:color w:val="767171" w:themeColor="background2" w:themeShade="80"/>
          <w:sz w:val="22"/>
          <w:szCs w:val="22"/>
          <w:lang w:val="en-GB"/>
        </w:rPr>
        <w:t>In order to</w:t>
      </w:r>
      <w:proofErr w:type="gramEnd"/>
      <w:r w:rsidRPr="007A3213">
        <w:rPr>
          <w:rFonts w:ascii="Arial" w:hAnsi="Arial" w:cs="Arial"/>
          <w:bCs/>
          <w:color w:val="767171" w:themeColor="background2" w:themeShade="80"/>
          <w:sz w:val="22"/>
          <w:szCs w:val="22"/>
          <w:lang w:val="en-GB"/>
        </w:rPr>
        <w:t xml:space="preserve">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7A3213">
        <w:rPr>
          <w:rFonts w:ascii="Arial" w:hAnsi="Arial" w:cs="Arial"/>
          <w:sz w:val="22"/>
          <w:szCs w:val="22"/>
          <w:lang w:val="en-GB"/>
        </w:rPr>
        <w:t>answer</w:t>
      </w:r>
      <w:proofErr w:type="gramEnd"/>
      <w:r w:rsidRPr="007A3213">
        <w:rPr>
          <w:rFonts w:ascii="Arial" w:hAnsi="Arial" w:cs="Arial"/>
          <w:sz w:val="22"/>
          <w:szCs w:val="22"/>
          <w:lang w:val="en-GB"/>
        </w:rPr>
        <w:t xml:space="preserve">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creditors’ committee</w:t>
      </w:r>
      <w:r w:rsidR="00B77BF0" w:rsidRPr="00545969">
        <w:rPr>
          <w:rFonts w:ascii="Arial" w:hAnsi="Arial" w:cs="Arial"/>
          <w:sz w:val="22"/>
          <w:szCs w:val="22"/>
          <w:lang w:val="en-GB"/>
        </w:rPr>
        <w:t>.</w:t>
      </w:r>
    </w:p>
    <w:p w14:paraId="4EB3B557" w14:textId="77777777" w:rsidR="00545969" w:rsidRPr="007A3213" w:rsidRDefault="00545969" w:rsidP="00545969">
      <w:pPr>
        <w:ind w:left="426" w:hanging="284"/>
        <w:rPr>
          <w:rFonts w:ascii="Arial" w:hAnsi="Arial" w:cs="Arial"/>
          <w:sz w:val="22"/>
          <w:szCs w:val="22"/>
          <w:lang w:val="en-GB"/>
        </w:rPr>
      </w:pPr>
    </w:p>
    <w:p w14:paraId="7D23B13B" w14:textId="5E3CC0E4"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statute</w:t>
      </w:r>
      <w:r w:rsidR="00B77BF0" w:rsidRPr="00545969">
        <w:rPr>
          <w:rFonts w:ascii="Arial" w:hAnsi="Arial" w:cs="Arial"/>
          <w:sz w:val="22"/>
          <w:szCs w:val="22"/>
          <w:lang w:val="en-GB"/>
        </w:rPr>
        <w:t>.</w:t>
      </w:r>
    </w:p>
    <w:p w14:paraId="4CB8292F" w14:textId="77777777" w:rsidR="00545969" w:rsidRPr="007A3213" w:rsidRDefault="00545969" w:rsidP="00545969">
      <w:pPr>
        <w:ind w:left="426" w:hanging="284"/>
        <w:rPr>
          <w:rFonts w:ascii="Arial" w:hAnsi="Arial" w:cs="Arial"/>
          <w:sz w:val="22"/>
          <w:szCs w:val="22"/>
          <w:lang w:val="en-GB"/>
        </w:rPr>
      </w:pPr>
    </w:p>
    <w:p w14:paraId="5D532010" w14:textId="340366A6" w:rsidR="00E86A87" w:rsidRPr="00BA3D7D" w:rsidRDefault="004A40BD" w:rsidP="00545969">
      <w:pPr>
        <w:pStyle w:val="ListParagraph"/>
        <w:numPr>
          <w:ilvl w:val="0"/>
          <w:numId w:val="11"/>
        </w:numPr>
        <w:ind w:left="426"/>
        <w:rPr>
          <w:rFonts w:ascii="Arial" w:hAnsi="Arial" w:cs="Arial"/>
          <w:sz w:val="22"/>
          <w:szCs w:val="22"/>
          <w:highlight w:val="yellow"/>
          <w:lang w:val="en-GB"/>
        </w:rPr>
      </w:pPr>
      <w:r w:rsidRPr="00BA3D7D">
        <w:rPr>
          <w:rFonts w:ascii="Arial" w:hAnsi="Arial" w:cs="Arial"/>
          <w:sz w:val="22"/>
          <w:szCs w:val="22"/>
          <w:highlight w:val="yellow"/>
          <w:lang w:val="en-GB"/>
        </w:rPr>
        <w:t>B</w:t>
      </w:r>
      <w:r w:rsidR="00780E21" w:rsidRPr="00BA3D7D">
        <w:rPr>
          <w:rFonts w:ascii="Arial" w:hAnsi="Arial" w:cs="Arial"/>
          <w:sz w:val="22"/>
          <w:szCs w:val="22"/>
          <w:highlight w:val="yellow"/>
          <w:lang w:val="en-GB"/>
        </w:rPr>
        <w:t>y court decision</w:t>
      </w:r>
      <w:r w:rsidR="00E86A87" w:rsidRPr="00BA3D7D">
        <w:rPr>
          <w:rFonts w:ascii="Arial" w:hAnsi="Arial" w:cs="Arial"/>
          <w:sz w:val="22"/>
          <w:szCs w:val="22"/>
          <w:highlight w:val="yellow"/>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BA3D7D" w:rsidRDefault="00E86A87" w:rsidP="00545969">
      <w:pPr>
        <w:pStyle w:val="ListParagraph"/>
        <w:numPr>
          <w:ilvl w:val="0"/>
          <w:numId w:val="13"/>
        </w:numPr>
        <w:ind w:left="426"/>
        <w:rPr>
          <w:rFonts w:ascii="Arial" w:hAnsi="Arial" w:cs="Arial"/>
          <w:sz w:val="22"/>
          <w:szCs w:val="22"/>
          <w:highlight w:val="yellow"/>
          <w:lang w:val="en-GB"/>
        </w:rPr>
      </w:pPr>
      <w:r w:rsidRPr="00BA3D7D">
        <w:rPr>
          <w:rFonts w:ascii="Arial" w:hAnsi="Arial" w:cs="Arial"/>
          <w:sz w:val="22"/>
          <w:szCs w:val="22"/>
          <w:highlight w:val="yellow"/>
          <w:lang w:val="en-GB"/>
        </w:rPr>
        <w:t>Surety</w:t>
      </w:r>
      <w:r w:rsidR="00B77BF0" w:rsidRPr="00BA3D7D">
        <w:rPr>
          <w:rFonts w:ascii="Arial" w:hAnsi="Arial" w:cs="Arial"/>
          <w:sz w:val="22"/>
          <w:szCs w:val="22"/>
          <w:highlight w:val="yellow"/>
          <w:lang w:val="en-GB"/>
        </w:rPr>
        <w:t>ship</w:t>
      </w:r>
      <w:r w:rsidR="007D7536" w:rsidRPr="00BA3D7D">
        <w:rPr>
          <w:rFonts w:ascii="Arial" w:hAnsi="Arial" w:cs="Arial"/>
          <w:sz w:val="22"/>
          <w:szCs w:val="22"/>
          <w:highlight w:val="yellow"/>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62D3F93F" w:rsidR="00E86A87" w:rsidRPr="00BA3D7D" w:rsidRDefault="00B77BF0" w:rsidP="00545969">
      <w:pPr>
        <w:pStyle w:val="ListParagraph"/>
        <w:numPr>
          <w:ilvl w:val="0"/>
          <w:numId w:val="13"/>
        </w:numPr>
        <w:ind w:left="426"/>
        <w:rPr>
          <w:rFonts w:ascii="Arial" w:hAnsi="Arial" w:cs="Arial"/>
          <w:sz w:val="22"/>
          <w:szCs w:val="22"/>
          <w:lang w:val="en-GB"/>
        </w:rPr>
      </w:pPr>
      <w:r w:rsidRPr="00BA3D7D">
        <w:rPr>
          <w:rFonts w:ascii="Arial" w:hAnsi="Arial" w:cs="Arial"/>
          <w:sz w:val="22"/>
          <w:szCs w:val="22"/>
          <w:lang w:val="en-GB"/>
        </w:rPr>
        <w:t>Transfer of title by way of security</w:t>
      </w:r>
      <w:r w:rsidR="007D7536" w:rsidRPr="00BA3D7D">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33F02BCA" w:rsidR="00E86A87" w:rsidRPr="00545969" w:rsidRDefault="00E86A87"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Mortgage (</w:t>
      </w:r>
      <w:proofErr w:type="spellStart"/>
      <w:r w:rsidRPr="00545969">
        <w:rPr>
          <w:rFonts w:ascii="Arial" w:hAnsi="Arial" w:cs="Arial"/>
          <w:i/>
          <w:sz w:val="22"/>
          <w:szCs w:val="22"/>
          <w:lang w:val="en-GB"/>
        </w:rPr>
        <w:t>Grundschuld</w:t>
      </w:r>
      <w:proofErr w:type="spellEnd"/>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ListParagraph"/>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0E3E620F" w:rsidR="00E86A87" w:rsidRPr="00BA3D7D" w:rsidRDefault="004A40BD" w:rsidP="00545969">
      <w:pPr>
        <w:pStyle w:val="ListParagraph"/>
        <w:numPr>
          <w:ilvl w:val="0"/>
          <w:numId w:val="15"/>
        </w:numPr>
        <w:ind w:left="426"/>
        <w:rPr>
          <w:rFonts w:ascii="Arial" w:hAnsi="Arial" w:cs="Arial"/>
          <w:sz w:val="22"/>
          <w:szCs w:val="22"/>
          <w:highlight w:val="yellow"/>
          <w:lang w:val="en-GB"/>
        </w:rPr>
      </w:pPr>
      <w:r w:rsidRPr="00BA3D7D">
        <w:rPr>
          <w:rFonts w:ascii="Arial" w:hAnsi="Arial" w:cs="Arial"/>
          <w:sz w:val="22"/>
          <w:szCs w:val="22"/>
          <w:highlight w:val="yellow"/>
          <w:lang w:val="en-GB"/>
        </w:rPr>
        <w:t>Th</w:t>
      </w:r>
      <w:r w:rsidR="003D7817" w:rsidRPr="00BA3D7D">
        <w:rPr>
          <w:rFonts w:ascii="Arial" w:hAnsi="Arial" w:cs="Arial"/>
          <w:sz w:val="22"/>
          <w:szCs w:val="22"/>
          <w:highlight w:val="yellow"/>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58E4F69" w14:textId="4B40B1B1" w:rsidR="00DB50FB" w:rsidRDefault="00DB50FB" w:rsidP="00C55824">
      <w:pPr>
        <w:jc w:val="both"/>
        <w:rPr>
          <w:rFonts w:ascii="Arial" w:hAnsi="Arial" w:cs="Arial"/>
          <w:sz w:val="22"/>
          <w:szCs w:val="22"/>
          <w:lang w:val="en-GB"/>
        </w:rPr>
      </w:pPr>
    </w:p>
    <w:p w14:paraId="0BEDAA12" w14:textId="37A2350E" w:rsidR="00BF0162" w:rsidRDefault="00BF0162" w:rsidP="00C55824">
      <w:pPr>
        <w:jc w:val="both"/>
        <w:rPr>
          <w:rFonts w:ascii="Arial" w:hAnsi="Arial" w:cs="Arial"/>
          <w:sz w:val="22"/>
          <w:szCs w:val="22"/>
          <w:lang w:val="en-GB"/>
        </w:rPr>
      </w:pPr>
    </w:p>
    <w:p w14:paraId="64DA1C9F" w14:textId="1E88E4FE" w:rsidR="00BF0162" w:rsidRDefault="00BF0162" w:rsidP="00C55824">
      <w:pPr>
        <w:jc w:val="both"/>
        <w:rPr>
          <w:rFonts w:ascii="Arial" w:hAnsi="Arial" w:cs="Arial"/>
          <w:sz w:val="22"/>
          <w:szCs w:val="22"/>
          <w:lang w:val="en-GB"/>
        </w:rPr>
      </w:pPr>
    </w:p>
    <w:p w14:paraId="04C5A6F7" w14:textId="2DA2F82C" w:rsidR="00BF0162" w:rsidRDefault="00BF0162" w:rsidP="00C55824">
      <w:pPr>
        <w:jc w:val="both"/>
        <w:rPr>
          <w:rFonts w:ascii="Arial" w:hAnsi="Arial" w:cs="Arial"/>
          <w:sz w:val="22"/>
          <w:szCs w:val="22"/>
          <w:lang w:val="en-GB"/>
        </w:rPr>
      </w:pPr>
    </w:p>
    <w:p w14:paraId="60176A6D" w14:textId="7D5ACB82" w:rsidR="00BF0162" w:rsidRDefault="00BF0162" w:rsidP="00C55824">
      <w:pPr>
        <w:jc w:val="both"/>
        <w:rPr>
          <w:rFonts w:ascii="Arial" w:hAnsi="Arial" w:cs="Arial"/>
          <w:sz w:val="22"/>
          <w:szCs w:val="22"/>
          <w:lang w:val="en-GB"/>
        </w:rPr>
      </w:pPr>
    </w:p>
    <w:p w14:paraId="1F3E3A5B" w14:textId="31517FEA" w:rsidR="00BF0162" w:rsidRDefault="00BF0162" w:rsidP="00C55824">
      <w:pPr>
        <w:jc w:val="both"/>
        <w:rPr>
          <w:rFonts w:ascii="Arial" w:hAnsi="Arial" w:cs="Arial"/>
          <w:sz w:val="22"/>
          <w:szCs w:val="22"/>
          <w:lang w:val="en-GB"/>
        </w:rPr>
      </w:pP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799BF2B"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The directors of a Limited Liability Company (</w:t>
      </w:r>
      <w:r w:rsidRPr="00BF0162">
        <w:rPr>
          <w:rFonts w:ascii="Arial" w:hAnsi="Arial" w:cs="Arial"/>
          <w:i/>
          <w:sz w:val="22"/>
          <w:szCs w:val="22"/>
          <w:lang w:val="en-GB"/>
        </w:rPr>
        <w:t>GmbH</w:t>
      </w:r>
      <w:r w:rsidRPr="00BF0162">
        <w:rPr>
          <w:rFonts w:ascii="Arial" w:hAnsi="Arial" w:cs="Arial"/>
          <w:sz w:val="22"/>
          <w:szCs w:val="22"/>
          <w:lang w:val="en-GB"/>
        </w:rPr>
        <w:t>)</w:t>
      </w:r>
      <w:r w:rsidR="007D7536" w:rsidRPr="00BF0162">
        <w:rPr>
          <w:rFonts w:ascii="Arial" w:hAnsi="Arial" w:cs="Arial"/>
          <w:sz w:val="22"/>
          <w:szCs w:val="22"/>
          <w:lang w:val="en-GB"/>
        </w:rPr>
        <w:t>.</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6D70F7" w:rsidRDefault="00B23E79" w:rsidP="00BF0162">
      <w:pPr>
        <w:pStyle w:val="ListParagraph"/>
        <w:numPr>
          <w:ilvl w:val="0"/>
          <w:numId w:val="17"/>
        </w:numPr>
        <w:ind w:left="426"/>
        <w:rPr>
          <w:rFonts w:ascii="Arial" w:hAnsi="Arial" w:cs="Arial"/>
          <w:sz w:val="22"/>
          <w:szCs w:val="22"/>
          <w:highlight w:val="yellow"/>
          <w:lang w:val="en-GB"/>
        </w:rPr>
      </w:pPr>
      <w:r w:rsidRPr="006D70F7">
        <w:rPr>
          <w:rFonts w:ascii="Arial" w:hAnsi="Arial" w:cs="Arial"/>
          <w:sz w:val="22"/>
          <w:szCs w:val="22"/>
          <w:highlight w:val="yellow"/>
          <w:lang w:val="en-GB"/>
        </w:rPr>
        <w:t>Legal persons only</w:t>
      </w:r>
      <w:r w:rsidR="007D7536" w:rsidRPr="006D70F7">
        <w:rPr>
          <w:rFonts w:ascii="Arial" w:hAnsi="Arial" w:cs="Arial"/>
          <w:sz w:val="22"/>
          <w:szCs w:val="22"/>
          <w:highlight w:val="yellow"/>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Q</w:t>
      </w:r>
      <w:r w:rsidR="003939F8" w:rsidRPr="00BF0162">
        <w:rPr>
          <w:rFonts w:ascii="Arial" w:hAnsi="Arial" w:cs="Arial"/>
          <w:sz w:val="22"/>
          <w:szCs w:val="22"/>
        </w:rPr>
        <w:t>ualify as expenses of the proceedings (liabilities of the estate)</w:t>
      </w:r>
      <w:r w:rsidRPr="00BF0162">
        <w:rPr>
          <w:rFonts w:ascii="Arial" w:hAnsi="Arial" w:cs="Arial"/>
          <w:sz w:val="22"/>
          <w:szCs w:val="22"/>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6D70F7" w:rsidRDefault="004A40BD" w:rsidP="00BF0162">
      <w:pPr>
        <w:pStyle w:val="ListParagraph"/>
        <w:numPr>
          <w:ilvl w:val="0"/>
          <w:numId w:val="19"/>
        </w:numPr>
        <w:ind w:left="426"/>
        <w:rPr>
          <w:rFonts w:ascii="Arial" w:hAnsi="Arial" w:cs="Arial"/>
          <w:sz w:val="22"/>
          <w:szCs w:val="22"/>
          <w:highlight w:val="yellow"/>
        </w:rPr>
      </w:pPr>
      <w:r w:rsidRPr="006D70F7">
        <w:rPr>
          <w:rFonts w:ascii="Arial" w:hAnsi="Arial" w:cs="Arial"/>
          <w:sz w:val="22"/>
          <w:szCs w:val="22"/>
          <w:highlight w:val="yellow"/>
        </w:rPr>
        <w:t>R</w:t>
      </w:r>
      <w:r w:rsidR="003939F8" w:rsidRPr="006D70F7">
        <w:rPr>
          <w:rFonts w:ascii="Arial" w:hAnsi="Arial" w:cs="Arial"/>
          <w:sz w:val="22"/>
          <w:szCs w:val="22"/>
          <w:highlight w:val="yellow"/>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C</w:t>
      </w:r>
      <w:r w:rsidR="00B4760A" w:rsidRPr="00BF0162">
        <w:rPr>
          <w:rFonts w:ascii="Arial" w:hAnsi="Arial" w:cs="Arial"/>
          <w:sz w:val="22"/>
          <w:szCs w:val="22"/>
        </w:rPr>
        <w:t>annot be recognized</w:t>
      </w:r>
      <w:r w:rsidR="003939F8" w:rsidRPr="00BF0162">
        <w:rPr>
          <w:rFonts w:ascii="Arial" w:hAnsi="Arial" w:cs="Arial"/>
          <w:sz w:val="22"/>
          <w:szCs w:val="22"/>
        </w:rPr>
        <w:t xml:space="preserve"> in insolvency proceedings at all</w:t>
      </w:r>
      <w:r w:rsidR="00E676A0" w:rsidRPr="00BF0162">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6D70F7" w:rsidRDefault="00797096" w:rsidP="00BF0162">
      <w:pPr>
        <w:pStyle w:val="ListParagraph"/>
        <w:numPr>
          <w:ilvl w:val="0"/>
          <w:numId w:val="24"/>
        </w:numPr>
        <w:ind w:left="426"/>
        <w:rPr>
          <w:rFonts w:ascii="Arial" w:hAnsi="Arial" w:cs="Arial"/>
          <w:sz w:val="22"/>
          <w:szCs w:val="22"/>
          <w:highlight w:val="yellow"/>
          <w:lang w:val="en-GB"/>
        </w:rPr>
      </w:pPr>
      <w:r w:rsidRPr="006D70F7">
        <w:rPr>
          <w:rFonts w:ascii="Arial" w:hAnsi="Arial" w:cs="Arial"/>
          <w:sz w:val="22"/>
          <w:szCs w:val="22"/>
          <w:highlight w:val="yellow"/>
          <w:lang w:val="en-GB"/>
        </w:rPr>
        <w:t>The debtor</w:t>
      </w:r>
      <w:r w:rsidR="00E676A0" w:rsidRPr="006D70F7">
        <w:rPr>
          <w:rFonts w:ascii="Arial" w:hAnsi="Arial" w:cs="Arial"/>
          <w:sz w:val="22"/>
          <w:szCs w:val="22"/>
          <w:highlight w:val="yellow"/>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r w:rsidR="00767CF5" w:rsidRPr="00767CF5">
        <w:rPr>
          <w:rFonts w:ascii="Arial" w:hAnsi="Arial" w:cs="Arial"/>
          <w:i/>
          <w:sz w:val="22"/>
          <w:szCs w:val="22"/>
          <w:lang w:val="en-GB"/>
        </w:rPr>
        <w:t>Amtsgericht</w:t>
      </w:r>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6D70F7" w:rsidRDefault="004A40BD" w:rsidP="00D4592B">
      <w:pPr>
        <w:pStyle w:val="ListParagraph"/>
        <w:numPr>
          <w:ilvl w:val="0"/>
          <w:numId w:val="25"/>
        </w:numPr>
        <w:ind w:left="426"/>
        <w:rPr>
          <w:rFonts w:ascii="Arial" w:hAnsi="Arial" w:cs="Arial"/>
          <w:sz w:val="22"/>
          <w:szCs w:val="22"/>
          <w:highlight w:val="yellow"/>
          <w:lang w:val="en-GB"/>
        </w:rPr>
      </w:pPr>
      <w:r w:rsidRPr="006D70F7">
        <w:rPr>
          <w:rFonts w:ascii="Arial" w:hAnsi="Arial" w:cs="Arial"/>
          <w:sz w:val="22"/>
          <w:szCs w:val="22"/>
          <w:highlight w:val="yellow"/>
          <w:lang w:val="en-GB"/>
        </w:rPr>
        <w:t>Lo</w:t>
      </w:r>
      <w:r w:rsidR="004E1B0F" w:rsidRPr="006D70F7">
        <w:rPr>
          <w:rFonts w:ascii="Arial" w:hAnsi="Arial" w:cs="Arial"/>
          <w:sz w:val="22"/>
          <w:szCs w:val="22"/>
          <w:highlight w:val="yellow"/>
          <w:lang w:val="en-GB"/>
        </w:rPr>
        <w:t>cation of assets</w:t>
      </w:r>
      <w:r w:rsidR="00E676A0" w:rsidRPr="006D70F7">
        <w:rPr>
          <w:rFonts w:ascii="Arial" w:hAnsi="Arial" w:cs="Arial"/>
          <w:sz w:val="22"/>
          <w:szCs w:val="22"/>
          <w:highlight w:val="yellow"/>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P</w:t>
      </w:r>
      <w:r w:rsidR="004E1B0F" w:rsidRPr="00D4592B">
        <w:rPr>
          <w:rFonts w:ascii="Arial" w:hAnsi="Arial" w:cs="Arial"/>
          <w:sz w:val="22"/>
          <w:szCs w:val="22"/>
          <w:lang w:val="en-GB"/>
        </w:rPr>
        <w:t>lace of residence</w:t>
      </w:r>
      <w:r w:rsidR="00E676A0" w:rsidRPr="00D4592B">
        <w:rPr>
          <w:rFonts w:ascii="Arial" w:hAnsi="Arial" w:cs="Arial"/>
          <w:sz w:val="22"/>
          <w:szCs w:val="22"/>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C</w:t>
      </w:r>
      <w:r w:rsidR="004E1B0F" w:rsidRPr="00D4592B">
        <w:rPr>
          <w:rFonts w:ascii="Arial" w:hAnsi="Arial" w:cs="Arial"/>
          <w:sz w:val="22"/>
          <w:szCs w:val="22"/>
          <w:lang w:val="en-GB"/>
        </w:rPr>
        <w:t>entre of economic activities</w:t>
      </w:r>
      <w:r w:rsidR="00E676A0" w:rsidRPr="00D4592B">
        <w:rPr>
          <w:rFonts w:ascii="Arial" w:hAnsi="Arial" w:cs="Arial"/>
          <w:sz w:val="22"/>
          <w:szCs w:val="22"/>
          <w:lang w:val="en-GB"/>
        </w:rPr>
        <w:t>.</w:t>
      </w:r>
    </w:p>
    <w:p w14:paraId="42C6AB0E" w14:textId="28C5625F" w:rsidR="00E86A87" w:rsidRDefault="00E86A87" w:rsidP="00C55824">
      <w:pPr>
        <w:jc w:val="both"/>
        <w:rPr>
          <w:rFonts w:ascii="Arial" w:eastAsiaTheme="minorHAnsi" w:hAnsi="Arial" w:cs="Arial"/>
          <w:sz w:val="22"/>
          <w:szCs w:val="22"/>
          <w:lang w:val="en-GB"/>
        </w:rPr>
      </w:pPr>
    </w:p>
    <w:p w14:paraId="375B9959" w14:textId="3955BC86" w:rsidR="00780E21" w:rsidRDefault="00780E21" w:rsidP="00C55824">
      <w:pPr>
        <w:jc w:val="both"/>
        <w:rPr>
          <w:rFonts w:ascii="Arial" w:eastAsiaTheme="minorHAnsi" w:hAnsi="Arial" w:cs="Arial"/>
          <w:sz w:val="22"/>
          <w:szCs w:val="22"/>
          <w:lang w:val="en-GB"/>
        </w:rPr>
      </w:pPr>
    </w:p>
    <w:p w14:paraId="292E2B76" w14:textId="6B460BFB" w:rsidR="00D4592B" w:rsidRDefault="00D4592B" w:rsidP="00C55824">
      <w:pPr>
        <w:jc w:val="both"/>
        <w:rPr>
          <w:rFonts w:ascii="Arial" w:eastAsiaTheme="minorHAnsi" w:hAnsi="Arial" w:cs="Arial"/>
          <w:sz w:val="22"/>
          <w:szCs w:val="22"/>
          <w:lang w:val="en-GB"/>
        </w:rPr>
      </w:pPr>
    </w:p>
    <w:p w14:paraId="79468C46" w14:textId="22804F72" w:rsidR="00D4592B" w:rsidRDefault="00D4592B" w:rsidP="00C55824">
      <w:pPr>
        <w:jc w:val="both"/>
        <w:rPr>
          <w:rFonts w:ascii="Arial" w:eastAsiaTheme="minorHAnsi" w:hAnsi="Arial" w:cs="Arial"/>
          <w:sz w:val="22"/>
          <w:szCs w:val="22"/>
          <w:lang w:val="en-GB"/>
        </w:rPr>
      </w:pPr>
    </w:p>
    <w:p w14:paraId="2F747F30" w14:textId="234025D0" w:rsidR="00D4592B" w:rsidRDefault="00D4592B" w:rsidP="00C55824">
      <w:pPr>
        <w:jc w:val="both"/>
        <w:rPr>
          <w:rFonts w:ascii="Arial" w:eastAsiaTheme="minorHAnsi" w:hAnsi="Arial" w:cs="Arial"/>
          <w:sz w:val="22"/>
          <w:szCs w:val="22"/>
          <w:lang w:val="en-GB"/>
        </w:rPr>
      </w:pP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1.8</w:t>
      </w:r>
      <w:r w:rsidRPr="007A3213">
        <w:rPr>
          <w:rFonts w:ascii="Arial" w:hAnsi="Arial" w:cs="Arial"/>
          <w:sz w:val="22"/>
          <w:szCs w:val="22"/>
          <w:lang w:val="en-GB"/>
        </w:rPr>
        <w:t xml:space="preserve"> </w:t>
      </w:r>
    </w:p>
    <w:p w14:paraId="54C01A0C" w14:textId="77777777" w:rsidR="00E86A87" w:rsidRPr="00711F35" w:rsidRDefault="00E86A87" w:rsidP="00C55824">
      <w:pPr>
        <w:jc w:val="both"/>
        <w:rPr>
          <w:rFonts w:ascii="Arial" w:hAnsi="Arial" w:cs="Arial"/>
          <w:sz w:val="22"/>
          <w:szCs w:val="22"/>
          <w:lang w:val="en-GB"/>
        </w:rPr>
      </w:pPr>
    </w:p>
    <w:p w14:paraId="68B424A2" w14:textId="7F133782" w:rsidR="00E86A87" w:rsidRPr="00711F35" w:rsidRDefault="00AD62C1" w:rsidP="00E86A87">
      <w:pPr>
        <w:ind w:left="720" w:hanging="720"/>
        <w:rPr>
          <w:rFonts w:ascii="Arial" w:hAnsi="Arial" w:cs="Arial"/>
          <w:sz w:val="22"/>
          <w:szCs w:val="22"/>
          <w:lang w:val="en-GB"/>
        </w:rPr>
      </w:pPr>
      <w:r w:rsidRPr="00711F35">
        <w:rPr>
          <w:rFonts w:ascii="Arial" w:hAnsi="Arial" w:cs="Arial"/>
          <w:sz w:val="22"/>
          <w:szCs w:val="22"/>
          <w:lang w:val="en-GB"/>
        </w:rPr>
        <w:t xml:space="preserve">The rights of which group </w:t>
      </w:r>
      <w:r w:rsidRPr="00711F35">
        <w:rPr>
          <w:rFonts w:ascii="Arial" w:hAnsi="Arial" w:cs="Arial"/>
          <w:b/>
          <w:sz w:val="22"/>
          <w:szCs w:val="22"/>
          <w:lang w:val="en-GB"/>
        </w:rPr>
        <w:t>cannot</w:t>
      </w:r>
      <w:r w:rsidRPr="00711F35">
        <w:rPr>
          <w:rFonts w:ascii="Arial" w:hAnsi="Arial" w:cs="Arial"/>
          <w:sz w:val="22"/>
          <w:szCs w:val="22"/>
          <w:lang w:val="en-GB"/>
        </w:rPr>
        <w:t xml:space="preserve"> be affected by an insolvency plan?</w:t>
      </w:r>
    </w:p>
    <w:p w14:paraId="61EE58BB" w14:textId="77777777" w:rsidR="00E86A87" w:rsidRPr="007A3213" w:rsidRDefault="00E86A87" w:rsidP="00C55824">
      <w:pPr>
        <w:jc w:val="both"/>
        <w:rPr>
          <w:rFonts w:ascii="Arial" w:hAnsi="Arial" w:cs="Arial"/>
          <w:sz w:val="22"/>
          <w:szCs w:val="22"/>
          <w:lang w:val="en-GB"/>
        </w:rPr>
      </w:pPr>
    </w:p>
    <w:p w14:paraId="0FCEDDC5" w14:textId="66BCD39D"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Employees</w:t>
      </w:r>
      <w:r w:rsidR="00E676A0" w:rsidRPr="00D4592B">
        <w:rPr>
          <w:rFonts w:ascii="Arial" w:hAnsi="Arial" w:cs="Arial"/>
          <w:sz w:val="22"/>
          <w:szCs w:val="22"/>
          <w:lang w:val="en-GB"/>
        </w:rPr>
        <w:t>.</w:t>
      </w:r>
    </w:p>
    <w:p w14:paraId="2E6B3413" w14:textId="77777777" w:rsidR="00D4592B" w:rsidRPr="007A3213" w:rsidRDefault="00D4592B" w:rsidP="00D4592B">
      <w:pPr>
        <w:ind w:left="426" w:hanging="284"/>
        <w:rPr>
          <w:rFonts w:ascii="Arial" w:hAnsi="Arial" w:cs="Arial"/>
          <w:sz w:val="22"/>
          <w:szCs w:val="22"/>
          <w:lang w:val="en-GB"/>
        </w:rPr>
      </w:pPr>
    </w:p>
    <w:p w14:paraId="0E1E8E42" w14:textId="3B88DB64"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Shareholders</w:t>
      </w:r>
      <w:r w:rsidR="00E676A0" w:rsidRPr="00D4592B">
        <w:rPr>
          <w:rFonts w:ascii="Arial" w:hAnsi="Arial" w:cs="Arial"/>
          <w:sz w:val="22"/>
          <w:szCs w:val="22"/>
          <w:lang w:val="en-GB"/>
        </w:rPr>
        <w:t>.</w:t>
      </w:r>
    </w:p>
    <w:p w14:paraId="27E1684F" w14:textId="77777777" w:rsidR="00D4592B" w:rsidRPr="007A3213" w:rsidRDefault="00D4592B" w:rsidP="00D4592B">
      <w:pPr>
        <w:ind w:left="426" w:hanging="284"/>
        <w:rPr>
          <w:rFonts w:ascii="Arial" w:hAnsi="Arial" w:cs="Arial"/>
          <w:sz w:val="22"/>
          <w:szCs w:val="22"/>
          <w:lang w:val="en-GB"/>
        </w:rPr>
      </w:pPr>
    </w:p>
    <w:p w14:paraId="45443C96" w14:textId="1BDBE9AE"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Banks</w:t>
      </w:r>
      <w:r w:rsidR="00D4592B" w:rsidRPr="00D4592B">
        <w:rPr>
          <w:rFonts w:ascii="Arial" w:hAnsi="Arial" w:cs="Arial"/>
          <w:sz w:val="22"/>
          <w:szCs w:val="22"/>
          <w:lang w:val="en-GB"/>
        </w:rPr>
        <w:t>.</w:t>
      </w:r>
    </w:p>
    <w:p w14:paraId="6D108DEB" w14:textId="77777777" w:rsidR="00D4592B" w:rsidRPr="007A3213" w:rsidRDefault="00D4592B" w:rsidP="00D4592B">
      <w:pPr>
        <w:ind w:left="426" w:hanging="284"/>
        <w:rPr>
          <w:rFonts w:ascii="Arial" w:hAnsi="Arial" w:cs="Arial"/>
          <w:sz w:val="22"/>
          <w:szCs w:val="22"/>
          <w:lang w:val="en-GB"/>
        </w:rPr>
      </w:pPr>
    </w:p>
    <w:p w14:paraId="65D532B0" w14:textId="5CE65DF7" w:rsidR="00E86A87" w:rsidRPr="00711F35" w:rsidRDefault="00AD62C1" w:rsidP="00D4592B">
      <w:pPr>
        <w:pStyle w:val="ListParagraph"/>
        <w:numPr>
          <w:ilvl w:val="0"/>
          <w:numId w:val="27"/>
        </w:numPr>
        <w:ind w:left="426"/>
        <w:rPr>
          <w:rFonts w:ascii="Arial" w:hAnsi="Arial" w:cs="Arial"/>
          <w:sz w:val="22"/>
          <w:szCs w:val="22"/>
          <w:highlight w:val="yellow"/>
          <w:lang w:val="en-GB"/>
        </w:rPr>
      </w:pPr>
      <w:r w:rsidRPr="00711F35">
        <w:rPr>
          <w:rFonts w:ascii="Arial" w:hAnsi="Arial" w:cs="Arial"/>
          <w:sz w:val="22"/>
          <w:szCs w:val="22"/>
          <w:highlight w:val="yellow"/>
          <w:lang w:val="en-GB"/>
        </w:rPr>
        <w:t>Creditors with a right to separation</w:t>
      </w:r>
      <w:r w:rsidR="00E676A0" w:rsidRPr="00711F35">
        <w:rPr>
          <w:rFonts w:ascii="Arial" w:hAnsi="Arial" w:cs="Arial"/>
          <w:sz w:val="22"/>
          <w:szCs w:val="22"/>
          <w:highlight w:val="yellow"/>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Seven years</w:t>
      </w:r>
      <w:r w:rsidR="005F75C3" w:rsidRPr="00D4592B">
        <w:rPr>
          <w:rFonts w:ascii="Arial" w:hAnsi="Arial" w:cs="Arial"/>
          <w:sz w:val="22"/>
          <w:szCs w:val="22"/>
          <w:lang w:val="en-GB"/>
        </w:rPr>
        <w:t>.</w:t>
      </w:r>
    </w:p>
    <w:p w14:paraId="14B8B2DE" w14:textId="77777777" w:rsidR="00D4592B" w:rsidRPr="00D4592B" w:rsidRDefault="00D4592B" w:rsidP="00D4592B">
      <w:pPr>
        <w:ind w:left="426" w:hanging="284"/>
        <w:rPr>
          <w:rFonts w:ascii="Arial" w:hAnsi="Arial" w:cs="Arial"/>
          <w:sz w:val="22"/>
          <w:szCs w:val="22"/>
          <w:lang w:val="en-GB"/>
        </w:rPr>
      </w:pPr>
    </w:p>
    <w:p w14:paraId="1A32DDBF" w14:textId="353BB143" w:rsidR="00E86A87" w:rsidRPr="00711F35" w:rsidRDefault="004A7773" w:rsidP="00D4592B">
      <w:pPr>
        <w:pStyle w:val="ListParagraph"/>
        <w:numPr>
          <w:ilvl w:val="0"/>
          <w:numId w:val="29"/>
        </w:numPr>
        <w:ind w:left="426"/>
        <w:rPr>
          <w:rFonts w:ascii="Arial" w:hAnsi="Arial" w:cs="Arial"/>
          <w:sz w:val="22"/>
          <w:szCs w:val="22"/>
          <w:highlight w:val="yellow"/>
          <w:lang w:val="en-GB"/>
        </w:rPr>
      </w:pPr>
      <w:r w:rsidRPr="00711F35">
        <w:rPr>
          <w:rFonts w:ascii="Arial" w:hAnsi="Arial" w:cs="Arial"/>
          <w:sz w:val="22"/>
          <w:szCs w:val="22"/>
          <w:highlight w:val="yellow"/>
          <w:lang w:val="en-GB"/>
        </w:rPr>
        <w:t>Six years</w:t>
      </w:r>
      <w:r w:rsidR="005F75C3" w:rsidRPr="00711F35">
        <w:rPr>
          <w:rFonts w:ascii="Arial" w:hAnsi="Arial" w:cs="Arial"/>
          <w:sz w:val="22"/>
          <w:szCs w:val="22"/>
          <w:highlight w:val="yellow"/>
          <w:lang w:val="en-GB"/>
        </w:rPr>
        <w:t>.</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Three years</w:t>
      </w:r>
      <w:r w:rsidR="005F75C3" w:rsidRPr="00D4592B">
        <w:rPr>
          <w:rFonts w:ascii="Arial" w:hAnsi="Arial" w:cs="Arial"/>
          <w:sz w:val="22"/>
          <w:szCs w:val="22"/>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One year</w:t>
      </w:r>
      <w:r w:rsidR="005F75C3" w:rsidRPr="00D4592B">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304F77" w:rsidRDefault="00F54BA3" w:rsidP="00D4592B">
      <w:pPr>
        <w:pStyle w:val="ListParagraph"/>
        <w:numPr>
          <w:ilvl w:val="0"/>
          <w:numId w:val="31"/>
        </w:numPr>
        <w:ind w:left="426"/>
        <w:rPr>
          <w:rFonts w:ascii="Arial" w:hAnsi="Arial" w:cs="Arial"/>
          <w:sz w:val="22"/>
          <w:szCs w:val="22"/>
          <w:highlight w:val="yellow"/>
          <w:lang w:val="en-GB"/>
        </w:rPr>
      </w:pPr>
      <w:r w:rsidRPr="00304F77">
        <w:rPr>
          <w:rFonts w:ascii="Arial" w:hAnsi="Arial" w:cs="Arial"/>
          <w:sz w:val="22"/>
          <w:szCs w:val="22"/>
          <w:highlight w:val="yellow"/>
          <w:lang w:val="en-GB"/>
        </w:rPr>
        <w:t>By decision of the court</w:t>
      </w:r>
      <w:r w:rsidR="002B40FB" w:rsidRPr="00304F77">
        <w:rPr>
          <w:rFonts w:ascii="Arial" w:hAnsi="Arial" w:cs="Arial"/>
          <w:sz w:val="22"/>
          <w:szCs w:val="22"/>
          <w:highlight w:val="yellow"/>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statute (by force of law)</w:t>
      </w:r>
      <w:r w:rsidR="002B40FB" w:rsidRPr="00D4592B">
        <w:rPr>
          <w:rFonts w:ascii="Arial" w:hAnsi="Arial" w:cs="Arial"/>
          <w:sz w:val="22"/>
          <w:szCs w:val="22"/>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086004A0" w14:textId="77777777" w:rsidR="00AE5655" w:rsidRPr="007A3213" w:rsidRDefault="00AE5655" w:rsidP="002A37BB">
      <w:pPr>
        <w:jc w:val="both"/>
        <w:rPr>
          <w:rFonts w:ascii="Arial" w:hAnsi="Arial" w:cs="Arial"/>
          <w:bCs/>
          <w:sz w:val="22"/>
          <w:szCs w:val="22"/>
          <w:lang w:val="en-GB"/>
        </w:rPr>
      </w:pPr>
    </w:p>
    <w:p w14:paraId="669E1948" w14:textId="77777777" w:rsidR="00AE5655" w:rsidRPr="007A3213" w:rsidRDefault="00AE5655"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962045" w:rsidRPr="007A3213">
        <w:rPr>
          <w:rFonts w:ascii="Arial" w:hAnsi="Arial" w:cs="Arial"/>
          <w:b/>
          <w:bCs/>
          <w:sz w:val="22"/>
          <w:szCs w:val="22"/>
          <w:lang w:val="en-GB"/>
        </w:rPr>
        <w:t>2.1</w:t>
      </w:r>
      <w:r w:rsidR="00962045" w:rsidRPr="007A3213">
        <w:rPr>
          <w:rFonts w:ascii="Arial" w:hAnsi="Arial" w:cs="Arial"/>
          <w:b/>
          <w:bCs/>
          <w:sz w:val="22"/>
          <w:szCs w:val="22"/>
          <w:lang w:val="en-GB"/>
        </w:rPr>
        <w:tab/>
      </w:r>
      <w:r w:rsidR="00DE03AF" w:rsidRPr="007A3213">
        <w:rPr>
          <w:rFonts w:ascii="Arial" w:hAnsi="Arial" w:cs="Arial"/>
          <w:b/>
          <w:bCs/>
          <w:sz w:val="22"/>
          <w:szCs w:val="22"/>
          <w:lang w:val="en-GB"/>
        </w:rPr>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7F609C34"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1B950D69" w14:textId="394F1004" w:rsidR="00943E7F" w:rsidRDefault="00943E7F" w:rsidP="00C34152">
      <w:pPr>
        <w:jc w:val="both"/>
        <w:rPr>
          <w:rFonts w:ascii="Arial" w:hAnsi="Arial" w:cs="Arial"/>
          <w:sz w:val="22"/>
          <w:szCs w:val="22"/>
          <w:lang w:val="en-GB"/>
        </w:rPr>
      </w:pPr>
    </w:p>
    <w:p w14:paraId="07E1B7A4" w14:textId="127E6364" w:rsidR="00B30912" w:rsidRPr="00967EF3" w:rsidRDefault="00304F77" w:rsidP="00B30912">
      <w:pPr>
        <w:ind w:left="720" w:hanging="720"/>
        <w:jc w:val="both"/>
        <w:rPr>
          <w:rFonts w:ascii="Arial" w:hAnsi="Arial" w:cs="Arial"/>
          <w:sz w:val="22"/>
          <w:szCs w:val="22"/>
        </w:rPr>
      </w:pPr>
      <w:r>
        <w:rPr>
          <w:rFonts w:ascii="Arial" w:hAnsi="Arial" w:cs="Arial"/>
          <w:color w:val="7B7B7B" w:themeColor="accent3" w:themeShade="BF"/>
          <w:sz w:val="22"/>
          <w:szCs w:val="22"/>
        </w:rPr>
        <w:t xml:space="preserve">Cross-border insolvency in Germany is regulated by </w:t>
      </w:r>
      <w:r w:rsidR="001A76D4">
        <w:rPr>
          <w:rFonts w:ascii="Arial" w:hAnsi="Arial" w:cs="Arial"/>
          <w:color w:val="7B7B7B" w:themeColor="accent3" w:themeShade="BF"/>
          <w:sz w:val="22"/>
          <w:szCs w:val="22"/>
        </w:rPr>
        <w:t xml:space="preserve">Part 11 (section 335 to 358) of the </w:t>
      </w:r>
      <w:proofErr w:type="spellStart"/>
      <w:r w:rsidR="001A76D4">
        <w:rPr>
          <w:rFonts w:ascii="Arial" w:hAnsi="Arial" w:cs="Arial"/>
          <w:color w:val="7B7B7B" w:themeColor="accent3" w:themeShade="BF"/>
          <w:sz w:val="22"/>
          <w:szCs w:val="22"/>
        </w:rPr>
        <w:t>Insolvenceordnung</w:t>
      </w:r>
      <w:proofErr w:type="spellEnd"/>
      <w:r w:rsidR="001A76D4">
        <w:rPr>
          <w:rFonts w:ascii="Arial" w:hAnsi="Arial" w:cs="Arial"/>
          <w:color w:val="7B7B7B" w:themeColor="accent3" w:themeShade="BF"/>
          <w:sz w:val="22"/>
          <w:szCs w:val="22"/>
        </w:rPr>
        <w:t xml:space="preserve"> (“InsO”)</w:t>
      </w:r>
      <w:r w:rsidR="00327D1D">
        <w:rPr>
          <w:rFonts w:ascii="Arial" w:hAnsi="Arial" w:cs="Arial"/>
          <w:color w:val="7B7B7B" w:themeColor="accent3" w:themeShade="BF"/>
          <w:sz w:val="22"/>
          <w:szCs w:val="22"/>
        </w:rPr>
        <w:t>, which norms are binding provided that no bi- or multilateral agreements apply. Cross-border case involving EU member states are governed by the EU Regulation (2015/848) (“EIR”).</w:t>
      </w:r>
    </w:p>
    <w:p w14:paraId="720BC2ED" w14:textId="7F382FE3" w:rsidR="00D71A34" w:rsidRPr="00D71A34" w:rsidRDefault="00D71A34" w:rsidP="00D71A34">
      <w:pPr>
        <w:autoSpaceDE w:val="0"/>
        <w:autoSpaceDN w:val="0"/>
        <w:adjustRightInd w:val="0"/>
        <w:snapToGrid w:val="0"/>
        <w:jc w:val="right"/>
        <w:rPr>
          <w:rFonts w:ascii="Arial" w:hAnsi="Arial" w:cs="Arial"/>
          <w:b/>
          <w:color w:val="FF0000"/>
          <w:sz w:val="22"/>
          <w:szCs w:val="22"/>
          <w:lang w:val="en-GB"/>
        </w:rPr>
      </w:pPr>
    </w:p>
    <w:p w14:paraId="238DDC65" w14:textId="77777777" w:rsidR="007622E8" w:rsidRPr="007A3213" w:rsidRDefault="007622E8" w:rsidP="007622E8">
      <w:pPr>
        <w:jc w:val="both"/>
        <w:rPr>
          <w:rFonts w:ascii="Arial" w:hAnsi="Arial" w:cs="Arial"/>
          <w:sz w:val="22"/>
          <w:szCs w:val="22"/>
          <w:lang w:val="en-GB"/>
        </w:rPr>
      </w:pPr>
    </w:p>
    <w:p w14:paraId="1A9D5A4E" w14:textId="77777777" w:rsidR="00C7284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DE03AF" w:rsidRPr="007A3213">
        <w:rPr>
          <w:rFonts w:ascii="Arial" w:hAnsi="Arial" w:cs="Arial"/>
          <w:b/>
          <w:bCs/>
          <w:sz w:val="22"/>
          <w:szCs w:val="22"/>
          <w:lang w:val="en-GB"/>
        </w:rPr>
        <w:t>2.2</w:t>
      </w:r>
      <w:r w:rsidR="00DE03A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4</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219E3356" w14:textId="77777777" w:rsidR="00C72848" w:rsidRPr="007A3213" w:rsidRDefault="00C72848" w:rsidP="002A37BB">
      <w:pPr>
        <w:ind w:left="720" w:hanging="720"/>
        <w:jc w:val="both"/>
        <w:rPr>
          <w:rFonts w:ascii="Arial" w:hAnsi="Arial" w:cs="Arial"/>
          <w:sz w:val="22"/>
          <w:szCs w:val="22"/>
          <w:lang w:val="en-GB"/>
        </w:rPr>
      </w:pPr>
    </w:p>
    <w:p w14:paraId="4D242B48" w14:textId="15B7AC80" w:rsidR="00C34152" w:rsidRDefault="002C2624" w:rsidP="00C34152">
      <w:pPr>
        <w:pStyle w:val="ListParagraph"/>
        <w:ind w:left="0"/>
        <w:rPr>
          <w:rFonts w:ascii="Arial" w:hAnsi="Arial" w:cs="Arial"/>
          <w:sz w:val="22"/>
          <w:szCs w:val="22"/>
          <w:lang w:val="en-GB"/>
        </w:rPr>
      </w:pPr>
      <w:r>
        <w:rPr>
          <w:rFonts w:ascii="Arial" w:hAnsi="Arial" w:cs="Arial"/>
          <w:sz w:val="22"/>
          <w:szCs w:val="22"/>
          <w:lang w:val="en-GB"/>
        </w:rPr>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w:t>
      </w:r>
      <w:proofErr w:type="gramStart"/>
      <w:r>
        <w:rPr>
          <w:rFonts w:ascii="Arial" w:hAnsi="Arial" w:cs="Arial"/>
          <w:sz w:val="22"/>
          <w:szCs w:val="22"/>
          <w:lang w:val="en-GB"/>
        </w:rPr>
        <w:t>)</w:t>
      </w:r>
      <w:proofErr w:type="gramEnd"/>
      <w:r>
        <w:rPr>
          <w:rFonts w:ascii="Arial" w:hAnsi="Arial" w:cs="Arial"/>
          <w:sz w:val="22"/>
          <w:szCs w:val="22"/>
          <w:lang w:val="en-GB"/>
        </w:rPr>
        <w:t xml:space="preserve"> and which are not?</w:t>
      </w:r>
    </w:p>
    <w:p w14:paraId="426174AE" w14:textId="2FC60A4F" w:rsidR="00327D1D" w:rsidRDefault="00327D1D" w:rsidP="00C34152">
      <w:pPr>
        <w:pStyle w:val="ListParagraph"/>
        <w:ind w:left="0"/>
        <w:rPr>
          <w:rFonts w:ascii="Arial" w:hAnsi="Arial" w:cs="Arial"/>
          <w:sz w:val="22"/>
          <w:szCs w:val="22"/>
          <w:lang w:val="en-GB"/>
        </w:rPr>
      </w:pPr>
    </w:p>
    <w:p w14:paraId="65026DAF" w14:textId="7B3121A5" w:rsidR="00B30912" w:rsidRPr="003433D0" w:rsidRDefault="00C16BCC" w:rsidP="003433D0">
      <w:pPr>
        <w:pStyle w:val="ListParagraph"/>
        <w:ind w:left="0"/>
        <w:jc w:val="both"/>
        <w:rPr>
          <w:rFonts w:ascii="Arial" w:hAnsi="Arial" w:cs="Arial"/>
          <w:sz w:val="22"/>
          <w:szCs w:val="22"/>
        </w:rPr>
      </w:pPr>
      <w:r w:rsidRPr="00C16BCC">
        <w:rPr>
          <w:rFonts w:ascii="Arial" w:hAnsi="Arial" w:cs="Arial"/>
          <w:color w:val="7B7B7B" w:themeColor="accent3" w:themeShade="BF"/>
          <w:sz w:val="22"/>
          <w:szCs w:val="22"/>
        </w:rPr>
        <w:lastRenderedPageBreak/>
        <w:t xml:space="preserve">The </w:t>
      </w:r>
      <w:r>
        <w:rPr>
          <w:rFonts w:ascii="Arial" w:hAnsi="Arial" w:cs="Arial"/>
          <w:color w:val="7B7B7B" w:themeColor="accent3" w:themeShade="BF"/>
          <w:sz w:val="22"/>
          <w:szCs w:val="22"/>
        </w:rPr>
        <w:t>rules and requirements relating to the publicity principle i</w:t>
      </w:r>
      <w:r w:rsidRPr="00C16BCC">
        <w:rPr>
          <w:rFonts w:ascii="Arial" w:hAnsi="Arial" w:cs="Arial"/>
          <w:color w:val="7B7B7B" w:themeColor="accent3" w:themeShade="BF"/>
          <w:sz w:val="22"/>
          <w:szCs w:val="22"/>
        </w:rPr>
        <w:t>n German law</w:t>
      </w:r>
      <w:r>
        <w:rPr>
          <w:rFonts w:ascii="Arial" w:hAnsi="Arial" w:cs="Arial"/>
          <w:color w:val="7B7B7B" w:themeColor="accent3" w:themeShade="BF"/>
          <w:sz w:val="22"/>
          <w:szCs w:val="22"/>
        </w:rPr>
        <w:t xml:space="preserve"> varies depending on the specific type of security. </w:t>
      </w:r>
      <w:r w:rsidR="003433D0">
        <w:rPr>
          <w:rFonts w:ascii="Arial" w:hAnsi="Arial" w:cs="Arial"/>
          <w:color w:val="7B7B7B" w:themeColor="accent3" w:themeShade="BF"/>
          <w:sz w:val="22"/>
          <w:szCs w:val="22"/>
        </w:rPr>
        <w:t xml:space="preserve">The required registration of mortgage in the Land Register serves to guarantee the publicity of security over immovable assets. </w:t>
      </w:r>
      <w:r>
        <w:rPr>
          <w:rFonts w:ascii="Arial" w:hAnsi="Arial" w:cs="Arial"/>
          <w:color w:val="7B7B7B" w:themeColor="accent3" w:themeShade="BF"/>
          <w:sz w:val="22"/>
          <w:szCs w:val="22"/>
        </w:rPr>
        <w:t xml:space="preserve">Security ownership or assignment does not require an act of publication. </w:t>
      </w:r>
      <w:r w:rsidR="00C5031A">
        <w:rPr>
          <w:rFonts w:ascii="Arial" w:hAnsi="Arial" w:cs="Arial"/>
          <w:color w:val="7B7B7B" w:themeColor="accent3" w:themeShade="BF"/>
          <w:sz w:val="22"/>
          <w:szCs w:val="22"/>
        </w:rPr>
        <w:t xml:space="preserve">The exemption from the publicity requirements does however not apply to registered inland waterway vessels, which requires the new owner to be registered as such in the Ship Register for valid security of ownership. </w:t>
      </w:r>
      <w:r>
        <w:rPr>
          <w:rFonts w:ascii="Arial" w:hAnsi="Arial" w:cs="Arial"/>
          <w:color w:val="7B7B7B" w:themeColor="accent3" w:themeShade="BF"/>
          <w:sz w:val="22"/>
          <w:szCs w:val="22"/>
        </w:rPr>
        <w:t>In respect of a pledge</w:t>
      </w:r>
      <w:r w:rsidR="00C5031A">
        <w:rPr>
          <w:rFonts w:ascii="Arial" w:hAnsi="Arial" w:cs="Arial"/>
          <w:color w:val="7B7B7B" w:themeColor="accent3" w:themeShade="BF"/>
          <w:sz w:val="22"/>
          <w:szCs w:val="22"/>
        </w:rPr>
        <w:t xml:space="preserve"> over tangible assets, transfer of possession is required for a valid security right to be established and </w:t>
      </w:r>
      <w:r w:rsidR="003433D0">
        <w:rPr>
          <w:rFonts w:ascii="Arial" w:hAnsi="Arial" w:cs="Arial"/>
          <w:color w:val="7B7B7B" w:themeColor="accent3" w:themeShade="BF"/>
          <w:sz w:val="22"/>
          <w:szCs w:val="22"/>
        </w:rPr>
        <w:t>where</w:t>
      </w:r>
      <w:r w:rsidR="00C5031A">
        <w:rPr>
          <w:rFonts w:ascii="Arial" w:hAnsi="Arial" w:cs="Arial"/>
          <w:color w:val="7B7B7B" w:themeColor="accent3" w:themeShade="BF"/>
          <w:sz w:val="22"/>
          <w:szCs w:val="22"/>
        </w:rPr>
        <w:t xml:space="preserve"> claims </w:t>
      </w:r>
      <w:r w:rsidR="003433D0">
        <w:rPr>
          <w:rFonts w:ascii="Arial" w:hAnsi="Arial" w:cs="Arial"/>
          <w:color w:val="7B7B7B" w:themeColor="accent3" w:themeShade="BF"/>
          <w:sz w:val="22"/>
          <w:szCs w:val="22"/>
        </w:rPr>
        <w:t xml:space="preserve">are </w:t>
      </w:r>
      <w:r w:rsidR="00C5031A">
        <w:rPr>
          <w:rFonts w:ascii="Arial" w:hAnsi="Arial" w:cs="Arial"/>
          <w:color w:val="7B7B7B" w:themeColor="accent3" w:themeShade="BF"/>
          <w:sz w:val="22"/>
          <w:szCs w:val="22"/>
        </w:rPr>
        <w:t xml:space="preserve">pledged, the relevant debtors must be notified. Pledges of rights other than claims do not require any specified acts of publication. </w:t>
      </w:r>
      <w:r w:rsidR="003433D0">
        <w:rPr>
          <w:rFonts w:ascii="Arial" w:hAnsi="Arial" w:cs="Arial"/>
          <w:color w:val="7B7B7B" w:themeColor="accent3" w:themeShade="BF"/>
          <w:sz w:val="22"/>
          <w:szCs w:val="22"/>
        </w:rPr>
        <w:t xml:space="preserve">Whilst pledge rights over certain intellectual property rights may be registered in relevant registers, such registration merely has a declaratory value and does not affect the validity of the pledge. </w:t>
      </w:r>
    </w:p>
    <w:p w14:paraId="6E146EE9" w14:textId="55DBC435" w:rsidR="002F16BD" w:rsidRDefault="002F16BD" w:rsidP="003433D0">
      <w:pPr>
        <w:jc w:val="both"/>
        <w:rPr>
          <w:rFonts w:ascii="Arial" w:hAnsi="Arial" w:cs="Arial"/>
          <w:sz w:val="22"/>
          <w:szCs w:val="22"/>
          <w:lang w:val="x-none"/>
        </w:rPr>
      </w:pPr>
    </w:p>
    <w:p w14:paraId="6B031977" w14:textId="77777777" w:rsidR="00B30912" w:rsidRPr="007A3213" w:rsidRDefault="00B30912" w:rsidP="000413DC">
      <w:pPr>
        <w:ind w:left="720" w:hanging="720"/>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7A3213">
        <w:rPr>
          <w:rFonts w:ascii="Arial" w:hAnsi="Arial" w:cs="Arial"/>
          <w:b/>
          <w:bCs/>
          <w:sz w:val="22"/>
          <w:szCs w:val="22"/>
          <w:lang w:val="en-GB"/>
        </w:rPr>
        <w:t xml:space="preserve">Question </w:t>
      </w:r>
      <w:r w:rsidR="00E6452F" w:rsidRPr="007A3213">
        <w:rPr>
          <w:rFonts w:ascii="Arial" w:hAnsi="Arial" w:cs="Arial"/>
          <w:b/>
          <w:bCs/>
          <w:sz w:val="22"/>
          <w:szCs w:val="22"/>
          <w:lang w:val="en-GB"/>
        </w:rPr>
        <w:t>2.3</w:t>
      </w:r>
      <w:r w:rsidR="00E6452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E6452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E6452F" w:rsidRPr="007A3213">
        <w:rPr>
          <w:rFonts w:ascii="Arial" w:hAnsi="Arial" w:cs="Arial"/>
          <w:b/>
          <w:bCs/>
          <w:sz w:val="22"/>
          <w:szCs w:val="22"/>
          <w:lang w:val="en-GB"/>
        </w:rPr>
        <w:t xml:space="preserve"> marks]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r>
        <w:rPr>
          <w:rFonts w:ascii="Arial" w:hAnsi="Arial" w:cs="Arial"/>
          <w:i/>
          <w:sz w:val="22"/>
          <w:szCs w:val="22"/>
          <w:lang w:val="en-GB"/>
        </w:rPr>
        <w:t>Prüfungstermin</w:t>
      </w:r>
      <w:r>
        <w:rPr>
          <w:rFonts w:ascii="Arial" w:hAnsi="Arial" w:cs="Arial"/>
          <w:sz w:val="22"/>
          <w:szCs w:val="22"/>
          <w:lang w:val="en-GB"/>
        </w:rPr>
        <w:t>)?</w:t>
      </w:r>
    </w:p>
    <w:p w14:paraId="1024EF6F" w14:textId="4892399E" w:rsidR="003D55EA" w:rsidRDefault="003D55EA" w:rsidP="00C34152">
      <w:pPr>
        <w:jc w:val="both"/>
        <w:rPr>
          <w:rFonts w:ascii="Arial" w:hAnsi="Arial" w:cs="Arial"/>
          <w:sz w:val="22"/>
          <w:szCs w:val="22"/>
          <w:lang w:val="en-GB"/>
        </w:rPr>
      </w:pPr>
    </w:p>
    <w:p w14:paraId="327DAA6E" w14:textId="2E234EB1" w:rsidR="001821C7" w:rsidRDefault="003433D0" w:rsidP="003433D0">
      <w:pPr>
        <w:ind w:left="720" w:hanging="720"/>
        <w:jc w:val="both"/>
        <w:rPr>
          <w:rFonts w:ascii="Arial" w:hAnsi="Arial" w:cs="Arial"/>
          <w:color w:val="000000"/>
          <w:sz w:val="22"/>
          <w:szCs w:val="22"/>
          <w:lang w:val="x-none"/>
        </w:rPr>
      </w:pPr>
      <w:r>
        <w:rPr>
          <w:rFonts w:ascii="Arial" w:hAnsi="Arial" w:cs="Arial"/>
          <w:color w:val="7B7B7B" w:themeColor="accent3" w:themeShade="BF"/>
          <w:sz w:val="22"/>
          <w:szCs w:val="22"/>
        </w:rPr>
        <w:t>During the verification meeting, claims filed by unsecured creditors are verified in respect of the amount an</w:t>
      </w:r>
      <w:r w:rsidR="00091AF2">
        <w:rPr>
          <w:rFonts w:ascii="Arial" w:hAnsi="Arial" w:cs="Arial"/>
          <w:color w:val="7B7B7B" w:themeColor="accent3" w:themeShade="BF"/>
          <w:sz w:val="22"/>
          <w:szCs w:val="22"/>
        </w:rPr>
        <w:t>d</w:t>
      </w:r>
      <w:r>
        <w:rPr>
          <w:rFonts w:ascii="Arial" w:hAnsi="Arial" w:cs="Arial"/>
          <w:color w:val="7B7B7B" w:themeColor="accent3" w:themeShade="BF"/>
          <w:sz w:val="22"/>
          <w:szCs w:val="22"/>
        </w:rPr>
        <w:t xml:space="preserve"> ranking of the claim. Objections against claims may be raised by the insolvency administrator or creditors and the debtor may also dispute or contest any claims during this meeting. </w:t>
      </w:r>
      <w:r w:rsidR="00091AF2">
        <w:rPr>
          <w:rFonts w:ascii="Arial" w:hAnsi="Arial" w:cs="Arial"/>
          <w:color w:val="7B7B7B" w:themeColor="accent3" w:themeShade="BF"/>
          <w:sz w:val="22"/>
          <w:szCs w:val="22"/>
        </w:rPr>
        <w:t xml:space="preserve">If a claim is disputed, it will be further adjudicated upon during court proceedings. </w:t>
      </w:r>
    </w:p>
    <w:p w14:paraId="1AC93B3D" w14:textId="77777777"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w:t>
      </w:r>
      <w:r w:rsidR="00962045" w:rsidRPr="007A3213">
        <w:rPr>
          <w:rFonts w:ascii="Arial" w:hAnsi="Arial" w:cs="Arial"/>
          <w:b/>
          <w:sz w:val="22"/>
          <w:szCs w:val="22"/>
          <w:lang w:val="en-GB"/>
        </w:rPr>
        <w:t xml:space="preserve"> 3 (essay-type questions) [15 marks</w:t>
      </w:r>
      <w:r w:rsidR="006A2646" w:rsidRPr="007A3213">
        <w:rPr>
          <w:rFonts w:ascii="Arial" w:hAnsi="Arial" w:cs="Arial"/>
          <w:b/>
          <w:sz w:val="22"/>
          <w:szCs w:val="22"/>
          <w:lang w:val="en-GB"/>
        </w:rPr>
        <w:t xml:space="preserve"> in total</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6921E1E4" w14:textId="77777777" w:rsidR="00964917" w:rsidRDefault="00964917" w:rsidP="00CC34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Executory contracts can be divided into contracts in terms of which a partner is required to fulfill an obligation and reciprocal contracts. </w:t>
      </w:r>
    </w:p>
    <w:p w14:paraId="67DC3D00" w14:textId="77777777" w:rsidR="00964917" w:rsidRDefault="00964917" w:rsidP="00CC34BB">
      <w:pPr>
        <w:ind w:left="720" w:hanging="720"/>
        <w:jc w:val="both"/>
        <w:rPr>
          <w:rFonts w:ascii="Arial" w:hAnsi="Arial" w:cs="Arial"/>
          <w:color w:val="7B7B7B" w:themeColor="accent3" w:themeShade="BF"/>
          <w:sz w:val="22"/>
          <w:szCs w:val="22"/>
        </w:rPr>
      </w:pPr>
    </w:p>
    <w:p w14:paraId="2B24A32E" w14:textId="071D1B0B" w:rsidR="00CC34BB" w:rsidRDefault="00964917" w:rsidP="00CC34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former is generally “wound up” during insolvency proceedings and the partner is obliged to fulfill its obligations under the contract and submit a claim with the insolvency administrator. The claim will be satisfied on a </w:t>
      </w:r>
      <w:r>
        <w:rPr>
          <w:rFonts w:ascii="Arial" w:hAnsi="Arial" w:cs="Arial"/>
          <w:i/>
          <w:iCs/>
          <w:color w:val="7B7B7B" w:themeColor="accent3" w:themeShade="BF"/>
          <w:sz w:val="22"/>
          <w:szCs w:val="22"/>
        </w:rPr>
        <w:t>pro rata</w:t>
      </w:r>
      <w:r>
        <w:rPr>
          <w:rFonts w:ascii="Arial" w:hAnsi="Arial" w:cs="Arial"/>
          <w:color w:val="7B7B7B" w:themeColor="accent3" w:themeShade="BF"/>
          <w:sz w:val="22"/>
          <w:szCs w:val="22"/>
        </w:rPr>
        <w:t xml:space="preserve"> basis through the course of the proceedings. </w:t>
      </w:r>
    </w:p>
    <w:p w14:paraId="02A33A02" w14:textId="4AF51D5E" w:rsidR="00964917" w:rsidRDefault="00964917" w:rsidP="00CC34BB">
      <w:pPr>
        <w:ind w:left="720" w:hanging="720"/>
        <w:jc w:val="both"/>
        <w:rPr>
          <w:rFonts w:ascii="Arial" w:hAnsi="Arial" w:cs="Arial"/>
          <w:color w:val="7B7B7B" w:themeColor="accent3" w:themeShade="BF"/>
          <w:sz w:val="22"/>
          <w:szCs w:val="22"/>
        </w:rPr>
      </w:pPr>
    </w:p>
    <w:p w14:paraId="333A72C5" w14:textId="03AF978D" w:rsidR="00832478" w:rsidRDefault="00964917" w:rsidP="0083247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latter</w:t>
      </w:r>
      <w:r w:rsidR="00832478">
        <w:rPr>
          <w:rFonts w:ascii="Arial" w:hAnsi="Arial" w:cs="Arial"/>
          <w:color w:val="7B7B7B" w:themeColor="accent3" w:themeShade="BF"/>
          <w:sz w:val="22"/>
          <w:szCs w:val="22"/>
        </w:rPr>
        <w:t xml:space="preserve">, being reciprocal contracts, are ongoing obligations which must still be fulfilled. The treatment of such contracts is regulated by sections 103 to 119 of InsO. These contracts are not “wound up” during the proceedings unless the insolvency administrator has a discretion as to whether to elect fulfillment thereof. If the right to elect fulfillment is exercised, both parties must fulfill their obligations under the agreement and the partner’s claim in respect thereof must be satisfied in </w:t>
      </w:r>
      <w:proofErr w:type="gramStart"/>
      <w:r w:rsidR="00832478">
        <w:rPr>
          <w:rFonts w:ascii="Arial" w:hAnsi="Arial" w:cs="Arial"/>
          <w:color w:val="7B7B7B" w:themeColor="accent3" w:themeShade="BF"/>
          <w:sz w:val="22"/>
          <w:szCs w:val="22"/>
        </w:rPr>
        <w:t>full from</w:t>
      </w:r>
      <w:proofErr w:type="gramEnd"/>
      <w:r w:rsidR="00832478">
        <w:rPr>
          <w:rFonts w:ascii="Arial" w:hAnsi="Arial" w:cs="Arial"/>
          <w:color w:val="7B7B7B" w:themeColor="accent3" w:themeShade="BF"/>
          <w:sz w:val="22"/>
          <w:szCs w:val="22"/>
        </w:rPr>
        <w:t xml:space="preserve"> the insolvent estate. Obligations need only be fulfilled insofar as assets were added to the insolvent estate after the opening of proceedings. Back dated debts, which would be debts arising prior to the opening of proceedings, will only be fulfilled on a </w:t>
      </w:r>
      <w:r w:rsidR="00832478">
        <w:rPr>
          <w:rFonts w:ascii="Arial" w:hAnsi="Arial" w:cs="Arial"/>
          <w:i/>
          <w:iCs/>
          <w:color w:val="7B7B7B" w:themeColor="accent3" w:themeShade="BF"/>
          <w:sz w:val="22"/>
          <w:szCs w:val="22"/>
        </w:rPr>
        <w:t>pro rata</w:t>
      </w:r>
      <w:r w:rsidR="00832478">
        <w:rPr>
          <w:rFonts w:ascii="Arial" w:hAnsi="Arial" w:cs="Arial"/>
          <w:color w:val="7B7B7B" w:themeColor="accent3" w:themeShade="BF"/>
          <w:sz w:val="22"/>
          <w:szCs w:val="22"/>
        </w:rPr>
        <w:t xml:space="preserve"> basis.  If the insolvency administrator elects not to fulfill a reciprocal executory contract, the partner (a creditor in the proceedings) may lodge a claim for equalization in the insolvency proceedings. This claim will be satisfied on a </w:t>
      </w:r>
      <w:r w:rsidR="00832478">
        <w:rPr>
          <w:rFonts w:ascii="Arial" w:hAnsi="Arial" w:cs="Arial"/>
          <w:i/>
          <w:iCs/>
          <w:color w:val="7B7B7B" w:themeColor="accent3" w:themeShade="BF"/>
          <w:sz w:val="22"/>
          <w:szCs w:val="22"/>
        </w:rPr>
        <w:t>pro rata</w:t>
      </w:r>
      <w:r w:rsidR="00832478">
        <w:rPr>
          <w:rFonts w:ascii="Arial" w:hAnsi="Arial" w:cs="Arial"/>
          <w:color w:val="7B7B7B" w:themeColor="accent3" w:themeShade="BF"/>
          <w:sz w:val="22"/>
          <w:szCs w:val="22"/>
        </w:rPr>
        <w:t xml:space="preserve"> basis. </w:t>
      </w:r>
    </w:p>
    <w:p w14:paraId="0255ACB5" w14:textId="2BCF3CE0" w:rsidR="00832478" w:rsidRDefault="00832478" w:rsidP="00832478">
      <w:pPr>
        <w:ind w:left="720" w:hanging="720"/>
        <w:jc w:val="both"/>
        <w:rPr>
          <w:rFonts w:ascii="Arial" w:hAnsi="Arial" w:cs="Arial"/>
          <w:color w:val="7B7B7B" w:themeColor="accent3" w:themeShade="BF"/>
          <w:sz w:val="22"/>
          <w:szCs w:val="22"/>
        </w:rPr>
      </w:pPr>
    </w:p>
    <w:p w14:paraId="3BE13AE3" w14:textId="77777777" w:rsidR="00DB54CE" w:rsidRDefault="00832478" w:rsidP="0083247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Alternative provisions for specific types of reciprocal executory contracts are set out in InsO from section 104 onwards. </w:t>
      </w:r>
      <w:r w:rsidR="00DB54CE">
        <w:rPr>
          <w:rFonts w:ascii="Arial" w:hAnsi="Arial" w:cs="Arial"/>
          <w:color w:val="7B7B7B" w:themeColor="accent3" w:themeShade="BF"/>
          <w:sz w:val="22"/>
          <w:szCs w:val="22"/>
        </w:rPr>
        <w:t xml:space="preserve">These include tenancies and leases of immovable property, employment contracts and expiration of mandates. </w:t>
      </w:r>
    </w:p>
    <w:p w14:paraId="7E26BB42" w14:textId="77777777" w:rsidR="00DB54CE" w:rsidRDefault="00DB54CE" w:rsidP="00832478">
      <w:pPr>
        <w:ind w:left="720" w:hanging="720"/>
        <w:jc w:val="both"/>
        <w:rPr>
          <w:rFonts w:ascii="Arial" w:hAnsi="Arial" w:cs="Arial"/>
          <w:color w:val="7B7B7B" w:themeColor="accent3" w:themeShade="BF"/>
          <w:sz w:val="22"/>
          <w:szCs w:val="22"/>
        </w:rPr>
      </w:pPr>
    </w:p>
    <w:p w14:paraId="485F1BCB" w14:textId="641A4C37" w:rsidR="00832478" w:rsidRPr="00832478" w:rsidRDefault="00832478" w:rsidP="0083247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r w:rsidR="00DB54CE">
        <w:rPr>
          <w:rFonts w:ascii="Arial" w:hAnsi="Arial" w:cs="Arial"/>
          <w:color w:val="7B7B7B" w:themeColor="accent3" w:themeShade="BF"/>
          <w:sz w:val="22"/>
          <w:szCs w:val="22"/>
        </w:rPr>
        <w:t xml:space="preserve">Executory contracts are dealt with as set out above during personal/consumer bankruptcy, corporate </w:t>
      </w:r>
      <w:proofErr w:type="gramStart"/>
      <w:r w:rsidR="00DB54CE">
        <w:rPr>
          <w:rFonts w:ascii="Arial" w:hAnsi="Arial" w:cs="Arial"/>
          <w:color w:val="7B7B7B" w:themeColor="accent3" w:themeShade="BF"/>
          <w:sz w:val="22"/>
          <w:szCs w:val="22"/>
        </w:rPr>
        <w:t>liquidation</w:t>
      </w:r>
      <w:proofErr w:type="gramEnd"/>
      <w:r w:rsidR="00DB54CE">
        <w:rPr>
          <w:rFonts w:ascii="Arial" w:hAnsi="Arial" w:cs="Arial"/>
          <w:color w:val="7B7B7B" w:themeColor="accent3" w:themeShade="BF"/>
          <w:sz w:val="22"/>
          <w:szCs w:val="22"/>
        </w:rPr>
        <w:t xml:space="preserve"> and corporate rescue. However, in corporate rescue the provisions or prescripts of the applicable sections of InsO may be circumvented by the </w:t>
      </w:r>
      <w:r w:rsidR="00DB54CE">
        <w:rPr>
          <w:rFonts w:ascii="Arial" w:hAnsi="Arial" w:cs="Arial"/>
          <w:color w:val="7B7B7B" w:themeColor="accent3" w:themeShade="BF"/>
          <w:sz w:val="22"/>
          <w:szCs w:val="22"/>
        </w:rPr>
        <w:lastRenderedPageBreak/>
        <w:t xml:space="preserve">insolvency plan. Whilst section 119 of InsO determines that agreements excluding or restricting the application of sections 103 to 118 are invalid, the section will not serve to invalidate an insolvency plan which circumvents the sections as the plan is not an agreement concluded prior to the opening of insolvency proceedings. </w:t>
      </w:r>
    </w:p>
    <w:p w14:paraId="00130585" w14:textId="529A5CA6" w:rsidR="00780E21" w:rsidRDefault="00780E21" w:rsidP="003E4613">
      <w:pPr>
        <w:jc w:val="both"/>
        <w:rPr>
          <w:rFonts w:ascii="Arial" w:hAnsi="Arial" w:cs="Arial"/>
          <w:color w:val="000000"/>
          <w:sz w:val="22"/>
          <w:szCs w:val="22"/>
        </w:rPr>
      </w:pPr>
    </w:p>
    <w:p w14:paraId="06E1270C" w14:textId="77777777" w:rsidR="00CC34BB" w:rsidRPr="007A3213" w:rsidRDefault="00CC34BB" w:rsidP="003E4613">
      <w:pPr>
        <w:jc w:val="both"/>
        <w:rPr>
          <w:rFonts w:ascii="Arial" w:hAnsi="Arial" w:cs="Arial"/>
          <w:color w:val="000000"/>
          <w:sz w:val="22"/>
          <w:szCs w:val="22"/>
        </w:rPr>
      </w:pPr>
    </w:p>
    <w:p w14:paraId="324C0272" w14:textId="196D6BD7" w:rsidR="009B0723" w:rsidRPr="007A3213" w:rsidRDefault="00DF75F8" w:rsidP="00031C73">
      <w:pPr>
        <w:jc w:val="both"/>
        <w:rPr>
          <w:rFonts w:ascii="Arial" w:hAnsi="Arial" w:cs="Arial"/>
          <w:b/>
          <w:sz w:val="22"/>
          <w:szCs w:val="22"/>
          <w:lang w:val="en-GB"/>
        </w:rPr>
      </w:pPr>
      <w:r w:rsidRPr="007A3213">
        <w:rPr>
          <w:rFonts w:ascii="Arial" w:hAnsi="Arial" w:cs="Arial"/>
          <w:b/>
          <w:sz w:val="22"/>
          <w:szCs w:val="22"/>
          <w:lang w:val="en-GB"/>
        </w:rPr>
        <w:t>QUESTION 4</w:t>
      </w:r>
      <w:r w:rsidR="009B0723" w:rsidRPr="007A3213">
        <w:rPr>
          <w:rFonts w:ascii="Arial" w:hAnsi="Arial" w:cs="Arial"/>
          <w:b/>
          <w:sz w:val="22"/>
          <w:szCs w:val="22"/>
          <w:lang w:val="en-GB"/>
        </w:rPr>
        <w:t xml:space="preserve"> (fact-based application-type question) [15 marks</w:t>
      </w:r>
      <w:r w:rsidR="006A2646" w:rsidRPr="007A3213">
        <w:rPr>
          <w:rFonts w:ascii="Arial" w:hAnsi="Arial" w:cs="Arial"/>
          <w:b/>
          <w:sz w:val="22"/>
          <w:szCs w:val="22"/>
          <w:lang w:val="en-GB"/>
        </w:rPr>
        <w:t xml:space="preserve"> in total</w:t>
      </w:r>
      <w:r w:rsidR="009B0723" w:rsidRPr="007A3213">
        <w:rPr>
          <w:rFonts w:ascii="Arial" w:hAnsi="Arial" w:cs="Arial"/>
          <w:b/>
          <w:sz w:val="22"/>
          <w:szCs w:val="22"/>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6FDEB262" w:rsidR="00C34152" w:rsidRPr="007A3213" w:rsidRDefault="00CC572F" w:rsidP="00C34152">
      <w:pPr>
        <w:pStyle w:val="HTMLPreformatted"/>
        <w:jc w:val="both"/>
        <w:rPr>
          <w:rFonts w:ascii="Arial" w:hAnsi="Arial" w:cs="Arial"/>
          <w:sz w:val="22"/>
          <w:szCs w:val="22"/>
          <w:lang w:val="en-GB"/>
        </w:rPr>
      </w:pPr>
      <w:r>
        <w:rPr>
          <w:rFonts w:ascii="Arial" w:hAnsi="Arial" w:cs="Arial"/>
          <w:sz w:val="22"/>
          <w:szCs w:val="22"/>
          <w:lang w:val="en-GB"/>
        </w:rPr>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future </w:t>
      </w:r>
      <w:r w:rsidR="00AB3A98">
        <w:rPr>
          <w:rFonts w:ascii="Arial" w:hAnsi="Arial" w:cs="Arial"/>
          <w:sz w:val="22"/>
          <w:szCs w:val="22"/>
          <w:lang w:val="en-GB"/>
        </w:rPr>
        <w:t xml:space="preserve">receivables against her customers by way of security. </w:t>
      </w:r>
      <w:r>
        <w:rPr>
          <w:rFonts w:ascii="Arial" w:hAnsi="Arial" w:cs="Arial"/>
          <w:sz w:val="22"/>
          <w:szCs w:val="22"/>
          <w:lang w:val="en-GB"/>
        </w:rPr>
        <w:t xml:space="preserve">Sixteen </w:t>
      </w:r>
      <w:r w:rsidR="00F06C6E">
        <w:rPr>
          <w:rFonts w:ascii="Arial" w:hAnsi="Arial" w:cs="Arial"/>
          <w:sz w:val="22"/>
          <w:szCs w:val="22"/>
          <w:lang w:val="en-GB"/>
        </w:rPr>
        <w:t xml:space="preserve">(16) </w:t>
      </w:r>
      <w:r>
        <w:rPr>
          <w:rFonts w:ascii="Arial" w:hAnsi="Arial" w:cs="Arial"/>
          <w:sz w:val="22"/>
          <w:szCs w:val="22"/>
          <w:lang w:val="en-GB"/>
        </w:rPr>
        <w:t>months later, i</w:t>
      </w:r>
      <w:r w:rsidR="00AB3A98">
        <w:rPr>
          <w:rFonts w:ascii="Arial" w:hAnsi="Arial" w:cs="Arial"/>
          <w:sz w:val="22"/>
          <w:szCs w:val="22"/>
          <w:lang w:val="en-GB"/>
        </w:rPr>
        <w:t>n May 2019, D is unable to pay her debts when they fall due. On 3 July 2019, B</w:t>
      </w:r>
      <w:r w:rsidR="00E4595D">
        <w:rPr>
          <w:rFonts w:ascii="Arial" w:hAnsi="Arial" w:cs="Arial"/>
          <w:sz w:val="22"/>
          <w:szCs w:val="22"/>
          <w:lang w:val="en-GB"/>
        </w:rPr>
        <w:t>, being aware of D’s substantive insolvency,</w:t>
      </w:r>
      <w:r w:rsidR="00AB3A98">
        <w:rPr>
          <w:rFonts w:ascii="Arial" w:hAnsi="Arial" w:cs="Arial"/>
          <w:sz w:val="22"/>
          <w:szCs w:val="22"/>
          <w:lang w:val="en-GB"/>
        </w:rPr>
        <w:t xml:space="preserve"> terminates the loan contract</w:t>
      </w:r>
      <w:r w:rsidR="0007535A">
        <w:rPr>
          <w:rFonts w:ascii="Arial" w:hAnsi="Arial" w:cs="Arial"/>
          <w:sz w:val="22"/>
          <w:szCs w:val="22"/>
          <w:lang w:val="en-GB"/>
        </w:rPr>
        <w:t xml:space="preserve"> and sells the lorry for </w:t>
      </w:r>
      <w:r w:rsidR="00F06C6E">
        <w:rPr>
          <w:rFonts w:ascii="Arial" w:hAnsi="Arial" w:cs="Arial"/>
          <w:sz w:val="22"/>
          <w:szCs w:val="22"/>
          <w:lang w:val="en-GB"/>
        </w:rPr>
        <w:t xml:space="preserve">EUR </w:t>
      </w:r>
      <w:r w:rsidR="0007535A">
        <w:rPr>
          <w:rFonts w:ascii="Arial" w:hAnsi="Arial" w:cs="Arial"/>
          <w:sz w:val="22"/>
          <w:szCs w:val="22"/>
          <w:lang w:val="en-GB"/>
        </w:rPr>
        <w:t>20,000</w:t>
      </w:r>
      <w:r w:rsidR="00AB3A98">
        <w:rPr>
          <w:rFonts w:ascii="Arial" w:hAnsi="Arial" w:cs="Arial"/>
          <w:sz w:val="22"/>
          <w:szCs w:val="22"/>
          <w:lang w:val="en-GB"/>
        </w:rPr>
        <w:t xml:space="preserve"> to </w:t>
      </w:r>
      <w:r w:rsidR="0007535A">
        <w:rPr>
          <w:rFonts w:ascii="Arial" w:hAnsi="Arial" w:cs="Arial"/>
          <w:sz w:val="22"/>
          <w:szCs w:val="22"/>
          <w:lang w:val="en-GB"/>
        </w:rPr>
        <w:t>W</w:t>
      </w:r>
      <w:r w:rsidR="00AB3A98">
        <w:rPr>
          <w:rFonts w:ascii="Arial" w:hAnsi="Arial" w:cs="Arial"/>
          <w:sz w:val="22"/>
          <w:szCs w:val="22"/>
          <w:lang w:val="en-GB"/>
        </w:rPr>
        <w:t xml:space="preserve">. On 5 July 2019, </w:t>
      </w:r>
      <w:r w:rsidR="0007535A">
        <w:rPr>
          <w:rFonts w:ascii="Arial" w:hAnsi="Arial" w:cs="Arial"/>
          <w:sz w:val="22"/>
          <w:szCs w:val="22"/>
          <w:lang w:val="en-GB"/>
        </w:rPr>
        <w:t xml:space="preserve">B reveals the assignment to all customers of B and receives </w:t>
      </w:r>
      <w:r w:rsidR="00F06C6E">
        <w:rPr>
          <w:rFonts w:ascii="Arial" w:hAnsi="Arial" w:cs="Arial"/>
          <w:sz w:val="22"/>
          <w:szCs w:val="22"/>
          <w:lang w:val="en-GB"/>
        </w:rPr>
        <w:t xml:space="preserve">EUR </w:t>
      </w:r>
      <w:r w:rsidR="0007535A">
        <w:rPr>
          <w:rFonts w:ascii="Arial" w:hAnsi="Arial" w:cs="Arial"/>
          <w:sz w:val="22"/>
          <w:szCs w:val="22"/>
          <w:lang w:val="en-GB"/>
        </w:rPr>
        <w:t xml:space="preserve">15,000 from X, who </w:t>
      </w:r>
      <w:r>
        <w:rPr>
          <w:rFonts w:ascii="Arial" w:hAnsi="Arial" w:cs="Arial"/>
          <w:sz w:val="22"/>
          <w:szCs w:val="22"/>
          <w:lang w:val="en-GB"/>
        </w:rPr>
        <w:t xml:space="preserve">bought goods from D on 1 July 2019 and who </w:t>
      </w:r>
      <w:r w:rsidR="0007535A">
        <w:rPr>
          <w:rFonts w:ascii="Arial" w:hAnsi="Arial" w:cs="Arial"/>
          <w:sz w:val="22"/>
          <w:szCs w:val="22"/>
          <w:lang w:val="en-GB"/>
        </w:rPr>
        <w:t xml:space="preserve">pays B the money he owes to D. On 1 August 2019, D applies for insolvency proceedings. B receives another payment of </w:t>
      </w:r>
      <w:r w:rsidR="00F06C6E">
        <w:rPr>
          <w:rFonts w:ascii="Arial" w:hAnsi="Arial" w:cs="Arial"/>
          <w:sz w:val="22"/>
          <w:szCs w:val="22"/>
          <w:lang w:val="en-GB"/>
        </w:rPr>
        <w:t xml:space="preserve">EUR </w:t>
      </w:r>
      <w:r w:rsidR="0007535A">
        <w:rPr>
          <w:rFonts w:ascii="Arial" w:hAnsi="Arial" w:cs="Arial"/>
          <w:sz w:val="22"/>
          <w:szCs w:val="22"/>
          <w:lang w:val="en-GB"/>
        </w:rPr>
        <w:t>10,000 from Y</w:t>
      </w:r>
      <w:r>
        <w:rPr>
          <w:rFonts w:ascii="Arial" w:hAnsi="Arial" w:cs="Arial"/>
          <w:sz w:val="22"/>
          <w:szCs w:val="22"/>
          <w:lang w:val="en-GB"/>
        </w:rPr>
        <w:t xml:space="preserve"> who bought go</w:t>
      </w:r>
      <w:r w:rsidR="004A40BD">
        <w:rPr>
          <w:rFonts w:ascii="Arial" w:hAnsi="Arial" w:cs="Arial"/>
          <w:sz w:val="22"/>
          <w:szCs w:val="22"/>
          <w:lang w:val="en-GB"/>
        </w:rPr>
        <w:t>o</w:t>
      </w:r>
      <w:r>
        <w:rPr>
          <w:rFonts w:ascii="Arial" w:hAnsi="Arial" w:cs="Arial"/>
          <w:sz w:val="22"/>
          <w:szCs w:val="22"/>
          <w:lang w:val="en-GB"/>
        </w:rPr>
        <w:t xml:space="preserve">ds from D </w:t>
      </w:r>
      <w:r w:rsidR="0007535A">
        <w:rPr>
          <w:rFonts w:ascii="Arial" w:hAnsi="Arial" w:cs="Arial"/>
          <w:sz w:val="22"/>
          <w:szCs w:val="22"/>
          <w:lang w:val="en-GB"/>
        </w:rPr>
        <w:t>on 10 September 2019. Five day</w:t>
      </w:r>
      <w:r w:rsidR="004A40BD">
        <w:rPr>
          <w:rFonts w:ascii="Arial" w:hAnsi="Arial" w:cs="Arial"/>
          <w:sz w:val="22"/>
          <w:szCs w:val="22"/>
          <w:lang w:val="en-GB"/>
        </w:rPr>
        <w:t>s</w:t>
      </w:r>
      <w:r w:rsidR="0007535A">
        <w:rPr>
          <w:rFonts w:ascii="Arial" w:hAnsi="Arial" w:cs="Arial"/>
          <w:sz w:val="22"/>
          <w:szCs w:val="22"/>
          <w:lang w:val="en-GB"/>
        </w:rPr>
        <w:t xml:space="preserve"> later, the court opens insolvency proceedings and appoints I as insolvency administrator. I </w:t>
      </w:r>
      <w:proofErr w:type="gramStart"/>
      <w:r w:rsidR="0007535A">
        <w:rPr>
          <w:rFonts w:ascii="Arial" w:hAnsi="Arial" w:cs="Arial"/>
          <w:sz w:val="22"/>
          <w:szCs w:val="22"/>
          <w:lang w:val="en-GB"/>
        </w:rPr>
        <w:t>maintains</w:t>
      </w:r>
      <w:proofErr w:type="gramEnd"/>
      <w:r w:rsidR="0007535A">
        <w:rPr>
          <w:rFonts w:ascii="Arial" w:hAnsi="Arial" w:cs="Arial"/>
          <w:sz w:val="22"/>
          <w:szCs w:val="22"/>
          <w:lang w:val="en-GB"/>
        </w:rPr>
        <w:t xml:space="preserve"> B’s business and sells goods to Z for </w:t>
      </w:r>
      <w:r w:rsidR="009C7115">
        <w:rPr>
          <w:rFonts w:ascii="Arial" w:hAnsi="Arial" w:cs="Arial"/>
          <w:sz w:val="22"/>
          <w:szCs w:val="22"/>
          <w:lang w:val="en-GB"/>
        </w:rPr>
        <w:t xml:space="preserve">EUR </w:t>
      </w:r>
      <w:r w:rsidR="0007535A">
        <w:rPr>
          <w:rFonts w:ascii="Arial" w:hAnsi="Arial" w:cs="Arial"/>
          <w:sz w:val="22"/>
          <w:szCs w:val="22"/>
          <w:lang w:val="en-GB"/>
        </w:rPr>
        <w:t xml:space="preserve">5,000. Z is a regular customer of B, knows about the assignment and pays </w:t>
      </w:r>
      <w:r w:rsidR="009C7115">
        <w:rPr>
          <w:rFonts w:ascii="Arial" w:hAnsi="Arial" w:cs="Arial"/>
          <w:sz w:val="22"/>
          <w:szCs w:val="22"/>
          <w:lang w:val="en-GB"/>
        </w:rPr>
        <w:t xml:space="preserve">EUR </w:t>
      </w:r>
      <w:r w:rsidR="0007535A">
        <w:rPr>
          <w:rFonts w:ascii="Arial" w:hAnsi="Arial" w:cs="Arial"/>
          <w:sz w:val="22"/>
          <w:szCs w:val="22"/>
          <w:lang w:val="en-GB"/>
        </w:rPr>
        <w:t xml:space="preserve">5,000 upon delivery to B. I claims </w:t>
      </w:r>
      <w:r w:rsidR="009C7115">
        <w:rPr>
          <w:rFonts w:ascii="Arial" w:hAnsi="Arial" w:cs="Arial"/>
          <w:sz w:val="22"/>
          <w:szCs w:val="22"/>
          <w:lang w:val="en-GB"/>
        </w:rPr>
        <w:t xml:space="preserve">EUR </w:t>
      </w:r>
      <w:r w:rsidR="0007535A">
        <w:rPr>
          <w:rFonts w:ascii="Arial" w:hAnsi="Arial" w:cs="Arial"/>
          <w:sz w:val="22"/>
          <w:szCs w:val="22"/>
          <w:lang w:val="en-GB"/>
        </w:rPr>
        <w:t>50,000 from B, arguing that</w:t>
      </w:r>
      <w:r>
        <w:rPr>
          <w:rFonts w:ascii="Arial" w:hAnsi="Arial" w:cs="Arial"/>
          <w:sz w:val="22"/>
          <w:szCs w:val="22"/>
          <w:lang w:val="en-GB"/>
        </w:rPr>
        <w:t xml:space="preserve"> the sale of the lorry and</w:t>
      </w:r>
      <w:r w:rsidR="0007535A">
        <w:rPr>
          <w:rFonts w:ascii="Arial" w:hAnsi="Arial" w:cs="Arial"/>
          <w:sz w:val="22"/>
          <w:szCs w:val="22"/>
          <w:lang w:val="en-GB"/>
        </w:rPr>
        <w:t xml:space="preserve"> the payments of X, Y and Z are subject to transaction avoidance (§§12</w:t>
      </w:r>
      <w:r>
        <w:rPr>
          <w:rFonts w:ascii="Arial" w:hAnsi="Arial" w:cs="Arial"/>
          <w:sz w:val="22"/>
          <w:szCs w:val="22"/>
          <w:lang w:val="en-GB"/>
        </w:rPr>
        <w:t>9</w:t>
      </w:r>
      <w:r w:rsidR="0007535A">
        <w:rPr>
          <w:rFonts w:ascii="Arial" w:hAnsi="Arial" w:cs="Arial"/>
          <w:sz w:val="22"/>
          <w:szCs w:val="22"/>
          <w:lang w:val="en-GB"/>
        </w:rPr>
        <w:t xml:space="preserve"> </w:t>
      </w:r>
      <w:r w:rsidR="0007535A" w:rsidRPr="009C7115">
        <w:rPr>
          <w:rFonts w:ascii="Arial" w:hAnsi="Arial" w:cs="Arial"/>
          <w:i/>
          <w:iCs/>
          <w:sz w:val="22"/>
          <w:szCs w:val="22"/>
          <w:lang w:val="en-GB"/>
        </w:rPr>
        <w:t>et seq</w:t>
      </w:r>
      <w:r w:rsidR="0007535A">
        <w:rPr>
          <w:rFonts w:ascii="Arial" w:hAnsi="Arial" w:cs="Arial"/>
          <w:sz w:val="22"/>
          <w:szCs w:val="22"/>
          <w:lang w:val="en-GB"/>
        </w:rPr>
        <w:t xml:space="preserve"> InsO)</w:t>
      </w:r>
      <w:r>
        <w:rPr>
          <w:rFonts w:ascii="Arial" w:hAnsi="Arial" w:cs="Arial"/>
          <w:sz w:val="22"/>
          <w:szCs w:val="22"/>
          <w:lang w:val="en-GB"/>
        </w:rPr>
        <w:t>.</w:t>
      </w:r>
    </w:p>
    <w:p w14:paraId="3A77F732" w14:textId="77777777" w:rsidR="00C34152" w:rsidRPr="007A3213" w:rsidRDefault="00C34152" w:rsidP="00C34152">
      <w:pPr>
        <w:pStyle w:val="HTMLPreformatted"/>
        <w:jc w:val="both"/>
        <w:rPr>
          <w:rFonts w:ascii="Arial" w:hAnsi="Arial" w:cs="Arial"/>
          <w:sz w:val="22"/>
          <w:szCs w:val="22"/>
          <w:lang w:val="en-GB"/>
        </w:rPr>
      </w:pPr>
    </w:p>
    <w:p w14:paraId="275305BE" w14:textId="1E7AE609" w:rsidR="00C34152" w:rsidRDefault="00C34152" w:rsidP="00C34152">
      <w:pPr>
        <w:jc w:val="both"/>
        <w:rPr>
          <w:rFonts w:ascii="Arial" w:hAnsi="Arial" w:cs="Arial"/>
          <w:sz w:val="22"/>
          <w:szCs w:val="22"/>
          <w:lang w:val="en-GB"/>
        </w:rPr>
      </w:pPr>
      <w:r w:rsidRPr="007A3213">
        <w:rPr>
          <w:rFonts w:ascii="Arial" w:hAnsi="Arial" w:cs="Arial"/>
          <w:sz w:val="22"/>
          <w:szCs w:val="22"/>
          <w:lang w:val="en-GB"/>
        </w:rPr>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6BD7A8AE" w14:textId="26A137A8" w:rsidR="00CC572F" w:rsidRDefault="00CC572F" w:rsidP="00C34152">
      <w:pPr>
        <w:jc w:val="both"/>
        <w:rPr>
          <w:rFonts w:ascii="Arial" w:hAnsi="Arial" w:cs="Arial"/>
          <w:sz w:val="22"/>
          <w:szCs w:val="22"/>
          <w:lang w:val="en-GB"/>
        </w:rPr>
      </w:pPr>
    </w:p>
    <w:p w14:paraId="2DD4FF1F" w14:textId="1A31C79F" w:rsidR="008B0123" w:rsidRDefault="00363F37" w:rsidP="00515102">
      <w:pPr>
        <w:ind w:left="720" w:hanging="720"/>
        <w:jc w:val="both"/>
        <w:rPr>
          <w:rFonts w:ascii="Arial" w:hAnsi="Arial" w:cs="Arial"/>
          <w:color w:val="7B7B7B" w:themeColor="accent3" w:themeShade="BF"/>
          <w:sz w:val="22"/>
          <w:szCs w:val="22"/>
        </w:rPr>
      </w:pPr>
      <w:bookmarkStart w:id="1" w:name="_Hlk17745211"/>
      <w:r>
        <w:rPr>
          <w:rFonts w:ascii="Arial" w:hAnsi="Arial" w:cs="Arial"/>
          <w:color w:val="7B7B7B" w:themeColor="accent3" w:themeShade="BF"/>
          <w:sz w:val="22"/>
          <w:szCs w:val="22"/>
        </w:rPr>
        <w:t xml:space="preserve">A transaction concluded </w:t>
      </w:r>
      <w:r w:rsidR="008B0123">
        <w:rPr>
          <w:rFonts w:ascii="Arial" w:hAnsi="Arial" w:cs="Arial"/>
          <w:color w:val="7B7B7B" w:themeColor="accent3" w:themeShade="BF"/>
          <w:sz w:val="22"/>
          <w:szCs w:val="22"/>
        </w:rPr>
        <w:t>prior to the opening of insolvency proceedings</w:t>
      </w:r>
      <w:r>
        <w:rPr>
          <w:rFonts w:ascii="Arial" w:hAnsi="Arial" w:cs="Arial"/>
          <w:color w:val="7B7B7B" w:themeColor="accent3" w:themeShade="BF"/>
          <w:sz w:val="22"/>
          <w:szCs w:val="22"/>
        </w:rPr>
        <w:t xml:space="preserve"> which disadvantages </w:t>
      </w:r>
      <w:r w:rsidR="008B0123">
        <w:rPr>
          <w:rFonts w:ascii="Arial" w:hAnsi="Arial" w:cs="Arial"/>
          <w:color w:val="7B7B7B" w:themeColor="accent3" w:themeShade="BF"/>
          <w:sz w:val="22"/>
          <w:szCs w:val="22"/>
        </w:rPr>
        <w:t>the general body of creditors may be capable of being contested and set aside under the relevant provisions of InsO. Such a transaction reduces the funds available to pay ordinary creditors. To successfully set aside the transaction, a reason to contest must be shown. Reasons to contest, as set out in from section 130 onwards in InsO, include</w:t>
      </w:r>
      <w:r w:rsidR="000C53B1">
        <w:rPr>
          <w:rFonts w:ascii="Arial" w:hAnsi="Arial" w:cs="Arial"/>
          <w:color w:val="7B7B7B" w:themeColor="accent3" w:themeShade="BF"/>
          <w:sz w:val="22"/>
          <w:szCs w:val="22"/>
        </w:rPr>
        <w:t xml:space="preserve"> transactions</w:t>
      </w:r>
      <w:r w:rsidR="008B0123">
        <w:rPr>
          <w:rFonts w:ascii="Arial" w:hAnsi="Arial" w:cs="Arial"/>
          <w:color w:val="7B7B7B" w:themeColor="accent3" w:themeShade="BF"/>
          <w:sz w:val="22"/>
          <w:szCs w:val="22"/>
        </w:rPr>
        <w:t>:</w:t>
      </w:r>
    </w:p>
    <w:p w14:paraId="339C1D86" w14:textId="30FE7B82" w:rsidR="00515102" w:rsidRPr="00967EF3" w:rsidRDefault="008B0123" w:rsidP="00515102">
      <w:pPr>
        <w:ind w:left="720" w:hanging="720"/>
        <w:jc w:val="both"/>
        <w:rPr>
          <w:rFonts w:ascii="Arial" w:hAnsi="Arial" w:cs="Arial"/>
          <w:sz w:val="22"/>
          <w:szCs w:val="22"/>
        </w:rPr>
      </w:pPr>
      <w:r>
        <w:rPr>
          <w:rFonts w:ascii="Arial" w:hAnsi="Arial" w:cs="Arial"/>
          <w:color w:val="7B7B7B" w:themeColor="accent3" w:themeShade="BF"/>
          <w:sz w:val="22"/>
          <w:szCs w:val="22"/>
        </w:rPr>
        <w:t xml:space="preserve"> </w:t>
      </w:r>
    </w:p>
    <w:p w14:paraId="37102164" w14:textId="138A888A" w:rsidR="00102CC9" w:rsidRDefault="003B2DB3" w:rsidP="000C53B1">
      <w:pPr>
        <w:ind w:left="144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w:t>
      </w:r>
      <w:r w:rsidR="008B0123" w:rsidRPr="008B0123">
        <w:rPr>
          <w:rFonts w:ascii="Arial" w:hAnsi="Arial" w:cs="Arial"/>
          <w:color w:val="7B7B7B" w:themeColor="accent3" w:themeShade="BF"/>
          <w:sz w:val="22"/>
          <w:szCs w:val="22"/>
        </w:rPr>
        <w:t xml:space="preserve"> </w:t>
      </w:r>
      <w:r w:rsidR="008B0123">
        <w:rPr>
          <w:rFonts w:ascii="Arial" w:hAnsi="Arial" w:cs="Arial"/>
          <w:color w:val="7B7B7B" w:themeColor="accent3" w:themeShade="BF"/>
          <w:sz w:val="22"/>
          <w:szCs w:val="22"/>
        </w:rPr>
        <w:tab/>
        <w:t>in terms of which the debtor granted security</w:t>
      </w:r>
      <w:r w:rsidR="000C53B1">
        <w:rPr>
          <w:rFonts w:ascii="Arial" w:hAnsi="Arial" w:cs="Arial"/>
          <w:color w:val="7B7B7B" w:themeColor="accent3" w:themeShade="BF"/>
          <w:sz w:val="22"/>
          <w:szCs w:val="22"/>
        </w:rPr>
        <w:t xml:space="preserve"> or satisfaction</w:t>
      </w:r>
      <w:r w:rsidR="008B0123">
        <w:rPr>
          <w:rFonts w:ascii="Arial" w:hAnsi="Arial" w:cs="Arial"/>
          <w:color w:val="7B7B7B" w:themeColor="accent3" w:themeShade="BF"/>
          <w:sz w:val="22"/>
          <w:szCs w:val="22"/>
        </w:rPr>
        <w:t xml:space="preserve"> to a creditor </w:t>
      </w:r>
      <w:r w:rsidR="000C53B1">
        <w:rPr>
          <w:rFonts w:ascii="Arial" w:hAnsi="Arial" w:cs="Arial"/>
          <w:color w:val="7B7B7B" w:themeColor="accent3" w:themeShade="BF"/>
          <w:sz w:val="22"/>
          <w:szCs w:val="22"/>
        </w:rPr>
        <w:t xml:space="preserve">occurring within 3 (three) months immediately preceding an application to open insolvency proceedings at a time when the debtor was cashflow insolvent or illiquid. The creditor must have been aware of the debtor’s insolvency or illiquidity alternatively had knowledge of a pending application to open insolvency </w:t>
      </w:r>
      <w:proofErr w:type="gramStart"/>
      <w:r w:rsidR="000C53B1">
        <w:rPr>
          <w:rFonts w:ascii="Arial" w:hAnsi="Arial" w:cs="Arial"/>
          <w:color w:val="7B7B7B" w:themeColor="accent3" w:themeShade="BF"/>
          <w:sz w:val="22"/>
          <w:szCs w:val="22"/>
        </w:rPr>
        <w:t>proceedings;</w:t>
      </w:r>
      <w:proofErr w:type="gramEnd"/>
    </w:p>
    <w:p w14:paraId="08782F42" w14:textId="549D56B9" w:rsidR="000C53B1" w:rsidRDefault="000C53B1" w:rsidP="000C53B1">
      <w:pPr>
        <w:ind w:left="1440" w:hanging="720"/>
        <w:jc w:val="both"/>
        <w:rPr>
          <w:rFonts w:ascii="Arial" w:hAnsi="Arial" w:cs="Arial"/>
          <w:color w:val="7B7B7B" w:themeColor="accent3" w:themeShade="BF"/>
          <w:sz w:val="22"/>
          <w:szCs w:val="22"/>
        </w:rPr>
      </w:pPr>
    </w:p>
    <w:p w14:paraId="3314D1A6" w14:textId="140B20BF" w:rsidR="000C53B1" w:rsidRDefault="003B2DB3" w:rsidP="000C53B1">
      <w:pPr>
        <w:ind w:left="144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(ii)</w:t>
      </w:r>
      <w:r w:rsidR="000C53B1">
        <w:rPr>
          <w:rFonts w:ascii="Arial" w:hAnsi="Arial" w:cs="Arial"/>
          <w:color w:val="7B7B7B" w:themeColor="accent3" w:themeShade="BF"/>
          <w:sz w:val="22"/>
          <w:szCs w:val="22"/>
        </w:rPr>
        <w:tab/>
        <w:t xml:space="preserve">in terms of which the debtor granted security or satisfaction to a creditor in circumstances where the creditor was not entitled thereto occurring within 3 (three) months immediately preceding an application to open insolvency proceedings. At the time, the debtor must have been unable to pay its debts (cashflow insolvent) unless the payment was made one month prior to or following the application for insolvency proceedings in which case cashflow insolvency is </w:t>
      </w:r>
      <w:proofErr w:type="gramStart"/>
      <w:r w:rsidR="000C53B1">
        <w:rPr>
          <w:rFonts w:ascii="Arial" w:hAnsi="Arial" w:cs="Arial"/>
          <w:color w:val="7B7B7B" w:themeColor="accent3" w:themeShade="BF"/>
          <w:sz w:val="22"/>
          <w:szCs w:val="22"/>
        </w:rPr>
        <w:t>irrelevant;</w:t>
      </w:r>
      <w:proofErr w:type="gramEnd"/>
      <w:r w:rsidR="000C53B1">
        <w:rPr>
          <w:rFonts w:ascii="Arial" w:hAnsi="Arial" w:cs="Arial"/>
          <w:color w:val="7B7B7B" w:themeColor="accent3" w:themeShade="BF"/>
          <w:sz w:val="22"/>
          <w:szCs w:val="22"/>
        </w:rPr>
        <w:t xml:space="preserve">  </w:t>
      </w:r>
    </w:p>
    <w:p w14:paraId="3276BE73" w14:textId="3189838D" w:rsidR="000C53B1" w:rsidRDefault="000C53B1" w:rsidP="000C53B1">
      <w:pPr>
        <w:ind w:left="1440" w:hanging="720"/>
        <w:jc w:val="both"/>
        <w:rPr>
          <w:rFonts w:ascii="Arial" w:hAnsi="Arial" w:cs="Arial"/>
          <w:color w:val="7B7B7B" w:themeColor="accent3" w:themeShade="BF"/>
          <w:sz w:val="22"/>
          <w:szCs w:val="22"/>
        </w:rPr>
      </w:pPr>
    </w:p>
    <w:p w14:paraId="038881A8" w14:textId="0E47DDCE" w:rsidR="000C53B1" w:rsidRDefault="003B2DB3" w:rsidP="000C53B1">
      <w:pPr>
        <w:ind w:left="144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(iii)</w:t>
      </w:r>
      <w:r w:rsidR="000C53B1">
        <w:rPr>
          <w:rFonts w:ascii="Arial" w:hAnsi="Arial" w:cs="Arial"/>
          <w:color w:val="7B7B7B" w:themeColor="accent3" w:themeShade="BF"/>
          <w:sz w:val="22"/>
          <w:szCs w:val="22"/>
        </w:rPr>
        <w:tab/>
        <w:t xml:space="preserve">which occurred whilst a creditor was aware either of a pending application to open insolvency proceedings or that the debtor was illiquid, and which immediately disadvantage insolvency </w:t>
      </w:r>
      <w:proofErr w:type="gramStart"/>
      <w:r w:rsidR="000C53B1">
        <w:rPr>
          <w:rFonts w:ascii="Arial" w:hAnsi="Arial" w:cs="Arial"/>
          <w:color w:val="7B7B7B" w:themeColor="accent3" w:themeShade="BF"/>
          <w:sz w:val="22"/>
          <w:szCs w:val="22"/>
        </w:rPr>
        <w:t>creditors;</w:t>
      </w:r>
      <w:proofErr w:type="gramEnd"/>
      <w:r w:rsidR="000C53B1">
        <w:rPr>
          <w:rFonts w:ascii="Arial" w:hAnsi="Arial" w:cs="Arial"/>
          <w:color w:val="7B7B7B" w:themeColor="accent3" w:themeShade="BF"/>
          <w:sz w:val="22"/>
          <w:szCs w:val="22"/>
        </w:rPr>
        <w:t xml:space="preserve"> </w:t>
      </w:r>
    </w:p>
    <w:p w14:paraId="7C8CD0F5" w14:textId="7AD3645B" w:rsidR="000C53B1" w:rsidRDefault="000C53B1" w:rsidP="000C53B1">
      <w:pPr>
        <w:ind w:left="1440" w:hanging="720"/>
        <w:jc w:val="both"/>
        <w:rPr>
          <w:rFonts w:ascii="Arial" w:hAnsi="Arial" w:cs="Arial"/>
          <w:color w:val="7B7B7B" w:themeColor="accent3" w:themeShade="BF"/>
          <w:sz w:val="22"/>
          <w:szCs w:val="22"/>
        </w:rPr>
      </w:pPr>
    </w:p>
    <w:p w14:paraId="1ABDDED6" w14:textId="3C26AF1D" w:rsidR="000C53B1" w:rsidRDefault="003B2DB3" w:rsidP="000C53B1">
      <w:pPr>
        <w:ind w:left="144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(iv)</w:t>
      </w:r>
      <w:r w:rsidR="000C53B1">
        <w:rPr>
          <w:rFonts w:ascii="Arial" w:hAnsi="Arial" w:cs="Arial"/>
          <w:color w:val="7B7B7B" w:themeColor="accent3" w:themeShade="BF"/>
          <w:sz w:val="22"/>
          <w:szCs w:val="22"/>
        </w:rPr>
        <w:tab/>
      </w:r>
      <w:r>
        <w:rPr>
          <w:rFonts w:ascii="Arial" w:hAnsi="Arial" w:cs="Arial"/>
          <w:color w:val="7B7B7B" w:themeColor="accent3" w:themeShade="BF"/>
          <w:sz w:val="22"/>
          <w:szCs w:val="22"/>
        </w:rPr>
        <w:t xml:space="preserve">intentionally made to disadvantage creditors within 10 (ten) years immediately preceding the application to open insolvency proceedings, provided that the third party involved therein was cognizant of these </w:t>
      </w:r>
      <w:proofErr w:type="gramStart"/>
      <w:r>
        <w:rPr>
          <w:rFonts w:ascii="Arial" w:hAnsi="Arial" w:cs="Arial"/>
          <w:color w:val="7B7B7B" w:themeColor="accent3" w:themeShade="BF"/>
          <w:sz w:val="22"/>
          <w:szCs w:val="22"/>
        </w:rPr>
        <w:t>intentions;</w:t>
      </w:r>
      <w:proofErr w:type="gramEnd"/>
    </w:p>
    <w:p w14:paraId="64B52988" w14:textId="7B4ADE94" w:rsidR="003B2DB3" w:rsidRDefault="003B2DB3" w:rsidP="000C53B1">
      <w:pPr>
        <w:ind w:left="1440" w:hanging="720"/>
        <w:jc w:val="both"/>
        <w:rPr>
          <w:rFonts w:ascii="Arial" w:hAnsi="Arial" w:cs="Arial"/>
          <w:color w:val="7B7B7B" w:themeColor="accent3" w:themeShade="BF"/>
          <w:sz w:val="22"/>
          <w:szCs w:val="22"/>
        </w:rPr>
      </w:pPr>
    </w:p>
    <w:p w14:paraId="0249D2FF" w14:textId="6E8A6093" w:rsidR="003B2DB3" w:rsidRDefault="003B2DB3" w:rsidP="000C53B1">
      <w:pPr>
        <w:ind w:left="144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(v)</w:t>
      </w:r>
      <w:r>
        <w:rPr>
          <w:rFonts w:ascii="Arial" w:hAnsi="Arial" w:cs="Arial"/>
          <w:color w:val="7B7B7B" w:themeColor="accent3" w:themeShade="BF"/>
          <w:sz w:val="22"/>
          <w:szCs w:val="22"/>
        </w:rPr>
        <w:tab/>
        <w:t>consisting of a gratuitous benefit granted by the debtor within 4 (four) years immediately preceding an application to open insolvency proceedings; and</w:t>
      </w:r>
    </w:p>
    <w:p w14:paraId="5FED267C" w14:textId="27EA43B5" w:rsidR="003B2DB3" w:rsidRDefault="003B2DB3" w:rsidP="000C53B1">
      <w:pPr>
        <w:ind w:left="1440" w:hanging="720"/>
        <w:jc w:val="both"/>
        <w:rPr>
          <w:rFonts w:ascii="Arial" w:hAnsi="Arial" w:cs="Arial"/>
          <w:color w:val="7B7B7B" w:themeColor="accent3" w:themeShade="BF"/>
          <w:sz w:val="22"/>
          <w:szCs w:val="22"/>
        </w:rPr>
      </w:pPr>
    </w:p>
    <w:p w14:paraId="6134365E" w14:textId="067F24DC" w:rsidR="003B2DB3" w:rsidRDefault="003B2DB3" w:rsidP="000C53B1">
      <w:pPr>
        <w:ind w:left="144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(vi)</w:t>
      </w:r>
      <w:r>
        <w:rPr>
          <w:rFonts w:ascii="Arial" w:hAnsi="Arial" w:cs="Arial"/>
          <w:color w:val="7B7B7B" w:themeColor="accent3" w:themeShade="BF"/>
          <w:sz w:val="22"/>
          <w:szCs w:val="22"/>
        </w:rPr>
        <w:tab/>
        <w:t xml:space="preserve">in terms of which payment and securities were granted to shareholders. Payments made within 1 (one) year and charges granted within 10 (ten) years or after the application to open insolvency proceedings may be voidable. </w:t>
      </w:r>
    </w:p>
    <w:p w14:paraId="56B5B787" w14:textId="144EAB4F" w:rsidR="003B2DB3" w:rsidRDefault="003B2DB3" w:rsidP="000C53B1">
      <w:pPr>
        <w:ind w:left="1440" w:hanging="720"/>
        <w:jc w:val="both"/>
        <w:rPr>
          <w:rFonts w:ascii="Arial" w:hAnsi="Arial" w:cs="Arial"/>
          <w:color w:val="7B7B7B" w:themeColor="accent3" w:themeShade="BF"/>
          <w:sz w:val="22"/>
          <w:szCs w:val="22"/>
        </w:rPr>
      </w:pPr>
    </w:p>
    <w:p w14:paraId="5142F181" w14:textId="2D725EDF" w:rsidR="00D75880" w:rsidRDefault="003B2DB3" w:rsidP="00D7588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Upon the opening of insolvency proceedings, a claim for restitution arises by force of law in respect of contested transactions. If successfully contested, </w:t>
      </w:r>
      <w:r w:rsidR="00D75880">
        <w:rPr>
          <w:rFonts w:ascii="Arial" w:hAnsi="Arial" w:cs="Arial"/>
          <w:color w:val="7B7B7B" w:themeColor="accent3" w:themeShade="BF"/>
          <w:sz w:val="22"/>
          <w:szCs w:val="22"/>
        </w:rPr>
        <w:t>the insolvent estate must thus be placed in the same position in which it would have been had the transaction not occurred and any party that had received property from the debtor under such a transaction must return same. Avoidance of the transactions discussed above may be successfully opposed by illustrating that the requirements set out above are absent.</w:t>
      </w:r>
    </w:p>
    <w:p w14:paraId="65D93562" w14:textId="58E1CDD0" w:rsidR="00D75880" w:rsidRDefault="00D75880" w:rsidP="000C53B1">
      <w:pPr>
        <w:ind w:left="1440" w:hanging="720"/>
        <w:jc w:val="both"/>
        <w:rPr>
          <w:rFonts w:ascii="Arial" w:hAnsi="Arial" w:cs="Arial"/>
          <w:color w:val="7B7B7B" w:themeColor="accent3" w:themeShade="BF"/>
          <w:sz w:val="22"/>
          <w:szCs w:val="22"/>
        </w:rPr>
      </w:pPr>
    </w:p>
    <w:p w14:paraId="69A17CE7" w14:textId="619B9B0D" w:rsidR="00D75880" w:rsidRDefault="007D044B" w:rsidP="008B1AA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w:t>
      </w:r>
      <w:r w:rsidR="00D75880">
        <w:rPr>
          <w:rFonts w:ascii="Arial" w:hAnsi="Arial" w:cs="Arial"/>
          <w:color w:val="7B7B7B" w:themeColor="accent3" w:themeShade="BF"/>
          <w:sz w:val="22"/>
          <w:szCs w:val="22"/>
        </w:rPr>
        <w:t>ecurity rights usually provide for a right to separate satisfaction. The secured creditor is, by virtue thereof, unable t</w:t>
      </w:r>
      <w:r>
        <w:rPr>
          <w:rFonts w:ascii="Arial" w:hAnsi="Arial" w:cs="Arial"/>
          <w:color w:val="7B7B7B" w:themeColor="accent3" w:themeShade="BF"/>
          <w:sz w:val="22"/>
          <w:szCs w:val="22"/>
        </w:rPr>
        <w:t xml:space="preserve">o claim separation of the asset from the insolvent estate but is granted the right to demand preferential satisfaction, limited to the value of its of its secured claim, from the proceeds of realization of the particular asset.  The responsibility to realize the asset lies with either the creditor or the insolvency administrator, depending on the type of asset, the type of security right and the identity of the possessor of the asset. A secured creditor’s ability to enforce its security becomes impossible if the insolvency administrator is responsible for the realization of the asset. Under section 89 of InsO without a right to separate are prohibited from enforcing their secured claims. Secured creditors who hold a right to separate satisfaction, being a right </w:t>
      </w:r>
      <w:r w:rsidRPr="008B1AA0">
        <w:rPr>
          <w:rFonts w:ascii="Arial" w:hAnsi="Arial" w:cs="Arial"/>
          <w:color w:val="7B7B7B" w:themeColor="accent3" w:themeShade="BF"/>
          <w:sz w:val="22"/>
          <w:szCs w:val="22"/>
        </w:rPr>
        <w:t>in rem</w:t>
      </w:r>
      <w:r>
        <w:rPr>
          <w:rFonts w:ascii="Arial" w:hAnsi="Arial" w:cs="Arial"/>
          <w:color w:val="7B7B7B" w:themeColor="accent3" w:themeShade="BF"/>
          <w:sz w:val="22"/>
          <w:szCs w:val="22"/>
        </w:rPr>
        <w:t>, is not affected by section 89.</w:t>
      </w:r>
    </w:p>
    <w:p w14:paraId="29983B09" w14:textId="501D7EAB" w:rsidR="000D7525" w:rsidRDefault="000D7525" w:rsidP="008B1AA0">
      <w:pPr>
        <w:ind w:left="720" w:hanging="720"/>
        <w:jc w:val="both"/>
        <w:rPr>
          <w:rFonts w:ascii="Arial" w:hAnsi="Arial" w:cs="Arial"/>
          <w:color w:val="7B7B7B" w:themeColor="accent3" w:themeShade="BF"/>
          <w:sz w:val="22"/>
          <w:szCs w:val="22"/>
        </w:rPr>
      </w:pPr>
    </w:p>
    <w:p w14:paraId="16913B05" w14:textId="0C055463" w:rsidR="000D7525" w:rsidRPr="007D044B" w:rsidRDefault="000D7525" w:rsidP="008B1AA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When applying the legal principles set out above to the factual scenario provided, it becomes apparent that not all the contested transaction will necessarily be voidable. For the sake of clarity, it is stated that the granting of the security by D to B, which occurred more than 3 (three) months prior to insolvency, is not capable of being set aside as a voidable transaction. The sale of the lorry will be capable of being contested if it can be shown that the transaction was to an immediate disadvantage to creditors, which would be the case if, for example, the was sold at a value lower than could reasonably be expected to be achieved. If this true, the sale will be voidable under (</w:t>
      </w:r>
      <w:r w:rsidR="00564597">
        <w:rPr>
          <w:rFonts w:ascii="Arial" w:hAnsi="Arial" w:cs="Arial"/>
          <w:color w:val="7B7B7B" w:themeColor="accent3" w:themeShade="BF"/>
          <w:sz w:val="22"/>
          <w:szCs w:val="22"/>
        </w:rPr>
        <w:t>i</w:t>
      </w:r>
      <w:r>
        <w:rPr>
          <w:rFonts w:ascii="Arial" w:hAnsi="Arial" w:cs="Arial"/>
          <w:color w:val="7B7B7B" w:themeColor="accent3" w:themeShade="BF"/>
          <w:sz w:val="22"/>
          <w:szCs w:val="22"/>
        </w:rPr>
        <w:t>ii) above.</w:t>
      </w:r>
      <w:r w:rsidR="00564597">
        <w:rPr>
          <w:rFonts w:ascii="Arial" w:hAnsi="Arial" w:cs="Arial"/>
          <w:color w:val="7B7B7B" w:themeColor="accent3" w:themeShade="BF"/>
          <w:sz w:val="22"/>
          <w:szCs w:val="22"/>
        </w:rPr>
        <w:t xml:space="preserve"> If not, the transaction cannot be contested </w:t>
      </w:r>
      <w:proofErr w:type="gramStart"/>
      <w:r w:rsidR="00564597">
        <w:rPr>
          <w:rFonts w:ascii="Arial" w:hAnsi="Arial" w:cs="Arial"/>
          <w:color w:val="7B7B7B" w:themeColor="accent3" w:themeShade="BF"/>
          <w:sz w:val="22"/>
          <w:szCs w:val="22"/>
        </w:rPr>
        <w:t>despite the fact that</w:t>
      </w:r>
      <w:proofErr w:type="gramEnd"/>
      <w:r w:rsidR="00564597">
        <w:rPr>
          <w:rFonts w:ascii="Arial" w:hAnsi="Arial" w:cs="Arial"/>
          <w:color w:val="7B7B7B" w:themeColor="accent3" w:themeShade="BF"/>
          <w:sz w:val="22"/>
          <w:szCs w:val="22"/>
        </w:rPr>
        <w:t xml:space="preserve"> B was aware of D’s solvency issues.</w:t>
      </w:r>
      <w:r>
        <w:rPr>
          <w:rFonts w:ascii="Arial" w:hAnsi="Arial" w:cs="Arial"/>
          <w:color w:val="7B7B7B" w:themeColor="accent3" w:themeShade="BF"/>
          <w:sz w:val="22"/>
          <w:szCs w:val="22"/>
        </w:rPr>
        <w:t xml:space="preserve"> The payment</w:t>
      </w:r>
      <w:r w:rsidR="00564597">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of EUR10,000 by X</w:t>
      </w:r>
      <w:r w:rsidR="00564597">
        <w:rPr>
          <w:rFonts w:ascii="Arial" w:hAnsi="Arial" w:cs="Arial"/>
          <w:color w:val="7B7B7B" w:themeColor="accent3" w:themeShade="BF"/>
          <w:sz w:val="22"/>
          <w:szCs w:val="22"/>
        </w:rPr>
        <w:t xml:space="preserve"> and Y</w:t>
      </w:r>
      <w:r>
        <w:rPr>
          <w:rFonts w:ascii="Arial" w:hAnsi="Arial" w:cs="Arial"/>
          <w:color w:val="7B7B7B" w:themeColor="accent3" w:themeShade="BF"/>
          <w:sz w:val="22"/>
          <w:szCs w:val="22"/>
        </w:rPr>
        <w:t xml:space="preserve"> will </w:t>
      </w:r>
      <w:r w:rsidR="00564597">
        <w:rPr>
          <w:rFonts w:ascii="Arial" w:hAnsi="Arial" w:cs="Arial"/>
          <w:color w:val="7B7B7B" w:themeColor="accent3" w:themeShade="BF"/>
          <w:sz w:val="22"/>
          <w:szCs w:val="22"/>
        </w:rPr>
        <w:t xml:space="preserve">also </w:t>
      </w:r>
      <w:r>
        <w:rPr>
          <w:rFonts w:ascii="Arial" w:hAnsi="Arial" w:cs="Arial"/>
          <w:color w:val="7B7B7B" w:themeColor="accent3" w:themeShade="BF"/>
          <w:sz w:val="22"/>
          <w:szCs w:val="22"/>
        </w:rPr>
        <w:t xml:space="preserve">not be voidable as </w:t>
      </w:r>
      <w:r w:rsidR="00564597">
        <w:rPr>
          <w:rFonts w:ascii="Arial" w:hAnsi="Arial" w:cs="Arial"/>
          <w:color w:val="7B7B7B" w:themeColor="accent3" w:themeShade="BF"/>
          <w:sz w:val="22"/>
          <w:szCs w:val="22"/>
        </w:rPr>
        <w:t xml:space="preserve">valid notification was given of the assignment, B would have been entitled to receive the whole of the proceeds in any event and </w:t>
      </w:r>
      <w:r>
        <w:rPr>
          <w:rFonts w:ascii="Arial" w:hAnsi="Arial" w:cs="Arial"/>
          <w:color w:val="7B7B7B" w:themeColor="accent3" w:themeShade="BF"/>
          <w:sz w:val="22"/>
          <w:szCs w:val="22"/>
        </w:rPr>
        <w:t xml:space="preserve">it </w:t>
      </w:r>
      <w:r w:rsidR="00564597">
        <w:rPr>
          <w:rFonts w:ascii="Arial" w:hAnsi="Arial" w:cs="Arial"/>
          <w:color w:val="7B7B7B" w:themeColor="accent3" w:themeShade="BF"/>
          <w:sz w:val="22"/>
          <w:szCs w:val="22"/>
        </w:rPr>
        <w:t xml:space="preserve">could not have been a transaction at undervalue. Accordingly, it was not </w:t>
      </w:r>
      <w:r>
        <w:rPr>
          <w:rFonts w:ascii="Arial" w:hAnsi="Arial" w:cs="Arial"/>
          <w:color w:val="7B7B7B" w:themeColor="accent3" w:themeShade="BF"/>
          <w:sz w:val="22"/>
          <w:szCs w:val="22"/>
        </w:rPr>
        <w:t xml:space="preserve">to the disadvantage </w:t>
      </w:r>
      <w:r w:rsidR="00564597">
        <w:rPr>
          <w:rFonts w:ascii="Arial" w:hAnsi="Arial" w:cs="Arial"/>
          <w:color w:val="7B7B7B" w:themeColor="accent3" w:themeShade="BF"/>
          <w:sz w:val="22"/>
          <w:szCs w:val="22"/>
        </w:rPr>
        <w:t xml:space="preserve">of creditors. </w:t>
      </w:r>
      <w:r w:rsidR="00E635B7">
        <w:rPr>
          <w:rFonts w:ascii="Arial" w:hAnsi="Arial" w:cs="Arial"/>
          <w:color w:val="7B7B7B" w:themeColor="accent3" w:themeShade="BF"/>
          <w:sz w:val="22"/>
          <w:szCs w:val="22"/>
        </w:rPr>
        <w:t xml:space="preserve">Whether the payment of EUR5,000 is voidable will depend on whether a right of separate satisfaction in included in the assignment agreement. If it is, the transaction will be valid. </w:t>
      </w:r>
    </w:p>
    <w:p w14:paraId="4CB1AD6E" w14:textId="77777777" w:rsidR="003B2DB3" w:rsidRPr="008B0123" w:rsidRDefault="003B2DB3" w:rsidP="000C53B1">
      <w:pPr>
        <w:ind w:left="1440" w:hanging="720"/>
        <w:jc w:val="both"/>
        <w:rPr>
          <w:rFonts w:ascii="Arial" w:hAnsi="Arial" w:cs="Arial"/>
          <w:color w:val="7B7B7B" w:themeColor="accent3" w:themeShade="BF"/>
          <w:sz w:val="22"/>
          <w:szCs w:val="22"/>
        </w:rPr>
      </w:pPr>
    </w:p>
    <w:bookmarkEnd w:id="1"/>
    <w:p w14:paraId="29833350" w14:textId="337D681B" w:rsidR="00FA3037" w:rsidRDefault="00FA3037" w:rsidP="00FA3037">
      <w:pPr>
        <w:autoSpaceDE w:val="0"/>
        <w:autoSpaceDN w:val="0"/>
        <w:adjustRightInd w:val="0"/>
        <w:snapToGrid w:val="0"/>
        <w:spacing w:before="8"/>
        <w:jc w:val="right"/>
        <w:rPr>
          <w:rFonts w:ascii="Arial" w:hAnsi="Arial" w:cs="Arial"/>
          <w:b/>
          <w:color w:val="FF0000"/>
          <w:sz w:val="22"/>
          <w:szCs w:val="22"/>
        </w:rPr>
      </w:pPr>
    </w:p>
    <w:p w14:paraId="06264898" w14:textId="77777777" w:rsidR="00FA3037" w:rsidRPr="00FA3037" w:rsidRDefault="00FA3037" w:rsidP="00FA3037">
      <w:pPr>
        <w:autoSpaceDE w:val="0"/>
        <w:autoSpaceDN w:val="0"/>
        <w:adjustRightInd w:val="0"/>
        <w:snapToGrid w:val="0"/>
        <w:spacing w:before="8"/>
        <w:jc w:val="center"/>
        <w:rPr>
          <w:rFonts w:ascii="Arial" w:hAnsi="Arial" w:cs="Arial"/>
          <w:b/>
          <w:color w:val="FF0000"/>
          <w:sz w:val="22"/>
          <w:szCs w:val="22"/>
        </w:rPr>
      </w:pPr>
    </w:p>
    <w:p w14:paraId="71C39D00" w14:textId="618E6427" w:rsidR="00B77F46" w:rsidRDefault="00C606C3" w:rsidP="004E3A6B">
      <w:pPr>
        <w:jc w:val="center"/>
        <w:rPr>
          <w:rFonts w:ascii="Arial" w:hAnsi="Arial" w:cs="Arial"/>
          <w:b/>
          <w:bCs/>
          <w:sz w:val="22"/>
          <w:szCs w:val="22"/>
          <w:lang w:val="en-GB"/>
        </w:rPr>
      </w:pPr>
      <w:r w:rsidRPr="007A3213">
        <w:rPr>
          <w:rFonts w:ascii="Arial" w:hAnsi="Arial" w:cs="Arial"/>
          <w:b/>
          <w:bCs/>
          <w:sz w:val="22"/>
          <w:szCs w:val="22"/>
          <w:lang w:val="en-GB"/>
        </w:rPr>
        <w:t>*</w:t>
      </w:r>
      <w:r w:rsidR="001E25B9" w:rsidRPr="007A3213">
        <w:rPr>
          <w:rFonts w:ascii="Arial" w:hAnsi="Arial" w:cs="Arial"/>
          <w:b/>
          <w:bCs/>
          <w:sz w:val="22"/>
          <w:szCs w:val="22"/>
          <w:lang w:val="en-GB"/>
        </w:rPr>
        <w:t xml:space="preserve"> </w:t>
      </w:r>
      <w:r w:rsidR="0077498C" w:rsidRPr="007A3213">
        <w:rPr>
          <w:rFonts w:ascii="Arial" w:hAnsi="Arial" w:cs="Arial"/>
          <w:b/>
          <w:bCs/>
          <w:sz w:val="22"/>
          <w:szCs w:val="22"/>
          <w:lang w:val="en-GB"/>
        </w:rPr>
        <w:t>End of Assessment</w:t>
      </w:r>
      <w:r w:rsidR="001E25B9" w:rsidRPr="007A3213">
        <w:rPr>
          <w:rFonts w:ascii="Arial" w:hAnsi="Arial" w:cs="Arial"/>
          <w:b/>
          <w:bCs/>
          <w:sz w:val="22"/>
          <w:szCs w:val="22"/>
          <w:lang w:val="en-GB"/>
        </w:rPr>
        <w:t xml:space="preserve"> </w:t>
      </w:r>
      <w:r w:rsidRPr="007A3213">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F8D8" w14:textId="77777777" w:rsidR="006E7062" w:rsidRDefault="006E7062" w:rsidP="00241B44">
      <w:r>
        <w:separator/>
      </w:r>
    </w:p>
  </w:endnote>
  <w:endnote w:type="continuationSeparator" w:id="0">
    <w:p w14:paraId="38791F06" w14:textId="77777777" w:rsidR="006E7062" w:rsidRDefault="006E706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0AD0DDF" w14:textId="13D715D1" w:rsidR="002124BE" w:rsidRPr="009B4976" w:rsidRDefault="002124BE" w:rsidP="0067296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16DA8">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5AC08553" w14:textId="169BF941" w:rsidR="00BC2C6F" w:rsidRDefault="00E635B7" w:rsidP="009B4976">
    <w:pPr>
      <w:pStyle w:val="Footer"/>
      <w:ind w:right="360"/>
      <w:rPr>
        <w:rFonts w:ascii="Arial" w:hAnsi="Arial" w:cs="Arial"/>
        <w:sz w:val="18"/>
        <w:szCs w:val="18"/>
        <w:lang w:val="en-GB"/>
      </w:rPr>
    </w:pPr>
    <w:r w:rsidRPr="00E87234">
      <w:rPr>
        <w:rFonts w:ascii="Arial" w:hAnsi="Arial" w:cs="Arial"/>
        <w:sz w:val="18"/>
        <w:szCs w:val="18"/>
        <w:lang w:val="en-GB"/>
      </w:rPr>
      <w:t>202021IFU-323</w:t>
    </w:r>
    <w:r w:rsidR="002124BE" w:rsidRPr="009B4976">
      <w:rPr>
        <w:rFonts w:ascii="Arial" w:hAnsi="Arial" w:cs="Arial"/>
        <w:sz w:val="18"/>
        <w:szCs w:val="18"/>
        <w:lang w:val="en-GB"/>
      </w:rPr>
      <w:t>.assessment</w:t>
    </w:r>
    <w:r w:rsidR="002124BE">
      <w:rPr>
        <w:rFonts w:ascii="Arial" w:hAnsi="Arial" w:cs="Arial"/>
        <w:sz w:val="18"/>
        <w:szCs w:val="18"/>
        <w:lang w:val="en-GB"/>
      </w:rPr>
      <w: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3E00" w14:textId="77777777" w:rsidR="006E7062" w:rsidRDefault="006E7062" w:rsidP="00241B44">
      <w:r>
        <w:separator/>
      </w:r>
    </w:p>
  </w:footnote>
  <w:footnote w:type="continuationSeparator" w:id="0">
    <w:p w14:paraId="08BB9D56" w14:textId="77777777" w:rsidR="006E7062" w:rsidRDefault="006E706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77777777" w:rsidR="002124BE" w:rsidRDefault="002124BE" w:rsidP="009B4976">
    <w:pPr>
      <w:pStyle w:val="Footer"/>
      <w:ind w:right="360"/>
      <w:rPr>
        <w:rFonts w:ascii="Arial" w:hAnsi="Arial" w:cs="Arial"/>
        <w:sz w:val="18"/>
        <w:szCs w:val="18"/>
        <w:lang w:val="en-GB"/>
      </w:rPr>
    </w:pPr>
    <w:r>
      <w:rPr>
        <w:rFonts w:ascii="Arial" w:hAnsi="Arial" w:cs="Arial"/>
        <w:sz w:val="18"/>
        <w:szCs w:val="18"/>
        <w:lang w:val="en-G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7"/>
  </w:num>
  <w:num w:numId="4">
    <w:abstractNumId w:val="24"/>
  </w:num>
  <w:num w:numId="5">
    <w:abstractNumId w:val="19"/>
  </w:num>
  <w:num w:numId="6">
    <w:abstractNumId w:val="15"/>
  </w:num>
  <w:num w:numId="7">
    <w:abstractNumId w:val="4"/>
  </w:num>
  <w:num w:numId="8">
    <w:abstractNumId w:val="14"/>
  </w:num>
  <w:num w:numId="9">
    <w:abstractNumId w:val="13"/>
  </w:num>
  <w:num w:numId="10">
    <w:abstractNumId w:val="28"/>
  </w:num>
  <w:num w:numId="11">
    <w:abstractNumId w:val="2"/>
  </w:num>
  <w:num w:numId="12">
    <w:abstractNumId w:val="20"/>
  </w:num>
  <w:num w:numId="13">
    <w:abstractNumId w:val="22"/>
  </w:num>
  <w:num w:numId="14">
    <w:abstractNumId w:val="3"/>
  </w:num>
  <w:num w:numId="15">
    <w:abstractNumId w:val="16"/>
  </w:num>
  <w:num w:numId="16">
    <w:abstractNumId w:val="11"/>
  </w:num>
  <w:num w:numId="17">
    <w:abstractNumId w:val="30"/>
  </w:num>
  <w:num w:numId="18">
    <w:abstractNumId w:val="23"/>
  </w:num>
  <w:num w:numId="19">
    <w:abstractNumId w:val="31"/>
  </w:num>
  <w:num w:numId="20">
    <w:abstractNumId w:val="6"/>
  </w:num>
  <w:num w:numId="21">
    <w:abstractNumId w:val="0"/>
  </w:num>
  <w:num w:numId="22">
    <w:abstractNumId w:val="8"/>
  </w:num>
  <w:num w:numId="23">
    <w:abstractNumId w:val="5"/>
  </w:num>
  <w:num w:numId="24">
    <w:abstractNumId w:val="21"/>
  </w:num>
  <w:num w:numId="25">
    <w:abstractNumId w:val="1"/>
  </w:num>
  <w:num w:numId="26">
    <w:abstractNumId w:val="12"/>
  </w:num>
  <w:num w:numId="27">
    <w:abstractNumId w:val="10"/>
  </w:num>
  <w:num w:numId="28">
    <w:abstractNumId w:val="29"/>
  </w:num>
  <w:num w:numId="29">
    <w:abstractNumId w:val="26"/>
  </w:num>
  <w:num w:numId="30">
    <w:abstractNumId w:val="18"/>
  </w:num>
  <w:num w:numId="31">
    <w:abstractNumId w:val="25"/>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1AF2"/>
    <w:rsid w:val="00093BE8"/>
    <w:rsid w:val="000941D0"/>
    <w:rsid w:val="00097260"/>
    <w:rsid w:val="000A407B"/>
    <w:rsid w:val="000A68ED"/>
    <w:rsid w:val="000B20E5"/>
    <w:rsid w:val="000B5FF1"/>
    <w:rsid w:val="000B609F"/>
    <w:rsid w:val="000C53B1"/>
    <w:rsid w:val="000D55A8"/>
    <w:rsid w:val="000D652C"/>
    <w:rsid w:val="000D7525"/>
    <w:rsid w:val="000E0A8C"/>
    <w:rsid w:val="000E4841"/>
    <w:rsid w:val="000E5146"/>
    <w:rsid w:val="000F1677"/>
    <w:rsid w:val="000F2753"/>
    <w:rsid w:val="000F3D6C"/>
    <w:rsid w:val="00101319"/>
    <w:rsid w:val="00101707"/>
    <w:rsid w:val="00102CC9"/>
    <w:rsid w:val="0010593A"/>
    <w:rsid w:val="0011473D"/>
    <w:rsid w:val="00115C85"/>
    <w:rsid w:val="00123855"/>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66D9"/>
    <w:rsid w:val="0019703F"/>
    <w:rsid w:val="001A007A"/>
    <w:rsid w:val="001A3CEE"/>
    <w:rsid w:val="001A76D4"/>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2A60"/>
    <w:rsid w:val="002A37BB"/>
    <w:rsid w:val="002A5915"/>
    <w:rsid w:val="002B1C45"/>
    <w:rsid w:val="002B40FB"/>
    <w:rsid w:val="002C13C8"/>
    <w:rsid w:val="002C2624"/>
    <w:rsid w:val="002C3547"/>
    <w:rsid w:val="002C4A81"/>
    <w:rsid w:val="002C77A0"/>
    <w:rsid w:val="002D0021"/>
    <w:rsid w:val="002D1132"/>
    <w:rsid w:val="002D299D"/>
    <w:rsid w:val="002D3473"/>
    <w:rsid w:val="002F16BD"/>
    <w:rsid w:val="002F1956"/>
    <w:rsid w:val="002F3440"/>
    <w:rsid w:val="002F75A3"/>
    <w:rsid w:val="00303C2F"/>
    <w:rsid w:val="00304F77"/>
    <w:rsid w:val="00312DE7"/>
    <w:rsid w:val="003133C5"/>
    <w:rsid w:val="00313F58"/>
    <w:rsid w:val="003144EF"/>
    <w:rsid w:val="0031647C"/>
    <w:rsid w:val="00320C0E"/>
    <w:rsid w:val="00326292"/>
    <w:rsid w:val="00326415"/>
    <w:rsid w:val="00327D1D"/>
    <w:rsid w:val="00330937"/>
    <w:rsid w:val="00330F31"/>
    <w:rsid w:val="00334648"/>
    <w:rsid w:val="0033768C"/>
    <w:rsid w:val="00337938"/>
    <w:rsid w:val="00337A2A"/>
    <w:rsid w:val="00340769"/>
    <w:rsid w:val="00341AA6"/>
    <w:rsid w:val="003433D0"/>
    <w:rsid w:val="00355D93"/>
    <w:rsid w:val="00361A0A"/>
    <w:rsid w:val="003635EA"/>
    <w:rsid w:val="0036380C"/>
    <w:rsid w:val="00363F37"/>
    <w:rsid w:val="00364582"/>
    <w:rsid w:val="0036459E"/>
    <w:rsid w:val="00364836"/>
    <w:rsid w:val="0036565C"/>
    <w:rsid w:val="0036625E"/>
    <w:rsid w:val="0037044D"/>
    <w:rsid w:val="00373AB9"/>
    <w:rsid w:val="0037465A"/>
    <w:rsid w:val="00376713"/>
    <w:rsid w:val="00382C98"/>
    <w:rsid w:val="0038533C"/>
    <w:rsid w:val="00386568"/>
    <w:rsid w:val="00390B57"/>
    <w:rsid w:val="003939F8"/>
    <w:rsid w:val="003948D5"/>
    <w:rsid w:val="00396821"/>
    <w:rsid w:val="00397D3A"/>
    <w:rsid w:val="003A051E"/>
    <w:rsid w:val="003A1418"/>
    <w:rsid w:val="003A73C4"/>
    <w:rsid w:val="003B170F"/>
    <w:rsid w:val="003B2DB3"/>
    <w:rsid w:val="003B3C5F"/>
    <w:rsid w:val="003B4E46"/>
    <w:rsid w:val="003C4471"/>
    <w:rsid w:val="003C4653"/>
    <w:rsid w:val="003D0A6D"/>
    <w:rsid w:val="003D55EA"/>
    <w:rsid w:val="003D7817"/>
    <w:rsid w:val="003E0B16"/>
    <w:rsid w:val="003E37A6"/>
    <w:rsid w:val="003E4613"/>
    <w:rsid w:val="003E67D1"/>
    <w:rsid w:val="00404329"/>
    <w:rsid w:val="00405DC1"/>
    <w:rsid w:val="00415F1F"/>
    <w:rsid w:val="0042108F"/>
    <w:rsid w:val="0042667D"/>
    <w:rsid w:val="00430FED"/>
    <w:rsid w:val="0043344A"/>
    <w:rsid w:val="00434A8C"/>
    <w:rsid w:val="00437297"/>
    <w:rsid w:val="00444284"/>
    <w:rsid w:val="00445499"/>
    <w:rsid w:val="00445CE6"/>
    <w:rsid w:val="004534C2"/>
    <w:rsid w:val="0045446F"/>
    <w:rsid w:val="0045683E"/>
    <w:rsid w:val="004610E6"/>
    <w:rsid w:val="0046178A"/>
    <w:rsid w:val="004702E6"/>
    <w:rsid w:val="00470DBC"/>
    <w:rsid w:val="00477C72"/>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4597"/>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6FF2"/>
    <w:rsid w:val="005A726D"/>
    <w:rsid w:val="005B37C7"/>
    <w:rsid w:val="005B6732"/>
    <w:rsid w:val="005B67AC"/>
    <w:rsid w:val="005B79F4"/>
    <w:rsid w:val="005D16DD"/>
    <w:rsid w:val="005D1FA5"/>
    <w:rsid w:val="005D43E0"/>
    <w:rsid w:val="005D4E0F"/>
    <w:rsid w:val="005D58A3"/>
    <w:rsid w:val="005E1B79"/>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35A"/>
    <w:rsid w:val="006B4C64"/>
    <w:rsid w:val="006B64B4"/>
    <w:rsid w:val="006C3F50"/>
    <w:rsid w:val="006C6DF5"/>
    <w:rsid w:val="006D41E7"/>
    <w:rsid w:val="006D6BD5"/>
    <w:rsid w:val="006D70F7"/>
    <w:rsid w:val="006E481A"/>
    <w:rsid w:val="006E5298"/>
    <w:rsid w:val="006E7062"/>
    <w:rsid w:val="006F4A78"/>
    <w:rsid w:val="006F734A"/>
    <w:rsid w:val="00700D83"/>
    <w:rsid w:val="00704852"/>
    <w:rsid w:val="00705CEF"/>
    <w:rsid w:val="007074E9"/>
    <w:rsid w:val="007119A7"/>
    <w:rsid w:val="00711F35"/>
    <w:rsid w:val="0071353C"/>
    <w:rsid w:val="00713DA4"/>
    <w:rsid w:val="00714BF1"/>
    <w:rsid w:val="00721383"/>
    <w:rsid w:val="00726C84"/>
    <w:rsid w:val="0073158B"/>
    <w:rsid w:val="007333CC"/>
    <w:rsid w:val="0073399A"/>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044B"/>
    <w:rsid w:val="007D7536"/>
    <w:rsid w:val="007D7C92"/>
    <w:rsid w:val="007E065A"/>
    <w:rsid w:val="007E1154"/>
    <w:rsid w:val="007E6BA4"/>
    <w:rsid w:val="007E73D3"/>
    <w:rsid w:val="007E7A91"/>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32478"/>
    <w:rsid w:val="008406FF"/>
    <w:rsid w:val="008443E0"/>
    <w:rsid w:val="0084766D"/>
    <w:rsid w:val="00851A1E"/>
    <w:rsid w:val="00853668"/>
    <w:rsid w:val="00861C2C"/>
    <w:rsid w:val="00867701"/>
    <w:rsid w:val="008723F3"/>
    <w:rsid w:val="00876F56"/>
    <w:rsid w:val="00881DE6"/>
    <w:rsid w:val="00881E90"/>
    <w:rsid w:val="008837A6"/>
    <w:rsid w:val="0089145D"/>
    <w:rsid w:val="00892326"/>
    <w:rsid w:val="008927C8"/>
    <w:rsid w:val="008A2BFB"/>
    <w:rsid w:val="008A4DF2"/>
    <w:rsid w:val="008A4EC7"/>
    <w:rsid w:val="008A6CFE"/>
    <w:rsid w:val="008B0123"/>
    <w:rsid w:val="008B1AA0"/>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5A43"/>
    <w:rsid w:val="00907762"/>
    <w:rsid w:val="009115D8"/>
    <w:rsid w:val="0091244E"/>
    <w:rsid w:val="00912C79"/>
    <w:rsid w:val="0091484E"/>
    <w:rsid w:val="00921B8C"/>
    <w:rsid w:val="00930D92"/>
    <w:rsid w:val="00937B1F"/>
    <w:rsid w:val="0094077F"/>
    <w:rsid w:val="009418C9"/>
    <w:rsid w:val="00942123"/>
    <w:rsid w:val="00943E7F"/>
    <w:rsid w:val="00950565"/>
    <w:rsid w:val="0095207B"/>
    <w:rsid w:val="00962045"/>
    <w:rsid w:val="00964917"/>
    <w:rsid w:val="009668D7"/>
    <w:rsid w:val="00966B3D"/>
    <w:rsid w:val="009741AC"/>
    <w:rsid w:val="00980E61"/>
    <w:rsid w:val="00982D29"/>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275E"/>
    <w:rsid w:val="009F4E80"/>
    <w:rsid w:val="00A03D04"/>
    <w:rsid w:val="00A047EE"/>
    <w:rsid w:val="00A053F2"/>
    <w:rsid w:val="00A13D68"/>
    <w:rsid w:val="00A1740B"/>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81029"/>
    <w:rsid w:val="00A845F5"/>
    <w:rsid w:val="00A91902"/>
    <w:rsid w:val="00A96489"/>
    <w:rsid w:val="00AA3A3E"/>
    <w:rsid w:val="00AA6CFB"/>
    <w:rsid w:val="00AB0BD2"/>
    <w:rsid w:val="00AB2425"/>
    <w:rsid w:val="00AB3A98"/>
    <w:rsid w:val="00AB3F42"/>
    <w:rsid w:val="00AB4EDA"/>
    <w:rsid w:val="00AB685C"/>
    <w:rsid w:val="00AB6C2D"/>
    <w:rsid w:val="00AC08F7"/>
    <w:rsid w:val="00AC1E03"/>
    <w:rsid w:val="00AC2EDA"/>
    <w:rsid w:val="00AC3839"/>
    <w:rsid w:val="00AC7082"/>
    <w:rsid w:val="00AD4BE8"/>
    <w:rsid w:val="00AD62C1"/>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6DB1"/>
    <w:rsid w:val="00B87869"/>
    <w:rsid w:val="00B9639B"/>
    <w:rsid w:val="00B97AC7"/>
    <w:rsid w:val="00BA3247"/>
    <w:rsid w:val="00BA3467"/>
    <w:rsid w:val="00BA3D7D"/>
    <w:rsid w:val="00BA520E"/>
    <w:rsid w:val="00BB0F2B"/>
    <w:rsid w:val="00BB3A00"/>
    <w:rsid w:val="00BC1ECD"/>
    <w:rsid w:val="00BC2C6F"/>
    <w:rsid w:val="00BC3938"/>
    <w:rsid w:val="00BD5EF2"/>
    <w:rsid w:val="00BE1500"/>
    <w:rsid w:val="00BE4FF3"/>
    <w:rsid w:val="00BF0162"/>
    <w:rsid w:val="00BF49DF"/>
    <w:rsid w:val="00BF50F7"/>
    <w:rsid w:val="00BF59BF"/>
    <w:rsid w:val="00BF77BA"/>
    <w:rsid w:val="00C02F29"/>
    <w:rsid w:val="00C02F34"/>
    <w:rsid w:val="00C128B8"/>
    <w:rsid w:val="00C16BCC"/>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031A"/>
    <w:rsid w:val="00C52796"/>
    <w:rsid w:val="00C53E2C"/>
    <w:rsid w:val="00C550C8"/>
    <w:rsid w:val="00C55824"/>
    <w:rsid w:val="00C56B61"/>
    <w:rsid w:val="00C606C3"/>
    <w:rsid w:val="00C6184F"/>
    <w:rsid w:val="00C620F4"/>
    <w:rsid w:val="00C64EC5"/>
    <w:rsid w:val="00C65319"/>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4F9D"/>
    <w:rsid w:val="00CF5CEE"/>
    <w:rsid w:val="00CF70DC"/>
    <w:rsid w:val="00D05110"/>
    <w:rsid w:val="00D07F71"/>
    <w:rsid w:val="00D148DC"/>
    <w:rsid w:val="00D17384"/>
    <w:rsid w:val="00D17FDC"/>
    <w:rsid w:val="00D21D8C"/>
    <w:rsid w:val="00D42F29"/>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75880"/>
    <w:rsid w:val="00D824F9"/>
    <w:rsid w:val="00D84752"/>
    <w:rsid w:val="00D85892"/>
    <w:rsid w:val="00D86B3B"/>
    <w:rsid w:val="00D8748A"/>
    <w:rsid w:val="00D92CBE"/>
    <w:rsid w:val="00D93196"/>
    <w:rsid w:val="00D97773"/>
    <w:rsid w:val="00D97F98"/>
    <w:rsid w:val="00DA0708"/>
    <w:rsid w:val="00DA0DC0"/>
    <w:rsid w:val="00DA4C6D"/>
    <w:rsid w:val="00DB243C"/>
    <w:rsid w:val="00DB2C64"/>
    <w:rsid w:val="00DB482A"/>
    <w:rsid w:val="00DB50FB"/>
    <w:rsid w:val="00DB54CE"/>
    <w:rsid w:val="00DB56F2"/>
    <w:rsid w:val="00DB6A15"/>
    <w:rsid w:val="00DB6EF5"/>
    <w:rsid w:val="00DC3089"/>
    <w:rsid w:val="00DC4420"/>
    <w:rsid w:val="00DD0802"/>
    <w:rsid w:val="00DD2E11"/>
    <w:rsid w:val="00DD540E"/>
    <w:rsid w:val="00DE03AF"/>
    <w:rsid w:val="00DE0A95"/>
    <w:rsid w:val="00DE121C"/>
    <w:rsid w:val="00DE1EE6"/>
    <w:rsid w:val="00DE6633"/>
    <w:rsid w:val="00DF75F8"/>
    <w:rsid w:val="00DF7A3A"/>
    <w:rsid w:val="00E00C00"/>
    <w:rsid w:val="00E05217"/>
    <w:rsid w:val="00E0751E"/>
    <w:rsid w:val="00E07C5A"/>
    <w:rsid w:val="00E15BA9"/>
    <w:rsid w:val="00E21401"/>
    <w:rsid w:val="00E26192"/>
    <w:rsid w:val="00E26E19"/>
    <w:rsid w:val="00E31DF3"/>
    <w:rsid w:val="00E3480F"/>
    <w:rsid w:val="00E407CE"/>
    <w:rsid w:val="00E4487E"/>
    <w:rsid w:val="00E44B9C"/>
    <w:rsid w:val="00E450A4"/>
    <w:rsid w:val="00E4595D"/>
    <w:rsid w:val="00E506BE"/>
    <w:rsid w:val="00E53223"/>
    <w:rsid w:val="00E55547"/>
    <w:rsid w:val="00E6302B"/>
    <w:rsid w:val="00E635B7"/>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2.xml><?xml version="1.0" encoding="utf-8"?>
<ds:datastoreItem xmlns:ds="http://schemas.openxmlformats.org/officeDocument/2006/customXml" ds:itemID="{669481FA-D491-4465-8CA6-19CCF927982B}">
  <ds:schemaRefs>
    <ds:schemaRef ds:uri="http://schemas.openxmlformats.org/officeDocument/2006/bibliography"/>
  </ds:schemaRefs>
</ds:datastoreItem>
</file>

<file path=customXml/itemProps3.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2453</Words>
  <Characters>13984</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 Department</cp:lastModifiedBy>
  <cp:revision>3</cp:revision>
  <cp:lastPrinted>2019-08-27T05:42:00Z</cp:lastPrinted>
  <dcterms:created xsi:type="dcterms:W3CDTF">2021-07-28T15:07:00Z</dcterms:created>
  <dcterms:modified xsi:type="dcterms:W3CDTF">2021-07-31T12:02:00Z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