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942711" w:rsidRDefault="00AD12C7" w:rsidP="00D0796B">
      <w:pPr>
        <w:pStyle w:val="ListParagraph"/>
        <w:numPr>
          <w:ilvl w:val="0"/>
          <w:numId w:val="11"/>
        </w:numPr>
        <w:ind w:left="426"/>
        <w:jc w:val="both"/>
        <w:rPr>
          <w:rFonts w:ascii="Arial" w:hAnsi="Arial" w:cs="Arial"/>
          <w:sz w:val="22"/>
          <w:szCs w:val="22"/>
          <w:highlight w:val="yellow"/>
          <w:lang w:val="en-GB"/>
        </w:rPr>
      </w:pPr>
      <w:r w:rsidRPr="00942711">
        <w:rPr>
          <w:rFonts w:ascii="Arial" w:hAnsi="Arial" w:cs="Arial"/>
          <w:sz w:val="22"/>
          <w:szCs w:val="22"/>
          <w:highlight w:val="yellow"/>
          <w:lang w:val="en-GB"/>
        </w:rPr>
        <w:t>apply to the court for the decision to be reversed or varied</w:t>
      </w:r>
      <w:r w:rsidR="005A2E18" w:rsidRPr="00942711">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942711" w:rsidRDefault="005A2E18" w:rsidP="00D0796B">
      <w:pPr>
        <w:pStyle w:val="ListParagraph"/>
        <w:numPr>
          <w:ilvl w:val="0"/>
          <w:numId w:val="12"/>
        </w:numPr>
        <w:ind w:left="426"/>
        <w:rPr>
          <w:rFonts w:ascii="Arial" w:hAnsi="Arial" w:cs="Arial"/>
          <w:sz w:val="22"/>
          <w:szCs w:val="22"/>
          <w:highlight w:val="yellow"/>
          <w:lang w:val="en-GB"/>
        </w:rPr>
      </w:pPr>
      <w:r w:rsidRPr="00942711">
        <w:rPr>
          <w:rFonts w:ascii="Arial" w:hAnsi="Arial" w:cs="Arial"/>
          <w:sz w:val="22"/>
          <w:szCs w:val="22"/>
          <w:highlight w:val="yellow"/>
          <w:lang w:val="en-GB"/>
        </w:rPr>
        <w:t>R</w:t>
      </w:r>
      <w:r w:rsidR="00AD12C7" w:rsidRPr="00942711">
        <w:rPr>
          <w:rFonts w:ascii="Arial" w:hAnsi="Arial" w:cs="Arial"/>
          <w:sz w:val="22"/>
          <w:szCs w:val="22"/>
          <w:highlight w:val="yellow"/>
          <w:lang w:val="en-GB"/>
        </w:rPr>
        <w:t>eceivership</w:t>
      </w:r>
      <w:r w:rsidRPr="00942711">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41472E" w:rsidRDefault="00AD12C7" w:rsidP="00D0796B">
      <w:pPr>
        <w:pStyle w:val="ListParagraph"/>
        <w:numPr>
          <w:ilvl w:val="0"/>
          <w:numId w:val="13"/>
        </w:numPr>
        <w:ind w:left="426"/>
        <w:jc w:val="both"/>
        <w:rPr>
          <w:rFonts w:ascii="Arial" w:hAnsi="Arial" w:cs="Arial"/>
          <w:sz w:val="22"/>
          <w:szCs w:val="22"/>
          <w:highlight w:val="yellow"/>
          <w:lang w:val="en-GB"/>
        </w:rPr>
      </w:pPr>
      <w:r w:rsidRPr="0041472E">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41472E">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Default="00321D73" w:rsidP="00F219B4">
      <w:pPr>
        <w:pStyle w:val="ListParagraph"/>
        <w:numPr>
          <w:ilvl w:val="0"/>
          <w:numId w:val="14"/>
        </w:numPr>
        <w:ind w:left="426"/>
        <w:rPr>
          <w:rFonts w:ascii="Arial" w:hAnsi="Arial" w:cs="Arial"/>
          <w:sz w:val="22"/>
          <w:szCs w:val="22"/>
          <w:lang w:val="en-GB"/>
        </w:rPr>
      </w:pPr>
      <w:r w:rsidRPr="0041472E">
        <w:rPr>
          <w:rFonts w:ascii="Arial" w:hAnsi="Arial" w:cs="Arial"/>
          <w:sz w:val="22"/>
          <w:szCs w:val="22"/>
          <w:highlight w:val="yellow"/>
          <w:lang w:val="en-GB"/>
        </w:rPr>
        <w:t>A</w:t>
      </w:r>
      <w:r w:rsidR="000D2487" w:rsidRPr="0041472E">
        <w:rPr>
          <w:rFonts w:ascii="Arial" w:hAnsi="Arial" w:cs="Arial"/>
          <w:sz w:val="22"/>
          <w:szCs w:val="22"/>
          <w:highlight w:val="yellow"/>
          <w:lang w:val="en-GB"/>
        </w:rPr>
        <w:t xml:space="preserve"> small business restructuring plan</w:t>
      </w:r>
      <w:r w:rsidR="00D0796B">
        <w:rPr>
          <w:rFonts w:ascii="Arial" w:hAnsi="Arial" w:cs="Arial"/>
          <w:sz w:val="22"/>
          <w:szCs w:val="22"/>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Pr="007404B9" w:rsidRDefault="00FB4C6B" w:rsidP="00F219B4">
      <w:pPr>
        <w:pStyle w:val="ListParagraph"/>
        <w:numPr>
          <w:ilvl w:val="0"/>
          <w:numId w:val="15"/>
        </w:numPr>
        <w:ind w:left="426"/>
        <w:rPr>
          <w:rFonts w:ascii="Arial" w:hAnsi="Arial" w:cs="Arial"/>
          <w:sz w:val="22"/>
          <w:szCs w:val="22"/>
          <w:highlight w:val="yellow"/>
          <w:lang w:val="en-GB"/>
        </w:rPr>
      </w:pPr>
      <w:r w:rsidRPr="007404B9">
        <w:rPr>
          <w:rFonts w:ascii="Arial" w:hAnsi="Arial" w:cs="Arial"/>
          <w:sz w:val="22"/>
          <w:szCs w:val="22"/>
          <w:highlight w:val="yellow"/>
          <w:lang w:val="en-GB"/>
        </w:rPr>
        <w:t>The bankrupt’s family home</w:t>
      </w:r>
      <w:r w:rsidR="007B3A5E" w:rsidRPr="007404B9">
        <w:rPr>
          <w:rFonts w:ascii="Arial" w:hAnsi="Arial" w:cs="Arial"/>
          <w:sz w:val="22"/>
          <w:szCs w:val="22"/>
          <w:highlight w:val="yellow"/>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7B3A5E" w:rsidRDefault="007B3A5E" w:rsidP="00F219B4">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Pr="007404B9" w:rsidRDefault="007B3A5E" w:rsidP="00F219B4">
      <w:pPr>
        <w:pStyle w:val="ListParagraph"/>
        <w:numPr>
          <w:ilvl w:val="0"/>
          <w:numId w:val="16"/>
        </w:numPr>
        <w:ind w:left="426"/>
        <w:jc w:val="both"/>
        <w:rPr>
          <w:rFonts w:ascii="Arial" w:hAnsi="Arial" w:cs="Arial"/>
          <w:sz w:val="22"/>
          <w:szCs w:val="22"/>
          <w:highlight w:val="yellow"/>
          <w:lang w:val="en-GB"/>
        </w:rPr>
      </w:pPr>
      <w:r w:rsidRPr="007404B9">
        <w:rPr>
          <w:rFonts w:ascii="Arial" w:hAnsi="Arial" w:cs="Arial"/>
          <w:sz w:val="22"/>
          <w:szCs w:val="22"/>
          <w:highlight w:val="yellow"/>
          <w:lang w:val="en-GB"/>
        </w:rPr>
        <w:t>T</w:t>
      </w:r>
      <w:r w:rsidR="00AD12C7" w:rsidRPr="007404B9">
        <w:rPr>
          <w:rFonts w:ascii="Arial" w:hAnsi="Arial" w:cs="Arial"/>
          <w:sz w:val="22"/>
          <w:szCs w:val="22"/>
          <w:highlight w:val="yellow"/>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Default="00AD12C7" w:rsidP="00600B67">
      <w:pPr>
        <w:pStyle w:val="ListParagraph"/>
        <w:numPr>
          <w:ilvl w:val="0"/>
          <w:numId w:val="17"/>
        </w:numPr>
        <w:ind w:left="426"/>
        <w:jc w:val="both"/>
        <w:rPr>
          <w:rFonts w:ascii="Arial" w:hAnsi="Arial" w:cs="Arial"/>
          <w:sz w:val="22"/>
          <w:szCs w:val="22"/>
          <w:lang w:val="en-GB"/>
        </w:rPr>
      </w:pPr>
      <w:r w:rsidRPr="006869AA">
        <w:rPr>
          <w:rFonts w:ascii="Arial" w:hAnsi="Arial" w:cs="Arial"/>
          <w:sz w:val="22"/>
          <w:szCs w:val="22"/>
          <w:highlight w:val="yellow"/>
          <w:lang w:val="en-GB"/>
        </w:rPr>
        <w:t>is an agent of the secured creditor that appointed the receiver</w:t>
      </w:r>
      <w:r w:rsidRPr="006869AA">
        <w:rPr>
          <w:rFonts w:ascii="Arial" w:hAnsi="Arial" w:cs="Arial"/>
          <w:sz w:val="22"/>
          <w:szCs w:val="22"/>
          <w:lang w:val="en-GB"/>
        </w:rPr>
        <w:t>.</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Pr="006869AA" w:rsidRDefault="00AD12C7" w:rsidP="00600B67">
      <w:pPr>
        <w:pStyle w:val="ListParagraph"/>
        <w:numPr>
          <w:ilvl w:val="0"/>
          <w:numId w:val="17"/>
        </w:numPr>
        <w:ind w:left="426"/>
        <w:jc w:val="both"/>
        <w:rPr>
          <w:rFonts w:ascii="Arial" w:hAnsi="Arial" w:cs="Arial"/>
          <w:sz w:val="22"/>
          <w:szCs w:val="22"/>
          <w:lang w:val="en-GB"/>
        </w:rPr>
      </w:pPr>
      <w:r w:rsidRPr="006869AA">
        <w:rPr>
          <w:rFonts w:ascii="Arial" w:hAnsi="Arial" w:cs="Arial"/>
          <w:sz w:val="22"/>
          <w:szCs w:val="22"/>
          <w:lang w:val="en-GB"/>
        </w:rPr>
        <w:t xml:space="preserve">is an agent of the company until the appointment of a liquidator to </w:t>
      </w:r>
      <w:r w:rsidR="00023705" w:rsidRPr="006869AA">
        <w:rPr>
          <w:rFonts w:ascii="Arial" w:hAnsi="Arial" w:cs="Arial"/>
          <w:sz w:val="22"/>
          <w:szCs w:val="22"/>
          <w:lang w:val="en-GB"/>
        </w:rPr>
        <w:t xml:space="preserve">the </w:t>
      </w:r>
      <w:r w:rsidRPr="006869AA">
        <w:rPr>
          <w:rFonts w:ascii="Arial" w:hAnsi="Arial" w:cs="Arial"/>
          <w:sz w:val="22"/>
          <w:szCs w:val="22"/>
          <w:lang w:val="en-GB"/>
        </w:rPr>
        <w:t>company.</w:t>
      </w:r>
    </w:p>
    <w:p w14:paraId="3ED6FE65" w14:textId="77777777" w:rsidR="00600B67" w:rsidRPr="00600B67" w:rsidRDefault="00600B67" w:rsidP="002352DB">
      <w:pPr>
        <w:tabs>
          <w:tab w:val="left" w:pos="180"/>
        </w:tabs>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383B38" w:rsidRDefault="00AD12C7" w:rsidP="00600B67">
      <w:pPr>
        <w:pStyle w:val="ListParagraph"/>
        <w:numPr>
          <w:ilvl w:val="0"/>
          <w:numId w:val="18"/>
        </w:numPr>
        <w:ind w:left="426"/>
        <w:rPr>
          <w:rFonts w:ascii="Arial" w:hAnsi="Arial" w:cs="Arial"/>
          <w:sz w:val="22"/>
          <w:szCs w:val="22"/>
          <w:highlight w:val="yellow"/>
          <w:lang w:val="en-GB"/>
        </w:rPr>
      </w:pPr>
      <w:r w:rsidRPr="00383B38">
        <w:rPr>
          <w:rFonts w:ascii="Arial" w:hAnsi="Arial" w:cs="Arial"/>
          <w:sz w:val="22"/>
          <w:szCs w:val="22"/>
          <w:highlight w:val="yellow"/>
          <w:lang w:val="en-GB"/>
        </w:rPr>
        <w:t>8 business days</w:t>
      </w:r>
      <w:r w:rsidR="002172B8" w:rsidRPr="00383B38">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6869AA" w:rsidRDefault="00416D2B" w:rsidP="00600B67">
      <w:pPr>
        <w:pStyle w:val="ListParagraph"/>
        <w:numPr>
          <w:ilvl w:val="0"/>
          <w:numId w:val="19"/>
        </w:numPr>
        <w:ind w:left="426"/>
        <w:jc w:val="both"/>
        <w:rPr>
          <w:rFonts w:ascii="Arial" w:hAnsi="Arial" w:cs="Arial"/>
          <w:sz w:val="22"/>
          <w:szCs w:val="22"/>
          <w:highlight w:val="yellow"/>
          <w:lang w:val="en-GB"/>
        </w:rPr>
      </w:pPr>
      <w:r w:rsidRPr="006869AA">
        <w:rPr>
          <w:rFonts w:ascii="Arial" w:hAnsi="Arial" w:cs="Arial"/>
          <w:sz w:val="22"/>
          <w:szCs w:val="22"/>
          <w:highlight w:val="yellow"/>
          <w:lang w:val="en-GB"/>
        </w:rPr>
        <w:t>T</w:t>
      </w:r>
      <w:r w:rsidR="002476AF" w:rsidRPr="006869AA">
        <w:rPr>
          <w:rFonts w:ascii="Arial" w:hAnsi="Arial" w:cs="Arial"/>
          <w:sz w:val="22"/>
          <w:szCs w:val="22"/>
          <w:highlight w:val="yellow"/>
          <w:lang w:val="en-GB"/>
        </w:rPr>
        <w:t xml:space="preserve">he part dealing with receivers, and other controllers, of property of </w:t>
      </w:r>
      <w:r w:rsidRPr="006869AA">
        <w:rPr>
          <w:rFonts w:ascii="Arial" w:hAnsi="Arial" w:cs="Arial"/>
          <w:sz w:val="22"/>
          <w:szCs w:val="22"/>
          <w:highlight w:val="yellow"/>
          <w:lang w:val="en-GB"/>
        </w:rPr>
        <w:t xml:space="preserve">the </w:t>
      </w:r>
      <w:r w:rsidR="002476AF" w:rsidRPr="006869AA">
        <w:rPr>
          <w:rFonts w:ascii="Arial" w:hAnsi="Arial" w:cs="Arial"/>
          <w:sz w:val="22"/>
          <w:szCs w:val="22"/>
          <w:highlight w:val="yellow"/>
          <w:lang w:val="en-GB"/>
        </w:rPr>
        <w:t>corporation</w:t>
      </w:r>
      <w:r w:rsidRPr="006869AA">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2352DB" w:rsidRDefault="002476AF" w:rsidP="00B953FA">
      <w:pPr>
        <w:pStyle w:val="ListParagraph"/>
        <w:numPr>
          <w:ilvl w:val="0"/>
          <w:numId w:val="20"/>
        </w:numPr>
        <w:ind w:left="426"/>
        <w:jc w:val="both"/>
        <w:rPr>
          <w:rFonts w:ascii="Arial" w:hAnsi="Arial" w:cs="Arial"/>
          <w:sz w:val="22"/>
          <w:szCs w:val="22"/>
          <w:highlight w:val="yellow"/>
          <w:lang w:val="en-GB"/>
        </w:rPr>
      </w:pPr>
      <w:r w:rsidRPr="002352DB">
        <w:rPr>
          <w:rFonts w:ascii="Arial" w:hAnsi="Arial" w:cs="Arial"/>
          <w:sz w:val="22"/>
          <w:szCs w:val="22"/>
          <w:highlight w:val="yellow"/>
          <w:lang w:val="en-GB"/>
        </w:rPr>
        <w:t xml:space="preserve">simplified </w:t>
      </w:r>
      <w:r w:rsidR="008235B7" w:rsidRPr="002352DB">
        <w:rPr>
          <w:rFonts w:ascii="Arial" w:hAnsi="Arial" w:cs="Arial"/>
          <w:sz w:val="22"/>
          <w:szCs w:val="22"/>
          <w:highlight w:val="yellow"/>
          <w:lang w:val="en-GB"/>
        </w:rPr>
        <w:t>restructuring and liquidation regimes for small companies</w:t>
      </w:r>
      <w:r w:rsidRPr="002352DB">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993207" w:rsidRDefault="00007BF3" w:rsidP="00993207">
      <w:pPr>
        <w:ind w:left="630" w:hanging="720"/>
        <w:jc w:val="both"/>
        <w:rPr>
          <w:rFonts w:ascii="Arial" w:hAnsi="Arial" w:cs="Arial"/>
          <w:color w:val="7B7B7B" w:themeColor="accent3" w:themeShade="BF"/>
          <w:sz w:val="22"/>
          <w:szCs w:val="22"/>
          <w:lang w:val="en-GB"/>
        </w:rPr>
      </w:pPr>
    </w:p>
    <w:p w14:paraId="25E3FBBA" w14:textId="0F1098F0" w:rsidR="009B07AD" w:rsidRPr="000E3A1D" w:rsidRDefault="000E3A1D" w:rsidP="00993207">
      <w:pPr>
        <w:ind w:left="63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types of voidable transactions that can be reversed by a bankruptcy trustee under the Bankruptcy Act, 1966 (</w:t>
      </w:r>
      <w:proofErr w:type="spellStart"/>
      <w:r>
        <w:rPr>
          <w:rFonts w:ascii="Arial" w:hAnsi="Arial" w:cs="Arial"/>
          <w:color w:val="7B7B7B" w:themeColor="accent3" w:themeShade="BF"/>
          <w:sz w:val="22"/>
          <w:szCs w:val="22"/>
          <w:lang w:val="en-GB"/>
        </w:rPr>
        <w:t>cth</w:t>
      </w:r>
      <w:proofErr w:type="spellEnd"/>
      <w:r>
        <w:rPr>
          <w:rFonts w:ascii="Arial" w:hAnsi="Arial" w:cs="Arial"/>
          <w:color w:val="7B7B7B" w:themeColor="accent3" w:themeShade="BF"/>
          <w:sz w:val="22"/>
          <w:szCs w:val="22"/>
          <w:lang w:val="en-GB"/>
        </w:rPr>
        <w:t>) (“</w:t>
      </w:r>
      <w:r w:rsidRPr="00993207">
        <w:rPr>
          <w:rFonts w:ascii="Arial" w:hAnsi="Arial" w:cs="Arial"/>
          <w:color w:val="7B7B7B" w:themeColor="accent3" w:themeShade="BF"/>
          <w:sz w:val="22"/>
          <w:szCs w:val="22"/>
          <w:lang w:val="en-GB"/>
        </w:rPr>
        <w:t>Bankruptcy Acy</w:t>
      </w:r>
      <w:r>
        <w:rPr>
          <w:rFonts w:ascii="Arial" w:hAnsi="Arial" w:cs="Arial"/>
          <w:color w:val="7B7B7B" w:themeColor="accent3" w:themeShade="BF"/>
          <w:sz w:val="22"/>
          <w:szCs w:val="22"/>
          <w:lang w:val="en-GB"/>
        </w:rPr>
        <w:t>”) are as follow:</w:t>
      </w:r>
    </w:p>
    <w:p w14:paraId="59558325" w14:textId="3243BA70" w:rsidR="000E3A1D" w:rsidRDefault="000E3A1D" w:rsidP="00993207">
      <w:pPr>
        <w:ind w:left="630" w:hanging="720"/>
        <w:jc w:val="both"/>
        <w:rPr>
          <w:rFonts w:ascii="Arial" w:hAnsi="Arial" w:cs="Arial"/>
          <w:color w:val="7B7B7B" w:themeColor="accent3" w:themeShade="BF"/>
          <w:sz w:val="22"/>
          <w:szCs w:val="22"/>
          <w:lang w:val="en-GB"/>
        </w:rPr>
      </w:pPr>
    </w:p>
    <w:p w14:paraId="0C184A88" w14:textId="7D47B889" w:rsidR="000E3A1D" w:rsidRPr="00993207" w:rsidRDefault="000E3A1D" w:rsidP="00993207">
      <w:pPr>
        <w:pStyle w:val="ListParagraph"/>
        <w:numPr>
          <w:ilvl w:val="0"/>
          <w:numId w:val="28"/>
        </w:numPr>
        <w:jc w:val="both"/>
        <w:rPr>
          <w:rFonts w:ascii="Arial" w:hAnsi="Arial" w:cs="Arial"/>
          <w:color w:val="7B7B7B" w:themeColor="accent3" w:themeShade="BF"/>
          <w:sz w:val="22"/>
          <w:szCs w:val="22"/>
          <w:lang w:val="en-GB"/>
        </w:rPr>
      </w:pPr>
      <w:r w:rsidRPr="00993207">
        <w:rPr>
          <w:rFonts w:ascii="Arial" w:hAnsi="Arial" w:cs="Arial"/>
          <w:b/>
          <w:bCs/>
          <w:color w:val="7B7B7B" w:themeColor="accent3" w:themeShade="BF"/>
          <w:sz w:val="22"/>
          <w:szCs w:val="22"/>
          <w:lang w:val="en-GB"/>
        </w:rPr>
        <w:t>Undervalued transactions</w:t>
      </w:r>
      <w:r w:rsidRPr="00993207">
        <w:rPr>
          <w:rFonts w:ascii="Arial" w:hAnsi="Arial" w:cs="Arial"/>
          <w:color w:val="7B7B7B" w:themeColor="accent3" w:themeShade="BF"/>
          <w:sz w:val="22"/>
          <w:szCs w:val="22"/>
          <w:lang w:val="en-GB"/>
        </w:rPr>
        <w:t> – </w:t>
      </w:r>
      <w:hyperlink r:id="rId9" w:tgtFrame="_blank" w:history="1">
        <w:r w:rsidRPr="00993207">
          <w:rPr>
            <w:rFonts w:ascii="Arial" w:hAnsi="Arial" w:cs="Arial"/>
            <w:color w:val="7B7B7B" w:themeColor="accent3" w:themeShade="BF"/>
            <w:sz w:val="22"/>
            <w:szCs w:val="22"/>
            <w:lang w:val="en-GB"/>
          </w:rPr>
          <w:t>section 120 of the Bankruptcy Act</w:t>
        </w:r>
      </w:hyperlink>
      <w:r w:rsidRPr="00993207">
        <w:rPr>
          <w:rFonts w:ascii="Arial" w:hAnsi="Arial" w:cs="Arial"/>
          <w:color w:val="7B7B7B" w:themeColor="accent3" w:themeShade="BF"/>
          <w:sz w:val="22"/>
          <w:szCs w:val="22"/>
          <w:lang w:val="en-GB"/>
        </w:rPr>
        <w:t xml:space="preserve">; </w:t>
      </w:r>
    </w:p>
    <w:p w14:paraId="417A4B95" w14:textId="0BB25D03" w:rsidR="00993207" w:rsidRPr="00993207" w:rsidRDefault="00993207" w:rsidP="00993207">
      <w:pPr>
        <w:ind w:left="630" w:hanging="720"/>
        <w:jc w:val="both"/>
        <w:rPr>
          <w:rFonts w:ascii="Arial" w:hAnsi="Arial" w:cs="Arial"/>
          <w:color w:val="7B7B7B" w:themeColor="accent3" w:themeShade="BF"/>
          <w:sz w:val="22"/>
          <w:szCs w:val="22"/>
          <w:lang w:val="en-GB"/>
        </w:rPr>
      </w:pPr>
    </w:p>
    <w:p w14:paraId="54A6F350" w14:textId="5C142B16" w:rsidR="00993207" w:rsidRDefault="00993207" w:rsidP="00993207">
      <w:pPr>
        <w:ind w:left="1260" w:firstLine="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a transaction however will not be reversible if:</w:t>
      </w:r>
    </w:p>
    <w:p w14:paraId="0CC5C4C2" w14:textId="77777777" w:rsidR="00993207" w:rsidRDefault="00993207" w:rsidP="00993207">
      <w:pPr>
        <w:ind w:left="1260" w:firstLine="90"/>
        <w:jc w:val="both"/>
        <w:rPr>
          <w:rFonts w:ascii="Arial" w:hAnsi="Arial" w:cs="Arial"/>
          <w:color w:val="7B7B7B" w:themeColor="accent3" w:themeShade="BF"/>
          <w:sz w:val="22"/>
          <w:szCs w:val="22"/>
          <w:lang w:val="en-GB"/>
        </w:rPr>
      </w:pPr>
    </w:p>
    <w:p w14:paraId="18EDE5D0" w14:textId="7BD04EF1" w:rsidR="00993207" w:rsidRPr="00993207" w:rsidRDefault="00993207" w:rsidP="00993207">
      <w:pPr>
        <w:pStyle w:val="ListParagraph"/>
        <w:numPr>
          <w:ilvl w:val="0"/>
          <w:numId w:val="30"/>
        </w:numPr>
        <w:ind w:left="1710"/>
        <w:jc w:val="both"/>
        <w:rPr>
          <w:rFonts w:ascii="Arial" w:hAnsi="Arial" w:cs="Arial"/>
          <w:color w:val="7B7B7B" w:themeColor="accent3" w:themeShade="BF"/>
          <w:sz w:val="22"/>
          <w:szCs w:val="22"/>
          <w:lang w:val="en-GB"/>
        </w:rPr>
      </w:pPr>
      <w:proofErr w:type="spellStart"/>
      <w:r w:rsidRPr="00993207">
        <w:rPr>
          <w:rFonts w:ascii="Arial" w:hAnsi="Arial" w:cs="Arial"/>
          <w:color w:val="7B7B7B" w:themeColor="accent3" w:themeShade="BF"/>
          <w:sz w:val="22"/>
          <w:szCs w:val="22"/>
          <w:lang w:val="en-GB"/>
        </w:rPr>
        <w:t>Incas</w:t>
      </w:r>
      <w:r>
        <w:rPr>
          <w:rFonts w:ascii="Arial" w:hAnsi="Arial" w:cs="Arial"/>
          <w:color w:val="7B7B7B" w:themeColor="accent3" w:themeShade="BF"/>
          <w:sz w:val="22"/>
          <w:szCs w:val="22"/>
          <w:lang w:val="en-GB"/>
        </w:rPr>
        <w:t>e</w:t>
      </w:r>
      <w:proofErr w:type="spellEnd"/>
      <w:r>
        <w:rPr>
          <w:rFonts w:ascii="Arial" w:hAnsi="Arial" w:cs="Arial"/>
          <w:color w:val="7B7B7B" w:themeColor="accent3" w:themeShade="BF"/>
          <w:sz w:val="22"/>
          <w:szCs w:val="22"/>
          <w:lang w:val="en-GB"/>
        </w:rPr>
        <w:t xml:space="preserve"> </w:t>
      </w:r>
      <w:r w:rsidRPr="00993207">
        <w:rPr>
          <w:rFonts w:ascii="Arial" w:hAnsi="Arial" w:cs="Arial"/>
          <w:color w:val="7B7B7B" w:themeColor="accent3" w:themeShade="BF"/>
          <w:sz w:val="22"/>
          <w:szCs w:val="22"/>
          <w:lang w:val="en-GB"/>
        </w:rPr>
        <w:t xml:space="preserve">the transaction was entered into with a related party, it took place more than 4 years </w:t>
      </w:r>
      <w:r w:rsidRPr="00993207">
        <w:rPr>
          <w:rFonts w:ascii="Arial" w:hAnsi="Arial" w:cs="Arial"/>
          <w:color w:val="7B7B7B" w:themeColor="accent3" w:themeShade="BF"/>
          <w:sz w:val="22"/>
          <w:szCs w:val="22"/>
          <w:lang w:val="en-GB"/>
        </w:rPr>
        <w:t>before </w:t>
      </w:r>
      <w:hyperlink r:id="rId10" w:anchor="the_commencement_of_the_bankruptcy" w:history="1">
        <w:r w:rsidRPr="00993207">
          <w:rPr>
            <w:rFonts w:ascii="Arial" w:hAnsi="Arial" w:cs="Arial"/>
            <w:color w:val="7B7B7B" w:themeColor="accent3" w:themeShade="BF"/>
            <w:sz w:val="22"/>
            <w:szCs w:val="22"/>
            <w:lang w:val="en-GB"/>
          </w:rPr>
          <w:t>the commencement of</w:t>
        </w:r>
      </w:hyperlink>
      <w:r w:rsidRPr="00993207">
        <w:rPr>
          <w:rFonts w:ascii="Arial" w:hAnsi="Arial" w:cs="Arial"/>
          <w:color w:val="7B7B7B" w:themeColor="accent3" w:themeShade="BF"/>
          <w:sz w:val="22"/>
          <w:szCs w:val="22"/>
          <w:lang w:val="en-GB"/>
        </w:rPr>
        <w:t> </w:t>
      </w:r>
      <w:hyperlink r:id="rId11" w:anchor="the_commencement_of_the_bankruptcy" w:history="1">
        <w:r w:rsidRPr="00993207">
          <w:rPr>
            <w:rFonts w:ascii="Arial" w:hAnsi="Arial" w:cs="Arial"/>
            <w:color w:val="7B7B7B" w:themeColor="accent3" w:themeShade="BF"/>
            <w:sz w:val="22"/>
            <w:szCs w:val="22"/>
            <w:lang w:val="en-GB"/>
          </w:rPr>
          <w:t>the bankruptcy</w:t>
        </w:r>
      </w:hyperlink>
      <w:r w:rsidRPr="00993207">
        <w:rPr>
          <w:rFonts w:ascii="Arial" w:hAnsi="Arial" w:cs="Arial"/>
          <w:color w:val="7B7B7B" w:themeColor="accent3" w:themeShade="BF"/>
          <w:sz w:val="22"/>
          <w:szCs w:val="22"/>
          <w:lang w:val="en-GB"/>
        </w:rPr>
        <w:t>;</w:t>
      </w:r>
    </w:p>
    <w:p w14:paraId="7C8E60B0" w14:textId="7EE4E22F" w:rsidR="00993207" w:rsidRPr="00993207" w:rsidRDefault="00993207" w:rsidP="00993207">
      <w:pPr>
        <w:pStyle w:val="ListParagraph"/>
        <w:numPr>
          <w:ilvl w:val="0"/>
          <w:numId w:val="30"/>
        </w:numPr>
        <w:ind w:left="1710"/>
        <w:jc w:val="both"/>
        <w:rPr>
          <w:rFonts w:ascii="Arial" w:hAnsi="Arial" w:cs="Arial"/>
          <w:color w:val="7B7B7B" w:themeColor="accent3" w:themeShade="BF"/>
          <w:sz w:val="22"/>
          <w:szCs w:val="22"/>
          <w:lang w:val="en-GB"/>
        </w:rPr>
      </w:pPr>
      <w:r w:rsidRPr="00993207">
        <w:rPr>
          <w:rFonts w:ascii="Arial" w:hAnsi="Arial" w:cs="Arial"/>
          <w:color w:val="7B7B7B" w:themeColor="accent3" w:themeShade="BF"/>
          <w:sz w:val="22"/>
          <w:szCs w:val="22"/>
          <w:lang w:val="en-GB"/>
        </w:rPr>
        <w:t xml:space="preserve">In any other case, it took place more than 2 years before the commencement of </w:t>
      </w:r>
      <w:r>
        <w:rPr>
          <w:rFonts w:ascii="Arial" w:hAnsi="Arial" w:cs="Arial"/>
          <w:color w:val="7B7B7B" w:themeColor="accent3" w:themeShade="BF"/>
          <w:sz w:val="22"/>
          <w:szCs w:val="22"/>
          <w:lang w:val="en-GB"/>
        </w:rPr>
        <w:t xml:space="preserve">the </w:t>
      </w:r>
      <w:r w:rsidRPr="00993207">
        <w:rPr>
          <w:rFonts w:ascii="Arial" w:hAnsi="Arial" w:cs="Arial"/>
          <w:color w:val="7B7B7B" w:themeColor="accent3" w:themeShade="BF"/>
          <w:sz w:val="22"/>
          <w:szCs w:val="22"/>
          <w:lang w:val="en-GB"/>
        </w:rPr>
        <w:t xml:space="preserve">bankruptcy; or </w:t>
      </w:r>
    </w:p>
    <w:p w14:paraId="4DFE2042" w14:textId="6B9A2AFA" w:rsidR="00993207" w:rsidRPr="00993207" w:rsidRDefault="00993207" w:rsidP="00993207">
      <w:pPr>
        <w:pStyle w:val="ListParagraph"/>
        <w:numPr>
          <w:ilvl w:val="0"/>
          <w:numId w:val="30"/>
        </w:numPr>
        <w:ind w:left="1710"/>
        <w:jc w:val="both"/>
        <w:rPr>
          <w:rFonts w:ascii="Arial" w:hAnsi="Arial" w:cs="Arial"/>
          <w:color w:val="7B7B7B" w:themeColor="accent3" w:themeShade="BF"/>
          <w:sz w:val="22"/>
          <w:szCs w:val="22"/>
          <w:lang w:val="en-GB"/>
        </w:rPr>
      </w:pPr>
      <w:r w:rsidRPr="00993207">
        <w:rPr>
          <w:rFonts w:ascii="Arial" w:hAnsi="Arial" w:cs="Arial"/>
          <w:color w:val="7B7B7B" w:themeColor="accent3" w:themeShade="BF"/>
          <w:sz w:val="22"/>
          <w:szCs w:val="22"/>
          <w:lang w:val="en-GB"/>
        </w:rPr>
        <w:t>The transferee proves that at the time of the transfers, the transferor was solvent.</w:t>
      </w:r>
    </w:p>
    <w:p w14:paraId="0C8A0DC4" w14:textId="77777777" w:rsidR="00993207" w:rsidRPr="00993207" w:rsidRDefault="00993207" w:rsidP="00993207">
      <w:pPr>
        <w:ind w:left="630" w:hanging="720"/>
        <w:jc w:val="both"/>
        <w:rPr>
          <w:rFonts w:ascii="Arial" w:hAnsi="Arial" w:cs="Arial"/>
          <w:color w:val="7B7B7B" w:themeColor="accent3" w:themeShade="BF"/>
          <w:sz w:val="22"/>
          <w:szCs w:val="22"/>
          <w:lang w:val="en-GB"/>
        </w:rPr>
      </w:pPr>
    </w:p>
    <w:p w14:paraId="54D93FB9" w14:textId="77777777" w:rsidR="00993207" w:rsidRDefault="000E3A1D" w:rsidP="00993207">
      <w:pPr>
        <w:pStyle w:val="ListParagraph"/>
        <w:numPr>
          <w:ilvl w:val="0"/>
          <w:numId w:val="28"/>
        </w:numPr>
        <w:jc w:val="both"/>
        <w:rPr>
          <w:rFonts w:ascii="Arial" w:hAnsi="Arial" w:cs="Arial"/>
          <w:color w:val="7B7B7B" w:themeColor="accent3" w:themeShade="BF"/>
          <w:sz w:val="22"/>
          <w:szCs w:val="22"/>
          <w:lang w:val="en-GB"/>
        </w:rPr>
      </w:pPr>
      <w:r w:rsidRPr="00993207">
        <w:rPr>
          <w:rFonts w:ascii="Arial" w:hAnsi="Arial" w:cs="Arial"/>
          <w:b/>
          <w:bCs/>
          <w:color w:val="7B7B7B" w:themeColor="accent3" w:themeShade="BF"/>
          <w:sz w:val="22"/>
          <w:szCs w:val="22"/>
          <w:lang w:val="en-GB"/>
        </w:rPr>
        <w:t>Transfers to defeat creditors</w:t>
      </w:r>
      <w:r w:rsidRPr="00993207">
        <w:rPr>
          <w:rFonts w:ascii="Arial" w:hAnsi="Arial" w:cs="Arial"/>
          <w:color w:val="7B7B7B" w:themeColor="accent3" w:themeShade="BF"/>
          <w:sz w:val="22"/>
          <w:szCs w:val="22"/>
          <w:lang w:val="en-GB"/>
        </w:rPr>
        <w:t> – </w:t>
      </w:r>
      <w:hyperlink r:id="rId12" w:tgtFrame="_blank" w:history="1">
        <w:r w:rsidRPr="00993207">
          <w:rPr>
            <w:rFonts w:ascii="Arial" w:hAnsi="Arial" w:cs="Arial"/>
            <w:color w:val="7B7B7B" w:themeColor="accent3" w:themeShade="BF"/>
            <w:sz w:val="22"/>
            <w:szCs w:val="22"/>
            <w:lang w:val="en-GB"/>
          </w:rPr>
          <w:t>section 121 of the </w:t>
        </w:r>
        <w:r w:rsidRPr="00993207">
          <w:rPr>
            <w:rFonts w:ascii="Arial" w:hAnsi="Arial" w:cs="Arial"/>
            <w:i/>
            <w:iCs/>
            <w:color w:val="7B7B7B" w:themeColor="accent3" w:themeShade="BF"/>
            <w:sz w:val="22"/>
            <w:szCs w:val="22"/>
            <w:lang w:val="en-GB"/>
          </w:rPr>
          <w:t>Bankruptcy Act</w:t>
        </w:r>
      </w:hyperlink>
    </w:p>
    <w:p w14:paraId="056AF13A" w14:textId="77777777" w:rsidR="00993207" w:rsidRDefault="00993207" w:rsidP="00993207">
      <w:pPr>
        <w:pStyle w:val="ListParagraph"/>
        <w:ind w:left="1350"/>
        <w:jc w:val="both"/>
        <w:rPr>
          <w:rFonts w:ascii="Arial" w:hAnsi="Arial" w:cs="Arial"/>
          <w:b/>
          <w:bCs/>
          <w:color w:val="7B7B7B" w:themeColor="accent3" w:themeShade="BF"/>
          <w:sz w:val="22"/>
          <w:szCs w:val="22"/>
          <w:lang w:val="en-GB"/>
        </w:rPr>
      </w:pPr>
    </w:p>
    <w:p w14:paraId="75240332" w14:textId="11E7D780" w:rsidR="00993207" w:rsidRDefault="00993207" w:rsidP="00993207">
      <w:pPr>
        <w:pStyle w:val="ListParagraph"/>
        <w:ind w:left="1350"/>
        <w:jc w:val="both"/>
        <w:rPr>
          <w:rFonts w:ascii="Arial" w:hAnsi="Arial" w:cs="Arial"/>
          <w:color w:val="7B7B7B" w:themeColor="accent3" w:themeShade="BF"/>
          <w:sz w:val="22"/>
          <w:szCs w:val="22"/>
          <w:lang w:val="en-GB"/>
        </w:rPr>
      </w:pPr>
      <w:r w:rsidRPr="00993207">
        <w:rPr>
          <w:rFonts w:ascii="Arial" w:hAnsi="Arial" w:cs="Arial"/>
          <w:color w:val="7B7B7B" w:themeColor="accent3" w:themeShade="BF"/>
          <w:sz w:val="22"/>
          <w:szCs w:val="22"/>
          <w:lang w:val="en-GB"/>
        </w:rPr>
        <w:t>Such a transaction however will not be reversible if:</w:t>
      </w:r>
    </w:p>
    <w:p w14:paraId="00262265" w14:textId="520235C9" w:rsidR="00993207" w:rsidRDefault="00993207" w:rsidP="00993207">
      <w:pPr>
        <w:jc w:val="both"/>
        <w:rPr>
          <w:rFonts w:ascii="Arial" w:hAnsi="Arial" w:cs="Arial"/>
          <w:color w:val="7B7B7B" w:themeColor="accent3" w:themeShade="BF"/>
          <w:sz w:val="22"/>
          <w:szCs w:val="22"/>
          <w:lang w:val="en-GB"/>
        </w:rPr>
      </w:pPr>
    </w:p>
    <w:p w14:paraId="69ABAAC9" w14:textId="4F12C651" w:rsidR="00993207" w:rsidRPr="00993207" w:rsidRDefault="00993207" w:rsidP="00993207">
      <w:pPr>
        <w:pStyle w:val="ListParagraph"/>
        <w:numPr>
          <w:ilvl w:val="0"/>
          <w:numId w:val="32"/>
        </w:numPr>
        <w:ind w:left="1710"/>
        <w:jc w:val="both"/>
        <w:rPr>
          <w:rFonts w:ascii="Arial" w:hAnsi="Arial" w:cs="Arial"/>
          <w:color w:val="7B7B7B" w:themeColor="accent3" w:themeShade="BF"/>
          <w:sz w:val="22"/>
          <w:szCs w:val="22"/>
          <w:lang w:val="en-GB"/>
        </w:rPr>
      </w:pPr>
      <w:r w:rsidRPr="00993207">
        <w:rPr>
          <w:rFonts w:ascii="Arial" w:hAnsi="Arial" w:cs="Arial"/>
          <w:color w:val="7B7B7B" w:themeColor="accent3" w:themeShade="BF"/>
          <w:sz w:val="22"/>
          <w:szCs w:val="22"/>
          <w:lang w:val="en-GB"/>
        </w:rPr>
        <w:t>t</w:t>
      </w:r>
      <w:r w:rsidRPr="00993207">
        <w:rPr>
          <w:rFonts w:ascii="Arial" w:hAnsi="Arial" w:cs="Arial"/>
          <w:color w:val="7B7B7B" w:themeColor="accent3" w:themeShade="BF"/>
          <w:sz w:val="22"/>
          <w:szCs w:val="22"/>
          <w:lang w:val="en-GB"/>
        </w:rPr>
        <w:t>he consideration that the transferee gave for the transfer was at least as valuable as the market </w:t>
      </w:r>
      <w:hyperlink r:id="rId13" w:anchor="value" w:history="1">
        <w:r w:rsidRPr="00993207">
          <w:rPr>
            <w:rFonts w:ascii="Arial" w:hAnsi="Arial" w:cs="Arial"/>
            <w:color w:val="7B7B7B" w:themeColor="accent3" w:themeShade="BF"/>
            <w:sz w:val="22"/>
            <w:szCs w:val="22"/>
            <w:lang w:val="en-GB"/>
          </w:rPr>
          <w:t>value</w:t>
        </w:r>
      </w:hyperlink>
      <w:r w:rsidRPr="00993207">
        <w:rPr>
          <w:rFonts w:ascii="Arial" w:hAnsi="Arial" w:cs="Arial"/>
          <w:color w:val="7B7B7B" w:themeColor="accent3" w:themeShade="BF"/>
          <w:sz w:val="22"/>
          <w:szCs w:val="22"/>
          <w:lang w:val="en-GB"/>
        </w:rPr>
        <w:t> of the </w:t>
      </w:r>
      <w:hyperlink r:id="rId14" w:anchor="property" w:history="1">
        <w:r w:rsidRPr="00993207">
          <w:rPr>
            <w:rFonts w:ascii="Arial" w:hAnsi="Arial" w:cs="Arial"/>
            <w:color w:val="7B7B7B" w:themeColor="accent3" w:themeShade="BF"/>
            <w:sz w:val="22"/>
            <w:szCs w:val="22"/>
            <w:lang w:val="en-GB"/>
          </w:rPr>
          <w:t>property</w:t>
        </w:r>
      </w:hyperlink>
      <w:r w:rsidRPr="00993207">
        <w:rPr>
          <w:rFonts w:ascii="Arial" w:hAnsi="Arial" w:cs="Arial"/>
          <w:color w:val="7B7B7B" w:themeColor="accent3" w:themeShade="BF"/>
          <w:sz w:val="22"/>
          <w:szCs w:val="22"/>
          <w:lang w:val="en-GB"/>
        </w:rPr>
        <w:t>; and</w:t>
      </w:r>
    </w:p>
    <w:p w14:paraId="79C3C665" w14:textId="2BE7DF1C" w:rsidR="00993207" w:rsidRPr="00993207" w:rsidRDefault="00993207" w:rsidP="00993207">
      <w:pPr>
        <w:pStyle w:val="ListParagraph"/>
        <w:numPr>
          <w:ilvl w:val="0"/>
          <w:numId w:val="32"/>
        </w:numPr>
        <w:ind w:left="1710"/>
        <w:jc w:val="both"/>
        <w:rPr>
          <w:rFonts w:ascii="Arial" w:hAnsi="Arial" w:cs="Arial"/>
          <w:color w:val="7B7B7B" w:themeColor="accent3" w:themeShade="BF"/>
          <w:sz w:val="22"/>
          <w:szCs w:val="22"/>
          <w:lang w:val="en-GB"/>
        </w:rPr>
      </w:pPr>
      <w:bookmarkStart w:id="0" w:name="paragraph"/>
      <w:r w:rsidRPr="00993207">
        <w:rPr>
          <w:rFonts w:ascii="Arial" w:hAnsi="Arial" w:cs="Arial"/>
          <w:color w:val="7B7B7B" w:themeColor="accent3" w:themeShade="BF"/>
          <w:sz w:val="22"/>
          <w:szCs w:val="22"/>
          <w:lang w:val="en-GB"/>
        </w:rPr>
        <w:t>the transferee did not know, and could not reasonably have inferred, that the transferor's main purpose in making the transfer was the purpose described in </w:t>
      </w:r>
      <w:hyperlink r:id="rId15" w:anchor="paragraph" w:history="1">
        <w:r w:rsidRPr="00993207">
          <w:rPr>
            <w:rFonts w:ascii="Arial" w:hAnsi="Arial" w:cs="Arial"/>
            <w:color w:val="7B7B7B" w:themeColor="accent3" w:themeShade="BF"/>
            <w:sz w:val="22"/>
            <w:szCs w:val="22"/>
            <w:lang w:val="en-GB"/>
          </w:rPr>
          <w:t>paragraph</w:t>
        </w:r>
      </w:hyperlink>
      <w:r w:rsidRPr="00993207">
        <w:rPr>
          <w:rFonts w:ascii="Arial" w:hAnsi="Arial" w:cs="Arial"/>
          <w:color w:val="7B7B7B" w:themeColor="accent3" w:themeShade="BF"/>
          <w:sz w:val="22"/>
          <w:szCs w:val="22"/>
          <w:lang w:val="en-GB"/>
        </w:rPr>
        <w:t> (1)(b)</w:t>
      </w:r>
      <w:r>
        <w:rPr>
          <w:rFonts w:ascii="Arial" w:hAnsi="Arial" w:cs="Arial"/>
          <w:color w:val="7B7B7B" w:themeColor="accent3" w:themeShade="BF"/>
          <w:sz w:val="22"/>
          <w:szCs w:val="22"/>
          <w:lang w:val="en-GB"/>
        </w:rPr>
        <w:t xml:space="preserve"> of Section 121</w:t>
      </w:r>
      <w:r w:rsidR="0096601D">
        <w:rPr>
          <w:rFonts w:ascii="Arial" w:hAnsi="Arial" w:cs="Arial"/>
          <w:color w:val="7B7B7B" w:themeColor="accent3" w:themeShade="BF"/>
          <w:sz w:val="22"/>
          <w:szCs w:val="22"/>
          <w:lang w:val="en-GB"/>
        </w:rPr>
        <w:t xml:space="preserve">, and </w:t>
      </w:r>
      <w:r w:rsidR="0096601D" w:rsidRPr="0096601D">
        <w:rPr>
          <w:rFonts w:ascii="Arial" w:hAnsi="Arial" w:cs="Arial"/>
          <w:color w:val="7B7B7B" w:themeColor="accent3" w:themeShade="BF"/>
          <w:sz w:val="22"/>
          <w:szCs w:val="22"/>
          <w:lang w:val="en-GB"/>
        </w:rPr>
        <w:t>that the intention of the transfer to defeat creditors was not the main purpose of the transfer</w:t>
      </w:r>
      <w:r w:rsidRPr="00993207">
        <w:rPr>
          <w:rFonts w:ascii="Arial" w:hAnsi="Arial" w:cs="Arial"/>
          <w:color w:val="7B7B7B" w:themeColor="accent3" w:themeShade="BF"/>
          <w:sz w:val="22"/>
          <w:szCs w:val="22"/>
          <w:lang w:val="en-GB"/>
        </w:rPr>
        <w:t>; and</w:t>
      </w:r>
    </w:p>
    <w:bookmarkEnd w:id="0"/>
    <w:p w14:paraId="669F07AD" w14:textId="08B41FF3" w:rsidR="00993207" w:rsidRPr="00993207" w:rsidRDefault="00993207" w:rsidP="00993207">
      <w:pPr>
        <w:pStyle w:val="ListParagraph"/>
        <w:numPr>
          <w:ilvl w:val="0"/>
          <w:numId w:val="32"/>
        </w:numPr>
        <w:ind w:left="1710"/>
        <w:jc w:val="both"/>
        <w:rPr>
          <w:rFonts w:ascii="Arial" w:hAnsi="Arial" w:cs="Arial"/>
          <w:color w:val="7B7B7B" w:themeColor="accent3" w:themeShade="BF"/>
          <w:sz w:val="22"/>
          <w:szCs w:val="22"/>
          <w:lang w:val="en-GB"/>
        </w:rPr>
      </w:pPr>
      <w:r w:rsidRPr="00993207">
        <w:rPr>
          <w:rFonts w:ascii="Arial" w:hAnsi="Arial" w:cs="Arial"/>
          <w:color w:val="7B7B7B" w:themeColor="accent3" w:themeShade="BF"/>
          <w:sz w:val="22"/>
          <w:szCs w:val="22"/>
          <w:lang w:val="en-GB"/>
        </w:rPr>
        <w:t>the transferee could not reasonably have inferred that, at the time of the transfer, the transferor was, or was about to become, insolvent.</w:t>
      </w:r>
    </w:p>
    <w:p w14:paraId="39D64998" w14:textId="77777777" w:rsidR="00993207" w:rsidRPr="00993207" w:rsidRDefault="00993207" w:rsidP="00993207">
      <w:pPr>
        <w:jc w:val="both"/>
        <w:rPr>
          <w:rFonts w:ascii="Arial" w:hAnsi="Arial" w:cs="Arial"/>
          <w:color w:val="7B7B7B" w:themeColor="accent3" w:themeShade="BF"/>
          <w:sz w:val="22"/>
          <w:szCs w:val="22"/>
          <w:lang w:val="en-GB"/>
        </w:rPr>
      </w:pPr>
    </w:p>
    <w:p w14:paraId="65F0C1DB" w14:textId="05DD1152" w:rsidR="000E3A1D" w:rsidRDefault="000E3A1D" w:rsidP="00993207">
      <w:pPr>
        <w:pStyle w:val="ListParagraph"/>
        <w:numPr>
          <w:ilvl w:val="0"/>
          <w:numId w:val="28"/>
        </w:numPr>
        <w:jc w:val="both"/>
        <w:rPr>
          <w:rFonts w:ascii="Arial" w:hAnsi="Arial" w:cs="Arial"/>
          <w:color w:val="7B7B7B" w:themeColor="accent3" w:themeShade="BF"/>
          <w:sz w:val="22"/>
          <w:szCs w:val="22"/>
          <w:lang w:val="en-GB"/>
        </w:rPr>
      </w:pPr>
      <w:r w:rsidRPr="000E3A1D">
        <w:rPr>
          <w:rFonts w:ascii="Arial" w:hAnsi="Arial" w:cs="Arial"/>
          <w:b/>
          <w:bCs/>
          <w:color w:val="7B7B7B" w:themeColor="accent3" w:themeShade="BF"/>
          <w:sz w:val="22"/>
          <w:szCs w:val="22"/>
          <w:lang w:val="en-GB"/>
        </w:rPr>
        <w:t>Transactions giving preference to one creditor over other creditors</w:t>
      </w:r>
      <w:r w:rsidRPr="000E3A1D">
        <w:rPr>
          <w:rFonts w:ascii="Arial" w:hAnsi="Arial" w:cs="Arial"/>
          <w:color w:val="7B7B7B" w:themeColor="accent3" w:themeShade="BF"/>
          <w:sz w:val="22"/>
          <w:szCs w:val="22"/>
          <w:lang w:val="en-GB"/>
        </w:rPr>
        <w:t> – </w:t>
      </w:r>
      <w:hyperlink r:id="rId16" w:tgtFrame="_blank" w:history="1">
        <w:r w:rsidRPr="000E3A1D">
          <w:rPr>
            <w:rFonts w:ascii="Arial" w:hAnsi="Arial" w:cs="Arial"/>
            <w:color w:val="7B7B7B" w:themeColor="accent3" w:themeShade="BF"/>
            <w:sz w:val="22"/>
            <w:szCs w:val="22"/>
            <w:lang w:val="en-GB"/>
          </w:rPr>
          <w:t>section 122 of the </w:t>
        </w:r>
        <w:r w:rsidRPr="000E3A1D">
          <w:rPr>
            <w:rFonts w:ascii="Arial" w:hAnsi="Arial" w:cs="Arial"/>
            <w:i/>
            <w:iCs/>
            <w:color w:val="7B7B7B" w:themeColor="accent3" w:themeShade="BF"/>
            <w:sz w:val="22"/>
            <w:szCs w:val="22"/>
            <w:lang w:val="en-GB"/>
          </w:rPr>
          <w:t>Bankruptcy Act</w:t>
        </w:r>
      </w:hyperlink>
    </w:p>
    <w:p w14:paraId="0CEE2CE4" w14:textId="6A96AE4A" w:rsidR="00993207" w:rsidRDefault="00993207" w:rsidP="00993207">
      <w:pPr>
        <w:jc w:val="both"/>
        <w:rPr>
          <w:rFonts w:ascii="Arial" w:hAnsi="Arial" w:cs="Arial"/>
          <w:color w:val="7B7B7B" w:themeColor="accent3" w:themeShade="BF"/>
          <w:sz w:val="22"/>
          <w:szCs w:val="22"/>
          <w:lang w:val="en-GB"/>
        </w:rPr>
      </w:pPr>
    </w:p>
    <w:p w14:paraId="31A9454B" w14:textId="45D4241D" w:rsidR="00993207" w:rsidRDefault="00993207" w:rsidP="00993207">
      <w:pPr>
        <w:jc w:val="both"/>
        <w:rPr>
          <w:rFonts w:ascii="Arial" w:hAnsi="Arial" w:cs="Arial"/>
          <w:color w:val="7B7B7B" w:themeColor="accent3" w:themeShade="BF"/>
          <w:sz w:val="22"/>
          <w:szCs w:val="22"/>
          <w:lang w:val="en-GB"/>
        </w:rPr>
      </w:pPr>
    </w:p>
    <w:p w14:paraId="363CC2DF" w14:textId="265E29A7" w:rsidR="00020557" w:rsidRDefault="00993207" w:rsidP="0096601D">
      <w:pPr>
        <w:pStyle w:val="ListParagraph"/>
        <w:ind w:left="1350"/>
        <w:jc w:val="both"/>
        <w:rPr>
          <w:rFonts w:ascii="Arial" w:hAnsi="Arial" w:cs="Arial"/>
          <w:sz w:val="22"/>
          <w:szCs w:val="22"/>
        </w:rPr>
      </w:pPr>
      <w:r w:rsidRPr="00993207">
        <w:rPr>
          <w:rFonts w:ascii="Arial" w:hAnsi="Arial" w:cs="Arial"/>
          <w:color w:val="7B7B7B" w:themeColor="accent3" w:themeShade="BF"/>
          <w:sz w:val="22"/>
          <w:szCs w:val="22"/>
          <w:lang w:val="en-GB"/>
        </w:rPr>
        <w:t xml:space="preserve">Such a transaction however will not be reversible </w:t>
      </w:r>
      <w:r w:rsidR="0096601D">
        <w:rPr>
          <w:rFonts w:ascii="Arial" w:hAnsi="Arial" w:cs="Arial"/>
          <w:color w:val="7B7B7B" w:themeColor="accent3" w:themeShade="BF"/>
          <w:sz w:val="22"/>
          <w:szCs w:val="22"/>
          <w:lang w:val="en-GB"/>
        </w:rPr>
        <w:t xml:space="preserve">if evidence is provided to prove that </w:t>
      </w:r>
      <w:r w:rsidR="0096601D" w:rsidRPr="0096601D">
        <w:rPr>
          <w:rFonts w:ascii="Arial" w:hAnsi="Arial" w:cs="Arial"/>
          <w:color w:val="7B7B7B" w:themeColor="accent3" w:themeShade="BF"/>
          <w:sz w:val="22"/>
          <w:szCs w:val="22"/>
          <w:lang w:val="en-GB"/>
        </w:rPr>
        <w:t>the transaction pursuant to the claim does not affect the remaining creditors</w:t>
      </w:r>
      <w:r w:rsidR="0096601D">
        <w:rPr>
          <w:rFonts w:ascii="Arial" w:hAnsi="Arial" w:cs="Arial"/>
          <w:color w:val="7B7B7B" w:themeColor="accent3" w:themeShade="BF"/>
          <w:sz w:val="22"/>
          <w:szCs w:val="22"/>
          <w:lang w:val="en-GB"/>
        </w:rPr>
        <w:t xml:space="preserve"> or is not detrimental to other creditors in favour of one creditor.</w:t>
      </w: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16D719D1" w14:textId="3F2A3D28" w:rsidR="0096601D" w:rsidRDefault="0096601D"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scope of stay under Article 20 of the UNCITRAL Model Law on Cross Border Insolvency has been described as being the same as applicable if the stay or suspension was initiate under the Bankruptcy Act 1966 or Chapter V of the Corporations Act 2001 (</w:t>
      </w:r>
      <w:proofErr w:type="spellStart"/>
      <w:r>
        <w:rPr>
          <w:rFonts w:ascii="Arial" w:hAnsi="Arial" w:cs="Arial"/>
          <w:color w:val="7B7B7B" w:themeColor="accent3" w:themeShade="BF"/>
          <w:sz w:val="22"/>
          <w:szCs w:val="22"/>
        </w:rPr>
        <w:t>Cth</w:t>
      </w:r>
      <w:proofErr w:type="spellEnd"/>
      <w:r>
        <w:rPr>
          <w:rFonts w:ascii="Arial" w:hAnsi="Arial" w:cs="Arial"/>
          <w:color w:val="7B7B7B" w:themeColor="accent3" w:themeShade="BF"/>
          <w:sz w:val="22"/>
          <w:szCs w:val="22"/>
        </w:rPr>
        <w:t>), as the case requires.</w:t>
      </w:r>
    </w:p>
    <w:p w14:paraId="527909C3" w14:textId="77777777" w:rsidR="007B2C7C" w:rsidRDefault="007B2C7C" w:rsidP="002A37BB">
      <w:pPr>
        <w:ind w:left="720" w:hanging="720"/>
        <w:jc w:val="both"/>
        <w:rPr>
          <w:rFonts w:ascii="Arial" w:hAnsi="Arial" w:cs="Arial"/>
          <w:color w:val="7B7B7B" w:themeColor="accent3" w:themeShade="BF"/>
          <w:sz w:val="22"/>
          <w:szCs w:val="22"/>
        </w:rPr>
      </w:pPr>
    </w:p>
    <w:p w14:paraId="0CD85014" w14:textId="7747A104" w:rsidR="0096601D" w:rsidRDefault="007B2C7C"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Therefore, while determining the scope of stay while considering an application requesting recognition of a foreign insolvency proceeding, the Australian court has to make a </w:t>
      </w:r>
      <w:r w:rsidR="009A7FA1">
        <w:rPr>
          <w:rFonts w:ascii="Arial" w:hAnsi="Arial" w:cs="Arial"/>
          <w:color w:val="7B7B7B" w:themeColor="accent3" w:themeShade="BF"/>
          <w:sz w:val="22"/>
          <w:szCs w:val="22"/>
        </w:rPr>
        <w:t>determination</w:t>
      </w:r>
      <w:r>
        <w:rPr>
          <w:rFonts w:ascii="Arial" w:hAnsi="Arial" w:cs="Arial"/>
          <w:color w:val="7B7B7B" w:themeColor="accent3" w:themeShade="BF"/>
          <w:sz w:val="22"/>
          <w:szCs w:val="22"/>
        </w:rPr>
        <w:t xml:space="preserve"> as to whether the case requires the broader voluntary administration stay which affects secured creditors or the standard liquidation stay that only concerns and affects the unsecured creditors. This determination is made basis the nature of proceedings (such as if the proceeding is a business recue procedure in which case the moratorium of former nature will be more appropriate, or if it is analogous to a liquidation proceeding, in which case the latter shall be more appropriate </w:t>
      </w:r>
      <w:proofErr w:type="spellStart"/>
      <w:r>
        <w:rPr>
          <w:rFonts w:ascii="Arial" w:hAnsi="Arial" w:cs="Arial"/>
          <w:color w:val="7B7B7B" w:themeColor="accent3" w:themeShade="BF"/>
          <w:sz w:val="22"/>
          <w:szCs w:val="22"/>
        </w:rPr>
        <w:t>etc</w:t>
      </w:r>
      <w:proofErr w:type="spellEnd"/>
      <w:r>
        <w:rPr>
          <w:rFonts w:ascii="Arial" w:hAnsi="Arial" w:cs="Arial"/>
          <w:color w:val="7B7B7B" w:themeColor="accent3" w:themeShade="BF"/>
          <w:sz w:val="22"/>
          <w:szCs w:val="22"/>
        </w:rPr>
        <w:t xml:space="preserve">) and is therefore not a matter of discretion. </w:t>
      </w:r>
    </w:p>
    <w:p w14:paraId="62781258" w14:textId="77777777" w:rsidR="007B2C7C" w:rsidRDefault="007B2C7C" w:rsidP="002A37BB">
      <w:pPr>
        <w:ind w:left="720" w:hanging="720"/>
        <w:jc w:val="both"/>
        <w:rPr>
          <w:rFonts w:ascii="Arial" w:hAnsi="Arial" w:cs="Arial"/>
          <w:color w:val="7B7B7B" w:themeColor="accent3" w:themeShade="BF"/>
          <w:sz w:val="22"/>
          <w:szCs w:val="22"/>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23C7C31C" w14:textId="77777777" w:rsidR="006902D3" w:rsidRDefault="006902D3" w:rsidP="006902D3">
      <w:pPr>
        <w:ind w:left="720" w:hanging="720"/>
        <w:jc w:val="both"/>
        <w:rPr>
          <w:rFonts w:ascii="Arial" w:hAnsi="Arial" w:cs="Arial"/>
          <w:color w:val="7B7B7B" w:themeColor="accent3" w:themeShade="BF"/>
          <w:sz w:val="22"/>
          <w:szCs w:val="22"/>
          <w:lang w:val="en-GB"/>
        </w:rPr>
      </w:pPr>
    </w:p>
    <w:p w14:paraId="7C60BC1E" w14:textId="691D48AE" w:rsidR="00C550C8" w:rsidRDefault="006902D3" w:rsidP="006902D3">
      <w:pPr>
        <w:ind w:left="720" w:hanging="720"/>
        <w:jc w:val="both"/>
        <w:rPr>
          <w:rFonts w:ascii="Arial" w:hAnsi="Arial" w:cs="Arial"/>
          <w:color w:val="7B7B7B" w:themeColor="accent3" w:themeShade="BF"/>
          <w:sz w:val="22"/>
          <w:szCs w:val="22"/>
          <w:lang w:val="en-GB"/>
        </w:rPr>
      </w:pPr>
      <w:r w:rsidRPr="006902D3">
        <w:rPr>
          <w:rFonts w:ascii="Arial" w:hAnsi="Arial" w:cs="Arial"/>
          <w:color w:val="7B7B7B" w:themeColor="accent3" w:themeShade="BF"/>
          <w:sz w:val="22"/>
          <w:szCs w:val="22"/>
          <w:lang w:val="en-GB"/>
        </w:rPr>
        <w:t>An ipso facto clause is a contractual provision that allows one party to a contract to terminate or modify the operation of the contract upon the occurrence of a specified insolvency related event (such as the appointment of an administrator, receiver or liquidator</w:t>
      </w:r>
      <w:r>
        <w:rPr>
          <w:rFonts w:ascii="Arial" w:hAnsi="Arial" w:cs="Arial"/>
          <w:color w:val="7B7B7B" w:themeColor="accent3" w:themeShade="BF"/>
          <w:sz w:val="22"/>
          <w:szCs w:val="22"/>
          <w:lang w:val="en-GB"/>
        </w:rPr>
        <w:t xml:space="preserve">, </w:t>
      </w:r>
      <w:r w:rsidRPr="006902D3">
        <w:rPr>
          <w:rFonts w:ascii="Arial" w:hAnsi="Arial" w:cs="Arial"/>
          <w:color w:val="7B7B7B" w:themeColor="accent3" w:themeShade="BF"/>
          <w:sz w:val="22"/>
          <w:szCs w:val="22"/>
          <w:lang w:val="en-GB"/>
        </w:rPr>
        <w:t>compromise or </w:t>
      </w:r>
      <w:hyperlink r:id="rId17" w:anchor="arrangement" w:history="1">
        <w:r w:rsidRPr="006902D3">
          <w:rPr>
            <w:rFonts w:ascii="Arial" w:hAnsi="Arial" w:cs="Arial"/>
            <w:color w:val="7B7B7B" w:themeColor="accent3" w:themeShade="BF"/>
            <w:sz w:val="22"/>
            <w:szCs w:val="22"/>
            <w:lang w:val="en-GB"/>
          </w:rPr>
          <w:t>arrangement</w:t>
        </w:r>
      </w:hyperlink>
      <w:r w:rsidR="008924B1">
        <w:rPr>
          <w:rFonts w:ascii="Arial" w:hAnsi="Arial" w:cs="Arial"/>
          <w:color w:val="7B7B7B" w:themeColor="accent3" w:themeShade="BF"/>
          <w:sz w:val="22"/>
          <w:szCs w:val="22"/>
          <w:lang w:val="en-GB"/>
        </w:rPr>
        <w:t xml:space="preserve">, </w:t>
      </w:r>
      <w:r w:rsidR="008924B1" w:rsidRPr="008924B1">
        <w:rPr>
          <w:rFonts w:ascii="Arial" w:hAnsi="Arial" w:cs="Arial"/>
          <w:color w:val="7B7B7B" w:themeColor="accent3" w:themeShade="BF"/>
          <w:sz w:val="22"/>
          <w:szCs w:val="22"/>
          <w:lang w:val="en-GB"/>
        </w:rPr>
        <w:t>a creditors’ scheme of arrangement (including certain steps leading up to the schem</w:t>
      </w:r>
      <w:r w:rsidR="008924B1">
        <w:rPr>
          <w:rFonts w:ascii="Arial" w:hAnsi="Arial" w:cs="Arial"/>
          <w:color w:val="7B7B7B" w:themeColor="accent3" w:themeShade="BF"/>
          <w:sz w:val="22"/>
          <w:szCs w:val="22"/>
          <w:lang w:val="en-GB"/>
        </w:rPr>
        <w:t xml:space="preserve">e, voluntary administration, receivership but only where </w:t>
      </w:r>
      <w:r w:rsidR="008924B1" w:rsidRPr="008924B1">
        <w:rPr>
          <w:rFonts w:ascii="Arial" w:hAnsi="Arial" w:cs="Arial"/>
          <w:color w:val="7B7B7B" w:themeColor="accent3" w:themeShade="BF"/>
          <w:sz w:val="22"/>
          <w:szCs w:val="22"/>
          <w:lang w:val="en-GB"/>
        </w:rPr>
        <w:t>e receiver is appointed over the whole or substantially the whole of the property of the company</w:t>
      </w:r>
      <w:r w:rsidR="008924B1" w:rsidRPr="008924B1">
        <w:rPr>
          <w:rFonts w:ascii="Arial" w:hAnsi="Arial" w:cs="Arial"/>
          <w:color w:val="7B7B7B" w:themeColor="accent3" w:themeShade="BF"/>
          <w:sz w:val="22"/>
          <w:szCs w:val="22"/>
          <w:lang w:val="en-GB"/>
        </w:rPr>
        <w:t>, or a restructuring</w:t>
      </w:r>
      <w:r w:rsidRPr="006902D3">
        <w:rPr>
          <w:rFonts w:ascii="Arial" w:hAnsi="Arial" w:cs="Arial"/>
          <w:color w:val="7B7B7B" w:themeColor="accent3" w:themeShade="BF"/>
          <w:sz w:val="22"/>
          <w:szCs w:val="22"/>
          <w:lang w:val="en-GB"/>
        </w:rPr>
        <w:t xml:space="preserve">) </w:t>
      </w:r>
      <w:r w:rsidR="00FF7DB4">
        <w:rPr>
          <w:rFonts w:ascii="Arial" w:hAnsi="Arial" w:cs="Arial"/>
          <w:color w:val="7B7B7B" w:themeColor="accent3" w:themeShade="BF"/>
          <w:sz w:val="22"/>
          <w:szCs w:val="22"/>
          <w:lang w:val="en-GB"/>
        </w:rPr>
        <w:t xml:space="preserve">as set out under Sections </w:t>
      </w:r>
      <w:r w:rsidR="00FF7DB4" w:rsidRPr="00FF7DB4">
        <w:rPr>
          <w:rFonts w:ascii="Arial" w:hAnsi="Arial" w:cs="Arial"/>
          <w:color w:val="7B7B7B" w:themeColor="accent3" w:themeShade="BF"/>
          <w:sz w:val="22"/>
          <w:szCs w:val="22"/>
          <w:lang w:val="en-GB"/>
        </w:rPr>
        <w:t>415D, 434J, 451E, and 454N of the Corporations Act</w:t>
      </w:r>
      <w:r w:rsidR="00FF7DB4">
        <w:rPr>
          <w:rFonts w:ascii="Arial" w:hAnsi="Arial" w:cs="Arial"/>
          <w:color w:val="7B7B7B" w:themeColor="accent3" w:themeShade="BF"/>
          <w:sz w:val="22"/>
          <w:szCs w:val="22"/>
          <w:lang w:val="en-GB"/>
        </w:rPr>
        <w:t xml:space="preserve"> </w:t>
      </w:r>
      <w:r w:rsidRPr="006902D3">
        <w:rPr>
          <w:rFonts w:ascii="Arial" w:hAnsi="Arial" w:cs="Arial"/>
          <w:color w:val="7B7B7B" w:themeColor="accent3" w:themeShade="BF"/>
          <w:sz w:val="22"/>
          <w:szCs w:val="22"/>
          <w:lang w:val="en-GB"/>
        </w:rPr>
        <w:t>in respect of another party</w:t>
      </w:r>
      <w:r>
        <w:rPr>
          <w:rFonts w:ascii="Arial" w:hAnsi="Arial" w:cs="Arial"/>
          <w:color w:val="7B7B7B" w:themeColor="accent3" w:themeShade="BF"/>
          <w:sz w:val="22"/>
          <w:szCs w:val="22"/>
          <w:lang w:val="en-GB"/>
        </w:rPr>
        <w:t>. After the introduction of clauses relating to restructuring of small businesses as specified under Part 5.3 B of the Corporations Act wit</w:t>
      </w:r>
      <w:r w:rsidR="00FF7DB4">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 xml:space="preserve"> effect from January 01, 2021, the </w:t>
      </w:r>
      <w:r w:rsidRPr="006902D3">
        <w:rPr>
          <w:rFonts w:ascii="Arial" w:hAnsi="Arial" w:cs="Arial"/>
          <w:color w:val="7B7B7B" w:themeColor="accent3" w:themeShade="BF"/>
          <w:sz w:val="22"/>
          <w:szCs w:val="22"/>
          <w:lang w:val="en-GB"/>
        </w:rPr>
        <w:t>moratorium on reliance on “ipso facto” contractual clauses triggered by the counterparty becoming subject to certain specified formal corporate insolvency events</w:t>
      </w:r>
      <w:r>
        <w:rPr>
          <w:rFonts w:ascii="Arial" w:hAnsi="Arial" w:cs="Arial"/>
          <w:color w:val="7B7B7B" w:themeColor="accent3" w:themeShade="BF"/>
          <w:sz w:val="22"/>
          <w:szCs w:val="22"/>
          <w:lang w:val="en-GB"/>
        </w:rPr>
        <w:t xml:space="preserve"> has been extended to capture the new restructuring regime as well.</w:t>
      </w:r>
      <w:r w:rsidR="008924B1">
        <w:rPr>
          <w:rFonts w:ascii="Arial" w:hAnsi="Arial" w:cs="Arial"/>
          <w:color w:val="7B7B7B" w:themeColor="accent3" w:themeShade="BF"/>
          <w:sz w:val="22"/>
          <w:szCs w:val="22"/>
          <w:lang w:val="en-GB"/>
        </w:rPr>
        <w:t xml:space="preserve"> Such a stay is, however aloes accompanie</w:t>
      </w:r>
      <w:r w:rsidR="00FF7DB4">
        <w:rPr>
          <w:rFonts w:ascii="Arial" w:hAnsi="Arial" w:cs="Arial"/>
          <w:color w:val="7B7B7B" w:themeColor="accent3" w:themeShade="BF"/>
          <w:sz w:val="22"/>
          <w:szCs w:val="22"/>
          <w:lang w:val="en-GB"/>
        </w:rPr>
        <w:t>d</w:t>
      </w:r>
      <w:r w:rsidR="008924B1">
        <w:rPr>
          <w:rFonts w:ascii="Arial" w:hAnsi="Arial" w:cs="Arial"/>
          <w:color w:val="7B7B7B" w:themeColor="accent3" w:themeShade="BF"/>
          <w:sz w:val="22"/>
          <w:szCs w:val="22"/>
          <w:lang w:val="en-GB"/>
        </w:rPr>
        <w:t xml:space="preserve"> by a stay </w:t>
      </w:r>
      <w:r w:rsidR="00FF7DB4">
        <w:rPr>
          <w:rFonts w:ascii="Arial" w:hAnsi="Arial" w:cs="Arial"/>
          <w:color w:val="7B7B7B" w:themeColor="accent3" w:themeShade="BF"/>
          <w:sz w:val="22"/>
          <w:szCs w:val="22"/>
          <w:lang w:val="en-GB"/>
        </w:rPr>
        <w:t>on the ability of the party subject to the insolvency regime to enforce contractual rights against the counterparty to advance new money or credit under the contract.</w:t>
      </w:r>
    </w:p>
    <w:p w14:paraId="237A37BE" w14:textId="54BDDABC" w:rsidR="00FF7DB4" w:rsidRDefault="00FF7DB4" w:rsidP="006902D3">
      <w:pPr>
        <w:ind w:left="720" w:hanging="720"/>
        <w:jc w:val="both"/>
        <w:rPr>
          <w:rFonts w:ascii="Arial" w:hAnsi="Arial" w:cs="Arial"/>
          <w:color w:val="7B7B7B" w:themeColor="accent3" w:themeShade="BF"/>
          <w:sz w:val="22"/>
          <w:szCs w:val="22"/>
          <w:lang w:val="en-GB"/>
        </w:rPr>
      </w:pPr>
    </w:p>
    <w:p w14:paraId="10E2A3F0" w14:textId="1870B26D" w:rsidR="006902D3" w:rsidRDefault="00FF7DB4" w:rsidP="006902D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respect to liquidation, the automatic stay on enforcement of </w:t>
      </w:r>
      <w:r w:rsidRPr="00FF7DB4">
        <w:rPr>
          <w:rFonts w:ascii="Arial" w:hAnsi="Arial" w:cs="Arial"/>
          <w:i/>
          <w:iCs/>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is not available, </w:t>
      </w:r>
      <w:r w:rsidRPr="00FF7DB4">
        <w:rPr>
          <w:rFonts w:ascii="Arial" w:hAnsi="Arial" w:cs="Arial"/>
          <w:color w:val="7B7B7B" w:themeColor="accent3" w:themeShade="BF"/>
          <w:sz w:val="22"/>
          <w:szCs w:val="22"/>
          <w:lang w:val="en-GB"/>
        </w:rPr>
        <w:t>at least in circumstances where the liquidation does not immediately follow an administration, creditors’ scheme or restructuring</w:t>
      </w:r>
      <w:r>
        <w:rPr>
          <w:rFonts w:ascii="Arial" w:hAnsi="Arial" w:cs="Arial"/>
          <w:color w:val="7B7B7B" w:themeColor="accent3" w:themeShade="BF"/>
          <w:sz w:val="22"/>
          <w:szCs w:val="22"/>
          <w:lang w:val="en-GB"/>
        </w:rPr>
        <w:t xml:space="preserve">), so a supplier generally reserves its rights to terminate its contract with the company as soon as the company enters liquidation. In the latter circumstances, the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moratorium introduced as part of the recent amendments to the Corporations Act is available for invocation. However, despite this right to </w:t>
      </w:r>
      <w:r w:rsidR="009A7FA1">
        <w:rPr>
          <w:rFonts w:ascii="Arial" w:hAnsi="Arial" w:cs="Arial"/>
          <w:color w:val="7B7B7B" w:themeColor="accent3" w:themeShade="BF"/>
          <w:sz w:val="22"/>
          <w:szCs w:val="22"/>
          <w:lang w:val="en-GB"/>
        </w:rPr>
        <w:t>invoke</w:t>
      </w:r>
      <w:r>
        <w:rPr>
          <w:rFonts w:ascii="Arial" w:hAnsi="Arial" w:cs="Arial"/>
          <w:color w:val="7B7B7B" w:themeColor="accent3" w:themeShade="BF"/>
          <w:sz w:val="22"/>
          <w:szCs w:val="22"/>
          <w:lang w:val="en-GB"/>
        </w:rPr>
        <w:t xml:space="preserve"> the i</w:t>
      </w:r>
      <w:r w:rsidR="009A7FA1">
        <w:rPr>
          <w:rFonts w:ascii="Arial" w:hAnsi="Arial" w:cs="Arial"/>
          <w:color w:val="7B7B7B" w:themeColor="accent3" w:themeShade="BF"/>
          <w:sz w:val="22"/>
          <w:szCs w:val="22"/>
          <w:lang w:val="en-GB"/>
        </w:rPr>
        <w:t xml:space="preserve">pso </w:t>
      </w:r>
      <w:r>
        <w:rPr>
          <w:rFonts w:ascii="Arial" w:hAnsi="Arial" w:cs="Arial"/>
          <w:color w:val="7B7B7B" w:themeColor="accent3" w:themeShade="BF"/>
          <w:sz w:val="22"/>
          <w:szCs w:val="22"/>
          <w:lang w:val="en-GB"/>
        </w:rPr>
        <w:t xml:space="preserve">facto </w:t>
      </w:r>
      <w:r w:rsidR="009A7FA1">
        <w:rPr>
          <w:rFonts w:ascii="Arial" w:hAnsi="Arial" w:cs="Arial"/>
          <w:color w:val="7B7B7B" w:themeColor="accent3" w:themeShade="BF"/>
          <w:sz w:val="22"/>
          <w:szCs w:val="22"/>
          <w:lang w:val="en-GB"/>
        </w:rPr>
        <w:t xml:space="preserve">clause, the clause itself shall not be void as in cases of bankruptcy. </w:t>
      </w:r>
    </w:p>
    <w:p w14:paraId="68197441" w14:textId="77777777" w:rsidR="006902D3" w:rsidRPr="006902D3" w:rsidRDefault="006902D3" w:rsidP="006902D3">
      <w:pPr>
        <w:ind w:left="720" w:hanging="720"/>
        <w:jc w:val="both"/>
        <w:rPr>
          <w:rFonts w:ascii="Arial" w:hAnsi="Arial" w:cs="Arial"/>
          <w:color w:val="7B7B7B" w:themeColor="accent3" w:themeShade="BF"/>
          <w:sz w:val="22"/>
          <w:szCs w:val="22"/>
          <w:lang w:val="en-GB"/>
        </w:rPr>
      </w:pPr>
    </w:p>
    <w:p w14:paraId="0298B838" w14:textId="77777777" w:rsidR="00FA18CF" w:rsidRPr="006902D3" w:rsidRDefault="00FA18CF" w:rsidP="006902D3">
      <w:pPr>
        <w:ind w:left="720" w:hanging="720"/>
        <w:jc w:val="both"/>
        <w:rPr>
          <w:rFonts w:ascii="Arial" w:hAnsi="Arial" w:cs="Arial"/>
          <w:color w:val="7B7B7B" w:themeColor="accent3" w:themeShade="BF"/>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2B9A62A3" w14:textId="77777777" w:rsidR="00530B3F" w:rsidRDefault="009A7F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creditor’s scheme of arrangement is generally said to be a </w:t>
      </w:r>
      <w:r w:rsidR="002B4288">
        <w:rPr>
          <w:rFonts w:ascii="Arial" w:hAnsi="Arial" w:cs="Arial"/>
          <w:color w:val="7B7B7B" w:themeColor="accent3" w:themeShade="BF"/>
          <w:sz w:val="22"/>
          <w:szCs w:val="22"/>
          <w:lang w:val="en-GB"/>
        </w:rPr>
        <w:t>costlier</w:t>
      </w:r>
      <w:r>
        <w:rPr>
          <w:rFonts w:ascii="Arial" w:hAnsi="Arial" w:cs="Arial"/>
          <w:color w:val="7B7B7B" w:themeColor="accent3" w:themeShade="BF"/>
          <w:sz w:val="22"/>
          <w:szCs w:val="22"/>
          <w:lang w:val="en-GB"/>
        </w:rPr>
        <w:t xml:space="preserve">, time consuming and complicated process in comparison to other forms of corporate rescue mechanisms contemplated under the Corporations Act. This is on account of the elaborate procedure </w:t>
      </w:r>
      <w:r w:rsidR="00530B3F">
        <w:rPr>
          <w:rFonts w:ascii="Arial" w:hAnsi="Arial" w:cs="Arial"/>
          <w:color w:val="7B7B7B" w:themeColor="accent3" w:themeShade="BF"/>
          <w:sz w:val="22"/>
          <w:szCs w:val="22"/>
          <w:lang w:val="en-GB"/>
        </w:rPr>
        <w:t xml:space="preserve">for implementing a creditors’ scheme of arrangement (as set out under Part 5.1 of the Corporations Act) </w:t>
      </w:r>
      <w:r>
        <w:rPr>
          <w:rFonts w:ascii="Arial" w:hAnsi="Arial" w:cs="Arial"/>
          <w:color w:val="7B7B7B" w:themeColor="accent3" w:themeShade="BF"/>
          <w:sz w:val="22"/>
          <w:szCs w:val="22"/>
          <w:lang w:val="en-GB"/>
        </w:rPr>
        <w:t>and consequen</w:t>
      </w:r>
      <w:r w:rsidR="002B4288">
        <w:rPr>
          <w:rFonts w:ascii="Arial" w:hAnsi="Arial" w:cs="Arial"/>
          <w:color w:val="7B7B7B" w:themeColor="accent3" w:themeShade="BF"/>
          <w:sz w:val="22"/>
          <w:szCs w:val="22"/>
          <w:lang w:val="en-GB"/>
        </w:rPr>
        <w:t>t cost i</w:t>
      </w:r>
      <w:r>
        <w:rPr>
          <w:rFonts w:ascii="Arial" w:hAnsi="Arial" w:cs="Arial"/>
          <w:color w:val="7B7B7B" w:themeColor="accent3" w:themeShade="BF"/>
          <w:sz w:val="22"/>
          <w:szCs w:val="22"/>
          <w:lang w:val="en-GB"/>
        </w:rPr>
        <w:t xml:space="preserve">ncidences associated with each of them </w:t>
      </w:r>
      <w:r w:rsidR="002B4288">
        <w:rPr>
          <w:rFonts w:ascii="Arial" w:hAnsi="Arial" w:cs="Arial"/>
          <w:color w:val="7B7B7B" w:themeColor="accent3" w:themeShade="BF"/>
          <w:sz w:val="22"/>
          <w:szCs w:val="22"/>
          <w:lang w:val="en-GB"/>
        </w:rPr>
        <w:t xml:space="preserve">which renders </w:t>
      </w:r>
      <w:r>
        <w:rPr>
          <w:rFonts w:ascii="Arial" w:hAnsi="Arial" w:cs="Arial"/>
          <w:color w:val="7B7B7B" w:themeColor="accent3" w:themeShade="BF"/>
          <w:sz w:val="22"/>
          <w:szCs w:val="22"/>
          <w:lang w:val="en-GB"/>
        </w:rPr>
        <w:t xml:space="preserve">the process </w:t>
      </w:r>
      <w:r w:rsidR="002B4288">
        <w:rPr>
          <w:rFonts w:ascii="Arial" w:hAnsi="Arial" w:cs="Arial"/>
          <w:color w:val="7B7B7B" w:themeColor="accent3" w:themeShade="BF"/>
          <w:sz w:val="22"/>
          <w:szCs w:val="22"/>
          <w:lang w:val="en-GB"/>
        </w:rPr>
        <w:t>costly</w:t>
      </w:r>
      <w:r>
        <w:rPr>
          <w:rFonts w:ascii="Arial" w:hAnsi="Arial" w:cs="Arial"/>
          <w:color w:val="7B7B7B" w:themeColor="accent3" w:themeShade="BF"/>
          <w:sz w:val="22"/>
          <w:szCs w:val="22"/>
          <w:lang w:val="en-GB"/>
        </w:rPr>
        <w:t xml:space="preserve"> and a time</w:t>
      </w:r>
      <w:r w:rsidR="002B428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consuming affair.</w:t>
      </w:r>
      <w:r w:rsidR="002B4288">
        <w:rPr>
          <w:rFonts w:ascii="Arial" w:hAnsi="Arial" w:cs="Arial"/>
          <w:color w:val="7B7B7B" w:themeColor="accent3" w:themeShade="BF"/>
          <w:sz w:val="22"/>
          <w:szCs w:val="22"/>
          <w:lang w:val="en-GB"/>
        </w:rPr>
        <w:t xml:space="preserve"> </w:t>
      </w:r>
    </w:p>
    <w:p w14:paraId="50D7D43F" w14:textId="77777777" w:rsidR="00530B3F" w:rsidRDefault="00530B3F" w:rsidP="002A37BB">
      <w:pPr>
        <w:jc w:val="both"/>
        <w:rPr>
          <w:rFonts w:ascii="Arial" w:hAnsi="Arial" w:cs="Arial"/>
          <w:color w:val="7B7B7B" w:themeColor="accent3" w:themeShade="BF"/>
          <w:sz w:val="22"/>
          <w:szCs w:val="22"/>
          <w:lang w:val="en-GB"/>
        </w:rPr>
      </w:pPr>
    </w:p>
    <w:p w14:paraId="2740AC5D" w14:textId="5CC6C747" w:rsidR="009A7FA1" w:rsidRDefault="002B428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generally entails:</w:t>
      </w:r>
    </w:p>
    <w:p w14:paraId="00B20026" w14:textId="47BC6FB2" w:rsidR="002B4288" w:rsidRDefault="002B4288" w:rsidP="002A37BB">
      <w:pPr>
        <w:jc w:val="both"/>
        <w:rPr>
          <w:rFonts w:ascii="Arial" w:hAnsi="Arial" w:cs="Arial"/>
          <w:color w:val="7B7B7B" w:themeColor="accent3" w:themeShade="BF"/>
          <w:sz w:val="22"/>
          <w:szCs w:val="22"/>
          <w:lang w:val="en-GB"/>
        </w:rPr>
      </w:pPr>
    </w:p>
    <w:p w14:paraId="2315DADB" w14:textId="1961AE63" w:rsidR="002B4288" w:rsidRDefault="007D32C9" w:rsidP="002A37BB">
      <w:pPr>
        <w:jc w:val="both"/>
        <w:rPr>
          <w:rFonts w:ascii="Arial" w:hAnsi="Arial" w:cs="Arial"/>
          <w:color w:val="7B7B7B" w:themeColor="accent3" w:themeShade="BF"/>
          <w:sz w:val="22"/>
          <w:szCs w:val="22"/>
          <w:lang w:val="en-GB"/>
        </w:rPr>
      </w:pPr>
      <w:r>
        <w:rPr>
          <w:rFonts w:ascii="Arial" w:hAnsi="Arial" w:cs="Arial"/>
          <w:noProof/>
          <w:color w:val="7B7B7B" w:themeColor="accent3" w:themeShade="BF"/>
          <w:sz w:val="22"/>
          <w:szCs w:val="22"/>
          <w:lang w:val="en-GB"/>
        </w:rPr>
        <w:drawing>
          <wp:inline distT="0" distB="0" distL="0" distR="0" wp14:anchorId="536BBDF1" wp14:editId="7952DE7A">
            <wp:extent cx="5346700" cy="3556000"/>
            <wp:effectExtent l="38100" t="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27ACE68" w14:textId="4AB53DD8" w:rsidR="002B4288" w:rsidRDefault="002B4288" w:rsidP="002A37BB">
      <w:pPr>
        <w:jc w:val="both"/>
        <w:rPr>
          <w:rFonts w:ascii="Arial" w:hAnsi="Arial" w:cs="Arial"/>
          <w:color w:val="7B7B7B" w:themeColor="accent3" w:themeShade="BF"/>
          <w:sz w:val="22"/>
          <w:szCs w:val="22"/>
          <w:lang w:val="en-GB"/>
        </w:rPr>
      </w:pPr>
    </w:p>
    <w:p w14:paraId="01F89F96" w14:textId="3A0EFB4F" w:rsidR="002B4288" w:rsidRDefault="002B4288" w:rsidP="002A37BB">
      <w:pPr>
        <w:jc w:val="both"/>
        <w:rPr>
          <w:rFonts w:ascii="Arial" w:hAnsi="Arial" w:cs="Arial"/>
          <w:color w:val="7B7B7B" w:themeColor="accent3" w:themeShade="BF"/>
          <w:sz w:val="22"/>
          <w:szCs w:val="22"/>
          <w:lang w:val="en-GB"/>
        </w:rPr>
      </w:pPr>
    </w:p>
    <w:p w14:paraId="3DE0CB1F" w14:textId="322C8066" w:rsidR="00530B3F" w:rsidRDefault="007D32C9" w:rsidP="002B42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statutorily prescribes court approvals and applications, there may be further </w:t>
      </w:r>
      <w:r w:rsidR="00530B3F">
        <w:rPr>
          <w:rFonts w:ascii="Arial" w:hAnsi="Arial" w:cs="Arial"/>
          <w:color w:val="7B7B7B" w:themeColor="accent3" w:themeShade="BF"/>
          <w:sz w:val="22"/>
          <w:szCs w:val="22"/>
          <w:lang w:val="en-GB"/>
        </w:rPr>
        <w:t>instances</w:t>
      </w:r>
      <w:r>
        <w:rPr>
          <w:rFonts w:ascii="Arial" w:hAnsi="Arial" w:cs="Arial"/>
          <w:color w:val="7B7B7B" w:themeColor="accent3" w:themeShade="BF"/>
          <w:sz w:val="22"/>
          <w:szCs w:val="22"/>
          <w:lang w:val="en-GB"/>
        </w:rPr>
        <w:t xml:space="preserve"> when </w:t>
      </w:r>
      <w:r w:rsidR="00530B3F">
        <w:rPr>
          <w:rFonts w:ascii="Arial" w:hAnsi="Arial" w:cs="Arial"/>
          <w:color w:val="7B7B7B" w:themeColor="accent3" w:themeShade="BF"/>
          <w:sz w:val="22"/>
          <w:szCs w:val="22"/>
          <w:lang w:val="en-GB"/>
        </w:rPr>
        <w:t>material situations</w:t>
      </w:r>
      <w:r>
        <w:rPr>
          <w:rFonts w:ascii="Arial" w:hAnsi="Arial" w:cs="Arial"/>
          <w:color w:val="7B7B7B" w:themeColor="accent3" w:themeShade="BF"/>
          <w:sz w:val="22"/>
          <w:szCs w:val="22"/>
          <w:lang w:val="en-GB"/>
        </w:rPr>
        <w:t xml:space="preserve"> or circumstances may have to be brought to the notice and record of the court, </w:t>
      </w:r>
      <w:r w:rsidR="00530B3F">
        <w:rPr>
          <w:rFonts w:ascii="Arial" w:hAnsi="Arial" w:cs="Arial"/>
          <w:color w:val="7B7B7B" w:themeColor="accent3" w:themeShade="BF"/>
          <w:sz w:val="22"/>
          <w:szCs w:val="22"/>
          <w:lang w:val="en-GB"/>
        </w:rPr>
        <w:t>thereby</w:t>
      </w:r>
      <w:r>
        <w:rPr>
          <w:rFonts w:ascii="Arial" w:hAnsi="Arial" w:cs="Arial"/>
          <w:color w:val="7B7B7B" w:themeColor="accent3" w:themeShade="BF"/>
          <w:sz w:val="22"/>
          <w:szCs w:val="22"/>
          <w:lang w:val="en-GB"/>
        </w:rPr>
        <w:t xml:space="preserve"> further lengthening the process. </w:t>
      </w:r>
      <w:r w:rsidR="00530B3F">
        <w:rPr>
          <w:rFonts w:ascii="Arial" w:hAnsi="Arial" w:cs="Arial"/>
          <w:color w:val="7B7B7B" w:themeColor="accent3" w:themeShade="BF"/>
          <w:sz w:val="22"/>
          <w:szCs w:val="22"/>
          <w:lang w:val="en-GB"/>
        </w:rPr>
        <w:t>This is in contrast to a process of voluntary administration followed by a deed of company arrangement (“</w:t>
      </w:r>
      <w:r w:rsidR="00530B3F">
        <w:rPr>
          <w:rFonts w:ascii="Arial" w:hAnsi="Arial" w:cs="Arial"/>
          <w:b/>
          <w:bCs/>
          <w:color w:val="7B7B7B" w:themeColor="accent3" w:themeShade="BF"/>
          <w:sz w:val="22"/>
          <w:szCs w:val="22"/>
          <w:lang w:val="en-GB"/>
        </w:rPr>
        <w:t>DOCA</w:t>
      </w:r>
      <w:r w:rsidR="00530B3F">
        <w:rPr>
          <w:rFonts w:ascii="Arial" w:hAnsi="Arial" w:cs="Arial"/>
          <w:color w:val="7B7B7B" w:themeColor="accent3" w:themeShade="BF"/>
          <w:sz w:val="22"/>
          <w:szCs w:val="22"/>
          <w:lang w:val="en-GB"/>
        </w:rPr>
        <w:t xml:space="preserve">”), which process does not entail or require court involvement. The said process may </w:t>
      </w:r>
      <w:proofErr w:type="spellStart"/>
      <w:r w:rsidR="00530B3F">
        <w:rPr>
          <w:rFonts w:ascii="Arial" w:hAnsi="Arial" w:cs="Arial"/>
          <w:color w:val="7B7B7B" w:themeColor="accent3" w:themeShade="BF"/>
          <w:sz w:val="22"/>
          <w:szCs w:val="22"/>
          <w:lang w:val="en-GB"/>
        </w:rPr>
        <w:t>infact</w:t>
      </w:r>
      <w:proofErr w:type="spellEnd"/>
      <w:r w:rsidR="00530B3F">
        <w:rPr>
          <w:rFonts w:ascii="Arial" w:hAnsi="Arial" w:cs="Arial"/>
          <w:color w:val="7B7B7B" w:themeColor="accent3" w:themeShade="BF"/>
          <w:sz w:val="22"/>
          <w:szCs w:val="22"/>
          <w:lang w:val="en-GB"/>
        </w:rPr>
        <w:t xml:space="preserve"> not involve the court process at all if the voluntary administrator or deed administrator does not apply to the court in order to seek directions from the court at any stage of the process and no creditor approaches the court challenging the conduct of the voluntary administrator or the terms of the DOCA.  </w:t>
      </w:r>
    </w:p>
    <w:p w14:paraId="0ADAC628" w14:textId="77777777" w:rsidR="00530B3F" w:rsidRDefault="00530B3F" w:rsidP="002B4288">
      <w:pPr>
        <w:jc w:val="both"/>
        <w:rPr>
          <w:rFonts w:ascii="Arial" w:hAnsi="Arial" w:cs="Arial"/>
          <w:color w:val="7B7B7B" w:themeColor="accent3" w:themeShade="BF"/>
          <w:sz w:val="22"/>
          <w:szCs w:val="22"/>
          <w:lang w:val="en-GB"/>
        </w:rPr>
      </w:pPr>
    </w:p>
    <w:p w14:paraId="2D35A4AE" w14:textId="73DD4631" w:rsidR="002B4288" w:rsidRDefault="002B4288" w:rsidP="002B4288">
      <w:pPr>
        <w:jc w:val="both"/>
        <w:rPr>
          <w:rFonts w:ascii="Arial" w:hAnsi="Arial" w:cs="Arial"/>
          <w:color w:val="7B7B7B" w:themeColor="accent3" w:themeShade="BF"/>
          <w:sz w:val="22"/>
          <w:szCs w:val="22"/>
          <w:lang w:val="en-GB"/>
        </w:rPr>
      </w:pPr>
      <w:r w:rsidRPr="002B4288">
        <w:rPr>
          <w:rFonts w:ascii="Arial" w:hAnsi="Arial" w:cs="Arial"/>
          <w:color w:val="7B7B7B" w:themeColor="accent3" w:themeShade="BF"/>
          <w:sz w:val="22"/>
          <w:szCs w:val="22"/>
          <w:lang w:val="en-GB"/>
        </w:rPr>
        <w:t xml:space="preserve">However, a creditors' scheme of arrangement offers various advantages </w:t>
      </w:r>
      <w:r w:rsidR="007D32C9">
        <w:rPr>
          <w:rFonts w:ascii="Arial" w:hAnsi="Arial" w:cs="Arial"/>
          <w:color w:val="7B7B7B" w:themeColor="accent3" w:themeShade="BF"/>
          <w:sz w:val="22"/>
          <w:szCs w:val="22"/>
          <w:lang w:val="en-GB"/>
        </w:rPr>
        <w:t xml:space="preserve">over </w:t>
      </w:r>
      <w:r w:rsidRPr="002B4288">
        <w:rPr>
          <w:rFonts w:ascii="Arial" w:hAnsi="Arial" w:cs="Arial"/>
          <w:color w:val="7B7B7B" w:themeColor="accent3" w:themeShade="BF"/>
          <w:sz w:val="22"/>
          <w:szCs w:val="22"/>
          <w:lang w:val="en-GB"/>
        </w:rPr>
        <w:t>a DOCA, such as:</w:t>
      </w:r>
    </w:p>
    <w:p w14:paraId="4E04A77D" w14:textId="77777777" w:rsidR="002B4288" w:rsidRPr="002B4288" w:rsidRDefault="002B4288" w:rsidP="002B4288">
      <w:pPr>
        <w:jc w:val="both"/>
        <w:rPr>
          <w:rFonts w:ascii="Arial" w:hAnsi="Arial" w:cs="Arial"/>
          <w:color w:val="7B7B7B" w:themeColor="accent3" w:themeShade="BF"/>
          <w:sz w:val="22"/>
          <w:szCs w:val="22"/>
          <w:lang w:val="en-GB"/>
        </w:rPr>
      </w:pPr>
    </w:p>
    <w:p w14:paraId="7DFB7B94" w14:textId="77777777" w:rsidR="002B4288" w:rsidRPr="002B4288" w:rsidRDefault="002B4288" w:rsidP="009222EA">
      <w:pPr>
        <w:pStyle w:val="ListParagraph"/>
        <w:numPr>
          <w:ilvl w:val="0"/>
          <w:numId w:val="34"/>
        </w:numPr>
        <w:spacing w:line="276" w:lineRule="auto"/>
        <w:jc w:val="both"/>
        <w:rPr>
          <w:rFonts w:ascii="Arial" w:hAnsi="Arial" w:cs="Arial"/>
          <w:color w:val="7B7B7B" w:themeColor="accent3" w:themeShade="BF"/>
          <w:sz w:val="22"/>
          <w:szCs w:val="22"/>
          <w:lang w:val="en-GB"/>
        </w:rPr>
      </w:pPr>
      <w:r w:rsidRPr="002B4288">
        <w:rPr>
          <w:rFonts w:ascii="Arial" w:hAnsi="Arial" w:cs="Arial"/>
          <w:color w:val="7B7B7B" w:themeColor="accent3" w:themeShade="BF"/>
          <w:sz w:val="22"/>
          <w:szCs w:val="22"/>
          <w:lang w:val="en-GB"/>
        </w:rPr>
        <w:t>a scheme need only be voted on by those classes of creditors whose rights are affected by it, whereas a DOCA must be voted on and approved by all secured and unsecured creditors as one homogenous group;</w:t>
      </w:r>
    </w:p>
    <w:p w14:paraId="33C0CAD6" w14:textId="02BE29D5" w:rsidR="002B4288" w:rsidRPr="002B4288" w:rsidRDefault="002B4288" w:rsidP="009222EA">
      <w:pPr>
        <w:pStyle w:val="ListParagraph"/>
        <w:numPr>
          <w:ilvl w:val="0"/>
          <w:numId w:val="34"/>
        </w:numPr>
        <w:spacing w:before="240" w:line="276" w:lineRule="auto"/>
        <w:jc w:val="both"/>
        <w:rPr>
          <w:rFonts w:ascii="Arial" w:hAnsi="Arial" w:cs="Arial"/>
          <w:color w:val="7B7B7B" w:themeColor="accent3" w:themeShade="BF"/>
          <w:sz w:val="22"/>
          <w:szCs w:val="22"/>
          <w:lang w:val="en-GB"/>
        </w:rPr>
      </w:pPr>
      <w:r w:rsidRPr="002B4288">
        <w:rPr>
          <w:rFonts w:ascii="Arial" w:hAnsi="Arial" w:cs="Arial"/>
          <w:color w:val="7B7B7B" w:themeColor="accent3" w:themeShade="BF"/>
          <w:sz w:val="22"/>
          <w:szCs w:val="22"/>
          <w:lang w:val="en-GB"/>
        </w:rPr>
        <w:t>a successful scheme can bind dissenting secured creditors, but a DOCA generally only binds those secured creditors who vote in favo</w:t>
      </w:r>
      <w:r w:rsidR="0012472E">
        <w:rPr>
          <w:rFonts w:ascii="Arial" w:hAnsi="Arial" w:cs="Arial"/>
          <w:color w:val="7B7B7B" w:themeColor="accent3" w:themeShade="BF"/>
          <w:sz w:val="22"/>
          <w:szCs w:val="22"/>
          <w:lang w:val="en-GB"/>
        </w:rPr>
        <w:t>u</w:t>
      </w:r>
      <w:r w:rsidRPr="002B4288">
        <w:rPr>
          <w:rFonts w:ascii="Arial" w:hAnsi="Arial" w:cs="Arial"/>
          <w:color w:val="7B7B7B" w:themeColor="accent3" w:themeShade="BF"/>
          <w:sz w:val="22"/>
          <w:szCs w:val="22"/>
          <w:lang w:val="en-GB"/>
        </w:rPr>
        <w:t>r of it; and</w:t>
      </w:r>
    </w:p>
    <w:p w14:paraId="06324724" w14:textId="5457723F" w:rsidR="002B4288" w:rsidRDefault="002B4288" w:rsidP="009222EA">
      <w:pPr>
        <w:pStyle w:val="ListParagraph"/>
        <w:numPr>
          <w:ilvl w:val="0"/>
          <w:numId w:val="34"/>
        </w:numPr>
        <w:spacing w:before="240" w:line="276" w:lineRule="auto"/>
        <w:jc w:val="both"/>
        <w:rPr>
          <w:rFonts w:ascii="Arial" w:hAnsi="Arial" w:cs="Arial"/>
          <w:color w:val="7B7B7B" w:themeColor="accent3" w:themeShade="BF"/>
          <w:sz w:val="22"/>
          <w:szCs w:val="22"/>
          <w:lang w:val="en-GB"/>
        </w:rPr>
      </w:pPr>
      <w:r w:rsidRPr="002B4288">
        <w:rPr>
          <w:rFonts w:ascii="Arial" w:hAnsi="Arial" w:cs="Arial"/>
          <w:color w:val="7B7B7B" w:themeColor="accent3" w:themeShade="BF"/>
          <w:sz w:val="22"/>
          <w:szCs w:val="22"/>
          <w:lang w:val="en-GB"/>
        </w:rPr>
        <w:t>a DOCA is not generally able to include effective releases given by creditors in favo</w:t>
      </w:r>
      <w:r w:rsidR="0012472E">
        <w:rPr>
          <w:rFonts w:ascii="Arial" w:hAnsi="Arial" w:cs="Arial"/>
          <w:color w:val="7B7B7B" w:themeColor="accent3" w:themeShade="BF"/>
          <w:sz w:val="22"/>
          <w:szCs w:val="22"/>
          <w:lang w:val="en-GB"/>
        </w:rPr>
        <w:t>u</w:t>
      </w:r>
      <w:r w:rsidRPr="002B4288">
        <w:rPr>
          <w:rFonts w:ascii="Arial" w:hAnsi="Arial" w:cs="Arial"/>
          <w:color w:val="7B7B7B" w:themeColor="accent3" w:themeShade="BF"/>
          <w:sz w:val="22"/>
          <w:szCs w:val="22"/>
          <w:lang w:val="en-GB"/>
        </w:rPr>
        <w:t>r of third parties, whereas a scheme can</w:t>
      </w:r>
      <w:r>
        <w:rPr>
          <w:rFonts w:ascii="Arial" w:hAnsi="Arial" w:cs="Arial"/>
          <w:color w:val="7B7B7B" w:themeColor="accent3" w:themeShade="BF"/>
          <w:sz w:val="22"/>
          <w:szCs w:val="22"/>
          <w:lang w:val="en-GB"/>
        </w:rPr>
        <w:t xml:space="preserve"> (</w:t>
      </w:r>
      <w:r w:rsidRPr="002B4288">
        <w:rPr>
          <w:rFonts w:ascii="Arial" w:hAnsi="Arial" w:cs="Arial"/>
          <w:i/>
          <w:iCs/>
          <w:color w:val="7B7B7B" w:themeColor="accent3" w:themeShade="BF"/>
          <w:sz w:val="22"/>
          <w:szCs w:val="22"/>
          <w:lang w:val="en-GB"/>
        </w:rPr>
        <w:t xml:space="preserve">as upheld in </w:t>
      </w:r>
      <w:r w:rsidRPr="002B4288">
        <w:rPr>
          <w:rFonts w:ascii="Arial" w:hAnsi="Arial" w:cs="Arial"/>
          <w:i/>
          <w:iCs/>
          <w:color w:val="7B7B7B" w:themeColor="accent3" w:themeShade="BF"/>
          <w:sz w:val="22"/>
          <w:szCs w:val="22"/>
          <w:lang w:val="en-GB"/>
        </w:rPr>
        <w:t xml:space="preserve">Lehman Brothers Holdings Inc v City of Swan &amp; </w:t>
      </w:r>
      <w:proofErr w:type="spellStart"/>
      <w:r w:rsidRPr="002B4288">
        <w:rPr>
          <w:rFonts w:ascii="Arial" w:hAnsi="Arial" w:cs="Arial"/>
          <w:i/>
          <w:iCs/>
          <w:color w:val="7B7B7B" w:themeColor="accent3" w:themeShade="BF"/>
          <w:sz w:val="22"/>
          <w:szCs w:val="22"/>
          <w:lang w:val="en-GB"/>
        </w:rPr>
        <w:t>Ors</w:t>
      </w:r>
      <w:proofErr w:type="spellEnd"/>
      <w:r w:rsidRPr="002B4288">
        <w:rPr>
          <w:rFonts w:ascii="Arial" w:hAnsi="Arial" w:cs="Arial"/>
          <w:i/>
          <w:iCs/>
          <w:color w:val="7B7B7B" w:themeColor="accent3" w:themeShade="BF"/>
          <w:sz w:val="22"/>
          <w:szCs w:val="22"/>
          <w:lang w:val="en-GB"/>
        </w:rPr>
        <w:t xml:space="preserve">; Lehman Brothers Asia Holdings Limited (in liquidation) v City of Swan &amp; </w:t>
      </w:r>
      <w:proofErr w:type="spellStart"/>
      <w:r w:rsidRPr="002B4288">
        <w:rPr>
          <w:rFonts w:ascii="Arial" w:hAnsi="Arial" w:cs="Arial"/>
          <w:i/>
          <w:iCs/>
          <w:color w:val="7B7B7B" w:themeColor="accent3" w:themeShade="BF"/>
          <w:sz w:val="22"/>
          <w:szCs w:val="22"/>
          <w:lang w:val="en-GB"/>
        </w:rPr>
        <w:t>Ors</w:t>
      </w:r>
      <w:proofErr w:type="spellEnd"/>
      <w:r w:rsidRPr="002B4288">
        <w:rPr>
          <w:rFonts w:ascii="Arial" w:hAnsi="Arial" w:cs="Arial"/>
          <w:i/>
          <w:iCs/>
          <w:color w:val="7B7B7B" w:themeColor="accent3" w:themeShade="BF"/>
          <w:sz w:val="22"/>
          <w:szCs w:val="22"/>
          <w:lang w:val="en-GB"/>
        </w:rPr>
        <w:t xml:space="preserve"> (2010) 240 CLR 509</w:t>
      </w:r>
      <w:r w:rsidRPr="002B428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0F011FAF" w14:textId="32FE059F" w:rsidR="00530B3F" w:rsidRPr="00530B3F" w:rsidRDefault="00530B3F" w:rsidP="009222EA">
      <w:pPr>
        <w:pStyle w:val="ListParagraph"/>
        <w:numPr>
          <w:ilvl w:val="0"/>
          <w:numId w:val="34"/>
        </w:numPr>
        <w:spacing w:before="240" w:line="276" w:lineRule="auto"/>
        <w:jc w:val="both"/>
        <w:rPr>
          <w:rFonts w:ascii="Arial" w:hAnsi="Arial" w:cs="Arial"/>
          <w:color w:val="7B7B7B" w:themeColor="accent3" w:themeShade="BF"/>
          <w:sz w:val="22"/>
          <w:szCs w:val="22"/>
          <w:lang w:val="en-GB"/>
        </w:rPr>
      </w:pPr>
      <w:r w:rsidRPr="00530B3F">
        <w:rPr>
          <w:rFonts w:ascii="Arial" w:hAnsi="Arial" w:cs="Arial"/>
          <w:color w:val="7B7B7B" w:themeColor="accent3" w:themeShade="BF"/>
          <w:sz w:val="22"/>
          <w:szCs w:val="22"/>
          <w:lang w:val="en-GB"/>
        </w:rPr>
        <w:t>t</w:t>
      </w:r>
      <w:r w:rsidRPr="00530B3F">
        <w:rPr>
          <w:rFonts w:ascii="Arial" w:hAnsi="Arial" w:cs="Arial"/>
          <w:color w:val="7B7B7B" w:themeColor="accent3" w:themeShade="BF"/>
          <w:sz w:val="22"/>
          <w:szCs w:val="22"/>
          <w:lang w:val="en-GB"/>
        </w:rPr>
        <w:t>he court has power to cause part or all of the property or liabilities of the moribund company, including contracts, to transfer to a properly capitalised newco.</w:t>
      </w:r>
    </w:p>
    <w:p w14:paraId="39293F56" w14:textId="2227AEEF" w:rsidR="00530B3F" w:rsidRPr="00530B3F" w:rsidRDefault="00530B3F" w:rsidP="009222EA">
      <w:pPr>
        <w:pStyle w:val="ListParagraph"/>
        <w:numPr>
          <w:ilvl w:val="0"/>
          <w:numId w:val="34"/>
        </w:numPr>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Pr="00530B3F">
        <w:rPr>
          <w:rFonts w:ascii="Arial" w:hAnsi="Arial" w:cs="Arial"/>
          <w:color w:val="7B7B7B" w:themeColor="accent3" w:themeShade="BF"/>
          <w:sz w:val="22"/>
          <w:szCs w:val="22"/>
          <w:lang w:val="en-GB"/>
        </w:rPr>
        <w:t>ntities in corporate groups can be dealt with together.</w:t>
      </w:r>
    </w:p>
    <w:p w14:paraId="7E6F9A02" w14:textId="77777777" w:rsidR="00530B3F" w:rsidRPr="00530B3F" w:rsidRDefault="00530B3F" w:rsidP="009222EA">
      <w:pPr>
        <w:pStyle w:val="ListParagraph"/>
        <w:numPr>
          <w:ilvl w:val="0"/>
          <w:numId w:val="34"/>
        </w:numPr>
        <w:spacing w:line="276" w:lineRule="auto"/>
        <w:jc w:val="both"/>
        <w:rPr>
          <w:rFonts w:ascii="Arial" w:hAnsi="Arial" w:cs="Arial"/>
          <w:color w:val="7B7B7B" w:themeColor="accent3" w:themeShade="BF"/>
          <w:sz w:val="22"/>
          <w:szCs w:val="22"/>
          <w:lang w:val="en-GB"/>
        </w:rPr>
      </w:pPr>
      <w:r w:rsidRPr="00530B3F">
        <w:rPr>
          <w:rFonts w:ascii="Arial" w:hAnsi="Arial" w:cs="Arial"/>
          <w:color w:val="7B7B7B" w:themeColor="accent3" w:themeShade="BF"/>
          <w:sz w:val="22"/>
          <w:szCs w:val="22"/>
          <w:lang w:val="en-GB"/>
        </w:rPr>
        <w:t>Australian Taxation Office rollover relief rules (allowing the taxpayer to defer or disregard a capital gain or from a forcible transfer of assets or scrip) are easier to satisfy when the transfer occurs under court order.</w:t>
      </w:r>
    </w:p>
    <w:p w14:paraId="767DFC0E" w14:textId="67FC4A51" w:rsidR="002B4288" w:rsidRDefault="002B4288" w:rsidP="002B4288">
      <w:pPr>
        <w:ind w:left="360"/>
        <w:jc w:val="both"/>
        <w:rPr>
          <w:rFonts w:ascii="Arial" w:hAnsi="Arial" w:cs="Arial"/>
          <w:color w:val="7B7B7B" w:themeColor="accent3" w:themeShade="BF"/>
          <w:sz w:val="22"/>
          <w:szCs w:val="22"/>
          <w:lang w:val="en-GB"/>
        </w:rPr>
      </w:pPr>
    </w:p>
    <w:p w14:paraId="54BBFE5C" w14:textId="764E6158" w:rsidR="002B4288" w:rsidRPr="002B4288" w:rsidRDefault="002B4288" w:rsidP="002B4288">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most significant advantages of a creditors scheme of arrangement is the ability to alter to alter secured creditor’s rights without their consent.</w:t>
      </w:r>
    </w:p>
    <w:p w14:paraId="6BCBD9EB" w14:textId="2037F74A" w:rsidR="002B4288" w:rsidRDefault="00530B3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1E169CD0" w14:textId="0A90DA3F" w:rsidR="00530B3F" w:rsidRDefault="00EC015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12472E">
        <w:rPr>
          <w:rFonts w:ascii="Arial" w:hAnsi="Arial" w:cs="Arial"/>
          <w:color w:val="7B7B7B" w:themeColor="accent3" w:themeShade="BF"/>
          <w:sz w:val="22"/>
          <w:szCs w:val="22"/>
          <w:lang w:val="en-GB"/>
        </w:rPr>
        <w:t>,</w:t>
      </w:r>
      <w:r w:rsidR="00530B3F">
        <w:rPr>
          <w:rFonts w:ascii="Arial" w:hAnsi="Arial" w:cs="Arial"/>
          <w:color w:val="7B7B7B" w:themeColor="accent3" w:themeShade="BF"/>
          <w:sz w:val="22"/>
          <w:szCs w:val="22"/>
          <w:lang w:val="en-GB"/>
        </w:rPr>
        <w:t xml:space="preserve"> to sum up, even if the creditors’ </w:t>
      </w:r>
      <w:r>
        <w:rPr>
          <w:rFonts w:ascii="Arial" w:hAnsi="Arial" w:cs="Arial"/>
          <w:color w:val="7B7B7B" w:themeColor="accent3" w:themeShade="BF"/>
          <w:sz w:val="22"/>
          <w:szCs w:val="22"/>
          <w:lang w:val="en-GB"/>
        </w:rPr>
        <w:t>scheme</w:t>
      </w:r>
      <w:r w:rsidR="00530B3F">
        <w:rPr>
          <w:rFonts w:ascii="Arial" w:hAnsi="Arial" w:cs="Arial"/>
          <w:color w:val="7B7B7B" w:themeColor="accent3" w:themeShade="BF"/>
          <w:sz w:val="22"/>
          <w:szCs w:val="22"/>
          <w:lang w:val="en-GB"/>
        </w:rPr>
        <w:t xml:space="preserve"> of </w:t>
      </w:r>
      <w:r>
        <w:rPr>
          <w:rFonts w:ascii="Arial" w:hAnsi="Arial" w:cs="Arial"/>
          <w:color w:val="7B7B7B" w:themeColor="accent3" w:themeShade="BF"/>
          <w:sz w:val="22"/>
          <w:szCs w:val="22"/>
          <w:lang w:val="en-GB"/>
        </w:rPr>
        <w:t>arrangement</w:t>
      </w:r>
      <w:r w:rsidR="00530B3F">
        <w:rPr>
          <w:rFonts w:ascii="Arial" w:hAnsi="Arial" w:cs="Arial"/>
          <w:color w:val="7B7B7B" w:themeColor="accent3" w:themeShade="BF"/>
          <w:sz w:val="22"/>
          <w:szCs w:val="22"/>
          <w:lang w:val="en-GB"/>
        </w:rPr>
        <w:t xml:space="preserve"> may have been seem to being replaced with the </w:t>
      </w:r>
      <w:r>
        <w:rPr>
          <w:rFonts w:ascii="Arial" w:hAnsi="Arial" w:cs="Arial"/>
          <w:color w:val="7B7B7B" w:themeColor="accent3" w:themeShade="BF"/>
          <w:sz w:val="22"/>
          <w:szCs w:val="22"/>
          <w:lang w:val="en-GB"/>
        </w:rPr>
        <w:t xml:space="preserve">voluntary administration coming into vogue on account of its cost efficient and cost friendly approach. However, </w:t>
      </w:r>
      <w:r w:rsidR="0012472E">
        <w:rPr>
          <w:rFonts w:ascii="Arial" w:hAnsi="Arial" w:cs="Arial"/>
          <w:color w:val="7B7B7B" w:themeColor="accent3" w:themeShade="BF"/>
          <w:sz w:val="22"/>
          <w:szCs w:val="22"/>
          <w:lang w:val="en-GB"/>
        </w:rPr>
        <w:t>mega corporate turnarounds that would require the</w:t>
      </w:r>
      <w:r w:rsidR="0012472E" w:rsidRPr="0012472E">
        <w:rPr>
          <w:rFonts w:ascii="Arial" w:hAnsi="Arial" w:cs="Arial"/>
          <w:color w:val="7B7B7B" w:themeColor="accent3" w:themeShade="BF"/>
          <w:sz w:val="22"/>
          <w:szCs w:val="22"/>
          <w:lang w:val="en-GB"/>
        </w:rPr>
        <w:t xml:space="preserve"> advantage</w:t>
      </w:r>
      <w:r w:rsidR="0012472E" w:rsidRPr="0012472E">
        <w:rPr>
          <w:rFonts w:ascii="Arial" w:hAnsi="Arial" w:cs="Arial"/>
          <w:color w:val="7B7B7B" w:themeColor="accent3" w:themeShade="BF"/>
          <w:sz w:val="22"/>
          <w:szCs w:val="22"/>
          <w:lang w:val="en-GB"/>
        </w:rPr>
        <w:t>s</w:t>
      </w:r>
      <w:r w:rsidR="0012472E" w:rsidRPr="0012472E">
        <w:rPr>
          <w:rFonts w:ascii="Arial" w:hAnsi="Arial" w:cs="Arial"/>
          <w:color w:val="7B7B7B" w:themeColor="accent3" w:themeShade="BF"/>
          <w:sz w:val="22"/>
          <w:szCs w:val="22"/>
          <w:lang w:val="en-GB"/>
        </w:rPr>
        <w:t xml:space="preserve"> of statutory moratoriums, cramdown rights, liability transfer, or other mechanism-based charge</w:t>
      </w:r>
      <w:r w:rsidR="0012472E">
        <w:rPr>
          <w:rFonts w:ascii="Arial" w:hAnsi="Arial" w:cs="Arial"/>
          <w:color w:val="7B7B7B" w:themeColor="accent3" w:themeShade="BF"/>
          <w:sz w:val="22"/>
          <w:szCs w:val="22"/>
          <w:lang w:val="en-GB"/>
        </w:rPr>
        <w:t xml:space="preserve"> will opt for a more formal process in the nature of that of a creditors scheme of arrangement. Also, the </w:t>
      </w:r>
      <w:r>
        <w:rPr>
          <w:rFonts w:ascii="Arial" w:hAnsi="Arial" w:cs="Arial"/>
          <w:color w:val="7B7B7B" w:themeColor="accent3" w:themeShade="BF"/>
          <w:sz w:val="22"/>
          <w:szCs w:val="22"/>
          <w:lang w:val="en-GB"/>
        </w:rPr>
        <w:t xml:space="preserve">court driven process will always continue to be the chosen mode of restructuring when more certainty and transparency </w:t>
      </w:r>
      <w:r w:rsidR="0012472E">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required to be attached to the restructuring proces</w:t>
      </w:r>
      <w:r w:rsidR="0012472E">
        <w:rPr>
          <w:rFonts w:ascii="Arial" w:hAnsi="Arial" w:cs="Arial"/>
          <w:color w:val="7B7B7B" w:themeColor="accent3" w:themeShade="BF"/>
          <w:sz w:val="22"/>
          <w:szCs w:val="22"/>
          <w:lang w:val="en-GB"/>
        </w:rPr>
        <w:t xml:space="preserve">s, increasingly so with respect to companies / restructuring entities with </w:t>
      </w:r>
      <w:r w:rsidR="0012472E" w:rsidRPr="0012472E">
        <w:rPr>
          <w:rFonts w:ascii="Arial" w:hAnsi="Arial" w:cs="Arial"/>
          <w:color w:val="7B7B7B" w:themeColor="accent3" w:themeShade="BF"/>
          <w:sz w:val="22"/>
          <w:szCs w:val="22"/>
          <w:lang w:val="en-GB"/>
        </w:rPr>
        <w:t>more complex balance sheet or tax affairs, or greater spread of shareholders or creditors across jurisdictions</w:t>
      </w:r>
      <w:r w:rsidR="0012472E" w:rsidRPr="0012472E">
        <w:rPr>
          <w:rFonts w:ascii="Arial" w:hAnsi="Arial" w:cs="Arial"/>
          <w:color w:val="7B7B7B" w:themeColor="accent3" w:themeShade="BF"/>
          <w:sz w:val="22"/>
          <w:szCs w:val="22"/>
          <w:lang w:val="en-GB"/>
        </w:rPr>
        <w:t xml:space="preserve"> (including Australia </w:t>
      </w:r>
      <w:proofErr w:type="spellStart"/>
      <w:r w:rsidR="0012472E" w:rsidRPr="0012472E">
        <w:rPr>
          <w:rFonts w:ascii="Arial" w:hAnsi="Arial" w:cs="Arial"/>
          <w:color w:val="7B7B7B" w:themeColor="accent3" w:themeShade="BF"/>
          <w:sz w:val="22"/>
          <w:szCs w:val="22"/>
          <w:lang w:val="en-GB"/>
        </w:rPr>
        <w:t>ofcourse</w:t>
      </w:r>
      <w:proofErr w:type="spellEnd"/>
      <w:r w:rsidR="0012472E" w:rsidRPr="0012472E">
        <w:rPr>
          <w:rFonts w:ascii="Arial" w:hAnsi="Arial" w:cs="Arial"/>
          <w:color w:val="7B7B7B" w:themeColor="accent3" w:themeShade="BF"/>
          <w:sz w:val="22"/>
          <w:szCs w:val="22"/>
          <w:lang w:val="en-GB"/>
        </w:rPr>
        <w:t>)</w:t>
      </w:r>
      <w:r w:rsidR="0012472E" w:rsidRPr="0012472E">
        <w:rPr>
          <w:rFonts w:ascii="Arial" w:hAnsi="Arial" w:cs="Arial"/>
          <w:color w:val="7B7B7B" w:themeColor="accent3" w:themeShade="BF"/>
          <w:sz w:val="22"/>
          <w:szCs w:val="22"/>
          <w:lang w:val="en-GB"/>
        </w:rPr>
        <w:t>,</w:t>
      </w:r>
      <w:r w:rsidR="008C6916">
        <w:rPr>
          <w:rFonts w:ascii="Arial" w:hAnsi="Arial" w:cs="Arial"/>
          <w:color w:val="7B7B7B" w:themeColor="accent3" w:themeShade="BF"/>
          <w:sz w:val="22"/>
          <w:szCs w:val="22"/>
          <w:lang w:val="en-GB"/>
        </w:rPr>
        <w:t xml:space="preserve"> </w:t>
      </w:r>
      <w:r w:rsidR="0012472E" w:rsidRPr="0012472E">
        <w:rPr>
          <w:rFonts w:ascii="Arial" w:hAnsi="Arial" w:cs="Arial"/>
          <w:color w:val="7B7B7B" w:themeColor="accent3" w:themeShade="BF"/>
          <w:sz w:val="22"/>
          <w:szCs w:val="22"/>
          <w:lang w:val="en-GB"/>
        </w:rPr>
        <w:t>where a formal creditor’s scheme of arrangements</w:t>
      </w:r>
      <w:r w:rsidR="0012472E" w:rsidRPr="0012472E">
        <w:rPr>
          <w:rFonts w:ascii="Arial" w:hAnsi="Arial" w:cs="Arial"/>
          <w:color w:val="7B7B7B" w:themeColor="accent3" w:themeShade="BF"/>
          <w:sz w:val="22"/>
          <w:szCs w:val="22"/>
          <w:lang w:val="en-GB"/>
        </w:rPr>
        <w:t xml:space="preserve"> with some degree of court supervision </w:t>
      </w:r>
      <w:r w:rsidR="0012472E" w:rsidRPr="0012472E">
        <w:rPr>
          <w:rFonts w:ascii="Arial" w:hAnsi="Arial" w:cs="Arial"/>
          <w:color w:val="7B7B7B" w:themeColor="accent3" w:themeShade="BF"/>
          <w:sz w:val="22"/>
          <w:szCs w:val="22"/>
          <w:lang w:val="en-GB"/>
        </w:rPr>
        <w:t>may be the preferred tool of corporate res</w:t>
      </w:r>
      <w:r w:rsidR="0012472E">
        <w:rPr>
          <w:rFonts w:ascii="Arial" w:hAnsi="Arial" w:cs="Arial"/>
          <w:color w:val="7B7B7B" w:themeColor="accent3" w:themeShade="BF"/>
          <w:sz w:val="22"/>
          <w:szCs w:val="22"/>
          <w:lang w:val="en-GB"/>
        </w:rPr>
        <w:t>c</w:t>
      </w:r>
      <w:r w:rsidR="0012472E" w:rsidRPr="0012472E">
        <w:rPr>
          <w:rFonts w:ascii="Arial" w:hAnsi="Arial" w:cs="Arial"/>
          <w:color w:val="7B7B7B" w:themeColor="accent3" w:themeShade="BF"/>
          <w:sz w:val="22"/>
          <w:szCs w:val="22"/>
          <w:lang w:val="en-GB"/>
        </w:rPr>
        <w:t>ue and restructuring t</w:t>
      </w:r>
      <w:r w:rsidR="0012472E" w:rsidRPr="0012472E">
        <w:rPr>
          <w:rFonts w:ascii="Arial" w:hAnsi="Arial" w:cs="Arial"/>
          <w:color w:val="7B7B7B" w:themeColor="accent3" w:themeShade="BF"/>
          <w:sz w:val="22"/>
          <w:szCs w:val="22"/>
          <w:lang w:val="en-GB"/>
        </w:rPr>
        <w:t>o ensure a controlled outcome.</w:t>
      </w:r>
      <w:r>
        <w:rPr>
          <w:rFonts w:ascii="Arial" w:hAnsi="Arial" w:cs="Arial"/>
          <w:color w:val="7B7B7B" w:themeColor="accent3" w:themeShade="BF"/>
          <w:sz w:val="22"/>
          <w:szCs w:val="22"/>
          <w:lang w:val="en-GB"/>
        </w:rPr>
        <w:t xml:space="preserve"> </w:t>
      </w:r>
    </w:p>
    <w:p w14:paraId="6F724901" w14:textId="17C14DFE" w:rsidR="00D17FDC" w:rsidRDefault="00D17FDC" w:rsidP="002A37BB">
      <w:pPr>
        <w:jc w:val="both"/>
        <w:rPr>
          <w:rFonts w:ascii="Arial" w:hAnsi="Arial" w:cs="Arial"/>
          <w:sz w:val="22"/>
          <w:szCs w:val="22"/>
          <w:shd w:val="clear" w:color="auto" w:fill="FFFFFF"/>
        </w:rPr>
      </w:pPr>
    </w:p>
    <w:p w14:paraId="6DD9BB66" w14:textId="2480E7E9"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1"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lastRenderedPageBreak/>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3BD3DE25" w:rsidR="001A007A" w:rsidRDefault="00145427"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understand that a liquidator appointed for</w:t>
      </w:r>
      <w:r w:rsidR="0026264E">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Aussiebee</w:t>
      </w:r>
      <w:proofErr w:type="spellEnd"/>
      <w:r>
        <w:rPr>
          <w:rFonts w:ascii="Arial" w:hAnsi="Arial" w:cs="Arial"/>
          <w:color w:val="7B7B7B" w:themeColor="accent3" w:themeShade="BF"/>
          <w:sz w:val="22"/>
          <w:szCs w:val="22"/>
          <w:lang w:val="en-GB"/>
        </w:rPr>
        <w:t xml:space="preserve"> in </w:t>
      </w:r>
      <w:proofErr w:type="spellStart"/>
      <w:r>
        <w:rPr>
          <w:rFonts w:ascii="Arial" w:hAnsi="Arial" w:cs="Arial"/>
          <w:color w:val="7B7B7B" w:themeColor="accent3" w:themeShade="BF"/>
          <w:sz w:val="22"/>
          <w:szCs w:val="22"/>
          <w:lang w:val="en-GB"/>
        </w:rPr>
        <w:t>Lyonesse</w:t>
      </w:r>
      <w:proofErr w:type="spellEnd"/>
      <w:r>
        <w:rPr>
          <w:rFonts w:ascii="Arial" w:hAnsi="Arial" w:cs="Arial"/>
          <w:color w:val="7B7B7B" w:themeColor="accent3" w:themeShade="BF"/>
          <w:sz w:val="22"/>
          <w:szCs w:val="22"/>
          <w:lang w:val="en-GB"/>
        </w:rPr>
        <w:t xml:space="preserve"> has applied for recognition of the said proceedings as foreign main proceeding in the Federal Court of Australia (“</w:t>
      </w:r>
      <w:r>
        <w:rPr>
          <w:rFonts w:ascii="Arial" w:hAnsi="Arial" w:cs="Arial"/>
          <w:b/>
          <w:bCs/>
          <w:color w:val="7B7B7B" w:themeColor="accent3" w:themeShade="BF"/>
          <w:sz w:val="22"/>
          <w:szCs w:val="22"/>
          <w:lang w:val="en-GB"/>
        </w:rPr>
        <w:t>Application for Recognition</w:t>
      </w:r>
      <w:r>
        <w:rPr>
          <w:rFonts w:ascii="Arial" w:hAnsi="Arial" w:cs="Arial"/>
          <w:color w:val="7B7B7B" w:themeColor="accent3" w:themeShade="BF"/>
          <w:sz w:val="22"/>
          <w:szCs w:val="22"/>
          <w:lang w:val="en-GB"/>
        </w:rPr>
        <w:t xml:space="preserve">”), and that </w:t>
      </w:r>
      <w:proofErr w:type="spellStart"/>
      <w:r>
        <w:rPr>
          <w:rFonts w:ascii="Arial" w:hAnsi="Arial" w:cs="Arial"/>
          <w:color w:val="7B7B7B" w:themeColor="accent3" w:themeShade="BF"/>
          <w:sz w:val="22"/>
          <w:szCs w:val="22"/>
          <w:lang w:val="en-GB"/>
        </w:rPr>
        <w:t>Aussibie</w:t>
      </w:r>
      <w:proofErr w:type="spellEnd"/>
      <w:r>
        <w:rPr>
          <w:rFonts w:ascii="Arial" w:hAnsi="Arial" w:cs="Arial"/>
          <w:color w:val="7B7B7B" w:themeColor="accent3" w:themeShade="BF"/>
          <w:sz w:val="22"/>
          <w:szCs w:val="22"/>
          <w:lang w:val="en-GB"/>
        </w:rPr>
        <w:t xml:space="preserve"> owes AUD 12 million in taxes in Australia payable to the Australian Tax Office.</w:t>
      </w:r>
    </w:p>
    <w:p w14:paraId="6E0C5E60" w14:textId="6B8D78F7" w:rsidR="00145427" w:rsidRDefault="00145427" w:rsidP="001A007A">
      <w:pPr>
        <w:autoSpaceDE w:val="0"/>
        <w:autoSpaceDN w:val="0"/>
        <w:adjustRightInd w:val="0"/>
        <w:jc w:val="both"/>
        <w:rPr>
          <w:rFonts w:ascii="Arial" w:hAnsi="Arial" w:cs="Arial"/>
          <w:color w:val="7B7B7B" w:themeColor="accent3" w:themeShade="BF"/>
          <w:sz w:val="22"/>
          <w:szCs w:val="22"/>
          <w:lang w:val="en-GB"/>
        </w:rPr>
      </w:pPr>
    </w:p>
    <w:p w14:paraId="30125134" w14:textId="77777777" w:rsidR="0026264E" w:rsidRDefault="00145427" w:rsidP="0014542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circumstance that the ATO is not entitled to submit or prove its claim of debt owed to the office in the liquidation proceedings of </w:t>
      </w:r>
      <w:proofErr w:type="spellStart"/>
      <w:r>
        <w:rPr>
          <w:rFonts w:ascii="Arial" w:hAnsi="Arial" w:cs="Arial"/>
          <w:color w:val="7B7B7B" w:themeColor="accent3" w:themeShade="BF"/>
          <w:sz w:val="22"/>
          <w:szCs w:val="22"/>
          <w:lang w:val="en-GB"/>
        </w:rPr>
        <w:t>Aussiebie</w:t>
      </w:r>
      <w:proofErr w:type="spellEnd"/>
      <w:r>
        <w:rPr>
          <w:rFonts w:ascii="Arial" w:hAnsi="Arial" w:cs="Arial"/>
          <w:color w:val="7B7B7B" w:themeColor="accent3" w:themeShade="BF"/>
          <w:sz w:val="22"/>
          <w:szCs w:val="22"/>
          <w:lang w:val="en-GB"/>
        </w:rPr>
        <w:t xml:space="preserve"> currently underway in </w:t>
      </w:r>
      <w:proofErr w:type="spellStart"/>
      <w:r>
        <w:rPr>
          <w:rFonts w:ascii="Arial" w:hAnsi="Arial" w:cs="Arial"/>
          <w:color w:val="7B7B7B" w:themeColor="accent3" w:themeShade="BF"/>
          <w:sz w:val="22"/>
          <w:szCs w:val="22"/>
          <w:lang w:val="en-GB"/>
        </w:rPr>
        <w:t>Lyonesse</w:t>
      </w:r>
      <w:proofErr w:type="spellEnd"/>
      <w:r>
        <w:rPr>
          <w:rFonts w:ascii="Arial" w:hAnsi="Arial" w:cs="Arial"/>
          <w:color w:val="7B7B7B" w:themeColor="accent3" w:themeShade="BF"/>
          <w:sz w:val="22"/>
          <w:szCs w:val="22"/>
          <w:lang w:val="en-GB"/>
        </w:rPr>
        <w:t xml:space="preserve">, it is advised that the ATO files an intervention application in the Application for Recognition for its rights to be recognised as an unsecured creditor and to grant it leave for enforcing its claim against the rights or claims of </w:t>
      </w:r>
      <w:proofErr w:type="spellStart"/>
      <w:r>
        <w:rPr>
          <w:rFonts w:ascii="Arial" w:hAnsi="Arial" w:cs="Arial"/>
          <w:color w:val="7B7B7B" w:themeColor="accent3" w:themeShade="BF"/>
          <w:sz w:val="22"/>
          <w:szCs w:val="22"/>
          <w:lang w:val="en-GB"/>
        </w:rPr>
        <w:t>Aussiebee</w:t>
      </w:r>
      <w:proofErr w:type="spellEnd"/>
      <w:r>
        <w:rPr>
          <w:rFonts w:ascii="Arial" w:hAnsi="Arial" w:cs="Arial"/>
          <w:color w:val="7B7B7B" w:themeColor="accent3" w:themeShade="BF"/>
          <w:sz w:val="22"/>
          <w:szCs w:val="22"/>
          <w:lang w:val="en-GB"/>
        </w:rPr>
        <w:t xml:space="preserve"> including with respect to assets locates in Australia. </w:t>
      </w:r>
    </w:p>
    <w:p w14:paraId="32B980EE" w14:textId="77777777" w:rsidR="0026264E" w:rsidRDefault="0026264E" w:rsidP="00145427">
      <w:pPr>
        <w:autoSpaceDE w:val="0"/>
        <w:autoSpaceDN w:val="0"/>
        <w:adjustRightInd w:val="0"/>
        <w:jc w:val="both"/>
        <w:rPr>
          <w:rFonts w:ascii="Arial" w:hAnsi="Arial" w:cs="Arial"/>
          <w:color w:val="7B7B7B" w:themeColor="accent3" w:themeShade="BF"/>
          <w:sz w:val="22"/>
          <w:szCs w:val="22"/>
          <w:lang w:val="en-GB"/>
        </w:rPr>
      </w:pPr>
    </w:p>
    <w:p w14:paraId="6FD689E1" w14:textId="15243D1A" w:rsidR="00655763" w:rsidRDefault="0026264E" w:rsidP="0057355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Federal Court of Australia </w:t>
      </w:r>
      <w:proofErr w:type="spellStart"/>
      <w:r>
        <w:rPr>
          <w:rFonts w:ascii="Arial" w:hAnsi="Arial" w:cs="Arial"/>
          <w:color w:val="7B7B7B" w:themeColor="accent3" w:themeShade="BF"/>
          <w:sz w:val="22"/>
          <w:szCs w:val="22"/>
          <w:lang w:val="en-GB"/>
        </w:rPr>
        <w:t>incharge</w:t>
      </w:r>
      <w:proofErr w:type="spellEnd"/>
      <w:r>
        <w:rPr>
          <w:rFonts w:ascii="Arial" w:hAnsi="Arial" w:cs="Arial"/>
          <w:color w:val="7B7B7B" w:themeColor="accent3" w:themeShade="BF"/>
          <w:sz w:val="22"/>
          <w:szCs w:val="22"/>
          <w:lang w:val="en-GB"/>
        </w:rPr>
        <w:t xml:space="preserve"> of dealing with the Application for Recognition has to</w:t>
      </w:r>
      <w:r w:rsidR="009222EA">
        <w:rPr>
          <w:rFonts w:ascii="Arial" w:hAnsi="Arial" w:cs="Arial"/>
          <w:color w:val="7B7B7B" w:themeColor="accent3" w:themeShade="BF"/>
          <w:sz w:val="22"/>
          <w:szCs w:val="22"/>
          <w:lang w:val="en-GB"/>
        </w:rPr>
        <w:t xml:space="preserve"> </w:t>
      </w:r>
      <w:r w:rsidR="0057355F">
        <w:rPr>
          <w:rFonts w:ascii="Arial" w:hAnsi="Arial" w:cs="Arial"/>
          <w:color w:val="7B7B7B" w:themeColor="accent3" w:themeShade="BF"/>
          <w:sz w:val="22"/>
          <w:szCs w:val="22"/>
          <w:lang w:val="en-GB"/>
        </w:rPr>
        <w:t>,</w:t>
      </w:r>
      <w:r w:rsidR="009222E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under the terms of </w:t>
      </w:r>
      <w:r w:rsidR="00D86503">
        <w:rPr>
          <w:rFonts w:ascii="Arial" w:hAnsi="Arial" w:cs="Arial"/>
          <w:color w:val="7B7B7B" w:themeColor="accent3" w:themeShade="BF"/>
          <w:sz w:val="22"/>
          <w:szCs w:val="22"/>
          <w:lang w:val="en-GB"/>
        </w:rPr>
        <w:t xml:space="preserve">its </w:t>
      </w:r>
      <w:r w:rsidR="009222EA">
        <w:rPr>
          <w:rFonts w:ascii="Arial" w:hAnsi="Arial" w:cs="Arial"/>
          <w:color w:val="7B7B7B" w:themeColor="accent3" w:themeShade="BF"/>
          <w:sz w:val="22"/>
          <w:szCs w:val="22"/>
          <w:lang w:val="en-GB"/>
        </w:rPr>
        <w:t xml:space="preserve">adopted </w:t>
      </w:r>
      <w:r>
        <w:rPr>
          <w:rFonts w:ascii="Arial" w:hAnsi="Arial" w:cs="Arial"/>
          <w:color w:val="7B7B7B" w:themeColor="accent3" w:themeShade="BF"/>
          <w:sz w:val="22"/>
          <w:szCs w:val="22"/>
          <w:lang w:val="en-GB"/>
        </w:rPr>
        <w:t xml:space="preserve">Model Law on Cross Border </w:t>
      </w:r>
      <w:r w:rsidR="00D86503">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w:t>
      </w:r>
      <w:r w:rsidR="00D86503">
        <w:rPr>
          <w:rFonts w:ascii="Arial" w:hAnsi="Arial" w:cs="Arial"/>
          <w:color w:val="7B7B7B" w:themeColor="accent3" w:themeShade="BF"/>
          <w:sz w:val="22"/>
          <w:szCs w:val="22"/>
          <w:lang w:val="en-GB"/>
        </w:rPr>
        <w:t xml:space="preserve">in Article 21 of the Cross-Border Insolvency Act, 2008 </w:t>
      </w:r>
      <w:r w:rsidR="0057355F">
        <w:rPr>
          <w:rFonts w:ascii="Arial" w:hAnsi="Arial" w:cs="Arial"/>
          <w:color w:val="7B7B7B" w:themeColor="accent3" w:themeShade="BF"/>
          <w:sz w:val="22"/>
          <w:szCs w:val="22"/>
          <w:lang w:val="en-GB"/>
        </w:rPr>
        <w:t>ensure that u</w:t>
      </w:r>
      <w:proofErr w:type="spellStart"/>
      <w:r w:rsidR="0057355F" w:rsidRPr="0057355F">
        <w:rPr>
          <w:rFonts w:ascii="Arial" w:hAnsi="Arial" w:cs="Arial"/>
          <w:color w:val="7B7B7B" w:themeColor="accent3" w:themeShade="BF"/>
          <w:sz w:val="22"/>
          <w:szCs w:val="22"/>
          <w:lang w:val="en-GB"/>
        </w:rPr>
        <w:t>pon</w:t>
      </w:r>
      <w:proofErr w:type="spellEnd"/>
      <w:r w:rsidR="0057355F" w:rsidRPr="0057355F">
        <w:rPr>
          <w:rFonts w:ascii="Arial" w:hAnsi="Arial" w:cs="Arial"/>
          <w:color w:val="7B7B7B" w:themeColor="accent3" w:themeShade="BF"/>
          <w:sz w:val="22"/>
          <w:szCs w:val="22"/>
          <w:lang w:val="en-GB"/>
        </w:rPr>
        <w:t xml:space="preserve"> recognition of a foreign proceeding, whether main or non-main, the court may, at the request of the foreign representative, entrust the distribution of all or part of the debtor’s assets located in th</w:t>
      </w:r>
      <w:r w:rsidR="0057355F" w:rsidRPr="0057355F">
        <w:rPr>
          <w:rFonts w:ascii="Arial" w:hAnsi="Arial" w:cs="Arial"/>
          <w:color w:val="7B7B7B" w:themeColor="accent3" w:themeShade="BF"/>
          <w:sz w:val="22"/>
          <w:szCs w:val="22"/>
          <w:lang w:val="en-GB"/>
        </w:rPr>
        <w:t>e s</w:t>
      </w:r>
      <w:r w:rsidR="0057355F" w:rsidRPr="0057355F">
        <w:rPr>
          <w:rFonts w:ascii="Arial" w:hAnsi="Arial" w:cs="Arial"/>
          <w:color w:val="7B7B7B" w:themeColor="accent3" w:themeShade="BF"/>
          <w:sz w:val="22"/>
          <w:szCs w:val="22"/>
          <w:lang w:val="en-GB"/>
        </w:rPr>
        <w:t xml:space="preserve">tate to the foreign representative </w:t>
      </w:r>
      <w:r w:rsidR="0057355F" w:rsidRPr="0057355F">
        <w:rPr>
          <w:rFonts w:ascii="Arial" w:hAnsi="Arial" w:cs="Arial"/>
          <w:color w:val="7B7B7B" w:themeColor="accent3" w:themeShade="BF"/>
          <w:sz w:val="22"/>
          <w:szCs w:val="22"/>
          <w:lang w:val="en-GB"/>
        </w:rPr>
        <w:t xml:space="preserve">, being the liquidator in the given case, </w:t>
      </w:r>
      <w:r w:rsidR="0057355F" w:rsidRPr="0057355F">
        <w:rPr>
          <w:rFonts w:ascii="Arial" w:hAnsi="Arial" w:cs="Arial"/>
          <w:color w:val="7B7B7B" w:themeColor="accent3" w:themeShade="BF"/>
          <w:sz w:val="22"/>
          <w:szCs w:val="22"/>
          <w:lang w:val="en-GB"/>
        </w:rPr>
        <w:t xml:space="preserve">provided that the court is satisfied that </w:t>
      </w:r>
      <w:r w:rsidR="0057355F" w:rsidRPr="0057355F">
        <w:rPr>
          <w:rFonts w:ascii="Arial" w:hAnsi="Arial" w:cs="Arial"/>
          <w:color w:val="7B7B7B" w:themeColor="accent3" w:themeShade="BF"/>
          <w:sz w:val="22"/>
          <w:szCs w:val="22"/>
          <w:u w:val="single"/>
          <w:lang w:val="en-GB"/>
        </w:rPr>
        <w:t>the interests of creditors in this State are adequately protected.</w:t>
      </w:r>
      <w:r w:rsidR="0057355F">
        <w:rPr>
          <w:rFonts w:ascii="Arial" w:hAnsi="Arial" w:cs="Arial"/>
          <w:color w:val="7B7B7B" w:themeColor="accent3" w:themeShade="BF"/>
          <w:sz w:val="22"/>
          <w:szCs w:val="22"/>
          <w:lang w:val="en-GB"/>
        </w:rPr>
        <w:t xml:space="preserve"> Accordingly, while entertaining the plea for recognition and vesting in of the properties of </w:t>
      </w:r>
      <w:proofErr w:type="spellStart"/>
      <w:r w:rsidR="0057355F">
        <w:rPr>
          <w:rFonts w:ascii="Arial" w:hAnsi="Arial" w:cs="Arial"/>
          <w:color w:val="7B7B7B" w:themeColor="accent3" w:themeShade="BF"/>
          <w:sz w:val="22"/>
          <w:szCs w:val="22"/>
          <w:lang w:val="en-GB"/>
        </w:rPr>
        <w:t>Aussibie</w:t>
      </w:r>
      <w:proofErr w:type="spellEnd"/>
      <w:r w:rsidR="0057355F">
        <w:rPr>
          <w:rFonts w:ascii="Arial" w:hAnsi="Arial" w:cs="Arial"/>
          <w:color w:val="7B7B7B" w:themeColor="accent3" w:themeShade="BF"/>
          <w:sz w:val="22"/>
          <w:szCs w:val="22"/>
          <w:lang w:val="en-GB"/>
        </w:rPr>
        <w:t xml:space="preserve"> located in Australia, the Federal Court of Australia has the jurisdiction to deal with and dispose of the intervention application filed by ATO, it being one of the creditors to </w:t>
      </w:r>
      <w:proofErr w:type="spellStart"/>
      <w:r w:rsidR="0057355F">
        <w:rPr>
          <w:rFonts w:ascii="Arial" w:hAnsi="Arial" w:cs="Arial"/>
          <w:color w:val="7B7B7B" w:themeColor="accent3" w:themeShade="BF"/>
          <w:sz w:val="22"/>
          <w:szCs w:val="22"/>
          <w:lang w:val="en-GB"/>
        </w:rPr>
        <w:t>Aussibie</w:t>
      </w:r>
      <w:proofErr w:type="spellEnd"/>
      <w:r w:rsidR="0057355F">
        <w:rPr>
          <w:rFonts w:ascii="Arial" w:hAnsi="Arial" w:cs="Arial"/>
          <w:color w:val="7B7B7B" w:themeColor="accent3" w:themeShade="BF"/>
          <w:sz w:val="22"/>
          <w:szCs w:val="22"/>
          <w:lang w:val="en-GB"/>
        </w:rPr>
        <w:t xml:space="preserve"> in the state of Australia. </w:t>
      </w:r>
    </w:p>
    <w:p w14:paraId="4F245256" w14:textId="77777777" w:rsidR="00655763" w:rsidRDefault="00655763" w:rsidP="0057355F">
      <w:pPr>
        <w:autoSpaceDE w:val="0"/>
        <w:autoSpaceDN w:val="0"/>
        <w:adjustRightInd w:val="0"/>
        <w:jc w:val="both"/>
        <w:rPr>
          <w:rFonts w:ascii="Arial" w:hAnsi="Arial" w:cs="Arial"/>
          <w:color w:val="7B7B7B" w:themeColor="accent3" w:themeShade="BF"/>
          <w:sz w:val="22"/>
          <w:szCs w:val="22"/>
          <w:lang w:val="en-GB"/>
        </w:rPr>
      </w:pPr>
    </w:p>
    <w:p w14:paraId="1F035D4B" w14:textId="7F909BA3" w:rsidR="00655763" w:rsidRDefault="0057355F" w:rsidP="0057355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Reference may be drawn to the case of </w:t>
      </w:r>
      <w:r w:rsidR="00655763" w:rsidRPr="009222EA">
        <w:rPr>
          <w:rFonts w:ascii="Arial" w:hAnsi="Arial" w:cs="Arial"/>
          <w:i/>
          <w:iCs/>
          <w:color w:val="7B7B7B" w:themeColor="accent3" w:themeShade="BF"/>
          <w:sz w:val="22"/>
          <w:szCs w:val="22"/>
          <w:lang w:val="en-GB"/>
        </w:rPr>
        <w:t>A</w:t>
      </w:r>
      <w:proofErr w:type="spellStart"/>
      <w:r w:rsidR="00655763" w:rsidRPr="009222EA">
        <w:rPr>
          <w:rFonts w:ascii="Arial" w:hAnsi="Arial" w:cs="Arial"/>
          <w:i/>
          <w:iCs/>
          <w:color w:val="7B7B7B" w:themeColor="accent3" w:themeShade="BF"/>
          <w:sz w:val="22"/>
          <w:szCs w:val="22"/>
          <w:lang w:val="en-GB"/>
        </w:rPr>
        <w:t>kers</w:t>
      </w:r>
      <w:proofErr w:type="spellEnd"/>
      <w:r w:rsidR="00655763" w:rsidRPr="009222EA">
        <w:rPr>
          <w:rFonts w:ascii="Arial" w:hAnsi="Arial" w:cs="Arial"/>
          <w:i/>
          <w:iCs/>
          <w:color w:val="7B7B7B" w:themeColor="accent3" w:themeShade="BF"/>
          <w:sz w:val="22"/>
          <w:szCs w:val="22"/>
          <w:lang w:val="en-GB"/>
        </w:rPr>
        <w:t xml:space="preserve"> </w:t>
      </w:r>
      <w:r w:rsidR="00655763" w:rsidRPr="009222EA">
        <w:rPr>
          <w:rFonts w:ascii="Arial" w:hAnsi="Arial" w:cs="Arial"/>
          <w:color w:val="7B7B7B" w:themeColor="accent3" w:themeShade="BF"/>
          <w:sz w:val="22"/>
          <w:szCs w:val="22"/>
          <w:lang w:val="en-GB"/>
        </w:rPr>
        <w:t>v</w:t>
      </w:r>
      <w:r w:rsidR="00655763" w:rsidRPr="00655763">
        <w:rPr>
          <w:rFonts w:ascii="Arial" w:hAnsi="Arial" w:cs="Arial"/>
          <w:color w:val="7B7B7B" w:themeColor="accent3" w:themeShade="BF"/>
          <w:sz w:val="22"/>
          <w:szCs w:val="22"/>
          <w:lang w:val="en-GB"/>
        </w:rPr>
        <w:t xml:space="preserve"> </w:t>
      </w:r>
      <w:r w:rsidR="00655763" w:rsidRPr="00655763">
        <w:rPr>
          <w:rFonts w:ascii="Arial" w:hAnsi="Arial" w:cs="Arial"/>
          <w:i/>
          <w:iCs/>
          <w:color w:val="7B7B7B" w:themeColor="accent3" w:themeShade="BF"/>
          <w:sz w:val="22"/>
          <w:szCs w:val="22"/>
          <w:lang w:val="en-GB"/>
        </w:rPr>
        <w:t>Deputy Commissioner of Taxation</w:t>
      </w:r>
      <w:r w:rsidR="00655763" w:rsidRPr="00655763">
        <w:rPr>
          <w:rFonts w:ascii="Arial" w:hAnsi="Arial" w:cs="Arial"/>
          <w:color w:val="7B7B7B" w:themeColor="accent3" w:themeShade="BF"/>
          <w:sz w:val="22"/>
          <w:szCs w:val="22"/>
          <w:lang w:val="en-GB"/>
        </w:rPr>
        <w:t> </w:t>
      </w:r>
      <w:hyperlink r:id="rId23" w:tooltip="View Case" w:history="1">
        <w:r w:rsidR="00655763" w:rsidRPr="00655763">
          <w:rPr>
            <w:rFonts w:ascii="Arial" w:hAnsi="Arial" w:cs="Arial"/>
            <w:color w:val="7B7B7B" w:themeColor="accent3" w:themeShade="BF"/>
            <w:sz w:val="22"/>
            <w:szCs w:val="22"/>
            <w:lang w:val="en-GB"/>
          </w:rPr>
          <w:t>[2014] FCAFC 57</w:t>
        </w:r>
      </w:hyperlink>
      <w:r w:rsidR="00655763" w:rsidRPr="00655763">
        <w:rPr>
          <w:rFonts w:ascii="Arial" w:hAnsi="Arial" w:cs="Arial"/>
          <w:color w:val="7B7B7B" w:themeColor="accent3" w:themeShade="BF"/>
          <w:sz w:val="22"/>
          <w:szCs w:val="22"/>
          <w:lang w:val="en-GB"/>
        </w:rPr>
        <w:t>; </w:t>
      </w:r>
      <w:r w:rsidR="00655763">
        <w:rPr>
          <w:rFonts w:ascii="Arial" w:hAnsi="Arial" w:cs="Arial"/>
          <w:color w:val="7B7B7B" w:themeColor="accent3" w:themeShade="BF"/>
          <w:sz w:val="22"/>
          <w:szCs w:val="22"/>
          <w:lang w:val="en-GB"/>
        </w:rPr>
        <w:t xml:space="preserve"> where the full court upheld notions of ‘modified universalism’ </w:t>
      </w:r>
      <w:r w:rsidR="00655763" w:rsidRPr="00655763">
        <w:rPr>
          <w:rFonts w:ascii="Arial" w:hAnsi="Arial" w:cs="Arial"/>
          <w:color w:val="7B7B7B" w:themeColor="accent3" w:themeShade="BF"/>
          <w:sz w:val="22"/>
          <w:szCs w:val="22"/>
          <w:lang w:val="en-GB"/>
        </w:rPr>
        <w:t>not</w:t>
      </w:r>
      <w:r w:rsidR="00655763" w:rsidRPr="00655763">
        <w:rPr>
          <w:rFonts w:ascii="Arial" w:hAnsi="Arial" w:cs="Arial"/>
          <w:color w:val="7B7B7B" w:themeColor="accent3" w:themeShade="BF"/>
          <w:sz w:val="22"/>
          <w:szCs w:val="22"/>
          <w:lang w:val="en-GB"/>
        </w:rPr>
        <w:t>ing t</w:t>
      </w:r>
      <w:r w:rsidR="00655763" w:rsidRPr="00655763">
        <w:rPr>
          <w:rFonts w:ascii="Arial" w:hAnsi="Arial" w:cs="Arial"/>
          <w:color w:val="7B7B7B" w:themeColor="accent3" w:themeShade="BF"/>
          <w:sz w:val="22"/>
          <w:szCs w:val="22"/>
          <w:lang w:val="en-GB"/>
        </w:rPr>
        <w:t>hat ‘the sacrifice of the rights (or the value in the rights) of local creditors upon an altar of universalism may be to take the general informing notion of universalism too far’</w:t>
      </w:r>
      <w:r w:rsidR="00655763" w:rsidRPr="00655763">
        <w:rPr>
          <w:rFonts w:ascii="Arial" w:hAnsi="Arial" w:cs="Arial"/>
          <w:color w:val="7B7B7B" w:themeColor="accent3" w:themeShade="BF"/>
          <w:sz w:val="22"/>
          <w:szCs w:val="22"/>
          <w:lang w:val="en-GB"/>
        </w:rPr>
        <w:t xml:space="preserve">, </w:t>
      </w:r>
      <w:r w:rsidR="00655763" w:rsidRPr="00655763">
        <w:rPr>
          <w:rFonts w:ascii="Arial" w:hAnsi="Arial" w:cs="Arial"/>
          <w:color w:val="7B7B7B" w:themeColor="accent3" w:themeShade="BF"/>
          <w:sz w:val="22"/>
          <w:szCs w:val="22"/>
          <w:lang w:val="en-GB"/>
        </w:rPr>
        <w:t>and said it may be more appropriate to describe the Model Law regime as ‘”modified universalism” for what such an appellation is worth</w:t>
      </w:r>
      <w:r w:rsidR="00655763" w:rsidRPr="00655763">
        <w:rPr>
          <w:rFonts w:ascii="Arial" w:hAnsi="Arial" w:cs="Arial"/>
          <w:color w:val="7B7B7B" w:themeColor="accent3" w:themeShade="BF"/>
          <w:sz w:val="22"/>
          <w:szCs w:val="22"/>
          <w:lang w:val="en-GB"/>
        </w:rPr>
        <w:t>’.</w:t>
      </w:r>
    </w:p>
    <w:p w14:paraId="0F7D892B" w14:textId="5E03FC4E" w:rsidR="0057355F" w:rsidRDefault="0057355F" w:rsidP="0057355F">
      <w:pPr>
        <w:autoSpaceDE w:val="0"/>
        <w:autoSpaceDN w:val="0"/>
        <w:adjustRightInd w:val="0"/>
        <w:jc w:val="both"/>
        <w:rPr>
          <w:rFonts w:ascii="Arial" w:hAnsi="Arial" w:cs="Arial"/>
          <w:color w:val="7B7B7B" w:themeColor="accent3" w:themeShade="BF"/>
          <w:sz w:val="22"/>
          <w:szCs w:val="22"/>
          <w:lang w:val="en-GB"/>
        </w:rPr>
      </w:pPr>
    </w:p>
    <w:p w14:paraId="59F31354" w14:textId="77777777" w:rsidR="0057355F" w:rsidRPr="0057355F" w:rsidRDefault="0057355F" w:rsidP="0057355F">
      <w:pPr>
        <w:autoSpaceDE w:val="0"/>
        <w:autoSpaceDN w:val="0"/>
        <w:adjustRightInd w:val="0"/>
        <w:jc w:val="both"/>
        <w:rPr>
          <w:rFonts w:ascii="Arial" w:hAnsi="Arial" w:cs="Arial"/>
          <w:color w:val="7B7B7B" w:themeColor="accent3" w:themeShade="BF"/>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2"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lastRenderedPageBreak/>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1"/>
    </w:p>
    <w:bookmarkEnd w:id="2"/>
    <w:p w14:paraId="154681F0" w14:textId="3933A239" w:rsidR="009D20B1" w:rsidRDefault="009D20B1" w:rsidP="00087F21">
      <w:pPr>
        <w:jc w:val="both"/>
        <w:rPr>
          <w:rFonts w:ascii="Arial" w:hAnsi="Arial" w:cs="Arial"/>
          <w:color w:val="000000" w:themeColor="text1"/>
          <w:sz w:val="22"/>
          <w:szCs w:val="22"/>
          <w:lang w:val="en-GB"/>
        </w:rPr>
      </w:pPr>
    </w:p>
    <w:p w14:paraId="261E3D53" w14:textId="41E9BE99" w:rsidR="00A37694" w:rsidRDefault="00DE3E1B"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assets of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is less than the liabilities in the given facts of the case, </w:t>
      </w:r>
      <w:r w:rsidR="00A37694">
        <w:rPr>
          <w:rFonts w:ascii="Arial" w:hAnsi="Arial" w:cs="Arial"/>
          <w:color w:val="7B7B7B" w:themeColor="accent3" w:themeShade="BF"/>
          <w:sz w:val="22"/>
          <w:szCs w:val="22"/>
          <w:lang w:val="en-GB"/>
        </w:rPr>
        <w:t xml:space="preserve">the same may be treated as an indicator of insolvency in light of the judgment by the Supreme Court of </w:t>
      </w:r>
      <w:r w:rsidR="00A37694" w:rsidRPr="00A37694">
        <w:rPr>
          <w:rFonts w:ascii="Arial" w:hAnsi="Arial" w:cs="Arial"/>
          <w:color w:val="7B7B7B" w:themeColor="accent3" w:themeShade="BF"/>
          <w:sz w:val="22"/>
          <w:szCs w:val="22"/>
          <w:lang w:val="en-GB"/>
        </w:rPr>
        <w:t xml:space="preserve">Victoria in the case of </w:t>
      </w:r>
      <w:r w:rsidR="00A37694" w:rsidRPr="00A37694">
        <w:rPr>
          <w:rFonts w:ascii="Arial" w:hAnsi="Arial" w:cs="Arial"/>
          <w:i/>
          <w:iCs/>
          <w:color w:val="7B7B7B" w:themeColor="accent3" w:themeShade="BF"/>
          <w:sz w:val="22"/>
          <w:szCs w:val="22"/>
          <w:lang w:val="en-GB"/>
        </w:rPr>
        <w:t>ASIC</w:t>
      </w:r>
      <w:r w:rsidR="00A37694" w:rsidRPr="00A37694">
        <w:rPr>
          <w:rFonts w:ascii="Arial" w:hAnsi="Arial" w:cs="Arial"/>
          <w:i/>
          <w:iCs/>
          <w:color w:val="7B7B7B" w:themeColor="accent3" w:themeShade="BF"/>
          <w:sz w:val="22"/>
          <w:szCs w:val="22"/>
          <w:lang w:val="en-GB"/>
        </w:rPr>
        <w:t xml:space="preserve"> v </w:t>
      </w:r>
      <w:proofErr w:type="spellStart"/>
      <w:r w:rsidR="00A37694" w:rsidRPr="00A37694">
        <w:rPr>
          <w:rFonts w:ascii="Arial" w:hAnsi="Arial" w:cs="Arial"/>
          <w:i/>
          <w:iCs/>
          <w:color w:val="7B7B7B" w:themeColor="accent3" w:themeShade="BF"/>
          <w:sz w:val="22"/>
          <w:szCs w:val="22"/>
          <w:lang w:val="en-GB"/>
        </w:rPr>
        <w:t>Plymin</w:t>
      </w:r>
      <w:proofErr w:type="spellEnd"/>
      <w:r w:rsidR="00A37694" w:rsidRPr="00A37694">
        <w:rPr>
          <w:rFonts w:ascii="Arial" w:hAnsi="Arial" w:cs="Arial"/>
          <w:i/>
          <w:iCs/>
          <w:color w:val="7B7B7B" w:themeColor="accent3" w:themeShade="BF"/>
          <w:sz w:val="22"/>
          <w:szCs w:val="22"/>
          <w:lang w:val="en-GB"/>
        </w:rPr>
        <w:t xml:space="preserve"> &amp; </w:t>
      </w:r>
      <w:proofErr w:type="spellStart"/>
      <w:r w:rsidR="00A37694" w:rsidRPr="00A37694">
        <w:rPr>
          <w:rFonts w:ascii="Arial" w:hAnsi="Arial" w:cs="Arial"/>
          <w:i/>
          <w:iCs/>
          <w:color w:val="7B7B7B" w:themeColor="accent3" w:themeShade="BF"/>
          <w:sz w:val="22"/>
          <w:szCs w:val="22"/>
          <w:lang w:val="en-GB"/>
        </w:rPr>
        <w:t>Ors</w:t>
      </w:r>
      <w:proofErr w:type="spellEnd"/>
      <w:r w:rsidR="00A37694" w:rsidRPr="00A37694">
        <w:rPr>
          <w:rFonts w:ascii="Arial" w:hAnsi="Arial" w:cs="Arial"/>
          <w:i/>
          <w:iCs/>
          <w:color w:val="7B7B7B" w:themeColor="accent3" w:themeShade="BF"/>
          <w:sz w:val="22"/>
          <w:szCs w:val="22"/>
          <w:lang w:val="en-GB"/>
        </w:rPr>
        <w:t> (2003) 46 ASCR 12</w:t>
      </w:r>
      <w:r w:rsidR="00A37694">
        <w:rPr>
          <w:rFonts w:ascii="Arial" w:hAnsi="Arial" w:cs="Arial"/>
          <w:color w:val="7B7B7B" w:themeColor="accent3" w:themeShade="BF"/>
          <w:sz w:val="22"/>
          <w:szCs w:val="22"/>
          <w:lang w:val="en-GB"/>
        </w:rPr>
        <w:t>. In this case, the apex court prescribed a l</w:t>
      </w:r>
      <w:r w:rsidR="00A37694" w:rsidRPr="00A37694">
        <w:rPr>
          <w:rFonts w:ascii="Arial" w:hAnsi="Arial" w:cs="Arial"/>
          <w:color w:val="7B7B7B" w:themeColor="accent3" w:themeShade="BF"/>
          <w:sz w:val="22"/>
          <w:szCs w:val="22"/>
          <w:lang w:val="en-GB"/>
        </w:rPr>
        <w:t>iquidity ratio below 1 (a ratio of current assets to liabilities)</w:t>
      </w:r>
      <w:r w:rsidR="00A37694">
        <w:rPr>
          <w:rFonts w:ascii="Arial" w:hAnsi="Arial" w:cs="Arial"/>
          <w:color w:val="7B7B7B" w:themeColor="accent3" w:themeShade="BF"/>
          <w:sz w:val="22"/>
          <w:szCs w:val="22"/>
          <w:lang w:val="en-GB"/>
        </w:rPr>
        <w:t xml:space="preserve"> as one of the indicators of insolvency of a company</w:t>
      </w:r>
      <w:r w:rsidR="00A37694" w:rsidRPr="00A37694">
        <w:rPr>
          <w:rFonts w:ascii="Arial" w:hAnsi="Arial" w:cs="Arial"/>
          <w:color w:val="7B7B7B" w:themeColor="accent3" w:themeShade="BF"/>
          <w:sz w:val="22"/>
          <w:szCs w:val="22"/>
          <w:lang w:val="en-GB"/>
        </w:rPr>
        <w:t>.</w:t>
      </w:r>
      <w:r w:rsidR="00A37694">
        <w:rPr>
          <w:rFonts w:ascii="Arial" w:hAnsi="Arial" w:cs="Arial"/>
          <w:color w:val="7B7B7B" w:themeColor="accent3" w:themeShade="BF"/>
          <w:sz w:val="22"/>
          <w:szCs w:val="22"/>
          <w:lang w:val="en-GB"/>
        </w:rPr>
        <w:t xml:space="preserve"> Accordingly, </w:t>
      </w:r>
      <w:r>
        <w:rPr>
          <w:rFonts w:ascii="Arial" w:hAnsi="Arial" w:cs="Arial"/>
          <w:color w:val="7B7B7B" w:themeColor="accent3" w:themeShade="BF"/>
          <w:sz w:val="22"/>
          <w:szCs w:val="22"/>
          <w:lang w:val="en-GB"/>
        </w:rPr>
        <w:t>a presumption of insolvency lies in regards Shipmen.</w:t>
      </w:r>
      <w:r w:rsidR="00A37694">
        <w:rPr>
          <w:rFonts w:ascii="Arial" w:hAnsi="Arial" w:cs="Arial"/>
          <w:color w:val="7B7B7B" w:themeColor="accent3" w:themeShade="BF"/>
          <w:sz w:val="22"/>
          <w:szCs w:val="22"/>
          <w:lang w:val="en-GB"/>
        </w:rPr>
        <w:t xml:space="preserve"> It is advised that </w:t>
      </w:r>
      <w:proofErr w:type="spellStart"/>
      <w:r w:rsidR="00A37694">
        <w:rPr>
          <w:rFonts w:ascii="Arial" w:hAnsi="Arial" w:cs="Arial"/>
          <w:color w:val="7B7B7B" w:themeColor="accent3" w:themeShade="BF"/>
          <w:sz w:val="22"/>
          <w:szCs w:val="22"/>
          <w:lang w:val="en-GB"/>
        </w:rPr>
        <w:t>Shipmax</w:t>
      </w:r>
      <w:proofErr w:type="spellEnd"/>
      <w:r w:rsidR="00A37694">
        <w:rPr>
          <w:rFonts w:ascii="Arial" w:hAnsi="Arial" w:cs="Arial"/>
          <w:color w:val="7B7B7B" w:themeColor="accent3" w:themeShade="BF"/>
          <w:sz w:val="22"/>
          <w:szCs w:val="22"/>
          <w:lang w:val="en-GB"/>
        </w:rPr>
        <w:t xml:space="preserve"> issues a statutory demand notice to </w:t>
      </w:r>
      <w:proofErr w:type="spellStart"/>
      <w:r w:rsidR="00A37694">
        <w:rPr>
          <w:rFonts w:ascii="Arial" w:hAnsi="Arial" w:cs="Arial"/>
          <w:color w:val="7B7B7B" w:themeColor="accent3" w:themeShade="BF"/>
          <w:sz w:val="22"/>
          <w:szCs w:val="22"/>
          <w:lang w:val="en-GB"/>
        </w:rPr>
        <w:t>Sh</w:t>
      </w:r>
      <w:r w:rsidR="00EB6C73">
        <w:rPr>
          <w:rFonts w:ascii="Arial" w:hAnsi="Arial" w:cs="Arial"/>
          <w:color w:val="7B7B7B" w:themeColor="accent3" w:themeShade="BF"/>
          <w:sz w:val="22"/>
          <w:szCs w:val="22"/>
          <w:lang w:val="en-GB"/>
        </w:rPr>
        <w:t>i</w:t>
      </w:r>
      <w:r w:rsidR="00A37694">
        <w:rPr>
          <w:rFonts w:ascii="Arial" w:hAnsi="Arial" w:cs="Arial"/>
          <w:color w:val="7B7B7B" w:themeColor="accent3" w:themeShade="BF"/>
          <w:sz w:val="22"/>
          <w:szCs w:val="22"/>
          <w:lang w:val="en-GB"/>
        </w:rPr>
        <w:t>pmin</w:t>
      </w:r>
      <w:proofErr w:type="spellEnd"/>
      <w:r w:rsidR="00A37694">
        <w:rPr>
          <w:rFonts w:ascii="Arial" w:hAnsi="Arial" w:cs="Arial"/>
          <w:color w:val="7B7B7B" w:themeColor="accent3" w:themeShade="BF"/>
          <w:sz w:val="22"/>
          <w:szCs w:val="22"/>
          <w:lang w:val="en-GB"/>
        </w:rPr>
        <w:t xml:space="preserve"> requiring </w:t>
      </w:r>
      <w:proofErr w:type="spellStart"/>
      <w:r w:rsidR="00A37694">
        <w:rPr>
          <w:rFonts w:ascii="Arial" w:hAnsi="Arial" w:cs="Arial"/>
          <w:color w:val="7B7B7B" w:themeColor="accent3" w:themeShade="BF"/>
          <w:sz w:val="22"/>
          <w:szCs w:val="22"/>
          <w:lang w:val="en-GB"/>
        </w:rPr>
        <w:t>Shipmin</w:t>
      </w:r>
      <w:proofErr w:type="spellEnd"/>
      <w:r w:rsidR="00A37694">
        <w:rPr>
          <w:rFonts w:ascii="Arial" w:hAnsi="Arial" w:cs="Arial"/>
          <w:color w:val="7B7B7B" w:themeColor="accent3" w:themeShade="BF"/>
          <w:sz w:val="22"/>
          <w:szCs w:val="22"/>
          <w:lang w:val="en-GB"/>
        </w:rPr>
        <w:t xml:space="preserve"> to pay the debt of AUD 180 million (</w:t>
      </w:r>
      <w:proofErr w:type="spellStart"/>
      <w:r w:rsidR="00A37694">
        <w:rPr>
          <w:rFonts w:ascii="Arial" w:hAnsi="Arial" w:cs="Arial"/>
          <w:color w:val="7B7B7B" w:themeColor="accent3" w:themeShade="BF"/>
          <w:sz w:val="22"/>
          <w:szCs w:val="22"/>
          <w:lang w:val="en-GB"/>
        </w:rPr>
        <w:t>alongwith</w:t>
      </w:r>
      <w:proofErr w:type="spellEnd"/>
      <w:r w:rsidR="00A37694">
        <w:rPr>
          <w:rFonts w:ascii="Arial" w:hAnsi="Arial" w:cs="Arial"/>
          <w:color w:val="7B7B7B" w:themeColor="accent3" w:themeShade="BF"/>
          <w:sz w:val="22"/>
          <w:szCs w:val="22"/>
          <w:lang w:val="en-GB"/>
        </w:rPr>
        <w:t xml:space="preserve"> applicable interest) granted as inter-company debt to </w:t>
      </w:r>
      <w:proofErr w:type="spellStart"/>
      <w:r w:rsidR="00A37694">
        <w:rPr>
          <w:rFonts w:ascii="Arial" w:hAnsi="Arial" w:cs="Arial"/>
          <w:color w:val="7B7B7B" w:themeColor="accent3" w:themeShade="BF"/>
          <w:sz w:val="22"/>
          <w:szCs w:val="22"/>
          <w:lang w:val="en-GB"/>
        </w:rPr>
        <w:t>Shipmin</w:t>
      </w:r>
      <w:proofErr w:type="spellEnd"/>
      <w:r w:rsidR="00A37694">
        <w:rPr>
          <w:rFonts w:ascii="Arial" w:hAnsi="Arial" w:cs="Arial"/>
          <w:color w:val="7B7B7B" w:themeColor="accent3" w:themeShade="BF"/>
          <w:sz w:val="22"/>
          <w:szCs w:val="22"/>
          <w:lang w:val="en-GB"/>
        </w:rPr>
        <w:t xml:space="preserve">. It is likely that such a demand shall return unpaid by </w:t>
      </w:r>
      <w:proofErr w:type="spellStart"/>
      <w:r w:rsidR="00A37694">
        <w:rPr>
          <w:rFonts w:ascii="Arial" w:hAnsi="Arial" w:cs="Arial"/>
          <w:color w:val="7B7B7B" w:themeColor="accent3" w:themeShade="BF"/>
          <w:sz w:val="22"/>
          <w:szCs w:val="22"/>
          <w:lang w:val="en-GB"/>
        </w:rPr>
        <w:t>Shipmin</w:t>
      </w:r>
      <w:proofErr w:type="spellEnd"/>
      <w:r w:rsidR="00A37694">
        <w:rPr>
          <w:rFonts w:ascii="Arial" w:hAnsi="Arial" w:cs="Arial"/>
          <w:color w:val="7B7B7B" w:themeColor="accent3" w:themeShade="BF"/>
          <w:sz w:val="22"/>
          <w:szCs w:val="22"/>
          <w:lang w:val="en-GB"/>
        </w:rPr>
        <w:t xml:space="preserve"> and fail to comply with the statutory demand </w:t>
      </w:r>
      <w:r w:rsidR="00A345E3">
        <w:rPr>
          <w:rFonts w:ascii="Arial" w:hAnsi="Arial" w:cs="Arial"/>
          <w:color w:val="7B7B7B" w:themeColor="accent3" w:themeShade="BF"/>
          <w:sz w:val="22"/>
          <w:szCs w:val="22"/>
          <w:lang w:val="en-GB"/>
        </w:rPr>
        <w:t xml:space="preserve">in terms of Section 459 F of the Corporations Act </w:t>
      </w:r>
      <w:r w:rsidR="00A37694">
        <w:rPr>
          <w:rFonts w:ascii="Arial" w:hAnsi="Arial" w:cs="Arial"/>
          <w:color w:val="7B7B7B" w:themeColor="accent3" w:themeShade="BF"/>
          <w:sz w:val="22"/>
          <w:szCs w:val="22"/>
          <w:lang w:val="en-GB"/>
        </w:rPr>
        <w:t>on account if its apparent insolvency.</w:t>
      </w:r>
      <w:r w:rsidR="0002065F">
        <w:rPr>
          <w:rFonts w:ascii="Arial" w:hAnsi="Arial" w:cs="Arial"/>
          <w:color w:val="7B7B7B" w:themeColor="accent3" w:themeShade="BF"/>
          <w:sz w:val="22"/>
          <w:szCs w:val="22"/>
          <w:lang w:val="en-GB"/>
        </w:rPr>
        <w:t xml:space="preserve"> The application foe winding up can also be filed on non-insolvency grounds such as in circumstances where there is a special resolution passed to that effect. </w:t>
      </w:r>
    </w:p>
    <w:p w14:paraId="64EB5BCB" w14:textId="77777777" w:rsidR="00A37694" w:rsidRDefault="00A37694" w:rsidP="00692909">
      <w:pPr>
        <w:autoSpaceDE w:val="0"/>
        <w:autoSpaceDN w:val="0"/>
        <w:adjustRightInd w:val="0"/>
        <w:jc w:val="both"/>
        <w:rPr>
          <w:rFonts w:ascii="Arial" w:hAnsi="Arial" w:cs="Arial"/>
          <w:color w:val="7B7B7B" w:themeColor="accent3" w:themeShade="BF"/>
          <w:sz w:val="22"/>
          <w:szCs w:val="22"/>
          <w:lang w:val="en-GB"/>
        </w:rPr>
      </w:pPr>
    </w:p>
    <w:p w14:paraId="68CCCFE5" w14:textId="10F9EAEE" w:rsidR="00B77F46" w:rsidRDefault="00DE3E1B" w:rsidP="00692909">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Shipm</w:t>
      </w:r>
      <w:r w:rsidR="00A37694">
        <w:rPr>
          <w:rFonts w:ascii="Arial" w:hAnsi="Arial" w:cs="Arial"/>
          <w:color w:val="7B7B7B" w:themeColor="accent3" w:themeShade="BF"/>
          <w:sz w:val="22"/>
          <w:szCs w:val="22"/>
          <w:lang w:val="en-GB"/>
        </w:rPr>
        <w:t>ax</w:t>
      </w:r>
      <w:proofErr w:type="spellEnd"/>
      <w:r w:rsidR="00A37694">
        <w:rPr>
          <w:rFonts w:ascii="Arial" w:hAnsi="Arial" w:cs="Arial"/>
          <w:color w:val="7B7B7B" w:themeColor="accent3" w:themeShade="BF"/>
          <w:sz w:val="22"/>
          <w:szCs w:val="22"/>
          <w:lang w:val="en-GB"/>
        </w:rPr>
        <w:t xml:space="preserve">, therefore, </w:t>
      </w:r>
      <w:r>
        <w:rPr>
          <w:rFonts w:ascii="Arial" w:hAnsi="Arial" w:cs="Arial"/>
          <w:color w:val="7B7B7B" w:themeColor="accent3" w:themeShade="BF"/>
          <w:sz w:val="22"/>
          <w:szCs w:val="22"/>
          <w:lang w:val="en-GB"/>
        </w:rPr>
        <w:t xml:space="preserve">being a 100% member and shareholder of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and also an unpaid creditor, </w:t>
      </w:r>
      <w:r w:rsidR="00A37694">
        <w:rPr>
          <w:rFonts w:ascii="Arial" w:hAnsi="Arial" w:cs="Arial"/>
          <w:color w:val="7B7B7B" w:themeColor="accent3" w:themeShade="BF"/>
          <w:sz w:val="22"/>
          <w:szCs w:val="22"/>
          <w:lang w:val="en-GB"/>
        </w:rPr>
        <w:t>through its liquidator can bring an action and</w:t>
      </w:r>
      <w:r>
        <w:rPr>
          <w:rFonts w:ascii="Arial" w:hAnsi="Arial" w:cs="Arial"/>
          <w:color w:val="7B7B7B" w:themeColor="accent3" w:themeShade="BF"/>
          <w:sz w:val="22"/>
          <w:szCs w:val="22"/>
          <w:lang w:val="en-GB"/>
        </w:rPr>
        <w:t xml:space="preserve"> can apply to the c</w:t>
      </w:r>
      <w:r w:rsidR="0002065F">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urt for</w:t>
      </w:r>
      <w:r w:rsidR="0002065F">
        <w:rPr>
          <w:rFonts w:ascii="Arial" w:hAnsi="Arial" w:cs="Arial"/>
          <w:color w:val="7B7B7B" w:themeColor="accent3" w:themeShade="BF"/>
          <w:sz w:val="22"/>
          <w:szCs w:val="22"/>
          <w:lang w:val="en-GB"/>
        </w:rPr>
        <w:t xml:space="preserve"> its</w:t>
      </w:r>
      <w:r>
        <w:rPr>
          <w:rFonts w:ascii="Arial" w:hAnsi="Arial" w:cs="Arial"/>
          <w:color w:val="7B7B7B" w:themeColor="accent3" w:themeShade="BF"/>
          <w:sz w:val="22"/>
          <w:szCs w:val="22"/>
          <w:lang w:val="en-GB"/>
        </w:rPr>
        <w:t xml:space="preserve"> compulsory liquidation </w:t>
      </w:r>
      <w:r w:rsidR="00A37694">
        <w:rPr>
          <w:rFonts w:ascii="Arial" w:hAnsi="Arial" w:cs="Arial"/>
          <w:color w:val="7B7B7B" w:themeColor="accent3" w:themeShade="BF"/>
          <w:sz w:val="22"/>
          <w:szCs w:val="22"/>
          <w:lang w:val="en-GB"/>
        </w:rPr>
        <w:t xml:space="preserve">in terms of Section 459A and 459P of the Corporations </w:t>
      </w:r>
      <w:r w:rsidR="00F9291E">
        <w:rPr>
          <w:rFonts w:ascii="Arial" w:hAnsi="Arial" w:cs="Arial"/>
          <w:color w:val="7B7B7B" w:themeColor="accent3" w:themeShade="BF"/>
          <w:sz w:val="22"/>
          <w:szCs w:val="22"/>
          <w:lang w:val="en-GB"/>
        </w:rPr>
        <w:t>Act.</w:t>
      </w:r>
    </w:p>
    <w:p w14:paraId="494C86F1" w14:textId="17E19EC3" w:rsidR="0002065F" w:rsidRDefault="0002065F" w:rsidP="00692909">
      <w:pPr>
        <w:autoSpaceDE w:val="0"/>
        <w:autoSpaceDN w:val="0"/>
        <w:adjustRightInd w:val="0"/>
        <w:jc w:val="both"/>
        <w:rPr>
          <w:rFonts w:ascii="Arial" w:hAnsi="Arial" w:cs="Arial"/>
          <w:color w:val="7B7B7B" w:themeColor="accent3" w:themeShade="BF"/>
          <w:sz w:val="22"/>
          <w:szCs w:val="22"/>
          <w:lang w:val="en-GB"/>
        </w:rPr>
      </w:pPr>
    </w:p>
    <w:p w14:paraId="45945A7C" w14:textId="6479C460" w:rsidR="0002065F" w:rsidRPr="00A37694" w:rsidRDefault="0002065F"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F9291E">
        <w:rPr>
          <w:rFonts w:ascii="Arial" w:hAnsi="Arial" w:cs="Arial"/>
          <w:color w:val="7B7B7B" w:themeColor="accent3" w:themeShade="BF"/>
          <w:sz w:val="22"/>
          <w:szCs w:val="22"/>
          <w:lang w:val="en-GB"/>
        </w:rPr>
        <w:t xml:space="preserve">creditor’s voluntary liquidation may also be initiated against </w:t>
      </w:r>
      <w:proofErr w:type="spellStart"/>
      <w:r w:rsidR="00F9291E">
        <w:rPr>
          <w:rFonts w:ascii="Arial" w:hAnsi="Arial" w:cs="Arial"/>
          <w:color w:val="7B7B7B" w:themeColor="accent3" w:themeShade="BF"/>
          <w:sz w:val="22"/>
          <w:szCs w:val="22"/>
          <w:lang w:val="en-GB"/>
        </w:rPr>
        <w:t>Shipmin</w:t>
      </w:r>
      <w:proofErr w:type="spellEnd"/>
      <w:r w:rsidR="00F9291E">
        <w:rPr>
          <w:rFonts w:ascii="Arial" w:hAnsi="Arial" w:cs="Arial"/>
          <w:color w:val="7B7B7B" w:themeColor="accent3" w:themeShade="BF"/>
          <w:sz w:val="22"/>
          <w:szCs w:val="22"/>
          <w:lang w:val="en-GB"/>
        </w:rPr>
        <w:t xml:space="preserve"> </w:t>
      </w:r>
      <w:r w:rsidR="00F9291E">
        <w:rPr>
          <w:rFonts w:ascii="Arial" w:hAnsi="Arial" w:cs="Arial"/>
          <w:color w:val="7B7B7B" w:themeColor="accent3" w:themeShade="BF"/>
          <w:sz w:val="22"/>
          <w:szCs w:val="22"/>
          <w:lang w:val="en-GB"/>
        </w:rPr>
        <w:t xml:space="preserve">upon its shareholders being </w:t>
      </w:r>
      <w:proofErr w:type="spellStart"/>
      <w:r w:rsidR="00F9291E">
        <w:rPr>
          <w:rFonts w:ascii="Arial" w:hAnsi="Arial" w:cs="Arial"/>
          <w:color w:val="7B7B7B" w:themeColor="accent3" w:themeShade="BF"/>
          <w:sz w:val="22"/>
          <w:szCs w:val="22"/>
          <w:lang w:val="en-GB"/>
        </w:rPr>
        <w:t>Shipmax</w:t>
      </w:r>
      <w:proofErr w:type="spellEnd"/>
      <w:r w:rsidR="00F9291E">
        <w:rPr>
          <w:rFonts w:ascii="Arial" w:hAnsi="Arial" w:cs="Arial"/>
          <w:color w:val="7B7B7B" w:themeColor="accent3" w:themeShade="BF"/>
          <w:sz w:val="22"/>
          <w:szCs w:val="22"/>
          <w:lang w:val="en-GB"/>
        </w:rPr>
        <w:t xml:space="preserve"> resolving to liquidate Shipman and appointing a liquidator</w:t>
      </w:r>
      <w:r w:rsidR="00F9291E">
        <w:rPr>
          <w:rFonts w:ascii="Arial" w:hAnsi="Arial" w:cs="Arial"/>
          <w:color w:val="7B7B7B" w:themeColor="accent3" w:themeShade="BF"/>
          <w:sz w:val="22"/>
          <w:szCs w:val="22"/>
          <w:lang w:val="en-GB"/>
        </w:rPr>
        <w:t xml:space="preserve"> (on account </w:t>
      </w:r>
      <w:r w:rsidR="00F9291E" w:rsidRPr="00F9291E">
        <w:rPr>
          <w:rFonts w:ascii="Arial" w:hAnsi="Arial" w:cs="Arial"/>
          <w:color w:val="7B7B7B" w:themeColor="accent3" w:themeShade="BF"/>
          <w:sz w:val="22"/>
          <w:szCs w:val="22"/>
          <w:lang w:val="en-GB"/>
        </w:rPr>
        <w:t>of its liabilities exceeding the assets of the company. As a result</w:t>
      </w:r>
      <w:r w:rsidR="00F9291E">
        <w:rPr>
          <w:rFonts w:ascii="Arial" w:hAnsi="Arial" w:cs="Arial"/>
          <w:color w:val="7B7B7B" w:themeColor="accent3" w:themeShade="BF"/>
          <w:sz w:val="22"/>
          <w:szCs w:val="22"/>
          <w:lang w:val="en-GB"/>
        </w:rPr>
        <w:t>,</w:t>
      </w:r>
      <w:r w:rsidR="00F9291E" w:rsidRPr="00F9291E">
        <w:rPr>
          <w:rFonts w:ascii="Arial" w:hAnsi="Arial" w:cs="Arial"/>
          <w:color w:val="7B7B7B" w:themeColor="accent3" w:themeShade="BF"/>
          <w:sz w:val="22"/>
          <w:szCs w:val="22"/>
          <w:lang w:val="en-GB"/>
        </w:rPr>
        <w:t xml:space="preserve"> </w:t>
      </w:r>
      <w:r w:rsidR="00F9291E">
        <w:rPr>
          <w:rFonts w:ascii="Arial" w:hAnsi="Arial" w:cs="Arial"/>
          <w:color w:val="7B7B7B" w:themeColor="accent3" w:themeShade="BF"/>
          <w:sz w:val="22"/>
          <w:szCs w:val="22"/>
          <w:lang w:val="en-GB"/>
        </w:rPr>
        <w:t xml:space="preserve">it is likely that losses may </w:t>
      </w:r>
      <w:r w:rsidR="00F9291E" w:rsidRPr="00F9291E">
        <w:rPr>
          <w:rFonts w:ascii="Arial" w:hAnsi="Arial" w:cs="Arial"/>
          <w:color w:val="7B7B7B" w:themeColor="accent3" w:themeShade="BF"/>
          <w:sz w:val="22"/>
          <w:szCs w:val="22"/>
          <w:lang w:val="en-GB"/>
        </w:rPr>
        <w:t xml:space="preserve">only </w:t>
      </w:r>
      <w:r w:rsidR="00F9291E">
        <w:rPr>
          <w:rFonts w:ascii="Arial" w:hAnsi="Arial" w:cs="Arial"/>
          <w:color w:val="7B7B7B" w:themeColor="accent3" w:themeShade="BF"/>
          <w:sz w:val="22"/>
          <w:szCs w:val="22"/>
          <w:lang w:val="en-GB"/>
        </w:rPr>
        <w:t xml:space="preserve">be </w:t>
      </w:r>
      <w:r w:rsidR="00F9291E" w:rsidRPr="00F9291E">
        <w:rPr>
          <w:rFonts w:ascii="Arial" w:hAnsi="Arial" w:cs="Arial"/>
          <w:color w:val="7B7B7B" w:themeColor="accent3" w:themeShade="BF"/>
          <w:sz w:val="22"/>
          <w:szCs w:val="22"/>
          <w:lang w:val="en-GB"/>
        </w:rPr>
        <w:t xml:space="preserve">increasing and without a turnaround in the business’s fortune the </w:t>
      </w:r>
      <w:r w:rsidR="00F9291E">
        <w:rPr>
          <w:rFonts w:ascii="Arial" w:hAnsi="Arial" w:cs="Arial"/>
          <w:color w:val="7B7B7B" w:themeColor="accent3" w:themeShade="BF"/>
          <w:sz w:val="22"/>
          <w:szCs w:val="22"/>
          <w:lang w:val="en-GB"/>
        </w:rPr>
        <w:t>d</w:t>
      </w:r>
      <w:r w:rsidR="00F9291E" w:rsidRPr="00F9291E">
        <w:rPr>
          <w:rFonts w:ascii="Arial" w:hAnsi="Arial" w:cs="Arial"/>
          <w:color w:val="7B7B7B" w:themeColor="accent3" w:themeShade="BF"/>
          <w:sz w:val="22"/>
          <w:szCs w:val="22"/>
          <w:lang w:val="en-GB"/>
        </w:rPr>
        <w:t>irectors are conscious that continuing to trade might infringe on wrongful trading</w:t>
      </w:r>
      <w:r w:rsidR="00F9291E">
        <w:rPr>
          <w:rFonts w:ascii="Arial" w:hAnsi="Arial" w:cs="Arial"/>
          <w:color w:val="7B7B7B" w:themeColor="accent3" w:themeShade="BF"/>
          <w:sz w:val="22"/>
          <w:szCs w:val="22"/>
          <w:lang w:val="en-GB"/>
        </w:rPr>
        <w:t xml:space="preserve">) Because the right to appoint the liquidator in this kind of liquidation vests in the shareholders, </w:t>
      </w:r>
      <w:proofErr w:type="spellStart"/>
      <w:r w:rsidR="00F9291E">
        <w:rPr>
          <w:rFonts w:ascii="Arial" w:hAnsi="Arial" w:cs="Arial"/>
          <w:color w:val="7B7B7B" w:themeColor="accent3" w:themeShade="BF"/>
          <w:sz w:val="22"/>
          <w:szCs w:val="22"/>
          <w:lang w:val="en-GB"/>
        </w:rPr>
        <w:t>Shipmax</w:t>
      </w:r>
      <w:proofErr w:type="spellEnd"/>
      <w:r w:rsidR="00F9291E">
        <w:rPr>
          <w:rFonts w:ascii="Arial" w:hAnsi="Arial" w:cs="Arial"/>
          <w:color w:val="7B7B7B" w:themeColor="accent3" w:themeShade="BF"/>
          <w:sz w:val="22"/>
          <w:szCs w:val="22"/>
          <w:lang w:val="en-GB"/>
        </w:rPr>
        <w:t xml:space="preserve"> may resolve to appoint the same liquidator as in its case of liquidation to also deal with and realise the assets of </w:t>
      </w:r>
      <w:proofErr w:type="spellStart"/>
      <w:r w:rsidR="00F9291E">
        <w:rPr>
          <w:rFonts w:ascii="Arial" w:hAnsi="Arial" w:cs="Arial"/>
          <w:color w:val="7B7B7B" w:themeColor="accent3" w:themeShade="BF"/>
          <w:sz w:val="22"/>
          <w:szCs w:val="22"/>
          <w:lang w:val="en-GB"/>
        </w:rPr>
        <w:t>Shipmin</w:t>
      </w:r>
      <w:proofErr w:type="spellEnd"/>
      <w:r w:rsidR="00F9291E">
        <w:rPr>
          <w:rFonts w:ascii="Arial" w:hAnsi="Arial" w:cs="Arial"/>
          <w:color w:val="7B7B7B" w:themeColor="accent3" w:themeShade="BF"/>
          <w:sz w:val="22"/>
          <w:szCs w:val="22"/>
          <w:lang w:val="en-GB"/>
        </w:rPr>
        <w:t xml:space="preserve"> in order to maximise return from </w:t>
      </w:r>
      <w:proofErr w:type="spellStart"/>
      <w:r w:rsidR="00F9291E">
        <w:rPr>
          <w:rFonts w:ascii="Arial" w:hAnsi="Arial" w:cs="Arial"/>
          <w:color w:val="7B7B7B" w:themeColor="accent3" w:themeShade="BF"/>
          <w:sz w:val="22"/>
          <w:szCs w:val="22"/>
          <w:lang w:val="en-GB"/>
        </w:rPr>
        <w:t>Shipmin’s</w:t>
      </w:r>
      <w:proofErr w:type="spellEnd"/>
      <w:r w:rsidR="00F9291E">
        <w:rPr>
          <w:rFonts w:ascii="Arial" w:hAnsi="Arial" w:cs="Arial"/>
          <w:color w:val="7B7B7B" w:themeColor="accent3" w:themeShade="BF"/>
          <w:sz w:val="22"/>
          <w:szCs w:val="22"/>
          <w:lang w:val="en-GB"/>
        </w:rPr>
        <w:t xml:space="preserve"> assets. </w:t>
      </w:r>
    </w:p>
    <w:sectPr w:rsidR="0002065F" w:rsidRPr="00A37694" w:rsidSect="0073158B">
      <w:footerReference w:type="even" r:id="rId24"/>
      <w:footerReference w:type="default" r:id="rId2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54E5" w14:textId="77777777" w:rsidR="00F66EC6" w:rsidRDefault="00F66EC6" w:rsidP="00241B44">
      <w:r>
        <w:separator/>
      </w:r>
    </w:p>
  </w:endnote>
  <w:endnote w:type="continuationSeparator" w:id="0">
    <w:p w14:paraId="40750359" w14:textId="77777777" w:rsidR="00F66EC6" w:rsidRDefault="00F66E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7EE26A2" w:rsidR="00542A3A" w:rsidRPr="009B4976" w:rsidRDefault="00145427" w:rsidP="009B4976">
    <w:pPr>
      <w:pStyle w:val="Footer"/>
      <w:ind w:right="360"/>
      <w:rPr>
        <w:rFonts w:ascii="Arial" w:hAnsi="Arial" w:cs="Arial"/>
        <w:sz w:val="18"/>
        <w:szCs w:val="18"/>
        <w:lang w:val="en-GB"/>
      </w:rPr>
    </w:pPr>
    <w:r w:rsidRPr="009F047E">
      <w:rPr>
        <w:rFonts w:ascii="Arial" w:hAnsi="Arial" w:cs="Arial"/>
        <w:sz w:val="18"/>
        <w:szCs w:val="18"/>
        <w:lang w:val="en-GB"/>
      </w:rPr>
      <w:t>202021IFU-387</w:t>
    </w:r>
    <w:r w:rsidRPr="009B4976">
      <w:rPr>
        <w:rFonts w:ascii="Arial" w:hAnsi="Arial" w:cs="Arial"/>
        <w:sz w:val="18"/>
        <w:szCs w:val="18"/>
        <w:lang w:val="en-GB"/>
      </w:rPr>
      <w:t>.assessment</w:t>
    </w:r>
    <w:r>
      <w:rPr>
        <w:rFonts w:ascii="Arial" w:hAnsi="Arial" w:cs="Arial"/>
        <w:sz w:val="18"/>
        <w:szCs w:val="18"/>
        <w:lang w:val="en-GB"/>
      </w:rPr>
      <w:t>8A</w:t>
    </w:r>
    <w:r>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AC8A" w14:textId="77777777" w:rsidR="00F66EC6" w:rsidRDefault="00F66EC6" w:rsidP="00241B44">
      <w:r>
        <w:separator/>
      </w:r>
    </w:p>
  </w:footnote>
  <w:footnote w:type="continuationSeparator" w:id="0">
    <w:p w14:paraId="637D83EB" w14:textId="77777777" w:rsidR="00F66EC6" w:rsidRDefault="00F66EC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F1"/>
    <w:multiLevelType w:val="hybridMultilevel"/>
    <w:tmpl w:val="9258DCAE"/>
    <w:lvl w:ilvl="0" w:tplc="4FDC2B10">
      <w:start w:val="1"/>
      <w:numFmt w:val="lowerLetter"/>
      <w:lvlText w:val="(%1)"/>
      <w:lvlJc w:val="left"/>
      <w:pPr>
        <w:ind w:left="270" w:hanging="36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1" w15:restartNumberingAfterBreak="0">
    <w:nsid w:val="01247FF0"/>
    <w:multiLevelType w:val="multilevel"/>
    <w:tmpl w:val="D29E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B1D5D"/>
    <w:multiLevelType w:val="hybridMultilevel"/>
    <w:tmpl w:val="2F483590"/>
    <w:lvl w:ilvl="0" w:tplc="3F6EC78E">
      <w:start w:val="1"/>
      <w:numFmt w:val="bullet"/>
      <w:lvlText w:val="-"/>
      <w:lvlJc w:val="left"/>
      <w:pPr>
        <w:ind w:left="1080" w:hanging="360"/>
      </w:pPr>
      <w:rPr>
        <w:rFonts w:ascii="Arial" w:eastAsia="Times New Roman" w:hAnsi="Arial" w:cs="Arial"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A466119"/>
    <w:multiLevelType w:val="multilevel"/>
    <w:tmpl w:val="92AE8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50323"/>
    <w:multiLevelType w:val="multilevel"/>
    <w:tmpl w:val="13A0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A467391"/>
    <w:multiLevelType w:val="multilevel"/>
    <w:tmpl w:val="AD3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E541134"/>
    <w:multiLevelType w:val="hybridMultilevel"/>
    <w:tmpl w:val="505A24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D7DB1"/>
    <w:multiLevelType w:val="multilevel"/>
    <w:tmpl w:val="8494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52EE7"/>
    <w:multiLevelType w:val="multilevel"/>
    <w:tmpl w:val="3D28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C5F5A89"/>
    <w:multiLevelType w:val="hybridMultilevel"/>
    <w:tmpl w:val="258253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37E060D"/>
    <w:multiLevelType w:val="hybridMultilevel"/>
    <w:tmpl w:val="3FB0B9BA"/>
    <w:lvl w:ilvl="0" w:tplc="0A3C0C4C">
      <w:start w:val="1"/>
      <w:numFmt w:val="low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9"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ABA3EEF"/>
    <w:multiLevelType w:val="hybridMultilevel"/>
    <w:tmpl w:val="258253C0"/>
    <w:lvl w:ilvl="0" w:tplc="40090017">
      <w:start w:val="1"/>
      <w:numFmt w:val="lowerLetter"/>
      <w:lvlText w:val="%1)"/>
      <w:lvlJc w:val="left"/>
      <w:pPr>
        <w:ind w:left="50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2CD7827"/>
    <w:multiLevelType w:val="hybridMultilevel"/>
    <w:tmpl w:val="258253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9144EA4"/>
    <w:multiLevelType w:val="hybridMultilevel"/>
    <w:tmpl w:val="BEAAF8A8"/>
    <w:lvl w:ilvl="0" w:tplc="781C41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C495246"/>
    <w:multiLevelType w:val="hybridMultilevel"/>
    <w:tmpl w:val="C7DCB82E"/>
    <w:lvl w:ilvl="0" w:tplc="DB9CAFF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D9B0985"/>
    <w:multiLevelType w:val="hybridMultilevel"/>
    <w:tmpl w:val="B9B4C1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E920784"/>
    <w:multiLevelType w:val="hybridMultilevel"/>
    <w:tmpl w:val="EF2E4B90"/>
    <w:lvl w:ilvl="0" w:tplc="9478514A">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7"/>
  </w:num>
  <w:num w:numId="2">
    <w:abstractNumId w:val="11"/>
  </w:num>
  <w:num w:numId="3">
    <w:abstractNumId w:val="8"/>
  </w:num>
  <w:num w:numId="4">
    <w:abstractNumId w:val="24"/>
  </w:num>
  <w:num w:numId="5">
    <w:abstractNumId w:val="9"/>
  </w:num>
  <w:num w:numId="6">
    <w:abstractNumId w:val="22"/>
  </w:num>
  <w:num w:numId="7">
    <w:abstractNumId w:val="26"/>
  </w:num>
  <w:num w:numId="8">
    <w:abstractNumId w:val="23"/>
  </w:num>
  <w:num w:numId="9">
    <w:abstractNumId w:val="6"/>
  </w:num>
  <w:num w:numId="10">
    <w:abstractNumId w:val="5"/>
  </w:num>
  <w:num w:numId="11">
    <w:abstractNumId w:val="28"/>
  </w:num>
  <w:num w:numId="12">
    <w:abstractNumId w:val="15"/>
  </w:num>
  <w:num w:numId="13">
    <w:abstractNumId w:val="29"/>
  </w:num>
  <w:num w:numId="14">
    <w:abstractNumId w:val="31"/>
  </w:num>
  <w:num w:numId="15">
    <w:abstractNumId w:val="21"/>
  </w:num>
  <w:num w:numId="16">
    <w:abstractNumId w:val="36"/>
  </w:num>
  <w:num w:numId="17">
    <w:abstractNumId w:val="20"/>
  </w:num>
  <w:num w:numId="18">
    <w:abstractNumId w:val="12"/>
  </w:num>
  <w:num w:numId="19">
    <w:abstractNumId w:val="17"/>
  </w:num>
  <w:num w:numId="20">
    <w:abstractNumId w:val="19"/>
  </w:num>
  <w:num w:numId="21">
    <w:abstractNumId w:val="13"/>
  </w:num>
  <w:num w:numId="22">
    <w:abstractNumId w:val="32"/>
  </w:num>
  <w:num w:numId="23">
    <w:abstractNumId w:val="1"/>
  </w:num>
  <w:num w:numId="24">
    <w:abstractNumId w:val="34"/>
  </w:num>
  <w:num w:numId="25">
    <w:abstractNumId w:val="2"/>
  </w:num>
  <w:num w:numId="26">
    <w:abstractNumId w:val="35"/>
  </w:num>
  <w:num w:numId="27">
    <w:abstractNumId w:val="33"/>
  </w:num>
  <w:num w:numId="28">
    <w:abstractNumId w:val="18"/>
  </w:num>
  <w:num w:numId="29">
    <w:abstractNumId w:val="0"/>
  </w:num>
  <w:num w:numId="30">
    <w:abstractNumId w:val="16"/>
  </w:num>
  <w:num w:numId="31">
    <w:abstractNumId w:val="30"/>
  </w:num>
  <w:num w:numId="32">
    <w:abstractNumId w:val="25"/>
  </w:num>
  <w:num w:numId="33">
    <w:abstractNumId w:val="14"/>
  </w:num>
  <w:num w:numId="34">
    <w:abstractNumId w:val="10"/>
  </w:num>
  <w:num w:numId="35">
    <w:abstractNumId w:val="7"/>
  </w:num>
  <w:num w:numId="36">
    <w:abstractNumId w:val="3"/>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65F"/>
    <w:rsid w:val="00021FC2"/>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0066"/>
    <w:rsid w:val="000A407B"/>
    <w:rsid w:val="000A68ED"/>
    <w:rsid w:val="000B5FF1"/>
    <w:rsid w:val="000B609F"/>
    <w:rsid w:val="000C648D"/>
    <w:rsid w:val="000D2487"/>
    <w:rsid w:val="000D55A8"/>
    <w:rsid w:val="000E3A1D"/>
    <w:rsid w:val="000E4841"/>
    <w:rsid w:val="000F1677"/>
    <w:rsid w:val="000F3D6C"/>
    <w:rsid w:val="00101707"/>
    <w:rsid w:val="00102CC9"/>
    <w:rsid w:val="0010593A"/>
    <w:rsid w:val="0011473D"/>
    <w:rsid w:val="00115C85"/>
    <w:rsid w:val="00123855"/>
    <w:rsid w:val="0012472E"/>
    <w:rsid w:val="00126A4D"/>
    <w:rsid w:val="0014171F"/>
    <w:rsid w:val="00145427"/>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2B8"/>
    <w:rsid w:val="002352DB"/>
    <w:rsid w:val="002356EA"/>
    <w:rsid w:val="0024116D"/>
    <w:rsid w:val="00241B44"/>
    <w:rsid w:val="00241FA3"/>
    <w:rsid w:val="00245EFB"/>
    <w:rsid w:val="002476AF"/>
    <w:rsid w:val="0025386E"/>
    <w:rsid w:val="0026264E"/>
    <w:rsid w:val="002638B0"/>
    <w:rsid w:val="0026647A"/>
    <w:rsid w:val="002668D3"/>
    <w:rsid w:val="0027299F"/>
    <w:rsid w:val="00284EBE"/>
    <w:rsid w:val="002903A7"/>
    <w:rsid w:val="0029433F"/>
    <w:rsid w:val="00294829"/>
    <w:rsid w:val="002956E6"/>
    <w:rsid w:val="0029690F"/>
    <w:rsid w:val="00297C8A"/>
    <w:rsid w:val="002A2A60"/>
    <w:rsid w:val="002A37BB"/>
    <w:rsid w:val="002A4B95"/>
    <w:rsid w:val="002B1C45"/>
    <w:rsid w:val="002B4288"/>
    <w:rsid w:val="002C13C8"/>
    <w:rsid w:val="002C3547"/>
    <w:rsid w:val="002D0021"/>
    <w:rsid w:val="002D299D"/>
    <w:rsid w:val="002D3473"/>
    <w:rsid w:val="002F1956"/>
    <w:rsid w:val="002F3440"/>
    <w:rsid w:val="002F75A3"/>
    <w:rsid w:val="00303C2F"/>
    <w:rsid w:val="003042CB"/>
    <w:rsid w:val="003144EF"/>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3B38"/>
    <w:rsid w:val="0038533C"/>
    <w:rsid w:val="00386568"/>
    <w:rsid w:val="00390B57"/>
    <w:rsid w:val="003948D5"/>
    <w:rsid w:val="00396821"/>
    <w:rsid w:val="00397D3A"/>
    <w:rsid w:val="003A051E"/>
    <w:rsid w:val="003B170F"/>
    <w:rsid w:val="003B3C5F"/>
    <w:rsid w:val="003C4471"/>
    <w:rsid w:val="003D0A6D"/>
    <w:rsid w:val="003E0B16"/>
    <w:rsid w:val="003E67D1"/>
    <w:rsid w:val="004003CF"/>
    <w:rsid w:val="00404329"/>
    <w:rsid w:val="00405DC1"/>
    <w:rsid w:val="0041472E"/>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5FDF"/>
    <w:rsid w:val="005177FE"/>
    <w:rsid w:val="0052263B"/>
    <w:rsid w:val="00524728"/>
    <w:rsid w:val="00530B3F"/>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355F"/>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1515"/>
    <w:rsid w:val="00654C2F"/>
    <w:rsid w:val="00655763"/>
    <w:rsid w:val="00657087"/>
    <w:rsid w:val="006639DB"/>
    <w:rsid w:val="006661EF"/>
    <w:rsid w:val="00671AF1"/>
    <w:rsid w:val="00677AEB"/>
    <w:rsid w:val="00680EF2"/>
    <w:rsid w:val="006869AA"/>
    <w:rsid w:val="00687A1D"/>
    <w:rsid w:val="006902D3"/>
    <w:rsid w:val="00690AFA"/>
    <w:rsid w:val="00692909"/>
    <w:rsid w:val="00697EA1"/>
    <w:rsid w:val="006A2646"/>
    <w:rsid w:val="006A5375"/>
    <w:rsid w:val="006A56DF"/>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4B9"/>
    <w:rsid w:val="0074088D"/>
    <w:rsid w:val="00740DAD"/>
    <w:rsid w:val="007603F5"/>
    <w:rsid w:val="00764DB0"/>
    <w:rsid w:val="0076764D"/>
    <w:rsid w:val="0077498C"/>
    <w:rsid w:val="007809BC"/>
    <w:rsid w:val="00784128"/>
    <w:rsid w:val="00787BCC"/>
    <w:rsid w:val="00793173"/>
    <w:rsid w:val="007A2A33"/>
    <w:rsid w:val="007B22CF"/>
    <w:rsid w:val="007B2C7C"/>
    <w:rsid w:val="007B3A5E"/>
    <w:rsid w:val="007B5C89"/>
    <w:rsid w:val="007C1FCC"/>
    <w:rsid w:val="007C6201"/>
    <w:rsid w:val="007D32C9"/>
    <w:rsid w:val="007D7C92"/>
    <w:rsid w:val="007E1154"/>
    <w:rsid w:val="007E6BA4"/>
    <w:rsid w:val="007F41F8"/>
    <w:rsid w:val="007F659B"/>
    <w:rsid w:val="0080454E"/>
    <w:rsid w:val="00804C32"/>
    <w:rsid w:val="00806302"/>
    <w:rsid w:val="00807119"/>
    <w:rsid w:val="008235B7"/>
    <w:rsid w:val="00823B29"/>
    <w:rsid w:val="0082483F"/>
    <w:rsid w:val="008279C0"/>
    <w:rsid w:val="00867701"/>
    <w:rsid w:val="008723F3"/>
    <w:rsid w:val="00876F56"/>
    <w:rsid w:val="00881DE6"/>
    <w:rsid w:val="008837A6"/>
    <w:rsid w:val="0089145D"/>
    <w:rsid w:val="008924B1"/>
    <w:rsid w:val="008A4DF2"/>
    <w:rsid w:val="008A6CFE"/>
    <w:rsid w:val="008B5333"/>
    <w:rsid w:val="008B6223"/>
    <w:rsid w:val="008C3FB9"/>
    <w:rsid w:val="008C66E0"/>
    <w:rsid w:val="008C6916"/>
    <w:rsid w:val="008D4D4A"/>
    <w:rsid w:val="008E3339"/>
    <w:rsid w:val="008E52BC"/>
    <w:rsid w:val="008F20FC"/>
    <w:rsid w:val="008F2C4E"/>
    <w:rsid w:val="008F5FFE"/>
    <w:rsid w:val="00905A43"/>
    <w:rsid w:val="00912C79"/>
    <w:rsid w:val="00921B8C"/>
    <w:rsid w:val="009222EA"/>
    <w:rsid w:val="00942123"/>
    <w:rsid w:val="00942711"/>
    <w:rsid w:val="0095207B"/>
    <w:rsid w:val="00962045"/>
    <w:rsid w:val="0096601D"/>
    <w:rsid w:val="0097581F"/>
    <w:rsid w:val="00980E61"/>
    <w:rsid w:val="00991428"/>
    <w:rsid w:val="0099169D"/>
    <w:rsid w:val="00992676"/>
    <w:rsid w:val="00993207"/>
    <w:rsid w:val="009954B2"/>
    <w:rsid w:val="00996691"/>
    <w:rsid w:val="009A3AB7"/>
    <w:rsid w:val="009A7FA1"/>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2274A"/>
    <w:rsid w:val="00A235B7"/>
    <w:rsid w:val="00A27A7A"/>
    <w:rsid w:val="00A345E3"/>
    <w:rsid w:val="00A34ABE"/>
    <w:rsid w:val="00A37694"/>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BE8"/>
    <w:rsid w:val="00AF228E"/>
    <w:rsid w:val="00B016A8"/>
    <w:rsid w:val="00B14819"/>
    <w:rsid w:val="00B15E2F"/>
    <w:rsid w:val="00B17AA9"/>
    <w:rsid w:val="00B17BB3"/>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D0796B"/>
    <w:rsid w:val="00D14424"/>
    <w:rsid w:val="00D148DC"/>
    <w:rsid w:val="00D17FDC"/>
    <w:rsid w:val="00D21D8C"/>
    <w:rsid w:val="00D45B4F"/>
    <w:rsid w:val="00D53719"/>
    <w:rsid w:val="00D6188D"/>
    <w:rsid w:val="00D63EFD"/>
    <w:rsid w:val="00D74D32"/>
    <w:rsid w:val="00D84752"/>
    <w:rsid w:val="00D86503"/>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3E1B"/>
    <w:rsid w:val="00DE6633"/>
    <w:rsid w:val="00DF75F8"/>
    <w:rsid w:val="00DF7A3A"/>
    <w:rsid w:val="00E00C00"/>
    <w:rsid w:val="00E07C5A"/>
    <w:rsid w:val="00E11C54"/>
    <w:rsid w:val="00E14FED"/>
    <w:rsid w:val="00E15BA9"/>
    <w:rsid w:val="00E26E19"/>
    <w:rsid w:val="00E31DF3"/>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146B"/>
    <w:rsid w:val="00EB45AC"/>
    <w:rsid w:val="00EB6C73"/>
    <w:rsid w:val="00EC0158"/>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5165C"/>
    <w:rsid w:val="00F5524B"/>
    <w:rsid w:val="00F60531"/>
    <w:rsid w:val="00F60538"/>
    <w:rsid w:val="00F61DD2"/>
    <w:rsid w:val="00F66AFF"/>
    <w:rsid w:val="00F66EC6"/>
    <w:rsid w:val="00F71433"/>
    <w:rsid w:val="00F9291E"/>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0E3A1D"/>
    <w:rPr>
      <w:i/>
      <w:iCs/>
    </w:rPr>
  </w:style>
  <w:style w:type="paragraph" w:customStyle="1" w:styleId="paragraph">
    <w:name w:val="paragraph"/>
    <w:basedOn w:val="Normal"/>
    <w:rsid w:val="00993207"/>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1473176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6663260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3079695">
      <w:bodyDiv w:val="1"/>
      <w:marLeft w:val="0"/>
      <w:marRight w:val="0"/>
      <w:marTop w:val="0"/>
      <w:marBottom w:val="0"/>
      <w:divBdr>
        <w:top w:val="none" w:sz="0" w:space="0" w:color="auto"/>
        <w:left w:val="none" w:sz="0" w:space="0" w:color="auto"/>
        <w:bottom w:val="none" w:sz="0" w:space="0" w:color="auto"/>
        <w:right w:val="none" w:sz="0" w:space="0" w:color="auto"/>
      </w:divBdr>
    </w:div>
    <w:div w:id="992023342">
      <w:bodyDiv w:val="1"/>
      <w:marLeft w:val="0"/>
      <w:marRight w:val="0"/>
      <w:marTop w:val="0"/>
      <w:marBottom w:val="0"/>
      <w:divBdr>
        <w:top w:val="none" w:sz="0" w:space="0" w:color="auto"/>
        <w:left w:val="none" w:sz="0" w:space="0" w:color="auto"/>
        <w:bottom w:val="none" w:sz="0" w:space="0" w:color="auto"/>
        <w:right w:val="none" w:sz="0" w:space="0" w:color="auto"/>
      </w:divBdr>
    </w:div>
    <w:div w:id="1058624065">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78085006">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884440296">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c.austlii.edu.au/au/legis/cth/consol_act/ba1966142/s139k.html"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classic.austlii.edu.au/au/legis/cth/consol_act/ba1966142/s121.html" TargetMode="External"/><Relationship Id="rId17" Type="http://schemas.openxmlformats.org/officeDocument/2006/relationships/hyperlink" Target="http://www5.austlii.edu.au/au/legis/cth/consol_act/ca2001172/s9.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lassic.austlii.edu.au/au/legis/cth/consol_act/ba1966142/s122.html"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austlii.edu.au/au/legis/cth/consol_act/ba1966142/s5.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lassic.austlii.edu.au/au/legis/cth/consol_act/ba1966142/s120.html" TargetMode="External"/><Relationship Id="rId23" Type="http://schemas.openxmlformats.org/officeDocument/2006/relationships/hyperlink" Target="http://www.austlii.edu.au/au/cases/cth/FCAFC/2014/57.html" TargetMode="External"/><Relationship Id="rId10" Type="http://schemas.openxmlformats.org/officeDocument/2006/relationships/hyperlink" Target="http://classic.austlii.edu.au/au/legis/cth/consol_act/ba1966142/s5.html"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classic.austlii.edu.au/au/legis/cth/consol_act/ba1966142/s120.html" TargetMode="External"/><Relationship Id="rId14" Type="http://schemas.openxmlformats.org/officeDocument/2006/relationships/hyperlink" Target="http://classic.austlii.edu.au/au/legis/cth/consol_act/ba1966142/s5.html"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4C6205-9F08-4E18-BB3E-AFAE6AAA37E4}"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IN"/>
        </a:p>
      </dgm:t>
    </dgm:pt>
    <dgm:pt modelId="{C95274B1-B62D-446B-9F17-05CB0C74DD8D}">
      <dgm:prSet phldrT="[Text]" custT="1">
        <dgm:style>
          <a:lnRef idx="2">
            <a:schemeClr val="accent5"/>
          </a:lnRef>
          <a:fillRef idx="1">
            <a:schemeClr val="lt1"/>
          </a:fillRef>
          <a:effectRef idx="0">
            <a:schemeClr val="accent5"/>
          </a:effectRef>
          <a:fontRef idx="minor">
            <a:schemeClr val="dk1"/>
          </a:fontRef>
        </dgm:style>
      </dgm:prSet>
      <dgm:spPr/>
      <dgm:t>
        <a:bodyPr/>
        <a:lstStyle/>
        <a:p>
          <a:pPr algn="ctr"/>
          <a:r>
            <a:rPr lang="en-IN" sz="1000" b="1">
              <a:latin typeface="Times New Roman" panose="02020603050405020304" pitchFamily="18" charset="0"/>
              <a:cs typeface="Times New Roman" panose="02020603050405020304" pitchFamily="18" charset="0"/>
            </a:rPr>
            <a:t>First Court Hearing:</a:t>
          </a:r>
        </a:p>
        <a:p>
          <a:pPr algn="ctr"/>
          <a:r>
            <a:rPr lang="en-IN" sz="1000">
              <a:latin typeface="Times New Roman" panose="02020603050405020304" pitchFamily="18" charset="0"/>
              <a:cs typeface="Times New Roman" panose="02020603050405020304" pitchFamily="18" charset="0"/>
            </a:rPr>
            <a:t>The court making orders, on the application of the company, for the convening of meetings of the relevant class or classes of creditors for the purpose of considering the proposed scheme of arrangement </a:t>
          </a:r>
          <a:r>
            <a:rPr lang="en-IN" sz="1000" b="1">
              <a:solidFill>
                <a:schemeClr val="tx1"/>
              </a:solidFill>
              <a:latin typeface="Times New Roman" panose="02020603050405020304" pitchFamily="18" charset="0"/>
              <a:cs typeface="Times New Roman" panose="02020603050405020304" pitchFamily="18" charset="0"/>
            </a:rPr>
            <a:t>(the “first court hearing”). </a:t>
          </a:r>
        </a:p>
      </dgm:t>
    </dgm:pt>
    <dgm:pt modelId="{292FD0D3-80DB-4015-84E0-DC0786CF57B7}" type="sibTrans" cxnId="{89ACFCAF-739C-4A36-BA86-A722F61CA004}">
      <dgm:prSet/>
      <dgm:spPr/>
      <dgm:t>
        <a:bodyPr/>
        <a:lstStyle/>
        <a:p>
          <a:pPr algn="ctr"/>
          <a:endParaRPr lang="en-IN"/>
        </a:p>
      </dgm:t>
    </dgm:pt>
    <dgm:pt modelId="{691F50C4-91AE-4499-A722-CBD7826F4602}" type="parTrans" cxnId="{89ACFCAF-739C-4A36-BA86-A722F61CA004}">
      <dgm:prSet/>
      <dgm:spPr/>
      <dgm:t>
        <a:bodyPr/>
        <a:lstStyle/>
        <a:p>
          <a:pPr algn="ctr"/>
          <a:endParaRPr lang="en-IN"/>
        </a:p>
      </dgm:t>
    </dgm:pt>
    <dgm:pt modelId="{6C9BFA33-D5CC-49B7-93A2-2604A99E0D65}">
      <dgm:prSet phldrT="[Text]" custT="1">
        <dgm:style>
          <a:lnRef idx="2">
            <a:schemeClr val="accent4"/>
          </a:lnRef>
          <a:fillRef idx="1">
            <a:schemeClr val="lt1"/>
          </a:fillRef>
          <a:effectRef idx="0">
            <a:schemeClr val="accent4"/>
          </a:effectRef>
          <a:fontRef idx="minor">
            <a:schemeClr val="dk1"/>
          </a:fontRef>
        </dgm:style>
      </dgm:prSet>
      <dgm:spPr/>
      <dgm:t>
        <a:bodyPr/>
        <a:lstStyle/>
        <a:p>
          <a:pPr algn="ctr"/>
          <a:r>
            <a:rPr lang="en-IN" sz="1000">
              <a:latin typeface="Times New Roman" panose="02020603050405020304" pitchFamily="18" charset="0"/>
              <a:cs typeface="Times New Roman" panose="02020603050405020304" pitchFamily="18" charset="0"/>
            </a:rPr>
            <a:t>The dispatch to the relevant creditors of an explanatory statement containing prescribed information about the scheme of arrangement; • The holding of the meeting or meetings </a:t>
          </a:r>
          <a:r>
            <a:rPr lang="en-IN" sz="1000" b="1">
              <a:solidFill>
                <a:schemeClr val="tx1"/>
              </a:solidFill>
              <a:latin typeface="Times New Roman" panose="02020603050405020304" pitchFamily="18" charset="0"/>
              <a:cs typeface="Times New Roman" panose="02020603050405020304" pitchFamily="18" charset="0"/>
            </a:rPr>
            <a:t>(“scheme meetings”) </a:t>
          </a:r>
          <a:r>
            <a:rPr lang="en-IN" sz="1000">
              <a:latin typeface="Times New Roman" panose="02020603050405020304" pitchFamily="18" charset="0"/>
              <a:cs typeface="Times New Roman" panose="02020603050405020304" pitchFamily="18" charset="0"/>
            </a:rPr>
            <a:t>of the class or classes of relevant creditors to consider the proposed scheme of arrangement (to be approved by majority repersenting thsoe with 75% of the total debt of the cmpany </a:t>
          </a:r>
          <a:r>
            <a:rPr lang="en-IN" sz="1100">
              <a:latin typeface="Times New Roman" panose="02020603050405020304" pitchFamily="18" charset="0"/>
              <a:cs typeface="Times New Roman" panose="02020603050405020304" pitchFamily="18" charset="0"/>
            </a:rPr>
            <a:t>in that class voting</a:t>
          </a:r>
          <a:r>
            <a:rPr lang="en-IN" sz="900"/>
            <a:t>)</a:t>
          </a:r>
        </a:p>
      </dgm:t>
    </dgm:pt>
    <dgm:pt modelId="{8D8818C5-3E02-4243-BB50-5D19375FDC94}" type="sibTrans" cxnId="{E95AC005-DB0C-4ABC-86A9-D34D1E98F1C1}">
      <dgm:prSet/>
      <dgm:spPr/>
      <dgm:t>
        <a:bodyPr/>
        <a:lstStyle/>
        <a:p>
          <a:pPr algn="ctr"/>
          <a:endParaRPr lang="en-IN"/>
        </a:p>
      </dgm:t>
    </dgm:pt>
    <dgm:pt modelId="{F178098B-BE25-433D-90E9-0D058CFE4F86}" type="parTrans" cxnId="{E95AC005-DB0C-4ABC-86A9-D34D1E98F1C1}">
      <dgm:prSet/>
      <dgm:spPr/>
      <dgm:t>
        <a:bodyPr/>
        <a:lstStyle/>
        <a:p>
          <a:pPr algn="ctr"/>
          <a:endParaRPr lang="en-IN"/>
        </a:p>
      </dgm:t>
    </dgm:pt>
    <dgm:pt modelId="{1192E5B8-4260-4328-9382-53BF6BFC3D41}">
      <dgm:prSet phldrT="[Text]">
        <dgm:style>
          <a:lnRef idx="2">
            <a:schemeClr val="accent5"/>
          </a:lnRef>
          <a:fillRef idx="1">
            <a:schemeClr val="lt1"/>
          </a:fillRef>
          <a:effectRef idx="0">
            <a:schemeClr val="accent5"/>
          </a:effectRef>
          <a:fontRef idx="minor">
            <a:schemeClr val="dk1"/>
          </a:fontRef>
        </dgm:style>
      </dgm:prSet>
      <dgm:spPr/>
      <dgm:t>
        <a:bodyPr/>
        <a:lstStyle/>
        <a:p>
          <a:pPr algn="ctr"/>
          <a:r>
            <a:rPr lang="en-IN" b="1">
              <a:latin typeface="Times New Roman" panose="02020603050405020304" pitchFamily="18" charset="0"/>
              <a:cs typeface="Times New Roman" panose="02020603050405020304" pitchFamily="18" charset="0"/>
            </a:rPr>
            <a:t>Second Court Hearing:</a:t>
          </a:r>
          <a:endParaRPr lang="en-IN"/>
        </a:p>
        <a:p>
          <a:pPr algn="ctr"/>
          <a:r>
            <a:rPr lang="en-IN"/>
            <a:t>Assuming the requisite approvals are obtained at the scheme meetings, the court making orders approving the scheme of arrangement </a:t>
          </a:r>
          <a:r>
            <a:rPr lang="en-IN" b="1">
              <a:solidFill>
                <a:schemeClr val="tx1"/>
              </a:solidFill>
            </a:rPr>
            <a:t>(the “second court hearing”).</a:t>
          </a:r>
          <a:r>
            <a:rPr lang="en-IN"/>
            <a:t> The scheme of arrangement becoming effective once the orders approving the scheme are lodged with ASIC</a:t>
          </a:r>
        </a:p>
      </dgm:t>
    </dgm:pt>
    <dgm:pt modelId="{CC0C5754-19AE-4282-AD5C-AD8EF99FF54C}" type="sibTrans" cxnId="{092C45C0-127D-4714-836F-4ACF7E18C244}">
      <dgm:prSet/>
      <dgm:spPr/>
      <dgm:t>
        <a:bodyPr/>
        <a:lstStyle/>
        <a:p>
          <a:pPr algn="ctr"/>
          <a:endParaRPr lang="en-IN"/>
        </a:p>
      </dgm:t>
    </dgm:pt>
    <dgm:pt modelId="{7B86EFBF-D06B-4BBB-BE8C-A6D2BC76E19C}" type="parTrans" cxnId="{092C45C0-127D-4714-836F-4ACF7E18C244}">
      <dgm:prSet/>
      <dgm:spPr/>
      <dgm:t>
        <a:bodyPr/>
        <a:lstStyle/>
        <a:p>
          <a:pPr algn="ctr"/>
          <a:endParaRPr lang="en-IN"/>
        </a:p>
      </dgm:t>
    </dgm:pt>
    <dgm:pt modelId="{5CE92E72-8CC0-40FF-A58E-D834F8BC98B8}" type="pres">
      <dgm:prSet presAssocID="{754C6205-9F08-4E18-BB3E-AFAE6AAA37E4}" presName="rootnode" presStyleCnt="0">
        <dgm:presLayoutVars>
          <dgm:chMax/>
          <dgm:chPref/>
          <dgm:dir/>
          <dgm:animLvl val="lvl"/>
        </dgm:presLayoutVars>
      </dgm:prSet>
      <dgm:spPr/>
    </dgm:pt>
    <dgm:pt modelId="{DFB29686-7E83-495E-9F7B-1E4816C93A87}" type="pres">
      <dgm:prSet presAssocID="{C95274B1-B62D-446B-9F17-05CB0C74DD8D}" presName="composite" presStyleCnt="0"/>
      <dgm:spPr/>
    </dgm:pt>
    <dgm:pt modelId="{5133E43C-45E9-4DAC-9CC7-C46C2457737D}" type="pres">
      <dgm:prSet presAssocID="{C95274B1-B62D-446B-9F17-05CB0C74DD8D}" presName="bentUpArrow1" presStyleLbl="alignImgPlace1" presStyleIdx="0" presStyleCnt="2"/>
      <dgm:spPr/>
    </dgm:pt>
    <dgm:pt modelId="{BDBE5194-290E-4F7D-A4C4-979F59679E90}" type="pres">
      <dgm:prSet presAssocID="{C95274B1-B62D-446B-9F17-05CB0C74DD8D}" presName="ParentText" presStyleLbl="node1" presStyleIdx="0" presStyleCnt="3" custScaleX="496234" custScaleY="297212" custLinFactNeighborX="-2478" custLinFactNeighborY="-81929">
        <dgm:presLayoutVars>
          <dgm:chMax val="1"/>
          <dgm:chPref val="1"/>
          <dgm:bulletEnabled val="1"/>
        </dgm:presLayoutVars>
      </dgm:prSet>
      <dgm:spPr>
        <a:prstGeom prst="snip1Rect">
          <a:avLst/>
        </a:prstGeom>
      </dgm:spPr>
    </dgm:pt>
    <dgm:pt modelId="{A2C21ACB-205D-4685-BE98-D8A4F654773B}" type="pres">
      <dgm:prSet presAssocID="{C95274B1-B62D-446B-9F17-05CB0C74DD8D}" presName="ChildText" presStyleLbl="revTx" presStyleIdx="0" presStyleCnt="2" custFlipVert="1" custFlipHor="1" custScaleX="76637" custScaleY="22234">
        <dgm:presLayoutVars>
          <dgm:chMax val="0"/>
          <dgm:chPref val="0"/>
          <dgm:bulletEnabled val="1"/>
        </dgm:presLayoutVars>
      </dgm:prSet>
      <dgm:spPr/>
    </dgm:pt>
    <dgm:pt modelId="{5D2E5F74-73F5-4208-9157-B4331944FE04}" type="pres">
      <dgm:prSet presAssocID="{292FD0D3-80DB-4015-84E0-DC0786CF57B7}" presName="sibTrans" presStyleCnt="0"/>
      <dgm:spPr/>
    </dgm:pt>
    <dgm:pt modelId="{16DEF3AF-8F08-45C4-A390-54E3E7B55FCC}" type="pres">
      <dgm:prSet presAssocID="{6C9BFA33-D5CC-49B7-93A2-2604A99E0D65}" presName="composite" presStyleCnt="0"/>
      <dgm:spPr/>
    </dgm:pt>
    <dgm:pt modelId="{BBFF35C0-FB60-4DC7-816B-76CC7552FFE5}" type="pres">
      <dgm:prSet presAssocID="{6C9BFA33-D5CC-49B7-93A2-2604A99E0D65}" presName="bentUpArrow1" presStyleLbl="alignImgPlace1" presStyleIdx="1" presStyleCnt="2"/>
      <dgm:spPr/>
    </dgm:pt>
    <dgm:pt modelId="{580B7A16-3DFB-4317-8AC9-4C6665A0CF15}" type="pres">
      <dgm:prSet presAssocID="{6C9BFA33-D5CC-49B7-93A2-2604A99E0D65}" presName="ParentText" presStyleLbl="node1" presStyleIdx="1" presStyleCnt="3" custScaleX="621531" custScaleY="347734" custLinFactNeighborX="-75478" custLinFactNeighborY="-6422">
        <dgm:presLayoutVars>
          <dgm:chMax val="1"/>
          <dgm:chPref val="1"/>
          <dgm:bulletEnabled val="1"/>
        </dgm:presLayoutVars>
      </dgm:prSet>
      <dgm:spPr/>
    </dgm:pt>
    <dgm:pt modelId="{1581B215-3743-42E9-B2D1-3823221425D7}" type="pres">
      <dgm:prSet presAssocID="{6C9BFA33-D5CC-49B7-93A2-2604A99E0D65}" presName="ChildText" presStyleLbl="revTx" presStyleIdx="1" presStyleCnt="2" custFlipHor="1" custScaleX="45953" custScaleY="36471">
        <dgm:presLayoutVars>
          <dgm:chMax val="0"/>
          <dgm:chPref val="0"/>
          <dgm:bulletEnabled val="1"/>
        </dgm:presLayoutVars>
      </dgm:prSet>
      <dgm:spPr/>
    </dgm:pt>
    <dgm:pt modelId="{57A64F18-F690-4979-8EC2-7C545E484707}" type="pres">
      <dgm:prSet presAssocID="{8D8818C5-3E02-4243-BB50-5D19375FDC94}" presName="sibTrans" presStyleCnt="0"/>
      <dgm:spPr/>
    </dgm:pt>
    <dgm:pt modelId="{9E399834-E903-4F30-BBF4-A7CE39656206}" type="pres">
      <dgm:prSet presAssocID="{1192E5B8-4260-4328-9382-53BF6BFC3D41}" presName="composite" presStyleCnt="0"/>
      <dgm:spPr/>
    </dgm:pt>
    <dgm:pt modelId="{185A06A3-DAD7-4326-BDDC-90C5E8BAD128}" type="pres">
      <dgm:prSet presAssocID="{1192E5B8-4260-4328-9382-53BF6BFC3D41}" presName="ParentText" presStyleLbl="node1" presStyleIdx="2" presStyleCnt="3" custScaleX="551763" custScaleY="308393" custLinFactNeighborX="-50649" custLinFactNeighborY="68645">
        <dgm:presLayoutVars>
          <dgm:chMax val="1"/>
          <dgm:chPref val="1"/>
          <dgm:bulletEnabled val="1"/>
        </dgm:presLayoutVars>
      </dgm:prSet>
      <dgm:spPr>
        <a:prstGeom prst="snipRoundRect">
          <a:avLst/>
        </a:prstGeom>
      </dgm:spPr>
    </dgm:pt>
  </dgm:ptLst>
  <dgm:cxnLst>
    <dgm:cxn modelId="{E95AC005-DB0C-4ABC-86A9-D34D1E98F1C1}" srcId="{754C6205-9F08-4E18-BB3E-AFAE6AAA37E4}" destId="{6C9BFA33-D5CC-49B7-93A2-2604A99E0D65}" srcOrd="1" destOrd="0" parTransId="{F178098B-BE25-433D-90E9-0D058CFE4F86}" sibTransId="{8D8818C5-3E02-4243-BB50-5D19375FDC94}"/>
    <dgm:cxn modelId="{9F95327D-BD19-4555-9CF1-B1B6499F7C46}" type="presOf" srcId="{C95274B1-B62D-446B-9F17-05CB0C74DD8D}" destId="{BDBE5194-290E-4F7D-A4C4-979F59679E90}" srcOrd="0" destOrd="0" presId="urn:microsoft.com/office/officeart/2005/8/layout/StepDownProcess"/>
    <dgm:cxn modelId="{08A63C83-AE66-4A11-A133-4A2E65C5FEB4}" type="presOf" srcId="{1192E5B8-4260-4328-9382-53BF6BFC3D41}" destId="{185A06A3-DAD7-4326-BDDC-90C5E8BAD128}" srcOrd="0" destOrd="0" presId="urn:microsoft.com/office/officeart/2005/8/layout/StepDownProcess"/>
    <dgm:cxn modelId="{89ACFCAF-739C-4A36-BA86-A722F61CA004}" srcId="{754C6205-9F08-4E18-BB3E-AFAE6AAA37E4}" destId="{C95274B1-B62D-446B-9F17-05CB0C74DD8D}" srcOrd="0" destOrd="0" parTransId="{691F50C4-91AE-4499-A722-CBD7826F4602}" sibTransId="{292FD0D3-80DB-4015-84E0-DC0786CF57B7}"/>
    <dgm:cxn modelId="{AE7E0AB0-0793-442E-AB33-8A4AA8EB607C}" type="presOf" srcId="{754C6205-9F08-4E18-BB3E-AFAE6AAA37E4}" destId="{5CE92E72-8CC0-40FF-A58E-D834F8BC98B8}" srcOrd="0" destOrd="0" presId="urn:microsoft.com/office/officeart/2005/8/layout/StepDownProcess"/>
    <dgm:cxn modelId="{38CD5EB0-EC31-43FA-9580-871171C33A64}" type="presOf" srcId="{6C9BFA33-D5CC-49B7-93A2-2604A99E0D65}" destId="{580B7A16-3DFB-4317-8AC9-4C6665A0CF15}" srcOrd="0" destOrd="0" presId="urn:microsoft.com/office/officeart/2005/8/layout/StepDownProcess"/>
    <dgm:cxn modelId="{092C45C0-127D-4714-836F-4ACF7E18C244}" srcId="{754C6205-9F08-4E18-BB3E-AFAE6AAA37E4}" destId="{1192E5B8-4260-4328-9382-53BF6BFC3D41}" srcOrd="2" destOrd="0" parTransId="{7B86EFBF-D06B-4BBB-BE8C-A6D2BC76E19C}" sibTransId="{CC0C5754-19AE-4282-AD5C-AD8EF99FF54C}"/>
    <dgm:cxn modelId="{9064E77A-F9DA-4E90-809E-744194679186}" type="presParOf" srcId="{5CE92E72-8CC0-40FF-A58E-D834F8BC98B8}" destId="{DFB29686-7E83-495E-9F7B-1E4816C93A87}" srcOrd="0" destOrd="0" presId="urn:microsoft.com/office/officeart/2005/8/layout/StepDownProcess"/>
    <dgm:cxn modelId="{4198E5F4-73A7-4482-B11A-7D0AA18CCFCE}" type="presParOf" srcId="{DFB29686-7E83-495E-9F7B-1E4816C93A87}" destId="{5133E43C-45E9-4DAC-9CC7-C46C2457737D}" srcOrd="0" destOrd="0" presId="urn:microsoft.com/office/officeart/2005/8/layout/StepDownProcess"/>
    <dgm:cxn modelId="{E9A2B8F7-A0A3-4A14-B86E-0ED8AEEFA803}" type="presParOf" srcId="{DFB29686-7E83-495E-9F7B-1E4816C93A87}" destId="{BDBE5194-290E-4F7D-A4C4-979F59679E90}" srcOrd="1" destOrd="0" presId="urn:microsoft.com/office/officeart/2005/8/layout/StepDownProcess"/>
    <dgm:cxn modelId="{AC78EFE6-423A-4315-ACB1-9FDF7DFBB306}" type="presParOf" srcId="{DFB29686-7E83-495E-9F7B-1E4816C93A87}" destId="{A2C21ACB-205D-4685-BE98-D8A4F654773B}" srcOrd="2" destOrd="0" presId="urn:microsoft.com/office/officeart/2005/8/layout/StepDownProcess"/>
    <dgm:cxn modelId="{7BEBFD49-F555-4194-9293-0EDDB1A86477}" type="presParOf" srcId="{5CE92E72-8CC0-40FF-A58E-D834F8BC98B8}" destId="{5D2E5F74-73F5-4208-9157-B4331944FE04}" srcOrd="1" destOrd="0" presId="urn:microsoft.com/office/officeart/2005/8/layout/StepDownProcess"/>
    <dgm:cxn modelId="{E640145E-9B38-45A0-80FD-B185C515EA35}" type="presParOf" srcId="{5CE92E72-8CC0-40FF-A58E-D834F8BC98B8}" destId="{16DEF3AF-8F08-45C4-A390-54E3E7B55FCC}" srcOrd="2" destOrd="0" presId="urn:microsoft.com/office/officeart/2005/8/layout/StepDownProcess"/>
    <dgm:cxn modelId="{F41833AE-7A6C-43B1-B1F1-360E74EE1BCD}" type="presParOf" srcId="{16DEF3AF-8F08-45C4-A390-54E3E7B55FCC}" destId="{BBFF35C0-FB60-4DC7-816B-76CC7552FFE5}" srcOrd="0" destOrd="0" presId="urn:microsoft.com/office/officeart/2005/8/layout/StepDownProcess"/>
    <dgm:cxn modelId="{86CC9DC6-0983-4C8B-9B09-50774848B056}" type="presParOf" srcId="{16DEF3AF-8F08-45C4-A390-54E3E7B55FCC}" destId="{580B7A16-3DFB-4317-8AC9-4C6665A0CF15}" srcOrd="1" destOrd="0" presId="urn:microsoft.com/office/officeart/2005/8/layout/StepDownProcess"/>
    <dgm:cxn modelId="{FB4F6E94-6F21-48EA-B42F-1157A29F9E5F}" type="presParOf" srcId="{16DEF3AF-8F08-45C4-A390-54E3E7B55FCC}" destId="{1581B215-3743-42E9-B2D1-3823221425D7}" srcOrd="2" destOrd="0" presId="urn:microsoft.com/office/officeart/2005/8/layout/StepDownProcess"/>
    <dgm:cxn modelId="{238FF763-896C-42E7-B0FF-20DDA3E07AFF}" type="presParOf" srcId="{5CE92E72-8CC0-40FF-A58E-D834F8BC98B8}" destId="{57A64F18-F690-4979-8EC2-7C545E484707}" srcOrd="3" destOrd="0" presId="urn:microsoft.com/office/officeart/2005/8/layout/StepDownProcess"/>
    <dgm:cxn modelId="{3BED1AE1-A2C0-411C-B029-8DF6CEB85CD3}" type="presParOf" srcId="{5CE92E72-8CC0-40FF-A58E-D834F8BC98B8}" destId="{9E399834-E903-4F30-BBF4-A7CE39656206}" srcOrd="4" destOrd="0" presId="urn:microsoft.com/office/officeart/2005/8/layout/StepDownProcess"/>
    <dgm:cxn modelId="{69D1A6C9-C299-4CA5-A345-E8D246B8C040}" type="presParOf" srcId="{9E399834-E903-4F30-BBF4-A7CE39656206}" destId="{185A06A3-DAD7-4326-BDDC-90C5E8BAD128}" srcOrd="0" destOrd="0" presId="urn:microsoft.com/office/officeart/2005/8/layout/StepDown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33E43C-45E9-4DAC-9CC7-C46C2457737D}">
      <dsp:nvSpPr>
        <dsp:cNvPr id="0" name=""/>
        <dsp:cNvSpPr/>
      </dsp:nvSpPr>
      <dsp:spPr>
        <a:xfrm rot="5400000">
          <a:off x="1112495" y="1008297"/>
          <a:ext cx="308840" cy="351604"/>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BE5194-290E-4F7D-A4C4-979F59679E90}">
      <dsp:nvSpPr>
        <dsp:cNvPr id="0" name=""/>
        <dsp:cNvSpPr/>
      </dsp:nvSpPr>
      <dsp:spPr>
        <a:xfrm>
          <a:off x="0" y="8942"/>
          <a:ext cx="2579949" cy="1081605"/>
        </a:xfrm>
        <a:prstGeom prst="snip1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First Court Hearing:</a:t>
          </a:r>
        </a:p>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The court making orders, on the application of the company, for the convening of meetings of the relevant class or classes of creditors for the purpose of considering the proposed scheme of arrangement </a:t>
          </a:r>
          <a:r>
            <a:rPr lang="en-IN" sz="1000" b="1" kern="1200">
              <a:solidFill>
                <a:schemeClr val="tx1"/>
              </a:solidFill>
              <a:latin typeface="Times New Roman" panose="02020603050405020304" pitchFamily="18" charset="0"/>
              <a:cs typeface="Times New Roman" panose="02020603050405020304" pitchFamily="18" charset="0"/>
            </a:rPr>
            <a:t>(the “first court hearing”). </a:t>
          </a:r>
        </a:p>
      </dsp:txBody>
      <dsp:txXfrm>
        <a:off x="0" y="99078"/>
        <a:ext cx="2489813" cy="991469"/>
      </dsp:txXfrm>
    </dsp:sp>
    <dsp:sp modelId="{A2C21ACB-205D-4685-BE98-D8A4F654773B}">
      <dsp:nvSpPr>
        <dsp:cNvPr id="0" name=""/>
        <dsp:cNvSpPr/>
      </dsp:nvSpPr>
      <dsp:spPr>
        <a:xfrm flipH="1" flipV="1">
          <a:off x="1594748" y="815016"/>
          <a:ext cx="289787" cy="65397"/>
        </a:xfrm>
        <a:prstGeom prst="rect">
          <a:avLst/>
        </a:prstGeom>
        <a:noFill/>
        <a:ln>
          <a:noFill/>
        </a:ln>
        <a:effectLst/>
      </dsp:spPr>
      <dsp:style>
        <a:lnRef idx="0">
          <a:scrgbClr r="0" g="0" b="0"/>
        </a:lnRef>
        <a:fillRef idx="0">
          <a:scrgbClr r="0" g="0" b="0"/>
        </a:fillRef>
        <a:effectRef idx="0">
          <a:scrgbClr r="0" g="0" b="0"/>
        </a:effectRef>
        <a:fontRef idx="minor"/>
      </dsp:style>
    </dsp:sp>
    <dsp:sp modelId="{BBFF35C0-FB60-4DC7-816B-76CC7552FFE5}">
      <dsp:nvSpPr>
        <dsp:cNvPr id="0" name=""/>
        <dsp:cNvSpPr/>
      </dsp:nvSpPr>
      <dsp:spPr>
        <a:xfrm rot="5400000">
          <a:off x="2676585" y="1918052"/>
          <a:ext cx="308840" cy="351604"/>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80B7A16-3DFB-4317-8AC9-4C6665A0CF15}">
      <dsp:nvSpPr>
        <dsp:cNvPr id="0" name=""/>
        <dsp:cNvSpPr/>
      </dsp:nvSpPr>
      <dsp:spPr>
        <a:xfrm>
          <a:off x="846611" y="1101552"/>
          <a:ext cx="3231376" cy="1265464"/>
        </a:xfrm>
        <a:prstGeom prst="roundRect">
          <a:avLst>
            <a:gd name="adj" fmla="val 1667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The dispatch to the relevant creditors of an explanatory statement containing prescribed information about the scheme of arrangement; • The holding of the meeting or meetings </a:t>
          </a:r>
          <a:r>
            <a:rPr lang="en-IN" sz="1000" b="1" kern="1200">
              <a:solidFill>
                <a:schemeClr val="tx1"/>
              </a:solidFill>
              <a:latin typeface="Times New Roman" panose="02020603050405020304" pitchFamily="18" charset="0"/>
              <a:cs typeface="Times New Roman" panose="02020603050405020304" pitchFamily="18" charset="0"/>
            </a:rPr>
            <a:t>(“scheme meetings”) </a:t>
          </a:r>
          <a:r>
            <a:rPr lang="en-IN" sz="1000" kern="1200">
              <a:latin typeface="Times New Roman" panose="02020603050405020304" pitchFamily="18" charset="0"/>
              <a:cs typeface="Times New Roman" panose="02020603050405020304" pitchFamily="18" charset="0"/>
            </a:rPr>
            <a:t>of the class or classes of relevant creditors to consider the proposed scheme of arrangement (to be approved by majority repersenting thsoe with 75% of the total debt of the cmpany </a:t>
          </a:r>
          <a:r>
            <a:rPr lang="en-IN" sz="1100" kern="1200">
              <a:latin typeface="Times New Roman" panose="02020603050405020304" pitchFamily="18" charset="0"/>
              <a:cs typeface="Times New Roman" panose="02020603050405020304" pitchFamily="18" charset="0"/>
            </a:rPr>
            <a:t>in that class voting</a:t>
          </a:r>
          <a:r>
            <a:rPr lang="en-IN" sz="900" kern="1200"/>
            <a:t>)</a:t>
          </a:r>
        </a:p>
      </dsp:txBody>
      <dsp:txXfrm>
        <a:off x="908397" y="1163338"/>
        <a:ext cx="3107804" cy="1141892"/>
      </dsp:txXfrm>
    </dsp:sp>
    <dsp:sp modelId="{1581B215-3743-42E9-B2D1-3823221425D7}">
      <dsp:nvSpPr>
        <dsp:cNvPr id="0" name=""/>
        <dsp:cNvSpPr/>
      </dsp:nvSpPr>
      <dsp:spPr>
        <a:xfrm flipH="1">
          <a:off x="3216850" y="1703834"/>
          <a:ext cx="173762" cy="107273"/>
        </a:xfrm>
        <a:prstGeom prst="rect">
          <a:avLst/>
        </a:prstGeom>
        <a:noFill/>
        <a:ln>
          <a:noFill/>
        </a:ln>
        <a:effectLst/>
      </dsp:spPr>
      <dsp:style>
        <a:lnRef idx="0">
          <a:scrgbClr r="0" g="0" b="0"/>
        </a:lnRef>
        <a:fillRef idx="0">
          <a:scrgbClr r="0" g="0" b="0"/>
        </a:fillRef>
        <a:effectRef idx="0">
          <a:scrgbClr r="0" g="0" b="0"/>
        </a:effectRef>
        <a:fontRef idx="minor"/>
      </dsp:style>
    </dsp:sp>
    <dsp:sp modelId="{185A06A3-DAD7-4326-BDDC-90C5E8BAD128}">
      <dsp:nvSpPr>
        <dsp:cNvPr id="0" name=""/>
        <dsp:cNvSpPr/>
      </dsp:nvSpPr>
      <dsp:spPr>
        <a:xfrm>
          <a:off x="2214074" y="2376418"/>
          <a:ext cx="2868648" cy="1122295"/>
        </a:xfrm>
        <a:prstGeom prst="snipRound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anose="02020603050405020304" pitchFamily="18" charset="0"/>
              <a:cs typeface="Times New Roman" panose="02020603050405020304" pitchFamily="18" charset="0"/>
            </a:rPr>
            <a:t>Second Court Hearing:</a:t>
          </a:r>
          <a:endParaRPr lang="en-IN" sz="900" kern="1200"/>
        </a:p>
        <a:p>
          <a:pPr marL="0" lvl="0" indent="0" algn="ctr" defTabSz="400050">
            <a:lnSpc>
              <a:spcPct val="90000"/>
            </a:lnSpc>
            <a:spcBef>
              <a:spcPct val="0"/>
            </a:spcBef>
            <a:spcAft>
              <a:spcPct val="35000"/>
            </a:spcAft>
            <a:buNone/>
          </a:pPr>
          <a:r>
            <a:rPr lang="en-IN" sz="900" kern="1200"/>
            <a:t>Assuming the requisite approvals are obtained at the scheme meetings, the court making orders approving the scheme of arrangement </a:t>
          </a:r>
          <a:r>
            <a:rPr lang="en-IN" sz="900" b="1" kern="1200">
              <a:solidFill>
                <a:schemeClr val="tx1"/>
              </a:solidFill>
            </a:rPr>
            <a:t>(the “second court hearing”).</a:t>
          </a:r>
          <a:r>
            <a:rPr lang="en-IN" sz="900" kern="1200"/>
            <a:t> The scheme of arrangement becoming effective once the orders approving the scheme are lodged with ASIC</a:t>
          </a:r>
        </a:p>
      </dsp:txBody>
      <dsp:txXfrm>
        <a:off x="2268860" y="2431204"/>
        <a:ext cx="2720336" cy="106750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annie jain</cp:lastModifiedBy>
  <cp:revision>3</cp:revision>
  <cp:lastPrinted>2019-08-27T05:42:00Z</cp:lastPrinted>
  <dcterms:created xsi:type="dcterms:W3CDTF">2021-07-31T08:37:00Z</dcterms:created>
  <dcterms:modified xsi:type="dcterms:W3CDTF">2021-07-31T08:39:00Z</dcterms:modified>
</cp:coreProperties>
</file>