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E2754" w14:textId="5A8EC52E" w:rsidR="004739B2" w:rsidRDefault="008C6FAA" w:rsidP="004739B2">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3CDBA90" wp14:editId="567AE15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00850" name="FCIIL_Logo_FIN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97B14F" w14:textId="77777777" w:rsidR="004739B2" w:rsidRDefault="004739B2" w:rsidP="004739B2">
      <w:pPr>
        <w:jc w:val="center"/>
        <w:rPr>
          <w:rFonts w:ascii="Arial" w:hAnsi="Arial" w:cs="Arial"/>
          <w:b/>
          <w:sz w:val="22"/>
          <w:szCs w:val="22"/>
          <w:lang w:val="en-GB"/>
        </w:rPr>
      </w:pPr>
    </w:p>
    <w:p w14:paraId="7579FDD6" w14:textId="77777777" w:rsidR="004739B2" w:rsidRDefault="004739B2" w:rsidP="004739B2">
      <w:pPr>
        <w:jc w:val="center"/>
        <w:rPr>
          <w:rFonts w:ascii="Arial" w:hAnsi="Arial" w:cs="Arial"/>
          <w:b/>
          <w:sz w:val="22"/>
          <w:szCs w:val="22"/>
          <w:lang w:val="en-GB"/>
        </w:rPr>
      </w:pPr>
    </w:p>
    <w:p w14:paraId="640BE849" w14:textId="77777777" w:rsidR="004739B2" w:rsidRDefault="004739B2" w:rsidP="004739B2">
      <w:pPr>
        <w:jc w:val="center"/>
        <w:rPr>
          <w:rFonts w:ascii="Arial" w:hAnsi="Arial" w:cs="Arial"/>
          <w:b/>
          <w:sz w:val="22"/>
          <w:szCs w:val="22"/>
          <w:lang w:val="en-GB"/>
        </w:rPr>
      </w:pPr>
    </w:p>
    <w:p w14:paraId="37DB27F0" w14:textId="77777777" w:rsidR="004739B2" w:rsidRDefault="004739B2" w:rsidP="004739B2">
      <w:pPr>
        <w:jc w:val="center"/>
        <w:rPr>
          <w:rFonts w:ascii="Arial" w:hAnsi="Arial" w:cs="Arial"/>
          <w:b/>
          <w:sz w:val="22"/>
          <w:szCs w:val="22"/>
          <w:lang w:val="en-GB"/>
        </w:rPr>
      </w:pPr>
    </w:p>
    <w:p w14:paraId="6D97FFD8" w14:textId="77777777" w:rsidR="004739B2" w:rsidRDefault="004739B2" w:rsidP="004739B2">
      <w:pPr>
        <w:jc w:val="center"/>
        <w:rPr>
          <w:rFonts w:ascii="Arial" w:hAnsi="Arial" w:cs="Arial"/>
          <w:b/>
          <w:sz w:val="22"/>
          <w:szCs w:val="22"/>
          <w:lang w:val="en-GB"/>
        </w:rPr>
      </w:pPr>
    </w:p>
    <w:p w14:paraId="7B3F039E" w14:textId="77777777" w:rsidR="004739B2" w:rsidRDefault="004739B2" w:rsidP="004739B2">
      <w:pPr>
        <w:jc w:val="center"/>
        <w:rPr>
          <w:rFonts w:ascii="Arial" w:hAnsi="Arial" w:cs="Arial"/>
          <w:b/>
          <w:sz w:val="22"/>
          <w:szCs w:val="22"/>
          <w:lang w:val="en-GB"/>
        </w:rPr>
      </w:pPr>
    </w:p>
    <w:p w14:paraId="3B7AB1DF" w14:textId="77777777" w:rsidR="004739B2" w:rsidRDefault="004739B2" w:rsidP="004739B2">
      <w:pPr>
        <w:jc w:val="center"/>
        <w:rPr>
          <w:rFonts w:ascii="Arial" w:hAnsi="Arial" w:cs="Arial"/>
          <w:b/>
          <w:sz w:val="22"/>
          <w:szCs w:val="22"/>
          <w:lang w:val="en-GB"/>
        </w:rPr>
      </w:pPr>
    </w:p>
    <w:p w14:paraId="6D067A05" w14:textId="77777777" w:rsidR="004739B2" w:rsidRDefault="004739B2"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2"/>
          <w:szCs w:val="22"/>
          <w:lang w:val="en-GB"/>
        </w:rPr>
      </w:pPr>
    </w:p>
    <w:p w14:paraId="2C8412FF" w14:textId="77777777" w:rsidR="004739B2"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4739B2" w:rsidRDefault="004739B2"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p>
    <w:p w14:paraId="6F22C460" w14:textId="77777777" w:rsidR="004739B2" w:rsidRPr="00AA5E84"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739B2" w:rsidRPr="007C6201" w:rsidRDefault="004739B2"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2"/>
          <w:szCs w:val="22"/>
          <w:lang w:val="en-GB"/>
        </w:rPr>
      </w:pPr>
    </w:p>
    <w:p w14:paraId="2CB1F7A7" w14:textId="77777777" w:rsidR="004739B2" w:rsidRDefault="004739B2" w:rsidP="004739B2">
      <w:pPr>
        <w:jc w:val="center"/>
        <w:rPr>
          <w:rFonts w:ascii="Arial" w:hAnsi="Arial" w:cs="Arial"/>
          <w:b/>
          <w:color w:val="000000"/>
          <w:sz w:val="22"/>
          <w:szCs w:val="22"/>
          <w:lang w:val="en-GB"/>
        </w:rPr>
      </w:pPr>
    </w:p>
    <w:p w14:paraId="4276954A" w14:textId="77777777" w:rsidR="004739B2" w:rsidRDefault="004739B2" w:rsidP="004739B2">
      <w:pPr>
        <w:jc w:val="center"/>
        <w:rPr>
          <w:rFonts w:ascii="Arial" w:hAnsi="Arial" w:cs="Arial"/>
          <w:b/>
          <w:color w:val="000000"/>
          <w:sz w:val="22"/>
          <w:szCs w:val="22"/>
          <w:lang w:val="en-GB"/>
        </w:rPr>
      </w:pPr>
    </w:p>
    <w:p w14:paraId="5A4A06A2" w14:textId="77777777" w:rsidR="004739B2" w:rsidRDefault="004739B2" w:rsidP="004739B2">
      <w:pPr>
        <w:jc w:val="center"/>
        <w:rPr>
          <w:rFonts w:ascii="Arial" w:hAnsi="Arial" w:cs="Arial"/>
          <w:b/>
          <w:color w:val="000000"/>
          <w:sz w:val="22"/>
          <w:szCs w:val="22"/>
          <w:lang w:val="en-GB"/>
        </w:rPr>
      </w:pPr>
    </w:p>
    <w:p w14:paraId="64ED4B04" w14:textId="77777777" w:rsidR="004739B2" w:rsidRDefault="004739B2" w:rsidP="004739B2">
      <w:pPr>
        <w:jc w:val="center"/>
        <w:rPr>
          <w:rFonts w:ascii="Arial" w:hAnsi="Arial" w:cs="Arial"/>
          <w:b/>
          <w:color w:val="000000"/>
          <w:sz w:val="22"/>
          <w:szCs w:val="22"/>
          <w:lang w:val="en-GB"/>
        </w:rPr>
      </w:pPr>
    </w:p>
    <w:p w14:paraId="7E63D44E" w14:textId="77777777" w:rsidR="004739B2" w:rsidRDefault="004739B2" w:rsidP="004739B2">
      <w:pPr>
        <w:jc w:val="center"/>
        <w:rPr>
          <w:rFonts w:ascii="Arial" w:hAnsi="Arial" w:cs="Arial"/>
          <w:b/>
          <w:color w:val="000000"/>
          <w:sz w:val="22"/>
          <w:szCs w:val="22"/>
          <w:lang w:val="en-GB"/>
        </w:rPr>
      </w:pPr>
    </w:p>
    <w:p w14:paraId="56D4BE34" w14:textId="77777777" w:rsidR="004739B2" w:rsidRDefault="004739B2" w:rsidP="004739B2">
      <w:pPr>
        <w:jc w:val="center"/>
        <w:rPr>
          <w:rFonts w:ascii="Arial" w:hAnsi="Arial" w:cs="Arial"/>
          <w:b/>
          <w:color w:val="000000"/>
          <w:sz w:val="22"/>
          <w:szCs w:val="22"/>
          <w:lang w:val="en-GB"/>
        </w:rPr>
      </w:pPr>
    </w:p>
    <w:p w14:paraId="3A91B31F" w14:textId="77777777" w:rsidR="004739B2" w:rsidRDefault="004739B2" w:rsidP="004739B2">
      <w:pPr>
        <w:jc w:val="center"/>
        <w:rPr>
          <w:rFonts w:ascii="Arial" w:hAnsi="Arial" w:cs="Arial"/>
          <w:b/>
          <w:color w:val="000000"/>
          <w:sz w:val="22"/>
          <w:szCs w:val="22"/>
          <w:lang w:val="en-GB"/>
        </w:rPr>
      </w:pPr>
    </w:p>
    <w:p w14:paraId="02918B20" w14:textId="77777777" w:rsidR="004739B2" w:rsidRDefault="004739B2" w:rsidP="004739B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739B2" w:rsidRDefault="008C6FAA" w:rsidP="004739B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739B2" w:rsidRDefault="004739B2" w:rsidP="004739B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4739B2" w:rsidRDefault="004739B2" w:rsidP="004739B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739B2" w:rsidRPr="00DB56F2" w:rsidRDefault="008C6FAA" w:rsidP="004739B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4739B2" w:rsidRPr="00DB56F2" w:rsidRDefault="004739B2" w:rsidP="004739B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4739B2" w:rsidRDefault="004739B2" w:rsidP="004739B2">
      <w:pPr>
        <w:jc w:val="both"/>
        <w:rPr>
          <w:rFonts w:ascii="Arial" w:hAnsi="Arial" w:cs="Arial"/>
          <w:b/>
          <w:color w:val="767171"/>
          <w:sz w:val="22"/>
          <w:szCs w:val="22"/>
          <w:lang w:val="en-GB"/>
        </w:rPr>
      </w:pPr>
    </w:p>
    <w:p w14:paraId="473EBBAB" w14:textId="77777777" w:rsidR="004739B2" w:rsidRDefault="004739B2" w:rsidP="004739B2">
      <w:pPr>
        <w:jc w:val="both"/>
        <w:rPr>
          <w:rFonts w:ascii="Arial" w:hAnsi="Arial" w:cs="Arial"/>
          <w:b/>
          <w:color w:val="767171"/>
          <w:sz w:val="22"/>
          <w:szCs w:val="22"/>
          <w:lang w:val="en-GB"/>
        </w:rPr>
      </w:pPr>
    </w:p>
    <w:p w14:paraId="4CB26B82" w14:textId="77777777" w:rsidR="004739B2" w:rsidRDefault="004739B2" w:rsidP="004739B2">
      <w:pPr>
        <w:jc w:val="both"/>
        <w:rPr>
          <w:rFonts w:ascii="Arial" w:hAnsi="Arial" w:cs="Arial"/>
          <w:b/>
          <w:color w:val="767171"/>
          <w:sz w:val="22"/>
          <w:szCs w:val="22"/>
          <w:lang w:val="en-GB"/>
        </w:rPr>
      </w:pPr>
    </w:p>
    <w:p w14:paraId="73D332A4" w14:textId="77777777" w:rsidR="004739B2" w:rsidRDefault="004739B2" w:rsidP="004739B2">
      <w:pPr>
        <w:jc w:val="both"/>
        <w:rPr>
          <w:rFonts w:ascii="Arial" w:hAnsi="Arial" w:cs="Arial"/>
          <w:b/>
          <w:color w:val="767171"/>
          <w:sz w:val="22"/>
          <w:szCs w:val="22"/>
          <w:lang w:val="en-GB"/>
        </w:rPr>
      </w:pPr>
    </w:p>
    <w:p w14:paraId="084AA44F" w14:textId="77777777" w:rsidR="004739B2" w:rsidRDefault="004739B2" w:rsidP="004739B2">
      <w:pPr>
        <w:jc w:val="both"/>
        <w:rPr>
          <w:rFonts w:ascii="Arial" w:hAnsi="Arial" w:cs="Arial"/>
          <w:b/>
          <w:color w:val="767171"/>
          <w:sz w:val="22"/>
          <w:szCs w:val="22"/>
          <w:lang w:val="en-GB"/>
        </w:rPr>
      </w:pPr>
    </w:p>
    <w:p w14:paraId="328E1F60" w14:textId="77777777" w:rsidR="004739B2" w:rsidRDefault="004739B2" w:rsidP="004739B2">
      <w:pPr>
        <w:jc w:val="both"/>
        <w:rPr>
          <w:rFonts w:ascii="Arial" w:hAnsi="Arial" w:cs="Arial"/>
          <w:b/>
          <w:color w:val="767171"/>
          <w:sz w:val="22"/>
          <w:szCs w:val="22"/>
          <w:lang w:val="en-GB"/>
        </w:rPr>
      </w:pPr>
    </w:p>
    <w:p w14:paraId="115673F4" w14:textId="77777777" w:rsidR="004739B2" w:rsidRDefault="004739B2" w:rsidP="004739B2">
      <w:pPr>
        <w:jc w:val="both"/>
        <w:rPr>
          <w:rFonts w:ascii="Arial" w:hAnsi="Arial" w:cs="Arial"/>
          <w:b/>
          <w:color w:val="767171"/>
          <w:sz w:val="22"/>
          <w:szCs w:val="22"/>
          <w:lang w:val="en-GB"/>
        </w:rPr>
      </w:pPr>
    </w:p>
    <w:p w14:paraId="3CAB1575" w14:textId="77777777" w:rsidR="004739B2" w:rsidRDefault="004739B2" w:rsidP="004739B2">
      <w:pPr>
        <w:jc w:val="both"/>
        <w:rPr>
          <w:rFonts w:ascii="Arial" w:hAnsi="Arial" w:cs="Arial"/>
          <w:b/>
          <w:color w:val="767171"/>
          <w:sz w:val="22"/>
          <w:szCs w:val="22"/>
          <w:lang w:val="en-GB"/>
        </w:rPr>
      </w:pPr>
    </w:p>
    <w:p w14:paraId="0A62FDBA" w14:textId="77777777" w:rsidR="004739B2" w:rsidRDefault="004739B2" w:rsidP="004739B2">
      <w:pPr>
        <w:jc w:val="both"/>
        <w:rPr>
          <w:rFonts w:ascii="Arial" w:hAnsi="Arial" w:cs="Arial"/>
          <w:b/>
          <w:color w:val="767171"/>
          <w:sz w:val="22"/>
          <w:szCs w:val="22"/>
          <w:lang w:val="en-GB"/>
        </w:rPr>
      </w:pPr>
    </w:p>
    <w:p w14:paraId="12AC8258" w14:textId="77777777" w:rsidR="004739B2" w:rsidRDefault="008C6FAA">
      <w:pPr>
        <w:rPr>
          <w:rFonts w:ascii="Arial" w:hAnsi="Arial" w:cs="Arial"/>
          <w:b/>
          <w:sz w:val="22"/>
          <w:szCs w:val="22"/>
          <w:u w:val="single"/>
          <w:lang w:val="en-GB"/>
        </w:rPr>
      </w:pPr>
      <w:r>
        <w:rPr>
          <w:rFonts w:ascii="Arial" w:hAnsi="Arial" w:cs="Arial"/>
          <w:b/>
          <w:sz w:val="22"/>
          <w:szCs w:val="22"/>
          <w:u w:val="single"/>
          <w:lang w:val="en-GB"/>
        </w:rPr>
        <w:br w:type="page"/>
      </w:r>
    </w:p>
    <w:p w14:paraId="7F111F2A" w14:textId="77777777" w:rsidR="004739B2" w:rsidRPr="00D80DC2" w:rsidRDefault="004739B2" w:rsidP="004739B2">
      <w:pPr>
        <w:jc w:val="center"/>
        <w:rPr>
          <w:rFonts w:ascii="Arial" w:hAnsi="Arial" w:cs="Arial"/>
          <w:b/>
          <w:sz w:val="22"/>
          <w:szCs w:val="22"/>
          <w:u w:val="single"/>
          <w:lang w:val="en-GB"/>
        </w:rPr>
      </w:pPr>
    </w:p>
    <w:p w14:paraId="4EE58D1C" w14:textId="77777777" w:rsidR="004739B2" w:rsidRPr="00D80DC2" w:rsidRDefault="004739B2" w:rsidP="004739B2">
      <w:pPr>
        <w:jc w:val="center"/>
        <w:rPr>
          <w:rFonts w:ascii="Arial" w:hAnsi="Arial" w:cs="Arial"/>
          <w:b/>
          <w:sz w:val="22"/>
          <w:szCs w:val="22"/>
          <w:u w:val="single"/>
          <w:lang w:val="en-GB"/>
        </w:rPr>
      </w:pPr>
    </w:p>
    <w:p w14:paraId="576358F1" w14:textId="77777777" w:rsidR="004739B2" w:rsidRPr="00D80DC2" w:rsidRDefault="008C6FAA" w:rsidP="004739B2">
      <w:pPr>
        <w:jc w:val="center"/>
        <w:rPr>
          <w:rFonts w:ascii="Arial" w:hAnsi="Arial" w:cs="Arial"/>
          <w:b/>
          <w:sz w:val="22"/>
          <w:szCs w:val="22"/>
          <w:u w:val="single"/>
          <w:lang w:val="en-GB"/>
        </w:rPr>
      </w:pPr>
      <w:r w:rsidRPr="00D80DC2">
        <w:rPr>
          <w:rFonts w:ascii="Arial" w:hAnsi="Arial" w:cs="Arial"/>
          <w:b/>
          <w:sz w:val="22"/>
          <w:szCs w:val="22"/>
          <w:u w:val="single"/>
          <w:lang w:val="en-GB"/>
        </w:rPr>
        <w:t>INSTRUCTIONS FOR COMPLETION AND SUBMISSION OF ASSESSMENT</w:t>
      </w:r>
    </w:p>
    <w:p w14:paraId="1957F35D" w14:textId="77777777" w:rsidR="004739B2" w:rsidRPr="00D80DC2" w:rsidRDefault="004739B2" w:rsidP="004739B2">
      <w:pPr>
        <w:jc w:val="both"/>
        <w:rPr>
          <w:rFonts w:ascii="Arial" w:hAnsi="Arial" w:cs="Arial"/>
          <w:sz w:val="22"/>
          <w:szCs w:val="22"/>
          <w:lang w:val="en-GB"/>
        </w:rPr>
      </w:pPr>
    </w:p>
    <w:p w14:paraId="5E1FFA25" w14:textId="77777777" w:rsidR="004739B2" w:rsidRPr="00D80DC2" w:rsidRDefault="004739B2" w:rsidP="004739B2">
      <w:pPr>
        <w:jc w:val="both"/>
        <w:rPr>
          <w:rFonts w:ascii="Arial" w:hAnsi="Arial" w:cs="Arial"/>
          <w:b/>
          <w:sz w:val="22"/>
          <w:szCs w:val="22"/>
          <w:lang w:val="en-GB"/>
        </w:rPr>
      </w:pPr>
    </w:p>
    <w:p w14:paraId="3484AA95" w14:textId="77777777" w:rsidR="00107795" w:rsidRPr="001E23FD" w:rsidRDefault="00107795" w:rsidP="001077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090F476" w14:textId="77777777" w:rsidR="00107795" w:rsidRPr="001E23FD" w:rsidRDefault="00107795" w:rsidP="00107795">
      <w:pPr>
        <w:jc w:val="both"/>
        <w:rPr>
          <w:rFonts w:ascii="Arial" w:hAnsi="Arial" w:cs="Arial"/>
          <w:b/>
          <w:sz w:val="22"/>
          <w:szCs w:val="22"/>
          <w:lang w:val="en-GB"/>
        </w:rPr>
      </w:pPr>
    </w:p>
    <w:p w14:paraId="33FF4702" w14:textId="77777777" w:rsidR="00107795" w:rsidRPr="001E23FD" w:rsidRDefault="00107795" w:rsidP="00107795">
      <w:pPr>
        <w:jc w:val="both"/>
        <w:rPr>
          <w:rFonts w:ascii="Arial" w:hAnsi="Arial" w:cs="Arial"/>
          <w:sz w:val="22"/>
          <w:szCs w:val="22"/>
          <w:lang w:val="en-GB"/>
        </w:rPr>
      </w:pPr>
    </w:p>
    <w:p w14:paraId="6353E008"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3C6779D" w14:textId="77777777" w:rsidR="00107795" w:rsidRPr="001E23FD" w:rsidRDefault="00107795" w:rsidP="00107795">
      <w:pPr>
        <w:ind w:left="720" w:hanging="720"/>
        <w:jc w:val="both"/>
        <w:rPr>
          <w:rFonts w:ascii="Arial" w:hAnsi="Arial" w:cs="Arial"/>
          <w:sz w:val="22"/>
          <w:szCs w:val="22"/>
          <w:lang w:val="en-GB"/>
        </w:rPr>
      </w:pPr>
    </w:p>
    <w:p w14:paraId="0FE77A4F"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4BEBFC" w14:textId="77777777" w:rsidR="00107795" w:rsidRPr="001E23FD" w:rsidRDefault="00107795" w:rsidP="00107795">
      <w:pPr>
        <w:ind w:left="720" w:hanging="720"/>
        <w:jc w:val="both"/>
        <w:rPr>
          <w:rFonts w:ascii="Arial" w:hAnsi="Arial" w:cs="Arial"/>
          <w:sz w:val="22"/>
          <w:szCs w:val="22"/>
          <w:lang w:val="en-GB"/>
        </w:rPr>
      </w:pPr>
    </w:p>
    <w:p w14:paraId="01A900BC"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B8DEC23" w14:textId="77777777" w:rsidR="00107795" w:rsidRPr="001E23FD" w:rsidRDefault="00107795" w:rsidP="00107795">
      <w:pPr>
        <w:ind w:left="720" w:hanging="720"/>
        <w:jc w:val="both"/>
        <w:rPr>
          <w:rFonts w:ascii="Arial" w:hAnsi="Arial" w:cs="Arial"/>
          <w:sz w:val="22"/>
          <w:szCs w:val="22"/>
          <w:lang w:val="en-GB"/>
        </w:rPr>
      </w:pPr>
    </w:p>
    <w:p w14:paraId="1EA8CB44" w14:textId="64969238"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C8AB8C2" w14:textId="77777777" w:rsidR="00107795" w:rsidRPr="001E23FD" w:rsidRDefault="00107795" w:rsidP="00107795">
      <w:pPr>
        <w:ind w:left="720" w:hanging="720"/>
        <w:jc w:val="both"/>
        <w:rPr>
          <w:rFonts w:ascii="Arial" w:hAnsi="Arial" w:cs="Arial"/>
          <w:sz w:val="22"/>
          <w:szCs w:val="22"/>
          <w:lang w:val="en-GB"/>
        </w:rPr>
      </w:pPr>
    </w:p>
    <w:p w14:paraId="00DEC824"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DB0C280" w14:textId="77777777" w:rsidR="00107795" w:rsidRPr="001E23FD" w:rsidRDefault="00107795" w:rsidP="00107795">
      <w:pPr>
        <w:ind w:left="720" w:hanging="720"/>
        <w:jc w:val="both"/>
        <w:rPr>
          <w:rFonts w:ascii="Arial" w:hAnsi="Arial" w:cs="Arial"/>
          <w:sz w:val="22"/>
          <w:szCs w:val="22"/>
          <w:lang w:val="en-GB"/>
        </w:rPr>
      </w:pPr>
    </w:p>
    <w:p w14:paraId="012295E7"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6DD5F10" w14:textId="77777777" w:rsidR="00107795" w:rsidRPr="001E23FD" w:rsidRDefault="00107795" w:rsidP="00107795">
      <w:pPr>
        <w:ind w:left="720" w:hanging="720"/>
        <w:jc w:val="both"/>
        <w:rPr>
          <w:rFonts w:ascii="Arial" w:hAnsi="Arial" w:cs="Arial"/>
          <w:sz w:val="22"/>
          <w:szCs w:val="22"/>
          <w:lang w:val="en-GB"/>
        </w:rPr>
      </w:pPr>
    </w:p>
    <w:p w14:paraId="6261252F" w14:textId="66E1402D" w:rsidR="004739B2" w:rsidRPr="00D80DC2"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C6FAA">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DC5829" w14:textId="77777777" w:rsidR="004739B2" w:rsidRPr="00D80DC2" w:rsidRDefault="004739B2" w:rsidP="004739B2">
      <w:pPr>
        <w:ind w:left="720" w:hanging="720"/>
        <w:jc w:val="both"/>
        <w:rPr>
          <w:rFonts w:ascii="Arial" w:hAnsi="Arial" w:cs="Arial"/>
          <w:sz w:val="22"/>
          <w:szCs w:val="22"/>
          <w:lang w:val="en-GB"/>
        </w:rPr>
      </w:pPr>
    </w:p>
    <w:p w14:paraId="772EFFCC" w14:textId="77777777" w:rsidR="004739B2" w:rsidRPr="00D80DC2" w:rsidRDefault="004739B2" w:rsidP="004739B2">
      <w:pPr>
        <w:ind w:left="720" w:hanging="720"/>
        <w:jc w:val="both"/>
        <w:rPr>
          <w:rFonts w:ascii="Arial" w:hAnsi="Arial" w:cs="Arial"/>
          <w:sz w:val="22"/>
          <w:szCs w:val="22"/>
          <w:lang w:val="en-GB"/>
        </w:rPr>
      </w:pPr>
    </w:p>
    <w:p w14:paraId="61182C52" w14:textId="77777777" w:rsidR="004739B2"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4739B2" w:rsidRPr="00D80DC2" w:rsidRDefault="008C6FAA" w:rsidP="004739B2">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4739B2" w:rsidRPr="00D80DC2" w:rsidRDefault="004739B2" w:rsidP="004739B2">
      <w:pPr>
        <w:ind w:left="720" w:hanging="720"/>
        <w:jc w:val="both"/>
        <w:rPr>
          <w:rFonts w:ascii="Arial" w:hAnsi="Arial" w:cs="Arial"/>
          <w:sz w:val="22"/>
          <w:szCs w:val="22"/>
          <w:lang w:val="en-GB"/>
        </w:rPr>
      </w:pPr>
    </w:p>
    <w:p w14:paraId="38BD97DF" w14:textId="77777777" w:rsidR="004739B2" w:rsidRPr="00D80DC2" w:rsidRDefault="008C6FAA" w:rsidP="004739B2">
      <w:pPr>
        <w:jc w:val="both"/>
        <w:rPr>
          <w:rFonts w:ascii="Arial" w:hAnsi="Arial" w:cs="Arial"/>
          <w:b/>
          <w:sz w:val="22"/>
          <w:szCs w:val="22"/>
          <w:lang w:val="en-GB"/>
        </w:rPr>
      </w:pPr>
      <w:r w:rsidRPr="00BF3EB6">
        <w:rPr>
          <w:rFonts w:ascii="Arial" w:hAnsi="Arial" w:cs="Arial"/>
          <w:b/>
          <w:sz w:val="22"/>
          <w:szCs w:val="22"/>
          <w:highlight w:val="green"/>
          <w:lang w:val="en-GB"/>
        </w:rPr>
        <w:t>QUESTION 1 (multiple-choice questions) [10 marks in total]</w:t>
      </w:r>
    </w:p>
    <w:p w14:paraId="5C7820AC" w14:textId="77777777" w:rsidR="004739B2" w:rsidRPr="00D80DC2" w:rsidRDefault="004739B2" w:rsidP="004739B2">
      <w:pPr>
        <w:ind w:left="720" w:hanging="720"/>
        <w:jc w:val="both"/>
        <w:rPr>
          <w:rFonts w:ascii="Arial" w:hAnsi="Arial" w:cs="Arial"/>
          <w:sz w:val="22"/>
          <w:szCs w:val="22"/>
          <w:lang w:val="en-GB"/>
        </w:rPr>
      </w:pPr>
    </w:p>
    <w:p w14:paraId="078A5E73" w14:textId="77777777" w:rsidR="004739B2" w:rsidRPr="00D80DC2" w:rsidRDefault="008C6FAA" w:rsidP="004739B2">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4739B2" w:rsidRPr="00D80DC2" w:rsidRDefault="004739B2" w:rsidP="004739B2">
      <w:pPr>
        <w:autoSpaceDE w:val="0"/>
        <w:autoSpaceDN w:val="0"/>
        <w:adjustRightInd w:val="0"/>
        <w:jc w:val="both"/>
        <w:rPr>
          <w:rFonts w:ascii="Arial" w:hAnsi="Arial" w:cs="Arial"/>
          <w:sz w:val="22"/>
          <w:szCs w:val="22"/>
          <w:lang w:val="en-GB"/>
        </w:rPr>
      </w:pPr>
    </w:p>
    <w:p w14:paraId="1A5D9D17" w14:textId="77777777" w:rsidR="004739B2" w:rsidRPr="00D80DC2" w:rsidRDefault="008C6FAA" w:rsidP="004739B2">
      <w:pPr>
        <w:jc w:val="both"/>
        <w:rPr>
          <w:rFonts w:ascii="Arial" w:hAnsi="Arial" w:cs="Arial"/>
          <w:sz w:val="22"/>
          <w:szCs w:val="22"/>
          <w:lang w:val="en-GB"/>
        </w:rPr>
      </w:pPr>
      <w:r w:rsidRPr="001D1BA3">
        <w:rPr>
          <w:rFonts w:ascii="Arial" w:hAnsi="Arial" w:cs="Arial"/>
          <w:b/>
          <w:bCs/>
          <w:sz w:val="22"/>
          <w:szCs w:val="22"/>
          <w:highlight w:val="green"/>
          <w:lang w:val="en-GB"/>
        </w:rPr>
        <w:t>Question 1.1</w:t>
      </w:r>
      <w:r w:rsidRPr="00D80DC2">
        <w:rPr>
          <w:rFonts w:ascii="Arial" w:hAnsi="Arial" w:cs="Arial"/>
          <w:sz w:val="22"/>
          <w:szCs w:val="22"/>
          <w:lang w:val="en-GB"/>
        </w:rPr>
        <w:t xml:space="preserve"> </w:t>
      </w:r>
    </w:p>
    <w:p w14:paraId="146046BC" w14:textId="77777777" w:rsidR="004739B2" w:rsidRPr="00D80DC2" w:rsidRDefault="004739B2" w:rsidP="004739B2">
      <w:pPr>
        <w:jc w:val="both"/>
        <w:rPr>
          <w:rFonts w:ascii="Arial" w:hAnsi="Arial" w:cs="Arial"/>
          <w:sz w:val="22"/>
          <w:szCs w:val="22"/>
          <w:lang w:val="en-GB"/>
        </w:rPr>
      </w:pPr>
    </w:p>
    <w:p w14:paraId="4C8669CC" w14:textId="77777777" w:rsidR="004739B2" w:rsidRPr="00D80DC2" w:rsidRDefault="008C6FAA" w:rsidP="004739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5B95863B" w14:textId="77777777" w:rsidR="004739B2" w:rsidRPr="00D80DC2" w:rsidRDefault="004739B2" w:rsidP="004739B2">
      <w:pPr>
        <w:ind w:left="720" w:hanging="720"/>
        <w:rPr>
          <w:rFonts w:ascii="Arial" w:hAnsi="Arial" w:cs="Arial"/>
          <w:sz w:val="22"/>
          <w:szCs w:val="22"/>
          <w:lang w:val="en-GB"/>
        </w:rPr>
      </w:pPr>
    </w:p>
    <w:p w14:paraId="124B7E72" w14:textId="503EF5A8" w:rsidR="004739B2" w:rsidRPr="00477C8E" w:rsidRDefault="008C6FAA" w:rsidP="00107795">
      <w:pPr>
        <w:pStyle w:val="ListParagraph"/>
        <w:numPr>
          <w:ilvl w:val="0"/>
          <w:numId w:val="13"/>
        </w:numPr>
        <w:ind w:left="426"/>
        <w:rPr>
          <w:rFonts w:ascii="Arial" w:hAnsi="Arial" w:cs="Arial"/>
          <w:sz w:val="22"/>
          <w:szCs w:val="22"/>
          <w:highlight w:val="yellow"/>
          <w:lang w:val="en-GB"/>
        </w:rPr>
      </w:pPr>
      <w:r w:rsidRPr="00477C8E">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4739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4739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4739B2"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4739B2" w:rsidRPr="00D80DC2" w:rsidRDefault="004739B2" w:rsidP="004739B2">
      <w:pPr>
        <w:jc w:val="both"/>
        <w:rPr>
          <w:rFonts w:ascii="Arial" w:hAnsi="Arial" w:cs="Arial"/>
          <w:sz w:val="22"/>
          <w:szCs w:val="22"/>
          <w:lang w:val="en-GB"/>
        </w:rPr>
      </w:pPr>
    </w:p>
    <w:p w14:paraId="432493A6" w14:textId="77777777" w:rsidR="004739B2" w:rsidRPr="00D80DC2" w:rsidRDefault="008C6FAA" w:rsidP="004739B2">
      <w:pPr>
        <w:jc w:val="both"/>
        <w:rPr>
          <w:rFonts w:ascii="Arial" w:hAnsi="Arial" w:cs="Arial"/>
          <w:b/>
          <w:bCs/>
          <w:sz w:val="22"/>
          <w:szCs w:val="22"/>
          <w:lang w:val="en-GB"/>
        </w:rPr>
      </w:pPr>
      <w:r w:rsidRPr="001D1BA3">
        <w:rPr>
          <w:rFonts w:ascii="Arial" w:hAnsi="Arial" w:cs="Arial"/>
          <w:b/>
          <w:bCs/>
          <w:sz w:val="22"/>
          <w:szCs w:val="22"/>
          <w:highlight w:val="green"/>
          <w:lang w:val="en-GB"/>
        </w:rPr>
        <w:t>Question 1.2</w:t>
      </w:r>
    </w:p>
    <w:p w14:paraId="6D41306D" w14:textId="77777777" w:rsidR="004739B2" w:rsidRPr="00D80DC2" w:rsidRDefault="004739B2" w:rsidP="004739B2">
      <w:pPr>
        <w:jc w:val="both"/>
        <w:rPr>
          <w:rFonts w:ascii="Arial" w:hAnsi="Arial" w:cs="Arial"/>
          <w:sz w:val="22"/>
          <w:szCs w:val="22"/>
          <w:lang w:val="en-GB"/>
        </w:rPr>
      </w:pPr>
    </w:p>
    <w:p w14:paraId="78EBBFBA" w14:textId="77777777" w:rsidR="004739B2" w:rsidRPr="00D80DC2" w:rsidRDefault="008C6FAA" w:rsidP="004739B2">
      <w:pPr>
        <w:rPr>
          <w:rFonts w:ascii="Arial" w:hAnsi="Arial" w:cs="Arial"/>
          <w:sz w:val="22"/>
          <w:szCs w:val="22"/>
          <w:lang w:val="en-GB"/>
        </w:rPr>
      </w:pPr>
      <w:r w:rsidRPr="00D80DC2">
        <w:rPr>
          <w:rFonts w:ascii="Arial" w:hAnsi="Arial" w:cs="Arial"/>
          <w:sz w:val="22"/>
          <w:szCs w:val="22"/>
          <w:lang w:val="en-GB"/>
        </w:rPr>
        <w:t xml:space="preserve">What features are common to all formal insolvency procedures in Canada? Select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072745C6" w14:textId="77777777" w:rsidR="004739B2" w:rsidRPr="00D80DC2" w:rsidRDefault="004739B2" w:rsidP="004739B2">
      <w:pPr>
        <w:ind w:left="720" w:hanging="720"/>
        <w:rPr>
          <w:rFonts w:ascii="Arial" w:hAnsi="Arial" w:cs="Arial"/>
          <w:sz w:val="22"/>
          <w:szCs w:val="22"/>
          <w:lang w:val="en-GB"/>
        </w:rPr>
      </w:pPr>
    </w:p>
    <w:p w14:paraId="08AC7282" w14:textId="368A7F38" w:rsidR="004739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are fragmented.</w:t>
      </w:r>
    </w:p>
    <w:p w14:paraId="7A3F685F" w14:textId="77777777" w:rsidR="00107795" w:rsidRPr="00107795" w:rsidRDefault="00107795" w:rsidP="00107795">
      <w:pPr>
        <w:rPr>
          <w:rFonts w:ascii="Arial" w:hAnsi="Arial" w:cs="Arial"/>
          <w:sz w:val="22"/>
          <w:szCs w:val="22"/>
          <w:lang w:val="en-GB"/>
        </w:rPr>
      </w:pPr>
    </w:p>
    <w:p w14:paraId="5AB193D5" w14:textId="6D940D54" w:rsidR="004739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follow a “modified universalist” approach.</w:t>
      </w:r>
    </w:p>
    <w:p w14:paraId="63D0436E" w14:textId="77777777" w:rsidR="00107795" w:rsidRPr="00107795" w:rsidRDefault="00107795" w:rsidP="00107795">
      <w:pPr>
        <w:rPr>
          <w:rFonts w:ascii="Arial" w:hAnsi="Arial" w:cs="Arial"/>
          <w:sz w:val="22"/>
          <w:szCs w:val="22"/>
          <w:lang w:val="en-GB"/>
        </w:rPr>
      </w:pPr>
    </w:p>
    <w:p w14:paraId="69812B77" w14:textId="47B7ACCD" w:rsidR="004739B2" w:rsidRPr="00477C8E" w:rsidRDefault="008C6FAA" w:rsidP="00107795">
      <w:pPr>
        <w:pStyle w:val="ListParagraph"/>
        <w:numPr>
          <w:ilvl w:val="0"/>
          <w:numId w:val="14"/>
        </w:numPr>
        <w:ind w:left="426"/>
        <w:rPr>
          <w:rFonts w:ascii="Arial" w:hAnsi="Arial" w:cs="Arial"/>
          <w:sz w:val="22"/>
          <w:szCs w:val="22"/>
          <w:highlight w:val="yellow"/>
          <w:lang w:val="en-GB"/>
        </w:rPr>
      </w:pPr>
      <w:r w:rsidRPr="00477C8E">
        <w:rPr>
          <w:rFonts w:ascii="Arial" w:hAnsi="Arial" w:cs="Arial"/>
          <w:sz w:val="22"/>
          <w:szCs w:val="22"/>
          <w:highlight w:val="yellow"/>
          <w:lang w:val="en-GB"/>
        </w:rPr>
        <w:t>They follow a single-proceeding model and take a universalist approach except in regard to cross-border issues.</w:t>
      </w:r>
    </w:p>
    <w:p w14:paraId="6C6D0624" w14:textId="77777777" w:rsidR="00107795" w:rsidRPr="00107795" w:rsidRDefault="00107795" w:rsidP="00107795">
      <w:pPr>
        <w:rPr>
          <w:rFonts w:ascii="Arial" w:hAnsi="Arial" w:cs="Arial"/>
          <w:sz w:val="22"/>
          <w:szCs w:val="22"/>
          <w:lang w:val="en-GB"/>
        </w:rPr>
      </w:pPr>
    </w:p>
    <w:p w14:paraId="1B6D7350" w14:textId="77777777" w:rsidR="004739B2" w:rsidRPr="00107795"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 xml:space="preserve">They are flexible and focused on restructuring, but they do not provide for the recognition or disposition of claims or assets held outside of Canada. </w:t>
      </w:r>
    </w:p>
    <w:p w14:paraId="50ED79EF" w14:textId="77777777" w:rsidR="004739B2" w:rsidRPr="00D80DC2" w:rsidRDefault="004739B2" w:rsidP="004739B2">
      <w:pPr>
        <w:ind w:left="66"/>
        <w:jc w:val="both"/>
        <w:rPr>
          <w:rFonts w:ascii="Arial" w:hAnsi="Arial" w:cs="Arial"/>
          <w:iCs/>
          <w:sz w:val="22"/>
          <w:szCs w:val="22"/>
          <w:lang w:val="en-GB"/>
        </w:rPr>
      </w:pPr>
    </w:p>
    <w:p w14:paraId="416BB6AB" w14:textId="77777777" w:rsidR="004739B2" w:rsidRPr="00D80DC2" w:rsidRDefault="008C6FAA" w:rsidP="004739B2">
      <w:pPr>
        <w:jc w:val="both"/>
        <w:rPr>
          <w:rFonts w:ascii="Arial" w:hAnsi="Arial" w:cs="Arial"/>
          <w:b/>
          <w:bCs/>
          <w:sz w:val="22"/>
          <w:szCs w:val="22"/>
          <w:lang w:val="en-GB"/>
        </w:rPr>
      </w:pPr>
      <w:r w:rsidRPr="001D1BA3">
        <w:rPr>
          <w:rFonts w:ascii="Arial" w:hAnsi="Arial" w:cs="Arial"/>
          <w:b/>
          <w:bCs/>
          <w:sz w:val="22"/>
          <w:szCs w:val="22"/>
          <w:highlight w:val="green"/>
          <w:lang w:val="en-GB"/>
        </w:rPr>
        <w:t>Question 1.3</w:t>
      </w:r>
    </w:p>
    <w:p w14:paraId="5C4B86BA" w14:textId="77777777" w:rsidR="004739B2" w:rsidRPr="00D80DC2" w:rsidRDefault="004739B2" w:rsidP="004739B2">
      <w:pPr>
        <w:jc w:val="both"/>
        <w:rPr>
          <w:rFonts w:ascii="Arial" w:hAnsi="Arial" w:cs="Arial"/>
          <w:sz w:val="22"/>
          <w:szCs w:val="22"/>
          <w:lang w:val="en-GB"/>
        </w:rPr>
      </w:pPr>
    </w:p>
    <w:p w14:paraId="587C67C8" w14:textId="77777777" w:rsidR="004739B2" w:rsidRPr="00D80DC2" w:rsidRDefault="008C6FAA" w:rsidP="004739B2">
      <w:pPr>
        <w:rPr>
          <w:rFonts w:ascii="Arial" w:hAnsi="Arial" w:cs="Arial"/>
          <w:sz w:val="22"/>
          <w:szCs w:val="22"/>
          <w:lang w:val="en-GB"/>
        </w:rPr>
      </w:pPr>
      <w:r>
        <w:rPr>
          <w:rFonts w:ascii="Arial" w:hAnsi="Arial" w:cs="Arial"/>
          <w:sz w:val="22"/>
          <w:szCs w:val="22"/>
          <w:lang w:val="en-GB"/>
        </w:rPr>
        <w:t xml:space="preserve">Proceedings under the CCAA and BIA are subject to the administrative oversight of: </w:t>
      </w:r>
    </w:p>
    <w:p w14:paraId="37A6582C" w14:textId="77777777" w:rsidR="004739B2" w:rsidRPr="00D80DC2" w:rsidRDefault="004739B2" w:rsidP="004739B2">
      <w:pPr>
        <w:ind w:left="720" w:hanging="720"/>
        <w:rPr>
          <w:rFonts w:ascii="Arial" w:hAnsi="Arial" w:cs="Arial"/>
          <w:sz w:val="22"/>
          <w:szCs w:val="22"/>
          <w:lang w:val="en-GB"/>
        </w:rPr>
      </w:pPr>
    </w:p>
    <w:p w14:paraId="039154C6" w14:textId="0E23CC98" w:rsidR="004739B2"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provincial government</w:t>
      </w:r>
      <w:r w:rsidR="009569A2">
        <w:rPr>
          <w:rFonts w:ascii="Arial" w:hAnsi="Arial" w:cs="Arial"/>
          <w:sz w:val="22"/>
          <w:szCs w:val="22"/>
          <w:lang w:val="en-GB"/>
        </w:rPr>
        <w:t>.</w:t>
      </w:r>
    </w:p>
    <w:p w14:paraId="0E6CA1CA" w14:textId="77777777" w:rsidR="009569A2" w:rsidRPr="009569A2" w:rsidRDefault="009569A2" w:rsidP="009569A2">
      <w:pPr>
        <w:rPr>
          <w:rFonts w:ascii="Arial" w:hAnsi="Arial" w:cs="Arial"/>
          <w:sz w:val="22"/>
          <w:szCs w:val="22"/>
          <w:lang w:val="en-GB"/>
        </w:rPr>
      </w:pPr>
    </w:p>
    <w:p w14:paraId="796DD9A9" w14:textId="68DB9B29" w:rsidR="004739B2"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municipal government</w:t>
      </w:r>
      <w:r w:rsidR="009569A2">
        <w:rPr>
          <w:rFonts w:ascii="Arial" w:hAnsi="Arial" w:cs="Arial"/>
          <w:sz w:val="22"/>
          <w:szCs w:val="22"/>
          <w:lang w:val="en-GB"/>
        </w:rPr>
        <w:t>.</w:t>
      </w:r>
    </w:p>
    <w:p w14:paraId="4BDC5693" w14:textId="77777777" w:rsidR="009569A2" w:rsidRPr="009569A2" w:rsidRDefault="009569A2" w:rsidP="009569A2">
      <w:pPr>
        <w:rPr>
          <w:rFonts w:ascii="Arial" w:hAnsi="Arial" w:cs="Arial"/>
          <w:sz w:val="22"/>
          <w:szCs w:val="22"/>
          <w:lang w:val="en-GB"/>
        </w:rPr>
      </w:pPr>
    </w:p>
    <w:p w14:paraId="06442F45" w14:textId="0AEA3096" w:rsidR="004739B2" w:rsidRPr="00A52603" w:rsidRDefault="008C6FAA" w:rsidP="009569A2">
      <w:pPr>
        <w:pStyle w:val="ListParagraph"/>
        <w:numPr>
          <w:ilvl w:val="0"/>
          <w:numId w:val="15"/>
        </w:numPr>
        <w:ind w:left="426"/>
        <w:rPr>
          <w:rFonts w:ascii="Arial" w:hAnsi="Arial" w:cs="Arial"/>
          <w:sz w:val="22"/>
          <w:szCs w:val="22"/>
          <w:highlight w:val="yellow"/>
          <w:lang w:val="en-GB"/>
        </w:rPr>
      </w:pPr>
      <w:r w:rsidRPr="00A52603">
        <w:rPr>
          <w:rFonts w:ascii="Arial" w:hAnsi="Arial" w:cs="Arial"/>
          <w:sz w:val="22"/>
          <w:szCs w:val="22"/>
          <w:highlight w:val="yellow"/>
          <w:lang w:val="en-GB"/>
        </w:rPr>
        <w:t>The Office of the Superintendent of Bankruptcy (the OSB)</w:t>
      </w:r>
      <w:r w:rsidR="009569A2" w:rsidRPr="00A52603">
        <w:rPr>
          <w:rFonts w:ascii="Arial" w:hAnsi="Arial" w:cs="Arial"/>
          <w:sz w:val="22"/>
          <w:szCs w:val="22"/>
          <w:highlight w:val="yellow"/>
          <w:lang w:val="en-GB"/>
        </w:rPr>
        <w:t>.</w:t>
      </w:r>
    </w:p>
    <w:p w14:paraId="55569833" w14:textId="77777777" w:rsidR="009569A2" w:rsidRPr="009569A2" w:rsidRDefault="009569A2" w:rsidP="009569A2">
      <w:pPr>
        <w:rPr>
          <w:rFonts w:ascii="Arial" w:hAnsi="Arial" w:cs="Arial"/>
          <w:sz w:val="22"/>
          <w:szCs w:val="22"/>
          <w:lang w:val="en-GB"/>
        </w:rPr>
      </w:pPr>
    </w:p>
    <w:p w14:paraId="00D61BC0" w14:textId="01BBF1D6" w:rsidR="004739B2"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bankruptcy court</w:t>
      </w:r>
      <w:r w:rsidR="009569A2">
        <w:rPr>
          <w:rFonts w:ascii="Arial" w:hAnsi="Arial" w:cs="Arial"/>
          <w:sz w:val="22"/>
          <w:szCs w:val="22"/>
          <w:lang w:val="en-GB"/>
        </w:rPr>
        <w:t>.</w:t>
      </w:r>
    </w:p>
    <w:p w14:paraId="223946C2" w14:textId="77777777" w:rsidR="009569A2" w:rsidRPr="009569A2" w:rsidRDefault="009569A2" w:rsidP="009569A2">
      <w:pPr>
        <w:rPr>
          <w:rFonts w:ascii="Arial" w:hAnsi="Arial" w:cs="Arial"/>
          <w:sz w:val="22"/>
          <w:szCs w:val="22"/>
          <w:lang w:val="en-GB"/>
        </w:rPr>
      </w:pPr>
    </w:p>
    <w:p w14:paraId="30F33246" w14:textId="01B42CA5" w:rsidR="004739B2" w:rsidRPr="009569A2" w:rsidRDefault="002A49B4"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w:t>
      </w:r>
      <w:r w:rsidR="008C6FAA" w:rsidRPr="009569A2">
        <w:rPr>
          <w:rFonts w:ascii="Arial" w:hAnsi="Arial" w:cs="Arial"/>
          <w:sz w:val="22"/>
          <w:szCs w:val="22"/>
          <w:lang w:val="en-GB"/>
        </w:rPr>
        <w:t xml:space="preserve">a) and </w:t>
      </w:r>
      <w:r>
        <w:rPr>
          <w:rFonts w:ascii="Arial" w:hAnsi="Arial" w:cs="Arial"/>
          <w:sz w:val="22"/>
          <w:szCs w:val="22"/>
          <w:lang w:val="en-GB"/>
        </w:rPr>
        <w:t>(</w:t>
      </w:r>
      <w:r w:rsidR="008C6FAA" w:rsidRPr="009569A2">
        <w:rPr>
          <w:rFonts w:ascii="Arial" w:hAnsi="Arial" w:cs="Arial"/>
          <w:sz w:val="22"/>
          <w:szCs w:val="22"/>
          <w:lang w:val="en-GB"/>
        </w:rPr>
        <w:t>d).</w:t>
      </w:r>
    </w:p>
    <w:p w14:paraId="7CDC70A2" w14:textId="77777777" w:rsidR="004739B2" w:rsidRPr="00D80DC2" w:rsidRDefault="004739B2">
      <w:pPr>
        <w:jc w:val="both"/>
        <w:rPr>
          <w:rFonts w:ascii="Arial" w:hAnsi="Arial" w:cs="Arial"/>
          <w:b/>
          <w:bCs/>
          <w:sz w:val="22"/>
          <w:szCs w:val="22"/>
          <w:lang w:val="en-GB"/>
        </w:rPr>
      </w:pPr>
    </w:p>
    <w:p w14:paraId="2FD9EDF4" w14:textId="77777777" w:rsidR="004739B2" w:rsidRPr="00D80DC2" w:rsidRDefault="004739B2">
      <w:pPr>
        <w:jc w:val="both"/>
        <w:rPr>
          <w:rFonts w:ascii="Arial" w:hAnsi="Arial" w:cs="Arial"/>
          <w:b/>
          <w:bCs/>
          <w:sz w:val="22"/>
          <w:szCs w:val="22"/>
          <w:lang w:val="en-GB"/>
        </w:rPr>
      </w:pPr>
    </w:p>
    <w:p w14:paraId="568A6582" w14:textId="77777777" w:rsidR="004739B2" w:rsidRPr="00D80DC2" w:rsidRDefault="008C6FAA" w:rsidP="004739B2">
      <w:pPr>
        <w:jc w:val="both"/>
        <w:rPr>
          <w:rFonts w:ascii="Arial" w:hAnsi="Arial" w:cs="Arial"/>
          <w:sz w:val="22"/>
          <w:szCs w:val="22"/>
          <w:lang w:val="en-GB"/>
        </w:rPr>
      </w:pPr>
      <w:r w:rsidRPr="00AA077D">
        <w:rPr>
          <w:rFonts w:ascii="Arial" w:hAnsi="Arial" w:cs="Arial"/>
          <w:b/>
          <w:bCs/>
          <w:sz w:val="22"/>
          <w:szCs w:val="22"/>
          <w:highlight w:val="green"/>
          <w:lang w:val="en-GB"/>
        </w:rPr>
        <w:lastRenderedPageBreak/>
        <w:t>Question 1.4</w:t>
      </w:r>
      <w:r w:rsidRPr="00D80DC2">
        <w:rPr>
          <w:rFonts w:ascii="Arial" w:hAnsi="Arial" w:cs="Arial"/>
          <w:sz w:val="22"/>
          <w:szCs w:val="22"/>
          <w:lang w:val="en-GB"/>
        </w:rPr>
        <w:t xml:space="preserve"> </w:t>
      </w:r>
    </w:p>
    <w:p w14:paraId="16650B17" w14:textId="77777777" w:rsidR="004739B2" w:rsidRPr="00D80DC2" w:rsidRDefault="004739B2" w:rsidP="004739B2">
      <w:pPr>
        <w:jc w:val="both"/>
        <w:rPr>
          <w:rFonts w:ascii="Arial" w:hAnsi="Arial" w:cs="Arial"/>
          <w:sz w:val="22"/>
          <w:szCs w:val="22"/>
          <w:lang w:val="en-GB"/>
        </w:rPr>
      </w:pPr>
    </w:p>
    <w:p w14:paraId="3D67232F" w14:textId="77777777" w:rsidR="004739B2" w:rsidRPr="00D80DC2" w:rsidRDefault="008C6FAA" w:rsidP="004739B2">
      <w:pPr>
        <w:ind w:left="720" w:hanging="720"/>
        <w:rPr>
          <w:rFonts w:ascii="Arial" w:hAnsi="Arial" w:cs="Arial"/>
          <w:sz w:val="22"/>
          <w:szCs w:val="22"/>
          <w:lang w:val="en-GB"/>
        </w:rPr>
      </w:pPr>
      <w:r>
        <w:rPr>
          <w:rFonts w:ascii="Arial" w:hAnsi="Arial" w:cs="Arial"/>
          <w:sz w:val="22"/>
          <w:szCs w:val="22"/>
          <w:lang w:val="en-GB"/>
        </w:rPr>
        <w:t xml:space="preserve">Is the Stay of Proceedings automatic in a CCAA filing? </w:t>
      </w:r>
    </w:p>
    <w:p w14:paraId="38BD93E6" w14:textId="77777777" w:rsidR="004739B2" w:rsidRPr="00D80DC2" w:rsidRDefault="004739B2" w:rsidP="004739B2">
      <w:pPr>
        <w:ind w:left="720" w:hanging="720"/>
        <w:rPr>
          <w:rFonts w:ascii="Arial" w:hAnsi="Arial" w:cs="Arial"/>
          <w:sz w:val="22"/>
          <w:szCs w:val="22"/>
          <w:lang w:val="en-GB"/>
        </w:rPr>
      </w:pPr>
    </w:p>
    <w:p w14:paraId="5BDF9F84" w14:textId="65E88877" w:rsidR="004739B2"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Yes.</w:t>
      </w:r>
    </w:p>
    <w:p w14:paraId="24C8265B" w14:textId="77777777" w:rsidR="002A49B4" w:rsidRPr="002A49B4" w:rsidRDefault="002A49B4" w:rsidP="002A49B4">
      <w:pPr>
        <w:rPr>
          <w:rFonts w:ascii="Arial" w:hAnsi="Arial" w:cs="Arial"/>
          <w:sz w:val="22"/>
          <w:szCs w:val="22"/>
          <w:lang w:val="en-GB"/>
        </w:rPr>
      </w:pPr>
    </w:p>
    <w:p w14:paraId="2CF7774D" w14:textId="608155B3" w:rsidR="004739B2" w:rsidRPr="00AA077D" w:rsidRDefault="008C6FAA" w:rsidP="002A49B4">
      <w:pPr>
        <w:pStyle w:val="ListParagraph"/>
        <w:numPr>
          <w:ilvl w:val="0"/>
          <w:numId w:val="16"/>
        </w:numPr>
        <w:ind w:left="426"/>
        <w:rPr>
          <w:rFonts w:ascii="Arial" w:hAnsi="Arial" w:cs="Arial"/>
          <w:sz w:val="22"/>
          <w:szCs w:val="22"/>
          <w:highlight w:val="yellow"/>
          <w:lang w:val="en-GB"/>
        </w:rPr>
      </w:pPr>
      <w:r w:rsidRPr="00AA077D">
        <w:rPr>
          <w:rFonts w:ascii="Arial" w:hAnsi="Arial" w:cs="Arial"/>
          <w:sz w:val="22"/>
          <w:szCs w:val="22"/>
          <w:highlight w:val="yellow"/>
          <w:lang w:val="en-GB"/>
        </w:rPr>
        <w:t>No. It is a discretionary order granted as part of the initial order by the court.</w:t>
      </w:r>
    </w:p>
    <w:p w14:paraId="5CC1A851" w14:textId="77777777" w:rsidR="002A49B4" w:rsidRPr="002A49B4" w:rsidRDefault="002A49B4" w:rsidP="002A49B4">
      <w:pPr>
        <w:rPr>
          <w:rFonts w:ascii="Arial" w:hAnsi="Arial" w:cs="Arial"/>
          <w:sz w:val="22"/>
          <w:szCs w:val="22"/>
          <w:lang w:val="en-GB"/>
        </w:rPr>
      </w:pPr>
    </w:p>
    <w:p w14:paraId="2CA8917A" w14:textId="77777777" w:rsidR="004739B2" w:rsidRPr="002A49B4"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It depends on the circumstances of the proceeding.</w:t>
      </w:r>
    </w:p>
    <w:p w14:paraId="59E1BA41" w14:textId="77777777" w:rsidR="004739B2" w:rsidRPr="00D80DC2" w:rsidRDefault="004739B2">
      <w:pPr>
        <w:keepNext/>
        <w:jc w:val="both"/>
        <w:rPr>
          <w:rFonts w:ascii="Arial" w:hAnsi="Arial" w:cs="Arial"/>
          <w:b/>
          <w:bCs/>
          <w:sz w:val="22"/>
          <w:szCs w:val="22"/>
          <w:lang w:val="en-GB"/>
        </w:rPr>
      </w:pPr>
    </w:p>
    <w:p w14:paraId="43B32DA6" w14:textId="77777777" w:rsidR="004739B2" w:rsidRPr="00D80DC2" w:rsidRDefault="004739B2">
      <w:pPr>
        <w:keepNext/>
        <w:jc w:val="both"/>
        <w:rPr>
          <w:rFonts w:ascii="Arial" w:hAnsi="Arial" w:cs="Arial"/>
          <w:b/>
          <w:bCs/>
          <w:sz w:val="22"/>
          <w:szCs w:val="22"/>
          <w:lang w:val="en-GB"/>
        </w:rPr>
      </w:pPr>
    </w:p>
    <w:p w14:paraId="4BEB1192" w14:textId="77777777" w:rsidR="004739B2" w:rsidRPr="00D80DC2" w:rsidRDefault="008C6FAA" w:rsidP="004739B2">
      <w:pPr>
        <w:keepNext/>
        <w:jc w:val="both"/>
        <w:rPr>
          <w:rFonts w:ascii="Arial" w:hAnsi="Arial" w:cs="Arial"/>
          <w:b/>
          <w:bCs/>
          <w:sz w:val="22"/>
          <w:szCs w:val="22"/>
          <w:lang w:val="en-GB"/>
        </w:rPr>
      </w:pPr>
      <w:r w:rsidRPr="00AA077D">
        <w:rPr>
          <w:rFonts w:ascii="Arial" w:hAnsi="Arial" w:cs="Arial"/>
          <w:b/>
          <w:bCs/>
          <w:sz w:val="22"/>
          <w:szCs w:val="22"/>
          <w:highlight w:val="green"/>
          <w:lang w:val="en-GB"/>
        </w:rPr>
        <w:t>Question 1.5</w:t>
      </w:r>
      <w:r w:rsidRPr="00D80DC2">
        <w:rPr>
          <w:rFonts w:ascii="Arial" w:hAnsi="Arial" w:cs="Arial"/>
          <w:b/>
          <w:bCs/>
          <w:sz w:val="22"/>
          <w:szCs w:val="22"/>
          <w:lang w:val="en-GB"/>
        </w:rPr>
        <w:t xml:space="preserve"> </w:t>
      </w:r>
    </w:p>
    <w:p w14:paraId="140DE6D5" w14:textId="77777777" w:rsidR="004739B2" w:rsidRPr="00D80DC2" w:rsidRDefault="004739B2" w:rsidP="004739B2">
      <w:pPr>
        <w:autoSpaceDE w:val="0"/>
        <w:autoSpaceDN w:val="0"/>
        <w:adjustRightInd w:val="0"/>
        <w:jc w:val="both"/>
        <w:rPr>
          <w:rFonts w:ascii="Arial" w:hAnsi="Arial" w:cs="Arial"/>
          <w:sz w:val="22"/>
          <w:szCs w:val="22"/>
          <w:lang w:val="en-GB"/>
        </w:rPr>
      </w:pPr>
    </w:p>
    <w:p w14:paraId="745D3638" w14:textId="77777777" w:rsidR="004739B2" w:rsidRPr="00604DE4" w:rsidRDefault="008C6FAA" w:rsidP="004739B2">
      <w:pPr>
        <w:rPr>
          <w:rFonts w:ascii="Arial" w:hAnsi="Arial" w:cs="Arial"/>
          <w:sz w:val="22"/>
          <w:szCs w:val="22"/>
        </w:rPr>
      </w:pPr>
      <w:r>
        <w:rPr>
          <w:rFonts w:ascii="Arial" w:hAnsi="Arial" w:cs="Arial"/>
          <w:sz w:val="22"/>
          <w:szCs w:val="22"/>
          <w:lang w:val="en-GB"/>
        </w:rPr>
        <w:t xml:space="preserve">An “insolvent person” under section 2 of the BIA </w:t>
      </w:r>
      <w:r w:rsidRPr="00604DE4">
        <w:rPr>
          <w:rFonts w:ascii="Arial" w:hAnsi="Arial" w:cs="Arial"/>
          <w:sz w:val="22"/>
          <w:szCs w:val="22"/>
        </w:rPr>
        <w:t xml:space="preserve">means a person who is not bankrupt, resides or carries on business or has property in Canada, and whose liabilities to creditors provable as claims under the BIA amount to at least CAD 1,000, </w:t>
      </w:r>
      <w:r w:rsidRPr="00D63D23">
        <w:rPr>
          <w:rFonts w:ascii="Arial" w:hAnsi="Arial" w:cs="Arial"/>
          <w:b/>
          <w:sz w:val="22"/>
          <w:szCs w:val="22"/>
          <w:u w:val="single"/>
        </w:rPr>
        <w:t>and:</w:t>
      </w:r>
    </w:p>
    <w:p w14:paraId="36F5EF11" w14:textId="77777777" w:rsidR="004739B2" w:rsidRDefault="004739B2" w:rsidP="004739B2">
      <w:pPr>
        <w:rPr>
          <w:rFonts w:ascii="Arial" w:hAnsi="Arial" w:cs="Arial"/>
          <w:sz w:val="22"/>
          <w:szCs w:val="22"/>
          <w:lang w:val="en-GB"/>
        </w:rPr>
      </w:pPr>
    </w:p>
    <w:p w14:paraId="13E1283C" w14:textId="77777777" w:rsidR="004739B2" w:rsidRPr="00D80DC2" w:rsidRDefault="008C6FAA" w:rsidP="004739B2">
      <w:pPr>
        <w:rPr>
          <w:rFonts w:ascii="Arial" w:hAnsi="Arial" w:cs="Arial"/>
          <w:sz w:val="22"/>
          <w:szCs w:val="22"/>
          <w:lang w:val="en-GB"/>
        </w:rPr>
      </w:pPr>
      <w:r w:rsidRPr="00D80DC2">
        <w:rPr>
          <w:rFonts w:ascii="Arial" w:hAnsi="Arial" w:cs="Arial"/>
          <w:sz w:val="22"/>
          <w:szCs w:val="22"/>
          <w:lang w:val="en-GB"/>
        </w:rPr>
        <w:t xml:space="preserve">Select the </w:t>
      </w:r>
      <w:r>
        <w:rPr>
          <w:rFonts w:ascii="Arial" w:hAnsi="Arial" w:cs="Arial"/>
          <w:b/>
          <w:bCs/>
          <w:sz w:val="22"/>
          <w:szCs w:val="22"/>
          <w:lang w:val="en-GB"/>
        </w:rPr>
        <w:t>best</w:t>
      </w:r>
      <w:r w:rsidRPr="00D80DC2">
        <w:rPr>
          <w:rFonts w:ascii="Arial" w:hAnsi="Arial" w:cs="Arial"/>
          <w:b/>
          <w:bCs/>
          <w:sz w:val="22"/>
          <w:szCs w:val="22"/>
          <w:lang w:val="en-GB"/>
        </w:rPr>
        <w:t xml:space="preserve"> answer</w:t>
      </w:r>
      <w:r w:rsidRPr="00D80DC2">
        <w:rPr>
          <w:rFonts w:ascii="Arial" w:hAnsi="Arial" w:cs="Arial"/>
          <w:sz w:val="22"/>
          <w:szCs w:val="22"/>
          <w:lang w:val="en-GB"/>
        </w:rPr>
        <w:t xml:space="preserve"> from the options below.</w:t>
      </w:r>
    </w:p>
    <w:p w14:paraId="3FD13D18" w14:textId="77777777" w:rsidR="004739B2" w:rsidRPr="00D80DC2" w:rsidRDefault="004739B2" w:rsidP="004739B2">
      <w:pPr>
        <w:ind w:left="720" w:hanging="720"/>
        <w:rPr>
          <w:rFonts w:ascii="Arial" w:hAnsi="Arial" w:cs="Arial"/>
          <w:sz w:val="22"/>
          <w:szCs w:val="22"/>
          <w:lang w:val="en-GB"/>
        </w:rPr>
      </w:pPr>
    </w:p>
    <w:p w14:paraId="59219D81" w14:textId="34AE0200" w:rsidR="004739B2"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is unable to meet obligations as they generally become due</w:t>
      </w:r>
      <w:r w:rsidR="00F83D52">
        <w:rPr>
          <w:rFonts w:ascii="Arial" w:hAnsi="Arial" w:cs="Arial"/>
          <w:sz w:val="22"/>
          <w:szCs w:val="22"/>
          <w:lang w:val="en-GB"/>
        </w:rPr>
        <w:t>.</w:t>
      </w:r>
    </w:p>
    <w:p w14:paraId="128F914B" w14:textId="77777777" w:rsidR="00F83D52" w:rsidRPr="00F83D52" w:rsidRDefault="00F83D52" w:rsidP="00F83D52">
      <w:pPr>
        <w:rPr>
          <w:rFonts w:ascii="Arial" w:hAnsi="Arial" w:cs="Arial"/>
          <w:sz w:val="22"/>
          <w:szCs w:val="22"/>
          <w:lang w:val="en-GB"/>
        </w:rPr>
      </w:pPr>
    </w:p>
    <w:p w14:paraId="79A44B41" w14:textId="28C5B52D" w:rsidR="004739B2"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has ceased paying current obligations in the ordinary course of business as they generally become due</w:t>
      </w:r>
      <w:r w:rsidR="00F83D52">
        <w:rPr>
          <w:rFonts w:ascii="Arial" w:hAnsi="Arial" w:cs="Arial"/>
          <w:sz w:val="22"/>
          <w:szCs w:val="22"/>
          <w:lang w:val="en-GB"/>
        </w:rPr>
        <w:t>.</w:t>
      </w:r>
    </w:p>
    <w:p w14:paraId="43C44B66" w14:textId="77777777" w:rsidR="00F83D52" w:rsidRPr="00F83D52" w:rsidRDefault="00F83D52" w:rsidP="00F83D52">
      <w:pPr>
        <w:rPr>
          <w:rFonts w:ascii="Arial" w:hAnsi="Arial" w:cs="Arial"/>
          <w:sz w:val="22"/>
          <w:szCs w:val="22"/>
          <w:lang w:val="en-GB"/>
        </w:rPr>
      </w:pPr>
    </w:p>
    <w:p w14:paraId="2EE8044F" w14:textId="5C8D6FE7" w:rsidR="004739B2"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the aggregate of whose property is not, at fair valuation, sufficient to enable payment of all of his obligations, due and accruing due</w:t>
      </w:r>
      <w:r w:rsidR="00F83D52">
        <w:rPr>
          <w:rFonts w:ascii="Arial" w:hAnsi="Arial" w:cs="Arial"/>
          <w:sz w:val="22"/>
          <w:szCs w:val="22"/>
          <w:lang w:val="en-GB"/>
        </w:rPr>
        <w:t>.</w:t>
      </w:r>
    </w:p>
    <w:p w14:paraId="390AE7AE" w14:textId="77777777" w:rsidR="00F83D52" w:rsidRPr="00F83D52" w:rsidRDefault="00F83D52" w:rsidP="00F83D52">
      <w:pPr>
        <w:rPr>
          <w:rFonts w:ascii="Arial" w:hAnsi="Arial" w:cs="Arial"/>
          <w:sz w:val="22"/>
          <w:szCs w:val="22"/>
          <w:lang w:val="en-GB"/>
        </w:rPr>
      </w:pPr>
    </w:p>
    <w:p w14:paraId="15FA22BE" w14:textId="0B396A41" w:rsidR="004739B2" w:rsidRPr="00AA077D" w:rsidRDefault="00F83D52" w:rsidP="001B0BDE">
      <w:pPr>
        <w:pStyle w:val="ListParagraph"/>
        <w:numPr>
          <w:ilvl w:val="0"/>
          <w:numId w:val="17"/>
        </w:numPr>
        <w:ind w:left="426"/>
        <w:rPr>
          <w:rFonts w:ascii="Arial" w:hAnsi="Arial" w:cs="Arial"/>
          <w:sz w:val="22"/>
          <w:szCs w:val="22"/>
          <w:highlight w:val="yellow"/>
          <w:lang w:val="en-GB"/>
        </w:rPr>
      </w:pPr>
      <w:r w:rsidRPr="00AA077D">
        <w:rPr>
          <w:rFonts w:ascii="Arial" w:hAnsi="Arial" w:cs="Arial"/>
          <w:sz w:val="22"/>
          <w:szCs w:val="22"/>
          <w:highlight w:val="yellow"/>
          <w:lang w:val="en-GB"/>
        </w:rPr>
        <w:t>a</w:t>
      </w:r>
      <w:r w:rsidR="008C6FAA" w:rsidRPr="00AA077D">
        <w:rPr>
          <w:rFonts w:ascii="Arial" w:hAnsi="Arial" w:cs="Arial"/>
          <w:sz w:val="22"/>
          <w:szCs w:val="22"/>
          <w:highlight w:val="yellow"/>
          <w:lang w:val="en-GB"/>
        </w:rPr>
        <w:t xml:space="preserve">ny or all of the above. </w:t>
      </w:r>
    </w:p>
    <w:p w14:paraId="381396E9" w14:textId="77777777" w:rsidR="004739B2" w:rsidRPr="00D80DC2" w:rsidRDefault="004739B2">
      <w:pPr>
        <w:autoSpaceDE w:val="0"/>
        <w:autoSpaceDN w:val="0"/>
        <w:adjustRightInd w:val="0"/>
        <w:jc w:val="both"/>
        <w:rPr>
          <w:rFonts w:ascii="Arial" w:hAnsi="Arial" w:cs="Arial"/>
          <w:b/>
          <w:bCs/>
          <w:sz w:val="22"/>
          <w:szCs w:val="22"/>
          <w:lang w:val="en-GB"/>
        </w:rPr>
      </w:pPr>
    </w:p>
    <w:p w14:paraId="629131D9" w14:textId="77777777" w:rsidR="004739B2" w:rsidRPr="00D80DC2" w:rsidRDefault="004739B2">
      <w:pPr>
        <w:autoSpaceDE w:val="0"/>
        <w:autoSpaceDN w:val="0"/>
        <w:adjustRightInd w:val="0"/>
        <w:jc w:val="both"/>
        <w:rPr>
          <w:rFonts w:ascii="Arial" w:hAnsi="Arial" w:cs="Arial"/>
          <w:b/>
          <w:bCs/>
          <w:sz w:val="22"/>
          <w:szCs w:val="22"/>
          <w:lang w:val="en-GB"/>
        </w:rPr>
      </w:pPr>
    </w:p>
    <w:p w14:paraId="77323D6D" w14:textId="77777777" w:rsidR="004739B2" w:rsidRPr="00D80DC2" w:rsidRDefault="008C6FAA" w:rsidP="004739B2">
      <w:pPr>
        <w:autoSpaceDE w:val="0"/>
        <w:autoSpaceDN w:val="0"/>
        <w:adjustRightInd w:val="0"/>
        <w:jc w:val="both"/>
        <w:rPr>
          <w:rFonts w:ascii="Arial" w:hAnsi="Arial" w:cs="Arial"/>
          <w:sz w:val="22"/>
          <w:szCs w:val="22"/>
          <w:lang w:val="en-GB"/>
        </w:rPr>
      </w:pPr>
      <w:r w:rsidRPr="002E0AFD">
        <w:rPr>
          <w:rFonts w:ascii="Arial" w:hAnsi="Arial" w:cs="Arial"/>
          <w:b/>
          <w:bCs/>
          <w:sz w:val="22"/>
          <w:szCs w:val="22"/>
          <w:highlight w:val="green"/>
          <w:lang w:val="en-GB"/>
        </w:rPr>
        <w:t>Question 1.6</w:t>
      </w:r>
      <w:r w:rsidRPr="00D80DC2">
        <w:rPr>
          <w:rFonts w:ascii="Arial" w:hAnsi="Arial" w:cs="Arial"/>
          <w:sz w:val="22"/>
          <w:szCs w:val="22"/>
          <w:lang w:val="en-GB"/>
        </w:rPr>
        <w:t xml:space="preserve"> </w:t>
      </w:r>
    </w:p>
    <w:p w14:paraId="5D6B7881" w14:textId="77777777" w:rsidR="004739B2" w:rsidRPr="00D80DC2" w:rsidRDefault="004739B2" w:rsidP="004739B2">
      <w:pPr>
        <w:jc w:val="both"/>
        <w:rPr>
          <w:rFonts w:ascii="Arial" w:hAnsi="Arial" w:cs="Arial"/>
          <w:sz w:val="22"/>
          <w:szCs w:val="22"/>
          <w:lang w:val="en-GB"/>
        </w:rPr>
      </w:pPr>
    </w:p>
    <w:p w14:paraId="7EFADB14" w14:textId="77777777" w:rsidR="004739B2" w:rsidRPr="005417F4" w:rsidRDefault="008C6FAA" w:rsidP="004739B2">
      <w:pPr>
        <w:jc w:val="both"/>
        <w:rPr>
          <w:rFonts w:ascii="Arial" w:hAnsi="Arial" w:cs="Arial"/>
          <w:sz w:val="22"/>
          <w:szCs w:val="22"/>
          <w:lang w:val="en-GB"/>
        </w:rPr>
      </w:pPr>
      <w:r>
        <w:rPr>
          <w:rFonts w:ascii="Arial" w:hAnsi="Arial" w:cs="Arial"/>
          <w:sz w:val="22"/>
          <w:szCs w:val="22"/>
          <w:lang w:val="en-GB"/>
        </w:rPr>
        <w:t xml:space="preserve">Which of the following is </w:t>
      </w:r>
      <w:r w:rsidRPr="001252FE">
        <w:rPr>
          <w:rFonts w:ascii="Arial" w:hAnsi="Arial" w:cs="Arial"/>
          <w:sz w:val="22"/>
          <w:szCs w:val="22"/>
          <w:lang w:val="en-GB"/>
        </w:rPr>
        <w:t>an</w:t>
      </w:r>
      <w:r>
        <w:rPr>
          <w:rFonts w:ascii="Arial" w:hAnsi="Arial" w:cs="Arial"/>
          <w:sz w:val="22"/>
          <w:szCs w:val="22"/>
          <w:lang w:val="en-GB"/>
        </w:rPr>
        <w:t xml:space="preserve"> act of bankruptcy under section 42 of the BIA?</w:t>
      </w:r>
    </w:p>
    <w:p w14:paraId="78B395E2" w14:textId="77777777" w:rsidR="004739B2" w:rsidRPr="00D80DC2" w:rsidRDefault="004739B2" w:rsidP="004739B2">
      <w:pPr>
        <w:ind w:left="426" w:hanging="284"/>
        <w:jc w:val="both"/>
        <w:rPr>
          <w:rFonts w:ascii="Arial" w:hAnsi="Arial" w:cs="Arial"/>
          <w:sz w:val="22"/>
          <w:szCs w:val="22"/>
          <w:lang w:val="en-GB"/>
        </w:rPr>
      </w:pPr>
    </w:p>
    <w:p w14:paraId="1C89F69D" w14:textId="36CF84A8" w:rsidR="004739B2"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I</w:t>
      </w:r>
      <w:r w:rsidR="008C6FAA" w:rsidRPr="00513258">
        <w:rPr>
          <w:rFonts w:ascii="Arial" w:hAnsi="Arial" w:cs="Arial"/>
          <w:sz w:val="22"/>
          <w:szCs w:val="22"/>
          <w:lang w:val="en-GB"/>
        </w:rPr>
        <w:t>n Canada or elsewhere the bankrupt makes any transfer of the debtor’s property or any part of it, or creates any charge on it, that is a fraudulent preference</w:t>
      </w:r>
      <w:r>
        <w:rPr>
          <w:rFonts w:ascii="Arial" w:hAnsi="Arial" w:cs="Arial"/>
          <w:sz w:val="22"/>
          <w:szCs w:val="22"/>
          <w:lang w:val="en-GB"/>
        </w:rPr>
        <w:t>.</w:t>
      </w:r>
    </w:p>
    <w:p w14:paraId="69DF5A4A" w14:textId="77777777" w:rsidR="00513258" w:rsidRPr="00513258" w:rsidRDefault="00513258" w:rsidP="00513258">
      <w:pPr>
        <w:jc w:val="both"/>
        <w:rPr>
          <w:rFonts w:ascii="Arial" w:hAnsi="Arial" w:cs="Arial"/>
          <w:sz w:val="22"/>
          <w:szCs w:val="22"/>
          <w:lang w:val="en-GB"/>
        </w:rPr>
      </w:pPr>
    </w:p>
    <w:p w14:paraId="73C6B415" w14:textId="5293593B" w:rsidR="004739B2"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defaults on a proposal</w:t>
      </w:r>
      <w:r>
        <w:rPr>
          <w:rFonts w:ascii="Arial" w:hAnsi="Arial" w:cs="Arial"/>
          <w:sz w:val="22"/>
          <w:szCs w:val="22"/>
          <w:lang w:val="en-GB"/>
        </w:rPr>
        <w:t>.</w:t>
      </w:r>
    </w:p>
    <w:p w14:paraId="2C036EAC" w14:textId="77777777" w:rsidR="00513258" w:rsidRPr="00513258" w:rsidRDefault="00513258" w:rsidP="00513258">
      <w:pPr>
        <w:jc w:val="both"/>
        <w:rPr>
          <w:rFonts w:ascii="Arial" w:hAnsi="Arial" w:cs="Arial"/>
          <w:sz w:val="22"/>
          <w:szCs w:val="22"/>
          <w:lang w:val="en-GB"/>
        </w:rPr>
      </w:pPr>
    </w:p>
    <w:p w14:paraId="28F77BAC" w14:textId="318A473F" w:rsidR="004739B2"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ceases to meet liabilities as they generally become due</w:t>
      </w:r>
      <w:r>
        <w:rPr>
          <w:rFonts w:ascii="Arial" w:hAnsi="Arial" w:cs="Arial"/>
          <w:sz w:val="22"/>
          <w:szCs w:val="22"/>
          <w:lang w:val="en-GB"/>
        </w:rPr>
        <w:t>.</w:t>
      </w:r>
    </w:p>
    <w:p w14:paraId="24EA544B" w14:textId="77777777" w:rsidR="00513258" w:rsidRPr="00513258" w:rsidRDefault="00513258" w:rsidP="00513258">
      <w:pPr>
        <w:jc w:val="both"/>
        <w:rPr>
          <w:rFonts w:ascii="Arial" w:hAnsi="Arial" w:cs="Arial"/>
          <w:sz w:val="22"/>
          <w:szCs w:val="22"/>
          <w:lang w:val="en-GB"/>
        </w:rPr>
      </w:pPr>
    </w:p>
    <w:p w14:paraId="39503AA5" w14:textId="3548DD1B" w:rsidR="004739B2"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makes an admission of his inability to pay debts</w:t>
      </w:r>
      <w:r>
        <w:rPr>
          <w:rFonts w:ascii="Arial" w:hAnsi="Arial" w:cs="Arial"/>
          <w:sz w:val="22"/>
          <w:szCs w:val="22"/>
          <w:lang w:val="en-GB"/>
        </w:rPr>
        <w:t>.</w:t>
      </w:r>
    </w:p>
    <w:p w14:paraId="733B77A5" w14:textId="77777777" w:rsidR="00513258" w:rsidRPr="00513258" w:rsidRDefault="00513258" w:rsidP="00513258">
      <w:pPr>
        <w:jc w:val="both"/>
        <w:rPr>
          <w:rFonts w:ascii="Arial" w:hAnsi="Arial" w:cs="Arial"/>
          <w:sz w:val="22"/>
          <w:szCs w:val="22"/>
          <w:lang w:val="en-GB"/>
        </w:rPr>
      </w:pPr>
    </w:p>
    <w:p w14:paraId="55E69884" w14:textId="77777777" w:rsidR="004739B2" w:rsidRPr="002E0AFD" w:rsidRDefault="008C6FAA" w:rsidP="00513258">
      <w:pPr>
        <w:pStyle w:val="ListParagraph"/>
        <w:numPr>
          <w:ilvl w:val="0"/>
          <w:numId w:val="18"/>
        </w:numPr>
        <w:ind w:left="426"/>
        <w:jc w:val="both"/>
        <w:rPr>
          <w:rFonts w:ascii="Arial" w:hAnsi="Arial" w:cs="Arial"/>
          <w:sz w:val="22"/>
          <w:szCs w:val="22"/>
          <w:highlight w:val="yellow"/>
          <w:lang w:val="en-GB"/>
        </w:rPr>
      </w:pPr>
      <w:r w:rsidRPr="002E0AFD">
        <w:rPr>
          <w:rFonts w:ascii="Arial" w:hAnsi="Arial" w:cs="Arial"/>
          <w:sz w:val="22"/>
          <w:szCs w:val="22"/>
          <w:highlight w:val="yellow"/>
          <w:lang w:val="en-GB"/>
        </w:rPr>
        <w:t>All of the above.</w:t>
      </w:r>
    </w:p>
    <w:p w14:paraId="0A75F239" w14:textId="77777777" w:rsidR="004739B2" w:rsidRPr="00D80DC2" w:rsidRDefault="004739B2">
      <w:pPr>
        <w:jc w:val="both"/>
        <w:rPr>
          <w:rFonts w:ascii="Arial" w:hAnsi="Arial" w:cs="Arial"/>
          <w:b/>
          <w:bCs/>
          <w:sz w:val="22"/>
          <w:szCs w:val="22"/>
          <w:lang w:val="en-GB"/>
        </w:rPr>
      </w:pPr>
    </w:p>
    <w:p w14:paraId="69DA2841" w14:textId="77777777" w:rsidR="004739B2" w:rsidRPr="00D80DC2" w:rsidRDefault="004739B2">
      <w:pPr>
        <w:jc w:val="both"/>
        <w:rPr>
          <w:rFonts w:ascii="Arial" w:hAnsi="Arial" w:cs="Arial"/>
          <w:b/>
          <w:bCs/>
          <w:sz w:val="22"/>
          <w:szCs w:val="22"/>
          <w:lang w:val="en-GB"/>
        </w:rPr>
      </w:pPr>
    </w:p>
    <w:p w14:paraId="7147449D" w14:textId="77777777" w:rsidR="004739B2" w:rsidRPr="00D80DC2" w:rsidRDefault="008C6FAA" w:rsidP="004739B2">
      <w:pPr>
        <w:jc w:val="both"/>
        <w:rPr>
          <w:rFonts w:ascii="Arial" w:hAnsi="Arial" w:cs="Arial"/>
          <w:sz w:val="22"/>
          <w:szCs w:val="22"/>
          <w:lang w:val="en-GB"/>
        </w:rPr>
      </w:pPr>
      <w:r w:rsidRPr="002E0AFD">
        <w:rPr>
          <w:rFonts w:ascii="Arial" w:hAnsi="Arial" w:cs="Arial"/>
          <w:b/>
          <w:bCs/>
          <w:sz w:val="22"/>
          <w:szCs w:val="22"/>
          <w:highlight w:val="green"/>
          <w:lang w:val="en-GB"/>
        </w:rPr>
        <w:t>Question 1.7</w:t>
      </w:r>
      <w:r w:rsidRPr="00D80DC2">
        <w:rPr>
          <w:rFonts w:ascii="Arial" w:hAnsi="Arial" w:cs="Arial"/>
          <w:sz w:val="22"/>
          <w:szCs w:val="22"/>
          <w:lang w:val="en-GB"/>
        </w:rPr>
        <w:t xml:space="preserve"> </w:t>
      </w:r>
    </w:p>
    <w:p w14:paraId="562036AA" w14:textId="77777777" w:rsidR="004739B2" w:rsidRPr="00D80DC2" w:rsidRDefault="004739B2" w:rsidP="004739B2">
      <w:pPr>
        <w:jc w:val="both"/>
        <w:rPr>
          <w:rFonts w:ascii="Arial" w:eastAsiaTheme="minorHAnsi" w:hAnsi="Arial" w:cs="Arial"/>
          <w:sz w:val="22"/>
          <w:szCs w:val="22"/>
          <w:lang w:val="en-GB"/>
        </w:rPr>
      </w:pPr>
    </w:p>
    <w:p w14:paraId="429AA2FC" w14:textId="77777777" w:rsidR="00E0683B" w:rsidRPr="00E0683B" w:rsidRDefault="005625A0" w:rsidP="004739B2">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E0683B">
        <w:rPr>
          <w:rFonts w:ascii="Arial" w:hAnsi="Arial" w:cs="Arial"/>
          <w:b/>
          <w:bCs/>
          <w:sz w:val="22"/>
          <w:szCs w:val="22"/>
          <w:lang w:val="en-GB"/>
        </w:rPr>
        <w:t>True or False:</w:t>
      </w:r>
    </w:p>
    <w:p w14:paraId="54653067" w14:textId="77777777" w:rsidR="00E0683B" w:rsidRDefault="00E0683B" w:rsidP="004739B2">
      <w:pPr>
        <w:jc w:val="both"/>
        <w:rPr>
          <w:rFonts w:ascii="Arial" w:hAnsi="Arial" w:cs="Arial"/>
          <w:sz w:val="22"/>
          <w:szCs w:val="22"/>
          <w:lang w:val="en-GB"/>
        </w:rPr>
      </w:pPr>
    </w:p>
    <w:p w14:paraId="2CDE0CDF" w14:textId="416B81F3" w:rsidR="004739B2" w:rsidRPr="00D80DC2" w:rsidRDefault="008C6FAA" w:rsidP="004739B2">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4739B2" w:rsidRPr="00D80DC2" w:rsidRDefault="004739B2" w:rsidP="004739B2">
      <w:pPr>
        <w:jc w:val="both"/>
        <w:rPr>
          <w:rFonts w:ascii="Arial" w:hAnsi="Arial" w:cs="Arial"/>
          <w:sz w:val="22"/>
          <w:szCs w:val="22"/>
          <w:lang w:val="en-GB"/>
        </w:rPr>
      </w:pPr>
    </w:p>
    <w:p w14:paraId="75BAC333" w14:textId="5E15857F" w:rsidR="004739B2" w:rsidRPr="002E0AFD" w:rsidRDefault="008C6FAA" w:rsidP="005625A0">
      <w:pPr>
        <w:pStyle w:val="ListParagraph"/>
        <w:numPr>
          <w:ilvl w:val="0"/>
          <w:numId w:val="19"/>
        </w:numPr>
        <w:ind w:left="426"/>
        <w:jc w:val="both"/>
        <w:rPr>
          <w:rFonts w:ascii="Arial" w:hAnsi="Arial" w:cs="Arial"/>
          <w:sz w:val="22"/>
          <w:szCs w:val="22"/>
          <w:highlight w:val="yellow"/>
          <w:lang w:val="en-GB"/>
        </w:rPr>
      </w:pPr>
      <w:r w:rsidRPr="002E0AFD">
        <w:rPr>
          <w:rFonts w:ascii="Arial" w:hAnsi="Arial" w:cs="Arial"/>
          <w:sz w:val="22"/>
          <w:szCs w:val="22"/>
          <w:highlight w:val="yellow"/>
          <w:lang w:val="en-GB"/>
        </w:rPr>
        <w:t>True</w:t>
      </w:r>
      <w:r w:rsidR="00E0683B" w:rsidRPr="002E0AFD">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4739B2"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53CA2869" w14:textId="77777777" w:rsidR="004739B2" w:rsidRPr="00D80DC2" w:rsidRDefault="008C6FAA" w:rsidP="004739B2">
      <w:pPr>
        <w:jc w:val="both"/>
        <w:rPr>
          <w:rFonts w:ascii="Arial" w:hAnsi="Arial" w:cs="Arial"/>
          <w:sz w:val="22"/>
          <w:szCs w:val="22"/>
          <w:lang w:val="en-GB"/>
        </w:rPr>
      </w:pPr>
      <w:r w:rsidRPr="002E0AFD">
        <w:rPr>
          <w:rFonts w:ascii="Arial" w:hAnsi="Arial" w:cs="Arial"/>
          <w:b/>
          <w:bCs/>
          <w:sz w:val="22"/>
          <w:szCs w:val="22"/>
          <w:highlight w:val="green"/>
          <w:lang w:val="en-GB"/>
        </w:rPr>
        <w:lastRenderedPageBreak/>
        <w:t>Question 1.8</w:t>
      </w:r>
      <w:r w:rsidRPr="00D80DC2">
        <w:rPr>
          <w:rFonts w:ascii="Arial" w:hAnsi="Arial" w:cs="Arial"/>
          <w:sz w:val="22"/>
          <w:szCs w:val="22"/>
          <w:lang w:val="en-GB"/>
        </w:rPr>
        <w:t xml:space="preserve"> </w:t>
      </w:r>
    </w:p>
    <w:p w14:paraId="0D7D15F8" w14:textId="77777777" w:rsidR="004739B2" w:rsidRPr="00D80DC2" w:rsidRDefault="004739B2" w:rsidP="004739B2">
      <w:pPr>
        <w:jc w:val="both"/>
        <w:rPr>
          <w:rFonts w:ascii="Arial" w:hAnsi="Arial" w:cs="Arial"/>
          <w:sz w:val="22"/>
          <w:szCs w:val="22"/>
          <w:lang w:val="en-GB"/>
        </w:rPr>
      </w:pPr>
    </w:p>
    <w:p w14:paraId="4FCA09B1"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45CC75A5" w14:textId="77777777" w:rsidR="00E0683B" w:rsidRDefault="00E0683B" w:rsidP="004739B2">
      <w:pPr>
        <w:jc w:val="both"/>
        <w:rPr>
          <w:rFonts w:ascii="Arial" w:hAnsi="Arial" w:cs="Arial"/>
          <w:sz w:val="22"/>
          <w:szCs w:val="22"/>
          <w:lang w:val="en-GB"/>
        </w:rPr>
      </w:pPr>
    </w:p>
    <w:p w14:paraId="12C08C0F" w14:textId="318B3DBE" w:rsidR="004739B2" w:rsidRPr="00D80DC2" w:rsidRDefault="008C6FAA" w:rsidP="004739B2">
      <w:pPr>
        <w:jc w:val="both"/>
        <w:rPr>
          <w:rFonts w:ascii="Arial" w:hAnsi="Arial" w:cs="Arial"/>
          <w:sz w:val="22"/>
          <w:szCs w:val="22"/>
          <w:lang w:val="en-GB"/>
        </w:rPr>
      </w:pPr>
      <w:r w:rsidRPr="00D80DC2">
        <w:rPr>
          <w:rFonts w:ascii="Arial" w:hAnsi="Arial" w:cs="Arial"/>
          <w:sz w:val="22"/>
          <w:szCs w:val="22"/>
          <w:lang w:val="en-GB"/>
        </w:rPr>
        <w:t>The CCAA provides for a statutory priority over pre-filing creditors to suppliers of goods and services to the debtor after the granting of an initial order.</w:t>
      </w:r>
    </w:p>
    <w:p w14:paraId="7FC9E16E" w14:textId="77777777" w:rsidR="004739B2" w:rsidRPr="00D80DC2" w:rsidRDefault="004739B2" w:rsidP="004739B2">
      <w:pPr>
        <w:jc w:val="both"/>
        <w:rPr>
          <w:rFonts w:ascii="Arial" w:hAnsi="Arial" w:cs="Arial"/>
          <w:sz w:val="22"/>
          <w:szCs w:val="22"/>
          <w:lang w:val="en-GB"/>
        </w:rPr>
      </w:pPr>
    </w:p>
    <w:p w14:paraId="7EDA2BD3" w14:textId="1C6DC874" w:rsidR="004739B2"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True</w:t>
      </w:r>
      <w:r w:rsidR="00E0683B">
        <w:rPr>
          <w:rFonts w:ascii="Arial" w:hAnsi="Arial" w:cs="Arial"/>
          <w:sz w:val="22"/>
          <w:szCs w:val="22"/>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4739B2" w:rsidRPr="002E0AFD" w:rsidRDefault="008C6FAA" w:rsidP="00E0683B">
      <w:pPr>
        <w:pStyle w:val="ListParagraph"/>
        <w:numPr>
          <w:ilvl w:val="0"/>
          <w:numId w:val="20"/>
        </w:numPr>
        <w:ind w:left="426"/>
        <w:jc w:val="both"/>
        <w:rPr>
          <w:rFonts w:ascii="Arial" w:hAnsi="Arial" w:cs="Arial"/>
          <w:sz w:val="22"/>
          <w:szCs w:val="22"/>
          <w:highlight w:val="yellow"/>
          <w:lang w:val="en-GB"/>
        </w:rPr>
      </w:pPr>
      <w:r w:rsidRPr="002E0AFD">
        <w:rPr>
          <w:rFonts w:ascii="Arial" w:hAnsi="Arial" w:cs="Arial"/>
          <w:sz w:val="22"/>
          <w:szCs w:val="22"/>
          <w:highlight w:val="yellow"/>
          <w:lang w:val="en-GB"/>
        </w:rPr>
        <w:t>False</w:t>
      </w:r>
      <w:r w:rsidR="00E0683B" w:rsidRPr="002E0AFD">
        <w:rPr>
          <w:rFonts w:ascii="Arial" w:hAnsi="Arial" w:cs="Arial"/>
          <w:sz w:val="22"/>
          <w:szCs w:val="22"/>
          <w:highlight w:val="yellow"/>
          <w:lang w:val="en-GB"/>
        </w:rPr>
        <w:t>.</w:t>
      </w:r>
    </w:p>
    <w:p w14:paraId="56C2B042" w14:textId="77777777" w:rsidR="004739B2" w:rsidRPr="00D80DC2" w:rsidRDefault="004739B2" w:rsidP="004739B2">
      <w:pPr>
        <w:jc w:val="both"/>
        <w:rPr>
          <w:rFonts w:ascii="Arial" w:eastAsiaTheme="minorHAnsi" w:hAnsi="Arial" w:cs="Arial"/>
          <w:sz w:val="22"/>
          <w:szCs w:val="22"/>
          <w:lang w:val="en-GB"/>
        </w:rPr>
      </w:pPr>
    </w:p>
    <w:p w14:paraId="05F0AF18" w14:textId="77777777" w:rsidR="004739B2" w:rsidRPr="00D80DC2" w:rsidRDefault="008C6FAA" w:rsidP="004739B2">
      <w:pPr>
        <w:jc w:val="both"/>
        <w:rPr>
          <w:rFonts w:ascii="Arial" w:hAnsi="Arial" w:cs="Arial"/>
          <w:sz w:val="22"/>
          <w:szCs w:val="22"/>
          <w:lang w:val="en-GB"/>
        </w:rPr>
      </w:pPr>
      <w:r w:rsidRPr="00FA3CFF">
        <w:rPr>
          <w:rFonts w:ascii="Arial" w:hAnsi="Arial" w:cs="Arial"/>
          <w:b/>
          <w:bCs/>
          <w:sz w:val="22"/>
          <w:szCs w:val="22"/>
          <w:highlight w:val="green"/>
          <w:lang w:val="en-GB"/>
        </w:rPr>
        <w:t>Question 1.9</w:t>
      </w:r>
      <w:r w:rsidRPr="00D80DC2">
        <w:rPr>
          <w:rFonts w:ascii="Arial" w:hAnsi="Arial" w:cs="Arial"/>
          <w:sz w:val="22"/>
          <w:szCs w:val="22"/>
          <w:lang w:val="en-GB"/>
        </w:rPr>
        <w:t xml:space="preserve"> </w:t>
      </w:r>
    </w:p>
    <w:p w14:paraId="7D79DA65" w14:textId="77777777" w:rsidR="004739B2" w:rsidRPr="00D80DC2" w:rsidRDefault="004739B2" w:rsidP="004739B2">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219F5C72" w14:textId="77777777" w:rsidR="00E0683B" w:rsidRDefault="00E0683B" w:rsidP="004739B2">
      <w:pPr>
        <w:jc w:val="both"/>
        <w:rPr>
          <w:rFonts w:ascii="Arial" w:hAnsi="Arial" w:cs="Arial"/>
          <w:sz w:val="22"/>
          <w:szCs w:val="22"/>
          <w:lang w:val="en-GB"/>
        </w:rPr>
      </w:pPr>
    </w:p>
    <w:p w14:paraId="46BC5B1D" w14:textId="779B7333" w:rsidR="004739B2" w:rsidRPr="00D80DC2" w:rsidRDefault="008C6FAA" w:rsidP="004739B2">
      <w:pPr>
        <w:jc w:val="both"/>
        <w:rPr>
          <w:rFonts w:ascii="Arial" w:hAnsi="Arial" w:cs="Arial"/>
          <w:sz w:val="22"/>
          <w:szCs w:val="22"/>
          <w:lang w:val="en-GB"/>
        </w:rPr>
      </w:pPr>
      <w:r>
        <w:rPr>
          <w:rFonts w:ascii="Arial" w:hAnsi="Arial" w:cs="Arial"/>
          <w:sz w:val="22"/>
          <w:szCs w:val="22"/>
          <w:lang w:val="en-GB"/>
        </w:rPr>
        <w:t xml:space="preserve">If a </w:t>
      </w:r>
      <w:r w:rsidRPr="00E0683B">
        <w:rPr>
          <w:rFonts w:ascii="Arial" w:hAnsi="Arial" w:cs="Arial"/>
          <w:b/>
          <w:bCs/>
          <w:sz w:val="22"/>
          <w:szCs w:val="22"/>
          <w:lang w:val="en-GB"/>
        </w:rPr>
        <w:t>corporate</w:t>
      </w:r>
      <w:r>
        <w:rPr>
          <w:rFonts w:ascii="Arial" w:hAnsi="Arial" w:cs="Arial"/>
          <w:sz w:val="22"/>
          <w:szCs w:val="22"/>
          <w:lang w:val="en-GB"/>
        </w:rPr>
        <w:t xml:space="preserve"> proposal under the BIA is rejected by a class of creditors voting on the proposal, the debtor is deemed to have made an assignment in bankruptcy. </w:t>
      </w:r>
    </w:p>
    <w:p w14:paraId="43003C47" w14:textId="77777777" w:rsidR="004739B2" w:rsidRPr="00D80DC2" w:rsidRDefault="004739B2" w:rsidP="004739B2">
      <w:pPr>
        <w:jc w:val="both"/>
        <w:rPr>
          <w:rFonts w:ascii="Arial" w:hAnsi="Arial" w:cs="Arial"/>
          <w:sz w:val="22"/>
          <w:szCs w:val="22"/>
          <w:lang w:val="en-GB"/>
        </w:rPr>
      </w:pPr>
    </w:p>
    <w:p w14:paraId="7B155A56" w14:textId="2CD3A8FA" w:rsidR="004739B2" w:rsidRPr="00FA3CFF" w:rsidRDefault="008C6FAA" w:rsidP="00E0683B">
      <w:pPr>
        <w:pStyle w:val="ListParagraph"/>
        <w:numPr>
          <w:ilvl w:val="0"/>
          <w:numId w:val="21"/>
        </w:numPr>
        <w:ind w:left="426"/>
        <w:jc w:val="both"/>
        <w:rPr>
          <w:rFonts w:ascii="Arial" w:hAnsi="Arial" w:cs="Arial"/>
          <w:sz w:val="22"/>
          <w:szCs w:val="22"/>
          <w:highlight w:val="yellow"/>
          <w:lang w:val="en-GB"/>
        </w:rPr>
      </w:pPr>
      <w:r w:rsidRPr="00FA3CFF">
        <w:rPr>
          <w:rFonts w:ascii="Arial" w:hAnsi="Arial" w:cs="Arial"/>
          <w:sz w:val="22"/>
          <w:szCs w:val="22"/>
          <w:highlight w:val="yellow"/>
          <w:lang w:val="en-GB"/>
        </w:rPr>
        <w:t>True</w:t>
      </w:r>
      <w:r w:rsidR="00E0683B" w:rsidRPr="00FA3CFF">
        <w:rPr>
          <w:rFonts w:ascii="Arial" w:hAnsi="Arial" w:cs="Arial"/>
          <w:sz w:val="22"/>
          <w:szCs w:val="22"/>
          <w:highlight w:val="yellow"/>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4739B2" w:rsidRPr="00E0683B"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False</w:t>
      </w:r>
      <w:r w:rsidR="00E0683B" w:rsidRPr="00E0683B">
        <w:rPr>
          <w:rFonts w:ascii="Arial" w:hAnsi="Arial" w:cs="Arial"/>
          <w:sz w:val="22"/>
          <w:szCs w:val="22"/>
          <w:lang w:val="en-GB"/>
        </w:rPr>
        <w:t>.</w:t>
      </w:r>
    </w:p>
    <w:p w14:paraId="5A1C34C3" w14:textId="77777777" w:rsidR="004739B2" w:rsidRPr="00D80DC2" w:rsidRDefault="004739B2">
      <w:pPr>
        <w:rPr>
          <w:rFonts w:ascii="Arial" w:hAnsi="Arial" w:cs="Arial"/>
          <w:b/>
          <w:sz w:val="22"/>
          <w:szCs w:val="22"/>
          <w:lang w:val="en-GB"/>
        </w:rPr>
      </w:pPr>
    </w:p>
    <w:p w14:paraId="0720F8EE" w14:textId="77777777" w:rsidR="004739B2" w:rsidRPr="00D80DC2" w:rsidRDefault="004739B2">
      <w:pPr>
        <w:rPr>
          <w:rFonts w:ascii="Arial" w:hAnsi="Arial" w:cs="Arial"/>
          <w:b/>
          <w:sz w:val="22"/>
          <w:szCs w:val="22"/>
          <w:lang w:val="en-GB"/>
        </w:rPr>
      </w:pPr>
    </w:p>
    <w:p w14:paraId="16FA7F01" w14:textId="77777777" w:rsidR="004739B2" w:rsidRPr="00D80DC2" w:rsidRDefault="008C6FAA" w:rsidP="004739B2">
      <w:pPr>
        <w:rPr>
          <w:rFonts w:ascii="Arial" w:hAnsi="Arial" w:cs="Arial"/>
          <w:b/>
          <w:sz w:val="22"/>
          <w:szCs w:val="22"/>
          <w:lang w:val="en-GB"/>
        </w:rPr>
      </w:pPr>
      <w:r w:rsidRPr="00FA3CFF">
        <w:rPr>
          <w:rFonts w:ascii="Arial" w:hAnsi="Arial" w:cs="Arial"/>
          <w:b/>
          <w:sz w:val="22"/>
          <w:szCs w:val="22"/>
          <w:highlight w:val="green"/>
          <w:lang w:val="en-GB"/>
        </w:rPr>
        <w:t>Question 1.10</w:t>
      </w:r>
      <w:r w:rsidRPr="00D80DC2">
        <w:rPr>
          <w:rFonts w:ascii="Arial" w:hAnsi="Arial" w:cs="Arial"/>
          <w:b/>
          <w:sz w:val="22"/>
          <w:szCs w:val="22"/>
          <w:lang w:val="en-GB"/>
        </w:rPr>
        <w:t xml:space="preserve"> </w:t>
      </w:r>
    </w:p>
    <w:p w14:paraId="22E71A37" w14:textId="77777777" w:rsidR="004739B2" w:rsidRPr="00D80DC2" w:rsidRDefault="004739B2" w:rsidP="004739B2">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569B5B53" w14:textId="77777777" w:rsidR="00E0683B" w:rsidRDefault="00E0683B" w:rsidP="004739B2">
      <w:pPr>
        <w:rPr>
          <w:rFonts w:ascii="Arial" w:hAnsi="Arial" w:cs="Arial"/>
          <w:sz w:val="22"/>
          <w:szCs w:val="22"/>
          <w:lang w:val="en-GB"/>
        </w:rPr>
      </w:pPr>
    </w:p>
    <w:p w14:paraId="16E56316" w14:textId="32894150" w:rsidR="004739B2" w:rsidRDefault="008C6FAA" w:rsidP="004739B2">
      <w:pPr>
        <w:rPr>
          <w:rFonts w:ascii="Arial" w:hAnsi="Arial" w:cs="Arial"/>
          <w:sz w:val="22"/>
          <w:szCs w:val="22"/>
          <w:lang w:val="en-GB"/>
        </w:rPr>
      </w:pPr>
      <w:r>
        <w:rPr>
          <w:rFonts w:ascii="Arial" w:hAnsi="Arial" w:cs="Arial"/>
          <w:sz w:val="22"/>
          <w:szCs w:val="22"/>
          <w:lang w:val="en-GB"/>
        </w:rPr>
        <w:t>Directors of a company have a fiduciary duty to act honestly and good faith with a view to the best interests of a company, even when the company is facing insolvency.</w:t>
      </w:r>
    </w:p>
    <w:p w14:paraId="7916F1D2" w14:textId="77777777" w:rsidR="004739B2" w:rsidRPr="00D80DC2" w:rsidRDefault="004739B2" w:rsidP="004739B2">
      <w:pPr>
        <w:rPr>
          <w:rFonts w:ascii="Arial" w:hAnsi="Arial" w:cs="Arial"/>
          <w:sz w:val="22"/>
          <w:szCs w:val="22"/>
          <w:lang w:val="en-GB"/>
        </w:rPr>
      </w:pPr>
    </w:p>
    <w:p w14:paraId="0047F34A" w14:textId="75B35152" w:rsidR="004739B2" w:rsidRPr="00FA3CFF" w:rsidRDefault="008C6FAA" w:rsidP="00A254C1">
      <w:pPr>
        <w:pStyle w:val="ListParagraph"/>
        <w:numPr>
          <w:ilvl w:val="0"/>
          <w:numId w:val="22"/>
        </w:numPr>
        <w:ind w:left="426"/>
        <w:jc w:val="both"/>
        <w:rPr>
          <w:rFonts w:ascii="Arial" w:hAnsi="Arial" w:cs="Arial"/>
          <w:sz w:val="22"/>
          <w:szCs w:val="22"/>
          <w:highlight w:val="yellow"/>
          <w:lang w:val="en-GB"/>
        </w:rPr>
      </w:pPr>
      <w:r w:rsidRPr="00FA3CFF">
        <w:rPr>
          <w:rFonts w:ascii="Arial" w:hAnsi="Arial" w:cs="Arial"/>
          <w:sz w:val="22"/>
          <w:szCs w:val="22"/>
          <w:highlight w:val="yellow"/>
          <w:lang w:val="en-GB"/>
        </w:rPr>
        <w:t>True</w:t>
      </w:r>
      <w:r w:rsidR="00A254C1" w:rsidRPr="00FA3CFF">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4739B2"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4739B2" w:rsidRPr="00D80DC2" w:rsidRDefault="004739B2" w:rsidP="004739B2">
      <w:pPr>
        <w:rPr>
          <w:rFonts w:ascii="Arial" w:hAnsi="Arial" w:cs="Arial"/>
          <w:b/>
          <w:sz w:val="22"/>
          <w:szCs w:val="22"/>
          <w:lang w:val="en-GB"/>
        </w:rPr>
      </w:pPr>
    </w:p>
    <w:p w14:paraId="6949B42C" w14:textId="77777777" w:rsidR="004739B2" w:rsidRDefault="004739B2" w:rsidP="004739B2">
      <w:pPr>
        <w:jc w:val="both"/>
        <w:rPr>
          <w:rFonts w:ascii="Arial" w:hAnsi="Arial" w:cs="Arial"/>
          <w:bCs/>
          <w:sz w:val="22"/>
          <w:szCs w:val="22"/>
          <w:lang w:val="en-GB"/>
        </w:rPr>
      </w:pPr>
    </w:p>
    <w:p w14:paraId="1E51B2F3" w14:textId="77777777" w:rsidR="004739B2" w:rsidRPr="00D80DC2" w:rsidRDefault="008C6FAA" w:rsidP="004739B2">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4739B2" w:rsidRPr="00D80DC2" w:rsidRDefault="004739B2" w:rsidP="004739B2">
      <w:pPr>
        <w:ind w:left="720" w:hanging="720"/>
        <w:jc w:val="both"/>
        <w:rPr>
          <w:rFonts w:ascii="Arial" w:hAnsi="Arial" w:cs="Arial"/>
          <w:sz w:val="22"/>
          <w:szCs w:val="22"/>
          <w:lang w:val="en-GB"/>
        </w:rPr>
      </w:pPr>
    </w:p>
    <w:p w14:paraId="374A95D5" w14:textId="77777777" w:rsidR="004739B2" w:rsidRPr="00D80DC2" w:rsidRDefault="008C6FAA" w:rsidP="004739B2">
      <w:pPr>
        <w:ind w:left="720" w:hanging="720"/>
        <w:jc w:val="both"/>
        <w:rPr>
          <w:rFonts w:ascii="Arial" w:hAnsi="Arial" w:cs="Arial"/>
          <w:sz w:val="22"/>
          <w:szCs w:val="22"/>
          <w:lang w:val="en-GB"/>
        </w:rPr>
      </w:pPr>
      <w:r w:rsidRPr="00255FAF">
        <w:rPr>
          <w:rFonts w:ascii="Arial" w:hAnsi="Arial" w:cs="Arial"/>
          <w:b/>
          <w:bCs/>
          <w:sz w:val="22"/>
          <w:szCs w:val="22"/>
          <w:highlight w:val="green"/>
          <w:lang w:val="en-GB"/>
        </w:rPr>
        <w:t>Question 2.1</w:t>
      </w:r>
      <w:r w:rsidRPr="00255FAF">
        <w:rPr>
          <w:rFonts w:ascii="Arial" w:hAnsi="Arial" w:cs="Arial"/>
          <w:b/>
          <w:bCs/>
          <w:sz w:val="22"/>
          <w:szCs w:val="22"/>
          <w:highlight w:val="green"/>
          <w:lang w:val="en-GB"/>
        </w:rPr>
        <w:tab/>
        <w:t>[maximum 3 marks]</w:t>
      </w:r>
      <w:r w:rsidRPr="00D80DC2">
        <w:rPr>
          <w:rFonts w:ascii="Arial" w:hAnsi="Arial" w:cs="Arial"/>
          <w:sz w:val="22"/>
          <w:szCs w:val="22"/>
          <w:lang w:val="en-GB"/>
        </w:rPr>
        <w:t xml:space="preserve"> </w:t>
      </w:r>
    </w:p>
    <w:p w14:paraId="4362D955" w14:textId="77777777" w:rsidR="004739B2" w:rsidRPr="00D80DC2" w:rsidRDefault="004739B2" w:rsidP="00613FC7">
      <w:pPr>
        <w:ind w:left="720" w:hanging="436"/>
        <w:jc w:val="both"/>
        <w:rPr>
          <w:rFonts w:ascii="Arial" w:hAnsi="Arial" w:cs="Arial"/>
          <w:sz w:val="22"/>
          <w:szCs w:val="22"/>
          <w:lang w:val="en-GB"/>
        </w:rPr>
      </w:pPr>
    </w:p>
    <w:p w14:paraId="42385A43" w14:textId="77777777" w:rsidR="004739B2" w:rsidRPr="00D80DC2" w:rsidRDefault="008C6FAA" w:rsidP="004739B2">
      <w:pPr>
        <w:ind w:left="720" w:hanging="720"/>
        <w:jc w:val="both"/>
        <w:rPr>
          <w:rFonts w:ascii="Arial" w:hAnsi="Arial" w:cs="Arial"/>
          <w:sz w:val="22"/>
          <w:szCs w:val="22"/>
          <w:lang w:val="en-GB"/>
        </w:rPr>
      </w:pPr>
      <w:r w:rsidRPr="00D80DC2">
        <w:rPr>
          <w:rFonts w:ascii="Arial" w:hAnsi="Arial" w:cs="Arial"/>
          <w:sz w:val="22"/>
          <w:szCs w:val="22"/>
          <w:lang w:val="en-GB"/>
        </w:rPr>
        <w:t>Identify the different ways in which a debtor can enter bankruptcy in Canada.</w:t>
      </w:r>
    </w:p>
    <w:p w14:paraId="06EB81A7" w14:textId="77777777" w:rsidR="004739B2" w:rsidRPr="00D80DC2" w:rsidRDefault="004739B2" w:rsidP="004739B2">
      <w:pPr>
        <w:ind w:left="720" w:hanging="720"/>
        <w:jc w:val="both"/>
        <w:rPr>
          <w:rFonts w:ascii="Arial" w:hAnsi="Arial" w:cs="Arial"/>
          <w:sz w:val="22"/>
          <w:szCs w:val="22"/>
          <w:lang w:val="en-GB"/>
        </w:rPr>
      </w:pPr>
    </w:p>
    <w:p w14:paraId="683D7A73" w14:textId="23E7B034" w:rsidR="00613FC7" w:rsidRPr="00613FC7" w:rsidRDefault="00613FC7" w:rsidP="00613FC7">
      <w:pPr>
        <w:pStyle w:val="ListParagraph"/>
        <w:numPr>
          <w:ilvl w:val="0"/>
          <w:numId w:val="24"/>
        </w:numPr>
        <w:ind w:hanging="436"/>
        <w:jc w:val="both"/>
        <w:rPr>
          <w:rFonts w:ascii="Arial" w:hAnsi="Arial" w:cs="Arial"/>
          <w:color w:val="7B7B7B"/>
          <w:sz w:val="22"/>
          <w:szCs w:val="22"/>
          <w:lang w:val="en-GB"/>
        </w:rPr>
      </w:pPr>
      <w:r>
        <w:rPr>
          <w:rFonts w:ascii="Arial" w:hAnsi="Arial" w:cs="Arial"/>
          <w:color w:val="7B7B7B" w:themeColor="accent3" w:themeShade="BF"/>
          <w:sz w:val="22"/>
          <w:szCs w:val="22"/>
          <w:lang w:val="en-GB"/>
        </w:rPr>
        <w:t>“</w:t>
      </w:r>
      <w:r w:rsidRPr="00613FC7">
        <w:rPr>
          <w:rFonts w:ascii="Arial" w:hAnsi="Arial" w:cs="Arial"/>
          <w:color w:val="7B7B7B" w:themeColor="accent3" w:themeShade="BF"/>
          <w:sz w:val="22"/>
          <w:szCs w:val="22"/>
          <w:lang w:val="en-GB"/>
        </w:rPr>
        <w:t>Involuntary bankruptcy</w:t>
      </w:r>
      <w:r>
        <w:rPr>
          <w:rFonts w:ascii="Arial" w:hAnsi="Arial" w:cs="Arial"/>
          <w:color w:val="7B7B7B" w:themeColor="accent3" w:themeShade="BF"/>
          <w:sz w:val="22"/>
          <w:szCs w:val="22"/>
          <w:lang w:val="en-GB"/>
        </w:rPr>
        <w:t>”</w:t>
      </w:r>
      <w:r w:rsidR="00255FAF">
        <w:rPr>
          <w:rFonts w:ascii="Arial" w:hAnsi="Arial" w:cs="Arial"/>
          <w:color w:val="7B7B7B" w:themeColor="accent3" w:themeShade="BF"/>
          <w:sz w:val="22"/>
          <w:szCs w:val="22"/>
          <w:lang w:val="en-GB"/>
        </w:rPr>
        <w:t>.</w:t>
      </w:r>
      <w:r w:rsidRPr="00613FC7">
        <w:rPr>
          <w:rFonts w:ascii="Arial" w:hAnsi="Arial" w:cs="Arial"/>
          <w:color w:val="7B7B7B" w:themeColor="accent3" w:themeShade="BF"/>
          <w:sz w:val="22"/>
          <w:szCs w:val="22"/>
          <w:lang w:val="en-GB"/>
        </w:rPr>
        <w:t xml:space="preserve"> </w:t>
      </w:r>
      <w:r w:rsidR="00255FAF">
        <w:rPr>
          <w:rFonts w:ascii="Arial" w:hAnsi="Arial" w:cs="Arial"/>
          <w:color w:val="7B7B7B" w:themeColor="accent3" w:themeShade="BF"/>
          <w:sz w:val="22"/>
          <w:szCs w:val="22"/>
          <w:lang w:val="en-GB"/>
        </w:rPr>
        <w:t>This is</w:t>
      </w:r>
      <w:r w:rsidRPr="00613FC7">
        <w:rPr>
          <w:rFonts w:ascii="Arial" w:hAnsi="Arial" w:cs="Arial"/>
          <w:color w:val="7B7B7B" w:themeColor="accent3" w:themeShade="BF"/>
          <w:sz w:val="22"/>
          <w:szCs w:val="22"/>
          <w:lang w:val="en-GB"/>
        </w:rPr>
        <w:t xml:space="preserve"> where a creditor </w:t>
      </w:r>
      <w:r>
        <w:rPr>
          <w:rFonts w:ascii="Arial" w:hAnsi="Arial" w:cs="Arial"/>
          <w:color w:val="7B7B7B" w:themeColor="accent3" w:themeShade="BF"/>
          <w:sz w:val="22"/>
          <w:szCs w:val="22"/>
          <w:lang w:val="en-GB"/>
        </w:rPr>
        <w:t xml:space="preserve">(or creditors) </w:t>
      </w:r>
      <w:r w:rsidRPr="00613FC7">
        <w:rPr>
          <w:rFonts w:ascii="Arial" w:hAnsi="Arial" w:cs="Arial"/>
          <w:color w:val="7B7B7B" w:themeColor="accent3" w:themeShade="BF"/>
          <w:sz w:val="22"/>
          <w:szCs w:val="22"/>
          <w:lang w:val="en-GB"/>
        </w:rPr>
        <w:t>approa</w:t>
      </w:r>
      <w:r>
        <w:rPr>
          <w:rFonts w:ascii="Arial" w:hAnsi="Arial" w:cs="Arial"/>
          <w:color w:val="7B7B7B" w:themeColor="accent3" w:themeShade="BF"/>
          <w:sz w:val="22"/>
          <w:szCs w:val="22"/>
          <w:lang w:val="en-GB"/>
        </w:rPr>
        <w:t>ches a court with the request that, if successful, will</w:t>
      </w:r>
      <w:r w:rsidRPr="00613FC7">
        <w:rPr>
          <w:rFonts w:ascii="Arial" w:hAnsi="Arial" w:cs="Arial"/>
          <w:color w:val="7B7B7B" w:themeColor="accent3" w:themeShade="BF"/>
          <w:sz w:val="22"/>
          <w:szCs w:val="22"/>
          <w:lang w:val="en-GB"/>
        </w:rPr>
        <w:t xml:space="preserve"> “force” the debtor into bankruptcy proceedings under the Bankruptcy and Insolvency Act </w:t>
      </w:r>
      <w:r w:rsidR="008C6FAA" w:rsidRPr="00613FC7">
        <w:rPr>
          <w:rFonts w:ascii="Arial" w:hAnsi="Arial" w:cs="Arial"/>
          <w:color w:val="7B7B7B" w:themeColor="accent3" w:themeShade="BF"/>
          <w:sz w:val="22"/>
          <w:szCs w:val="22"/>
          <w:lang w:val="en-GB"/>
        </w:rPr>
        <w:t>[</w:t>
      </w:r>
      <w:r w:rsidRPr="00613FC7">
        <w:rPr>
          <w:rFonts w:ascii="Arial" w:hAnsi="Arial" w:cs="Arial"/>
          <w:color w:val="7B7B7B" w:themeColor="accent3" w:themeShade="BF"/>
          <w:sz w:val="22"/>
          <w:szCs w:val="22"/>
          <w:lang w:val="en-GB"/>
        </w:rPr>
        <w:t>Guidance text par 6.2.2.1 page 18</w:t>
      </w:r>
      <w:r w:rsidR="008C6FAA" w:rsidRPr="00613FC7">
        <w:rPr>
          <w:rFonts w:ascii="Arial" w:hAnsi="Arial" w:cs="Arial"/>
          <w:color w:val="7B7B7B" w:themeColor="accent3" w:themeShade="BF"/>
          <w:sz w:val="22"/>
          <w:szCs w:val="22"/>
          <w:lang w:val="en-GB"/>
        </w:rPr>
        <w:t>]</w:t>
      </w:r>
      <w:r w:rsidR="00255FAF">
        <w:rPr>
          <w:rFonts w:ascii="Arial" w:hAnsi="Arial" w:cs="Arial"/>
          <w:color w:val="7B7B7B" w:themeColor="accent3" w:themeShade="BF"/>
          <w:sz w:val="22"/>
          <w:szCs w:val="22"/>
          <w:lang w:val="en-GB"/>
        </w:rPr>
        <w:t>.</w:t>
      </w:r>
    </w:p>
    <w:p w14:paraId="16840A8B" w14:textId="2BB18A60" w:rsidR="00613FC7" w:rsidRPr="00613FC7" w:rsidRDefault="00613FC7" w:rsidP="00613FC7">
      <w:pPr>
        <w:pStyle w:val="ListParagraph"/>
        <w:numPr>
          <w:ilvl w:val="0"/>
          <w:numId w:val="24"/>
        </w:numPr>
        <w:ind w:hanging="436"/>
        <w:jc w:val="both"/>
        <w:rPr>
          <w:rFonts w:ascii="Arial" w:hAnsi="Arial" w:cs="Arial"/>
          <w:color w:val="7B7B7B"/>
          <w:sz w:val="22"/>
          <w:szCs w:val="22"/>
          <w:lang w:val="en-GB"/>
        </w:rPr>
      </w:pPr>
      <w:r>
        <w:rPr>
          <w:rFonts w:ascii="Arial" w:hAnsi="Arial" w:cs="Arial"/>
          <w:color w:val="7B7B7B"/>
          <w:sz w:val="22"/>
          <w:szCs w:val="22"/>
          <w:lang w:val="en-GB"/>
        </w:rPr>
        <w:t>“Voluntary bankruptcy”</w:t>
      </w:r>
      <w:r w:rsidR="00255FAF">
        <w:rPr>
          <w:rFonts w:ascii="Arial" w:hAnsi="Arial" w:cs="Arial"/>
          <w:color w:val="7B7B7B"/>
          <w:sz w:val="22"/>
          <w:szCs w:val="22"/>
          <w:lang w:val="en-GB"/>
        </w:rPr>
        <w:t>. This is</w:t>
      </w:r>
      <w:r>
        <w:rPr>
          <w:rFonts w:ascii="Arial" w:hAnsi="Arial" w:cs="Arial"/>
          <w:color w:val="7B7B7B"/>
          <w:sz w:val="22"/>
          <w:szCs w:val="22"/>
          <w:lang w:val="en-GB"/>
        </w:rPr>
        <w:t xml:space="preserve"> where a debtor decides (out of its own volition) to access the bankruptcy proceedings </w:t>
      </w:r>
      <w:r w:rsidR="00255FAF">
        <w:rPr>
          <w:rFonts w:ascii="Arial" w:hAnsi="Arial" w:cs="Arial"/>
          <w:color w:val="7B7B7B"/>
          <w:sz w:val="22"/>
          <w:szCs w:val="22"/>
          <w:lang w:val="en-GB"/>
        </w:rPr>
        <w:t>via an administrative process and</w:t>
      </w:r>
      <w:r>
        <w:rPr>
          <w:rFonts w:ascii="Arial" w:hAnsi="Arial" w:cs="Arial"/>
          <w:color w:val="7B7B7B"/>
          <w:sz w:val="22"/>
          <w:szCs w:val="22"/>
          <w:lang w:val="en-GB"/>
        </w:rPr>
        <w:t xml:space="preserve"> the process is initiated when the Official Receiver admits the formal application of the debtor (this occurs once the debtor delivers the documentation constituting “an ‘assignment’ of its property for the benefit of its creditors” together with the necessary information on the state of its financial affairs – assets and liabilities) [</w:t>
      </w:r>
      <w:r w:rsidRPr="00613FC7">
        <w:rPr>
          <w:rFonts w:ascii="Arial" w:hAnsi="Arial" w:cs="Arial"/>
          <w:color w:val="7B7B7B" w:themeColor="accent3" w:themeShade="BF"/>
          <w:sz w:val="22"/>
          <w:szCs w:val="22"/>
          <w:lang w:val="en-GB"/>
        </w:rPr>
        <w:t>Guidance text par 6.2.2</w:t>
      </w:r>
      <w:r>
        <w:rPr>
          <w:rFonts w:ascii="Arial" w:hAnsi="Arial" w:cs="Arial"/>
          <w:color w:val="7B7B7B" w:themeColor="accent3" w:themeShade="BF"/>
          <w:sz w:val="22"/>
          <w:szCs w:val="22"/>
          <w:lang w:val="en-GB"/>
        </w:rPr>
        <w:t>.2</w:t>
      </w:r>
      <w:r w:rsidRPr="00613FC7">
        <w:rPr>
          <w:rFonts w:ascii="Arial" w:hAnsi="Arial" w:cs="Arial"/>
          <w:color w:val="7B7B7B" w:themeColor="accent3" w:themeShade="BF"/>
          <w:sz w:val="22"/>
          <w:szCs w:val="22"/>
          <w:lang w:val="en-GB"/>
        </w:rPr>
        <w:t xml:space="preserve"> page </w:t>
      </w:r>
      <w:r>
        <w:rPr>
          <w:rFonts w:ascii="Arial" w:hAnsi="Arial" w:cs="Arial"/>
          <w:color w:val="7B7B7B" w:themeColor="accent3" w:themeShade="BF"/>
          <w:sz w:val="22"/>
          <w:szCs w:val="22"/>
          <w:lang w:val="en-GB"/>
        </w:rPr>
        <w:t>19]</w:t>
      </w:r>
      <w:r w:rsidR="00255FAF">
        <w:rPr>
          <w:rFonts w:ascii="Arial" w:hAnsi="Arial" w:cs="Arial"/>
          <w:color w:val="7B7B7B" w:themeColor="accent3" w:themeShade="BF"/>
          <w:sz w:val="22"/>
          <w:szCs w:val="22"/>
          <w:lang w:val="en-GB"/>
        </w:rPr>
        <w:t>.</w:t>
      </w:r>
    </w:p>
    <w:p w14:paraId="57ACDDA8" w14:textId="61606AF5" w:rsidR="002A1AAC" w:rsidRPr="002A1AAC" w:rsidRDefault="00613FC7" w:rsidP="004739B2">
      <w:pPr>
        <w:pStyle w:val="ListParagraph"/>
        <w:numPr>
          <w:ilvl w:val="0"/>
          <w:numId w:val="24"/>
        </w:numPr>
        <w:ind w:hanging="436"/>
        <w:jc w:val="both"/>
        <w:rPr>
          <w:rFonts w:ascii="Arial" w:hAnsi="Arial" w:cs="Arial"/>
          <w:color w:val="7B7B7B"/>
          <w:sz w:val="22"/>
          <w:szCs w:val="22"/>
          <w:lang w:val="en-GB"/>
        </w:rPr>
      </w:pPr>
      <w:r w:rsidRPr="00255FAF">
        <w:rPr>
          <w:rFonts w:ascii="Arial" w:hAnsi="Arial" w:cs="Arial"/>
          <w:color w:val="7B7B7B" w:themeColor="accent3" w:themeShade="BF"/>
          <w:sz w:val="22"/>
          <w:szCs w:val="22"/>
          <w:lang w:val="en-GB"/>
        </w:rPr>
        <w:t>“Failure of a BIA proposal”</w:t>
      </w:r>
      <w:r w:rsidR="00255FAF">
        <w:rPr>
          <w:rFonts w:ascii="Arial" w:hAnsi="Arial" w:cs="Arial"/>
          <w:color w:val="7B7B7B" w:themeColor="accent3" w:themeShade="BF"/>
          <w:sz w:val="22"/>
          <w:szCs w:val="22"/>
          <w:lang w:val="en-GB"/>
        </w:rPr>
        <w:t xml:space="preserve">. There are two possible scenarios </w:t>
      </w:r>
      <w:r w:rsidR="002A1AAC">
        <w:rPr>
          <w:rFonts w:ascii="Arial" w:hAnsi="Arial" w:cs="Arial"/>
          <w:color w:val="7B7B7B" w:themeColor="accent3" w:themeShade="BF"/>
          <w:sz w:val="22"/>
          <w:szCs w:val="22"/>
          <w:lang w:val="en-GB"/>
        </w:rPr>
        <w:t xml:space="preserve">that </w:t>
      </w:r>
      <w:r w:rsidR="00255FAF">
        <w:rPr>
          <w:rFonts w:ascii="Arial" w:hAnsi="Arial" w:cs="Arial"/>
          <w:color w:val="7B7B7B" w:themeColor="accent3" w:themeShade="BF"/>
          <w:sz w:val="22"/>
          <w:szCs w:val="22"/>
          <w:lang w:val="en-GB"/>
        </w:rPr>
        <w:t xml:space="preserve">may apply </w:t>
      </w:r>
      <w:r w:rsidR="002A1AAC">
        <w:rPr>
          <w:rFonts w:ascii="Arial" w:hAnsi="Arial" w:cs="Arial"/>
          <w:color w:val="7B7B7B" w:themeColor="accent3" w:themeShade="BF"/>
          <w:sz w:val="22"/>
          <w:szCs w:val="22"/>
          <w:lang w:val="en-GB"/>
        </w:rPr>
        <w:t>her, depending on whether one is dealing with a “corporate” or a “consumer” “proposal”</w:t>
      </w:r>
      <w:r w:rsidR="00255FAF">
        <w:rPr>
          <w:rFonts w:ascii="Arial" w:hAnsi="Arial" w:cs="Arial"/>
          <w:color w:val="7B7B7B" w:themeColor="accent3" w:themeShade="BF"/>
          <w:sz w:val="22"/>
          <w:szCs w:val="22"/>
          <w:lang w:val="en-GB"/>
        </w:rPr>
        <w:t xml:space="preserve"> [</w:t>
      </w:r>
      <w:r w:rsidR="00255FAF" w:rsidRPr="00613FC7">
        <w:rPr>
          <w:rFonts w:ascii="Arial" w:hAnsi="Arial" w:cs="Arial"/>
          <w:color w:val="7B7B7B" w:themeColor="accent3" w:themeShade="BF"/>
          <w:sz w:val="22"/>
          <w:szCs w:val="22"/>
          <w:lang w:val="en-GB"/>
        </w:rPr>
        <w:t>Guidance text par 6.2.2</w:t>
      </w:r>
      <w:r w:rsidR="00255FAF">
        <w:rPr>
          <w:rFonts w:ascii="Arial" w:hAnsi="Arial" w:cs="Arial"/>
          <w:color w:val="7B7B7B" w:themeColor="accent3" w:themeShade="BF"/>
          <w:sz w:val="22"/>
          <w:szCs w:val="22"/>
          <w:lang w:val="en-GB"/>
        </w:rPr>
        <w:t>.3</w:t>
      </w:r>
      <w:r w:rsidR="00255FAF" w:rsidRPr="00613FC7">
        <w:rPr>
          <w:rFonts w:ascii="Arial" w:hAnsi="Arial" w:cs="Arial"/>
          <w:color w:val="7B7B7B" w:themeColor="accent3" w:themeShade="BF"/>
          <w:sz w:val="22"/>
          <w:szCs w:val="22"/>
          <w:lang w:val="en-GB"/>
        </w:rPr>
        <w:t xml:space="preserve"> page </w:t>
      </w:r>
      <w:r w:rsidR="00255FAF">
        <w:rPr>
          <w:rFonts w:ascii="Arial" w:hAnsi="Arial" w:cs="Arial"/>
          <w:color w:val="7B7B7B" w:themeColor="accent3" w:themeShade="BF"/>
          <w:sz w:val="22"/>
          <w:szCs w:val="22"/>
          <w:lang w:val="en-GB"/>
        </w:rPr>
        <w:t>20</w:t>
      </w:r>
      <w:r w:rsidR="00152029">
        <w:rPr>
          <w:rFonts w:ascii="Arial" w:hAnsi="Arial" w:cs="Arial"/>
          <w:color w:val="7B7B7B" w:themeColor="accent3" w:themeShade="BF"/>
          <w:sz w:val="22"/>
          <w:szCs w:val="22"/>
          <w:lang w:val="en-GB"/>
        </w:rPr>
        <w:t>]:</w:t>
      </w:r>
    </w:p>
    <w:p w14:paraId="60523170" w14:textId="7DE07204" w:rsidR="002A1AAC" w:rsidRPr="002A1AAC" w:rsidRDefault="002A1AAC" w:rsidP="002A1AAC">
      <w:pPr>
        <w:pStyle w:val="ListParagraph"/>
        <w:numPr>
          <w:ilvl w:val="1"/>
          <w:numId w:val="24"/>
        </w:numPr>
        <w:jc w:val="both"/>
        <w:rPr>
          <w:rFonts w:ascii="Arial" w:hAnsi="Arial" w:cs="Arial"/>
          <w:color w:val="7B7B7B"/>
          <w:sz w:val="22"/>
          <w:szCs w:val="22"/>
          <w:lang w:val="en-GB"/>
        </w:rPr>
      </w:pPr>
      <w:r w:rsidRPr="00255FAF">
        <w:rPr>
          <w:rFonts w:ascii="Arial" w:hAnsi="Arial" w:cs="Arial"/>
          <w:color w:val="7B7B7B" w:themeColor="accent3" w:themeShade="BF"/>
          <w:sz w:val="22"/>
          <w:szCs w:val="22"/>
          <w:lang w:val="en-GB"/>
        </w:rPr>
        <w:lastRenderedPageBreak/>
        <w:t>“Failure of a BIA proposal”</w:t>
      </w:r>
      <w:r>
        <w:rPr>
          <w:rFonts w:ascii="Arial" w:hAnsi="Arial" w:cs="Arial"/>
          <w:color w:val="7B7B7B" w:themeColor="accent3" w:themeShade="BF"/>
          <w:sz w:val="22"/>
          <w:szCs w:val="22"/>
          <w:lang w:val="en-GB"/>
        </w:rPr>
        <w:t xml:space="preserve">. In respect of a “corporate proposal”, the </w:t>
      </w:r>
      <w:r w:rsidR="00255FAF">
        <w:rPr>
          <w:rFonts w:ascii="Arial" w:hAnsi="Arial" w:cs="Arial"/>
          <w:color w:val="7B7B7B" w:themeColor="accent3" w:themeShade="BF"/>
          <w:sz w:val="22"/>
          <w:szCs w:val="22"/>
          <w:lang w:val="en-GB"/>
        </w:rPr>
        <w:t>n</w:t>
      </w:r>
      <w:r w:rsidR="00613FC7" w:rsidRPr="00255FAF">
        <w:rPr>
          <w:rFonts w:ascii="Arial" w:hAnsi="Arial" w:cs="Arial"/>
          <w:color w:val="7B7B7B" w:themeColor="accent3" w:themeShade="BF"/>
          <w:sz w:val="22"/>
          <w:szCs w:val="22"/>
          <w:lang w:val="en-GB"/>
        </w:rPr>
        <w:t xml:space="preserve">egotiations with </w:t>
      </w:r>
      <w:r>
        <w:rPr>
          <w:rFonts w:ascii="Arial" w:hAnsi="Arial" w:cs="Arial"/>
          <w:color w:val="7B7B7B" w:themeColor="accent3" w:themeShade="BF"/>
          <w:sz w:val="22"/>
          <w:szCs w:val="22"/>
          <w:lang w:val="en-GB"/>
        </w:rPr>
        <w:t>the creditors regarding</w:t>
      </w:r>
      <w:r w:rsidR="00613FC7" w:rsidRPr="00255FAF">
        <w:rPr>
          <w:rFonts w:ascii="Arial" w:hAnsi="Arial" w:cs="Arial"/>
          <w:color w:val="7B7B7B" w:themeColor="accent3" w:themeShade="BF"/>
          <w:sz w:val="22"/>
          <w:szCs w:val="22"/>
          <w:lang w:val="en-GB"/>
        </w:rPr>
        <w:t xml:space="preserve"> </w:t>
      </w:r>
      <w:r w:rsidR="00255FAF">
        <w:rPr>
          <w:rFonts w:ascii="Arial" w:hAnsi="Arial" w:cs="Arial"/>
          <w:color w:val="7B7B7B" w:themeColor="accent3" w:themeShade="BF"/>
          <w:sz w:val="22"/>
          <w:szCs w:val="22"/>
          <w:lang w:val="en-GB"/>
        </w:rPr>
        <w:t xml:space="preserve">a plan of </w:t>
      </w:r>
      <w:r w:rsidR="00613FC7" w:rsidRPr="00255FAF">
        <w:rPr>
          <w:rFonts w:ascii="Arial" w:hAnsi="Arial" w:cs="Arial"/>
          <w:color w:val="7B7B7B" w:themeColor="accent3" w:themeShade="BF"/>
          <w:sz w:val="22"/>
          <w:szCs w:val="22"/>
          <w:lang w:val="en-GB"/>
        </w:rPr>
        <w:t xml:space="preserve">payment </w:t>
      </w:r>
      <w:r w:rsidR="00255FAF">
        <w:rPr>
          <w:rFonts w:ascii="Arial" w:hAnsi="Arial" w:cs="Arial"/>
          <w:color w:val="7B7B7B" w:themeColor="accent3" w:themeShade="BF"/>
          <w:sz w:val="22"/>
          <w:szCs w:val="22"/>
          <w:lang w:val="en-GB"/>
        </w:rPr>
        <w:t xml:space="preserve">or settlement of debt </w:t>
      </w:r>
      <w:r>
        <w:rPr>
          <w:rFonts w:ascii="Arial" w:hAnsi="Arial" w:cs="Arial"/>
          <w:color w:val="7B7B7B" w:themeColor="accent3" w:themeShade="BF"/>
          <w:sz w:val="22"/>
          <w:szCs w:val="22"/>
          <w:lang w:val="en-GB"/>
        </w:rPr>
        <w:t xml:space="preserve">of the debtor </w:t>
      </w:r>
      <w:r w:rsidR="00255FAF">
        <w:rPr>
          <w:rFonts w:ascii="Arial" w:hAnsi="Arial" w:cs="Arial"/>
          <w:color w:val="7B7B7B" w:themeColor="accent3" w:themeShade="BF"/>
          <w:sz w:val="22"/>
          <w:szCs w:val="22"/>
          <w:lang w:val="en-GB"/>
        </w:rPr>
        <w:t>must “fail”</w:t>
      </w:r>
      <w:r>
        <w:rPr>
          <w:rFonts w:ascii="Arial" w:hAnsi="Arial" w:cs="Arial"/>
          <w:color w:val="7B7B7B" w:themeColor="accent3" w:themeShade="BF"/>
          <w:sz w:val="22"/>
          <w:szCs w:val="22"/>
          <w:lang w:val="en-GB"/>
        </w:rPr>
        <w:t xml:space="preserve"> [Ibid]. This occurs where</w:t>
      </w:r>
      <w:r w:rsidR="00255FAF">
        <w:rPr>
          <w:rFonts w:ascii="Arial" w:hAnsi="Arial" w:cs="Arial"/>
          <w:color w:val="7B7B7B" w:themeColor="accent3" w:themeShade="BF"/>
          <w:sz w:val="22"/>
          <w:szCs w:val="22"/>
          <w:lang w:val="en-GB"/>
        </w:rPr>
        <w:t xml:space="preserve"> the debtor’s plan</w:t>
      </w:r>
      <w:r w:rsidR="00F95906">
        <w:rPr>
          <w:rFonts w:ascii="Arial" w:hAnsi="Arial" w:cs="Arial"/>
          <w:color w:val="7B7B7B" w:themeColor="accent3" w:themeShade="BF"/>
          <w:sz w:val="22"/>
          <w:szCs w:val="22"/>
          <w:lang w:val="en-GB"/>
        </w:rPr>
        <w:t xml:space="preserve"> </w:t>
      </w:r>
      <w:r w:rsidR="00255FAF">
        <w:rPr>
          <w:rFonts w:ascii="Arial" w:hAnsi="Arial" w:cs="Arial"/>
          <w:color w:val="7B7B7B" w:themeColor="accent3" w:themeShade="BF"/>
          <w:sz w:val="22"/>
          <w:szCs w:val="22"/>
          <w:lang w:val="en-GB"/>
        </w:rPr>
        <w:t>is dismissed by the creditors</w:t>
      </w:r>
      <w:r>
        <w:rPr>
          <w:rFonts w:ascii="Arial" w:hAnsi="Arial" w:cs="Arial"/>
          <w:color w:val="7B7B7B" w:themeColor="accent3" w:themeShade="BF"/>
          <w:sz w:val="22"/>
          <w:szCs w:val="22"/>
          <w:lang w:val="en-GB"/>
        </w:rPr>
        <w:t xml:space="preserve"> [Ibid].</w:t>
      </w:r>
      <w:r w:rsidR="00255FA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Once the group of creditors “reject[…]” the plan as per the provisions of the BIA, the debtor is regarded as having entered bankruptcy [Ibid].</w:t>
      </w:r>
    </w:p>
    <w:p w14:paraId="1DA216F4" w14:textId="54CB4346" w:rsidR="004739B2" w:rsidRPr="00255FAF" w:rsidRDefault="002A1AAC" w:rsidP="002A1AAC">
      <w:pPr>
        <w:pStyle w:val="ListParagraph"/>
        <w:numPr>
          <w:ilvl w:val="1"/>
          <w:numId w:val="24"/>
        </w:numPr>
        <w:jc w:val="both"/>
        <w:rPr>
          <w:rFonts w:ascii="Arial" w:hAnsi="Arial" w:cs="Arial"/>
          <w:color w:val="7B7B7B"/>
          <w:sz w:val="22"/>
          <w:szCs w:val="22"/>
          <w:lang w:val="en-GB"/>
        </w:rPr>
      </w:pPr>
      <w:r w:rsidRPr="00255FAF">
        <w:rPr>
          <w:rFonts w:ascii="Arial" w:hAnsi="Arial" w:cs="Arial"/>
          <w:color w:val="7B7B7B" w:themeColor="accent3" w:themeShade="BF"/>
          <w:sz w:val="22"/>
          <w:szCs w:val="22"/>
          <w:lang w:val="en-GB"/>
        </w:rPr>
        <w:t>“Failure of a BIA proposal”</w:t>
      </w:r>
      <w:r>
        <w:rPr>
          <w:rFonts w:ascii="Arial" w:hAnsi="Arial" w:cs="Arial"/>
          <w:color w:val="7B7B7B" w:themeColor="accent3" w:themeShade="BF"/>
          <w:sz w:val="22"/>
          <w:szCs w:val="22"/>
          <w:lang w:val="en-GB"/>
        </w:rPr>
        <w:t>. In respect of a “consumer proposal”</w:t>
      </w:r>
      <w:r w:rsidR="00255FAF">
        <w:rPr>
          <w:rFonts w:ascii="Arial" w:hAnsi="Arial" w:cs="Arial"/>
          <w:color w:val="7B7B7B" w:themeColor="accent3" w:themeShade="BF"/>
          <w:sz w:val="22"/>
          <w:szCs w:val="22"/>
          <w:lang w:val="en-GB"/>
        </w:rPr>
        <w:t>, the debtor does not honour the provisions of the plan (thus “defaults under the terms of its proposal”) and neither the creditors nor their agents are willing to tolerate the default</w:t>
      </w:r>
      <w:r>
        <w:rPr>
          <w:rFonts w:ascii="Arial" w:hAnsi="Arial" w:cs="Arial"/>
          <w:color w:val="7B7B7B" w:themeColor="accent3" w:themeShade="BF"/>
          <w:sz w:val="22"/>
          <w:szCs w:val="22"/>
          <w:lang w:val="en-GB"/>
        </w:rPr>
        <w:t>, then</w:t>
      </w:r>
      <w:r w:rsidR="00255FAF">
        <w:rPr>
          <w:rFonts w:ascii="Arial" w:hAnsi="Arial" w:cs="Arial"/>
          <w:color w:val="7B7B7B" w:themeColor="accent3" w:themeShade="BF"/>
          <w:sz w:val="22"/>
          <w:szCs w:val="22"/>
          <w:lang w:val="en-GB"/>
        </w:rPr>
        <w:t xml:space="preserve"> the court is approached for an order which will “annul the proposal</w:t>
      </w:r>
      <w:r>
        <w:rPr>
          <w:rFonts w:ascii="Arial" w:hAnsi="Arial" w:cs="Arial"/>
          <w:color w:val="7B7B7B" w:themeColor="accent3" w:themeShade="BF"/>
          <w:sz w:val="22"/>
          <w:szCs w:val="22"/>
          <w:lang w:val="en-GB"/>
        </w:rPr>
        <w:t>”</w:t>
      </w:r>
      <w:r w:rsidR="00255FAF">
        <w:rPr>
          <w:rFonts w:ascii="Arial" w:hAnsi="Arial" w:cs="Arial"/>
          <w:color w:val="7B7B7B" w:themeColor="accent3" w:themeShade="BF"/>
          <w:sz w:val="22"/>
          <w:szCs w:val="22"/>
          <w:lang w:val="en-GB"/>
        </w:rPr>
        <w:t xml:space="preserve"> [Ibid]. After </w:t>
      </w:r>
      <w:r>
        <w:rPr>
          <w:rFonts w:ascii="Arial" w:hAnsi="Arial" w:cs="Arial"/>
          <w:color w:val="7B7B7B" w:themeColor="accent3" w:themeShade="BF"/>
          <w:sz w:val="22"/>
          <w:szCs w:val="22"/>
          <w:lang w:val="en-GB"/>
        </w:rPr>
        <w:t>the court order for annulment is granted</w:t>
      </w:r>
      <w:r w:rsidR="00255FAF">
        <w:rPr>
          <w:rFonts w:ascii="Arial" w:hAnsi="Arial" w:cs="Arial"/>
          <w:color w:val="7B7B7B" w:themeColor="accent3" w:themeShade="BF"/>
          <w:sz w:val="22"/>
          <w:szCs w:val="22"/>
          <w:lang w:val="en-GB"/>
        </w:rPr>
        <w:t xml:space="preserve">, the debtor is </w:t>
      </w:r>
      <w:r w:rsidR="00FA3CFF">
        <w:rPr>
          <w:rFonts w:ascii="Arial" w:hAnsi="Arial" w:cs="Arial"/>
          <w:color w:val="7B7B7B" w:themeColor="accent3" w:themeShade="BF"/>
          <w:sz w:val="22"/>
          <w:szCs w:val="22"/>
          <w:lang w:val="en-GB"/>
        </w:rPr>
        <w:t>regarded as having</w:t>
      </w:r>
      <w:r w:rsidR="00255FAF">
        <w:rPr>
          <w:rFonts w:ascii="Arial" w:hAnsi="Arial" w:cs="Arial"/>
          <w:color w:val="7B7B7B" w:themeColor="accent3" w:themeShade="BF"/>
          <w:sz w:val="22"/>
          <w:szCs w:val="22"/>
          <w:lang w:val="en-GB"/>
        </w:rPr>
        <w:t xml:space="preserve"> entered bankruptcy [Ibid].</w:t>
      </w:r>
    </w:p>
    <w:p w14:paraId="6E5742F0" w14:textId="77777777" w:rsidR="004739B2" w:rsidRPr="00D80DC2" w:rsidRDefault="004739B2" w:rsidP="004739B2">
      <w:pPr>
        <w:jc w:val="both"/>
        <w:rPr>
          <w:rFonts w:ascii="Arial" w:hAnsi="Arial" w:cs="Arial"/>
          <w:color w:val="7B7B7B"/>
          <w:sz w:val="22"/>
          <w:szCs w:val="22"/>
          <w:lang w:val="en-GB"/>
        </w:rPr>
      </w:pPr>
    </w:p>
    <w:p w14:paraId="24AFE926" w14:textId="77777777" w:rsidR="004739B2" w:rsidRPr="00D80DC2" w:rsidRDefault="008C6FAA" w:rsidP="004739B2">
      <w:pPr>
        <w:ind w:left="720" w:hanging="720"/>
        <w:jc w:val="both"/>
        <w:rPr>
          <w:rFonts w:ascii="Arial" w:hAnsi="Arial" w:cs="Arial"/>
          <w:sz w:val="22"/>
          <w:szCs w:val="22"/>
          <w:lang w:val="en-GB"/>
        </w:rPr>
      </w:pPr>
      <w:r w:rsidRPr="00BF3EB6">
        <w:rPr>
          <w:rFonts w:ascii="Arial" w:hAnsi="Arial" w:cs="Arial"/>
          <w:b/>
          <w:bCs/>
          <w:sz w:val="22"/>
          <w:szCs w:val="22"/>
          <w:highlight w:val="green"/>
          <w:lang w:val="en-GB"/>
        </w:rPr>
        <w:t>Question 2.2</w:t>
      </w:r>
      <w:r w:rsidRPr="00BF3EB6">
        <w:rPr>
          <w:rFonts w:ascii="Arial" w:hAnsi="Arial" w:cs="Arial"/>
          <w:b/>
          <w:bCs/>
          <w:sz w:val="22"/>
          <w:szCs w:val="22"/>
          <w:highlight w:val="green"/>
          <w:lang w:val="en-GB"/>
        </w:rPr>
        <w:tab/>
        <w:t>[maximum 2 marks]</w:t>
      </w:r>
      <w:r w:rsidRPr="00D80DC2">
        <w:rPr>
          <w:rFonts w:ascii="Arial" w:hAnsi="Arial" w:cs="Arial"/>
          <w:sz w:val="22"/>
          <w:szCs w:val="22"/>
          <w:lang w:val="en-GB"/>
        </w:rPr>
        <w:t xml:space="preserve"> </w:t>
      </w:r>
    </w:p>
    <w:p w14:paraId="0B90294E" w14:textId="77777777" w:rsidR="004739B2" w:rsidRPr="00D80DC2" w:rsidRDefault="004739B2" w:rsidP="004739B2">
      <w:pPr>
        <w:ind w:left="720" w:hanging="720"/>
        <w:jc w:val="both"/>
        <w:rPr>
          <w:rFonts w:ascii="Arial" w:hAnsi="Arial" w:cs="Arial"/>
          <w:sz w:val="22"/>
          <w:szCs w:val="22"/>
          <w:lang w:val="en-GB"/>
        </w:rPr>
      </w:pPr>
    </w:p>
    <w:p w14:paraId="348D484A" w14:textId="77777777" w:rsidR="004739B2" w:rsidRPr="00D80DC2" w:rsidRDefault="008C6FAA" w:rsidP="004739B2">
      <w:pPr>
        <w:jc w:val="both"/>
        <w:rPr>
          <w:rFonts w:ascii="Arial" w:hAnsi="Arial" w:cs="Arial"/>
          <w:sz w:val="22"/>
          <w:szCs w:val="22"/>
          <w:lang w:val="en-GB"/>
        </w:rPr>
      </w:pPr>
      <w:r w:rsidRPr="00D80DC2">
        <w:rPr>
          <w:rFonts w:ascii="Arial" w:hAnsi="Arial" w:cs="Arial"/>
          <w:sz w:val="22"/>
          <w:szCs w:val="22"/>
          <w:lang w:val="en-GB"/>
        </w:rPr>
        <w:t>What are the requirements that a creditor must demonstrate to make out an application for an involuntary bankruptcy order?</w:t>
      </w:r>
    </w:p>
    <w:p w14:paraId="2B1B0624" w14:textId="77777777" w:rsidR="004739B2" w:rsidRPr="00D80DC2" w:rsidRDefault="004739B2" w:rsidP="004739B2">
      <w:pPr>
        <w:ind w:left="720" w:hanging="720"/>
        <w:jc w:val="both"/>
        <w:rPr>
          <w:rFonts w:ascii="Arial" w:hAnsi="Arial" w:cs="Arial"/>
          <w:sz w:val="22"/>
          <w:szCs w:val="22"/>
          <w:lang w:val="en-GB"/>
        </w:rPr>
      </w:pPr>
    </w:p>
    <w:p w14:paraId="3D3574A3" w14:textId="72D82740" w:rsidR="00B62BF0" w:rsidRDefault="00B62BF0" w:rsidP="00B62BF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requirements are as follows (and all of these requirements must be present – they are cumulative):</w:t>
      </w:r>
    </w:p>
    <w:p w14:paraId="3F5F8EFA" w14:textId="2F833F0A" w:rsidR="00B62BF0" w:rsidRDefault="00B62BF0" w:rsidP="00B62BF0">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applicant (or applicants) must show that it is (they are) a creditor (or creditors) of the debtor;</w:t>
      </w:r>
    </w:p>
    <w:p w14:paraId="2E3F98E1" w14:textId="47CA6A09" w:rsidR="00B62BF0" w:rsidRDefault="00B62BF0" w:rsidP="00B62BF0">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applicant(s) must show the court that the debtor owe(s) the applicant(s) more than 1000 Canadian Dollars;</w:t>
      </w:r>
    </w:p>
    <w:p w14:paraId="32F23740" w14:textId="6FC5CA7E" w:rsidR="00B62BF0" w:rsidRDefault="00B62BF0" w:rsidP="00B62BF0">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 referred to above in 2 must be unsecured;</w:t>
      </w:r>
    </w:p>
    <w:p w14:paraId="11F6384A" w14:textId="3AE470BE" w:rsidR="00B62BF0" w:rsidRDefault="00B62BF0" w:rsidP="00B62BF0">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applicant(s) must prove that the debtor performed a section 42 (BIA) “act of insolvency”; and</w:t>
      </w:r>
    </w:p>
    <w:p w14:paraId="13BA987F" w14:textId="1E0D1CB7" w:rsidR="00B62BF0" w:rsidRDefault="00B62BF0" w:rsidP="00B62BF0">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applicant(s) must prove that the act referred to above in 4 was carried out “within six months of the date of the filing of the application” </w:t>
      </w:r>
      <w:r w:rsidRPr="00D80DC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Guidance Text par 6.2.2.1 page 18</w:t>
      </w:r>
      <w:r w:rsidRPr="00D80DC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46C762F4" w14:textId="7BFE44EB" w:rsidR="004739B2" w:rsidRPr="00D80DC2" w:rsidRDefault="00B62BF0" w:rsidP="00B62BF0">
      <w:p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Note that the applicant(s) would probably also have to prove that the court has jurisdiction to decide on the application – jurisdiction is broadly determined according to the debtor’s place of residence, business, or assets. </w:t>
      </w:r>
      <w:r w:rsidR="008C6FAA" w:rsidRPr="00D80DC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Guidance Text par 6.2.2.1 page 18</w:t>
      </w:r>
      <w:r w:rsidR="008C6FAA" w:rsidRPr="00D80DC2">
        <w:rPr>
          <w:rFonts w:ascii="Arial" w:hAnsi="Arial" w:cs="Arial"/>
          <w:color w:val="7B7B7B" w:themeColor="accent3" w:themeShade="BF"/>
          <w:sz w:val="22"/>
          <w:szCs w:val="22"/>
          <w:lang w:val="en-GB"/>
        </w:rPr>
        <w:t>]</w:t>
      </w:r>
    </w:p>
    <w:p w14:paraId="33928CEE" w14:textId="19E4155B" w:rsidR="004739B2" w:rsidRPr="00D80DC2" w:rsidRDefault="004739B2" w:rsidP="00BF3EB6">
      <w:pPr>
        <w:jc w:val="both"/>
        <w:rPr>
          <w:rFonts w:ascii="Arial" w:hAnsi="Arial" w:cs="Arial"/>
          <w:color w:val="7B7B7B"/>
          <w:sz w:val="22"/>
          <w:szCs w:val="22"/>
          <w:lang w:val="en-GB"/>
        </w:rPr>
      </w:pPr>
    </w:p>
    <w:p w14:paraId="1835493A" w14:textId="77777777" w:rsidR="004739B2" w:rsidRPr="00D80DC2" w:rsidRDefault="008C6FAA" w:rsidP="004739B2">
      <w:pPr>
        <w:ind w:left="720" w:hanging="720"/>
        <w:jc w:val="both"/>
        <w:rPr>
          <w:rFonts w:ascii="Arial" w:hAnsi="Arial" w:cs="Arial"/>
          <w:b/>
          <w:bCs/>
          <w:sz w:val="22"/>
          <w:szCs w:val="22"/>
          <w:lang w:val="en-GB"/>
        </w:rPr>
      </w:pPr>
      <w:r w:rsidRPr="001D1BA3">
        <w:rPr>
          <w:rFonts w:ascii="Arial" w:hAnsi="Arial" w:cs="Arial"/>
          <w:b/>
          <w:bCs/>
          <w:sz w:val="22"/>
          <w:szCs w:val="22"/>
          <w:highlight w:val="green"/>
          <w:lang w:val="en-GB"/>
        </w:rPr>
        <w:t>Question 2.3</w:t>
      </w:r>
      <w:r w:rsidRPr="001D1BA3">
        <w:rPr>
          <w:rFonts w:ascii="Arial" w:hAnsi="Arial" w:cs="Arial"/>
          <w:b/>
          <w:bCs/>
          <w:sz w:val="22"/>
          <w:szCs w:val="22"/>
          <w:highlight w:val="green"/>
          <w:lang w:val="en-GB"/>
        </w:rPr>
        <w:tab/>
        <w:t>[maximum 3 marks]</w:t>
      </w:r>
      <w:r w:rsidRPr="00D80DC2">
        <w:rPr>
          <w:rFonts w:ascii="Arial" w:hAnsi="Arial" w:cs="Arial"/>
          <w:b/>
          <w:bCs/>
          <w:sz w:val="22"/>
          <w:szCs w:val="22"/>
          <w:lang w:val="en-GB"/>
        </w:rPr>
        <w:t xml:space="preserve"> </w:t>
      </w:r>
    </w:p>
    <w:p w14:paraId="4F46E37A" w14:textId="77777777" w:rsidR="004739B2" w:rsidRPr="00D80DC2" w:rsidRDefault="004739B2" w:rsidP="004739B2">
      <w:pPr>
        <w:ind w:left="720" w:hanging="720"/>
        <w:jc w:val="both"/>
        <w:rPr>
          <w:rFonts w:ascii="Arial" w:hAnsi="Arial" w:cs="Arial"/>
          <w:b/>
          <w:bCs/>
          <w:sz w:val="22"/>
          <w:szCs w:val="22"/>
          <w:lang w:val="en-GB"/>
        </w:rPr>
      </w:pPr>
    </w:p>
    <w:p w14:paraId="6D919C01" w14:textId="47F36B48" w:rsidR="004739B2" w:rsidRPr="00956397" w:rsidRDefault="008C6FAA" w:rsidP="004739B2">
      <w:pPr>
        <w:jc w:val="both"/>
        <w:rPr>
          <w:rFonts w:ascii="Arial" w:hAnsi="Arial" w:cs="Arial"/>
          <w:sz w:val="22"/>
          <w:szCs w:val="22"/>
        </w:rPr>
      </w:pPr>
      <w:r>
        <w:rPr>
          <w:rFonts w:ascii="Arial" w:hAnsi="Arial" w:cs="Arial"/>
          <w:sz w:val="22"/>
          <w:szCs w:val="22"/>
        </w:rPr>
        <w:t xml:space="preserve">The Office of the Superintendent of Bankruptcy has a number of functions. </w:t>
      </w:r>
      <w:r>
        <w:rPr>
          <w:rFonts w:ascii="Arial" w:hAnsi="Arial" w:cs="Arial"/>
          <w:b/>
          <w:sz w:val="22"/>
          <w:szCs w:val="22"/>
        </w:rPr>
        <w:t>Name three</w:t>
      </w:r>
      <w:r w:rsidR="008F5F63">
        <w:rPr>
          <w:rFonts w:ascii="Arial" w:hAnsi="Arial" w:cs="Arial"/>
          <w:b/>
          <w:sz w:val="22"/>
          <w:szCs w:val="22"/>
        </w:rPr>
        <w:t xml:space="preserve"> </w:t>
      </w:r>
      <w:r w:rsidR="008F5F63" w:rsidRPr="00035DCA">
        <w:rPr>
          <w:rFonts w:ascii="Arial" w:hAnsi="Arial" w:cs="Arial"/>
          <w:bCs/>
          <w:sz w:val="22"/>
          <w:szCs w:val="22"/>
        </w:rPr>
        <w:t>of these functions</w:t>
      </w:r>
      <w:r w:rsidR="00035DCA">
        <w:rPr>
          <w:rFonts w:ascii="Arial" w:hAnsi="Arial" w:cs="Arial"/>
          <w:bCs/>
          <w:sz w:val="22"/>
          <w:szCs w:val="22"/>
        </w:rPr>
        <w:t>.</w:t>
      </w:r>
      <w:r>
        <w:rPr>
          <w:rFonts w:ascii="Arial" w:hAnsi="Arial" w:cs="Arial"/>
          <w:b/>
          <w:sz w:val="22"/>
          <w:szCs w:val="22"/>
        </w:rPr>
        <w:t xml:space="preserve"> </w:t>
      </w:r>
    </w:p>
    <w:p w14:paraId="061AC6A8" w14:textId="77777777" w:rsidR="004739B2" w:rsidRPr="00D80DC2" w:rsidRDefault="004739B2" w:rsidP="004739B2">
      <w:pPr>
        <w:ind w:left="720" w:hanging="720"/>
        <w:jc w:val="both"/>
        <w:rPr>
          <w:rFonts w:ascii="Arial" w:hAnsi="Arial" w:cs="Arial"/>
          <w:sz w:val="22"/>
          <w:szCs w:val="22"/>
          <w:lang w:val="en-GB"/>
        </w:rPr>
      </w:pPr>
    </w:p>
    <w:p w14:paraId="4C43CAE9" w14:textId="18F91691" w:rsidR="004739B2" w:rsidRPr="00613FC7" w:rsidRDefault="00A52603" w:rsidP="00613FC7">
      <w:pPr>
        <w:pStyle w:val="ListParagraph"/>
        <w:numPr>
          <w:ilvl w:val="0"/>
          <w:numId w:val="23"/>
        </w:numPr>
        <w:jc w:val="both"/>
        <w:rPr>
          <w:rFonts w:ascii="Arial" w:hAnsi="Arial" w:cs="Arial"/>
          <w:color w:val="7B7B7B"/>
          <w:sz w:val="22"/>
          <w:szCs w:val="22"/>
          <w:lang w:val="en-GB"/>
        </w:rPr>
      </w:pPr>
      <w:r w:rsidRPr="00613FC7">
        <w:rPr>
          <w:rFonts w:ascii="Arial" w:hAnsi="Arial" w:cs="Arial"/>
          <w:color w:val="7B7B7B" w:themeColor="accent3" w:themeShade="BF"/>
          <w:sz w:val="22"/>
          <w:szCs w:val="22"/>
          <w:lang w:val="en-GB"/>
        </w:rPr>
        <w:t>“licensing and supervising of trustees” – thus the Office authorises trustees to act as such and oversees these trustees’ execution of their duties [Guidance text par 4.2.4 page 11</w:t>
      </w:r>
      <w:r w:rsidR="008C6FAA" w:rsidRPr="00613FC7">
        <w:rPr>
          <w:rFonts w:ascii="Arial" w:hAnsi="Arial" w:cs="Arial"/>
          <w:color w:val="7B7B7B" w:themeColor="accent3" w:themeShade="BF"/>
          <w:sz w:val="22"/>
          <w:szCs w:val="22"/>
          <w:lang w:val="en-GB"/>
        </w:rPr>
        <w:t>]</w:t>
      </w:r>
      <w:r w:rsidR="00BF3EB6">
        <w:rPr>
          <w:rFonts w:ascii="Arial" w:hAnsi="Arial" w:cs="Arial"/>
          <w:color w:val="7B7B7B" w:themeColor="accent3" w:themeShade="BF"/>
          <w:sz w:val="22"/>
          <w:szCs w:val="22"/>
          <w:lang w:val="en-GB"/>
        </w:rPr>
        <w:t>.</w:t>
      </w:r>
    </w:p>
    <w:p w14:paraId="6F358B59" w14:textId="6BFC2C5D" w:rsidR="00A52603" w:rsidRPr="00A52603" w:rsidRDefault="00A52603" w:rsidP="00A52603">
      <w:pPr>
        <w:pStyle w:val="ListParagraph"/>
        <w:numPr>
          <w:ilvl w:val="0"/>
          <w:numId w:val="23"/>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“examining a trustee’s account of a bankruptcy and ensuring all the correct information is accounted for” – thus reviewing the drafted estate account and verifying that it is complete and comprehensive [</w:t>
      </w:r>
      <w:r w:rsidRPr="00A52603">
        <w:rPr>
          <w:rFonts w:ascii="Arial" w:hAnsi="Arial" w:cs="Arial"/>
          <w:color w:val="7B7B7B" w:themeColor="accent3" w:themeShade="BF"/>
          <w:sz w:val="22"/>
          <w:szCs w:val="22"/>
          <w:lang w:val="en-GB"/>
        </w:rPr>
        <w:t>Guidance text par 4.2.4 page 11</w:t>
      </w:r>
      <w:r>
        <w:rPr>
          <w:rFonts w:ascii="Arial" w:hAnsi="Arial" w:cs="Arial"/>
          <w:color w:val="7B7B7B" w:themeColor="accent3" w:themeShade="BF"/>
          <w:sz w:val="22"/>
          <w:szCs w:val="22"/>
          <w:lang w:val="en-GB"/>
        </w:rPr>
        <w:t>]</w:t>
      </w:r>
      <w:r w:rsidR="00BF3EB6">
        <w:rPr>
          <w:rFonts w:ascii="Arial" w:hAnsi="Arial" w:cs="Arial"/>
          <w:color w:val="7B7B7B" w:themeColor="accent3" w:themeShade="BF"/>
          <w:sz w:val="22"/>
          <w:szCs w:val="22"/>
          <w:lang w:val="en-GB"/>
        </w:rPr>
        <w:t>.</w:t>
      </w:r>
    </w:p>
    <w:p w14:paraId="5FCC291B" w14:textId="7C00389B" w:rsidR="004739B2" w:rsidRPr="001D1BA3" w:rsidRDefault="00A52603" w:rsidP="004739B2">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“maintaining public records regarding the filing of proposals, bankruptcies, license issues and appointments of receivers under the” Bankruptcy and Insolvency Act – thus the Office has an administra</w:t>
      </w:r>
      <w:r w:rsidR="001D1BA3">
        <w:rPr>
          <w:rFonts w:ascii="Arial" w:hAnsi="Arial" w:cs="Arial"/>
          <w:color w:val="7B7B7B"/>
          <w:sz w:val="22"/>
          <w:szCs w:val="22"/>
          <w:lang w:val="en-GB"/>
        </w:rPr>
        <w:t>tive information collection, updating and availing function insofar as certain data, that should be in the public domain, is concerned [</w:t>
      </w:r>
      <w:r w:rsidR="001D1BA3" w:rsidRPr="00A52603">
        <w:rPr>
          <w:rFonts w:ascii="Arial" w:hAnsi="Arial" w:cs="Arial"/>
          <w:color w:val="7B7B7B" w:themeColor="accent3" w:themeShade="BF"/>
          <w:sz w:val="22"/>
          <w:szCs w:val="22"/>
          <w:lang w:val="en-GB"/>
        </w:rPr>
        <w:t>Guidance text par 4.2.4 page 11</w:t>
      </w:r>
      <w:r w:rsidR="001D1BA3">
        <w:rPr>
          <w:rFonts w:ascii="Arial" w:hAnsi="Arial" w:cs="Arial"/>
          <w:color w:val="7B7B7B" w:themeColor="accent3" w:themeShade="BF"/>
          <w:sz w:val="22"/>
          <w:szCs w:val="22"/>
          <w:lang w:val="en-GB"/>
        </w:rPr>
        <w:t>]</w:t>
      </w:r>
      <w:r w:rsidR="00BF3EB6">
        <w:rPr>
          <w:rFonts w:ascii="Arial" w:hAnsi="Arial" w:cs="Arial"/>
          <w:color w:val="7B7B7B" w:themeColor="accent3" w:themeShade="BF"/>
          <w:sz w:val="22"/>
          <w:szCs w:val="22"/>
          <w:lang w:val="en-GB"/>
        </w:rPr>
        <w:t>.</w:t>
      </w:r>
    </w:p>
    <w:p w14:paraId="3651D031" w14:textId="77777777" w:rsidR="004739B2" w:rsidRPr="00D80DC2" w:rsidRDefault="004739B2" w:rsidP="004739B2">
      <w:pPr>
        <w:jc w:val="both"/>
        <w:rPr>
          <w:rFonts w:ascii="Arial" w:hAnsi="Arial" w:cs="Arial"/>
          <w:bCs/>
          <w:color w:val="7B7B7B"/>
          <w:sz w:val="22"/>
          <w:szCs w:val="22"/>
          <w:lang w:val="en-GB"/>
        </w:rPr>
      </w:pPr>
    </w:p>
    <w:p w14:paraId="7BACCA67" w14:textId="77777777" w:rsidR="004739B2" w:rsidRPr="00D80DC2" w:rsidRDefault="008C6FAA" w:rsidP="004739B2">
      <w:pPr>
        <w:ind w:left="720" w:hanging="720"/>
        <w:jc w:val="both"/>
        <w:rPr>
          <w:rFonts w:ascii="Arial" w:hAnsi="Arial" w:cs="Arial"/>
          <w:b/>
          <w:bCs/>
          <w:sz w:val="22"/>
          <w:szCs w:val="22"/>
          <w:lang w:val="en-GB"/>
        </w:rPr>
      </w:pPr>
      <w:r w:rsidRPr="00967BC2">
        <w:rPr>
          <w:rFonts w:ascii="Arial" w:hAnsi="Arial" w:cs="Arial"/>
          <w:b/>
          <w:bCs/>
          <w:sz w:val="22"/>
          <w:szCs w:val="22"/>
          <w:highlight w:val="green"/>
          <w:lang w:val="en-GB"/>
        </w:rPr>
        <w:t>Question 2.4</w:t>
      </w:r>
      <w:r w:rsidRPr="00967BC2">
        <w:rPr>
          <w:rFonts w:ascii="Arial" w:hAnsi="Arial" w:cs="Arial"/>
          <w:b/>
          <w:bCs/>
          <w:sz w:val="22"/>
          <w:szCs w:val="22"/>
          <w:highlight w:val="green"/>
          <w:lang w:val="en-GB"/>
        </w:rPr>
        <w:tab/>
        <w:t>[maximum 2 marks]</w:t>
      </w:r>
      <w:r w:rsidRPr="00D80DC2">
        <w:rPr>
          <w:rFonts w:ascii="Arial" w:hAnsi="Arial" w:cs="Arial"/>
          <w:b/>
          <w:bCs/>
          <w:sz w:val="22"/>
          <w:szCs w:val="22"/>
          <w:lang w:val="en-GB"/>
        </w:rPr>
        <w:t xml:space="preserve"> </w:t>
      </w:r>
    </w:p>
    <w:p w14:paraId="2EDDD31F" w14:textId="77777777" w:rsidR="004739B2" w:rsidRPr="00D80DC2" w:rsidRDefault="004739B2" w:rsidP="004739B2">
      <w:pPr>
        <w:jc w:val="both"/>
        <w:rPr>
          <w:rFonts w:ascii="Arial" w:hAnsi="Arial" w:cs="Arial"/>
          <w:sz w:val="22"/>
          <w:szCs w:val="22"/>
          <w:lang w:val="en-GB"/>
        </w:rPr>
      </w:pPr>
    </w:p>
    <w:p w14:paraId="0EF90FED" w14:textId="7F277626" w:rsidR="004739B2" w:rsidRPr="005417F4" w:rsidRDefault="008C6FAA" w:rsidP="004739B2">
      <w:pPr>
        <w:jc w:val="both"/>
        <w:rPr>
          <w:rFonts w:ascii="Arial" w:hAnsi="Arial" w:cs="Arial"/>
          <w:sz w:val="22"/>
          <w:szCs w:val="22"/>
          <w:lang w:val="en-GB"/>
        </w:rPr>
      </w:pPr>
      <w:r>
        <w:rPr>
          <w:rFonts w:ascii="Arial" w:hAnsi="Arial" w:cs="Arial"/>
          <w:sz w:val="22"/>
          <w:szCs w:val="22"/>
          <w:lang w:val="en-GB"/>
        </w:rPr>
        <w:t xml:space="preserve">What are the </w:t>
      </w:r>
      <w:r w:rsidRPr="00035DCA">
        <w:rPr>
          <w:rFonts w:ascii="Arial" w:hAnsi="Arial" w:cs="Arial"/>
          <w:b/>
          <w:bCs/>
          <w:sz w:val="22"/>
          <w:szCs w:val="22"/>
          <w:lang w:val="en-GB"/>
        </w:rPr>
        <w:t>four</w:t>
      </w:r>
      <w:r>
        <w:rPr>
          <w:rFonts w:ascii="Arial" w:hAnsi="Arial" w:cs="Arial"/>
          <w:sz w:val="22"/>
          <w:szCs w:val="22"/>
          <w:lang w:val="en-GB"/>
        </w:rPr>
        <w:t xml:space="preserve"> criteria that must be met in order for an individual bankrupt to be automatically discharged within nine (9) months after the bankruptcy is filed</w:t>
      </w:r>
      <w:r w:rsidR="00035DCA">
        <w:rPr>
          <w:rFonts w:ascii="Arial" w:hAnsi="Arial" w:cs="Arial"/>
          <w:sz w:val="22"/>
          <w:szCs w:val="22"/>
          <w:lang w:val="en-GB"/>
        </w:rPr>
        <w:t>?</w:t>
      </w:r>
    </w:p>
    <w:p w14:paraId="16008E18" w14:textId="6295235A" w:rsidR="004739B2" w:rsidRDefault="00FA3204" w:rsidP="00FA32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criteria are as follows (these requirements are cumulative, which means all the criteria must be present) </w:t>
      </w:r>
      <w:r w:rsidR="008C6FAA" w:rsidRPr="00D80DC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Guidance Text par 6.2.22 pages 31-32</w:t>
      </w:r>
      <w:r w:rsidR="008C6FAA" w:rsidRPr="00D80DC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0E7A17F4" w14:textId="5E1AFB45" w:rsidR="00FA3204" w:rsidRDefault="00FA3204" w:rsidP="00FA3204">
      <w:pPr>
        <w:pStyle w:val="ListParagraph"/>
        <w:numPr>
          <w:ilvl w:val="0"/>
          <w:numId w:val="26"/>
        </w:numPr>
        <w:jc w:val="both"/>
        <w:rPr>
          <w:rFonts w:ascii="Arial" w:hAnsi="Arial" w:cs="Arial"/>
          <w:color w:val="7B7B7B"/>
          <w:sz w:val="22"/>
          <w:szCs w:val="22"/>
          <w:lang w:val="en-GB"/>
        </w:rPr>
      </w:pPr>
      <w:r>
        <w:rPr>
          <w:rFonts w:ascii="Arial" w:hAnsi="Arial" w:cs="Arial"/>
          <w:color w:val="7B7B7B"/>
          <w:sz w:val="22"/>
          <w:szCs w:val="22"/>
          <w:lang w:val="en-GB"/>
        </w:rPr>
        <w:t>The bankrupt must not have been declared bankrupt (been subjected to bankruptcy proceedings) before, meaning that this must be “a first bankruptcy”;</w:t>
      </w:r>
      <w:bookmarkStart w:id="0" w:name="_GoBack"/>
      <w:bookmarkEnd w:id="0"/>
    </w:p>
    <w:p w14:paraId="3FD24B7A" w14:textId="21D125C4" w:rsidR="00FA3204" w:rsidRDefault="00FA3204" w:rsidP="00FA3204">
      <w:pPr>
        <w:pStyle w:val="ListParagraph"/>
        <w:numPr>
          <w:ilvl w:val="0"/>
          <w:numId w:val="26"/>
        </w:numPr>
        <w:jc w:val="both"/>
        <w:rPr>
          <w:rFonts w:ascii="Arial" w:hAnsi="Arial" w:cs="Arial"/>
          <w:color w:val="7B7B7B"/>
          <w:sz w:val="22"/>
          <w:szCs w:val="22"/>
          <w:lang w:val="en-GB"/>
        </w:rPr>
      </w:pPr>
      <w:r>
        <w:rPr>
          <w:rFonts w:ascii="Arial" w:hAnsi="Arial" w:cs="Arial"/>
          <w:color w:val="7B7B7B"/>
          <w:sz w:val="22"/>
          <w:szCs w:val="22"/>
          <w:lang w:val="en-GB"/>
        </w:rPr>
        <w:t>The bankrupt must have received formal instruction on how to deal with his finances twice, meaning that he must have “attended two financial counselling sessions”;</w:t>
      </w:r>
    </w:p>
    <w:p w14:paraId="1CCF8209" w14:textId="37A8A1F2" w:rsidR="00FA3204" w:rsidRPr="00FA3204" w:rsidRDefault="00FA3204" w:rsidP="00FA3204">
      <w:pPr>
        <w:pStyle w:val="ListParagraph"/>
        <w:numPr>
          <w:ilvl w:val="0"/>
          <w:numId w:val="26"/>
        </w:numPr>
        <w:jc w:val="both"/>
        <w:rPr>
          <w:rFonts w:ascii="Arial" w:hAnsi="Arial" w:cs="Arial"/>
          <w:color w:val="7B7B7B"/>
          <w:sz w:val="22"/>
          <w:szCs w:val="22"/>
          <w:lang w:val="en-GB"/>
        </w:rPr>
      </w:pPr>
      <w:r>
        <w:rPr>
          <w:rFonts w:ascii="Arial" w:hAnsi="Arial" w:cs="Arial"/>
          <w:color w:val="7B7B7B"/>
          <w:sz w:val="22"/>
          <w:szCs w:val="22"/>
          <w:lang w:val="en-GB"/>
        </w:rPr>
        <w:t>The bankrupt will not be making future payments to the estate, meaning that he is under no obligation “to pay a portion of his income into the bankruptcy estate”; and</w:t>
      </w:r>
    </w:p>
    <w:p w14:paraId="2E57DAB4" w14:textId="54A7A4DD" w:rsidR="004739B2" w:rsidRPr="00FA3204" w:rsidRDefault="00FA3204" w:rsidP="00FA3204">
      <w:pPr>
        <w:pStyle w:val="ListParagraph"/>
        <w:numPr>
          <w:ilvl w:val="0"/>
          <w:numId w:val="26"/>
        </w:numPr>
        <w:jc w:val="both"/>
        <w:rPr>
          <w:rFonts w:ascii="Arial" w:hAnsi="Arial" w:cs="Arial"/>
          <w:bCs/>
          <w:color w:val="7B7B7B"/>
          <w:sz w:val="22"/>
          <w:szCs w:val="22"/>
          <w:lang w:val="en-GB"/>
        </w:rPr>
      </w:pPr>
      <w:r>
        <w:rPr>
          <w:rFonts w:ascii="Arial" w:hAnsi="Arial" w:cs="Arial"/>
          <w:bCs/>
          <w:color w:val="7B7B7B"/>
          <w:sz w:val="22"/>
          <w:szCs w:val="22"/>
          <w:lang w:val="en-GB"/>
        </w:rPr>
        <w:t xml:space="preserve">There is no objection to the automatic discharge within this shortest period of time (neither one or more creditors, nor the trustee, nor the Office of </w:t>
      </w:r>
      <w:r w:rsidR="00833388">
        <w:rPr>
          <w:rFonts w:ascii="Arial" w:hAnsi="Arial" w:cs="Arial"/>
          <w:bCs/>
          <w:color w:val="7B7B7B"/>
          <w:sz w:val="22"/>
          <w:szCs w:val="22"/>
          <w:lang w:val="en-GB"/>
        </w:rPr>
        <w:t>the Superintendent of Bankruptcy contest the discharge).</w:t>
      </w:r>
    </w:p>
    <w:p w14:paraId="7B6DF6C4" w14:textId="77777777" w:rsidR="004739B2" w:rsidRPr="00D80DC2" w:rsidRDefault="004739B2" w:rsidP="004739B2">
      <w:pPr>
        <w:jc w:val="both"/>
        <w:rPr>
          <w:rFonts w:ascii="Arial" w:hAnsi="Arial" w:cs="Arial"/>
          <w:bCs/>
          <w:color w:val="7B7B7B"/>
          <w:sz w:val="22"/>
          <w:szCs w:val="22"/>
          <w:lang w:val="en-GB"/>
        </w:rPr>
      </w:pPr>
    </w:p>
    <w:p w14:paraId="44A0B311" w14:textId="77777777" w:rsidR="004739B2" w:rsidRPr="00D80DC2" w:rsidRDefault="008C6FAA" w:rsidP="004739B2">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4739B2" w:rsidRPr="00D80DC2" w:rsidRDefault="004739B2" w:rsidP="004739B2">
      <w:pPr>
        <w:jc w:val="both"/>
        <w:rPr>
          <w:rFonts w:ascii="Arial" w:hAnsi="Arial" w:cs="Arial"/>
          <w:sz w:val="22"/>
          <w:szCs w:val="22"/>
          <w:lang w:val="en-GB"/>
        </w:rPr>
      </w:pPr>
    </w:p>
    <w:p w14:paraId="4A84D67D" w14:textId="77777777" w:rsidR="004739B2" w:rsidRPr="00D80DC2" w:rsidRDefault="008C6FAA" w:rsidP="004739B2">
      <w:pPr>
        <w:ind w:left="720" w:hanging="720"/>
        <w:jc w:val="both"/>
        <w:rPr>
          <w:rFonts w:ascii="Arial" w:hAnsi="Arial" w:cs="Arial"/>
          <w:sz w:val="22"/>
          <w:szCs w:val="22"/>
          <w:lang w:val="en-GB"/>
        </w:rPr>
      </w:pPr>
      <w:r w:rsidRPr="00BE7E24">
        <w:rPr>
          <w:rFonts w:ascii="Arial" w:hAnsi="Arial" w:cs="Arial"/>
          <w:b/>
          <w:bCs/>
          <w:sz w:val="22"/>
          <w:szCs w:val="22"/>
          <w:highlight w:val="green"/>
          <w:lang w:val="en-GB"/>
        </w:rPr>
        <w:t>Question 3.1</w:t>
      </w:r>
      <w:r w:rsidRPr="00BE7E24">
        <w:rPr>
          <w:rFonts w:ascii="Arial" w:hAnsi="Arial" w:cs="Arial"/>
          <w:sz w:val="22"/>
          <w:szCs w:val="22"/>
          <w:highlight w:val="green"/>
          <w:lang w:val="en-GB"/>
        </w:rPr>
        <w:t xml:space="preserve"> </w:t>
      </w:r>
      <w:r w:rsidRPr="00BE7E24">
        <w:rPr>
          <w:rFonts w:ascii="Arial" w:hAnsi="Arial" w:cs="Arial"/>
          <w:b/>
          <w:sz w:val="22"/>
          <w:szCs w:val="22"/>
          <w:highlight w:val="green"/>
          <w:lang w:val="en-GB"/>
        </w:rPr>
        <w:t>[maximum 8 marks</w:t>
      </w:r>
      <w:r w:rsidRPr="00BE7E24">
        <w:rPr>
          <w:rFonts w:ascii="Arial" w:hAnsi="Arial" w:cs="Arial"/>
          <w:sz w:val="22"/>
          <w:szCs w:val="22"/>
          <w:highlight w:val="green"/>
          <w:lang w:val="en-GB"/>
        </w:rPr>
        <w:t>]</w:t>
      </w:r>
    </w:p>
    <w:p w14:paraId="65255C8A" w14:textId="77777777" w:rsidR="004739B2" w:rsidRPr="00D80DC2" w:rsidRDefault="004739B2" w:rsidP="004739B2">
      <w:pPr>
        <w:ind w:left="720" w:hanging="720"/>
        <w:jc w:val="both"/>
        <w:rPr>
          <w:rFonts w:ascii="Arial" w:hAnsi="Arial" w:cs="Arial"/>
          <w:sz w:val="22"/>
          <w:szCs w:val="22"/>
          <w:lang w:val="en-GB"/>
        </w:rPr>
      </w:pPr>
    </w:p>
    <w:p w14:paraId="655BFFE2" w14:textId="3BD83A12" w:rsidR="004739B2" w:rsidRDefault="008C6FAA" w:rsidP="004739B2">
      <w:pPr>
        <w:rPr>
          <w:rFonts w:ascii="Arial" w:hAnsi="Arial" w:cs="Arial"/>
          <w:sz w:val="22"/>
          <w:szCs w:val="22"/>
          <w:lang w:val="en-GB"/>
        </w:rPr>
      </w:pPr>
      <w:r>
        <w:rPr>
          <w:rFonts w:ascii="Arial" w:hAnsi="Arial" w:cs="Arial"/>
          <w:sz w:val="22"/>
          <w:szCs w:val="22"/>
          <w:lang w:val="en-GB"/>
        </w:rPr>
        <w:t xml:space="preserve">Compare and contrast the role of the “Monitor” in CCAA proceedings and the “proposal trustee” in a BIA proposal.  </w:t>
      </w:r>
    </w:p>
    <w:p w14:paraId="15747492" w14:textId="77777777" w:rsidR="004739B2" w:rsidRDefault="004739B2" w:rsidP="004739B2">
      <w:pPr>
        <w:rPr>
          <w:rFonts w:ascii="Arial" w:hAnsi="Arial" w:cs="Arial"/>
          <w:sz w:val="22"/>
          <w:szCs w:val="22"/>
          <w:lang w:val="en-GB"/>
        </w:rPr>
      </w:pPr>
    </w:p>
    <w:p w14:paraId="2FA8B4FF" w14:textId="7138A8F1" w:rsidR="004739B2" w:rsidRDefault="008C6FAA" w:rsidP="004739B2">
      <w:pPr>
        <w:rPr>
          <w:rFonts w:ascii="Arial" w:hAnsi="Arial" w:cs="Arial"/>
          <w:sz w:val="22"/>
          <w:szCs w:val="22"/>
          <w:lang w:val="en-GB"/>
        </w:rPr>
      </w:pPr>
      <w:r w:rsidRPr="008404DE">
        <w:rPr>
          <w:rFonts w:ascii="Arial" w:hAnsi="Arial" w:cs="Arial"/>
          <w:sz w:val="22"/>
          <w:szCs w:val="22"/>
          <w:lang w:val="en-GB"/>
        </w:rPr>
        <w:t>In your essay you should refer to at least the following:</w:t>
      </w:r>
    </w:p>
    <w:p w14:paraId="25B61A24" w14:textId="77777777" w:rsidR="00950086" w:rsidRDefault="00950086" w:rsidP="004739B2">
      <w:pPr>
        <w:rPr>
          <w:rFonts w:ascii="Arial" w:hAnsi="Arial" w:cs="Arial"/>
          <w:sz w:val="22"/>
          <w:szCs w:val="22"/>
          <w:lang w:val="en-GB"/>
        </w:rPr>
      </w:pPr>
    </w:p>
    <w:p w14:paraId="763457B3" w14:textId="3BA76B90" w:rsidR="004739B2"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Whether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 is court-appointed; and</w:t>
      </w:r>
    </w:p>
    <w:p w14:paraId="24652E6A" w14:textId="77777777" w:rsidR="00950086" w:rsidRPr="00950086" w:rsidRDefault="00950086" w:rsidP="00950086">
      <w:pPr>
        <w:ind w:left="66"/>
        <w:rPr>
          <w:rFonts w:ascii="Arial" w:hAnsi="Arial" w:cs="Arial"/>
          <w:sz w:val="22"/>
          <w:szCs w:val="22"/>
          <w:lang w:val="en-GB"/>
        </w:rPr>
      </w:pPr>
    </w:p>
    <w:p w14:paraId="51156FA7" w14:textId="307C2A65" w:rsidR="004739B2"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The statutory duties, if any</w:t>
      </w:r>
      <w:r w:rsidR="00950086">
        <w:rPr>
          <w:rFonts w:ascii="Arial" w:hAnsi="Arial" w:cs="Arial"/>
          <w:sz w:val="22"/>
          <w:szCs w:val="22"/>
          <w:lang w:val="en-GB"/>
        </w:rPr>
        <w:t>,</w:t>
      </w:r>
      <w:r>
        <w:rPr>
          <w:rFonts w:ascii="Arial" w:hAnsi="Arial" w:cs="Arial"/>
          <w:sz w:val="22"/>
          <w:szCs w:val="22"/>
          <w:lang w:val="en-GB"/>
        </w:rPr>
        <w:t xml:space="preserve"> of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w:t>
      </w:r>
    </w:p>
    <w:p w14:paraId="2A2507C4" w14:textId="268E870F" w:rsidR="00950086" w:rsidRPr="00D80DC2" w:rsidRDefault="00950086" w:rsidP="004739B2">
      <w:pPr>
        <w:jc w:val="both"/>
        <w:rPr>
          <w:rFonts w:ascii="Arial" w:hAnsi="Arial" w:cs="Arial"/>
          <w:sz w:val="22"/>
          <w:szCs w:val="22"/>
          <w:lang w:val="en-GB"/>
        </w:rPr>
      </w:pPr>
    </w:p>
    <w:p w14:paraId="64422B56" w14:textId="7BC65C56" w:rsidR="00E51860" w:rsidRDefault="00BE7E24" w:rsidP="00E5186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circumstances referred to in the question, both practitioners will be involved in proceedings that involve “compromises” with the debtor’s creditors [Guidance Text par</w:t>
      </w:r>
      <w:r w:rsidR="00341942">
        <w:rPr>
          <w:rFonts w:ascii="Arial" w:hAnsi="Arial" w:cs="Arial"/>
          <w:color w:val="7B7B7B" w:themeColor="accent3" w:themeShade="BF"/>
          <w:sz w:val="22"/>
          <w:szCs w:val="22"/>
          <w:lang w:val="en-GB"/>
        </w:rPr>
        <w:t>as</w:t>
      </w:r>
      <w:r>
        <w:rPr>
          <w:rFonts w:ascii="Arial" w:hAnsi="Arial" w:cs="Arial"/>
          <w:color w:val="7B7B7B" w:themeColor="accent3" w:themeShade="BF"/>
          <w:sz w:val="22"/>
          <w:szCs w:val="22"/>
          <w:lang w:val="en-GB"/>
        </w:rPr>
        <w:t xml:space="preserve"> 4.1.2</w:t>
      </w:r>
      <w:r w:rsidR="00341942">
        <w:rPr>
          <w:rFonts w:ascii="Arial" w:hAnsi="Arial" w:cs="Arial"/>
          <w:color w:val="7B7B7B" w:themeColor="accent3" w:themeShade="BF"/>
          <w:sz w:val="22"/>
          <w:szCs w:val="22"/>
          <w:lang w:val="en-GB"/>
        </w:rPr>
        <w:t xml:space="preserve"> and 6.5.1</w:t>
      </w:r>
      <w:r>
        <w:rPr>
          <w:rFonts w:ascii="Arial" w:hAnsi="Arial" w:cs="Arial"/>
          <w:color w:val="7B7B7B" w:themeColor="accent3" w:themeShade="BF"/>
          <w:sz w:val="22"/>
          <w:szCs w:val="22"/>
          <w:lang w:val="en-GB"/>
        </w:rPr>
        <w:t xml:space="preserve"> page</w:t>
      </w:r>
      <w:r w:rsidR="00341942">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5</w:t>
      </w:r>
      <w:r w:rsidR="00341942">
        <w:rPr>
          <w:rFonts w:ascii="Arial" w:hAnsi="Arial" w:cs="Arial"/>
          <w:color w:val="7B7B7B" w:themeColor="accent3" w:themeShade="BF"/>
          <w:sz w:val="22"/>
          <w:szCs w:val="22"/>
          <w:lang w:val="en-GB"/>
        </w:rPr>
        <w:t xml:space="preserve"> and 37</w:t>
      </w:r>
      <w:r>
        <w:rPr>
          <w:rFonts w:ascii="Arial" w:hAnsi="Arial" w:cs="Arial"/>
          <w:color w:val="7B7B7B" w:themeColor="accent3" w:themeShade="BF"/>
          <w:sz w:val="22"/>
          <w:szCs w:val="22"/>
          <w:lang w:val="en-GB"/>
        </w:rPr>
        <w:t xml:space="preserve">]. </w:t>
      </w:r>
      <w:r w:rsidR="00AC117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It is also logical that the nature of their appointments and functions will echo the nature of the proceedings, and the observation that “the primary differences between a restructuring under the BIA and one under the CCAA is that the former has more procedural steps and strict timeframes, rules and guidelines, while the latter is more discretionary and judicially-driver” will also dictate expectations to the practitioners involved [</w:t>
      </w:r>
      <w:r>
        <w:rPr>
          <w:rFonts w:ascii="Arial" w:hAnsi="Arial" w:cs="Arial"/>
          <w:color w:val="7B7B7B" w:themeColor="accent3" w:themeShade="BF"/>
          <w:sz w:val="22"/>
          <w:szCs w:val="22"/>
          <w:lang w:val="en-GB"/>
        </w:rPr>
        <w:t>Guidance Text par 4.1.2</w:t>
      </w:r>
      <w:r>
        <w:rPr>
          <w:rFonts w:ascii="Arial" w:hAnsi="Arial" w:cs="Arial"/>
          <w:color w:val="7B7B7B" w:themeColor="accent3" w:themeShade="BF"/>
          <w:sz w:val="22"/>
          <w:szCs w:val="22"/>
          <w:lang w:val="en-GB"/>
        </w:rPr>
        <w:t xml:space="preserve"> page 6]. </w:t>
      </w:r>
      <w:r w:rsidR="0086708C">
        <w:rPr>
          <w:rFonts w:ascii="Arial" w:hAnsi="Arial" w:cs="Arial"/>
          <w:color w:val="7B7B7B" w:themeColor="accent3" w:themeShade="BF"/>
          <w:sz w:val="22"/>
          <w:szCs w:val="22"/>
          <w:lang w:val="en-GB"/>
        </w:rPr>
        <w:t>Both must be “licensed insolvency professionals” [Guidance Text par 4.2.3.1 page 10]</w:t>
      </w:r>
      <w:r>
        <w:rPr>
          <w:rFonts w:ascii="Arial" w:hAnsi="Arial" w:cs="Arial"/>
          <w:color w:val="7B7B7B" w:themeColor="accent3" w:themeShade="BF"/>
          <w:sz w:val="22"/>
          <w:szCs w:val="22"/>
          <w:lang w:val="en-GB"/>
        </w:rPr>
        <w:t xml:space="preserve"> subject to the </w:t>
      </w:r>
      <w:r w:rsidR="008D165C">
        <w:rPr>
          <w:rFonts w:ascii="Arial" w:hAnsi="Arial" w:cs="Arial"/>
          <w:color w:val="7B7B7B" w:themeColor="accent3" w:themeShade="BF"/>
          <w:sz w:val="22"/>
          <w:szCs w:val="22"/>
          <w:lang w:val="en-GB"/>
        </w:rPr>
        <w:t xml:space="preserve">“administrative oversight” and management (“regulat[ion]”) of the Office of the Superintendant of Bankruptcy [Guidance Text par 4.2.4 page 11]. </w:t>
      </w:r>
      <w:r w:rsidR="00E51860">
        <w:rPr>
          <w:rFonts w:ascii="Arial" w:hAnsi="Arial" w:cs="Arial"/>
          <w:color w:val="7B7B7B" w:themeColor="accent3" w:themeShade="BF"/>
          <w:sz w:val="22"/>
          <w:szCs w:val="22"/>
          <w:lang w:val="en-GB"/>
        </w:rPr>
        <w:t xml:space="preserve">As </w:t>
      </w:r>
      <w:r w:rsidR="00E51860">
        <w:rPr>
          <w:rFonts w:ascii="Arial" w:hAnsi="Arial" w:cs="Arial"/>
          <w:color w:val="7B7B7B" w:themeColor="accent3" w:themeShade="BF"/>
          <w:sz w:val="22"/>
          <w:szCs w:val="22"/>
          <w:lang w:val="en-GB"/>
        </w:rPr>
        <w:t>monitors are only eligible for appointment if they are also trustees (see section 11.7(1) of the CCAA)</w:t>
      </w:r>
      <w:r w:rsidR="00E51860">
        <w:rPr>
          <w:rFonts w:ascii="Arial" w:hAnsi="Arial" w:cs="Arial"/>
          <w:color w:val="7B7B7B" w:themeColor="accent3" w:themeShade="BF"/>
          <w:sz w:val="22"/>
          <w:szCs w:val="22"/>
          <w:lang w:val="en-GB"/>
        </w:rPr>
        <w:t>,</w:t>
      </w:r>
      <w:r w:rsidR="00E51860">
        <w:rPr>
          <w:rFonts w:ascii="Arial" w:hAnsi="Arial" w:cs="Arial"/>
          <w:color w:val="7B7B7B" w:themeColor="accent3" w:themeShade="BF"/>
          <w:sz w:val="22"/>
          <w:szCs w:val="22"/>
          <w:lang w:val="en-GB"/>
        </w:rPr>
        <w:t xml:space="preserve"> and</w:t>
      </w:r>
      <w:r w:rsidR="00E51860">
        <w:rPr>
          <w:rFonts w:ascii="Arial" w:hAnsi="Arial" w:cs="Arial"/>
          <w:color w:val="7B7B7B" w:themeColor="accent3" w:themeShade="BF"/>
          <w:sz w:val="22"/>
          <w:szCs w:val="22"/>
          <w:lang w:val="en-GB"/>
        </w:rPr>
        <w:t xml:space="preserve"> trustees are closely regulated by the Superintendent</w:t>
      </w:r>
      <w:r w:rsidR="00E51860">
        <w:rPr>
          <w:rFonts w:ascii="Arial" w:hAnsi="Arial" w:cs="Arial"/>
          <w:color w:val="7B7B7B" w:themeColor="accent3" w:themeShade="BF"/>
          <w:sz w:val="22"/>
          <w:szCs w:val="22"/>
          <w:lang w:val="en-GB"/>
        </w:rPr>
        <w:t>,</w:t>
      </w:r>
      <w:r w:rsidR="00E51860">
        <w:rPr>
          <w:rFonts w:ascii="Arial" w:hAnsi="Arial" w:cs="Arial"/>
          <w:color w:val="7B7B7B" w:themeColor="accent3" w:themeShade="BF"/>
          <w:sz w:val="22"/>
          <w:szCs w:val="22"/>
          <w:lang w:val="en-GB"/>
        </w:rPr>
        <w:t xml:space="preserve"> the provisions pertaining to licensing, etc set out in</w:t>
      </w:r>
      <w:r w:rsidR="00E51860">
        <w:rPr>
          <w:rFonts w:ascii="Arial" w:hAnsi="Arial" w:cs="Arial"/>
          <w:color w:val="7B7B7B" w:themeColor="accent3" w:themeShade="BF"/>
          <w:sz w:val="22"/>
          <w:szCs w:val="22"/>
          <w:lang w:val="en-GB"/>
        </w:rPr>
        <w:t xml:space="preserve"> section 13</w:t>
      </w:r>
      <w:r w:rsidR="00E51860">
        <w:rPr>
          <w:rFonts w:ascii="Arial" w:hAnsi="Arial" w:cs="Arial"/>
          <w:color w:val="7B7B7B" w:themeColor="accent3" w:themeShade="BF"/>
          <w:sz w:val="22"/>
          <w:szCs w:val="22"/>
          <w:lang w:val="en-GB"/>
        </w:rPr>
        <w:t xml:space="preserve"> of the BIA also apply to monitors.</w:t>
      </w:r>
      <w:r w:rsidR="00E51860">
        <w:rPr>
          <w:rFonts w:ascii="Arial" w:hAnsi="Arial" w:cs="Arial"/>
          <w:color w:val="7B7B7B" w:themeColor="accent3" w:themeShade="BF"/>
          <w:sz w:val="22"/>
          <w:szCs w:val="22"/>
          <w:lang w:val="en-GB"/>
        </w:rPr>
        <w:t xml:space="preserve"> </w:t>
      </w:r>
      <w:r w:rsidR="00E51860">
        <w:rPr>
          <w:rFonts w:ascii="Arial" w:hAnsi="Arial" w:cs="Arial"/>
          <w:color w:val="7B7B7B" w:themeColor="accent3" w:themeShade="BF"/>
          <w:sz w:val="22"/>
          <w:szCs w:val="22"/>
          <w:lang w:val="en-GB"/>
        </w:rPr>
        <w:t xml:space="preserve">Just </w:t>
      </w:r>
      <w:r w:rsidR="00E51860">
        <w:rPr>
          <w:rFonts w:ascii="Arial" w:hAnsi="Arial" w:cs="Arial"/>
          <w:color w:val="7B7B7B" w:themeColor="accent3" w:themeShade="BF"/>
          <w:sz w:val="22"/>
          <w:szCs w:val="22"/>
          <w:lang w:val="en-GB"/>
        </w:rPr>
        <w:t>like in the case of trustees</w:t>
      </w:r>
      <w:r w:rsidR="009242F6">
        <w:rPr>
          <w:rFonts w:ascii="Arial" w:hAnsi="Arial" w:cs="Arial"/>
          <w:color w:val="7B7B7B" w:themeColor="accent3" w:themeShade="BF"/>
          <w:sz w:val="22"/>
          <w:szCs w:val="22"/>
          <w:lang w:val="en-GB"/>
        </w:rPr>
        <w:t xml:space="preserve"> (albeit that those requirements apply to licensing)</w:t>
      </w:r>
      <w:r w:rsidR="00E51860">
        <w:rPr>
          <w:rFonts w:ascii="Arial" w:hAnsi="Arial" w:cs="Arial"/>
          <w:color w:val="7B7B7B" w:themeColor="accent3" w:themeShade="BF"/>
          <w:sz w:val="22"/>
          <w:szCs w:val="22"/>
          <w:lang w:val="en-GB"/>
        </w:rPr>
        <w:t xml:space="preserve">, there are grounds for disqualification to act as a monitor (see sections 11.7(2) of the CCAA and section </w:t>
      </w:r>
      <w:r w:rsidR="00E51860">
        <w:rPr>
          <w:rFonts w:ascii="Arial" w:hAnsi="Arial" w:cs="Arial"/>
          <w:color w:val="7B7B7B" w:themeColor="accent3" w:themeShade="BF"/>
          <w:sz w:val="22"/>
          <w:szCs w:val="22"/>
          <w:lang w:val="en-GB"/>
        </w:rPr>
        <w:t xml:space="preserve">13 </w:t>
      </w:r>
      <w:r w:rsidR="00E51860">
        <w:rPr>
          <w:rFonts w:ascii="Arial" w:hAnsi="Arial" w:cs="Arial"/>
          <w:color w:val="7B7B7B" w:themeColor="accent3" w:themeShade="BF"/>
          <w:sz w:val="22"/>
          <w:szCs w:val="22"/>
          <w:lang w:val="en-GB"/>
        </w:rPr>
        <w:t>of the BIA).</w:t>
      </w:r>
    </w:p>
    <w:p w14:paraId="65279737" w14:textId="20DCF2C7" w:rsidR="00AC1171" w:rsidRDefault="008D165C" w:rsidP="00473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both are “officers of the court” responsible for the sale of assets, where necessary, and payments made to creditors in accordance with the restructuring scheme [</w:t>
      </w:r>
      <w:r>
        <w:rPr>
          <w:rFonts w:ascii="Arial" w:hAnsi="Arial" w:cs="Arial"/>
          <w:color w:val="7B7B7B" w:themeColor="accent3" w:themeShade="BF"/>
          <w:sz w:val="22"/>
          <w:szCs w:val="22"/>
          <w:lang w:val="en-GB"/>
        </w:rPr>
        <w:t xml:space="preserve">Guidance </w:t>
      </w:r>
      <w:r>
        <w:rPr>
          <w:rFonts w:ascii="Arial" w:hAnsi="Arial" w:cs="Arial"/>
          <w:color w:val="7B7B7B" w:themeColor="accent3" w:themeShade="BF"/>
          <w:sz w:val="22"/>
          <w:szCs w:val="22"/>
          <w:lang w:val="en-GB"/>
        </w:rPr>
        <w:t>Text par 4.2.3.1 page 10]. In both instances, these schemes must be submitted to the court for endorsement and the court may provide guidance to the monitor and trustee on the handling of the debtor’s affairs as and where needed (or statutorily prescribed) [Guidance Text par</w:t>
      </w:r>
      <w:r w:rsidR="00341942">
        <w:rPr>
          <w:rFonts w:ascii="Arial" w:hAnsi="Arial" w:cs="Arial"/>
          <w:color w:val="7B7B7B" w:themeColor="accent3" w:themeShade="BF"/>
          <w:sz w:val="22"/>
          <w:szCs w:val="22"/>
          <w:lang w:val="en-GB"/>
        </w:rPr>
        <w:t>as</w:t>
      </w:r>
      <w:r w:rsidR="006961A1">
        <w:rPr>
          <w:rFonts w:ascii="Arial" w:hAnsi="Arial" w:cs="Arial"/>
          <w:color w:val="7B7B7B" w:themeColor="accent3" w:themeShade="BF"/>
          <w:sz w:val="22"/>
          <w:szCs w:val="22"/>
          <w:lang w:val="en-GB"/>
        </w:rPr>
        <w:t xml:space="preserve"> 4.2.2 and</w:t>
      </w:r>
      <w:r w:rsidR="00341942">
        <w:rPr>
          <w:rFonts w:ascii="Arial" w:hAnsi="Arial" w:cs="Arial"/>
          <w:color w:val="7B7B7B" w:themeColor="accent3" w:themeShade="BF"/>
          <w:sz w:val="22"/>
          <w:szCs w:val="22"/>
          <w:lang w:val="en-GB"/>
        </w:rPr>
        <w:t xml:space="preserve"> 6.5.1</w:t>
      </w:r>
      <w:r w:rsidR="006961A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page</w:t>
      </w:r>
      <w:r w:rsidR="00341942">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9</w:t>
      </w:r>
      <w:r w:rsidR="00341942">
        <w:rPr>
          <w:rFonts w:ascii="Arial" w:hAnsi="Arial" w:cs="Arial"/>
          <w:color w:val="7B7B7B" w:themeColor="accent3" w:themeShade="BF"/>
          <w:sz w:val="22"/>
          <w:szCs w:val="22"/>
          <w:lang w:val="en-GB"/>
        </w:rPr>
        <w:t xml:space="preserve"> and 37</w:t>
      </w:r>
      <w:r>
        <w:rPr>
          <w:rFonts w:ascii="Arial" w:hAnsi="Arial" w:cs="Arial"/>
          <w:color w:val="7B7B7B" w:themeColor="accent3" w:themeShade="BF"/>
          <w:sz w:val="22"/>
          <w:szCs w:val="22"/>
          <w:lang w:val="en-GB"/>
        </w:rPr>
        <w:t xml:space="preserve">]. </w:t>
      </w:r>
      <w:r w:rsidR="006D6187">
        <w:rPr>
          <w:rFonts w:ascii="Arial" w:hAnsi="Arial" w:cs="Arial"/>
          <w:color w:val="7B7B7B" w:themeColor="accent3" w:themeShade="BF"/>
          <w:sz w:val="22"/>
          <w:szCs w:val="22"/>
          <w:lang w:val="en-GB"/>
        </w:rPr>
        <w:t>The monitor and the trustee are both authorised to rely on the “oppression remedy” if this remedy is to be effected during insolvency proceedings [Guidance Text par 4.2.3.2. page 11].</w:t>
      </w:r>
    </w:p>
    <w:p w14:paraId="6395A648" w14:textId="1134DFC7" w:rsidR="004739B2" w:rsidRDefault="008D165C" w:rsidP="00473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Overall, the monitor and the trustee must execute their duties “in a fair and transparent manner and in the best interests of all stakeholders” [Guidance Text par 4.2.3</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1 page 10].</w:t>
      </w:r>
      <w:r w:rsidR="00DA2DD1">
        <w:rPr>
          <w:rFonts w:ascii="Arial" w:hAnsi="Arial" w:cs="Arial"/>
          <w:color w:val="7B7B7B" w:themeColor="accent3" w:themeShade="BF"/>
          <w:sz w:val="22"/>
          <w:szCs w:val="22"/>
          <w:lang w:val="en-GB"/>
        </w:rPr>
        <w:t xml:space="preserve"> They are also subjected to statutory “duties of good faith” in the course of insolvency proceedings [Guidance Text par 6.5.1(a)</w:t>
      </w:r>
      <w:r w:rsidR="00DA2DD1">
        <w:rPr>
          <w:rFonts w:ascii="Arial" w:hAnsi="Arial" w:cs="Arial"/>
          <w:color w:val="7B7B7B" w:themeColor="accent3" w:themeShade="BF"/>
          <w:sz w:val="22"/>
          <w:szCs w:val="22"/>
          <w:lang w:val="en-GB"/>
        </w:rPr>
        <w:t>. page</w:t>
      </w:r>
      <w:r w:rsidR="00DA2DD1">
        <w:rPr>
          <w:rFonts w:ascii="Arial" w:hAnsi="Arial" w:cs="Arial"/>
          <w:color w:val="7B7B7B" w:themeColor="accent3" w:themeShade="BF"/>
          <w:sz w:val="22"/>
          <w:szCs w:val="22"/>
          <w:lang w:val="en-GB"/>
        </w:rPr>
        <w:t>s</w:t>
      </w:r>
      <w:r w:rsidR="00DA2DD1">
        <w:rPr>
          <w:rFonts w:ascii="Arial" w:hAnsi="Arial" w:cs="Arial"/>
          <w:color w:val="7B7B7B" w:themeColor="accent3" w:themeShade="BF"/>
          <w:sz w:val="22"/>
          <w:szCs w:val="22"/>
          <w:lang w:val="en-GB"/>
        </w:rPr>
        <w:t xml:space="preserve"> 9</w:t>
      </w:r>
      <w:r w:rsidR="00DA2DD1">
        <w:rPr>
          <w:rFonts w:ascii="Arial" w:hAnsi="Arial" w:cs="Arial"/>
          <w:color w:val="7B7B7B" w:themeColor="accent3" w:themeShade="BF"/>
          <w:sz w:val="22"/>
          <w:szCs w:val="22"/>
          <w:lang w:val="en-GB"/>
        </w:rPr>
        <w:t xml:space="preserve"> and 10].</w:t>
      </w:r>
      <w:r w:rsidR="00877E41">
        <w:rPr>
          <w:rFonts w:ascii="Arial" w:hAnsi="Arial" w:cs="Arial"/>
          <w:color w:val="7B7B7B" w:themeColor="accent3" w:themeShade="BF"/>
          <w:sz w:val="22"/>
          <w:szCs w:val="22"/>
          <w:lang w:val="en-GB"/>
        </w:rPr>
        <w:t xml:space="preserve"> </w:t>
      </w:r>
      <w:r w:rsidR="00AC1171">
        <w:rPr>
          <w:rFonts w:ascii="Arial" w:hAnsi="Arial" w:cs="Arial"/>
          <w:color w:val="7B7B7B"/>
          <w:sz w:val="22"/>
          <w:szCs w:val="22"/>
          <w:lang w:val="en-GB"/>
        </w:rPr>
        <w:t xml:space="preserve">The monitor and the trustee function as </w:t>
      </w:r>
      <w:r w:rsidR="00B14D1B">
        <w:rPr>
          <w:rFonts w:ascii="Arial" w:hAnsi="Arial" w:cs="Arial"/>
          <w:color w:val="7B7B7B"/>
          <w:sz w:val="22"/>
          <w:szCs w:val="22"/>
          <w:lang w:val="en-GB"/>
        </w:rPr>
        <w:t>overseers</w:t>
      </w:r>
      <w:r w:rsidR="00AC1171">
        <w:rPr>
          <w:rFonts w:ascii="Arial" w:hAnsi="Arial" w:cs="Arial"/>
          <w:color w:val="7B7B7B"/>
          <w:sz w:val="22"/>
          <w:szCs w:val="22"/>
          <w:lang w:val="en-GB"/>
        </w:rPr>
        <w:t xml:space="preserve"> as the restructuring schemes are a “debtor-in-possession” processes [</w:t>
      </w:r>
      <w:r w:rsidR="00AC1171">
        <w:rPr>
          <w:rFonts w:ascii="Arial" w:hAnsi="Arial" w:cs="Arial"/>
          <w:color w:val="7B7B7B" w:themeColor="accent3" w:themeShade="BF"/>
          <w:sz w:val="22"/>
          <w:szCs w:val="22"/>
          <w:lang w:val="en-GB"/>
        </w:rPr>
        <w:t>Guidance Text paras 6.5.7. and 6.5.9 pages 40 and 41]</w:t>
      </w:r>
      <w:r w:rsidR="00B14D1B">
        <w:rPr>
          <w:rFonts w:ascii="Arial" w:hAnsi="Arial" w:cs="Arial"/>
          <w:color w:val="7B7B7B" w:themeColor="accent3" w:themeShade="BF"/>
          <w:sz w:val="22"/>
          <w:szCs w:val="22"/>
          <w:lang w:val="en-GB"/>
        </w:rPr>
        <w:t xml:space="preserve"> meaning that their functions are in </w:t>
      </w:r>
      <w:r w:rsidR="00B14D1B">
        <w:rPr>
          <w:rFonts w:ascii="Arial" w:hAnsi="Arial" w:cs="Arial"/>
          <w:color w:val="7B7B7B" w:themeColor="accent3" w:themeShade="BF"/>
          <w:sz w:val="22"/>
          <w:szCs w:val="22"/>
          <w:lang w:val="en-GB"/>
        </w:rPr>
        <w:lastRenderedPageBreak/>
        <w:t>the form of “a supervisory and advisory role”, supportive in nature [Guidance Text par 6.5</w:t>
      </w:r>
      <w:r w:rsidR="00B14D1B">
        <w:rPr>
          <w:rFonts w:ascii="Arial" w:hAnsi="Arial" w:cs="Arial"/>
          <w:color w:val="7B7B7B" w:themeColor="accent3" w:themeShade="BF"/>
          <w:sz w:val="22"/>
          <w:szCs w:val="22"/>
          <w:lang w:val="en-GB"/>
        </w:rPr>
        <w:t>.</w:t>
      </w:r>
      <w:r w:rsidR="00B14D1B">
        <w:rPr>
          <w:rFonts w:ascii="Arial" w:hAnsi="Arial" w:cs="Arial"/>
          <w:color w:val="7B7B7B" w:themeColor="accent3" w:themeShade="BF"/>
          <w:sz w:val="22"/>
          <w:szCs w:val="22"/>
          <w:lang w:val="en-GB"/>
        </w:rPr>
        <w:t>11</w:t>
      </w:r>
      <w:r w:rsidR="00EA516C">
        <w:rPr>
          <w:rFonts w:ascii="Arial" w:hAnsi="Arial" w:cs="Arial"/>
          <w:color w:val="7B7B7B" w:themeColor="accent3" w:themeShade="BF"/>
          <w:sz w:val="22"/>
          <w:szCs w:val="22"/>
          <w:lang w:val="en-GB"/>
        </w:rPr>
        <w:t xml:space="preserve"> page 42</w:t>
      </w:r>
      <w:r w:rsidR="00B14D1B">
        <w:rPr>
          <w:rFonts w:ascii="Arial" w:hAnsi="Arial" w:cs="Arial"/>
          <w:color w:val="7B7B7B" w:themeColor="accent3" w:themeShade="BF"/>
          <w:sz w:val="22"/>
          <w:szCs w:val="22"/>
          <w:lang w:val="en-GB"/>
        </w:rPr>
        <w:t>]</w:t>
      </w:r>
      <w:r w:rsidR="00AC1171">
        <w:rPr>
          <w:rFonts w:ascii="Arial" w:hAnsi="Arial" w:cs="Arial"/>
          <w:color w:val="7B7B7B" w:themeColor="accent3" w:themeShade="BF"/>
          <w:sz w:val="22"/>
          <w:szCs w:val="22"/>
          <w:lang w:val="en-GB"/>
        </w:rPr>
        <w:t>.</w:t>
      </w:r>
      <w:r w:rsidR="00AC1171">
        <w:rPr>
          <w:rFonts w:ascii="Arial" w:hAnsi="Arial" w:cs="Arial"/>
          <w:color w:val="7B7B7B" w:themeColor="accent3" w:themeShade="BF"/>
          <w:sz w:val="22"/>
          <w:szCs w:val="22"/>
          <w:lang w:val="en-GB"/>
        </w:rPr>
        <w:t xml:space="preserve"> </w:t>
      </w:r>
    </w:p>
    <w:p w14:paraId="4C7EFA3D" w14:textId="667E4B05" w:rsidR="00AC1171" w:rsidRDefault="00B14D1B" w:rsidP="00473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both instances, the selection of the practitioner is effected by the debtor </w:t>
      </w:r>
      <w:r w:rsidR="006D6187">
        <w:rPr>
          <w:rFonts w:ascii="Arial" w:hAnsi="Arial" w:cs="Arial"/>
          <w:color w:val="7B7B7B" w:themeColor="accent3" w:themeShade="BF"/>
          <w:sz w:val="22"/>
          <w:szCs w:val="22"/>
          <w:lang w:val="en-GB"/>
        </w:rPr>
        <w:t>[Guidance Text par</w:t>
      </w:r>
      <w:r w:rsidR="006D6187">
        <w:rPr>
          <w:rFonts w:ascii="Arial" w:hAnsi="Arial" w:cs="Arial"/>
          <w:color w:val="7B7B7B" w:themeColor="accent3" w:themeShade="BF"/>
          <w:sz w:val="22"/>
          <w:szCs w:val="22"/>
          <w:lang w:val="en-GB"/>
        </w:rPr>
        <w:t>as 6.5.10 and 6.5.11 page 42</w:t>
      </w:r>
      <w:r w:rsidR="006D6187">
        <w:rPr>
          <w:rFonts w:ascii="Arial" w:hAnsi="Arial" w:cs="Arial"/>
          <w:color w:val="7B7B7B" w:themeColor="accent3" w:themeShade="BF"/>
          <w:sz w:val="22"/>
          <w:szCs w:val="22"/>
          <w:lang w:val="en-GB"/>
        </w:rPr>
        <w:t>].</w:t>
      </w:r>
      <w:r w:rsidR="00E51860">
        <w:rPr>
          <w:rFonts w:ascii="Arial" w:hAnsi="Arial" w:cs="Arial"/>
          <w:color w:val="7B7B7B" w:themeColor="accent3" w:themeShade="BF"/>
          <w:sz w:val="22"/>
          <w:szCs w:val="22"/>
          <w:lang w:val="en-GB"/>
        </w:rPr>
        <w:t xml:space="preserve"> In terms of section 11.7(1) of the CCAA, the monitor is appointed by the court. </w:t>
      </w:r>
      <w:r w:rsidR="00414E7A">
        <w:rPr>
          <w:rFonts w:ascii="Arial" w:hAnsi="Arial" w:cs="Arial"/>
          <w:color w:val="7B7B7B" w:themeColor="accent3" w:themeShade="BF"/>
          <w:sz w:val="22"/>
          <w:szCs w:val="22"/>
          <w:lang w:val="en-GB"/>
        </w:rPr>
        <w:t>In the case where a debtor applies for the proposal process under the BIA, the debtor notes the trustee in the documentation filed with the official receiver – meaning that, in this case, the trustee is not appointed by the court (this is an administrative filing procedure</w:t>
      </w:r>
      <w:r w:rsidR="009D0B2D">
        <w:rPr>
          <w:rFonts w:ascii="Arial" w:hAnsi="Arial" w:cs="Arial"/>
          <w:color w:val="7B7B7B" w:themeColor="accent3" w:themeShade="BF"/>
          <w:sz w:val="22"/>
          <w:szCs w:val="22"/>
          <w:lang w:val="en-GB"/>
        </w:rPr>
        <w:t xml:space="preserve"> – the court really only becomes involved during the approval of the scheme</w:t>
      </w:r>
      <w:r w:rsidR="00414E7A">
        <w:rPr>
          <w:rFonts w:ascii="Arial" w:hAnsi="Arial" w:cs="Arial"/>
          <w:color w:val="7B7B7B" w:themeColor="accent3" w:themeShade="BF"/>
          <w:sz w:val="22"/>
          <w:szCs w:val="22"/>
          <w:lang w:val="en-GB"/>
        </w:rPr>
        <w:t>) (see sections 50.4(1) and</w:t>
      </w:r>
      <w:r w:rsidR="009D0B2D">
        <w:rPr>
          <w:rFonts w:ascii="Arial" w:hAnsi="Arial" w:cs="Arial"/>
          <w:color w:val="7B7B7B" w:themeColor="accent3" w:themeShade="BF"/>
          <w:sz w:val="22"/>
          <w:szCs w:val="22"/>
          <w:lang w:val="en-GB"/>
        </w:rPr>
        <w:t xml:space="preserve"> 58 of the BIA). The court only “appoints” the trustee where the trustee appointed by the debtor in the notice commencing the procedure, is substituted with another based on the grounds set out in the legislation (section 57.1 of the BIA).</w:t>
      </w:r>
      <w:r w:rsidR="00F56ED8">
        <w:rPr>
          <w:rFonts w:ascii="Arial" w:hAnsi="Arial" w:cs="Arial"/>
          <w:color w:val="7B7B7B" w:themeColor="accent3" w:themeShade="BF"/>
          <w:sz w:val="22"/>
          <w:szCs w:val="22"/>
          <w:lang w:val="en-GB"/>
        </w:rPr>
        <w:t xml:space="preserve"> </w:t>
      </w:r>
    </w:p>
    <w:p w14:paraId="17136C33" w14:textId="3E2CBF7B" w:rsidR="00766029" w:rsidRPr="00DC6102" w:rsidRDefault="00766029" w:rsidP="00DC6102">
      <w:pPr>
        <w:jc w:val="both"/>
        <w:rPr>
          <w:rFonts w:ascii="Arial" w:hAnsi="Arial" w:cs="Arial"/>
          <w:color w:val="767171" w:themeColor="background2" w:themeShade="80"/>
          <w:sz w:val="22"/>
          <w:szCs w:val="22"/>
          <w:lang w:val="en-GB"/>
        </w:rPr>
      </w:pPr>
      <w:r>
        <w:rPr>
          <w:rFonts w:ascii="Arial" w:hAnsi="Arial" w:cs="Arial"/>
          <w:color w:val="7B7B7B" w:themeColor="accent3" w:themeShade="BF"/>
          <w:sz w:val="22"/>
          <w:szCs w:val="22"/>
          <w:lang w:val="en-GB"/>
        </w:rPr>
        <w:t>In the case of a CCAA monitor, the monitor may obtain the permission of the court to “manage” the debtor where the debtor’s management team is no longer present or creditors are of the opinion that the team is inadequate [</w:t>
      </w:r>
      <w:r>
        <w:rPr>
          <w:rFonts w:ascii="Arial" w:hAnsi="Arial" w:cs="Arial"/>
          <w:color w:val="7B7B7B" w:themeColor="accent3" w:themeShade="BF"/>
          <w:sz w:val="22"/>
          <w:szCs w:val="22"/>
          <w:lang w:val="en-GB"/>
        </w:rPr>
        <w:t>Guidance Text par 6.5.</w:t>
      </w:r>
      <w:r>
        <w:rPr>
          <w:rFonts w:ascii="Arial" w:hAnsi="Arial" w:cs="Arial"/>
          <w:color w:val="7B7B7B" w:themeColor="accent3" w:themeShade="BF"/>
          <w:sz w:val="22"/>
          <w:szCs w:val="22"/>
          <w:lang w:val="en-GB"/>
        </w:rPr>
        <w:t>10</w:t>
      </w:r>
      <w:r>
        <w:rPr>
          <w:rFonts w:ascii="Arial" w:hAnsi="Arial" w:cs="Arial"/>
          <w:color w:val="7B7B7B" w:themeColor="accent3" w:themeShade="BF"/>
          <w:sz w:val="22"/>
          <w:szCs w:val="22"/>
          <w:lang w:val="en-GB"/>
        </w:rPr>
        <w:t xml:space="preserve"> page 42</w:t>
      </w:r>
      <w:r>
        <w:rPr>
          <w:rFonts w:ascii="Arial" w:hAnsi="Arial" w:cs="Arial"/>
          <w:color w:val="7B7B7B" w:themeColor="accent3" w:themeShade="BF"/>
          <w:sz w:val="22"/>
          <w:szCs w:val="22"/>
          <w:lang w:val="en-GB"/>
        </w:rPr>
        <w:t>]. However, in the case of the BIA trustee, taking over the management of the debtor is not possible – under circumstances broadly similar (but there are some differences to testing the absence of the conduct required by management such as best interest considerations) to CCAA situations, the trustee does not take over management of the debtor but a receiver is retained to manage th</w:t>
      </w:r>
      <w:r w:rsidRPr="00DC6102">
        <w:rPr>
          <w:rFonts w:ascii="Arial" w:hAnsi="Arial" w:cs="Arial"/>
          <w:color w:val="767171" w:themeColor="background2" w:themeShade="80"/>
          <w:sz w:val="22"/>
          <w:szCs w:val="22"/>
          <w:lang w:val="en-GB"/>
        </w:rPr>
        <w:t>e debtor [</w:t>
      </w:r>
      <w:r w:rsidRPr="00DC6102">
        <w:rPr>
          <w:rFonts w:ascii="Arial" w:hAnsi="Arial" w:cs="Arial"/>
          <w:color w:val="767171" w:themeColor="background2" w:themeShade="80"/>
          <w:sz w:val="22"/>
          <w:szCs w:val="22"/>
          <w:lang w:val="en-GB"/>
        </w:rPr>
        <w:t>Guidance Text par 6.5.11 page 42</w:t>
      </w:r>
      <w:r w:rsidRPr="00DC6102">
        <w:rPr>
          <w:rFonts w:ascii="Arial" w:hAnsi="Arial" w:cs="Arial"/>
          <w:color w:val="767171" w:themeColor="background2" w:themeShade="80"/>
          <w:sz w:val="22"/>
          <w:szCs w:val="22"/>
          <w:lang w:val="en-GB"/>
        </w:rPr>
        <w:t>].</w:t>
      </w:r>
    </w:p>
    <w:p w14:paraId="55BAA1B5" w14:textId="4E895320" w:rsidR="00DD0FDF" w:rsidRDefault="00DD0FDF" w:rsidP="00821364">
      <w:pPr>
        <w:autoSpaceDE w:val="0"/>
        <w:autoSpaceDN w:val="0"/>
        <w:adjustRightInd w:val="0"/>
        <w:jc w:val="both"/>
        <w:rPr>
          <w:rFonts w:ascii="Arial" w:hAnsi="Arial" w:cs="Arial"/>
          <w:color w:val="7B7B7B"/>
          <w:sz w:val="22"/>
          <w:szCs w:val="22"/>
          <w:lang w:val="en-GB"/>
        </w:rPr>
      </w:pPr>
      <w:r w:rsidRPr="00DC6102">
        <w:rPr>
          <w:rFonts w:ascii="Arial" w:hAnsi="Arial" w:cs="Arial"/>
          <w:color w:val="767171" w:themeColor="background2" w:themeShade="80"/>
          <w:sz w:val="22"/>
          <w:szCs w:val="22"/>
          <w:lang w:val="en-GB"/>
        </w:rPr>
        <w:t>Section 50 of the BIA sets out the duties of the trustee – ranging from notification and filing duties [Guidance Text 6.5.5. page 39] to investigative and analytical duties regarding the affairs of the debtor and viability of the proposal (see sections 50(5) and 50(6) of the BIA and Guidance Text 6.5.11. page 42). Some of these duties overlap with those of the monitor (such as the assessment of affairs – see section</w:t>
      </w:r>
      <w:r w:rsidR="00821364">
        <w:rPr>
          <w:rFonts w:ascii="Arial" w:hAnsi="Arial" w:cs="Arial"/>
          <w:color w:val="767171" w:themeColor="background2" w:themeShade="80"/>
          <w:sz w:val="22"/>
          <w:szCs w:val="22"/>
          <w:lang w:val="en-GB"/>
        </w:rPr>
        <w:t xml:space="preserve"> 23.1</w:t>
      </w:r>
      <w:r w:rsidRPr="00DC6102">
        <w:rPr>
          <w:rFonts w:ascii="Arial" w:hAnsi="Arial" w:cs="Arial"/>
          <w:color w:val="767171" w:themeColor="background2" w:themeShade="80"/>
          <w:sz w:val="22"/>
          <w:szCs w:val="22"/>
          <w:lang w:val="en-GB"/>
        </w:rPr>
        <w:t xml:space="preserve"> of the CCAA and </w:t>
      </w:r>
      <w:r w:rsidRPr="00DC6102">
        <w:rPr>
          <w:rFonts w:ascii="Arial" w:hAnsi="Arial" w:cs="Arial"/>
          <w:color w:val="767171" w:themeColor="background2" w:themeShade="80"/>
          <w:sz w:val="22"/>
          <w:szCs w:val="22"/>
          <w:lang w:val="en-GB"/>
        </w:rPr>
        <w:t>Guidance Text 6.5.</w:t>
      </w:r>
      <w:r w:rsidRPr="00DC6102">
        <w:rPr>
          <w:rFonts w:ascii="Arial" w:hAnsi="Arial" w:cs="Arial"/>
          <w:color w:val="767171" w:themeColor="background2" w:themeShade="80"/>
          <w:sz w:val="22"/>
          <w:szCs w:val="22"/>
          <w:lang w:val="en-GB"/>
        </w:rPr>
        <w:t>10. page 42). However, while the trustee has to report on the affairs</w:t>
      </w:r>
      <w:r w:rsidR="00821364">
        <w:rPr>
          <w:rFonts w:ascii="Arial" w:hAnsi="Arial" w:cs="Arial"/>
          <w:color w:val="767171" w:themeColor="background2" w:themeShade="80"/>
          <w:sz w:val="22"/>
          <w:szCs w:val="22"/>
          <w:lang w:val="en-GB"/>
        </w:rPr>
        <w:t xml:space="preserve"> </w:t>
      </w:r>
      <w:r w:rsidR="00821364">
        <w:rPr>
          <w:rFonts w:ascii="Arial" w:hAnsi="Arial" w:cs="Arial"/>
          <w:i/>
          <w:color w:val="767171" w:themeColor="background2" w:themeShade="80"/>
          <w:sz w:val="22"/>
          <w:szCs w:val="22"/>
          <w:lang w:val="en-GB"/>
        </w:rPr>
        <w:t>and the proposal</w:t>
      </w:r>
      <w:r w:rsidRPr="00DC6102">
        <w:rPr>
          <w:rFonts w:ascii="Arial" w:hAnsi="Arial" w:cs="Arial"/>
          <w:color w:val="767171" w:themeColor="background2" w:themeShade="80"/>
          <w:sz w:val="22"/>
          <w:szCs w:val="22"/>
          <w:lang w:val="en-GB"/>
        </w:rPr>
        <w:t xml:space="preserve"> etc. of the debtor because these documents are lodged with the trustee in order to commence BIA proceedings (see section 50(2) of the BIA: “</w:t>
      </w:r>
      <w:r w:rsidRPr="00DC6102">
        <w:rPr>
          <w:rFonts w:ascii="Arial" w:eastAsia="MS Mincho" w:hAnsi="Arial" w:cs="Arial"/>
          <w:bCs/>
          <w:color w:val="767171" w:themeColor="background2" w:themeShade="80"/>
          <w:sz w:val="22"/>
          <w:szCs w:val="22"/>
          <w:lang w:val="en-ZA"/>
        </w:rPr>
        <w:t>Documents to be filed</w:t>
      </w:r>
      <w:r w:rsidRPr="00DC6102">
        <w:rPr>
          <w:rFonts w:ascii="Arial" w:eastAsia="MS Mincho" w:hAnsi="Arial" w:cs="Arial"/>
          <w:b/>
          <w:bCs/>
          <w:color w:val="767171" w:themeColor="background2" w:themeShade="80"/>
          <w:sz w:val="22"/>
          <w:szCs w:val="22"/>
          <w:lang w:val="en-ZA"/>
        </w:rPr>
        <w:t xml:space="preserve"> </w:t>
      </w:r>
      <w:r w:rsidRPr="00DC6102">
        <w:rPr>
          <w:rFonts w:ascii="Arial" w:eastAsia="MS Mincho" w:hAnsi="Arial" w:cs="Arial"/>
          <w:color w:val="767171" w:themeColor="background2" w:themeShade="80"/>
          <w:sz w:val="22"/>
          <w:szCs w:val="22"/>
          <w:lang w:val="en-ZA"/>
        </w:rPr>
        <w:t>(2) Subject to section 50.4, proceedings for a proposal</w:t>
      </w:r>
      <w:r w:rsidR="00DC6102">
        <w:rPr>
          <w:rFonts w:ascii="Arial" w:eastAsia="MS Mincho" w:hAnsi="Arial" w:cs="Arial"/>
          <w:color w:val="767171" w:themeColor="background2" w:themeShade="80"/>
          <w:sz w:val="22"/>
          <w:szCs w:val="22"/>
          <w:lang w:val="en-ZA"/>
        </w:rPr>
        <w:t xml:space="preserve"> </w:t>
      </w:r>
      <w:r w:rsidRPr="00DC6102">
        <w:rPr>
          <w:rFonts w:ascii="Arial" w:eastAsia="MS Mincho" w:hAnsi="Arial" w:cs="Arial"/>
          <w:color w:val="767171" w:themeColor="background2" w:themeShade="80"/>
          <w:sz w:val="22"/>
          <w:szCs w:val="22"/>
          <w:lang w:val="en-ZA"/>
        </w:rPr>
        <w:t>shall be commenced, in the case of an insolvent person,</w:t>
      </w:r>
      <w:r w:rsidRPr="00DC6102">
        <w:rPr>
          <w:rFonts w:ascii="Arial" w:eastAsia="MS Mincho" w:hAnsi="Arial" w:cs="Arial"/>
          <w:color w:val="767171" w:themeColor="background2" w:themeShade="80"/>
          <w:sz w:val="22"/>
          <w:szCs w:val="22"/>
          <w:lang w:val="en-ZA"/>
        </w:rPr>
        <w:t xml:space="preserve"> </w:t>
      </w:r>
      <w:r w:rsidRPr="00DC6102">
        <w:rPr>
          <w:rFonts w:ascii="Arial" w:eastAsia="MS Mincho" w:hAnsi="Arial" w:cs="Arial"/>
          <w:color w:val="767171" w:themeColor="background2" w:themeShade="80"/>
          <w:sz w:val="22"/>
          <w:szCs w:val="22"/>
          <w:lang w:val="en-ZA"/>
        </w:rPr>
        <w:t>by filing with a licensed trustee, and in the case of a</w:t>
      </w:r>
      <w:r w:rsidR="00DC6102">
        <w:rPr>
          <w:rFonts w:ascii="Arial" w:eastAsia="MS Mincho" w:hAnsi="Arial" w:cs="Arial"/>
          <w:color w:val="767171" w:themeColor="background2" w:themeShade="80"/>
          <w:sz w:val="22"/>
          <w:szCs w:val="22"/>
          <w:lang w:val="en-ZA"/>
        </w:rPr>
        <w:t xml:space="preserve"> </w:t>
      </w:r>
      <w:r w:rsidRPr="00DC6102">
        <w:rPr>
          <w:rFonts w:ascii="Arial" w:eastAsia="MS Mincho" w:hAnsi="Arial" w:cs="Arial"/>
          <w:color w:val="767171" w:themeColor="background2" w:themeShade="80"/>
          <w:sz w:val="22"/>
          <w:szCs w:val="22"/>
          <w:lang w:val="en-ZA"/>
        </w:rPr>
        <w:t>bankrupt, by filing with the trustee of the estate,</w:t>
      </w:r>
      <w:r w:rsidRPr="00DC6102">
        <w:rPr>
          <w:rFonts w:ascii="Arial" w:eastAsia="MS Mincho" w:hAnsi="Arial" w:cs="Arial"/>
          <w:color w:val="767171" w:themeColor="background2" w:themeShade="80"/>
          <w:sz w:val="22"/>
          <w:szCs w:val="22"/>
          <w:lang w:val="en-ZA"/>
        </w:rPr>
        <w:t xml:space="preserve"> </w:t>
      </w:r>
      <w:r w:rsidRPr="00DC6102">
        <w:rPr>
          <w:rFonts w:ascii="Arial" w:eastAsia="MS Mincho" w:hAnsi="Arial" w:cs="Arial"/>
          <w:color w:val="767171" w:themeColor="background2" w:themeShade="80"/>
          <w:sz w:val="22"/>
          <w:szCs w:val="22"/>
          <w:lang w:val="en-ZA"/>
        </w:rPr>
        <w:t>(a) a copy of the proposal in writing setting out the</w:t>
      </w:r>
      <w:r w:rsidRPr="00DC6102">
        <w:rPr>
          <w:rFonts w:ascii="Arial" w:eastAsia="MS Mincho" w:hAnsi="Arial" w:cs="Arial"/>
          <w:color w:val="767171" w:themeColor="background2" w:themeShade="80"/>
          <w:sz w:val="22"/>
          <w:szCs w:val="22"/>
          <w:lang w:val="en-ZA"/>
        </w:rPr>
        <w:t xml:space="preserve"> </w:t>
      </w:r>
      <w:r w:rsidRPr="00DC6102">
        <w:rPr>
          <w:rFonts w:ascii="Arial" w:eastAsia="MS Mincho" w:hAnsi="Arial" w:cs="Arial"/>
          <w:color w:val="767171" w:themeColor="background2" w:themeShade="80"/>
          <w:sz w:val="22"/>
          <w:szCs w:val="22"/>
          <w:lang w:val="en-ZA"/>
        </w:rPr>
        <w:t>terms of the proposal and the particulars of any securities</w:t>
      </w:r>
      <w:r w:rsidRPr="00DC6102">
        <w:rPr>
          <w:rFonts w:ascii="Arial" w:eastAsia="MS Mincho" w:hAnsi="Arial" w:cs="Arial"/>
          <w:color w:val="767171" w:themeColor="background2" w:themeShade="80"/>
          <w:sz w:val="22"/>
          <w:szCs w:val="22"/>
          <w:lang w:val="en-ZA"/>
        </w:rPr>
        <w:t xml:space="preserve"> </w:t>
      </w:r>
      <w:r w:rsidRPr="00DC6102">
        <w:rPr>
          <w:rFonts w:ascii="Arial" w:eastAsia="MS Mincho" w:hAnsi="Arial" w:cs="Arial"/>
          <w:color w:val="767171" w:themeColor="background2" w:themeShade="80"/>
          <w:sz w:val="22"/>
          <w:szCs w:val="22"/>
          <w:lang w:val="en-ZA"/>
        </w:rPr>
        <w:t>or sureties proposed, signed by the person making</w:t>
      </w:r>
      <w:r w:rsidRPr="00DC6102">
        <w:rPr>
          <w:rFonts w:ascii="Arial" w:eastAsia="MS Mincho" w:hAnsi="Arial" w:cs="Arial"/>
          <w:color w:val="767171" w:themeColor="background2" w:themeShade="80"/>
          <w:sz w:val="22"/>
          <w:szCs w:val="22"/>
          <w:lang w:val="en-ZA"/>
        </w:rPr>
        <w:t xml:space="preserve"> </w:t>
      </w:r>
      <w:r w:rsidRPr="00DC6102">
        <w:rPr>
          <w:rFonts w:ascii="Arial" w:eastAsia="MS Mincho" w:hAnsi="Arial" w:cs="Arial"/>
          <w:color w:val="767171" w:themeColor="background2" w:themeShade="80"/>
          <w:sz w:val="22"/>
          <w:szCs w:val="22"/>
          <w:lang w:val="en-ZA"/>
        </w:rPr>
        <w:t>the proposal and the proposed sureties if any; and</w:t>
      </w:r>
      <w:r w:rsidRPr="00DC6102">
        <w:rPr>
          <w:rFonts w:ascii="Arial" w:eastAsia="MS Mincho" w:hAnsi="Arial" w:cs="Arial"/>
          <w:color w:val="767171" w:themeColor="background2" w:themeShade="80"/>
          <w:sz w:val="22"/>
          <w:szCs w:val="22"/>
          <w:lang w:val="en-ZA"/>
        </w:rPr>
        <w:t xml:space="preserve"> </w:t>
      </w:r>
      <w:r w:rsidRPr="00DC6102">
        <w:rPr>
          <w:rFonts w:ascii="Arial" w:eastAsia="MS Mincho" w:hAnsi="Arial" w:cs="Arial"/>
          <w:color w:val="767171" w:themeColor="background2" w:themeShade="80"/>
          <w:sz w:val="22"/>
          <w:szCs w:val="22"/>
          <w:lang w:val="en-ZA"/>
        </w:rPr>
        <w:t xml:space="preserve">(b) the </w:t>
      </w:r>
      <w:r w:rsidR="00DC6102" w:rsidRPr="00DC6102">
        <w:rPr>
          <w:rFonts w:ascii="Arial" w:eastAsia="MS Mincho" w:hAnsi="Arial" w:cs="Arial"/>
          <w:color w:val="767171" w:themeColor="background2" w:themeShade="80"/>
          <w:sz w:val="22"/>
          <w:szCs w:val="22"/>
          <w:lang w:val="en-ZA"/>
        </w:rPr>
        <w:t>prescribed statement of affairs”)</w:t>
      </w:r>
      <w:r w:rsidRPr="00DC6102">
        <w:rPr>
          <w:rFonts w:ascii="Arial" w:hAnsi="Arial" w:cs="Arial"/>
          <w:color w:val="767171" w:themeColor="background2" w:themeShade="80"/>
          <w:sz w:val="22"/>
          <w:szCs w:val="22"/>
          <w:lang w:val="en-GB"/>
        </w:rPr>
        <w:t xml:space="preserve">, </w:t>
      </w:r>
      <w:r>
        <w:rPr>
          <w:rFonts w:ascii="Arial" w:hAnsi="Arial" w:cs="Arial"/>
          <w:color w:val="7B7B7B" w:themeColor="accent3" w:themeShade="BF"/>
          <w:sz w:val="22"/>
          <w:szCs w:val="22"/>
          <w:lang w:val="en-GB"/>
        </w:rPr>
        <w:t xml:space="preserve">the monitor may assist </w:t>
      </w:r>
      <w:r w:rsidRPr="00821364">
        <w:rPr>
          <w:rFonts w:ascii="Arial" w:hAnsi="Arial" w:cs="Arial"/>
          <w:color w:val="767171" w:themeColor="background2" w:themeShade="80"/>
          <w:sz w:val="22"/>
          <w:szCs w:val="22"/>
          <w:lang w:val="en-GB"/>
        </w:rPr>
        <w:t xml:space="preserve">the </w:t>
      </w:r>
      <w:r w:rsidR="00DC6102" w:rsidRPr="00821364">
        <w:rPr>
          <w:rFonts w:ascii="Arial" w:hAnsi="Arial" w:cs="Arial"/>
          <w:color w:val="767171" w:themeColor="background2" w:themeShade="80"/>
          <w:sz w:val="22"/>
          <w:szCs w:val="22"/>
          <w:lang w:val="en-GB"/>
        </w:rPr>
        <w:t>debtor to draft these required documents</w:t>
      </w:r>
      <w:r w:rsidR="00821364">
        <w:rPr>
          <w:rFonts w:ascii="Arial" w:hAnsi="Arial" w:cs="Arial"/>
          <w:color w:val="767171" w:themeColor="background2" w:themeShade="80"/>
          <w:sz w:val="22"/>
          <w:szCs w:val="22"/>
          <w:lang w:val="en-GB"/>
        </w:rPr>
        <w:t xml:space="preserve"> (such as the proposal)</w:t>
      </w:r>
      <w:r w:rsidR="00DC6102" w:rsidRPr="00821364">
        <w:rPr>
          <w:rFonts w:ascii="Arial" w:hAnsi="Arial" w:cs="Arial"/>
          <w:color w:val="767171" w:themeColor="background2" w:themeShade="80"/>
          <w:sz w:val="22"/>
          <w:szCs w:val="22"/>
          <w:lang w:val="en-GB"/>
        </w:rPr>
        <w:t xml:space="preserve"> because he is appointed at the beginning of the process (prior to the drafting of the proposal)</w:t>
      </w:r>
      <w:r w:rsidR="00821364">
        <w:rPr>
          <w:rFonts w:ascii="Arial" w:hAnsi="Arial" w:cs="Arial"/>
          <w:color w:val="767171" w:themeColor="background2" w:themeShade="80"/>
          <w:sz w:val="22"/>
          <w:szCs w:val="22"/>
          <w:lang w:val="en-GB"/>
        </w:rPr>
        <w:t xml:space="preserve"> and the initial application does not include the proposal</w:t>
      </w:r>
      <w:r w:rsidR="00DC6102" w:rsidRPr="00821364">
        <w:rPr>
          <w:rFonts w:ascii="Arial" w:hAnsi="Arial" w:cs="Arial"/>
          <w:color w:val="767171" w:themeColor="background2" w:themeShade="80"/>
          <w:sz w:val="22"/>
          <w:szCs w:val="22"/>
          <w:lang w:val="en-GB"/>
        </w:rPr>
        <w:t xml:space="preserve"> (see section 10(2) of the CCAA: “</w:t>
      </w:r>
      <w:r w:rsidR="00DC6102" w:rsidRPr="00821364">
        <w:rPr>
          <w:rFonts w:ascii="Arial" w:eastAsia="MS Mincho" w:hAnsi="Arial" w:cs="Arial"/>
          <w:bCs/>
          <w:color w:val="767171" w:themeColor="background2" w:themeShade="80"/>
          <w:sz w:val="22"/>
          <w:szCs w:val="22"/>
          <w:lang w:val="en-ZA"/>
        </w:rPr>
        <w:t>Documents that must accompany initial application</w:t>
      </w:r>
      <w:r w:rsidR="00DC6102" w:rsidRPr="00821364">
        <w:rPr>
          <w:rFonts w:ascii="Arial" w:eastAsia="MS Mincho" w:hAnsi="Arial" w:cs="Arial"/>
          <w:b/>
          <w:bCs/>
          <w:color w:val="767171" w:themeColor="background2" w:themeShade="80"/>
          <w:sz w:val="22"/>
          <w:szCs w:val="22"/>
          <w:lang w:val="en-ZA"/>
        </w:rPr>
        <w:t xml:space="preserve"> </w:t>
      </w:r>
      <w:r w:rsidR="00DC6102" w:rsidRPr="00821364">
        <w:rPr>
          <w:rFonts w:ascii="Arial" w:eastAsia="MS Mincho" w:hAnsi="Arial" w:cs="Arial"/>
          <w:color w:val="767171" w:themeColor="background2" w:themeShade="80"/>
          <w:sz w:val="22"/>
          <w:szCs w:val="22"/>
          <w:lang w:val="en-ZA"/>
        </w:rPr>
        <w:t>(2) An initial application must be accompanied by</w:t>
      </w:r>
      <w:r w:rsidR="00821364">
        <w:rPr>
          <w:rFonts w:ascii="Arial" w:eastAsia="MS Mincho" w:hAnsi="Arial" w:cs="Arial"/>
          <w:color w:val="767171" w:themeColor="background2" w:themeShade="80"/>
          <w:sz w:val="22"/>
          <w:szCs w:val="22"/>
          <w:lang w:val="en-ZA"/>
        </w:rPr>
        <w:t xml:space="preserve"> </w:t>
      </w:r>
      <w:r w:rsidR="00DC6102" w:rsidRPr="00821364">
        <w:rPr>
          <w:rFonts w:ascii="Arial" w:eastAsia="MS Mincho" w:hAnsi="Arial" w:cs="Arial"/>
          <w:color w:val="767171" w:themeColor="background2" w:themeShade="80"/>
          <w:sz w:val="22"/>
          <w:szCs w:val="22"/>
          <w:lang w:val="en-ZA"/>
        </w:rPr>
        <w:t>(a) a statement indicating, on a weekly basis, the projected</w:t>
      </w:r>
      <w:r w:rsidR="00821364">
        <w:rPr>
          <w:rFonts w:ascii="Arial" w:eastAsia="MS Mincho" w:hAnsi="Arial" w:cs="Arial"/>
          <w:color w:val="767171" w:themeColor="background2" w:themeShade="80"/>
          <w:sz w:val="22"/>
          <w:szCs w:val="22"/>
          <w:lang w:val="en-ZA"/>
        </w:rPr>
        <w:t xml:space="preserve"> </w:t>
      </w:r>
      <w:r w:rsidR="00DC6102" w:rsidRPr="00821364">
        <w:rPr>
          <w:rFonts w:ascii="Arial" w:eastAsia="MS Mincho" w:hAnsi="Arial" w:cs="Arial"/>
          <w:color w:val="767171" w:themeColor="background2" w:themeShade="80"/>
          <w:sz w:val="22"/>
          <w:szCs w:val="22"/>
          <w:lang w:val="en-ZA"/>
        </w:rPr>
        <w:t>cash flow of the debtor company;</w:t>
      </w:r>
      <w:r w:rsidR="00821364">
        <w:rPr>
          <w:rFonts w:ascii="Arial" w:eastAsia="MS Mincho" w:hAnsi="Arial" w:cs="Arial"/>
          <w:color w:val="767171" w:themeColor="background2" w:themeShade="80"/>
          <w:sz w:val="22"/>
          <w:szCs w:val="22"/>
          <w:lang w:val="en-ZA"/>
        </w:rPr>
        <w:t xml:space="preserve"> </w:t>
      </w:r>
      <w:r w:rsidR="00DC6102" w:rsidRPr="00821364">
        <w:rPr>
          <w:rFonts w:ascii="Arial" w:eastAsia="MS Mincho" w:hAnsi="Arial" w:cs="Arial"/>
          <w:color w:val="767171" w:themeColor="background2" w:themeShade="80"/>
          <w:sz w:val="22"/>
          <w:szCs w:val="22"/>
          <w:lang w:val="en-ZA"/>
        </w:rPr>
        <w:t>(b) a report containing the prescribed representations</w:t>
      </w:r>
      <w:r w:rsidR="00821364">
        <w:rPr>
          <w:rFonts w:ascii="Arial" w:eastAsia="MS Mincho" w:hAnsi="Arial" w:cs="Arial"/>
          <w:color w:val="767171" w:themeColor="background2" w:themeShade="80"/>
          <w:sz w:val="22"/>
          <w:szCs w:val="22"/>
          <w:lang w:val="en-ZA"/>
        </w:rPr>
        <w:t xml:space="preserve"> </w:t>
      </w:r>
      <w:r w:rsidR="00DC6102" w:rsidRPr="00821364">
        <w:rPr>
          <w:rFonts w:ascii="Arial" w:eastAsia="MS Mincho" w:hAnsi="Arial" w:cs="Arial"/>
          <w:color w:val="767171" w:themeColor="background2" w:themeShade="80"/>
          <w:sz w:val="22"/>
          <w:szCs w:val="22"/>
          <w:lang w:val="en-ZA"/>
        </w:rPr>
        <w:t>of the debtor company regarding the preparation of</w:t>
      </w:r>
      <w:r w:rsidR="00821364">
        <w:rPr>
          <w:rFonts w:ascii="Arial" w:eastAsia="MS Mincho" w:hAnsi="Arial" w:cs="Arial"/>
          <w:color w:val="767171" w:themeColor="background2" w:themeShade="80"/>
          <w:sz w:val="22"/>
          <w:szCs w:val="22"/>
          <w:lang w:val="en-ZA"/>
        </w:rPr>
        <w:t xml:space="preserve"> </w:t>
      </w:r>
      <w:r w:rsidR="00DC6102" w:rsidRPr="00821364">
        <w:rPr>
          <w:rFonts w:ascii="Arial" w:eastAsia="MS Mincho" w:hAnsi="Arial" w:cs="Arial"/>
          <w:color w:val="767171" w:themeColor="background2" w:themeShade="80"/>
          <w:sz w:val="22"/>
          <w:szCs w:val="22"/>
          <w:lang w:val="en-ZA"/>
        </w:rPr>
        <w:t>the cash-flow statement; and</w:t>
      </w:r>
      <w:r w:rsidR="00821364">
        <w:rPr>
          <w:rFonts w:ascii="Arial" w:eastAsia="MS Mincho" w:hAnsi="Arial" w:cs="Arial"/>
          <w:color w:val="767171" w:themeColor="background2" w:themeShade="80"/>
          <w:sz w:val="22"/>
          <w:szCs w:val="22"/>
          <w:lang w:val="en-ZA"/>
        </w:rPr>
        <w:t xml:space="preserve"> </w:t>
      </w:r>
      <w:r w:rsidR="00DC6102" w:rsidRPr="00821364">
        <w:rPr>
          <w:rFonts w:ascii="Arial" w:eastAsia="MS Mincho" w:hAnsi="Arial" w:cs="Arial"/>
          <w:color w:val="767171" w:themeColor="background2" w:themeShade="80"/>
          <w:sz w:val="22"/>
          <w:szCs w:val="22"/>
          <w:lang w:val="en-ZA"/>
        </w:rPr>
        <w:t>(c) copies of all financial statements, audited or unaudited,</w:t>
      </w:r>
      <w:r w:rsidR="00821364">
        <w:rPr>
          <w:rFonts w:ascii="Arial" w:eastAsia="MS Mincho" w:hAnsi="Arial" w:cs="Arial"/>
          <w:color w:val="767171" w:themeColor="background2" w:themeShade="80"/>
          <w:sz w:val="22"/>
          <w:szCs w:val="22"/>
          <w:lang w:val="en-ZA"/>
        </w:rPr>
        <w:t xml:space="preserve"> </w:t>
      </w:r>
      <w:r w:rsidR="00DC6102" w:rsidRPr="00821364">
        <w:rPr>
          <w:rFonts w:ascii="Arial" w:eastAsia="MS Mincho" w:hAnsi="Arial" w:cs="Arial"/>
          <w:color w:val="767171" w:themeColor="background2" w:themeShade="80"/>
          <w:sz w:val="22"/>
          <w:szCs w:val="22"/>
          <w:lang w:val="en-ZA"/>
        </w:rPr>
        <w:t>prepared during the year before the application</w:t>
      </w:r>
      <w:r w:rsidR="00821364">
        <w:rPr>
          <w:rFonts w:ascii="Arial" w:eastAsia="MS Mincho" w:hAnsi="Arial" w:cs="Arial"/>
          <w:color w:val="767171" w:themeColor="background2" w:themeShade="80"/>
          <w:sz w:val="22"/>
          <w:szCs w:val="22"/>
          <w:lang w:val="en-ZA"/>
        </w:rPr>
        <w:t xml:space="preserve"> </w:t>
      </w:r>
      <w:r w:rsidR="00DC6102" w:rsidRPr="00821364">
        <w:rPr>
          <w:rFonts w:ascii="Arial" w:eastAsia="MS Mincho" w:hAnsi="Arial" w:cs="Arial"/>
          <w:color w:val="767171" w:themeColor="background2" w:themeShade="80"/>
          <w:sz w:val="22"/>
          <w:szCs w:val="22"/>
          <w:lang w:val="en-ZA"/>
        </w:rPr>
        <w:t>or, if no such statements were prepared in that year, a</w:t>
      </w:r>
      <w:r w:rsidR="00821364">
        <w:rPr>
          <w:rFonts w:ascii="Arial" w:eastAsia="MS Mincho" w:hAnsi="Arial" w:cs="Arial"/>
          <w:color w:val="767171" w:themeColor="background2" w:themeShade="80"/>
          <w:sz w:val="22"/>
          <w:szCs w:val="22"/>
          <w:lang w:val="en-ZA"/>
        </w:rPr>
        <w:t xml:space="preserve"> </w:t>
      </w:r>
      <w:r w:rsidR="00DC6102" w:rsidRPr="00821364">
        <w:rPr>
          <w:rFonts w:ascii="Arial" w:eastAsia="MS Mincho" w:hAnsi="Arial" w:cs="Arial"/>
          <w:color w:val="767171" w:themeColor="background2" w:themeShade="80"/>
          <w:sz w:val="22"/>
          <w:szCs w:val="22"/>
          <w:lang w:val="en-ZA"/>
        </w:rPr>
        <w:t>copy of</w:t>
      </w:r>
      <w:r w:rsidR="00DC6102" w:rsidRPr="00821364">
        <w:rPr>
          <w:rFonts w:ascii="Arial" w:eastAsia="MS Mincho" w:hAnsi="Arial" w:cs="Arial"/>
          <w:color w:val="767171" w:themeColor="background2" w:themeShade="80"/>
          <w:sz w:val="22"/>
          <w:szCs w:val="22"/>
          <w:lang w:val="en-ZA"/>
        </w:rPr>
        <w:t xml:space="preserve"> the most recent such statement”</w:t>
      </w:r>
      <w:r w:rsidR="00DC6102" w:rsidRPr="00821364">
        <w:rPr>
          <w:rFonts w:ascii="Arial" w:hAnsi="Arial" w:cs="Arial"/>
          <w:color w:val="767171" w:themeColor="background2" w:themeShade="80"/>
          <w:sz w:val="22"/>
          <w:szCs w:val="22"/>
          <w:lang w:val="en-GB"/>
        </w:rPr>
        <w:t xml:space="preserve">). </w:t>
      </w:r>
      <w:r w:rsidR="00821364">
        <w:rPr>
          <w:rFonts w:ascii="Arial" w:hAnsi="Arial" w:cs="Arial"/>
          <w:color w:val="767171" w:themeColor="background2" w:themeShade="80"/>
          <w:sz w:val="22"/>
          <w:szCs w:val="22"/>
          <w:lang w:val="en-GB"/>
        </w:rPr>
        <w:t xml:space="preserve">The trustee may nevertheless “assist the debtor in the </w:t>
      </w:r>
      <w:r w:rsidR="00821364" w:rsidRPr="00821364">
        <w:rPr>
          <w:rFonts w:ascii="Arial" w:hAnsi="Arial" w:cs="Arial"/>
          <w:i/>
          <w:color w:val="767171" w:themeColor="background2" w:themeShade="80"/>
          <w:sz w:val="22"/>
          <w:szCs w:val="22"/>
          <w:lang w:val="en-GB"/>
        </w:rPr>
        <w:t>development</w:t>
      </w:r>
      <w:r w:rsidR="00821364">
        <w:rPr>
          <w:rFonts w:ascii="Arial" w:hAnsi="Arial" w:cs="Arial"/>
          <w:color w:val="767171" w:themeColor="background2" w:themeShade="80"/>
          <w:sz w:val="22"/>
          <w:szCs w:val="22"/>
          <w:lang w:val="en-GB"/>
        </w:rPr>
        <w:t xml:space="preserve"> of the proposal and its negotiations with creditors” (my emphasis) similar to what the monitor does [</w:t>
      </w:r>
      <w:r w:rsidR="00821364" w:rsidRPr="00DC6102">
        <w:rPr>
          <w:rFonts w:ascii="Arial" w:hAnsi="Arial" w:cs="Arial"/>
          <w:color w:val="767171" w:themeColor="background2" w:themeShade="80"/>
          <w:sz w:val="22"/>
          <w:szCs w:val="22"/>
          <w:lang w:val="en-GB"/>
        </w:rPr>
        <w:t>Guidance Text par 6.5.11 page 42</w:t>
      </w:r>
      <w:r w:rsidR="00821364">
        <w:rPr>
          <w:rFonts w:ascii="Arial" w:hAnsi="Arial" w:cs="Arial"/>
          <w:color w:val="767171" w:themeColor="background2" w:themeShade="80"/>
          <w:sz w:val="22"/>
          <w:szCs w:val="22"/>
          <w:lang w:val="en-GB"/>
        </w:rPr>
        <w:t>]. Th</w:t>
      </w:r>
      <w:r w:rsidR="00DC6102" w:rsidRPr="00821364">
        <w:rPr>
          <w:rFonts w:ascii="Arial" w:hAnsi="Arial" w:cs="Arial"/>
          <w:color w:val="767171" w:themeColor="background2" w:themeShade="80"/>
          <w:sz w:val="22"/>
          <w:szCs w:val="22"/>
          <w:lang w:val="en-GB"/>
        </w:rPr>
        <w:t>e</w:t>
      </w:r>
      <w:r w:rsidR="00821364">
        <w:rPr>
          <w:rFonts w:ascii="Arial" w:hAnsi="Arial" w:cs="Arial"/>
          <w:color w:val="767171" w:themeColor="background2" w:themeShade="80"/>
          <w:sz w:val="22"/>
          <w:szCs w:val="22"/>
          <w:lang w:val="en-GB"/>
        </w:rPr>
        <w:t xml:space="preserve"> monitor</w:t>
      </w:r>
      <w:r w:rsidR="00DC6102" w:rsidRPr="00821364">
        <w:rPr>
          <w:rFonts w:ascii="Arial" w:hAnsi="Arial" w:cs="Arial"/>
          <w:color w:val="767171" w:themeColor="background2" w:themeShade="80"/>
          <w:sz w:val="22"/>
          <w:szCs w:val="22"/>
          <w:lang w:val="en-GB"/>
        </w:rPr>
        <w:t xml:space="preserve"> also has </w:t>
      </w:r>
      <w:r w:rsidR="00DC6102">
        <w:rPr>
          <w:rFonts w:ascii="Arial" w:hAnsi="Arial" w:cs="Arial"/>
          <w:color w:val="7B7B7B" w:themeColor="accent3" w:themeShade="BF"/>
          <w:sz w:val="22"/>
          <w:szCs w:val="22"/>
          <w:lang w:val="en-GB"/>
        </w:rPr>
        <w:t>notification duties (see section 23.1 of the CCAA) in respect of the court order whereas the duty of the trustee deals with the notice filed by the debtor (see section 50(6) of the BIA).</w:t>
      </w:r>
      <w:r w:rsidR="00821364">
        <w:rPr>
          <w:rFonts w:ascii="Arial" w:hAnsi="Arial" w:cs="Arial"/>
          <w:color w:val="7B7B7B" w:themeColor="accent3" w:themeShade="BF"/>
          <w:sz w:val="22"/>
          <w:szCs w:val="22"/>
          <w:lang w:val="en-GB"/>
        </w:rPr>
        <w:t xml:space="preserve"> The monitor has extensive reporting and advisory duties in respect of the court (see section 23.1 of the CCAA) whereas the BIA arguable does not provide for as much reporting to the court (see section 50.4 (7) of the BIA). This aligns with the nature of the processes, as referred to in the first paragraph of this essay.</w:t>
      </w:r>
    </w:p>
    <w:p w14:paraId="6316CE91" w14:textId="77777777" w:rsidR="00AC1171" w:rsidRPr="00D80DC2" w:rsidRDefault="00AC1171" w:rsidP="004739B2">
      <w:pPr>
        <w:jc w:val="both"/>
        <w:rPr>
          <w:rFonts w:ascii="Arial" w:hAnsi="Arial" w:cs="Arial"/>
          <w:color w:val="7B7B7B"/>
          <w:sz w:val="22"/>
          <w:szCs w:val="22"/>
          <w:lang w:val="en-GB"/>
        </w:rPr>
      </w:pPr>
    </w:p>
    <w:p w14:paraId="7F18FB95" w14:textId="77777777" w:rsidR="004739B2" w:rsidRPr="00AE184B" w:rsidRDefault="008C6FAA" w:rsidP="004739B2">
      <w:pPr>
        <w:jc w:val="both"/>
        <w:rPr>
          <w:rFonts w:ascii="Arial" w:hAnsi="Arial" w:cs="Arial"/>
          <w:b/>
          <w:bCs/>
          <w:sz w:val="22"/>
          <w:szCs w:val="22"/>
          <w:shd w:val="clear" w:color="auto" w:fill="FFFFFF"/>
          <w:lang w:val="en-GB"/>
        </w:rPr>
      </w:pPr>
      <w:r w:rsidRPr="00690A23">
        <w:rPr>
          <w:rFonts w:ascii="Arial" w:hAnsi="Arial" w:cs="Arial"/>
          <w:b/>
          <w:bCs/>
          <w:sz w:val="22"/>
          <w:szCs w:val="22"/>
          <w:highlight w:val="green"/>
          <w:shd w:val="clear" w:color="auto" w:fill="FFFFFF"/>
          <w:lang w:val="en-GB"/>
        </w:rPr>
        <w:t>Question 3.2 [maximum 7 marks]</w:t>
      </w:r>
    </w:p>
    <w:p w14:paraId="7C7884C0" w14:textId="77777777" w:rsidR="004739B2" w:rsidRDefault="004739B2" w:rsidP="004739B2">
      <w:pPr>
        <w:jc w:val="both"/>
        <w:rPr>
          <w:rFonts w:ascii="Arial" w:hAnsi="Arial" w:cs="Arial"/>
          <w:sz w:val="22"/>
          <w:szCs w:val="22"/>
          <w:shd w:val="clear" w:color="auto" w:fill="FFFFFF"/>
          <w:lang w:val="en-GB"/>
        </w:rPr>
      </w:pPr>
    </w:p>
    <w:p w14:paraId="3689C33F" w14:textId="69A7BB20" w:rsidR="004739B2" w:rsidRPr="008404DE" w:rsidRDefault="008C6FAA" w:rsidP="004739B2">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 xml:space="preserve">the main policy goals of the Canadian insolvency regime and provide examples of how these policy goals are reflected in different aspects of the insolvency system. In your essay, explain why the national insolvency system in Canada is </w:t>
      </w:r>
      <w:r>
        <w:rPr>
          <w:rFonts w:ascii="Arial" w:hAnsi="Arial" w:cs="Arial"/>
          <w:sz w:val="22"/>
          <w:szCs w:val="22"/>
          <w:shd w:val="clear" w:color="auto" w:fill="FFFFFF"/>
          <w:lang w:val="en-GB"/>
        </w:rPr>
        <w:lastRenderedPageBreak/>
        <w:t>described as “universalist” in the context of Canada’s approach to cross-border insolvency law.</w:t>
      </w:r>
    </w:p>
    <w:p w14:paraId="5E140759" w14:textId="193FB801" w:rsidR="004739B2" w:rsidRDefault="004739B2" w:rsidP="004739B2">
      <w:pPr>
        <w:jc w:val="both"/>
        <w:rPr>
          <w:rFonts w:ascii="Arial" w:hAnsi="Arial" w:cs="Arial"/>
          <w:sz w:val="22"/>
          <w:szCs w:val="22"/>
          <w:shd w:val="clear" w:color="auto" w:fill="FFFFFF"/>
          <w:lang w:val="en-GB"/>
        </w:rPr>
      </w:pPr>
    </w:p>
    <w:p w14:paraId="2C34A5A8" w14:textId="45F6FDC8" w:rsidR="00181579" w:rsidRDefault="003366F8" w:rsidP="004739B2">
      <w:pPr>
        <w:jc w:val="both"/>
        <w:rPr>
          <w:rFonts w:ascii="Arial" w:hAnsi="Arial" w:cs="Arial"/>
          <w:color w:val="7B7B7B" w:themeColor="accent3" w:themeShade="BF"/>
          <w:sz w:val="22"/>
          <w:szCs w:val="22"/>
          <w:lang w:val="en-GB"/>
        </w:rPr>
      </w:pPr>
      <w:r>
        <w:rPr>
          <w:rFonts w:ascii="Arial" w:hAnsi="Arial" w:cs="Arial"/>
          <w:color w:val="767171" w:themeColor="background2" w:themeShade="80"/>
          <w:sz w:val="22"/>
          <w:szCs w:val="22"/>
          <w:shd w:val="clear" w:color="auto" w:fill="FFFFFF"/>
          <w:lang w:val="en-GB"/>
        </w:rPr>
        <w:t>It has been observed that “[R]estructuring is largely seen as the primary goal in the Canadian insolvency regime and courts will do everything reasonably possible to ensure that businesses can continue as a going concern, even if by way of going concern sale of all or part of the business …” [</w:t>
      </w:r>
      <w:r>
        <w:rPr>
          <w:rFonts w:ascii="Arial" w:hAnsi="Arial" w:cs="Arial"/>
          <w:color w:val="7B7B7B" w:themeColor="accent3" w:themeShade="BF"/>
          <w:sz w:val="22"/>
          <w:szCs w:val="22"/>
          <w:lang w:val="en-GB"/>
        </w:rPr>
        <w:t xml:space="preserve">Guidance Text par 6.5.1. page 37]. </w:t>
      </w:r>
      <w:r w:rsidR="005B12CC" w:rsidRPr="005B12CC">
        <w:rPr>
          <w:rFonts w:ascii="Arial" w:hAnsi="Arial" w:cs="Arial"/>
          <w:color w:val="767171" w:themeColor="background2" w:themeShade="80"/>
          <w:sz w:val="22"/>
          <w:szCs w:val="22"/>
          <w:shd w:val="clear" w:color="auto" w:fill="FFFFFF"/>
          <w:lang w:val="en-GB"/>
        </w:rPr>
        <w:t>The first principled aim of the insolvency framework is to enable</w:t>
      </w:r>
      <w:r w:rsidR="005B12CC">
        <w:rPr>
          <w:rFonts w:ascii="Arial" w:hAnsi="Arial" w:cs="Arial"/>
          <w:color w:val="767171" w:themeColor="background2" w:themeShade="80"/>
          <w:sz w:val="22"/>
          <w:szCs w:val="22"/>
          <w:shd w:val="clear" w:color="auto" w:fill="FFFFFF"/>
          <w:lang w:val="en-GB"/>
        </w:rPr>
        <w:t xml:space="preserve"> financially challenged debtors to access procedures that will assist the debtor to return to a solvent and economically functioning entity or person [</w:t>
      </w:r>
      <w:r w:rsidR="005B12CC">
        <w:rPr>
          <w:rFonts w:ascii="Arial" w:hAnsi="Arial" w:cs="Arial"/>
          <w:color w:val="7B7B7B" w:themeColor="accent3" w:themeShade="BF"/>
          <w:sz w:val="22"/>
          <w:szCs w:val="22"/>
          <w:lang w:val="en-GB"/>
        </w:rPr>
        <w:t>Guidance text par 6.1.1 page 15</w:t>
      </w:r>
      <w:r w:rsidR="008C6FAA" w:rsidRPr="00D80DC2">
        <w:rPr>
          <w:rFonts w:ascii="Arial" w:hAnsi="Arial" w:cs="Arial"/>
          <w:color w:val="7B7B7B" w:themeColor="accent3" w:themeShade="BF"/>
          <w:sz w:val="22"/>
          <w:szCs w:val="22"/>
          <w:lang w:val="en-GB"/>
        </w:rPr>
        <w:t>]</w:t>
      </w:r>
      <w:r w:rsidR="005B12CC">
        <w:rPr>
          <w:rFonts w:ascii="Arial" w:hAnsi="Arial" w:cs="Arial"/>
          <w:color w:val="7B7B7B" w:themeColor="accent3" w:themeShade="BF"/>
          <w:sz w:val="22"/>
          <w:szCs w:val="22"/>
          <w:lang w:val="en-GB"/>
        </w:rPr>
        <w:t xml:space="preserve">. This focus on “rehabilitation” is seen </w:t>
      </w:r>
      <w:r w:rsidR="004342F5">
        <w:rPr>
          <w:rFonts w:ascii="Arial" w:hAnsi="Arial" w:cs="Arial"/>
          <w:color w:val="7B7B7B" w:themeColor="accent3" w:themeShade="BF"/>
          <w:sz w:val="22"/>
          <w:szCs w:val="22"/>
          <w:lang w:val="en-GB"/>
        </w:rPr>
        <w:t>in the variety of mechanisms available to different types of debtors in distress – such as “compromises”, “proposals”, and “plans of arrangement” available through “restructuring” and “reorganization” schemes set out in various laws [Guidance text par</w:t>
      </w:r>
      <w:r w:rsidR="002D3BF4">
        <w:rPr>
          <w:rFonts w:ascii="Arial" w:hAnsi="Arial" w:cs="Arial"/>
          <w:color w:val="7B7B7B" w:themeColor="accent3" w:themeShade="BF"/>
          <w:sz w:val="22"/>
          <w:szCs w:val="22"/>
          <w:lang w:val="en-GB"/>
        </w:rPr>
        <w:t>as</w:t>
      </w:r>
      <w:r w:rsidR="004342F5">
        <w:rPr>
          <w:rFonts w:ascii="Arial" w:hAnsi="Arial" w:cs="Arial"/>
          <w:color w:val="7B7B7B" w:themeColor="accent3" w:themeShade="BF"/>
          <w:sz w:val="22"/>
          <w:szCs w:val="22"/>
          <w:lang w:val="en-GB"/>
        </w:rPr>
        <w:t xml:space="preserve"> 4.1.2 </w:t>
      </w:r>
      <w:r w:rsidR="002D3BF4">
        <w:rPr>
          <w:rFonts w:ascii="Arial" w:hAnsi="Arial" w:cs="Arial"/>
          <w:color w:val="7B7B7B" w:themeColor="accent3" w:themeShade="BF"/>
          <w:sz w:val="22"/>
          <w:szCs w:val="22"/>
          <w:lang w:val="en-GB"/>
        </w:rPr>
        <w:t xml:space="preserve">and 6.1.1 </w:t>
      </w:r>
      <w:r w:rsidR="004342F5">
        <w:rPr>
          <w:rFonts w:ascii="Arial" w:hAnsi="Arial" w:cs="Arial"/>
          <w:color w:val="7B7B7B" w:themeColor="accent3" w:themeShade="BF"/>
          <w:sz w:val="22"/>
          <w:szCs w:val="22"/>
          <w:lang w:val="en-GB"/>
        </w:rPr>
        <w:t>page</w:t>
      </w:r>
      <w:r w:rsidR="002D3BF4">
        <w:rPr>
          <w:rFonts w:ascii="Arial" w:hAnsi="Arial" w:cs="Arial"/>
          <w:color w:val="7B7B7B" w:themeColor="accent3" w:themeShade="BF"/>
          <w:sz w:val="22"/>
          <w:szCs w:val="22"/>
          <w:lang w:val="en-GB"/>
        </w:rPr>
        <w:t>s</w:t>
      </w:r>
      <w:r w:rsidR="004342F5">
        <w:rPr>
          <w:rFonts w:ascii="Arial" w:hAnsi="Arial" w:cs="Arial"/>
          <w:color w:val="7B7B7B" w:themeColor="accent3" w:themeShade="BF"/>
          <w:sz w:val="22"/>
          <w:szCs w:val="22"/>
          <w:lang w:val="en-GB"/>
        </w:rPr>
        <w:t xml:space="preserve"> 5</w:t>
      </w:r>
      <w:r w:rsidR="002D3BF4">
        <w:rPr>
          <w:rFonts w:ascii="Arial" w:hAnsi="Arial" w:cs="Arial"/>
          <w:color w:val="7B7B7B" w:themeColor="accent3" w:themeShade="BF"/>
          <w:sz w:val="22"/>
          <w:szCs w:val="22"/>
          <w:lang w:val="en-GB"/>
        </w:rPr>
        <w:t xml:space="preserve"> and 15</w:t>
      </w:r>
      <w:r w:rsidR="004342F5">
        <w:rPr>
          <w:rFonts w:ascii="Arial" w:hAnsi="Arial" w:cs="Arial"/>
          <w:color w:val="7B7B7B" w:themeColor="accent3" w:themeShade="BF"/>
          <w:sz w:val="22"/>
          <w:szCs w:val="22"/>
          <w:lang w:val="en-GB"/>
        </w:rPr>
        <w:t>, see also paras 4.1.1. and 4.1.2 pages 5 and 6].</w:t>
      </w:r>
      <w:r w:rsidR="002D3BF4">
        <w:rPr>
          <w:rFonts w:ascii="Arial" w:hAnsi="Arial" w:cs="Arial"/>
          <w:color w:val="7B7B7B" w:themeColor="accent3" w:themeShade="BF"/>
          <w:sz w:val="22"/>
          <w:szCs w:val="22"/>
          <w:lang w:val="en-GB"/>
        </w:rPr>
        <w:t xml:space="preserve"> The underlying rationale for this approach is that debtor insolvency affect more than just the creditors – debtors may be employers (and the financial health or </w:t>
      </w:r>
      <w:r w:rsidR="00181579">
        <w:rPr>
          <w:rFonts w:ascii="Arial" w:hAnsi="Arial" w:cs="Arial"/>
          <w:color w:val="7B7B7B" w:themeColor="accent3" w:themeShade="BF"/>
          <w:sz w:val="22"/>
          <w:szCs w:val="22"/>
          <w:lang w:val="en-GB"/>
        </w:rPr>
        <w:t>failure</w:t>
      </w:r>
      <w:r w:rsidR="002D3BF4">
        <w:rPr>
          <w:rFonts w:ascii="Arial" w:hAnsi="Arial" w:cs="Arial"/>
          <w:color w:val="7B7B7B" w:themeColor="accent3" w:themeShade="BF"/>
          <w:sz w:val="22"/>
          <w:szCs w:val="22"/>
          <w:lang w:val="en-GB"/>
        </w:rPr>
        <w:t xml:space="preserve"> of the debtor employer affects the financial welfare and prospects</w:t>
      </w:r>
      <w:r w:rsidR="004342F5">
        <w:rPr>
          <w:rFonts w:ascii="Arial" w:hAnsi="Arial" w:cs="Arial"/>
          <w:color w:val="7B7B7B" w:themeColor="accent3" w:themeShade="BF"/>
          <w:sz w:val="22"/>
          <w:szCs w:val="22"/>
          <w:lang w:val="en-GB"/>
        </w:rPr>
        <w:t xml:space="preserve"> </w:t>
      </w:r>
      <w:r w:rsidR="002D3BF4">
        <w:rPr>
          <w:rFonts w:ascii="Arial" w:hAnsi="Arial" w:cs="Arial"/>
          <w:color w:val="7B7B7B" w:themeColor="accent3" w:themeShade="BF"/>
          <w:sz w:val="22"/>
          <w:szCs w:val="22"/>
          <w:lang w:val="en-GB"/>
        </w:rPr>
        <w:t>of the employees); debtors may support other businesses within the</w:t>
      </w:r>
      <w:r w:rsidR="00181579">
        <w:rPr>
          <w:rFonts w:ascii="Arial" w:hAnsi="Arial" w:cs="Arial"/>
          <w:color w:val="7B7B7B" w:themeColor="accent3" w:themeShade="BF"/>
          <w:sz w:val="22"/>
          <w:szCs w:val="22"/>
          <w:lang w:val="en-GB"/>
        </w:rPr>
        <w:t xml:space="preserve"> society where</w:t>
      </w:r>
      <w:r w:rsidR="00AE5C40">
        <w:rPr>
          <w:rFonts w:ascii="Arial" w:hAnsi="Arial" w:cs="Arial"/>
          <w:color w:val="7B7B7B" w:themeColor="accent3" w:themeShade="BF"/>
          <w:sz w:val="22"/>
          <w:szCs w:val="22"/>
          <w:lang w:val="en-GB"/>
        </w:rPr>
        <w:t xml:space="preserve"> it functions; </w:t>
      </w:r>
      <w:r w:rsidR="002D3BF4">
        <w:rPr>
          <w:rFonts w:ascii="Arial" w:hAnsi="Arial" w:cs="Arial"/>
          <w:color w:val="7B7B7B" w:themeColor="accent3" w:themeShade="BF"/>
          <w:sz w:val="22"/>
          <w:szCs w:val="22"/>
          <w:lang w:val="en-GB"/>
        </w:rPr>
        <w:t>and</w:t>
      </w:r>
      <w:r w:rsidR="00AE5C40">
        <w:rPr>
          <w:rFonts w:ascii="Arial" w:hAnsi="Arial" w:cs="Arial"/>
          <w:color w:val="7B7B7B" w:themeColor="accent3" w:themeShade="BF"/>
          <w:sz w:val="22"/>
          <w:szCs w:val="22"/>
          <w:lang w:val="en-GB"/>
        </w:rPr>
        <w:t>,</w:t>
      </w:r>
      <w:r w:rsidR="002D3BF4">
        <w:rPr>
          <w:rFonts w:ascii="Arial" w:hAnsi="Arial" w:cs="Arial"/>
          <w:color w:val="7B7B7B" w:themeColor="accent3" w:themeShade="BF"/>
          <w:sz w:val="22"/>
          <w:szCs w:val="22"/>
          <w:lang w:val="en-GB"/>
        </w:rPr>
        <w:t xml:space="preserve"> while creditors are often concerned about receiving what is due to them, the truth is that creditors refinance debtors on more than one occasion, which generates funds for those creditors</w:t>
      </w:r>
      <w:r w:rsidR="00181579">
        <w:rPr>
          <w:rFonts w:ascii="Arial" w:hAnsi="Arial" w:cs="Arial"/>
          <w:color w:val="7B7B7B" w:themeColor="accent3" w:themeShade="BF"/>
          <w:sz w:val="22"/>
          <w:szCs w:val="22"/>
          <w:lang w:val="en-GB"/>
        </w:rPr>
        <w:t xml:space="preserve"> in future</w:t>
      </w:r>
      <w:r w:rsidR="002D3BF4">
        <w:rPr>
          <w:rFonts w:ascii="Arial" w:hAnsi="Arial" w:cs="Arial"/>
          <w:color w:val="7B7B7B" w:themeColor="accent3" w:themeShade="BF"/>
          <w:sz w:val="22"/>
          <w:szCs w:val="22"/>
          <w:lang w:val="en-GB"/>
        </w:rPr>
        <w:t xml:space="preserve"> [Gu</w:t>
      </w:r>
      <w:r>
        <w:rPr>
          <w:rFonts w:ascii="Arial" w:hAnsi="Arial" w:cs="Arial"/>
          <w:color w:val="7B7B7B" w:themeColor="accent3" w:themeShade="BF"/>
          <w:sz w:val="22"/>
          <w:szCs w:val="22"/>
          <w:lang w:val="en-GB"/>
        </w:rPr>
        <w:t>idance text par 6.1.1 page 15]. This aim is also observed from the discharge provisions available for natural person debtors [Guidance Text par 6.2.22. page 31].</w:t>
      </w:r>
    </w:p>
    <w:p w14:paraId="416ADBC4" w14:textId="27AE632E" w:rsidR="004739B2" w:rsidRDefault="002D3BF4" w:rsidP="00473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 principled aim </w:t>
      </w:r>
      <w:r w:rsidR="00181579">
        <w:rPr>
          <w:rFonts w:ascii="Arial" w:hAnsi="Arial" w:cs="Arial"/>
          <w:color w:val="7B7B7B" w:themeColor="accent3" w:themeShade="BF"/>
          <w:sz w:val="22"/>
          <w:szCs w:val="22"/>
          <w:lang w:val="en-GB"/>
        </w:rPr>
        <w:t>focuses on</w:t>
      </w:r>
      <w:r>
        <w:rPr>
          <w:rFonts w:ascii="Arial" w:hAnsi="Arial" w:cs="Arial"/>
          <w:color w:val="7B7B7B" w:themeColor="accent3" w:themeShade="BF"/>
          <w:sz w:val="22"/>
          <w:szCs w:val="22"/>
          <w:lang w:val="en-GB"/>
        </w:rPr>
        <w:t xml:space="preserve"> creditor</w:t>
      </w:r>
      <w:r w:rsidR="00181579">
        <w:rPr>
          <w:rFonts w:ascii="Arial" w:hAnsi="Arial" w:cs="Arial"/>
          <w:color w:val="7B7B7B" w:themeColor="accent3" w:themeShade="BF"/>
          <w:sz w:val="22"/>
          <w:szCs w:val="22"/>
          <w:lang w:val="en-GB"/>
        </w:rPr>
        <w:t>-interest</w:t>
      </w:r>
      <w:r>
        <w:rPr>
          <w:rFonts w:ascii="Arial" w:hAnsi="Arial" w:cs="Arial"/>
          <w:color w:val="7B7B7B" w:themeColor="accent3" w:themeShade="BF"/>
          <w:sz w:val="22"/>
          <w:szCs w:val="22"/>
          <w:lang w:val="en-GB"/>
        </w:rPr>
        <w:t>s</w:t>
      </w:r>
      <w:r w:rsidR="00181579">
        <w:rPr>
          <w:rFonts w:ascii="Arial" w:hAnsi="Arial" w:cs="Arial"/>
          <w:color w:val="7B7B7B" w:themeColor="accent3" w:themeShade="BF"/>
          <w:sz w:val="22"/>
          <w:szCs w:val="22"/>
          <w:lang w:val="en-GB"/>
        </w:rPr>
        <w:t xml:space="preserve"> and this is </w:t>
      </w:r>
      <w:r w:rsidR="00AE5C40">
        <w:rPr>
          <w:rFonts w:ascii="Arial" w:hAnsi="Arial" w:cs="Arial"/>
          <w:color w:val="7B7B7B" w:themeColor="accent3" w:themeShade="BF"/>
          <w:sz w:val="22"/>
          <w:szCs w:val="22"/>
          <w:lang w:val="en-GB"/>
        </w:rPr>
        <w:t xml:space="preserve">observed from the manner in which property “vest” in the insolvency practitioner, which disallows the debtor from dealing with the property and potentially prejudicing creditors </w:t>
      </w:r>
      <w:r w:rsidR="00AF3ED2">
        <w:rPr>
          <w:rFonts w:ascii="Arial" w:hAnsi="Arial" w:cs="Arial"/>
          <w:color w:val="7B7B7B" w:themeColor="accent3" w:themeShade="BF"/>
          <w:sz w:val="22"/>
          <w:szCs w:val="22"/>
          <w:lang w:val="en-GB"/>
        </w:rPr>
        <w:t>[</w:t>
      </w:r>
      <w:r w:rsidR="00AE5C40">
        <w:rPr>
          <w:rFonts w:ascii="Arial" w:hAnsi="Arial" w:cs="Arial"/>
          <w:color w:val="7B7B7B" w:themeColor="accent3" w:themeShade="BF"/>
          <w:sz w:val="22"/>
          <w:szCs w:val="22"/>
          <w:lang w:val="en-GB"/>
        </w:rPr>
        <w:t xml:space="preserve">Guidance text par 4.1.1 page 5]; </w:t>
      </w:r>
      <w:r w:rsidR="00181579">
        <w:rPr>
          <w:rFonts w:ascii="Arial" w:hAnsi="Arial" w:cs="Arial"/>
          <w:color w:val="7B7B7B" w:themeColor="accent3" w:themeShade="BF"/>
          <w:sz w:val="22"/>
          <w:szCs w:val="22"/>
          <w:lang w:val="en-GB"/>
        </w:rPr>
        <w:t>in the</w:t>
      </w:r>
      <w:r w:rsidR="00AE5C40">
        <w:rPr>
          <w:rFonts w:ascii="Arial" w:hAnsi="Arial" w:cs="Arial"/>
          <w:color w:val="7B7B7B" w:themeColor="accent3" w:themeShade="BF"/>
          <w:sz w:val="22"/>
          <w:szCs w:val="22"/>
          <w:lang w:val="en-GB"/>
        </w:rPr>
        <w:t xml:space="preserve"> respect for rights established prior to insolvency (such as security rights that entitle the secured creditor to the proceeds of the assets in satisfaction of its claim prior to those of unsecured creditors – see eg Guidance text paras 4.2.3.1 and 5.3 pages 9 and 13); </w:t>
      </w:r>
      <w:r w:rsidR="00AF3ED2">
        <w:rPr>
          <w:rFonts w:ascii="Arial" w:hAnsi="Arial" w:cs="Arial"/>
          <w:color w:val="7B7B7B" w:themeColor="accent3" w:themeShade="BF"/>
          <w:sz w:val="22"/>
          <w:szCs w:val="22"/>
          <w:lang w:val="en-GB"/>
        </w:rPr>
        <w:t xml:space="preserve">and </w:t>
      </w:r>
      <w:r w:rsidR="00AE5C40">
        <w:rPr>
          <w:rFonts w:ascii="Arial" w:hAnsi="Arial" w:cs="Arial"/>
          <w:color w:val="7B7B7B" w:themeColor="accent3" w:themeShade="BF"/>
          <w:sz w:val="22"/>
          <w:szCs w:val="22"/>
          <w:lang w:val="en-GB"/>
        </w:rPr>
        <w:t xml:space="preserve">the legal provisions that provide for the ability to sell assets or parts of a business to obtain funds to settle creditors’ claims </w:t>
      </w:r>
      <w:r w:rsidR="00237888">
        <w:rPr>
          <w:rFonts w:ascii="Arial" w:hAnsi="Arial" w:cs="Arial"/>
          <w:color w:val="7B7B7B" w:themeColor="accent3" w:themeShade="BF"/>
          <w:sz w:val="22"/>
          <w:szCs w:val="22"/>
          <w:lang w:val="en-GB"/>
        </w:rPr>
        <w:t>[Guidance text paras 4.1.1 and 4.1.2 page 5]. The processes and limitations that become effective during insolvency proceedings (such as staying legal proceedings, taking into account certain exceptions – see Guidance text par 6.2.5 page 21) seem to infringe on creditor rights at first glance, but “[c]reditor</w:t>
      </w:r>
      <w:r w:rsidR="00564304">
        <w:rPr>
          <w:rFonts w:ascii="Arial" w:hAnsi="Arial" w:cs="Arial"/>
          <w:color w:val="7B7B7B" w:themeColor="accent3" w:themeShade="BF"/>
          <w:sz w:val="22"/>
          <w:szCs w:val="22"/>
          <w:lang w:val="en-GB"/>
        </w:rPr>
        <w:t>s</w:t>
      </w:r>
      <w:r w:rsidR="00237888">
        <w:rPr>
          <w:rFonts w:ascii="Arial" w:hAnsi="Arial" w:cs="Arial"/>
          <w:color w:val="7B7B7B" w:themeColor="accent3" w:themeShade="BF"/>
          <w:sz w:val="22"/>
          <w:szCs w:val="22"/>
          <w:lang w:val="en-GB"/>
        </w:rPr>
        <w:t>’ remedies are collectivized in a single proceeding to avoid the social and economic costs of a chaotic free-for-all where creditors are incentivized to enforce their rights to seize assets before other creditors do” [Guidance text par 4.2.3.1 page 9].</w:t>
      </w:r>
    </w:p>
    <w:p w14:paraId="51E41CE4" w14:textId="1A67CC0D" w:rsidR="0086708C" w:rsidRDefault="0086708C" w:rsidP="00473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Similar to the aim to balance (although there is some tilting to the side of restoration of an entity as indicated earlier) rehabilitation and liquidation [Guidance Text par 5.3 page 14] there is also the objective of balancing the interests of those involved [Guidance Text paras 4.2.3.1 and</w:t>
      </w:r>
      <w:r w:rsidR="00E43019">
        <w:rPr>
          <w:rFonts w:ascii="Arial" w:hAnsi="Arial" w:cs="Arial"/>
          <w:color w:val="7B7B7B" w:themeColor="accent3" w:themeShade="BF"/>
          <w:sz w:val="22"/>
          <w:szCs w:val="22"/>
          <w:lang w:val="en-GB"/>
        </w:rPr>
        <w:t xml:space="preserve"> 6.1.2.</w:t>
      </w:r>
      <w:r>
        <w:rPr>
          <w:rFonts w:ascii="Arial" w:hAnsi="Arial" w:cs="Arial"/>
          <w:color w:val="7B7B7B" w:themeColor="accent3" w:themeShade="BF"/>
          <w:sz w:val="22"/>
          <w:szCs w:val="22"/>
          <w:lang w:val="en-GB"/>
        </w:rPr>
        <w:t xml:space="preserve"> page</w:t>
      </w:r>
      <w:r w:rsidR="00E43019">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10</w:t>
      </w:r>
      <w:r w:rsidR="00E43019">
        <w:rPr>
          <w:rFonts w:ascii="Arial" w:hAnsi="Arial" w:cs="Arial"/>
          <w:color w:val="7B7B7B" w:themeColor="accent3" w:themeShade="BF"/>
          <w:sz w:val="22"/>
          <w:szCs w:val="22"/>
          <w:lang w:val="en-GB"/>
        </w:rPr>
        <w:t xml:space="preserve"> and 15]. The second balancing act is effected by the practitioners involved in the process: “All such estate professionals are licensed insolvency professionals, generally from accounting or financial advisory firms, and are officers of the court responsible for acting in a fair and transparent manner and in the best interests of all stakeholders” [Guidance Text par 4.2.3.1 page 10, see also Guidance Text par 6.1.2. page 15].</w:t>
      </w:r>
      <w:r w:rsidR="00564304">
        <w:rPr>
          <w:rFonts w:ascii="Arial" w:hAnsi="Arial" w:cs="Arial"/>
          <w:color w:val="7B7B7B" w:themeColor="accent3" w:themeShade="BF"/>
          <w:sz w:val="22"/>
          <w:szCs w:val="22"/>
          <w:lang w:val="en-GB"/>
        </w:rPr>
        <w:t xml:space="preserve"> Although “stakeholders” exceed the boundaries of the main players, so to speak, this approach includes the consideration of the interests of the debtor vis-à-vis those of the creditor(s) [Guidance Text par 6.1.2. page 15]. Notwithstanding the above, the rights of the creditors are mainly dealt with in terms of legislation when one considers the “equitable treatment of similarly situated creditors” and features such as priority payment of certain claims [Guidance Text par 6.1.1. page 15]. Creditors are privy to the management of the process through majority-led decision-making that can affect the directions taken by the practitioner and must be kept well-informed [Guidance Text par 6.1.2. page 15].</w:t>
      </w:r>
      <w:r w:rsidR="004A05CE">
        <w:rPr>
          <w:rFonts w:ascii="Arial" w:hAnsi="Arial" w:cs="Arial"/>
          <w:color w:val="7B7B7B" w:themeColor="accent3" w:themeShade="BF"/>
          <w:sz w:val="22"/>
          <w:szCs w:val="22"/>
          <w:lang w:val="en-GB"/>
        </w:rPr>
        <w:t xml:space="preserve"> Although this feature is criticised, the involuntary concession of unsecured rights, when it comes to admitting a restructuring proposal ,does not occur as the Canadian system does not allow </w:t>
      </w:r>
      <w:r w:rsidR="004A05CE">
        <w:rPr>
          <w:rFonts w:ascii="Arial" w:hAnsi="Arial" w:cs="Arial"/>
          <w:color w:val="7B7B7B" w:themeColor="accent3" w:themeShade="BF"/>
          <w:sz w:val="22"/>
          <w:szCs w:val="22"/>
          <w:lang w:val="en-GB"/>
        </w:rPr>
        <w:lastRenderedPageBreak/>
        <w:t>for a “cram-down” of a plan by the court in the absence of full consent by creditor classes [Guidance Text par 6.1.2. page 16].</w:t>
      </w:r>
    </w:p>
    <w:p w14:paraId="731E1B75" w14:textId="22BCEA89" w:rsidR="00181579" w:rsidRDefault="00181579" w:rsidP="00BE7E2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third principled aim is the upkeep of desirable charac</w:t>
      </w:r>
      <w:r w:rsidR="00564304">
        <w:rPr>
          <w:rFonts w:ascii="Arial" w:hAnsi="Arial" w:cs="Arial"/>
          <w:color w:val="7B7B7B" w:themeColor="accent3" w:themeShade="BF"/>
          <w:sz w:val="22"/>
          <w:szCs w:val="22"/>
          <w:lang w:val="en-GB"/>
        </w:rPr>
        <w:t xml:space="preserve">teristics of a legal framework, which includes (but is not limited to) certainty regarding the workings of the system – the value lies in the knowledge that “certain and reliable rules provide security for investors and lenders that, in turn, influences the cost and availability of creditor in the Canadian marketplace” [Guidance Text par 6.1.1. page 15]. It is clear that the overarching policy is to ensure the welfare of the marketplace – whether by encouraging debtors to return as economic participants, protecting creditor interests where this is not possible, and encouraging pre-insolvency lending and investment against the background of a well-functioning system that sets certain rules in place to </w:t>
      </w:r>
      <w:r w:rsidR="004A05CE">
        <w:rPr>
          <w:rFonts w:ascii="Arial" w:hAnsi="Arial" w:cs="Arial"/>
          <w:color w:val="7B7B7B" w:themeColor="accent3" w:themeShade="BF"/>
          <w:sz w:val="22"/>
          <w:szCs w:val="22"/>
          <w:lang w:val="en-GB"/>
        </w:rPr>
        <w:t>demonstrate to prospective lenders that there is some protection for them if a debtor’s business fails [Ibid]. A feature that further demonstrates commitment to these policy outcomes is oversight and recourse to courts: court are heavily involved in bankruptcy proceedings [Guidance Text par 6.1.2. page 15</w:t>
      </w:r>
      <w:r w:rsidR="001E3ECC">
        <w:rPr>
          <w:rFonts w:ascii="Arial" w:hAnsi="Arial" w:cs="Arial"/>
          <w:color w:val="7B7B7B" w:themeColor="accent3" w:themeShade="BF"/>
          <w:sz w:val="22"/>
          <w:szCs w:val="22"/>
          <w:lang w:val="en-GB"/>
        </w:rPr>
        <w:t xml:space="preserve">] </w:t>
      </w:r>
      <w:r w:rsidR="004A05CE">
        <w:rPr>
          <w:rFonts w:ascii="Arial" w:hAnsi="Arial" w:cs="Arial"/>
          <w:color w:val="7B7B7B" w:themeColor="accent3" w:themeShade="BF"/>
          <w:sz w:val="22"/>
          <w:szCs w:val="22"/>
          <w:lang w:val="en-GB"/>
        </w:rPr>
        <w:t xml:space="preserve">creditors may refer matters to court [Guidance Text par 6.1.2. page 15]; the court ensures that the application to court by creditors to institute bankruptcy proceedings against the debtor is sound [Guidance Text par 4.2.2. page 9]; </w:t>
      </w:r>
      <w:r w:rsidR="001E3ECC">
        <w:rPr>
          <w:rFonts w:ascii="Arial" w:hAnsi="Arial" w:cs="Arial"/>
          <w:color w:val="7B7B7B" w:themeColor="accent3" w:themeShade="BF"/>
          <w:sz w:val="22"/>
          <w:szCs w:val="22"/>
          <w:lang w:val="en-GB"/>
        </w:rPr>
        <w:t>etc</w:t>
      </w:r>
      <w:r w:rsidR="004A05CE">
        <w:rPr>
          <w:rFonts w:ascii="Arial" w:hAnsi="Arial" w:cs="Arial"/>
          <w:color w:val="7B7B7B" w:themeColor="accent3" w:themeShade="BF"/>
          <w:sz w:val="22"/>
          <w:szCs w:val="22"/>
          <w:lang w:val="en-GB"/>
        </w:rPr>
        <w:t>. There is also administrative oversight over insolvency practitioners in the style of the Office of the Superintendent of Bankruptcy [Guidance Text par 4.2.4. page 11]</w:t>
      </w:r>
      <w:r w:rsidR="001E3ECC">
        <w:rPr>
          <w:rFonts w:ascii="Arial" w:hAnsi="Arial" w:cs="Arial"/>
          <w:color w:val="7B7B7B" w:themeColor="accent3" w:themeShade="BF"/>
          <w:sz w:val="22"/>
          <w:szCs w:val="22"/>
          <w:lang w:val="en-GB"/>
        </w:rPr>
        <w:t>.</w:t>
      </w:r>
    </w:p>
    <w:p w14:paraId="447E615C" w14:textId="319999B0" w:rsidR="001E3ECC" w:rsidRPr="00C87F47" w:rsidRDefault="001E3ECC" w:rsidP="00BE7E24">
      <w:pPr>
        <w:pStyle w:val="section"/>
        <w:shd w:val="clear" w:color="auto" w:fill="FFFFFF"/>
        <w:spacing w:before="0" w:beforeAutospacing="0" w:after="0" w:afterAutospacing="0"/>
        <w:jc w:val="both"/>
        <w:rPr>
          <w:rFonts w:ascii="Arial" w:hAnsi="Arial" w:cs="Arial"/>
          <w:color w:val="767171" w:themeColor="background2" w:themeShade="80"/>
          <w:sz w:val="22"/>
          <w:szCs w:val="22"/>
        </w:rPr>
      </w:pPr>
      <w:r>
        <w:rPr>
          <w:rFonts w:ascii="Arial" w:hAnsi="Arial" w:cs="Arial"/>
          <w:color w:val="7B7B7B" w:themeColor="accent3" w:themeShade="BF"/>
          <w:sz w:val="22"/>
          <w:szCs w:val="22"/>
          <w:lang w:val="en-GB"/>
        </w:rPr>
        <w:t xml:space="preserve">The domestic approach to insolvency in Canada is a so-called “universalist” approach [Guidance Text par 4.1.1. page 5]. This means </w:t>
      </w:r>
      <w:r w:rsidR="00215C3A">
        <w:rPr>
          <w:rFonts w:ascii="Arial" w:hAnsi="Arial" w:cs="Arial"/>
          <w:color w:val="7B7B7B" w:themeColor="accent3" w:themeShade="BF"/>
          <w:sz w:val="22"/>
          <w:szCs w:val="22"/>
          <w:lang w:val="en-GB"/>
        </w:rPr>
        <w:t>that a</w:t>
      </w:r>
      <w:r>
        <w:rPr>
          <w:rFonts w:ascii="Arial" w:hAnsi="Arial" w:cs="Arial"/>
          <w:color w:val="7B7B7B" w:themeColor="accent3" w:themeShade="BF"/>
          <w:sz w:val="22"/>
          <w:szCs w:val="22"/>
          <w:lang w:val="en-GB"/>
        </w:rPr>
        <w:t xml:space="preserve"> court order that </w:t>
      </w:r>
      <w:r w:rsidR="00A37B33">
        <w:rPr>
          <w:rFonts w:ascii="Arial" w:hAnsi="Arial" w:cs="Arial"/>
          <w:color w:val="7B7B7B" w:themeColor="accent3" w:themeShade="BF"/>
          <w:sz w:val="22"/>
          <w:szCs w:val="22"/>
          <w:lang w:val="en-GB"/>
        </w:rPr>
        <w:t>puts</w:t>
      </w:r>
      <w:r>
        <w:rPr>
          <w:rFonts w:ascii="Arial" w:hAnsi="Arial" w:cs="Arial"/>
          <w:color w:val="7B7B7B" w:themeColor="accent3" w:themeShade="BF"/>
          <w:sz w:val="22"/>
          <w:szCs w:val="22"/>
          <w:lang w:val="en-GB"/>
        </w:rPr>
        <w:t xml:space="preserve"> the debtor in a</w:t>
      </w:r>
      <w:r w:rsidR="00A37B33">
        <w:rPr>
          <w:rFonts w:ascii="Arial" w:hAnsi="Arial" w:cs="Arial"/>
          <w:color w:val="7B7B7B" w:themeColor="accent3" w:themeShade="BF"/>
          <w:sz w:val="22"/>
          <w:szCs w:val="22"/>
          <w:lang w:val="en-GB"/>
        </w:rPr>
        <w:t xml:space="preserve"> formal</w:t>
      </w:r>
      <w:r>
        <w:rPr>
          <w:rFonts w:ascii="Arial" w:hAnsi="Arial" w:cs="Arial"/>
          <w:color w:val="7B7B7B" w:themeColor="accent3" w:themeShade="BF"/>
          <w:sz w:val="22"/>
          <w:szCs w:val="22"/>
          <w:lang w:val="en-GB"/>
        </w:rPr>
        <w:t xml:space="preserve"> bankruptcy process, will have a bearing on all the debtor’s assets irrespective of location [Ibid]. </w:t>
      </w:r>
      <w:r w:rsidR="00824CC7">
        <w:rPr>
          <w:rFonts w:ascii="Arial" w:hAnsi="Arial" w:cs="Arial"/>
          <w:color w:val="7B7B7B" w:themeColor="accent3" w:themeShade="BF"/>
          <w:sz w:val="22"/>
          <w:szCs w:val="22"/>
          <w:lang w:val="en-GB"/>
        </w:rPr>
        <w:t xml:space="preserve">It also extends to creditors in that creditors, irrespective of their jurisdiction or location, are considered during Canadian proceedings [Guidance Text par 7.1. page 51]. The jurisdiction where the order was given should ideally be the point of departure for the administration of the estate and determine the rights of creditors from various jurisdictions [Guidance Text par 7.1. page 51]. This is not always practically possible, as multiple bankruptcy orders in multiple jurisdictions will result in multiple bankruptcy proceedings pertaining to a single debtor [Ibid]. The notion of strict universalism may be relaxed in instances where multiple proceedings are taking place and the modified approach is to streamline the process (which will result in the objectives of a universalist approach being obtained as far as is possible) using not only Canadian law but referring to provisions that deal with cross-border insolvency law (which may require the use of other jurisdictions’ laws pertaining to eg asset liquidation, but is </w:t>
      </w:r>
      <w:r w:rsidR="00824CC7" w:rsidRPr="00824CC7">
        <w:rPr>
          <w:rFonts w:ascii="Arial" w:hAnsi="Arial" w:cs="Arial"/>
          <w:i/>
          <w:color w:val="7B7B7B" w:themeColor="accent3" w:themeShade="BF"/>
          <w:sz w:val="22"/>
          <w:szCs w:val="22"/>
          <w:lang w:val="en-GB"/>
        </w:rPr>
        <w:t>coordinated</w:t>
      </w:r>
      <w:r w:rsidR="00824CC7">
        <w:rPr>
          <w:rFonts w:ascii="Arial" w:hAnsi="Arial" w:cs="Arial"/>
          <w:i/>
          <w:color w:val="7B7B7B" w:themeColor="accent3" w:themeShade="BF"/>
          <w:sz w:val="22"/>
          <w:szCs w:val="22"/>
          <w:lang w:val="en-GB"/>
        </w:rPr>
        <w:t xml:space="preserve">) </w:t>
      </w:r>
      <w:r w:rsidR="00824CC7">
        <w:rPr>
          <w:rFonts w:ascii="Arial" w:hAnsi="Arial" w:cs="Arial"/>
          <w:color w:val="7B7B7B" w:themeColor="accent3" w:themeShade="BF"/>
          <w:sz w:val="22"/>
          <w:szCs w:val="22"/>
          <w:lang w:val="en-GB"/>
        </w:rPr>
        <w:t>[Guidance Text par 7.1. pages 51 and 52].</w:t>
      </w:r>
      <w:r w:rsidR="009C11BC">
        <w:rPr>
          <w:rFonts w:ascii="Arial" w:hAnsi="Arial" w:cs="Arial"/>
          <w:color w:val="7B7B7B" w:themeColor="accent3" w:themeShade="BF"/>
          <w:sz w:val="22"/>
          <w:szCs w:val="22"/>
          <w:lang w:val="en-GB"/>
        </w:rPr>
        <w:t xml:space="preserve"> This also requires the formal recognition of </w:t>
      </w:r>
      <w:r w:rsidR="009C11BC" w:rsidRPr="00C87F47">
        <w:rPr>
          <w:rFonts w:ascii="Arial" w:hAnsi="Arial" w:cs="Arial"/>
          <w:color w:val="767171" w:themeColor="background2" w:themeShade="80"/>
          <w:sz w:val="22"/>
          <w:szCs w:val="22"/>
          <w:lang w:val="en-GB"/>
        </w:rPr>
        <w:t>court orders granted by the Canadian courts in foreign jurisdictions and the formal recognition of foreign court orders granted in other jurisdictions by the Canadian courts [Guidance Text par 7.1. and 7.2 pages 51 and 52</w:t>
      </w:r>
      <w:r w:rsidR="00260ED7" w:rsidRPr="00C87F47">
        <w:rPr>
          <w:rFonts w:ascii="Arial" w:hAnsi="Arial" w:cs="Arial"/>
          <w:color w:val="767171" w:themeColor="background2" w:themeShade="80"/>
          <w:sz w:val="22"/>
          <w:szCs w:val="22"/>
          <w:lang w:val="en-GB"/>
        </w:rPr>
        <w:t>; see also Guidance Text par 7.8.1 page 56 on “comity” and the outcomes that it seeks to prevent</w:t>
      </w:r>
      <w:r w:rsidR="009C11BC" w:rsidRPr="00C87F47">
        <w:rPr>
          <w:rFonts w:ascii="Arial" w:hAnsi="Arial" w:cs="Arial"/>
          <w:color w:val="767171" w:themeColor="background2" w:themeShade="80"/>
          <w:sz w:val="22"/>
          <w:szCs w:val="22"/>
          <w:lang w:val="en-GB"/>
        </w:rPr>
        <w:t>].</w:t>
      </w:r>
      <w:r w:rsidR="00824CC7" w:rsidRPr="00C87F47">
        <w:rPr>
          <w:rFonts w:ascii="Arial" w:hAnsi="Arial" w:cs="Arial"/>
          <w:color w:val="767171" w:themeColor="background2" w:themeShade="80"/>
          <w:sz w:val="22"/>
          <w:szCs w:val="22"/>
          <w:lang w:val="en-GB"/>
        </w:rPr>
        <w:t xml:space="preserve"> </w:t>
      </w:r>
      <w:r w:rsidR="00C87F47" w:rsidRPr="00C87F47">
        <w:rPr>
          <w:rFonts w:ascii="Arial" w:hAnsi="Arial" w:cs="Arial"/>
          <w:color w:val="767171" w:themeColor="background2" w:themeShade="80"/>
          <w:sz w:val="22"/>
          <w:szCs w:val="22"/>
          <w:lang w:val="en-GB"/>
        </w:rPr>
        <w:t>In this regard, the provisions of section 267(c) of the BIA in respect of cross-border matters echo the larger Canadian policies: “</w:t>
      </w:r>
      <w:r w:rsidR="00C87F47" w:rsidRPr="00C87F47">
        <w:rPr>
          <w:rFonts w:ascii="Arial" w:hAnsi="Arial" w:cs="Arial"/>
          <w:color w:val="767171" w:themeColor="background2" w:themeShade="80"/>
          <w:sz w:val="22"/>
          <w:szCs w:val="22"/>
        </w:rPr>
        <w:t>The purpose of this Part is to provide mechanisms for dealing with cases of cross-border insolvencies and to promote the fair and efficient administration of cross-border insolvencies that protects the interests of creditors and other interested persons, and those of debtors.”</w:t>
      </w:r>
    </w:p>
    <w:p w14:paraId="75AF08FE" w14:textId="77777777" w:rsidR="00824CC7" w:rsidRDefault="00824CC7" w:rsidP="004739B2">
      <w:pPr>
        <w:jc w:val="both"/>
        <w:rPr>
          <w:rFonts w:ascii="Arial" w:hAnsi="Arial" w:cs="Arial"/>
          <w:b/>
          <w:sz w:val="22"/>
          <w:szCs w:val="22"/>
          <w:lang w:val="en-GB"/>
        </w:rPr>
      </w:pPr>
    </w:p>
    <w:p w14:paraId="6F6D8BA9" w14:textId="6676C6A1" w:rsidR="004739B2" w:rsidRPr="00D80DC2" w:rsidRDefault="008C6FAA" w:rsidP="004739B2">
      <w:pPr>
        <w:jc w:val="both"/>
        <w:rPr>
          <w:rFonts w:ascii="Arial" w:hAnsi="Arial" w:cs="Arial"/>
          <w:b/>
          <w:sz w:val="22"/>
          <w:szCs w:val="22"/>
          <w:lang w:val="en-GB"/>
        </w:rPr>
      </w:pPr>
      <w:r w:rsidRPr="00BE7E24">
        <w:rPr>
          <w:rFonts w:ascii="Arial" w:hAnsi="Arial" w:cs="Arial"/>
          <w:b/>
          <w:sz w:val="22"/>
          <w:szCs w:val="22"/>
          <w:highlight w:val="green"/>
          <w:lang w:val="en-GB"/>
        </w:rPr>
        <w:t>QUESTION 4 (fact-based application-type question) [15 marks in total]</w:t>
      </w:r>
    </w:p>
    <w:p w14:paraId="5893C722" w14:textId="77777777" w:rsidR="004739B2" w:rsidRPr="00D80DC2" w:rsidRDefault="004739B2" w:rsidP="004739B2">
      <w:pPr>
        <w:jc w:val="both"/>
        <w:rPr>
          <w:rFonts w:ascii="Arial" w:hAnsi="Arial" w:cs="Arial"/>
          <w:sz w:val="22"/>
          <w:szCs w:val="22"/>
          <w:lang w:val="en-GB"/>
        </w:rPr>
      </w:pPr>
    </w:p>
    <w:p w14:paraId="384B3D31" w14:textId="77777777" w:rsidR="004739B2" w:rsidRPr="00D80DC2" w:rsidRDefault="008C6FAA" w:rsidP="004739B2">
      <w:pPr>
        <w:jc w:val="both"/>
        <w:rPr>
          <w:rFonts w:ascii="Arial" w:hAnsi="Arial" w:cs="Arial"/>
          <w:b/>
          <w:bCs/>
          <w:sz w:val="22"/>
          <w:szCs w:val="22"/>
          <w:lang w:val="en-GB"/>
        </w:rPr>
      </w:pPr>
      <w:r w:rsidRPr="00BE7E24">
        <w:rPr>
          <w:rFonts w:ascii="Arial" w:hAnsi="Arial" w:cs="Arial"/>
          <w:b/>
          <w:bCs/>
          <w:sz w:val="22"/>
          <w:szCs w:val="22"/>
          <w:highlight w:val="green"/>
          <w:lang w:val="en-GB"/>
        </w:rPr>
        <w:t>Question 4.1 [maximum 15 marks]</w:t>
      </w:r>
    </w:p>
    <w:p w14:paraId="39775279" w14:textId="77777777" w:rsidR="004739B2" w:rsidRPr="00D80DC2" w:rsidRDefault="004739B2" w:rsidP="004739B2">
      <w:pPr>
        <w:jc w:val="both"/>
        <w:rPr>
          <w:rFonts w:ascii="Arial" w:hAnsi="Arial" w:cs="Arial"/>
          <w:sz w:val="22"/>
          <w:szCs w:val="22"/>
          <w:lang w:val="en-GB"/>
        </w:rPr>
      </w:pPr>
    </w:p>
    <w:p w14:paraId="31A3C559" w14:textId="41450AF9" w:rsidR="004739B2" w:rsidRDefault="008C6FAA" w:rsidP="004739B2">
      <w:pPr>
        <w:jc w:val="both"/>
        <w:rPr>
          <w:rFonts w:ascii="Arial" w:hAnsi="Arial" w:cs="Arial"/>
          <w:sz w:val="22"/>
          <w:szCs w:val="22"/>
          <w:lang w:val="en-GB"/>
        </w:rPr>
      </w:pPr>
      <w:bookmarkStart w:id="1" w:name="_Hlk17745211"/>
      <w:r w:rsidRPr="00D80DC2">
        <w:rPr>
          <w:rFonts w:ascii="Arial" w:hAnsi="Arial" w:cs="Arial"/>
          <w:sz w:val="22"/>
          <w:szCs w:val="22"/>
          <w:lang w:val="en-GB"/>
        </w:rPr>
        <w:t xml:space="preserve">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w:t>
      </w:r>
      <w:r w:rsidRPr="00D80DC2">
        <w:rPr>
          <w:rFonts w:ascii="Arial" w:hAnsi="Arial" w:cs="Arial"/>
          <w:sz w:val="22"/>
          <w:szCs w:val="22"/>
          <w:lang w:val="en-GB"/>
        </w:rPr>
        <w:lastRenderedPageBreak/>
        <w:t>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4739B2" w:rsidRDefault="004739B2" w:rsidP="004739B2">
      <w:pPr>
        <w:jc w:val="both"/>
        <w:rPr>
          <w:rFonts w:ascii="Arial" w:hAnsi="Arial" w:cs="Arial"/>
          <w:sz w:val="22"/>
          <w:szCs w:val="22"/>
          <w:lang w:val="en-GB"/>
        </w:rPr>
      </w:pPr>
    </w:p>
    <w:p w14:paraId="31FFFAB4" w14:textId="77777777" w:rsidR="004739B2" w:rsidRPr="00AE184B" w:rsidRDefault="008C6FAA" w:rsidP="004739B2">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4739B2" w:rsidRPr="0050004A" w:rsidRDefault="004739B2" w:rsidP="004739B2">
      <w:pPr>
        <w:jc w:val="both"/>
        <w:rPr>
          <w:rFonts w:ascii="Arial" w:hAnsi="Arial" w:cs="Arial"/>
          <w:sz w:val="22"/>
          <w:szCs w:val="22"/>
          <w:lang w:val="en-GB"/>
        </w:rPr>
      </w:pPr>
    </w:p>
    <w:p w14:paraId="235BB1E7" w14:textId="77777777" w:rsidR="004739B2" w:rsidRPr="00A13E9B" w:rsidRDefault="008C6FAA" w:rsidP="004739B2">
      <w:pPr>
        <w:jc w:val="both"/>
        <w:rPr>
          <w:rFonts w:ascii="Arial" w:hAnsi="Arial" w:cs="Arial"/>
          <w:b/>
          <w:bCs/>
          <w:sz w:val="22"/>
          <w:szCs w:val="22"/>
          <w:lang w:val="en-GB"/>
        </w:rPr>
      </w:pPr>
      <w:r w:rsidRPr="00BE7E24">
        <w:rPr>
          <w:rFonts w:ascii="Arial" w:hAnsi="Arial" w:cs="Arial"/>
          <w:b/>
          <w:bCs/>
          <w:sz w:val="22"/>
          <w:szCs w:val="22"/>
          <w:highlight w:val="green"/>
          <w:lang w:val="en-GB"/>
        </w:rPr>
        <w:t>Question 4.1 [maximum 5 marks]</w:t>
      </w:r>
    </w:p>
    <w:p w14:paraId="0FC4BB52" w14:textId="77777777" w:rsidR="004739B2" w:rsidRPr="00D80DC2" w:rsidRDefault="004739B2" w:rsidP="004739B2">
      <w:pPr>
        <w:jc w:val="both"/>
        <w:rPr>
          <w:rFonts w:ascii="Arial" w:hAnsi="Arial" w:cs="Arial"/>
          <w:sz w:val="22"/>
          <w:szCs w:val="22"/>
          <w:lang w:val="en-GB"/>
        </w:rPr>
      </w:pPr>
    </w:p>
    <w:p w14:paraId="0952E872" w14:textId="77777777" w:rsidR="004739B2" w:rsidRDefault="008C6FAA" w:rsidP="004739B2">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Pr>
          <w:rFonts w:ascii="Arial" w:hAnsi="Arial" w:cs="Arial"/>
          <w:sz w:val="22"/>
          <w:szCs w:val="22"/>
          <w:lang w:val="en-GB"/>
        </w:rPr>
        <w:t xml:space="preserve">formal proof </w:t>
      </w:r>
      <w:r w:rsidRPr="00D80DC2">
        <w:rPr>
          <w:rFonts w:ascii="Arial" w:hAnsi="Arial" w:cs="Arial"/>
          <w:sz w:val="22"/>
          <w:szCs w:val="22"/>
          <w:lang w:val="en-GB"/>
        </w:rPr>
        <w:t xml:space="preserve">requirements to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13B9DE2" w14:textId="42618BD0" w:rsidR="00CB3018" w:rsidRDefault="00A92371" w:rsidP="00C87F47">
      <w:pPr>
        <w:pStyle w:val="subsection"/>
        <w:shd w:val="clear" w:color="auto" w:fill="FFFFFF"/>
        <w:spacing w:before="0" w:beforeAutospacing="0" w:after="0" w:afterAutospacing="0"/>
        <w:jc w:val="both"/>
        <w:rPr>
          <w:rFonts w:ascii="Arial" w:hAnsi="Arial" w:cs="Arial"/>
          <w:color w:val="767171" w:themeColor="background2" w:themeShade="80"/>
          <w:sz w:val="22"/>
          <w:szCs w:val="22"/>
          <w:lang w:val="en-GB"/>
        </w:rPr>
      </w:pPr>
      <w:r>
        <w:rPr>
          <w:rFonts w:ascii="Arial" w:hAnsi="Arial" w:cs="Arial"/>
          <w:color w:val="7B7B7B" w:themeColor="accent3" w:themeShade="BF"/>
          <w:sz w:val="22"/>
          <w:szCs w:val="22"/>
          <w:lang w:val="en-GB"/>
        </w:rPr>
        <w:t>As jurisdiction is not an issue (the debtor has assets in Canada – see Guidance Text par 7.3 page 53], t</w:t>
      </w:r>
      <w:r w:rsidR="00497D97">
        <w:rPr>
          <w:rFonts w:ascii="Arial" w:hAnsi="Arial" w:cs="Arial"/>
          <w:color w:val="7B7B7B" w:themeColor="accent3" w:themeShade="BF"/>
          <w:sz w:val="22"/>
          <w:szCs w:val="22"/>
          <w:lang w:val="en-GB"/>
        </w:rPr>
        <w:t>he foreign agent will have to prove that the bankruptcy proceedings in the foreign jurisdiction whose order the agent wishes the Canadian courts to recognise, constitutes</w:t>
      </w:r>
      <w:r w:rsidR="00685E52" w:rsidRPr="00685E52">
        <w:rPr>
          <w:rFonts w:ascii="Arial" w:hAnsi="Arial" w:cs="Arial"/>
          <w:color w:val="7B7B7B" w:themeColor="accent3" w:themeShade="BF"/>
          <w:sz w:val="22"/>
          <w:szCs w:val="22"/>
          <w:lang w:val="en-GB"/>
        </w:rPr>
        <w:t xml:space="preserve"> a “foreign proceeding” </w:t>
      </w:r>
      <w:r w:rsidR="00497D97">
        <w:rPr>
          <w:rFonts w:ascii="Arial" w:hAnsi="Arial" w:cs="Arial"/>
          <w:color w:val="7B7B7B" w:themeColor="accent3" w:themeShade="BF"/>
          <w:sz w:val="22"/>
          <w:szCs w:val="22"/>
          <w:lang w:val="en-GB"/>
        </w:rPr>
        <w:t xml:space="preserve">and that he qualifies as a “foreign representative” </w:t>
      </w:r>
      <w:r w:rsidR="008C6FAA" w:rsidRPr="00685E52">
        <w:rPr>
          <w:rFonts w:ascii="Arial" w:hAnsi="Arial" w:cs="Arial"/>
          <w:color w:val="7B7B7B" w:themeColor="accent3" w:themeShade="BF"/>
          <w:sz w:val="22"/>
          <w:szCs w:val="22"/>
          <w:lang w:val="en-GB"/>
        </w:rPr>
        <w:t>[</w:t>
      </w:r>
      <w:r w:rsidR="00DA2201" w:rsidRPr="00685E52">
        <w:rPr>
          <w:rFonts w:ascii="Arial" w:hAnsi="Arial" w:cs="Arial"/>
          <w:color w:val="7B7B7B" w:themeColor="accent3" w:themeShade="BF"/>
          <w:sz w:val="22"/>
          <w:szCs w:val="22"/>
          <w:lang w:val="en-GB"/>
        </w:rPr>
        <w:t>Guidance Text par 7.4. page 54</w:t>
      </w:r>
      <w:r w:rsidR="00C87F47">
        <w:rPr>
          <w:rFonts w:ascii="Arial" w:hAnsi="Arial" w:cs="Arial"/>
          <w:color w:val="7B7B7B" w:themeColor="accent3" w:themeShade="BF"/>
          <w:sz w:val="22"/>
          <w:szCs w:val="22"/>
          <w:lang w:val="en-GB"/>
        </w:rPr>
        <w:t>; see section 270(1</w:t>
      </w:r>
      <w:r w:rsidR="00C87F47" w:rsidRPr="00C87F47">
        <w:rPr>
          <w:rFonts w:ascii="Arial" w:hAnsi="Arial" w:cs="Arial"/>
          <w:color w:val="767171" w:themeColor="background2" w:themeShade="80"/>
          <w:sz w:val="22"/>
          <w:szCs w:val="22"/>
          <w:lang w:val="en-GB"/>
        </w:rPr>
        <w:t>) of the BIA: “</w:t>
      </w:r>
      <w:r w:rsidR="00C87F47" w:rsidRPr="00C87F47">
        <w:rPr>
          <w:rFonts w:ascii="Arial" w:hAnsi="Arial" w:cs="Arial"/>
          <w:color w:val="767171" w:themeColor="background2" w:themeShade="80"/>
          <w:sz w:val="22"/>
          <w:szCs w:val="22"/>
        </w:rPr>
        <w:t>If the court is satisfied that the application for the recognition of a foreign proceeding relates to a foreign proceeding and that the applicant is a foreign representative in respect of that foreign proceeding, the court shall make an order rec</w:t>
      </w:r>
      <w:r w:rsidR="00C87F47">
        <w:rPr>
          <w:rFonts w:ascii="Arial" w:hAnsi="Arial" w:cs="Arial"/>
          <w:color w:val="767171" w:themeColor="background2" w:themeShade="80"/>
          <w:sz w:val="22"/>
          <w:szCs w:val="22"/>
        </w:rPr>
        <w:t>ognizing the foreign proceeding</w:t>
      </w:r>
      <w:r w:rsidR="008C6FAA" w:rsidRPr="00C87F47">
        <w:rPr>
          <w:rFonts w:ascii="Arial" w:hAnsi="Arial" w:cs="Arial"/>
          <w:color w:val="767171" w:themeColor="background2" w:themeShade="80"/>
          <w:sz w:val="22"/>
          <w:szCs w:val="22"/>
          <w:lang w:val="en-GB"/>
        </w:rPr>
        <w:t>]</w:t>
      </w:r>
      <w:r w:rsidR="00685E52" w:rsidRPr="00C87F47">
        <w:rPr>
          <w:rFonts w:ascii="Arial" w:hAnsi="Arial" w:cs="Arial"/>
          <w:color w:val="767171" w:themeColor="background2" w:themeShade="80"/>
          <w:sz w:val="22"/>
          <w:szCs w:val="22"/>
          <w:lang w:val="en-GB"/>
        </w:rPr>
        <w:t xml:space="preserve">. </w:t>
      </w:r>
      <w:r w:rsidR="00497D97" w:rsidRPr="00C87F47">
        <w:rPr>
          <w:rFonts w:ascii="Arial" w:hAnsi="Arial" w:cs="Arial"/>
          <w:color w:val="767171" w:themeColor="background2" w:themeShade="80"/>
          <w:sz w:val="22"/>
          <w:szCs w:val="22"/>
          <w:lang w:val="en-GB"/>
        </w:rPr>
        <w:t>The definitions in the</w:t>
      </w:r>
      <w:r w:rsidR="00EE4AC3" w:rsidRPr="00C87F47">
        <w:rPr>
          <w:rFonts w:ascii="Arial" w:hAnsi="Arial" w:cs="Arial"/>
          <w:color w:val="767171" w:themeColor="background2" w:themeShade="80"/>
          <w:sz w:val="22"/>
          <w:szCs w:val="22"/>
          <w:lang w:val="en-GB"/>
        </w:rPr>
        <w:t xml:space="preserve"> BIA and the CCAA are the same and for sake of brevity (see sections</w:t>
      </w:r>
      <w:r w:rsidR="00EE0955" w:rsidRPr="00C87F47">
        <w:rPr>
          <w:rFonts w:ascii="Arial" w:hAnsi="Arial" w:cs="Arial"/>
          <w:color w:val="767171" w:themeColor="background2" w:themeShade="80"/>
          <w:sz w:val="22"/>
          <w:szCs w:val="22"/>
          <w:lang w:val="en-GB"/>
        </w:rPr>
        <w:t xml:space="preserve"> 268(1) of the BIA</w:t>
      </w:r>
      <w:r w:rsidR="00EE4AC3" w:rsidRPr="00C87F47">
        <w:rPr>
          <w:rFonts w:ascii="Arial" w:hAnsi="Arial" w:cs="Arial"/>
          <w:color w:val="767171" w:themeColor="background2" w:themeShade="80"/>
          <w:sz w:val="22"/>
          <w:szCs w:val="22"/>
          <w:lang w:val="en-GB"/>
        </w:rPr>
        <w:t xml:space="preserve"> 45(1) of the CCAA</w:t>
      </w:r>
      <w:r w:rsidR="00EE0955" w:rsidRPr="00C87F47">
        <w:rPr>
          <w:rFonts w:ascii="Arial" w:hAnsi="Arial" w:cs="Arial"/>
          <w:color w:val="767171" w:themeColor="background2" w:themeShade="80"/>
          <w:sz w:val="22"/>
          <w:szCs w:val="22"/>
          <w:lang w:val="en-GB"/>
        </w:rPr>
        <w:t xml:space="preserve">; see also Guidance Text </w:t>
      </w:r>
      <w:r w:rsidR="00EE0955">
        <w:rPr>
          <w:rFonts w:ascii="Arial" w:hAnsi="Arial" w:cs="Arial"/>
          <w:color w:val="7B7B7B" w:themeColor="accent3" w:themeShade="BF"/>
          <w:sz w:val="22"/>
          <w:szCs w:val="22"/>
          <w:lang w:val="en-GB"/>
        </w:rPr>
        <w:t>par 7.2 page 52</w:t>
      </w:r>
      <w:r w:rsidR="00A81E43">
        <w:rPr>
          <w:rFonts w:ascii="Arial" w:hAnsi="Arial" w:cs="Arial"/>
          <w:color w:val="7B7B7B" w:themeColor="accent3" w:themeShade="BF"/>
          <w:sz w:val="22"/>
          <w:szCs w:val="22"/>
          <w:lang w:val="en-GB"/>
        </w:rPr>
        <w:t>; these are clearly an attempt at liquidation, so the use of the CCAA as reference would also be misplaced – see Guidance Text par 4.1.2 page 5</w:t>
      </w:r>
      <w:r w:rsidR="00EE4AC3">
        <w:rPr>
          <w:rFonts w:ascii="Arial" w:hAnsi="Arial" w:cs="Arial"/>
          <w:color w:val="7B7B7B" w:themeColor="accent3" w:themeShade="BF"/>
          <w:sz w:val="22"/>
          <w:szCs w:val="22"/>
          <w:lang w:val="en-GB"/>
        </w:rPr>
        <w:t>), only the definitions set out in t</w:t>
      </w:r>
      <w:r w:rsidR="00EE0955">
        <w:rPr>
          <w:rFonts w:ascii="Arial" w:hAnsi="Arial" w:cs="Arial"/>
          <w:color w:val="7B7B7B" w:themeColor="accent3" w:themeShade="BF"/>
          <w:sz w:val="22"/>
          <w:szCs w:val="22"/>
          <w:lang w:val="en-GB"/>
        </w:rPr>
        <w:t xml:space="preserve">he BIA will be </w:t>
      </w:r>
      <w:r w:rsidR="00EE0955" w:rsidRPr="00C87F47">
        <w:rPr>
          <w:rFonts w:ascii="Arial" w:hAnsi="Arial" w:cs="Arial"/>
          <w:color w:val="7B7B7B" w:themeColor="accent3" w:themeShade="BF"/>
          <w:sz w:val="22"/>
          <w:szCs w:val="22"/>
          <w:lang w:val="en-GB"/>
        </w:rPr>
        <w:t>referred to here. Section 268(1) of the BIA determines the following:</w:t>
      </w:r>
      <w:r w:rsidR="00EE4AC3" w:rsidRPr="00C87F47">
        <w:rPr>
          <w:rFonts w:ascii="Arial" w:hAnsi="Arial" w:cs="Arial"/>
          <w:color w:val="7B7B7B" w:themeColor="accent3" w:themeShade="BF"/>
          <w:sz w:val="22"/>
          <w:szCs w:val="22"/>
          <w:lang w:val="en-GB"/>
        </w:rPr>
        <w:t xml:space="preserve"> </w:t>
      </w:r>
      <w:r w:rsidR="00EE4AC3" w:rsidRPr="00C87F47">
        <w:rPr>
          <w:rFonts w:ascii="Arial" w:hAnsi="Arial" w:cs="Arial"/>
          <w:color w:val="767171" w:themeColor="background2" w:themeShade="80"/>
          <w:sz w:val="22"/>
          <w:szCs w:val="22"/>
          <w:lang w:val="en-GB"/>
        </w:rPr>
        <w:t>“</w:t>
      </w:r>
      <w:r w:rsidR="00EE4AC3" w:rsidRPr="00C87F47">
        <w:rPr>
          <w:rStyle w:val="HTMLDefinition"/>
          <w:rFonts w:ascii="Arial" w:hAnsi="Arial" w:cs="Arial"/>
          <w:bCs/>
          <w:color w:val="767171" w:themeColor="background2" w:themeShade="80"/>
          <w:sz w:val="22"/>
          <w:szCs w:val="22"/>
        </w:rPr>
        <w:t>foreign proceeding</w:t>
      </w:r>
      <w:r w:rsidR="00EE0955" w:rsidRPr="00C87F47">
        <w:rPr>
          <w:rFonts w:ascii="Arial" w:hAnsi="Arial" w:cs="Arial"/>
          <w:color w:val="767171" w:themeColor="background2" w:themeShade="80"/>
          <w:sz w:val="22"/>
          <w:szCs w:val="22"/>
        </w:rPr>
        <w:t xml:space="preserve"> </w:t>
      </w:r>
      <w:r w:rsidR="00EE4AC3" w:rsidRPr="00C87F47">
        <w:rPr>
          <w:rFonts w:ascii="Arial" w:hAnsi="Arial" w:cs="Arial"/>
          <w:color w:val="767171" w:themeColor="background2" w:themeShade="80"/>
          <w:sz w:val="22"/>
          <w:szCs w:val="22"/>
        </w:rPr>
        <w:t>means a judicial or an administrative proceeding, including an interim proceeding, in a jurisdiction outside Canada dealing with creditor’s collective interests generally under any law relating to bankruptcy or insolvency in which a debtor’s property and affairs are subject to control or supervision by a foreign court for the purpose of reorganization or liquidation</w:t>
      </w:r>
      <w:r w:rsidR="00EE0955" w:rsidRPr="00C87F47">
        <w:rPr>
          <w:rFonts w:ascii="Arial" w:hAnsi="Arial" w:cs="Arial"/>
          <w:color w:val="767171" w:themeColor="background2" w:themeShade="80"/>
          <w:sz w:val="22"/>
          <w:szCs w:val="22"/>
        </w:rPr>
        <w:t>” and “</w:t>
      </w:r>
      <w:r w:rsidR="00EE4AC3" w:rsidRPr="00C87F47">
        <w:rPr>
          <w:rStyle w:val="HTMLDefinition"/>
          <w:rFonts w:ascii="Arial" w:hAnsi="Arial" w:cs="Arial"/>
          <w:bCs/>
          <w:color w:val="767171" w:themeColor="background2" w:themeShade="80"/>
          <w:sz w:val="22"/>
          <w:szCs w:val="22"/>
        </w:rPr>
        <w:t>foreign representative</w:t>
      </w:r>
      <w:r w:rsidR="00EE4AC3" w:rsidRPr="00C87F47">
        <w:rPr>
          <w:rFonts w:ascii="Arial" w:hAnsi="Arial" w:cs="Arial"/>
          <w:color w:val="767171" w:themeColor="background2" w:themeShade="80"/>
          <w:sz w:val="22"/>
          <w:szCs w:val="22"/>
        </w:rPr>
        <w:t> </w:t>
      </w:r>
      <w:r w:rsidR="00EE4AC3" w:rsidRPr="00C87F47">
        <w:rPr>
          <w:rFonts w:ascii="Arial" w:hAnsi="Arial" w:cs="Arial"/>
          <w:color w:val="767171" w:themeColor="background2" w:themeShade="80"/>
          <w:sz w:val="22"/>
          <w:szCs w:val="22"/>
        </w:rPr>
        <w:t>means a person or body, including one appointed on an interim basis, who is authorized, in a foreign proceeding in respect of a debtor, to</w:t>
      </w:r>
      <w:r w:rsidR="00EE0955" w:rsidRPr="00C87F47">
        <w:rPr>
          <w:rFonts w:ascii="Arial" w:hAnsi="Arial" w:cs="Arial"/>
          <w:color w:val="767171" w:themeColor="background2" w:themeShade="80"/>
          <w:sz w:val="22"/>
          <w:szCs w:val="22"/>
        </w:rPr>
        <w:t xml:space="preserve"> </w:t>
      </w:r>
      <w:r w:rsidR="00EE4AC3" w:rsidRPr="00C87F47">
        <w:rPr>
          <w:rStyle w:val="lawlabel"/>
          <w:rFonts w:ascii="Arial" w:hAnsi="Arial" w:cs="Arial"/>
          <w:bCs/>
          <w:color w:val="767171" w:themeColor="background2" w:themeShade="80"/>
          <w:sz w:val="22"/>
          <w:szCs w:val="22"/>
        </w:rPr>
        <w:t>(a)</w:t>
      </w:r>
      <w:r w:rsidR="00EE4AC3" w:rsidRPr="00C87F47">
        <w:rPr>
          <w:rFonts w:ascii="Arial" w:hAnsi="Arial" w:cs="Arial"/>
          <w:color w:val="767171" w:themeColor="background2" w:themeShade="80"/>
          <w:sz w:val="22"/>
          <w:szCs w:val="22"/>
        </w:rPr>
        <w:t> administer the debtor’s property or affairs for the purpose of reorganization or liquidation; or</w:t>
      </w:r>
      <w:r w:rsidR="00EE0955" w:rsidRPr="00C87F47">
        <w:rPr>
          <w:rFonts w:ascii="Arial" w:hAnsi="Arial" w:cs="Arial"/>
          <w:color w:val="767171" w:themeColor="background2" w:themeShade="80"/>
          <w:sz w:val="22"/>
          <w:szCs w:val="22"/>
        </w:rPr>
        <w:t xml:space="preserve"> </w:t>
      </w:r>
      <w:r w:rsidR="00EE4AC3" w:rsidRPr="00C87F47">
        <w:rPr>
          <w:rStyle w:val="lawlabel"/>
          <w:rFonts w:ascii="Arial" w:hAnsi="Arial" w:cs="Arial"/>
          <w:bCs/>
          <w:color w:val="767171" w:themeColor="background2" w:themeShade="80"/>
          <w:sz w:val="22"/>
          <w:szCs w:val="22"/>
        </w:rPr>
        <w:t>(b)</w:t>
      </w:r>
      <w:r w:rsidR="00EE4AC3" w:rsidRPr="00C87F47">
        <w:rPr>
          <w:rFonts w:ascii="Arial" w:hAnsi="Arial" w:cs="Arial"/>
          <w:color w:val="767171" w:themeColor="background2" w:themeShade="80"/>
          <w:sz w:val="22"/>
          <w:szCs w:val="22"/>
        </w:rPr>
        <w:t> act as a representative in re</w:t>
      </w:r>
      <w:r w:rsidR="00EE0955" w:rsidRPr="00C87F47">
        <w:rPr>
          <w:rFonts w:ascii="Arial" w:hAnsi="Arial" w:cs="Arial"/>
          <w:color w:val="767171" w:themeColor="background2" w:themeShade="80"/>
          <w:sz w:val="22"/>
          <w:szCs w:val="22"/>
        </w:rPr>
        <w:t>spect of the foreign proceeding</w:t>
      </w:r>
      <w:r w:rsidR="00EE4AC3" w:rsidRPr="00C87F47">
        <w:rPr>
          <w:rFonts w:ascii="Arial" w:hAnsi="Arial" w:cs="Arial"/>
          <w:color w:val="767171" w:themeColor="background2" w:themeShade="80"/>
          <w:sz w:val="22"/>
          <w:szCs w:val="22"/>
        </w:rPr>
        <w:t>”</w:t>
      </w:r>
      <w:r w:rsidR="00EE0955" w:rsidRPr="00C87F47">
        <w:rPr>
          <w:rFonts w:ascii="Arial" w:hAnsi="Arial" w:cs="Arial"/>
          <w:color w:val="767171" w:themeColor="background2" w:themeShade="80"/>
          <w:sz w:val="22"/>
          <w:szCs w:val="22"/>
        </w:rPr>
        <w:t>. As such, the foreign agent will have to show that he is from a jurisdiction other than Canada</w:t>
      </w:r>
      <w:r w:rsidR="00FC3AA5" w:rsidRPr="00C87F47">
        <w:rPr>
          <w:rFonts w:ascii="Arial" w:hAnsi="Arial" w:cs="Arial"/>
          <w:color w:val="767171" w:themeColor="background2" w:themeShade="80"/>
          <w:sz w:val="22"/>
          <w:szCs w:val="22"/>
        </w:rPr>
        <w:t xml:space="preserve"> (the facts mention that he operates under the law of a “foreign jurisdiction”)</w:t>
      </w:r>
      <w:r w:rsidR="00EE0955" w:rsidRPr="00C87F47">
        <w:rPr>
          <w:rFonts w:ascii="Arial" w:hAnsi="Arial" w:cs="Arial"/>
          <w:color w:val="767171" w:themeColor="background2" w:themeShade="80"/>
          <w:sz w:val="22"/>
          <w:szCs w:val="22"/>
        </w:rPr>
        <w:t xml:space="preserve">, </w:t>
      </w:r>
      <w:r w:rsidR="00FC3AA5" w:rsidRPr="00C87F47">
        <w:rPr>
          <w:rFonts w:ascii="Arial" w:hAnsi="Arial" w:cs="Arial"/>
          <w:color w:val="767171" w:themeColor="background2" w:themeShade="80"/>
          <w:sz w:val="22"/>
          <w:szCs w:val="22"/>
        </w:rPr>
        <w:t>and that he is allowed to deal with</w:t>
      </w:r>
      <w:r w:rsidR="00FC3AA5">
        <w:rPr>
          <w:rFonts w:ascii="Arial" w:hAnsi="Arial" w:cs="Arial"/>
          <w:color w:val="767171" w:themeColor="background2" w:themeShade="80"/>
          <w:sz w:val="22"/>
          <w:szCs w:val="22"/>
        </w:rPr>
        <w:t xml:space="preserve"> the debtor’s property (the </w:t>
      </w:r>
      <w:r w:rsidR="00FC3AA5" w:rsidRPr="00FC3AA5">
        <w:rPr>
          <w:rFonts w:ascii="Arial" w:hAnsi="Arial" w:cs="Arial"/>
          <w:color w:val="767171" w:themeColor="background2" w:themeShade="80"/>
          <w:sz w:val="22"/>
          <w:szCs w:val="22"/>
        </w:rPr>
        <w:t xml:space="preserve">facts mention that he </w:t>
      </w:r>
      <w:r w:rsidR="00FC3AA5" w:rsidRPr="00FC3AA5">
        <w:rPr>
          <w:rFonts w:ascii="Arial" w:hAnsi="Arial" w:cs="Arial"/>
          <w:color w:val="767171" w:themeColor="background2" w:themeShade="80"/>
          <w:sz w:val="22"/>
          <w:szCs w:val="22"/>
          <w:lang w:val="en-GB"/>
        </w:rPr>
        <w:t>is empowered by the legislation and courts of that foreign jurisdiction to deal with the assets of insolvent companies)</w:t>
      </w:r>
      <w:r w:rsidR="00FC3AA5">
        <w:rPr>
          <w:rFonts w:ascii="Arial" w:hAnsi="Arial" w:cs="Arial"/>
          <w:color w:val="767171" w:themeColor="background2" w:themeShade="80"/>
          <w:sz w:val="22"/>
          <w:szCs w:val="22"/>
          <w:lang w:val="en-GB"/>
        </w:rPr>
        <w:t>. Alternatively he can prove to the court that he may act as agent regarding the proceedings taking place in the foreign jurisdiction. The facts allude to the use of the former, as opposed to the latter (unless the use of the term “agent” is to mean “representative”). The foreign agent</w:t>
      </w:r>
      <w:r w:rsidR="004739B2">
        <w:rPr>
          <w:rFonts w:ascii="Arial" w:hAnsi="Arial" w:cs="Arial"/>
          <w:color w:val="767171" w:themeColor="background2" w:themeShade="80"/>
          <w:sz w:val="22"/>
          <w:szCs w:val="22"/>
          <w:lang w:val="en-GB"/>
        </w:rPr>
        <w:t xml:space="preserve"> must also provide evidence to the court that “foreign proceedings” were opened in the foreign jurisdiction as the Canadian courts may only recognised proceedings in cross-border matters that comply with the definition set out in the legislation quoted above</w:t>
      </w:r>
      <w:r w:rsidR="00CB3018">
        <w:rPr>
          <w:rFonts w:ascii="Arial" w:hAnsi="Arial" w:cs="Arial"/>
          <w:color w:val="767171" w:themeColor="background2" w:themeShade="80"/>
          <w:sz w:val="22"/>
          <w:szCs w:val="22"/>
          <w:lang w:val="en-GB"/>
        </w:rPr>
        <w:t xml:space="preserve"> [Guidance Text par 7.4 page 54].</w:t>
      </w:r>
      <w:r w:rsidR="004739B2">
        <w:rPr>
          <w:rFonts w:ascii="Arial" w:hAnsi="Arial" w:cs="Arial"/>
          <w:color w:val="767171" w:themeColor="background2" w:themeShade="80"/>
          <w:sz w:val="22"/>
          <w:szCs w:val="22"/>
          <w:lang w:val="en-GB"/>
        </w:rPr>
        <w:t xml:space="preserve"> </w:t>
      </w:r>
      <w:r w:rsidR="00CB3018">
        <w:rPr>
          <w:rFonts w:ascii="Arial" w:hAnsi="Arial" w:cs="Arial"/>
          <w:color w:val="767171" w:themeColor="background2" w:themeShade="80"/>
          <w:sz w:val="22"/>
          <w:szCs w:val="22"/>
          <w:lang w:val="en-GB"/>
        </w:rPr>
        <w:t>A</w:t>
      </w:r>
      <w:r w:rsidR="004739B2">
        <w:rPr>
          <w:rFonts w:ascii="Arial" w:hAnsi="Arial" w:cs="Arial"/>
          <w:color w:val="767171" w:themeColor="background2" w:themeShade="80"/>
          <w:sz w:val="22"/>
          <w:szCs w:val="22"/>
          <w:lang w:val="en-GB"/>
        </w:rPr>
        <w:t xml:space="preserve">lthough the facts state that the agent has the ability to deal with the insolvent companies’ property as per the provisions of legislation and by virtue of court authority, there is no indication that </w:t>
      </w:r>
      <w:r w:rsidR="00CB3018">
        <w:rPr>
          <w:rFonts w:ascii="Arial" w:hAnsi="Arial" w:cs="Arial"/>
          <w:color w:val="767171" w:themeColor="background2" w:themeShade="80"/>
          <w:sz w:val="22"/>
          <w:szCs w:val="22"/>
          <w:lang w:val="en-GB"/>
        </w:rPr>
        <w:t xml:space="preserve">this is due to bankruptcy </w:t>
      </w:r>
      <w:r w:rsidR="004739B2">
        <w:rPr>
          <w:rFonts w:ascii="Arial" w:hAnsi="Arial" w:cs="Arial"/>
          <w:color w:val="767171" w:themeColor="background2" w:themeShade="80"/>
          <w:sz w:val="22"/>
          <w:szCs w:val="22"/>
          <w:lang w:val="en-GB"/>
        </w:rPr>
        <w:t xml:space="preserve">proceedings </w:t>
      </w:r>
      <w:r w:rsidR="00CB3018">
        <w:rPr>
          <w:rFonts w:ascii="Arial" w:hAnsi="Arial" w:cs="Arial"/>
          <w:color w:val="767171" w:themeColor="background2" w:themeShade="80"/>
          <w:sz w:val="22"/>
          <w:szCs w:val="22"/>
          <w:lang w:val="en-GB"/>
        </w:rPr>
        <w:t xml:space="preserve">that </w:t>
      </w:r>
      <w:r w:rsidR="004739B2">
        <w:rPr>
          <w:rFonts w:ascii="Arial" w:hAnsi="Arial" w:cs="Arial"/>
          <w:color w:val="767171" w:themeColor="background2" w:themeShade="80"/>
          <w:sz w:val="22"/>
          <w:szCs w:val="22"/>
          <w:lang w:val="en-GB"/>
        </w:rPr>
        <w:t>were opened</w:t>
      </w:r>
      <w:r w:rsidR="009A6828">
        <w:rPr>
          <w:rFonts w:ascii="Arial" w:hAnsi="Arial" w:cs="Arial"/>
          <w:color w:val="767171" w:themeColor="background2" w:themeShade="80"/>
          <w:sz w:val="22"/>
          <w:szCs w:val="22"/>
          <w:lang w:val="en-GB"/>
        </w:rPr>
        <w:t xml:space="preserve"> (although the Canadian courts support substance over form – see Guidance Text 7.8.2 par 56 regarding </w:t>
      </w:r>
      <w:r w:rsidR="009A6828">
        <w:rPr>
          <w:rFonts w:ascii="Arial" w:hAnsi="Arial" w:cs="Arial"/>
          <w:i/>
          <w:color w:val="767171" w:themeColor="background2" w:themeShade="80"/>
          <w:sz w:val="22"/>
          <w:szCs w:val="22"/>
          <w:lang w:val="en-GB"/>
        </w:rPr>
        <w:t>Centaur Litigation SPC</w:t>
      </w:r>
      <w:r w:rsidR="009A6828" w:rsidRPr="009A6828">
        <w:rPr>
          <w:rFonts w:ascii="Arial" w:hAnsi="Arial" w:cs="Arial"/>
          <w:color w:val="767171" w:themeColor="background2" w:themeShade="80"/>
          <w:sz w:val="22"/>
          <w:szCs w:val="22"/>
          <w:lang w:val="en-GB"/>
        </w:rPr>
        <w:t>]</w:t>
      </w:r>
      <w:r w:rsidR="004739B2">
        <w:rPr>
          <w:rFonts w:ascii="Arial" w:hAnsi="Arial" w:cs="Arial"/>
          <w:color w:val="767171" w:themeColor="background2" w:themeShade="80"/>
          <w:sz w:val="22"/>
          <w:szCs w:val="22"/>
          <w:lang w:val="en-GB"/>
        </w:rPr>
        <w:t>. The agent will thus have to prove to the court that, even though he is acting in a manner that considers the “</w:t>
      </w:r>
      <w:r w:rsidR="004739B2" w:rsidRPr="00EE0955">
        <w:rPr>
          <w:rFonts w:ascii="Arial" w:hAnsi="Arial" w:cs="Arial"/>
          <w:color w:val="767171" w:themeColor="background2" w:themeShade="80"/>
          <w:sz w:val="22"/>
          <w:szCs w:val="22"/>
        </w:rPr>
        <w:t>creditor’s collective interests</w:t>
      </w:r>
      <w:r w:rsidR="004739B2">
        <w:rPr>
          <w:rFonts w:ascii="Arial" w:hAnsi="Arial" w:cs="Arial"/>
          <w:color w:val="767171" w:themeColor="background2" w:themeShade="80"/>
          <w:sz w:val="22"/>
          <w:szCs w:val="22"/>
        </w:rPr>
        <w:t>”</w:t>
      </w:r>
      <w:r w:rsidR="005362CA">
        <w:rPr>
          <w:rFonts w:ascii="Arial" w:hAnsi="Arial" w:cs="Arial"/>
          <w:color w:val="767171" w:themeColor="background2" w:themeShade="80"/>
          <w:sz w:val="22"/>
          <w:szCs w:val="22"/>
        </w:rPr>
        <w:t xml:space="preserve"> (see the last sentence of the facts)</w:t>
      </w:r>
      <w:r w:rsidR="00CB3018">
        <w:rPr>
          <w:rFonts w:ascii="Arial" w:hAnsi="Arial" w:cs="Arial"/>
          <w:color w:val="767171" w:themeColor="background2" w:themeShade="80"/>
          <w:sz w:val="22"/>
          <w:szCs w:val="22"/>
        </w:rPr>
        <w:t xml:space="preserve"> and he may deal with the “</w:t>
      </w:r>
      <w:r w:rsidR="00CB3018" w:rsidRPr="00EE0955">
        <w:rPr>
          <w:rFonts w:ascii="Arial" w:hAnsi="Arial" w:cs="Arial"/>
          <w:color w:val="767171" w:themeColor="background2" w:themeShade="80"/>
          <w:sz w:val="22"/>
          <w:szCs w:val="22"/>
        </w:rPr>
        <w:t xml:space="preserve">debtor’s </w:t>
      </w:r>
      <w:r w:rsidR="00CB3018" w:rsidRPr="00EE0955">
        <w:rPr>
          <w:rFonts w:ascii="Arial" w:hAnsi="Arial" w:cs="Arial"/>
          <w:color w:val="767171" w:themeColor="background2" w:themeShade="80"/>
          <w:sz w:val="22"/>
          <w:szCs w:val="22"/>
        </w:rPr>
        <w:lastRenderedPageBreak/>
        <w:t>property and affairs are subject to control or supervision by a foreign court for the purpose of reorganization or liquidation</w:t>
      </w:r>
      <w:r w:rsidR="00CB3018">
        <w:rPr>
          <w:rFonts w:ascii="Arial" w:hAnsi="Arial" w:cs="Arial"/>
          <w:color w:val="767171" w:themeColor="background2" w:themeShade="80"/>
          <w:sz w:val="22"/>
          <w:szCs w:val="22"/>
        </w:rPr>
        <w:t xml:space="preserve">”, </w:t>
      </w:r>
      <w:r w:rsidR="004739B2">
        <w:rPr>
          <w:rFonts w:ascii="Arial" w:hAnsi="Arial" w:cs="Arial"/>
          <w:color w:val="767171" w:themeColor="background2" w:themeShade="80"/>
          <w:sz w:val="22"/>
          <w:szCs w:val="22"/>
        </w:rPr>
        <w:t>there is no indication that he is doing so by virtue of “</w:t>
      </w:r>
      <w:r w:rsidR="00CB3018" w:rsidRPr="00EE0955">
        <w:rPr>
          <w:rFonts w:ascii="Arial" w:hAnsi="Arial" w:cs="Arial"/>
          <w:color w:val="767171" w:themeColor="background2" w:themeShade="80"/>
          <w:sz w:val="22"/>
          <w:szCs w:val="22"/>
        </w:rPr>
        <w:t>a judicial or an administrative proceeding</w:t>
      </w:r>
      <w:r w:rsidR="00CB3018">
        <w:rPr>
          <w:rFonts w:ascii="Arial" w:hAnsi="Arial" w:cs="Arial"/>
          <w:color w:val="767171" w:themeColor="background2" w:themeShade="80"/>
          <w:sz w:val="22"/>
          <w:szCs w:val="22"/>
        </w:rPr>
        <w:t xml:space="preserve"> …</w:t>
      </w:r>
      <w:r w:rsidR="004739B2" w:rsidRPr="00EE0955">
        <w:rPr>
          <w:rFonts w:ascii="Arial" w:hAnsi="Arial" w:cs="Arial"/>
          <w:color w:val="767171" w:themeColor="background2" w:themeShade="80"/>
          <w:sz w:val="22"/>
          <w:szCs w:val="22"/>
        </w:rPr>
        <w:t xml:space="preserve"> under any law relat</w:t>
      </w:r>
      <w:r w:rsidR="00CB3018">
        <w:rPr>
          <w:rFonts w:ascii="Arial" w:hAnsi="Arial" w:cs="Arial"/>
          <w:color w:val="767171" w:themeColor="background2" w:themeShade="80"/>
          <w:sz w:val="22"/>
          <w:szCs w:val="22"/>
        </w:rPr>
        <w:t>ing to bankruptcy or insolvency” (see section 286 of the BIA above). As his classification as a “foreign representative” is dependent on the developments in the foreign jurisdiction being “foreign proceedings”, he will have to convince the court of the latter [</w:t>
      </w:r>
      <w:r w:rsidR="00CB3018">
        <w:rPr>
          <w:rFonts w:ascii="Arial" w:hAnsi="Arial" w:cs="Arial"/>
          <w:color w:val="767171" w:themeColor="background2" w:themeShade="80"/>
          <w:sz w:val="22"/>
          <w:szCs w:val="22"/>
          <w:lang w:val="en-GB"/>
        </w:rPr>
        <w:t>Guidance Text par 7.4 page 54].</w:t>
      </w:r>
      <w:r w:rsidR="00B34DE1">
        <w:rPr>
          <w:rFonts w:ascii="Arial" w:hAnsi="Arial" w:cs="Arial"/>
          <w:color w:val="767171" w:themeColor="background2" w:themeShade="80"/>
          <w:sz w:val="22"/>
          <w:szCs w:val="22"/>
          <w:lang w:val="en-GB"/>
        </w:rPr>
        <w:t xml:space="preserve"> He would also have to provide documentary proof in accordance with section 269(2)(a) and (b) of the BIA, that foreign proceedings were initiated and that he has been duly authorised to act as representative, in order to be successful.</w:t>
      </w:r>
    </w:p>
    <w:p w14:paraId="130A69EE" w14:textId="12403D0A" w:rsidR="00685E52" w:rsidRPr="005362CA" w:rsidRDefault="00685E52" w:rsidP="00CB3018">
      <w:pPr>
        <w:pStyle w:val="definition"/>
        <w:shd w:val="clear" w:color="auto" w:fill="FFFFFF"/>
        <w:spacing w:before="0" w:beforeAutospacing="0" w:after="0" w:afterAutospacing="0"/>
        <w:jc w:val="both"/>
        <w:rPr>
          <w:rFonts w:ascii="Arial" w:hAnsi="Arial" w:cs="Arial"/>
          <w:b/>
          <w:color w:val="767171" w:themeColor="background2" w:themeShade="80"/>
          <w:sz w:val="22"/>
          <w:szCs w:val="22"/>
          <w:lang w:val="en-GB"/>
        </w:rPr>
      </w:pPr>
      <w:r w:rsidRPr="00CB3018">
        <w:rPr>
          <w:rFonts w:ascii="Arial" w:hAnsi="Arial" w:cs="Arial"/>
          <w:color w:val="7B7B7B" w:themeColor="accent3" w:themeShade="BF"/>
          <w:sz w:val="22"/>
          <w:szCs w:val="22"/>
          <w:lang w:val="en-GB"/>
        </w:rPr>
        <w:t>After the above has been determined</w:t>
      </w:r>
      <w:r w:rsidR="00917FDC">
        <w:rPr>
          <w:rFonts w:ascii="Arial" w:hAnsi="Arial" w:cs="Arial"/>
          <w:color w:val="7B7B7B" w:themeColor="accent3" w:themeShade="BF"/>
          <w:sz w:val="22"/>
          <w:szCs w:val="22"/>
          <w:lang w:val="en-GB"/>
        </w:rPr>
        <w:t xml:space="preserve"> (if at all)</w:t>
      </w:r>
      <w:r w:rsidRPr="00CB3018">
        <w:rPr>
          <w:rFonts w:ascii="Arial" w:hAnsi="Arial" w:cs="Arial"/>
          <w:color w:val="7B7B7B" w:themeColor="accent3" w:themeShade="BF"/>
          <w:sz w:val="22"/>
          <w:szCs w:val="22"/>
          <w:lang w:val="en-GB"/>
        </w:rPr>
        <w:t>, there must be a classification of the foreign proceeding as a “main” or “non-main” proceeding [Guidance Text par 7.4. page 54].</w:t>
      </w:r>
      <w:r w:rsidR="00260ED7" w:rsidRPr="00CB3018">
        <w:rPr>
          <w:rFonts w:ascii="Arial" w:hAnsi="Arial" w:cs="Arial"/>
          <w:color w:val="7B7B7B" w:themeColor="accent3" w:themeShade="BF"/>
          <w:sz w:val="22"/>
          <w:szCs w:val="22"/>
          <w:lang w:val="en-GB"/>
        </w:rPr>
        <w:t xml:space="preserve"> The determining factor is whether the debtor’s “centre of main interests” are located in the jurisdiction whose order the applicant seeks to have recognised in Canada [Guidance Text par 7.5. page 54]. If this is the case, then the proceedings in the foreign jurisdiction will be deemed a foreign main proceeding; if not, the proceeding will be a foreign non-main proceeding [Guidance Text par 7.5 page 55]</w:t>
      </w:r>
      <w:r w:rsidR="00684CCD">
        <w:rPr>
          <w:rFonts w:ascii="Arial" w:hAnsi="Arial" w:cs="Arial"/>
          <w:color w:val="7B7B7B" w:themeColor="accent3" w:themeShade="BF"/>
          <w:sz w:val="22"/>
          <w:szCs w:val="22"/>
          <w:lang w:val="en-GB"/>
        </w:rPr>
        <w:t xml:space="preserve">. A corporate debtor’s centre of main interest is deemed to be </w:t>
      </w:r>
      <w:r w:rsidR="005362CA">
        <w:rPr>
          <w:rFonts w:ascii="Arial" w:hAnsi="Arial" w:cs="Arial"/>
          <w:color w:val="7B7B7B" w:themeColor="accent3" w:themeShade="BF"/>
          <w:sz w:val="22"/>
          <w:szCs w:val="22"/>
          <w:lang w:val="en-GB"/>
        </w:rPr>
        <w:t>where its</w:t>
      </w:r>
      <w:r w:rsidR="00684CCD">
        <w:rPr>
          <w:rFonts w:ascii="Arial" w:hAnsi="Arial" w:cs="Arial"/>
          <w:color w:val="7B7B7B" w:themeColor="accent3" w:themeShade="BF"/>
          <w:sz w:val="22"/>
          <w:szCs w:val="22"/>
          <w:lang w:val="en-GB"/>
        </w:rPr>
        <w:t xml:space="preserve"> registered office is located [Guidance Text par 7.5 page 54</w:t>
      </w:r>
      <w:r w:rsidR="001D0953">
        <w:rPr>
          <w:rFonts w:ascii="Arial" w:hAnsi="Arial" w:cs="Arial"/>
          <w:color w:val="7B7B7B" w:themeColor="accent3" w:themeShade="BF"/>
          <w:sz w:val="22"/>
          <w:szCs w:val="22"/>
          <w:lang w:val="en-GB"/>
        </w:rPr>
        <w:t xml:space="preserve"> – see also the importance of the location of management in Guidance Text par 7.8.5 page 59</w:t>
      </w:r>
      <w:r w:rsidR="00684CCD">
        <w:rPr>
          <w:rFonts w:ascii="Arial" w:hAnsi="Arial" w:cs="Arial"/>
          <w:color w:val="7B7B7B" w:themeColor="accent3" w:themeShade="BF"/>
          <w:sz w:val="22"/>
          <w:szCs w:val="22"/>
          <w:lang w:val="en-GB"/>
        </w:rPr>
        <w:t>]. The facts state that the address of the company’s registered head office is in the foreign jurisdictions – thus proof to this effect must be provided to the court [Ibid; see also Guidance Text par 7.4 page 54]. Where no facts are forwarded to dispute that the foreign jurisdiction is the COMI of the debtor, the proceedings will be evidenced as foreign main proceedings [Guidance Text par 7.5 pages 54 and 55]. There is no evidence to the contrary in the facts (regarding creditor perspectives, etc.) and the fact that the company functions online and has a global market, would render considerations such as the place of “principal assets or operations”</w:t>
      </w:r>
      <w:r w:rsidR="005362CA">
        <w:rPr>
          <w:rFonts w:ascii="Arial" w:hAnsi="Arial" w:cs="Arial"/>
          <w:color w:val="7B7B7B" w:themeColor="accent3" w:themeShade="BF"/>
          <w:sz w:val="22"/>
          <w:szCs w:val="22"/>
          <w:lang w:val="en-GB"/>
        </w:rPr>
        <w:t xml:space="preserve"> difficult to prove to counter the “rebuttable presumption” of the debtor’s centre of main interests [Guidance Text par 7.5 pages 54].</w:t>
      </w:r>
    </w:p>
    <w:p w14:paraId="528BA665" w14:textId="032C54AF" w:rsidR="004739B2" w:rsidRPr="00D80DC2" w:rsidRDefault="004739B2" w:rsidP="004739B2">
      <w:pPr>
        <w:autoSpaceDE w:val="0"/>
        <w:autoSpaceDN w:val="0"/>
        <w:adjustRightInd w:val="0"/>
        <w:jc w:val="both"/>
        <w:rPr>
          <w:rFonts w:ascii="Arial" w:hAnsi="Arial" w:cs="Arial"/>
          <w:color w:val="7B7B7B"/>
          <w:sz w:val="22"/>
          <w:szCs w:val="22"/>
          <w:lang w:val="en-GB"/>
        </w:rPr>
      </w:pPr>
    </w:p>
    <w:p w14:paraId="527B62BB" w14:textId="77777777" w:rsidR="004739B2" w:rsidRPr="00AE184B" w:rsidRDefault="008C6FAA" w:rsidP="004739B2">
      <w:pPr>
        <w:autoSpaceDE w:val="0"/>
        <w:autoSpaceDN w:val="0"/>
        <w:adjustRightInd w:val="0"/>
        <w:jc w:val="both"/>
        <w:rPr>
          <w:rFonts w:ascii="Arial" w:hAnsi="Arial" w:cs="Arial"/>
          <w:b/>
          <w:bCs/>
          <w:sz w:val="22"/>
          <w:szCs w:val="22"/>
          <w:lang w:val="en-GB"/>
        </w:rPr>
      </w:pPr>
      <w:r w:rsidRPr="00BE7E24">
        <w:rPr>
          <w:rFonts w:ascii="Arial" w:hAnsi="Arial" w:cs="Arial"/>
          <w:b/>
          <w:bCs/>
          <w:sz w:val="22"/>
          <w:szCs w:val="22"/>
          <w:highlight w:val="green"/>
          <w:lang w:val="en-GB"/>
        </w:rPr>
        <w:t>Question 4.2 [maximum 5 marks]</w:t>
      </w:r>
    </w:p>
    <w:p w14:paraId="62878B4E" w14:textId="77777777" w:rsidR="004739B2" w:rsidRPr="00D80DC2" w:rsidRDefault="004739B2" w:rsidP="004739B2">
      <w:pPr>
        <w:autoSpaceDE w:val="0"/>
        <w:autoSpaceDN w:val="0"/>
        <w:adjustRightInd w:val="0"/>
        <w:jc w:val="both"/>
        <w:rPr>
          <w:rFonts w:ascii="Arial" w:hAnsi="Arial" w:cs="Arial"/>
          <w:sz w:val="22"/>
          <w:szCs w:val="22"/>
          <w:lang w:val="en-GB"/>
        </w:rPr>
      </w:pPr>
    </w:p>
    <w:p w14:paraId="3C3121C0" w14:textId="3FAA0144" w:rsidR="004739B2" w:rsidRDefault="008C6FAA" w:rsidP="004739B2">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0C221349" w14:textId="77777777" w:rsidR="00A81E43" w:rsidRDefault="00A81E43" w:rsidP="00484171">
      <w:pPr>
        <w:pStyle w:val="subsection"/>
        <w:shd w:val="clear" w:color="auto" w:fill="FFFFFF"/>
        <w:spacing w:before="0" w:beforeAutospacing="0" w:after="0" w:afterAutospacing="0"/>
        <w:jc w:val="both"/>
        <w:rPr>
          <w:rFonts w:ascii="Arial" w:hAnsi="Arial" w:cs="Arial"/>
          <w:color w:val="767171" w:themeColor="background2" w:themeShade="80"/>
          <w:sz w:val="22"/>
          <w:szCs w:val="22"/>
        </w:rPr>
      </w:pPr>
      <w:r>
        <w:rPr>
          <w:rFonts w:ascii="Arial" w:hAnsi="Arial" w:cs="Arial"/>
          <w:color w:val="7B7B7B" w:themeColor="accent3" w:themeShade="BF"/>
          <w:sz w:val="22"/>
          <w:szCs w:val="22"/>
          <w:lang w:val="en-GB"/>
        </w:rPr>
        <w:t>No</w:t>
      </w:r>
      <w:r w:rsidR="00502A02">
        <w:rPr>
          <w:rFonts w:ascii="Arial" w:hAnsi="Arial" w:cs="Arial"/>
          <w:color w:val="7B7B7B" w:themeColor="accent3" w:themeShade="BF"/>
          <w:sz w:val="22"/>
          <w:szCs w:val="22"/>
          <w:lang w:val="en-GB"/>
        </w:rPr>
        <w:t>, I do</w:t>
      </w:r>
      <w:r>
        <w:rPr>
          <w:rFonts w:ascii="Arial" w:hAnsi="Arial" w:cs="Arial"/>
          <w:color w:val="7B7B7B" w:themeColor="accent3" w:themeShade="BF"/>
          <w:sz w:val="22"/>
          <w:szCs w:val="22"/>
          <w:lang w:val="en-GB"/>
        </w:rPr>
        <w:t xml:space="preserve"> not (as per the court’s interpretation discussed below)</w:t>
      </w:r>
      <w:r w:rsidR="00502A0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although it is an automatic result </w:t>
      </w:r>
      <w:r w:rsidR="00502A02">
        <w:rPr>
          <w:rFonts w:ascii="Arial" w:hAnsi="Arial" w:cs="Arial"/>
          <w:color w:val="7B7B7B" w:themeColor="accent3" w:themeShade="BF"/>
          <w:sz w:val="22"/>
          <w:szCs w:val="22"/>
          <w:lang w:val="en-GB"/>
        </w:rPr>
        <w:t xml:space="preserve">once the foreign proceedings are recognised as foreign main proceedings (the latter due to the reasons set out above). </w:t>
      </w:r>
      <w:r w:rsidR="00660368">
        <w:rPr>
          <w:rFonts w:ascii="Arial" w:hAnsi="Arial" w:cs="Arial"/>
          <w:color w:val="7B7B7B" w:themeColor="accent3" w:themeShade="BF"/>
          <w:sz w:val="22"/>
          <w:szCs w:val="22"/>
          <w:lang w:val="en-GB"/>
        </w:rPr>
        <w:t>The agent will first have to be successful with the recognition application although the courts have approached the definitions of foreign proceedings and representatives leniently – “both terms are to be given a broad and purposive interpretation, thereby allowing an applicant to meet the requirements for recognition without difficulty” [Guidance Text par 7.4 pages 54].</w:t>
      </w:r>
      <w:r w:rsidR="00360189">
        <w:rPr>
          <w:rFonts w:ascii="Arial" w:hAnsi="Arial" w:cs="Arial"/>
          <w:color w:val="7B7B7B" w:themeColor="accent3" w:themeShade="BF"/>
          <w:sz w:val="22"/>
          <w:szCs w:val="22"/>
          <w:lang w:val="en-GB"/>
        </w:rPr>
        <w:t xml:space="preserve"> As indicated </w:t>
      </w:r>
      <w:r w:rsidR="00360189" w:rsidRPr="00963A1D">
        <w:rPr>
          <w:rFonts w:ascii="Arial" w:hAnsi="Arial" w:cs="Arial"/>
          <w:color w:val="767171" w:themeColor="background2" w:themeShade="80"/>
          <w:sz w:val="22"/>
          <w:szCs w:val="22"/>
          <w:lang w:val="en-GB"/>
        </w:rPr>
        <w:t>above, the proceedings in the foreign jurisdiction will be recognised by the Canadian court as foreign main proceedings [</w:t>
      </w:r>
      <w:r w:rsidR="008C6FAA" w:rsidRPr="00963A1D">
        <w:rPr>
          <w:rFonts w:ascii="Arial" w:hAnsi="Arial" w:cs="Arial"/>
          <w:color w:val="767171" w:themeColor="background2" w:themeShade="80"/>
          <w:sz w:val="22"/>
          <w:szCs w:val="22"/>
          <w:lang w:val="en-GB"/>
        </w:rPr>
        <w:t>[</w:t>
      </w:r>
      <w:r w:rsidR="00660368" w:rsidRPr="00963A1D">
        <w:rPr>
          <w:rFonts w:ascii="Arial" w:hAnsi="Arial" w:cs="Arial"/>
          <w:color w:val="767171" w:themeColor="background2" w:themeShade="80"/>
          <w:sz w:val="22"/>
          <w:szCs w:val="22"/>
          <w:lang w:val="en-GB"/>
        </w:rPr>
        <w:t>Guidance Text par 7.5 pages</w:t>
      </w:r>
      <w:r w:rsidR="00360189" w:rsidRPr="00963A1D">
        <w:rPr>
          <w:rFonts w:ascii="Arial" w:hAnsi="Arial" w:cs="Arial"/>
          <w:color w:val="767171" w:themeColor="background2" w:themeShade="80"/>
          <w:sz w:val="22"/>
          <w:szCs w:val="22"/>
          <w:lang w:val="en-GB"/>
        </w:rPr>
        <w:t xml:space="preserve"> 55</w:t>
      </w:r>
      <w:r w:rsidR="008C6FAA" w:rsidRPr="00963A1D">
        <w:rPr>
          <w:rFonts w:ascii="Arial" w:hAnsi="Arial" w:cs="Arial"/>
          <w:color w:val="767171" w:themeColor="background2" w:themeShade="80"/>
          <w:sz w:val="22"/>
          <w:szCs w:val="22"/>
          <w:lang w:val="en-GB"/>
        </w:rPr>
        <w:t>]</w:t>
      </w:r>
      <w:r w:rsidR="00360189" w:rsidRPr="00963A1D">
        <w:rPr>
          <w:rFonts w:ascii="Arial" w:hAnsi="Arial" w:cs="Arial"/>
          <w:color w:val="767171" w:themeColor="background2" w:themeShade="80"/>
          <w:sz w:val="22"/>
          <w:szCs w:val="22"/>
          <w:lang w:val="en-GB"/>
        </w:rPr>
        <w:t xml:space="preserve">. As such, a moratorium on </w:t>
      </w:r>
      <w:r w:rsidR="00963A1D" w:rsidRPr="00963A1D">
        <w:rPr>
          <w:rFonts w:ascii="Arial" w:hAnsi="Arial" w:cs="Arial"/>
          <w:color w:val="767171" w:themeColor="background2" w:themeShade="80"/>
          <w:sz w:val="22"/>
          <w:szCs w:val="22"/>
          <w:lang w:val="en-GB"/>
        </w:rPr>
        <w:t>legal action comes into effect as a matter of course (see section 271(1)(a) of the BIA: “</w:t>
      </w:r>
      <w:r w:rsidR="00963A1D" w:rsidRPr="00963A1D">
        <w:rPr>
          <w:rFonts w:ascii="Arial" w:hAnsi="Arial" w:cs="Arial"/>
          <w:color w:val="767171" w:themeColor="background2" w:themeShade="80"/>
          <w:sz w:val="22"/>
          <w:szCs w:val="22"/>
        </w:rPr>
        <w:t xml:space="preserve">…on the making of an order recognizing a foreign proceeding that is specified to be a foreign main proceeding, </w:t>
      </w:r>
      <w:r w:rsidR="00963A1D" w:rsidRPr="00963A1D">
        <w:rPr>
          <w:rStyle w:val="lawlabel"/>
          <w:rFonts w:ascii="Arial" w:hAnsi="Arial" w:cs="Arial"/>
          <w:bCs/>
          <w:color w:val="767171" w:themeColor="background2" w:themeShade="80"/>
          <w:sz w:val="22"/>
          <w:szCs w:val="22"/>
        </w:rPr>
        <w:t>…</w:t>
      </w:r>
      <w:r w:rsidR="00963A1D">
        <w:rPr>
          <w:rStyle w:val="lawlabel"/>
          <w:rFonts w:ascii="Arial" w:hAnsi="Arial" w:cs="Arial"/>
          <w:b/>
          <w:bCs/>
          <w:color w:val="767171" w:themeColor="background2" w:themeShade="80"/>
          <w:sz w:val="22"/>
          <w:szCs w:val="22"/>
        </w:rPr>
        <w:t xml:space="preserve"> </w:t>
      </w:r>
      <w:r w:rsidR="00963A1D" w:rsidRPr="00963A1D">
        <w:rPr>
          <w:rFonts w:ascii="Arial" w:hAnsi="Arial" w:cs="Arial"/>
          <w:color w:val="767171" w:themeColor="background2" w:themeShade="80"/>
          <w:sz w:val="22"/>
          <w:szCs w:val="22"/>
        </w:rPr>
        <w:t>no person shall commence or continue any action, execution or other proceedings concerning the debtor’s property, de</w:t>
      </w:r>
      <w:r w:rsidR="00963A1D">
        <w:rPr>
          <w:rFonts w:ascii="Arial" w:hAnsi="Arial" w:cs="Arial"/>
          <w:color w:val="767171" w:themeColor="background2" w:themeShade="80"/>
          <w:sz w:val="22"/>
          <w:szCs w:val="22"/>
        </w:rPr>
        <w:t xml:space="preserve">bts, liabilities or obligations”) [see also Guidance Text par 7.6 page 55]. On face value, it would thus seem that the class action litigation would be stayed because it relates to the furthering of an action that involves the company’s liabilities. </w:t>
      </w:r>
    </w:p>
    <w:p w14:paraId="4DB23FB1" w14:textId="70A22042" w:rsidR="004739B2" w:rsidRPr="00397D14" w:rsidRDefault="00A81E43" w:rsidP="00A81E43">
      <w:pPr>
        <w:pStyle w:val="subsection"/>
        <w:shd w:val="clear" w:color="auto" w:fill="FFFFFF"/>
        <w:spacing w:before="0" w:beforeAutospacing="0" w:after="0" w:afterAutospacing="0"/>
        <w:jc w:val="both"/>
        <w:rPr>
          <w:rFonts w:ascii="Arial" w:hAnsi="Arial" w:cs="Arial"/>
          <w:color w:val="767171" w:themeColor="background2" w:themeShade="80"/>
          <w:sz w:val="22"/>
          <w:szCs w:val="22"/>
        </w:rPr>
      </w:pPr>
      <w:r>
        <w:rPr>
          <w:rFonts w:ascii="Arial" w:hAnsi="Arial" w:cs="Arial"/>
          <w:color w:val="767171" w:themeColor="background2" w:themeShade="80"/>
          <w:sz w:val="22"/>
          <w:szCs w:val="22"/>
        </w:rPr>
        <w:t xml:space="preserve">However, the provisions of section 284(2) of the BIA determine as </w:t>
      </w:r>
      <w:r w:rsidRPr="00A81E43">
        <w:rPr>
          <w:rFonts w:ascii="Arial" w:hAnsi="Arial" w:cs="Arial"/>
          <w:color w:val="767171" w:themeColor="background2" w:themeShade="80"/>
          <w:sz w:val="22"/>
          <w:szCs w:val="22"/>
        </w:rPr>
        <w:t>follows: “</w:t>
      </w:r>
      <w:r w:rsidRPr="00A81E43">
        <w:rPr>
          <w:rFonts w:ascii="Arial" w:hAnsi="Arial" w:cs="Arial"/>
          <w:color w:val="767171" w:themeColor="background2" w:themeShade="80"/>
          <w:sz w:val="22"/>
          <w:szCs w:val="22"/>
          <w:shd w:val="clear" w:color="auto" w:fill="FFFFFF"/>
        </w:rPr>
        <w:t>Nothing in this Part prevents the court from refusing to do something that would be contrary to public policy.”</w:t>
      </w:r>
      <w:r>
        <w:rPr>
          <w:rFonts w:ascii="Arial" w:hAnsi="Arial" w:cs="Arial"/>
          <w:color w:val="767171" w:themeColor="background2" w:themeShade="80"/>
          <w:sz w:val="22"/>
          <w:szCs w:val="22"/>
        </w:rPr>
        <w:t xml:space="preserve"> </w:t>
      </w:r>
      <w:r w:rsidR="00364F2D">
        <w:rPr>
          <w:rFonts w:ascii="Arial" w:hAnsi="Arial" w:cs="Arial"/>
          <w:color w:val="767171" w:themeColor="background2" w:themeShade="80"/>
          <w:sz w:val="22"/>
          <w:szCs w:val="22"/>
          <w:shd w:val="clear" w:color="auto" w:fill="FFFFFF"/>
        </w:rPr>
        <w:t xml:space="preserve">The legislation thus provides that the court may </w:t>
      </w:r>
      <w:r>
        <w:rPr>
          <w:rFonts w:ascii="Arial" w:hAnsi="Arial" w:cs="Arial"/>
          <w:color w:val="767171" w:themeColor="background2" w:themeShade="80"/>
          <w:sz w:val="22"/>
          <w:szCs w:val="22"/>
          <w:shd w:val="clear" w:color="auto" w:fill="FFFFFF"/>
        </w:rPr>
        <w:t>refuse the appli</w:t>
      </w:r>
      <w:r w:rsidR="0062528B">
        <w:rPr>
          <w:rFonts w:ascii="Arial" w:hAnsi="Arial" w:cs="Arial"/>
          <w:color w:val="767171" w:themeColor="background2" w:themeShade="80"/>
          <w:sz w:val="22"/>
          <w:szCs w:val="22"/>
          <w:shd w:val="clear" w:color="auto" w:fill="FFFFFF"/>
        </w:rPr>
        <w:t>cation for recognition outright</w:t>
      </w:r>
      <w:r>
        <w:rPr>
          <w:rFonts w:ascii="Arial" w:hAnsi="Arial" w:cs="Arial"/>
          <w:color w:val="767171" w:themeColor="background2" w:themeShade="80"/>
          <w:sz w:val="22"/>
          <w:szCs w:val="22"/>
          <w:shd w:val="clear" w:color="auto" w:fill="FFFFFF"/>
        </w:rPr>
        <w:t xml:space="preserve"> based on public policy considerations </w:t>
      </w:r>
      <w:r w:rsidR="00364F2D">
        <w:rPr>
          <w:rFonts w:ascii="Arial" w:hAnsi="Arial" w:cs="Arial"/>
          <w:color w:val="767171" w:themeColor="background2" w:themeShade="80"/>
          <w:sz w:val="22"/>
          <w:szCs w:val="22"/>
          <w:shd w:val="clear" w:color="auto" w:fill="FFFFFF"/>
        </w:rPr>
        <w:t>[see Guidance Text par</w:t>
      </w:r>
      <w:r w:rsidR="00397D14">
        <w:rPr>
          <w:rFonts w:ascii="Arial" w:hAnsi="Arial" w:cs="Arial"/>
          <w:color w:val="767171" w:themeColor="background2" w:themeShade="80"/>
          <w:sz w:val="22"/>
          <w:szCs w:val="22"/>
          <w:shd w:val="clear" w:color="auto" w:fill="FFFFFF"/>
        </w:rPr>
        <w:t>as 7.6 a</w:t>
      </w:r>
      <w:r>
        <w:rPr>
          <w:rFonts w:ascii="Arial" w:hAnsi="Arial" w:cs="Arial"/>
          <w:color w:val="767171" w:themeColor="background2" w:themeShade="80"/>
          <w:sz w:val="22"/>
          <w:szCs w:val="22"/>
          <w:shd w:val="clear" w:color="auto" w:fill="FFFFFF"/>
        </w:rPr>
        <w:t>n</w:t>
      </w:r>
      <w:r w:rsidR="00397D14">
        <w:rPr>
          <w:rFonts w:ascii="Arial" w:hAnsi="Arial" w:cs="Arial"/>
          <w:color w:val="767171" w:themeColor="background2" w:themeShade="80"/>
          <w:sz w:val="22"/>
          <w:szCs w:val="22"/>
          <w:shd w:val="clear" w:color="auto" w:fill="FFFFFF"/>
        </w:rPr>
        <w:t>d</w:t>
      </w:r>
      <w:r>
        <w:rPr>
          <w:rFonts w:ascii="Arial" w:hAnsi="Arial" w:cs="Arial"/>
          <w:color w:val="767171" w:themeColor="background2" w:themeShade="80"/>
          <w:sz w:val="22"/>
          <w:szCs w:val="22"/>
          <w:shd w:val="clear" w:color="auto" w:fill="FFFFFF"/>
        </w:rPr>
        <w:t xml:space="preserve"> 7.7</w:t>
      </w:r>
      <w:r w:rsidR="00364F2D">
        <w:rPr>
          <w:rFonts w:ascii="Arial" w:hAnsi="Arial" w:cs="Arial"/>
          <w:color w:val="767171" w:themeColor="background2" w:themeShade="80"/>
          <w:sz w:val="22"/>
          <w:szCs w:val="22"/>
          <w:shd w:val="clear" w:color="auto" w:fill="FFFFFF"/>
        </w:rPr>
        <w:t xml:space="preserve"> page 55]</w:t>
      </w:r>
      <w:r w:rsidR="00397D14">
        <w:rPr>
          <w:rFonts w:ascii="Arial" w:hAnsi="Arial" w:cs="Arial"/>
          <w:color w:val="767171" w:themeColor="background2" w:themeShade="80"/>
          <w:sz w:val="22"/>
          <w:szCs w:val="22"/>
          <w:shd w:val="clear" w:color="auto" w:fill="FFFFFF"/>
        </w:rPr>
        <w:t>.</w:t>
      </w:r>
      <w:r w:rsidR="00364F2D">
        <w:rPr>
          <w:rFonts w:ascii="Arial" w:hAnsi="Arial" w:cs="Arial"/>
          <w:color w:val="767171" w:themeColor="background2" w:themeShade="80"/>
          <w:sz w:val="22"/>
          <w:szCs w:val="22"/>
          <w:shd w:val="clear" w:color="auto" w:fill="FFFFFF"/>
        </w:rPr>
        <w:t xml:space="preserve"> </w:t>
      </w:r>
      <w:r>
        <w:rPr>
          <w:rFonts w:ascii="Arial" w:hAnsi="Arial" w:cs="Arial"/>
          <w:color w:val="767171" w:themeColor="background2" w:themeShade="80"/>
          <w:sz w:val="22"/>
          <w:szCs w:val="22"/>
          <w:shd w:val="clear" w:color="auto" w:fill="FFFFFF"/>
        </w:rPr>
        <w:t>This</w:t>
      </w:r>
      <w:r w:rsidR="00364F2D">
        <w:rPr>
          <w:rFonts w:ascii="Arial" w:hAnsi="Arial" w:cs="Arial"/>
          <w:color w:val="767171" w:themeColor="background2" w:themeShade="80"/>
          <w:sz w:val="22"/>
          <w:szCs w:val="22"/>
          <w:shd w:val="clear" w:color="auto" w:fill="FFFFFF"/>
        </w:rPr>
        <w:t xml:space="preserve"> may be subject to the representative being able to show that the stay </w:t>
      </w:r>
      <w:r w:rsidR="00172009">
        <w:rPr>
          <w:rFonts w:ascii="Arial" w:hAnsi="Arial" w:cs="Arial"/>
          <w:color w:val="767171" w:themeColor="background2" w:themeShade="80"/>
          <w:sz w:val="22"/>
          <w:szCs w:val="22"/>
        </w:rPr>
        <w:t>would not result in the “unfair treatment of Canadian creditors specifically” [Guidance Text par</w:t>
      </w:r>
      <w:r w:rsidR="00364F2D">
        <w:rPr>
          <w:rFonts w:ascii="Arial" w:hAnsi="Arial" w:cs="Arial"/>
          <w:color w:val="767171" w:themeColor="background2" w:themeShade="80"/>
          <w:sz w:val="22"/>
          <w:szCs w:val="22"/>
        </w:rPr>
        <w:t>as</w:t>
      </w:r>
      <w:r w:rsidR="00172009">
        <w:rPr>
          <w:rFonts w:ascii="Arial" w:hAnsi="Arial" w:cs="Arial"/>
          <w:color w:val="767171" w:themeColor="background2" w:themeShade="80"/>
          <w:sz w:val="22"/>
          <w:szCs w:val="22"/>
        </w:rPr>
        <w:t xml:space="preserve"> </w:t>
      </w:r>
      <w:r w:rsidR="00364F2D">
        <w:rPr>
          <w:rFonts w:ascii="Arial" w:hAnsi="Arial" w:cs="Arial"/>
          <w:color w:val="767171" w:themeColor="background2" w:themeShade="80"/>
          <w:sz w:val="22"/>
          <w:szCs w:val="22"/>
        </w:rPr>
        <w:t xml:space="preserve">7.7. and 7.8.4 </w:t>
      </w:r>
      <w:r w:rsidR="00172009">
        <w:rPr>
          <w:rFonts w:ascii="Arial" w:hAnsi="Arial" w:cs="Arial"/>
          <w:color w:val="767171" w:themeColor="background2" w:themeShade="80"/>
          <w:sz w:val="22"/>
          <w:szCs w:val="22"/>
        </w:rPr>
        <w:t>page</w:t>
      </w:r>
      <w:r w:rsidR="00364F2D">
        <w:rPr>
          <w:rFonts w:ascii="Arial" w:hAnsi="Arial" w:cs="Arial"/>
          <w:color w:val="767171" w:themeColor="background2" w:themeShade="80"/>
          <w:sz w:val="22"/>
          <w:szCs w:val="22"/>
        </w:rPr>
        <w:t>s</w:t>
      </w:r>
      <w:r w:rsidR="00172009">
        <w:rPr>
          <w:rFonts w:ascii="Arial" w:hAnsi="Arial" w:cs="Arial"/>
          <w:color w:val="767171" w:themeColor="background2" w:themeShade="80"/>
          <w:sz w:val="22"/>
          <w:szCs w:val="22"/>
        </w:rPr>
        <w:t xml:space="preserve"> 55</w:t>
      </w:r>
      <w:r w:rsidR="00364F2D">
        <w:rPr>
          <w:rFonts w:ascii="Arial" w:hAnsi="Arial" w:cs="Arial"/>
          <w:color w:val="767171" w:themeColor="background2" w:themeShade="80"/>
          <w:sz w:val="22"/>
          <w:szCs w:val="22"/>
        </w:rPr>
        <w:t xml:space="preserve"> and 58</w:t>
      </w:r>
      <w:r w:rsidR="00172009">
        <w:rPr>
          <w:rFonts w:ascii="Arial" w:hAnsi="Arial" w:cs="Arial"/>
          <w:color w:val="767171" w:themeColor="background2" w:themeShade="80"/>
          <w:sz w:val="22"/>
          <w:szCs w:val="22"/>
        </w:rPr>
        <w:t>].</w:t>
      </w:r>
      <w:r w:rsidR="00245B54">
        <w:rPr>
          <w:rFonts w:ascii="Arial" w:hAnsi="Arial" w:cs="Arial"/>
          <w:color w:val="767171" w:themeColor="background2" w:themeShade="80"/>
          <w:sz w:val="22"/>
          <w:szCs w:val="22"/>
        </w:rPr>
        <w:t xml:space="preserve"> </w:t>
      </w:r>
      <w:r w:rsidR="00397D14">
        <w:rPr>
          <w:rFonts w:ascii="Arial" w:hAnsi="Arial" w:cs="Arial"/>
          <w:color w:val="767171" w:themeColor="background2" w:themeShade="80"/>
          <w:sz w:val="22"/>
          <w:szCs w:val="22"/>
        </w:rPr>
        <w:t xml:space="preserve">The facts allude to the prejudicial effect on the Canadian </w:t>
      </w:r>
      <w:r w:rsidR="00397D14">
        <w:rPr>
          <w:rFonts w:ascii="Arial" w:hAnsi="Arial" w:cs="Arial"/>
          <w:color w:val="767171" w:themeColor="background2" w:themeShade="80"/>
          <w:sz w:val="22"/>
          <w:szCs w:val="22"/>
        </w:rPr>
        <w:lastRenderedPageBreak/>
        <w:t>creditors forming part of the class action as they would probably be unsecured creditors whereas the debtor is indebted in the amount of CAD 200 million plus to foreign creditors who hold security for their debts</w:t>
      </w:r>
      <w:r w:rsidR="006E5EF0">
        <w:rPr>
          <w:rFonts w:ascii="Arial" w:hAnsi="Arial" w:cs="Arial"/>
          <w:color w:val="767171" w:themeColor="background2" w:themeShade="80"/>
          <w:sz w:val="22"/>
          <w:szCs w:val="22"/>
        </w:rPr>
        <w:t xml:space="preserve"> (and who may “wipe out” the assets available to pay creditors of the estate)</w:t>
      </w:r>
      <w:r w:rsidR="00397D14">
        <w:rPr>
          <w:rFonts w:ascii="Arial" w:hAnsi="Arial" w:cs="Arial"/>
          <w:color w:val="767171" w:themeColor="background2" w:themeShade="80"/>
          <w:sz w:val="22"/>
          <w:szCs w:val="22"/>
        </w:rPr>
        <w:t xml:space="preserve">. </w:t>
      </w:r>
      <w:r w:rsidR="00245B54">
        <w:rPr>
          <w:rFonts w:ascii="Arial" w:hAnsi="Arial" w:cs="Arial"/>
          <w:color w:val="767171" w:themeColor="background2" w:themeShade="80"/>
          <w:sz w:val="22"/>
          <w:szCs w:val="22"/>
        </w:rPr>
        <w:t xml:space="preserve">If the court is concerned about the effect of the recognition-stay compilation on Canadian creditors, </w:t>
      </w:r>
      <w:r w:rsidR="0062528B">
        <w:rPr>
          <w:rFonts w:ascii="Arial" w:hAnsi="Arial" w:cs="Arial"/>
          <w:color w:val="767171" w:themeColor="background2" w:themeShade="80"/>
          <w:sz w:val="22"/>
          <w:szCs w:val="22"/>
        </w:rPr>
        <w:t xml:space="preserve">I would think that </w:t>
      </w:r>
      <w:r w:rsidR="00245B54">
        <w:rPr>
          <w:rFonts w:ascii="Arial" w:hAnsi="Arial" w:cs="Arial"/>
          <w:color w:val="767171" w:themeColor="background2" w:themeShade="80"/>
          <w:sz w:val="22"/>
          <w:szCs w:val="22"/>
        </w:rPr>
        <w:t xml:space="preserve">the </w:t>
      </w:r>
      <w:r w:rsidR="00972E66">
        <w:rPr>
          <w:rFonts w:ascii="Arial" w:hAnsi="Arial" w:cs="Arial"/>
          <w:color w:val="767171" w:themeColor="background2" w:themeShade="80"/>
          <w:sz w:val="22"/>
          <w:szCs w:val="22"/>
        </w:rPr>
        <w:t xml:space="preserve">Court </w:t>
      </w:r>
      <w:r w:rsidR="0062528B">
        <w:rPr>
          <w:rFonts w:ascii="Arial" w:hAnsi="Arial" w:cs="Arial"/>
          <w:color w:val="767171" w:themeColor="background2" w:themeShade="80"/>
          <w:sz w:val="22"/>
          <w:szCs w:val="22"/>
        </w:rPr>
        <w:t>would</w:t>
      </w:r>
      <w:r w:rsidR="00397D14">
        <w:rPr>
          <w:rFonts w:ascii="Arial" w:hAnsi="Arial" w:cs="Arial"/>
          <w:color w:val="767171" w:themeColor="background2" w:themeShade="80"/>
          <w:sz w:val="22"/>
          <w:szCs w:val="22"/>
        </w:rPr>
        <w:t xml:space="preserve"> refuse the application</w:t>
      </w:r>
      <w:r w:rsidR="00851FFC">
        <w:rPr>
          <w:rFonts w:ascii="Arial" w:hAnsi="Arial" w:cs="Arial"/>
          <w:color w:val="767171" w:themeColor="background2" w:themeShade="80"/>
          <w:sz w:val="22"/>
          <w:szCs w:val="22"/>
        </w:rPr>
        <w:t xml:space="preserve"> based on the inequities that such a stay would generate</w:t>
      </w:r>
      <w:r w:rsidR="00397D14">
        <w:rPr>
          <w:rFonts w:ascii="Arial" w:hAnsi="Arial" w:cs="Arial"/>
          <w:color w:val="767171" w:themeColor="background2" w:themeShade="80"/>
          <w:sz w:val="22"/>
          <w:szCs w:val="22"/>
        </w:rPr>
        <w:t xml:space="preserve"> as was done in the </w:t>
      </w:r>
      <w:r w:rsidR="00397D14">
        <w:rPr>
          <w:rFonts w:ascii="Arial" w:hAnsi="Arial" w:cs="Arial"/>
          <w:i/>
          <w:color w:val="767171" w:themeColor="background2" w:themeShade="80"/>
          <w:sz w:val="22"/>
          <w:szCs w:val="22"/>
        </w:rPr>
        <w:t xml:space="preserve">Canadian Imperial Bank of Commerce v ECE Group Ltd </w:t>
      </w:r>
      <w:r w:rsidR="00397D14">
        <w:rPr>
          <w:rFonts w:ascii="Arial" w:hAnsi="Arial" w:cs="Arial"/>
          <w:color w:val="767171" w:themeColor="background2" w:themeShade="80"/>
          <w:sz w:val="22"/>
          <w:szCs w:val="22"/>
        </w:rPr>
        <w:t>case</w:t>
      </w:r>
      <w:r w:rsidR="0062528B">
        <w:rPr>
          <w:rFonts w:ascii="Arial" w:hAnsi="Arial" w:cs="Arial"/>
          <w:color w:val="767171" w:themeColor="background2" w:themeShade="80"/>
          <w:sz w:val="22"/>
          <w:szCs w:val="22"/>
        </w:rPr>
        <w:t xml:space="preserve"> because then the Canadian creditors would at least have access to the assets located in Canada, should they want to enforce the judgment individually or in terms of a concurrent bankruptcy procedure (concurrent to the one taking place in the foreign jurisdiction)</w:t>
      </w:r>
      <w:r w:rsidR="00397D14">
        <w:rPr>
          <w:rFonts w:ascii="Arial" w:hAnsi="Arial" w:cs="Arial"/>
          <w:color w:val="767171" w:themeColor="background2" w:themeShade="80"/>
          <w:sz w:val="22"/>
          <w:szCs w:val="22"/>
        </w:rPr>
        <w:t xml:space="preserve"> [Ibid]. </w:t>
      </w:r>
    </w:p>
    <w:p w14:paraId="3431FC74" w14:textId="77777777" w:rsidR="00A81E43" w:rsidRDefault="00A81E43" w:rsidP="00A81E43">
      <w:pPr>
        <w:pStyle w:val="subsection"/>
        <w:shd w:val="clear" w:color="auto" w:fill="FFFFFF"/>
        <w:spacing w:before="0" w:beforeAutospacing="0" w:after="0" w:afterAutospacing="0"/>
        <w:jc w:val="both"/>
        <w:rPr>
          <w:rFonts w:ascii="Arial" w:hAnsi="Arial" w:cs="Arial"/>
          <w:color w:val="7B7B7B"/>
          <w:sz w:val="22"/>
          <w:szCs w:val="22"/>
          <w:lang w:val="en-GB"/>
        </w:rPr>
      </w:pPr>
    </w:p>
    <w:p w14:paraId="67DA3E22" w14:textId="77777777" w:rsidR="004739B2" w:rsidRPr="00AE184B" w:rsidRDefault="008C6FAA" w:rsidP="004739B2">
      <w:pPr>
        <w:autoSpaceDE w:val="0"/>
        <w:autoSpaceDN w:val="0"/>
        <w:adjustRightInd w:val="0"/>
        <w:jc w:val="both"/>
        <w:rPr>
          <w:rFonts w:ascii="Arial" w:hAnsi="Arial" w:cs="Arial"/>
          <w:b/>
          <w:bCs/>
          <w:sz w:val="22"/>
          <w:szCs w:val="22"/>
          <w:lang w:val="en-GB"/>
        </w:rPr>
      </w:pPr>
      <w:r w:rsidRPr="00BE7E24">
        <w:rPr>
          <w:rFonts w:ascii="Arial" w:hAnsi="Arial" w:cs="Arial"/>
          <w:b/>
          <w:bCs/>
          <w:sz w:val="22"/>
          <w:szCs w:val="22"/>
          <w:highlight w:val="green"/>
          <w:lang w:val="en-GB"/>
        </w:rPr>
        <w:t>Question 4.3 [maximum 5 marks]</w:t>
      </w:r>
    </w:p>
    <w:p w14:paraId="3A8E9D81" w14:textId="77777777" w:rsidR="004739B2" w:rsidRPr="00D80DC2" w:rsidRDefault="004739B2" w:rsidP="004739B2">
      <w:pPr>
        <w:autoSpaceDE w:val="0"/>
        <w:autoSpaceDN w:val="0"/>
        <w:adjustRightInd w:val="0"/>
        <w:jc w:val="both"/>
        <w:rPr>
          <w:rFonts w:ascii="Arial" w:hAnsi="Arial" w:cs="Arial"/>
          <w:sz w:val="22"/>
          <w:szCs w:val="22"/>
          <w:lang w:val="en-GB"/>
        </w:rPr>
      </w:pPr>
    </w:p>
    <w:bookmarkEnd w:id="1"/>
    <w:p w14:paraId="0C3D4112" w14:textId="77777777" w:rsidR="004739B2" w:rsidRDefault="008C6FAA" w:rsidP="004739B2">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 they can compel the Canadian resident who was in charge of </w:t>
      </w:r>
      <w:r w:rsidRPr="001F631D">
        <w:rPr>
          <w:rFonts w:ascii="Arial" w:hAnsi="Arial" w:cs="Arial"/>
          <w:color w:val="000000" w:themeColor="text1"/>
          <w:sz w:val="22"/>
          <w:szCs w:val="22"/>
          <w:lang w:val="en-GB"/>
        </w:rPr>
        <w:t>the fulfilment office and warehouse in Canada</w:t>
      </w:r>
      <w:r>
        <w:rPr>
          <w:rFonts w:ascii="Arial" w:hAnsi="Arial" w:cs="Arial"/>
          <w:color w:val="000000" w:themeColor="text1"/>
          <w:sz w:val="22"/>
          <w:szCs w:val="22"/>
          <w:lang w:val="en-GB"/>
        </w:rPr>
        <w:t xml:space="preserve"> to submit to an examination under oath and produce documents related to the company's operations and accounts in accordance with the civil procedure of the foreign jurisdiction (for example, following that jurisdiction’s procedure rather than Canadian procedure). What is your advice?</w:t>
      </w:r>
    </w:p>
    <w:p w14:paraId="0FB2E18A" w14:textId="09A333A9" w:rsidR="004739B2" w:rsidRDefault="00A92371" w:rsidP="00AB4504">
      <w:pPr>
        <w:pStyle w:val="subsection"/>
        <w:shd w:val="clear" w:color="auto" w:fill="FFFFFF"/>
        <w:spacing w:before="168" w:beforeAutospacing="0" w:after="120" w:afterAutospacing="0"/>
        <w:jc w:val="both"/>
        <w:rPr>
          <w:rFonts w:ascii="Arial" w:hAnsi="Arial" w:cs="Arial"/>
          <w:color w:val="7B7B7B" w:themeColor="accent3" w:themeShade="BF"/>
          <w:sz w:val="22"/>
          <w:szCs w:val="22"/>
          <w:lang w:val="en-GB"/>
        </w:rPr>
      </w:pPr>
      <w:r>
        <w:rPr>
          <w:rFonts w:ascii="Arial" w:hAnsi="Arial" w:cs="Arial"/>
          <w:color w:val="767171" w:themeColor="background2" w:themeShade="80"/>
          <w:sz w:val="22"/>
          <w:szCs w:val="22"/>
          <w:lang w:val="en-GB"/>
        </w:rPr>
        <w:t>T</w:t>
      </w:r>
      <w:r w:rsidR="00972E66" w:rsidRPr="0009222D">
        <w:rPr>
          <w:rFonts w:ascii="Arial" w:hAnsi="Arial" w:cs="Arial"/>
          <w:color w:val="767171" w:themeColor="background2" w:themeShade="80"/>
          <w:sz w:val="22"/>
          <w:szCs w:val="22"/>
          <w:lang w:val="en-GB"/>
        </w:rPr>
        <w:t xml:space="preserve">he foreign agent would need the Canadian court to include this as part of the recognition order and will thus have to approach the court with a request to specifically include this order </w:t>
      </w:r>
      <w:r w:rsidR="00972E66" w:rsidRPr="0009222D">
        <w:rPr>
          <w:rFonts w:ascii="Arial" w:hAnsi="Arial" w:cs="Arial"/>
          <w:color w:val="767171" w:themeColor="background2" w:themeShade="80"/>
          <w:sz w:val="22"/>
          <w:szCs w:val="22"/>
          <w:shd w:val="clear" w:color="auto" w:fill="FFFFFF"/>
        </w:rPr>
        <w:t>as part of the court’s ability to make orders that it finds “appropriate” [Guidance Text par 7.6 page 55</w:t>
      </w:r>
      <w:r w:rsidR="0009222D" w:rsidRPr="0009222D">
        <w:rPr>
          <w:rFonts w:ascii="Arial" w:hAnsi="Arial" w:cs="Arial"/>
          <w:color w:val="767171" w:themeColor="background2" w:themeShade="80"/>
          <w:sz w:val="22"/>
          <w:szCs w:val="22"/>
          <w:shd w:val="clear" w:color="auto" w:fill="FFFFFF"/>
        </w:rPr>
        <w:t>; see section 272(1)(c) and (e) of the BIA: “</w:t>
      </w:r>
      <w:r w:rsidR="0009222D" w:rsidRPr="0009222D">
        <w:rPr>
          <w:rFonts w:ascii="Arial" w:hAnsi="Arial" w:cs="Arial"/>
          <w:color w:val="767171" w:themeColor="background2" w:themeShade="80"/>
          <w:sz w:val="22"/>
          <w:szCs w:val="22"/>
        </w:rPr>
        <w:t>If an order recognizing a foreign proceeding is made, the court may, on application by the foreign representative who applied for the order, if the court is satisfied that it is necessary for the protection of the debtor’s property or the interests of a creditor or creditors, make any order that it considers appropriate, including an order … respecting the examination of witnesses, the taking of evidence or the delivery of information concerning the debtor’s property, affairs, debts, liabilities and obligations …”]</w:t>
      </w:r>
      <w:r w:rsidR="00972E66" w:rsidRPr="0009222D">
        <w:rPr>
          <w:rFonts w:ascii="Arial" w:hAnsi="Arial" w:cs="Arial"/>
          <w:color w:val="767171" w:themeColor="background2" w:themeShade="80"/>
          <w:sz w:val="22"/>
          <w:szCs w:val="22"/>
          <w:shd w:val="clear" w:color="auto" w:fill="FFFFFF"/>
        </w:rPr>
        <w:t>.</w:t>
      </w:r>
      <w:r w:rsidR="00C87F47" w:rsidRPr="0009222D">
        <w:rPr>
          <w:rFonts w:ascii="Arial" w:hAnsi="Arial" w:cs="Arial"/>
          <w:color w:val="767171" w:themeColor="background2" w:themeShade="80"/>
          <w:sz w:val="22"/>
          <w:szCs w:val="22"/>
          <w:shd w:val="clear" w:color="auto" w:fill="FFFFFF"/>
        </w:rPr>
        <w:t xml:space="preserve"> The agent would have to show that using the foreign jurisdiction’s civil procedural law, as opposed to the Canadian law, would </w:t>
      </w:r>
      <w:r w:rsidR="0009222D" w:rsidRPr="0009222D">
        <w:rPr>
          <w:rFonts w:ascii="Arial" w:hAnsi="Arial" w:cs="Arial"/>
          <w:color w:val="767171" w:themeColor="background2" w:themeShade="80"/>
          <w:sz w:val="22"/>
          <w:szCs w:val="22"/>
          <w:shd w:val="clear" w:color="auto" w:fill="FFFFFF"/>
        </w:rPr>
        <w:t>be imperative for the resolution of the matter insofar as assets and creditor interests are concerned [Ibid]. A case would have to be made that the use of the foreign procedure would be able, and essential, to effect this outcome as opposed to the use of the Canadian procedure [Guidance Text par 7.6 page 55]. There is precedent in the Canadian law for this type of order [see the reference to the Nishiyama-case in footnote 221 of the Guidance Text par 7.6 page 55].</w:t>
      </w:r>
      <w:r w:rsidR="0009222D">
        <w:rPr>
          <w:rFonts w:ascii="Arial" w:hAnsi="Arial" w:cs="Arial"/>
          <w:color w:val="767171" w:themeColor="background2" w:themeShade="80"/>
          <w:sz w:val="22"/>
          <w:szCs w:val="22"/>
          <w:shd w:val="clear" w:color="auto" w:fill="FFFFFF"/>
        </w:rPr>
        <w:t xml:space="preserve"> </w:t>
      </w:r>
      <w:r>
        <w:rPr>
          <w:rFonts w:ascii="Arial" w:hAnsi="Arial" w:cs="Arial"/>
          <w:color w:val="767171" w:themeColor="background2" w:themeShade="80"/>
          <w:sz w:val="22"/>
          <w:szCs w:val="22"/>
          <w:shd w:val="clear" w:color="auto" w:fill="FFFFFF"/>
        </w:rPr>
        <w:t xml:space="preserve">In the Nishiyama-case, the court set out the elements of an order of this nature (one where proceedings are dealt with in terms of foreign law): </w:t>
      </w:r>
      <w:r w:rsidR="0009222D">
        <w:rPr>
          <w:rFonts w:ascii="Arial" w:hAnsi="Arial" w:cs="Arial"/>
          <w:color w:val="767171" w:themeColor="background2" w:themeShade="80"/>
          <w:sz w:val="22"/>
          <w:szCs w:val="22"/>
          <w:shd w:val="clear" w:color="auto" w:fill="FFFFFF"/>
        </w:rPr>
        <w:t>The court would have to be convinced of the suitability of such an order</w:t>
      </w:r>
      <w:r>
        <w:rPr>
          <w:rFonts w:ascii="Arial" w:hAnsi="Arial" w:cs="Arial"/>
          <w:color w:val="767171" w:themeColor="background2" w:themeShade="80"/>
          <w:sz w:val="22"/>
          <w:szCs w:val="22"/>
          <w:shd w:val="clear" w:color="auto" w:fill="FFFFFF"/>
        </w:rPr>
        <w:t>; and the court would have to be convinced of the “necessity” of the order</w:t>
      </w:r>
      <w:r w:rsidR="0009222D">
        <w:rPr>
          <w:rFonts w:ascii="Arial" w:hAnsi="Arial" w:cs="Arial"/>
          <w:color w:val="767171" w:themeColor="background2" w:themeShade="80"/>
          <w:sz w:val="22"/>
          <w:szCs w:val="22"/>
          <w:shd w:val="clear" w:color="auto" w:fill="FFFFFF"/>
        </w:rPr>
        <w:t xml:space="preserve"> [</w:t>
      </w:r>
      <w:r w:rsidR="0009222D" w:rsidRPr="0009222D">
        <w:rPr>
          <w:rFonts w:ascii="Arial" w:hAnsi="Arial" w:cs="Arial"/>
          <w:color w:val="767171" w:themeColor="background2" w:themeShade="80"/>
          <w:sz w:val="22"/>
          <w:szCs w:val="22"/>
          <w:shd w:val="clear" w:color="auto" w:fill="FFFFFF"/>
        </w:rPr>
        <w:t>Guidance Text par 7.6 page 55</w:t>
      </w:r>
      <w:r w:rsidR="0009222D">
        <w:rPr>
          <w:rFonts w:ascii="Arial" w:hAnsi="Arial" w:cs="Arial"/>
          <w:color w:val="767171" w:themeColor="background2" w:themeShade="80"/>
          <w:sz w:val="22"/>
          <w:szCs w:val="22"/>
          <w:shd w:val="clear" w:color="auto" w:fill="FFFFFF"/>
        </w:rPr>
        <w:t xml:space="preserve">]. In light of the fact that the Canadian law makes specific provision for </w:t>
      </w:r>
      <w:r w:rsidR="00756BEC">
        <w:rPr>
          <w:rFonts w:ascii="Arial" w:hAnsi="Arial" w:cs="Arial"/>
          <w:color w:val="767171" w:themeColor="background2" w:themeShade="80"/>
          <w:sz w:val="22"/>
          <w:szCs w:val="22"/>
          <w:shd w:val="clear" w:color="auto" w:fill="FFFFFF"/>
        </w:rPr>
        <w:t xml:space="preserve">insolvency-specific </w:t>
      </w:r>
      <w:r w:rsidR="0009222D">
        <w:rPr>
          <w:rFonts w:ascii="Arial" w:hAnsi="Arial" w:cs="Arial"/>
          <w:color w:val="767171" w:themeColor="background2" w:themeShade="80"/>
          <w:sz w:val="22"/>
          <w:szCs w:val="22"/>
          <w:shd w:val="clear" w:color="auto" w:fill="FFFFFF"/>
        </w:rPr>
        <w:t>examinations under the BIA [</w:t>
      </w:r>
      <w:r w:rsidR="009A6828">
        <w:rPr>
          <w:rFonts w:ascii="Arial" w:hAnsi="Arial" w:cs="Arial"/>
          <w:color w:val="767171" w:themeColor="background2" w:themeShade="80"/>
          <w:sz w:val="22"/>
          <w:szCs w:val="22"/>
          <w:shd w:val="clear" w:color="auto" w:fill="FFFFFF"/>
        </w:rPr>
        <w:t>Guidance Text par 6</w:t>
      </w:r>
      <w:r w:rsidR="0009222D" w:rsidRPr="0009222D">
        <w:rPr>
          <w:rFonts w:ascii="Arial" w:hAnsi="Arial" w:cs="Arial"/>
          <w:color w:val="767171" w:themeColor="background2" w:themeShade="80"/>
          <w:sz w:val="22"/>
          <w:szCs w:val="22"/>
          <w:shd w:val="clear" w:color="auto" w:fill="FFFFFF"/>
        </w:rPr>
        <w:t>.</w:t>
      </w:r>
      <w:r w:rsidR="009A6828">
        <w:rPr>
          <w:rFonts w:ascii="Arial" w:hAnsi="Arial" w:cs="Arial"/>
          <w:color w:val="767171" w:themeColor="background2" w:themeShade="80"/>
          <w:sz w:val="22"/>
          <w:szCs w:val="22"/>
          <w:shd w:val="clear" w:color="auto" w:fill="FFFFFF"/>
        </w:rPr>
        <w:t>2.18 page 29</w:t>
      </w:r>
      <w:r w:rsidR="00756BEC">
        <w:rPr>
          <w:rFonts w:ascii="Arial" w:hAnsi="Arial" w:cs="Arial"/>
          <w:color w:val="767171" w:themeColor="background2" w:themeShade="80"/>
          <w:sz w:val="22"/>
          <w:szCs w:val="22"/>
          <w:shd w:val="clear" w:color="auto" w:fill="FFFFFF"/>
        </w:rPr>
        <w:t>], the agent would have to show the benefit of the civil procedural law of the foreign jurisdiction that r</w:t>
      </w:r>
      <w:r>
        <w:rPr>
          <w:rFonts w:ascii="Arial" w:hAnsi="Arial" w:cs="Arial"/>
          <w:color w:val="767171" w:themeColor="background2" w:themeShade="80"/>
          <w:sz w:val="22"/>
          <w:szCs w:val="22"/>
          <w:shd w:val="clear" w:color="auto" w:fill="FFFFFF"/>
        </w:rPr>
        <w:t xml:space="preserve">equires an order to this effect – applicable to examinations and obtaining information (see s 272 above). </w:t>
      </w:r>
      <w:r w:rsidR="00AB4504">
        <w:rPr>
          <w:rFonts w:ascii="Arial" w:hAnsi="Arial" w:cs="Arial"/>
          <w:color w:val="767171" w:themeColor="background2" w:themeShade="80"/>
          <w:sz w:val="22"/>
          <w:szCs w:val="22"/>
          <w:shd w:val="clear" w:color="auto" w:fill="FFFFFF"/>
        </w:rPr>
        <w:t>In this regard, “[t]he court is not restricted in exercising [its] discretion to only providing the same or similar remedies as available under Canadian insolvency law [and] [i]n the past, the court has ordered relief in foreign-main proceedings that would not ordinarily be available in a Canadian proceeding” but a case needs to be made out before the court will grant such an order.</w:t>
      </w:r>
    </w:p>
    <w:p w14:paraId="6C5C4516" w14:textId="285E5467" w:rsidR="00EE4AC3" w:rsidRPr="00EE4AC3" w:rsidRDefault="00477C8E" w:rsidP="00EE4AC3">
      <w:pPr>
        <w:pStyle w:val="Heading1"/>
        <w:spacing w:before="0" w:beforeAutospacing="0" w:after="0" w:afterAutospacing="0"/>
        <w:jc w:val="both"/>
        <w:rPr>
          <w:rFonts w:ascii="Arial" w:hAnsi="Arial" w:cs="Arial"/>
          <w:b w:val="0"/>
          <w:color w:val="767171" w:themeColor="background2" w:themeShade="80"/>
          <w:sz w:val="22"/>
          <w:szCs w:val="22"/>
        </w:rPr>
      </w:pPr>
      <w:r w:rsidRPr="00BE7E24">
        <w:rPr>
          <w:rFonts w:ascii="Arial" w:hAnsi="Arial" w:cs="Arial"/>
          <w:color w:val="767171" w:themeColor="background2" w:themeShade="80"/>
          <w:sz w:val="22"/>
          <w:szCs w:val="22"/>
          <w:lang w:val="en-GB"/>
        </w:rPr>
        <w:t>Bibliography:</w:t>
      </w:r>
      <w:r w:rsidRPr="00EE4AC3">
        <w:rPr>
          <w:rFonts w:ascii="Arial" w:hAnsi="Arial" w:cs="Arial"/>
          <w:b w:val="0"/>
          <w:color w:val="767171" w:themeColor="background2" w:themeShade="80"/>
          <w:sz w:val="22"/>
          <w:szCs w:val="22"/>
          <w:lang w:val="en-GB"/>
        </w:rPr>
        <w:t xml:space="preserve"> INSOL International </w:t>
      </w:r>
      <w:r w:rsidRPr="00EE4AC3">
        <w:rPr>
          <w:rFonts w:ascii="Arial" w:hAnsi="Arial" w:cs="Arial"/>
          <w:b w:val="0"/>
          <w:i/>
          <w:color w:val="767171" w:themeColor="background2" w:themeShade="80"/>
          <w:sz w:val="22"/>
          <w:szCs w:val="22"/>
          <w:lang w:val="en-GB"/>
        </w:rPr>
        <w:t xml:space="preserve">Module 4C Guidance Text Canada </w:t>
      </w:r>
      <w:r w:rsidRPr="00EE4AC3">
        <w:rPr>
          <w:rFonts w:ascii="Arial" w:hAnsi="Arial" w:cs="Arial"/>
          <w:b w:val="0"/>
          <w:color w:val="767171" w:themeColor="background2" w:themeShade="80"/>
          <w:sz w:val="22"/>
          <w:szCs w:val="22"/>
          <w:lang w:val="en-GB"/>
        </w:rPr>
        <w:t>2020/2021 INSOL International: London (“Guidance Text”)</w:t>
      </w:r>
      <w:r w:rsidR="00497D97" w:rsidRPr="00EE4AC3">
        <w:rPr>
          <w:rFonts w:ascii="Arial" w:hAnsi="Arial" w:cs="Arial"/>
          <w:b w:val="0"/>
          <w:color w:val="767171" w:themeColor="background2" w:themeShade="80"/>
          <w:sz w:val="22"/>
          <w:szCs w:val="22"/>
          <w:lang w:val="en-GB"/>
        </w:rPr>
        <w:t xml:space="preserve">; Bankruptcy and Insolvency Act </w:t>
      </w:r>
      <w:r w:rsidR="00497D97" w:rsidRPr="00EE4AC3">
        <w:rPr>
          <w:rFonts w:ascii="Arial" w:hAnsi="Arial" w:cs="Arial"/>
          <w:b w:val="0"/>
          <w:color w:val="767171" w:themeColor="background2" w:themeShade="80"/>
          <w:sz w:val="22"/>
          <w:szCs w:val="22"/>
        </w:rPr>
        <w:t>(R.S.C., 1985, c. B-3),</w:t>
      </w:r>
      <w:r w:rsidR="00497D97" w:rsidRPr="00EE4AC3">
        <w:rPr>
          <w:rFonts w:ascii="Arial" w:hAnsi="Arial" w:cs="Arial"/>
          <w:b w:val="0"/>
          <w:color w:val="767171" w:themeColor="background2" w:themeShade="80"/>
          <w:sz w:val="22"/>
          <w:szCs w:val="22"/>
          <w:lang w:val="en-GB"/>
        </w:rPr>
        <w:t xml:space="preserve"> available at </w:t>
      </w:r>
      <w:hyperlink r:id="rId8" w:history="1">
        <w:r w:rsidR="00EE4AC3" w:rsidRPr="00017BBF">
          <w:rPr>
            <w:rStyle w:val="Hyperlink"/>
            <w:rFonts w:ascii="Arial" w:hAnsi="Arial" w:cs="Arial"/>
            <w:b w:val="0"/>
            <w:color w:val="023160" w:themeColor="hyperlink" w:themeShade="80"/>
            <w:sz w:val="22"/>
            <w:szCs w:val="22"/>
            <w:lang w:val="en-GB"/>
          </w:rPr>
          <w:t>https://www.laws-lois.justice.gc.ca/eng/acts/B-3/</w:t>
        </w:r>
      </w:hyperlink>
      <w:r w:rsidR="00EE4AC3">
        <w:rPr>
          <w:rFonts w:ascii="Arial" w:hAnsi="Arial" w:cs="Arial"/>
          <w:b w:val="0"/>
          <w:color w:val="767171" w:themeColor="background2" w:themeShade="80"/>
          <w:sz w:val="22"/>
          <w:szCs w:val="22"/>
          <w:lang w:val="en-GB"/>
        </w:rPr>
        <w:t xml:space="preserve"> </w:t>
      </w:r>
      <w:r w:rsidR="00497D97" w:rsidRPr="00EE4AC3">
        <w:rPr>
          <w:rFonts w:ascii="Arial" w:hAnsi="Arial" w:cs="Arial"/>
          <w:b w:val="0"/>
          <w:color w:val="767171" w:themeColor="background2" w:themeShade="80"/>
          <w:sz w:val="22"/>
          <w:szCs w:val="22"/>
          <w:lang w:val="en-GB"/>
        </w:rPr>
        <w:t>(accessed 30 July 2021)</w:t>
      </w:r>
      <w:r w:rsidR="00EE4AC3" w:rsidRPr="00EE4AC3">
        <w:rPr>
          <w:rFonts w:ascii="Arial" w:hAnsi="Arial" w:cs="Arial"/>
          <w:b w:val="0"/>
          <w:color w:val="767171" w:themeColor="background2" w:themeShade="80"/>
          <w:sz w:val="22"/>
          <w:szCs w:val="22"/>
          <w:lang w:val="en-GB"/>
        </w:rPr>
        <w:t xml:space="preserve"> (“Bankruptcy and Insolvency Act” or “BIA”); </w:t>
      </w:r>
      <w:r w:rsidR="00EE4AC3" w:rsidRPr="00EE4AC3">
        <w:rPr>
          <w:rFonts w:ascii="Arial" w:hAnsi="Arial" w:cs="Arial"/>
          <w:b w:val="0"/>
          <w:color w:val="767171" w:themeColor="background2" w:themeShade="80"/>
          <w:sz w:val="22"/>
          <w:szCs w:val="22"/>
        </w:rPr>
        <w:t xml:space="preserve">Companies’ Creditors Arrangement Act (R.S.C., 1985, c. C-36), available at </w:t>
      </w:r>
      <w:hyperlink r:id="rId9" w:history="1">
        <w:r w:rsidR="000C7DE8" w:rsidRPr="00017BBF">
          <w:rPr>
            <w:rStyle w:val="Hyperlink"/>
            <w:rFonts w:ascii="Arial" w:hAnsi="Arial" w:cs="Arial"/>
            <w:b w:val="0"/>
            <w:color w:val="023160" w:themeColor="hyperlink" w:themeShade="80"/>
            <w:sz w:val="22"/>
            <w:szCs w:val="22"/>
          </w:rPr>
          <w:t>https://laws.justice.gc.ca/eng/acts/C-36/index.html</w:t>
        </w:r>
      </w:hyperlink>
      <w:r w:rsidR="000C7DE8">
        <w:rPr>
          <w:rFonts w:ascii="Arial" w:hAnsi="Arial" w:cs="Arial"/>
          <w:b w:val="0"/>
          <w:color w:val="767171" w:themeColor="background2" w:themeShade="80"/>
          <w:sz w:val="22"/>
          <w:szCs w:val="22"/>
        </w:rPr>
        <w:t xml:space="preserve"> </w:t>
      </w:r>
      <w:r w:rsidR="00EE4AC3" w:rsidRPr="00EE4AC3">
        <w:rPr>
          <w:rFonts w:ascii="Arial" w:hAnsi="Arial" w:cs="Arial"/>
          <w:b w:val="0"/>
          <w:color w:val="767171" w:themeColor="background2" w:themeShade="80"/>
          <w:sz w:val="22"/>
          <w:szCs w:val="22"/>
        </w:rPr>
        <w:t>(accessed 30 July 2021)</w:t>
      </w:r>
      <w:r w:rsidR="00EE4AC3">
        <w:rPr>
          <w:rFonts w:ascii="Arial" w:hAnsi="Arial" w:cs="Arial"/>
          <w:b w:val="0"/>
          <w:color w:val="767171" w:themeColor="background2" w:themeShade="80"/>
          <w:sz w:val="22"/>
          <w:szCs w:val="22"/>
        </w:rPr>
        <w:t xml:space="preserve"> </w:t>
      </w:r>
      <w:r w:rsidR="00EE4AC3" w:rsidRPr="00EE4AC3">
        <w:rPr>
          <w:rFonts w:ascii="Arial" w:hAnsi="Arial" w:cs="Arial"/>
          <w:b w:val="0"/>
          <w:color w:val="767171" w:themeColor="background2" w:themeShade="80"/>
          <w:sz w:val="22"/>
          <w:szCs w:val="22"/>
          <w:lang w:val="en-GB"/>
        </w:rPr>
        <w:t>(“</w:t>
      </w:r>
      <w:r w:rsidR="00EE4AC3">
        <w:rPr>
          <w:rFonts w:ascii="Arial" w:hAnsi="Arial" w:cs="Arial"/>
          <w:b w:val="0"/>
          <w:color w:val="767171" w:themeColor="background2" w:themeShade="80"/>
          <w:sz w:val="22"/>
          <w:szCs w:val="22"/>
          <w:lang w:val="en-GB"/>
        </w:rPr>
        <w:t>Companies’ Creditors Arrangement</w:t>
      </w:r>
      <w:r w:rsidR="00EE4AC3" w:rsidRPr="00EE4AC3">
        <w:rPr>
          <w:rFonts w:ascii="Arial" w:hAnsi="Arial" w:cs="Arial"/>
          <w:b w:val="0"/>
          <w:color w:val="767171" w:themeColor="background2" w:themeShade="80"/>
          <w:sz w:val="22"/>
          <w:szCs w:val="22"/>
          <w:lang w:val="en-GB"/>
        </w:rPr>
        <w:t xml:space="preserve"> Act” or “</w:t>
      </w:r>
      <w:r w:rsidR="00EE4AC3">
        <w:rPr>
          <w:rFonts w:ascii="Arial" w:hAnsi="Arial" w:cs="Arial"/>
          <w:b w:val="0"/>
          <w:color w:val="767171" w:themeColor="background2" w:themeShade="80"/>
          <w:sz w:val="22"/>
          <w:szCs w:val="22"/>
          <w:lang w:val="en-GB"/>
        </w:rPr>
        <w:t>CCA</w:t>
      </w:r>
      <w:r w:rsidR="00EE4AC3" w:rsidRPr="00EE4AC3">
        <w:rPr>
          <w:rFonts w:ascii="Arial" w:hAnsi="Arial" w:cs="Arial"/>
          <w:b w:val="0"/>
          <w:color w:val="767171" w:themeColor="background2" w:themeShade="80"/>
          <w:sz w:val="22"/>
          <w:szCs w:val="22"/>
          <w:lang w:val="en-GB"/>
        </w:rPr>
        <w:t>A”</w:t>
      </w:r>
      <w:r w:rsidR="00EE4AC3">
        <w:rPr>
          <w:rFonts w:ascii="Arial" w:hAnsi="Arial" w:cs="Arial"/>
          <w:b w:val="0"/>
          <w:color w:val="767171" w:themeColor="background2" w:themeShade="80"/>
          <w:sz w:val="22"/>
          <w:szCs w:val="22"/>
          <w:lang w:val="en-GB"/>
        </w:rPr>
        <w:t>).</w:t>
      </w:r>
    </w:p>
    <w:p w14:paraId="113761F4" w14:textId="77777777" w:rsidR="004739B2" w:rsidRPr="00D80DC2" w:rsidRDefault="004739B2" w:rsidP="004739B2">
      <w:pPr>
        <w:jc w:val="both"/>
        <w:rPr>
          <w:rFonts w:ascii="Arial" w:hAnsi="Arial" w:cs="Arial"/>
          <w:color w:val="000000"/>
          <w:sz w:val="22"/>
          <w:szCs w:val="22"/>
          <w:lang w:val="en-GB"/>
        </w:rPr>
      </w:pPr>
    </w:p>
    <w:p w14:paraId="14B58C22" w14:textId="77777777" w:rsidR="004739B2" w:rsidRPr="00D80DC2" w:rsidRDefault="008C6FAA" w:rsidP="004739B2">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4739B2" w:rsidRPr="00D80DC2" w:rsidSect="004739B2">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78156" w14:textId="77777777" w:rsidR="008939E0" w:rsidRDefault="008939E0">
      <w:r>
        <w:separator/>
      </w:r>
    </w:p>
  </w:endnote>
  <w:endnote w:type="continuationSeparator" w:id="0">
    <w:p w14:paraId="165E2684" w14:textId="77777777" w:rsidR="008939E0" w:rsidRDefault="0089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4739B2" w:rsidRPr="00FC7B47" w:rsidRDefault="004739B2" w:rsidP="004739B2">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4739B2" w:rsidRPr="00FC7B47" w:rsidRDefault="004739B2" w:rsidP="004739B2">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F306" w14:textId="629C70B7" w:rsidR="004739B2" w:rsidRPr="009B4976" w:rsidRDefault="008939E0" w:rsidP="004739B2">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4739B2" w:rsidRPr="0010593A">
          <w:rPr>
            <w:rStyle w:val="PageNumber"/>
            <w:rFonts w:ascii="Arial" w:hAnsi="Arial" w:cs="Arial"/>
            <w:b/>
            <w:bCs/>
            <w:sz w:val="18"/>
            <w:szCs w:val="18"/>
          </w:rPr>
          <w:t xml:space="preserve">Page </w:t>
        </w:r>
        <w:r w:rsidR="004739B2" w:rsidRPr="0010593A">
          <w:rPr>
            <w:rStyle w:val="PageNumber"/>
            <w:rFonts w:ascii="Arial" w:hAnsi="Arial" w:cs="Arial"/>
            <w:b/>
            <w:bCs/>
            <w:sz w:val="18"/>
            <w:szCs w:val="18"/>
          </w:rPr>
          <w:fldChar w:fldCharType="begin"/>
        </w:r>
        <w:r w:rsidR="004739B2" w:rsidRPr="0010593A">
          <w:rPr>
            <w:rStyle w:val="PageNumber"/>
            <w:rFonts w:ascii="Arial" w:hAnsi="Arial" w:cs="Arial"/>
            <w:b/>
            <w:bCs/>
            <w:sz w:val="18"/>
            <w:szCs w:val="18"/>
          </w:rPr>
          <w:instrText xml:space="preserve"> PAGE </w:instrText>
        </w:r>
        <w:r w:rsidR="004739B2" w:rsidRPr="0010593A">
          <w:rPr>
            <w:rStyle w:val="PageNumber"/>
            <w:rFonts w:ascii="Arial" w:hAnsi="Arial" w:cs="Arial"/>
            <w:b/>
            <w:bCs/>
            <w:sz w:val="18"/>
            <w:szCs w:val="18"/>
          </w:rPr>
          <w:fldChar w:fldCharType="separate"/>
        </w:r>
        <w:r w:rsidR="00821364">
          <w:rPr>
            <w:rStyle w:val="PageNumber"/>
            <w:rFonts w:ascii="Arial" w:hAnsi="Arial" w:cs="Arial"/>
            <w:b/>
            <w:bCs/>
            <w:noProof/>
            <w:sz w:val="18"/>
            <w:szCs w:val="18"/>
          </w:rPr>
          <w:t>7</w:t>
        </w:r>
        <w:r w:rsidR="004739B2" w:rsidRPr="0010593A">
          <w:rPr>
            <w:rStyle w:val="PageNumber"/>
            <w:rFonts w:ascii="Arial" w:hAnsi="Arial" w:cs="Arial"/>
            <w:b/>
            <w:bCs/>
            <w:sz w:val="18"/>
            <w:szCs w:val="18"/>
          </w:rPr>
          <w:fldChar w:fldCharType="end"/>
        </w:r>
      </w:sdtContent>
    </w:sdt>
  </w:p>
  <w:p w14:paraId="296E07EB" w14:textId="74C01D1D" w:rsidR="004739B2" w:rsidRPr="009B4976" w:rsidRDefault="004739B2" w:rsidP="00C47CAF">
    <w:pPr>
      <w:pStyle w:val="Footer"/>
      <w:ind w:right="360"/>
      <w:rPr>
        <w:rFonts w:ascii="Arial" w:hAnsi="Arial" w:cs="Arial"/>
        <w:sz w:val="18"/>
        <w:szCs w:val="18"/>
        <w:lang w:val="en-GB"/>
      </w:rPr>
    </w:pPr>
    <w:r w:rsidRPr="00C47CAF">
      <w:rPr>
        <w:rFonts w:ascii="Arial" w:hAnsi="Arial" w:cs="Arial"/>
        <w:sz w:val="18"/>
        <w:szCs w:val="18"/>
        <w:lang w:val="en-GB"/>
      </w:rPr>
      <w:t>202021IFU-283.assessment4C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0514" w14:textId="4B7A5F43" w:rsidR="004739B2" w:rsidRDefault="004739B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13530" w14:textId="77777777" w:rsidR="008939E0" w:rsidRDefault="008939E0">
      <w:r>
        <w:separator/>
      </w:r>
    </w:p>
  </w:footnote>
  <w:footnote w:type="continuationSeparator" w:id="0">
    <w:p w14:paraId="61109F9A" w14:textId="77777777" w:rsidR="008939E0" w:rsidRDefault="00893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4854" w14:textId="77777777" w:rsidR="004739B2" w:rsidRDefault="004739B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B77E" w14:textId="77777777" w:rsidR="004739B2" w:rsidRDefault="004739B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0A41F3B"/>
    <w:multiLevelType w:val="hybridMultilevel"/>
    <w:tmpl w:val="59941410"/>
    <w:lvl w:ilvl="0" w:tplc="07B4BE48">
      <w:start w:val="1"/>
      <w:numFmt w:val="decimal"/>
      <w:lvlText w:val="%1."/>
      <w:lvlJc w:val="left"/>
      <w:pPr>
        <w:ind w:left="720" w:hanging="360"/>
      </w:pPr>
      <w:rPr>
        <w:rFonts w:ascii="Arial" w:eastAsia="Times New Roman" w:hAnsi="Arial" w:cs="Arial"/>
        <w:color w:val="7B7B7B" w:themeColor="accent3"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4"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5" w15:restartNumberingAfterBreak="0">
    <w:nsid w:val="17444497"/>
    <w:multiLevelType w:val="multilevel"/>
    <w:tmpl w:val="3BBA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98C4FA8"/>
    <w:multiLevelType w:val="hybridMultilevel"/>
    <w:tmpl w:val="8FE6DF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1753A70"/>
    <w:multiLevelType w:val="hybridMultilevel"/>
    <w:tmpl w:val="3CB0A780"/>
    <w:lvl w:ilvl="0" w:tplc="78DAACC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2034FB7"/>
    <w:multiLevelType w:val="multilevel"/>
    <w:tmpl w:val="ED74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D7807"/>
    <w:multiLevelType w:val="multilevel"/>
    <w:tmpl w:val="EF924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5"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6"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7"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5BA291E"/>
    <w:multiLevelType w:val="hybridMultilevel"/>
    <w:tmpl w:val="9306D24C"/>
    <w:lvl w:ilvl="0" w:tplc="D6AE6E1C">
      <w:start w:val="1"/>
      <w:numFmt w:val="decimal"/>
      <w:lvlText w:val="%1."/>
      <w:lvlJc w:val="left"/>
      <w:pPr>
        <w:ind w:left="720" w:hanging="360"/>
      </w:pPr>
      <w:rPr>
        <w:rFonts w:hint="default"/>
        <w:color w:val="7B7B7B" w:themeColor="accent3"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4BFF4718"/>
    <w:multiLevelType w:val="multilevel"/>
    <w:tmpl w:val="6BF4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284F14"/>
    <w:multiLevelType w:val="multilevel"/>
    <w:tmpl w:val="139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25"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26"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7" w15:restartNumberingAfterBreak="0">
    <w:nsid w:val="6393487C"/>
    <w:multiLevelType w:val="hybridMultilevel"/>
    <w:tmpl w:val="E536084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9"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30"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24"/>
  </w:num>
  <w:num w:numId="2">
    <w:abstractNumId w:val="29"/>
  </w:num>
  <w:num w:numId="3">
    <w:abstractNumId w:val="3"/>
  </w:num>
  <w:num w:numId="4">
    <w:abstractNumId w:val="26"/>
  </w:num>
  <w:num w:numId="5">
    <w:abstractNumId w:val="31"/>
  </w:num>
  <w:num w:numId="6">
    <w:abstractNumId w:val="25"/>
  </w:num>
  <w:num w:numId="7">
    <w:abstractNumId w:val="0"/>
  </w:num>
  <w:num w:numId="8">
    <w:abstractNumId w:val="28"/>
  </w:num>
  <w:num w:numId="9">
    <w:abstractNumId w:val="4"/>
  </w:num>
  <w:num w:numId="10">
    <w:abstractNumId w:val="14"/>
  </w:num>
  <w:num w:numId="11">
    <w:abstractNumId w:val="15"/>
  </w:num>
  <w:num w:numId="12">
    <w:abstractNumId w:val="16"/>
  </w:num>
  <w:num w:numId="13">
    <w:abstractNumId w:val="23"/>
  </w:num>
  <w:num w:numId="14">
    <w:abstractNumId w:val="8"/>
  </w:num>
  <w:num w:numId="15">
    <w:abstractNumId w:val="13"/>
  </w:num>
  <w:num w:numId="16">
    <w:abstractNumId w:val="6"/>
  </w:num>
  <w:num w:numId="17">
    <w:abstractNumId w:val="1"/>
  </w:num>
  <w:num w:numId="18">
    <w:abstractNumId w:val="20"/>
  </w:num>
  <w:num w:numId="19">
    <w:abstractNumId w:val="30"/>
  </w:num>
  <w:num w:numId="20">
    <w:abstractNumId w:val="17"/>
  </w:num>
  <w:num w:numId="21">
    <w:abstractNumId w:val="10"/>
  </w:num>
  <w:num w:numId="22">
    <w:abstractNumId w:val="19"/>
  </w:num>
  <w:num w:numId="23">
    <w:abstractNumId w:val="2"/>
  </w:num>
  <w:num w:numId="24">
    <w:abstractNumId w:val="27"/>
  </w:num>
  <w:num w:numId="25">
    <w:abstractNumId w:val="7"/>
  </w:num>
  <w:num w:numId="26">
    <w:abstractNumId w:val="18"/>
  </w:num>
  <w:num w:numId="27">
    <w:abstractNumId w:val="9"/>
  </w:num>
  <w:num w:numId="28">
    <w:abstractNumId w:val="22"/>
  </w:num>
  <w:num w:numId="29">
    <w:abstractNumId w:val="11"/>
  </w:num>
  <w:num w:numId="30">
    <w:abstractNumId w:val="5"/>
  </w:num>
  <w:num w:numId="31">
    <w:abstractNumId w:val="2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CC"/>
    <w:rsid w:val="00035DCA"/>
    <w:rsid w:val="00055CC5"/>
    <w:rsid w:val="0009222D"/>
    <w:rsid w:val="00096873"/>
    <w:rsid w:val="000C276F"/>
    <w:rsid w:val="000C7DE8"/>
    <w:rsid w:val="00107795"/>
    <w:rsid w:val="00152029"/>
    <w:rsid w:val="00172009"/>
    <w:rsid w:val="00181579"/>
    <w:rsid w:val="0019721F"/>
    <w:rsid w:val="001B0BDE"/>
    <w:rsid w:val="001D0953"/>
    <w:rsid w:val="001D1BA3"/>
    <w:rsid w:val="001E3ECC"/>
    <w:rsid w:val="00214543"/>
    <w:rsid w:val="00215C3A"/>
    <w:rsid w:val="00237888"/>
    <w:rsid w:val="00240D40"/>
    <w:rsid w:val="00245B54"/>
    <w:rsid w:val="00247E42"/>
    <w:rsid w:val="00255FAF"/>
    <w:rsid w:val="00260ED7"/>
    <w:rsid w:val="00266441"/>
    <w:rsid w:val="00292B63"/>
    <w:rsid w:val="002A1AAC"/>
    <w:rsid w:val="002A49B4"/>
    <w:rsid w:val="002C1D84"/>
    <w:rsid w:val="002D3BF4"/>
    <w:rsid w:val="002E0AFD"/>
    <w:rsid w:val="003366F8"/>
    <w:rsid w:val="00341942"/>
    <w:rsid w:val="00360189"/>
    <w:rsid w:val="00364F2D"/>
    <w:rsid w:val="00373451"/>
    <w:rsid w:val="00394107"/>
    <w:rsid w:val="00397D14"/>
    <w:rsid w:val="003F3F70"/>
    <w:rsid w:val="00410C9A"/>
    <w:rsid w:val="00414E7A"/>
    <w:rsid w:val="004160F5"/>
    <w:rsid w:val="004342F5"/>
    <w:rsid w:val="004739B2"/>
    <w:rsid w:val="00477C8E"/>
    <w:rsid w:val="00484171"/>
    <w:rsid w:val="00497D97"/>
    <w:rsid w:val="004A05CE"/>
    <w:rsid w:val="004B6C81"/>
    <w:rsid w:val="00502A02"/>
    <w:rsid w:val="00513258"/>
    <w:rsid w:val="005362CA"/>
    <w:rsid w:val="00554069"/>
    <w:rsid w:val="005625A0"/>
    <w:rsid w:val="00564304"/>
    <w:rsid w:val="005B12CC"/>
    <w:rsid w:val="005D2A4A"/>
    <w:rsid w:val="005F6E7F"/>
    <w:rsid w:val="00613FC7"/>
    <w:rsid w:val="0062528B"/>
    <w:rsid w:val="00660368"/>
    <w:rsid w:val="00684CCD"/>
    <w:rsid w:val="00685E52"/>
    <w:rsid w:val="00690A23"/>
    <w:rsid w:val="006961A1"/>
    <w:rsid w:val="006D6187"/>
    <w:rsid w:val="006E5EF0"/>
    <w:rsid w:val="0074619C"/>
    <w:rsid w:val="00756BEC"/>
    <w:rsid w:val="00766029"/>
    <w:rsid w:val="00821364"/>
    <w:rsid w:val="00824CC7"/>
    <w:rsid w:val="00833388"/>
    <w:rsid w:val="00851FFC"/>
    <w:rsid w:val="0086708C"/>
    <w:rsid w:val="008759A2"/>
    <w:rsid w:val="00877E41"/>
    <w:rsid w:val="008939E0"/>
    <w:rsid w:val="008C6FAA"/>
    <w:rsid w:val="008D165C"/>
    <w:rsid w:val="008F5F63"/>
    <w:rsid w:val="00917FDC"/>
    <w:rsid w:val="009242F6"/>
    <w:rsid w:val="009309B7"/>
    <w:rsid w:val="00950086"/>
    <w:rsid w:val="009569A2"/>
    <w:rsid w:val="00963A1D"/>
    <w:rsid w:val="00967BC2"/>
    <w:rsid w:val="00972E66"/>
    <w:rsid w:val="00996B5F"/>
    <w:rsid w:val="009A0A99"/>
    <w:rsid w:val="009A6828"/>
    <w:rsid w:val="009C11BC"/>
    <w:rsid w:val="009D0B2D"/>
    <w:rsid w:val="00A13E9B"/>
    <w:rsid w:val="00A254C1"/>
    <w:rsid w:val="00A37B33"/>
    <w:rsid w:val="00A52603"/>
    <w:rsid w:val="00A66691"/>
    <w:rsid w:val="00A70963"/>
    <w:rsid w:val="00A81E43"/>
    <w:rsid w:val="00A92371"/>
    <w:rsid w:val="00AA077D"/>
    <w:rsid w:val="00AB4504"/>
    <w:rsid w:val="00AB57C3"/>
    <w:rsid w:val="00AC1171"/>
    <w:rsid w:val="00AD1402"/>
    <w:rsid w:val="00AE02AA"/>
    <w:rsid w:val="00AE5C40"/>
    <w:rsid w:val="00AF3ED2"/>
    <w:rsid w:val="00AF47B8"/>
    <w:rsid w:val="00B01C77"/>
    <w:rsid w:val="00B14D1B"/>
    <w:rsid w:val="00B34DE1"/>
    <w:rsid w:val="00B62BF0"/>
    <w:rsid w:val="00B87398"/>
    <w:rsid w:val="00BE7E24"/>
    <w:rsid w:val="00BF3EB6"/>
    <w:rsid w:val="00C158CC"/>
    <w:rsid w:val="00C47CAF"/>
    <w:rsid w:val="00C54226"/>
    <w:rsid w:val="00C87F47"/>
    <w:rsid w:val="00CB3018"/>
    <w:rsid w:val="00CB3151"/>
    <w:rsid w:val="00CF3A2C"/>
    <w:rsid w:val="00CF52C6"/>
    <w:rsid w:val="00DA2201"/>
    <w:rsid w:val="00DA2DD1"/>
    <w:rsid w:val="00DA51E1"/>
    <w:rsid w:val="00DC6102"/>
    <w:rsid w:val="00DD0FDF"/>
    <w:rsid w:val="00E0683B"/>
    <w:rsid w:val="00E43019"/>
    <w:rsid w:val="00E51860"/>
    <w:rsid w:val="00EA516C"/>
    <w:rsid w:val="00EE0955"/>
    <w:rsid w:val="00EE4AC3"/>
    <w:rsid w:val="00F56ED8"/>
    <w:rsid w:val="00F83D52"/>
    <w:rsid w:val="00F95906"/>
    <w:rsid w:val="00FA3204"/>
    <w:rsid w:val="00FA3CFF"/>
    <w:rsid w:val="00FC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83B"/>
    <w:rPr>
      <w:rFonts w:eastAsia="Times New Roman"/>
      <w:sz w:val="20"/>
    </w:rPr>
  </w:style>
  <w:style w:type="paragraph" w:styleId="Heading1">
    <w:name w:val="heading 1"/>
    <w:basedOn w:val="Normal"/>
    <w:link w:val="Heading1Char"/>
    <w:uiPriority w:val="9"/>
    <w:qFormat/>
    <w:rsid w:val="00497D97"/>
    <w:pPr>
      <w:spacing w:before="100" w:beforeAutospacing="1" w:after="100" w:afterAutospacing="1"/>
      <w:outlineLvl w:val="0"/>
    </w:pPr>
    <w:rPr>
      <w:rFonts w:ascii="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 w:type="character" w:customStyle="1" w:styleId="Heading1Char">
    <w:name w:val="Heading 1 Char"/>
    <w:basedOn w:val="DefaultParagraphFont"/>
    <w:link w:val="Heading1"/>
    <w:uiPriority w:val="9"/>
    <w:rsid w:val="00497D97"/>
    <w:rPr>
      <w:rFonts w:ascii="Times New Roman" w:eastAsia="Times New Roman" w:hAnsi="Times New Roman" w:cs="Times New Roman"/>
      <w:b/>
      <w:bCs/>
      <w:kern w:val="36"/>
      <w:sz w:val="48"/>
      <w:szCs w:val="48"/>
      <w:lang w:val="en-ZA" w:eastAsia="en-ZA"/>
    </w:rPr>
  </w:style>
  <w:style w:type="paragraph" w:customStyle="1" w:styleId="definition">
    <w:name w:val="definition"/>
    <w:basedOn w:val="Normal"/>
    <w:rsid w:val="00EE4AC3"/>
    <w:pPr>
      <w:spacing w:before="100" w:beforeAutospacing="1" w:after="100" w:afterAutospacing="1"/>
    </w:pPr>
    <w:rPr>
      <w:rFonts w:ascii="Times New Roman" w:hAnsi="Times New Roman" w:cs="Times New Roman"/>
      <w:sz w:val="24"/>
      <w:lang w:val="en-ZA" w:eastAsia="en-ZA"/>
    </w:rPr>
  </w:style>
  <w:style w:type="character" w:styleId="HTMLDefinition">
    <w:name w:val="HTML Definition"/>
    <w:basedOn w:val="DefaultParagraphFont"/>
    <w:uiPriority w:val="99"/>
    <w:semiHidden/>
    <w:unhideWhenUsed/>
    <w:rsid w:val="00EE4AC3"/>
    <w:rPr>
      <w:i/>
      <w:iCs/>
    </w:rPr>
  </w:style>
  <w:style w:type="character" w:customStyle="1" w:styleId="definedtermlink">
    <w:name w:val="definedtermlink"/>
    <w:basedOn w:val="DefaultParagraphFont"/>
    <w:rsid w:val="00EE4AC3"/>
  </w:style>
  <w:style w:type="paragraph" w:customStyle="1" w:styleId="paragraph">
    <w:name w:val="paragraph"/>
    <w:basedOn w:val="Normal"/>
    <w:rsid w:val="00EE4AC3"/>
    <w:pPr>
      <w:spacing w:before="100" w:beforeAutospacing="1" w:after="100" w:afterAutospacing="1"/>
    </w:pPr>
    <w:rPr>
      <w:rFonts w:ascii="Times New Roman" w:hAnsi="Times New Roman" w:cs="Times New Roman"/>
      <w:sz w:val="24"/>
      <w:lang w:val="en-ZA" w:eastAsia="en-ZA"/>
    </w:rPr>
  </w:style>
  <w:style w:type="character" w:customStyle="1" w:styleId="lawlabel">
    <w:name w:val="lawlabel"/>
    <w:basedOn w:val="DefaultParagraphFont"/>
    <w:rsid w:val="00EE4AC3"/>
  </w:style>
  <w:style w:type="paragraph" w:customStyle="1" w:styleId="subsection">
    <w:name w:val="subsection"/>
    <w:basedOn w:val="Normal"/>
    <w:rsid w:val="00963A1D"/>
    <w:pPr>
      <w:spacing w:before="100" w:beforeAutospacing="1" w:after="100" w:afterAutospacing="1"/>
    </w:pPr>
    <w:rPr>
      <w:rFonts w:ascii="Times New Roman" w:hAnsi="Times New Roman" w:cs="Times New Roman"/>
      <w:sz w:val="24"/>
      <w:lang w:val="en-ZA" w:eastAsia="en-ZA"/>
    </w:rPr>
  </w:style>
  <w:style w:type="character" w:customStyle="1" w:styleId="sectionlabel">
    <w:name w:val="sectionlabel"/>
    <w:basedOn w:val="DefaultParagraphFont"/>
    <w:rsid w:val="00963A1D"/>
  </w:style>
  <w:style w:type="paragraph" w:customStyle="1" w:styleId="section">
    <w:name w:val="section"/>
    <w:basedOn w:val="Normal"/>
    <w:rsid w:val="00C87F47"/>
    <w:pPr>
      <w:spacing w:before="100" w:beforeAutospacing="1" w:after="100" w:afterAutospacing="1"/>
    </w:pPr>
    <w:rPr>
      <w:rFonts w:ascii="Times New Roman" w:hAnsi="Times New Roman" w:cs="Times New Roman"/>
      <w:sz w:val="24"/>
      <w:lang w:val="en-ZA" w:eastAsia="en-ZA"/>
    </w:rPr>
  </w:style>
  <w:style w:type="paragraph" w:customStyle="1" w:styleId="subparagraph">
    <w:name w:val="subparagraph"/>
    <w:basedOn w:val="Normal"/>
    <w:rsid w:val="0009222D"/>
    <w:pPr>
      <w:spacing w:before="100" w:beforeAutospacing="1" w:after="100" w:afterAutospacing="1"/>
    </w:pPr>
    <w:rPr>
      <w:rFonts w:ascii="Times New Roman" w:hAnsi="Times New Roman" w:cs="Times New Roman"/>
      <w:sz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9536">
      <w:bodyDiv w:val="1"/>
      <w:marLeft w:val="0"/>
      <w:marRight w:val="0"/>
      <w:marTop w:val="0"/>
      <w:marBottom w:val="0"/>
      <w:divBdr>
        <w:top w:val="none" w:sz="0" w:space="0" w:color="auto"/>
        <w:left w:val="none" w:sz="0" w:space="0" w:color="auto"/>
        <w:bottom w:val="none" w:sz="0" w:space="0" w:color="auto"/>
        <w:right w:val="none" w:sz="0" w:space="0" w:color="auto"/>
      </w:divBdr>
    </w:div>
    <w:div w:id="177936360">
      <w:bodyDiv w:val="1"/>
      <w:marLeft w:val="0"/>
      <w:marRight w:val="0"/>
      <w:marTop w:val="0"/>
      <w:marBottom w:val="0"/>
      <w:divBdr>
        <w:top w:val="none" w:sz="0" w:space="0" w:color="auto"/>
        <w:left w:val="none" w:sz="0" w:space="0" w:color="auto"/>
        <w:bottom w:val="none" w:sz="0" w:space="0" w:color="auto"/>
        <w:right w:val="none" w:sz="0" w:space="0" w:color="auto"/>
      </w:divBdr>
    </w:div>
    <w:div w:id="990792417">
      <w:bodyDiv w:val="1"/>
      <w:marLeft w:val="0"/>
      <w:marRight w:val="0"/>
      <w:marTop w:val="0"/>
      <w:marBottom w:val="0"/>
      <w:divBdr>
        <w:top w:val="none" w:sz="0" w:space="0" w:color="auto"/>
        <w:left w:val="none" w:sz="0" w:space="0" w:color="auto"/>
        <w:bottom w:val="none" w:sz="0" w:space="0" w:color="auto"/>
        <w:right w:val="none" w:sz="0" w:space="0" w:color="auto"/>
      </w:divBdr>
    </w:div>
    <w:div w:id="1024550923">
      <w:bodyDiv w:val="1"/>
      <w:marLeft w:val="0"/>
      <w:marRight w:val="0"/>
      <w:marTop w:val="0"/>
      <w:marBottom w:val="0"/>
      <w:divBdr>
        <w:top w:val="none" w:sz="0" w:space="0" w:color="auto"/>
        <w:left w:val="none" w:sz="0" w:space="0" w:color="auto"/>
        <w:bottom w:val="none" w:sz="0" w:space="0" w:color="auto"/>
        <w:right w:val="none" w:sz="0" w:space="0" w:color="auto"/>
      </w:divBdr>
    </w:div>
    <w:div w:id="1336374416">
      <w:bodyDiv w:val="1"/>
      <w:marLeft w:val="0"/>
      <w:marRight w:val="0"/>
      <w:marTop w:val="0"/>
      <w:marBottom w:val="0"/>
      <w:divBdr>
        <w:top w:val="none" w:sz="0" w:space="0" w:color="auto"/>
        <w:left w:val="none" w:sz="0" w:space="0" w:color="auto"/>
        <w:bottom w:val="none" w:sz="0" w:space="0" w:color="auto"/>
        <w:right w:val="none" w:sz="0" w:space="0" w:color="auto"/>
      </w:divBdr>
    </w:div>
    <w:div w:id="1336416857">
      <w:bodyDiv w:val="1"/>
      <w:marLeft w:val="0"/>
      <w:marRight w:val="0"/>
      <w:marTop w:val="0"/>
      <w:marBottom w:val="0"/>
      <w:divBdr>
        <w:top w:val="none" w:sz="0" w:space="0" w:color="auto"/>
        <w:left w:val="none" w:sz="0" w:space="0" w:color="auto"/>
        <w:bottom w:val="none" w:sz="0" w:space="0" w:color="auto"/>
        <w:right w:val="none" w:sz="0" w:space="0" w:color="auto"/>
      </w:divBdr>
    </w:div>
    <w:div w:id="19803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s-lois.justice.gc.ca/eng/acts/B-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ws.justice.gc.ca/eng/acts/C-36/index.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13</Pages>
  <Words>6327</Words>
  <Characters>36067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JS van Wyk</cp:lastModifiedBy>
  <cp:revision>105</cp:revision>
  <dcterms:created xsi:type="dcterms:W3CDTF">2021-02-09T10:53:00Z</dcterms:created>
  <dcterms:modified xsi:type="dcterms:W3CDTF">2021-07-31T08:27:00Z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