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342AA9" w:rsidRDefault="00C7729F" w:rsidP="003C4BCB">
      <w:pPr>
        <w:pStyle w:val="Prrafodelista"/>
        <w:numPr>
          <w:ilvl w:val="0"/>
          <w:numId w:val="2"/>
        </w:numPr>
        <w:ind w:left="426"/>
        <w:jc w:val="both"/>
        <w:rPr>
          <w:rFonts w:ascii="Arial" w:hAnsi="Arial" w:cs="Arial"/>
          <w:sz w:val="22"/>
          <w:szCs w:val="22"/>
          <w:highlight w:val="yellow"/>
          <w:lang w:val="en-GB"/>
        </w:rPr>
      </w:pPr>
      <w:r w:rsidRPr="00342AA9">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342AA9">
        <w:rPr>
          <w:rFonts w:ascii="Arial" w:hAnsi="Arial" w:cs="Arial"/>
          <w:sz w:val="22"/>
          <w:szCs w:val="22"/>
          <w:highlight w:val="yellow"/>
          <w:lang w:val="en-GB"/>
        </w:rPr>
        <w:t>1960s,</w:t>
      </w:r>
      <w:r w:rsidRPr="00342AA9">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142137" w:rsidRDefault="00BB38D1" w:rsidP="003C4BCB">
      <w:pPr>
        <w:pStyle w:val="Prrafodelista"/>
        <w:numPr>
          <w:ilvl w:val="0"/>
          <w:numId w:val="3"/>
        </w:numPr>
        <w:ind w:left="426"/>
        <w:jc w:val="both"/>
        <w:rPr>
          <w:rFonts w:ascii="Arial" w:hAnsi="Arial" w:cs="Arial"/>
          <w:iCs/>
          <w:sz w:val="22"/>
          <w:szCs w:val="22"/>
          <w:highlight w:val="yellow"/>
          <w:lang w:val="en-GB"/>
        </w:rPr>
      </w:pPr>
      <w:r w:rsidRPr="00142137">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C86AD7" w:rsidRDefault="00967219" w:rsidP="003C4BCB">
      <w:pPr>
        <w:pStyle w:val="Prrafodelista"/>
        <w:numPr>
          <w:ilvl w:val="0"/>
          <w:numId w:val="4"/>
        </w:numPr>
        <w:ind w:left="426"/>
        <w:jc w:val="both"/>
        <w:rPr>
          <w:rFonts w:ascii="Arial" w:hAnsi="Arial" w:cs="Arial"/>
          <w:sz w:val="22"/>
          <w:szCs w:val="22"/>
          <w:highlight w:val="yellow"/>
          <w:lang w:val="en-GB"/>
        </w:rPr>
      </w:pPr>
      <w:r w:rsidRPr="00C86AD7">
        <w:rPr>
          <w:rFonts w:ascii="Arial" w:hAnsi="Arial" w:cs="Arial"/>
          <w:sz w:val="22"/>
          <w:szCs w:val="22"/>
          <w:highlight w:val="yellow"/>
          <w:lang w:val="en-GB"/>
        </w:rPr>
        <w:t>Article 31 EIR Recast (“</w:t>
      </w:r>
      <w:r w:rsidRPr="00C86AD7">
        <w:rPr>
          <w:rFonts w:ascii="Arial" w:hAnsi="Arial" w:cs="Arial"/>
          <w:bCs/>
          <w:sz w:val="22"/>
          <w:szCs w:val="22"/>
          <w:highlight w:val="yellow"/>
          <w:lang w:val="en-GB"/>
        </w:rPr>
        <w:t>Honouring of an obligation to a debtor”</w:t>
      </w:r>
      <w:r w:rsidRPr="00C86AD7">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E92AA8" w:rsidRDefault="00874240" w:rsidP="003C4BCB">
      <w:pPr>
        <w:pStyle w:val="Prrafodelista"/>
        <w:numPr>
          <w:ilvl w:val="0"/>
          <w:numId w:val="5"/>
        </w:numPr>
        <w:ind w:left="426"/>
        <w:jc w:val="both"/>
        <w:rPr>
          <w:rFonts w:ascii="Arial" w:hAnsi="Arial" w:cs="Arial"/>
          <w:sz w:val="22"/>
          <w:szCs w:val="22"/>
          <w:highlight w:val="yellow"/>
          <w:lang w:val="en-GB"/>
        </w:rPr>
      </w:pPr>
      <w:r w:rsidRPr="00E92AA8">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E224A1" w:rsidRDefault="00874240" w:rsidP="003C4BCB">
      <w:pPr>
        <w:pStyle w:val="Prrafodelista"/>
        <w:numPr>
          <w:ilvl w:val="0"/>
          <w:numId w:val="6"/>
        </w:numPr>
        <w:ind w:left="426"/>
        <w:jc w:val="both"/>
        <w:rPr>
          <w:rFonts w:ascii="Arial" w:hAnsi="Arial" w:cs="Arial"/>
          <w:sz w:val="22"/>
          <w:szCs w:val="22"/>
          <w:highlight w:val="yellow"/>
          <w:lang w:val="en-GB"/>
        </w:rPr>
      </w:pPr>
      <w:r w:rsidRPr="00E224A1">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Prrafode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Prrafode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Prrafode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F06CA" w:rsidRDefault="00113E29" w:rsidP="003C4BCB">
      <w:pPr>
        <w:pStyle w:val="Prrafodelista"/>
        <w:numPr>
          <w:ilvl w:val="0"/>
          <w:numId w:val="7"/>
        </w:numPr>
        <w:ind w:left="426"/>
        <w:jc w:val="both"/>
        <w:rPr>
          <w:rFonts w:ascii="Arial" w:hAnsi="Arial" w:cs="Arial"/>
          <w:sz w:val="22"/>
          <w:szCs w:val="22"/>
          <w:highlight w:val="yellow"/>
          <w:lang w:val="en-GB"/>
        </w:rPr>
      </w:pPr>
      <w:r w:rsidRPr="003F06CA">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Prrafodelista"/>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Prrafode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B45B46" w:rsidRDefault="00967219" w:rsidP="003C4BCB">
      <w:pPr>
        <w:pStyle w:val="Prrafodelista"/>
        <w:numPr>
          <w:ilvl w:val="0"/>
          <w:numId w:val="8"/>
        </w:numPr>
        <w:ind w:left="426"/>
        <w:jc w:val="both"/>
        <w:rPr>
          <w:rFonts w:ascii="Arial" w:hAnsi="Arial" w:cs="Arial"/>
          <w:sz w:val="22"/>
          <w:szCs w:val="22"/>
          <w:highlight w:val="yellow"/>
          <w:lang w:val="en-GB"/>
        </w:rPr>
      </w:pPr>
      <w:r w:rsidRPr="00B45B46">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Prrafodelista"/>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Prrafode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Textocomentario"/>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Prrafodelista"/>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Prrafodelista"/>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DF7A65" w:rsidRDefault="00967219" w:rsidP="003C4BCB">
      <w:pPr>
        <w:pStyle w:val="Prrafodelista"/>
        <w:numPr>
          <w:ilvl w:val="0"/>
          <w:numId w:val="9"/>
        </w:numPr>
        <w:ind w:left="426"/>
        <w:jc w:val="both"/>
        <w:rPr>
          <w:rFonts w:ascii="Arial" w:hAnsi="Arial" w:cs="Arial"/>
          <w:sz w:val="22"/>
          <w:szCs w:val="22"/>
          <w:highlight w:val="yellow"/>
          <w:lang w:val="en-GB"/>
        </w:rPr>
      </w:pPr>
      <w:r w:rsidRPr="00DF7A65">
        <w:rPr>
          <w:rFonts w:ascii="Arial" w:hAnsi="Arial" w:cs="Arial"/>
          <w:sz w:val="22"/>
          <w:szCs w:val="22"/>
          <w:highlight w:val="yellow"/>
          <w:lang w:val="en-GB"/>
        </w:rPr>
        <w:t xml:space="preserve">The contested transactions cannot be avoided if </w:t>
      </w:r>
      <w:proofErr w:type="spellStart"/>
      <w:r w:rsidRPr="00DF7A65">
        <w:rPr>
          <w:rFonts w:ascii="Arial" w:hAnsi="Arial" w:cs="Arial"/>
          <w:sz w:val="22"/>
          <w:szCs w:val="22"/>
          <w:highlight w:val="yellow"/>
          <w:lang w:val="en-GB"/>
        </w:rPr>
        <w:t>Fema</w:t>
      </w:r>
      <w:proofErr w:type="spellEnd"/>
      <w:r w:rsidRPr="00DF7A65">
        <w:rPr>
          <w:rFonts w:ascii="Arial" w:hAnsi="Arial" w:cs="Arial"/>
          <w:sz w:val="22"/>
          <w:szCs w:val="22"/>
          <w:highlight w:val="yellow"/>
          <w:lang w:val="en-GB"/>
        </w:rPr>
        <w:t xml:space="preserve"> GmbH can prove that the </w:t>
      </w:r>
      <w:r w:rsidRPr="00DF7A65">
        <w:rPr>
          <w:rFonts w:ascii="Arial" w:hAnsi="Arial" w:cs="Arial"/>
          <w:i/>
          <w:sz w:val="22"/>
          <w:szCs w:val="22"/>
          <w:highlight w:val="yellow"/>
          <w:lang w:val="en-GB"/>
        </w:rPr>
        <w:t xml:space="preserve">lex </w:t>
      </w:r>
      <w:proofErr w:type="spellStart"/>
      <w:r w:rsidRPr="00DF7A65">
        <w:rPr>
          <w:rFonts w:ascii="Arial" w:hAnsi="Arial" w:cs="Arial"/>
          <w:i/>
          <w:sz w:val="22"/>
          <w:szCs w:val="22"/>
          <w:highlight w:val="yellow"/>
          <w:lang w:val="en-GB"/>
        </w:rPr>
        <w:t>causae</w:t>
      </w:r>
      <w:proofErr w:type="spellEnd"/>
      <w:r w:rsidRPr="00DF7A65">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Prrafodelista"/>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CF588D" w:rsidRDefault="00FC48D8" w:rsidP="003C4BCB">
      <w:pPr>
        <w:pStyle w:val="Prrafodelista"/>
        <w:numPr>
          <w:ilvl w:val="0"/>
          <w:numId w:val="10"/>
        </w:numPr>
        <w:ind w:left="426"/>
        <w:jc w:val="both"/>
        <w:rPr>
          <w:rFonts w:ascii="Arial" w:hAnsi="Arial" w:cs="Arial"/>
          <w:sz w:val="22"/>
          <w:szCs w:val="22"/>
          <w:highlight w:val="yellow"/>
          <w:lang w:val="en-GB"/>
        </w:rPr>
      </w:pPr>
      <w:r w:rsidRPr="00CF588D">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Prrafode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Prrafode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Prrafode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Prrafodelista"/>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Prrafodelista"/>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Prrafodelista"/>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950484" w:rsidRDefault="00FC48D8" w:rsidP="003C4BCB">
      <w:pPr>
        <w:pStyle w:val="Prrafodelista"/>
        <w:numPr>
          <w:ilvl w:val="0"/>
          <w:numId w:val="11"/>
        </w:numPr>
        <w:ind w:left="426"/>
        <w:jc w:val="both"/>
        <w:rPr>
          <w:rFonts w:ascii="Arial" w:hAnsi="Arial" w:cs="Arial"/>
          <w:sz w:val="22"/>
          <w:szCs w:val="22"/>
          <w:lang w:val="en-GB"/>
        </w:rPr>
      </w:pPr>
      <w:r w:rsidRPr="00950484">
        <w:rPr>
          <w:rFonts w:ascii="Arial" w:hAnsi="Arial" w:cs="Arial"/>
          <w:sz w:val="22"/>
          <w:szCs w:val="22"/>
          <w:lang w:val="en-GB"/>
        </w:rPr>
        <w:t xml:space="preserve">Within 15 days, as stipulated in the applicable </w:t>
      </w:r>
      <w:r w:rsidRPr="00950484">
        <w:rPr>
          <w:rFonts w:ascii="Arial" w:hAnsi="Arial" w:cs="Arial"/>
          <w:i/>
          <w:sz w:val="22"/>
          <w:szCs w:val="22"/>
          <w:lang w:val="en-GB"/>
        </w:rPr>
        <w:t xml:space="preserve">lex concursus </w:t>
      </w:r>
      <w:proofErr w:type="spellStart"/>
      <w:r w:rsidRPr="00950484">
        <w:rPr>
          <w:rFonts w:ascii="Arial" w:hAnsi="Arial" w:cs="Arial"/>
          <w:i/>
          <w:sz w:val="22"/>
          <w:szCs w:val="22"/>
          <w:lang w:val="en-GB"/>
        </w:rPr>
        <w:t>secundarii</w:t>
      </w:r>
      <w:proofErr w:type="spellEnd"/>
      <w:r w:rsidRPr="00950484">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950484" w:rsidRDefault="00FC48D8" w:rsidP="003C4BCB">
      <w:pPr>
        <w:pStyle w:val="Prrafodelista"/>
        <w:numPr>
          <w:ilvl w:val="0"/>
          <w:numId w:val="11"/>
        </w:numPr>
        <w:ind w:left="426"/>
        <w:jc w:val="both"/>
        <w:rPr>
          <w:rFonts w:ascii="Arial" w:hAnsi="Arial" w:cs="Arial"/>
          <w:sz w:val="22"/>
          <w:szCs w:val="22"/>
          <w:highlight w:val="yellow"/>
          <w:lang w:val="en-GB"/>
        </w:rPr>
      </w:pPr>
      <w:r w:rsidRPr="00950484">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6465CD" w:rsidRDefault="00FC48D8" w:rsidP="003C4BCB">
      <w:pPr>
        <w:pStyle w:val="Prrafodelista"/>
        <w:numPr>
          <w:ilvl w:val="0"/>
          <w:numId w:val="11"/>
        </w:numPr>
        <w:ind w:left="426"/>
        <w:jc w:val="both"/>
        <w:rPr>
          <w:rFonts w:ascii="Arial" w:hAnsi="Arial" w:cs="Arial"/>
          <w:sz w:val="22"/>
          <w:szCs w:val="22"/>
          <w:lang w:val="en-GB"/>
        </w:rPr>
      </w:pPr>
      <w:r w:rsidRPr="006465CD">
        <w:rPr>
          <w:rFonts w:ascii="Arial" w:hAnsi="Arial" w:cs="Arial"/>
          <w:sz w:val="22"/>
          <w:szCs w:val="22"/>
          <w:lang w:val="en-GB"/>
        </w:rPr>
        <w:t xml:space="preserve">Within the time limit prescribed by the </w:t>
      </w:r>
      <w:r w:rsidRPr="006465CD">
        <w:rPr>
          <w:rFonts w:ascii="Arial" w:hAnsi="Arial" w:cs="Arial"/>
          <w:i/>
          <w:sz w:val="22"/>
          <w:szCs w:val="22"/>
          <w:lang w:val="en-GB"/>
        </w:rPr>
        <w:t>lex concursus</w:t>
      </w:r>
      <w:r w:rsidRPr="006465CD">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tbl>
      <w:tblPr>
        <w:tblStyle w:val="Tablaconcuadrcula"/>
        <w:tblW w:w="0" w:type="auto"/>
        <w:tblInd w:w="-5" w:type="dxa"/>
        <w:tblLook w:val="04A0" w:firstRow="1" w:lastRow="0" w:firstColumn="1" w:lastColumn="0" w:noHBand="0" w:noVBand="1"/>
      </w:tblPr>
      <w:tblGrid>
        <w:gridCol w:w="2890"/>
        <w:gridCol w:w="2111"/>
        <w:gridCol w:w="4020"/>
      </w:tblGrid>
      <w:tr w:rsidR="00F6603B" w14:paraId="4F71719A" w14:textId="77777777" w:rsidTr="00F945C6">
        <w:tc>
          <w:tcPr>
            <w:tcW w:w="2977" w:type="dxa"/>
          </w:tcPr>
          <w:p w14:paraId="25512845" w14:textId="4226733E" w:rsidR="00F6603B" w:rsidRPr="00F6603B" w:rsidRDefault="00F6603B" w:rsidP="00F6603B">
            <w:pPr>
              <w:jc w:val="center"/>
              <w:rPr>
                <w:rFonts w:ascii="Arial" w:hAnsi="Arial" w:cs="Arial"/>
                <w:b/>
                <w:color w:val="7B7B7B" w:themeColor="accent3" w:themeShade="BF"/>
                <w:sz w:val="22"/>
                <w:szCs w:val="22"/>
                <w:lang w:val="en-GB"/>
              </w:rPr>
            </w:pPr>
            <w:r w:rsidRPr="00F6603B">
              <w:rPr>
                <w:rFonts w:ascii="Arial" w:hAnsi="Arial" w:cs="Arial"/>
                <w:b/>
                <w:color w:val="7B7B7B" w:themeColor="accent3" w:themeShade="BF"/>
                <w:sz w:val="22"/>
                <w:szCs w:val="22"/>
                <w:lang w:val="en-GB"/>
              </w:rPr>
              <w:t>Statement</w:t>
            </w:r>
          </w:p>
        </w:tc>
        <w:tc>
          <w:tcPr>
            <w:tcW w:w="1843" w:type="dxa"/>
          </w:tcPr>
          <w:p w14:paraId="3582B04A" w14:textId="6BC0B3D3" w:rsidR="00F6603B" w:rsidRPr="00F6603B" w:rsidRDefault="00F6603B" w:rsidP="00F6603B">
            <w:pPr>
              <w:jc w:val="center"/>
              <w:rPr>
                <w:rFonts w:ascii="Arial" w:hAnsi="Arial" w:cs="Arial"/>
                <w:b/>
                <w:color w:val="7B7B7B" w:themeColor="accent3" w:themeShade="BF"/>
                <w:sz w:val="22"/>
                <w:szCs w:val="22"/>
                <w:lang w:val="en-GB"/>
              </w:rPr>
            </w:pPr>
            <w:r w:rsidRPr="00F6603B">
              <w:rPr>
                <w:rFonts w:ascii="Arial" w:hAnsi="Arial" w:cs="Arial"/>
                <w:b/>
                <w:color w:val="7B7B7B" w:themeColor="accent3" w:themeShade="BF"/>
                <w:sz w:val="22"/>
                <w:szCs w:val="22"/>
                <w:lang w:val="en-GB"/>
              </w:rPr>
              <w:t>Name of the provision/concept</w:t>
            </w:r>
          </w:p>
        </w:tc>
        <w:tc>
          <w:tcPr>
            <w:tcW w:w="4201" w:type="dxa"/>
          </w:tcPr>
          <w:p w14:paraId="71B1DCD3" w14:textId="59604A11" w:rsidR="00F6603B" w:rsidRPr="00F6603B" w:rsidRDefault="00F6603B" w:rsidP="00F6603B">
            <w:pPr>
              <w:jc w:val="center"/>
              <w:rPr>
                <w:rFonts w:ascii="Arial" w:hAnsi="Arial" w:cs="Arial"/>
                <w:b/>
                <w:color w:val="7B7B7B" w:themeColor="accent3" w:themeShade="BF"/>
                <w:sz w:val="22"/>
                <w:szCs w:val="22"/>
                <w:lang w:val="en-GB"/>
              </w:rPr>
            </w:pPr>
            <w:r w:rsidRPr="00F6603B">
              <w:rPr>
                <w:rFonts w:ascii="Arial" w:hAnsi="Arial" w:cs="Arial"/>
                <w:b/>
                <w:color w:val="7B7B7B" w:themeColor="accent3" w:themeShade="BF"/>
                <w:sz w:val="22"/>
                <w:szCs w:val="22"/>
                <w:lang w:val="en-GB"/>
              </w:rPr>
              <w:t>Relevant EIR Recast article</w:t>
            </w:r>
          </w:p>
        </w:tc>
      </w:tr>
      <w:tr w:rsidR="00F6603B" w14:paraId="48A1E58B" w14:textId="77777777" w:rsidTr="00F945C6">
        <w:tc>
          <w:tcPr>
            <w:tcW w:w="2977" w:type="dxa"/>
          </w:tcPr>
          <w:p w14:paraId="4E2010F6" w14:textId="57CCE771" w:rsidR="00F6603B" w:rsidRPr="00F6603B" w:rsidRDefault="00F6603B" w:rsidP="00636C15">
            <w:pPr>
              <w:jc w:val="both"/>
              <w:rPr>
                <w:rFonts w:ascii="Arial" w:hAnsi="Arial" w:cs="Arial"/>
                <w:color w:val="7B7B7B" w:themeColor="accent3" w:themeShade="BF"/>
                <w:sz w:val="22"/>
                <w:szCs w:val="22"/>
                <w:lang w:val="en-GB"/>
              </w:rPr>
            </w:pPr>
            <w:r w:rsidRPr="00F6603B">
              <w:rPr>
                <w:rFonts w:ascii="Arial" w:hAnsi="Arial" w:cs="Arial"/>
                <w:color w:val="7B7B7B" w:themeColor="accent3" w:themeShade="BF"/>
                <w:sz w:val="22"/>
                <w:szCs w:val="22"/>
                <w:lang w:val="en-GB"/>
              </w:rPr>
              <w:t>Statement 1. “The possibility for companies to move their COMI is a legitimate exercise of the freedom of establishment.”</w:t>
            </w:r>
          </w:p>
        </w:tc>
        <w:tc>
          <w:tcPr>
            <w:tcW w:w="1843" w:type="dxa"/>
          </w:tcPr>
          <w:p w14:paraId="3F379C69" w14:textId="71AA7194" w:rsidR="00F6603B" w:rsidRPr="00F6603B" w:rsidRDefault="00D843E6" w:rsidP="00636C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Forum shopping</w:t>
            </w:r>
          </w:p>
        </w:tc>
        <w:tc>
          <w:tcPr>
            <w:tcW w:w="4201" w:type="dxa"/>
          </w:tcPr>
          <w:p w14:paraId="08036F90" w14:textId="77777777" w:rsidR="00F945C6" w:rsidRDefault="00D843E6" w:rsidP="00636C15">
            <w:pPr>
              <w:jc w:val="both"/>
              <w:rPr>
                <w:rFonts w:ascii="Arial" w:hAnsi="Arial" w:cs="Arial"/>
                <w:color w:val="7B7B7B" w:themeColor="accent3" w:themeShade="BF"/>
                <w:sz w:val="22"/>
                <w:szCs w:val="22"/>
                <w:lang w:val="en-GB"/>
              </w:rPr>
            </w:pPr>
            <w:r w:rsidRPr="00D843E6">
              <w:rPr>
                <w:rFonts w:ascii="Arial" w:hAnsi="Arial" w:cs="Arial"/>
                <w:color w:val="7B7B7B" w:themeColor="accent3" w:themeShade="BF"/>
                <w:sz w:val="22"/>
                <w:szCs w:val="22"/>
                <w:lang w:val="en-GB"/>
              </w:rPr>
              <w:t xml:space="preserve">It is pertinent to highlight that the EIR Recast </w:t>
            </w:r>
            <w:r>
              <w:rPr>
                <w:rFonts w:ascii="Arial" w:hAnsi="Arial" w:cs="Arial"/>
                <w:color w:val="7B7B7B" w:themeColor="accent3" w:themeShade="BF"/>
                <w:sz w:val="22"/>
                <w:szCs w:val="22"/>
                <w:lang w:val="en-GB"/>
              </w:rPr>
              <w:t>does not directly address forum-shopping</w:t>
            </w:r>
            <w:r w:rsidRPr="00D843E6">
              <w:rPr>
                <w:rFonts w:ascii="Arial" w:hAnsi="Arial" w:cs="Arial"/>
                <w:color w:val="7B7B7B" w:themeColor="accent3" w:themeShade="BF"/>
                <w:sz w:val="22"/>
                <w:szCs w:val="22"/>
                <w:lang w:val="en-GB"/>
              </w:rPr>
              <w:t xml:space="preserve"> issues. </w:t>
            </w:r>
          </w:p>
          <w:p w14:paraId="7BAB7CE3" w14:textId="77777777" w:rsidR="00F945C6" w:rsidRDefault="00F945C6" w:rsidP="00636C15">
            <w:pPr>
              <w:jc w:val="both"/>
              <w:rPr>
                <w:rFonts w:ascii="Arial" w:hAnsi="Arial" w:cs="Arial"/>
                <w:color w:val="7B7B7B" w:themeColor="accent3" w:themeShade="BF"/>
                <w:sz w:val="22"/>
                <w:szCs w:val="22"/>
                <w:lang w:val="en-GB"/>
              </w:rPr>
            </w:pPr>
          </w:p>
          <w:p w14:paraId="53784953" w14:textId="0037177F" w:rsidR="00F6603B" w:rsidRPr="00F6603B" w:rsidRDefault="00D843E6" w:rsidP="00636C15">
            <w:pPr>
              <w:jc w:val="both"/>
              <w:rPr>
                <w:rFonts w:ascii="Arial" w:hAnsi="Arial" w:cs="Arial"/>
                <w:color w:val="7B7B7B" w:themeColor="accent3" w:themeShade="BF"/>
                <w:sz w:val="22"/>
                <w:szCs w:val="22"/>
                <w:lang w:val="en-GB"/>
              </w:rPr>
            </w:pPr>
            <w:r w:rsidRPr="00D843E6">
              <w:rPr>
                <w:rFonts w:ascii="Arial" w:hAnsi="Arial" w:cs="Arial"/>
                <w:color w:val="7B7B7B" w:themeColor="accent3" w:themeShade="BF"/>
                <w:sz w:val="22"/>
                <w:szCs w:val="22"/>
                <w:lang w:val="en-GB"/>
              </w:rPr>
              <w:t xml:space="preserve">However, article 3 establishes a series of presumptions related to the determination of the debtor´s COMI, which may be rebutted in those cases </w:t>
            </w:r>
            <w:r w:rsidR="00F945C6">
              <w:rPr>
                <w:rFonts w:ascii="Arial" w:hAnsi="Arial" w:cs="Arial"/>
                <w:color w:val="7B7B7B" w:themeColor="accent3" w:themeShade="BF"/>
                <w:sz w:val="22"/>
                <w:szCs w:val="22"/>
                <w:lang w:val="en-GB"/>
              </w:rPr>
              <w:t xml:space="preserve">that </w:t>
            </w:r>
            <w:r w:rsidRPr="00D843E6">
              <w:rPr>
                <w:rFonts w:ascii="Arial" w:hAnsi="Arial" w:cs="Arial"/>
                <w:color w:val="7B7B7B" w:themeColor="accent3" w:themeShade="BF"/>
                <w:sz w:val="22"/>
                <w:szCs w:val="22"/>
                <w:lang w:val="en-GB"/>
              </w:rPr>
              <w:t>the registered office has been moved within the framework establishes as the "suspect period". In this regard, the CJEU has held that the transference of a registered office made to achieve a more favourable panorama for the company without change of the real head office is protected by the freedom of establishment and cannot be considered as a form of abu</w:t>
            </w:r>
            <w:r w:rsidR="00F945C6">
              <w:rPr>
                <w:rFonts w:ascii="Arial" w:hAnsi="Arial" w:cs="Arial"/>
                <w:color w:val="7B7B7B" w:themeColor="accent3" w:themeShade="BF"/>
                <w:sz w:val="22"/>
                <w:szCs w:val="22"/>
                <w:lang w:val="en-GB"/>
              </w:rPr>
              <w:t xml:space="preserve">se </w:t>
            </w:r>
            <w:sdt>
              <w:sdtPr>
                <w:rPr>
                  <w:rFonts w:ascii="Arial" w:hAnsi="Arial" w:cs="Arial"/>
                  <w:color w:val="7B7B7B" w:themeColor="accent3" w:themeShade="BF"/>
                  <w:sz w:val="22"/>
                  <w:szCs w:val="22"/>
                  <w:lang w:val="en-GB"/>
                </w:rPr>
                <w:id w:val="-1380383665"/>
                <w:citation/>
              </w:sdtPr>
              <w:sdtEndPr/>
              <w:sdtContent>
                <w:r w:rsidR="00F945C6">
                  <w:rPr>
                    <w:rFonts w:ascii="Arial" w:hAnsi="Arial" w:cs="Arial"/>
                    <w:color w:val="7B7B7B" w:themeColor="accent3" w:themeShade="BF"/>
                    <w:sz w:val="22"/>
                    <w:szCs w:val="22"/>
                    <w:lang w:val="en-GB"/>
                  </w:rPr>
                  <w:fldChar w:fldCharType="begin"/>
                </w:r>
                <w:r w:rsidR="00F945C6" w:rsidRPr="00F945C6">
                  <w:rPr>
                    <w:rFonts w:ascii="Arial" w:hAnsi="Arial" w:cs="Arial"/>
                    <w:color w:val="7B7B7B" w:themeColor="accent3" w:themeShade="BF"/>
                    <w:sz w:val="22"/>
                    <w:szCs w:val="22"/>
                  </w:rPr>
                  <w:instrText xml:space="preserve"> CITATION Wes20 \l 3082 </w:instrText>
                </w:r>
                <w:r w:rsidR="00F945C6">
                  <w:rPr>
                    <w:rFonts w:ascii="Arial" w:hAnsi="Arial" w:cs="Arial"/>
                    <w:color w:val="7B7B7B" w:themeColor="accent3" w:themeShade="BF"/>
                    <w:sz w:val="22"/>
                    <w:szCs w:val="22"/>
                    <w:lang w:val="en-GB"/>
                  </w:rPr>
                  <w:fldChar w:fldCharType="separate"/>
                </w:r>
                <w:r w:rsidR="00F945C6" w:rsidRPr="00F945C6">
                  <w:rPr>
                    <w:rFonts w:ascii="Arial" w:hAnsi="Arial" w:cs="Arial"/>
                    <w:noProof/>
                    <w:color w:val="7B7B7B" w:themeColor="accent3" w:themeShade="BF"/>
                    <w:sz w:val="22"/>
                    <w:szCs w:val="22"/>
                  </w:rPr>
                  <w:t>(Wessels &amp; Kokorin, 2020)</w:t>
                </w:r>
                <w:r w:rsidR="00F945C6">
                  <w:rPr>
                    <w:rFonts w:ascii="Arial" w:hAnsi="Arial" w:cs="Arial"/>
                    <w:color w:val="7B7B7B" w:themeColor="accent3" w:themeShade="BF"/>
                    <w:sz w:val="22"/>
                    <w:szCs w:val="22"/>
                    <w:lang w:val="en-GB"/>
                  </w:rPr>
                  <w:fldChar w:fldCharType="end"/>
                </w:r>
              </w:sdtContent>
            </w:sdt>
            <w:r w:rsidR="00F945C6">
              <w:rPr>
                <w:rFonts w:ascii="Arial" w:hAnsi="Arial" w:cs="Arial"/>
                <w:color w:val="7B7B7B" w:themeColor="accent3" w:themeShade="BF"/>
                <w:sz w:val="22"/>
                <w:szCs w:val="22"/>
                <w:lang w:val="en-GB"/>
              </w:rPr>
              <w:t>.</w:t>
            </w:r>
          </w:p>
        </w:tc>
      </w:tr>
      <w:tr w:rsidR="00F6603B" w14:paraId="0093B823" w14:textId="77777777" w:rsidTr="00F945C6">
        <w:tc>
          <w:tcPr>
            <w:tcW w:w="2977" w:type="dxa"/>
          </w:tcPr>
          <w:p w14:paraId="05EFF106" w14:textId="24F940CE" w:rsidR="00F6603B" w:rsidRPr="00F6603B" w:rsidRDefault="0095426A" w:rsidP="00636C15">
            <w:pPr>
              <w:jc w:val="both"/>
              <w:rPr>
                <w:rFonts w:ascii="Arial" w:hAnsi="Arial" w:cs="Arial"/>
                <w:color w:val="7B7B7B" w:themeColor="accent3" w:themeShade="BF"/>
                <w:sz w:val="22"/>
                <w:szCs w:val="22"/>
                <w:lang w:val="en-GB"/>
              </w:rPr>
            </w:pPr>
            <w:r w:rsidRPr="0095426A">
              <w:rPr>
                <w:rFonts w:ascii="Arial" w:hAnsi="Arial" w:cs="Arial"/>
                <w:color w:val="7B7B7B" w:themeColor="accent3" w:themeShade="BF"/>
                <w:sz w:val="22"/>
                <w:szCs w:val="22"/>
                <w:lang w:val="en-GB"/>
              </w:rPr>
              <w:t>Statement 2. “This concept provides an instrument which makes allowance for special, domestic privileges while maintaining the procedural integrity of the main proceeding, thus preserving the principle of unity.”</w:t>
            </w:r>
          </w:p>
        </w:tc>
        <w:tc>
          <w:tcPr>
            <w:tcW w:w="1843" w:type="dxa"/>
          </w:tcPr>
          <w:p w14:paraId="60FE1964" w14:textId="19F223D7" w:rsidR="00F6603B" w:rsidRPr="00F6603B" w:rsidRDefault="00EE7244" w:rsidP="00AF2A54">
            <w:pPr>
              <w:jc w:val="both"/>
              <w:rPr>
                <w:rFonts w:ascii="Arial" w:hAnsi="Arial" w:cs="Arial"/>
                <w:color w:val="7B7B7B" w:themeColor="accent3" w:themeShade="BF"/>
                <w:sz w:val="22"/>
                <w:szCs w:val="22"/>
                <w:lang w:val="en-GB"/>
              </w:rPr>
            </w:pPr>
            <w:r w:rsidRPr="00EE7244">
              <w:rPr>
                <w:rFonts w:ascii="Arial" w:hAnsi="Arial" w:cs="Arial"/>
                <w:color w:val="7B7B7B" w:themeColor="accent3" w:themeShade="BF"/>
                <w:sz w:val="22"/>
                <w:szCs w:val="22"/>
                <w:lang w:val="en-GB"/>
              </w:rPr>
              <w:t>Right to give an undertaking to avoid secondary insolvency proceedings</w:t>
            </w:r>
          </w:p>
        </w:tc>
        <w:tc>
          <w:tcPr>
            <w:tcW w:w="4201" w:type="dxa"/>
          </w:tcPr>
          <w:p w14:paraId="0F210399" w14:textId="0C55B7D7" w:rsidR="00F6603B" w:rsidRPr="00F6603B" w:rsidRDefault="00AF2A54" w:rsidP="00AF2A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36 of the </w:t>
            </w:r>
            <w:r w:rsidRPr="00D843E6">
              <w:rPr>
                <w:rFonts w:ascii="Arial" w:hAnsi="Arial" w:cs="Arial"/>
                <w:color w:val="7B7B7B" w:themeColor="accent3" w:themeShade="BF"/>
                <w:sz w:val="22"/>
                <w:szCs w:val="22"/>
                <w:lang w:val="en-GB"/>
              </w:rPr>
              <w:t>EIR Recast</w:t>
            </w:r>
          </w:p>
        </w:tc>
      </w:tr>
    </w:tbl>
    <w:p w14:paraId="5C7DD9F3" w14:textId="2EB77967" w:rsidR="00636C15" w:rsidRPr="008500BD" w:rsidRDefault="00636C15" w:rsidP="00636C15">
      <w:pPr>
        <w:ind w:left="720" w:hanging="720"/>
        <w:jc w:val="both"/>
        <w:rPr>
          <w:rFonts w:ascii="Arial" w:hAnsi="Arial" w:cs="Arial"/>
          <w:sz w:val="22"/>
          <w:szCs w:val="22"/>
        </w:rPr>
      </w:pP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w:t>
      </w:r>
      <w:r w:rsidRPr="008500BD">
        <w:rPr>
          <w:rFonts w:ascii="Arial" w:hAnsi="Arial" w:cs="Arial"/>
          <w:sz w:val="22"/>
          <w:szCs w:val="22"/>
          <w:lang w:val="en-GB"/>
        </w:rPr>
        <w:lastRenderedPageBreak/>
        <w:t>(articles)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62E942B0" w:rsidR="00636C15" w:rsidRDefault="00636C15" w:rsidP="00636C15">
      <w:pPr>
        <w:ind w:left="720" w:hanging="720"/>
        <w:jc w:val="both"/>
        <w:rPr>
          <w:rFonts w:ascii="Arial" w:hAnsi="Arial" w:cs="Arial"/>
          <w:color w:val="7B7B7B" w:themeColor="accent3" w:themeShade="BF"/>
          <w:sz w:val="22"/>
          <w:szCs w:val="22"/>
          <w:lang w:val="en-GB"/>
        </w:rPr>
      </w:pPr>
    </w:p>
    <w:p w14:paraId="0EF28F1D" w14:textId="14628EA7" w:rsidR="006C61F5" w:rsidRDefault="006C61F5" w:rsidP="006C61F5">
      <w:pPr>
        <w:pStyle w:val="Prrafodelista"/>
        <w:numPr>
          <w:ilvl w:val="0"/>
          <w:numId w:val="12"/>
        </w:numPr>
        <w:jc w:val="both"/>
        <w:rPr>
          <w:rFonts w:ascii="Arial" w:hAnsi="Arial" w:cs="Arial"/>
          <w:color w:val="7B7B7B" w:themeColor="accent3" w:themeShade="BF"/>
          <w:sz w:val="22"/>
          <w:szCs w:val="22"/>
          <w:lang w:val="en-GB"/>
        </w:rPr>
      </w:pPr>
      <w:r w:rsidRPr="00FF5DED">
        <w:rPr>
          <w:rFonts w:ascii="Arial" w:hAnsi="Arial" w:cs="Arial"/>
          <w:b/>
          <w:color w:val="7B7B7B" w:themeColor="accent3" w:themeShade="BF"/>
          <w:sz w:val="22"/>
          <w:szCs w:val="22"/>
          <w:lang w:val="en-GB"/>
        </w:rPr>
        <w:t>Article 41 - Cooperation and communication between insolvency practitioners</w:t>
      </w:r>
      <w:r w:rsidRPr="00C207EA">
        <w:rPr>
          <w:rFonts w:ascii="Arial" w:hAnsi="Arial" w:cs="Arial"/>
          <w:color w:val="7B7B7B" w:themeColor="accent3" w:themeShade="BF"/>
          <w:sz w:val="22"/>
          <w:szCs w:val="22"/>
          <w:lang w:val="en-GB"/>
        </w:rPr>
        <w:t xml:space="preserve">: This article establishes the different ways in which the </w:t>
      </w:r>
      <w:r w:rsidRPr="00C2123F">
        <w:rPr>
          <w:rFonts w:ascii="Arial" w:hAnsi="Arial" w:cs="Arial"/>
          <w:color w:val="7B7B7B" w:themeColor="accent3" w:themeShade="BF"/>
          <w:sz w:val="22"/>
          <w:szCs w:val="22"/>
          <w:u w:val="single"/>
          <w:lang w:val="en-GB"/>
        </w:rPr>
        <w:t>insolvency practitioners</w:t>
      </w:r>
      <w:r w:rsidRPr="00C207EA">
        <w:rPr>
          <w:rFonts w:ascii="Arial" w:hAnsi="Arial" w:cs="Arial"/>
          <w:color w:val="7B7B7B" w:themeColor="accent3" w:themeShade="BF"/>
          <w:sz w:val="22"/>
          <w:szCs w:val="22"/>
          <w:lang w:val="en-GB"/>
        </w:rPr>
        <w:t xml:space="preserve"> (of the main and secondary proceedings) shall cooperate with each other concerning insolvency</w:t>
      </w:r>
      <w:r w:rsidR="00C73564">
        <w:rPr>
          <w:rFonts w:ascii="Arial" w:hAnsi="Arial" w:cs="Arial"/>
          <w:color w:val="7B7B7B" w:themeColor="accent3" w:themeShade="BF"/>
          <w:sz w:val="22"/>
          <w:szCs w:val="22"/>
          <w:lang w:val="en-GB"/>
        </w:rPr>
        <w:t xml:space="preserve"> proceedings of the same debtor</w:t>
      </w:r>
      <w:sdt>
        <w:sdtPr>
          <w:rPr>
            <w:rFonts w:ascii="Arial" w:hAnsi="Arial" w:cs="Arial"/>
            <w:color w:val="7B7B7B" w:themeColor="accent3" w:themeShade="BF"/>
            <w:sz w:val="22"/>
            <w:szCs w:val="22"/>
            <w:lang w:val="en-GB"/>
          </w:rPr>
          <w:id w:val="-1534570775"/>
          <w:citation/>
        </w:sdtPr>
        <w:sdtEndPr/>
        <w:sdtContent>
          <w:r w:rsidR="00FF5DED">
            <w:rPr>
              <w:rFonts w:ascii="Arial" w:hAnsi="Arial" w:cs="Arial"/>
              <w:color w:val="7B7B7B" w:themeColor="accent3" w:themeShade="BF"/>
              <w:sz w:val="22"/>
              <w:szCs w:val="22"/>
              <w:lang w:val="en-GB"/>
            </w:rPr>
            <w:fldChar w:fldCharType="begin"/>
          </w:r>
          <w:r w:rsidR="00FF5DED" w:rsidRPr="00FF5DED">
            <w:rPr>
              <w:rFonts w:ascii="Arial" w:hAnsi="Arial" w:cs="Arial"/>
              <w:color w:val="7B7B7B" w:themeColor="accent3" w:themeShade="BF"/>
              <w:sz w:val="22"/>
              <w:szCs w:val="22"/>
            </w:rPr>
            <w:instrText xml:space="preserve"> CITATION The15 \l 3082 </w:instrText>
          </w:r>
          <w:r w:rsidR="00FF5DED">
            <w:rPr>
              <w:rFonts w:ascii="Arial" w:hAnsi="Arial" w:cs="Arial"/>
              <w:color w:val="7B7B7B" w:themeColor="accent3" w:themeShade="BF"/>
              <w:sz w:val="22"/>
              <w:szCs w:val="22"/>
              <w:lang w:val="en-GB"/>
            </w:rPr>
            <w:fldChar w:fldCharType="separate"/>
          </w:r>
          <w:r w:rsidR="00FF5DED" w:rsidRPr="00FF5DED">
            <w:rPr>
              <w:rFonts w:ascii="Arial" w:hAnsi="Arial" w:cs="Arial"/>
              <w:noProof/>
              <w:color w:val="7B7B7B" w:themeColor="accent3" w:themeShade="BF"/>
              <w:sz w:val="22"/>
              <w:szCs w:val="22"/>
            </w:rPr>
            <w:t xml:space="preserve"> (The European Parliament and the Council of the European Union, 2015)</w:t>
          </w:r>
          <w:r w:rsidR="00FF5DED">
            <w:rPr>
              <w:rFonts w:ascii="Arial" w:hAnsi="Arial" w:cs="Arial"/>
              <w:color w:val="7B7B7B" w:themeColor="accent3" w:themeShade="BF"/>
              <w:sz w:val="22"/>
              <w:szCs w:val="22"/>
              <w:lang w:val="en-GB"/>
            </w:rPr>
            <w:fldChar w:fldCharType="end"/>
          </w:r>
        </w:sdtContent>
      </w:sdt>
      <w:r w:rsidR="00C73564">
        <w:rPr>
          <w:rFonts w:ascii="Arial" w:hAnsi="Arial" w:cs="Arial"/>
          <w:color w:val="7B7B7B" w:themeColor="accent3" w:themeShade="BF"/>
          <w:sz w:val="22"/>
          <w:szCs w:val="22"/>
          <w:lang w:val="en-GB"/>
        </w:rPr>
        <w:t>.</w:t>
      </w:r>
    </w:p>
    <w:p w14:paraId="2407674C" w14:textId="5A493786" w:rsidR="00C2123F" w:rsidRDefault="00C2123F" w:rsidP="002E6EE4">
      <w:pPr>
        <w:pStyle w:val="Prrafodelista"/>
        <w:numPr>
          <w:ilvl w:val="0"/>
          <w:numId w:val="12"/>
        </w:numPr>
        <w:jc w:val="both"/>
        <w:rPr>
          <w:rFonts w:ascii="Arial" w:hAnsi="Arial" w:cs="Arial"/>
          <w:color w:val="7B7B7B" w:themeColor="accent3" w:themeShade="BF"/>
          <w:sz w:val="22"/>
          <w:szCs w:val="22"/>
          <w:lang w:val="en-GB"/>
        </w:rPr>
      </w:pPr>
      <w:r w:rsidRPr="00C2123F">
        <w:rPr>
          <w:rFonts w:ascii="Arial" w:hAnsi="Arial" w:cs="Arial"/>
          <w:b/>
          <w:color w:val="7B7B7B" w:themeColor="accent3" w:themeShade="BF"/>
          <w:sz w:val="22"/>
          <w:szCs w:val="22"/>
          <w:lang w:val="en-GB"/>
        </w:rPr>
        <w:t>Article 42 - Cooperation and communication between courts</w:t>
      </w:r>
      <w:r w:rsidR="002E6EE4">
        <w:rPr>
          <w:rFonts w:ascii="Arial" w:hAnsi="Arial" w:cs="Arial"/>
          <w:color w:val="7B7B7B" w:themeColor="accent3" w:themeShade="BF"/>
          <w:sz w:val="22"/>
          <w:szCs w:val="22"/>
          <w:lang w:val="en-GB"/>
        </w:rPr>
        <w:t>:</w:t>
      </w:r>
      <w:r w:rsidR="00A639A1">
        <w:rPr>
          <w:rFonts w:ascii="Arial" w:hAnsi="Arial" w:cs="Arial"/>
          <w:color w:val="7B7B7B" w:themeColor="accent3" w:themeShade="BF"/>
          <w:sz w:val="22"/>
          <w:szCs w:val="22"/>
          <w:lang w:val="en-GB"/>
        </w:rPr>
        <w:t xml:space="preserve"> </w:t>
      </w:r>
      <w:r w:rsidR="002E6EE4" w:rsidRPr="002E6EE4">
        <w:rPr>
          <w:rFonts w:ascii="Arial" w:hAnsi="Arial" w:cs="Arial"/>
          <w:color w:val="7B7B7B" w:themeColor="accent3" w:themeShade="BF"/>
          <w:sz w:val="22"/>
          <w:szCs w:val="22"/>
          <w:lang w:val="en-GB"/>
        </w:rPr>
        <w:t xml:space="preserve">Article 42 establishes the forms that </w:t>
      </w:r>
      <w:r w:rsidR="002E6EE4" w:rsidRPr="00A639A1">
        <w:rPr>
          <w:rFonts w:ascii="Arial" w:hAnsi="Arial" w:cs="Arial"/>
          <w:color w:val="7B7B7B" w:themeColor="accent3" w:themeShade="BF"/>
          <w:sz w:val="22"/>
          <w:szCs w:val="22"/>
          <w:u w:val="single"/>
          <w:lang w:val="en-GB"/>
        </w:rPr>
        <w:t>the courts</w:t>
      </w:r>
      <w:r w:rsidR="002E6EE4" w:rsidRPr="002E6EE4">
        <w:rPr>
          <w:rFonts w:ascii="Arial" w:hAnsi="Arial" w:cs="Arial"/>
          <w:color w:val="7B7B7B" w:themeColor="accent3" w:themeShade="BF"/>
          <w:sz w:val="22"/>
          <w:szCs w:val="22"/>
          <w:lang w:val="en-GB"/>
        </w:rPr>
        <w:t xml:space="preserve"> may take to communicate and cooperate with each other regarding the insolvency proceedings of the same debtor</w:t>
      </w:r>
      <w:r w:rsidR="002E6EE4">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435524709"/>
          <w:citation/>
        </w:sdtPr>
        <w:sdtEndPr/>
        <w:sdtContent>
          <w:r w:rsidR="002E6EE4">
            <w:rPr>
              <w:rFonts w:ascii="Arial" w:hAnsi="Arial" w:cs="Arial"/>
              <w:color w:val="7B7B7B" w:themeColor="accent3" w:themeShade="BF"/>
              <w:sz w:val="22"/>
              <w:szCs w:val="22"/>
              <w:lang w:val="en-GB"/>
            </w:rPr>
            <w:fldChar w:fldCharType="begin"/>
          </w:r>
          <w:r w:rsidR="002E6EE4" w:rsidRPr="00FF5DED">
            <w:rPr>
              <w:rFonts w:ascii="Arial" w:hAnsi="Arial" w:cs="Arial"/>
              <w:color w:val="7B7B7B" w:themeColor="accent3" w:themeShade="BF"/>
              <w:sz w:val="22"/>
              <w:szCs w:val="22"/>
            </w:rPr>
            <w:instrText xml:space="preserve"> CITATION The15 \l 3082 </w:instrText>
          </w:r>
          <w:r w:rsidR="002E6EE4">
            <w:rPr>
              <w:rFonts w:ascii="Arial" w:hAnsi="Arial" w:cs="Arial"/>
              <w:color w:val="7B7B7B" w:themeColor="accent3" w:themeShade="BF"/>
              <w:sz w:val="22"/>
              <w:szCs w:val="22"/>
              <w:lang w:val="en-GB"/>
            </w:rPr>
            <w:fldChar w:fldCharType="separate"/>
          </w:r>
          <w:r w:rsidR="002E6EE4" w:rsidRPr="00FF5DED">
            <w:rPr>
              <w:rFonts w:ascii="Arial" w:hAnsi="Arial" w:cs="Arial"/>
              <w:noProof/>
              <w:color w:val="7B7B7B" w:themeColor="accent3" w:themeShade="BF"/>
              <w:sz w:val="22"/>
              <w:szCs w:val="22"/>
            </w:rPr>
            <w:t xml:space="preserve"> (The European Parliament and the Council of the European Union, 2015)</w:t>
          </w:r>
          <w:r w:rsidR="002E6EE4">
            <w:rPr>
              <w:rFonts w:ascii="Arial" w:hAnsi="Arial" w:cs="Arial"/>
              <w:color w:val="7B7B7B" w:themeColor="accent3" w:themeShade="BF"/>
              <w:sz w:val="22"/>
              <w:szCs w:val="22"/>
              <w:lang w:val="en-GB"/>
            </w:rPr>
            <w:fldChar w:fldCharType="end"/>
          </w:r>
        </w:sdtContent>
      </w:sdt>
      <w:r w:rsidR="002E6EE4">
        <w:rPr>
          <w:rFonts w:ascii="Arial" w:hAnsi="Arial" w:cs="Arial"/>
          <w:color w:val="7B7B7B" w:themeColor="accent3" w:themeShade="BF"/>
          <w:sz w:val="22"/>
          <w:szCs w:val="22"/>
          <w:lang w:val="en-GB"/>
        </w:rPr>
        <w:t>.</w:t>
      </w:r>
    </w:p>
    <w:p w14:paraId="54786425" w14:textId="108A7D51" w:rsidR="002E6EE4" w:rsidRPr="006C61F5" w:rsidRDefault="00A805BA" w:rsidP="00A52C3D">
      <w:pPr>
        <w:pStyle w:val="Prrafodelista"/>
        <w:numPr>
          <w:ilvl w:val="0"/>
          <w:numId w:val="12"/>
        </w:numPr>
        <w:jc w:val="both"/>
        <w:rPr>
          <w:rFonts w:ascii="Arial" w:hAnsi="Arial" w:cs="Arial"/>
          <w:color w:val="7B7B7B" w:themeColor="accent3" w:themeShade="BF"/>
          <w:sz w:val="22"/>
          <w:szCs w:val="22"/>
          <w:lang w:val="en-GB"/>
        </w:rPr>
      </w:pPr>
      <w:r w:rsidRPr="00A805BA">
        <w:rPr>
          <w:rFonts w:ascii="Arial" w:hAnsi="Arial" w:cs="Arial"/>
          <w:b/>
          <w:color w:val="7B7B7B" w:themeColor="accent3" w:themeShade="BF"/>
          <w:sz w:val="22"/>
          <w:szCs w:val="22"/>
          <w:lang w:val="en-GB"/>
        </w:rPr>
        <w:t>Article 43 - Cooperation and communication between insolvency practitioners and courts</w:t>
      </w:r>
      <w:r>
        <w:rPr>
          <w:rFonts w:ascii="Arial" w:hAnsi="Arial" w:cs="Arial"/>
          <w:color w:val="7B7B7B" w:themeColor="accent3" w:themeShade="BF"/>
          <w:sz w:val="22"/>
          <w:szCs w:val="22"/>
          <w:lang w:val="en-GB"/>
        </w:rPr>
        <w:t xml:space="preserve">: </w:t>
      </w:r>
      <w:r w:rsidR="00A52C3D" w:rsidRPr="00A52C3D">
        <w:rPr>
          <w:rFonts w:ascii="Arial" w:hAnsi="Arial" w:cs="Arial"/>
          <w:color w:val="7B7B7B" w:themeColor="accent3" w:themeShade="BF"/>
          <w:sz w:val="22"/>
          <w:szCs w:val="22"/>
          <w:lang w:val="en-GB"/>
        </w:rPr>
        <w:t xml:space="preserve">Article 43 refers to the cooperation and communication between </w:t>
      </w:r>
      <w:r w:rsidR="00A52C3D" w:rsidRPr="00A639A1">
        <w:rPr>
          <w:rFonts w:ascii="Arial" w:hAnsi="Arial" w:cs="Arial"/>
          <w:color w:val="7B7B7B" w:themeColor="accent3" w:themeShade="BF"/>
          <w:sz w:val="22"/>
          <w:szCs w:val="22"/>
          <w:u w:val="single"/>
          <w:lang w:val="en-GB"/>
        </w:rPr>
        <w:t>insolvency pr</w:t>
      </w:r>
      <w:r w:rsidR="00E54B8C" w:rsidRPr="00A639A1">
        <w:rPr>
          <w:rFonts w:ascii="Arial" w:hAnsi="Arial" w:cs="Arial"/>
          <w:color w:val="7B7B7B" w:themeColor="accent3" w:themeShade="BF"/>
          <w:sz w:val="22"/>
          <w:szCs w:val="22"/>
          <w:u w:val="single"/>
          <w:lang w:val="en-GB"/>
        </w:rPr>
        <w:t>actitioners and the courts</w:t>
      </w:r>
      <w:r w:rsidR="00E54B8C">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443352440"/>
          <w:citation/>
        </w:sdtPr>
        <w:sdtEndPr/>
        <w:sdtContent>
          <w:r w:rsidR="00E54B8C">
            <w:rPr>
              <w:rFonts w:ascii="Arial" w:hAnsi="Arial" w:cs="Arial"/>
              <w:color w:val="7B7B7B" w:themeColor="accent3" w:themeShade="BF"/>
              <w:sz w:val="22"/>
              <w:szCs w:val="22"/>
              <w:lang w:val="en-GB"/>
            </w:rPr>
            <w:fldChar w:fldCharType="begin"/>
          </w:r>
          <w:r w:rsidR="00E54B8C" w:rsidRPr="00FF5DED">
            <w:rPr>
              <w:rFonts w:ascii="Arial" w:hAnsi="Arial" w:cs="Arial"/>
              <w:color w:val="7B7B7B" w:themeColor="accent3" w:themeShade="BF"/>
              <w:sz w:val="22"/>
              <w:szCs w:val="22"/>
            </w:rPr>
            <w:instrText xml:space="preserve"> CITATION The15 \l 3082 </w:instrText>
          </w:r>
          <w:r w:rsidR="00E54B8C">
            <w:rPr>
              <w:rFonts w:ascii="Arial" w:hAnsi="Arial" w:cs="Arial"/>
              <w:color w:val="7B7B7B" w:themeColor="accent3" w:themeShade="BF"/>
              <w:sz w:val="22"/>
              <w:szCs w:val="22"/>
              <w:lang w:val="en-GB"/>
            </w:rPr>
            <w:fldChar w:fldCharType="separate"/>
          </w:r>
          <w:r w:rsidR="00E54B8C" w:rsidRPr="00FF5DED">
            <w:rPr>
              <w:rFonts w:ascii="Arial" w:hAnsi="Arial" w:cs="Arial"/>
              <w:noProof/>
              <w:color w:val="7B7B7B" w:themeColor="accent3" w:themeShade="BF"/>
              <w:sz w:val="22"/>
              <w:szCs w:val="22"/>
            </w:rPr>
            <w:t xml:space="preserve"> (The European Parliament and the Council of the European Union, 2015)</w:t>
          </w:r>
          <w:r w:rsidR="00E54B8C">
            <w:rPr>
              <w:rFonts w:ascii="Arial" w:hAnsi="Arial" w:cs="Arial"/>
              <w:color w:val="7B7B7B" w:themeColor="accent3" w:themeShade="BF"/>
              <w:sz w:val="22"/>
              <w:szCs w:val="22"/>
              <w:lang w:val="en-GB"/>
            </w:rPr>
            <w:fldChar w:fldCharType="end"/>
          </w:r>
        </w:sdtContent>
      </w:sdt>
      <w:r w:rsidR="00E54B8C">
        <w:rPr>
          <w:rFonts w:ascii="Arial" w:hAnsi="Arial" w:cs="Arial"/>
          <w:color w:val="7B7B7B" w:themeColor="accent3" w:themeShade="BF"/>
          <w:sz w:val="22"/>
          <w:szCs w:val="22"/>
          <w:lang w:val="en-GB"/>
        </w:rPr>
        <w:t>.</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79D201E7" w:rsidR="00C72848" w:rsidRDefault="00B12708" w:rsidP="002A37BB">
      <w:pPr>
        <w:ind w:left="720" w:hanging="720"/>
        <w:jc w:val="both"/>
        <w:rPr>
          <w:rFonts w:ascii="Arial" w:hAnsi="Arial" w:cs="Arial"/>
          <w:color w:val="7B7B7B" w:themeColor="accent3" w:themeShade="BF"/>
          <w:sz w:val="22"/>
          <w:szCs w:val="22"/>
          <w:lang w:val="en-GB"/>
        </w:rPr>
      </w:pPr>
      <w:r w:rsidRPr="00B12708">
        <w:rPr>
          <w:rFonts w:ascii="Arial" w:hAnsi="Arial" w:cs="Arial"/>
          <w:color w:val="7B7B7B" w:themeColor="accent3" w:themeShade="BF"/>
          <w:sz w:val="22"/>
          <w:szCs w:val="22"/>
          <w:lang w:val="en-GB"/>
        </w:rPr>
        <w:t>Before listing the articles that allow us to state that the EIR Recast is more rescue oriented than its predecessor</w:t>
      </w:r>
      <w:r w:rsidR="00A639A1">
        <w:rPr>
          <w:rFonts w:ascii="Arial" w:hAnsi="Arial" w:cs="Arial"/>
          <w:color w:val="7B7B7B" w:themeColor="accent3" w:themeShade="BF"/>
          <w:sz w:val="22"/>
          <w:szCs w:val="22"/>
          <w:lang w:val="en-GB"/>
        </w:rPr>
        <w:t xml:space="preserve"> (EIR 2000)</w:t>
      </w:r>
      <w:r w:rsidRPr="00B12708">
        <w:rPr>
          <w:rFonts w:ascii="Arial" w:hAnsi="Arial" w:cs="Arial"/>
          <w:color w:val="7B7B7B" w:themeColor="accent3" w:themeShade="BF"/>
          <w:sz w:val="22"/>
          <w:szCs w:val="22"/>
          <w:lang w:val="en-GB"/>
        </w:rPr>
        <w:t xml:space="preserve">, it is worth to highlight that </w:t>
      </w:r>
      <w:r w:rsidRPr="00B12708">
        <w:rPr>
          <w:rFonts w:ascii="Arial" w:hAnsi="Arial" w:cs="Arial"/>
          <w:b/>
          <w:color w:val="7B7B7B" w:themeColor="accent3" w:themeShade="BF"/>
          <w:sz w:val="22"/>
          <w:szCs w:val="22"/>
          <w:lang w:val="en-GB"/>
        </w:rPr>
        <w:t xml:space="preserve">Recital 10 </w:t>
      </w:r>
      <w:r w:rsidRPr="00B12708">
        <w:rPr>
          <w:rFonts w:ascii="Arial" w:hAnsi="Arial" w:cs="Arial"/>
          <w:color w:val="7B7B7B" w:themeColor="accent3" w:themeShade="BF"/>
          <w:sz w:val="22"/>
          <w:szCs w:val="22"/>
          <w:lang w:val="en-GB"/>
        </w:rPr>
        <w:t>provides a general but fairly clear idea of what was intended with this regulation: to rescue distress businesses that can be considered as economically viable</w:t>
      </w:r>
      <w:r>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756950469"/>
          <w:citation/>
        </w:sdtPr>
        <w:sdtEndPr/>
        <w:sdtContent>
          <w:r>
            <w:rPr>
              <w:rFonts w:ascii="Arial" w:hAnsi="Arial" w:cs="Arial"/>
              <w:color w:val="7B7B7B" w:themeColor="accent3" w:themeShade="BF"/>
              <w:sz w:val="22"/>
              <w:szCs w:val="22"/>
              <w:lang w:val="en-GB"/>
            </w:rPr>
            <w:fldChar w:fldCharType="begin"/>
          </w:r>
          <w:r w:rsidRPr="00FF5DED">
            <w:rPr>
              <w:rFonts w:ascii="Arial" w:hAnsi="Arial" w:cs="Arial"/>
              <w:color w:val="7B7B7B" w:themeColor="accent3" w:themeShade="BF"/>
              <w:sz w:val="22"/>
              <w:szCs w:val="22"/>
            </w:rPr>
            <w:instrText xml:space="preserve"> CITATION The15 \l 3082 </w:instrText>
          </w:r>
          <w:r>
            <w:rPr>
              <w:rFonts w:ascii="Arial" w:hAnsi="Arial" w:cs="Arial"/>
              <w:color w:val="7B7B7B" w:themeColor="accent3" w:themeShade="BF"/>
              <w:sz w:val="22"/>
              <w:szCs w:val="22"/>
              <w:lang w:val="en-GB"/>
            </w:rPr>
            <w:fldChar w:fldCharType="separate"/>
          </w:r>
          <w:r w:rsidRPr="00FF5DED">
            <w:rPr>
              <w:rFonts w:ascii="Arial" w:hAnsi="Arial" w:cs="Arial"/>
              <w:noProof/>
              <w:color w:val="7B7B7B" w:themeColor="accent3" w:themeShade="BF"/>
              <w:sz w:val="22"/>
              <w:szCs w:val="22"/>
            </w:rPr>
            <w:t xml:space="preserve"> (The European Parliament and the Council of the European Union, 2015)</w:t>
          </w:r>
          <w:r>
            <w:rPr>
              <w:rFonts w:ascii="Arial" w:hAnsi="Arial" w:cs="Arial"/>
              <w:color w:val="7B7B7B" w:themeColor="accent3" w:themeShade="BF"/>
              <w:sz w:val="22"/>
              <w:szCs w:val="22"/>
              <w:lang w:val="en-GB"/>
            </w:rPr>
            <w:fldChar w:fldCharType="end"/>
          </w:r>
        </w:sdtContent>
      </w:sdt>
      <w:r w:rsidRPr="00B1270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F43005F" w14:textId="77777777" w:rsidR="002E406E" w:rsidRDefault="002E406E" w:rsidP="002A37BB">
      <w:pPr>
        <w:ind w:left="720" w:hanging="720"/>
        <w:jc w:val="both"/>
        <w:rPr>
          <w:rFonts w:ascii="Arial" w:hAnsi="Arial" w:cs="Arial"/>
          <w:color w:val="7B7B7B" w:themeColor="accent3" w:themeShade="BF"/>
          <w:sz w:val="22"/>
          <w:szCs w:val="22"/>
          <w:lang w:val="en-GB"/>
        </w:rPr>
      </w:pPr>
    </w:p>
    <w:p w14:paraId="572227E7" w14:textId="3D341E63" w:rsidR="0045683E" w:rsidRDefault="002E406E" w:rsidP="002E406E">
      <w:pPr>
        <w:ind w:left="720" w:hanging="720"/>
        <w:jc w:val="both"/>
        <w:rPr>
          <w:rFonts w:ascii="Arial" w:hAnsi="Arial" w:cs="Arial"/>
          <w:color w:val="7B7B7B" w:themeColor="accent3" w:themeShade="BF"/>
          <w:sz w:val="22"/>
          <w:szCs w:val="22"/>
          <w:lang w:val="en-GB"/>
        </w:rPr>
      </w:pPr>
      <w:r w:rsidRPr="002E406E">
        <w:rPr>
          <w:rFonts w:ascii="Arial" w:hAnsi="Arial" w:cs="Arial"/>
          <w:color w:val="7B7B7B" w:themeColor="accent3" w:themeShade="BF"/>
          <w:sz w:val="22"/>
          <w:szCs w:val="22"/>
          <w:lang w:val="en-GB"/>
        </w:rPr>
        <w:t xml:space="preserve">In connection with the above, the following articles of EIR Recast contain the innovations implemented to adopt a rescue-oriented perspective:  </w:t>
      </w:r>
    </w:p>
    <w:p w14:paraId="137E8A91" w14:textId="77777777" w:rsidR="002E406E" w:rsidRPr="008500BD" w:rsidRDefault="002E406E" w:rsidP="002A37BB">
      <w:pPr>
        <w:jc w:val="both"/>
        <w:rPr>
          <w:rFonts w:ascii="Arial" w:hAnsi="Arial" w:cs="Arial"/>
          <w:bCs/>
          <w:sz w:val="22"/>
          <w:szCs w:val="22"/>
          <w:lang w:val="en-GB"/>
        </w:rPr>
      </w:pPr>
    </w:p>
    <w:p w14:paraId="492F85B9" w14:textId="4B1CF25A" w:rsidR="00B57804" w:rsidRDefault="00B57804" w:rsidP="00B57804">
      <w:pPr>
        <w:pStyle w:val="Prrafodelista"/>
        <w:numPr>
          <w:ilvl w:val="0"/>
          <w:numId w:val="13"/>
        </w:numPr>
        <w:jc w:val="both"/>
        <w:rPr>
          <w:rFonts w:ascii="Arial" w:hAnsi="Arial" w:cs="Arial"/>
          <w:color w:val="7B7B7B" w:themeColor="accent3" w:themeShade="BF"/>
          <w:sz w:val="22"/>
          <w:szCs w:val="22"/>
          <w:lang w:val="en-GB"/>
        </w:rPr>
      </w:pPr>
      <w:r w:rsidRPr="00B57804">
        <w:rPr>
          <w:rFonts w:ascii="Arial" w:hAnsi="Arial" w:cs="Arial"/>
          <w:b/>
          <w:color w:val="7B7B7B" w:themeColor="accent3" w:themeShade="BF"/>
          <w:sz w:val="22"/>
          <w:szCs w:val="22"/>
          <w:lang w:val="en-GB"/>
        </w:rPr>
        <w:t>Article 1</w:t>
      </w:r>
      <w:r w:rsidRPr="00B57804">
        <w:rPr>
          <w:rFonts w:ascii="Arial" w:hAnsi="Arial" w:cs="Arial"/>
          <w:color w:val="7B7B7B" w:themeColor="accent3" w:themeShade="BF"/>
          <w:sz w:val="22"/>
          <w:szCs w:val="22"/>
          <w:lang w:val="en-GB"/>
        </w:rPr>
        <w:t xml:space="preserve">: The scope of the EIR Recast established in article 1 that the regulation was extended beyond the liquidation proceedings and includes those proceedings aimed at the recovery of economically viable businesses that are in financial distress. In fact, paragraph 2 </w:t>
      </w:r>
      <w:r w:rsidR="00D9336F">
        <w:rPr>
          <w:rFonts w:ascii="Arial" w:hAnsi="Arial" w:cs="Arial"/>
          <w:color w:val="7B7B7B" w:themeColor="accent3" w:themeShade="BF"/>
          <w:sz w:val="22"/>
          <w:szCs w:val="22"/>
          <w:lang w:val="en-GB"/>
        </w:rPr>
        <w:t>of a</w:t>
      </w:r>
      <w:r w:rsidR="00D9336F" w:rsidRPr="00B57804">
        <w:rPr>
          <w:rFonts w:ascii="Arial" w:hAnsi="Arial" w:cs="Arial"/>
          <w:color w:val="7B7B7B" w:themeColor="accent3" w:themeShade="BF"/>
          <w:sz w:val="22"/>
          <w:szCs w:val="22"/>
          <w:lang w:val="en-GB"/>
        </w:rPr>
        <w:t xml:space="preserve">rticle 1 </w:t>
      </w:r>
      <w:r w:rsidRPr="00B57804">
        <w:rPr>
          <w:rFonts w:ascii="Arial" w:hAnsi="Arial" w:cs="Arial"/>
          <w:color w:val="7B7B7B" w:themeColor="accent3" w:themeShade="BF"/>
          <w:sz w:val="22"/>
          <w:szCs w:val="22"/>
          <w:lang w:val="en-GB"/>
        </w:rPr>
        <w:t xml:space="preserve">relates to situations where there is only a "probability" of insolvency and establishes as a top priority the avoidance of the debtor's </w:t>
      </w:r>
      <w:r w:rsidR="00CE1141" w:rsidRPr="00B57804">
        <w:rPr>
          <w:rFonts w:ascii="Arial" w:hAnsi="Arial" w:cs="Arial"/>
          <w:color w:val="7B7B7B" w:themeColor="accent3" w:themeShade="BF"/>
          <w:sz w:val="22"/>
          <w:szCs w:val="22"/>
          <w:lang w:val="en-GB"/>
        </w:rPr>
        <w:t xml:space="preserve">insolvency </w:t>
      </w:r>
      <w:sdt>
        <w:sdtPr>
          <w:rPr>
            <w:rFonts w:ascii="Arial" w:hAnsi="Arial" w:cs="Arial"/>
            <w:color w:val="7B7B7B" w:themeColor="accent3" w:themeShade="BF"/>
            <w:sz w:val="22"/>
            <w:szCs w:val="22"/>
            <w:lang w:val="en-GB"/>
          </w:rPr>
          <w:id w:val="-372299386"/>
          <w:citation/>
        </w:sdtPr>
        <w:sdtEndPr/>
        <w:sdtContent>
          <w:r>
            <w:rPr>
              <w:rFonts w:ascii="Arial" w:hAnsi="Arial" w:cs="Arial"/>
              <w:color w:val="7B7B7B" w:themeColor="accent3" w:themeShade="BF"/>
              <w:sz w:val="22"/>
              <w:szCs w:val="22"/>
              <w:lang w:val="en-GB"/>
            </w:rPr>
            <w:fldChar w:fldCharType="begin"/>
          </w:r>
          <w:r w:rsidRPr="00B57804">
            <w:rPr>
              <w:rFonts w:ascii="Arial" w:hAnsi="Arial" w:cs="Arial"/>
              <w:color w:val="7B7B7B" w:themeColor="accent3" w:themeShade="BF"/>
              <w:sz w:val="22"/>
              <w:szCs w:val="22"/>
              <w:lang w:val="en-GB"/>
            </w:rPr>
            <w:instrText xml:space="preserve"> CITATION Wes20 \l 3082 </w:instrText>
          </w:r>
          <w:r>
            <w:rPr>
              <w:rFonts w:ascii="Arial" w:hAnsi="Arial" w:cs="Arial"/>
              <w:color w:val="7B7B7B" w:themeColor="accent3" w:themeShade="BF"/>
              <w:sz w:val="22"/>
              <w:szCs w:val="22"/>
              <w:lang w:val="en-GB"/>
            </w:rPr>
            <w:fldChar w:fldCharType="separate"/>
          </w:r>
          <w:r w:rsidRPr="00B57804">
            <w:rPr>
              <w:rFonts w:ascii="Arial" w:hAnsi="Arial" w:cs="Arial"/>
              <w:color w:val="7B7B7B" w:themeColor="accent3" w:themeShade="BF"/>
              <w:sz w:val="22"/>
              <w:szCs w:val="22"/>
              <w:lang w:val="en-GB"/>
            </w:rPr>
            <w:t>(Wessels &amp; Kokorin,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47FC9D39" w14:textId="0D3BC15A" w:rsidR="006C5677" w:rsidRDefault="00A54A9A" w:rsidP="00F51687">
      <w:pPr>
        <w:pStyle w:val="Prrafodelista"/>
        <w:numPr>
          <w:ilvl w:val="0"/>
          <w:numId w:val="13"/>
        </w:numPr>
        <w:jc w:val="both"/>
        <w:rPr>
          <w:rFonts w:ascii="Arial" w:hAnsi="Arial" w:cs="Arial"/>
          <w:color w:val="7B7B7B" w:themeColor="accent3" w:themeShade="BF"/>
          <w:sz w:val="22"/>
          <w:szCs w:val="22"/>
          <w:lang w:val="en-GB"/>
        </w:rPr>
      </w:pPr>
      <w:r w:rsidRPr="00476281">
        <w:rPr>
          <w:rFonts w:ascii="Arial" w:hAnsi="Arial" w:cs="Arial"/>
          <w:b/>
          <w:color w:val="7B7B7B" w:themeColor="accent3" w:themeShade="BF"/>
          <w:sz w:val="22"/>
          <w:szCs w:val="22"/>
          <w:lang w:val="en-GB"/>
        </w:rPr>
        <w:t>Article 2</w:t>
      </w:r>
      <w:r w:rsidR="00BC61F2">
        <w:rPr>
          <w:rFonts w:ascii="Arial" w:hAnsi="Arial" w:cs="Arial"/>
          <w:color w:val="7B7B7B" w:themeColor="accent3" w:themeShade="BF"/>
          <w:sz w:val="22"/>
          <w:szCs w:val="22"/>
          <w:lang w:val="en-GB"/>
        </w:rPr>
        <w:t xml:space="preserve">: </w:t>
      </w:r>
      <w:r w:rsidR="00A8428B" w:rsidRPr="00A8428B">
        <w:rPr>
          <w:rFonts w:ascii="Arial" w:hAnsi="Arial" w:cs="Arial"/>
          <w:color w:val="7B7B7B" w:themeColor="accent3" w:themeShade="BF"/>
          <w:sz w:val="22"/>
          <w:szCs w:val="22"/>
          <w:lang w:val="en-GB"/>
        </w:rPr>
        <w:t>In accordance with the provisions contained in article 2(4) and the scope defined in article 1, the EIR Recast applies to insolvency proceedings aimed at the recovery and rescue of the debtor. For example, in Annex A, for the case of Spain, the following proceedings were included in the scope of application: (</w:t>
      </w:r>
      <w:proofErr w:type="spellStart"/>
      <w:r w:rsidR="00A8428B" w:rsidRPr="00A8428B">
        <w:rPr>
          <w:rFonts w:ascii="Arial" w:hAnsi="Arial" w:cs="Arial"/>
          <w:color w:val="7B7B7B" w:themeColor="accent3" w:themeShade="BF"/>
          <w:sz w:val="22"/>
          <w:szCs w:val="22"/>
          <w:lang w:val="en-GB"/>
        </w:rPr>
        <w:t>i</w:t>
      </w:r>
      <w:proofErr w:type="spellEnd"/>
      <w:r w:rsidR="00A8428B" w:rsidRPr="00A8428B">
        <w:rPr>
          <w:rFonts w:ascii="Arial" w:hAnsi="Arial" w:cs="Arial"/>
          <w:color w:val="7B7B7B" w:themeColor="accent3" w:themeShade="BF"/>
          <w:sz w:val="22"/>
          <w:szCs w:val="22"/>
          <w:lang w:val="en-GB"/>
        </w:rPr>
        <w:t xml:space="preserve">) Procedure for approval of refinancing agreements and (ii) proceedings for </w:t>
      </w:r>
      <w:r w:rsidR="00F51687">
        <w:rPr>
          <w:rFonts w:ascii="Arial" w:hAnsi="Arial" w:cs="Arial"/>
          <w:color w:val="7B7B7B" w:themeColor="accent3" w:themeShade="BF"/>
          <w:sz w:val="22"/>
          <w:szCs w:val="22"/>
          <w:lang w:val="en-GB"/>
        </w:rPr>
        <w:t xml:space="preserve">out-of-court payment agreements </w:t>
      </w:r>
      <w:sdt>
        <w:sdtPr>
          <w:rPr>
            <w:rFonts w:ascii="Arial" w:hAnsi="Arial" w:cs="Arial"/>
            <w:color w:val="7B7B7B" w:themeColor="accent3" w:themeShade="BF"/>
            <w:sz w:val="22"/>
            <w:szCs w:val="22"/>
            <w:lang w:val="en-GB"/>
          </w:rPr>
          <w:id w:val="-697153165"/>
          <w:citation/>
        </w:sdtPr>
        <w:sdtEndPr/>
        <w:sdtContent>
          <w:r w:rsidR="00F51687">
            <w:rPr>
              <w:rFonts w:ascii="Arial" w:hAnsi="Arial" w:cs="Arial"/>
              <w:color w:val="7B7B7B" w:themeColor="accent3" w:themeShade="BF"/>
              <w:sz w:val="22"/>
              <w:szCs w:val="22"/>
              <w:lang w:val="en-GB"/>
            </w:rPr>
            <w:fldChar w:fldCharType="begin"/>
          </w:r>
          <w:r w:rsidR="00F51687" w:rsidRPr="00FF5DED">
            <w:rPr>
              <w:rFonts w:ascii="Arial" w:hAnsi="Arial" w:cs="Arial"/>
              <w:color w:val="7B7B7B" w:themeColor="accent3" w:themeShade="BF"/>
              <w:sz w:val="22"/>
              <w:szCs w:val="22"/>
            </w:rPr>
            <w:instrText xml:space="preserve"> CITATION The15 \l 3082 </w:instrText>
          </w:r>
          <w:r w:rsidR="00F51687">
            <w:rPr>
              <w:rFonts w:ascii="Arial" w:hAnsi="Arial" w:cs="Arial"/>
              <w:color w:val="7B7B7B" w:themeColor="accent3" w:themeShade="BF"/>
              <w:sz w:val="22"/>
              <w:szCs w:val="22"/>
              <w:lang w:val="en-GB"/>
            </w:rPr>
            <w:fldChar w:fldCharType="separate"/>
          </w:r>
          <w:r w:rsidR="00F51687" w:rsidRPr="00FF5DED">
            <w:rPr>
              <w:rFonts w:ascii="Arial" w:hAnsi="Arial" w:cs="Arial"/>
              <w:noProof/>
              <w:color w:val="7B7B7B" w:themeColor="accent3" w:themeShade="BF"/>
              <w:sz w:val="22"/>
              <w:szCs w:val="22"/>
            </w:rPr>
            <w:t xml:space="preserve"> (The European Parliament and the Council of the European Union, 2015)</w:t>
          </w:r>
          <w:r w:rsidR="00F51687">
            <w:rPr>
              <w:rFonts w:ascii="Arial" w:hAnsi="Arial" w:cs="Arial"/>
              <w:color w:val="7B7B7B" w:themeColor="accent3" w:themeShade="BF"/>
              <w:sz w:val="22"/>
              <w:szCs w:val="22"/>
              <w:lang w:val="en-GB"/>
            </w:rPr>
            <w:fldChar w:fldCharType="end"/>
          </w:r>
        </w:sdtContent>
      </w:sdt>
      <w:r w:rsidR="00F51687" w:rsidRPr="00B12708">
        <w:rPr>
          <w:rFonts w:ascii="Arial" w:hAnsi="Arial" w:cs="Arial"/>
          <w:color w:val="7B7B7B" w:themeColor="accent3" w:themeShade="BF"/>
          <w:sz w:val="22"/>
          <w:szCs w:val="22"/>
          <w:lang w:val="en-GB"/>
        </w:rPr>
        <w:t>.</w:t>
      </w:r>
    </w:p>
    <w:p w14:paraId="20A79F29" w14:textId="751A06E7" w:rsidR="00A20F40" w:rsidRPr="00A20F40" w:rsidRDefault="00A54A9A" w:rsidP="00A20F40">
      <w:pPr>
        <w:pStyle w:val="Prrafodelista"/>
        <w:numPr>
          <w:ilvl w:val="0"/>
          <w:numId w:val="13"/>
        </w:numPr>
        <w:jc w:val="both"/>
        <w:rPr>
          <w:rFonts w:ascii="Arial" w:hAnsi="Arial" w:cs="Arial"/>
          <w:color w:val="7B7B7B" w:themeColor="accent3" w:themeShade="BF"/>
          <w:sz w:val="22"/>
          <w:szCs w:val="22"/>
          <w:lang w:val="en-GB"/>
        </w:rPr>
      </w:pPr>
      <w:r w:rsidRPr="00A54A9A">
        <w:rPr>
          <w:rFonts w:ascii="Arial" w:hAnsi="Arial" w:cs="Arial"/>
          <w:b/>
          <w:color w:val="7B7B7B" w:themeColor="accent3" w:themeShade="BF"/>
          <w:sz w:val="22"/>
          <w:szCs w:val="22"/>
          <w:lang w:val="en-GB"/>
        </w:rPr>
        <w:t>Article 41</w:t>
      </w:r>
      <w:r>
        <w:rPr>
          <w:rFonts w:ascii="Arial" w:hAnsi="Arial" w:cs="Arial"/>
          <w:color w:val="7B7B7B" w:themeColor="accent3" w:themeShade="BF"/>
          <w:sz w:val="22"/>
          <w:szCs w:val="22"/>
          <w:lang w:val="en-GB"/>
        </w:rPr>
        <w:t xml:space="preserve">: </w:t>
      </w:r>
      <w:r w:rsidR="00A20F40" w:rsidRPr="00A20F40">
        <w:rPr>
          <w:rFonts w:ascii="Arial" w:hAnsi="Arial" w:cs="Arial"/>
          <w:color w:val="7B7B7B" w:themeColor="accent3" w:themeShade="BF"/>
          <w:sz w:val="22"/>
          <w:szCs w:val="22"/>
          <w:lang w:val="en-GB"/>
        </w:rPr>
        <w:t xml:space="preserve">This article provides the following </w:t>
      </w:r>
      <w:r w:rsidR="00143397">
        <w:rPr>
          <w:rFonts w:ascii="Arial" w:hAnsi="Arial" w:cs="Arial"/>
          <w:color w:val="7B7B7B" w:themeColor="accent3" w:themeShade="BF"/>
          <w:sz w:val="22"/>
          <w:szCs w:val="22"/>
          <w:lang w:val="en-GB"/>
        </w:rPr>
        <w:t xml:space="preserve">measures related to the rescue </w:t>
      </w:r>
      <w:r w:rsidR="00A20F40" w:rsidRPr="00A20F40">
        <w:rPr>
          <w:rFonts w:ascii="Arial" w:hAnsi="Arial" w:cs="Arial"/>
          <w:color w:val="7B7B7B" w:themeColor="accent3" w:themeShade="BF"/>
          <w:sz w:val="22"/>
          <w:szCs w:val="22"/>
          <w:lang w:val="en-GB"/>
        </w:rPr>
        <w:t>of economically viable businesses that are in financial distress:</w:t>
      </w:r>
    </w:p>
    <w:p w14:paraId="5991AD21" w14:textId="77777777" w:rsidR="00A20F40" w:rsidRPr="00A20F40" w:rsidRDefault="00A20F40" w:rsidP="00A20F40">
      <w:pPr>
        <w:pStyle w:val="Prrafodelista"/>
        <w:numPr>
          <w:ilvl w:val="1"/>
          <w:numId w:val="13"/>
        </w:numPr>
        <w:jc w:val="both"/>
        <w:rPr>
          <w:rFonts w:ascii="Arial" w:hAnsi="Arial" w:cs="Arial"/>
          <w:color w:val="7B7B7B" w:themeColor="accent3" w:themeShade="BF"/>
          <w:sz w:val="22"/>
          <w:szCs w:val="22"/>
          <w:lang w:val="en-GB"/>
        </w:rPr>
      </w:pPr>
      <w:r w:rsidRPr="00A20F40">
        <w:rPr>
          <w:rFonts w:ascii="Arial" w:hAnsi="Arial" w:cs="Arial"/>
          <w:color w:val="7B7B7B" w:themeColor="accent3" w:themeShade="BF"/>
          <w:sz w:val="22"/>
          <w:szCs w:val="22"/>
          <w:lang w:val="en-GB"/>
        </w:rPr>
        <w:t>The insolvency practitioner shall coordinate the elaboration and implementation of a restructuring plan if there is any possibility to restructure the debtor.</w:t>
      </w:r>
    </w:p>
    <w:p w14:paraId="39137689" w14:textId="7192F8F5" w:rsidR="00A54A9A" w:rsidRPr="00B57804" w:rsidRDefault="002E406E" w:rsidP="00A20F40">
      <w:pPr>
        <w:pStyle w:val="Prrafodelista"/>
        <w:numPr>
          <w:ilvl w:val="1"/>
          <w:numId w:val="13"/>
        </w:numPr>
        <w:jc w:val="both"/>
        <w:rPr>
          <w:rFonts w:ascii="Arial" w:hAnsi="Arial" w:cs="Arial"/>
          <w:color w:val="7B7B7B" w:themeColor="accent3" w:themeShade="BF"/>
          <w:sz w:val="22"/>
          <w:szCs w:val="22"/>
          <w:lang w:val="en-GB"/>
        </w:rPr>
      </w:pPr>
      <w:r w:rsidRPr="00A20F40">
        <w:rPr>
          <w:rFonts w:ascii="Arial" w:hAnsi="Arial" w:cs="Arial"/>
          <w:color w:val="7B7B7B" w:themeColor="accent3" w:themeShade="BF"/>
          <w:sz w:val="22"/>
          <w:szCs w:val="22"/>
          <w:lang w:val="en-GB"/>
        </w:rPr>
        <w:t>In addition</w:t>
      </w:r>
      <w:r w:rsidR="00A20F40" w:rsidRPr="00A20F40">
        <w:rPr>
          <w:rFonts w:ascii="Arial" w:hAnsi="Arial" w:cs="Arial"/>
          <w:color w:val="7B7B7B" w:themeColor="accent3" w:themeShade="BF"/>
          <w:sz w:val="22"/>
          <w:szCs w:val="22"/>
          <w:lang w:val="en-GB"/>
        </w:rPr>
        <w:t>, insolvency practitioners shall communicate the information on the measures related to the rescue and restructuring of the debtor</w:t>
      </w:r>
      <w:r>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1125587423"/>
          <w:citation/>
        </w:sdtPr>
        <w:sdtEndPr/>
        <w:sdtContent>
          <w:r>
            <w:rPr>
              <w:rFonts w:ascii="Arial" w:hAnsi="Arial" w:cs="Arial"/>
              <w:color w:val="7B7B7B" w:themeColor="accent3" w:themeShade="BF"/>
              <w:sz w:val="22"/>
              <w:szCs w:val="22"/>
              <w:lang w:val="en-GB"/>
            </w:rPr>
            <w:fldChar w:fldCharType="begin"/>
          </w:r>
          <w:r w:rsidRPr="00B57804">
            <w:rPr>
              <w:rFonts w:ascii="Arial" w:hAnsi="Arial" w:cs="Arial"/>
              <w:color w:val="7B7B7B" w:themeColor="accent3" w:themeShade="BF"/>
              <w:sz w:val="22"/>
              <w:szCs w:val="22"/>
              <w:lang w:val="en-GB"/>
            </w:rPr>
            <w:instrText xml:space="preserve"> CITATION Wes20 \l 3082 </w:instrText>
          </w:r>
          <w:r>
            <w:rPr>
              <w:rFonts w:ascii="Arial" w:hAnsi="Arial" w:cs="Arial"/>
              <w:color w:val="7B7B7B" w:themeColor="accent3" w:themeShade="BF"/>
              <w:sz w:val="22"/>
              <w:szCs w:val="22"/>
              <w:lang w:val="en-GB"/>
            </w:rPr>
            <w:fldChar w:fldCharType="separate"/>
          </w:r>
          <w:r w:rsidRPr="00B57804">
            <w:rPr>
              <w:rFonts w:ascii="Arial" w:hAnsi="Arial" w:cs="Arial"/>
              <w:color w:val="7B7B7B" w:themeColor="accent3" w:themeShade="BF"/>
              <w:sz w:val="22"/>
              <w:szCs w:val="22"/>
              <w:lang w:val="en-GB"/>
            </w:rPr>
            <w:t>(Wessels &amp; Kokorin,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48203F2D" w14:textId="0986F165" w:rsidR="00B57804" w:rsidRDefault="00B57804" w:rsidP="00B57804">
      <w:pPr>
        <w:jc w:val="both"/>
        <w:rPr>
          <w:rFonts w:ascii="Arial" w:hAnsi="Arial" w:cs="Arial"/>
          <w:bCs/>
          <w:sz w:val="22"/>
          <w:szCs w:val="22"/>
          <w:lang w:val="en-GB"/>
        </w:rPr>
      </w:pPr>
    </w:p>
    <w:p w14:paraId="18E77767" w14:textId="77777777" w:rsidR="00B57804" w:rsidRPr="00B57804" w:rsidRDefault="00B57804" w:rsidP="00B57804">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2BD837F0"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20E6BA92" w14:textId="77777777" w:rsidR="00D54AA8" w:rsidRDefault="00D54AA8" w:rsidP="002A37BB">
      <w:pPr>
        <w:jc w:val="both"/>
        <w:rPr>
          <w:rFonts w:ascii="Arial" w:hAnsi="Arial" w:cs="Arial"/>
          <w:sz w:val="22"/>
          <w:szCs w:val="22"/>
          <w:lang w:val="en-GB"/>
        </w:rPr>
      </w:pPr>
    </w:p>
    <w:tbl>
      <w:tblPr>
        <w:tblStyle w:val="Tablaconcuadrcula"/>
        <w:tblW w:w="0" w:type="auto"/>
        <w:tblLook w:val="04A0" w:firstRow="1" w:lastRow="0" w:firstColumn="1" w:lastColumn="0" w:noHBand="0" w:noVBand="1"/>
      </w:tblPr>
      <w:tblGrid>
        <w:gridCol w:w="2547"/>
        <w:gridCol w:w="2126"/>
        <w:gridCol w:w="4343"/>
      </w:tblGrid>
      <w:tr w:rsidR="00D54AA8" w14:paraId="4A8030E9" w14:textId="77777777" w:rsidTr="00D54AA8">
        <w:tc>
          <w:tcPr>
            <w:tcW w:w="2547" w:type="dxa"/>
          </w:tcPr>
          <w:p w14:paraId="1D9E8BF8" w14:textId="4EE64798" w:rsidR="00D54AA8" w:rsidRPr="00AD056D" w:rsidRDefault="00D54AA8" w:rsidP="00D54AA8">
            <w:pPr>
              <w:jc w:val="center"/>
              <w:rPr>
                <w:rFonts w:ascii="Arial" w:hAnsi="Arial" w:cs="Arial"/>
                <w:b/>
                <w:color w:val="7B7B7B" w:themeColor="accent3" w:themeShade="BF"/>
                <w:sz w:val="22"/>
                <w:szCs w:val="22"/>
                <w:lang w:val="en-GB"/>
              </w:rPr>
            </w:pPr>
            <w:r w:rsidRPr="00AD056D">
              <w:rPr>
                <w:rFonts w:ascii="Arial" w:hAnsi="Arial" w:cs="Arial"/>
                <w:b/>
                <w:color w:val="7B7B7B" w:themeColor="accent3" w:themeShade="BF"/>
                <w:sz w:val="22"/>
                <w:szCs w:val="22"/>
                <w:lang w:val="en-GB"/>
              </w:rPr>
              <w:t>Instrument</w:t>
            </w:r>
          </w:p>
        </w:tc>
        <w:tc>
          <w:tcPr>
            <w:tcW w:w="2126" w:type="dxa"/>
          </w:tcPr>
          <w:p w14:paraId="666C7898" w14:textId="628C3A0B" w:rsidR="00D54AA8" w:rsidRPr="00AD056D" w:rsidRDefault="00D54AA8" w:rsidP="00D54AA8">
            <w:pPr>
              <w:jc w:val="center"/>
              <w:rPr>
                <w:rFonts w:ascii="Arial" w:hAnsi="Arial" w:cs="Arial"/>
                <w:b/>
                <w:color w:val="7B7B7B" w:themeColor="accent3" w:themeShade="BF"/>
                <w:sz w:val="22"/>
                <w:szCs w:val="22"/>
                <w:lang w:val="en-GB"/>
              </w:rPr>
            </w:pPr>
            <w:r w:rsidRPr="00AD056D">
              <w:rPr>
                <w:rFonts w:ascii="Arial" w:hAnsi="Arial" w:cs="Arial"/>
                <w:b/>
                <w:color w:val="7B7B7B" w:themeColor="accent3" w:themeShade="BF"/>
                <w:sz w:val="22"/>
                <w:szCs w:val="22"/>
                <w:lang w:val="en-GB"/>
              </w:rPr>
              <w:t>Article – EIR Recast</w:t>
            </w:r>
          </w:p>
        </w:tc>
        <w:tc>
          <w:tcPr>
            <w:tcW w:w="4343" w:type="dxa"/>
          </w:tcPr>
          <w:p w14:paraId="6A5B4558" w14:textId="69E83A2C" w:rsidR="00D54AA8" w:rsidRPr="00AD056D" w:rsidRDefault="00D54AA8" w:rsidP="00D54AA8">
            <w:pPr>
              <w:jc w:val="center"/>
              <w:rPr>
                <w:rFonts w:ascii="Arial" w:hAnsi="Arial" w:cs="Arial"/>
                <w:b/>
                <w:color w:val="7B7B7B" w:themeColor="accent3" w:themeShade="BF"/>
                <w:sz w:val="22"/>
                <w:szCs w:val="22"/>
                <w:lang w:val="en-GB"/>
              </w:rPr>
            </w:pPr>
            <w:r w:rsidRPr="00AD056D">
              <w:rPr>
                <w:rFonts w:ascii="Arial" w:hAnsi="Arial" w:cs="Arial"/>
                <w:b/>
                <w:color w:val="7B7B7B" w:themeColor="accent3" w:themeShade="BF"/>
                <w:sz w:val="22"/>
                <w:szCs w:val="22"/>
                <w:lang w:val="en-GB"/>
              </w:rPr>
              <w:t>Description of the instrument</w:t>
            </w:r>
          </w:p>
        </w:tc>
      </w:tr>
      <w:tr w:rsidR="00D54AA8" w14:paraId="4A6BA88C" w14:textId="77777777" w:rsidTr="00D54AA8">
        <w:tc>
          <w:tcPr>
            <w:tcW w:w="2547" w:type="dxa"/>
          </w:tcPr>
          <w:p w14:paraId="32E142B9" w14:textId="042CBC87" w:rsidR="00D54AA8" w:rsidRPr="00AD056D" w:rsidRDefault="00534D87" w:rsidP="007D77FF">
            <w:pPr>
              <w:jc w:val="center"/>
              <w:rPr>
                <w:rFonts w:ascii="Arial" w:hAnsi="Arial" w:cs="Arial"/>
                <w:color w:val="7B7B7B" w:themeColor="accent3" w:themeShade="BF"/>
                <w:sz w:val="22"/>
                <w:szCs w:val="22"/>
                <w:lang w:val="en-GB"/>
              </w:rPr>
            </w:pPr>
            <w:r w:rsidRPr="00534D87">
              <w:rPr>
                <w:rFonts w:ascii="Arial" w:hAnsi="Arial" w:cs="Arial"/>
                <w:color w:val="7B7B7B" w:themeColor="accent3" w:themeShade="BF"/>
                <w:sz w:val="22"/>
                <w:szCs w:val="22"/>
                <w:lang w:val="en-GB"/>
              </w:rPr>
              <w:t>Right to give an undertaking in order to avoid secondary insolvency proceedings</w:t>
            </w:r>
          </w:p>
        </w:tc>
        <w:tc>
          <w:tcPr>
            <w:tcW w:w="2126" w:type="dxa"/>
          </w:tcPr>
          <w:p w14:paraId="06C97227" w14:textId="3AFC5EA6" w:rsidR="00D54AA8" w:rsidRPr="00AD056D" w:rsidRDefault="00534D87" w:rsidP="00534D87">
            <w:pPr>
              <w:jc w:val="cente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36</w:t>
            </w:r>
          </w:p>
        </w:tc>
        <w:tc>
          <w:tcPr>
            <w:tcW w:w="4343" w:type="dxa"/>
          </w:tcPr>
          <w:p w14:paraId="31EDF0EC" w14:textId="4FB6BB92" w:rsidR="00676F05" w:rsidRPr="00676F05" w:rsidRDefault="00676F05" w:rsidP="00676F05">
            <w:pPr>
              <w:jc w:val="both"/>
              <w:rPr>
                <w:rFonts w:ascii="Arial" w:hAnsi="Arial" w:cs="Arial"/>
                <w:color w:val="7B7B7B" w:themeColor="accent3" w:themeShade="BF"/>
                <w:sz w:val="22"/>
                <w:szCs w:val="22"/>
                <w:lang w:val="en-GB"/>
              </w:rPr>
            </w:pPr>
            <w:r w:rsidRPr="00676F05">
              <w:rPr>
                <w:rFonts w:ascii="Arial" w:hAnsi="Arial" w:cs="Arial"/>
                <w:color w:val="7B7B7B" w:themeColor="accent3" w:themeShade="BF"/>
                <w:sz w:val="22"/>
                <w:szCs w:val="22"/>
                <w:lang w:val="en-GB"/>
              </w:rPr>
              <w:t>Through this instrument, the insolvency practitioner of the main proceeding gives a unilateral undertaking regarding the assets located in the member state where the seco</w:t>
            </w:r>
            <w:r w:rsidR="00CF53B5">
              <w:rPr>
                <w:rFonts w:ascii="Arial" w:hAnsi="Arial" w:cs="Arial"/>
                <w:color w:val="7B7B7B" w:themeColor="accent3" w:themeShade="BF"/>
                <w:sz w:val="22"/>
                <w:szCs w:val="22"/>
                <w:lang w:val="en-GB"/>
              </w:rPr>
              <w:t xml:space="preserve">ndary proceeding may be opened </w:t>
            </w:r>
            <w:sdt>
              <w:sdtPr>
                <w:rPr>
                  <w:rFonts w:ascii="Arial" w:hAnsi="Arial" w:cs="Arial"/>
                  <w:color w:val="7B7B7B" w:themeColor="accent3" w:themeShade="BF"/>
                  <w:sz w:val="22"/>
                  <w:szCs w:val="22"/>
                  <w:lang w:val="en-GB"/>
                </w:rPr>
                <w:id w:val="360482489"/>
                <w:citation/>
              </w:sdtPr>
              <w:sdtEndPr/>
              <w:sdtContent>
                <w:r w:rsidR="00CF53B5">
                  <w:rPr>
                    <w:rFonts w:ascii="Arial" w:hAnsi="Arial" w:cs="Arial"/>
                    <w:color w:val="7B7B7B" w:themeColor="accent3" w:themeShade="BF"/>
                    <w:sz w:val="22"/>
                    <w:szCs w:val="22"/>
                    <w:lang w:val="en-GB"/>
                  </w:rPr>
                  <w:fldChar w:fldCharType="begin"/>
                </w:r>
                <w:r w:rsidR="00CF53B5" w:rsidRPr="00B57804">
                  <w:rPr>
                    <w:rFonts w:ascii="Arial" w:hAnsi="Arial" w:cs="Arial"/>
                    <w:color w:val="7B7B7B" w:themeColor="accent3" w:themeShade="BF"/>
                    <w:sz w:val="22"/>
                    <w:szCs w:val="22"/>
                    <w:lang w:val="en-GB"/>
                  </w:rPr>
                  <w:instrText xml:space="preserve"> CITATION Wes20 \l 3082 </w:instrText>
                </w:r>
                <w:r w:rsidR="00CF53B5">
                  <w:rPr>
                    <w:rFonts w:ascii="Arial" w:hAnsi="Arial" w:cs="Arial"/>
                    <w:color w:val="7B7B7B" w:themeColor="accent3" w:themeShade="BF"/>
                    <w:sz w:val="22"/>
                    <w:szCs w:val="22"/>
                    <w:lang w:val="en-GB"/>
                  </w:rPr>
                  <w:fldChar w:fldCharType="separate"/>
                </w:r>
                <w:r w:rsidR="00CF53B5" w:rsidRPr="00B57804">
                  <w:rPr>
                    <w:rFonts w:ascii="Arial" w:hAnsi="Arial" w:cs="Arial"/>
                    <w:color w:val="7B7B7B" w:themeColor="accent3" w:themeShade="BF"/>
                    <w:sz w:val="22"/>
                    <w:szCs w:val="22"/>
                    <w:lang w:val="en-GB"/>
                  </w:rPr>
                  <w:t>(Wessels &amp; Kokorin, 2020)</w:t>
                </w:r>
                <w:r w:rsidR="00CF53B5">
                  <w:rPr>
                    <w:rFonts w:ascii="Arial" w:hAnsi="Arial" w:cs="Arial"/>
                    <w:color w:val="7B7B7B" w:themeColor="accent3" w:themeShade="BF"/>
                    <w:sz w:val="22"/>
                    <w:szCs w:val="22"/>
                    <w:lang w:val="en-GB"/>
                  </w:rPr>
                  <w:fldChar w:fldCharType="end"/>
                </w:r>
              </w:sdtContent>
            </w:sdt>
            <w:r w:rsidR="00CF53B5">
              <w:rPr>
                <w:rFonts w:ascii="Arial" w:hAnsi="Arial" w:cs="Arial"/>
                <w:color w:val="7B7B7B" w:themeColor="accent3" w:themeShade="BF"/>
                <w:sz w:val="22"/>
                <w:szCs w:val="22"/>
                <w:lang w:val="en-GB"/>
              </w:rPr>
              <w:t>.</w:t>
            </w:r>
          </w:p>
          <w:p w14:paraId="104058BE" w14:textId="77777777" w:rsidR="00676F05" w:rsidRPr="00676F05" w:rsidRDefault="00676F05" w:rsidP="00676F05">
            <w:pPr>
              <w:jc w:val="both"/>
              <w:rPr>
                <w:rFonts w:ascii="Arial" w:hAnsi="Arial" w:cs="Arial"/>
                <w:color w:val="7B7B7B" w:themeColor="accent3" w:themeShade="BF"/>
                <w:sz w:val="22"/>
                <w:szCs w:val="22"/>
                <w:lang w:val="en-GB"/>
              </w:rPr>
            </w:pPr>
          </w:p>
          <w:p w14:paraId="792CE575" w14:textId="6FE99D04" w:rsidR="00D54AA8" w:rsidRPr="00AD056D" w:rsidRDefault="00676F05" w:rsidP="00676F05">
            <w:pPr>
              <w:jc w:val="both"/>
              <w:rPr>
                <w:rFonts w:ascii="Arial" w:hAnsi="Arial" w:cs="Arial"/>
                <w:color w:val="7B7B7B" w:themeColor="accent3" w:themeShade="BF"/>
                <w:sz w:val="22"/>
                <w:szCs w:val="22"/>
                <w:lang w:val="en-GB"/>
              </w:rPr>
            </w:pPr>
            <w:r w:rsidRPr="00676F05">
              <w:rPr>
                <w:rFonts w:ascii="Arial" w:hAnsi="Arial" w:cs="Arial"/>
                <w:color w:val="7B7B7B" w:themeColor="accent3" w:themeShade="BF"/>
                <w:sz w:val="22"/>
                <w:szCs w:val="22"/>
                <w:lang w:val="en-GB"/>
              </w:rPr>
              <w:t>By virtue of the undertaking, the insolvency practitioner will distribute the assets located in the member state observing the local laws related to distribution and priority rights. In this sense, the local creditors will be treated as if the secondary pr</w:t>
            </w:r>
            <w:r w:rsidR="00CF53B5">
              <w:rPr>
                <w:rFonts w:ascii="Arial" w:hAnsi="Arial" w:cs="Arial"/>
                <w:color w:val="7B7B7B" w:themeColor="accent3" w:themeShade="BF"/>
                <w:sz w:val="22"/>
                <w:szCs w:val="22"/>
                <w:lang w:val="en-GB"/>
              </w:rPr>
              <w:t xml:space="preserve">oceeding had been opened </w:t>
            </w:r>
            <w:sdt>
              <w:sdtPr>
                <w:rPr>
                  <w:rFonts w:ascii="Arial" w:hAnsi="Arial" w:cs="Arial"/>
                  <w:color w:val="7B7B7B" w:themeColor="accent3" w:themeShade="BF"/>
                  <w:sz w:val="22"/>
                  <w:szCs w:val="22"/>
                  <w:lang w:val="en-GB"/>
                </w:rPr>
                <w:id w:val="1072230128"/>
                <w:citation/>
              </w:sdtPr>
              <w:sdtEndPr/>
              <w:sdtContent>
                <w:r w:rsidR="00CF53B5">
                  <w:rPr>
                    <w:rFonts w:ascii="Arial" w:hAnsi="Arial" w:cs="Arial"/>
                    <w:color w:val="7B7B7B" w:themeColor="accent3" w:themeShade="BF"/>
                    <w:sz w:val="22"/>
                    <w:szCs w:val="22"/>
                    <w:lang w:val="en-GB"/>
                  </w:rPr>
                  <w:fldChar w:fldCharType="begin"/>
                </w:r>
                <w:r w:rsidR="00CF53B5" w:rsidRPr="00B57804">
                  <w:rPr>
                    <w:rFonts w:ascii="Arial" w:hAnsi="Arial" w:cs="Arial"/>
                    <w:color w:val="7B7B7B" w:themeColor="accent3" w:themeShade="BF"/>
                    <w:sz w:val="22"/>
                    <w:szCs w:val="22"/>
                    <w:lang w:val="en-GB"/>
                  </w:rPr>
                  <w:instrText xml:space="preserve"> CITATION Wes20 \l 3082 </w:instrText>
                </w:r>
                <w:r w:rsidR="00CF53B5">
                  <w:rPr>
                    <w:rFonts w:ascii="Arial" w:hAnsi="Arial" w:cs="Arial"/>
                    <w:color w:val="7B7B7B" w:themeColor="accent3" w:themeShade="BF"/>
                    <w:sz w:val="22"/>
                    <w:szCs w:val="22"/>
                    <w:lang w:val="en-GB"/>
                  </w:rPr>
                  <w:fldChar w:fldCharType="separate"/>
                </w:r>
                <w:r w:rsidR="00CF53B5" w:rsidRPr="00B57804">
                  <w:rPr>
                    <w:rFonts w:ascii="Arial" w:hAnsi="Arial" w:cs="Arial"/>
                    <w:color w:val="7B7B7B" w:themeColor="accent3" w:themeShade="BF"/>
                    <w:sz w:val="22"/>
                    <w:szCs w:val="22"/>
                    <w:lang w:val="en-GB"/>
                  </w:rPr>
                  <w:t>(Wessels &amp; Kokorin, 2020)</w:t>
                </w:r>
                <w:r w:rsidR="00CF53B5">
                  <w:rPr>
                    <w:rFonts w:ascii="Arial" w:hAnsi="Arial" w:cs="Arial"/>
                    <w:color w:val="7B7B7B" w:themeColor="accent3" w:themeShade="BF"/>
                    <w:sz w:val="22"/>
                    <w:szCs w:val="22"/>
                    <w:lang w:val="en-GB"/>
                  </w:rPr>
                  <w:fldChar w:fldCharType="end"/>
                </w:r>
              </w:sdtContent>
            </w:sdt>
            <w:r w:rsidR="00CF53B5">
              <w:rPr>
                <w:rFonts w:ascii="Arial" w:hAnsi="Arial" w:cs="Arial"/>
                <w:color w:val="7B7B7B" w:themeColor="accent3" w:themeShade="BF"/>
                <w:sz w:val="22"/>
                <w:szCs w:val="22"/>
                <w:lang w:val="en-GB"/>
              </w:rPr>
              <w:t>.</w:t>
            </w:r>
          </w:p>
        </w:tc>
      </w:tr>
      <w:tr w:rsidR="00D54AA8" w14:paraId="5BD6B75F" w14:textId="77777777" w:rsidTr="00D54AA8">
        <w:tc>
          <w:tcPr>
            <w:tcW w:w="2547" w:type="dxa"/>
          </w:tcPr>
          <w:p w14:paraId="1F2DE432" w14:textId="71904A8C" w:rsidR="00D54AA8" w:rsidRPr="00AD056D" w:rsidRDefault="007D77FF" w:rsidP="009B6949">
            <w:pPr>
              <w:jc w:val="cente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7D77FF">
              <w:rPr>
                <w:rFonts w:ascii="Arial" w:hAnsi="Arial" w:cs="Arial"/>
                <w:color w:val="7B7B7B" w:themeColor="accent3" w:themeShade="BF"/>
                <w:sz w:val="22"/>
                <w:szCs w:val="22"/>
                <w:lang w:val="en-GB"/>
              </w:rPr>
              <w:t>tay the opening of secondary insolvency proceedings</w:t>
            </w:r>
          </w:p>
        </w:tc>
        <w:tc>
          <w:tcPr>
            <w:tcW w:w="2126" w:type="dxa"/>
          </w:tcPr>
          <w:p w14:paraId="3E9803C4" w14:textId="1DC59EB5" w:rsidR="00D54AA8" w:rsidRPr="00AD056D" w:rsidRDefault="009B6949" w:rsidP="009B6949">
            <w:pPr>
              <w:jc w:val="cente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38 (3)</w:t>
            </w:r>
          </w:p>
        </w:tc>
        <w:tc>
          <w:tcPr>
            <w:tcW w:w="4343" w:type="dxa"/>
          </w:tcPr>
          <w:p w14:paraId="0B80884C" w14:textId="77777777" w:rsidR="00D54AA8" w:rsidRDefault="00FB44F5" w:rsidP="002A37BB">
            <w:pPr>
              <w:jc w:val="both"/>
              <w:rPr>
                <w:rFonts w:ascii="Arial" w:hAnsi="Arial" w:cs="Arial"/>
                <w:color w:val="7B7B7B" w:themeColor="accent3" w:themeShade="BF"/>
                <w:sz w:val="22"/>
                <w:szCs w:val="22"/>
                <w:lang w:val="en-GB"/>
              </w:rPr>
            </w:pPr>
            <w:r w:rsidRPr="00FB44F5">
              <w:rPr>
                <w:rFonts w:ascii="Arial" w:hAnsi="Arial" w:cs="Arial"/>
                <w:color w:val="7B7B7B" w:themeColor="accent3" w:themeShade="BF"/>
                <w:sz w:val="22"/>
                <w:szCs w:val="22"/>
                <w:lang w:val="en-GB"/>
              </w:rPr>
              <w:t>Under this instrument, the debtor in possession or the insolvency practitioner may ask for a temporary stay of the opening of the secondary insolvency proceedings, the granted term ca</w:t>
            </w:r>
            <w:r>
              <w:rPr>
                <w:rFonts w:ascii="Arial" w:hAnsi="Arial" w:cs="Arial"/>
                <w:color w:val="7B7B7B" w:themeColor="accent3" w:themeShade="BF"/>
                <w:sz w:val="22"/>
                <w:szCs w:val="22"/>
                <w:lang w:val="en-GB"/>
              </w:rPr>
              <w:t xml:space="preserve">nnot be superior to 3 months </w:t>
            </w:r>
            <w:sdt>
              <w:sdtPr>
                <w:rPr>
                  <w:rFonts w:ascii="Arial" w:hAnsi="Arial" w:cs="Arial"/>
                  <w:color w:val="7B7B7B" w:themeColor="accent3" w:themeShade="BF"/>
                  <w:sz w:val="22"/>
                  <w:szCs w:val="22"/>
                  <w:lang w:val="en-GB"/>
                </w:rPr>
                <w:id w:val="1385912122"/>
                <w:citation/>
              </w:sdtPr>
              <w:sdtEndPr/>
              <w:sdtContent>
                <w:r>
                  <w:rPr>
                    <w:rFonts w:ascii="Arial" w:hAnsi="Arial" w:cs="Arial"/>
                    <w:color w:val="7B7B7B" w:themeColor="accent3" w:themeShade="BF"/>
                    <w:sz w:val="22"/>
                    <w:szCs w:val="22"/>
                    <w:lang w:val="en-GB"/>
                  </w:rPr>
                  <w:fldChar w:fldCharType="begin"/>
                </w:r>
                <w:r w:rsidRPr="00B57804">
                  <w:rPr>
                    <w:rFonts w:ascii="Arial" w:hAnsi="Arial" w:cs="Arial"/>
                    <w:color w:val="7B7B7B" w:themeColor="accent3" w:themeShade="BF"/>
                    <w:sz w:val="22"/>
                    <w:szCs w:val="22"/>
                    <w:lang w:val="en-GB"/>
                  </w:rPr>
                  <w:instrText xml:space="preserve"> CITATION Wes20 \l 3082 </w:instrText>
                </w:r>
                <w:r>
                  <w:rPr>
                    <w:rFonts w:ascii="Arial" w:hAnsi="Arial" w:cs="Arial"/>
                    <w:color w:val="7B7B7B" w:themeColor="accent3" w:themeShade="BF"/>
                    <w:sz w:val="22"/>
                    <w:szCs w:val="22"/>
                    <w:lang w:val="en-GB"/>
                  </w:rPr>
                  <w:fldChar w:fldCharType="separate"/>
                </w:r>
                <w:r w:rsidRPr="00B57804">
                  <w:rPr>
                    <w:rFonts w:ascii="Arial" w:hAnsi="Arial" w:cs="Arial"/>
                    <w:color w:val="7B7B7B" w:themeColor="accent3" w:themeShade="BF"/>
                    <w:sz w:val="22"/>
                    <w:szCs w:val="22"/>
                    <w:lang w:val="en-GB"/>
                  </w:rPr>
                  <w:t>(Wessels &amp; Kokorin,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2733C37E" w14:textId="77777777" w:rsidR="00FB44F5" w:rsidRDefault="00FB44F5" w:rsidP="002A37BB">
            <w:pPr>
              <w:jc w:val="both"/>
              <w:rPr>
                <w:rFonts w:ascii="Arial" w:hAnsi="Arial" w:cs="Arial"/>
                <w:color w:val="7B7B7B" w:themeColor="accent3" w:themeShade="BF"/>
                <w:sz w:val="22"/>
                <w:szCs w:val="22"/>
                <w:lang w:val="en-GB"/>
              </w:rPr>
            </w:pPr>
          </w:p>
          <w:p w14:paraId="68D5597B" w14:textId="102E441E" w:rsidR="00FB44F5" w:rsidRPr="00AD056D" w:rsidRDefault="00FB44F5" w:rsidP="002A37BB">
            <w:pPr>
              <w:jc w:val="both"/>
              <w:rPr>
                <w:rFonts w:ascii="Arial" w:hAnsi="Arial" w:cs="Arial"/>
                <w:color w:val="7B7B7B" w:themeColor="accent3" w:themeShade="BF"/>
                <w:sz w:val="22"/>
                <w:szCs w:val="22"/>
                <w:lang w:val="en-GB"/>
              </w:rPr>
            </w:pPr>
            <w:r w:rsidRPr="00FB44F5">
              <w:rPr>
                <w:rFonts w:ascii="Arial" w:hAnsi="Arial" w:cs="Arial"/>
                <w:color w:val="7B7B7B" w:themeColor="accent3" w:themeShade="BF"/>
                <w:sz w:val="22"/>
                <w:szCs w:val="22"/>
                <w:lang w:val="en-GB"/>
              </w:rPr>
              <w:t>This instrument can be used when in the main proceeding a temporary stay of individual enforcem</w:t>
            </w:r>
            <w:r>
              <w:rPr>
                <w:rFonts w:ascii="Arial" w:hAnsi="Arial" w:cs="Arial"/>
                <w:color w:val="7B7B7B" w:themeColor="accent3" w:themeShade="BF"/>
                <w:sz w:val="22"/>
                <w:szCs w:val="22"/>
                <w:lang w:val="en-GB"/>
              </w:rPr>
              <w:t xml:space="preserve">ent proceeding has been granted </w:t>
            </w:r>
            <w:sdt>
              <w:sdtPr>
                <w:rPr>
                  <w:rFonts w:ascii="Arial" w:hAnsi="Arial" w:cs="Arial"/>
                  <w:color w:val="7B7B7B" w:themeColor="accent3" w:themeShade="BF"/>
                  <w:sz w:val="22"/>
                  <w:szCs w:val="22"/>
                  <w:lang w:val="en-GB"/>
                </w:rPr>
                <w:id w:val="1555345587"/>
                <w:citation/>
              </w:sdtPr>
              <w:sdtEndPr/>
              <w:sdtContent>
                <w:r>
                  <w:rPr>
                    <w:rFonts w:ascii="Arial" w:hAnsi="Arial" w:cs="Arial"/>
                    <w:color w:val="7B7B7B" w:themeColor="accent3" w:themeShade="BF"/>
                    <w:sz w:val="22"/>
                    <w:szCs w:val="22"/>
                    <w:lang w:val="en-GB"/>
                  </w:rPr>
                  <w:fldChar w:fldCharType="begin"/>
                </w:r>
                <w:r w:rsidRPr="00B57804">
                  <w:rPr>
                    <w:rFonts w:ascii="Arial" w:hAnsi="Arial" w:cs="Arial"/>
                    <w:color w:val="7B7B7B" w:themeColor="accent3" w:themeShade="BF"/>
                    <w:sz w:val="22"/>
                    <w:szCs w:val="22"/>
                    <w:lang w:val="en-GB"/>
                  </w:rPr>
                  <w:instrText xml:space="preserve"> CITATION Wes20 \l 3082 </w:instrText>
                </w:r>
                <w:r>
                  <w:rPr>
                    <w:rFonts w:ascii="Arial" w:hAnsi="Arial" w:cs="Arial"/>
                    <w:color w:val="7B7B7B" w:themeColor="accent3" w:themeShade="BF"/>
                    <w:sz w:val="22"/>
                    <w:szCs w:val="22"/>
                    <w:lang w:val="en-GB"/>
                  </w:rPr>
                  <w:fldChar w:fldCharType="separate"/>
                </w:r>
                <w:r w:rsidRPr="00B57804">
                  <w:rPr>
                    <w:rFonts w:ascii="Arial" w:hAnsi="Arial" w:cs="Arial"/>
                    <w:color w:val="7B7B7B" w:themeColor="accent3" w:themeShade="BF"/>
                    <w:sz w:val="22"/>
                    <w:szCs w:val="22"/>
                    <w:lang w:val="en-GB"/>
                  </w:rPr>
                  <w:t>(Wessels &amp; Kokorin,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tc>
      </w:tr>
    </w:tbl>
    <w:p w14:paraId="115A9259" w14:textId="4EEEA7EC" w:rsidR="00DD47EF" w:rsidRDefault="00DD47EF" w:rsidP="002A37BB">
      <w:pPr>
        <w:jc w:val="both"/>
        <w:rPr>
          <w:rFonts w:ascii="Arial" w:hAnsi="Arial" w:cs="Arial"/>
          <w:sz w:val="22"/>
          <w:szCs w:val="22"/>
        </w:rPr>
      </w:pPr>
    </w:p>
    <w:p w14:paraId="321358EA" w14:textId="77AF5520"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3BD030BA" w14:textId="79CD2575" w:rsidR="002C0EF4" w:rsidRDefault="002C0EF4" w:rsidP="002C0EF4">
      <w:pPr>
        <w:ind w:left="720" w:hanging="720"/>
        <w:jc w:val="both"/>
        <w:rPr>
          <w:rFonts w:ascii="Arial" w:hAnsi="Arial" w:cs="Arial"/>
          <w:color w:val="7B7B7B" w:themeColor="accent3" w:themeShade="BF"/>
          <w:sz w:val="22"/>
          <w:szCs w:val="22"/>
          <w:lang w:val="en-GB"/>
        </w:rPr>
      </w:pPr>
      <w:r w:rsidRPr="002C0EF4">
        <w:rPr>
          <w:rFonts w:ascii="Arial" w:hAnsi="Arial" w:cs="Arial"/>
          <w:color w:val="7B7B7B" w:themeColor="accent3" w:themeShade="BF"/>
          <w:sz w:val="22"/>
          <w:szCs w:val="22"/>
          <w:lang w:val="en-GB"/>
        </w:rPr>
        <w:t xml:space="preserve">First, it </w:t>
      </w:r>
      <w:r>
        <w:rPr>
          <w:rFonts w:ascii="Arial" w:hAnsi="Arial" w:cs="Arial"/>
          <w:color w:val="7B7B7B" w:themeColor="accent3" w:themeShade="BF"/>
          <w:sz w:val="22"/>
          <w:szCs w:val="22"/>
          <w:lang w:val="en-GB"/>
        </w:rPr>
        <w:t>is pertinent to highlight</w:t>
      </w:r>
      <w:r w:rsidRPr="002C0EF4">
        <w:rPr>
          <w:rFonts w:ascii="Arial" w:hAnsi="Arial" w:cs="Arial"/>
          <w:color w:val="7B7B7B" w:themeColor="accent3" w:themeShade="BF"/>
          <w:sz w:val="22"/>
          <w:szCs w:val="22"/>
          <w:lang w:val="en-GB"/>
        </w:rPr>
        <w:t xml:space="preserve"> that the recommendation </w:t>
      </w:r>
      <w:r w:rsidR="00F514F9">
        <w:rPr>
          <w:rFonts w:ascii="Arial" w:hAnsi="Arial" w:cs="Arial"/>
          <w:color w:val="7B7B7B" w:themeColor="accent3" w:themeShade="BF"/>
          <w:sz w:val="22"/>
          <w:szCs w:val="22"/>
          <w:lang w:val="en-GB"/>
        </w:rPr>
        <w:t xml:space="preserve">of </w:t>
      </w:r>
      <w:r w:rsidR="00F514F9" w:rsidRPr="002C0EF4">
        <w:rPr>
          <w:rFonts w:ascii="Arial" w:hAnsi="Arial" w:cs="Arial"/>
          <w:color w:val="7B7B7B" w:themeColor="accent3" w:themeShade="BF"/>
          <w:sz w:val="22"/>
          <w:szCs w:val="22"/>
          <w:lang w:val="en-GB"/>
        </w:rPr>
        <w:t>the</w:t>
      </w:r>
      <w:r w:rsidRPr="002C0EF4">
        <w:rPr>
          <w:rFonts w:ascii="Arial" w:hAnsi="Arial" w:cs="Arial"/>
          <w:color w:val="7B7B7B" w:themeColor="accent3" w:themeShade="BF"/>
          <w:sz w:val="22"/>
          <w:szCs w:val="22"/>
          <w:lang w:val="en-GB"/>
        </w:rPr>
        <w:t xml:space="preserve"> European Commission is based on article 46 of the EIR of 2000. In accordance with the aforementioned provision, by </w:t>
      </w:r>
      <w:r w:rsidRPr="002C0EF4">
        <w:rPr>
          <w:rFonts w:ascii="Arial" w:hAnsi="Arial" w:cs="Arial"/>
          <w:color w:val="7B7B7B" w:themeColor="accent3" w:themeShade="BF"/>
          <w:sz w:val="22"/>
          <w:szCs w:val="22"/>
          <w:lang w:val="en-GB"/>
        </w:rPr>
        <w:lastRenderedPageBreak/>
        <w:t>June 1, 2012, the European Commission was obligated to submit a report on the application of the provisions contained in the EIR 2000. The purpose of this analysis was to determine the necessary modificat</w:t>
      </w:r>
      <w:r w:rsidR="00727C75">
        <w:rPr>
          <w:rFonts w:ascii="Arial" w:hAnsi="Arial" w:cs="Arial"/>
          <w:color w:val="7B7B7B" w:themeColor="accent3" w:themeShade="BF"/>
          <w:sz w:val="22"/>
          <w:szCs w:val="22"/>
          <w:lang w:val="en-GB"/>
        </w:rPr>
        <w:t xml:space="preserve">ions to be made to the EIR 2000 </w:t>
      </w:r>
      <w:sdt>
        <w:sdtPr>
          <w:rPr>
            <w:rFonts w:ascii="Arial" w:hAnsi="Arial" w:cs="Arial"/>
            <w:color w:val="7B7B7B" w:themeColor="accent3" w:themeShade="BF"/>
            <w:sz w:val="22"/>
            <w:szCs w:val="22"/>
            <w:lang w:val="en-GB"/>
          </w:rPr>
          <w:id w:val="2119715032"/>
          <w:citation/>
        </w:sdtPr>
        <w:sdtEndPr/>
        <w:sdtContent>
          <w:r w:rsidR="00727C75">
            <w:rPr>
              <w:rFonts w:ascii="Arial" w:hAnsi="Arial" w:cs="Arial"/>
              <w:color w:val="7B7B7B" w:themeColor="accent3" w:themeShade="BF"/>
              <w:sz w:val="22"/>
              <w:szCs w:val="22"/>
              <w:lang w:val="en-GB"/>
            </w:rPr>
            <w:fldChar w:fldCharType="begin"/>
          </w:r>
          <w:r w:rsidR="00727C75" w:rsidRPr="00B57804">
            <w:rPr>
              <w:rFonts w:ascii="Arial" w:hAnsi="Arial" w:cs="Arial"/>
              <w:color w:val="7B7B7B" w:themeColor="accent3" w:themeShade="BF"/>
              <w:sz w:val="22"/>
              <w:szCs w:val="22"/>
              <w:lang w:val="en-GB"/>
            </w:rPr>
            <w:instrText xml:space="preserve"> CITATION Wes20 \l 3082 </w:instrText>
          </w:r>
          <w:r w:rsidR="00727C75">
            <w:rPr>
              <w:rFonts w:ascii="Arial" w:hAnsi="Arial" w:cs="Arial"/>
              <w:color w:val="7B7B7B" w:themeColor="accent3" w:themeShade="BF"/>
              <w:sz w:val="22"/>
              <w:szCs w:val="22"/>
              <w:lang w:val="en-GB"/>
            </w:rPr>
            <w:fldChar w:fldCharType="separate"/>
          </w:r>
          <w:r w:rsidR="00727C75" w:rsidRPr="00B57804">
            <w:rPr>
              <w:rFonts w:ascii="Arial" w:hAnsi="Arial" w:cs="Arial"/>
              <w:color w:val="7B7B7B" w:themeColor="accent3" w:themeShade="BF"/>
              <w:sz w:val="22"/>
              <w:szCs w:val="22"/>
              <w:lang w:val="en-GB"/>
            </w:rPr>
            <w:t>(Wessels &amp; Kokorin, 2020)</w:t>
          </w:r>
          <w:r w:rsidR="00727C75">
            <w:rPr>
              <w:rFonts w:ascii="Arial" w:hAnsi="Arial" w:cs="Arial"/>
              <w:color w:val="7B7B7B" w:themeColor="accent3" w:themeShade="BF"/>
              <w:sz w:val="22"/>
              <w:szCs w:val="22"/>
              <w:lang w:val="en-GB"/>
            </w:rPr>
            <w:fldChar w:fldCharType="end"/>
          </w:r>
        </w:sdtContent>
      </w:sdt>
      <w:r w:rsidR="00727C75">
        <w:rPr>
          <w:rFonts w:ascii="Arial" w:hAnsi="Arial" w:cs="Arial"/>
          <w:color w:val="7B7B7B" w:themeColor="accent3" w:themeShade="BF"/>
          <w:sz w:val="22"/>
          <w:szCs w:val="22"/>
          <w:lang w:val="en-GB"/>
        </w:rPr>
        <w:t>.</w:t>
      </w:r>
    </w:p>
    <w:p w14:paraId="7389A85F" w14:textId="68D278A8" w:rsidR="00F514F9" w:rsidRDefault="00F514F9" w:rsidP="002C0EF4">
      <w:pPr>
        <w:ind w:left="720" w:hanging="720"/>
        <w:jc w:val="both"/>
        <w:rPr>
          <w:rFonts w:ascii="Arial" w:hAnsi="Arial" w:cs="Arial"/>
          <w:color w:val="7B7B7B" w:themeColor="accent3" w:themeShade="BF"/>
          <w:sz w:val="22"/>
          <w:szCs w:val="22"/>
          <w:lang w:val="en-GB"/>
        </w:rPr>
      </w:pPr>
    </w:p>
    <w:p w14:paraId="516A95D9" w14:textId="6A837FEA" w:rsidR="00727C75" w:rsidRDefault="00E968FB" w:rsidP="00E968FB">
      <w:pPr>
        <w:ind w:left="720" w:hanging="720"/>
        <w:jc w:val="both"/>
        <w:rPr>
          <w:rFonts w:ascii="Arial" w:hAnsi="Arial" w:cs="Arial"/>
          <w:color w:val="7B7B7B" w:themeColor="accent3" w:themeShade="BF"/>
          <w:sz w:val="22"/>
          <w:szCs w:val="22"/>
          <w:lang w:val="en-GB"/>
        </w:rPr>
      </w:pPr>
      <w:r w:rsidRPr="00E968FB">
        <w:rPr>
          <w:rFonts w:ascii="Arial" w:hAnsi="Arial" w:cs="Arial"/>
          <w:color w:val="7B7B7B" w:themeColor="accent3" w:themeShade="BF"/>
          <w:sz w:val="22"/>
          <w:szCs w:val="22"/>
          <w:lang w:val="en-GB"/>
        </w:rPr>
        <w:t>In its report, the European Commission concluded that, although in general terms the regulation was functioning well, it was desirable to improve the regulation to achieve a better way to perform the administratio</w:t>
      </w:r>
      <w:r>
        <w:rPr>
          <w:rFonts w:ascii="Arial" w:hAnsi="Arial" w:cs="Arial"/>
          <w:color w:val="7B7B7B" w:themeColor="accent3" w:themeShade="BF"/>
          <w:sz w:val="22"/>
          <w:szCs w:val="22"/>
          <w:lang w:val="en-GB"/>
        </w:rPr>
        <w:t xml:space="preserve">n of cross-border proceedings. </w:t>
      </w:r>
      <w:r w:rsidRPr="00E968FB">
        <w:rPr>
          <w:rFonts w:ascii="Arial" w:hAnsi="Arial" w:cs="Arial"/>
          <w:color w:val="7B7B7B" w:themeColor="accent3" w:themeShade="BF"/>
          <w:sz w:val="22"/>
          <w:szCs w:val="22"/>
          <w:lang w:val="en-GB"/>
        </w:rPr>
        <w:t>Additionally, the initiative to create a new regulatory body arose due to the multip</w:t>
      </w:r>
      <w:r>
        <w:rPr>
          <w:rFonts w:ascii="Arial" w:hAnsi="Arial" w:cs="Arial"/>
          <w:color w:val="7B7B7B" w:themeColor="accent3" w:themeShade="BF"/>
          <w:sz w:val="22"/>
          <w:szCs w:val="22"/>
          <w:lang w:val="en-GB"/>
        </w:rPr>
        <w:t xml:space="preserve">le reforms made to the EIR 2000 </w:t>
      </w:r>
      <w:sdt>
        <w:sdtPr>
          <w:rPr>
            <w:rFonts w:ascii="Arial" w:hAnsi="Arial" w:cs="Arial"/>
            <w:color w:val="7B7B7B" w:themeColor="accent3" w:themeShade="BF"/>
            <w:sz w:val="22"/>
            <w:szCs w:val="22"/>
            <w:lang w:val="en-GB"/>
          </w:rPr>
          <w:id w:val="1450199939"/>
          <w:citation/>
        </w:sdtPr>
        <w:sdtEndPr/>
        <w:sdtContent>
          <w:r>
            <w:rPr>
              <w:rFonts w:ascii="Arial" w:hAnsi="Arial" w:cs="Arial"/>
              <w:color w:val="7B7B7B" w:themeColor="accent3" w:themeShade="BF"/>
              <w:sz w:val="22"/>
              <w:szCs w:val="22"/>
              <w:lang w:val="en-GB"/>
            </w:rPr>
            <w:fldChar w:fldCharType="begin"/>
          </w:r>
          <w:r w:rsidRPr="00B57804">
            <w:rPr>
              <w:rFonts w:ascii="Arial" w:hAnsi="Arial" w:cs="Arial"/>
              <w:color w:val="7B7B7B" w:themeColor="accent3" w:themeShade="BF"/>
              <w:sz w:val="22"/>
              <w:szCs w:val="22"/>
              <w:lang w:val="en-GB"/>
            </w:rPr>
            <w:instrText xml:space="preserve"> CITATION Wes20 \l 3082 </w:instrText>
          </w:r>
          <w:r>
            <w:rPr>
              <w:rFonts w:ascii="Arial" w:hAnsi="Arial" w:cs="Arial"/>
              <w:color w:val="7B7B7B" w:themeColor="accent3" w:themeShade="BF"/>
              <w:sz w:val="22"/>
              <w:szCs w:val="22"/>
              <w:lang w:val="en-GB"/>
            </w:rPr>
            <w:fldChar w:fldCharType="separate"/>
          </w:r>
          <w:r w:rsidRPr="00B57804">
            <w:rPr>
              <w:rFonts w:ascii="Arial" w:hAnsi="Arial" w:cs="Arial"/>
              <w:color w:val="7B7B7B" w:themeColor="accent3" w:themeShade="BF"/>
              <w:sz w:val="22"/>
              <w:szCs w:val="22"/>
              <w:lang w:val="en-GB"/>
            </w:rPr>
            <w:t>(Wessels &amp; Kokorin,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51CF18EF" w14:textId="07C23FD4" w:rsidR="00E968FB" w:rsidRDefault="00E968FB" w:rsidP="00E968FB">
      <w:pPr>
        <w:ind w:left="720" w:hanging="720"/>
        <w:jc w:val="both"/>
        <w:rPr>
          <w:rFonts w:ascii="Arial" w:hAnsi="Arial" w:cs="Arial"/>
          <w:color w:val="7B7B7B" w:themeColor="accent3" w:themeShade="BF"/>
          <w:sz w:val="22"/>
          <w:szCs w:val="22"/>
          <w:lang w:val="en-GB"/>
        </w:rPr>
      </w:pPr>
    </w:p>
    <w:p w14:paraId="42176BFA" w14:textId="098F7E80" w:rsidR="00E968FB" w:rsidRPr="005D4F52" w:rsidRDefault="005D4F52" w:rsidP="005D4F52">
      <w:pPr>
        <w:ind w:left="720" w:hanging="720"/>
        <w:jc w:val="both"/>
        <w:rPr>
          <w:rFonts w:ascii="Arial" w:hAnsi="Arial" w:cs="Arial"/>
          <w:color w:val="7B7B7B" w:themeColor="accent3" w:themeShade="BF"/>
          <w:sz w:val="22"/>
          <w:szCs w:val="22"/>
          <w:lang w:val="en-GB"/>
        </w:rPr>
      </w:pPr>
      <w:r w:rsidRPr="005D4F52">
        <w:rPr>
          <w:rFonts w:ascii="Arial" w:hAnsi="Arial" w:cs="Arial"/>
          <w:color w:val="7B7B7B" w:themeColor="accent3" w:themeShade="BF"/>
          <w:sz w:val="22"/>
          <w:szCs w:val="22"/>
          <w:lang w:val="en-GB"/>
        </w:rPr>
        <w:t>By virtue of the above, it is possible to conclude that the report presented by the European Commission was the backbone of EIR Recast since it provided a vision of the ideal regulation that was required.</w:t>
      </w:r>
    </w:p>
    <w:p w14:paraId="4A637290" w14:textId="04B7AB35" w:rsidR="00544127" w:rsidRPr="002C0EF4" w:rsidRDefault="00544127" w:rsidP="005D4F52">
      <w:pPr>
        <w:jc w:val="both"/>
        <w:rPr>
          <w:rFonts w:ascii="Arial" w:hAnsi="Arial" w:cs="Arial"/>
          <w:sz w:val="22"/>
          <w:szCs w:val="22"/>
          <w:lang w:val="en-GB"/>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2AFADABE" w14:textId="3E0E8BFC" w:rsidR="0035405E" w:rsidRPr="00FC58F4" w:rsidRDefault="0035405E" w:rsidP="00FC58F4">
      <w:pPr>
        <w:pStyle w:val="Prrafodelista"/>
        <w:numPr>
          <w:ilvl w:val="0"/>
          <w:numId w:val="15"/>
        </w:numPr>
        <w:jc w:val="both"/>
        <w:rPr>
          <w:rFonts w:ascii="Arial" w:hAnsi="Arial" w:cs="Arial"/>
          <w:color w:val="7B7B7B" w:themeColor="accent3" w:themeShade="BF"/>
          <w:sz w:val="22"/>
          <w:szCs w:val="22"/>
          <w:lang w:val="en-GB"/>
        </w:rPr>
      </w:pPr>
      <w:r w:rsidRPr="0035405E">
        <w:rPr>
          <w:rFonts w:ascii="Arial" w:hAnsi="Arial" w:cs="Arial"/>
          <w:b/>
          <w:color w:val="7B7B7B" w:themeColor="accent3" w:themeShade="BF"/>
          <w:sz w:val="22"/>
          <w:szCs w:val="22"/>
          <w:lang w:val="en-GB"/>
        </w:rPr>
        <w:t>Communication and co-operation</w:t>
      </w:r>
      <w:r>
        <w:rPr>
          <w:rFonts w:ascii="Arial" w:hAnsi="Arial" w:cs="Arial"/>
          <w:color w:val="7B7B7B" w:themeColor="accent3" w:themeShade="BF"/>
          <w:sz w:val="22"/>
          <w:szCs w:val="22"/>
          <w:lang w:val="en-GB"/>
        </w:rPr>
        <w:t xml:space="preserve">: </w:t>
      </w:r>
      <w:r w:rsidRPr="0035405E">
        <w:rPr>
          <w:rFonts w:ascii="Arial" w:hAnsi="Arial" w:cs="Arial"/>
          <w:color w:val="7B7B7B" w:themeColor="accent3" w:themeShade="BF"/>
          <w:sz w:val="22"/>
          <w:szCs w:val="22"/>
          <w:lang w:val="en-GB"/>
        </w:rPr>
        <w:t>EIR Recast introduce</w:t>
      </w:r>
      <w:r w:rsidR="000F3F8D">
        <w:rPr>
          <w:rFonts w:ascii="Arial" w:hAnsi="Arial" w:cs="Arial"/>
          <w:color w:val="7B7B7B" w:themeColor="accent3" w:themeShade="BF"/>
          <w:sz w:val="22"/>
          <w:szCs w:val="22"/>
          <w:lang w:val="en-GB"/>
        </w:rPr>
        <w:t>d</w:t>
      </w:r>
      <w:r w:rsidRPr="0035405E">
        <w:rPr>
          <w:rFonts w:ascii="Arial" w:hAnsi="Arial" w:cs="Arial"/>
          <w:color w:val="7B7B7B" w:themeColor="accent3" w:themeShade="BF"/>
          <w:sz w:val="22"/>
          <w:szCs w:val="22"/>
          <w:lang w:val="en-GB"/>
        </w:rPr>
        <w:t xml:space="preserve"> several provisions that broaden the scope of communication and cooperation between </w:t>
      </w:r>
      <w:r w:rsidR="00D95FA2">
        <w:rPr>
          <w:rFonts w:ascii="Arial" w:hAnsi="Arial" w:cs="Arial"/>
          <w:color w:val="7B7B7B" w:themeColor="accent3" w:themeShade="BF"/>
          <w:sz w:val="22"/>
          <w:szCs w:val="22"/>
          <w:lang w:val="en-GB"/>
        </w:rPr>
        <w:t xml:space="preserve">the </w:t>
      </w:r>
      <w:r w:rsidRPr="0035405E">
        <w:rPr>
          <w:rFonts w:ascii="Arial" w:hAnsi="Arial" w:cs="Arial"/>
          <w:color w:val="7B7B7B" w:themeColor="accent3" w:themeShade="BF"/>
          <w:sz w:val="22"/>
          <w:szCs w:val="22"/>
          <w:lang w:val="en-GB"/>
        </w:rPr>
        <w:t>parties involved in the insolvency proceedings of the same debtor</w:t>
      </w:r>
      <w:r w:rsidR="008A33B3">
        <w:rPr>
          <w:rFonts w:ascii="Arial" w:hAnsi="Arial" w:cs="Arial"/>
          <w:color w:val="7B7B7B" w:themeColor="accent3" w:themeShade="BF"/>
          <w:sz w:val="22"/>
          <w:szCs w:val="22"/>
          <w:lang w:val="en-GB"/>
        </w:rPr>
        <w:t xml:space="preserve"> (Wessels &amp; Kokorin, 2020)</w:t>
      </w:r>
      <w:r w:rsidRPr="0035405E">
        <w:rPr>
          <w:rFonts w:ascii="Arial" w:hAnsi="Arial" w:cs="Arial"/>
          <w:color w:val="7B7B7B" w:themeColor="accent3" w:themeShade="BF"/>
          <w:sz w:val="22"/>
          <w:szCs w:val="22"/>
          <w:lang w:val="en-GB"/>
        </w:rPr>
        <w:t xml:space="preserve">. </w:t>
      </w:r>
      <w:r w:rsidR="00D95FA2">
        <w:rPr>
          <w:rFonts w:ascii="Arial" w:hAnsi="Arial" w:cs="Arial"/>
          <w:color w:val="7B7B7B" w:themeColor="accent3" w:themeShade="BF"/>
          <w:sz w:val="22"/>
          <w:szCs w:val="22"/>
          <w:lang w:val="en-GB"/>
        </w:rPr>
        <w:t>The above-mentioned because</w:t>
      </w:r>
      <w:r w:rsidRPr="0035405E">
        <w:rPr>
          <w:rFonts w:ascii="Arial" w:hAnsi="Arial" w:cs="Arial"/>
          <w:color w:val="7B7B7B" w:themeColor="accent3" w:themeShade="BF"/>
          <w:sz w:val="22"/>
          <w:szCs w:val="22"/>
          <w:lang w:val="en-GB"/>
        </w:rPr>
        <w:t xml:space="preserve"> the provisions contained in the EIR 2000 were insufficient</w:t>
      </w:r>
      <w:r w:rsidR="00D95FA2">
        <w:rPr>
          <w:rFonts w:ascii="Arial" w:hAnsi="Arial" w:cs="Arial"/>
          <w:color w:val="7B7B7B" w:themeColor="accent3" w:themeShade="BF"/>
          <w:sz w:val="22"/>
          <w:szCs w:val="22"/>
          <w:lang w:val="en-GB"/>
        </w:rPr>
        <w:t xml:space="preserve">, and a </w:t>
      </w:r>
      <w:r w:rsidRPr="0035405E">
        <w:rPr>
          <w:rFonts w:ascii="Arial" w:hAnsi="Arial" w:cs="Arial"/>
          <w:color w:val="7B7B7B" w:themeColor="accent3" w:themeShade="BF"/>
          <w:sz w:val="22"/>
          <w:szCs w:val="22"/>
          <w:lang w:val="en-GB"/>
        </w:rPr>
        <w:t xml:space="preserve">proper administration and realization of the assets require fluid communication and cooperation between the </w:t>
      </w:r>
      <w:r w:rsidRPr="008A33B3">
        <w:rPr>
          <w:rFonts w:ascii="Arial" w:hAnsi="Arial" w:cs="Arial"/>
          <w:color w:val="7B7B7B" w:themeColor="accent3" w:themeShade="BF"/>
          <w:sz w:val="22"/>
          <w:szCs w:val="22"/>
          <w:u w:val="single"/>
          <w:lang w:val="en-GB"/>
        </w:rPr>
        <w:t>courts</w:t>
      </w:r>
      <w:r w:rsidRPr="0035405E">
        <w:rPr>
          <w:rFonts w:ascii="Arial" w:hAnsi="Arial" w:cs="Arial"/>
          <w:color w:val="7B7B7B" w:themeColor="accent3" w:themeShade="BF"/>
          <w:sz w:val="22"/>
          <w:szCs w:val="22"/>
          <w:lang w:val="en-GB"/>
        </w:rPr>
        <w:t xml:space="preserve"> and the </w:t>
      </w:r>
      <w:r w:rsidRPr="008A33B3">
        <w:rPr>
          <w:rFonts w:ascii="Arial" w:hAnsi="Arial" w:cs="Arial"/>
          <w:color w:val="7B7B7B" w:themeColor="accent3" w:themeShade="BF"/>
          <w:sz w:val="22"/>
          <w:szCs w:val="22"/>
          <w:u w:val="single"/>
          <w:lang w:val="en-GB"/>
        </w:rPr>
        <w:t>insolvency practitioners</w:t>
      </w:r>
      <w:r w:rsidRPr="0035405E">
        <w:rPr>
          <w:rFonts w:ascii="Arial" w:hAnsi="Arial" w:cs="Arial"/>
          <w:color w:val="7B7B7B" w:themeColor="accent3" w:themeShade="BF"/>
          <w:sz w:val="22"/>
          <w:szCs w:val="22"/>
          <w:lang w:val="en-GB"/>
        </w:rPr>
        <w:t>.</w:t>
      </w:r>
      <w:r w:rsidR="00FC58F4">
        <w:rPr>
          <w:rFonts w:ascii="Arial" w:hAnsi="Arial" w:cs="Arial"/>
          <w:color w:val="7B7B7B" w:themeColor="accent3" w:themeShade="BF"/>
          <w:sz w:val="22"/>
          <w:szCs w:val="22"/>
          <w:lang w:val="en-GB"/>
        </w:rPr>
        <w:t xml:space="preserve"> </w:t>
      </w:r>
      <w:r w:rsidR="00FC58F4" w:rsidRPr="00FC58F4">
        <w:rPr>
          <w:rFonts w:ascii="Arial" w:hAnsi="Arial" w:cs="Arial"/>
          <w:color w:val="7B7B7B" w:themeColor="accent3" w:themeShade="BF"/>
          <w:sz w:val="22"/>
          <w:szCs w:val="22"/>
          <w:lang w:val="en-GB"/>
        </w:rPr>
        <w:t>This is related to the fact that an efficient administration of insolvency proceedings requires a holistic view of the role played by each party and the contribution it makes from its position.</w:t>
      </w:r>
    </w:p>
    <w:p w14:paraId="622AB560" w14:textId="171209C9" w:rsidR="00D03761" w:rsidRPr="006E6E9B" w:rsidRDefault="006E6E9B" w:rsidP="006E6E9B">
      <w:pPr>
        <w:pStyle w:val="Prrafodelista"/>
        <w:numPr>
          <w:ilvl w:val="0"/>
          <w:numId w:val="15"/>
        </w:num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COMI</w:t>
      </w:r>
      <w:r w:rsidR="00D03761" w:rsidRPr="00D03761">
        <w:rPr>
          <w:rFonts w:ascii="Arial" w:hAnsi="Arial" w:cs="Arial"/>
          <w:color w:val="7B7B7B" w:themeColor="accent3" w:themeShade="BF"/>
          <w:sz w:val="22"/>
          <w:szCs w:val="22"/>
          <w:lang w:val="en-GB"/>
        </w:rPr>
        <w:t xml:space="preserve">: </w:t>
      </w:r>
      <w:r w:rsidRPr="006E6E9B">
        <w:rPr>
          <w:rFonts w:ascii="Arial" w:hAnsi="Arial" w:cs="Arial"/>
          <w:color w:val="7B7B7B" w:themeColor="accent3" w:themeShade="BF"/>
          <w:sz w:val="22"/>
          <w:szCs w:val="22"/>
          <w:lang w:val="en-GB"/>
        </w:rPr>
        <w:t>The determination of the COMI can be easily done thanks to the COMI´s presumptions established in EIR Recast. By virtue of the above, it is simpler and faster to point out the main proceeding b</w:t>
      </w:r>
      <w:r>
        <w:rPr>
          <w:rFonts w:ascii="Arial" w:hAnsi="Arial" w:cs="Arial"/>
          <w:color w:val="7B7B7B" w:themeColor="accent3" w:themeShade="BF"/>
          <w:sz w:val="22"/>
          <w:szCs w:val="22"/>
          <w:lang w:val="en-GB"/>
        </w:rPr>
        <w:t>y just following a set of rules (</w:t>
      </w:r>
      <w:r w:rsidR="00D03761" w:rsidRPr="006E6E9B">
        <w:rPr>
          <w:rFonts w:ascii="Arial" w:hAnsi="Arial" w:cs="Arial"/>
          <w:color w:val="7B7B7B" w:themeColor="accent3" w:themeShade="BF"/>
          <w:sz w:val="22"/>
          <w:szCs w:val="22"/>
          <w:lang w:val="en-GB"/>
        </w:rPr>
        <w:t>Wessels &amp; Kokorin, 2020).</w:t>
      </w:r>
    </w:p>
    <w:p w14:paraId="6C377FAF" w14:textId="77777777" w:rsidR="004C5035" w:rsidRDefault="0052579E" w:rsidP="004C5035">
      <w:pPr>
        <w:pStyle w:val="Prrafodelista"/>
        <w:numPr>
          <w:ilvl w:val="0"/>
          <w:numId w:val="15"/>
        </w:num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Synthetic proceedings</w:t>
      </w:r>
      <w:r w:rsidRPr="0052579E">
        <w:rPr>
          <w:rFonts w:ascii="Arial" w:hAnsi="Arial" w:cs="Arial"/>
          <w:color w:val="7B7B7B" w:themeColor="accent3" w:themeShade="BF"/>
          <w:sz w:val="22"/>
          <w:szCs w:val="22"/>
          <w:lang w:val="en-GB"/>
        </w:rPr>
        <w:t>:</w:t>
      </w:r>
      <w:r w:rsidR="004C5035">
        <w:rPr>
          <w:rFonts w:ascii="Arial" w:hAnsi="Arial" w:cs="Arial"/>
          <w:color w:val="7B7B7B" w:themeColor="accent3" w:themeShade="BF"/>
          <w:sz w:val="22"/>
          <w:szCs w:val="22"/>
          <w:lang w:val="en-GB"/>
        </w:rPr>
        <w:t xml:space="preserve"> </w:t>
      </w:r>
      <w:r w:rsidR="004C5035" w:rsidRPr="004C5035">
        <w:rPr>
          <w:rFonts w:ascii="Arial" w:hAnsi="Arial" w:cs="Arial"/>
          <w:color w:val="7B7B7B" w:themeColor="accent3" w:themeShade="BF"/>
          <w:sz w:val="22"/>
          <w:szCs w:val="22"/>
          <w:lang w:val="en-GB"/>
        </w:rPr>
        <w:t xml:space="preserve">This instrument stimulates a more efficient administration of insolvency proceedings taking into account that: </w:t>
      </w:r>
    </w:p>
    <w:p w14:paraId="634AC5CB" w14:textId="77777777" w:rsidR="004C5035" w:rsidRDefault="004C5035" w:rsidP="004C5035">
      <w:pPr>
        <w:pStyle w:val="Prrafodelista"/>
        <w:numPr>
          <w:ilvl w:val="1"/>
          <w:numId w:val="15"/>
        </w:numPr>
        <w:jc w:val="both"/>
        <w:rPr>
          <w:rFonts w:ascii="Arial" w:hAnsi="Arial" w:cs="Arial"/>
          <w:color w:val="7B7B7B" w:themeColor="accent3" w:themeShade="BF"/>
          <w:sz w:val="22"/>
          <w:szCs w:val="22"/>
          <w:lang w:val="en-GB"/>
        </w:rPr>
      </w:pPr>
      <w:r w:rsidRPr="004C5035">
        <w:rPr>
          <w:rFonts w:ascii="Arial" w:hAnsi="Arial" w:cs="Arial"/>
          <w:color w:val="7B7B7B" w:themeColor="accent3" w:themeShade="BF"/>
          <w:sz w:val="22"/>
          <w:szCs w:val="22"/>
          <w:lang w:val="en-GB"/>
        </w:rPr>
        <w:t>Acknowledges the need for a tool of such nature evidenced in several cases as</w:t>
      </w:r>
      <w:r>
        <w:rPr>
          <w:rFonts w:ascii="Arial" w:hAnsi="Arial" w:cs="Arial"/>
          <w:color w:val="7B7B7B" w:themeColor="accent3" w:themeShade="BF"/>
          <w:sz w:val="22"/>
          <w:szCs w:val="22"/>
          <w:lang w:val="en-GB"/>
        </w:rPr>
        <w:t xml:space="preserve"> Collins &amp; Aikman Europe S.A.</w:t>
      </w:r>
    </w:p>
    <w:p w14:paraId="42046BD9" w14:textId="1B0CBA21" w:rsidR="004C5035" w:rsidRDefault="004C5035" w:rsidP="004C5035">
      <w:pPr>
        <w:pStyle w:val="Prrafodelista"/>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4C5035">
        <w:rPr>
          <w:rFonts w:ascii="Arial" w:hAnsi="Arial" w:cs="Arial"/>
          <w:color w:val="7B7B7B" w:themeColor="accent3" w:themeShade="BF"/>
          <w:sz w:val="22"/>
          <w:szCs w:val="22"/>
          <w:lang w:val="en-GB"/>
        </w:rPr>
        <w:t>llows to centralized and control the de</w:t>
      </w:r>
      <w:r>
        <w:rPr>
          <w:rFonts w:ascii="Arial" w:hAnsi="Arial" w:cs="Arial"/>
          <w:color w:val="7B7B7B" w:themeColor="accent3" w:themeShade="BF"/>
          <w:sz w:val="22"/>
          <w:szCs w:val="22"/>
          <w:lang w:val="en-GB"/>
        </w:rPr>
        <w:t>cisions over the same debtor.</w:t>
      </w:r>
    </w:p>
    <w:p w14:paraId="5DD5790D" w14:textId="36FCC294" w:rsidR="0052579E" w:rsidRPr="008C48EB" w:rsidRDefault="004C5035" w:rsidP="004C5035">
      <w:pPr>
        <w:pStyle w:val="Prrafodelista"/>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M</w:t>
      </w:r>
      <w:r w:rsidRPr="004C5035">
        <w:rPr>
          <w:rFonts w:ascii="Arial" w:hAnsi="Arial" w:cs="Arial"/>
          <w:color w:val="7B7B7B" w:themeColor="accent3" w:themeShade="BF"/>
          <w:sz w:val="22"/>
          <w:szCs w:val="22"/>
          <w:lang w:val="en-GB"/>
        </w:rPr>
        <w:t>eets the needs of the "local" creditors by applying the relevant local insolvency laws regarding the distribution and priority rules.</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67A8293"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 xml:space="preserve">ow they can be </w:t>
      </w:r>
      <w:proofErr w:type="spellStart"/>
      <w:r w:rsidR="00980E61" w:rsidRPr="008500BD">
        <w:rPr>
          <w:rFonts w:ascii="Arial" w:hAnsi="Arial" w:cs="Arial"/>
          <w:sz w:val="22"/>
          <w:szCs w:val="22"/>
          <w:lang w:val="en-GB"/>
        </w:rPr>
        <w:t>cor</w:t>
      </w:r>
      <w:r w:rsidR="008C48EB">
        <w:rPr>
          <w:rFonts w:ascii="Arial" w:hAnsi="Arial" w:cs="Arial"/>
          <w:sz w:val="22"/>
          <w:szCs w:val="22"/>
          <w:lang w:val="en-GB"/>
        </w:rPr>
        <w:t>AC</w:t>
      </w:r>
      <w:r w:rsidR="00980E61" w:rsidRPr="008500BD">
        <w:rPr>
          <w:rFonts w:ascii="Arial" w:hAnsi="Arial" w:cs="Arial"/>
          <w:sz w:val="22"/>
          <w:szCs w:val="22"/>
          <w:lang w:val="en-GB"/>
        </w:rPr>
        <w:t>rected</w:t>
      </w:r>
      <w:proofErr w:type="spellEnd"/>
      <w:r w:rsidR="00980E61" w:rsidRPr="008500BD">
        <w:rPr>
          <w:rFonts w:ascii="Arial" w:hAnsi="Arial" w:cs="Arial"/>
          <w:sz w:val="22"/>
          <w:szCs w:val="22"/>
          <w:lang w:val="en-GB"/>
        </w:rPr>
        <w:t xml:space="preserve">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3C7D4DA9" w14:textId="00619B3D" w:rsidR="00722D25" w:rsidRDefault="00722D25" w:rsidP="00FE0088">
      <w:pPr>
        <w:ind w:left="720" w:hanging="720"/>
        <w:jc w:val="both"/>
        <w:rPr>
          <w:rFonts w:ascii="Arial" w:hAnsi="Arial" w:cs="Arial"/>
          <w:color w:val="7B7B7B" w:themeColor="accent3" w:themeShade="BF"/>
          <w:sz w:val="22"/>
          <w:szCs w:val="22"/>
          <w:lang w:val="en-GB"/>
        </w:rPr>
      </w:pPr>
      <w:r w:rsidRPr="00FE0088">
        <w:rPr>
          <w:rFonts w:ascii="Arial" w:hAnsi="Arial" w:cs="Arial"/>
          <w:b/>
          <w:color w:val="7B7B7B" w:themeColor="accent3" w:themeShade="BF"/>
          <w:sz w:val="22"/>
          <w:szCs w:val="22"/>
          <w:lang w:val="en-GB"/>
        </w:rPr>
        <w:t>Flaw No.1</w:t>
      </w:r>
      <w:r w:rsidRPr="00FE0088">
        <w:rPr>
          <w:rFonts w:ascii="Arial" w:hAnsi="Arial" w:cs="Arial"/>
          <w:color w:val="7B7B7B" w:themeColor="accent3" w:themeShade="BF"/>
          <w:sz w:val="22"/>
          <w:szCs w:val="22"/>
          <w:lang w:val="en-GB"/>
        </w:rPr>
        <w:t xml:space="preserve">: </w:t>
      </w:r>
      <w:r w:rsidR="00FE0088" w:rsidRPr="00FE0088">
        <w:rPr>
          <w:rFonts w:ascii="Arial" w:hAnsi="Arial" w:cs="Arial"/>
          <w:color w:val="7B7B7B" w:themeColor="accent3" w:themeShade="BF"/>
          <w:sz w:val="22"/>
          <w:szCs w:val="22"/>
          <w:lang w:val="en-GB"/>
        </w:rPr>
        <w:t>In the EIR Recast, no article defines in a proper way the concept of COMI. I believe this is an important omission because this term is the key to determine the main insolvency proceedings. Although the presumptions established in Article 3 are useful for the establishment of the COMI, the special relevance of this concept merited a precise definition in Article 2 to clarify any doubts in this regard.</w:t>
      </w:r>
      <w:r w:rsidR="00186457">
        <w:rPr>
          <w:rFonts w:ascii="Arial" w:hAnsi="Arial" w:cs="Arial"/>
          <w:color w:val="7B7B7B" w:themeColor="accent3" w:themeShade="BF"/>
          <w:sz w:val="22"/>
          <w:szCs w:val="22"/>
          <w:lang w:val="en-GB"/>
        </w:rPr>
        <w:t xml:space="preserve"> </w:t>
      </w:r>
      <w:r w:rsidR="00186457" w:rsidRPr="00186457">
        <w:rPr>
          <w:rFonts w:ascii="Arial" w:hAnsi="Arial" w:cs="Arial"/>
          <w:color w:val="7B7B7B" w:themeColor="accent3" w:themeShade="BF"/>
          <w:sz w:val="22"/>
          <w:szCs w:val="22"/>
          <w:lang w:val="en-GB"/>
        </w:rPr>
        <w:t>For the above reasons, I believe that this flaw can be fixed</w:t>
      </w:r>
      <w:r w:rsidR="00186457">
        <w:rPr>
          <w:rFonts w:ascii="Arial" w:hAnsi="Arial" w:cs="Arial"/>
          <w:color w:val="7B7B7B" w:themeColor="accent3" w:themeShade="BF"/>
          <w:sz w:val="22"/>
          <w:szCs w:val="22"/>
          <w:lang w:val="en-GB"/>
        </w:rPr>
        <w:t xml:space="preserve"> adding the COMI´s definition in article 2</w:t>
      </w:r>
      <w:r w:rsidR="00186457" w:rsidRPr="00186457">
        <w:rPr>
          <w:rFonts w:ascii="Arial" w:hAnsi="Arial" w:cs="Arial"/>
          <w:color w:val="7B7B7B" w:themeColor="accent3" w:themeShade="BF"/>
          <w:sz w:val="22"/>
          <w:szCs w:val="22"/>
          <w:lang w:val="en-GB"/>
        </w:rPr>
        <w:t>.</w:t>
      </w:r>
    </w:p>
    <w:p w14:paraId="1FB2353B" w14:textId="4DC7A794" w:rsidR="00641C9A" w:rsidRDefault="00641C9A" w:rsidP="00FE0088">
      <w:pPr>
        <w:ind w:left="720" w:hanging="720"/>
        <w:jc w:val="both"/>
        <w:rPr>
          <w:rFonts w:ascii="Arial" w:hAnsi="Arial" w:cs="Arial"/>
          <w:color w:val="7B7B7B" w:themeColor="accent3" w:themeShade="BF"/>
          <w:sz w:val="22"/>
          <w:szCs w:val="22"/>
          <w:lang w:val="en-GB"/>
        </w:rPr>
      </w:pPr>
    </w:p>
    <w:p w14:paraId="7F74C914" w14:textId="0BFCAF49" w:rsidR="00641C9A" w:rsidRPr="00FE0088" w:rsidRDefault="00641C9A" w:rsidP="00FE0088">
      <w:pPr>
        <w:ind w:left="720" w:hanging="720"/>
        <w:jc w:val="both"/>
        <w:rPr>
          <w:rFonts w:ascii="Arial" w:hAnsi="Arial" w:cs="Arial"/>
          <w:color w:val="7B7B7B" w:themeColor="accent3" w:themeShade="BF"/>
          <w:sz w:val="22"/>
          <w:szCs w:val="22"/>
          <w:lang w:val="en-GB"/>
        </w:rPr>
      </w:pPr>
      <w:r w:rsidRPr="00C65397">
        <w:rPr>
          <w:rFonts w:ascii="Arial" w:hAnsi="Arial" w:cs="Arial"/>
          <w:b/>
          <w:color w:val="7B7B7B" w:themeColor="accent3" w:themeShade="BF"/>
          <w:sz w:val="22"/>
          <w:szCs w:val="22"/>
          <w:lang w:val="en-GB"/>
        </w:rPr>
        <w:lastRenderedPageBreak/>
        <w:t>Flaw No.2</w:t>
      </w:r>
      <w:r>
        <w:rPr>
          <w:rFonts w:ascii="Arial" w:hAnsi="Arial" w:cs="Arial"/>
          <w:color w:val="7B7B7B" w:themeColor="accent3" w:themeShade="BF"/>
          <w:sz w:val="22"/>
          <w:szCs w:val="22"/>
          <w:lang w:val="en-GB"/>
        </w:rPr>
        <w:t>:</w:t>
      </w:r>
      <w:r w:rsidR="00652E37">
        <w:rPr>
          <w:rFonts w:ascii="Arial" w:hAnsi="Arial" w:cs="Arial"/>
          <w:color w:val="7B7B7B" w:themeColor="accent3" w:themeShade="BF"/>
          <w:sz w:val="22"/>
          <w:szCs w:val="22"/>
          <w:lang w:val="en-GB"/>
        </w:rPr>
        <w:t xml:space="preserve"> </w:t>
      </w:r>
      <w:r w:rsidR="00C65397" w:rsidRPr="00C65397">
        <w:rPr>
          <w:rFonts w:ascii="Arial" w:hAnsi="Arial" w:cs="Arial"/>
          <w:color w:val="7B7B7B" w:themeColor="accent3" w:themeShade="BF"/>
          <w:sz w:val="22"/>
          <w:szCs w:val="22"/>
          <w:lang w:val="en-GB"/>
        </w:rPr>
        <w:t>I considered that the data protection issues should be addressed by an independent regulation taking into account that this particular field changes rapidly and the EIR Recast was designed to last at least until 27 June 2027 (according to the review clause of article 90). In this sense, I consider that the most appropriate approach would be an open clause referring to the regulations in force on the issue</w:t>
      </w:r>
      <w:r w:rsidR="00C65397">
        <w:rPr>
          <w:rFonts w:ascii="Arial" w:hAnsi="Arial" w:cs="Arial"/>
          <w:color w:val="7B7B7B" w:themeColor="accent3" w:themeShade="BF"/>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792F8351" w14:textId="313FD14A" w:rsidR="00A97368" w:rsidRPr="00A97368" w:rsidRDefault="00A97368" w:rsidP="00A97368">
      <w:pPr>
        <w:jc w:val="both"/>
        <w:rPr>
          <w:rFonts w:ascii="Arial" w:hAnsi="Arial" w:cs="Arial"/>
          <w:color w:val="7B7B7B" w:themeColor="accent3" w:themeShade="BF"/>
          <w:sz w:val="22"/>
          <w:szCs w:val="22"/>
          <w:lang w:val="en-GB"/>
        </w:rPr>
      </w:pPr>
      <w:r w:rsidRPr="00A97368">
        <w:rPr>
          <w:rFonts w:ascii="Arial" w:hAnsi="Arial" w:cs="Arial"/>
          <w:color w:val="7B7B7B" w:themeColor="accent3" w:themeShade="BF"/>
          <w:sz w:val="22"/>
          <w:szCs w:val="22"/>
          <w:lang w:val="en-GB"/>
        </w:rPr>
        <w:t xml:space="preserve">To determine if the Strasbourg court has international jurisdiction over the safeguard, proceeding filed by PAJ it is necessary to answer the following questions: </w:t>
      </w:r>
    </w:p>
    <w:p w14:paraId="2ECDBF80" w14:textId="27A41101" w:rsidR="00A97368" w:rsidRPr="00A97368" w:rsidRDefault="00A97368" w:rsidP="00A97368">
      <w:pPr>
        <w:pStyle w:val="Prrafodelista"/>
        <w:numPr>
          <w:ilvl w:val="0"/>
          <w:numId w:val="1"/>
        </w:numPr>
        <w:jc w:val="both"/>
        <w:rPr>
          <w:rFonts w:ascii="Arial" w:hAnsi="Arial" w:cs="Arial"/>
          <w:b/>
          <w:color w:val="7B7B7B" w:themeColor="accent3" w:themeShade="BF"/>
          <w:sz w:val="22"/>
          <w:szCs w:val="22"/>
          <w:lang w:val="en-GB"/>
        </w:rPr>
      </w:pPr>
      <w:r w:rsidRPr="00A97368">
        <w:rPr>
          <w:rFonts w:ascii="Arial" w:hAnsi="Arial" w:cs="Arial"/>
          <w:b/>
          <w:color w:val="7B7B7B" w:themeColor="accent3" w:themeShade="BF"/>
          <w:sz w:val="22"/>
          <w:szCs w:val="22"/>
          <w:lang w:val="en-GB"/>
        </w:rPr>
        <w:t>¿Does the EIR 2000 apply in this case?</w:t>
      </w:r>
    </w:p>
    <w:p w14:paraId="26385BC1" w14:textId="65A772AA" w:rsidR="00A97368" w:rsidRPr="00A97368" w:rsidRDefault="00A97368" w:rsidP="00A97368">
      <w:pPr>
        <w:ind w:left="720"/>
        <w:jc w:val="both"/>
        <w:rPr>
          <w:rFonts w:ascii="Arial" w:hAnsi="Arial" w:cs="Arial"/>
          <w:color w:val="7B7B7B" w:themeColor="accent3" w:themeShade="BF"/>
          <w:sz w:val="22"/>
          <w:szCs w:val="22"/>
          <w:lang w:val="en-GB"/>
        </w:rPr>
      </w:pPr>
      <w:r w:rsidRPr="00A97368">
        <w:rPr>
          <w:rFonts w:ascii="Arial" w:hAnsi="Arial" w:cs="Arial"/>
          <w:color w:val="7B7B7B" w:themeColor="accent3" w:themeShade="BF"/>
          <w:sz w:val="22"/>
          <w:szCs w:val="22"/>
          <w:lang w:val="en-GB"/>
        </w:rPr>
        <w:t xml:space="preserve">In accordance with the information provided in the question, the EIR 2000 is the </w:t>
      </w:r>
      <w:r w:rsidR="00FC2BEC">
        <w:rPr>
          <w:rFonts w:ascii="Arial" w:hAnsi="Arial" w:cs="Arial"/>
          <w:color w:val="7B7B7B" w:themeColor="accent3" w:themeShade="BF"/>
          <w:sz w:val="22"/>
          <w:szCs w:val="22"/>
          <w:lang w:val="en-GB"/>
        </w:rPr>
        <w:t xml:space="preserve">applicable </w:t>
      </w:r>
      <w:r w:rsidRPr="00A97368">
        <w:rPr>
          <w:rFonts w:ascii="Arial" w:hAnsi="Arial" w:cs="Arial"/>
          <w:color w:val="7B7B7B" w:themeColor="accent3" w:themeShade="BF"/>
          <w:sz w:val="22"/>
          <w:szCs w:val="22"/>
          <w:lang w:val="en-GB"/>
        </w:rPr>
        <w:t xml:space="preserve">regulation </w:t>
      </w:r>
      <w:r w:rsidR="00FC2BEC">
        <w:rPr>
          <w:rFonts w:ascii="Arial" w:hAnsi="Arial" w:cs="Arial"/>
          <w:color w:val="7B7B7B" w:themeColor="accent3" w:themeShade="BF"/>
          <w:sz w:val="22"/>
          <w:szCs w:val="22"/>
          <w:lang w:val="en-GB"/>
        </w:rPr>
        <w:t xml:space="preserve">to </w:t>
      </w:r>
      <w:r w:rsidRPr="00A97368">
        <w:rPr>
          <w:rFonts w:ascii="Arial" w:hAnsi="Arial" w:cs="Arial"/>
          <w:color w:val="7B7B7B" w:themeColor="accent3" w:themeShade="BF"/>
          <w:sz w:val="22"/>
          <w:szCs w:val="22"/>
          <w:lang w:val="en-GB"/>
        </w:rPr>
        <w:t>the case.</w:t>
      </w:r>
    </w:p>
    <w:p w14:paraId="5B24D52D" w14:textId="0CFE16E9" w:rsidR="00A97368" w:rsidRPr="00A97368" w:rsidRDefault="00A97368" w:rsidP="00A97368">
      <w:pPr>
        <w:pStyle w:val="Prrafodelista"/>
        <w:numPr>
          <w:ilvl w:val="0"/>
          <w:numId w:val="1"/>
        </w:numPr>
        <w:jc w:val="both"/>
        <w:rPr>
          <w:rFonts w:ascii="Arial" w:hAnsi="Arial" w:cs="Arial"/>
          <w:b/>
          <w:color w:val="7B7B7B" w:themeColor="accent3" w:themeShade="BF"/>
          <w:sz w:val="22"/>
          <w:szCs w:val="22"/>
          <w:lang w:val="en-GB"/>
        </w:rPr>
      </w:pPr>
      <w:r w:rsidRPr="00A97368">
        <w:rPr>
          <w:rFonts w:ascii="Arial" w:hAnsi="Arial" w:cs="Arial"/>
          <w:b/>
          <w:color w:val="7B7B7B" w:themeColor="accent3" w:themeShade="BF"/>
          <w:sz w:val="22"/>
          <w:szCs w:val="22"/>
          <w:lang w:val="en-GB"/>
        </w:rPr>
        <w:t>¿Is the debtor excluded from the scope of application of the EIR 2000?</w:t>
      </w:r>
    </w:p>
    <w:p w14:paraId="2F1305ED" w14:textId="77777777" w:rsidR="00A97368" w:rsidRPr="00A97368" w:rsidRDefault="00A97368" w:rsidP="00A97368">
      <w:pPr>
        <w:ind w:left="720"/>
        <w:jc w:val="both"/>
        <w:rPr>
          <w:rFonts w:ascii="Arial" w:hAnsi="Arial" w:cs="Arial"/>
          <w:color w:val="7B7B7B" w:themeColor="accent3" w:themeShade="BF"/>
          <w:sz w:val="22"/>
          <w:szCs w:val="22"/>
          <w:lang w:val="en-GB"/>
        </w:rPr>
      </w:pPr>
      <w:r w:rsidRPr="00A97368">
        <w:rPr>
          <w:rFonts w:ascii="Arial" w:hAnsi="Arial" w:cs="Arial"/>
          <w:color w:val="7B7B7B" w:themeColor="accent3" w:themeShade="BF"/>
          <w:sz w:val="22"/>
          <w:szCs w:val="22"/>
          <w:lang w:val="en-GB"/>
        </w:rPr>
        <w:t>Under Recital 9 of the EIR 2000 and due to the activities developed by PAJ, it is possible to conclude that its insolvency proceeding is included in the scope of application of the EIR 2000.</w:t>
      </w:r>
    </w:p>
    <w:p w14:paraId="07D72221" w14:textId="0531084B" w:rsidR="00A97368" w:rsidRPr="00A97368" w:rsidRDefault="00A97368" w:rsidP="00A97368">
      <w:pPr>
        <w:pStyle w:val="Prrafodelista"/>
        <w:numPr>
          <w:ilvl w:val="0"/>
          <w:numId w:val="1"/>
        </w:numPr>
        <w:jc w:val="both"/>
        <w:rPr>
          <w:rFonts w:ascii="Arial" w:hAnsi="Arial" w:cs="Arial"/>
          <w:b/>
          <w:color w:val="7B7B7B" w:themeColor="accent3" w:themeShade="BF"/>
          <w:sz w:val="22"/>
          <w:szCs w:val="22"/>
          <w:lang w:val="en-GB"/>
        </w:rPr>
      </w:pPr>
      <w:r w:rsidRPr="00A97368">
        <w:rPr>
          <w:rFonts w:ascii="Arial" w:hAnsi="Arial" w:cs="Arial"/>
          <w:b/>
          <w:color w:val="7B7B7B" w:themeColor="accent3" w:themeShade="BF"/>
          <w:sz w:val="22"/>
          <w:szCs w:val="22"/>
          <w:lang w:val="en-GB"/>
        </w:rPr>
        <w:t>¿The proceeding is listed in Annex A of the EIR 2000?</w:t>
      </w:r>
    </w:p>
    <w:p w14:paraId="6344F4F9" w14:textId="21923684" w:rsidR="00A97368" w:rsidRDefault="00A97368" w:rsidP="00A97368">
      <w:pPr>
        <w:ind w:left="720"/>
        <w:jc w:val="both"/>
        <w:rPr>
          <w:rFonts w:ascii="Arial" w:hAnsi="Arial" w:cs="Arial"/>
          <w:color w:val="7B7B7B" w:themeColor="accent3" w:themeShade="BF"/>
          <w:sz w:val="22"/>
          <w:szCs w:val="22"/>
          <w:lang w:val="en-GB"/>
        </w:rPr>
      </w:pPr>
      <w:r w:rsidRPr="00A97368">
        <w:rPr>
          <w:rFonts w:ascii="Arial" w:hAnsi="Arial" w:cs="Arial"/>
          <w:color w:val="7B7B7B" w:themeColor="accent3" w:themeShade="BF"/>
          <w:sz w:val="22"/>
          <w:szCs w:val="22"/>
          <w:lang w:val="en-GB"/>
        </w:rPr>
        <w:t xml:space="preserve">Yes, the </w:t>
      </w:r>
      <w:proofErr w:type="spellStart"/>
      <w:r w:rsidRPr="00A97368">
        <w:rPr>
          <w:rFonts w:ascii="Arial" w:hAnsi="Arial" w:cs="Arial"/>
          <w:i/>
          <w:color w:val="7B7B7B" w:themeColor="accent3" w:themeShade="BF"/>
          <w:sz w:val="22"/>
          <w:szCs w:val="22"/>
          <w:lang w:val="en-GB"/>
        </w:rPr>
        <w:t>procédure</w:t>
      </w:r>
      <w:proofErr w:type="spellEnd"/>
      <w:r w:rsidRPr="00A97368">
        <w:rPr>
          <w:rFonts w:ascii="Arial" w:hAnsi="Arial" w:cs="Arial"/>
          <w:i/>
          <w:color w:val="7B7B7B" w:themeColor="accent3" w:themeShade="BF"/>
          <w:sz w:val="22"/>
          <w:szCs w:val="22"/>
          <w:lang w:val="en-GB"/>
        </w:rPr>
        <w:t xml:space="preserve"> de </w:t>
      </w:r>
      <w:proofErr w:type="spellStart"/>
      <w:r w:rsidRPr="00A97368">
        <w:rPr>
          <w:rFonts w:ascii="Arial" w:hAnsi="Arial" w:cs="Arial"/>
          <w:i/>
          <w:color w:val="7B7B7B" w:themeColor="accent3" w:themeShade="BF"/>
          <w:sz w:val="22"/>
          <w:szCs w:val="22"/>
          <w:lang w:val="en-GB"/>
        </w:rPr>
        <w:t>sauvegarde</w:t>
      </w:r>
      <w:proofErr w:type="spellEnd"/>
      <w:r w:rsidRPr="00A97368">
        <w:rPr>
          <w:rFonts w:ascii="Arial" w:hAnsi="Arial" w:cs="Arial"/>
          <w:color w:val="7B7B7B" w:themeColor="accent3" w:themeShade="BF"/>
          <w:sz w:val="22"/>
          <w:szCs w:val="22"/>
          <w:lang w:val="en-GB"/>
        </w:rPr>
        <w:t xml:space="preserve"> is included in Annex A of the EIR 2000. It is pertinent to highlight that the original version didn´t include such proceeding and it </w:t>
      </w:r>
      <w:r>
        <w:rPr>
          <w:rFonts w:ascii="Arial" w:hAnsi="Arial" w:cs="Arial"/>
          <w:color w:val="7B7B7B" w:themeColor="accent3" w:themeShade="BF"/>
          <w:sz w:val="22"/>
          <w:szCs w:val="22"/>
          <w:lang w:val="en-GB"/>
        </w:rPr>
        <w:t xml:space="preserve">was added through an amendment </w:t>
      </w:r>
      <w:sdt>
        <w:sdtPr>
          <w:rPr>
            <w:rFonts w:ascii="Arial" w:hAnsi="Arial" w:cs="Arial"/>
            <w:color w:val="7B7B7B" w:themeColor="accent3" w:themeShade="BF"/>
            <w:sz w:val="22"/>
            <w:szCs w:val="22"/>
            <w:lang w:val="en-GB"/>
          </w:rPr>
          <w:id w:val="6567945"/>
          <w:citation/>
        </w:sdtPr>
        <w:sdtEndPr/>
        <w:sdtContent>
          <w:r>
            <w:rPr>
              <w:rFonts w:ascii="Arial" w:hAnsi="Arial" w:cs="Arial"/>
              <w:color w:val="7B7B7B" w:themeColor="accent3" w:themeShade="BF"/>
              <w:sz w:val="22"/>
              <w:szCs w:val="22"/>
              <w:lang w:val="en-GB"/>
            </w:rPr>
            <w:fldChar w:fldCharType="begin"/>
          </w:r>
          <w:r w:rsidRPr="00A97368">
            <w:rPr>
              <w:rFonts w:ascii="Arial" w:hAnsi="Arial" w:cs="Arial"/>
              <w:color w:val="7B7B7B" w:themeColor="accent3" w:themeShade="BF"/>
              <w:sz w:val="22"/>
              <w:szCs w:val="22"/>
            </w:rPr>
            <w:instrText xml:space="preserve"> CITATION Pan11 \l 3082 </w:instrText>
          </w:r>
          <w:r>
            <w:rPr>
              <w:rFonts w:ascii="Arial" w:hAnsi="Arial" w:cs="Arial"/>
              <w:color w:val="7B7B7B" w:themeColor="accent3" w:themeShade="BF"/>
              <w:sz w:val="22"/>
              <w:szCs w:val="22"/>
              <w:lang w:val="en-GB"/>
            </w:rPr>
            <w:fldChar w:fldCharType="separate"/>
          </w:r>
          <w:r w:rsidRPr="00A97368">
            <w:rPr>
              <w:rFonts w:ascii="Arial" w:hAnsi="Arial" w:cs="Arial"/>
              <w:noProof/>
              <w:color w:val="7B7B7B" w:themeColor="accent3" w:themeShade="BF"/>
              <w:sz w:val="22"/>
              <w:szCs w:val="22"/>
            </w:rPr>
            <w:t>(Pannen, 2011)</w:t>
          </w:r>
          <w:r>
            <w:rPr>
              <w:rFonts w:ascii="Arial" w:hAnsi="Arial" w:cs="Arial"/>
              <w:color w:val="7B7B7B" w:themeColor="accent3" w:themeShade="BF"/>
              <w:sz w:val="22"/>
              <w:szCs w:val="22"/>
              <w:lang w:val="en-GB"/>
            </w:rPr>
            <w:fldChar w:fldCharType="end"/>
          </w:r>
        </w:sdtContent>
      </w:sdt>
      <w:r w:rsidR="00225EDC">
        <w:rPr>
          <w:rFonts w:ascii="Arial" w:hAnsi="Arial" w:cs="Arial"/>
          <w:color w:val="7B7B7B" w:themeColor="accent3" w:themeShade="BF"/>
          <w:sz w:val="22"/>
          <w:szCs w:val="22"/>
          <w:lang w:val="en-GB"/>
        </w:rPr>
        <w:t>.</w:t>
      </w:r>
    </w:p>
    <w:p w14:paraId="014239F4" w14:textId="23D14662" w:rsidR="00225EDC" w:rsidRDefault="00225EDC" w:rsidP="00A97368">
      <w:pPr>
        <w:ind w:left="720"/>
        <w:jc w:val="both"/>
        <w:rPr>
          <w:rFonts w:ascii="Arial" w:hAnsi="Arial" w:cs="Arial"/>
          <w:color w:val="7B7B7B" w:themeColor="accent3" w:themeShade="BF"/>
          <w:sz w:val="22"/>
          <w:szCs w:val="22"/>
          <w:lang w:val="en-GB"/>
        </w:rPr>
      </w:pPr>
    </w:p>
    <w:p w14:paraId="3DF9CD0D" w14:textId="35D743D9" w:rsidR="00225EDC" w:rsidRPr="00225EDC" w:rsidRDefault="00225EDC" w:rsidP="00D82692">
      <w:pPr>
        <w:ind w:left="720"/>
        <w:jc w:val="both"/>
        <w:rPr>
          <w:rFonts w:ascii="Arial" w:hAnsi="Arial" w:cs="Arial"/>
          <w:color w:val="7B7B7B" w:themeColor="accent3" w:themeShade="BF"/>
          <w:sz w:val="22"/>
          <w:szCs w:val="22"/>
          <w:lang w:val="en-GB"/>
        </w:rPr>
      </w:pPr>
      <w:r w:rsidRPr="00225EDC">
        <w:rPr>
          <w:rFonts w:ascii="Arial" w:hAnsi="Arial" w:cs="Arial"/>
          <w:color w:val="7B7B7B" w:themeColor="accent3" w:themeShade="BF"/>
          <w:sz w:val="22"/>
          <w:szCs w:val="22"/>
          <w:lang w:val="en-GB"/>
        </w:rPr>
        <w:t xml:space="preserve">The starting point of this analysis is the decision issued by the CJEU in the case of Bank </w:t>
      </w:r>
      <w:proofErr w:type="spellStart"/>
      <w:r w:rsidRPr="00225EDC">
        <w:rPr>
          <w:rFonts w:ascii="Arial" w:hAnsi="Arial" w:cs="Arial"/>
          <w:color w:val="7B7B7B" w:themeColor="accent3" w:themeShade="BF"/>
          <w:sz w:val="22"/>
          <w:szCs w:val="22"/>
          <w:lang w:val="en-GB"/>
        </w:rPr>
        <w:t>Handlowy</w:t>
      </w:r>
      <w:proofErr w:type="spellEnd"/>
      <w:r w:rsidRPr="00225EDC">
        <w:rPr>
          <w:rFonts w:ascii="Arial" w:hAnsi="Arial" w:cs="Arial"/>
          <w:color w:val="7B7B7B" w:themeColor="accent3" w:themeShade="BF"/>
          <w:sz w:val="22"/>
          <w:szCs w:val="22"/>
          <w:lang w:val="en-GB"/>
        </w:rPr>
        <w:t xml:space="preserve"> w </w:t>
      </w:r>
      <w:proofErr w:type="spellStart"/>
      <w:r w:rsidRPr="00225EDC">
        <w:rPr>
          <w:rFonts w:ascii="Arial" w:hAnsi="Arial" w:cs="Arial"/>
          <w:color w:val="7B7B7B" w:themeColor="accent3" w:themeShade="BF"/>
          <w:sz w:val="22"/>
          <w:szCs w:val="22"/>
          <w:lang w:val="en-GB"/>
        </w:rPr>
        <w:t>Warszawie</w:t>
      </w:r>
      <w:proofErr w:type="spellEnd"/>
      <w:r w:rsidRPr="00225EDC">
        <w:rPr>
          <w:rFonts w:ascii="Arial" w:hAnsi="Arial" w:cs="Arial"/>
          <w:color w:val="7B7B7B" w:themeColor="accent3" w:themeShade="BF"/>
          <w:sz w:val="22"/>
          <w:szCs w:val="22"/>
          <w:lang w:val="en-GB"/>
        </w:rPr>
        <w:t xml:space="preserve"> SA v </w:t>
      </w:r>
      <w:proofErr w:type="spellStart"/>
      <w:r w:rsidRPr="00225EDC">
        <w:rPr>
          <w:rFonts w:ascii="Arial" w:hAnsi="Arial" w:cs="Arial"/>
          <w:color w:val="7B7B7B" w:themeColor="accent3" w:themeShade="BF"/>
          <w:sz w:val="22"/>
          <w:szCs w:val="22"/>
          <w:lang w:val="en-GB"/>
        </w:rPr>
        <w:t>Christianapol</w:t>
      </w:r>
      <w:proofErr w:type="spellEnd"/>
      <w:r w:rsidRPr="00225EDC">
        <w:rPr>
          <w:rFonts w:ascii="Arial" w:hAnsi="Arial" w:cs="Arial"/>
          <w:color w:val="7B7B7B" w:themeColor="accent3" w:themeShade="BF"/>
          <w:sz w:val="22"/>
          <w:szCs w:val="22"/>
          <w:lang w:val="en-GB"/>
        </w:rPr>
        <w:t xml:space="preserve"> sp. z </w:t>
      </w:r>
      <w:proofErr w:type="spellStart"/>
      <w:r w:rsidRPr="00225EDC">
        <w:rPr>
          <w:rFonts w:ascii="Arial" w:hAnsi="Arial" w:cs="Arial"/>
          <w:color w:val="7B7B7B" w:themeColor="accent3" w:themeShade="BF"/>
          <w:sz w:val="22"/>
          <w:szCs w:val="22"/>
          <w:lang w:val="en-GB"/>
        </w:rPr>
        <w:t>o.o</w:t>
      </w:r>
      <w:proofErr w:type="spellEnd"/>
      <w:r w:rsidRPr="00225EDC">
        <w:rPr>
          <w:rFonts w:ascii="Arial" w:hAnsi="Arial" w:cs="Arial"/>
          <w:color w:val="7B7B7B" w:themeColor="accent3" w:themeShade="BF"/>
          <w:sz w:val="22"/>
          <w:szCs w:val="22"/>
          <w:lang w:val="en-GB"/>
        </w:rPr>
        <w:t>., in which the inclusion of the proceeding in Annex A deter</w:t>
      </w:r>
      <w:r>
        <w:rPr>
          <w:rFonts w:ascii="Arial" w:hAnsi="Arial" w:cs="Arial"/>
          <w:color w:val="7B7B7B" w:themeColor="accent3" w:themeShade="BF"/>
          <w:sz w:val="22"/>
          <w:szCs w:val="22"/>
          <w:lang w:val="en-GB"/>
        </w:rPr>
        <w:t>mined the scope of the EIR 2000 (</w:t>
      </w:r>
      <w:r w:rsidRPr="006E6E9B">
        <w:rPr>
          <w:rFonts w:ascii="Arial" w:hAnsi="Arial" w:cs="Arial"/>
          <w:color w:val="7B7B7B" w:themeColor="accent3" w:themeShade="BF"/>
          <w:sz w:val="22"/>
          <w:szCs w:val="22"/>
          <w:lang w:val="en-GB"/>
        </w:rPr>
        <w:t>Wessels &amp; Kokorin, 2020).</w:t>
      </w:r>
    </w:p>
    <w:p w14:paraId="0BB2D0BD" w14:textId="5B92CE4A" w:rsidR="00D95496" w:rsidRPr="0086229B" w:rsidRDefault="00A97368" w:rsidP="002A37BB">
      <w:pPr>
        <w:pStyle w:val="Prrafodelista"/>
        <w:numPr>
          <w:ilvl w:val="0"/>
          <w:numId w:val="1"/>
        </w:numPr>
        <w:jc w:val="both"/>
        <w:rPr>
          <w:rFonts w:ascii="Arial" w:hAnsi="Arial" w:cs="Arial"/>
          <w:b/>
          <w:color w:val="7B7B7B" w:themeColor="accent3" w:themeShade="BF"/>
          <w:sz w:val="22"/>
          <w:szCs w:val="22"/>
          <w:lang w:val="en-GB"/>
        </w:rPr>
      </w:pPr>
      <w:r w:rsidRPr="00853C3D">
        <w:rPr>
          <w:rFonts w:ascii="Arial" w:hAnsi="Arial" w:cs="Arial"/>
          <w:b/>
          <w:color w:val="7B7B7B" w:themeColor="accent3" w:themeShade="BF"/>
          <w:sz w:val="22"/>
          <w:szCs w:val="22"/>
          <w:lang w:val="en-GB"/>
        </w:rPr>
        <w:t>¿Is it possible to state that the debtor has its COMI in Strasbourg?</w:t>
      </w:r>
    </w:p>
    <w:p w14:paraId="7090C861" w14:textId="29CB8EC7" w:rsidR="00D95496" w:rsidRDefault="0086229B" w:rsidP="0086229B">
      <w:pPr>
        <w:ind w:left="720"/>
        <w:jc w:val="both"/>
        <w:rPr>
          <w:rFonts w:ascii="Arial" w:hAnsi="Arial" w:cs="Arial"/>
          <w:color w:val="7B7B7B" w:themeColor="accent3" w:themeShade="BF"/>
          <w:sz w:val="22"/>
          <w:szCs w:val="22"/>
          <w:lang w:val="en-GB"/>
        </w:rPr>
      </w:pPr>
      <w:r w:rsidRPr="0086229B">
        <w:rPr>
          <w:rFonts w:ascii="Arial" w:hAnsi="Arial" w:cs="Arial"/>
          <w:color w:val="7B7B7B" w:themeColor="accent3" w:themeShade="BF"/>
          <w:sz w:val="22"/>
          <w:szCs w:val="22"/>
          <w:lang w:val="en-GB"/>
        </w:rPr>
        <w:t>Pursuant Recital 27 of the EIR 2000 the court should examine if the COMI of the debtor or the debtor's establishment is located in its jurisdiction. Due to the fact that PAJ has a store in Strasburg, it is possible to establish Strasburg as the COMI of PAJ.</w:t>
      </w:r>
    </w:p>
    <w:p w14:paraId="2A583214" w14:textId="51BC8E95" w:rsidR="00F201B0" w:rsidRPr="00F201B0" w:rsidRDefault="00F201B0" w:rsidP="00F201B0">
      <w:pPr>
        <w:pStyle w:val="Prrafodelista"/>
        <w:numPr>
          <w:ilvl w:val="0"/>
          <w:numId w:val="1"/>
        </w:numPr>
        <w:jc w:val="both"/>
        <w:rPr>
          <w:rFonts w:ascii="Arial" w:hAnsi="Arial" w:cs="Arial"/>
          <w:color w:val="7B7B7B" w:themeColor="accent3" w:themeShade="BF"/>
          <w:sz w:val="22"/>
          <w:szCs w:val="22"/>
          <w:lang w:val="en-GB"/>
        </w:rPr>
      </w:pPr>
      <w:r w:rsidRPr="00F201B0">
        <w:rPr>
          <w:rFonts w:ascii="Arial" w:hAnsi="Arial" w:cs="Arial"/>
          <w:b/>
          <w:color w:val="7B7B7B" w:themeColor="accent3" w:themeShade="BF"/>
          <w:sz w:val="22"/>
          <w:szCs w:val="22"/>
          <w:lang w:val="en-GB"/>
        </w:rPr>
        <w:lastRenderedPageBreak/>
        <w:t>Conclusion</w:t>
      </w:r>
      <w:r>
        <w:rPr>
          <w:rFonts w:ascii="Arial" w:hAnsi="Arial" w:cs="Arial"/>
          <w:color w:val="7B7B7B" w:themeColor="accent3" w:themeShade="BF"/>
          <w:sz w:val="22"/>
          <w:szCs w:val="22"/>
          <w:lang w:val="en-GB"/>
        </w:rPr>
        <w:t>: T</w:t>
      </w:r>
      <w:r w:rsidRPr="00F201B0">
        <w:rPr>
          <w:rFonts w:ascii="Arial" w:hAnsi="Arial" w:cs="Arial"/>
          <w:color w:val="7B7B7B" w:themeColor="accent3" w:themeShade="BF"/>
          <w:sz w:val="22"/>
          <w:szCs w:val="22"/>
          <w:lang w:val="en-GB"/>
        </w:rPr>
        <w:t xml:space="preserve">he Strasbourg Court </w:t>
      </w:r>
      <w:r>
        <w:rPr>
          <w:rFonts w:ascii="Arial" w:hAnsi="Arial" w:cs="Arial"/>
          <w:color w:val="7B7B7B" w:themeColor="accent3" w:themeShade="BF"/>
          <w:sz w:val="22"/>
          <w:szCs w:val="22"/>
          <w:lang w:val="en-GB"/>
        </w:rPr>
        <w:t>indeed has</w:t>
      </w:r>
      <w:r w:rsidRPr="00F201B0">
        <w:rPr>
          <w:rFonts w:ascii="Arial" w:hAnsi="Arial" w:cs="Arial"/>
          <w:color w:val="7B7B7B" w:themeColor="accent3" w:themeShade="BF"/>
          <w:sz w:val="22"/>
          <w:szCs w:val="22"/>
          <w:lang w:val="en-GB"/>
        </w:rPr>
        <w:t xml:space="preserve"> international jurisdiction to open the requested insolvency proceeding</w:t>
      </w:r>
      <w:r>
        <w:rPr>
          <w:rFonts w:ascii="Arial" w:hAnsi="Arial" w:cs="Arial"/>
          <w:color w:val="7B7B7B" w:themeColor="accent3" w:themeShade="BF"/>
          <w:sz w:val="22"/>
          <w:szCs w:val="22"/>
          <w:lang w:val="en-GB"/>
        </w:rPr>
        <w:t>.</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300CF8BE" w14:textId="25D06CEE" w:rsidR="00CD5B28" w:rsidRDefault="00CD5B28" w:rsidP="00CD5B28">
      <w:pPr>
        <w:jc w:val="both"/>
        <w:rPr>
          <w:rFonts w:ascii="Arial" w:hAnsi="Arial" w:cs="Arial"/>
          <w:color w:val="7B7B7B" w:themeColor="accent3" w:themeShade="BF"/>
          <w:sz w:val="22"/>
          <w:szCs w:val="22"/>
          <w:lang w:val="en-GB"/>
        </w:rPr>
      </w:pPr>
      <w:r w:rsidRPr="00A97368">
        <w:rPr>
          <w:rFonts w:ascii="Arial" w:hAnsi="Arial" w:cs="Arial"/>
          <w:color w:val="7B7B7B" w:themeColor="accent3" w:themeShade="BF"/>
          <w:sz w:val="22"/>
          <w:szCs w:val="22"/>
          <w:lang w:val="en-GB"/>
        </w:rPr>
        <w:t xml:space="preserve">To determine if the </w:t>
      </w:r>
      <w:r w:rsidRPr="00CD5B28">
        <w:rPr>
          <w:rFonts w:ascii="Arial" w:hAnsi="Arial" w:cs="Arial"/>
          <w:color w:val="7B7B7B" w:themeColor="accent3" w:themeShade="BF"/>
          <w:sz w:val="22"/>
          <w:szCs w:val="22"/>
          <w:lang w:val="en-GB"/>
        </w:rPr>
        <w:t xml:space="preserve">EIR Recast </w:t>
      </w:r>
      <w:r>
        <w:rPr>
          <w:rFonts w:ascii="Arial" w:hAnsi="Arial" w:cs="Arial"/>
          <w:color w:val="7B7B7B" w:themeColor="accent3" w:themeShade="BF"/>
          <w:sz w:val="22"/>
          <w:szCs w:val="22"/>
          <w:lang w:val="en-GB"/>
        </w:rPr>
        <w:t>can apply to the proceeding opened by</w:t>
      </w:r>
      <w:r w:rsidRPr="00CD5B28">
        <w:rPr>
          <w:rFonts w:ascii="Arial" w:hAnsi="Arial" w:cs="Arial"/>
          <w:color w:val="7B7B7B" w:themeColor="accent3" w:themeShade="BF"/>
          <w:sz w:val="22"/>
          <w:szCs w:val="22"/>
          <w:lang w:val="en-GB"/>
        </w:rPr>
        <w:t xml:space="preserve"> </w:t>
      </w:r>
      <w:r w:rsidR="00885C9B" w:rsidRPr="00885C9B">
        <w:rPr>
          <w:rFonts w:ascii="Arial" w:hAnsi="Arial" w:cs="Arial"/>
          <w:color w:val="7B7B7B" w:themeColor="accent3" w:themeShade="BF"/>
          <w:sz w:val="22"/>
          <w:szCs w:val="22"/>
          <w:lang w:val="en-GB"/>
        </w:rPr>
        <w:t>the Strasbourg Court,</w:t>
      </w:r>
      <w:r w:rsidRPr="00A97368">
        <w:rPr>
          <w:rFonts w:ascii="Arial" w:hAnsi="Arial" w:cs="Arial"/>
          <w:color w:val="7B7B7B" w:themeColor="accent3" w:themeShade="BF"/>
          <w:sz w:val="22"/>
          <w:szCs w:val="22"/>
          <w:lang w:val="en-GB"/>
        </w:rPr>
        <w:t xml:space="preserve"> it is necessary to answer the following questions: </w:t>
      </w:r>
    </w:p>
    <w:p w14:paraId="4D65885E" w14:textId="77777777" w:rsidR="00CD5B28" w:rsidRPr="00A97368" w:rsidRDefault="00CD5B28" w:rsidP="00CD5B28">
      <w:pPr>
        <w:jc w:val="both"/>
        <w:rPr>
          <w:rFonts w:ascii="Arial" w:hAnsi="Arial" w:cs="Arial"/>
          <w:color w:val="7B7B7B" w:themeColor="accent3" w:themeShade="BF"/>
          <w:sz w:val="22"/>
          <w:szCs w:val="22"/>
          <w:lang w:val="en-GB"/>
        </w:rPr>
      </w:pPr>
    </w:p>
    <w:p w14:paraId="4759EF75" w14:textId="37F70083" w:rsidR="00773DB9" w:rsidRPr="00773DB9" w:rsidRDefault="00773DB9" w:rsidP="00773DB9">
      <w:pPr>
        <w:pStyle w:val="Prrafodelista"/>
        <w:numPr>
          <w:ilvl w:val="0"/>
          <w:numId w:val="1"/>
        </w:numPr>
        <w:jc w:val="both"/>
        <w:rPr>
          <w:rFonts w:ascii="Arial" w:hAnsi="Arial" w:cs="Arial"/>
          <w:b/>
          <w:color w:val="7B7B7B" w:themeColor="accent3" w:themeShade="BF"/>
          <w:sz w:val="22"/>
          <w:szCs w:val="22"/>
          <w:lang w:val="en-GB"/>
        </w:rPr>
      </w:pPr>
      <w:r w:rsidRPr="00773DB9">
        <w:rPr>
          <w:rFonts w:ascii="Arial" w:hAnsi="Arial" w:cs="Arial"/>
          <w:b/>
          <w:color w:val="7B7B7B" w:themeColor="accent3" w:themeShade="BF"/>
          <w:sz w:val="22"/>
          <w:szCs w:val="22"/>
          <w:lang w:val="en-GB"/>
        </w:rPr>
        <w:t>¿Does the EIR Recast apply in this case?</w:t>
      </w:r>
    </w:p>
    <w:p w14:paraId="60442B74" w14:textId="4767C983" w:rsidR="00773DB9" w:rsidRPr="00773DB9" w:rsidRDefault="00773DB9" w:rsidP="00773DB9">
      <w:pPr>
        <w:pStyle w:val="Prrafodelista"/>
        <w:jc w:val="both"/>
        <w:rPr>
          <w:rFonts w:ascii="Arial" w:hAnsi="Arial" w:cs="Arial"/>
          <w:color w:val="7B7B7B" w:themeColor="accent3" w:themeShade="BF"/>
          <w:sz w:val="22"/>
          <w:szCs w:val="22"/>
          <w:lang w:val="en-GB"/>
        </w:rPr>
      </w:pPr>
      <w:r w:rsidRPr="00773DB9">
        <w:rPr>
          <w:rFonts w:ascii="Arial" w:hAnsi="Arial" w:cs="Arial"/>
          <w:color w:val="7B7B7B" w:themeColor="accent3" w:themeShade="BF"/>
          <w:sz w:val="22"/>
          <w:szCs w:val="22"/>
          <w:lang w:val="en-GB"/>
        </w:rPr>
        <w:t>Pursuant Article 90 of the EIR Recast, s</w:t>
      </w:r>
      <w:r>
        <w:rPr>
          <w:rFonts w:ascii="Arial" w:hAnsi="Arial" w:cs="Arial"/>
          <w:color w:val="7B7B7B" w:themeColor="accent3" w:themeShade="BF"/>
          <w:sz w:val="22"/>
          <w:szCs w:val="22"/>
          <w:lang w:val="en-GB"/>
        </w:rPr>
        <w:t>uch regulation applied from 26 J</w:t>
      </w:r>
      <w:r w:rsidRPr="00773DB9">
        <w:rPr>
          <w:rFonts w:ascii="Arial" w:hAnsi="Arial" w:cs="Arial"/>
          <w:color w:val="7B7B7B" w:themeColor="accent3" w:themeShade="BF"/>
          <w:sz w:val="22"/>
          <w:szCs w:val="22"/>
          <w:lang w:val="en-GB"/>
        </w:rPr>
        <w:t xml:space="preserve">une 2017. Therefore, the procedure is within the temporal scope of the EIR Recast because </w:t>
      </w:r>
      <w:r>
        <w:rPr>
          <w:rFonts w:ascii="Arial" w:hAnsi="Arial" w:cs="Arial"/>
          <w:color w:val="7B7B7B" w:themeColor="accent3" w:themeShade="BF"/>
          <w:sz w:val="22"/>
          <w:szCs w:val="22"/>
          <w:lang w:val="en-GB"/>
        </w:rPr>
        <w:t xml:space="preserve">the Strasbourg Court opened the proceeding </w:t>
      </w:r>
      <w:r w:rsidRPr="00773DB9">
        <w:rPr>
          <w:rFonts w:ascii="Arial" w:hAnsi="Arial" w:cs="Arial"/>
          <w:color w:val="7B7B7B" w:themeColor="accent3" w:themeShade="BF"/>
          <w:sz w:val="22"/>
          <w:szCs w:val="22"/>
          <w:lang w:val="en-GB"/>
        </w:rPr>
        <w:t>on 29 June 2017.</w:t>
      </w:r>
    </w:p>
    <w:p w14:paraId="3243EAB7" w14:textId="77777777" w:rsidR="00773DB9" w:rsidRPr="00773DB9" w:rsidRDefault="00773DB9" w:rsidP="00773DB9">
      <w:pPr>
        <w:pStyle w:val="Prrafodelista"/>
        <w:numPr>
          <w:ilvl w:val="0"/>
          <w:numId w:val="1"/>
        </w:numPr>
        <w:jc w:val="both"/>
        <w:rPr>
          <w:rFonts w:ascii="Arial" w:hAnsi="Arial" w:cs="Arial"/>
          <w:b/>
          <w:color w:val="7B7B7B" w:themeColor="accent3" w:themeShade="BF"/>
          <w:sz w:val="22"/>
          <w:szCs w:val="22"/>
          <w:lang w:val="en-GB"/>
        </w:rPr>
      </w:pPr>
      <w:r w:rsidRPr="00773DB9">
        <w:rPr>
          <w:rFonts w:ascii="Arial" w:hAnsi="Arial" w:cs="Arial"/>
          <w:b/>
          <w:color w:val="7B7B7B" w:themeColor="accent3" w:themeShade="BF"/>
          <w:sz w:val="22"/>
          <w:szCs w:val="22"/>
          <w:lang w:val="en-GB"/>
        </w:rPr>
        <w:t>¿Is the debtor excluded from the scope of application of the EIR 2000?</w:t>
      </w:r>
    </w:p>
    <w:p w14:paraId="729045B2" w14:textId="77777777" w:rsidR="00773DB9" w:rsidRPr="00773DB9" w:rsidRDefault="00773DB9" w:rsidP="00773DB9">
      <w:pPr>
        <w:pStyle w:val="Prrafodelista"/>
        <w:jc w:val="both"/>
        <w:rPr>
          <w:rFonts w:ascii="Arial" w:hAnsi="Arial" w:cs="Arial"/>
          <w:color w:val="7B7B7B" w:themeColor="accent3" w:themeShade="BF"/>
          <w:sz w:val="22"/>
          <w:szCs w:val="22"/>
          <w:lang w:val="en-GB"/>
        </w:rPr>
      </w:pPr>
      <w:r w:rsidRPr="00773DB9">
        <w:rPr>
          <w:rFonts w:ascii="Arial" w:hAnsi="Arial" w:cs="Arial"/>
          <w:color w:val="7B7B7B" w:themeColor="accent3" w:themeShade="BF"/>
          <w:sz w:val="22"/>
          <w:szCs w:val="22"/>
          <w:lang w:val="en-GB"/>
        </w:rPr>
        <w:t>In accordance with the provisions contained in the recitals that defined the excluded proceedings from the scope of application (recitals 7, 19, and 13 of the EIR Recast) and due to the activities developed by PAJ, it is possible to conclude that its insolvency proceeding is included in the scope of application of the EIR Recast.</w:t>
      </w:r>
    </w:p>
    <w:p w14:paraId="23CEA7FD" w14:textId="77777777" w:rsidR="00773DB9" w:rsidRPr="00773DB9" w:rsidRDefault="00773DB9" w:rsidP="00773DB9">
      <w:pPr>
        <w:pStyle w:val="Prrafodelista"/>
        <w:numPr>
          <w:ilvl w:val="0"/>
          <w:numId w:val="1"/>
        </w:numPr>
        <w:jc w:val="both"/>
        <w:rPr>
          <w:rFonts w:ascii="Arial" w:hAnsi="Arial" w:cs="Arial"/>
          <w:b/>
          <w:color w:val="7B7B7B" w:themeColor="accent3" w:themeShade="BF"/>
          <w:sz w:val="22"/>
          <w:szCs w:val="22"/>
          <w:lang w:val="en-GB"/>
        </w:rPr>
      </w:pPr>
      <w:r w:rsidRPr="00773DB9">
        <w:rPr>
          <w:rFonts w:ascii="Arial" w:hAnsi="Arial" w:cs="Arial"/>
          <w:b/>
          <w:color w:val="7B7B7B" w:themeColor="accent3" w:themeShade="BF"/>
          <w:sz w:val="22"/>
          <w:szCs w:val="22"/>
          <w:lang w:val="en-GB"/>
        </w:rPr>
        <w:t>¿The proceeding is listed in Annex A of the EIR Recast?</w:t>
      </w:r>
    </w:p>
    <w:p w14:paraId="4BA89DFA" w14:textId="3B16C422" w:rsidR="00773DB9" w:rsidRPr="00773DB9" w:rsidRDefault="00773DB9" w:rsidP="00773DB9">
      <w:pPr>
        <w:pStyle w:val="Prrafodelista"/>
        <w:jc w:val="both"/>
        <w:rPr>
          <w:rFonts w:ascii="Arial" w:hAnsi="Arial" w:cs="Arial"/>
          <w:color w:val="7B7B7B" w:themeColor="accent3" w:themeShade="BF"/>
          <w:sz w:val="22"/>
          <w:szCs w:val="22"/>
          <w:lang w:val="en-GB"/>
        </w:rPr>
      </w:pPr>
      <w:r w:rsidRPr="00773DB9">
        <w:rPr>
          <w:rFonts w:ascii="Arial" w:hAnsi="Arial" w:cs="Arial"/>
          <w:color w:val="7B7B7B" w:themeColor="accent3" w:themeShade="BF"/>
          <w:sz w:val="22"/>
          <w:szCs w:val="22"/>
          <w:lang w:val="en-GB"/>
        </w:rPr>
        <w:t xml:space="preserve">Yes, the </w:t>
      </w:r>
      <w:proofErr w:type="spellStart"/>
      <w:r w:rsidRPr="00773DB9">
        <w:rPr>
          <w:rFonts w:ascii="Arial" w:hAnsi="Arial" w:cs="Arial"/>
          <w:i/>
          <w:color w:val="7B7B7B" w:themeColor="accent3" w:themeShade="BF"/>
          <w:sz w:val="22"/>
          <w:szCs w:val="22"/>
          <w:lang w:val="en-GB"/>
        </w:rPr>
        <w:t>procédure</w:t>
      </w:r>
      <w:proofErr w:type="spellEnd"/>
      <w:r w:rsidRPr="00773DB9">
        <w:rPr>
          <w:rFonts w:ascii="Arial" w:hAnsi="Arial" w:cs="Arial"/>
          <w:i/>
          <w:color w:val="7B7B7B" w:themeColor="accent3" w:themeShade="BF"/>
          <w:sz w:val="22"/>
          <w:szCs w:val="22"/>
          <w:lang w:val="en-GB"/>
        </w:rPr>
        <w:t xml:space="preserve"> de </w:t>
      </w:r>
      <w:proofErr w:type="spellStart"/>
      <w:r w:rsidRPr="00773DB9">
        <w:rPr>
          <w:rFonts w:ascii="Arial" w:hAnsi="Arial" w:cs="Arial"/>
          <w:i/>
          <w:color w:val="7B7B7B" w:themeColor="accent3" w:themeShade="BF"/>
          <w:sz w:val="22"/>
          <w:szCs w:val="22"/>
          <w:lang w:val="en-GB"/>
        </w:rPr>
        <w:t>sauvegarde</w:t>
      </w:r>
      <w:proofErr w:type="spellEnd"/>
      <w:r w:rsidRPr="00773DB9">
        <w:rPr>
          <w:rFonts w:ascii="Arial" w:hAnsi="Arial" w:cs="Arial"/>
          <w:color w:val="7B7B7B" w:themeColor="accent3" w:themeShade="BF"/>
          <w:sz w:val="22"/>
          <w:szCs w:val="22"/>
          <w:lang w:val="en-GB"/>
        </w:rPr>
        <w:t xml:space="preserve"> is included in Annex A of the EIR Recast.</w:t>
      </w:r>
    </w:p>
    <w:p w14:paraId="1EC14F9F" w14:textId="62E2D6FD" w:rsidR="00773DB9" w:rsidRPr="00773DB9" w:rsidRDefault="00773DB9" w:rsidP="00773DB9">
      <w:pPr>
        <w:pStyle w:val="Prrafodelista"/>
        <w:jc w:val="both"/>
        <w:rPr>
          <w:rFonts w:ascii="Arial" w:hAnsi="Arial" w:cs="Arial"/>
          <w:color w:val="7B7B7B" w:themeColor="accent3" w:themeShade="BF"/>
          <w:sz w:val="22"/>
          <w:szCs w:val="22"/>
          <w:lang w:val="en-GB"/>
        </w:rPr>
      </w:pPr>
      <w:r w:rsidRPr="00773DB9">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I</w:t>
      </w:r>
      <w:r w:rsidRPr="00773DB9">
        <w:rPr>
          <w:rFonts w:ascii="Arial" w:hAnsi="Arial" w:cs="Arial"/>
          <w:color w:val="7B7B7B" w:themeColor="accent3" w:themeShade="BF"/>
          <w:sz w:val="22"/>
          <w:szCs w:val="22"/>
          <w:lang w:val="en-GB"/>
        </w:rPr>
        <w:t xml:space="preserve"> indicated in the previous question of the guide, the starting point of this analysis is the decision issued by the CJEU in the case of Bank </w:t>
      </w:r>
      <w:proofErr w:type="spellStart"/>
      <w:r w:rsidRPr="00773DB9">
        <w:rPr>
          <w:rFonts w:ascii="Arial" w:hAnsi="Arial" w:cs="Arial"/>
          <w:color w:val="7B7B7B" w:themeColor="accent3" w:themeShade="BF"/>
          <w:sz w:val="22"/>
          <w:szCs w:val="22"/>
          <w:lang w:val="en-GB"/>
        </w:rPr>
        <w:t>Handlowy</w:t>
      </w:r>
      <w:proofErr w:type="spellEnd"/>
      <w:r w:rsidRPr="00773DB9">
        <w:rPr>
          <w:rFonts w:ascii="Arial" w:hAnsi="Arial" w:cs="Arial"/>
          <w:color w:val="7B7B7B" w:themeColor="accent3" w:themeShade="BF"/>
          <w:sz w:val="22"/>
          <w:szCs w:val="22"/>
          <w:lang w:val="en-GB"/>
        </w:rPr>
        <w:t xml:space="preserve"> w </w:t>
      </w:r>
      <w:proofErr w:type="spellStart"/>
      <w:r w:rsidRPr="00773DB9">
        <w:rPr>
          <w:rFonts w:ascii="Arial" w:hAnsi="Arial" w:cs="Arial"/>
          <w:color w:val="7B7B7B" w:themeColor="accent3" w:themeShade="BF"/>
          <w:sz w:val="22"/>
          <w:szCs w:val="22"/>
          <w:lang w:val="en-GB"/>
        </w:rPr>
        <w:t>Warszawie</w:t>
      </w:r>
      <w:proofErr w:type="spellEnd"/>
      <w:r w:rsidRPr="00773DB9">
        <w:rPr>
          <w:rFonts w:ascii="Arial" w:hAnsi="Arial" w:cs="Arial"/>
          <w:color w:val="7B7B7B" w:themeColor="accent3" w:themeShade="BF"/>
          <w:sz w:val="22"/>
          <w:szCs w:val="22"/>
          <w:lang w:val="en-GB"/>
        </w:rPr>
        <w:t xml:space="preserve"> SA v </w:t>
      </w:r>
      <w:proofErr w:type="spellStart"/>
      <w:r w:rsidRPr="00773DB9">
        <w:rPr>
          <w:rFonts w:ascii="Arial" w:hAnsi="Arial" w:cs="Arial"/>
          <w:color w:val="7B7B7B" w:themeColor="accent3" w:themeShade="BF"/>
          <w:sz w:val="22"/>
          <w:szCs w:val="22"/>
          <w:lang w:val="en-GB"/>
        </w:rPr>
        <w:t>Christianapol</w:t>
      </w:r>
      <w:proofErr w:type="spellEnd"/>
      <w:r w:rsidRPr="00773DB9">
        <w:rPr>
          <w:rFonts w:ascii="Arial" w:hAnsi="Arial" w:cs="Arial"/>
          <w:color w:val="7B7B7B" w:themeColor="accent3" w:themeShade="BF"/>
          <w:sz w:val="22"/>
          <w:szCs w:val="22"/>
          <w:lang w:val="en-GB"/>
        </w:rPr>
        <w:t xml:space="preserve"> sp. z </w:t>
      </w:r>
      <w:proofErr w:type="spellStart"/>
      <w:r w:rsidRPr="00773DB9">
        <w:rPr>
          <w:rFonts w:ascii="Arial" w:hAnsi="Arial" w:cs="Arial"/>
          <w:color w:val="7B7B7B" w:themeColor="accent3" w:themeShade="BF"/>
          <w:sz w:val="22"/>
          <w:szCs w:val="22"/>
          <w:lang w:val="en-GB"/>
        </w:rPr>
        <w:t>o.o</w:t>
      </w:r>
      <w:proofErr w:type="spellEnd"/>
      <w:r w:rsidRPr="00773DB9">
        <w:rPr>
          <w:rFonts w:ascii="Arial" w:hAnsi="Arial" w:cs="Arial"/>
          <w:color w:val="7B7B7B" w:themeColor="accent3" w:themeShade="BF"/>
          <w:sz w:val="22"/>
          <w:szCs w:val="22"/>
          <w:lang w:val="en-GB"/>
        </w:rPr>
        <w:t>., in which the inclusion of the proceeding in Annex A determined the scope of the EIR 2000 (Wessels &amp; Kokorin, 2020).</w:t>
      </w:r>
    </w:p>
    <w:p w14:paraId="79184B65" w14:textId="77777777" w:rsidR="00773DB9" w:rsidRPr="00773DB9" w:rsidRDefault="00773DB9" w:rsidP="00773DB9">
      <w:pPr>
        <w:pStyle w:val="Prrafodelista"/>
        <w:numPr>
          <w:ilvl w:val="0"/>
          <w:numId w:val="1"/>
        </w:numPr>
        <w:jc w:val="both"/>
        <w:rPr>
          <w:rFonts w:ascii="Arial" w:hAnsi="Arial" w:cs="Arial"/>
          <w:b/>
          <w:color w:val="7B7B7B" w:themeColor="accent3" w:themeShade="BF"/>
          <w:sz w:val="22"/>
          <w:szCs w:val="22"/>
          <w:lang w:val="en-GB"/>
        </w:rPr>
      </w:pPr>
      <w:r w:rsidRPr="00773DB9">
        <w:rPr>
          <w:rFonts w:ascii="Arial" w:hAnsi="Arial" w:cs="Arial"/>
          <w:b/>
          <w:color w:val="7B7B7B" w:themeColor="accent3" w:themeShade="BF"/>
          <w:sz w:val="22"/>
          <w:szCs w:val="22"/>
          <w:lang w:val="en-GB"/>
        </w:rPr>
        <w:t>¿Is it possible to state that the debtor has its COMI in Strasbourg?</w:t>
      </w:r>
    </w:p>
    <w:p w14:paraId="34114A38" w14:textId="1C25BB95" w:rsidR="00773DB9" w:rsidRPr="00773DB9" w:rsidRDefault="00773DB9" w:rsidP="00773DB9">
      <w:pPr>
        <w:pStyle w:val="Prrafodelista"/>
        <w:jc w:val="both"/>
        <w:rPr>
          <w:rFonts w:ascii="Arial" w:hAnsi="Arial" w:cs="Arial"/>
          <w:color w:val="7B7B7B" w:themeColor="accent3" w:themeShade="BF"/>
          <w:sz w:val="22"/>
          <w:szCs w:val="22"/>
          <w:lang w:val="en-GB"/>
        </w:rPr>
      </w:pPr>
      <w:r w:rsidRPr="00773DB9">
        <w:rPr>
          <w:rFonts w:ascii="Arial" w:hAnsi="Arial" w:cs="Arial"/>
          <w:color w:val="7B7B7B" w:themeColor="accent3" w:themeShade="BF"/>
          <w:sz w:val="22"/>
          <w:szCs w:val="22"/>
          <w:lang w:val="en-GB"/>
        </w:rPr>
        <w:t xml:space="preserve">Pursuant Recital 27 of the EIR Recast the court should examine if the COMI of the debtor or the debtor's establishment </w:t>
      </w:r>
      <w:r>
        <w:rPr>
          <w:rFonts w:ascii="Arial" w:hAnsi="Arial" w:cs="Arial"/>
          <w:color w:val="7B7B7B" w:themeColor="accent3" w:themeShade="BF"/>
          <w:sz w:val="22"/>
          <w:szCs w:val="22"/>
          <w:lang w:val="en-GB"/>
        </w:rPr>
        <w:t xml:space="preserve">is located in its jurisdiction </w:t>
      </w:r>
      <w:r w:rsidRPr="00773DB9">
        <w:rPr>
          <w:rFonts w:ascii="Arial" w:hAnsi="Arial" w:cs="Arial"/>
          <w:color w:val="7B7B7B" w:themeColor="accent3" w:themeShade="BF"/>
          <w:sz w:val="22"/>
          <w:szCs w:val="22"/>
          <w:lang w:val="en-GB"/>
        </w:rPr>
        <w:t>(The European Parliament and the Council of the European Union, 2015). Due to the fact that PAJ has a store in Strasburg, it is possible to establish Strasburg as the COMI of PAJ.</w:t>
      </w:r>
    </w:p>
    <w:p w14:paraId="1B5E2F08" w14:textId="0766D3E7" w:rsidR="002D3473" w:rsidRPr="00773DB9" w:rsidRDefault="00773DB9" w:rsidP="00773DB9">
      <w:pPr>
        <w:pStyle w:val="Prrafodelista"/>
        <w:numPr>
          <w:ilvl w:val="0"/>
          <w:numId w:val="1"/>
        </w:num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Conclusion: </w:t>
      </w:r>
      <w:r w:rsidRPr="00773DB9">
        <w:rPr>
          <w:rFonts w:ascii="Arial" w:hAnsi="Arial" w:cs="Arial"/>
          <w:color w:val="7B7B7B" w:themeColor="accent3" w:themeShade="BF"/>
          <w:sz w:val="22"/>
          <w:szCs w:val="22"/>
          <w:lang w:val="en-GB"/>
        </w:rPr>
        <w:t>EIR Recast applies to this case.</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29741929" w:rsidR="0077498C" w:rsidRDefault="002038BF" w:rsidP="002038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determine if a secondary proceeding can be opened in Spain </w:t>
      </w:r>
      <w:r w:rsidRPr="002038BF">
        <w:rPr>
          <w:rFonts w:ascii="Arial" w:hAnsi="Arial" w:cs="Arial"/>
          <w:color w:val="7B7B7B" w:themeColor="accent3" w:themeShade="BF"/>
          <w:sz w:val="22"/>
          <w:szCs w:val="22"/>
          <w:lang w:val="en-GB"/>
        </w:rPr>
        <w:t>it is necessary to answer the following questions:</w:t>
      </w:r>
    </w:p>
    <w:p w14:paraId="65F5F34A" w14:textId="145C0BDC" w:rsidR="002038BF" w:rsidRPr="002038BF" w:rsidRDefault="002038BF" w:rsidP="002038BF">
      <w:pPr>
        <w:pStyle w:val="Prrafodelista"/>
        <w:numPr>
          <w:ilvl w:val="0"/>
          <w:numId w:val="1"/>
        </w:numPr>
        <w:jc w:val="both"/>
        <w:rPr>
          <w:rFonts w:ascii="Arial" w:hAnsi="Arial" w:cs="Arial"/>
          <w:b/>
          <w:color w:val="7B7B7B" w:themeColor="accent3" w:themeShade="BF"/>
          <w:sz w:val="22"/>
          <w:szCs w:val="22"/>
          <w:lang w:val="en-GB"/>
        </w:rPr>
      </w:pPr>
      <w:r w:rsidRPr="002038BF">
        <w:rPr>
          <w:rFonts w:ascii="Arial" w:hAnsi="Arial" w:cs="Arial"/>
          <w:b/>
          <w:color w:val="7B7B7B" w:themeColor="accent3" w:themeShade="BF"/>
          <w:sz w:val="22"/>
          <w:szCs w:val="22"/>
          <w:lang w:val="en-GB"/>
        </w:rPr>
        <w:t>¿Is there a main insolvency proceeding that has already commenced in another member state against the PAJ?</w:t>
      </w:r>
    </w:p>
    <w:p w14:paraId="2A3FBF9B" w14:textId="6B8FA9D6" w:rsidR="002038BF" w:rsidRDefault="002038BF" w:rsidP="002038BF">
      <w:pPr>
        <w:pStyle w:val="Prrafodelista"/>
        <w:jc w:val="both"/>
        <w:rPr>
          <w:rFonts w:ascii="Arial" w:hAnsi="Arial" w:cs="Arial"/>
          <w:color w:val="7B7B7B" w:themeColor="accent3" w:themeShade="BF"/>
          <w:sz w:val="22"/>
          <w:szCs w:val="22"/>
          <w:lang w:val="en-GB"/>
        </w:rPr>
      </w:pPr>
      <w:r w:rsidRPr="002038BF">
        <w:rPr>
          <w:rFonts w:ascii="Arial" w:hAnsi="Arial" w:cs="Arial"/>
          <w:color w:val="7B7B7B" w:themeColor="accent3" w:themeShade="BF"/>
          <w:sz w:val="22"/>
          <w:szCs w:val="22"/>
          <w:lang w:val="en-GB"/>
        </w:rPr>
        <w:t xml:space="preserve">The facts </w:t>
      </w:r>
      <w:r w:rsidR="001B24F7">
        <w:rPr>
          <w:rFonts w:ascii="Arial" w:hAnsi="Arial" w:cs="Arial"/>
          <w:color w:val="7B7B7B" w:themeColor="accent3" w:themeShade="BF"/>
          <w:sz w:val="22"/>
          <w:szCs w:val="22"/>
          <w:lang w:val="en-GB"/>
        </w:rPr>
        <w:t>of the case do not permit such</w:t>
      </w:r>
      <w:r w:rsidRPr="002038BF">
        <w:rPr>
          <w:rFonts w:ascii="Arial" w:hAnsi="Arial" w:cs="Arial"/>
          <w:color w:val="7B7B7B" w:themeColor="accent3" w:themeShade="BF"/>
          <w:sz w:val="22"/>
          <w:szCs w:val="22"/>
          <w:lang w:val="en-GB"/>
        </w:rPr>
        <w:t xml:space="preserve"> conclusion. However, for the purposes of </w:t>
      </w:r>
      <w:r>
        <w:rPr>
          <w:rFonts w:ascii="Arial" w:hAnsi="Arial" w:cs="Arial"/>
          <w:color w:val="7B7B7B" w:themeColor="accent3" w:themeShade="BF"/>
          <w:sz w:val="22"/>
          <w:szCs w:val="22"/>
          <w:lang w:val="en-GB"/>
        </w:rPr>
        <w:t>the</w:t>
      </w:r>
      <w:r w:rsidRPr="002038BF">
        <w:rPr>
          <w:rFonts w:ascii="Arial" w:hAnsi="Arial" w:cs="Arial"/>
          <w:color w:val="7B7B7B" w:themeColor="accent3" w:themeShade="BF"/>
          <w:sz w:val="22"/>
          <w:szCs w:val="22"/>
          <w:lang w:val="en-GB"/>
        </w:rPr>
        <w:t xml:space="preserve"> analysis, it will be assumed that in</w:t>
      </w:r>
      <w:r>
        <w:rPr>
          <w:rFonts w:ascii="Arial" w:hAnsi="Arial" w:cs="Arial"/>
          <w:color w:val="7B7B7B" w:themeColor="accent3" w:themeShade="BF"/>
          <w:sz w:val="22"/>
          <w:szCs w:val="22"/>
          <w:lang w:val="en-GB"/>
        </w:rPr>
        <w:t xml:space="preserve"> </w:t>
      </w:r>
      <w:r w:rsidR="00B8791C">
        <w:rPr>
          <w:rFonts w:ascii="Arial" w:hAnsi="Arial" w:cs="Arial"/>
          <w:color w:val="7B7B7B" w:themeColor="accent3" w:themeShade="BF"/>
          <w:sz w:val="22"/>
          <w:szCs w:val="22"/>
          <w:lang w:val="en-GB"/>
        </w:rPr>
        <w:t xml:space="preserve">fact, </w:t>
      </w:r>
      <w:r>
        <w:rPr>
          <w:rFonts w:ascii="Arial" w:hAnsi="Arial" w:cs="Arial"/>
          <w:color w:val="7B7B7B" w:themeColor="accent3" w:themeShade="BF"/>
          <w:sz w:val="22"/>
          <w:szCs w:val="22"/>
          <w:lang w:val="en-GB"/>
        </w:rPr>
        <w:t xml:space="preserve">there is a main proceeding located in </w:t>
      </w:r>
      <w:r w:rsidRPr="00773DB9">
        <w:rPr>
          <w:rFonts w:ascii="Arial" w:hAnsi="Arial" w:cs="Arial"/>
          <w:color w:val="7B7B7B" w:themeColor="accent3" w:themeShade="BF"/>
          <w:sz w:val="22"/>
          <w:szCs w:val="22"/>
          <w:lang w:val="en-GB"/>
        </w:rPr>
        <w:t>Strasburg</w:t>
      </w:r>
      <w:r>
        <w:rPr>
          <w:rFonts w:ascii="Arial" w:hAnsi="Arial" w:cs="Arial"/>
          <w:color w:val="7B7B7B" w:themeColor="accent3" w:themeShade="BF"/>
          <w:sz w:val="22"/>
          <w:szCs w:val="22"/>
          <w:lang w:val="en-GB"/>
        </w:rPr>
        <w:t>.</w:t>
      </w:r>
    </w:p>
    <w:p w14:paraId="2738E178" w14:textId="627FAE7A" w:rsidR="002038BF" w:rsidRDefault="00CC5E6C" w:rsidP="002038BF">
      <w:pPr>
        <w:pStyle w:val="Prrafodelista"/>
        <w:numPr>
          <w:ilvl w:val="0"/>
          <w:numId w:val="1"/>
        </w:numPr>
        <w:jc w:val="both"/>
        <w:rPr>
          <w:rFonts w:ascii="Arial" w:hAnsi="Arial" w:cs="Arial"/>
          <w:b/>
          <w:color w:val="7B7B7B" w:themeColor="accent3" w:themeShade="BF"/>
          <w:sz w:val="22"/>
          <w:szCs w:val="22"/>
          <w:lang w:val="en-GB"/>
        </w:rPr>
      </w:pPr>
      <w:r w:rsidRPr="00CC5E6C">
        <w:rPr>
          <w:rFonts w:ascii="Arial" w:hAnsi="Arial" w:cs="Arial"/>
          <w:b/>
          <w:color w:val="7B7B7B" w:themeColor="accent3" w:themeShade="BF"/>
          <w:sz w:val="22"/>
          <w:szCs w:val="22"/>
          <w:lang w:val="en-GB"/>
        </w:rPr>
        <w:t xml:space="preserve">¿Does the company </w:t>
      </w:r>
      <w:proofErr w:type="gramStart"/>
      <w:r w:rsidRPr="00CC5E6C">
        <w:rPr>
          <w:rFonts w:ascii="Arial" w:hAnsi="Arial" w:cs="Arial"/>
          <w:b/>
          <w:color w:val="7B7B7B" w:themeColor="accent3" w:themeShade="BF"/>
          <w:sz w:val="22"/>
          <w:szCs w:val="22"/>
          <w:lang w:val="en-GB"/>
        </w:rPr>
        <w:t>has</w:t>
      </w:r>
      <w:proofErr w:type="gramEnd"/>
      <w:r w:rsidRPr="00CC5E6C">
        <w:rPr>
          <w:rFonts w:ascii="Arial" w:hAnsi="Arial" w:cs="Arial"/>
          <w:b/>
          <w:color w:val="7B7B7B" w:themeColor="accent3" w:themeShade="BF"/>
          <w:sz w:val="22"/>
          <w:szCs w:val="22"/>
          <w:lang w:val="en-GB"/>
        </w:rPr>
        <w:t xml:space="preserve"> an establishment in Spain?</w:t>
      </w:r>
    </w:p>
    <w:p w14:paraId="57556B31" w14:textId="53BE6AE4" w:rsidR="007344B6" w:rsidRPr="007344B6" w:rsidRDefault="007344B6" w:rsidP="007344B6">
      <w:pPr>
        <w:pStyle w:val="Prrafodelista"/>
        <w:jc w:val="both"/>
        <w:rPr>
          <w:rFonts w:ascii="Arial" w:hAnsi="Arial" w:cs="Arial"/>
          <w:color w:val="7B7B7B" w:themeColor="accent3" w:themeShade="BF"/>
          <w:sz w:val="22"/>
          <w:szCs w:val="22"/>
          <w:lang w:val="en-GB"/>
        </w:rPr>
      </w:pPr>
      <w:r w:rsidRPr="007344B6">
        <w:rPr>
          <w:rFonts w:ascii="Arial" w:hAnsi="Arial" w:cs="Arial"/>
          <w:color w:val="7B7B7B" w:themeColor="accent3" w:themeShade="BF"/>
          <w:sz w:val="22"/>
          <w:szCs w:val="22"/>
          <w:lang w:val="en-GB"/>
        </w:rPr>
        <w:t>Pursuant to the definition of establishment provided in article 2(10), PAJ does not have an establishment in Spain because the activities carried out by PAJ cannot be classified in the category of the activities by which the debtor develops its economic a</w:t>
      </w:r>
      <w:r w:rsidR="009E7CCA">
        <w:rPr>
          <w:rFonts w:ascii="Arial" w:hAnsi="Arial" w:cs="Arial"/>
          <w:color w:val="7B7B7B" w:themeColor="accent3" w:themeShade="BF"/>
          <w:sz w:val="22"/>
          <w:szCs w:val="22"/>
          <w:lang w:val="en-GB"/>
        </w:rPr>
        <w:t>ctivity -</w:t>
      </w:r>
      <w:r w:rsidR="009E7CCA" w:rsidRPr="009E7CCA">
        <w:rPr>
          <w:rFonts w:ascii="Arial" w:hAnsi="Arial" w:cs="Arial"/>
          <w:color w:val="7B7B7B" w:themeColor="accent3" w:themeShade="BF"/>
          <w:sz w:val="22"/>
          <w:szCs w:val="22"/>
          <w:lang w:val="en-GB"/>
        </w:rPr>
        <w:t xml:space="preserve">In </w:t>
      </w:r>
      <w:r w:rsidR="009E7CCA" w:rsidRPr="009E7CCA">
        <w:rPr>
          <w:rFonts w:ascii="Arial" w:hAnsi="Arial" w:cs="Arial"/>
          <w:i/>
          <w:color w:val="7B7B7B" w:themeColor="accent3" w:themeShade="BF"/>
          <w:sz w:val="22"/>
          <w:szCs w:val="22"/>
          <w:lang w:val="en-GB"/>
        </w:rPr>
        <w:t>In re Creative Finance Ltd</w:t>
      </w:r>
      <w:r w:rsidR="009E7CCA">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639495321"/>
          <w:citation/>
        </w:sdtPr>
        <w:sdtEndPr/>
        <w:sdtContent>
          <w:r w:rsidR="009E7CCA">
            <w:rPr>
              <w:rFonts w:ascii="Arial" w:hAnsi="Arial" w:cs="Arial"/>
              <w:color w:val="7B7B7B" w:themeColor="accent3" w:themeShade="BF"/>
              <w:sz w:val="22"/>
              <w:szCs w:val="22"/>
              <w:lang w:val="en-GB"/>
            </w:rPr>
            <w:fldChar w:fldCharType="begin"/>
          </w:r>
          <w:r w:rsidR="009E7CCA" w:rsidRPr="00B57804">
            <w:rPr>
              <w:rFonts w:ascii="Arial" w:hAnsi="Arial" w:cs="Arial"/>
              <w:color w:val="7B7B7B" w:themeColor="accent3" w:themeShade="BF"/>
              <w:sz w:val="22"/>
              <w:szCs w:val="22"/>
              <w:lang w:val="en-GB"/>
            </w:rPr>
            <w:instrText xml:space="preserve"> CITATION Wes20 \l 3082 </w:instrText>
          </w:r>
          <w:r w:rsidR="009E7CCA">
            <w:rPr>
              <w:rFonts w:ascii="Arial" w:hAnsi="Arial" w:cs="Arial"/>
              <w:color w:val="7B7B7B" w:themeColor="accent3" w:themeShade="BF"/>
              <w:sz w:val="22"/>
              <w:szCs w:val="22"/>
              <w:lang w:val="en-GB"/>
            </w:rPr>
            <w:fldChar w:fldCharType="separate"/>
          </w:r>
          <w:r w:rsidR="009E7CCA" w:rsidRPr="00B57804">
            <w:rPr>
              <w:rFonts w:ascii="Arial" w:hAnsi="Arial" w:cs="Arial"/>
              <w:color w:val="7B7B7B" w:themeColor="accent3" w:themeShade="BF"/>
              <w:sz w:val="22"/>
              <w:szCs w:val="22"/>
              <w:lang w:val="en-GB"/>
            </w:rPr>
            <w:t>(Wessels &amp; Kokorin, 2020)</w:t>
          </w:r>
          <w:r w:rsidR="009E7CCA">
            <w:rPr>
              <w:rFonts w:ascii="Arial" w:hAnsi="Arial" w:cs="Arial"/>
              <w:color w:val="7B7B7B" w:themeColor="accent3" w:themeShade="BF"/>
              <w:sz w:val="22"/>
              <w:szCs w:val="22"/>
              <w:lang w:val="en-GB"/>
            </w:rPr>
            <w:fldChar w:fldCharType="end"/>
          </w:r>
        </w:sdtContent>
      </w:sdt>
      <w:r w:rsidR="009E7CCA">
        <w:rPr>
          <w:rFonts w:ascii="Arial" w:hAnsi="Arial" w:cs="Arial"/>
          <w:color w:val="7B7B7B" w:themeColor="accent3" w:themeShade="BF"/>
          <w:sz w:val="22"/>
          <w:szCs w:val="22"/>
          <w:lang w:val="en-GB"/>
        </w:rPr>
        <w:t>.</w:t>
      </w:r>
    </w:p>
    <w:p w14:paraId="73F356CC" w14:textId="520E82E8" w:rsidR="007344B6" w:rsidRPr="00CC5E6C" w:rsidRDefault="007344B6" w:rsidP="007344B6">
      <w:pPr>
        <w:pStyle w:val="Prrafodelista"/>
        <w:jc w:val="both"/>
        <w:rPr>
          <w:rFonts w:ascii="Arial" w:hAnsi="Arial" w:cs="Arial"/>
          <w:b/>
          <w:color w:val="7B7B7B" w:themeColor="accent3" w:themeShade="BF"/>
          <w:sz w:val="22"/>
          <w:szCs w:val="22"/>
          <w:lang w:val="en-GB"/>
        </w:rPr>
      </w:pPr>
    </w:p>
    <w:p w14:paraId="793DE41C" w14:textId="77777777" w:rsidR="00CC5E6C" w:rsidRPr="002038BF" w:rsidRDefault="00CC5E6C" w:rsidP="00CC5E6C">
      <w:pPr>
        <w:pStyle w:val="Prrafodelista"/>
        <w:jc w:val="both"/>
        <w:rPr>
          <w:rFonts w:ascii="Arial" w:hAnsi="Arial" w:cs="Arial"/>
          <w:color w:val="7B7B7B" w:themeColor="accent3" w:themeShade="BF"/>
          <w:sz w:val="22"/>
          <w:szCs w:val="22"/>
          <w:lang w:val="en-GB"/>
        </w:rPr>
      </w:pPr>
    </w:p>
    <w:sdt>
      <w:sdtPr>
        <w:rPr>
          <w:rFonts w:asciiTheme="minorHAnsi" w:eastAsia="Times New Roman" w:hAnsiTheme="minorHAnsi" w:cstheme="minorBidi"/>
          <w:color w:val="auto"/>
          <w:sz w:val="20"/>
          <w:szCs w:val="24"/>
          <w:lang w:val="es-ES"/>
        </w:rPr>
        <w:id w:val="1140454213"/>
        <w:docPartObj>
          <w:docPartGallery w:val="Bibliographies"/>
          <w:docPartUnique/>
        </w:docPartObj>
      </w:sdtPr>
      <w:sdtEndPr>
        <w:rPr>
          <w:lang w:val="en-US"/>
        </w:rPr>
      </w:sdtEndPr>
      <w:sdtContent>
        <w:p w14:paraId="0AA2890B" w14:textId="1936C935" w:rsidR="009E7CCA" w:rsidRPr="00F56271" w:rsidRDefault="009E7CCA" w:rsidP="009E7CCA">
          <w:pPr>
            <w:pStyle w:val="Ttulo1"/>
            <w:jc w:val="center"/>
            <w:rPr>
              <w:rFonts w:ascii="Arial" w:eastAsia="Times New Roman" w:hAnsi="Arial" w:cs="Arial"/>
              <w:b/>
              <w:bCs/>
              <w:color w:val="7B7B7B" w:themeColor="accent3" w:themeShade="BF"/>
              <w:sz w:val="22"/>
              <w:szCs w:val="22"/>
              <w:lang w:val="en-GB"/>
            </w:rPr>
          </w:pPr>
          <w:r w:rsidRPr="00F56271">
            <w:rPr>
              <w:rFonts w:ascii="Arial" w:eastAsia="Times New Roman" w:hAnsi="Arial" w:cs="Arial"/>
              <w:b/>
              <w:bCs/>
              <w:color w:val="7B7B7B" w:themeColor="accent3" w:themeShade="BF"/>
              <w:sz w:val="22"/>
              <w:szCs w:val="22"/>
              <w:lang w:val="en-GB"/>
            </w:rPr>
            <w:t>References</w:t>
          </w:r>
        </w:p>
        <w:sdt>
          <w:sdtPr>
            <w:rPr>
              <w:rFonts w:ascii="Arial" w:hAnsi="Arial" w:cs="Arial"/>
              <w:color w:val="7B7B7B" w:themeColor="accent3" w:themeShade="BF"/>
              <w:sz w:val="22"/>
              <w:szCs w:val="22"/>
              <w:lang w:val="en-GB"/>
            </w:rPr>
            <w:id w:val="111145805"/>
            <w:bibliography/>
          </w:sdtPr>
          <w:sdtEndPr>
            <w:rPr>
              <w:rFonts w:asciiTheme="minorHAnsi" w:hAnsiTheme="minorHAnsi" w:cstheme="minorBidi"/>
              <w:color w:val="auto"/>
              <w:sz w:val="20"/>
              <w:szCs w:val="24"/>
              <w:lang w:val="en-US"/>
            </w:rPr>
          </w:sdtEndPr>
          <w:sdtContent>
            <w:p w14:paraId="6A98E751" w14:textId="77777777" w:rsidR="009E7CCA" w:rsidRPr="00F56271" w:rsidRDefault="009E7CCA" w:rsidP="009E7CCA">
              <w:pPr>
                <w:pStyle w:val="Bibliografa"/>
                <w:ind w:left="720" w:hanging="720"/>
                <w:rPr>
                  <w:rFonts w:ascii="Arial" w:hAnsi="Arial" w:cs="Arial"/>
                  <w:color w:val="7B7B7B" w:themeColor="accent3" w:themeShade="BF"/>
                  <w:sz w:val="22"/>
                  <w:szCs w:val="22"/>
                  <w:lang w:val="en-GB"/>
                </w:rPr>
              </w:pPr>
              <w:r w:rsidRPr="00F56271">
                <w:rPr>
                  <w:rFonts w:ascii="Arial" w:hAnsi="Arial" w:cs="Arial"/>
                  <w:color w:val="7B7B7B" w:themeColor="accent3" w:themeShade="BF"/>
                  <w:sz w:val="22"/>
                  <w:szCs w:val="22"/>
                  <w:lang w:val="en-GB"/>
                </w:rPr>
                <w:fldChar w:fldCharType="begin"/>
              </w:r>
              <w:r w:rsidRPr="00F56271">
                <w:rPr>
                  <w:rFonts w:ascii="Arial" w:hAnsi="Arial" w:cs="Arial"/>
                  <w:color w:val="7B7B7B" w:themeColor="accent3" w:themeShade="BF"/>
                  <w:sz w:val="22"/>
                  <w:szCs w:val="22"/>
                  <w:lang w:val="en-GB"/>
                </w:rPr>
                <w:instrText>BIBLIOGRAPHY</w:instrText>
              </w:r>
              <w:r w:rsidRPr="00F56271">
                <w:rPr>
                  <w:rFonts w:ascii="Arial" w:hAnsi="Arial" w:cs="Arial"/>
                  <w:color w:val="7B7B7B" w:themeColor="accent3" w:themeShade="BF"/>
                  <w:sz w:val="22"/>
                  <w:szCs w:val="22"/>
                  <w:lang w:val="en-GB"/>
                </w:rPr>
                <w:fldChar w:fldCharType="separate"/>
              </w:r>
              <w:r w:rsidRPr="00F56271">
                <w:rPr>
                  <w:rFonts w:ascii="Arial" w:hAnsi="Arial" w:cs="Arial"/>
                  <w:color w:val="7B7B7B" w:themeColor="accent3" w:themeShade="BF"/>
                  <w:sz w:val="22"/>
                  <w:szCs w:val="22"/>
                  <w:lang w:val="en-GB"/>
                </w:rPr>
                <w:t>Pannen, K. (2011). European Insolvency Regulation: De Gruyter commentaries on European Law. Berlin.</w:t>
              </w:r>
            </w:p>
            <w:p w14:paraId="06EEFB27" w14:textId="77777777" w:rsidR="009E7CCA" w:rsidRPr="00F56271" w:rsidRDefault="009E7CCA" w:rsidP="009E7CCA">
              <w:pPr>
                <w:pStyle w:val="Bibliografa"/>
                <w:ind w:left="720" w:hanging="720"/>
                <w:rPr>
                  <w:rFonts w:ascii="Arial" w:hAnsi="Arial" w:cs="Arial"/>
                  <w:color w:val="7B7B7B" w:themeColor="accent3" w:themeShade="BF"/>
                  <w:sz w:val="22"/>
                  <w:szCs w:val="22"/>
                  <w:lang w:val="en-GB"/>
                </w:rPr>
              </w:pPr>
              <w:r w:rsidRPr="00F56271">
                <w:rPr>
                  <w:rFonts w:ascii="Arial" w:hAnsi="Arial" w:cs="Arial"/>
                  <w:color w:val="7B7B7B" w:themeColor="accent3" w:themeShade="BF"/>
                  <w:sz w:val="22"/>
                  <w:szCs w:val="22"/>
                  <w:lang w:val="en-GB"/>
                </w:rPr>
                <w:t>The European Parliament and the Council of the European Union. (20 de May de 2015). Regulation (EU) 2015/848 of the European Parliament and of the Council of 20 May 2015. EIR Recast.</w:t>
              </w:r>
            </w:p>
            <w:p w14:paraId="1925A9CA" w14:textId="77777777" w:rsidR="009E7CCA" w:rsidRPr="00F56271" w:rsidRDefault="009E7CCA" w:rsidP="009E7CCA">
              <w:pPr>
                <w:pStyle w:val="Bibliografa"/>
                <w:ind w:left="720" w:hanging="720"/>
                <w:rPr>
                  <w:rFonts w:ascii="Arial" w:hAnsi="Arial" w:cs="Arial"/>
                  <w:color w:val="7B7B7B" w:themeColor="accent3" w:themeShade="BF"/>
                  <w:sz w:val="22"/>
                  <w:szCs w:val="22"/>
                  <w:lang w:val="en-GB"/>
                </w:rPr>
              </w:pPr>
              <w:r w:rsidRPr="00F56271">
                <w:rPr>
                  <w:rFonts w:ascii="Arial" w:hAnsi="Arial" w:cs="Arial"/>
                  <w:color w:val="7B7B7B" w:themeColor="accent3" w:themeShade="BF"/>
                  <w:sz w:val="22"/>
                  <w:szCs w:val="22"/>
                  <w:lang w:val="en-GB"/>
                </w:rPr>
                <w:t>Wessels, B., &amp; Kokorin, I. (September de 2020). European Insolvency Regulation. London, United Kingdom.</w:t>
              </w:r>
            </w:p>
            <w:p w14:paraId="187022AC" w14:textId="7D77D806" w:rsidR="009E7CCA" w:rsidRDefault="009E7CCA" w:rsidP="009E7CCA">
              <w:r w:rsidRPr="00F56271">
                <w:rPr>
                  <w:rFonts w:ascii="Arial" w:hAnsi="Arial" w:cs="Arial"/>
                  <w:color w:val="7B7B7B" w:themeColor="accent3" w:themeShade="BF"/>
                  <w:sz w:val="22"/>
                  <w:szCs w:val="22"/>
                  <w:lang w:val="en-GB"/>
                </w:rPr>
                <w:fldChar w:fldCharType="end"/>
              </w:r>
            </w:p>
          </w:sdtContent>
        </w:sdt>
      </w:sdtContent>
    </w:sdt>
    <w:p w14:paraId="35D8F287" w14:textId="33BCD202"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CEECB" w14:textId="77777777" w:rsidR="008A06BB" w:rsidRDefault="008A06BB" w:rsidP="00241B44">
      <w:r>
        <w:separator/>
      </w:r>
    </w:p>
  </w:endnote>
  <w:endnote w:type="continuationSeparator" w:id="0">
    <w:p w14:paraId="70135B4A" w14:textId="77777777" w:rsidR="008A06BB" w:rsidRDefault="008A06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0BD88E4E"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009E7CCA">
          <w:rPr>
            <w:rStyle w:val="Nmerodepgina"/>
            <w:rFonts w:ascii="Arial" w:hAnsi="Arial" w:cs="Arial"/>
            <w:noProof/>
            <w:sz w:val="18"/>
            <w:szCs w:val="18"/>
          </w:rPr>
          <w:t>13</w:t>
        </w:r>
        <w:r w:rsidRPr="009B4976">
          <w:rPr>
            <w:rStyle w:val="Nmerodepgina"/>
            <w:rFonts w:ascii="Arial" w:hAnsi="Arial" w:cs="Arial"/>
            <w:sz w:val="18"/>
            <w:szCs w:val="18"/>
          </w:rPr>
          <w:fldChar w:fldCharType="end"/>
        </w:r>
      </w:p>
    </w:sdtContent>
  </w:sdt>
  <w:p w14:paraId="30F05E79" w14:textId="42245A8B" w:rsidR="00241FA3" w:rsidRPr="009B4976" w:rsidRDefault="00487664" w:rsidP="009B4976">
    <w:pPr>
      <w:pStyle w:val="Piedepgina"/>
      <w:ind w:right="360"/>
      <w:rPr>
        <w:rFonts w:ascii="Arial" w:hAnsi="Arial" w:cs="Arial"/>
        <w:sz w:val="18"/>
        <w:szCs w:val="18"/>
        <w:lang w:val="en-GB"/>
      </w:rPr>
    </w:pPr>
    <w:r>
      <w:rPr>
        <w:rFonts w:ascii="Arial" w:hAnsi="Arial" w:cs="Arial"/>
        <w:sz w:val="18"/>
        <w:szCs w:val="18"/>
        <w:lang w:val="en-GB"/>
      </w:rPr>
      <w:t>202021IFU-330</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6DC5" w14:textId="77777777" w:rsidR="008A06BB" w:rsidRDefault="008A06BB" w:rsidP="00241B44">
      <w:r>
        <w:separator/>
      </w:r>
    </w:p>
  </w:footnote>
  <w:footnote w:type="continuationSeparator" w:id="0">
    <w:p w14:paraId="21CC0534" w14:textId="77777777" w:rsidR="008A06BB" w:rsidRDefault="008A06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41D5"/>
    <w:multiLevelType w:val="hybridMultilevel"/>
    <w:tmpl w:val="C90A0ED4"/>
    <w:lvl w:ilvl="0" w:tplc="55C84C3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348B"/>
    <w:multiLevelType w:val="hybridMultilevel"/>
    <w:tmpl w:val="01C41F24"/>
    <w:lvl w:ilvl="0" w:tplc="B784DEA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C27F52"/>
    <w:multiLevelType w:val="hybridMultilevel"/>
    <w:tmpl w:val="EB7E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62014BD"/>
    <w:multiLevelType w:val="hybridMultilevel"/>
    <w:tmpl w:val="E06A0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25F77BE"/>
    <w:multiLevelType w:val="hybridMultilevel"/>
    <w:tmpl w:val="1B20F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4"/>
  </w:num>
  <w:num w:numId="5">
    <w:abstractNumId w:val="10"/>
  </w:num>
  <w:num w:numId="6">
    <w:abstractNumId w:val="12"/>
  </w:num>
  <w:num w:numId="7">
    <w:abstractNumId w:val="2"/>
  </w:num>
  <w:num w:numId="8">
    <w:abstractNumId w:val="8"/>
  </w:num>
  <w:num w:numId="9">
    <w:abstractNumId w:val="7"/>
  </w:num>
  <w:num w:numId="10">
    <w:abstractNumId w:val="5"/>
  </w:num>
  <w:num w:numId="11">
    <w:abstractNumId w:val="9"/>
  </w:num>
  <w:num w:numId="12">
    <w:abstractNumId w:val="0"/>
  </w:num>
  <w:num w:numId="13">
    <w:abstractNumId w:val="15"/>
  </w:num>
  <w:num w:numId="14">
    <w:abstractNumId w:val="4"/>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00"/>
    <w:rsid w:val="00007146"/>
    <w:rsid w:val="00010BA0"/>
    <w:rsid w:val="0001344B"/>
    <w:rsid w:val="000159C2"/>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2EA0"/>
    <w:rsid w:val="000B5FF1"/>
    <w:rsid w:val="000B609F"/>
    <w:rsid w:val="000D55A8"/>
    <w:rsid w:val="000E4841"/>
    <w:rsid w:val="000F1677"/>
    <w:rsid w:val="000F3D6C"/>
    <w:rsid w:val="000F3F8D"/>
    <w:rsid w:val="00101707"/>
    <w:rsid w:val="00113E29"/>
    <w:rsid w:val="0011473D"/>
    <w:rsid w:val="00115C85"/>
    <w:rsid w:val="00123855"/>
    <w:rsid w:val="00126A4D"/>
    <w:rsid w:val="0014171F"/>
    <w:rsid w:val="00142137"/>
    <w:rsid w:val="00143397"/>
    <w:rsid w:val="0014622C"/>
    <w:rsid w:val="00151C84"/>
    <w:rsid w:val="00152348"/>
    <w:rsid w:val="0015456D"/>
    <w:rsid w:val="00155FA2"/>
    <w:rsid w:val="00161F1B"/>
    <w:rsid w:val="00162829"/>
    <w:rsid w:val="00174DC4"/>
    <w:rsid w:val="00175A7D"/>
    <w:rsid w:val="00180548"/>
    <w:rsid w:val="00180AC4"/>
    <w:rsid w:val="00180CCE"/>
    <w:rsid w:val="0018267A"/>
    <w:rsid w:val="00182779"/>
    <w:rsid w:val="001830DF"/>
    <w:rsid w:val="00186457"/>
    <w:rsid w:val="00187A34"/>
    <w:rsid w:val="001966D9"/>
    <w:rsid w:val="001A7E9A"/>
    <w:rsid w:val="001B0F70"/>
    <w:rsid w:val="001B24F7"/>
    <w:rsid w:val="001B5016"/>
    <w:rsid w:val="001C45FC"/>
    <w:rsid w:val="001D0469"/>
    <w:rsid w:val="001D4862"/>
    <w:rsid w:val="001D6E1C"/>
    <w:rsid w:val="001E25B9"/>
    <w:rsid w:val="001E49E0"/>
    <w:rsid w:val="001E5F8A"/>
    <w:rsid w:val="001E7B5A"/>
    <w:rsid w:val="001F326A"/>
    <w:rsid w:val="001F7412"/>
    <w:rsid w:val="00202DFE"/>
    <w:rsid w:val="00203720"/>
    <w:rsid w:val="002038BF"/>
    <w:rsid w:val="0020725B"/>
    <w:rsid w:val="002110F1"/>
    <w:rsid w:val="00222FB5"/>
    <w:rsid w:val="00225EDC"/>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0EF4"/>
    <w:rsid w:val="002C13C8"/>
    <w:rsid w:val="002C3547"/>
    <w:rsid w:val="002D0021"/>
    <w:rsid w:val="002D3473"/>
    <w:rsid w:val="002E406E"/>
    <w:rsid w:val="002E6EE4"/>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2AA9"/>
    <w:rsid w:val="0035405E"/>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3F06CA"/>
    <w:rsid w:val="00404329"/>
    <w:rsid w:val="00405DC1"/>
    <w:rsid w:val="00415F1F"/>
    <w:rsid w:val="0042108F"/>
    <w:rsid w:val="00430FED"/>
    <w:rsid w:val="00434A8C"/>
    <w:rsid w:val="00437297"/>
    <w:rsid w:val="00444284"/>
    <w:rsid w:val="00445CE6"/>
    <w:rsid w:val="00451B0D"/>
    <w:rsid w:val="004534C2"/>
    <w:rsid w:val="0045446F"/>
    <w:rsid w:val="0045683E"/>
    <w:rsid w:val="00465BFF"/>
    <w:rsid w:val="00476281"/>
    <w:rsid w:val="00477C72"/>
    <w:rsid w:val="00487664"/>
    <w:rsid w:val="00491675"/>
    <w:rsid w:val="00493855"/>
    <w:rsid w:val="00495E79"/>
    <w:rsid w:val="004A0692"/>
    <w:rsid w:val="004A57DD"/>
    <w:rsid w:val="004A7B51"/>
    <w:rsid w:val="004A7D71"/>
    <w:rsid w:val="004A7EF3"/>
    <w:rsid w:val="004B11FD"/>
    <w:rsid w:val="004B23A2"/>
    <w:rsid w:val="004C0D03"/>
    <w:rsid w:val="004C0D33"/>
    <w:rsid w:val="004C5035"/>
    <w:rsid w:val="004D1A5A"/>
    <w:rsid w:val="004D2FFF"/>
    <w:rsid w:val="004D3721"/>
    <w:rsid w:val="004D64F9"/>
    <w:rsid w:val="004E3A6B"/>
    <w:rsid w:val="004E622C"/>
    <w:rsid w:val="004F5FDF"/>
    <w:rsid w:val="005177FE"/>
    <w:rsid w:val="0052263B"/>
    <w:rsid w:val="00524728"/>
    <w:rsid w:val="0052579E"/>
    <w:rsid w:val="005331CA"/>
    <w:rsid w:val="00534D87"/>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5DAF"/>
    <w:rsid w:val="005A726D"/>
    <w:rsid w:val="005B67AC"/>
    <w:rsid w:val="005B79F4"/>
    <w:rsid w:val="005D43E0"/>
    <w:rsid w:val="005D4F52"/>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41C9A"/>
    <w:rsid w:val="006465CD"/>
    <w:rsid w:val="00652E37"/>
    <w:rsid w:val="00654B27"/>
    <w:rsid w:val="00654C2F"/>
    <w:rsid w:val="00657087"/>
    <w:rsid w:val="006603F1"/>
    <w:rsid w:val="006639DB"/>
    <w:rsid w:val="006661EF"/>
    <w:rsid w:val="00676F05"/>
    <w:rsid w:val="00677AEB"/>
    <w:rsid w:val="00680EF2"/>
    <w:rsid w:val="00687A1D"/>
    <w:rsid w:val="00697EA1"/>
    <w:rsid w:val="006A2646"/>
    <w:rsid w:val="006A6530"/>
    <w:rsid w:val="006B435A"/>
    <w:rsid w:val="006B4C64"/>
    <w:rsid w:val="006C5677"/>
    <w:rsid w:val="006C61F5"/>
    <w:rsid w:val="006D6BD5"/>
    <w:rsid w:val="006E481A"/>
    <w:rsid w:val="006E5287"/>
    <w:rsid w:val="006E5298"/>
    <w:rsid w:val="006E6E9B"/>
    <w:rsid w:val="006F4A78"/>
    <w:rsid w:val="006F734A"/>
    <w:rsid w:val="00700D83"/>
    <w:rsid w:val="00704852"/>
    <w:rsid w:val="007074E9"/>
    <w:rsid w:val="00713DA4"/>
    <w:rsid w:val="00714BF1"/>
    <w:rsid w:val="00721383"/>
    <w:rsid w:val="00722D25"/>
    <w:rsid w:val="00727C75"/>
    <w:rsid w:val="0073158B"/>
    <w:rsid w:val="007333CC"/>
    <w:rsid w:val="0073399A"/>
    <w:rsid w:val="007344B6"/>
    <w:rsid w:val="007603F5"/>
    <w:rsid w:val="00764DB0"/>
    <w:rsid w:val="0076764D"/>
    <w:rsid w:val="00773DB9"/>
    <w:rsid w:val="0077498C"/>
    <w:rsid w:val="007809BC"/>
    <w:rsid w:val="00782EE1"/>
    <w:rsid w:val="00784128"/>
    <w:rsid w:val="00793173"/>
    <w:rsid w:val="007A107A"/>
    <w:rsid w:val="007A2A33"/>
    <w:rsid w:val="007A7B20"/>
    <w:rsid w:val="007C1FCC"/>
    <w:rsid w:val="007C50AA"/>
    <w:rsid w:val="007C6201"/>
    <w:rsid w:val="007D77FF"/>
    <w:rsid w:val="007D7C92"/>
    <w:rsid w:val="007E1154"/>
    <w:rsid w:val="007E39B3"/>
    <w:rsid w:val="007E44C4"/>
    <w:rsid w:val="007E6BA4"/>
    <w:rsid w:val="007F41F8"/>
    <w:rsid w:val="007F6A57"/>
    <w:rsid w:val="00800B76"/>
    <w:rsid w:val="008017F0"/>
    <w:rsid w:val="0080454E"/>
    <w:rsid w:val="00804C32"/>
    <w:rsid w:val="00804DA6"/>
    <w:rsid w:val="00806302"/>
    <w:rsid w:val="0080679E"/>
    <w:rsid w:val="00807119"/>
    <w:rsid w:val="0082483F"/>
    <w:rsid w:val="008279C0"/>
    <w:rsid w:val="00841051"/>
    <w:rsid w:val="008500BD"/>
    <w:rsid w:val="00853C3D"/>
    <w:rsid w:val="00860723"/>
    <w:rsid w:val="0086229B"/>
    <w:rsid w:val="008723F3"/>
    <w:rsid w:val="00874240"/>
    <w:rsid w:val="00881DE6"/>
    <w:rsid w:val="008837A6"/>
    <w:rsid w:val="00885C9B"/>
    <w:rsid w:val="0089145D"/>
    <w:rsid w:val="00894C1D"/>
    <w:rsid w:val="008A06BB"/>
    <w:rsid w:val="008A33B3"/>
    <w:rsid w:val="008A4DF2"/>
    <w:rsid w:val="008A6CFE"/>
    <w:rsid w:val="008B5333"/>
    <w:rsid w:val="008B6223"/>
    <w:rsid w:val="008C48EB"/>
    <w:rsid w:val="008C4AC6"/>
    <w:rsid w:val="008C66E0"/>
    <w:rsid w:val="008E0EC8"/>
    <w:rsid w:val="008E3339"/>
    <w:rsid w:val="008F20FC"/>
    <w:rsid w:val="008F5FFE"/>
    <w:rsid w:val="00905A43"/>
    <w:rsid w:val="00912C79"/>
    <w:rsid w:val="00914A23"/>
    <w:rsid w:val="00942123"/>
    <w:rsid w:val="00950484"/>
    <w:rsid w:val="0095207B"/>
    <w:rsid w:val="0095426A"/>
    <w:rsid w:val="00962045"/>
    <w:rsid w:val="00967219"/>
    <w:rsid w:val="00980E61"/>
    <w:rsid w:val="00991428"/>
    <w:rsid w:val="00992676"/>
    <w:rsid w:val="009954B2"/>
    <w:rsid w:val="00996691"/>
    <w:rsid w:val="009B0723"/>
    <w:rsid w:val="009B07AD"/>
    <w:rsid w:val="009B0883"/>
    <w:rsid w:val="009B15E2"/>
    <w:rsid w:val="009B4976"/>
    <w:rsid w:val="009B6949"/>
    <w:rsid w:val="009C0B8E"/>
    <w:rsid w:val="009C1BC8"/>
    <w:rsid w:val="009C2442"/>
    <w:rsid w:val="009C5E52"/>
    <w:rsid w:val="009D0811"/>
    <w:rsid w:val="009D0EE1"/>
    <w:rsid w:val="009E2AEB"/>
    <w:rsid w:val="009E2E27"/>
    <w:rsid w:val="009E4DE3"/>
    <w:rsid w:val="009E6D9D"/>
    <w:rsid w:val="009E7CCA"/>
    <w:rsid w:val="009F275E"/>
    <w:rsid w:val="00A047EE"/>
    <w:rsid w:val="00A11E80"/>
    <w:rsid w:val="00A17858"/>
    <w:rsid w:val="00A20F40"/>
    <w:rsid w:val="00A2274A"/>
    <w:rsid w:val="00A235B7"/>
    <w:rsid w:val="00A27A7A"/>
    <w:rsid w:val="00A407EF"/>
    <w:rsid w:val="00A46B4C"/>
    <w:rsid w:val="00A5117B"/>
    <w:rsid w:val="00A52C3D"/>
    <w:rsid w:val="00A54A9A"/>
    <w:rsid w:val="00A54CB5"/>
    <w:rsid w:val="00A60074"/>
    <w:rsid w:val="00A62FDA"/>
    <w:rsid w:val="00A639A1"/>
    <w:rsid w:val="00A6627C"/>
    <w:rsid w:val="00A71019"/>
    <w:rsid w:val="00A805BA"/>
    <w:rsid w:val="00A81029"/>
    <w:rsid w:val="00A8428B"/>
    <w:rsid w:val="00A96489"/>
    <w:rsid w:val="00A97368"/>
    <w:rsid w:val="00AB685C"/>
    <w:rsid w:val="00AB6C2D"/>
    <w:rsid w:val="00AC08F7"/>
    <w:rsid w:val="00AC3839"/>
    <w:rsid w:val="00AC7082"/>
    <w:rsid w:val="00AD056D"/>
    <w:rsid w:val="00AD2931"/>
    <w:rsid w:val="00AD513F"/>
    <w:rsid w:val="00AE2316"/>
    <w:rsid w:val="00AE74BA"/>
    <w:rsid w:val="00AF228E"/>
    <w:rsid w:val="00AF2A54"/>
    <w:rsid w:val="00B016A8"/>
    <w:rsid w:val="00B12708"/>
    <w:rsid w:val="00B14819"/>
    <w:rsid w:val="00B15E2F"/>
    <w:rsid w:val="00B17AA9"/>
    <w:rsid w:val="00B30D9A"/>
    <w:rsid w:val="00B44713"/>
    <w:rsid w:val="00B45B46"/>
    <w:rsid w:val="00B56103"/>
    <w:rsid w:val="00B57804"/>
    <w:rsid w:val="00B64929"/>
    <w:rsid w:val="00B736DF"/>
    <w:rsid w:val="00B743D6"/>
    <w:rsid w:val="00B74FBD"/>
    <w:rsid w:val="00B77F46"/>
    <w:rsid w:val="00B82586"/>
    <w:rsid w:val="00B829A3"/>
    <w:rsid w:val="00B86DB1"/>
    <w:rsid w:val="00B87869"/>
    <w:rsid w:val="00B8791C"/>
    <w:rsid w:val="00B96CE3"/>
    <w:rsid w:val="00BA1092"/>
    <w:rsid w:val="00BB0F2B"/>
    <w:rsid w:val="00BB38D1"/>
    <w:rsid w:val="00BC61F2"/>
    <w:rsid w:val="00BE4FF3"/>
    <w:rsid w:val="00BF50F7"/>
    <w:rsid w:val="00C02F29"/>
    <w:rsid w:val="00C207EA"/>
    <w:rsid w:val="00C20AFE"/>
    <w:rsid w:val="00C2123F"/>
    <w:rsid w:val="00C22A25"/>
    <w:rsid w:val="00C35671"/>
    <w:rsid w:val="00C35B77"/>
    <w:rsid w:val="00C376EB"/>
    <w:rsid w:val="00C46A92"/>
    <w:rsid w:val="00C46EC1"/>
    <w:rsid w:val="00C52796"/>
    <w:rsid w:val="00C53E2C"/>
    <w:rsid w:val="00C550C8"/>
    <w:rsid w:val="00C56B61"/>
    <w:rsid w:val="00C606C3"/>
    <w:rsid w:val="00C620F4"/>
    <w:rsid w:val="00C63E03"/>
    <w:rsid w:val="00C65397"/>
    <w:rsid w:val="00C7213D"/>
    <w:rsid w:val="00C72848"/>
    <w:rsid w:val="00C73564"/>
    <w:rsid w:val="00C7729F"/>
    <w:rsid w:val="00C7736C"/>
    <w:rsid w:val="00C82D87"/>
    <w:rsid w:val="00C86AD7"/>
    <w:rsid w:val="00C8712A"/>
    <w:rsid w:val="00C963D3"/>
    <w:rsid w:val="00CB1983"/>
    <w:rsid w:val="00CB2CBB"/>
    <w:rsid w:val="00CB7CAC"/>
    <w:rsid w:val="00CC5335"/>
    <w:rsid w:val="00CC5BA4"/>
    <w:rsid w:val="00CC5E6C"/>
    <w:rsid w:val="00CD4998"/>
    <w:rsid w:val="00CD5B28"/>
    <w:rsid w:val="00CE1035"/>
    <w:rsid w:val="00CE1141"/>
    <w:rsid w:val="00CE6E50"/>
    <w:rsid w:val="00CF2819"/>
    <w:rsid w:val="00CF4F9D"/>
    <w:rsid w:val="00CF53B5"/>
    <w:rsid w:val="00CF588D"/>
    <w:rsid w:val="00CF70DC"/>
    <w:rsid w:val="00D03761"/>
    <w:rsid w:val="00D148DC"/>
    <w:rsid w:val="00D17FDC"/>
    <w:rsid w:val="00D26E26"/>
    <w:rsid w:val="00D54AA8"/>
    <w:rsid w:val="00D56B4E"/>
    <w:rsid w:val="00D608A4"/>
    <w:rsid w:val="00D60E46"/>
    <w:rsid w:val="00D63EFD"/>
    <w:rsid w:val="00D64362"/>
    <w:rsid w:val="00D651FD"/>
    <w:rsid w:val="00D75351"/>
    <w:rsid w:val="00D82692"/>
    <w:rsid w:val="00D843E6"/>
    <w:rsid w:val="00D84752"/>
    <w:rsid w:val="00D86B3B"/>
    <w:rsid w:val="00D8748A"/>
    <w:rsid w:val="00D93196"/>
    <w:rsid w:val="00D9336F"/>
    <w:rsid w:val="00D95496"/>
    <w:rsid w:val="00D95FA2"/>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DF7A65"/>
    <w:rsid w:val="00E00C00"/>
    <w:rsid w:val="00E07C5A"/>
    <w:rsid w:val="00E15BA9"/>
    <w:rsid w:val="00E224A1"/>
    <w:rsid w:val="00E26E19"/>
    <w:rsid w:val="00E30C8A"/>
    <w:rsid w:val="00E31DF3"/>
    <w:rsid w:val="00E450A4"/>
    <w:rsid w:val="00E506BE"/>
    <w:rsid w:val="00E54B8C"/>
    <w:rsid w:val="00E55547"/>
    <w:rsid w:val="00E604A1"/>
    <w:rsid w:val="00E6302B"/>
    <w:rsid w:val="00E6452F"/>
    <w:rsid w:val="00E64F45"/>
    <w:rsid w:val="00E6742D"/>
    <w:rsid w:val="00E71CB0"/>
    <w:rsid w:val="00E77C3D"/>
    <w:rsid w:val="00E81160"/>
    <w:rsid w:val="00E83CE8"/>
    <w:rsid w:val="00E85610"/>
    <w:rsid w:val="00E90991"/>
    <w:rsid w:val="00E909F0"/>
    <w:rsid w:val="00E90D47"/>
    <w:rsid w:val="00E92AA8"/>
    <w:rsid w:val="00E93993"/>
    <w:rsid w:val="00E9597C"/>
    <w:rsid w:val="00E968FB"/>
    <w:rsid w:val="00EA0913"/>
    <w:rsid w:val="00EA5B00"/>
    <w:rsid w:val="00EB146B"/>
    <w:rsid w:val="00EB45AC"/>
    <w:rsid w:val="00EB5CA4"/>
    <w:rsid w:val="00EC00F9"/>
    <w:rsid w:val="00EC3635"/>
    <w:rsid w:val="00ED0BC4"/>
    <w:rsid w:val="00ED20E8"/>
    <w:rsid w:val="00ED472A"/>
    <w:rsid w:val="00ED54B6"/>
    <w:rsid w:val="00EE4971"/>
    <w:rsid w:val="00EE7244"/>
    <w:rsid w:val="00EF090E"/>
    <w:rsid w:val="00F033DA"/>
    <w:rsid w:val="00F13FB1"/>
    <w:rsid w:val="00F201B0"/>
    <w:rsid w:val="00F27CD8"/>
    <w:rsid w:val="00F30351"/>
    <w:rsid w:val="00F3323E"/>
    <w:rsid w:val="00F341F4"/>
    <w:rsid w:val="00F34F9D"/>
    <w:rsid w:val="00F35CCE"/>
    <w:rsid w:val="00F514F9"/>
    <w:rsid w:val="00F51687"/>
    <w:rsid w:val="00F5524B"/>
    <w:rsid w:val="00F56271"/>
    <w:rsid w:val="00F60538"/>
    <w:rsid w:val="00F61DD2"/>
    <w:rsid w:val="00F6603B"/>
    <w:rsid w:val="00F66AFF"/>
    <w:rsid w:val="00F71433"/>
    <w:rsid w:val="00F76CD4"/>
    <w:rsid w:val="00F83464"/>
    <w:rsid w:val="00F93BE7"/>
    <w:rsid w:val="00F945C6"/>
    <w:rsid w:val="00F97C5B"/>
    <w:rsid w:val="00FA3D50"/>
    <w:rsid w:val="00FB44F5"/>
    <w:rsid w:val="00FB7FBD"/>
    <w:rsid w:val="00FC2BEC"/>
    <w:rsid w:val="00FC374A"/>
    <w:rsid w:val="00FC48D8"/>
    <w:rsid w:val="00FC58F4"/>
    <w:rsid w:val="00FC6087"/>
    <w:rsid w:val="00FC7B47"/>
    <w:rsid w:val="00FD035C"/>
    <w:rsid w:val="00FD1A35"/>
    <w:rsid w:val="00FD36C5"/>
    <w:rsid w:val="00FD6310"/>
    <w:rsid w:val="00FD7C7B"/>
    <w:rsid w:val="00FE0088"/>
    <w:rsid w:val="00FE1D12"/>
    <w:rsid w:val="00FE2122"/>
    <w:rsid w:val="00FE2A86"/>
    <w:rsid w:val="00FE2DE2"/>
    <w:rsid w:val="00FF296F"/>
    <w:rsid w:val="00FF5DE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Ttulo1">
    <w:name w:val="heading 1"/>
    <w:basedOn w:val="Normal"/>
    <w:next w:val="Normal"/>
    <w:link w:val="Ttulo1Car"/>
    <w:uiPriority w:val="9"/>
    <w:qFormat/>
    <w:rsid w:val="009E7CC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F6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E7CCA"/>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9E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2931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246977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3268310">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95926669">
      <w:bodyDiv w:val="1"/>
      <w:marLeft w:val="0"/>
      <w:marRight w:val="0"/>
      <w:marTop w:val="0"/>
      <w:marBottom w:val="0"/>
      <w:divBdr>
        <w:top w:val="none" w:sz="0" w:space="0" w:color="auto"/>
        <w:left w:val="none" w:sz="0" w:space="0" w:color="auto"/>
        <w:bottom w:val="none" w:sz="0" w:space="0" w:color="auto"/>
        <w:right w:val="none" w:sz="0" w:space="0" w:color="auto"/>
      </w:divBdr>
    </w:div>
    <w:div w:id="151480091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Wes20</b:Tag>
    <b:SourceType>ElectronicSource</b:SourceType>
    <b:Guid>{8950B27C-41AA-4D45-8D45-06E963101BE6}</b:Guid>
    <b:Title>European Insolvency Regulation</b:Title>
    <b:City>London</b:City>
    <b:CountryRegion>United Kingdom</b:CountryRegion>
    <b:Year>2020</b:Year>
    <b:Month>September</b:Month>
    <b:Author>
      <b:Author>
        <b:NameList>
          <b:Person>
            <b:Last>Wessels</b:Last>
            <b:First>Bob</b:First>
          </b:Person>
          <b:Person>
            <b:Last>Kokorin</b:Last>
            <b:First>Ilya</b:First>
          </b:Person>
        </b:NameList>
      </b:Author>
    </b:Author>
    <b:RefOrder>1</b:RefOrder>
  </b:Source>
  <b:Source>
    <b:Tag>The15</b:Tag>
    <b:SourceType>Misc</b:SourceType>
    <b:Guid>{68E469E8-5ACC-4428-8C8F-EB5486F8AB27}</b:Guid>
    <b:Title>Regulation (EU) 2015/848 of the European Parliament and of the Council of 20 May 2015</b:Title>
    <b:Year>2015</b:Year>
    <b:Month>May</b:Month>
    <b:Day>20</b:Day>
    <b:Author>
      <b:Author>
        <b:Corporate>The European Parliament and the Council of the European Union</b:Corporate>
      </b:Author>
    </b:Author>
    <b:PublicationTitle>EIR Recast</b:PublicationTitle>
    <b:RefOrder>2</b:RefOrder>
  </b:Source>
  <b:Source>
    <b:Tag>Pan11</b:Tag>
    <b:SourceType>Book</b:SourceType>
    <b:Guid>{817CF7B3-72B6-4225-91DF-5214E2A2CF01}</b:Guid>
    <b:Title>European Insolvency Regulation: De Gruyter commentaries on European Law</b:Title>
    <b:City>Berlin</b:City>
    <b:Year>2011</b:Year>
    <b:Author>
      <b:Author>
        <b:NameList>
          <b:Person>
            <b:Last>Pannen</b:Last>
            <b:First>Klaus</b:First>
          </b:Person>
        </b:NameList>
      </b:Author>
    </b:Author>
    <b:RefOrder>3</b:RefOrder>
  </b:Source>
</b:Sources>
</file>

<file path=customXml/itemProps1.xml><?xml version="1.0" encoding="utf-8"?>
<ds:datastoreItem xmlns:ds="http://schemas.openxmlformats.org/officeDocument/2006/customXml" ds:itemID="{082C6B78-275D-4806-BD53-C60B4956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13</Pages>
  <Words>4882</Words>
  <Characters>26855</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cp:lastPrinted>2019-08-27T05:42:00Z</cp:lastPrinted>
  <dcterms:created xsi:type="dcterms:W3CDTF">2020-09-29T11:34:00Z</dcterms:created>
  <dcterms:modified xsi:type="dcterms:W3CDTF">2021-07-31T05:01:00Z</dcterms:modified>
</cp:coreProperties>
</file>