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Prrafodelista"/>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Pr="00A82ED4" w:rsidRDefault="00E443D7" w:rsidP="00B04033">
      <w:pPr>
        <w:pStyle w:val="Prrafodelista"/>
        <w:numPr>
          <w:ilvl w:val="0"/>
          <w:numId w:val="1"/>
        </w:numPr>
        <w:ind w:left="426"/>
        <w:jc w:val="both"/>
        <w:rPr>
          <w:rFonts w:ascii="Arial" w:hAnsi="Arial" w:cs="Arial"/>
          <w:sz w:val="22"/>
          <w:szCs w:val="22"/>
          <w:highlight w:val="yellow"/>
          <w:lang w:val="en-GB"/>
        </w:rPr>
      </w:pPr>
      <w:r w:rsidRPr="00A82ED4">
        <w:rPr>
          <w:rFonts w:ascii="Arial" w:hAnsi="Arial" w:cs="Arial"/>
          <w:sz w:val="22"/>
          <w:szCs w:val="22"/>
          <w:highlight w:val="yellow"/>
          <w:lang w:val="en-GB"/>
        </w:rPr>
        <w:t>20 business days</w:t>
      </w:r>
      <w:r w:rsidR="00763348" w:rsidRPr="00A82ED4">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Prrafodelista"/>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Prrafodelista"/>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Prrafodelista"/>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Prrafodelista"/>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Prrafodelista"/>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100D19" w:rsidRDefault="00E443D7" w:rsidP="00B04033">
      <w:pPr>
        <w:pStyle w:val="Prrafodelista"/>
        <w:numPr>
          <w:ilvl w:val="0"/>
          <w:numId w:val="2"/>
        </w:numPr>
        <w:ind w:left="426"/>
        <w:jc w:val="both"/>
        <w:rPr>
          <w:rFonts w:ascii="Arial" w:hAnsi="Arial" w:cs="Arial"/>
          <w:sz w:val="22"/>
          <w:szCs w:val="22"/>
          <w:highlight w:val="yellow"/>
          <w:lang w:val="en-GB"/>
        </w:rPr>
      </w:pPr>
      <w:r w:rsidRPr="00100D19">
        <w:rPr>
          <w:rFonts w:ascii="Arial" w:hAnsi="Arial" w:cs="Arial"/>
          <w:sz w:val="22"/>
          <w:szCs w:val="22"/>
          <w:highlight w:val="yellow"/>
          <w:lang w:val="en-GB"/>
        </w:rPr>
        <w:t>One year</w:t>
      </w:r>
      <w:r w:rsidR="00763348" w:rsidRPr="00100D19">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Which of the following is not a requirement for a company which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Prrafodelista"/>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Prrafodelista"/>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Prrafodelista"/>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384B92" w:rsidRDefault="008D1616" w:rsidP="00B04033">
      <w:pPr>
        <w:pStyle w:val="Prrafodelista"/>
        <w:numPr>
          <w:ilvl w:val="0"/>
          <w:numId w:val="3"/>
        </w:numPr>
        <w:ind w:left="426"/>
        <w:jc w:val="both"/>
        <w:rPr>
          <w:rFonts w:ascii="Arial" w:hAnsi="Arial" w:cs="Arial"/>
          <w:sz w:val="22"/>
          <w:szCs w:val="22"/>
          <w:highlight w:val="yellow"/>
          <w:lang w:val="en-GB"/>
        </w:rPr>
      </w:pPr>
      <w:r w:rsidRPr="00384B92">
        <w:rPr>
          <w:rFonts w:ascii="Arial" w:hAnsi="Arial" w:cs="Arial"/>
          <w:sz w:val="22"/>
          <w:szCs w:val="22"/>
          <w:highlight w:val="yellow"/>
          <w:lang w:val="en-GB"/>
        </w:rPr>
        <w:t>the company is, or is likely to become, unable to pay their debts, as defined under s</w:t>
      </w:r>
      <w:r w:rsidR="00E833F4" w:rsidRPr="00384B92">
        <w:rPr>
          <w:rFonts w:ascii="Arial" w:hAnsi="Arial" w:cs="Arial"/>
          <w:sz w:val="22"/>
          <w:szCs w:val="22"/>
          <w:highlight w:val="yellow"/>
          <w:lang w:val="en-GB"/>
        </w:rPr>
        <w:t>ection</w:t>
      </w:r>
      <w:r w:rsidRPr="00384B92">
        <w:rPr>
          <w:rFonts w:ascii="Arial" w:hAnsi="Arial" w:cs="Arial"/>
          <w:sz w:val="22"/>
          <w:szCs w:val="22"/>
          <w:highlight w:val="yellow"/>
          <w:lang w:val="en-GB"/>
        </w:rPr>
        <w:t xml:space="preserve"> 123 of the Insolvency Act 1986</w:t>
      </w:r>
      <w:r w:rsidR="00763348" w:rsidRPr="00384B92">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Prrafodelista"/>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Prrafodelista"/>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Pr="00C6333F" w:rsidRDefault="008D1616" w:rsidP="00B04033">
      <w:pPr>
        <w:pStyle w:val="Prrafodelista"/>
        <w:numPr>
          <w:ilvl w:val="0"/>
          <w:numId w:val="4"/>
        </w:numPr>
        <w:ind w:left="426"/>
        <w:jc w:val="both"/>
        <w:rPr>
          <w:rFonts w:ascii="Arial" w:hAnsi="Arial" w:cs="Arial"/>
          <w:sz w:val="22"/>
          <w:szCs w:val="22"/>
          <w:highlight w:val="yellow"/>
          <w:lang w:val="en-GB"/>
        </w:rPr>
      </w:pPr>
      <w:r w:rsidRPr="00C6333F">
        <w:rPr>
          <w:rFonts w:ascii="Arial" w:hAnsi="Arial" w:cs="Arial"/>
          <w:sz w:val="22"/>
          <w:szCs w:val="22"/>
          <w:highlight w:val="yellow"/>
          <w:lang w:val="en-GB"/>
        </w:rPr>
        <w:t xml:space="preserve">A majority in number and </w:t>
      </w:r>
      <w:r w:rsidR="00867701" w:rsidRPr="00C6333F">
        <w:rPr>
          <w:rFonts w:ascii="Arial" w:hAnsi="Arial" w:cs="Arial"/>
          <w:sz w:val="22"/>
          <w:szCs w:val="22"/>
          <w:highlight w:val="yellow"/>
          <w:lang w:val="en-GB"/>
        </w:rPr>
        <w:t xml:space="preserve">75% </w:t>
      </w:r>
      <w:r w:rsidRPr="00C6333F">
        <w:rPr>
          <w:rFonts w:ascii="Arial" w:hAnsi="Arial" w:cs="Arial"/>
          <w:sz w:val="22"/>
          <w:szCs w:val="22"/>
          <w:highlight w:val="yellow"/>
          <w:lang w:val="en-GB"/>
        </w:rPr>
        <w:t xml:space="preserve">or more </w:t>
      </w:r>
      <w:r w:rsidR="00867701" w:rsidRPr="00C6333F">
        <w:rPr>
          <w:rFonts w:ascii="Arial" w:hAnsi="Arial" w:cs="Arial"/>
          <w:sz w:val="22"/>
          <w:szCs w:val="22"/>
          <w:highlight w:val="yellow"/>
          <w:lang w:val="en-GB"/>
        </w:rPr>
        <w:t>in value</w:t>
      </w:r>
      <w:r w:rsidR="00763348" w:rsidRPr="00C6333F">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Prrafodelista"/>
        <w:numPr>
          <w:ilvl w:val="0"/>
          <w:numId w:val="4"/>
        </w:numPr>
        <w:ind w:left="426"/>
        <w:jc w:val="both"/>
        <w:rPr>
          <w:rFonts w:ascii="Arial" w:hAnsi="Arial" w:cs="Arial"/>
          <w:sz w:val="22"/>
          <w:szCs w:val="22"/>
          <w:lang w:val="en-GB"/>
        </w:rPr>
      </w:pPr>
      <w:r w:rsidRPr="00C55824">
        <w:rPr>
          <w:rFonts w:ascii="Arial" w:hAnsi="Arial" w:cs="Arial"/>
          <w:sz w:val="22"/>
          <w:szCs w:val="22"/>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65062" w:rsidRDefault="00BA1CFD" w:rsidP="00B04033">
      <w:pPr>
        <w:pStyle w:val="Prrafodelista"/>
        <w:numPr>
          <w:ilvl w:val="0"/>
          <w:numId w:val="5"/>
        </w:numPr>
        <w:ind w:left="426"/>
        <w:jc w:val="both"/>
        <w:rPr>
          <w:rFonts w:ascii="Arial" w:hAnsi="Arial" w:cs="Arial"/>
          <w:sz w:val="22"/>
          <w:szCs w:val="22"/>
          <w:highlight w:val="yellow"/>
          <w:lang w:val="en-GB"/>
        </w:rPr>
      </w:pPr>
      <w:r w:rsidRPr="00F65062">
        <w:rPr>
          <w:rFonts w:ascii="Arial" w:hAnsi="Arial" w:cs="Arial"/>
          <w:sz w:val="22"/>
          <w:szCs w:val="22"/>
          <w:highlight w:val="yellow"/>
          <w:lang w:val="en-GB"/>
        </w:rPr>
        <w:t>Administration</w:t>
      </w:r>
      <w:r w:rsidR="00763348" w:rsidRPr="00F65062">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Prrafodelista"/>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Prrafodelista"/>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Prrafodelista"/>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Prrafodelista"/>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Prrafodelista"/>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565671" w:rsidRDefault="00BA1CFD" w:rsidP="00B04033">
      <w:pPr>
        <w:pStyle w:val="Prrafodelista"/>
        <w:numPr>
          <w:ilvl w:val="0"/>
          <w:numId w:val="6"/>
        </w:numPr>
        <w:ind w:left="426"/>
        <w:jc w:val="both"/>
        <w:rPr>
          <w:rFonts w:ascii="Arial" w:hAnsi="Arial" w:cs="Arial"/>
          <w:sz w:val="22"/>
          <w:szCs w:val="22"/>
          <w:highlight w:val="yellow"/>
          <w:lang w:val="en-GB"/>
        </w:rPr>
      </w:pPr>
      <w:r w:rsidRPr="00565671">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Prrafodelista"/>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Prrafodelista"/>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9D5E9D" w:rsidRDefault="00BA1CFD" w:rsidP="00B04033">
      <w:pPr>
        <w:pStyle w:val="Prrafodelista"/>
        <w:numPr>
          <w:ilvl w:val="0"/>
          <w:numId w:val="7"/>
        </w:numPr>
        <w:ind w:left="426"/>
        <w:jc w:val="both"/>
        <w:rPr>
          <w:rFonts w:ascii="Arial" w:hAnsi="Arial" w:cs="Arial"/>
          <w:sz w:val="22"/>
          <w:szCs w:val="22"/>
          <w:highlight w:val="yellow"/>
          <w:lang w:val="en-GB"/>
        </w:rPr>
      </w:pPr>
      <w:r w:rsidRPr="009D5E9D">
        <w:rPr>
          <w:rFonts w:ascii="Arial" w:hAnsi="Arial" w:cs="Arial"/>
          <w:sz w:val="22"/>
          <w:szCs w:val="22"/>
          <w:highlight w:val="yellow"/>
          <w:lang w:val="en-GB"/>
        </w:rPr>
        <w:t>Breach of fiduciary duty</w:t>
      </w:r>
      <w:r w:rsidR="00763348" w:rsidRPr="009D5E9D">
        <w:rPr>
          <w:rFonts w:ascii="Arial" w:hAnsi="Arial" w:cs="Arial"/>
          <w:sz w:val="22"/>
          <w:szCs w:val="22"/>
          <w:highlight w:val="yellow"/>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Prrafodelista"/>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Prrafodelista"/>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Prrafodelista"/>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BA603A" w:rsidRDefault="00876F56" w:rsidP="00B04033">
      <w:pPr>
        <w:pStyle w:val="Prrafodelista"/>
        <w:numPr>
          <w:ilvl w:val="0"/>
          <w:numId w:val="8"/>
        </w:numPr>
        <w:ind w:left="426"/>
        <w:jc w:val="both"/>
        <w:rPr>
          <w:rFonts w:ascii="Arial" w:hAnsi="Arial" w:cs="Arial"/>
          <w:sz w:val="22"/>
          <w:szCs w:val="22"/>
          <w:highlight w:val="yellow"/>
          <w:lang w:val="en-GB"/>
        </w:rPr>
      </w:pPr>
      <w:r w:rsidRPr="00BA603A">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Prrafodelista"/>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Prrafodelista"/>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Prrafodelista"/>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Prrafodelista"/>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Pr="00B44236" w:rsidRDefault="00E833F4" w:rsidP="00B04033">
      <w:pPr>
        <w:pStyle w:val="Prrafodelista"/>
        <w:numPr>
          <w:ilvl w:val="0"/>
          <w:numId w:val="9"/>
        </w:numPr>
        <w:ind w:left="426"/>
        <w:jc w:val="both"/>
        <w:rPr>
          <w:rFonts w:ascii="Arial" w:hAnsi="Arial" w:cs="Arial"/>
          <w:sz w:val="22"/>
          <w:szCs w:val="22"/>
          <w:highlight w:val="yellow"/>
          <w:lang w:val="en-GB"/>
        </w:rPr>
      </w:pPr>
      <w:r w:rsidRPr="00B44236">
        <w:rPr>
          <w:rFonts w:ascii="Arial" w:hAnsi="Arial" w:cs="Arial"/>
          <w:sz w:val="22"/>
          <w:szCs w:val="22"/>
          <w:highlight w:val="yellow"/>
          <w:lang w:val="en-GB"/>
        </w:rPr>
        <w:t>An administrator</w:t>
      </w:r>
      <w:r w:rsidR="00763348" w:rsidRPr="00B44236">
        <w:rPr>
          <w:rFonts w:ascii="Arial" w:hAnsi="Arial" w:cs="Arial"/>
          <w:sz w:val="22"/>
          <w:szCs w:val="22"/>
          <w:highlight w:val="yellow"/>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Prrafodelista"/>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Prrafodelista"/>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Prrafodelista"/>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Prrafodelista"/>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F01D7D" w:rsidRDefault="00BA1CFD" w:rsidP="00B04033">
      <w:pPr>
        <w:pStyle w:val="Prrafodelista"/>
        <w:numPr>
          <w:ilvl w:val="0"/>
          <w:numId w:val="10"/>
        </w:numPr>
        <w:ind w:left="426"/>
        <w:jc w:val="both"/>
        <w:rPr>
          <w:rFonts w:ascii="Arial" w:hAnsi="Arial" w:cs="Arial"/>
          <w:sz w:val="22"/>
          <w:szCs w:val="22"/>
          <w:lang w:val="en-GB"/>
        </w:rPr>
      </w:pPr>
      <w:r w:rsidRPr="00291952">
        <w:rPr>
          <w:rFonts w:ascii="Arial" w:hAnsi="Arial" w:cs="Arial"/>
          <w:sz w:val="22"/>
          <w:szCs w:val="22"/>
          <w:highlight w:val="yellow"/>
          <w:lang w:val="en-GB"/>
        </w:rPr>
        <w:t>5</w:t>
      </w:r>
      <w:r w:rsidR="00876F56" w:rsidRPr="00291952">
        <w:rPr>
          <w:rFonts w:ascii="Arial" w:hAnsi="Arial" w:cs="Arial"/>
          <w:sz w:val="22"/>
          <w:szCs w:val="22"/>
          <w:highlight w:val="yellow"/>
          <w:lang w:val="en-GB"/>
        </w:rPr>
        <w:t>0% of the first £</w:t>
      </w:r>
      <w:r w:rsidRPr="00291952">
        <w:rPr>
          <w:rFonts w:ascii="Arial" w:hAnsi="Arial" w:cs="Arial"/>
          <w:sz w:val="22"/>
          <w:szCs w:val="22"/>
          <w:highlight w:val="yellow"/>
          <w:lang w:val="en-GB"/>
        </w:rPr>
        <w:t>1</w:t>
      </w:r>
      <w:r w:rsidR="00876F56" w:rsidRPr="00291952">
        <w:rPr>
          <w:rFonts w:ascii="Arial" w:hAnsi="Arial" w:cs="Arial"/>
          <w:sz w:val="22"/>
          <w:szCs w:val="22"/>
          <w:highlight w:val="yellow"/>
          <w:lang w:val="en-GB"/>
        </w:rPr>
        <w:t xml:space="preserve">0,000 in value plus </w:t>
      </w:r>
      <w:r w:rsidRPr="00291952">
        <w:rPr>
          <w:rFonts w:ascii="Arial" w:hAnsi="Arial" w:cs="Arial"/>
          <w:sz w:val="22"/>
          <w:szCs w:val="22"/>
          <w:highlight w:val="yellow"/>
          <w:lang w:val="en-GB"/>
        </w:rPr>
        <w:t>2</w:t>
      </w:r>
      <w:r w:rsidR="00876F56" w:rsidRPr="00291952">
        <w:rPr>
          <w:rFonts w:ascii="Arial" w:hAnsi="Arial" w:cs="Arial"/>
          <w:sz w:val="22"/>
          <w:szCs w:val="22"/>
          <w:highlight w:val="yellow"/>
          <w:lang w:val="en-GB"/>
        </w:rPr>
        <w:t xml:space="preserve">0% of </w:t>
      </w:r>
      <w:r w:rsidRPr="00291952">
        <w:rPr>
          <w:rFonts w:ascii="Arial" w:hAnsi="Arial" w:cs="Arial"/>
          <w:sz w:val="22"/>
          <w:szCs w:val="22"/>
          <w:highlight w:val="yellow"/>
          <w:lang w:val="en-GB"/>
        </w:rPr>
        <w:t>the excess in value above the £1</w:t>
      </w:r>
      <w:r w:rsidR="00876F56" w:rsidRPr="00291952">
        <w:rPr>
          <w:rFonts w:ascii="Arial" w:hAnsi="Arial" w:cs="Arial"/>
          <w:sz w:val="22"/>
          <w:szCs w:val="22"/>
          <w:highlight w:val="yellow"/>
          <w:lang w:val="en-GB"/>
        </w:rPr>
        <w:t>0,000 subject to a maximum amount of prescribed part of £800,000</w:t>
      </w:r>
      <w:r w:rsidR="00763348">
        <w:rPr>
          <w:rFonts w:ascii="Arial" w:hAnsi="Arial" w:cs="Arial"/>
          <w:sz w:val="22"/>
          <w:szCs w:val="22"/>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36A1454B" w14:textId="77777777" w:rsidR="00341CFB" w:rsidRDefault="00EC5643" w:rsidP="002A37BB">
      <w:pPr>
        <w:ind w:left="720" w:hanging="720"/>
        <w:jc w:val="both"/>
        <w:rPr>
          <w:rFonts w:ascii="Arial" w:hAnsi="Arial" w:cs="Arial"/>
          <w:color w:val="7B7B7B" w:themeColor="accent3" w:themeShade="BF"/>
          <w:sz w:val="22"/>
          <w:szCs w:val="22"/>
          <w:lang w:val="en-GB"/>
        </w:rPr>
      </w:pPr>
      <w:r w:rsidRPr="00EC5643">
        <w:rPr>
          <w:rFonts w:ascii="Arial" w:hAnsi="Arial" w:cs="Arial"/>
          <w:color w:val="7B7B7B" w:themeColor="accent3" w:themeShade="BF"/>
          <w:sz w:val="22"/>
          <w:szCs w:val="22"/>
          <w:lang w:val="en-GB"/>
        </w:rPr>
        <w:t xml:space="preserve">The difference between cash flow insolvency and balance sheet insolvency lies in the </w:t>
      </w:r>
      <w:r w:rsidRPr="00BD1BE8">
        <w:rPr>
          <w:rFonts w:ascii="Arial" w:hAnsi="Arial" w:cs="Arial"/>
          <w:b/>
          <w:bCs/>
          <w:color w:val="7B7B7B" w:themeColor="accent3" w:themeShade="BF"/>
          <w:sz w:val="22"/>
          <w:szCs w:val="22"/>
          <w:u w:val="single"/>
          <w:lang w:val="en-GB"/>
        </w:rPr>
        <w:t>scope</w:t>
      </w:r>
      <w:r w:rsidRPr="00EC5643">
        <w:rPr>
          <w:rFonts w:ascii="Arial" w:hAnsi="Arial" w:cs="Arial"/>
          <w:color w:val="7B7B7B" w:themeColor="accent3" w:themeShade="BF"/>
          <w:sz w:val="22"/>
          <w:szCs w:val="22"/>
          <w:lang w:val="en-GB"/>
        </w:rPr>
        <w:t xml:space="preserve"> of the analysis in terms of time. </w:t>
      </w:r>
    </w:p>
    <w:p w14:paraId="2A41E261" w14:textId="77777777" w:rsidR="00341CFB" w:rsidRDefault="00341CFB" w:rsidP="002A37BB">
      <w:pPr>
        <w:ind w:left="720" w:hanging="720"/>
        <w:jc w:val="both"/>
        <w:rPr>
          <w:rFonts w:ascii="Arial" w:hAnsi="Arial" w:cs="Arial"/>
          <w:color w:val="7B7B7B" w:themeColor="accent3" w:themeShade="BF"/>
          <w:sz w:val="22"/>
          <w:szCs w:val="22"/>
          <w:lang w:val="en-GB"/>
        </w:rPr>
      </w:pPr>
    </w:p>
    <w:p w14:paraId="57BCFC30" w14:textId="5C728A41" w:rsidR="009B07AD" w:rsidRDefault="00EC5643" w:rsidP="009754D1">
      <w:pPr>
        <w:ind w:left="720" w:hanging="720"/>
        <w:jc w:val="both"/>
        <w:rPr>
          <w:rFonts w:ascii="Arial" w:hAnsi="Arial" w:cs="Arial"/>
          <w:color w:val="7B7B7B" w:themeColor="accent3" w:themeShade="BF"/>
          <w:sz w:val="22"/>
          <w:szCs w:val="22"/>
          <w:lang w:val="en-GB"/>
        </w:rPr>
      </w:pPr>
      <w:r w:rsidRPr="00EC5643">
        <w:rPr>
          <w:rFonts w:ascii="Arial" w:hAnsi="Arial" w:cs="Arial"/>
          <w:color w:val="7B7B7B" w:themeColor="accent3" w:themeShade="BF"/>
          <w:sz w:val="22"/>
          <w:szCs w:val="22"/>
          <w:lang w:val="en-GB"/>
        </w:rPr>
        <w:lastRenderedPageBreak/>
        <w:t xml:space="preserve">On the one hand, in the </w:t>
      </w:r>
      <w:r w:rsidRPr="00BD1BE8">
        <w:rPr>
          <w:rFonts w:ascii="Arial" w:hAnsi="Arial" w:cs="Arial"/>
          <w:b/>
          <w:bCs/>
          <w:color w:val="7B7B7B" w:themeColor="accent3" w:themeShade="BF"/>
          <w:sz w:val="22"/>
          <w:szCs w:val="22"/>
          <w:lang w:val="en-GB"/>
        </w:rPr>
        <w:t>cash flow insolvency scenario</w:t>
      </w:r>
      <w:r w:rsidRPr="00EC5643">
        <w:rPr>
          <w:rFonts w:ascii="Arial" w:hAnsi="Arial" w:cs="Arial"/>
          <w:color w:val="7B7B7B" w:themeColor="accent3" w:themeShade="BF"/>
          <w:sz w:val="22"/>
          <w:szCs w:val="22"/>
          <w:lang w:val="en-GB"/>
        </w:rPr>
        <w:t xml:space="preserve">, the company is unable to pay a debt (currently owed or payable shortly). On the other hand, a </w:t>
      </w:r>
      <w:r w:rsidRPr="00BD1BE8">
        <w:rPr>
          <w:rFonts w:ascii="Arial" w:hAnsi="Arial" w:cs="Arial"/>
          <w:b/>
          <w:bCs/>
          <w:color w:val="7B7B7B" w:themeColor="accent3" w:themeShade="BF"/>
          <w:sz w:val="22"/>
          <w:szCs w:val="22"/>
          <w:lang w:val="en-GB"/>
        </w:rPr>
        <w:t>balance sheet insolvency</w:t>
      </w:r>
      <w:r w:rsidRPr="00EC5643">
        <w:rPr>
          <w:rFonts w:ascii="Arial" w:hAnsi="Arial" w:cs="Arial"/>
          <w:color w:val="7B7B7B" w:themeColor="accent3" w:themeShade="BF"/>
          <w:sz w:val="22"/>
          <w:szCs w:val="22"/>
          <w:lang w:val="en-GB"/>
        </w:rPr>
        <w:t xml:space="preserve"> involves the analysis of the value of the company's assets compared to its liabilities; in this case, the liabilities subject to the analysis are the present ones and the fu</w:t>
      </w:r>
      <w:r w:rsidR="009E36FE">
        <w:rPr>
          <w:rFonts w:ascii="Arial" w:hAnsi="Arial" w:cs="Arial"/>
          <w:color w:val="7B7B7B" w:themeColor="accent3" w:themeShade="BF"/>
          <w:sz w:val="22"/>
          <w:szCs w:val="22"/>
          <w:lang w:val="en-GB"/>
        </w:rPr>
        <w:t xml:space="preserve">ture and contingent liabilities </w:t>
      </w:r>
      <w:sdt>
        <w:sdtPr>
          <w:rPr>
            <w:rFonts w:ascii="Arial" w:hAnsi="Arial" w:cs="Arial"/>
            <w:color w:val="7B7B7B" w:themeColor="accent3" w:themeShade="BF"/>
            <w:sz w:val="22"/>
            <w:szCs w:val="22"/>
            <w:lang w:val="en-GB"/>
          </w:rPr>
          <w:id w:val="-1382081455"/>
          <w:citation/>
        </w:sdtPr>
        <w:sdtEndPr/>
        <w:sdtContent>
          <w:r w:rsidR="009E36FE">
            <w:rPr>
              <w:rFonts w:ascii="Arial" w:hAnsi="Arial" w:cs="Arial"/>
              <w:color w:val="7B7B7B" w:themeColor="accent3" w:themeShade="BF"/>
              <w:sz w:val="22"/>
              <w:szCs w:val="22"/>
              <w:lang w:val="en-GB"/>
            </w:rPr>
            <w:fldChar w:fldCharType="begin"/>
          </w:r>
          <w:r w:rsidR="009E36FE" w:rsidRPr="009E36FE">
            <w:rPr>
              <w:rFonts w:ascii="Arial" w:hAnsi="Arial" w:cs="Arial"/>
              <w:color w:val="7B7B7B" w:themeColor="accent3" w:themeShade="BF"/>
              <w:sz w:val="22"/>
              <w:szCs w:val="22"/>
            </w:rPr>
            <w:instrText xml:space="preserve"> CITATION Wal20 \l 3082 </w:instrText>
          </w:r>
          <w:r w:rsidR="009E36FE">
            <w:rPr>
              <w:rFonts w:ascii="Arial" w:hAnsi="Arial" w:cs="Arial"/>
              <w:color w:val="7B7B7B" w:themeColor="accent3" w:themeShade="BF"/>
              <w:sz w:val="22"/>
              <w:szCs w:val="22"/>
              <w:lang w:val="en-GB"/>
            </w:rPr>
            <w:fldChar w:fldCharType="separate"/>
          </w:r>
          <w:r w:rsidR="004E1987" w:rsidRPr="004E1987">
            <w:rPr>
              <w:rFonts w:ascii="Arial" w:hAnsi="Arial" w:cs="Arial"/>
              <w:noProof/>
              <w:color w:val="7B7B7B" w:themeColor="accent3" w:themeShade="BF"/>
              <w:sz w:val="22"/>
              <w:szCs w:val="22"/>
            </w:rPr>
            <w:t>(Walton, 2020)</w:t>
          </w:r>
          <w:r w:rsidR="009E36FE">
            <w:rPr>
              <w:rFonts w:ascii="Arial" w:hAnsi="Arial" w:cs="Arial"/>
              <w:color w:val="7B7B7B" w:themeColor="accent3" w:themeShade="BF"/>
              <w:sz w:val="22"/>
              <w:szCs w:val="22"/>
              <w:lang w:val="en-GB"/>
            </w:rPr>
            <w:fldChar w:fldCharType="end"/>
          </w:r>
        </w:sdtContent>
      </w:sdt>
      <w:r w:rsidR="009E36FE">
        <w:rPr>
          <w:rFonts w:ascii="Arial" w:hAnsi="Arial" w:cs="Arial"/>
          <w:color w:val="7B7B7B" w:themeColor="accent3" w:themeShade="BF"/>
          <w:sz w:val="22"/>
          <w:szCs w:val="22"/>
          <w:lang w:val="en-GB"/>
        </w:rPr>
        <w:t>.</w:t>
      </w:r>
    </w:p>
    <w:p w14:paraId="26BC9D75" w14:textId="2677EA58" w:rsidR="0030747E" w:rsidRDefault="0030747E" w:rsidP="009754D1">
      <w:pPr>
        <w:ind w:left="720" w:hanging="720"/>
        <w:jc w:val="both"/>
        <w:rPr>
          <w:rFonts w:ascii="Arial" w:hAnsi="Arial" w:cs="Arial"/>
          <w:color w:val="7B7B7B" w:themeColor="accent3" w:themeShade="BF"/>
          <w:sz w:val="22"/>
          <w:szCs w:val="22"/>
          <w:lang w:val="en-GB"/>
        </w:rPr>
      </w:pPr>
    </w:p>
    <w:p w14:paraId="61660B82" w14:textId="0F81ACF1" w:rsidR="0030747E" w:rsidRPr="0030747E" w:rsidRDefault="0030747E" w:rsidP="0030747E">
      <w:pPr>
        <w:ind w:left="720" w:hanging="720"/>
        <w:jc w:val="both"/>
        <w:rPr>
          <w:rFonts w:ascii="Arial" w:hAnsi="Arial" w:cs="Arial"/>
          <w:color w:val="7B7B7B" w:themeColor="accent3" w:themeShade="BF"/>
          <w:sz w:val="22"/>
          <w:szCs w:val="22"/>
          <w:lang w:val="en-GB"/>
        </w:rPr>
      </w:pPr>
      <w:r w:rsidRPr="0030747E">
        <w:rPr>
          <w:rFonts w:ascii="Arial" w:hAnsi="Arial" w:cs="Arial"/>
          <w:color w:val="7B7B7B" w:themeColor="accent3" w:themeShade="BF"/>
          <w:sz w:val="22"/>
          <w:szCs w:val="22"/>
          <w:lang w:val="en-GB"/>
        </w:rPr>
        <w:t xml:space="preserve">In </w:t>
      </w:r>
      <w:proofErr w:type="spellStart"/>
      <w:r w:rsidRPr="0030747E">
        <w:rPr>
          <w:rFonts w:ascii="Arial" w:hAnsi="Arial" w:cs="Arial"/>
          <w:i/>
          <w:color w:val="7B7B7B" w:themeColor="accent3" w:themeShade="BF"/>
          <w:sz w:val="22"/>
          <w:szCs w:val="22"/>
          <w:lang w:val="en-GB"/>
        </w:rPr>
        <w:t>Eurosail</w:t>
      </w:r>
      <w:proofErr w:type="spellEnd"/>
      <w:r w:rsidRPr="0030747E">
        <w:rPr>
          <w:rFonts w:ascii="Arial" w:hAnsi="Arial" w:cs="Arial"/>
          <w:color w:val="7B7B7B" w:themeColor="accent3" w:themeShade="BF"/>
          <w:sz w:val="22"/>
          <w:szCs w:val="22"/>
          <w:lang w:val="en-GB"/>
        </w:rPr>
        <w:t xml:space="preserve"> the Supreme Court explained the scope of the analysis by emphasizing that the "cash flow" test applies for the near future and the next level of analysis consisted in comparing the value of the present assets with the value of liabilities throu</w:t>
      </w:r>
      <w:r>
        <w:rPr>
          <w:rFonts w:ascii="Arial" w:hAnsi="Arial" w:cs="Arial"/>
          <w:color w:val="7B7B7B" w:themeColor="accent3" w:themeShade="BF"/>
          <w:sz w:val="22"/>
          <w:szCs w:val="22"/>
          <w:lang w:val="en-GB"/>
        </w:rPr>
        <w:t xml:space="preserve">gh the "balance sheet" test </w:t>
      </w:r>
      <w:sdt>
        <w:sdtPr>
          <w:rPr>
            <w:rFonts w:ascii="Arial" w:hAnsi="Arial" w:cs="Arial"/>
            <w:color w:val="7B7B7B" w:themeColor="accent3" w:themeShade="BF"/>
            <w:sz w:val="22"/>
            <w:szCs w:val="22"/>
            <w:lang w:val="en-GB"/>
          </w:rPr>
          <w:id w:val="1423830636"/>
          <w:citation/>
        </w:sdtPr>
        <w:sdtEndPr/>
        <w:sdtContent>
          <w:r>
            <w:rPr>
              <w:rFonts w:ascii="Arial" w:hAnsi="Arial" w:cs="Arial"/>
              <w:color w:val="7B7B7B" w:themeColor="accent3" w:themeShade="BF"/>
              <w:sz w:val="22"/>
              <w:szCs w:val="22"/>
              <w:lang w:val="en-GB"/>
            </w:rPr>
            <w:fldChar w:fldCharType="begin"/>
          </w:r>
          <w:r w:rsidRPr="009E36FE">
            <w:rPr>
              <w:rFonts w:ascii="Arial" w:hAnsi="Arial" w:cs="Arial"/>
              <w:color w:val="7B7B7B" w:themeColor="accent3" w:themeShade="BF"/>
              <w:sz w:val="22"/>
              <w:szCs w:val="22"/>
            </w:rPr>
            <w:instrText xml:space="preserve"> CITATION Wal20 \l 3082 </w:instrText>
          </w:r>
          <w:r>
            <w:rPr>
              <w:rFonts w:ascii="Arial" w:hAnsi="Arial" w:cs="Arial"/>
              <w:color w:val="7B7B7B" w:themeColor="accent3" w:themeShade="BF"/>
              <w:sz w:val="22"/>
              <w:szCs w:val="22"/>
              <w:lang w:val="en-GB"/>
            </w:rPr>
            <w:fldChar w:fldCharType="separate"/>
          </w:r>
          <w:r w:rsidR="004E1987" w:rsidRPr="004E1987">
            <w:rPr>
              <w:rFonts w:ascii="Arial" w:hAnsi="Arial" w:cs="Arial"/>
              <w:noProof/>
              <w:color w:val="7B7B7B" w:themeColor="accent3" w:themeShade="BF"/>
              <w:sz w:val="22"/>
              <w:szCs w:val="22"/>
            </w:rPr>
            <w:t>(Walton,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p w14:paraId="789C3223" w14:textId="18769A85" w:rsidR="00020557" w:rsidRDefault="00020557" w:rsidP="002A37BB">
      <w:pPr>
        <w:jc w:val="both"/>
        <w:rPr>
          <w:rFonts w:ascii="Arial" w:hAnsi="Arial" w:cs="Arial"/>
          <w:sz w:val="22"/>
          <w:szCs w:val="22"/>
        </w:rPr>
      </w:pPr>
    </w:p>
    <w:p w14:paraId="5453A60D" w14:textId="77777777" w:rsidR="00763348" w:rsidRPr="002A37BB" w:rsidRDefault="00763348"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3C47960C" w14:textId="77777777" w:rsidR="00FA417D" w:rsidRPr="002A37BB" w:rsidRDefault="00FA417D" w:rsidP="002A37BB">
      <w:pPr>
        <w:ind w:left="720" w:hanging="720"/>
        <w:jc w:val="both"/>
        <w:rPr>
          <w:rFonts w:ascii="Arial" w:hAnsi="Arial" w:cs="Arial"/>
          <w:sz w:val="22"/>
          <w:szCs w:val="22"/>
          <w:lang w:val="en-GB"/>
        </w:rPr>
      </w:pPr>
    </w:p>
    <w:p w14:paraId="439880CA" w14:textId="554E154D" w:rsidR="003152B5" w:rsidRPr="003152B5" w:rsidRDefault="003152B5" w:rsidP="003152B5">
      <w:pPr>
        <w:ind w:left="720" w:hanging="720"/>
        <w:jc w:val="both"/>
        <w:rPr>
          <w:rFonts w:ascii="Arial" w:hAnsi="Arial" w:cs="Arial"/>
          <w:color w:val="7B7B7B" w:themeColor="accent3" w:themeShade="BF"/>
          <w:sz w:val="22"/>
          <w:szCs w:val="22"/>
          <w:lang w:val="en-GB"/>
        </w:rPr>
      </w:pPr>
      <w:r w:rsidRPr="003152B5">
        <w:rPr>
          <w:rFonts w:ascii="Arial" w:hAnsi="Arial" w:cs="Arial"/>
          <w:color w:val="7B7B7B" w:themeColor="accent3" w:themeShade="BF"/>
          <w:sz w:val="22"/>
          <w:szCs w:val="22"/>
          <w:lang w:val="en-GB"/>
        </w:rPr>
        <w:t>1) An administrative receiver cannot</w:t>
      </w:r>
      <w:r>
        <w:rPr>
          <w:rFonts w:ascii="Arial" w:hAnsi="Arial" w:cs="Arial"/>
          <w:color w:val="7B7B7B" w:themeColor="accent3" w:themeShade="BF"/>
          <w:sz w:val="22"/>
          <w:szCs w:val="22"/>
          <w:lang w:val="en-GB"/>
        </w:rPr>
        <w:t xml:space="preserve"> be appointed </w:t>
      </w:r>
      <w:sdt>
        <w:sdtPr>
          <w:rPr>
            <w:rFonts w:ascii="Arial" w:hAnsi="Arial" w:cs="Arial"/>
            <w:color w:val="7B7B7B" w:themeColor="accent3" w:themeShade="BF"/>
            <w:sz w:val="22"/>
            <w:szCs w:val="22"/>
            <w:lang w:val="en-GB"/>
          </w:rPr>
          <w:id w:val="27065182"/>
          <w:citation/>
        </w:sdtPr>
        <w:sdtEndPr/>
        <w:sdtContent>
          <w:r>
            <w:rPr>
              <w:rFonts w:ascii="Arial" w:hAnsi="Arial" w:cs="Arial"/>
              <w:color w:val="7B7B7B" w:themeColor="accent3" w:themeShade="BF"/>
              <w:sz w:val="22"/>
              <w:szCs w:val="22"/>
              <w:lang w:val="en-GB"/>
            </w:rPr>
            <w:fldChar w:fldCharType="begin"/>
          </w:r>
          <w:r w:rsidRPr="009E36FE">
            <w:rPr>
              <w:rFonts w:ascii="Arial" w:hAnsi="Arial" w:cs="Arial"/>
              <w:color w:val="7B7B7B" w:themeColor="accent3" w:themeShade="BF"/>
              <w:sz w:val="22"/>
              <w:szCs w:val="22"/>
            </w:rPr>
            <w:instrText xml:space="preserve"> CITATION Wal20 \l 3082 </w:instrText>
          </w:r>
          <w:r>
            <w:rPr>
              <w:rFonts w:ascii="Arial" w:hAnsi="Arial" w:cs="Arial"/>
              <w:color w:val="7B7B7B" w:themeColor="accent3" w:themeShade="BF"/>
              <w:sz w:val="22"/>
              <w:szCs w:val="22"/>
              <w:lang w:val="en-GB"/>
            </w:rPr>
            <w:fldChar w:fldCharType="separate"/>
          </w:r>
          <w:r w:rsidR="004E1987" w:rsidRPr="004E1987">
            <w:rPr>
              <w:rFonts w:ascii="Arial" w:hAnsi="Arial" w:cs="Arial"/>
              <w:noProof/>
              <w:color w:val="7B7B7B" w:themeColor="accent3" w:themeShade="BF"/>
              <w:sz w:val="22"/>
              <w:szCs w:val="22"/>
            </w:rPr>
            <w:t>(Walton,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p w14:paraId="4C91AF08" w14:textId="10D74AD8" w:rsidR="003152B5" w:rsidRPr="003152B5" w:rsidRDefault="003152B5" w:rsidP="003152B5">
      <w:pPr>
        <w:ind w:left="720" w:hanging="720"/>
        <w:jc w:val="both"/>
        <w:rPr>
          <w:rFonts w:ascii="Arial" w:hAnsi="Arial" w:cs="Arial"/>
          <w:color w:val="7B7B7B" w:themeColor="accent3" w:themeShade="BF"/>
          <w:sz w:val="22"/>
          <w:szCs w:val="22"/>
          <w:lang w:val="en-GB"/>
        </w:rPr>
      </w:pPr>
      <w:r w:rsidRPr="003152B5">
        <w:rPr>
          <w:rFonts w:ascii="Arial" w:hAnsi="Arial" w:cs="Arial"/>
          <w:color w:val="7B7B7B" w:themeColor="accent3" w:themeShade="BF"/>
          <w:sz w:val="22"/>
          <w:szCs w:val="22"/>
          <w:lang w:val="en-GB"/>
        </w:rPr>
        <w:t>2) A legal process (this category includes any legal proceedin</w:t>
      </w:r>
      <w:r>
        <w:rPr>
          <w:rFonts w:ascii="Arial" w:hAnsi="Arial" w:cs="Arial"/>
          <w:color w:val="7B7B7B" w:themeColor="accent3" w:themeShade="BF"/>
          <w:sz w:val="22"/>
          <w:szCs w:val="22"/>
          <w:lang w:val="en-GB"/>
        </w:rPr>
        <w:t xml:space="preserve">g or execution of any judgment) </w:t>
      </w:r>
      <w:r w:rsidRPr="003152B5">
        <w:rPr>
          <w:rFonts w:ascii="Arial" w:hAnsi="Arial" w:cs="Arial"/>
          <w:color w:val="7B7B7B" w:themeColor="accent3" w:themeShade="BF"/>
          <w:sz w:val="22"/>
          <w:szCs w:val="22"/>
          <w:lang w:val="en-GB"/>
        </w:rPr>
        <w:t>may be continued or instituted against the company or property of the company only with the permission of the court or t</w:t>
      </w:r>
      <w:r>
        <w:rPr>
          <w:rFonts w:ascii="Arial" w:hAnsi="Arial" w:cs="Arial"/>
          <w:color w:val="7B7B7B" w:themeColor="accent3" w:themeShade="BF"/>
          <w:sz w:val="22"/>
          <w:szCs w:val="22"/>
          <w:lang w:val="en-GB"/>
        </w:rPr>
        <w:t xml:space="preserve">he consent of the administrator </w:t>
      </w:r>
      <w:sdt>
        <w:sdtPr>
          <w:rPr>
            <w:rFonts w:ascii="Arial" w:hAnsi="Arial" w:cs="Arial"/>
            <w:color w:val="7B7B7B" w:themeColor="accent3" w:themeShade="BF"/>
            <w:sz w:val="22"/>
            <w:szCs w:val="22"/>
            <w:lang w:val="en-GB"/>
          </w:rPr>
          <w:id w:val="-2008820767"/>
          <w:citation/>
        </w:sdtPr>
        <w:sdtEndPr/>
        <w:sdtContent>
          <w:r>
            <w:rPr>
              <w:rFonts w:ascii="Arial" w:hAnsi="Arial" w:cs="Arial"/>
              <w:color w:val="7B7B7B" w:themeColor="accent3" w:themeShade="BF"/>
              <w:sz w:val="22"/>
              <w:szCs w:val="22"/>
              <w:lang w:val="en-GB"/>
            </w:rPr>
            <w:fldChar w:fldCharType="begin"/>
          </w:r>
          <w:r w:rsidRPr="009E36FE">
            <w:rPr>
              <w:rFonts w:ascii="Arial" w:hAnsi="Arial" w:cs="Arial"/>
              <w:color w:val="7B7B7B" w:themeColor="accent3" w:themeShade="BF"/>
              <w:sz w:val="22"/>
              <w:szCs w:val="22"/>
            </w:rPr>
            <w:instrText xml:space="preserve"> CITATION Wal20 \l 3082 </w:instrText>
          </w:r>
          <w:r>
            <w:rPr>
              <w:rFonts w:ascii="Arial" w:hAnsi="Arial" w:cs="Arial"/>
              <w:color w:val="7B7B7B" w:themeColor="accent3" w:themeShade="BF"/>
              <w:sz w:val="22"/>
              <w:szCs w:val="22"/>
              <w:lang w:val="en-GB"/>
            </w:rPr>
            <w:fldChar w:fldCharType="separate"/>
          </w:r>
          <w:r w:rsidR="004E1987" w:rsidRPr="004E1987">
            <w:rPr>
              <w:rFonts w:ascii="Arial" w:hAnsi="Arial" w:cs="Arial"/>
              <w:noProof/>
              <w:color w:val="7B7B7B" w:themeColor="accent3" w:themeShade="BF"/>
              <w:sz w:val="22"/>
              <w:szCs w:val="22"/>
            </w:rPr>
            <w:t>(Walton,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p w14:paraId="0BF4A418" w14:textId="7FEE0A84" w:rsidR="003152B5" w:rsidRPr="003152B5" w:rsidRDefault="003152B5" w:rsidP="003152B5">
      <w:pPr>
        <w:ind w:left="720" w:hanging="720"/>
        <w:jc w:val="both"/>
        <w:rPr>
          <w:rFonts w:ascii="Arial" w:hAnsi="Arial" w:cs="Arial"/>
          <w:color w:val="7B7B7B" w:themeColor="accent3" w:themeShade="BF"/>
          <w:sz w:val="22"/>
          <w:szCs w:val="22"/>
          <w:lang w:val="en-GB"/>
        </w:rPr>
      </w:pPr>
      <w:r w:rsidRPr="003152B5">
        <w:rPr>
          <w:rFonts w:ascii="Arial" w:hAnsi="Arial" w:cs="Arial"/>
          <w:color w:val="7B7B7B" w:themeColor="accent3" w:themeShade="BF"/>
          <w:sz w:val="22"/>
          <w:szCs w:val="22"/>
          <w:lang w:val="en-GB"/>
        </w:rPr>
        <w:t>3) It is not possible to proceed with any measure to enforce securit</w:t>
      </w:r>
      <w:r>
        <w:rPr>
          <w:rFonts w:ascii="Arial" w:hAnsi="Arial" w:cs="Arial"/>
          <w:color w:val="7B7B7B" w:themeColor="accent3" w:themeShade="BF"/>
          <w:sz w:val="22"/>
          <w:szCs w:val="22"/>
          <w:lang w:val="en-GB"/>
        </w:rPr>
        <w:t xml:space="preserve">y over the company’s property; </w:t>
      </w:r>
      <w:r w:rsidRPr="003152B5">
        <w:rPr>
          <w:rFonts w:ascii="Arial" w:hAnsi="Arial" w:cs="Arial"/>
          <w:color w:val="7B7B7B" w:themeColor="accent3" w:themeShade="BF"/>
          <w:sz w:val="22"/>
          <w:szCs w:val="22"/>
          <w:lang w:val="en-GB"/>
        </w:rPr>
        <w:t>the above-mentioned could only be carried out with the permission of the court or th</w:t>
      </w:r>
      <w:r>
        <w:rPr>
          <w:rFonts w:ascii="Arial" w:hAnsi="Arial" w:cs="Arial"/>
          <w:color w:val="7B7B7B" w:themeColor="accent3" w:themeShade="BF"/>
          <w:sz w:val="22"/>
          <w:szCs w:val="22"/>
          <w:lang w:val="en-GB"/>
        </w:rPr>
        <w:t xml:space="preserve">e consent of the administrator </w:t>
      </w:r>
      <w:sdt>
        <w:sdtPr>
          <w:rPr>
            <w:rFonts w:ascii="Arial" w:hAnsi="Arial" w:cs="Arial"/>
            <w:color w:val="7B7B7B" w:themeColor="accent3" w:themeShade="BF"/>
            <w:sz w:val="22"/>
            <w:szCs w:val="22"/>
            <w:lang w:val="en-GB"/>
          </w:rPr>
          <w:id w:val="527457159"/>
          <w:citation/>
        </w:sdtPr>
        <w:sdtEndPr/>
        <w:sdtContent>
          <w:r>
            <w:rPr>
              <w:rFonts w:ascii="Arial" w:hAnsi="Arial" w:cs="Arial"/>
              <w:color w:val="7B7B7B" w:themeColor="accent3" w:themeShade="BF"/>
              <w:sz w:val="22"/>
              <w:szCs w:val="22"/>
              <w:lang w:val="en-GB"/>
            </w:rPr>
            <w:fldChar w:fldCharType="begin"/>
          </w:r>
          <w:r w:rsidRPr="009E36FE">
            <w:rPr>
              <w:rFonts w:ascii="Arial" w:hAnsi="Arial" w:cs="Arial"/>
              <w:color w:val="7B7B7B" w:themeColor="accent3" w:themeShade="BF"/>
              <w:sz w:val="22"/>
              <w:szCs w:val="22"/>
            </w:rPr>
            <w:instrText xml:space="preserve"> CITATION Wal20 \l 3082 </w:instrText>
          </w:r>
          <w:r>
            <w:rPr>
              <w:rFonts w:ascii="Arial" w:hAnsi="Arial" w:cs="Arial"/>
              <w:color w:val="7B7B7B" w:themeColor="accent3" w:themeShade="BF"/>
              <w:sz w:val="22"/>
              <w:szCs w:val="22"/>
              <w:lang w:val="en-GB"/>
            </w:rPr>
            <w:fldChar w:fldCharType="separate"/>
          </w:r>
          <w:r w:rsidR="004E1987" w:rsidRPr="004E1987">
            <w:rPr>
              <w:rFonts w:ascii="Arial" w:hAnsi="Arial" w:cs="Arial"/>
              <w:noProof/>
              <w:color w:val="7B7B7B" w:themeColor="accent3" w:themeShade="BF"/>
              <w:sz w:val="22"/>
              <w:szCs w:val="22"/>
            </w:rPr>
            <w:t>(Walton,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p w14:paraId="78DB9FD8" w14:textId="302D0EBD" w:rsidR="00C72848" w:rsidRPr="002A37BB" w:rsidRDefault="003152B5" w:rsidP="003152B5">
      <w:pPr>
        <w:ind w:left="720" w:hanging="720"/>
        <w:jc w:val="both"/>
        <w:rPr>
          <w:rFonts w:ascii="Arial" w:hAnsi="Arial" w:cs="Arial"/>
          <w:sz w:val="22"/>
          <w:szCs w:val="22"/>
          <w:lang w:val="en-GB"/>
        </w:rPr>
      </w:pPr>
      <w:r w:rsidRPr="003152B5">
        <w:rPr>
          <w:rFonts w:ascii="Arial" w:hAnsi="Arial" w:cs="Arial"/>
          <w:color w:val="7B7B7B" w:themeColor="accent3" w:themeShade="BF"/>
          <w:sz w:val="22"/>
          <w:szCs w:val="22"/>
          <w:lang w:val="en-GB"/>
        </w:rPr>
        <w:t>4) The right of forfeiture by peaceable re-entry cannot be exercised by the landlord, the foregoing with respect to premises let to the company. The above-mentioned could only be carried out with the permission of the court or t</w:t>
      </w:r>
      <w:r>
        <w:rPr>
          <w:rFonts w:ascii="Arial" w:hAnsi="Arial" w:cs="Arial"/>
          <w:color w:val="7B7B7B" w:themeColor="accent3" w:themeShade="BF"/>
          <w:sz w:val="22"/>
          <w:szCs w:val="22"/>
          <w:lang w:val="en-GB"/>
        </w:rPr>
        <w:t xml:space="preserve">he consent of the administrator </w:t>
      </w:r>
      <w:sdt>
        <w:sdtPr>
          <w:rPr>
            <w:rFonts w:ascii="Arial" w:hAnsi="Arial" w:cs="Arial"/>
            <w:color w:val="7B7B7B" w:themeColor="accent3" w:themeShade="BF"/>
            <w:sz w:val="22"/>
            <w:szCs w:val="22"/>
            <w:lang w:val="en-GB"/>
          </w:rPr>
          <w:id w:val="-785739899"/>
          <w:citation/>
        </w:sdtPr>
        <w:sdtEndPr/>
        <w:sdtContent>
          <w:r>
            <w:rPr>
              <w:rFonts w:ascii="Arial" w:hAnsi="Arial" w:cs="Arial"/>
              <w:color w:val="7B7B7B" w:themeColor="accent3" w:themeShade="BF"/>
              <w:sz w:val="22"/>
              <w:szCs w:val="22"/>
              <w:lang w:val="en-GB"/>
            </w:rPr>
            <w:fldChar w:fldCharType="begin"/>
          </w:r>
          <w:r w:rsidRPr="009E36FE">
            <w:rPr>
              <w:rFonts w:ascii="Arial" w:hAnsi="Arial" w:cs="Arial"/>
              <w:color w:val="7B7B7B" w:themeColor="accent3" w:themeShade="BF"/>
              <w:sz w:val="22"/>
              <w:szCs w:val="22"/>
            </w:rPr>
            <w:instrText xml:space="preserve"> CITATION Wal20 \l 3082 </w:instrText>
          </w:r>
          <w:r>
            <w:rPr>
              <w:rFonts w:ascii="Arial" w:hAnsi="Arial" w:cs="Arial"/>
              <w:color w:val="7B7B7B" w:themeColor="accent3" w:themeShade="BF"/>
              <w:sz w:val="22"/>
              <w:szCs w:val="22"/>
              <w:lang w:val="en-GB"/>
            </w:rPr>
            <w:fldChar w:fldCharType="separate"/>
          </w:r>
          <w:r w:rsidR="004E1987" w:rsidRPr="004E1987">
            <w:rPr>
              <w:rFonts w:ascii="Arial" w:hAnsi="Arial" w:cs="Arial"/>
              <w:noProof/>
              <w:color w:val="7B7B7B" w:themeColor="accent3" w:themeShade="BF"/>
              <w:sz w:val="22"/>
              <w:szCs w:val="22"/>
            </w:rPr>
            <w:t>(Walton,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33D94370" w14:textId="7D7FF61E" w:rsidR="00EA47D0" w:rsidRPr="00EA47D0" w:rsidRDefault="00EA47D0" w:rsidP="00EA47D0">
      <w:pPr>
        <w:ind w:left="720" w:hanging="720"/>
        <w:jc w:val="both"/>
        <w:rPr>
          <w:rFonts w:ascii="Arial" w:hAnsi="Arial" w:cs="Arial"/>
          <w:sz w:val="22"/>
          <w:szCs w:val="22"/>
          <w:lang w:val="en-GB"/>
        </w:rPr>
      </w:pPr>
      <w:r w:rsidRPr="00EA47D0">
        <w:rPr>
          <w:rFonts w:ascii="Arial" w:hAnsi="Arial" w:cs="Arial"/>
          <w:color w:val="7B7B7B" w:themeColor="accent3" w:themeShade="BF"/>
          <w:sz w:val="22"/>
          <w:szCs w:val="22"/>
          <w:lang w:val="en-GB"/>
        </w:rPr>
        <w:t>First, it is important to highlight that the 2020 Act introduced 26A Restructuring Plan, and such proceeding has elements of: (</w:t>
      </w:r>
      <w:proofErr w:type="spellStart"/>
      <w:r w:rsidRPr="00EA47D0">
        <w:rPr>
          <w:rFonts w:ascii="Arial" w:hAnsi="Arial" w:cs="Arial"/>
          <w:color w:val="7B7B7B" w:themeColor="accent3" w:themeShade="BF"/>
          <w:sz w:val="22"/>
          <w:szCs w:val="22"/>
          <w:lang w:val="en-GB"/>
        </w:rPr>
        <w:t>i</w:t>
      </w:r>
      <w:proofErr w:type="spellEnd"/>
      <w:r w:rsidRPr="00EA47D0">
        <w:rPr>
          <w:rFonts w:ascii="Arial" w:hAnsi="Arial" w:cs="Arial"/>
          <w:color w:val="7B7B7B" w:themeColor="accent3" w:themeShade="BF"/>
          <w:sz w:val="22"/>
          <w:szCs w:val="22"/>
          <w:lang w:val="en-GB"/>
        </w:rPr>
        <w:t>) the Chapter 11 of the United States Bankruptc</w:t>
      </w:r>
      <w:r>
        <w:rPr>
          <w:rFonts w:ascii="Arial" w:hAnsi="Arial" w:cs="Arial"/>
          <w:color w:val="7B7B7B" w:themeColor="accent3" w:themeShade="BF"/>
          <w:sz w:val="22"/>
          <w:szCs w:val="22"/>
          <w:lang w:val="en-GB"/>
        </w:rPr>
        <w:t xml:space="preserve">y Code and (ii) Part 26 schemes </w:t>
      </w:r>
      <w:sdt>
        <w:sdtPr>
          <w:rPr>
            <w:rFonts w:ascii="Arial" w:hAnsi="Arial" w:cs="Arial"/>
            <w:color w:val="7B7B7B" w:themeColor="accent3" w:themeShade="BF"/>
            <w:sz w:val="22"/>
            <w:szCs w:val="22"/>
            <w:lang w:val="en-GB"/>
          </w:rPr>
          <w:id w:val="2071842737"/>
          <w:citation/>
        </w:sdtPr>
        <w:sdtEndPr/>
        <w:sdtContent>
          <w:r>
            <w:rPr>
              <w:rFonts w:ascii="Arial" w:hAnsi="Arial" w:cs="Arial"/>
              <w:color w:val="7B7B7B" w:themeColor="accent3" w:themeShade="BF"/>
              <w:sz w:val="22"/>
              <w:szCs w:val="22"/>
              <w:lang w:val="en-GB"/>
            </w:rPr>
            <w:fldChar w:fldCharType="begin"/>
          </w:r>
          <w:r w:rsidRPr="009E36FE">
            <w:rPr>
              <w:rFonts w:ascii="Arial" w:hAnsi="Arial" w:cs="Arial"/>
              <w:color w:val="7B7B7B" w:themeColor="accent3" w:themeShade="BF"/>
              <w:sz w:val="22"/>
              <w:szCs w:val="22"/>
            </w:rPr>
            <w:instrText xml:space="preserve"> CITATION Wal20 \l 3082 </w:instrText>
          </w:r>
          <w:r>
            <w:rPr>
              <w:rFonts w:ascii="Arial" w:hAnsi="Arial" w:cs="Arial"/>
              <w:color w:val="7B7B7B" w:themeColor="accent3" w:themeShade="BF"/>
              <w:sz w:val="22"/>
              <w:szCs w:val="22"/>
              <w:lang w:val="en-GB"/>
            </w:rPr>
            <w:fldChar w:fldCharType="separate"/>
          </w:r>
          <w:r w:rsidR="004E1987" w:rsidRPr="004E1987">
            <w:rPr>
              <w:rFonts w:ascii="Arial" w:hAnsi="Arial" w:cs="Arial"/>
              <w:noProof/>
              <w:color w:val="7B7B7B" w:themeColor="accent3" w:themeShade="BF"/>
              <w:sz w:val="22"/>
              <w:szCs w:val="22"/>
            </w:rPr>
            <w:t>(Walton,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p w14:paraId="30FD00A5" w14:textId="77777777" w:rsidR="00EA47D0" w:rsidRDefault="00EA47D0" w:rsidP="00EA47D0">
      <w:pPr>
        <w:ind w:left="720" w:hanging="720"/>
        <w:jc w:val="both"/>
        <w:rPr>
          <w:rFonts w:ascii="Arial" w:hAnsi="Arial" w:cs="Arial"/>
          <w:color w:val="7B7B7B" w:themeColor="accent3" w:themeShade="BF"/>
          <w:sz w:val="22"/>
          <w:szCs w:val="22"/>
          <w:lang w:val="en-GB"/>
        </w:rPr>
      </w:pPr>
    </w:p>
    <w:p w14:paraId="750E956D" w14:textId="1B0BF2D3" w:rsidR="00EA47D0" w:rsidRDefault="00EA47D0" w:rsidP="00EA47D0">
      <w:pPr>
        <w:ind w:left="720" w:hanging="720"/>
        <w:jc w:val="both"/>
        <w:rPr>
          <w:rFonts w:ascii="Arial" w:hAnsi="Arial" w:cs="Arial"/>
          <w:color w:val="7B7B7B" w:themeColor="accent3" w:themeShade="BF"/>
          <w:sz w:val="22"/>
          <w:szCs w:val="22"/>
          <w:lang w:val="en-GB"/>
        </w:rPr>
      </w:pPr>
      <w:r w:rsidRPr="00EA47D0">
        <w:rPr>
          <w:rFonts w:ascii="Arial" w:hAnsi="Arial" w:cs="Arial"/>
          <w:color w:val="7B7B7B" w:themeColor="accent3" w:themeShade="BF"/>
          <w:sz w:val="22"/>
          <w:szCs w:val="22"/>
          <w:lang w:val="en-GB"/>
        </w:rPr>
        <w:t>By virtue of the foregoing, Part 26A restructuring plan adopted a different scope of application. The following are the most relevant differences between Part 26 Scheme of arrangement and Part 26A Restructuring plan:</w:t>
      </w:r>
    </w:p>
    <w:p w14:paraId="346F511C" w14:textId="0B7606C2" w:rsidR="00EA47D0" w:rsidRPr="00EA47D0" w:rsidRDefault="00EA47D0" w:rsidP="00EA47D0">
      <w:pPr>
        <w:ind w:left="720" w:hanging="720"/>
        <w:jc w:val="both"/>
        <w:rPr>
          <w:rFonts w:ascii="Arial" w:hAnsi="Arial" w:cs="Arial"/>
          <w:b/>
          <w:color w:val="7B7B7B" w:themeColor="accent3" w:themeShade="BF"/>
          <w:sz w:val="22"/>
          <w:szCs w:val="22"/>
          <w:lang w:val="en-GB"/>
        </w:rPr>
      </w:pPr>
    </w:p>
    <w:p w14:paraId="5C591240" w14:textId="1EF9C3B8" w:rsidR="00EA47D0" w:rsidRPr="00EA47D0" w:rsidRDefault="00EA47D0" w:rsidP="00EA47D0">
      <w:pPr>
        <w:pStyle w:val="Prrafodelista"/>
        <w:numPr>
          <w:ilvl w:val="0"/>
          <w:numId w:val="11"/>
        </w:numPr>
        <w:jc w:val="both"/>
        <w:rPr>
          <w:rFonts w:ascii="Arial" w:hAnsi="Arial" w:cs="Arial"/>
          <w:b/>
          <w:color w:val="7B7B7B" w:themeColor="accent3" w:themeShade="BF"/>
          <w:sz w:val="22"/>
          <w:szCs w:val="22"/>
          <w:lang w:val="en-GB"/>
        </w:rPr>
      </w:pPr>
      <w:r w:rsidRPr="00EA47D0">
        <w:rPr>
          <w:rFonts w:ascii="Arial" w:hAnsi="Arial" w:cs="Arial"/>
          <w:b/>
          <w:color w:val="7B7B7B" w:themeColor="accent3" w:themeShade="BF"/>
          <w:sz w:val="22"/>
          <w:szCs w:val="22"/>
          <w:lang w:val="en-GB"/>
        </w:rPr>
        <w:t>Subjects of the proceeding</w:t>
      </w:r>
    </w:p>
    <w:p w14:paraId="601E1576" w14:textId="2AF78EEB" w:rsidR="00EA47D0" w:rsidRPr="00EA47D0" w:rsidRDefault="00EA47D0" w:rsidP="00EA47D0">
      <w:pPr>
        <w:pStyle w:val="Prrafodelista"/>
        <w:numPr>
          <w:ilvl w:val="0"/>
          <w:numId w:val="12"/>
        </w:numPr>
        <w:jc w:val="both"/>
        <w:rPr>
          <w:rFonts w:ascii="Arial" w:hAnsi="Arial" w:cs="Arial"/>
          <w:color w:val="7B7B7B" w:themeColor="accent3" w:themeShade="BF"/>
          <w:sz w:val="22"/>
          <w:szCs w:val="22"/>
          <w:lang w:val="en-GB"/>
        </w:rPr>
      </w:pPr>
      <w:r w:rsidRPr="00EA47D0">
        <w:rPr>
          <w:rFonts w:ascii="Arial" w:hAnsi="Arial" w:cs="Arial"/>
          <w:b/>
          <w:color w:val="7B7B7B" w:themeColor="accent3" w:themeShade="BF"/>
          <w:sz w:val="22"/>
          <w:szCs w:val="22"/>
          <w:lang w:val="en-GB"/>
        </w:rPr>
        <w:t>Part 26 Scheme of arrangement:</w:t>
      </w:r>
      <w:r w:rsidRPr="00EA47D0">
        <w:rPr>
          <w:rFonts w:ascii="Arial" w:hAnsi="Arial" w:cs="Arial"/>
          <w:color w:val="7B7B7B" w:themeColor="accent3" w:themeShade="BF"/>
          <w:sz w:val="22"/>
          <w:szCs w:val="22"/>
          <w:lang w:val="en-GB"/>
        </w:rPr>
        <w:t xml:space="preserve"> This scheme is available for </w:t>
      </w:r>
      <w:r>
        <w:rPr>
          <w:rFonts w:ascii="Arial" w:hAnsi="Arial" w:cs="Arial"/>
          <w:color w:val="7B7B7B" w:themeColor="accent3" w:themeShade="BF"/>
          <w:sz w:val="22"/>
          <w:szCs w:val="22"/>
          <w:lang w:val="en-GB"/>
        </w:rPr>
        <w:t xml:space="preserve">solvent and insolvent companies </w:t>
      </w:r>
      <w:sdt>
        <w:sdtPr>
          <w:rPr>
            <w:rFonts w:ascii="Arial" w:hAnsi="Arial" w:cs="Arial"/>
            <w:color w:val="7B7B7B" w:themeColor="accent3" w:themeShade="BF"/>
            <w:sz w:val="22"/>
            <w:szCs w:val="22"/>
            <w:lang w:val="en-GB"/>
          </w:rPr>
          <w:id w:val="2092349322"/>
          <w:citation/>
        </w:sdtPr>
        <w:sdtEndPr/>
        <w:sdtContent>
          <w:r w:rsidRPr="00EA47D0">
            <w:rPr>
              <w:rFonts w:ascii="Arial" w:hAnsi="Arial" w:cs="Arial"/>
              <w:color w:val="7B7B7B" w:themeColor="accent3" w:themeShade="BF"/>
              <w:sz w:val="22"/>
              <w:szCs w:val="22"/>
              <w:lang w:val="en-GB"/>
            </w:rPr>
            <w:fldChar w:fldCharType="begin"/>
          </w:r>
          <w:r w:rsidRPr="00EA47D0">
            <w:rPr>
              <w:rFonts w:ascii="Arial" w:hAnsi="Arial" w:cs="Arial"/>
              <w:color w:val="7B7B7B" w:themeColor="accent3" w:themeShade="BF"/>
              <w:sz w:val="22"/>
              <w:szCs w:val="22"/>
            </w:rPr>
            <w:instrText xml:space="preserve"> CITATION Wal20 \l 3082 </w:instrText>
          </w:r>
          <w:r w:rsidRPr="00EA47D0">
            <w:rPr>
              <w:rFonts w:ascii="Arial" w:hAnsi="Arial" w:cs="Arial"/>
              <w:color w:val="7B7B7B" w:themeColor="accent3" w:themeShade="BF"/>
              <w:sz w:val="22"/>
              <w:szCs w:val="22"/>
              <w:lang w:val="en-GB"/>
            </w:rPr>
            <w:fldChar w:fldCharType="separate"/>
          </w:r>
          <w:r w:rsidR="004E1987" w:rsidRPr="004E1987">
            <w:rPr>
              <w:rFonts w:ascii="Arial" w:hAnsi="Arial" w:cs="Arial"/>
              <w:noProof/>
              <w:color w:val="7B7B7B" w:themeColor="accent3" w:themeShade="BF"/>
              <w:sz w:val="22"/>
              <w:szCs w:val="22"/>
            </w:rPr>
            <w:t>(Walton, 2020)</w:t>
          </w:r>
          <w:r w:rsidRPr="00EA47D0">
            <w:rPr>
              <w:rFonts w:ascii="Arial" w:hAnsi="Arial" w:cs="Arial"/>
              <w:color w:val="7B7B7B" w:themeColor="accent3" w:themeShade="BF"/>
              <w:sz w:val="22"/>
              <w:szCs w:val="22"/>
              <w:lang w:val="en-GB"/>
            </w:rPr>
            <w:fldChar w:fldCharType="end"/>
          </w:r>
        </w:sdtContent>
      </w:sdt>
      <w:r w:rsidRPr="00EA47D0">
        <w:rPr>
          <w:rFonts w:ascii="Arial" w:hAnsi="Arial" w:cs="Arial"/>
          <w:color w:val="7B7B7B" w:themeColor="accent3" w:themeShade="BF"/>
          <w:sz w:val="22"/>
          <w:szCs w:val="22"/>
          <w:lang w:val="en-GB"/>
        </w:rPr>
        <w:t xml:space="preserve">. </w:t>
      </w:r>
    </w:p>
    <w:p w14:paraId="22610D78" w14:textId="49B94B02" w:rsidR="00EA47D0" w:rsidRPr="00EA47D0" w:rsidRDefault="00EA47D0" w:rsidP="00EA47D0">
      <w:pPr>
        <w:pStyle w:val="Prrafodelista"/>
        <w:numPr>
          <w:ilvl w:val="0"/>
          <w:numId w:val="12"/>
        </w:numPr>
        <w:jc w:val="both"/>
        <w:rPr>
          <w:rFonts w:ascii="Arial" w:hAnsi="Arial" w:cs="Arial"/>
          <w:color w:val="7B7B7B" w:themeColor="accent3" w:themeShade="BF"/>
          <w:sz w:val="22"/>
          <w:szCs w:val="22"/>
          <w:lang w:val="en-GB"/>
        </w:rPr>
      </w:pPr>
      <w:r w:rsidRPr="00EA47D0">
        <w:rPr>
          <w:rFonts w:ascii="Arial" w:hAnsi="Arial" w:cs="Arial"/>
          <w:b/>
          <w:color w:val="7B7B7B" w:themeColor="accent3" w:themeShade="BF"/>
          <w:sz w:val="22"/>
          <w:szCs w:val="22"/>
          <w:lang w:val="en-GB"/>
        </w:rPr>
        <w:t>Part 26A Restructuring plan</w:t>
      </w:r>
      <w:r w:rsidRPr="00EA47D0">
        <w:rPr>
          <w:rFonts w:ascii="Arial" w:hAnsi="Arial" w:cs="Arial"/>
          <w:color w:val="7B7B7B" w:themeColor="accent3" w:themeShade="BF"/>
          <w:sz w:val="22"/>
          <w:szCs w:val="22"/>
          <w:lang w:val="en-GB"/>
        </w:rPr>
        <w:t>: Regarding the subjects that can use this procedure, this instrument is only available for c</w:t>
      </w:r>
      <w:r>
        <w:rPr>
          <w:rFonts w:ascii="Arial" w:hAnsi="Arial" w:cs="Arial"/>
          <w:color w:val="7B7B7B" w:themeColor="accent3" w:themeShade="BF"/>
          <w:sz w:val="22"/>
          <w:szCs w:val="22"/>
          <w:lang w:val="en-GB"/>
        </w:rPr>
        <w:t xml:space="preserve">ompanies in financial distress. </w:t>
      </w:r>
      <w:r w:rsidR="00F16126" w:rsidRPr="00EA47D0">
        <w:rPr>
          <w:rFonts w:ascii="Arial" w:hAnsi="Arial" w:cs="Arial"/>
          <w:color w:val="7B7B7B" w:themeColor="accent3" w:themeShade="BF"/>
          <w:sz w:val="22"/>
          <w:szCs w:val="22"/>
          <w:lang w:val="en-GB"/>
        </w:rPr>
        <w:t>In addition,</w:t>
      </w:r>
      <w:r w:rsidRPr="00EA47D0">
        <w:rPr>
          <w:rFonts w:ascii="Arial" w:hAnsi="Arial" w:cs="Arial"/>
          <w:color w:val="7B7B7B" w:themeColor="accent3" w:themeShade="BF"/>
          <w:sz w:val="22"/>
          <w:szCs w:val="22"/>
          <w:lang w:val="en-GB"/>
        </w:rPr>
        <w:t xml:space="preserve"> its scope of application is extended to all types of companies, even overseas companies that b</w:t>
      </w:r>
      <w:r>
        <w:rPr>
          <w:rFonts w:ascii="Arial" w:hAnsi="Arial" w:cs="Arial"/>
          <w:color w:val="7B7B7B" w:themeColor="accent3" w:themeShade="BF"/>
          <w:sz w:val="22"/>
          <w:szCs w:val="22"/>
          <w:lang w:val="en-GB"/>
        </w:rPr>
        <w:t xml:space="preserve">e wound up in England and Wales </w:t>
      </w:r>
      <w:sdt>
        <w:sdtPr>
          <w:rPr>
            <w:rFonts w:ascii="Arial" w:hAnsi="Arial" w:cs="Arial"/>
            <w:color w:val="7B7B7B" w:themeColor="accent3" w:themeShade="BF"/>
            <w:sz w:val="22"/>
            <w:szCs w:val="22"/>
            <w:lang w:val="en-GB"/>
          </w:rPr>
          <w:id w:val="37635888"/>
          <w:citation/>
        </w:sdtPr>
        <w:sdtEndPr/>
        <w:sdtContent>
          <w:r w:rsidRPr="00EA47D0">
            <w:rPr>
              <w:rFonts w:ascii="Arial" w:hAnsi="Arial" w:cs="Arial"/>
              <w:color w:val="7B7B7B" w:themeColor="accent3" w:themeShade="BF"/>
              <w:sz w:val="22"/>
              <w:szCs w:val="22"/>
              <w:lang w:val="en-GB"/>
            </w:rPr>
            <w:fldChar w:fldCharType="begin"/>
          </w:r>
          <w:r w:rsidRPr="00EA47D0">
            <w:rPr>
              <w:rFonts w:ascii="Arial" w:hAnsi="Arial" w:cs="Arial"/>
              <w:color w:val="7B7B7B" w:themeColor="accent3" w:themeShade="BF"/>
              <w:sz w:val="22"/>
              <w:szCs w:val="22"/>
            </w:rPr>
            <w:instrText xml:space="preserve"> CITATION Wal20 \l 3082 </w:instrText>
          </w:r>
          <w:r w:rsidRPr="00EA47D0">
            <w:rPr>
              <w:rFonts w:ascii="Arial" w:hAnsi="Arial" w:cs="Arial"/>
              <w:color w:val="7B7B7B" w:themeColor="accent3" w:themeShade="BF"/>
              <w:sz w:val="22"/>
              <w:szCs w:val="22"/>
              <w:lang w:val="en-GB"/>
            </w:rPr>
            <w:fldChar w:fldCharType="separate"/>
          </w:r>
          <w:r w:rsidR="004E1987" w:rsidRPr="004E1987">
            <w:rPr>
              <w:rFonts w:ascii="Arial" w:hAnsi="Arial" w:cs="Arial"/>
              <w:noProof/>
              <w:color w:val="7B7B7B" w:themeColor="accent3" w:themeShade="BF"/>
              <w:sz w:val="22"/>
              <w:szCs w:val="22"/>
            </w:rPr>
            <w:t>(Walton, 2020)</w:t>
          </w:r>
          <w:r w:rsidRPr="00EA47D0">
            <w:rPr>
              <w:rFonts w:ascii="Arial" w:hAnsi="Arial" w:cs="Arial"/>
              <w:color w:val="7B7B7B" w:themeColor="accent3" w:themeShade="BF"/>
              <w:sz w:val="22"/>
              <w:szCs w:val="22"/>
              <w:lang w:val="en-GB"/>
            </w:rPr>
            <w:fldChar w:fldCharType="end"/>
          </w:r>
        </w:sdtContent>
      </w:sdt>
      <w:r w:rsidRPr="00EA47D0">
        <w:rPr>
          <w:rFonts w:ascii="Arial" w:hAnsi="Arial" w:cs="Arial"/>
          <w:color w:val="7B7B7B" w:themeColor="accent3" w:themeShade="BF"/>
          <w:sz w:val="22"/>
          <w:szCs w:val="22"/>
          <w:lang w:val="en-GB"/>
        </w:rPr>
        <w:t>.</w:t>
      </w:r>
    </w:p>
    <w:p w14:paraId="572F3CA9" w14:textId="2582B8DC" w:rsidR="00EA47D0" w:rsidRDefault="00EA47D0" w:rsidP="00EA47D0">
      <w:pPr>
        <w:jc w:val="both"/>
        <w:rPr>
          <w:rFonts w:ascii="Arial" w:hAnsi="Arial" w:cs="Arial"/>
          <w:color w:val="7B7B7B" w:themeColor="accent3" w:themeShade="BF"/>
          <w:sz w:val="22"/>
          <w:szCs w:val="22"/>
          <w:lang w:val="en-GB"/>
        </w:rPr>
      </w:pPr>
    </w:p>
    <w:p w14:paraId="1AEA133E" w14:textId="6689C2FE" w:rsidR="00EA47D0" w:rsidRPr="00EA47D0" w:rsidRDefault="00F16126" w:rsidP="00EA47D0">
      <w:pPr>
        <w:pStyle w:val="Prrafodelista"/>
        <w:numPr>
          <w:ilvl w:val="0"/>
          <w:numId w:val="11"/>
        </w:numPr>
        <w:jc w:val="both"/>
        <w:rPr>
          <w:rFonts w:ascii="Arial" w:hAnsi="Arial" w:cs="Arial"/>
          <w:b/>
          <w:color w:val="7B7B7B" w:themeColor="accent3" w:themeShade="BF"/>
          <w:sz w:val="22"/>
          <w:szCs w:val="22"/>
          <w:lang w:val="en-GB"/>
        </w:rPr>
      </w:pPr>
      <w:r w:rsidRPr="00EA47D0">
        <w:rPr>
          <w:rFonts w:ascii="Arial" w:hAnsi="Arial" w:cs="Arial"/>
          <w:b/>
          <w:color w:val="7B7B7B" w:themeColor="accent3" w:themeShade="BF"/>
          <w:sz w:val="22"/>
          <w:szCs w:val="22"/>
          <w:lang w:val="en-GB"/>
        </w:rPr>
        <w:t>Cram down</w:t>
      </w:r>
    </w:p>
    <w:p w14:paraId="02AC65D7" w14:textId="7D796C89" w:rsidR="00EA47D0" w:rsidRPr="00EA47D0" w:rsidRDefault="00EA47D0" w:rsidP="00EA47D0">
      <w:pPr>
        <w:pStyle w:val="Prrafodelista"/>
        <w:numPr>
          <w:ilvl w:val="0"/>
          <w:numId w:val="12"/>
        </w:numPr>
        <w:jc w:val="both"/>
        <w:rPr>
          <w:rFonts w:ascii="Arial" w:hAnsi="Arial" w:cs="Arial"/>
          <w:color w:val="7B7B7B" w:themeColor="accent3" w:themeShade="BF"/>
          <w:sz w:val="22"/>
          <w:szCs w:val="22"/>
          <w:lang w:val="en-GB"/>
        </w:rPr>
      </w:pPr>
      <w:r w:rsidRPr="00EA47D0">
        <w:rPr>
          <w:rFonts w:ascii="Arial" w:hAnsi="Arial" w:cs="Arial"/>
          <w:b/>
          <w:color w:val="7B7B7B" w:themeColor="accent3" w:themeShade="BF"/>
          <w:sz w:val="22"/>
          <w:szCs w:val="22"/>
          <w:lang w:val="en-GB"/>
        </w:rPr>
        <w:lastRenderedPageBreak/>
        <w:t>Part 26 Scheme of arrangement</w:t>
      </w:r>
      <w:r w:rsidRPr="00EA47D0">
        <w:rPr>
          <w:rFonts w:ascii="Arial" w:hAnsi="Arial" w:cs="Arial"/>
          <w:color w:val="7B7B7B" w:themeColor="accent3" w:themeShade="BF"/>
          <w:sz w:val="22"/>
          <w:szCs w:val="22"/>
          <w:lang w:val="en-GB"/>
        </w:rPr>
        <w:t>: The cram down of a whole dissenting class is not possible. Whilst a cram down on minority creditors in</w:t>
      </w:r>
      <w:r>
        <w:rPr>
          <w:rFonts w:ascii="Arial" w:hAnsi="Arial" w:cs="Arial"/>
          <w:color w:val="7B7B7B" w:themeColor="accent3" w:themeShade="BF"/>
          <w:sz w:val="22"/>
          <w:szCs w:val="22"/>
          <w:lang w:val="en-GB"/>
        </w:rPr>
        <w:t xml:space="preserve"> a particular class can be done </w:t>
      </w:r>
      <w:r w:rsidRPr="00EA47D0">
        <w:rPr>
          <w:rFonts w:ascii="Arial" w:hAnsi="Arial" w:cs="Arial"/>
          <w:color w:val="7B7B7B" w:themeColor="accent3" w:themeShade="BF"/>
          <w:sz w:val="22"/>
          <w:szCs w:val="22"/>
          <w:lang w:val="en-GB"/>
        </w:rPr>
        <w:t>(Walton, 2020).</w:t>
      </w:r>
    </w:p>
    <w:p w14:paraId="2ACBA161" w14:textId="65E5C238" w:rsidR="00EA47D0" w:rsidRPr="00EA47D0" w:rsidRDefault="00EA47D0" w:rsidP="00EA47D0">
      <w:pPr>
        <w:pStyle w:val="Prrafodelista"/>
        <w:numPr>
          <w:ilvl w:val="0"/>
          <w:numId w:val="12"/>
        </w:numPr>
        <w:jc w:val="both"/>
        <w:rPr>
          <w:rFonts w:ascii="Arial" w:hAnsi="Arial" w:cs="Arial"/>
          <w:color w:val="7B7B7B" w:themeColor="accent3" w:themeShade="BF"/>
          <w:sz w:val="22"/>
          <w:szCs w:val="22"/>
          <w:lang w:val="en-GB"/>
        </w:rPr>
      </w:pPr>
      <w:r w:rsidRPr="00EA47D0">
        <w:rPr>
          <w:rFonts w:ascii="Arial" w:hAnsi="Arial" w:cs="Arial"/>
          <w:b/>
          <w:color w:val="7B7B7B" w:themeColor="accent3" w:themeShade="BF"/>
          <w:sz w:val="22"/>
          <w:szCs w:val="22"/>
          <w:lang w:val="en-GB"/>
        </w:rPr>
        <w:t>Part 26A Restructuring plan</w:t>
      </w:r>
      <w:r w:rsidRPr="00EA47D0">
        <w:rPr>
          <w:rFonts w:ascii="Arial" w:hAnsi="Arial" w:cs="Arial"/>
          <w:color w:val="7B7B7B" w:themeColor="accent3" w:themeShade="BF"/>
          <w:sz w:val="22"/>
          <w:szCs w:val="22"/>
          <w:lang w:val="en-GB"/>
        </w:rPr>
        <w:t>: In contrast to Part 26 Scheme of arrangement, despite the dissenting class Part 26A Restructuring plan allows the court to sanction a plan as long as the following conditions are met: (</w:t>
      </w:r>
      <w:proofErr w:type="spellStart"/>
      <w:r w:rsidRPr="00EA47D0">
        <w:rPr>
          <w:rFonts w:ascii="Arial" w:hAnsi="Arial" w:cs="Arial"/>
          <w:color w:val="7B7B7B" w:themeColor="accent3" w:themeShade="BF"/>
          <w:sz w:val="22"/>
          <w:szCs w:val="22"/>
          <w:lang w:val="en-GB"/>
        </w:rPr>
        <w:t>i</w:t>
      </w:r>
      <w:proofErr w:type="spellEnd"/>
      <w:r w:rsidRPr="00EA47D0">
        <w:rPr>
          <w:rFonts w:ascii="Arial" w:hAnsi="Arial" w:cs="Arial"/>
          <w:color w:val="7B7B7B" w:themeColor="accent3" w:themeShade="BF"/>
          <w:sz w:val="22"/>
          <w:szCs w:val="22"/>
          <w:lang w:val="en-GB"/>
        </w:rPr>
        <w:t>) None of the dissenters will be worse off than under the relevant alternative and (ii) the agreement was voted favourably by 75% in value of at least one class of the members or creditors who have the potential to receive a payment or have a real economic inter</w:t>
      </w:r>
      <w:r>
        <w:rPr>
          <w:rFonts w:ascii="Arial" w:hAnsi="Arial" w:cs="Arial"/>
          <w:color w:val="7B7B7B" w:themeColor="accent3" w:themeShade="BF"/>
          <w:sz w:val="22"/>
          <w:szCs w:val="22"/>
          <w:lang w:val="en-GB"/>
        </w:rPr>
        <w:t>est in the relevant alternative (Walton, 2020).</w:t>
      </w:r>
    </w:p>
    <w:p w14:paraId="098E8927" w14:textId="718B0446" w:rsidR="00EA47D0" w:rsidRDefault="00375D86" w:rsidP="00375D86">
      <w:pPr>
        <w:pStyle w:val="Prrafodelista"/>
        <w:numPr>
          <w:ilvl w:val="0"/>
          <w:numId w:val="11"/>
        </w:numPr>
        <w:jc w:val="both"/>
        <w:rPr>
          <w:rFonts w:ascii="Arial" w:hAnsi="Arial" w:cs="Arial"/>
          <w:b/>
          <w:color w:val="7B7B7B" w:themeColor="accent3" w:themeShade="BF"/>
          <w:sz w:val="22"/>
          <w:szCs w:val="22"/>
          <w:lang w:val="en-GB"/>
        </w:rPr>
      </w:pPr>
      <w:r w:rsidRPr="00375D86">
        <w:rPr>
          <w:rFonts w:ascii="Arial" w:hAnsi="Arial" w:cs="Arial"/>
          <w:b/>
          <w:color w:val="7B7B7B" w:themeColor="accent3" w:themeShade="BF"/>
          <w:sz w:val="22"/>
          <w:szCs w:val="22"/>
          <w:lang w:val="en-GB"/>
        </w:rPr>
        <w:t>Require majority to approve the scheme</w:t>
      </w:r>
    </w:p>
    <w:p w14:paraId="079916FD" w14:textId="3B6CF6B9" w:rsidR="00375D86" w:rsidRPr="00375D86" w:rsidRDefault="00375D86" w:rsidP="00375D86">
      <w:pPr>
        <w:pStyle w:val="Prrafodelista"/>
        <w:numPr>
          <w:ilvl w:val="0"/>
          <w:numId w:val="12"/>
        </w:numPr>
        <w:jc w:val="both"/>
        <w:rPr>
          <w:rFonts w:ascii="Arial" w:hAnsi="Arial" w:cs="Arial"/>
          <w:b/>
          <w:color w:val="7B7B7B" w:themeColor="accent3" w:themeShade="BF"/>
          <w:sz w:val="22"/>
          <w:szCs w:val="22"/>
          <w:lang w:val="en-GB"/>
        </w:rPr>
      </w:pPr>
      <w:r w:rsidRPr="00375D86">
        <w:rPr>
          <w:rFonts w:ascii="Arial" w:hAnsi="Arial" w:cs="Arial"/>
          <w:b/>
          <w:color w:val="7B7B7B" w:themeColor="accent3" w:themeShade="BF"/>
          <w:sz w:val="22"/>
          <w:szCs w:val="22"/>
          <w:lang w:val="en-GB"/>
        </w:rPr>
        <w:t xml:space="preserve">Part 26 Scheme of arrangement: </w:t>
      </w:r>
      <w:r w:rsidRPr="00375D86">
        <w:rPr>
          <w:rFonts w:ascii="Arial" w:hAnsi="Arial" w:cs="Arial"/>
          <w:color w:val="7B7B7B" w:themeColor="accent3" w:themeShade="BF"/>
          <w:sz w:val="22"/>
          <w:szCs w:val="22"/>
          <w:lang w:val="en-GB"/>
        </w:rPr>
        <w:t>The court will sanction the arrangement if 75% or more in value of: (</w:t>
      </w:r>
      <w:proofErr w:type="spellStart"/>
      <w:r w:rsidRPr="00375D86">
        <w:rPr>
          <w:rFonts w:ascii="Arial" w:hAnsi="Arial" w:cs="Arial"/>
          <w:color w:val="7B7B7B" w:themeColor="accent3" w:themeShade="BF"/>
          <w:sz w:val="22"/>
          <w:szCs w:val="22"/>
          <w:lang w:val="en-GB"/>
        </w:rPr>
        <w:t>i</w:t>
      </w:r>
      <w:proofErr w:type="spellEnd"/>
      <w:r w:rsidRPr="00375D86">
        <w:rPr>
          <w:rFonts w:ascii="Arial" w:hAnsi="Arial" w:cs="Arial"/>
          <w:color w:val="7B7B7B" w:themeColor="accent3" w:themeShade="BF"/>
          <w:sz w:val="22"/>
          <w:szCs w:val="22"/>
          <w:lang w:val="en-GB"/>
        </w:rPr>
        <w:t>) the members or class of members or (ii) the creditors or class of creditors approved the terms of the Plan</w:t>
      </w:r>
      <w:r>
        <w:rPr>
          <w:rFonts w:ascii="Arial" w:hAnsi="Arial" w:cs="Arial"/>
          <w:color w:val="7B7B7B" w:themeColor="accent3" w:themeShade="BF"/>
          <w:sz w:val="22"/>
          <w:szCs w:val="22"/>
          <w:lang w:val="en-GB"/>
        </w:rPr>
        <w:t xml:space="preserve"> (Walton, 2020).</w:t>
      </w:r>
    </w:p>
    <w:p w14:paraId="7D2FD53B" w14:textId="007DBA1F" w:rsidR="00375D86" w:rsidRPr="00375D86" w:rsidRDefault="00375D86" w:rsidP="00375D86">
      <w:pPr>
        <w:pStyle w:val="Prrafodelista"/>
        <w:numPr>
          <w:ilvl w:val="0"/>
          <w:numId w:val="12"/>
        </w:numPr>
        <w:jc w:val="both"/>
        <w:rPr>
          <w:rFonts w:ascii="Arial" w:hAnsi="Arial" w:cs="Arial"/>
          <w:b/>
          <w:color w:val="7B7B7B" w:themeColor="accent3" w:themeShade="BF"/>
          <w:sz w:val="22"/>
          <w:szCs w:val="22"/>
          <w:lang w:val="en-GB"/>
        </w:rPr>
      </w:pPr>
      <w:r w:rsidRPr="00375D86">
        <w:rPr>
          <w:rFonts w:ascii="Arial" w:hAnsi="Arial" w:cs="Arial"/>
          <w:b/>
          <w:color w:val="7B7B7B" w:themeColor="accent3" w:themeShade="BF"/>
          <w:sz w:val="22"/>
          <w:szCs w:val="22"/>
          <w:lang w:val="en-GB"/>
        </w:rPr>
        <w:t xml:space="preserve">Part 26A Restructuring plan: </w:t>
      </w:r>
      <w:r w:rsidRPr="00375D86">
        <w:rPr>
          <w:rFonts w:ascii="Arial" w:hAnsi="Arial" w:cs="Arial"/>
          <w:color w:val="7B7B7B" w:themeColor="accent3" w:themeShade="BF"/>
          <w:sz w:val="22"/>
          <w:szCs w:val="22"/>
          <w:lang w:val="en-GB"/>
        </w:rPr>
        <w:t>The scheme must be approved by a simple majority in number and a majority of 75% or more in value of the creditors or members present and voting</w:t>
      </w:r>
      <w:r>
        <w:rPr>
          <w:rFonts w:ascii="Arial" w:hAnsi="Arial" w:cs="Arial"/>
          <w:color w:val="7B7B7B" w:themeColor="accent3" w:themeShade="BF"/>
          <w:sz w:val="22"/>
          <w:szCs w:val="22"/>
          <w:lang w:val="en-GB"/>
        </w:rPr>
        <w:t xml:space="preserve"> (Walton, 2020)</w:t>
      </w:r>
      <w:r w:rsidRPr="00375D86">
        <w:rPr>
          <w:rFonts w:ascii="Arial" w:hAnsi="Arial" w:cs="Arial"/>
          <w:color w:val="7B7B7B" w:themeColor="accent3" w:themeShade="BF"/>
          <w:sz w:val="22"/>
          <w:szCs w:val="22"/>
          <w:lang w:val="en-GB"/>
        </w:rPr>
        <w:t>.</w:t>
      </w:r>
    </w:p>
    <w:p w14:paraId="4A637290" w14:textId="4A0282A0" w:rsidR="00544127" w:rsidRPr="00EA47D0" w:rsidRDefault="00544127" w:rsidP="002A37BB">
      <w:pPr>
        <w:ind w:left="720" w:hanging="720"/>
        <w:jc w:val="both"/>
        <w:rPr>
          <w:rFonts w:ascii="Arial" w:hAnsi="Arial" w:cs="Arial"/>
          <w:sz w:val="22"/>
          <w:szCs w:val="22"/>
          <w:lang w:val="en-GB"/>
        </w:rPr>
      </w:pPr>
    </w:p>
    <w:p w14:paraId="5D5A1FA5" w14:textId="77777777" w:rsidR="00D17FDC" w:rsidRPr="002A37BB" w:rsidRDefault="00D17FDC" w:rsidP="002A37BB">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3DAA6780" w14:textId="38C157CD" w:rsidR="00962045" w:rsidRDefault="00B27A29" w:rsidP="00B27A29">
      <w:pPr>
        <w:ind w:left="720" w:hanging="720"/>
        <w:jc w:val="both"/>
        <w:rPr>
          <w:rFonts w:ascii="Arial" w:hAnsi="Arial" w:cs="Arial"/>
          <w:color w:val="7B7B7B" w:themeColor="accent3" w:themeShade="BF"/>
          <w:sz w:val="22"/>
          <w:szCs w:val="22"/>
          <w:lang w:val="en-GB"/>
        </w:rPr>
      </w:pPr>
      <w:r w:rsidRPr="00B27A29">
        <w:rPr>
          <w:rFonts w:ascii="Arial" w:hAnsi="Arial" w:cs="Arial"/>
          <w:color w:val="7B7B7B" w:themeColor="accent3" w:themeShade="BF"/>
          <w:sz w:val="22"/>
          <w:szCs w:val="22"/>
          <w:lang w:val="en-GB"/>
        </w:rPr>
        <w:t xml:space="preserve">The following are the possible ways by which an </w:t>
      </w:r>
      <w:r w:rsidR="0098483C">
        <w:rPr>
          <w:rFonts w:ascii="Arial" w:hAnsi="Arial" w:cs="Arial"/>
          <w:color w:val="7B7B7B" w:themeColor="accent3" w:themeShade="BF"/>
          <w:sz w:val="22"/>
          <w:szCs w:val="22"/>
          <w:lang w:val="en-GB"/>
        </w:rPr>
        <w:t xml:space="preserve">overseas </w:t>
      </w:r>
      <w:r w:rsidRPr="00B27A29">
        <w:rPr>
          <w:rFonts w:ascii="Arial" w:hAnsi="Arial" w:cs="Arial"/>
          <w:color w:val="7B7B7B" w:themeColor="accent3" w:themeShade="BF"/>
          <w:sz w:val="22"/>
          <w:szCs w:val="22"/>
          <w:lang w:val="en-GB"/>
        </w:rPr>
        <w:t xml:space="preserve">office-holder </w:t>
      </w:r>
      <w:r w:rsidR="0098483C">
        <w:rPr>
          <w:rFonts w:ascii="Arial" w:hAnsi="Arial" w:cs="Arial"/>
          <w:color w:val="7B7B7B" w:themeColor="accent3" w:themeShade="BF"/>
          <w:sz w:val="22"/>
          <w:szCs w:val="22"/>
          <w:lang w:val="en-GB"/>
        </w:rPr>
        <w:t>may</w:t>
      </w:r>
      <w:r w:rsidRPr="00B27A29">
        <w:rPr>
          <w:rFonts w:ascii="Arial" w:hAnsi="Arial" w:cs="Arial"/>
          <w:color w:val="7B7B7B" w:themeColor="accent3" w:themeShade="BF"/>
          <w:sz w:val="22"/>
          <w:szCs w:val="22"/>
          <w:lang w:val="en-GB"/>
        </w:rPr>
        <w:t xml:space="preserve"> ask</w:t>
      </w:r>
      <w:r w:rsidR="0098483C">
        <w:rPr>
          <w:rFonts w:ascii="Arial" w:hAnsi="Arial" w:cs="Arial"/>
          <w:color w:val="7B7B7B" w:themeColor="accent3" w:themeShade="BF"/>
          <w:sz w:val="22"/>
          <w:szCs w:val="22"/>
          <w:lang w:val="en-GB"/>
        </w:rPr>
        <w:t xml:space="preserve"> the</w:t>
      </w:r>
      <w:r w:rsidRPr="00B27A29">
        <w:rPr>
          <w:rFonts w:ascii="Arial" w:hAnsi="Arial" w:cs="Arial"/>
          <w:color w:val="7B7B7B" w:themeColor="accent3" w:themeShade="BF"/>
          <w:sz w:val="22"/>
          <w:szCs w:val="22"/>
          <w:lang w:val="en-GB"/>
        </w:rPr>
        <w:t xml:space="preserve"> assistance of the courts in England and Wales</w:t>
      </w:r>
      <w:r>
        <w:rPr>
          <w:rFonts w:ascii="Arial" w:hAnsi="Arial" w:cs="Arial"/>
          <w:color w:val="7B7B7B" w:themeColor="accent3" w:themeShade="BF"/>
          <w:sz w:val="22"/>
          <w:szCs w:val="22"/>
          <w:lang w:val="en-GB"/>
        </w:rPr>
        <w:t>:</w:t>
      </w:r>
    </w:p>
    <w:p w14:paraId="6FFDCA45" w14:textId="41CD3A5B" w:rsidR="00B27A29" w:rsidRPr="00254C09" w:rsidRDefault="00254C09" w:rsidP="00254C09">
      <w:pPr>
        <w:pStyle w:val="Prrafodelista"/>
        <w:numPr>
          <w:ilvl w:val="0"/>
          <w:numId w:val="13"/>
        </w:numPr>
        <w:jc w:val="both"/>
        <w:rPr>
          <w:rFonts w:ascii="Arial" w:hAnsi="Arial" w:cs="Arial"/>
          <w:color w:val="7B7B7B" w:themeColor="accent3" w:themeShade="BF"/>
          <w:sz w:val="22"/>
          <w:szCs w:val="22"/>
          <w:lang w:val="en-GB"/>
        </w:rPr>
      </w:pPr>
      <w:r w:rsidRPr="00D05708">
        <w:rPr>
          <w:rFonts w:ascii="Arial" w:hAnsi="Arial" w:cs="Arial"/>
          <w:b/>
          <w:color w:val="7B7B7B" w:themeColor="accent3" w:themeShade="BF"/>
          <w:sz w:val="22"/>
          <w:szCs w:val="22"/>
          <w:u w:val="single"/>
          <w:lang w:val="en-GB"/>
        </w:rPr>
        <w:t>Common Law</w:t>
      </w:r>
      <w:r w:rsidR="00B27A2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Pr="00254C09">
        <w:rPr>
          <w:rFonts w:ascii="Arial" w:hAnsi="Arial" w:cs="Arial"/>
          <w:color w:val="7B7B7B" w:themeColor="accent3" w:themeShade="BF"/>
          <w:sz w:val="22"/>
          <w:szCs w:val="22"/>
          <w:lang w:val="en-GB"/>
        </w:rPr>
        <w:t>According to this approach, the fairness between creditors necessarily requires an idealistic world where it should be a single insolvency proceeding</w:t>
      </w:r>
      <w:r>
        <w:rPr>
          <w:rFonts w:ascii="Arial" w:hAnsi="Arial" w:cs="Arial"/>
          <w:color w:val="7B7B7B" w:themeColor="accent3" w:themeShade="BF"/>
          <w:sz w:val="22"/>
          <w:szCs w:val="22"/>
          <w:lang w:val="en-GB"/>
        </w:rPr>
        <w:t xml:space="preserve"> (Walton, 2020)</w:t>
      </w:r>
      <w:r w:rsidRPr="00254C09">
        <w:rPr>
          <w:rFonts w:ascii="Arial" w:hAnsi="Arial" w:cs="Arial"/>
          <w:color w:val="7B7B7B" w:themeColor="accent3" w:themeShade="BF"/>
          <w:sz w:val="22"/>
          <w:szCs w:val="22"/>
          <w:lang w:val="en-GB"/>
        </w:rPr>
        <w:t>. The basis for recognition is based on the principle of "</w:t>
      </w:r>
      <w:r w:rsidRPr="00971422">
        <w:rPr>
          <w:rFonts w:ascii="Arial" w:hAnsi="Arial" w:cs="Arial"/>
          <w:b/>
          <w:bCs/>
          <w:color w:val="7B7B7B" w:themeColor="accent3" w:themeShade="BF"/>
          <w:sz w:val="22"/>
          <w:szCs w:val="22"/>
          <w:lang w:val="en-GB"/>
        </w:rPr>
        <w:t>judicial comity"</w:t>
      </w:r>
      <w:r w:rsidRPr="00254C09">
        <w:rPr>
          <w:rFonts w:ascii="Arial" w:hAnsi="Arial" w:cs="Arial"/>
          <w:color w:val="7B7B7B" w:themeColor="accent3" w:themeShade="BF"/>
          <w:sz w:val="22"/>
          <w:szCs w:val="22"/>
          <w:lang w:val="en-GB"/>
        </w:rPr>
        <w:t xml:space="preserve"> under which the recognition is extended to the bankruptcy laws of other countries circumscribed in the English jurisdiction</w:t>
      </w:r>
      <w:r w:rsidR="00211A5E">
        <w:rPr>
          <w:rFonts w:ascii="Arial" w:hAnsi="Arial" w:cs="Arial"/>
          <w:color w:val="7B7B7B" w:themeColor="accent3" w:themeShade="BF"/>
          <w:sz w:val="22"/>
          <w:szCs w:val="22"/>
          <w:lang w:val="en-GB"/>
        </w:rPr>
        <w:t xml:space="preserve"> </w:t>
      </w:r>
      <w:sdt>
        <w:sdtPr>
          <w:rPr>
            <w:rFonts w:ascii="Arial" w:hAnsi="Arial" w:cs="Arial"/>
            <w:color w:val="7B7B7B" w:themeColor="accent3" w:themeShade="BF"/>
            <w:sz w:val="22"/>
            <w:szCs w:val="22"/>
            <w:lang w:val="en-GB"/>
          </w:rPr>
          <w:id w:val="-771935513"/>
          <w:citation/>
        </w:sdtPr>
        <w:sdtEndPr/>
        <w:sdtContent>
          <w:r w:rsidR="00211A5E">
            <w:rPr>
              <w:rFonts w:ascii="Arial" w:hAnsi="Arial" w:cs="Arial"/>
              <w:color w:val="7B7B7B" w:themeColor="accent3" w:themeShade="BF"/>
              <w:sz w:val="22"/>
              <w:szCs w:val="22"/>
              <w:lang w:val="en-GB"/>
            </w:rPr>
            <w:fldChar w:fldCharType="begin"/>
          </w:r>
          <w:r w:rsidR="00211A5E" w:rsidRPr="00211A5E">
            <w:rPr>
              <w:rFonts w:ascii="Arial" w:hAnsi="Arial" w:cs="Arial"/>
              <w:color w:val="7B7B7B" w:themeColor="accent3" w:themeShade="BF"/>
              <w:sz w:val="22"/>
              <w:szCs w:val="22"/>
            </w:rPr>
            <w:instrText xml:space="preserve"> CITATION Jon09 \l 3082 </w:instrText>
          </w:r>
          <w:r w:rsidR="00211A5E">
            <w:rPr>
              <w:rFonts w:ascii="Arial" w:hAnsi="Arial" w:cs="Arial"/>
              <w:color w:val="7B7B7B" w:themeColor="accent3" w:themeShade="BF"/>
              <w:sz w:val="22"/>
              <w:szCs w:val="22"/>
              <w:lang w:val="en-GB"/>
            </w:rPr>
            <w:fldChar w:fldCharType="separate"/>
          </w:r>
          <w:r w:rsidR="004E1987" w:rsidRPr="004E1987">
            <w:rPr>
              <w:rFonts w:ascii="Arial" w:hAnsi="Arial" w:cs="Arial"/>
              <w:noProof/>
              <w:color w:val="7B7B7B" w:themeColor="accent3" w:themeShade="BF"/>
              <w:sz w:val="22"/>
              <w:szCs w:val="22"/>
            </w:rPr>
            <w:t>(Jones Day Publication, 2009)</w:t>
          </w:r>
          <w:r w:rsidR="00211A5E">
            <w:rPr>
              <w:rFonts w:ascii="Arial" w:hAnsi="Arial" w:cs="Arial"/>
              <w:color w:val="7B7B7B" w:themeColor="accent3" w:themeShade="BF"/>
              <w:sz w:val="22"/>
              <w:szCs w:val="22"/>
              <w:lang w:val="en-GB"/>
            </w:rPr>
            <w:fldChar w:fldCharType="end"/>
          </w:r>
        </w:sdtContent>
      </w:sdt>
      <w:r w:rsidRPr="00254C09">
        <w:rPr>
          <w:rFonts w:ascii="Arial" w:hAnsi="Arial" w:cs="Arial"/>
          <w:color w:val="7B7B7B" w:themeColor="accent3" w:themeShade="BF"/>
          <w:sz w:val="22"/>
          <w:szCs w:val="22"/>
          <w:lang w:val="en-GB"/>
        </w:rPr>
        <w:t>.</w:t>
      </w:r>
    </w:p>
    <w:p w14:paraId="56E69A3A" w14:textId="157AC871" w:rsidR="00B27A29" w:rsidRDefault="00B27A29" w:rsidP="00B32F7E">
      <w:pPr>
        <w:pStyle w:val="Prrafodelista"/>
        <w:numPr>
          <w:ilvl w:val="0"/>
          <w:numId w:val="13"/>
        </w:numPr>
        <w:jc w:val="both"/>
        <w:rPr>
          <w:rFonts w:ascii="Arial" w:hAnsi="Arial" w:cs="Arial"/>
          <w:color w:val="7B7B7B" w:themeColor="accent3" w:themeShade="BF"/>
          <w:sz w:val="22"/>
          <w:szCs w:val="22"/>
          <w:lang w:val="en-GB"/>
        </w:rPr>
      </w:pPr>
      <w:r w:rsidRPr="00D05708">
        <w:rPr>
          <w:rFonts w:ascii="Arial" w:hAnsi="Arial" w:cs="Arial"/>
          <w:b/>
          <w:color w:val="7B7B7B" w:themeColor="accent3" w:themeShade="BF"/>
          <w:sz w:val="22"/>
          <w:szCs w:val="22"/>
          <w:u w:val="single"/>
          <w:lang w:val="en-GB"/>
        </w:rPr>
        <w:t>EU Regulation</w:t>
      </w:r>
      <w:r>
        <w:rPr>
          <w:rFonts w:ascii="Arial" w:hAnsi="Arial" w:cs="Arial"/>
          <w:color w:val="7B7B7B" w:themeColor="accent3" w:themeShade="BF"/>
          <w:sz w:val="22"/>
          <w:szCs w:val="22"/>
          <w:lang w:val="en-GB"/>
        </w:rPr>
        <w:t>:</w:t>
      </w:r>
      <w:r w:rsidR="00B32F7E">
        <w:rPr>
          <w:rFonts w:ascii="Arial" w:hAnsi="Arial" w:cs="Arial"/>
          <w:color w:val="7B7B7B" w:themeColor="accent3" w:themeShade="BF"/>
          <w:sz w:val="22"/>
          <w:szCs w:val="22"/>
          <w:lang w:val="en-GB"/>
        </w:rPr>
        <w:t xml:space="preserve"> </w:t>
      </w:r>
      <w:r w:rsidR="00B32F7E" w:rsidRPr="00B32F7E">
        <w:rPr>
          <w:rFonts w:ascii="Arial" w:hAnsi="Arial" w:cs="Arial"/>
          <w:color w:val="7B7B7B" w:themeColor="accent3" w:themeShade="BF"/>
          <w:sz w:val="22"/>
          <w:szCs w:val="22"/>
          <w:lang w:val="en-GB"/>
        </w:rPr>
        <w:t xml:space="preserve">This instrument establishes the rules for determining the competent </w:t>
      </w:r>
      <w:r w:rsidR="00B32F7E" w:rsidRPr="00971422">
        <w:rPr>
          <w:rFonts w:ascii="Arial" w:hAnsi="Arial" w:cs="Arial"/>
          <w:b/>
          <w:bCs/>
          <w:color w:val="7B7B7B" w:themeColor="accent3" w:themeShade="BF"/>
          <w:sz w:val="22"/>
          <w:szCs w:val="22"/>
          <w:lang w:val="en-GB"/>
        </w:rPr>
        <w:t>jurisdiction</w:t>
      </w:r>
      <w:r w:rsidR="00B32F7E" w:rsidRPr="00B32F7E">
        <w:rPr>
          <w:rFonts w:ascii="Arial" w:hAnsi="Arial" w:cs="Arial"/>
          <w:color w:val="7B7B7B" w:themeColor="accent3" w:themeShade="BF"/>
          <w:sz w:val="22"/>
          <w:szCs w:val="22"/>
          <w:lang w:val="en-GB"/>
        </w:rPr>
        <w:t xml:space="preserve"> to initiate insolvency proceedings and the </w:t>
      </w:r>
      <w:r w:rsidR="00971422" w:rsidRPr="00971422">
        <w:rPr>
          <w:rFonts w:ascii="Arial" w:hAnsi="Arial" w:cs="Arial"/>
          <w:b/>
          <w:bCs/>
          <w:color w:val="7B7B7B" w:themeColor="accent3" w:themeShade="BF"/>
          <w:sz w:val="22"/>
          <w:szCs w:val="22"/>
          <w:lang w:val="en-GB"/>
        </w:rPr>
        <w:t>applicable</w:t>
      </w:r>
      <w:r w:rsidR="00971422" w:rsidRPr="00971422">
        <w:rPr>
          <w:rFonts w:ascii="Arial" w:hAnsi="Arial" w:cs="Arial"/>
          <w:b/>
          <w:bCs/>
          <w:color w:val="7B7B7B" w:themeColor="accent3" w:themeShade="BF"/>
          <w:sz w:val="22"/>
          <w:szCs w:val="22"/>
          <w:lang w:val="en-GB"/>
        </w:rPr>
        <w:t xml:space="preserve"> </w:t>
      </w:r>
      <w:r w:rsidR="00B32F7E" w:rsidRPr="00971422">
        <w:rPr>
          <w:rFonts w:ascii="Arial" w:hAnsi="Arial" w:cs="Arial"/>
          <w:b/>
          <w:bCs/>
          <w:color w:val="7B7B7B" w:themeColor="accent3" w:themeShade="BF"/>
          <w:sz w:val="22"/>
          <w:szCs w:val="22"/>
          <w:lang w:val="en-GB"/>
        </w:rPr>
        <w:t>law</w:t>
      </w:r>
      <w:r w:rsidR="00B32F7E" w:rsidRPr="00B32F7E">
        <w:rPr>
          <w:rFonts w:ascii="Arial" w:hAnsi="Arial" w:cs="Arial"/>
          <w:color w:val="7B7B7B" w:themeColor="accent3" w:themeShade="BF"/>
          <w:sz w:val="22"/>
          <w:szCs w:val="22"/>
          <w:lang w:val="en-GB"/>
        </w:rPr>
        <w:t xml:space="preserve">. Regarding the appointment, it should be recognized automatically in all the member states, and the Insolvency Practioner is granted </w:t>
      </w:r>
      <w:r w:rsidR="00822C7C">
        <w:rPr>
          <w:rFonts w:ascii="Arial" w:hAnsi="Arial" w:cs="Arial"/>
          <w:color w:val="7B7B7B" w:themeColor="accent3" w:themeShade="BF"/>
          <w:sz w:val="22"/>
          <w:szCs w:val="22"/>
          <w:lang w:val="en-GB"/>
        </w:rPr>
        <w:t>with</w:t>
      </w:r>
      <w:r w:rsidR="00B32F7E" w:rsidRPr="00B32F7E">
        <w:rPr>
          <w:rFonts w:ascii="Arial" w:hAnsi="Arial" w:cs="Arial"/>
          <w:color w:val="7B7B7B" w:themeColor="accent3" w:themeShade="BF"/>
          <w:sz w:val="22"/>
          <w:szCs w:val="22"/>
          <w:lang w:val="en-GB"/>
        </w:rPr>
        <w:t xml:space="preserve"> all the powers, except for </w:t>
      </w:r>
      <w:r w:rsidR="00822C7C">
        <w:rPr>
          <w:rFonts w:ascii="Arial" w:hAnsi="Arial" w:cs="Arial"/>
          <w:color w:val="7B7B7B" w:themeColor="accent3" w:themeShade="BF"/>
          <w:sz w:val="22"/>
          <w:szCs w:val="22"/>
          <w:lang w:val="en-GB"/>
        </w:rPr>
        <w:t>some</w:t>
      </w:r>
      <w:r w:rsidR="00B32F7E">
        <w:rPr>
          <w:rFonts w:ascii="Arial" w:hAnsi="Arial" w:cs="Arial"/>
          <w:color w:val="7B7B7B" w:themeColor="accent3" w:themeShade="BF"/>
          <w:sz w:val="22"/>
          <w:szCs w:val="22"/>
          <w:lang w:val="en-GB"/>
        </w:rPr>
        <w:t xml:space="preserve"> limitations (Walton, 2020)</w:t>
      </w:r>
      <w:r w:rsidR="00B32F7E" w:rsidRPr="00F160E6">
        <w:rPr>
          <w:rFonts w:ascii="Arial" w:hAnsi="Arial" w:cs="Arial"/>
          <w:color w:val="7B7B7B" w:themeColor="accent3" w:themeShade="BF"/>
          <w:sz w:val="22"/>
          <w:szCs w:val="22"/>
          <w:lang w:val="en-GB"/>
        </w:rPr>
        <w:t>.</w:t>
      </w:r>
    </w:p>
    <w:p w14:paraId="280AE58A" w14:textId="2F14334F" w:rsidR="00B27A29" w:rsidRDefault="00B27A29" w:rsidP="00F160E6">
      <w:pPr>
        <w:pStyle w:val="Prrafodelista"/>
        <w:numPr>
          <w:ilvl w:val="0"/>
          <w:numId w:val="13"/>
        </w:numPr>
        <w:jc w:val="both"/>
        <w:rPr>
          <w:rFonts w:ascii="Arial" w:hAnsi="Arial" w:cs="Arial"/>
          <w:color w:val="7B7B7B" w:themeColor="accent3" w:themeShade="BF"/>
          <w:sz w:val="22"/>
          <w:szCs w:val="22"/>
          <w:lang w:val="en-GB"/>
        </w:rPr>
      </w:pPr>
      <w:r w:rsidRPr="00D05708">
        <w:rPr>
          <w:rFonts w:ascii="Arial" w:hAnsi="Arial" w:cs="Arial"/>
          <w:b/>
          <w:color w:val="7B7B7B" w:themeColor="accent3" w:themeShade="BF"/>
          <w:sz w:val="22"/>
          <w:szCs w:val="22"/>
          <w:u w:val="single"/>
          <w:lang w:val="en-GB"/>
        </w:rPr>
        <w:t>The CBIR</w:t>
      </w:r>
      <w:r>
        <w:rPr>
          <w:rFonts w:ascii="Arial" w:hAnsi="Arial" w:cs="Arial"/>
          <w:color w:val="7B7B7B" w:themeColor="accent3" w:themeShade="BF"/>
          <w:sz w:val="22"/>
          <w:szCs w:val="22"/>
          <w:lang w:val="en-GB"/>
        </w:rPr>
        <w:t>:</w:t>
      </w:r>
      <w:r w:rsidR="00F160E6">
        <w:rPr>
          <w:rFonts w:ascii="Arial" w:hAnsi="Arial" w:cs="Arial"/>
          <w:color w:val="7B7B7B" w:themeColor="accent3" w:themeShade="BF"/>
          <w:sz w:val="22"/>
          <w:szCs w:val="22"/>
          <w:lang w:val="en-GB"/>
        </w:rPr>
        <w:t xml:space="preserve"> </w:t>
      </w:r>
      <w:r w:rsidR="00F160E6" w:rsidRPr="00F160E6">
        <w:rPr>
          <w:rFonts w:ascii="Arial" w:hAnsi="Arial" w:cs="Arial"/>
          <w:color w:val="7B7B7B" w:themeColor="accent3" w:themeShade="BF"/>
          <w:sz w:val="22"/>
          <w:szCs w:val="22"/>
          <w:lang w:val="en-GB"/>
        </w:rPr>
        <w:t>It is necessary to take into account that pursuant CBIR the recognition of an overseas insolvency procedure is not automatic. The foregoing because is required to present an application to the court in order to obtain the corresponding recognition and assistance</w:t>
      </w:r>
      <w:r w:rsidR="00F160E6">
        <w:rPr>
          <w:rFonts w:ascii="Arial" w:hAnsi="Arial" w:cs="Arial"/>
          <w:color w:val="7B7B7B" w:themeColor="accent3" w:themeShade="BF"/>
          <w:sz w:val="22"/>
          <w:szCs w:val="22"/>
          <w:lang w:val="en-GB"/>
        </w:rPr>
        <w:t xml:space="preserve"> (Walton, 2020)</w:t>
      </w:r>
      <w:r w:rsidR="00F160E6" w:rsidRPr="00F160E6">
        <w:rPr>
          <w:rFonts w:ascii="Arial" w:hAnsi="Arial" w:cs="Arial"/>
          <w:color w:val="7B7B7B" w:themeColor="accent3" w:themeShade="BF"/>
          <w:sz w:val="22"/>
          <w:szCs w:val="22"/>
          <w:lang w:val="en-GB"/>
        </w:rPr>
        <w:t>.</w:t>
      </w:r>
    </w:p>
    <w:p w14:paraId="23548CB2" w14:textId="3A37C0AF" w:rsidR="00B27A29" w:rsidRDefault="00B27A29" w:rsidP="00F160E6">
      <w:pPr>
        <w:pStyle w:val="Prrafodelista"/>
        <w:numPr>
          <w:ilvl w:val="0"/>
          <w:numId w:val="13"/>
        </w:numPr>
        <w:jc w:val="both"/>
        <w:rPr>
          <w:rFonts w:ascii="Arial" w:hAnsi="Arial" w:cs="Arial"/>
          <w:color w:val="7B7B7B" w:themeColor="accent3" w:themeShade="BF"/>
          <w:sz w:val="22"/>
          <w:szCs w:val="22"/>
          <w:lang w:val="en-GB"/>
        </w:rPr>
      </w:pPr>
      <w:r w:rsidRPr="00D05708">
        <w:rPr>
          <w:rFonts w:ascii="Arial" w:hAnsi="Arial" w:cs="Arial"/>
          <w:b/>
          <w:color w:val="7B7B7B" w:themeColor="accent3" w:themeShade="BF"/>
          <w:sz w:val="22"/>
          <w:szCs w:val="22"/>
          <w:u w:val="single"/>
          <w:lang w:val="en-GB"/>
        </w:rPr>
        <w:t xml:space="preserve">Section 426 of the </w:t>
      </w:r>
      <w:r w:rsidR="00381DFD" w:rsidRPr="00D05708">
        <w:rPr>
          <w:rFonts w:ascii="Arial" w:hAnsi="Arial" w:cs="Arial"/>
          <w:b/>
          <w:color w:val="7B7B7B" w:themeColor="accent3" w:themeShade="BF"/>
          <w:sz w:val="22"/>
          <w:szCs w:val="22"/>
          <w:u w:val="single"/>
          <w:lang w:val="en-GB"/>
        </w:rPr>
        <w:t>act</w:t>
      </w:r>
      <w:r w:rsidR="00381DFD">
        <w:rPr>
          <w:rFonts w:ascii="Arial" w:hAnsi="Arial" w:cs="Arial"/>
          <w:color w:val="7B7B7B" w:themeColor="accent3" w:themeShade="BF"/>
          <w:sz w:val="22"/>
          <w:szCs w:val="22"/>
          <w:lang w:val="en-GB"/>
        </w:rPr>
        <w:t>:</w:t>
      </w:r>
      <w:r w:rsidR="00F160E6">
        <w:rPr>
          <w:rFonts w:ascii="Arial" w:hAnsi="Arial" w:cs="Arial"/>
          <w:color w:val="7B7B7B" w:themeColor="accent3" w:themeShade="BF"/>
          <w:sz w:val="22"/>
          <w:szCs w:val="22"/>
          <w:lang w:val="en-GB"/>
        </w:rPr>
        <w:t xml:space="preserve"> </w:t>
      </w:r>
      <w:r w:rsidR="00F160E6" w:rsidRPr="00F160E6">
        <w:rPr>
          <w:rFonts w:ascii="Arial" w:hAnsi="Arial" w:cs="Arial"/>
          <w:color w:val="7B7B7B" w:themeColor="accent3" w:themeShade="BF"/>
          <w:sz w:val="22"/>
          <w:szCs w:val="22"/>
          <w:lang w:val="en-GB"/>
        </w:rPr>
        <w:t>Pursuant Section 426 of the act, UK courts may provide assistance to certain jurisdictions</w:t>
      </w:r>
      <w:r w:rsidR="00822C7C">
        <w:rPr>
          <w:rFonts w:ascii="Arial" w:hAnsi="Arial" w:cs="Arial"/>
          <w:color w:val="7B7B7B" w:themeColor="accent3" w:themeShade="BF"/>
          <w:sz w:val="22"/>
          <w:szCs w:val="22"/>
          <w:lang w:val="en-GB"/>
        </w:rPr>
        <w:t xml:space="preserve"> (listed jurisdictions)</w:t>
      </w:r>
      <w:r w:rsidR="00F160E6" w:rsidRPr="00F160E6">
        <w:rPr>
          <w:rFonts w:ascii="Arial" w:hAnsi="Arial" w:cs="Arial"/>
          <w:color w:val="7B7B7B" w:themeColor="accent3" w:themeShade="BF"/>
          <w:sz w:val="22"/>
          <w:szCs w:val="22"/>
          <w:lang w:val="en-GB"/>
        </w:rPr>
        <w:t>. In addition, it is pertinent to highlight that the assistance can be provided according to UK law or the law of the overseas territory. Regarding the scope of the assistance, this regulation obliges the UK courts to assist other UK courts and the courts of any relevant territory</w:t>
      </w:r>
      <w:r w:rsidR="00F160E6">
        <w:rPr>
          <w:rFonts w:ascii="Arial" w:hAnsi="Arial" w:cs="Arial"/>
          <w:color w:val="7B7B7B" w:themeColor="accent3" w:themeShade="BF"/>
          <w:sz w:val="22"/>
          <w:szCs w:val="22"/>
          <w:lang w:val="en-GB"/>
        </w:rPr>
        <w:t xml:space="preserve"> (Walton, 2020)</w:t>
      </w:r>
      <w:r w:rsidR="00F160E6" w:rsidRPr="00F160E6">
        <w:rPr>
          <w:rFonts w:ascii="Arial" w:hAnsi="Arial" w:cs="Arial"/>
          <w:color w:val="7B7B7B" w:themeColor="accent3" w:themeShade="BF"/>
          <w:sz w:val="22"/>
          <w:szCs w:val="22"/>
          <w:lang w:val="en-GB"/>
        </w:rPr>
        <w:t>.</w:t>
      </w:r>
    </w:p>
    <w:p w14:paraId="050B7D02" w14:textId="77777777" w:rsidR="00D17FDC" w:rsidRPr="002A37BB" w:rsidRDefault="00D17FD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tbl>
      <w:tblPr>
        <w:tblStyle w:val="Tablaconcuadrcula"/>
        <w:tblW w:w="0" w:type="auto"/>
        <w:tblLook w:val="04A0" w:firstRow="1" w:lastRow="0" w:firstColumn="1" w:lastColumn="0" w:noHBand="0" w:noVBand="1"/>
      </w:tblPr>
      <w:tblGrid>
        <w:gridCol w:w="3005"/>
        <w:gridCol w:w="3005"/>
        <w:gridCol w:w="3006"/>
      </w:tblGrid>
      <w:tr w:rsidR="003D1954" w14:paraId="78A71FCD" w14:textId="77777777" w:rsidTr="003D1954">
        <w:tc>
          <w:tcPr>
            <w:tcW w:w="3005" w:type="dxa"/>
          </w:tcPr>
          <w:p w14:paraId="0A67B3E8" w14:textId="7F777A49" w:rsidR="003D1954" w:rsidRDefault="003D1954" w:rsidP="003D1954">
            <w:pPr>
              <w:jc w:val="center"/>
              <w:rPr>
                <w:rFonts w:ascii="Arial" w:hAnsi="Arial" w:cs="Arial"/>
                <w:b/>
                <w:sz w:val="24"/>
              </w:rPr>
            </w:pPr>
            <w:r w:rsidRPr="005A0ECE">
              <w:rPr>
                <w:rFonts w:ascii="Arial" w:hAnsi="Arial" w:cs="Arial"/>
                <w:b/>
                <w:color w:val="7B7B7B" w:themeColor="accent3" w:themeShade="BF"/>
                <w:sz w:val="22"/>
                <w:szCs w:val="22"/>
                <w:lang w:val="en-GB"/>
              </w:rPr>
              <w:t>Relevant Issues</w:t>
            </w:r>
          </w:p>
        </w:tc>
        <w:tc>
          <w:tcPr>
            <w:tcW w:w="3005" w:type="dxa"/>
          </w:tcPr>
          <w:p w14:paraId="476D8114" w14:textId="259B3C48" w:rsidR="003D1954" w:rsidRDefault="003D1954" w:rsidP="003D1954">
            <w:pPr>
              <w:jc w:val="center"/>
              <w:rPr>
                <w:rFonts w:ascii="Arial" w:hAnsi="Arial" w:cs="Arial"/>
                <w:b/>
                <w:sz w:val="24"/>
              </w:rPr>
            </w:pPr>
            <w:r w:rsidRPr="005A0ECE">
              <w:rPr>
                <w:rFonts w:ascii="Arial" w:hAnsi="Arial" w:cs="Arial"/>
                <w:b/>
                <w:color w:val="7B7B7B" w:themeColor="accent3" w:themeShade="BF"/>
                <w:sz w:val="22"/>
                <w:szCs w:val="22"/>
                <w:lang w:val="en-GB"/>
              </w:rPr>
              <w:t>Statutory provisions</w:t>
            </w:r>
          </w:p>
        </w:tc>
        <w:tc>
          <w:tcPr>
            <w:tcW w:w="3006" w:type="dxa"/>
          </w:tcPr>
          <w:p w14:paraId="4EFDC624" w14:textId="4F645013" w:rsidR="003D1954" w:rsidRDefault="003D1954" w:rsidP="003D1954">
            <w:pPr>
              <w:jc w:val="center"/>
              <w:rPr>
                <w:rFonts w:ascii="Arial" w:hAnsi="Arial" w:cs="Arial"/>
                <w:b/>
                <w:sz w:val="24"/>
              </w:rPr>
            </w:pPr>
            <w:r>
              <w:rPr>
                <w:rFonts w:ascii="Arial" w:hAnsi="Arial" w:cs="Arial"/>
                <w:b/>
                <w:color w:val="7B7B7B" w:themeColor="accent3" w:themeShade="BF"/>
                <w:sz w:val="22"/>
                <w:szCs w:val="22"/>
                <w:lang w:val="en-GB"/>
              </w:rPr>
              <w:t>L</w:t>
            </w:r>
            <w:r w:rsidRPr="0021480C">
              <w:rPr>
                <w:rFonts w:ascii="Arial" w:hAnsi="Arial" w:cs="Arial"/>
                <w:b/>
                <w:color w:val="7B7B7B" w:themeColor="accent3" w:themeShade="BF"/>
                <w:sz w:val="22"/>
                <w:szCs w:val="22"/>
                <w:lang w:val="en-GB"/>
              </w:rPr>
              <w:t>iquidator's course of action</w:t>
            </w:r>
          </w:p>
        </w:tc>
      </w:tr>
      <w:tr w:rsidR="003D1954" w14:paraId="6515B7DE" w14:textId="77777777" w:rsidTr="003D1954">
        <w:tc>
          <w:tcPr>
            <w:tcW w:w="3005" w:type="dxa"/>
          </w:tcPr>
          <w:p w14:paraId="10A070F7" w14:textId="77777777" w:rsidR="00014C36" w:rsidRPr="00014C36" w:rsidRDefault="00014C36" w:rsidP="00014C36">
            <w:pPr>
              <w:pStyle w:val="Prrafodelista"/>
              <w:numPr>
                <w:ilvl w:val="0"/>
                <w:numId w:val="12"/>
              </w:numPr>
              <w:ind w:left="447" w:hanging="283"/>
              <w:jc w:val="both"/>
              <w:rPr>
                <w:rFonts w:ascii="Arial" w:hAnsi="Arial" w:cs="Arial"/>
                <w:color w:val="7B7B7B" w:themeColor="accent3" w:themeShade="BF"/>
                <w:sz w:val="22"/>
                <w:szCs w:val="22"/>
                <w:lang w:val="en-GB"/>
              </w:rPr>
            </w:pPr>
            <w:r w:rsidRPr="00014C36">
              <w:rPr>
                <w:rFonts w:ascii="Arial" w:hAnsi="Arial" w:cs="Arial"/>
                <w:color w:val="7B7B7B" w:themeColor="accent3" w:themeShade="BF"/>
                <w:sz w:val="22"/>
                <w:szCs w:val="22"/>
                <w:lang w:val="en-GB"/>
              </w:rPr>
              <w:t>The Liquidation of Cork-In Limited was commenced in November 2020.</w:t>
            </w:r>
          </w:p>
          <w:p w14:paraId="761A5C90" w14:textId="77777777" w:rsidR="00014C36" w:rsidRPr="00014C36" w:rsidRDefault="00014C36" w:rsidP="00014C36">
            <w:pPr>
              <w:pStyle w:val="Prrafodelista"/>
              <w:numPr>
                <w:ilvl w:val="0"/>
                <w:numId w:val="12"/>
              </w:numPr>
              <w:ind w:left="447" w:hanging="283"/>
              <w:jc w:val="both"/>
              <w:rPr>
                <w:rFonts w:ascii="Arial" w:hAnsi="Arial" w:cs="Arial"/>
                <w:color w:val="7B7B7B" w:themeColor="accent3" w:themeShade="BF"/>
                <w:sz w:val="22"/>
                <w:szCs w:val="22"/>
                <w:lang w:val="en-GB"/>
              </w:rPr>
            </w:pPr>
            <w:r w:rsidRPr="00014C36">
              <w:rPr>
                <w:rFonts w:ascii="Arial" w:hAnsi="Arial" w:cs="Arial"/>
                <w:color w:val="7B7B7B" w:themeColor="accent3" w:themeShade="BF"/>
                <w:sz w:val="22"/>
                <w:szCs w:val="22"/>
                <w:lang w:val="en-GB"/>
              </w:rPr>
              <w:t xml:space="preserve">The transaction was carried out within the relevant time (11 months prior to the commencement of the liquidation). The abovementioned taking into account that </w:t>
            </w:r>
            <w:proofErr w:type="spellStart"/>
            <w:r w:rsidRPr="00014C36">
              <w:rPr>
                <w:rFonts w:ascii="Arial" w:hAnsi="Arial" w:cs="Arial"/>
                <w:color w:val="7B7B7B" w:themeColor="accent3" w:themeShade="BF"/>
                <w:sz w:val="22"/>
                <w:szCs w:val="22"/>
                <w:lang w:val="en-GB"/>
              </w:rPr>
              <w:t>Stercus</w:t>
            </w:r>
            <w:proofErr w:type="spellEnd"/>
            <w:r w:rsidRPr="00014C36">
              <w:rPr>
                <w:rFonts w:ascii="Arial" w:hAnsi="Arial" w:cs="Arial"/>
                <w:color w:val="7B7B7B" w:themeColor="accent3" w:themeShade="BF"/>
                <w:sz w:val="22"/>
                <w:szCs w:val="22"/>
                <w:lang w:val="en-GB"/>
              </w:rPr>
              <w:t xml:space="preserve"> Bank is not connected with the debtor.</w:t>
            </w:r>
          </w:p>
          <w:p w14:paraId="6C5E004A" w14:textId="77777777" w:rsidR="00014C36" w:rsidRPr="00014C36" w:rsidRDefault="00014C36" w:rsidP="00014C36">
            <w:pPr>
              <w:pStyle w:val="Prrafodelista"/>
              <w:numPr>
                <w:ilvl w:val="0"/>
                <w:numId w:val="12"/>
              </w:numPr>
              <w:ind w:left="447" w:hanging="283"/>
              <w:jc w:val="both"/>
              <w:rPr>
                <w:rFonts w:ascii="Arial" w:hAnsi="Arial" w:cs="Arial"/>
                <w:color w:val="7B7B7B" w:themeColor="accent3" w:themeShade="BF"/>
                <w:sz w:val="22"/>
                <w:szCs w:val="22"/>
                <w:lang w:val="en-GB"/>
              </w:rPr>
            </w:pPr>
            <w:r w:rsidRPr="00014C36">
              <w:rPr>
                <w:rFonts w:ascii="Arial" w:hAnsi="Arial" w:cs="Arial"/>
                <w:color w:val="7B7B7B" w:themeColor="accent3" w:themeShade="BF"/>
                <w:sz w:val="22"/>
                <w:szCs w:val="22"/>
                <w:lang w:val="en-GB"/>
              </w:rPr>
              <w:t xml:space="preserve">At the time of the transaction, </w:t>
            </w:r>
            <w:proofErr w:type="spellStart"/>
            <w:r w:rsidRPr="00014C36">
              <w:rPr>
                <w:rFonts w:ascii="Arial" w:hAnsi="Arial" w:cs="Arial"/>
                <w:color w:val="7B7B7B" w:themeColor="accent3" w:themeShade="BF"/>
                <w:sz w:val="22"/>
                <w:szCs w:val="22"/>
                <w:lang w:val="en-GB"/>
              </w:rPr>
              <w:t>Stercus</w:t>
            </w:r>
            <w:proofErr w:type="spellEnd"/>
            <w:r w:rsidRPr="00014C36">
              <w:rPr>
                <w:rFonts w:ascii="Arial" w:hAnsi="Arial" w:cs="Arial"/>
                <w:color w:val="7B7B7B" w:themeColor="accent3" w:themeShade="BF"/>
                <w:sz w:val="22"/>
                <w:szCs w:val="22"/>
                <w:lang w:val="en-GB"/>
              </w:rPr>
              <w:t xml:space="preserve"> Bank was a creditor of Cork-In Limited.</w:t>
            </w:r>
          </w:p>
          <w:p w14:paraId="6D3DFA03" w14:textId="77777777" w:rsidR="00014C36" w:rsidRPr="00014C36" w:rsidRDefault="00014C36" w:rsidP="00014C36">
            <w:pPr>
              <w:pStyle w:val="Prrafodelista"/>
              <w:numPr>
                <w:ilvl w:val="0"/>
                <w:numId w:val="12"/>
              </w:numPr>
              <w:ind w:left="447" w:hanging="283"/>
              <w:jc w:val="both"/>
              <w:rPr>
                <w:rFonts w:ascii="Arial" w:hAnsi="Arial" w:cs="Arial"/>
                <w:color w:val="7B7B7B" w:themeColor="accent3" w:themeShade="BF"/>
                <w:sz w:val="22"/>
                <w:szCs w:val="22"/>
                <w:lang w:val="en-GB"/>
              </w:rPr>
            </w:pPr>
            <w:r w:rsidRPr="00014C36">
              <w:rPr>
                <w:rFonts w:ascii="Arial" w:hAnsi="Arial" w:cs="Arial"/>
                <w:color w:val="7B7B7B" w:themeColor="accent3" w:themeShade="BF"/>
                <w:sz w:val="22"/>
                <w:szCs w:val="22"/>
                <w:lang w:val="en-GB"/>
              </w:rPr>
              <w:t>At the time of the transaction, the debtor was in financial difficulties.</w:t>
            </w:r>
          </w:p>
          <w:p w14:paraId="3E7BFBAD" w14:textId="77777777" w:rsidR="003D1954" w:rsidRPr="00754DF6" w:rsidRDefault="003D1954" w:rsidP="00754DF6">
            <w:pPr>
              <w:ind w:left="164"/>
              <w:jc w:val="both"/>
              <w:rPr>
                <w:rFonts w:ascii="Arial" w:hAnsi="Arial" w:cs="Arial"/>
                <w:color w:val="7B7B7B" w:themeColor="accent3" w:themeShade="BF"/>
                <w:sz w:val="22"/>
                <w:szCs w:val="22"/>
                <w:lang w:val="en-GB"/>
              </w:rPr>
            </w:pPr>
          </w:p>
        </w:tc>
        <w:tc>
          <w:tcPr>
            <w:tcW w:w="3005" w:type="dxa"/>
          </w:tcPr>
          <w:p w14:paraId="3572ED98" w14:textId="1DAD350A" w:rsidR="003D1954" w:rsidRPr="00754DF6" w:rsidRDefault="00754DF6" w:rsidP="00754DF6">
            <w:pPr>
              <w:pStyle w:val="Prrafodelista"/>
              <w:numPr>
                <w:ilvl w:val="0"/>
                <w:numId w:val="12"/>
              </w:numPr>
              <w:ind w:left="447" w:hanging="283"/>
              <w:jc w:val="both"/>
              <w:rPr>
                <w:rFonts w:ascii="Arial" w:hAnsi="Arial" w:cs="Arial"/>
                <w:color w:val="7B7B7B" w:themeColor="accent3" w:themeShade="BF"/>
                <w:sz w:val="22"/>
                <w:szCs w:val="22"/>
                <w:lang w:val="en-GB"/>
              </w:rPr>
            </w:pPr>
            <w:r w:rsidRPr="00754DF6">
              <w:rPr>
                <w:rFonts w:ascii="Arial" w:hAnsi="Arial" w:cs="Arial"/>
                <w:color w:val="7B7B7B" w:themeColor="accent3" w:themeShade="BF"/>
                <w:sz w:val="22"/>
                <w:szCs w:val="22"/>
                <w:lang w:val="en-GB"/>
              </w:rPr>
              <w:t>Section 245 of the Act 1986 - Avoidance of certain floating charges</w:t>
            </w:r>
          </w:p>
        </w:tc>
        <w:tc>
          <w:tcPr>
            <w:tcW w:w="3006" w:type="dxa"/>
          </w:tcPr>
          <w:p w14:paraId="2DC6E8BD" w14:textId="77777777" w:rsidR="00754DF6" w:rsidRPr="00754DF6" w:rsidRDefault="00754DF6" w:rsidP="00754DF6">
            <w:pPr>
              <w:pStyle w:val="Prrafodelista"/>
              <w:numPr>
                <w:ilvl w:val="0"/>
                <w:numId w:val="12"/>
              </w:numPr>
              <w:ind w:left="447" w:hanging="283"/>
              <w:jc w:val="both"/>
              <w:rPr>
                <w:rFonts w:ascii="Arial" w:hAnsi="Arial" w:cs="Arial"/>
                <w:color w:val="7B7B7B" w:themeColor="accent3" w:themeShade="BF"/>
                <w:sz w:val="22"/>
                <w:szCs w:val="22"/>
                <w:lang w:val="en-GB"/>
              </w:rPr>
            </w:pPr>
            <w:r w:rsidRPr="00754DF6">
              <w:rPr>
                <w:rFonts w:ascii="Arial" w:hAnsi="Arial" w:cs="Arial"/>
                <w:color w:val="7B7B7B" w:themeColor="accent3" w:themeShade="BF"/>
                <w:sz w:val="22"/>
                <w:szCs w:val="22"/>
                <w:lang w:val="en-GB"/>
              </w:rPr>
              <w:t xml:space="preserve">In accordance with the relevant issues previously identified, the liquidator can attack the transaction pursuant to Section 245of Act 1986. In this case, the liquidator must bear in mind that the main purpose of the action is to invalid the floating charge given by Cork-In Limited to </w:t>
            </w:r>
            <w:proofErr w:type="spellStart"/>
            <w:r w:rsidRPr="00754DF6">
              <w:rPr>
                <w:rFonts w:ascii="Arial" w:hAnsi="Arial" w:cs="Arial"/>
                <w:color w:val="7B7B7B" w:themeColor="accent3" w:themeShade="BF"/>
                <w:sz w:val="22"/>
                <w:szCs w:val="22"/>
                <w:lang w:val="en-GB"/>
              </w:rPr>
              <w:t>Stercus</w:t>
            </w:r>
            <w:proofErr w:type="spellEnd"/>
            <w:r w:rsidRPr="00754DF6">
              <w:rPr>
                <w:rFonts w:ascii="Arial" w:hAnsi="Arial" w:cs="Arial"/>
                <w:color w:val="7B7B7B" w:themeColor="accent3" w:themeShade="BF"/>
                <w:sz w:val="22"/>
                <w:szCs w:val="22"/>
                <w:lang w:val="en-GB"/>
              </w:rPr>
              <w:t xml:space="preserve"> Bank on the understanding that the bank did not provide a new consideration.</w:t>
            </w:r>
          </w:p>
          <w:p w14:paraId="1511C094" w14:textId="77777777" w:rsidR="003D1954" w:rsidRPr="00754DF6" w:rsidRDefault="003D1954" w:rsidP="00754DF6">
            <w:pPr>
              <w:pStyle w:val="Prrafodelista"/>
              <w:ind w:left="447"/>
              <w:jc w:val="both"/>
              <w:rPr>
                <w:rFonts w:ascii="Arial" w:hAnsi="Arial" w:cs="Arial"/>
                <w:color w:val="7B7B7B" w:themeColor="accent3" w:themeShade="BF"/>
                <w:sz w:val="22"/>
                <w:szCs w:val="22"/>
                <w:lang w:val="en-GB"/>
              </w:rPr>
            </w:pPr>
          </w:p>
        </w:tc>
      </w:tr>
    </w:tbl>
    <w:p w14:paraId="74C366AC" w14:textId="6BD8484D" w:rsidR="007E2919" w:rsidRDefault="007E2919" w:rsidP="007E2919">
      <w:pPr>
        <w:rPr>
          <w:rFonts w:ascii="Arial" w:hAnsi="Arial" w:cs="Arial"/>
          <w:b/>
          <w:sz w:val="24"/>
        </w:rPr>
      </w:pPr>
    </w:p>
    <w:p w14:paraId="635AABF4" w14:textId="77777777" w:rsidR="00B04033" w:rsidRDefault="00B04033" w:rsidP="007E2919">
      <w:pPr>
        <w:rPr>
          <w:rFonts w:ascii="Arial" w:hAnsi="Arial" w:cs="Arial"/>
          <w:b/>
          <w:sz w:val="24"/>
        </w:rPr>
      </w:pPr>
    </w:p>
    <w:p w14:paraId="0E549215" w14:textId="06C5FE8F" w:rsidR="007E2919" w:rsidRDefault="007E2919" w:rsidP="007E2919">
      <w:pPr>
        <w:rPr>
          <w:rFonts w:ascii="Arial" w:hAnsi="Arial" w:cs="Arial"/>
          <w:b/>
          <w:sz w:val="24"/>
        </w:rPr>
      </w:pPr>
      <w:r>
        <w:rPr>
          <w:rFonts w:ascii="Arial" w:hAnsi="Arial" w:cs="Arial"/>
          <w:b/>
          <w:sz w:val="24"/>
        </w:rPr>
        <w:lastRenderedPageBreak/>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t>The sale of the van; and</w:t>
      </w:r>
    </w:p>
    <w:p w14:paraId="78CA5A7B" w14:textId="7BC31BB4" w:rsidR="007E2919" w:rsidRDefault="007E2919" w:rsidP="007E2919">
      <w:pPr>
        <w:rPr>
          <w:rFonts w:ascii="Arial" w:hAnsi="Arial" w:cs="Arial"/>
          <w:b/>
          <w:sz w:val="24"/>
        </w:rPr>
      </w:pPr>
    </w:p>
    <w:tbl>
      <w:tblPr>
        <w:tblStyle w:val="Tablaconcuadrcula"/>
        <w:tblW w:w="0" w:type="auto"/>
        <w:tblLook w:val="04A0" w:firstRow="1" w:lastRow="0" w:firstColumn="1" w:lastColumn="0" w:noHBand="0" w:noVBand="1"/>
      </w:tblPr>
      <w:tblGrid>
        <w:gridCol w:w="4191"/>
        <w:gridCol w:w="1912"/>
        <w:gridCol w:w="2913"/>
      </w:tblGrid>
      <w:tr w:rsidR="003C4CE3" w14:paraId="12C3E765" w14:textId="77777777" w:rsidTr="00531B93">
        <w:tc>
          <w:tcPr>
            <w:tcW w:w="4390" w:type="dxa"/>
          </w:tcPr>
          <w:p w14:paraId="5A379156" w14:textId="77777777" w:rsidR="003C4CE3" w:rsidRPr="005A0ECE" w:rsidRDefault="003C4CE3" w:rsidP="00531B93">
            <w:pPr>
              <w:jc w:val="center"/>
              <w:rPr>
                <w:rFonts w:ascii="Arial" w:hAnsi="Arial" w:cs="Arial"/>
                <w:b/>
                <w:color w:val="7B7B7B" w:themeColor="accent3" w:themeShade="BF"/>
                <w:sz w:val="22"/>
                <w:szCs w:val="22"/>
                <w:lang w:val="en-GB"/>
              </w:rPr>
            </w:pPr>
            <w:r w:rsidRPr="005A0ECE">
              <w:rPr>
                <w:rFonts w:ascii="Arial" w:hAnsi="Arial" w:cs="Arial"/>
                <w:b/>
                <w:color w:val="7B7B7B" w:themeColor="accent3" w:themeShade="BF"/>
                <w:sz w:val="22"/>
                <w:szCs w:val="22"/>
                <w:lang w:val="en-GB"/>
              </w:rPr>
              <w:t>Relevant Issues</w:t>
            </w:r>
          </w:p>
        </w:tc>
        <w:tc>
          <w:tcPr>
            <w:tcW w:w="1620" w:type="dxa"/>
          </w:tcPr>
          <w:p w14:paraId="20CF8788" w14:textId="77777777" w:rsidR="003C4CE3" w:rsidRPr="005A0ECE" w:rsidRDefault="003C4CE3" w:rsidP="00531B93">
            <w:pPr>
              <w:jc w:val="center"/>
              <w:rPr>
                <w:rFonts w:ascii="Arial" w:hAnsi="Arial" w:cs="Arial"/>
                <w:b/>
                <w:color w:val="7B7B7B" w:themeColor="accent3" w:themeShade="BF"/>
                <w:sz w:val="22"/>
                <w:szCs w:val="22"/>
                <w:lang w:val="en-GB"/>
              </w:rPr>
            </w:pPr>
            <w:r w:rsidRPr="005A0ECE">
              <w:rPr>
                <w:rFonts w:ascii="Arial" w:hAnsi="Arial" w:cs="Arial"/>
                <w:b/>
                <w:color w:val="7B7B7B" w:themeColor="accent3" w:themeShade="BF"/>
                <w:sz w:val="22"/>
                <w:szCs w:val="22"/>
                <w:lang w:val="en-GB"/>
              </w:rPr>
              <w:t>Statutory provisions</w:t>
            </w:r>
          </w:p>
        </w:tc>
        <w:tc>
          <w:tcPr>
            <w:tcW w:w="3006" w:type="dxa"/>
          </w:tcPr>
          <w:p w14:paraId="548F267A" w14:textId="7BF94F0E" w:rsidR="003C4CE3" w:rsidRPr="005A0ECE" w:rsidRDefault="0021480C" w:rsidP="00531B93">
            <w:pPr>
              <w:jc w:val="center"/>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L</w:t>
            </w:r>
            <w:r w:rsidRPr="0021480C">
              <w:rPr>
                <w:rFonts w:ascii="Arial" w:hAnsi="Arial" w:cs="Arial"/>
                <w:b/>
                <w:color w:val="7B7B7B" w:themeColor="accent3" w:themeShade="BF"/>
                <w:sz w:val="22"/>
                <w:szCs w:val="22"/>
                <w:lang w:val="en-GB"/>
              </w:rPr>
              <w:t>iquidator's course of action</w:t>
            </w:r>
          </w:p>
        </w:tc>
      </w:tr>
      <w:tr w:rsidR="003C4CE3" w14:paraId="56D41752" w14:textId="77777777" w:rsidTr="00531B93">
        <w:tc>
          <w:tcPr>
            <w:tcW w:w="4390" w:type="dxa"/>
          </w:tcPr>
          <w:p w14:paraId="0090D5B4" w14:textId="77777777" w:rsidR="003C4CE3" w:rsidRPr="00E815C5" w:rsidRDefault="003C4CE3" w:rsidP="00531B93">
            <w:pPr>
              <w:pStyle w:val="Prrafodelista"/>
              <w:numPr>
                <w:ilvl w:val="0"/>
                <w:numId w:val="12"/>
              </w:numPr>
              <w:ind w:left="447" w:hanging="283"/>
              <w:jc w:val="both"/>
              <w:rPr>
                <w:rFonts w:ascii="Arial" w:hAnsi="Arial" w:cs="Arial"/>
                <w:color w:val="7B7B7B" w:themeColor="accent3" w:themeShade="BF"/>
                <w:sz w:val="22"/>
                <w:szCs w:val="22"/>
                <w:lang w:val="en-GB"/>
              </w:rPr>
            </w:pPr>
            <w:r w:rsidRPr="00E815C5">
              <w:rPr>
                <w:rFonts w:ascii="Arial" w:hAnsi="Arial" w:cs="Arial"/>
                <w:color w:val="7B7B7B" w:themeColor="accent3" w:themeShade="BF"/>
                <w:sz w:val="22"/>
                <w:szCs w:val="22"/>
                <w:lang w:val="en-GB"/>
              </w:rPr>
              <w:t>The Liquidation of Cork-In Limited was commenced in November 2020.</w:t>
            </w:r>
          </w:p>
          <w:p w14:paraId="4F62FCDB" w14:textId="77777777" w:rsidR="003C4CE3" w:rsidRPr="00E815C5" w:rsidRDefault="003C4CE3" w:rsidP="00531B93">
            <w:pPr>
              <w:pStyle w:val="Prrafodelista"/>
              <w:numPr>
                <w:ilvl w:val="0"/>
                <w:numId w:val="12"/>
              </w:numPr>
              <w:ind w:left="447" w:hanging="283"/>
              <w:jc w:val="both"/>
              <w:rPr>
                <w:rFonts w:ascii="Arial" w:hAnsi="Arial" w:cs="Arial"/>
                <w:color w:val="7B7B7B" w:themeColor="accent3" w:themeShade="BF"/>
                <w:sz w:val="22"/>
                <w:szCs w:val="22"/>
                <w:lang w:val="en-GB"/>
              </w:rPr>
            </w:pPr>
            <w:r w:rsidRPr="00E815C5">
              <w:rPr>
                <w:rFonts w:ascii="Arial" w:hAnsi="Arial" w:cs="Arial"/>
                <w:color w:val="7B7B7B" w:themeColor="accent3" w:themeShade="BF"/>
                <w:sz w:val="22"/>
                <w:szCs w:val="22"/>
                <w:lang w:val="en-GB"/>
              </w:rPr>
              <w:t xml:space="preserve">The transaction was carried out within the relevant time defined by section 240 of the Act </w:t>
            </w:r>
            <w:r>
              <w:rPr>
                <w:rFonts w:ascii="Arial" w:hAnsi="Arial" w:cs="Arial"/>
                <w:color w:val="7B7B7B" w:themeColor="accent3" w:themeShade="BF"/>
                <w:sz w:val="22"/>
                <w:szCs w:val="22"/>
                <w:lang w:val="en-GB"/>
              </w:rPr>
              <w:t xml:space="preserve">1986 </w:t>
            </w:r>
            <w:r w:rsidRPr="00E815C5">
              <w:rPr>
                <w:rFonts w:ascii="Arial" w:hAnsi="Arial" w:cs="Arial"/>
                <w:color w:val="7B7B7B" w:themeColor="accent3" w:themeShade="BF"/>
                <w:sz w:val="22"/>
                <w:szCs w:val="22"/>
                <w:lang w:val="en-GB"/>
              </w:rPr>
              <w:t>(5 months prior to the commencement of the liquidation).</w:t>
            </w:r>
          </w:p>
          <w:p w14:paraId="238B4CAE" w14:textId="77777777" w:rsidR="003C4CE3" w:rsidRPr="00E815C5" w:rsidRDefault="003C4CE3" w:rsidP="00531B93">
            <w:pPr>
              <w:pStyle w:val="Prrafodelista"/>
              <w:numPr>
                <w:ilvl w:val="0"/>
                <w:numId w:val="12"/>
              </w:numPr>
              <w:ind w:left="447" w:hanging="283"/>
              <w:jc w:val="both"/>
              <w:rPr>
                <w:rFonts w:ascii="Arial" w:hAnsi="Arial" w:cs="Arial"/>
                <w:color w:val="7B7B7B" w:themeColor="accent3" w:themeShade="BF"/>
                <w:sz w:val="22"/>
                <w:szCs w:val="22"/>
                <w:lang w:val="en-GB"/>
              </w:rPr>
            </w:pPr>
            <w:r w:rsidRPr="00E815C5">
              <w:rPr>
                <w:rFonts w:ascii="Arial" w:hAnsi="Arial" w:cs="Arial"/>
                <w:color w:val="7B7B7B" w:themeColor="accent3" w:themeShade="BF"/>
                <w:sz w:val="22"/>
                <w:szCs w:val="22"/>
                <w:lang w:val="en-GB"/>
              </w:rPr>
              <w:t>The value under which the directors approved the sale of the company´s delivery van does not coincide with the market value of the asset.  The above taking into account the purchase value and the depreciation of the van.</w:t>
            </w:r>
          </w:p>
          <w:p w14:paraId="0DDFF728" w14:textId="77777777" w:rsidR="003C4CE3" w:rsidRPr="00FA6F69" w:rsidRDefault="003C4CE3" w:rsidP="00531B93">
            <w:pPr>
              <w:pStyle w:val="Prrafodelista"/>
              <w:numPr>
                <w:ilvl w:val="0"/>
                <w:numId w:val="12"/>
              </w:numPr>
              <w:ind w:left="447" w:hanging="283"/>
              <w:jc w:val="both"/>
              <w:rPr>
                <w:rFonts w:ascii="Arial" w:hAnsi="Arial" w:cs="Arial"/>
                <w:color w:val="767171" w:themeColor="background2" w:themeShade="80"/>
                <w:sz w:val="22"/>
                <w:szCs w:val="22"/>
                <w:lang w:val="en-GB"/>
              </w:rPr>
            </w:pPr>
            <w:r w:rsidRPr="00FA6F69">
              <w:rPr>
                <w:rFonts w:ascii="Arial" w:hAnsi="Arial" w:cs="Arial"/>
                <w:color w:val="767171" w:themeColor="background2" w:themeShade="80"/>
                <w:sz w:val="22"/>
                <w:szCs w:val="22"/>
                <w:lang w:val="en-GB"/>
              </w:rPr>
              <w:t>The company sold the van to Paul Watson (Director of the company).</w:t>
            </w:r>
          </w:p>
          <w:p w14:paraId="32097C77" w14:textId="363E4391" w:rsidR="00FA6F69" w:rsidRPr="00E815C5" w:rsidRDefault="00FA6F69" w:rsidP="00FA6F69">
            <w:pPr>
              <w:pStyle w:val="Prrafodelista"/>
              <w:numPr>
                <w:ilvl w:val="0"/>
                <w:numId w:val="12"/>
              </w:numPr>
              <w:ind w:left="447" w:hanging="283"/>
              <w:jc w:val="both"/>
              <w:rPr>
                <w:rFonts w:ascii="Arial" w:hAnsi="Arial" w:cs="Arial"/>
                <w:sz w:val="22"/>
                <w:szCs w:val="22"/>
                <w:lang w:val="en-GB"/>
              </w:rPr>
            </w:pPr>
            <w:r w:rsidRPr="00FA6F69">
              <w:rPr>
                <w:rFonts w:ascii="Arial" w:hAnsi="Arial" w:cs="Arial"/>
                <w:color w:val="767171" w:themeColor="background2" w:themeShade="80"/>
                <w:sz w:val="22"/>
                <w:szCs w:val="22"/>
                <w:lang w:val="en-GB"/>
              </w:rPr>
              <w:t>At the time of the transaction, the debtor was in financial difficulties.</w:t>
            </w:r>
          </w:p>
        </w:tc>
        <w:tc>
          <w:tcPr>
            <w:tcW w:w="1620" w:type="dxa"/>
          </w:tcPr>
          <w:p w14:paraId="30F89F1F" w14:textId="77777777" w:rsidR="003C4CE3" w:rsidRPr="002402DA" w:rsidRDefault="003C4CE3" w:rsidP="00531B93">
            <w:pPr>
              <w:pStyle w:val="Prrafodelista"/>
              <w:numPr>
                <w:ilvl w:val="0"/>
                <w:numId w:val="12"/>
              </w:numPr>
              <w:ind w:left="436" w:hanging="426"/>
              <w:rPr>
                <w:rFonts w:ascii="Arial" w:hAnsi="Arial" w:cs="Arial"/>
                <w:color w:val="767171" w:themeColor="background2" w:themeShade="80"/>
                <w:sz w:val="22"/>
                <w:szCs w:val="22"/>
                <w:lang w:val="en-GB"/>
              </w:rPr>
            </w:pPr>
            <w:r w:rsidRPr="002402DA">
              <w:rPr>
                <w:rFonts w:ascii="Arial" w:hAnsi="Arial" w:cs="Arial"/>
                <w:color w:val="767171" w:themeColor="background2" w:themeShade="80"/>
                <w:sz w:val="22"/>
                <w:szCs w:val="22"/>
                <w:lang w:val="en-GB"/>
              </w:rPr>
              <w:t>Section 238 of the Act 1986 - Transactions at an undervalue</w:t>
            </w:r>
          </w:p>
          <w:p w14:paraId="4CFD4373" w14:textId="77777777" w:rsidR="003C4CE3" w:rsidRPr="002402DA" w:rsidRDefault="003C4CE3" w:rsidP="00531B93">
            <w:pPr>
              <w:pStyle w:val="Prrafodelista"/>
              <w:numPr>
                <w:ilvl w:val="0"/>
                <w:numId w:val="12"/>
              </w:numPr>
              <w:ind w:left="436" w:hanging="426"/>
              <w:rPr>
                <w:rFonts w:ascii="Arial" w:hAnsi="Arial" w:cs="Arial"/>
                <w:color w:val="767171" w:themeColor="background2" w:themeShade="80"/>
                <w:sz w:val="22"/>
                <w:szCs w:val="22"/>
                <w:lang w:val="en-GB"/>
              </w:rPr>
            </w:pPr>
            <w:r w:rsidRPr="002402DA">
              <w:rPr>
                <w:rFonts w:ascii="Arial" w:hAnsi="Arial" w:cs="Arial"/>
                <w:color w:val="767171" w:themeColor="background2" w:themeShade="80"/>
                <w:sz w:val="22"/>
                <w:szCs w:val="22"/>
                <w:lang w:val="en-GB"/>
              </w:rPr>
              <w:t>Section 240 of the Act 1986 - Relevant time</w:t>
            </w:r>
          </w:p>
        </w:tc>
        <w:tc>
          <w:tcPr>
            <w:tcW w:w="3006" w:type="dxa"/>
          </w:tcPr>
          <w:p w14:paraId="2B116ECA" w14:textId="14394CC2" w:rsidR="003C4CE3" w:rsidRPr="002402DA" w:rsidRDefault="002402DA" w:rsidP="00D33EFD">
            <w:pPr>
              <w:pStyle w:val="Prrafodelista"/>
              <w:numPr>
                <w:ilvl w:val="0"/>
                <w:numId w:val="12"/>
              </w:numPr>
              <w:ind w:left="469" w:hanging="284"/>
              <w:rPr>
                <w:rFonts w:ascii="Arial" w:hAnsi="Arial" w:cs="Arial"/>
                <w:color w:val="767171" w:themeColor="background2" w:themeShade="80"/>
                <w:sz w:val="22"/>
                <w:szCs w:val="22"/>
                <w:lang w:val="en-GB"/>
              </w:rPr>
            </w:pPr>
            <w:r w:rsidRPr="002402DA">
              <w:rPr>
                <w:rFonts w:ascii="Arial" w:hAnsi="Arial" w:cs="Arial"/>
                <w:color w:val="767171" w:themeColor="background2" w:themeShade="80"/>
                <w:sz w:val="22"/>
                <w:szCs w:val="22"/>
                <w:lang w:val="en-GB"/>
              </w:rPr>
              <w:t>In accordance with the relevant issues previously identified, the liquidator may attack the sale of the company´s van pursuant to Section 238 of Act 1986. In this case, the liquidator must bear in mind that he has to show that the value of the sale was significantly less in comparison to the consideration provided by the company</w:t>
            </w:r>
            <w:r w:rsidR="00822C7C">
              <w:rPr>
                <w:rFonts w:ascii="Arial" w:hAnsi="Arial" w:cs="Arial"/>
                <w:color w:val="767171" w:themeColor="background2" w:themeShade="80"/>
                <w:sz w:val="22"/>
                <w:szCs w:val="22"/>
                <w:lang w:val="en-GB"/>
              </w:rPr>
              <w:t xml:space="preserve"> (the price paid for the van)</w:t>
            </w:r>
            <w:r w:rsidRPr="002402DA">
              <w:rPr>
                <w:rFonts w:ascii="Arial" w:hAnsi="Arial" w:cs="Arial"/>
                <w:color w:val="767171" w:themeColor="background2" w:themeShade="80"/>
                <w:sz w:val="22"/>
                <w:szCs w:val="22"/>
                <w:lang w:val="en-GB"/>
              </w:rPr>
              <w:t>.</w:t>
            </w:r>
            <w:r w:rsidR="00C05625">
              <w:rPr>
                <w:rFonts w:ascii="Arial" w:hAnsi="Arial" w:cs="Arial"/>
                <w:color w:val="767171" w:themeColor="background2" w:themeShade="80"/>
                <w:sz w:val="22"/>
                <w:szCs w:val="22"/>
                <w:lang w:val="en-GB"/>
              </w:rPr>
              <w:t xml:space="preserve"> </w:t>
            </w:r>
            <w:r w:rsidR="00C05625" w:rsidRPr="00C05625">
              <w:rPr>
                <w:rFonts w:ascii="Arial" w:hAnsi="Arial" w:cs="Arial"/>
                <w:color w:val="767171" w:themeColor="background2" w:themeShade="80"/>
                <w:sz w:val="22"/>
                <w:szCs w:val="22"/>
                <w:lang w:val="en-GB"/>
              </w:rPr>
              <w:t xml:space="preserve">If the courts decide that the sale of the van was an undervalue transaction, the judge must </w:t>
            </w:r>
            <w:r w:rsidR="00C05625" w:rsidRPr="00822C7C">
              <w:rPr>
                <w:rFonts w:ascii="Arial" w:hAnsi="Arial" w:cs="Arial"/>
                <w:b/>
                <w:bCs/>
                <w:color w:val="767171" w:themeColor="background2" w:themeShade="80"/>
                <w:sz w:val="22"/>
                <w:szCs w:val="22"/>
                <w:lang w:val="en-GB"/>
              </w:rPr>
              <w:t>restore</w:t>
            </w:r>
            <w:r w:rsidR="00C05625" w:rsidRPr="00C05625">
              <w:rPr>
                <w:rFonts w:ascii="Arial" w:hAnsi="Arial" w:cs="Arial"/>
                <w:color w:val="767171" w:themeColor="background2" w:themeShade="80"/>
                <w:sz w:val="22"/>
                <w:szCs w:val="22"/>
                <w:lang w:val="en-GB"/>
              </w:rPr>
              <w:t xml:space="preserve"> the initial position as if the transaction had not been carried out.</w:t>
            </w:r>
          </w:p>
        </w:tc>
      </w:tr>
    </w:tbl>
    <w:p w14:paraId="070ABF9B" w14:textId="2883A4C1" w:rsidR="007E2919" w:rsidRPr="003C4CE3" w:rsidRDefault="007E2919" w:rsidP="007E2919">
      <w:pPr>
        <w:rPr>
          <w:rFonts w:ascii="Arial" w:hAnsi="Arial" w:cs="Arial"/>
          <w:b/>
          <w:sz w:val="24"/>
          <w:lang w:val="en-GB"/>
        </w:rPr>
      </w:pPr>
    </w:p>
    <w:p w14:paraId="5D545648" w14:textId="77777777" w:rsidR="00B04033" w:rsidRDefault="00B04033" w:rsidP="007E2919">
      <w:pPr>
        <w:rPr>
          <w:rFonts w:ascii="Arial" w:hAnsi="Arial" w:cs="Arial"/>
          <w:b/>
          <w:sz w:val="24"/>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626FA5C6" w14:textId="205A700B" w:rsidR="002D3473" w:rsidRPr="009C2EA7" w:rsidRDefault="007E2919" w:rsidP="00B04033">
      <w:pPr>
        <w:rPr>
          <w:rFonts w:ascii="Arial" w:hAnsi="Arial" w:cs="Arial"/>
          <w:b/>
        </w:rPr>
      </w:pPr>
      <w:r w:rsidRPr="007E2919">
        <w:rPr>
          <w:rFonts w:ascii="Arial" w:hAnsi="Arial" w:cs="Arial"/>
          <w:b/>
        </w:rPr>
        <w:t xml:space="preserve"> </w:t>
      </w:r>
    </w:p>
    <w:p w14:paraId="18445C3E" w14:textId="77777777" w:rsidR="005A0ECE" w:rsidRPr="002A37BB" w:rsidRDefault="005A0ECE" w:rsidP="00B04033">
      <w:pPr>
        <w:rPr>
          <w:rFonts w:ascii="Arial" w:hAnsi="Arial" w:cs="Arial"/>
          <w:sz w:val="22"/>
          <w:szCs w:val="22"/>
          <w:lang w:val="en-GB"/>
        </w:rPr>
      </w:pPr>
    </w:p>
    <w:tbl>
      <w:tblPr>
        <w:tblStyle w:val="Tablaconcuadrcula"/>
        <w:tblW w:w="0" w:type="auto"/>
        <w:tblLook w:val="04A0" w:firstRow="1" w:lastRow="0" w:firstColumn="1" w:lastColumn="0" w:noHBand="0" w:noVBand="1"/>
      </w:tblPr>
      <w:tblGrid>
        <w:gridCol w:w="4195"/>
        <w:gridCol w:w="1839"/>
        <w:gridCol w:w="2982"/>
      </w:tblGrid>
      <w:tr w:rsidR="00B232E5" w14:paraId="1FE180FC" w14:textId="77777777" w:rsidTr="00A34CF1">
        <w:tc>
          <w:tcPr>
            <w:tcW w:w="4248" w:type="dxa"/>
          </w:tcPr>
          <w:p w14:paraId="44B28888" w14:textId="70D54BA7" w:rsidR="00B232E5" w:rsidRDefault="00B232E5" w:rsidP="00B232E5">
            <w:pPr>
              <w:autoSpaceDE w:val="0"/>
              <w:autoSpaceDN w:val="0"/>
              <w:adjustRightInd w:val="0"/>
              <w:jc w:val="center"/>
              <w:rPr>
                <w:rFonts w:ascii="Arial" w:hAnsi="Arial" w:cs="Arial"/>
                <w:sz w:val="22"/>
                <w:szCs w:val="22"/>
                <w:lang w:val="en-GB"/>
              </w:rPr>
            </w:pPr>
            <w:r w:rsidRPr="005A0ECE">
              <w:rPr>
                <w:rFonts w:ascii="Arial" w:hAnsi="Arial" w:cs="Arial"/>
                <w:b/>
                <w:color w:val="7B7B7B" w:themeColor="accent3" w:themeShade="BF"/>
                <w:sz w:val="22"/>
                <w:szCs w:val="22"/>
                <w:lang w:val="en-GB"/>
              </w:rPr>
              <w:t>Relevant Issues</w:t>
            </w:r>
          </w:p>
        </w:tc>
        <w:tc>
          <w:tcPr>
            <w:tcW w:w="1762" w:type="dxa"/>
          </w:tcPr>
          <w:p w14:paraId="102CA6EC" w14:textId="41C43E14" w:rsidR="00B232E5" w:rsidRDefault="00B232E5" w:rsidP="00B232E5">
            <w:pPr>
              <w:autoSpaceDE w:val="0"/>
              <w:autoSpaceDN w:val="0"/>
              <w:adjustRightInd w:val="0"/>
              <w:jc w:val="center"/>
              <w:rPr>
                <w:rFonts w:ascii="Arial" w:hAnsi="Arial" w:cs="Arial"/>
                <w:sz w:val="22"/>
                <w:szCs w:val="22"/>
                <w:lang w:val="en-GB"/>
              </w:rPr>
            </w:pPr>
            <w:r w:rsidRPr="005A0ECE">
              <w:rPr>
                <w:rFonts w:ascii="Arial" w:hAnsi="Arial" w:cs="Arial"/>
                <w:b/>
                <w:color w:val="7B7B7B" w:themeColor="accent3" w:themeShade="BF"/>
                <w:sz w:val="22"/>
                <w:szCs w:val="22"/>
                <w:lang w:val="en-GB"/>
              </w:rPr>
              <w:t>Statutory provisions</w:t>
            </w:r>
          </w:p>
        </w:tc>
        <w:tc>
          <w:tcPr>
            <w:tcW w:w="3006" w:type="dxa"/>
          </w:tcPr>
          <w:p w14:paraId="1C0C5339" w14:textId="57DD3B87" w:rsidR="00B232E5" w:rsidRDefault="0021480C" w:rsidP="00B232E5">
            <w:pPr>
              <w:autoSpaceDE w:val="0"/>
              <w:autoSpaceDN w:val="0"/>
              <w:adjustRightInd w:val="0"/>
              <w:jc w:val="center"/>
              <w:rPr>
                <w:rFonts w:ascii="Arial" w:hAnsi="Arial" w:cs="Arial"/>
                <w:sz w:val="22"/>
                <w:szCs w:val="22"/>
                <w:lang w:val="en-GB"/>
              </w:rPr>
            </w:pPr>
            <w:r>
              <w:rPr>
                <w:rFonts w:ascii="Arial" w:hAnsi="Arial" w:cs="Arial"/>
                <w:b/>
                <w:color w:val="7B7B7B" w:themeColor="accent3" w:themeShade="BF"/>
                <w:sz w:val="22"/>
                <w:szCs w:val="22"/>
                <w:lang w:val="en-GB"/>
              </w:rPr>
              <w:t>L</w:t>
            </w:r>
            <w:r w:rsidRPr="0021480C">
              <w:rPr>
                <w:rFonts w:ascii="Arial" w:hAnsi="Arial" w:cs="Arial"/>
                <w:b/>
                <w:color w:val="7B7B7B" w:themeColor="accent3" w:themeShade="BF"/>
                <w:sz w:val="22"/>
                <w:szCs w:val="22"/>
                <w:lang w:val="en-GB"/>
              </w:rPr>
              <w:t>iquidator's course of action</w:t>
            </w:r>
          </w:p>
        </w:tc>
      </w:tr>
      <w:tr w:rsidR="00B232E5" w14:paraId="1785F10B" w14:textId="77777777" w:rsidTr="00A34CF1">
        <w:tc>
          <w:tcPr>
            <w:tcW w:w="4248" w:type="dxa"/>
          </w:tcPr>
          <w:p w14:paraId="1AB7705F" w14:textId="77777777" w:rsidR="00A34CF1" w:rsidRPr="00A34CF1" w:rsidRDefault="00A34CF1" w:rsidP="00A34CF1">
            <w:pPr>
              <w:pStyle w:val="Prrafodelista"/>
              <w:numPr>
                <w:ilvl w:val="0"/>
                <w:numId w:val="12"/>
              </w:numPr>
              <w:ind w:left="447" w:hanging="283"/>
              <w:jc w:val="both"/>
              <w:rPr>
                <w:rFonts w:ascii="Arial" w:hAnsi="Arial" w:cs="Arial"/>
                <w:color w:val="7B7B7B" w:themeColor="accent3" w:themeShade="BF"/>
                <w:sz w:val="22"/>
                <w:szCs w:val="22"/>
                <w:lang w:val="en-GB"/>
              </w:rPr>
            </w:pPr>
            <w:r w:rsidRPr="00A34CF1">
              <w:rPr>
                <w:rFonts w:ascii="Arial" w:hAnsi="Arial" w:cs="Arial"/>
                <w:color w:val="7B7B7B" w:themeColor="accent3" w:themeShade="BF"/>
                <w:sz w:val="22"/>
                <w:szCs w:val="22"/>
                <w:lang w:val="en-GB"/>
              </w:rPr>
              <w:t>The Liquidation of Cork-In Limited was commenced in November 2020.</w:t>
            </w:r>
          </w:p>
          <w:p w14:paraId="0A5E9DAB" w14:textId="77777777" w:rsidR="00A34CF1" w:rsidRPr="00A34CF1" w:rsidRDefault="00A34CF1" w:rsidP="00A34CF1">
            <w:pPr>
              <w:pStyle w:val="Prrafodelista"/>
              <w:numPr>
                <w:ilvl w:val="0"/>
                <w:numId w:val="12"/>
              </w:numPr>
              <w:ind w:left="447" w:hanging="283"/>
              <w:jc w:val="both"/>
              <w:rPr>
                <w:rFonts w:ascii="Arial" w:hAnsi="Arial" w:cs="Arial"/>
                <w:color w:val="7B7B7B" w:themeColor="accent3" w:themeShade="BF"/>
                <w:sz w:val="22"/>
                <w:szCs w:val="22"/>
                <w:lang w:val="en-GB"/>
              </w:rPr>
            </w:pPr>
            <w:r w:rsidRPr="00A34CF1">
              <w:rPr>
                <w:rFonts w:ascii="Arial" w:hAnsi="Arial" w:cs="Arial"/>
                <w:color w:val="7B7B7B" w:themeColor="accent3" w:themeShade="BF"/>
                <w:sz w:val="22"/>
                <w:szCs w:val="22"/>
                <w:lang w:val="en-GB"/>
              </w:rPr>
              <w:t>The transaction was carried out within the relevant time defined by section 240 of the Act (1 month prior to the commencement of the liquidation).</w:t>
            </w:r>
          </w:p>
          <w:p w14:paraId="6AD36297" w14:textId="77777777" w:rsidR="00A34CF1" w:rsidRPr="00A34CF1" w:rsidRDefault="00A34CF1" w:rsidP="00A34CF1">
            <w:pPr>
              <w:pStyle w:val="Prrafodelista"/>
              <w:numPr>
                <w:ilvl w:val="0"/>
                <w:numId w:val="12"/>
              </w:numPr>
              <w:ind w:left="447" w:hanging="283"/>
              <w:jc w:val="both"/>
              <w:rPr>
                <w:rFonts w:ascii="Arial" w:hAnsi="Arial" w:cs="Arial"/>
                <w:color w:val="7B7B7B" w:themeColor="accent3" w:themeShade="BF"/>
                <w:sz w:val="22"/>
                <w:szCs w:val="22"/>
                <w:lang w:val="en-GB"/>
              </w:rPr>
            </w:pPr>
            <w:r w:rsidRPr="00A34CF1">
              <w:rPr>
                <w:rFonts w:ascii="Arial" w:hAnsi="Arial" w:cs="Arial"/>
                <w:color w:val="7B7B7B" w:themeColor="accent3" w:themeShade="BF"/>
                <w:sz w:val="22"/>
                <w:szCs w:val="22"/>
                <w:lang w:val="en-GB"/>
              </w:rPr>
              <w:t>At the time of the transaction, Gary's Grapes was a creditor of Cor-In Limited.</w:t>
            </w:r>
          </w:p>
          <w:p w14:paraId="4A7A20E8" w14:textId="528F34BF" w:rsidR="00A34CF1" w:rsidRPr="00A34CF1" w:rsidRDefault="00A34CF1" w:rsidP="00A34CF1">
            <w:pPr>
              <w:pStyle w:val="Prrafodelista"/>
              <w:numPr>
                <w:ilvl w:val="0"/>
                <w:numId w:val="12"/>
              </w:numPr>
              <w:ind w:left="447" w:hanging="283"/>
              <w:jc w:val="both"/>
              <w:rPr>
                <w:rFonts w:ascii="Arial" w:hAnsi="Arial" w:cs="Arial"/>
                <w:color w:val="7B7B7B" w:themeColor="accent3" w:themeShade="BF"/>
                <w:sz w:val="22"/>
                <w:szCs w:val="22"/>
                <w:lang w:val="en-GB"/>
              </w:rPr>
            </w:pPr>
            <w:r w:rsidRPr="00A34CF1">
              <w:rPr>
                <w:rFonts w:ascii="Arial" w:hAnsi="Arial" w:cs="Arial"/>
                <w:color w:val="7B7B7B" w:themeColor="accent3" w:themeShade="BF"/>
                <w:sz w:val="22"/>
                <w:szCs w:val="22"/>
                <w:lang w:val="en-GB"/>
              </w:rPr>
              <w:t xml:space="preserve">The payment made by Paul Watson put Gary's Grapes in a better </w:t>
            </w:r>
            <w:r w:rsidRPr="00A34CF1">
              <w:rPr>
                <w:rFonts w:ascii="Arial" w:hAnsi="Arial" w:cs="Arial"/>
                <w:color w:val="7B7B7B" w:themeColor="accent3" w:themeShade="BF"/>
                <w:sz w:val="22"/>
                <w:szCs w:val="22"/>
                <w:lang w:val="en-GB"/>
              </w:rPr>
              <w:lastRenderedPageBreak/>
              <w:t>position than the others creditors considering that the amount paid covered some invoices that had not become payable at that time (October 2020).</w:t>
            </w:r>
          </w:p>
          <w:p w14:paraId="4A4D4D68" w14:textId="77777777" w:rsidR="00A34CF1" w:rsidRPr="00A34CF1" w:rsidRDefault="00A34CF1" w:rsidP="00A34CF1">
            <w:pPr>
              <w:pStyle w:val="Prrafodelista"/>
              <w:numPr>
                <w:ilvl w:val="0"/>
                <w:numId w:val="12"/>
              </w:numPr>
              <w:ind w:left="447" w:hanging="283"/>
              <w:jc w:val="both"/>
              <w:rPr>
                <w:rFonts w:ascii="Arial" w:hAnsi="Arial" w:cs="Arial"/>
                <w:color w:val="7B7B7B" w:themeColor="accent3" w:themeShade="BF"/>
                <w:sz w:val="22"/>
                <w:szCs w:val="22"/>
                <w:lang w:val="en-GB"/>
              </w:rPr>
            </w:pPr>
            <w:r w:rsidRPr="00A34CF1">
              <w:rPr>
                <w:rFonts w:ascii="Arial" w:hAnsi="Arial" w:cs="Arial"/>
                <w:color w:val="7B7B7B" w:themeColor="accent3" w:themeShade="BF"/>
                <w:sz w:val="22"/>
                <w:szCs w:val="22"/>
                <w:lang w:val="en-GB"/>
              </w:rPr>
              <w:t>The payment was made with the objective of avoiding a cut-off from Gary’s Grapes Limited.</w:t>
            </w:r>
          </w:p>
          <w:p w14:paraId="129F628E" w14:textId="77777777" w:rsidR="00A34CF1" w:rsidRPr="00A34CF1" w:rsidRDefault="00A34CF1" w:rsidP="00A34CF1">
            <w:pPr>
              <w:pStyle w:val="Prrafodelista"/>
              <w:numPr>
                <w:ilvl w:val="0"/>
                <w:numId w:val="12"/>
              </w:numPr>
              <w:ind w:left="447" w:hanging="283"/>
              <w:jc w:val="both"/>
              <w:rPr>
                <w:rFonts w:ascii="Arial" w:hAnsi="Arial" w:cs="Arial"/>
                <w:color w:val="7B7B7B" w:themeColor="accent3" w:themeShade="BF"/>
                <w:sz w:val="22"/>
                <w:szCs w:val="22"/>
                <w:lang w:val="en-GB"/>
              </w:rPr>
            </w:pPr>
            <w:r w:rsidRPr="00A34CF1">
              <w:rPr>
                <w:rFonts w:ascii="Arial" w:hAnsi="Arial" w:cs="Arial"/>
                <w:color w:val="7B7B7B" w:themeColor="accent3" w:themeShade="BF"/>
                <w:sz w:val="22"/>
                <w:szCs w:val="22"/>
                <w:lang w:val="en-GB"/>
              </w:rPr>
              <w:t>At the time of the transaction, the debtor was in financial difficulties.</w:t>
            </w:r>
          </w:p>
          <w:p w14:paraId="291DFDC5" w14:textId="77777777" w:rsidR="00B232E5" w:rsidRPr="00A34CF1" w:rsidRDefault="00B232E5" w:rsidP="00A34CF1">
            <w:pPr>
              <w:ind w:left="164"/>
              <w:jc w:val="both"/>
              <w:rPr>
                <w:rFonts w:ascii="Arial" w:hAnsi="Arial" w:cs="Arial"/>
                <w:color w:val="7B7B7B" w:themeColor="accent3" w:themeShade="BF"/>
                <w:sz w:val="22"/>
                <w:szCs w:val="22"/>
                <w:lang w:val="en-GB"/>
              </w:rPr>
            </w:pPr>
          </w:p>
        </w:tc>
        <w:tc>
          <w:tcPr>
            <w:tcW w:w="1762" w:type="dxa"/>
          </w:tcPr>
          <w:p w14:paraId="01868449" w14:textId="77777777" w:rsidR="00A34CF1" w:rsidRPr="00A34CF1" w:rsidRDefault="00A34CF1" w:rsidP="00A34CF1">
            <w:pPr>
              <w:pStyle w:val="Prrafodelista"/>
              <w:numPr>
                <w:ilvl w:val="0"/>
                <w:numId w:val="12"/>
              </w:numPr>
              <w:ind w:left="436" w:hanging="426"/>
              <w:jc w:val="both"/>
              <w:rPr>
                <w:rFonts w:ascii="Arial" w:hAnsi="Arial" w:cs="Arial"/>
                <w:color w:val="767171" w:themeColor="background2" w:themeShade="80"/>
                <w:sz w:val="22"/>
                <w:szCs w:val="22"/>
                <w:lang w:val="en-GB"/>
              </w:rPr>
            </w:pPr>
            <w:r w:rsidRPr="00A34CF1">
              <w:rPr>
                <w:rFonts w:ascii="Arial" w:hAnsi="Arial" w:cs="Arial"/>
                <w:color w:val="767171" w:themeColor="background2" w:themeShade="80"/>
                <w:sz w:val="22"/>
                <w:szCs w:val="22"/>
                <w:lang w:val="en-GB"/>
              </w:rPr>
              <w:lastRenderedPageBreak/>
              <w:t>Section 239 of the Act 1986 - Preferences</w:t>
            </w:r>
          </w:p>
          <w:p w14:paraId="7E9D2735" w14:textId="208DA2CA" w:rsidR="00B232E5" w:rsidRDefault="00A34CF1" w:rsidP="00A34CF1">
            <w:pPr>
              <w:pStyle w:val="Prrafodelista"/>
              <w:numPr>
                <w:ilvl w:val="0"/>
                <w:numId w:val="12"/>
              </w:numPr>
              <w:ind w:left="436" w:hanging="426"/>
              <w:jc w:val="both"/>
              <w:rPr>
                <w:rFonts w:ascii="Arial" w:hAnsi="Arial" w:cs="Arial"/>
                <w:sz w:val="22"/>
                <w:szCs w:val="22"/>
                <w:lang w:val="en-GB"/>
              </w:rPr>
            </w:pPr>
            <w:r w:rsidRPr="00A34CF1">
              <w:rPr>
                <w:rFonts w:ascii="Arial" w:hAnsi="Arial" w:cs="Arial"/>
                <w:color w:val="767171" w:themeColor="background2" w:themeShade="80"/>
                <w:sz w:val="22"/>
                <w:szCs w:val="22"/>
                <w:lang w:val="en-GB"/>
              </w:rPr>
              <w:t>Section 240 of the Act 1986 - Relevant time</w:t>
            </w:r>
          </w:p>
        </w:tc>
        <w:tc>
          <w:tcPr>
            <w:tcW w:w="3006" w:type="dxa"/>
          </w:tcPr>
          <w:p w14:paraId="1278CA69" w14:textId="77777777" w:rsidR="00A34CF1" w:rsidRPr="00A34CF1" w:rsidRDefault="00A34CF1" w:rsidP="00A34CF1">
            <w:pPr>
              <w:pStyle w:val="Prrafodelista"/>
              <w:numPr>
                <w:ilvl w:val="0"/>
                <w:numId w:val="12"/>
              </w:numPr>
              <w:ind w:left="447" w:hanging="283"/>
              <w:jc w:val="both"/>
              <w:rPr>
                <w:rFonts w:ascii="Arial" w:hAnsi="Arial" w:cs="Arial"/>
                <w:color w:val="7B7B7B" w:themeColor="accent3" w:themeShade="BF"/>
                <w:sz w:val="22"/>
                <w:szCs w:val="22"/>
                <w:lang w:val="en-GB"/>
              </w:rPr>
            </w:pPr>
            <w:r w:rsidRPr="00A34CF1">
              <w:rPr>
                <w:rFonts w:ascii="Arial" w:hAnsi="Arial" w:cs="Arial"/>
                <w:color w:val="7B7B7B" w:themeColor="accent3" w:themeShade="BF"/>
                <w:sz w:val="22"/>
                <w:szCs w:val="22"/>
                <w:lang w:val="en-GB"/>
              </w:rPr>
              <w:t xml:space="preserve">In accordance with the relevant issues previously identified, the liquidator can attack the transaction pursuant to Section 239 of Act 1986. In this case, the liquidator must bear in mind that he has to show that the circumstances listed in Section 239 of the Act </w:t>
            </w:r>
            <w:r w:rsidRPr="00A34CF1">
              <w:rPr>
                <w:rFonts w:ascii="Arial" w:hAnsi="Arial" w:cs="Arial"/>
                <w:color w:val="7B7B7B" w:themeColor="accent3" w:themeShade="BF"/>
                <w:sz w:val="22"/>
                <w:szCs w:val="22"/>
                <w:lang w:val="en-GB"/>
              </w:rPr>
              <w:lastRenderedPageBreak/>
              <w:t xml:space="preserve">1986 actually happened. </w:t>
            </w:r>
          </w:p>
          <w:p w14:paraId="6DF628BE" w14:textId="3EF9CE79" w:rsidR="00B232E5" w:rsidRPr="00A34CF1" w:rsidRDefault="00A34CF1" w:rsidP="00A34CF1">
            <w:pPr>
              <w:pStyle w:val="Prrafodelista"/>
              <w:numPr>
                <w:ilvl w:val="0"/>
                <w:numId w:val="12"/>
              </w:numPr>
              <w:ind w:left="447" w:hanging="283"/>
              <w:jc w:val="both"/>
              <w:rPr>
                <w:rFonts w:ascii="Arial" w:hAnsi="Arial" w:cs="Arial"/>
                <w:color w:val="7B7B7B" w:themeColor="accent3" w:themeShade="BF"/>
                <w:sz w:val="22"/>
                <w:szCs w:val="22"/>
                <w:lang w:val="en-GB"/>
              </w:rPr>
            </w:pPr>
            <w:r w:rsidRPr="00A34CF1">
              <w:rPr>
                <w:rFonts w:ascii="Arial" w:hAnsi="Arial" w:cs="Arial"/>
                <w:color w:val="7B7B7B" w:themeColor="accent3" w:themeShade="BF"/>
                <w:sz w:val="22"/>
                <w:szCs w:val="22"/>
                <w:lang w:val="en-GB"/>
              </w:rPr>
              <w:t>The relevant facts of the case allow us to infer that the "attack" will have a high probability of success considering that the only element that could be undermined is related to the intention to put Gary’s Grapes Limited in a better position in the event of a liquidation.</w:t>
            </w:r>
          </w:p>
        </w:tc>
      </w:tr>
    </w:tbl>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sdt>
      <w:sdtPr>
        <w:rPr>
          <w:lang w:val="es-ES"/>
        </w:rPr>
        <w:id w:val="-1239630182"/>
        <w:docPartObj>
          <w:docPartGallery w:val="Bibliographies"/>
          <w:docPartUnique/>
        </w:docPartObj>
      </w:sdtPr>
      <w:sdtEndPr>
        <w:rPr>
          <w:lang w:val="en-US"/>
        </w:rPr>
      </w:sdtEndPr>
      <w:sdtContent>
        <w:p w14:paraId="312ECC43" w14:textId="6611A110" w:rsidR="004E1987" w:rsidRPr="004E1987" w:rsidRDefault="004E1987" w:rsidP="004E1987">
          <w:pPr>
            <w:jc w:val="center"/>
            <w:rPr>
              <w:rFonts w:ascii="Arial" w:hAnsi="Arial" w:cs="Arial"/>
              <w:b/>
              <w:bCs/>
              <w:color w:val="7B7B7B" w:themeColor="accent3" w:themeShade="BF"/>
              <w:sz w:val="22"/>
              <w:szCs w:val="22"/>
              <w:lang w:val="en-GB"/>
            </w:rPr>
          </w:pPr>
          <w:r w:rsidRPr="004E1987">
            <w:rPr>
              <w:rFonts w:ascii="Arial" w:hAnsi="Arial" w:cs="Arial"/>
              <w:b/>
              <w:bCs/>
              <w:color w:val="7B7B7B" w:themeColor="accent3" w:themeShade="BF"/>
              <w:sz w:val="22"/>
              <w:szCs w:val="22"/>
              <w:lang w:val="en-GB"/>
            </w:rPr>
            <w:t>References</w:t>
          </w:r>
        </w:p>
        <w:sdt>
          <w:sdtPr>
            <w:rPr>
              <w:rFonts w:ascii="Arial" w:hAnsi="Arial" w:cs="Arial"/>
              <w:color w:val="7B7B7B" w:themeColor="accent3" w:themeShade="BF"/>
              <w:sz w:val="22"/>
              <w:szCs w:val="22"/>
              <w:lang w:val="en-GB"/>
            </w:rPr>
            <w:id w:val="111145805"/>
            <w:bibliography/>
          </w:sdtPr>
          <w:sdtEndPr>
            <w:rPr>
              <w:rFonts w:asciiTheme="minorHAnsi" w:hAnsiTheme="minorHAnsi" w:cstheme="minorBidi"/>
              <w:color w:val="auto"/>
              <w:sz w:val="20"/>
              <w:szCs w:val="24"/>
              <w:lang w:val="en-US"/>
            </w:rPr>
          </w:sdtEndPr>
          <w:sdtContent>
            <w:p w14:paraId="5C4A8C04" w14:textId="77777777" w:rsidR="004E1987" w:rsidRPr="004E1987" w:rsidRDefault="004E1987" w:rsidP="004E1987">
              <w:pPr>
                <w:pStyle w:val="Prrafodelista"/>
                <w:numPr>
                  <w:ilvl w:val="0"/>
                  <w:numId w:val="12"/>
                </w:numPr>
                <w:ind w:left="447" w:hanging="283"/>
                <w:jc w:val="both"/>
                <w:rPr>
                  <w:rFonts w:ascii="Arial" w:hAnsi="Arial" w:cs="Arial"/>
                  <w:color w:val="7B7B7B" w:themeColor="accent3" w:themeShade="BF"/>
                  <w:sz w:val="22"/>
                  <w:szCs w:val="22"/>
                  <w:lang w:val="en-GB"/>
                </w:rPr>
              </w:pPr>
              <w:r w:rsidRPr="004E1987">
                <w:rPr>
                  <w:rFonts w:ascii="Arial" w:hAnsi="Arial" w:cs="Arial"/>
                  <w:color w:val="7B7B7B" w:themeColor="accent3" w:themeShade="BF"/>
                  <w:sz w:val="22"/>
                  <w:szCs w:val="22"/>
                  <w:lang w:val="en-GB"/>
                </w:rPr>
                <w:fldChar w:fldCharType="begin"/>
              </w:r>
              <w:r w:rsidRPr="004E1987">
                <w:rPr>
                  <w:rFonts w:ascii="Arial" w:hAnsi="Arial" w:cs="Arial"/>
                  <w:color w:val="7B7B7B" w:themeColor="accent3" w:themeShade="BF"/>
                  <w:sz w:val="22"/>
                  <w:szCs w:val="22"/>
                  <w:lang w:val="en-GB"/>
                </w:rPr>
                <w:instrText>BIBLIOGRAPHY</w:instrText>
              </w:r>
              <w:r w:rsidRPr="004E1987">
                <w:rPr>
                  <w:rFonts w:ascii="Arial" w:hAnsi="Arial" w:cs="Arial"/>
                  <w:color w:val="7B7B7B" w:themeColor="accent3" w:themeShade="BF"/>
                  <w:sz w:val="22"/>
                  <w:szCs w:val="22"/>
                  <w:lang w:val="en-GB"/>
                </w:rPr>
                <w:fldChar w:fldCharType="separate"/>
              </w:r>
              <w:r w:rsidRPr="004E1987">
                <w:rPr>
                  <w:rFonts w:ascii="Arial" w:hAnsi="Arial" w:cs="Arial"/>
                  <w:color w:val="7B7B7B" w:themeColor="accent3" w:themeShade="BF"/>
                  <w:sz w:val="22"/>
                  <w:szCs w:val="22"/>
                  <w:lang w:val="en-GB"/>
                </w:rPr>
                <w:t>Walton, P. (September de 2020). Insolvency System of the United. London, United Kingdom.</w:t>
              </w:r>
            </w:p>
            <w:p w14:paraId="32EA6EEA" w14:textId="77777777" w:rsidR="004E1987" w:rsidRPr="004E1987" w:rsidRDefault="004E1987" w:rsidP="004E1987">
              <w:pPr>
                <w:pStyle w:val="Prrafodelista"/>
                <w:numPr>
                  <w:ilvl w:val="0"/>
                  <w:numId w:val="12"/>
                </w:numPr>
                <w:ind w:left="447" w:hanging="283"/>
                <w:jc w:val="both"/>
                <w:rPr>
                  <w:rFonts w:ascii="Arial" w:hAnsi="Arial" w:cs="Arial"/>
                  <w:color w:val="7B7B7B" w:themeColor="accent3" w:themeShade="BF"/>
                  <w:sz w:val="22"/>
                  <w:szCs w:val="22"/>
                  <w:lang w:val="en-GB"/>
                </w:rPr>
              </w:pPr>
              <w:r w:rsidRPr="004E1987">
                <w:rPr>
                  <w:rFonts w:ascii="Arial" w:hAnsi="Arial" w:cs="Arial"/>
                  <w:color w:val="7B7B7B" w:themeColor="accent3" w:themeShade="BF"/>
                  <w:sz w:val="22"/>
                  <w:szCs w:val="22"/>
                  <w:lang w:val="en-GB"/>
                </w:rPr>
                <w:t>Jones Day Publication. (September de 2009). U.K. Perspective Recognition of Overseas Insolvency Procedures: Spoiled for Choice? Obtenido de https://www.jonesday.com/en/insights/2009/09/uk-perspective-recognition-of-overseas-insolvency-procedures-spoiled-for-choice</w:t>
              </w:r>
            </w:p>
            <w:p w14:paraId="6B5EE859" w14:textId="315095A2" w:rsidR="004E1987" w:rsidRDefault="004E1987" w:rsidP="004E1987">
              <w:pPr>
                <w:pStyle w:val="Prrafodelista"/>
                <w:ind w:left="447"/>
                <w:jc w:val="both"/>
              </w:pPr>
              <w:r w:rsidRPr="004E1987">
                <w:rPr>
                  <w:rFonts w:ascii="Arial" w:hAnsi="Arial" w:cs="Arial"/>
                  <w:color w:val="7B7B7B" w:themeColor="accent3" w:themeShade="BF"/>
                  <w:sz w:val="22"/>
                  <w:szCs w:val="22"/>
                  <w:lang w:val="en-GB"/>
                </w:rPr>
                <w:fldChar w:fldCharType="end"/>
              </w:r>
            </w:p>
          </w:sdtContent>
        </w:sdt>
      </w:sdtContent>
    </w:sdt>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DD46B" w14:textId="77777777" w:rsidR="00DE3BD3" w:rsidRDefault="00DE3BD3" w:rsidP="00241B44">
      <w:r>
        <w:separator/>
      </w:r>
    </w:p>
  </w:endnote>
  <w:endnote w:type="continuationSeparator" w:id="0">
    <w:p w14:paraId="45BDE3DE" w14:textId="77777777" w:rsidR="00DE3BD3" w:rsidRDefault="00DE3BD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0A05F8FD" w14:textId="2F5E11E0"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754DF6">
          <w:rPr>
            <w:rStyle w:val="Nmerodepgina"/>
            <w:rFonts w:ascii="Arial" w:hAnsi="Arial" w:cs="Arial"/>
            <w:b/>
            <w:bCs/>
            <w:noProof/>
            <w:sz w:val="18"/>
            <w:szCs w:val="18"/>
          </w:rPr>
          <w:t>10</w:t>
        </w:r>
        <w:r w:rsidRPr="0010593A">
          <w:rPr>
            <w:rStyle w:val="Nmerodepgina"/>
            <w:rFonts w:ascii="Arial" w:hAnsi="Arial" w:cs="Arial"/>
            <w:b/>
            <w:bCs/>
            <w:sz w:val="18"/>
            <w:szCs w:val="18"/>
          </w:rPr>
          <w:fldChar w:fldCharType="end"/>
        </w:r>
      </w:p>
    </w:sdtContent>
  </w:sdt>
  <w:p w14:paraId="30F05E79" w14:textId="0E5C1D34" w:rsidR="00241FA3" w:rsidRPr="009B4976" w:rsidRDefault="005A3344" w:rsidP="009B4976">
    <w:pPr>
      <w:pStyle w:val="Piedepgina"/>
      <w:ind w:right="360"/>
      <w:rPr>
        <w:rFonts w:ascii="Arial" w:hAnsi="Arial" w:cs="Arial"/>
        <w:sz w:val="18"/>
        <w:szCs w:val="18"/>
        <w:lang w:val="en-GB"/>
      </w:rPr>
    </w:pPr>
    <w:r>
      <w:rPr>
        <w:rFonts w:ascii="Arial" w:hAnsi="Arial" w:cs="Arial"/>
        <w:sz w:val="18"/>
        <w:szCs w:val="18"/>
        <w:lang w:val="en-GB"/>
      </w:rPr>
      <w:t>20202IFU-330</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466F0" w14:textId="77777777" w:rsidR="00DE3BD3" w:rsidRDefault="00DE3BD3" w:rsidP="00241B44">
      <w:r>
        <w:separator/>
      </w:r>
    </w:p>
  </w:footnote>
  <w:footnote w:type="continuationSeparator" w:id="0">
    <w:p w14:paraId="69525D97" w14:textId="77777777" w:rsidR="00DE3BD3" w:rsidRDefault="00DE3BD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1C309A"/>
    <w:multiLevelType w:val="hybridMultilevel"/>
    <w:tmpl w:val="7876CCB6"/>
    <w:lvl w:ilvl="0" w:tplc="EEF4D09A">
      <w:start w:val="1"/>
      <w:numFmt w:val="bullet"/>
      <w:lvlText w:val=""/>
      <w:lvlJc w:val="left"/>
      <w:pPr>
        <w:ind w:left="1080" w:hanging="360"/>
      </w:pPr>
      <w:rPr>
        <w:rFonts w:ascii="Symbol" w:eastAsia="Times New Roman" w:hAnsi="Symbol" w:cs="Arial" w:hint="default"/>
        <w:color w:val="767171" w:themeColor="background2"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260934"/>
    <w:multiLevelType w:val="multilevel"/>
    <w:tmpl w:val="7E342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010ECD"/>
    <w:multiLevelType w:val="multilevel"/>
    <w:tmpl w:val="06A44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825DEB"/>
    <w:multiLevelType w:val="multilevel"/>
    <w:tmpl w:val="9710C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52709"/>
    <w:multiLevelType w:val="hybridMultilevel"/>
    <w:tmpl w:val="BC9099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183AAA"/>
    <w:multiLevelType w:val="hybridMultilevel"/>
    <w:tmpl w:val="12C6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9"/>
  </w:num>
  <w:num w:numId="6">
    <w:abstractNumId w:val="2"/>
  </w:num>
  <w:num w:numId="7">
    <w:abstractNumId w:val="10"/>
  </w:num>
  <w:num w:numId="8">
    <w:abstractNumId w:val="13"/>
  </w:num>
  <w:num w:numId="9">
    <w:abstractNumId w:val="7"/>
  </w:num>
  <w:num w:numId="10">
    <w:abstractNumId w:val="14"/>
  </w:num>
  <w:num w:numId="11">
    <w:abstractNumId w:val="12"/>
  </w:num>
  <w:num w:numId="12">
    <w:abstractNumId w:val="4"/>
  </w:num>
  <w:num w:numId="13">
    <w:abstractNumId w:val="15"/>
  </w:num>
  <w:num w:numId="14">
    <w:abstractNumId w:val="5"/>
    <w:lvlOverride w:ilvl="0"/>
  </w:num>
  <w:num w:numId="15">
    <w:abstractNumId w:val="11"/>
    <w:lvlOverride w:ilvl="0"/>
  </w:num>
  <w:num w:numId="16">
    <w:abstractNumId w:val="8"/>
    <w:lvlOverride w:ilv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4C36"/>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55A8"/>
    <w:rsid w:val="000E4841"/>
    <w:rsid w:val="000F1677"/>
    <w:rsid w:val="000F3D6C"/>
    <w:rsid w:val="00100D19"/>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B792C"/>
    <w:rsid w:val="001C45FC"/>
    <w:rsid w:val="001D0469"/>
    <w:rsid w:val="001D29C0"/>
    <w:rsid w:val="001D4862"/>
    <w:rsid w:val="001E25B9"/>
    <w:rsid w:val="001E49E0"/>
    <w:rsid w:val="001E7B5A"/>
    <w:rsid w:val="001F0DD2"/>
    <w:rsid w:val="001F7412"/>
    <w:rsid w:val="0020090A"/>
    <w:rsid w:val="00202DFE"/>
    <w:rsid w:val="0020725B"/>
    <w:rsid w:val="002110F1"/>
    <w:rsid w:val="00211A5E"/>
    <w:rsid w:val="0021480C"/>
    <w:rsid w:val="002356EA"/>
    <w:rsid w:val="002402DA"/>
    <w:rsid w:val="0024116D"/>
    <w:rsid w:val="00241B44"/>
    <w:rsid w:val="00241FA3"/>
    <w:rsid w:val="00245EFB"/>
    <w:rsid w:val="0025386E"/>
    <w:rsid w:val="00254C09"/>
    <w:rsid w:val="002638B0"/>
    <w:rsid w:val="0026647A"/>
    <w:rsid w:val="002668D3"/>
    <w:rsid w:val="0027299F"/>
    <w:rsid w:val="00284EBE"/>
    <w:rsid w:val="002903A7"/>
    <w:rsid w:val="00291952"/>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0747E"/>
    <w:rsid w:val="003144EF"/>
    <w:rsid w:val="003152B5"/>
    <w:rsid w:val="00326292"/>
    <w:rsid w:val="00326415"/>
    <w:rsid w:val="00330937"/>
    <w:rsid w:val="00330F31"/>
    <w:rsid w:val="00334648"/>
    <w:rsid w:val="0033768C"/>
    <w:rsid w:val="00337938"/>
    <w:rsid w:val="00340769"/>
    <w:rsid w:val="00341AA6"/>
    <w:rsid w:val="00341CFB"/>
    <w:rsid w:val="00361A0A"/>
    <w:rsid w:val="00364836"/>
    <w:rsid w:val="0036565C"/>
    <w:rsid w:val="0036625E"/>
    <w:rsid w:val="0037465A"/>
    <w:rsid w:val="00375D86"/>
    <w:rsid w:val="00381DFD"/>
    <w:rsid w:val="00382C98"/>
    <w:rsid w:val="00384B92"/>
    <w:rsid w:val="0038533C"/>
    <w:rsid w:val="00386568"/>
    <w:rsid w:val="00390B57"/>
    <w:rsid w:val="003948D5"/>
    <w:rsid w:val="00396821"/>
    <w:rsid w:val="00397D3A"/>
    <w:rsid w:val="003A051E"/>
    <w:rsid w:val="003B170F"/>
    <w:rsid w:val="003B3C5F"/>
    <w:rsid w:val="003C4471"/>
    <w:rsid w:val="003C4CE3"/>
    <w:rsid w:val="003D0A6D"/>
    <w:rsid w:val="003D1954"/>
    <w:rsid w:val="003E0B16"/>
    <w:rsid w:val="003E67D1"/>
    <w:rsid w:val="00404329"/>
    <w:rsid w:val="00405DC1"/>
    <w:rsid w:val="00411336"/>
    <w:rsid w:val="00415F1F"/>
    <w:rsid w:val="0042108F"/>
    <w:rsid w:val="00430FED"/>
    <w:rsid w:val="00434A8C"/>
    <w:rsid w:val="00437297"/>
    <w:rsid w:val="00444284"/>
    <w:rsid w:val="00445CE6"/>
    <w:rsid w:val="004534C2"/>
    <w:rsid w:val="0045446F"/>
    <w:rsid w:val="0045683E"/>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1987"/>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5671"/>
    <w:rsid w:val="00567AD7"/>
    <w:rsid w:val="00575B2D"/>
    <w:rsid w:val="005833D0"/>
    <w:rsid w:val="005846F3"/>
    <w:rsid w:val="0058622F"/>
    <w:rsid w:val="00592F82"/>
    <w:rsid w:val="005A0CCA"/>
    <w:rsid w:val="005A0ECE"/>
    <w:rsid w:val="005A3344"/>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369D5"/>
    <w:rsid w:val="00740DAD"/>
    <w:rsid w:val="00742AF3"/>
    <w:rsid w:val="00743CE7"/>
    <w:rsid w:val="00754DF6"/>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6BA4"/>
    <w:rsid w:val="007F41F8"/>
    <w:rsid w:val="007F659B"/>
    <w:rsid w:val="0080454E"/>
    <w:rsid w:val="00804C32"/>
    <w:rsid w:val="00806302"/>
    <w:rsid w:val="00807119"/>
    <w:rsid w:val="00822C7C"/>
    <w:rsid w:val="0082483F"/>
    <w:rsid w:val="008279C0"/>
    <w:rsid w:val="00867701"/>
    <w:rsid w:val="008723F3"/>
    <w:rsid w:val="00873BF5"/>
    <w:rsid w:val="00876F56"/>
    <w:rsid w:val="00881DE6"/>
    <w:rsid w:val="008837A6"/>
    <w:rsid w:val="0089145D"/>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71422"/>
    <w:rsid w:val="009754D1"/>
    <w:rsid w:val="00980E61"/>
    <w:rsid w:val="0098483C"/>
    <w:rsid w:val="00991428"/>
    <w:rsid w:val="00992676"/>
    <w:rsid w:val="009954B2"/>
    <w:rsid w:val="00996691"/>
    <w:rsid w:val="009A3AB7"/>
    <w:rsid w:val="009B0723"/>
    <w:rsid w:val="009B07AD"/>
    <w:rsid w:val="009B0883"/>
    <w:rsid w:val="009B15E2"/>
    <w:rsid w:val="009B4976"/>
    <w:rsid w:val="009C0B8E"/>
    <w:rsid w:val="009C1BC8"/>
    <w:rsid w:val="009C2442"/>
    <w:rsid w:val="009C2EA7"/>
    <w:rsid w:val="009D0811"/>
    <w:rsid w:val="009D0EE1"/>
    <w:rsid w:val="009D5E9D"/>
    <w:rsid w:val="009E2AEB"/>
    <w:rsid w:val="009E2E27"/>
    <w:rsid w:val="009E36FE"/>
    <w:rsid w:val="009E45DF"/>
    <w:rsid w:val="009E4DE3"/>
    <w:rsid w:val="009F275E"/>
    <w:rsid w:val="00A047EE"/>
    <w:rsid w:val="00A2274A"/>
    <w:rsid w:val="00A235B7"/>
    <w:rsid w:val="00A27A7A"/>
    <w:rsid w:val="00A34ABE"/>
    <w:rsid w:val="00A34CF1"/>
    <w:rsid w:val="00A407EF"/>
    <w:rsid w:val="00A46B4C"/>
    <w:rsid w:val="00A5117B"/>
    <w:rsid w:val="00A56D34"/>
    <w:rsid w:val="00A60074"/>
    <w:rsid w:val="00A6627C"/>
    <w:rsid w:val="00A71019"/>
    <w:rsid w:val="00A81029"/>
    <w:rsid w:val="00A82ED4"/>
    <w:rsid w:val="00A845F5"/>
    <w:rsid w:val="00A96489"/>
    <w:rsid w:val="00AB2425"/>
    <w:rsid w:val="00AB685C"/>
    <w:rsid w:val="00AB6C2D"/>
    <w:rsid w:val="00AC08F7"/>
    <w:rsid w:val="00AC3839"/>
    <w:rsid w:val="00AC7082"/>
    <w:rsid w:val="00AD4BE8"/>
    <w:rsid w:val="00AF228E"/>
    <w:rsid w:val="00B016A8"/>
    <w:rsid w:val="00B04033"/>
    <w:rsid w:val="00B14819"/>
    <w:rsid w:val="00B15911"/>
    <w:rsid w:val="00B15E2F"/>
    <w:rsid w:val="00B17AA9"/>
    <w:rsid w:val="00B232E5"/>
    <w:rsid w:val="00B27A29"/>
    <w:rsid w:val="00B32F7E"/>
    <w:rsid w:val="00B44236"/>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A603A"/>
    <w:rsid w:val="00BB0F2B"/>
    <w:rsid w:val="00BD1BE8"/>
    <w:rsid w:val="00BE4FF3"/>
    <w:rsid w:val="00BF2C93"/>
    <w:rsid w:val="00BF50F7"/>
    <w:rsid w:val="00C02F29"/>
    <w:rsid w:val="00C05625"/>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6333F"/>
    <w:rsid w:val="00C72848"/>
    <w:rsid w:val="00C7736C"/>
    <w:rsid w:val="00C82D87"/>
    <w:rsid w:val="00C8712A"/>
    <w:rsid w:val="00C902C8"/>
    <w:rsid w:val="00C919D1"/>
    <w:rsid w:val="00C963D3"/>
    <w:rsid w:val="00CB1983"/>
    <w:rsid w:val="00CB2CBB"/>
    <w:rsid w:val="00CB7CAC"/>
    <w:rsid w:val="00CC5335"/>
    <w:rsid w:val="00CC5BA4"/>
    <w:rsid w:val="00CD4998"/>
    <w:rsid w:val="00CE1035"/>
    <w:rsid w:val="00CE6E50"/>
    <w:rsid w:val="00CF2819"/>
    <w:rsid w:val="00CF4F9D"/>
    <w:rsid w:val="00CF70DC"/>
    <w:rsid w:val="00D05708"/>
    <w:rsid w:val="00D148DC"/>
    <w:rsid w:val="00D17FDC"/>
    <w:rsid w:val="00D21D8C"/>
    <w:rsid w:val="00D33EFD"/>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3BD3"/>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15C5"/>
    <w:rsid w:val="00E833F4"/>
    <w:rsid w:val="00E90991"/>
    <w:rsid w:val="00E909F0"/>
    <w:rsid w:val="00E90D47"/>
    <w:rsid w:val="00E93993"/>
    <w:rsid w:val="00E9597C"/>
    <w:rsid w:val="00EA0913"/>
    <w:rsid w:val="00EA47D0"/>
    <w:rsid w:val="00EA5B00"/>
    <w:rsid w:val="00EB146B"/>
    <w:rsid w:val="00EB45AC"/>
    <w:rsid w:val="00EC441F"/>
    <w:rsid w:val="00EC4755"/>
    <w:rsid w:val="00EC5643"/>
    <w:rsid w:val="00ED0BC4"/>
    <w:rsid w:val="00ED447D"/>
    <w:rsid w:val="00EE4971"/>
    <w:rsid w:val="00EE6CB0"/>
    <w:rsid w:val="00EF090E"/>
    <w:rsid w:val="00EF5572"/>
    <w:rsid w:val="00F01D7D"/>
    <w:rsid w:val="00F033DA"/>
    <w:rsid w:val="00F13691"/>
    <w:rsid w:val="00F13FB1"/>
    <w:rsid w:val="00F160E6"/>
    <w:rsid w:val="00F16126"/>
    <w:rsid w:val="00F27CD8"/>
    <w:rsid w:val="00F30351"/>
    <w:rsid w:val="00F3323E"/>
    <w:rsid w:val="00F341F4"/>
    <w:rsid w:val="00F34F9D"/>
    <w:rsid w:val="00F35CCE"/>
    <w:rsid w:val="00F5524B"/>
    <w:rsid w:val="00F60538"/>
    <w:rsid w:val="00F61DD2"/>
    <w:rsid w:val="00F65062"/>
    <w:rsid w:val="00F66AFF"/>
    <w:rsid w:val="00F71433"/>
    <w:rsid w:val="00F87B04"/>
    <w:rsid w:val="00F97C5B"/>
    <w:rsid w:val="00FA12B9"/>
    <w:rsid w:val="00FA3D50"/>
    <w:rsid w:val="00FA417D"/>
    <w:rsid w:val="00FA6F69"/>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paragraph" w:styleId="Ttulo1">
    <w:name w:val="heading 1"/>
    <w:basedOn w:val="Normal"/>
    <w:next w:val="Normal"/>
    <w:link w:val="Ttulo1Car"/>
    <w:uiPriority w:val="9"/>
    <w:qFormat/>
    <w:rsid w:val="004E198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aconcuadrcula">
    <w:name w:val="Table Grid"/>
    <w:basedOn w:val="Tablanormal"/>
    <w:uiPriority w:val="39"/>
    <w:rsid w:val="005A0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E1987"/>
    <w:rPr>
      <w:rFonts w:asciiTheme="majorHAnsi" w:eastAsiaTheme="majorEastAsia" w:hAnsiTheme="majorHAnsi" w:cstheme="majorBidi"/>
      <w:b/>
      <w:bCs/>
      <w:color w:val="2F5496" w:themeColor="accent1" w:themeShade="BF"/>
      <w:sz w:val="28"/>
      <w:szCs w:val="28"/>
      <w:lang w:val="es-CO" w:eastAsia="es-ES_tradnl"/>
    </w:rPr>
  </w:style>
  <w:style w:type="paragraph" w:styleId="Bibliografa">
    <w:name w:val="Bibliography"/>
    <w:basedOn w:val="Normal"/>
    <w:next w:val="Normal"/>
    <w:uiPriority w:val="37"/>
    <w:unhideWhenUsed/>
    <w:rsid w:val="004E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9296">
      <w:bodyDiv w:val="1"/>
      <w:marLeft w:val="0"/>
      <w:marRight w:val="0"/>
      <w:marTop w:val="0"/>
      <w:marBottom w:val="0"/>
      <w:divBdr>
        <w:top w:val="none" w:sz="0" w:space="0" w:color="auto"/>
        <w:left w:val="none" w:sz="0" w:space="0" w:color="auto"/>
        <w:bottom w:val="none" w:sz="0" w:space="0" w:color="auto"/>
        <w:right w:val="none" w:sz="0" w:space="0" w:color="auto"/>
      </w:divBdr>
    </w:div>
    <w:div w:id="91821823">
      <w:bodyDiv w:val="1"/>
      <w:marLeft w:val="0"/>
      <w:marRight w:val="0"/>
      <w:marTop w:val="0"/>
      <w:marBottom w:val="0"/>
      <w:divBdr>
        <w:top w:val="none" w:sz="0" w:space="0" w:color="auto"/>
        <w:left w:val="none" w:sz="0" w:space="0" w:color="auto"/>
        <w:bottom w:val="none" w:sz="0" w:space="0" w:color="auto"/>
        <w:right w:val="none" w:sz="0" w:space="0" w:color="auto"/>
      </w:divBdr>
    </w:div>
    <w:div w:id="105541617">
      <w:bodyDiv w:val="1"/>
      <w:marLeft w:val="0"/>
      <w:marRight w:val="0"/>
      <w:marTop w:val="0"/>
      <w:marBottom w:val="0"/>
      <w:divBdr>
        <w:top w:val="none" w:sz="0" w:space="0" w:color="auto"/>
        <w:left w:val="none" w:sz="0" w:space="0" w:color="auto"/>
        <w:bottom w:val="none" w:sz="0" w:space="0" w:color="auto"/>
        <w:right w:val="none" w:sz="0" w:space="0" w:color="auto"/>
      </w:divBdr>
    </w:div>
    <w:div w:id="107089762">
      <w:bodyDiv w:val="1"/>
      <w:marLeft w:val="0"/>
      <w:marRight w:val="0"/>
      <w:marTop w:val="0"/>
      <w:marBottom w:val="0"/>
      <w:divBdr>
        <w:top w:val="none" w:sz="0" w:space="0" w:color="auto"/>
        <w:left w:val="none" w:sz="0" w:space="0" w:color="auto"/>
        <w:bottom w:val="none" w:sz="0" w:space="0" w:color="auto"/>
        <w:right w:val="none" w:sz="0" w:space="0" w:color="auto"/>
      </w:divBdr>
    </w:div>
    <w:div w:id="184095880">
      <w:bodyDiv w:val="1"/>
      <w:marLeft w:val="0"/>
      <w:marRight w:val="0"/>
      <w:marTop w:val="0"/>
      <w:marBottom w:val="0"/>
      <w:divBdr>
        <w:top w:val="none" w:sz="0" w:space="0" w:color="auto"/>
        <w:left w:val="none" w:sz="0" w:space="0" w:color="auto"/>
        <w:bottom w:val="none" w:sz="0" w:space="0" w:color="auto"/>
        <w:right w:val="none" w:sz="0" w:space="0" w:color="auto"/>
      </w:divBdr>
    </w:div>
    <w:div w:id="234432879">
      <w:bodyDiv w:val="1"/>
      <w:marLeft w:val="0"/>
      <w:marRight w:val="0"/>
      <w:marTop w:val="0"/>
      <w:marBottom w:val="0"/>
      <w:divBdr>
        <w:top w:val="none" w:sz="0" w:space="0" w:color="auto"/>
        <w:left w:val="none" w:sz="0" w:space="0" w:color="auto"/>
        <w:bottom w:val="none" w:sz="0" w:space="0" w:color="auto"/>
        <w:right w:val="none" w:sz="0" w:space="0" w:color="auto"/>
      </w:divBdr>
    </w:div>
    <w:div w:id="258416303">
      <w:bodyDiv w:val="1"/>
      <w:marLeft w:val="0"/>
      <w:marRight w:val="0"/>
      <w:marTop w:val="0"/>
      <w:marBottom w:val="0"/>
      <w:divBdr>
        <w:top w:val="none" w:sz="0" w:space="0" w:color="auto"/>
        <w:left w:val="none" w:sz="0" w:space="0" w:color="auto"/>
        <w:bottom w:val="none" w:sz="0" w:space="0" w:color="auto"/>
        <w:right w:val="none" w:sz="0" w:space="0" w:color="auto"/>
      </w:divBdr>
    </w:div>
    <w:div w:id="309750613">
      <w:bodyDiv w:val="1"/>
      <w:marLeft w:val="0"/>
      <w:marRight w:val="0"/>
      <w:marTop w:val="0"/>
      <w:marBottom w:val="0"/>
      <w:divBdr>
        <w:top w:val="none" w:sz="0" w:space="0" w:color="auto"/>
        <w:left w:val="none" w:sz="0" w:space="0" w:color="auto"/>
        <w:bottom w:val="none" w:sz="0" w:space="0" w:color="auto"/>
        <w:right w:val="none" w:sz="0" w:space="0" w:color="auto"/>
      </w:divBdr>
    </w:div>
    <w:div w:id="479537928">
      <w:bodyDiv w:val="1"/>
      <w:marLeft w:val="0"/>
      <w:marRight w:val="0"/>
      <w:marTop w:val="0"/>
      <w:marBottom w:val="0"/>
      <w:divBdr>
        <w:top w:val="none" w:sz="0" w:space="0" w:color="auto"/>
        <w:left w:val="none" w:sz="0" w:space="0" w:color="auto"/>
        <w:bottom w:val="none" w:sz="0" w:space="0" w:color="auto"/>
        <w:right w:val="none" w:sz="0" w:space="0" w:color="auto"/>
      </w:divBdr>
    </w:div>
    <w:div w:id="50659720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96452071">
      <w:bodyDiv w:val="1"/>
      <w:marLeft w:val="0"/>
      <w:marRight w:val="0"/>
      <w:marTop w:val="0"/>
      <w:marBottom w:val="0"/>
      <w:divBdr>
        <w:top w:val="none" w:sz="0" w:space="0" w:color="auto"/>
        <w:left w:val="none" w:sz="0" w:space="0" w:color="auto"/>
        <w:bottom w:val="none" w:sz="0" w:space="0" w:color="auto"/>
        <w:right w:val="none" w:sz="0" w:space="0" w:color="auto"/>
      </w:divBdr>
    </w:div>
    <w:div w:id="667828628">
      <w:bodyDiv w:val="1"/>
      <w:marLeft w:val="0"/>
      <w:marRight w:val="0"/>
      <w:marTop w:val="0"/>
      <w:marBottom w:val="0"/>
      <w:divBdr>
        <w:top w:val="none" w:sz="0" w:space="0" w:color="auto"/>
        <w:left w:val="none" w:sz="0" w:space="0" w:color="auto"/>
        <w:bottom w:val="none" w:sz="0" w:space="0" w:color="auto"/>
        <w:right w:val="none" w:sz="0" w:space="0" w:color="auto"/>
      </w:divBdr>
    </w:div>
    <w:div w:id="85592151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33114202">
      <w:bodyDiv w:val="1"/>
      <w:marLeft w:val="0"/>
      <w:marRight w:val="0"/>
      <w:marTop w:val="0"/>
      <w:marBottom w:val="0"/>
      <w:divBdr>
        <w:top w:val="none" w:sz="0" w:space="0" w:color="auto"/>
        <w:left w:val="none" w:sz="0" w:space="0" w:color="auto"/>
        <w:bottom w:val="none" w:sz="0" w:space="0" w:color="auto"/>
        <w:right w:val="none" w:sz="0" w:space="0" w:color="auto"/>
      </w:divBdr>
    </w:div>
    <w:div w:id="1279678932">
      <w:bodyDiv w:val="1"/>
      <w:marLeft w:val="0"/>
      <w:marRight w:val="0"/>
      <w:marTop w:val="0"/>
      <w:marBottom w:val="0"/>
      <w:divBdr>
        <w:top w:val="none" w:sz="0" w:space="0" w:color="auto"/>
        <w:left w:val="none" w:sz="0" w:space="0" w:color="auto"/>
        <w:bottom w:val="none" w:sz="0" w:space="0" w:color="auto"/>
        <w:right w:val="none" w:sz="0" w:space="0" w:color="auto"/>
      </w:divBdr>
    </w:div>
    <w:div w:id="1289823122">
      <w:bodyDiv w:val="1"/>
      <w:marLeft w:val="0"/>
      <w:marRight w:val="0"/>
      <w:marTop w:val="0"/>
      <w:marBottom w:val="0"/>
      <w:divBdr>
        <w:top w:val="none" w:sz="0" w:space="0" w:color="auto"/>
        <w:left w:val="none" w:sz="0" w:space="0" w:color="auto"/>
        <w:bottom w:val="none" w:sz="0" w:space="0" w:color="auto"/>
        <w:right w:val="none" w:sz="0" w:space="0" w:color="auto"/>
      </w:divBdr>
    </w:div>
    <w:div w:id="1320688524">
      <w:bodyDiv w:val="1"/>
      <w:marLeft w:val="0"/>
      <w:marRight w:val="0"/>
      <w:marTop w:val="0"/>
      <w:marBottom w:val="0"/>
      <w:divBdr>
        <w:top w:val="none" w:sz="0" w:space="0" w:color="auto"/>
        <w:left w:val="none" w:sz="0" w:space="0" w:color="auto"/>
        <w:bottom w:val="none" w:sz="0" w:space="0" w:color="auto"/>
        <w:right w:val="none" w:sz="0" w:space="0" w:color="auto"/>
      </w:divBdr>
    </w:div>
    <w:div w:id="1486966970">
      <w:bodyDiv w:val="1"/>
      <w:marLeft w:val="0"/>
      <w:marRight w:val="0"/>
      <w:marTop w:val="0"/>
      <w:marBottom w:val="0"/>
      <w:divBdr>
        <w:top w:val="none" w:sz="0" w:space="0" w:color="auto"/>
        <w:left w:val="none" w:sz="0" w:space="0" w:color="auto"/>
        <w:bottom w:val="none" w:sz="0" w:space="0" w:color="auto"/>
        <w:right w:val="none" w:sz="0" w:space="0" w:color="auto"/>
      </w:divBdr>
    </w:div>
    <w:div w:id="150886281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Wal20</b:Tag>
    <b:SourceType>ElectronicSource</b:SourceType>
    <b:Guid>{EF64A59C-AE95-4460-9959-5AF99BEE5430}</b:Guid>
    <b:Title>Insolvency System of the United</b:Title>
    <b:City>London</b:City>
    <b:CountryRegion>United Kingdom</b:CountryRegion>
    <b:Year>2020</b:Year>
    <b:Month>September</b:Month>
    <b:Author>
      <b:Author>
        <b:NameList>
          <b:Person>
            <b:Last>Walton</b:Last>
            <b:First>Peter</b:First>
          </b:Person>
        </b:NameList>
      </b:Author>
    </b:Author>
    <b:RefOrder>1</b:RefOrder>
  </b:Source>
  <b:Source>
    <b:Tag>Jon09</b:Tag>
    <b:SourceType>DocumentFromInternetSite</b:SourceType>
    <b:Guid>{D0261187-BA83-4792-A2F3-D40F277A447D}</b:Guid>
    <b:Title>U.K. Perspective Recognition of Overseas Insolvency Procedures: Spoiled for Choice?</b:Title>
    <b:Year>2009</b:Year>
    <b:Author>
      <b:Author>
        <b:Corporate>Jones Day Publication</b:Corporate>
      </b:Author>
    </b:Author>
    <b:Month>September</b:Month>
    <b:URL>https://www.jonesday.com/en/insights/2009/09/uk-perspective-recognition-of-overseas-insolvency-procedures-spoiled-for-choice</b:URL>
    <b:RefOrder>2</b:RefOrder>
  </b:Source>
</b:Sources>
</file>

<file path=customXml/itemProps1.xml><?xml version="1.0" encoding="utf-8"?>
<ds:datastoreItem xmlns:ds="http://schemas.openxmlformats.org/officeDocument/2006/customXml" ds:itemID="{921AFE05-7028-BA4C-AAA2-A2AF79E9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10</Pages>
  <Words>3080</Words>
  <Characters>16942</Characters>
  <Application>Microsoft Office Word</Application>
  <DocSecurity>0</DocSecurity>
  <Lines>141</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63</cp:revision>
  <cp:lastPrinted>2021-07-31T03:13:00Z</cp:lastPrinted>
  <dcterms:created xsi:type="dcterms:W3CDTF">2020-08-30T16:28:00Z</dcterms:created>
  <dcterms:modified xsi:type="dcterms:W3CDTF">2021-07-31T04:33:00Z</dcterms:modified>
</cp:coreProperties>
</file>