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A666AA">
        <w:rPr>
          <w:rFonts w:ascii="Arial" w:hAnsi="Arial" w:cs="Arial"/>
          <w:sz w:val="22"/>
          <w:szCs w:val="22"/>
          <w:highlight w:val="yellow"/>
          <w:lang w:val="en-GB"/>
        </w:rPr>
        <w:t>Adoption of the UNCITRAL Model Law on Cross-Border Insolvency</w:t>
      </w:r>
      <w:r w:rsidR="00E95C42" w:rsidRPr="00851178">
        <w:rPr>
          <w:rFonts w:ascii="Arial" w:hAnsi="Arial" w:cs="Arial"/>
          <w:sz w:val="22"/>
          <w:szCs w:val="22"/>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 xml:space="preserve">nhance Singapore’s insolvency and restructuring </w:t>
      </w:r>
      <w:proofErr w:type="gramStart"/>
      <w:r w:rsidR="002B2F9F" w:rsidRPr="00851178">
        <w:rPr>
          <w:rFonts w:ascii="Arial" w:hAnsi="Arial" w:cs="Arial"/>
          <w:sz w:val="22"/>
          <w:szCs w:val="22"/>
          <w:lang w:val="en-GB"/>
        </w:rPr>
        <w:t>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roofErr w:type="gramEnd"/>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A666AA" w:rsidRDefault="0007291B" w:rsidP="00BE65AA">
      <w:pPr>
        <w:pStyle w:val="ListParagraph"/>
        <w:numPr>
          <w:ilvl w:val="0"/>
          <w:numId w:val="5"/>
        </w:numPr>
        <w:ind w:left="426"/>
        <w:jc w:val="both"/>
        <w:rPr>
          <w:rFonts w:ascii="Arial" w:hAnsi="Arial" w:cs="Arial"/>
          <w:sz w:val="22"/>
          <w:szCs w:val="22"/>
          <w:highlight w:val="yellow"/>
          <w:lang w:val="en-GB"/>
        </w:rPr>
      </w:pPr>
      <w:r w:rsidRPr="00A666AA">
        <w:rPr>
          <w:rFonts w:ascii="Arial" w:hAnsi="Arial" w:cs="Arial"/>
          <w:sz w:val="22"/>
          <w:szCs w:val="22"/>
          <w:highlight w:val="yellow"/>
          <w:lang w:val="en-GB"/>
        </w:rPr>
        <w:t>A</w:t>
      </w:r>
      <w:r w:rsidR="001A4484" w:rsidRPr="00A666AA">
        <w:rPr>
          <w:rFonts w:ascii="Arial" w:hAnsi="Arial" w:cs="Arial"/>
          <w:sz w:val="22"/>
          <w:szCs w:val="22"/>
          <w:highlight w:val="yellow"/>
          <w:lang w:val="en-GB"/>
        </w:rPr>
        <w:t>ny of the above</w:t>
      </w:r>
      <w:r w:rsidRPr="00A666AA">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7512E6" w:rsidRDefault="00FC32B6" w:rsidP="00BE65AA">
      <w:pPr>
        <w:pStyle w:val="ListParagraph"/>
        <w:numPr>
          <w:ilvl w:val="0"/>
          <w:numId w:val="6"/>
        </w:numPr>
        <w:ind w:left="426"/>
        <w:jc w:val="both"/>
        <w:rPr>
          <w:rFonts w:ascii="Arial" w:hAnsi="Arial" w:cs="Arial"/>
          <w:sz w:val="22"/>
          <w:szCs w:val="22"/>
          <w:highlight w:val="yellow"/>
          <w:lang w:val="en-GB"/>
        </w:rPr>
      </w:pPr>
      <w:r w:rsidRPr="007512E6">
        <w:rPr>
          <w:rFonts w:ascii="Arial" w:hAnsi="Arial" w:cs="Arial"/>
          <w:sz w:val="22"/>
          <w:szCs w:val="22"/>
          <w:highlight w:val="yellow"/>
          <w:lang w:val="en-GB"/>
        </w:rPr>
        <w:t>Any of the above</w:t>
      </w:r>
      <w:r w:rsidR="00EA6F96" w:rsidRPr="007512E6">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D65AF0" w:rsidRDefault="0007291B" w:rsidP="00BE65AA">
      <w:pPr>
        <w:pStyle w:val="ListParagraph"/>
        <w:numPr>
          <w:ilvl w:val="0"/>
          <w:numId w:val="7"/>
        </w:numPr>
        <w:ind w:left="426"/>
        <w:jc w:val="both"/>
        <w:rPr>
          <w:rFonts w:ascii="Arial" w:hAnsi="Arial" w:cs="Arial"/>
          <w:sz w:val="22"/>
          <w:szCs w:val="22"/>
          <w:highlight w:val="yellow"/>
          <w:lang w:val="en-GB"/>
        </w:rPr>
      </w:pPr>
      <w:r w:rsidRPr="00D65AF0">
        <w:rPr>
          <w:rFonts w:ascii="Arial" w:hAnsi="Arial" w:cs="Arial"/>
          <w:sz w:val="22"/>
          <w:szCs w:val="22"/>
          <w:highlight w:val="yellow"/>
          <w:lang w:val="en-GB"/>
        </w:rPr>
        <w:t xml:space="preserve">75% or more in </w:t>
      </w:r>
      <w:r w:rsidR="00416B96" w:rsidRPr="00D65AF0">
        <w:rPr>
          <w:rFonts w:ascii="Arial" w:hAnsi="Arial" w:cs="Arial"/>
          <w:sz w:val="22"/>
          <w:szCs w:val="22"/>
          <w:highlight w:val="yellow"/>
          <w:lang w:val="en-GB"/>
        </w:rPr>
        <w:t>number</w:t>
      </w:r>
      <w:r w:rsidR="00F50041" w:rsidRPr="00D65AF0">
        <w:rPr>
          <w:rFonts w:ascii="Arial" w:hAnsi="Arial" w:cs="Arial"/>
          <w:sz w:val="22"/>
          <w:szCs w:val="22"/>
          <w:highlight w:val="yellow"/>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D65AF0" w:rsidRDefault="00C041E8" w:rsidP="00BE65AA">
      <w:pPr>
        <w:pStyle w:val="ListParagraph"/>
        <w:numPr>
          <w:ilvl w:val="0"/>
          <w:numId w:val="8"/>
        </w:numPr>
        <w:ind w:left="426"/>
        <w:jc w:val="both"/>
        <w:rPr>
          <w:rFonts w:ascii="Arial" w:hAnsi="Arial" w:cs="Arial"/>
          <w:sz w:val="22"/>
          <w:szCs w:val="22"/>
          <w:highlight w:val="yellow"/>
          <w:lang w:val="en-GB"/>
        </w:rPr>
      </w:pPr>
      <w:r w:rsidRPr="00D65AF0">
        <w:rPr>
          <w:rFonts w:ascii="Arial" w:hAnsi="Arial" w:cs="Arial"/>
          <w:sz w:val="22"/>
          <w:szCs w:val="22"/>
          <w:highlight w:val="yellow"/>
          <w:lang w:val="en-GB"/>
        </w:rPr>
        <w:t>The automatic moratorium can be obtained without filing an application to Court</w:t>
      </w:r>
      <w:r w:rsidR="003E22E2" w:rsidRPr="00D65AF0">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056873" w:rsidRDefault="00A92054" w:rsidP="00BE65AA">
      <w:pPr>
        <w:pStyle w:val="ListParagraph"/>
        <w:numPr>
          <w:ilvl w:val="0"/>
          <w:numId w:val="9"/>
        </w:numPr>
        <w:ind w:left="426"/>
        <w:jc w:val="both"/>
        <w:rPr>
          <w:rFonts w:ascii="Arial" w:hAnsi="Arial" w:cs="Arial"/>
          <w:sz w:val="22"/>
          <w:szCs w:val="22"/>
          <w:highlight w:val="yellow"/>
          <w:lang w:val="en-GB"/>
        </w:rPr>
      </w:pPr>
      <w:r w:rsidRPr="00056873">
        <w:rPr>
          <w:rFonts w:ascii="Arial" w:hAnsi="Arial" w:cs="Arial"/>
          <w:sz w:val="22"/>
          <w:szCs w:val="22"/>
          <w:highlight w:val="yellow"/>
          <w:lang w:val="en-GB"/>
        </w:rPr>
        <w:t>A receiver is appointed over the assets of the company</w:t>
      </w:r>
      <w:r w:rsidR="00B50EA0" w:rsidRPr="00056873">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704CA1" w:rsidRDefault="0007291B" w:rsidP="00BE65AA">
      <w:pPr>
        <w:pStyle w:val="ListParagraph"/>
        <w:numPr>
          <w:ilvl w:val="0"/>
          <w:numId w:val="10"/>
        </w:numPr>
        <w:ind w:left="426"/>
        <w:jc w:val="both"/>
        <w:rPr>
          <w:rFonts w:ascii="Arial" w:hAnsi="Arial" w:cs="Arial"/>
          <w:sz w:val="22"/>
          <w:szCs w:val="22"/>
          <w:highlight w:val="yellow"/>
          <w:lang w:val="en-GB"/>
        </w:rPr>
      </w:pPr>
      <w:r w:rsidRPr="00704CA1">
        <w:rPr>
          <w:rFonts w:ascii="Arial" w:hAnsi="Arial" w:cs="Arial"/>
          <w:sz w:val="22"/>
          <w:szCs w:val="22"/>
          <w:highlight w:val="yellow"/>
          <w:lang w:val="en-GB"/>
        </w:rPr>
        <w:t>P</w:t>
      </w:r>
      <w:r w:rsidR="001A4484" w:rsidRPr="00704CA1">
        <w:rPr>
          <w:rFonts w:ascii="Arial" w:hAnsi="Arial" w:cs="Arial"/>
          <w:sz w:val="22"/>
          <w:szCs w:val="22"/>
          <w:highlight w:val="yellow"/>
          <w:lang w:val="en-GB"/>
        </w:rPr>
        <w:t>reserving all or part of the company</w:t>
      </w:r>
      <w:r w:rsidR="004D7749" w:rsidRPr="00704CA1">
        <w:rPr>
          <w:rFonts w:ascii="Arial" w:hAnsi="Arial" w:cs="Arial"/>
          <w:sz w:val="22"/>
          <w:szCs w:val="22"/>
          <w:highlight w:val="yellow"/>
          <w:lang w:val="en-GB"/>
        </w:rPr>
        <w:t>’</w:t>
      </w:r>
      <w:r w:rsidR="001A4484" w:rsidRPr="00704CA1">
        <w:rPr>
          <w:rFonts w:ascii="Arial" w:hAnsi="Arial" w:cs="Arial"/>
          <w:sz w:val="22"/>
          <w:szCs w:val="22"/>
          <w:highlight w:val="yellow"/>
          <w:lang w:val="en-GB"/>
        </w:rPr>
        <w:t>s business as a going concern</w:t>
      </w:r>
      <w:r w:rsidRPr="00704CA1">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w:t>
      </w:r>
      <w:proofErr w:type="gramStart"/>
      <w:r w:rsidR="000C2AB6">
        <w:rPr>
          <w:rFonts w:ascii="Arial" w:hAnsi="Arial" w:cs="Arial"/>
          <w:sz w:val="22"/>
          <w:szCs w:val="22"/>
          <w:lang w:val="en-GB"/>
        </w:rPr>
        <w:t>Singapore?</w:t>
      </w:r>
      <w:r w:rsidR="0007291B">
        <w:rPr>
          <w:rFonts w:ascii="Arial" w:hAnsi="Arial" w:cs="Arial"/>
          <w:sz w:val="22"/>
          <w:szCs w:val="22"/>
          <w:lang w:val="en-GB"/>
        </w:rPr>
        <w:t>:</w:t>
      </w:r>
      <w:proofErr w:type="gramEnd"/>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704CA1" w:rsidRDefault="006F2457" w:rsidP="00BE65AA">
      <w:pPr>
        <w:pStyle w:val="ListParagraph"/>
        <w:numPr>
          <w:ilvl w:val="0"/>
          <w:numId w:val="11"/>
        </w:numPr>
        <w:ind w:left="426"/>
        <w:jc w:val="both"/>
        <w:rPr>
          <w:rFonts w:ascii="Arial" w:hAnsi="Arial" w:cs="Arial"/>
          <w:sz w:val="22"/>
          <w:szCs w:val="22"/>
          <w:highlight w:val="yellow"/>
          <w:lang w:val="en-GB"/>
        </w:rPr>
      </w:pPr>
      <w:r w:rsidRPr="00704CA1">
        <w:rPr>
          <w:rFonts w:ascii="Arial" w:hAnsi="Arial" w:cs="Arial"/>
          <w:sz w:val="22"/>
          <w:szCs w:val="22"/>
          <w:highlight w:val="yellow"/>
          <w:lang w:val="en-GB"/>
        </w:rPr>
        <w:t>Receivership</w:t>
      </w:r>
      <w:r w:rsidR="000C2AB6" w:rsidRPr="00704CA1">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55719D" w:rsidRDefault="00C041E8" w:rsidP="00BE65AA">
      <w:pPr>
        <w:pStyle w:val="ListParagraph"/>
        <w:numPr>
          <w:ilvl w:val="0"/>
          <w:numId w:val="12"/>
        </w:numPr>
        <w:ind w:left="426"/>
        <w:jc w:val="both"/>
        <w:rPr>
          <w:rFonts w:ascii="Arial" w:hAnsi="Arial" w:cs="Arial"/>
          <w:sz w:val="22"/>
          <w:szCs w:val="22"/>
          <w:highlight w:val="yellow"/>
          <w:lang w:val="en-GB"/>
        </w:rPr>
      </w:pPr>
      <w:r w:rsidRPr="0055719D">
        <w:rPr>
          <w:rFonts w:ascii="Arial" w:hAnsi="Arial" w:cs="Arial"/>
          <w:sz w:val="22"/>
          <w:szCs w:val="22"/>
          <w:highlight w:val="yellow"/>
          <w:lang w:val="en-GB"/>
        </w:rPr>
        <w:t>Brunei</w:t>
      </w:r>
      <w:r w:rsidR="00361BAA" w:rsidRPr="0055719D">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55719D" w:rsidRDefault="0007291B" w:rsidP="00BE65AA">
      <w:pPr>
        <w:pStyle w:val="ListParagraph"/>
        <w:numPr>
          <w:ilvl w:val="0"/>
          <w:numId w:val="13"/>
        </w:numPr>
        <w:ind w:left="426"/>
        <w:jc w:val="both"/>
        <w:rPr>
          <w:rFonts w:ascii="Arial" w:hAnsi="Arial" w:cs="Arial"/>
          <w:sz w:val="22"/>
          <w:szCs w:val="22"/>
          <w:highlight w:val="yellow"/>
          <w:lang w:val="en-GB"/>
        </w:rPr>
      </w:pPr>
      <w:r w:rsidRPr="0055719D">
        <w:rPr>
          <w:rFonts w:ascii="Arial" w:hAnsi="Arial" w:cs="Arial"/>
          <w:sz w:val="22"/>
          <w:szCs w:val="22"/>
          <w:highlight w:val="yellow"/>
          <w:lang w:val="en-GB"/>
        </w:rPr>
        <w:t xml:space="preserve">The Court held that the omission of the word </w:t>
      </w:r>
      <w:r w:rsidR="004D7749" w:rsidRPr="0055719D">
        <w:rPr>
          <w:rFonts w:ascii="Arial" w:hAnsi="Arial" w:cs="Arial"/>
          <w:sz w:val="22"/>
          <w:szCs w:val="22"/>
          <w:highlight w:val="yellow"/>
          <w:lang w:val="en-GB"/>
        </w:rPr>
        <w:t>“</w:t>
      </w:r>
      <w:r w:rsidRPr="0055719D">
        <w:rPr>
          <w:rFonts w:ascii="Arial" w:hAnsi="Arial" w:cs="Arial"/>
          <w:sz w:val="22"/>
          <w:szCs w:val="22"/>
          <w:highlight w:val="yellow"/>
          <w:lang w:val="en-GB"/>
        </w:rPr>
        <w:t>manifestly</w:t>
      </w:r>
      <w:r w:rsidR="004D7749" w:rsidRPr="0055719D">
        <w:rPr>
          <w:rFonts w:ascii="Arial" w:hAnsi="Arial" w:cs="Arial"/>
          <w:sz w:val="22"/>
          <w:szCs w:val="22"/>
          <w:highlight w:val="yellow"/>
          <w:lang w:val="en-GB"/>
        </w:rPr>
        <w:t>”</w:t>
      </w:r>
      <w:r w:rsidRPr="0055719D">
        <w:rPr>
          <w:rFonts w:ascii="Arial" w:hAnsi="Arial" w:cs="Arial"/>
          <w:sz w:val="22"/>
          <w:szCs w:val="22"/>
          <w:highlight w:val="yellow"/>
          <w:lang w:val="en-GB"/>
        </w:rPr>
        <w:t xml:space="preserve"> from Article 6 of the Singapore Model Law meant that the standard of exclusion on public policy grounds was </w:t>
      </w:r>
      <w:r w:rsidR="00416B96" w:rsidRPr="0055719D">
        <w:rPr>
          <w:rFonts w:ascii="Arial" w:hAnsi="Arial" w:cs="Arial"/>
          <w:sz w:val="22"/>
          <w:szCs w:val="22"/>
          <w:highlight w:val="yellow"/>
          <w:lang w:val="en-GB"/>
        </w:rPr>
        <w:t>higher</w:t>
      </w:r>
      <w:r w:rsidRPr="0055719D">
        <w:rPr>
          <w:rFonts w:ascii="Arial" w:hAnsi="Arial" w:cs="Arial"/>
          <w:sz w:val="22"/>
          <w:szCs w:val="22"/>
          <w:highlight w:val="yellow"/>
          <w:lang w:val="en-GB"/>
        </w:rPr>
        <w:t xml:space="preserve"> than in jurisdictions where the Model Law had been enacted unmodified</w:t>
      </w:r>
      <w:r w:rsidR="00726B93" w:rsidRPr="0055719D">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3E798936" w14:textId="0F9153A6" w:rsidR="00DE03AF" w:rsidRDefault="0007291B" w:rsidP="0055719D">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T</w:t>
      </w:r>
      <w:r w:rsidR="0055719D">
        <w:rPr>
          <w:rFonts w:ascii="Arial" w:hAnsi="Arial" w:cs="Arial"/>
          <w:color w:val="7B7B7B" w:themeColor="accent3" w:themeShade="BF"/>
          <w:sz w:val="22"/>
          <w:szCs w:val="22"/>
          <w:lang w:val="en-GB"/>
        </w:rPr>
        <w:t>wo types of impeachable transaction under the Singapore insolvency law are:</w:t>
      </w:r>
    </w:p>
    <w:p w14:paraId="3C655CDB" w14:textId="77777777" w:rsidR="00133985" w:rsidRPr="00B21912" w:rsidRDefault="00133985" w:rsidP="0055719D">
      <w:pPr>
        <w:ind w:left="720" w:hanging="720"/>
        <w:jc w:val="both"/>
        <w:rPr>
          <w:rFonts w:ascii="Arial" w:hAnsi="Arial" w:cs="Arial"/>
          <w:color w:val="7B7B7B" w:themeColor="accent3" w:themeShade="BF"/>
          <w:sz w:val="22"/>
          <w:szCs w:val="22"/>
          <w:u w:val="single"/>
          <w:lang w:val="en-GB"/>
        </w:rPr>
      </w:pPr>
    </w:p>
    <w:p w14:paraId="63D4A0F1" w14:textId="043C61AB" w:rsidR="0055719D" w:rsidRDefault="0055719D" w:rsidP="0055719D">
      <w:pPr>
        <w:pStyle w:val="ListParagraph"/>
        <w:numPr>
          <w:ilvl w:val="0"/>
          <w:numId w:val="18"/>
        </w:numPr>
        <w:jc w:val="both"/>
        <w:rPr>
          <w:rFonts w:ascii="Arial" w:hAnsi="Arial" w:cs="Arial"/>
          <w:sz w:val="22"/>
          <w:szCs w:val="22"/>
        </w:rPr>
      </w:pPr>
      <w:r w:rsidRPr="00B21912">
        <w:rPr>
          <w:rFonts w:ascii="Arial" w:hAnsi="Arial" w:cs="Arial"/>
          <w:color w:val="7B7B7B" w:themeColor="accent3" w:themeShade="BF"/>
          <w:sz w:val="22"/>
          <w:szCs w:val="22"/>
          <w:u w:val="single"/>
          <w:lang w:val="en-GB"/>
        </w:rPr>
        <w:t>Unfair preference transaction</w:t>
      </w:r>
      <w:r w:rsidRPr="00133985">
        <w:rPr>
          <w:rFonts w:ascii="Arial" w:hAnsi="Arial" w:cs="Arial"/>
          <w:color w:val="7B7B7B" w:themeColor="accent3" w:themeShade="BF"/>
          <w:sz w:val="22"/>
          <w:szCs w:val="22"/>
          <w:lang w:val="en-GB"/>
        </w:rPr>
        <w:t xml:space="preserve">: </w:t>
      </w:r>
      <w:r w:rsidR="00B21912">
        <w:rPr>
          <w:rFonts w:ascii="Arial" w:hAnsi="Arial" w:cs="Arial"/>
          <w:color w:val="7B7B7B" w:themeColor="accent3" w:themeShade="BF"/>
          <w:sz w:val="22"/>
          <w:szCs w:val="22"/>
          <w:lang w:val="en-GB"/>
        </w:rPr>
        <w:t>-a transaction</w:t>
      </w:r>
      <w:r w:rsidRPr="00133985">
        <w:rPr>
          <w:rFonts w:ascii="Arial" w:hAnsi="Arial" w:cs="Arial"/>
          <w:color w:val="7B7B7B" w:themeColor="accent3" w:themeShade="BF"/>
          <w:sz w:val="22"/>
          <w:szCs w:val="22"/>
          <w:lang w:val="en-GB"/>
        </w:rPr>
        <w:t xml:space="preserve"> entered into by the company whereby the beneficiary or the preferred party to the transaction (being a creditor of guarantors of the company’s debts or liabilities) have been put in a better position </w:t>
      </w:r>
      <w:r w:rsidRPr="00133985">
        <w:rPr>
          <w:rFonts w:ascii="Arial" w:hAnsi="Arial" w:cs="Arial"/>
          <w:color w:val="7B7B7B" w:themeColor="accent3" w:themeShade="BF"/>
          <w:sz w:val="22"/>
          <w:szCs w:val="22"/>
          <w:lang w:val="en-GB"/>
        </w:rPr>
        <w:lastRenderedPageBreak/>
        <w:t>than it would have been had the transaction</w:t>
      </w:r>
      <w:r w:rsidR="00133985" w:rsidRPr="00133985">
        <w:rPr>
          <w:rFonts w:ascii="Arial" w:hAnsi="Arial" w:cs="Arial"/>
          <w:color w:val="7B7B7B" w:themeColor="accent3" w:themeShade="BF"/>
          <w:sz w:val="22"/>
          <w:szCs w:val="22"/>
          <w:lang w:val="en-GB"/>
        </w:rPr>
        <w:t xml:space="preserve"> n</w:t>
      </w:r>
      <w:r w:rsidRPr="00133985">
        <w:rPr>
          <w:rFonts w:ascii="Arial" w:hAnsi="Arial" w:cs="Arial"/>
          <w:color w:val="7B7B7B" w:themeColor="accent3" w:themeShade="BF"/>
          <w:sz w:val="22"/>
          <w:szCs w:val="22"/>
          <w:lang w:val="en-GB"/>
        </w:rPr>
        <w:t>ot been enter</w:t>
      </w:r>
      <w:r w:rsidR="00133985" w:rsidRPr="00133985">
        <w:rPr>
          <w:rFonts w:ascii="Arial" w:hAnsi="Arial" w:cs="Arial"/>
          <w:color w:val="7B7B7B" w:themeColor="accent3" w:themeShade="BF"/>
          <w:sz w:val="22"/>
          <w:szCs w:val="22"/>
          <w:lang w:val="en-GB"/>
        </w:rPr>
        <w:t>e</w:t>
      </w:r>
      <w:r w:rsidRPr="00133985">
        <w:rPr>
          <w:rFonts w:ascii="Arial" w:hAnsi="Arial" w:cs="Arial"/>
          <w:color w:val="7B7B7B" w:themeColor="accent3" w:themeShade="BF"/>
          <w:sz w:val="22"/>
          <w:szCs w:val="22"/>
          <w:lang w:val="en-GB"/>
        </w:rPr>
        <w:t xml:space="preserve">d in the </w:t>
      </w:r>
      <w:r w:rsidR="00133985" w:rsidRPr="00133985">
        <w:rPr>
          <w:rFonts w:ascii="Arial" w:hAnsi="Arial" w:cs="Arial"/>
          <w:color w:val="7B7B7B" w:themeColor="accent3" w:themeShade="BF"/>
          <w:sz w:val="22"/>
          <w:szCs w:val="22"/>
          <w:lang w:val="en-GB"/>
        </w:rPr>
        <w:t>e</w:t>
      </w:r>
      <w:r w:rsidRPr="00133985">
        <w:rPr>
          <w:rFonts w:ascii="Arial" w:hAnsi="Arial" w:cs="Arial"/>
          <w:color w:val="7B7B7B" w:themeColor="accent3" w:themeShade="BF"/>
          <w:sz w:val="22"/>
          <w:szCs w:val="22"/>
          <w:lang w:val="en-GB"/>
        </w:rPr>
        <w:t>vent of the company’s liquidation. Such a transaction should</w:t>
      </w:r>
      <w:r w:rsidR="00133985" w:rsidRPr="00133985">
        <w:rPr>
          <w:rFonts w:ascii="Arial" w:hAnsi="Arial" w:cs="Arial"/>
          <w:color w:val="7B7B7B" w:themeColor="accent3" w:themeShade="BF"/>
          <w:sz w:val="22"/>
          <w:szCs w:val="22"/>
          <w:lang w:val="en-GB"/>
        </w:rPr>
        <w:t xml:space="preserve"> have been entered into when the company was insolvent or the company was led to insolvent as a consequence of that transaction</w:t>
      </w:r>
      <w:r w:rsidR="00133985">
        <w:rPr>
          <w:rFonts w:ascii="Arial" w:hAnsi="Arial" w:cs="Arial"/>
          <w:sz w:val="22"/>
          <w:szCs w:val="22"/>
        </w:rPr>
        <w:t xml:space="preserve">. </w:t>
      </w:r>
      <w:r>
        <w:rPr>
          <w:rFonts w:ascii="Arial" w:hAnsi="Arial" w:cs="Arial"/>
          <w:sz w:val="22"/>
          <w:szCs w:val="22"/>
        </w:rPr>
        <w:t xml:space="preserve"> </w:t>
      </w:r>
    </w:p>
    <w:p w14:paraId="7A74CE4D" w14:textId="6E1B5D1A" w:rsidR="00B21912" w:rsidRDefault="00B21912" w:rsidP="00B21912">
      <w:pPr>
        <w:pStyle w:val="ListParagraph"/>
        <w:ind w:left="1080"/>
        <w:jc w:val="both"/>
        <w:rPr>
          <w:rFonts w:ascii="Arial" w:hAnsi="Arial" w:cs="Arial"/>
          <w:sz w:val="22"/>
          <w:szCs w:val="22"/>
        </w:rPr>
      </w:pPr>
    </w:p>
    <w:p w14:paraId="5CFA3866" w14:textId="77777777" w:rsidR="00B21912" w:rsidRPr="00B21912" w:rsidRDefault="00B21912" w:rsidP="00B21912">
      <w:pPr>
        <w:ind w:left="360" w:firstLine="720"/>
        <w:jc w:val="both"/>
        <w:rPr>
          <w:rFonts w:ascii="Arial" w:hAnsi="Arial" w:cs="Arial"/>
          <w:i/>
          <w:iCs/>
          <w:color w:val="7B7B7B" w:themeColor="accent3" w:themeShade="BF"/>
          <w:sz w:val="22"/>
          <w:szCs w:val="22"/>
          <w:lang w:val="en-GB"/>
        </w:rPr>
      </w:pPr>
      <w:bookmarkStart w:id="0" w:name="_Hlk78479333"/>
      <w:r w:rsidRPr="00B21912">
        <w:rPr>
          <w:rFonts w:ascii="Arial" w:hAnsi="Arial" w:cs="Arial"/>
          <w:b/>
          <w:bCs/>
          <w:i/>
          <w:iCs/>
          <w:color w:val="7B7B7B" w:themeColor="accent3" w:themeShade="BF"/>
          <w:sz w:val="22"/>
          <w:szCs w:val="22"/>
          <w:u w:val="single"/>
          <w:lang w:val="en-GB"/>
        </w:rPr>
        <w:t>Defence</w:t>
      </w:r>
      <w:r w:rsidRPr="00B21912">
        <w:rPr>
          <w:rFonts w:ascii="Arial" w:hAnsi="Arial" w:cs="Arial"/>
          <w:i/>
          <w:iCs/>
          <w:color w:val="7B7B7B" w:themeColor="accent3" w:themeShade="BF"/>
          <w:sz w:val="22"/>
          <w:szCs w:val="22"/>
          <w:lang w:val="en-GB"/>
        </w:rPr>
        <w:t xml:space="preserve">: </w:t>
      </w:r>
    </w:p>
    <w:p w14:paraId="286650A7" w14:textId="77777777" w:rsidR="00B21912" w:rsidRPr="00B21912" w:rsidRDefault="00B21912" w:rsidP="00B21912">
      <w:pPr>
        <w:pStyle w:val="ListParagraph"/>
        <w:ind w:left="1080"/>
        <w:jc w:val="both"/>
        <w:rPr>
          <w:rFonts w:ascii="Arial" w:hAnsi="Arial" w:cs="Arial"/>
          <w:i/>
          <w:iCs/>
          <w:sz w:val="22"/>
          <w:szCs w:val="22"/>
        </w:rPr>
      </w:pPr>
    </w:p>
    <w:p w14:paraId="5791A1DA" w14:textId="2F5CC749" w:rsidR="00020557" w:rsidRDefault="00B21912" w:rsidP="00B21912">
      <w:pPr>
        <w:pStyle w:val="ListParagraph"/>
        <w:numPr>
          <w:ilvl w:val="0"/>
          <w:numId w:val="21"/>
        </w:numPr>
        <w:ind w:left="1440"/>
        <w:jc w:val="both"/>
        <w:rPr>
          <w:rFonts w:ascii="Arial" w:hAnsi="Arial" w:cs="Arial"/>
          <w:color w:val="7B7B7B" w:themeColor="accent3" w:themeShade="BF"/>
          <w:sz w:val="22"/>
          <w:szCs w:val="22"/>
          <w:lang w:val="en-GB"/>
        </w:rPr>
      </w:pPr>
      <w:r w:rsidRPr="00B21912">
        <w:rPr>
          <w:rFonts w:ascii="Arial" w:hAnsi="Arial" w:cs="Arial"/>
          <w:i/>
          <w:iCs/>
          <w:color w:val="7B7B7B" w:themeColor="accent3" w:themeShade="BF"/>
          <w:sz w:val="22"/>
          <w:szCs w:val="22"/>
          <w:lang w:val="en-GB"/>
        </w:rPr>
        <w:t>The transaction having taken place prior to two years from the date of winding up application in case the preferred party is an associate of the company</w:t>
      </w:r>
      <w:r>
        <w:rPr>
          <w:rFonts w:ascii="Arial" w:hAnsi="Arial" w:cs="Arial"/>
          <w:color w:val="7B7B7B" w:themeColor="accent3" w:themeShade="BF"/>
          <w:sz w:val="22"/>
          <w:szCs w:val="22"/>
          <w:lang w:val="en-GB"/>
        </w:rPr>
        <w:t xml:space="preserve"> an prior to 6 months </w:t>
      </w:r>
      <w:proofErr w:type="spellStart"/>
      <w:r>
        <w:rPr>
          <w:rFonts w:ascii="Arial" w:hAnsi="Arial" w:cs="Arial"/>
          <w:color w:val="7B7B7B" w:themeColor="accent3" w:themeShade="BF"/>
          <w:sz w:val="22"/>
          <w:szCs w:val="22"/>
          <w:lang w:val="en-GB"/>
        </w:rPr>
        <w:t>incase</w:t>
      </w:r>
      <w:proofErr w:type="spellEnd"/>
      <w:r>
        <w:rPr>
          <w:rFonts w:ascii="Arial" w:hAnsi="Arial" w:cs="Arial"/>
          <w:color w:val="7B7B7B" w:themeColor="accent3" w:themeShade="BF"/>
          <w:sz w:val="22"/>
          <w:szCs w:val="22"/>
          <w:lang w:val="en-GB"/>
        </w:rPr>
        <w:t xml:space="preserve"> the preferred party is unrelated to the company;</w:t>
      </w:r>
    </w:p>
    <w:p w14:paraId="33708961" w14:textId="77777777" w:rsidR="00B21912" w:rsidRPr="00B21912" w:rsidRDefault="00B21912" w:rsidP="00B21912">
      <w:pPr>
        <w:pStyle w:val="ListParagraph"/>
        <w:ind w:left="1440"/>
        <w:jc w:val="both"/>
        <w:rPr>
          <w:rFonts w:ascii="Arial" w:hAnsi="Arial" w:cs="Arial"/>
          <w:color w:val="7B7B7B" w:themeColor="accent3" w:themeShade="BF"/>
          <w:sz w:val="22"/>
          <w:szCs w:val="22"/>
          <w:lang w:val="en-GB"/>
        </w:rPr>
      </w:pPr>
    </w:p>
    <w:p w14:paraId="3BB85491" w14:textId="085802D0" w:rsidR="00B21912" w:rsidRPr="00B21912" w:rsidRDefault="00B21912" w:rsidP="00B21912">
      <w:pPr>
        <w:pStyle w:val="ListParagraph"/>
        <w:numPr>
          <w:ilvl w:val="0"/>
          <w:numId w:val="21"/>
        </w:numPr>
        <w:ind w:left="1440"/>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The company was not insolvent at the time the transaction took place or the transaction did not result into rendering the company insolvent;</w:t>
      </w:r>
    </w:p>
    <w:p w14:paraId="2BEEDB40" w14:textId="77777777" w:rsidR="00B21912" w:rsidRDefault="00B21912" w:rsidP="00B21912">
      <w:pPr>
        <w:pStyle w:val="ListParagraph"/>
        <w:ind w:left="1440"/>
        <w:jc w:val="both"/>
        <w:rPr>
          <w:rFonts w:ascii="Arial" w:hAnsi="Arial" w:cs="Arial"/>
          <w:color w:val="7B7B7B" w:themeColor="accent3" w:themeShade="BF"/>
          <w:sz w:val="22"/>
          <w:szCs w:val="22"/>
          <w:lang w:val="en-GB"/>
        </w:rPr>
      </w:pPr>
    </w:p>
    <w:p w14:paraId="5CAD74DD" w14:textId="6CF91D88" w:rsidR="00B21912" w:rsidRPr="00B21912" w:rsidRDefault="00B21912" w:rsidP="00B21912">
      <w:pPr>
        <w:pStyle w:val="ListParagraph"/>
        <w:numPr>
          <w:ilvl w:val="0"/>
          <w:numId w:val="21"/>
        </w:numPr>
        <w:ind w:left="1440"/>
        <w:jc w:val="both"/>
        <w:rPr>
          <w:rFonts w:ascii="Arial" w:hAnsi="Arial" w:cs="Arial"/>
          <w:i/>
          <w:iCs/>
          <w:color w:val="7B7B7B" w:themeColor="accent3" w:themeShade="BF"/>
          <w:sz w:val="22"/>
          <w:szCs w:val="22"/>
          <w:lang w:val="en-GB"/>
        </w:rPr>
      </w:pPr>
      <w:r w:rsidRPr="00B21912">
        <w:rPr>
          <w:rFonts w:ascii="Arial" w:hAnsi="Arial" w:cs="Arial"/>
          <w:i/>
          <w:iCs/>
          <w:color w:val="7B7B7B" w:themeColor="accent3" w:themeShade="BF"/>
          <w:sz w:val="22"/>
          <w:szCs w:val="22"/>
          <w:lang w:val="en-GB"/>
        </w:rPr>
        <w:t>There was lack of a desire to prefer the concerned creditor or guarantor to put it in a place that would put it in a position better than what it would have enjoyed had the transaction taken place been entered in the event of company’s liquidation;</w:t>
      </w:r>
    </w:p>
    <w:bookmarkEnd w:id="0"/>
    <w:p w14:paraId="7AB4838F" w14:textId="77777777" w:rsidR="00B21912" w:rsidRPr="00B21912" w:rsidRDefault="00B21912" w:rsidP="00B21912">
      <w:pPr>
        <w:pStyle w:val="ListParagraph"/>
        <w:ind w:left="1440"/>
        <w:jc w:val="both"/>
        <w:rPr>
          <w:rFonts w:ascii="Arial" w:hAnsi="Arial" w:cs="Arial"/>
          <w:color w:val="7B7B7B" w:themeColor="accent3" w:themeShade="BF"/>
          <w:sz w:val="22"/>
          <w:szCs w:val="22"/>
          <w:lang w:val="en-GB"/>
        </w:rPr>
      </w:pPr>
    </w:p>
    <w:p w14:paraId="62F6F95C" w14:textId="046A7CA4" w:rsidR="00B21912" w:rsidRPr="00B21912" w:rsidRDefault="00B21912" w:rsidP="00B21912">
      <w:pPr>
        <w:pStyle w:val="ListParagraph"/>
        <w:numPr>
          <w:ilvl w:val="0"/>
          <w:numId w:val="18"/>
        </w:numPr>
        <w:jc w:val="both"/>
        <w:rPr>
          <w:rFonts w:ascii="Arial" w:hAnsi="Arial" w:cs="Arial"/>
          <w:color w:val="7B7B7B" w:themeColor="accent3" w:themeShade="BF"/>
          <w:sz w:val="22"/>
          <w:szCs w:val="22"/>
          <w:lang w:val="en-GB"/>
        </w:rPr>
      </w:pPr>
      <w:r w:rsidRPr="00B21912">
        <w:rPr>
          <w:rFonts w:ascii="Arial" w:hAnsi="Arial" w:cs="Arial"/>
          <w:color w:val="7B7B7B" w:themeColor="accent3" w:themeShade="BF"/>
          <w:sz w:val="22"/>
          <w:szCs w:val="22"/>
          <w:u w:val="single"/>
          <w:lang w:val="en-GB"/>
        </w:rPr>
        <w:t>Undervalue Transaction</w:t>
      </w:r>
      <w:r>
        <w:rPr>
          <w:rFonts w:ascii="Arial" w:hAnsi="Arial" w:cs="Arial"/>
          <w:color w:val="7B7B7B" w:themeColor="accent3" w:themeShade="BF"/>
          <w:sz w:val="22"/>
          <w:szCs w:val="22"/>
          <w:u w:val="single"/>
          <w:lang w:val="en-GB"/>
        </w:rPr>
        <w:t>:</w:t>
      </w:r>
      <w:r w:rsidRPr="00B21912">
        <w:rPr>
          <w:rFonts w:ascii="Arial" w:hAnsi="Arial" w:cs="Arial"/>
          <w:color w:val="7B7B7B" w:themeColor="accent3" w:themeShade="BF"/>
          <w:sz w:val="22"/>
          <w:szCs w:val="22"/>
          <w:lang w:val="en-GB"/>
        </w:rPr>
        <w:t xml:space="preserve"> - a transaction </w:t>
      </w:r>
      <w:r>
        <w:rPr>
          <w:rFonts w:ascii="Arial" w:hAnsi="Arial" w:cs="Arial"/>
          <w:color w:val="7B7B7B" w:themeColor="accent3" w:themeShade="BF"/>
          <w:sz w:val="22"/>
          <w:szCs w:val="22"/>
          <w:lang w:val="en-GB"/>
        </w:rPr>
        <w:t xml:space="preserve">where a company gives a gift to the recipient or one entered into by the company with a party at a value of consideration significantly less than the value of consideration provided; and a result of which the company became insolvent or was insolvent at the time of entering into such </w:t>
      </w:r>
      <w:r w:rsidRPr="00B21912">
        <w:rPr>
          <w:rFonts w:ascii="Arial" w:hAnsi="Arial" w:cs="Arial"/>
          <w:color w:val="7B7B7B" w:themeColor="accent3" w:themeShade="BF"/>
          <w:sz w:val="22"/>
          <w:szCs w:val="22"/>
          <w:lang w:val="en-GB"/>
        </w:rPr>
        <w:t>transaction.</w:t>
      </w:r>
    </w:p>
    <w:p w14:paraId="1F8A91FD" w14:textId="77777777" w:rsidR="00B21912" w:rsidRPr="00B21912" w:rsidRDefault="00B21912" w:rsidP="00B21912">
      <w:pPr>
        <w:ind w:left="360"/>
        <w:jc w:val="both"/>
        <w:rPr>
          <w:rFonts w:ascii="Arial" w:hAnsi="Arial" w:cs="Arial"/>
          <w:color w:val="7B7B7B" w:themeColor="accent3" w:themeShade="BF"/>
          <w:sz w:val="22"/>
          <w:szCs w:val="22"/>
          <w:u w:val="single"/>
          <w:lang w:val="en-GB"/>
        </w:rPr>
      </w:pPr>
    </w:p>
    <w:p w14:paraId="518C10AA" w14:textId="462FB757" w:rsidR="00B21912" w:rsidRPr="00B21912" w:rsidRDefault="00B21912" w:rsidP="003D6D40">
      <w:pPr>
        <w:pStyle w:val="ListParagraph"/>
        <w:ind w:left="108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Pr="00B21912">
        <w:rPr>
          <w:rFonts w:ascii="Arial" w:hAnsi="Arial" w:cs="Arial"/>
          <w:b/>
          <w:bCs/>
          <w:i/>
          <w:iCs/>
          <w:color w:val="7B7B7B" w:themeColor="accent3" w:themeShade="BF"/>
          <w:sz w:val="22"/>
          <w:szCs w:val="22"/>
          <w:u w:val="single"/>
          <w:lang w:val="en-GB"/>
        </w:rPr>
        <w:t>Defence</w:t>
      </w:r>
      <w:r w:rsidRPr="00B21912">
        <w:rPr>
          <w:rFonts w:ascii="Arial" w:hAnsi="Arial" w:cs="Arial"/>
          <w:i/>
          <w:iCs/>
          <w:color w:val="7B7B7B" w:themeColor="accent3" w:themeShade="BF"/>
          <w:sz w:val="22"/>
          <w:szCs w:val="22"/>
          <w:lang w:val="en-GB"/>
        </w:rPr>
        <w:t xml:space="preserve">: </w:t>
      </w:r>
    </w:p>
    <w:p w14:paraId="05683DE7" w14:textId="77777777" w:rsidR="00B21912" w:rsidRPr="00B21912" w:rsidRDefault="00B21912" w:rsidP="00B21912">
      <w:pPr>
        <w:pStyle w:val="ListParagraph"/>
        <w:ind w:left="1080"/>
        <w:jc w:val="both"/>
        <w:rPr>
          <w:rFonts w:ascii="Arial" w:hAnsi="Arial" w:cs="Arial"/>
          <w:i/>
          <w:iCs/>
          <w:sz w:val="22"/>
          <w:szCs w:val="22"/>
        </w:rPr>
      </w:pPr>
    </w:p>
    <w:p w14:paraId="0B1B68DD" w14:textId="73D0F04A" w:rsidR="00B21912" w:rsidRDefault="00B21912" w:rsidP="00C0796C">
      <w:pPr>
        <w:pStyle w:val="ListParagraph"/>
        <w:numPr>
          <w:ilvl w:val="0"/>
          <w:numId w:val="22"/>
        </w:numPr>
        <w:ind w:left="1440"/>
        <w:jc w:val="both"/>
        <w:rPr>
          <w:rFonts w:ascii="Arial" w:hAnsi="Arial" w:cs="Arial"/>
          <w:color w:val="7B7B7B" w:themeColor="accent3" w:themeShade="BF"/>
          <w:sz w:val="22"/>
          <w:szCs w:val="22"/>
          <w:lang w:val="en-GB"/>
        </w:rPr>
      </w:pPr>
      <w:r w:rsidRPr="00B21912">
        <w:rPr>
          <w:rFonts w:ascii="Arial" w:hAnsi="Arial" w:cs="Arial"/>
          <w:i/>
          <w:iCs/>
          <w:color w:val="7B7B7B" w:themeColor="accent3" w:themeShade="BF"/>
          <w:sz w:val="22"/>
          <w:szCs w:val="22"/>
          <w:lang w:val="en-GB"/>
        </w:rPr>
        <w:t>The transaction having taken place prior to</w:t>
      </w:r>
      <w:r w:rsidR="00C0796C">
        <w:rPr>
          <w:rFonts w:ascii="Arial" w:hAnsi="Arial" w:cs="Arial"/>
          <w:i/>
          <w:iCs/>
          <w:color w:val="7B7B7B" w:themeColor="accent3" w:themeShade="BF"/>
          <w:sz w:val="22"/>
          <w:szCs w:val="22"/>
          <w:lang w:val="en-GB"/>
        </w:rPr>
        <w:t xml:space="preserve"> five</w:t>
      </w:r>
      <w:r w:rsidRPr="00B21912">
        <w:rPr>
          <w:rFonts w:ascii="Arial" w:hAnsi="Arial" w:cs="Arial"/>
          <w:i/>
          <w:iCs/>
          <w:color w:val="7B7B7B" w:themeColor="accent3" w:themeShade="BF"/>
          <w:sz w:val="22"/>
          <w:szCs w:val="22"/>
          <w:lang w:val="en-GB"/>
        </w:rPr>
        <w:t xml:space="preserve"> years from the date of winding up application</w:t>
      </w:r>
      <w:r w:rsidR="00490943">
        <w:rPr>
          <w:rFonts w:ascii="Arial" w:hAnsi="Arial" w:cs="Arial"/>
          <w:i/>
          <w:iCs/>
          <w:color w:val="7B7B7B" w:themeColor="accent3" w:themeShade="BF"/>
          <w:sz w:val="22"/>
          <w:szCs w:val="22"/>
          <w:lang w:val="en-GB"/>
        </w:rPr>
        <w:t xml:space="preserve"> (irrespective of the nature or the relationship of the recipient or the party with the company)</w:t>
      </w:r>
      <w:r>
        <w:rPr>
          <w:rFonts w:ascii="Arial" w:hAnsi="Arial" w:cs="Arial"/>
          <w:color w:val="7B7B7B" w:themeColor="accent3" w:themeShade="BF"/>
          <w:sz w:val="22"/>
          <w:szCs w:val="22"/>
          <w:lang w:val="en-GB"/>
        </w:rPr>
        <w:t>;</w:t>
      </w:r>
    </w:p>
    <w:p w14:paraId="3592A4A0" w14:textId="77777777" w:rsidR="00B21912" w:rsidRPr="00B21912" w:rsidRDefault="00B21912" w:rsidP="00B21912">
      <w:pPr>
        <w:pStyle w:val="ListParagraph"/>
        <w:ind w:left="1440"/>
        <w:jc w:val="both"/>
        <w:rPr>
          <w:rFonts w:ascii="Arial" w:hAnsi="Arial" w:cs="Arial"/>
          <w:color w:val="7B7B7B" w:themeColor="accent3" w:themeShade="BF"/>
          <w:sz w:val="22"/>
          <w:szCs w:val="22"/>
          <w:lang w:val="en-GB"/>
        </w:rPr>
      </w:pPr>
    </w:p>
    <w:p w14:paraId="55C26CC2" w14:textId="77777777" w:rsidR="00B21912" w:rsidRPr="00B21912" w:rsidRDefault="00B21912" w:rsidP="00C0796C">
      <w:pPr>
        <w:pStyle w:val="ListParagraph"/>
        <w:numPr>
          <w:ilvl w:val="0"/>
          <w:numId w:val="22"/>
        </w:numPr>
        <w:ind w:left="1440"/>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The company was not insolvent at the time the transaction took place or the transaction did not result into rendering the company insolvent;</w:t>
      </w: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065C3C6E" w14:textId="77777777" w:rsidR="003D6D40" w:rsidRDefault="003D6D40" w:rsidP="002A37BB">
      <w:pPr>
        <w:ind w:left="720" w:hanging="720"/>
        <w:jc w:val="both"/>
        <w:rPr>
          <w:rFonts w:ascii="Arial" w:hAnsi="Arial" w:cs="Arial"/>
          <w:color w:val="7B7B7B" w:themeColor="accent3" w:themeShade="BF"/>
          <w:sz w:val="22"/>
          <w:szCs w:val="22"/>
        </w:rPr>
      </w:pPr>
      <w:r w:rsidRPr="003D6D40">
        <w:rPr>
          <w:rFonts w:ascii="Arial" w:hAnsi="Arial" w:cs="Arial"/>
          <w:color w:val="444444"/>
          <w:sz w:val="23"/>
          <w:szCs w:val="23"/>
          <w:shd w:val="clear" w:color="auto" w:fill="FCFCFC"/>
        </w:rPr>
        <w:t xml:space="preserve"> </w:t>
      </w:r>
      <w:r w:rsidRPr="003D6D40">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 xml:space="preserve">Guidelines for Communication and Co-operation between Courts in Cross Border Insolvency Matters also known as the </w:t>
      </w:r>
      <w:r w:rsidRPr="003D6D40">
        <w:rPr>
          <w:rFonts w:ascii="Arial" w:hAnsi="Arial" w:cs="Arial"/>
          <w:color w:val="7B7B7B" w:themeColor="accent3" w:themeShade="BF"/>
          <w:sz w:val="22"/>
          <w:szCs w:val="22"/>
        </w:rPr>
        <w:t xml:space="preserve">JIN Guidelines address key aspects of and the modalities for communication and cooperation amongst courts, insolvency representatives and other parties involved in cross-border insolvency proceedings, including the conduct of joint hearings. </w:t>
      </w:r>
    </w:p>
    <w:p w14:paraId="229FBDED" w14:textId="77777777" w:rsidR="003D6D40" w:rsidRDefault="003D6D40" w:rsidP="002A37BB">
      <w:pPr>
        <w:ind w:left="720" w:hanging="720"/>
        <w:jc w:val="both"/>
        <w:rPr>
          <w:rFonts w:ascii="Arial" w:hAnsi="Arial" w:cs="Arial"/>
          <w:color w:val="7B7B7B" w:themeColor="accent3" w:themeShade="BF"/>
          <w:sz w:val="22"/>
          <w:szCs w:val="22"/>
        </w:rPr>
      </w:pPr>
    </w:p>
    <w:p w14:paraId="696F163A" w14:textId="593FBBF2" w:rsidR="003D6D40" w:rsidRPr="003D6D40" w:rsidRDefault="003D6D40" w:rsidP="003D6D40">
      <w:pPr>
        <w:ind w:left="720"/>
        <w:jc w:val="both"/>
        <w:rPr>
          <w:rFonts w:ascii="Arial" w:hAnsi="Arial" w:cs="Arial"/>
          <w:color w:val="7B7B7B" w:themeColor="accent3" w:themeShade="BF"/>
          <w:sz w:val="22"/>
          <w:szCs w:val="22"/>
        </w:rPr>
      </w:pPr>
      <w:r w:rsidRPr="003D6D40">
        <w:rPr>
          <w:rFonts w:ascii="Arial" w:hAnsi="Arial" w:cs="Arial"/>
          <w:color w:val="7B7B7B" w:themeColor="accent3" w:themeShade="BF"/>
          <w:sz w:val="22"/>
          <w:szCs w:val="22"/>
        </w:rPr>
        <w:t>The overarching aim of the JIN Guidelines is the preservation of enterprise value and the reduction of legal costs.  In particular, these Guidelines aim to promote: (</w:t>
      </w:r>
      <w:proofErr w:type="spellStart"/>
      <w:r w:rsidRPr="003D6D40">
        <w:rPr>
          <w:rFonts w:ascii="Arial" w:hAnsi="Arial" w:cs="Arial"/>
          <w:color w:val="7B7B7B" w:themeColor="accent3" w:themeShade="BF"/>
          <w:sz w:val="22"/>
          <w:szCs w:val="22"/>
        </w:rPr>
        <w:t>i</w:t>
      </w:r>
      <w:proofErr w:type="spellEnd"/>
      <w:r w:rsidRPr="003D6D40">
        <w:rPr>
          <w:rFonts w:ascii="Arial" w:hAnsi="Arial" w:cs="Arial"/>
          <w:color w:val="7B7B7B" w:themeColor="accent3" w:themeShade="BF"/>
          <w:sz w:val="22"/>
          <w:szCs w:val="22"/>
        </w:rPr>
        <w:t xml:space="preserve">) the efficient and timely coordination and administration of Parallel Proceedings; (ii) the administration of </w:t>
      </w:r>
      <w:r>
        <w:rPr>
          <w:rFonts w:ascii="Arial" w:hAnsi="Arial" w:cs="Arial"/>
          <w:color w:val="7B7B7B" w:themeColor="accent3" w:themeShade="BF"/>
          <w:sz w:val="22"/>
          <w:szCs w:val="22"/>
        </w:rPr>
        <w:t>p</w:t>
      </w:r>
      <w:r w:rsidRPr="003D6D40">
        <w:rPr>
          <w:rFonts w:ascii="Arial" w:hAnsi="Arial" w:cs="Arial"/>
          <w:color w:val="7B7B7B" w:themeColor="accent3" w:themeShade="BF"/>
          <w:sz w:val="22"/>
          <w:szCs w:val="22"/>
        </w:rPr>
        <w:t>arallel</w:t>
      </w:r>
      <w:r>
        <w:rPr>
          <w:rFonts w:ascii="Arial" w:hAnsi="Arial" w:cs="Arial"/>
          <w:color w:val="7B7B7B" w:themeColor="accent3" w:themeShade="BF"/>
          <w:sz w:val="22"/>
          <w:szCs w:val="22"/>
        </w:rPr>
        <w:t xml:space="preserve"> cross-border insolvency p</w:t>
      </w:r>
      <w:r w:rsidRPr="003D6D40">
        <w:rPr>
          <w:rFonts w:ascii="Arial" w:hAnsi="Arial" w:cs="Arial"/>
          <w:color w:val="7B7B7B" w:themeColor="accent3" w:themeShade="BF"/>
          <w:sz w:val="22"/>
          <w:szCs w:val="22"/>
        </w:rPr>
        <w:t xml:space="preserve">roceedings with a view to ensuring relevant stakeholders’ interests are respected; (iii) the identification, preservation, and </w:t>
      </w:r>
      <w:r w:rsidR="00141E26" w:rsidRPr="003D6D40">
        <w:rPr>
          <w:rFonts w:ascii="Arial" w:hAnsi="Arial" w:cs="Arial"/>
          <w:color w:val="7B7B7B" w:themeColor="accent3" w:themeShade="BF"/>
          <w:sz w:val="22"/>
          <w:szCs w:val="22"/>
        </w:rPr>
        <w:t>maximization</w:t>
      </w:r>
      <w:r w:rsidRPr="003D6D40">
        <w:rPr>
          <w:rFonts w:ascii="Arial" w:hAnsi="Arial" w:cs="Arial"/>
          <w:color w:val="7B7B7B" w:themeColor="accent3" w:themeShade="BF"/>
          <w:sz w:val="22"/>
          <w:szCs w:val="22"/>
        </w:rPr>
        <w:t xml:space="preserve"> of the value of the debtor's assets, including the debtor's business; (iv) the management of the debtor’s estate in ways that are proportionate to the amount of money involved, the nature of the case, the complexity of the issues, the number of creditors, and the number of jurisdictions involved in </w:t>
      </w:r>
      <w:r>
        <w:rPr>
          <w:rFonts w:ascii="Arial" w:hAnsi="Arial" w:cs="Arial"/>
          <w:color w:val="7B7B7B" w:themeColor="accent3" w:themeShade="BF"/>
          <w:sz w:val="22"/>
          <w:szCs w:val="22"/>
        </w:rPr>
        <w:t>p</w:t>
      </w:r>
      <w:r w:rsidRPr="003D6D40">
        <w:rPr>
          <w:rFonts w:ascii="Arial" w:hAnsi="Arial" w:cs="Arial"/>
          <w:color w:val="7B7B7B" w:themeColor="accent3" w:themeShade="BF"/>
          <w:sz w:val="22"/>
          <w:szCs w:val="22"/>
        </w:rPr>
        <w:t xml:space="preserve">arallel </w:t>
      </w:r>
      <w:r>
        <w:rPr>
          <w:rFonts w:ascii="Arial" w:hAnsi="Arial" w:cs="Arial"/>
          <w:color w:val="7B7B7B" w:themeColor="accent3" w:themeShade="BF"/>
          <w:sz w:val="22"/>
          <w:szCs w:val="22"/>
        </w:rPr>
        <w:t>p</w:t>
      </w:r>
      <w:r w:rsidRPr="003D6D40">
        <w:rPr>
          <w:rFonts w:ascii="Arial" w:hAnsi="Arial" w:cs="Arial"/>
          <w:color w:val="7B7B7B" w:themeColor="accent3" w:themeShade="BF"/>
          <w:sz w:val="22"/>
          <w:szCs w:val="22"/>
        </w:rPr>
        <w:t xml:space="preserve">roceedings; (v) the sharing of information in order to reduce costs; and (vi) the avoidance or </w:t>
      </w:r>
      <w:r w:rsidR="00114617" w:rsidRPr="003D6D40">
        <w:rPr>
          <w:rFonts w:ascii="Arial" w:hAnsi="Arial" w:cs="Arial"/>
          <w:color w:val="7B7B7B" w:themeColor="accent3" w:themeShade="BF"/>
          <w:sz w:val="22"/>
          <w:szCs w:val="22"/>
        </w:rPr>
        <w:t>minimization</w:t>
      </w:r>
      <w:r w:rsidRPr="003D6D40">
        <w:rPr>
          <w:rFonts w:ascii="Arial" w:hAnsi="Arial" w:cs="Arial"/>
          <w:color w:val="7B7B7B" w:themeColor="accent3" w:themeShade="BF"/>
          <w:sz w:val="22"/>
          <w:szCs w:val="22"/>
        </w:rPr>
        <w:t xml:space="preserve"> of litigation, costs, and inconvenience to the parties2 in Parallel Proceedings.</w:t>
      </w: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 xml:space="preserve">How can a bankrupt </w:t>
      </w:r>
      <w:proofErr w:type="gramStart"/>
      <w:r>
        <w:rPr>
          <w:rFonts w:ascii="Arial" w:hAnsi="Arial" w:cs="Arial"/>
          <w:sz w:val="22"/>
          <w:szCs w:val="22"/>
          <w:lang w:val="en-GB"/>
        </w:rPr>
        <w:t>obtain</w:t>
      </w:r>
      <w:proofErr w:type="gramEnd"/>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6B449542" w14:textId="60BA7A82" w:rsidR="003D6D40" w:rsidRPr="00114617" w:rsidRDefault="003D6D40" w:rsidP="003D6D40">
      <w:pPr>
        <w:pStyle w:val="ListParagraph"/>
        <w:numPr>
          <w:ilvl w:val="0"/>
          <w:numId w:val="24"/>
        </w:numPr>
        <w:jc w:val="both"/>
        <w:rPr>
          <w:rFonts w:ascii="Arial" w:hAnsi="Arial" w:cs="Arial"/>
          <w:color w:val="7B7B7B" w:themeColor="accent3" w:themeShade="BF"/>
          <w:sz w:val="22"/>
          <w:szCs w:val="22"/>
          <w:u w:val="single"/>
          <w:lang w:val="en-GB"/>
        </w:rPr>
      </w:pPr>
      <w:r w:rsidRPr="00114617">
        <w:rPr>
          <w:rFonts w:ascii="Arial" w:hAnsi="Arial" w:cs="Arial"/>
          <w:color w:val="7B7B7B" w:themeColor="accent3" w:themeShade="BF"/>
          <w:sz w:val="22"/>
          <w:szCs w:val="22"/>
          <w:u w:val="single"/>
          <w:lang w:val="en-GB"/>
        </w:rPr>
        <w:t>Annulment –</w:t>
      </w:r>
    </w:p>
    <w:p w14:paraId="7A92F3F1" w14:textId="77777777" w:rsidR="003D6D40" w:rsidRDefault="003D6D40" w:rsidP="002A37BB">
      <w:pPr>
        <w:ind w:left="720" w:hanging="720"/>
        <w:jc w:val="both"/>
        <w:rPr>
          <w:rFonts w:ascii="Arial" w:hAnsi="Arial" w:cs="Arial"/>
          <w:color w:val="7B7B7B" w:themeColor="accent3" w:themeShade="BF"/>
          <w:sz w:val="22"/>
          <w:szCs w:val="22"/>
          <w:lang w:val="en-GB"/>
        </w:rPr>
      </w:pPr>
    </w:p>
    <w:p w14:paraId="0D19BF88" w14:textId="478BD692" w:rsidR="003D6D40" w:rsidRDefault="003D6D40" w:rsidP="00C476F5">
      <w:pPr>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bankrupt is required to file an application to annul under Section 392 of IRDA before the court within 12 months of the bankruptcy order. Basi</w:t>
      </w:r>
      <w:r w:rsidR="00C476F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such an application the court may annul the bankruptcy if the court is, </w:t>
      </w:r>
      <w:r w:rsidRPr="00C476F5">
        <w:rPr>
          <w:rFonts w:ascii="Arial" w:hAnsi="Arial" w:cs="Arial"/>
          <w:i/>
          <w:iCs/>
          <w:color w:val="7B7B7B" w:themeColor="accent3" w:themeShade="BF"/>
          <w:sz w:val="22"/>
          <w:szCs w:val="22"/>
          <w:lang w:val="en-GB"/>
        </w:rPr>
        <w:t>inter a</w:t>
      </w:r>
      <w:r w:rsidR="00C476F5" w:rsidRPr="00C476F5">
        <w:rPr>
          <w:rFonts w:ascii="Arial" w:hAnsi="Arial" w:cs="Arial"/>
          <w:i/>
          <w:iCs/>
          <w:color w:val="7B7B7B" w:themeColor="accent3" w:themeShade="BF"/>
          <w:sz w:val="22"/>
          <w:szCs w:val="22"/>
          <w:lang w:val="en-GB"/>
        </w:rPr>
        <w:t>l</w:t>
      </w:r>
      <w:r w:rsidRPr="00C476F5">
        <w:rPr>
          <w:rFonts w:ascii="Arial" w:hAnsi="Arial" w:cs="Arial"/>
          <w:i/>
          <w:iCs/>
          <w:color w:val="7B7B7B" w:themeColor="accent3" w:themeShade="BF"/>
          <w:sz w:val="22"/>
          <w:szCs w:val="22"/>
          <w:lang w:val="en-GB"/>
        </w:rPr>
        <w:t>ia</w:t>
      </w:r>
      <w:r>
        <w:rPr>
          <w:rFonts w:ascii="Arial" w:hAnsi="Arial" w:cs="Arial"/>
          <w:color w:val="7B7B7B" w:themeColor="accent3" w:themeShade="BF"/>
          <w:sz w:val="22"/>
          <w:szCs w:val="22"/>
          <w:lang w:val="en-GB"/>
        </w:rPr>
        <w:t>, satisfied that:</w:t>
      </w:r>
    </w:p>
    <w:p w14:paraId="2C1B7290" w14:textId="77777777" w:rsidR="003D6D40" w:rsidRDefault="003D6D40" w:rsidP="003D6D40">
      <w:pPr>
        <w:ind w:left="720"/>
        <w:jc w:val="both"/>
        <w:rPr>
          <w:rFonts w:ascii="Arial" w:hAnsi="Arial" w:cs="Arial"/>
          <w:color w:val="7B7B7B" w:themeColor="accent3" w:themeShade="BF"/>
          <w:sz w:val="22"/>
          <w:szCs w:val="22"/>
          <w:lang w:val="en-GB"/>
        </w:rPr>
      </w:pPr>
    </w:p>
    <w:p w14:paraId="31C08452" w14:textId="7632CDC2" w:rsidR="003D6D40" w:rsidRPr="003D6D40" w:rsidRDefault="003D6D40" w:rsidP="003D6D40">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the order ought not to have been made on grounds existing at the time; or</w:t>
      </w:r>
    </w:p>
    <w:p w14:paraId="0F85A4BD" w14:textId="0DBEA3F0" w:rsidR="0045683E" w:rsidRPr="00C476F5" w:rsidRDefault="003D6D40" w:rsidP="002A37BB">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debts and expenses of the bankruptcy have been paid or secured to the satisfaction of the court.</w:t>
      </w:r>
    </w:p>
    <w:p w14:paraId="65A3DD9D" w14:textId="7F1FA981" w:rsidR="00C476F5" w:rsidRDefault="00C476F5" w:rsidP="00C476F5">
      <w:pPr>
        <w:ind w:left="720"/>
        <w:jc w:val="both"/>
        <w:rPr>
          <w:rFonts w:ascii="Arial" w:hAnsi="Arial" w:cs="Arial"/>
          <w:sz w:val="22"/>
          <w:szCs w:val="22"/>
          <w:lang w:val="en-GB"/>
        </w:rPr>
      </w:pPr>
    </w:p>
    <w:p w14:paraId="7CB6AC80" w14:textId="115CCBB7" w:rsidR="00C476F5" w:rsidRPr="00114617" w:rsidRDefault="00C476F5" w:rsidP="00C476F5">
      <w:pPr>
        <w:pStyle w:val="ListParagraph"/>
        <w:numPr>
          <w:ilvl w:val="0"/>
          <w:numId w:val="24"/>
        </w:numPr>
        <w:jc w:val="both"/>
        <w:rPr>
          <w:rFonts w:ascii="Arial" w:hAnsi="Arial" w:cs="Arial"/>
          <w:sz w:val="22"/>
          <w:szCs w:val="22"/>
          <w:u w:val="single"/>
          <w:lang w:val="en-GB"/>
        </w:rPr>
      </w:pPr>
      <w:r w:rsidRPr="00114617">
        <w:rPr>
          <w:rFonts w:ascii="Arial" w:hAnsi="Arial" w:cs="Arial"/>
          <w:color w:val="7B7B7B" w:themeColor="accent3" w:themeShade="BF"/>
          <w:sz w:val="22"/>
          <w:szCs w:val="22"/>
          <w:u w:val="single"/>
          <w:lang w:val="en-GB"/>
        </w:rPr>
        <w:t xml:space="preserve">Discharge – </w:t>
      </w:r>
    </w:p>
    <w:p w14:paraId="04D73D2A" w14:textId="0F6F219F" w:rsidR="00C476F5" w:rsidRDefault="00C476F5" w:rsidP="00C476F5">
      <w:pPr>
        <w:pStyle w:val="ListParagraph"/>
        <w:ind w:left="1080"/>
        <w:jc w:val="both"/>
        <w:rPr>
          <w:rFonts w:ascii="Arial" w:hAnsi="Arial" w:cs="Arial"/>
          <w:color w:val="7B7B7B" w:themeColor="accent3" w:themeShade="BF"/>
          <w:sz w:val="22"/>
          <w:szCs w:val="22"/>
          <w:lang w:val="en-GB"/>
        </w:rPr>
      </w:pPr>
    </w:p>
    <w:p w14:paraId="35697FBE" w14:textId="57ED4DCA" w:rsidR="00C476F5" w:rsidRPr="00C476F5" w:rsidRDefault="00C476F5" w:rsidP="00C476F5">
      <w:pPr>
        <w:pStyle w:val="ListParagraph"/>
        <w:ind w:left="1080"/>
        <w:jc w:val="both"/>
        <w:rPr>
          <w:rFonts w:ascii="Arial" w:hAnsi="Arial" w:cs="Arial"/>
          <w:sz w:val="22"/>
          <w:szCs w:val="22"/>
          <w:lang w:val="en-GB"/>
        </w:rPr>
      </w:pPr>
      <w:r>
        <w:rPr>
          <w:rFonts w:ascii="Arial" w:hAnsi="Arial" w:cs="Arial"/>
          <w:color w:val="7B7B7B" w:themeColor="accent3" w:themeShade="BF"/>
          <w:sz w:val="22"/>
          <w:szCs w:val="22"/>
          <w:lang w:val="en-GB"/>
        </w:rPr>
        <w:t xml:space="preserve">A discharge may be obtained by a bankrupt by filing an application for the same to the court under Section 394 of the IRDA </w:t>
      </w:r>
      <w:proofErr w:type="spellStart"/>
      <w:r>
        <w:rPr>
          <w:rFonts w:ascii="Arial" w:hAnsi="Arial" w:cs="Arial"/>
          <w:color w:val="7B7B7B" w:themeColor="accent3" w:themeShade="BF"/>
          <w:sz w:val="22"/>
          <w:szCs w:val="22"/>
          <w:lang w:val="en-GB"/>
        </w:rPr>
        <w:t>anytime</w:t>
      </w:r>
      <w:proofErr w:type="spellEnd"/>
      <w:r>
        <w:rPr>
          <w:rFonts w:ascii="Arial" w:hAnsi="Arial" w:cs="Arial"/>
          <w:color w:val="7B7B7B" w:themeColor="accent3" w:themeShade="BF"/>
          <w:sz w:val="22"/>
          <w:szCs w:val="22"/>
          <w:lang w:val="en-GB"/>
        </w:rPr>
        <w:t xml:space="preserve"> after the bankruptcy order is made. Such an application is required to be served upon every creditor that has filed a proof of debt in the bankruptcy of the court, who the court shall hear for an objection prior to passing such a discharge order. Upon hearing the application, the court may either discharge the bankrupt absolutely or subject to conditions as the court may deem fit including conditions with respect to future income or property.</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Pr="00C33842" w:rsidRDefault="0007291B" w:rsidP="002A37BB">
      <w:pPr>
        <w:jc w:val="both"/>
        <w:rPr>
          <w:rFonts w:ascii="Arial" w:hAnsi="Arial" w:cs="Arial"/>
          <w:sz w:val="22"/>
          <w:szCs w:val="22"/>
          <w:lang w:val="en-GB"/>
        </w:rPr>
      </w:pPr>
      <w:r w:rsidRPr="00C33842">
        <w:rPr>
          <w:rFonts w:ascii="Arial" w:hAnsi="Arial" w:cs="Arial"/>
          <w:sz w:val="22"/>
          <w:szCs w:val="22"/>
          <w:lang w:val="en-GB"/>
        </w:rPr>
        <w:t>Write a</w:t>
      </w:r>
      <w:r w:rsidR="008277A3" w:rsidRPr="00C33842">
        <w:rPr>
          <w:rFonts w:ascii="Arial" w:hAnsi="Arial" w:cs="Arial"/>
          <w:sz w:val="22"/>
          <w:szCs w:val="22"/>
          <w:lang w:val="en-GB"/>
        </w:rPr>
        <w:t xml:space="preserve"> brief </w:t>
      </w:r>
      <w:r w:rsidRPr="00C33842">
        <w:rPr>
          <w:rFonts w:ascii="Arial" w:hAnsi="Arial" w:cs="Arial"/>
          <w:sz w:val="22"/>
          <w:szCs w:val="22"/>
          <w:lang w:val="en-GB"/>
        </w:rPr>
        <w:t>essay on</w:t>
      </w:r>
      <w:r w:rsidR="009C526D" w:rsidRPr="00C33842">
        <w:rPr>
          <w:rFonts w:ascii="Arial" w:hAnsi="Arial" w:cs="Arial"/>
          <w:sz w:val="22"/>
          <w:szCs w:val="22"/>
          <w:lang w:val="en-GB"/>
        </w:rPr>
        <w:t xml:space="preserve"> </w:t>
      </w:r>
    </w:p>
    <w:p w14:paraId="677D725D" w14:textId="77777777" w:rsidR="00E426B2" w:rsidRPr="00C33842" w:rsidRDefault="00E426B2" w:rsidP="002A37BB">
      <w:pPr>
        <w:jc w:val="both"/>
        <w:rPr>
          <w:rFonts w:ascii="Arial" w:hAnsi="Arial" w:cs="Arial"/>
          <w:sz w:val="22"/>
          <w:szCs w:val="22"/>
          <w:lang w:val="en-GB"/>
        </w:rPr>
      </w:pPr>
    </w:p>
    <w:p w14:paraId="5E214779" w14:textId="1528F221" w:rsidR="00E426B2" w:rsidRPr="00C33842" w:rsidRDefault="0013379E" w:rsidP="0050319C">
      <w:pPr>
        <w:pStyle w:val="ListParagraph"/>
        <w:numPr>
          <w:ilvl w:val="0"/>
          <w:numId w:val="14"/>
        </w:numPr>
        <w:ind w:left="426"/>
        <w:jc w:val="both"/>
        <w:rPr>
          <w:rFonts w:ascii="Arial" w:hAnsi="Arial" w:cs="Arial"/>
          <w:sz w:val="22"/>
          <w:szCs w:val="22"/>
          <w:lang w:val="en-GB"/>
        </w:rPr>
      </w:pPr>
      <w:r w:rsidRPr="00C33842">
        <w:rPr>
          <w:rFonts w:ascii="Arial" w:hAnsi="Arial" w:cs="Arial"/>
          <w:sz w:val="22"/>
          <w:szCs w:val="22"/>
          <w:lang w:val="en-GB"/>
        </w:rPr>
        <w:t>the</w:t>
      </w:r>
      <w:r w:rsidR="00954F89" w:rsidRPr="00C33842">
        <w:rPr>
          <w:rFonts w:ascii="Arial" w:hAnsi="Arial" w:cs="Arial"/>
          <w:sz w:val="22"/>
          <w:szCs w:val="22"/>
          <w:lang w:val="en-GB"/>
        </w:rPr>
        <w:t xml:space="preserve"> restrictions on</w:t>
      </w:r>
      <w:r w:rsidR="00631DDB" w:rsidRPr="00C33842">
        <w:rPr>
          <w:rFonts w:ascii="Arial" w:hAnsi="Arial" w:cs="Arial"/>
          <w:sz w:val="22"/>
          <w:szCs w:val="22"/>
          <w:lang w:val="en-GB"/>
        </w:rPr>
        <w:t xml:space="preserve"> </w:t>
      </w:r>
      <w:r w:rsidR="00954F89" w:rsidRPr="00C33842">
        <w:rPr>
          <w:rFonts w:ascii="Arial" w:hAnsi="Arial" w:cs="Arial"/>
          <w:i/>
          <w:iCs/>
          <w:sz w:val="22"/>
          <w:szCs w:val="22"/>
          <w:lang w:val="en-GB"/>
        </w:rPr>
        <w:t>ipso facto</w:t>
      </w:r>
      <w:r w:rsidR="00954F89" w:rsidRPr="00C33842">
        <w:rPr>
          <w:rFonts w:ascii="Arial" w:hAnsi="Arial" w:cs="Arial"/>
          <w:sz w:val="22"/>
          <w:szCs w:val="22"/>
          <w:lang w:val="en-GB"/>
        </w:rPr>
        <w:t xml:space="preserve"> clauses</w:t>
      </w:r>
      <w:r w:rsidR="0050319C" w:rsidRPr="00C33842">
        <w:rPr>
          <w:rFonts w:ascii="Arial" w:hAnsi="Arial" w:cs="Arial"/>
          <w:sz w:val="22"/>
          <w:szCs w:val="22"/>
          <w:lang w:val="en-GB"/>
        </w:rPr>
        <w:t>;</w:t>
      </w:r>
      <w:r w:rsidR="00954F89" w:rsidRPr="00C33842">
        <w:rPr>
          <w:rFonts w:ascii="Arial" w:hAnsi="Arial" w:cs="Arial"/>
          <w:sz w:val="22"/>
          <w:szCs w:val="22"/>
          <w:lang w:val="en-GB"/>
        </w:rPr>
        <w:t xml:space="preserve"> and </w:t>
      </w:r>
    </w:p>
    <w:p w14:paraId="013D31A8" w14:textId="77777777" w:rsidR="00E426B2" w:rsidRPr="00C33842" w:rsidRDefault="00E426B2" w:rsidP="0050319C">
      <w:pPr>
        <w:ind w:left="426"/>
        <w:jc w:val="both"/>
        <w:rPr>
          <w:rFonts w:ascii="Arial" w:hAnsi="Arial" w:cs="Arial"/>
          <w:sz w:val="22"/>
          <w:szCs w:val="22"/>
          <w:lang w:val="en-GB"/>
        </w:rPr>
      </w:pPr>
    </w:p>
    <w:p w14:paraId="4BABCDCA" w14:textId="2716E284" w:rsidR="00E426B2" w:rsidRPr="00114617" w:rsidRDefault="00954F89" w:rsidP="0050319C">
      <w:pPr>
        <w:pStyle w:val="ListParagraph"/>
        <w:numPr>
          <w:ilvl w:val="0"/>
          <w:numId w:val="14"/>
        </w:numPr>
        <w:ind w:left="426"/>
        <w:jc w:val="both"/>
        <w:rPr>
          <w:rFonts w:ascii="Arial" w:hAnsi="Arial" w:cs="Arial"/>
          <w:sz w:val="22"/>
          <w:szCs w:val="22"/>
          <w:lang w:val="en-GB"/>
        </w:rPr>
      </w:pPr>
      <w:r w:rsidRPr="00114617">
        <w:rPr>
          <w:rFonts w:ascii="Arial" w:hAnsi="Arial" w:cs="Arial"/>
          <w:sz w:val="22"/>
          <w:szCs w:val="22"/>
          <w:lang w:val="en-GB"/>
        </w:rPr>
        <w:t>wrongful trading</w:t>
      </w:r>
    </w:p>
    <w:p w14:paraId="12AC4EE2" w14:textId="77777777" w:rsidR="00E426B2" w:rsidRPr="00C3384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sidRPr="00C33842">
        <w:rPr>
          <w:rFonts w:ascii="Arial" w:hAnsi="Arial" w:cs="Arial"/>
          <w:sz w:val="22"/>
          <w:szCs w:val="22"/>
          <w:lang w:val="en-GB"/>
        </w:rPr>
        <w:t>under the Singapore IRDA</w:t>
      </w:r>
      <w:r w:rsidR="00954F89">
        <w:rPr>
          <w:rFonts w:ascii="Arial" w:hAnsi="Arial" w:cs="Arial"/>
          <w:sz w:val="22"/>
          <w:szCs w:val="22"/>
          <w:lang w:val="en-GB"/>
        </w:rPr>
        <w:t xml:space="preserve">. </w:t>
      </w:r>
    </w:p>
    <w:p w14:paraId="524C6E84" w14:textId="5938A248" w:rsidR="00141E26" w:rsidRDefault="00141E26" w:rsidP="002A37BB">
      <w:pPr>
        <w:jc w:val="both"/>
        <w:rPr>
          <w:rFonts w:ascii="Arial" w:hAnsi="Arial" w:cs="Arial"/>
          <w:color w:val="7B7B7B" w:themeColor="accent3" w:themeShade="BF"/>
          <w:sz w:val="22"/>
          <w:szCs w:val="22"/>
          <w:lang w:val="en-GB"/>
        </w:rPr>
      </w:pPr>
    </w:p>
    <w:p w14:paraId="314B82F4" w14:textId="18FB63B1" w:rsidR="00141E26" w:rsidRPr="00141E26" w:rsidRDefault="00141E26" w:rsidP="00141E26">
      <w:pPr>
        <w:pStyle w:val="ListParagraph"/>
        <w:numPr>
          <w:ilvl w:val="0"/>
          <w:numId w:val="28"/>
        </w:numPr>
        <w:jc w:val="both"/>
        <w:rPr>
          <w:rFonts w:ascii="Arial" w:hAnsi="Arial" w:cs="Arial"/>
          <w:color w:val="7B7B7B" w:themeColor="accent3" w:themeShade="BF"/>
          <w:sz w:val="22"/>
          <w:szCs w:val="22"/>
          <w:u w:val="single"/>
          <w:lang w:val="en-GB"/>
        </w:rPr>
      </w:pPr>
      <w:r w:rsidRPr="00141E26">
        <w:rPr>
          <w:rFonts w:ascii="Arial" w:hAnsi="Arial" w:cs="Arial"/>
          <w:color w:val="7B7B7B" w:themeColor="accent3" w:themeShade="BF"/>
          <w:sz w:val="22"/>
          <w:szCs w:val="22"/>
          <w:u w:val="single"/>
          <w:lang w:val="en-GB"/>
        </w:rPr>
        <w:t xml:space="preserve">Restrictions on </w:t>
      </w:r>
      <w:r w:rsidRPr="00AA1264">
        <w:rPr>
          <w:rFonts w:ascii="Arial" w:hAnsi="Arial" w:cs="Arial"/>
          <w:i/>
          <w:iCs/>
          <w:color w:val="7B7B7B" w:themeColor="accent3" w:themeShade="BF"/>
          <w:sz w:val="22"/>
          <w:szCs w:val="22"/>
          <w:u w:val="single"/>
          <w:lang w:val="en-GB"/>
        </w:rPr>
        <w:t>ipso facto</w:t>
      </w:r>
      <w:r w:rsidRPr="00141E26">
        <w:rPr>
          <w:rFonts w:ascii="Arial" w:hAnsi="Arial" w:cs="Arial"/>
          <w:color w:val="7B7B7B" w:themeColor="accent3" w:themeShade="BF"/>
          <w:sz w:val="22"/>
          <w:szCs w:val="22"/>
          <w:u w:val="single"/>
          <w:lang w:val="en-GB"/>
        </w:rPr>
        <w:t xml:space="preserve"> clauses</w:t>
      </w:r>
      <w:r>
        <w:rPr>
          <w:rFonts w:ascii="Arial" w:hAnsi="Arial" w:cs="Arial"/>
          <w:color w:val="7B7B7B" w:themeColor="accent3" w:themeShade="BF"/>
          <w:sz w:val="22"/>
          <w:szCs w:val="22"/>
          <w:lang w:val="en-GB"/>
        </w:rPr>
        <w:t xml:space="preserve"> - </w:t>
      </w:r>
    </w:p>
    <w:p w14:paraId="38EBA707" w14:textId="77777777" w:rsidR="00141E26" w:rsidRPr="00141E26" w:rsidRDefault="00141E26" w:rsidP="00141E26">
      <w:pPr>
        <w:jc w:val="both"/>
        <w:rPr>
          <w:rFonts w:ascii="Arial" w:hAnsi="Arial" w:cs="Arial"/>
          <w:color w:val="7B7B7B" w:themeColor="accent3" w:themeShade="BF"/>
          <w:sz w:val="22"/>
          <w:szCs w:val="22"/>
          <w:lang w:val="en-GB"/>
        </w:rPr>
      </w:pPr>
    </w:p>
    <w:p w14:paraId="43738FF5" w14:textId="77777777" w:rsidR="00141E26" w:rsidRPr="00141E26" w:rsidRDefault="00141E26" w:rsidP="00141E26">
      <w:pPr>
        <w:jc w:val="both"/>
        <w:rPr>
          <w:rFonts w:ascii="Arial" w:hAnsi="Arial" w:cs="Arial"/>
          <w:color w:val="7B7B7B" w:themeColor="accent3" w:themeShade="BF"/>
          <w:sz w:val="22"/>
          <w:szCs w:val="22"/>
          <w:lang w:val="en-GB"/>
        </w:rPr>
      </w:pPr>
      <w:r w:rsidRPr="00141E26">
        <w:rPr>
          <w:rFonts w:ascii="Arial" w:hAnsi="Arial" w:cs="Arial"/>
          <w:color w:val="7B7B7B" w:themeColor="accent3" w:themeShade="BF"/>
          <w:sz w:val="22"/>
          <w:szCs w:val="22"/>
          <w:lang w:val="en-GB"/>
        </w:rPr>
        <w:t>Contractual clauses that permit a party to a contract to terminate or modify the contract or accelerate certain obligations upon occurrence of certain events are termed as ipso facto clauses. Some of such common events of defaults inter alia included events of insolvency, commencement of restructuring, rehabilitation, scheme of arrangement with creditors, liquidation proceedings etc. Such unilateral right to termination by a party to a contract may often hinder efforts at restructuring of a company, especially when the continuance of such contracts is key to the survival of the operations of the company as a going concern.</w:t>
      </w:r>
    </w:p>
    <w:p w14:paraId="436690BB" w14:textId="77777777" w:rsidR="00141E26" w:rsidRPr="00141E26" w:rsidRDefault="00141E26" w:rsidP="00141E26">
      <w:pPr>
        <w:jc w:val="both"/>
        <w:rPr>
          <w:rFonts w:ascii="Arial" w:hAnsi="Arial" w:cs="Arial"/>
          <w:color w:val="7B7B7B" w:themeColor="accent3" w:themeShade="BF"/>
          <w:sz w:val="22"/>
          <w:szCs w:val="22"/>
          <w:lang w:val="en-GB"/>
        </w:rPr>
      </w:pPr>
    </w:p>
    <w:p w14:paraId="50CB30E5" w14:textId="77777777" w:rsidR="00141E26" w:rsidRPr="00141E26" w:rsidRDefault="00141E26" w:rsidP="00141E26">
      <w:pPr>
        <w:jc w:val="both"/>
        <w:rPr>
          <w:rFonts w:ascii="Arial" w:hAnsi="Arial" w:cs="Arial"/>
          <w:color w:val="7B7B7B" w:themeColor="accent3" w:themeShade="BF"/>
          <w:sz w:val="22"/>
          <w:szCs w:val="22"/>
          <w:lang w:val="en-GB"/>
        </w:rPr>
      </w:pPr>
      <w:r w:rsidRPr="00141E26">
        <w:rPr>
          <w:rFonts w:ascii="Arial" w:hAnsi="Arial" w:cs="Arial"/>
          <w:color w:val="7B7B7B" w:themeColor="accent3" w:themeShade="BF"/>
          <w:sz w:val="22"/>
          <w:szCs w:val="22"/>
          <w:lang w:val="en-GB"/>
        </w:rPr>
        <w:lastRenderedPageBreak/>
        <w:t>Section 440 of IRDA, in order to address such situations, poses restrictions on enforcement of such ipso facto clauses in certain circumstances thereby limiting the exercise of contractual rights only basis reason that certain proceedings (such as relating to compromise, arrangement, judicial management etc.) in respect of the company have commenced or that the company is insolvent. This clause however does not pose an embargo upon enforcing the ipso facto clause upon other events being triggered such as a default in repayment.</w:t>
      </w:r>
    </w:p>
    <w:p w14:paraId="1E1FAEAA" w14:textId="77777777" w:rsidR="00141E26" w:rsidRPr="00141E26" w:rsidRDefault="00141E26" w:rsidP="00141E26">
      <w:pPr>
        <w:jc w:val="both"/>
        <w:rPr>
          <w:rFonts w:ascii="Arial" w:hAnsi="Arial" w:cs="Arial"/>
          <w:color w:val="7B7B7B" w:themeColor="accent3" w:themeShade="BF"/>
          <w:sz w:val="22"/>
          <w:szCs w:val="22"/>
          <w:lang w:val="en-GB"/>
        </w:rPr>
      </w:pPr>
    </w:p>
    <w:p w14:paraId="407C71B2" w14:textId="77777777" w:rsidR="00141E26" w:rsidRPr="00141E26" w:rsidRDefault="00141E26" w:rsidP="00141E26">
      <w:pPr>
        <w:jc w:val="both"/>
        <w:rPr>
          <w:rFonts w:ascii="Arial" w:hAnsi="Arial" w:cs="Arial"/>
          <w:color w:val="7B7B7B" w:themeColor="accent3" w:themeShade="BF"/>
          <w:sz w:val="22"/>
          <w:szCs w:val="22"/>
          <w:lang w:val="en-GB"/>
        </w:rPr>
      </w:pPr>
      <w:r w:rsidRPr="00141E26">
        <w:rPr>
          <w:rFonts w:ascii="Arial" w:hAnsi="Arial" w:cs="Arial"/>
          <w:color w:val="7B7B7B" w:themeColor="accent3" w:themeShade="BF"/>
          <w:sz w:val="22"/>
          <w:szCs w:val="22"/>
          <w:lang w:val="en-GB"/>
        </w:rPr>
        <w:t>The clause further carves out an exception to the applicability of such restrictions in respect of inter alia:</w:t>
      </w:r>
    </w:p>
    <w:p w14:paraId="01228D83" w14:textId="77777777" w:rsidR="00141E26" w:rsidRPr="00141E26" w:rsidRDefault="00141E26" w:rsidP="00141E26">
      <w:pPr>
        <w:jc w:val="both"/>
        <w:rPr>
          <w:rFonts w:ascii="Arial" w:hAnsi="Arial" w:cs="Arial"/>
          <w:color w:val="7B7B7B" w:themeColor="accent3" w:themeShade="BF"/>
          <w:sz w:val="22"/>
          <w:szCs w:val="22"/>
          <w:lang w:val="en-GB"/>
        </w:rPr>
      </w:pPr>
    </w:p>
    <w:p w14:paraId="259B97E2" w14:textId="77777777" w:rsidR="00141E26" w:rsidRPr="00141E26" w:rsidRDefault="00141E26" w:rsidP="00141E26">
      <w:pPr>
        <w:pStyle w:val="ListParagraph"/>
        <w:numPr>
          <w:ilvl w:val="0"/>
          <w:numId w:val="29"/>
        </w:numPr>
        <w:jc w:val="both"/>
        <w:rPr>
          <w:rFonts w:ascii="Arial" w:hAnsi="Arial" w:cs="Arial"/>
          <w:color w:val="7B7B7B" w:themeColor="accent3" w:themeShade="BF"/>
          <w:sz w:val="22"/>
          <w:szCs w:val="22"/>
          <w:lang w:val="en-GB"/>
        </w:rPr>
      </w:pPr>
      <w:r w:rsidRPr="00141E26">
        <w:rPr>
          <w:rFonts w:ascii="Arial" w:hAnsi="Arial" w:cs="Arial"/>
          <w:color w:val="7B7B7B" w:themeColor="accent3" w:themeShade="BF"/>
          <w:sz w:val="22"/>
          <w:szCs w:val="22"/>
          <w:lang w:val="en-GB"/>
        </w:rPr>
        <w:t>prescribed eligible financial contract;</w:t>
      </w:r>
    </w:p>
    <w:p w14:paraId="5D1E82E8" w14:textId="77777777" w:rsidR="00141E26" w:rsidRPr="00141E26" w:rsidRDefault="00141E26" w:rsidP="00141E26">
      <w:pPr>
        <w:jc w:val="both"/>
        <w:rPr>
          <w:rFonts w:ascii="Arial" w:hAnsi="Arial" w:cs="Arial"/>
          <w:color w:val="7B7B7B" w:themeColor="accent3" w:themeShade="BF"/>
          <w:sz w:val="22"/>
          <w:szCs w:val="22"/>
          <w:lang w:val="en-GB"/>
        </w:rPr>
      </w:pPr>
    </w:p>
    <w:p w14:paraId="7690E066" w14:textId="77777777" w:rsidR="00141E26" w:rsidRPr="00141E26" w:rsidRDefault="00141E26" w:rsidP="00141E26">
      <w:pPr>
        <w:pStyle w:val="ListParagraph"/>
        <w:numPr>
          <w:ilvl w:val="0"/>
          <w:numId w:val="29"/>
        </w:numPr>
        <w:jc w:val="both"/>
        <w:rPr>
          <w:rFonts w:ascii="Arial" w:hAnsi="Arial" w:cs="Arial"/>
          <w:color w:val="7B7B7B" w:themeColor="accent3" w:themeShade="BF"/>
          <w:sz w:val="22"/>
          <w:szCs w:val="22"/>
          <w:lang w:val="en-GB"/>
        </w:rPr>
      </w:pPr>
      <w:r w:rsidRPr="00141E26">
        <w:rPr>
          <w:rFonts w:ascii="Arial" w:hAnsi="Arial" w:cs="Arial"/>
          <w:color w:val="7B7B7B" w:themeColor="accent3" w:themeShade="BF"/>
          <w:sz w:val="22"/>
          <w:szCs w:val="22"/>
          <w:lang w:val="en-GB"/>
        </w:rPr>
        <w:t>contract that is a license, permit or approval by a government or statutory body;</w:t>
      </w:r>
    </w:p>
    <w:p w14:paraId="2EFD909B" w14:textId="77777777" w:rsidR="00141E26" w:rsidRPr="00141E26" w:rsidRDefault="00141E26" w:rsidP="00141E26">
      <w:pPr>
        <w:jc w:val="both"/>
        <w:rPr>
          <w:rFonts w:ascii="Arial" w:hAnsi="Arial" w:cs="Arial"/>
          <w:color w:val="7B7B7B" w:themeColor="accent3" w:themeShade="BF"/>
          <w:sz w:val="22"/>
          <w:szCs w:val="22"/>
          <w:lang w:val="en-GB"/>
        </w:rPr>
      </w:pPr>
    </w:p>
    <w:p w14:paraId="50A16559" w14:textId="77777777" w:rsidR="00141E26" w:rsidRPr="00141E26" w:rsidRDefault="00141E26" w:rsidP="00141E26">
      <w:pPr>
        <w:pStyle w:val="ListParagraph"/>
        <w:numPr>
          <w:ilvl w:val="0"/>
          <w:numId w:val="29"/>
        </w:numPr>
        <w:jc w:val="both"/>
        <w:rPr>
          <w:rFonts w:ascii="Arial" w:hAnsi="Arial" w:cs="Arial"/>
          <w:color w:val="7B7B7B" w:themeColor="accent3" w:themeShade="BF"/>
          <w:sz w:val="22"/>
          <w:szCs w:val="22"/>
          <w:lang w:val="en-GB"/>
        </w:rPr>
      </w:pPr>
      <w:r w:rsidRPr="00141E26">
        <w:rPr>
          <w:rFonts w:ascii="Arial" w:hAnsi="Arial" w:cs="Arial"/>
          <w:color w:val="7B7B7B" w:themeColor="accent3" w:themeShade="BF"/>
          <w:sz w:val="22"/>
          <w:szCs w:val="22"/>
          <w:lang w:val="en-GB"/>
        </w:rPr>
        <w:t>any commercial charter of a ship; or</w:t>
      </w:r>
    </w:p>
    <w:p w14:paraId="5AB9D568" w14:textId="77777777" w:rsidR="00141E26" w:rsidRPr="00141E26" w:rsidRDefault="00141E26" w:rsidP="00141E26">
      <w:pPr>
        <w:jc w:val="both"/>
        <w:rPr>
          <w:rFonts w:ascii="Arial" w:hAnsi="Arial" w:cs="Arial"/>
          <w:color w:val="7B7B7B" w:themeColor="accent3" w:themeShade="BF"/>
          <w:sz w:val="22"/>
          <w:szCs w:val="22"/>
          <w:lang w:val="en-GB"/>
        </w:rPr>
      </w:pPr>
    </w:p>
    <w:p w14:paraId="263CDAF6" w14:textId="77777777" w:rsidR="00141E26" w:rsidRPr="00141E26" w:rsidRDefault="00141E26" w:rsidP="00141E26">
      <w:pPr>
        <w:pStyle w:val="ListParagraph"/>
        <w:numPr>
          <w:ilvl w:val="0"/>
          <w:numId w:val="29"/>
        </w:numPr>
        <w:jc w:val="both"/>
        <w:rPr>
          <w:rFonts w:ascii="Arial" w:hAnsi="Arial" w:cs="Arial"/>
          <w:color w:val="7B7B7B" w:themeColor="accent3" w:themeShade="BF"/>
          <w:sz w:val="22"/>
          <w:szCs w:val="22"/>
          <w:lang w:val="en-GB"/>
        </w:rPr>
      </w:pPr>
      <w:r w:rsidRPr="00141E26">
        <w:rPr>
          <w:rFonts w:ascii="Arial" w:hAnsi="Arial" w:cs="Arial"/>
          <w:color w:val="7B7B7B" w:themeColor="accent3" w:themeShade="BF"/>
          <w:sz w:val="22"/>
          <w:szCs w:val="22"/>
          <w:lang w:val="en-GB"/>
        </w:rPr>
        <w:t>any contract that is likely to affect the national interest, or economic interest of Singapore, as may be prescribed.</w:t>
      </w:r>
    </w:p>
    <w:p w14:paraId="6CB6864F" w14:textId="7C77135F" w:rsidR="00141E26" w:rsidRDefault="00141E26" w:rsidP="002A37BB">
      <w:pPr>
        <w:jc w:val="both"/>
        <w:rPr>
          <w:rFonts w:ascii="Arial" w:hAnsi="Arial" w:cs="Arial"/>
          <w:color w:val="7B7B7B" w:themeColor="accent3" w:themeShade="BF"/>
          <w:sz w:val="22"/>
          <w:szCs w:val="22"/>
          <w:lang w:val="en-GB"/>
        </w:rPr>
      </w:pPr>
    </w:p>
    <w:p w14:paraId="7F2F1F84" w14:textId="2734EEA0" w:rsidR="00AA1264" w:rsidRPr="00114617" w:rsidRDefault="00AA1264" w:rsidP="00AA1264">
      <w:pPr>
        <w:pStyle w:val="ListParagraph"/>
        <w:numPr>
          <w:ilvl w:val="0"/>
          <w:numId w:val="28"/>
        </w:numPr>
        <w:jc w:val="both"/>
        <w:rPr>
          <w:rFonts w:ascii="Arial" w:hAnsi="Arial" w:cs="Arial"/>
          <w:color w:val="7B7B7B" w:themeColor="accent3" w:themeShade="BF"/>
          <w:sz w:val="22"/>
          <w:szCs w:val="22"/>
          <w:u w:val="single"/>
          <w:lang w:val="en-GB"/>
        </w:rPr>
      </w:pPr>
      <w:r w:rsidRPr="00114617">
        <w:rPr>
          <w:rFonts w:ascii="Arial" w:hAnsi="Arial" w:cs="Arial"/>
          <w:color w:val="7B7B7B" w:themeColor="accent3" w:themeShade="BF"/>
          <w:sz w:val="22"/>
          <w:szCs w:val="22"/>
          <w:u w:val="single"/>
          <w:lang w:val="en-GB"/>
        </w:rPr>
        <w:t xml:space="preserve">Wrongful Trading - </w:t>
      </w:r>
    </w:p>
    <w:p w14:paraId="4E6412EF" w14:textId="6B280579" w:rsidR="00544127" w:rsidRPr="00114617" w:rsidRDefault="00544127" w:rsidP="00141E26">
      <w:pPr>
        <w:jc w:val="both"/>
        <w:rPr>
          <w:rFonts w:ascii="Arial" w:hAnsi="Arial" w:cs="Arial"/>
          <w:sz w:val="22"/>
          <w:szCs w:val="22"/>
        </w:rPr>
      </w:pPr>
    </w:p>
    <w:p w14:paraId="6E72A4C3" w14:textId="39937000" w:rsidR="00C33842" w:rsidRPr="00114617" w:rsidRDefault="00C33842" w:rsidP="00C33842">
      <w:pPr>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Section 239(12) of the IRDA outlines the concept of wrongful trading, which provides that a company trades wrongfully if:</w:t>
      </w:r>
    </w:p>
    <w:p w14:paraId="3F27C7F3" w14:textId="77777777" w:rsidR="00C33842" w:rsidRPr="00114617" w:rsidRDefault="00C33842" w:rsidP="00C33842">
      <w:pPr>
        <w:jc w:val="both"/>
        <w:rPr>
          <w:rFonts w:ascii="Arial" w:hAnsi="Arial" w:cs="Arial"/>
          <w:color w:val="7B7B7B" w:themeColor="accent3" w:themeShade="BF"/>
          <w:sz w:val="22"/>
          <w:szCs w:val="22"/>
          <w:lang w:val="en-GB"/>
        </w:rPr>
      </w:pPr>
    </w:p>
    <w:p w14:paraId="742E7989" w14:textId="392910D4" w:rsidR="00C33842" w:rsidRPr="00114617" w:rsidRDefault="00C33842" w:rsidP="00114617">
      <w:pPr>
        <w:pStyle w:val="ListParagraph"/>
        <w:numPr>
          <w:ilvl w:val="0"/>
          <w:numId w:val="46"/>
        </w:numPr>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the company, when insolvent, incurs debts or liabilities without reasonable prospect of meeting them in full; or</w:t>
      </w:r>
    </w:p>
    <w:p w14:paraId="77775740" w14:textId="77777777" w:rsidR="00C33842" w:rsidRPr="00114617" w:rsidRDefault="00C33842" w:rsidP="00114617">
      <w:pPr>
        <w:jc w:val="both"/>
        <w:rPr>
          <w:rFonts w:ascii="Arial" w:hAnsi="Arial" w:cs="Arial"/>
          <w:color w:val="7B7B7B" w:themeColor="accent3" w:themeShade="BF"/>
          <w:sz w:val="22"/>
          <w:szCs w:val="22"/>
          <w:lang w:val="en-GB"/>
        </w:rPr>
      </w:pPr>
    </w:p>
    <w:p w14:paraId="7966E84B" w14:textId="385B21F8" w:rsidR="00C33842" w:rsidRPr="00114617" w:rsidRDefault="00C33842" w:rsidP="00114617">
      <w:pPr>
        <w:pStyle w:val="ListParagraph"/>
        <w:numPr>
          <w:ilvl w:val="0"/>
          <w:numId w:val="46"/>
        </w:numPr>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the company incurs debts or liabilities that it has no reasonable prospect of meeting in full and that result in the company becoming insolvent.</w:t>
      </w:r>
    </w:p>
    <w:p w14:paraId="1B32FA57" w14:textId="70ACE89E" w:rsidR="00C33842" w:rsidRPr="00114617" w:rsidRDefault="00C33842" w:rsidP="00C33842">
      <w:pPr>
        <w:jc w:val="both"/>
        <w:rPr>
          <w:rFonts w:ascii="Arial" w:hAnsi="Arial" w:cs="Arial"/>
          <w:color w:val="7B7B7B" w:themeColor="accent3" w:themeShade="BF"/>
          <w:sz w:val="22"/>
          <w:szCs w:val="22"/>
          <w:lang w:val="en-GB"/>
        </w:rPr>
      </w:pPr>
    </w:p>
    <w:p w14:paraId="5B8B7F72" w14:textId="66529937" w:rsidR="00C33842" w:rsidRPr="00114617" w:rsidRDefault="00C33842" w:rsidP="00C33842">
      <w:pPr>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If it is established that a company has traded wrongfully, any person who was a party to such wrongful trading can be made personally responsible for all or part of the debts or liabilities of the company, where it is established that such person knew that the company was trading wrongfully or, as an officer of the company, ought to have known that the company was trading wrongfully. Section 239(2) of the IRDA includes a statutory defense for personal liability. In this regard, the Court may relieve the person of personal liability if the person acted honestly and having regard to all the circumstances of the case, the person ought fairly to be relieved from personal liability.</w:t>
      </w:r>
    </w:p>
    <w:p w14:paraId="09CCB990" w14:textId="0DF76FFB" w:rsidR="00C33842" w:rsidRPr="00114617" w:rsidRDefault="00C33842" w:rsidP="00C33842">
      <w:pPr>
        <w:jc w:val="both"/>
        <w:rPr>
          <w:rFonts w:ascii="Arial" w:hAnsi="Arial" w:cs="Arial"/>
          <w:color w:val="7B7B7B" w:themeColor="accent3" w:themeShade="BF"/>
          <w:sz w:val="22"/>
          <w:szCs w:val="22"/>
          <w:lang w:val="en-GB"/>
        </w:rPr>
      </w:pPr>
    </w:p>
    <w:p w14:paraId="688F992B" w14:textId="69F25552" w:rsidR="00C33842" w:rsidRPr="00114617" w:rsidRDefault="00C33842" w:rsidP="00114617">
      <w:pPr>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Section 239(6) of the IRDA further stipulates that where a company has traded wrongfully, every person who was a party to the wrongful trading and who (a) knew that the company was trading wrongfully; or (b) as an officer of the company, ought, in all the circumstances, to have known that the company was trading wrongfully, shall be guilty of an offence and shall be liable on conviction to a fine not exceeding $10,000 or to imprisonment for a term not exceeding 3 years or to both.</w:t>
      </w:r>
    </w:p>
    <w:p w14:paraId="3464F680" w14:textId="77777777" w:rsidR="00C33842" w:rsidRPr="00114617" w:rsidRDefault="00C33842" w:rsidP="00C33842">
      <w:pPr>
        <w:jc w:val="both"/>
        <w:rPr>
          <w:rFonts w:ascii="Arial" w:hAnsi="Arial" w:cs="Arial"/>
          <w:sz w:val="22"/>
          <w:szCs w:val="22"/>
          <w:highlight w:val="green"/>
        </w:rPr>
      </w:pPr>
    </w:p>
    <w:p w14:paraId="21E8E558" w14:textId="77777777" w:rsidR="00C550C8" w:rsidRPr="00114617" w:rsidRDefault="0007291B" w:rsidP="00C5332A">
      <w:pPr>
        <w:jc w:val="both"/>
        <w:rPr>
          <w:rFonts w:ascii="Arial" w:hAnsi="Arial" w:cs="Arial"/>
          <w:b/>
          <w:bCs/>
          <w:sz w:val="22"/>
          <w:szCs w:val="22"/>
        </w:rPr>
      </w:pPr>
      <w:r w:rsidRPr="00114617">
        <w:rPr>
          <w:rFonts w:ascii="Arial" w:hAnsi="Arial" w:cs="Arial"/>
          <w:b/>
          <w:bCs/>
          <w:sz w:val="22"/>
          <w:szCs w:val="22"/>
        </w:rPr>
        <w:t xml:space="preserve">Question </w:t>
      </w:r>
      <w:r w:rsidR="00544127" w:rsidRPr="00114617">
        <w:rPr>
          <w:rFonts w:ascii="Arial" w:hAnsi="Arial" w:cs="Arial"/>
          <w:b/>
          <w:bCs/>
          <w:sz w:val="22"/>
          <w:szCs w:val="22"/>
        </w:rPr>
        <w:t>3.2</w:t>
      </w:r>
      <w:r w:rsidRPr="00114617">
        <w:rPr>
          <w:rFonts w:ascii="Arial" w:hAnsi="Arial" w:cs="Arial"/>
          <w:b/>
          <w:bCs/>
          <w:sz w:val="22"/>
          <w:szCs w:val="22"/>
        </w:rPr>
        <w:t xml:space="preserve"> </w:t>
      </w:r>
      <w:r w:rsidRPr="00114617">
        <w:rPr>
          <w:rFonts w:ascii="Arial" w:hAnsi="Arial" w:cs="Arial"/>
          <w:b/>
          <w:bCs/>
          <w:sz w:val="22"/>
          <w:szCs w:val="22"/>
          <w:lang w:val="en-GB"/>
        </w:rPr>
        <w:t>[</w:t>
      </w:r>
      <w:r w:rsidR="006A2646" w:rsidRPr="00114617">
        <w:rPr>
          <w:rFonts w:ascii="Arial" w:hAnsi="Arial" w:cs="Arial"/>
          <w:b/>
          <w:bCs/>
          <w:sz w:val="22"/>
          <w:szCs w:val="22"/>
          <w:lang w:val="en-GB"/>
        </w:rPr>
        <w:t>m</w:t>
      </w:r>
      <w:r w:rsidRPr="00114617">
        <w:rPr>
          <w:rFonts w:ascii="Arial" w:hAnsi="Arial" w:cs="Arial"/>
          <w:b/>
          <w:bCs/>
          <w:sz w:val="22"/>
          <w:szCs w:val="22"/>
          <w:lang w:val="en-GB"/>
        </w:rPr>
        <w:t xml:space="preserve">aximum </w:t>
      </w:r>
      <w:r w:rsidR="00087F21" w:rsidRPr="00114617">
        <w:rPr>
          <w:rFonts w:ascii="Arial" w:hAnsi="Arial" w:cs="Arial"/>
          <w:b/>
          <w:bCs/>
          <w:sz w:val="22"/>
          <w:szCs w:val="22"/>
          <w:lang w:val="en-GB"/>
        </w:rPr>
        <w:t>7</w:t>
      </w:r>
      <w:r w:rsidRPr="00114617">
        <w:rPr>
          <w:rFonts w:ascii="Arial" w:hAnsi="Arial" w:cs="Arial"/>
          <w:b/>
          <w:bCs/>
          <w:sz w:val="22"/>
          <w:szCs w:val="22"/>
          <w:lang w:val="en-GB"/>
        </w:rPr>
        <w:t xml:space="preserve"> marks]</w:t>
      </w:r>
    </w:p>
    <w:p w14:paraId="7EB3363C" w14:textId="77777777" w:rsidR="00C550C8" w:rsidRPr="00114617" w:rsidRDefault="00C550C8" w:rsidP="002A37BB">
      <w:pPr>
        <w:ind w:left="720" w:hanging="720"/>
        <w:jc w:val="both"/>
        <w:rPr>
          <w:rFonts w:ascii="Arial" w:hAnsi="Arial" w:cs="Arial"/>
          <w:sz w:val="22"/>
          <w:szCs w:val="22"/>
        </w:rPr>
      </w:pPr>
    </w:p>
    <w:p w14:paraId="3C3490C3" w14:textId="01047D49" w:rsidR="00807119" w:rsidRPr="0046136D" w:rsidRDefault="0007291B" w:rsidP="002A37BB">
      <w:pPr>
        <w:jc w:val="both"/>
        <w:rPr>
          <w:rFonts w:ascii="Arial" w:hAnsi="Arial" w:cs="Arial"/>
          <w:sz w:val="22"/>
          <w:szCs w:val="22"/>
        </w:rPr>
      </w:pPr>
      <w:r w:rsidRPr="00114617">
        <w:rPr>
          <w:rFonts w:ascii="Arial" w:hAnsi="Arial" w:cs="Arial"/>
          <w:sz w:val="22"/>
          <w:szCs w:val="22"/>
          <w:lang w:val="en-GB"/>
        </w:rPr>
        <w:t>Write a</w:t>
      </w:r>
      <w:r w:rsidR="00C5332A" w:rsidRPr="00114617">
        <w:rPr>
          <w:rFonts w:ascii="Arial" w:hAnsi="Arial" w:cs="Arial"/>
          <w:sz w:val="22"/>
          <w:szCs w:val="22"/>
          <w:lang w:val="en-GB"/>
        </w:rPr>
        <w:t xml:space="preserve"> brief</w:t>
      </w:r>
      <w:r w:rsidRPr="00114617">
        <w:rPr>
          <w:rFonts w:ascii="Arial" w:hAnsi="Arial" w:cs="Arial"/>
          <w:sz w:val="22"/>
          <w:szCs w:val="22"/>
          <w:lang w:val="en-GB"/>
        </w:rPr>
        <w:t xml:space="preserve"> essay in which you discuss </w:t>
      </w:r>
      <w:r w:rsidR="001A4484" w:rsidRPr="00114617">
        <w:rPr>
          <w:rFonts w:ascii="Arial" w:hAnsi="Arial" w:cs="Arial"/>
          <w:sz w:val="22"/>
          <w:szCs w:val="22"/>
          <w:lang w:val="en-GB"/>
        </w:rPr>
        <w:t xml:space="preserve">the differences between a judicial management and </w:t>
      </w:r>
      <w:r w:rsidR="00406AE7" w:rsidRPr="00114617">
        <w:rPr>
          <w:rFonts w:ascii="Arial" w:hAnsi="Arial" w:cs="Arial"/>
          <w:sz w:val="22"/>
          <w:szCs w:val="22"/>
          <w:lang w:val="en-GB"/>
        </w:rPr>
        <w:t>liquidation</w:t>
      </w:r>
      <w:r w:rsidRPr="00114617">
        <w:rPr>
          <w:rFonts w:ascii="Arial" w:hAnsi="Arial" w:cs="Arial"/>
          <w:sz w:val="22"/>
          <w:szCs w:val="22"/>
          <w:lang w:val="en-GB"/>
        </w:rPr>
        <w:t>.</w:t>
      </w:r>
    </w:p>
    <w:p w14:paraId="47A25125" w14:textId="77777777" w:rsidR="00DF75F8" w:rsidRPr="0046136D" w:rsidRDefault="00DF75F8" w:rsidP="002A37BB">
      <w:pPr>
        <w:jc w:val="both"/>
        <w:rPr>
          <w:rFonts w:ascii="Arial" w:hAnsi="Arial" w:cs="Arial"/>
          <w:sz w:val="22"/>
          <w:szCs w:val="22"/>
        </w:rPr>
      </w:pPr>
    </w:p>
    <w:p w14:paraId="3FE76140" w14:textId="1B2B724A" w:rsidR="00C33842" w:rsidRPr="00114617" w:rsidRDefault="00C33842" w:rsidP="00114617">
      <w:pPr>
        <w:pStyle w:val="ListParagraph"/>
        <w:numPr>
          <w:ilvl w:val="0"/>
          <w:numId w:val="47"/>
        </w:numPr>
        <w:ind w:left="540" w:hanging="54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 xml:space="preserve">Under the IRDA, judicial management is a court supervised process under which a judicial manager is appointed to </w:t>
      </w:r>
      <w:proofErr w:type="spellStart"/>
      <w:r w:rsidRPr="00114617">
        <w:rPr>
          <w:rFonts w:ascii="Arial" w:hAnsi="Arial" w:cs="Arial"/>
          <w:color w:val="7B7B7B" w:themeColor="accent3" w:themeShade="BF"/>
          <w:sz w:val="22"/>
          <w:szCs w:val="22"/>
          <w:lang w:val="en-GB"/>
        </w:rPr>
        <w:t>takeover</w:t>
      </w:r>
      <w:proofErr w:type="spellEnd"/>
      <w:r w:rsidRPr="00114617">
        <w:rPr>
          <w:rFonts w:ascii="Arial" w:hAnsi="Arial" w:cs="Arial"/>
          <w:color w:val="7B7B7B" w:themeColor="accent3" w:themeShade="BF"/>
          <w:sz w:val="22"/>
          <w:szCs w:val="22"/>
          <w:lang w:val="en-GB"/>
        </w:rPr>
        <w:t xml:space="preserve"> the management of a distressed company, with the aim of providing viable companies in financial distress the opportunity to rehabilitate or restructure their debts so that they can resume business as a going </w:t>
      </w:r>
      <w:r w:rsidRPr="00114617">
        <w:rPr>
          <w:rFonts w:ascii="Arial" w:hAnsi="Arial" w:cs="Arial"/>
          <w:color w:val="7B7B7B" w:themeColor="accent3" w:themeShade="BF"/>
          <w:sz w:val="22"/>
          <w:szCs w:val="22"/>
          <w:lang w:val="en-GB"/>
        </w:rPr>
        <w:lastRenderedPageBreak/>
        <w:t xml:space="preserve">concern. Judicial management is fundamentally a rehabilitation and rescue process, which differentiates it from a liquidation process. </w:t>
      </w:r>
    </w:p>
    <w:p w14:paraId="2A8AA1BA" w14:textId="77777777" w:rsidR="00C33842" w:rsidRPr="00114617" w:rsidRDefault="00C33842" w:rsidP="00114617">
      <w:pPr>
        <w:jc w:val="both"/>
        <w:rPr>
          <w:rFonts w:ascii="Arial" w:hAnsi="Arial" w:cs="Arial"/>
          <w:color w:val="7B7B7B" w:themeColor="accent3" w:themeShade="BF"/>
          <w:sz w:val="22"/>
          <w:szCs w:val="22"/>
          <w:lang w:val="en-GB"/>
        </w:rPr>
      </w:pPr>
    </w:p>
    <w:p w14:paraId="236B2F5E" w14:textId="77777777" w:rsidR="00C33842" w:rsidRPr="00114617" w:rsidRDefault="00C33842" w:rsidP="00114617">
      <w:pPr>
        <w:pStyle w:val="ListParagraph"/>
        <w:numPr>
          <w:ilvl w:val="0"/>
          <w:numId w:val="47"/>
        </w:numPr>
        <w:ind w:left="540" w:hanging="54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As contemplated in Sections 89 and 91(1)(b) of the IRDA, prior to a court passing a judicial management order, it is required to consider inter alia the following factors:</w:t>
      </w:r>
    </w:p>
    <w:p w14:paraId="6204F7F9" w14:textId="77777777" w:rsidR="00C33842" w:rsidRPr="00114617" w:rsidRDefault="00C33842" w:rsidP="00114617">
      <w:pPr>
        <w:jc w:val="both"/>
        <w:rPr>
          <w:rFonts w:ascii="Arial" w:hAnsi="Arial" w:cs="Arial"/>
          <w:color w:val="7B7B7B" w:themeColor="accent3" w:themeShade="BF"/>
          <w:sz w:val="22"/>
          <w:szCs w:val="22"/>
          <w:lang w:val="en-GB"/>
        </w:rPr>
      </w:pPr>
    </w:p>
    <w:p w14:paraId="73A9E897" w14:textId="77777777" w:rsidR="00C33842" w:rsidRPr="00114617" w:rsidRDefault="00C33842" w:rsidP="00114617">
      <w:pPr>
        <w:pStyle w:val="ListParagraph"/>
        <w:numPr>
          <w:ilvl w:val="0"/>
          <w:numId w:val="48"/>
        </w:numPr>
        <w:ind w:left="99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 xml:space="preserve">the survival of the company, or the whole or part of its undertaking as a going concern; </w:t>
      </w:r>
    </w:p>
    <w:p w14:paraId="584CE097" w14:textId="77777777" w:rsidR="00C33842" w:rsidRPr="00114617" w:rsidRDefault="00C33842" w:rsidP="00114617">
      <w:pPr>
        <w:jc w:val="both"/>
        <w:rPr>
          <w:rFonts w:ascii="Arial" w:hAnsi="Arial" w:cs="Arial"/>
          <w:color w:val="7B7B7B" w:themeColor="accent3" w:themeShade="BF"/>
          <w:sz w:val="22"/>
          <w:szCs w:val="22"/>
          <w:lang w:val="en-GB"/>
        </w:rPr>
      </w:pPr>
    </w:p>
    <w:p w14:paraId="1850E4E3" w14:textId="77777777" w:rsidR="00C33842" w:rsidRPr="00114617" w:rsidRDefault="00C33842" w:rsidP="00114617">
      <w:pPr>
        <w:pStyle w:val="ListParagraph"/>
        <w:numPr>
          <w:ilvl w:val="0"/>
          <w:numId w:val="48"/>
        </w:numPr>
        <w:ind w:left="99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the approval of a compromise or an arrangement in respect of the company; and</w:t>
      </w:r>
    </w:p>
    <w:p w14:paraId="72699EBF" w14:textId="77777777" w:rsidR="00C33842" w:rsidRPr="00114617" w:rsidRDefault="00C33842" w:rsidP="00114617">
      <w:pPr>
        <w:jc w:val="both"/>
        <w:rPr>
          <w:rFonts w:ascii="Arial" w:hAnsi="Arial" w:cs="Arial"/>
          <w:color w:val="7B7B7B" w:themeColor="accent3" w:themeShade="BF"/>
          <w:sz w:val="22"/>
          <w:szCs w:val="22"/>
          <w:lang w:val="en-GB"/>
        </w:rPr>
      </w:pPr>
    </w:p>
    <w:p w14:paraId="58FBEDC3" w14:textId="77777777" w:rsidR="00C33842" w:rsidRPr="00114617" w:rsidRDefault="00C33842" w:rsidP="00114617">
      <w:pPr>
        <w:pStyle w:val="ListParagraph"/>
        <w:numPr>
          <w:ilvl w:val="0"/>
          <w:numId w:val="48"/>
        </w:numPr>
        <w:ind w:left="99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a more advantageous realisation of the company's assets as compared to a liquidation.</w:t>
      </w:r>
    </w:p>
    <w:p w14:paraId="53DD2CBA" w14:textId="77777777" w:rsidR="00C33842" w:rsidRPr="00114617" w:rsidRDefault="00C33842" w:rsidP="00114617">
      <w:pPr>
        <w:jc w:val="both"/>
        <w:rPr>
          <w:rFonts w:ascii="Arial" w:hAnsi="Arial" w:cs="Arial"/>
          <w:color w:val="7B7B7B" w:themeColor="accent3" w:themeShade="BF"/>
          <w:sz w:val="22"/>
          <w:szCs w:val="22"/>
          <w:lang w:val="en-GB"/>
        </w:rPr>
      </w:pPr>
    </w:p>
    <w:p w14:paraId="7E5EB09F" w14:textId="77777777" w:rsidR="00643FBF" w:rsidRPr="00114617" w:rsidRDefault="00C33842" w:rsidP="00114617">
      <w:pPr>
        <w:pStyle w:val="ListParagraph"/>
        <w:numPr>
          <w:ilvl w:val="0"/>
          <w:numId w:val="47"/>
        </w:numPr>
        <w:ind w:left="540" w:hanging="54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 xml:space="preserve">Winding-up (or liquidation) proceedings, on the other hand, </w:t>
      </w:r>
      <w:r w:rsidR="00ED6C8D" w:rsidRPr="00114617">
        <w:rPr>
          <w:rFonts w:ascii="Arial" w:hAnsi="Arial" w:cs="Arial"/>
          <w:color w:val="7B7B7B" w:themeColor="accent3" w:themeShade="BF"/>
          <w:sz w:val="22"/>
          <w:szCs w:val="22"/>
          <w:lang w:val="en-GB"/>
        </w:rPr>
        <w:t xml:space="preserve">is a process where the company’s assets are seized and realised, with the resulting proceeds used to pay off its debts and liabilities. </w:t>
      </w:r>
      <w:r w:rsidR="005A5D67" w:rsidRPr="00114617">
        <w:rPr>
          <w:rFonts w:ascii="Arial" w:hAnsi="Arial" w:cs="Arial"/>
          <w:color w:val="7B7B7B" w:themeColor="accent3" w:themeShade="BF"/>
          <w:sz w:val="22"/>
          <w:szCs w:val="22"/>
          <w:lang w:val="en-GB"/>
        </w:rPr>
        <w:t>In the case of liquidation proceed</w:t>
      </w:r>
      <w:r w:rsidR="00294522" w:rsidRPr="00114617">
        <w:rPr>
          <w:rFonts w:ascii="Arial" w:hAnsi="Arial" w:cs="Arial"/>
          <w:color w:val="7B7B7B" w:themeColor="accent3" w:themeShade="BF"/>
          <w:sz w:val="22"/>
          <w:szCs w:val="22"/>
          <w:lang w:val="en-GB"/>
        </w:rPr>
        <w:t>ings</w:t>
      </w:r>
      <w:r w:rsidR="005A5D67" w:rsidRPr="00114617">
        <w:rPr>
          <w:rFonts w:ascii="Arial" w:hAnsi="Arial" w:cs="Arial"/>
          <w:color w:val="7B7B7B" w:themeColor="accent3" w:themeShade="BF"/>
          <w:sz w:val="22"/>
          <w:szCs w:val="22"/>
          <w:lang w:val="en-GB"/>
        </w:rPr>
        <w:t xml:space="preserve">, </w:t>
      </w:r>
      <w:r w:rsidR="00294522" w:rsidRPr="00114617">
        <w:rPr>
          <w:rFonts w:ascii="Arial" w:hAnsi="Arial" w:cs="Arial"/>
          <w:color w:val="7B7B7B" w:themeColor="accent3" w:themeShade="BF"/>
          <w:sz w:val="22"/>
          <w:szCs w:val="22"/>
          <w:lang w:val="en-GB"/>
        </w:rPr>
        <w:t>a</w:t>
      </w:r>
      <w:r w:rsidR="005A5D67" w:rsidRPr="00114617">
        <w:rPr>
          <w:rFonts w:ascii="Arial" w:hAnsi="Arial" w:cs="Arial"/>
          <w:color w:val="7B7B7B" w:themeColor="accent3" w:themeShade="BF"/>
          <w:sz w:val="22"/>
          <w:szCs w:val="22"/>
          <w:lang w:val="en-GB"/>
        </w:rPr>
        <w:t xml:space="preserve"> liquidator (or provisional liquidator) is appointed by the </w:t>
      </w:r>
      <w:r w:rsidR="00294522" w:rsidRPr="00114617">
        <w:rPr>
          <w:rFonts w:ascii="Arial" w:hAnsi="Arial" w:cs="Arial"/>
          <w:color w:val="7B7B7B" w:themeColor="accent3" w:themeShade="BF"/>
          <w:sz w:val="22"/>
          <w:szCs w:val="22"/>
          <w:lang w:val="en-GB"/>
        </w:rPr>
        <w:t>c</w:t>
      </w:r>
      <w:r w:rsidR="005A5D67" w:rsidRPr="00114617">
        <w:rPr>
          <w:rFonts w:ascii="Arial" w:hAnsi="Arial" w:cs="Arial"/>
          <w:color w:val="7B7B7B" w:themeColor="accent3" w:themeShade="BF"/>
          <w:sz w:val="22"/>
          <w:szCs w:val="22"/>
          <w:lang w:val="en-GB"/>
        </w:rPr>
        <w:t xml:space="preserve">ourt upon application by the company or its creditors. The liquidator may be either the Official Receiver or a private liquidator. </w:t>
      </w:r>
    </w:p>
    <w:p w14:paraId="5E3E1723" w14:textId="77777777" w:rsidR="00643FBF" w:rsidRPr="00114617" w:rsidRDefault="00643FBF" w:rsidP="00114617">
      <w:pPr>
        <w:jc w:val="both"/>
        <w:rPr>
          <w:rFonts w:ascii="Arial" w:hAnsi="Arial" w:cs="Arial"/>
          <w:color w:val="7B7B7B" w:themeColor="accent3" w:themeShade="BF"/>
          <w:sz w:val="22"/>
          <w:szCs w:val="22"/>
          <w:lang w:val="en-GB"/>
        </w:rPr>
      </w:pPr>
    </w:p>
    <w:p w14:paraId="09694C7A" w14:textId="14660AB3" w:rsidR="00ED6C8D" w:rsidRPr="00114617" w:rsidRDefault="00643FBF" w:rsidP="00114617">
      <w:pPr>
        <w:pStyle w:val="ListParagraph"/>
        <w:numPr>
          <w:ilvl w:val="0"/>
          <w:numId w:val="47"/>
        </w:numPr>
        <w:ind w:left="540" w:hanging="54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While a liquidation process can be initiated for solvent as well as insolvent companies under the IRDA, t</w:t>
      </w:r>
      <w:r w:rsidR="00ED6C8D" w:rsidRPr="00114617">
        <w:rPr>
          <w:rFonts w:ascii="Arial" w:hAnsi="Arial" w:cs="Arial"/>
          <w:color w:val="7B7B7B" w:themeColor="accent3" w:themeShade="BF"/>
          <w:sz w:val="22"/>
          <w:szCs w:val="22"/>
          <w:lang w:val="en-GB"/>
        </w:rPr>
        <w:t>he purposes of a liquidation are:</w:t>
      </w:r>
    </w:p>
    <w:p w14:paraId="46000B4E" w14:textId="77777777" w:rsidR="00ED6C8D" w:rsidRPr="00114617" w:rsidRDefault="00ED6C8D" w:rsidP="00114617">
      <w:pPr>
        <w:jc w:val="both"/>
        <w:rPr>
          <w:rFonts w:ascii="Arial" w:hAnsi="Arial" w:cs="Arial"/>
          <w:color w:val="7B7B7B" w:themeColor="accent3" w:themeShade="BF"/>
          <w:sz w:val="22"/>
          <w:szCs w:val="22"/>
          <w:lang w:val="en-GB"/>
        </w:rPr>
      </w:pPr>
    </w:p>
    <w:p w14:paraId="16E3C37D" w14:textId="1BFB5E8E" w:rsidR="00ED6C8D" w:rsidRPr="00114617" w:rsidRDefault="00ED6C8D" w:rsidP="00114617">
      <w:pPr>
        <w:pStyle w:val="ListParagraph"/>
        <w:numPr>
          <w:ilvl w:val="0"/>
          <w:numId w:val="49"/>
        </w:numPr>
        <w:ind w:left="99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to ensure a just distribution of the company's assets among creditors and contributories</w:t>
      </w:r>
      <w:r w:rsidR="005A4F63" w:rsidRPr="00114617">
        <w:rPr>
          <w:rFonts w:ascii="Arial" w:hAnsi="Arial" w:cs="Arial"/>
          <w:color w:val="7B7B7B" w:themeColor="accent3" w:themeShade="BF"/>
          <w:sz w:val="22"/>
          <w:szCs w:val="22"/>
          <w:lang w:val="en-GB"/>
        </w:rPr>
        <w:t xml:space="preserve">; and </w:t>
      </w:r>
    </w:p>
    <w:p w14:paraId="48D569B6" w14:textId="77777777" w:rsidR="00ED6C8D" w:rsidRPr="00114617" w:rsidRDefault="00ED6C8D" w:rsidP="00114617">
      <w:pPr>
        <w:jc w:val="both"/>
        <w:rPr>
          <w:rFonts w:ascii="Arial" w:hAnsi="Arial" w:cs="Arial"/>
          <w:color w:val="7B7B7B" w:themeColor="accent3" w:themeShade="BF"/>
          <w:sz w:val="22"/>
          <w:szCs w:val="22"/>
          <w:lang w:val="en-GB"/>
        </w:rPr>
      </w:pPr>
    </w:p>
    <w:p w14:paraId="3ACF4C1B" w14:textId="0ABE7D31" w:rsidR="00ED6C8D" w:rsidRPr="00114617" w:rsidRDefault="00ED6C8D" w:rsidP="00114617">
      <w:pPr>
        <w:pStyle w:val="ListParagraph"/>
        <w:numPr>
          <w:ilvl w:val="0"/>
          <w:numId w:val="49"/>
        </w:numPr>
        <w:ind w:left="99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to terminate the company's existence by its eventual dissolution</w:t>
      </w:r>
    </w:p>
    <w:p w14:paraId="5FE559A7" w14:textId="3DA77C67" w:rsidR="00C33842" w:rsidRPr="00114617" w:rsidRDefault="00C33842" w:rsidP="00114617">
      <w:pPr>
        <w:jc w:val="both"/>
        <w:rPr>
          <w:rFonts w:ascii="Arial" w:hAnsi="Arial" w:cs="Arial"/>
          <w:color w:val="7B7B7B" w:themeColor="accent3" w:themeShade="BF"/>
          <w:sz w:val="22"/>
          <w:szCs w:val="22"/>
          <w:lang w:val="en-GB"/>
        </w:rPr>
      </w:pPr>
    </w:p>
    <w:p w14:paraId="3E9FA450" w14:textId="77779C3E" w:rsidR="00ED6C8D" w:rsidRPr="00114617" w:rsidRDefault="00ED6C8D" w:rsidP="00114617">
      <w:pPr>
        <w:pStyle w:val="ListParagraph"/>
        <w:numPr>
          <w:ilvl w:val="0"/>
          <w:numId w:val="47"/>
        </w:numPr>
        <w:ind w:left="540" w:hanging="54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 xml:space="preserve">Accordingly, to summarise the </w:t>
      </w:r>
      <w:r w:rsidR="00CA04BF" w:rsidRPr="00114617">
        <w:rPr>
          <w:rFonts w:ascii="Arial" w:hAnsi="Arial" w:cs="Arial"/>
          <w:color w:val="7B7B7B" w:themeColor="accent3" w:themeShade="BF"/>
          <w:sz w:val="22"/>
          <w:szCs w:val="22"/>
          <w:lang w:val="en-GB"/>
        </w:rPr>
        <w:t xml:space="preserve">key </w:t>
      </w:r>
      <w:r w:rsidRPr="00114617">
        <w:rPr>
          <w:rFonts w:ascii="Arial" w:hAnsi="Arial" w:cs="Arial"/>
          <w:color w:val="7B7B7B" w:themeColor="accent3" w:themeShade="BF"/>
          <w:sz w:val="22"/>
          <w:szCs w:val="22"/>
          <w:lang w:val="en-GB"/>
        </w:rPr>
        <w:t>differences between judicial management and liquidation:</w:t>
      </w:r>
    </w:p>
    <w:p w14:paraId="0D6F5B2C" w14:textId="77777777" w:rsidR="00ED6C8D" w:rsidRPr="00114617" w:rsidRDefault="00ED6C8D" w:rsidP="00114617">
      <w:pPr>
        <w:jc w:val="both"/>
        <w:rPr>
          <w:rFonts w:ascii="Arial" w:hAnsi="Arial" w:cs="Arial"/>
          <w:color w:val="7B7B7B" w:themeColor="accent3" w:themeShade="BF"/>
          <w:sz w:val="22"/>
          <w:szCs w:val="22"/>
          <w:lang w:val="en-GB"/>
        </w:rPr>
      </w:pPr>
    </w:p>
    <w:p w14:paraId="611FC6ED" w14:textId="7438E8AD" w:rsidR="00ED6C8D" w:rsidRPr="00114617" w:rsidRDefault="00ED6C8D" w:rsidP="00114617">
      <w:pPr>
        <w:pStyle w:val="ListParagraph"/>
        <w:numPr>
          <w:ilvl w:val="0"/>
          <w:numId w:val="50"/>
        </w:numPr>
        <w:tabs>
          <w:tab w:val="left" w:pos="810"/>
        </w:tabs>
        <w:ind w:left="99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judicial management as a concept envisages rehabilitation and rescue of the company whereas liquidation contemplates dissolution of the company;</w:t>
      </w:r>
    </w:p>
    <w:p w14:paraId="63B1C371" w14:textId="77777777" w:rsidR="00ED6C8D" w:rsidRPr="00114617" w:rsidRDefault="00ED6C8D" w:rsidP="00114617">
      <w:pPr>
        <w:jc w:val="both"/>
        <w:rPr>
          <w:rFonts w:ascii="Arial" w:hAnsi="Arial" w:cs="Arial"/>
          <w:color w:val="7B7B7B" w:themeColor="accent3" w:themeShade="BF"/>
          <w:sz w:val="22"/>
          <w:szCs w:val="22"/>
          <w:lang w:val="en-GB"/>
        </w:rPr>
      </w:pPr>
    </w:p>
    <w:p w14:paraId="5F06B68A" w14:textId="37125D47" w:rsidR="00ED6C8D" w:rsidRPr="00114617" w:rsidRDefault="00ED6C8D" w:rsidP="00114617">
      <w:pPr>
        <w:pStyle w:val="ListParagraph"/>
        <w:numPr>
          <w:ilvl w:val="0"/>
          <w:numId w:val="50"/>
        </w:numPr>
        <w:ind w:left="990"/>
        <w:jc w:val="both"/>
        <w:rPr>
          <w:rFonts w:ascii="Arial" w:hAnsi="Arial" w:cs="Arial"/>
          <w:color w:val="7B7B7B" w:themeColor="accent3" w:themeShade="BF"/>
          <w:sz w:val="22"/>
          <w:szCs w:val="22"/>
          <w:lang w:val="en-GB"/>
        </w:rPr>
      </w:pPr>
      <w:r w:rsidRPr="00114617">
        <w:rPr>
          <w:rFonts w:ascii="Arial" w:hAnsi="Arial" w:cs="Arial"/>
          <w:color w:val="7B7B7B" w:themeColor="accent3" w:themeShade="BF"/>
          <w:sz w:val="22"/>
          <w:szCs w:val="22"/>
          <w:lang w:val="en-GB"/>
        </w:rPr>
        <w:t xml:space="preserve">on one hand, under judicial management, the judicial manager manages the affairs of the company with the intent of revival, when a company is being wound up, the company’s business ceases to operate and its assets and affairs are handed over to an independent liquidator whose powers, duties and functions are regulated by the </w:t>
      </w:r>
      <w:r w:rsidR="00F730D5" w:rsidRPr="00114617">
        <w:rPr>
          <w:rFonts w:ascii="Arial" w:hAnsi="Arial" w:cs="Arial"/>
          <w:color w:val="7B7B7B" w:themeColor="accent3" w:themeShade="BF"/>
          <w:sz w:val="22"/>
          <w:szCs w:val="22"/>
          <w:lang w:val="en-GB"/>
        </w:rPr>
        <w:t>IRDA</w:t>
      </w:r>
      <w:r w:rsidRPr="00114617">
        <w:rPr>
          <w:rFonts w:ascii="Arial" w:hAnsi="Arial" w:cs="Arial"/>
          <w:color w:val="7B7B7B" w:themeColor="accent3" w:themeShade="BF"/>
          <w:sz w:val="22"/>
          <w:szCs w:val="22"/>
          <w:lang w:val="en-GB"/>
        </w:rPr>
        <w:t>.</w:t>
      </w:r>
    </w:p>
    <w:p w14:paraId="1319C98E" w14:textId="77777777" w:rsidR="007E40F0" w:rsidRPr="0046136D"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1"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lastRenderedPageBreak/>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Pr="00A666AA" w:rsidRDefault="00105948" w:rsidP="00B81AE8">
      <w:pPr>
        <w:jc w:val="both"/>
        <w:rPr>
          <w:rFonts w:ascii="Arial" w:hAnsi="Arial" w:cs="Arial"/>
          <w:sz w:val="22"/>
          <w:szCs w:val="22"/>
          <w:lang w:val="en-IN"/>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692224AF" w14:textId="0379A939" w:rsidR="00C476F5" w:rsidRPr="00C476F5" w:rsidRDefault="00856BD4" w:rsidP="00C476F5">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proofErr w:type="gramStart"/>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proofErr w:type="gramEnd"/>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proofErr w:type="gramStart"/>
      <w:r>
        <w:rPr>
          <w:rFonts w:ascii="Arial" w:hAnsi="Arial" w:cs="Arial"/>
          <w:sz w:val="22"/>
          <w:szCs w:val="22"/>
          <w:lang w:val="en-GB"/>
        </w:rPr>
        <w:t>Assuming  that</w:t>
      </w:r>
      <w:proofErr w:type="gramEnd"/>
      <w:r>
        <w:rPr>
          <w:rFonts w:ascii="Arial" w:hAnsi="Arial" w:cs="Arial"/>
          <w:sz w:val="22"/>
          <w:szCs w:val="22"/>
          <w:lang w:val="en-GB"/>
        </w:rPr>
        <w:t xml:space="preserve">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1E4DBF8E" w14:textId="2432B11D" w:rsidR="00C32BAD" w:rsidRDefault="00C476F5" w:rsidP="00FC02EF">
      <w:pPr>
        <w:pStyle w:val="ListParagraph"/>
        <w:numPr>
          <w:ilvl w:val="0"/>
          <w:numId w:val="25"/>
        </w:numPr>
        <w:jc w:val="both"/>
        <w:rPr>
          <w:rFonts w:ascii="Arial" w:hAnsi="Arial" w:cs="Arial"/>
          <w:color w:val="7B7B7B" w:themeColor="accent3" w:themeShade="BF"/>
          <w:sz w:val="22"/>
          <w:szCs w:val="22"/>
          <w:lang w:val="en-GB"/>
        </w:rPr>
      </w:pPr>
      <w:r w:rsidRPr="00FC02EF">
        <w:rPr>
          <w:rFonts w:ascii="Arial" w:hAnsi="Arial" w:cs="Arial"/>
          <w:color w:val="7B7B7B" w:themeColor="accent3" w:themeShade="BF"/>
          <w:sz w:val="22"/>
          <w:szCs w:val="22"/>
          <w:lang w:val="en-GB"/>
        </w:rPr>
        <w:lastRenderedPageBreak/>
        <w:t xml:space="preserve">Judicial management proceeding is one of the corporate rescue tools under the IRDA </w:t>
      </w:r>
      <w:r w:rsidR="00FC02EF">
        <w:rPr>
          <w:rFonts w:ascii="Arial" w:hAnsi="Arial" w:cs="Arial"/>
          <w:color w:val="7B7B7B" w:themeColor="accent3" w:themeShade="BF"/>
          <w:sz w:val="22"/>
          <w:szCs w:val="22"/>
          <w:lang w:val="en-GB"/>
        </w:rPr>
        <w:t xml:space="preserve">aimed at providing </w:t>
      </w:r>
      <w:r w:rsidRPr="00FC02EF">
        <w:rPr>
          <w:rFonts w:ascii="Arial" w:hAnsi="Arial" w:cs="Arial"/>
          <w:color w:val="7B7B7B" w:themeColor="accent3" w:themeShade="BF"/>
          <w:sz w:val="22"/>
          <w:szCs w:val="22"/>
          <w:lang w:val="en-GB"/>
        </w:rPr>
        <w:t xml:space="preserve">viable companies in financial distress the opportunity to rehabilitate or restructure their debts so that they can resume business as a going concern. </w:t>
      </w:r>
      <w:r w:rsidR="00C32BAD">
        <w:rPr>
          <w:rFonts w:ascii="Arial" w:hAnsi="Arial" w:cs="Arial"/>
          <w:color w:val="7B7B7B" w:themeColor="accent3" w:themeShade="BF"/>
          <w:sz w:val="22"/>
          <w:szCs w:val="22"/>
          <w:lang w:val="en-GB"/>
        </w:rPr>
        <w:t>Its fundamental purposes as set out under Section 89(1) of IRDA are:</w:t>
      </w:r>
    </w:p>
    <w:p w14:paraId="62A9A2E3" w14:textId="77777777" w:rsidR="00C32BAD" w:rsidRPr="00C32BAD" w:rsidRDefault="00C32BAD" w:rsidP="00C32BAD">
      <w:pPr>
        <w:jc w:val="both"/>
        <w:rPr>
          <w:rFonts w:ascii="Arial" w:hAnsi="Arial" w:cs="Arial"/>
          <w:color w:val="7B7B7B" w:themeColor="accent3" w:themeShade="BF"/>
          <w:sz w:val="22"/>
          <w:szCs w:val="22"/>
          <w:lang w:val="en-GB"/>
        </w:rPr>
      </w:pPr>
    </w:p>
    <w:p w14:paraId="361BA1F0" w14:textId="0D738E10" w:rsidR="00C32BAD" w:rsidRDefault="00C32BAD" w:rsidP="00C32BAD">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survival of a company or whole pr part of its undertaking as a going concern;</w:t>
      </w:r>
    </w:p>
    <w:p w14:paraId="68D07E4D" w14:textId="4A216C4A" w:rsidR="00C32BAD" w:rsidRDefault="00C32BAD" w:rsidP="00C32BAD">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approval of a compromise or an arrangement between company and such persons mentioned din section 71 of the Companies Act or section 71 of the IRDA;</w:t>
      </w:r>
    </w:p>
    <w:p w14:paraId="13BE5231" w14:textId="19A24796" w:rsidR="00C32BAD" w:rsidRDefault="00C32BAD" w:rsidP="00C32BAD">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and a more advantageous realisation of the company’ assets or property than in its winding up.</w:t>
      </w:r>
    </w:p>
    <w:p w14:paraId="7EDF37C7" w14:textId="17540D60" w:rsidR="00C476F5" w:rsidRDefault="00C476F5" w:rsidP="00C32BAD">
      <w:pPr>
        <w:pStyle w:val="ListParagraph"/>
        <w:ind w:left="1146"/>
        <w:jc w:val="both"/>
        <w:rPr>
          <w:rFonts w:ascii="Arial" w:hAnsi="Arial" w:cs="Arial"/>
          <w:color w:val="7B7B7B" w:themeColor="accent3" w:themeShade="BF"/>
          <w:sz w:val="22"/>
          <w:szCs w:val="22"/>
          <w:lang w:val="en-GB"/>
        </w:rPr>
      </w:pPr>
      <w:r w:rsidRPr="00FC02EF">
        <w:rPr>
          <w:rFonts w:ascii="Arial" w:hAnsi="Arial" w:cs="Arial"/>
          <w:color w:val="7B7B7B" w:themeColor="accent3" w:themeShade="BF"/>
          <w:sz w:val="22"/>
          <w:szCs w:val="22"/>
          <w:lang w:val="en-GB"/>
        </w:rPr>
        <w:t xml:space="preserve">A judicial manager is appointed to take control of a company and to propose a plan to restructure or compromise the company's debts and obligations with its creditors. During the period of this judicial management, a moratorium against legal proceedings is automatically put in place to preserve the company's assets. The </w:t>
      </w:r>
      <w:r w:rsidR="00FC02EF" w:rsidRPr="00FC02EF">
        <w:rPr>
          <w:rFonts w:ascii="Arial" w:hAnsi="Arial" w:cs="Arial"/>
          <w:color w:val="7B7B7B" w:themeColor="accent3" w:themeShade="BF"/>
          <w:sz w:val="22"/>
          <w:szCs w:val="22"/>
          <w:lang w:val="en-GB"/>
        </w:rPr>
        <w:t xml:space="preserve">bank lenders including other creditors of the PEC may form a creditor’s committee, which can require the judicial </w:t>
      </w:r>
      <w:r w:rsidR="004A605E" w:rsidRPr="00FC02EF">
        <w:rPr>
          <w:rFonts w:ascii="Arial" w:hAnsi="Arial" w:cs="Arial"/>
          <w:color w:val="7B7B7B" w:themeColor="accent3" w:themeShade="BF"/>
          <w:sz w:val="22"/>
          <w:szCs w:val="22"/>
          <w:lang w:val="en-GB"/>
        </w:rPr>
        <w:t>manager to</w:t>
      </w:r>
      <w:r w:rsidR="00FC02EF" w:rsidRPr="00FC02EF">
        <w:rPr>
          <w:rFonts w:ascii="Arial" w:hAnsi="Arial" w:cs="Arial"/>
          <w:color w:val="7B7B7B" w:themeColor="accent3" w:themeShade="BF"/>
          <w:sz w:val="22"/>
          <w:szCs w:val="22"/>
          <w:lang w:val="en-GB"/>
        </w:rPr>
        <w:t xml:space="preserve"> attend before such meeting and furnish it with such information required to carrying out the functions as the committee may reasonably require. </w:t>
      </w:r>
    </w:p>
    <w:p w14:paraId="40ED1666" w14:textId="628115F4" w:rsidR="00D91E95" w:rsidRDefault="00D91E95" w:rsidP="00C32BAD">
      <w:pPr>
        <w:pStyle w:val="ListParagraph"/>
        <w:ind w:left="1146"/>
        <w:jc w:val="both"/>
        <w:rPr>
          <w:rFonts w:ascii="Arial" w:hAnsi="Arial" w:cs="Arial"/>
          <w:color w:val="7B7B7B" w:themeColor="accent3" w:themeShade="BF"/>
          <w:sz w:val="22"/>
          <w:szCs w:val="22"/>
          <w:lang w:val="en-GB"/>
        </w:rPr>
      </w:pPr>
    </w:p>
    <w:p w14:paraId="6AB2D726" w14:textId="00BD3A64" w:rsidR="00D91E95" w:rsidRDefault="00D91E95" w:rsidP="004A605E">
      <w:pPr>
        <w:pStyle w:val="ListParagraph"/>
        <w:ind w:left="114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 of lenders or any authorised representative of the consortium or any creditor mat present an application under Section 90 of IRDA before the court for an order that PE</w:t>
      </w:r>
      <w:r w:rsidR="004A605E">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 should be placed under judicial management of a judicial manager</w:t>
      </w:r>
      <w:r w:rsidR="004A605E">
        <w:rPr>
          <w:rFonts w:ascii="Arial" w:hAnsi="Arial" w:cs="Arial"/>
          <w:color w:val="7B7B7B" w:themeColor="accent3" w:themeShade="BF"/>
          <w:sz w:val="22"/>
          <w:szCs w:val="22"/>
          <w:lang w:val="en-GB"/>
        </w:rPr>
        <w:t>, if they consider that:</w:t>
      </w:r>
    </w:p>
    <w:p w14:paraId="7675CAE8" w14:textId="77777777" w:rsidR="004A605E" w:rsidRDefault="004A605E" w:rsidP="004A605E">
      <w:pPr>
        <w:pStyle w:val="ListParagraph"/>
        <w:ind w:left="1146"/>
        <w:jc w:val="both"/>
        <w:rPr>
          <w:rFonts w:ascii="Arial" w:hAnsi="Arial" w:cs="Arial"/>
          <w:color w:val="7B7B7B" w:themeColor="accent3" w:themeShade="BF"/>
          <w:sz w:val="22"/>
          <w:szCs w:val="22"/>
          <w:lang w:val="en-GB"/>
        </w:rPr>
      </w:pPr>
    </w:p>
    <w:p w14:paraId="7AFAA511" w14:textId="0C565F5E" w:rsidR="004A605E" w:rsidRPr="004A605E" w:rsidRDefault="004A605E" w:rsidP="004A605E">
      <w:pPr>
        <w:pStyle w:val="ListParagraph"/>
        <w:numPr>
          <w:ilvl w:val="0"/>
          <w:numId w:val="33"/>
        </w:numPr>
        <w:jc w:val="both"/>
        <w:rPr>
          <w:rFonts w:ascii="Arial" w:hAnsi="Arial" w:cs="Arial"/>
          <w:color w:val="7B7B7B" w:themeColor="accent3" w:themeShade="BF"/>
          <w:sz w:val="22"/>
          <w:szCs w:val="22"/>
          <w:lang w:val="en-GB"/>
        </w:rPr>
      </w:pPr>
      <w:r w:rsidRPr="00D91E95">
        <w:rPr>
          <w:rFonts w:ascii="Arial" w:hAnsi="Arial" w:cs="Arial"/>
          <w:color w:val="7B7B7B" w:themeColor="accent3" w:themeShade="BF"/>
          <w:sz w:val="22"/>
          <w:szCs w:val="22"/>
          <w:lang w:val="en-GB"/>
        </w:rPr>
        <w:t xml:space="preserve">that </w:t>
      </w:r>
      <w:r w:rsidRPr="004A605E">
        <w:rPr>
          <w:rFonts w:ascii="Arial" w:hAnsi="Arial" w:cs="Arial"/>
          <w:color w:val="7B7B7B" w:themeColor="accent3" w:themeShade="BF"/>
          <w:sz w:val="22"/>
          <w:szCs w:val="22"/>
          <w:lang w:val="en-GB"/>
        </w:rPr>
        <w:t>PEC</w:t>
      </w:r>
      <w:r w:rsidRPr="00D91E95">
        <w:rPr>
          <w:rFonts w:ascii="Arial" w:hAnsi="Arial" w:cs="Arial"/>
          <w:color w:val="7B7B7B" w:themeColor="accent3" w:themeShade="BF"/>
          <w:sz w:val="22"/>
          <w:szCs w:val="22"/>
          <w:lang w:val="en-GB"/>
        </w:rPr>
        <w:t xml:space="preserve"> is, or is likely to become, unable to pay its debts; and</w:t>
      </w:r>
    </w:p>
    <w:p w14:paraId="5D25C07D" w14:textId="6572F2EB" w:rsidR="004A605E" w:rsidRPr="00D91E95" w:rsidRDefault="004A605E" w:rsidP="004A605E">
      <w:pPr>
        <w:pStyle w:val="ListParagraph"/>
        <w:numPr>
          <w:ilvl w:val="0"/>
          <w:numId w:val="33"/>
        </w:numPr>
        <w:jc w:val="both"/>
        <w:rPr>
          <w:rFonts w:ascii="Arial" w:hAnsi="Arial" w:cs="Arial"/>
          <w:color w:val="7B7B7B" w:themeColor="accent3" w:themeShade="BF"/>
          <w:sz w:val="22"/>
          <w:szCs w:val="22"/>
          <w:lang w:val="en-GB"/>
        </w:rPr>
      </w:pPr>
      <w:r w:rsidRPr="004A605E">
        <w:rPr>
          <w:rFonts w:ascii="Arial" w:hAnsi="Arial" w:cs="Arial"/>
          <w:color w:val="7B7B7B" w:themeColor="accent3" w:themeShade="BF"/>
          <w:sz w:val="22"/>
          <w:szCs w:val="22"/>
          <w:lang w:val="en-GB"/>
        </w:rPr>
        <w:t xml:space="preserve">there </w:t>
      </w:r>
      <w:r w:rsidRPr="00D91E95">
        <w:rPr>
          <w:rFonts w:ascii="Arial" w:hAnsi="Arial" w:cs="Arial"/>
          <w:color w:val="7B7B7B" w:themeColor="accent3" w:themeShade="BF"/>
          <w:sz w:val="22"/>
          <w:szCs w:val="22"/>
          <w:lang w:val="en-GB"/>
        </w:rPr>
        <w:t>is a reasonable probability of rehabilitating the company or of preserving all or part of its business as a going concern, or that the interests of creditors would be better served otherwise than by resorting to a winding up,</w:t>
      </w:r>
    </w:p>
    <w:p w14:paraId="112632DB" w14:textId="77777777" w:rsidR="00FC02EF" w:rsidRPr="004A605E" w:rsidRDefault="00FC02EF" w:rsidP="004A605E">
      <w:pPr>
        <w:jc w:val="both"/>
        <w:rPr>
          <w:rFonts w:ascii="Arial" w:hAnsi="Arial" w:cs="Arial"/>
          <w:color w:val="7B7B7B" w:themeColor="accent3" w:themeShade="BF"/>
          <w:sz w:val="22"/>
          <w:szCs w:val="22"/>
          <w:lang w:val="en-GB"/>
        </w:rPr>
      </w:pPr>
    </w:p>
    <w:p w14:paraId="5029BC1C" w14:textId="7F44424C" w:rsidR="00FC02EF" w:rsidRDefault="00141E26" w:rsidP="00C2513C">
      <w:pPr>
        <w:pStyle w:val="ListParagraph"/>
        <w:numPr>
          <w:ilvl w:val="0"/>
          <w:numId w:val="25"/>
        </w:numPr>
        <w:jc w:val="both"/>
        <w:rPr>
          <w:rFonts w:ascii="Arial" w:hAnsi="Arial" w:cs="Arial"/>
          <w:color w:val="7B7B7B" w:themeColor="accent3" w:themeShade="BF"/>
          <w:sz w:val="22"/>
          <w:szCs w:val="22"/>
          <w:lang w:val="en-GB"/>
        </w:rPr>
      </w:pPr>
      <w:r w:rsidRPr="00141E26">
        <w:rPr>
          <w:rFonts w:ascii="Arial" w:hAnsi="Arial" w:cs="Arial"/>
          <w:color w:val="7B7B7B" w:themeColor="accent3" w:themeShade="BF"/>
          <w:sz w:val="22"/>
          <w:szCs w:val="22"/>
          <w:lang w:val="en-GB"/>
        </w:rPr>
        <w:t>After PEC is paced under judicial management, in order to be able to access rescue financing, PEC or the judicial manager i</w:t>
      </w:r>
      <w:r w:rsidR="00FC02EF" w:rsidRPr="00141E26">
        <w:rPr>
          <w:rFonts w:ascii="Arial" w:hAnsi="Arial" w:cs="Arial"/>
          <w:color w:val="7B7B7B" w:themeColor="accent3" w:themeShade="BF"/>
          <w:sz w:val="22"/>
          <w:szCs w:val="22"/>
          <w:lang w:val="en-GB"/>
        </w:rPr>
        <w:t xml:space="preserve">s required to file an application under Section </w:t>
      </w:r>
      <w:r>
        <w:rPr>
          <w:rFonts w:ascii="Arial" w:hAnsi="Arial" w:cs="Arial"/>
          <w:color w:val="7B7B7B" w:themeColor="accent3" w:themeShade="BF"/>
          <w:sz w:val="22"/>
          <w:szCs w:val="22"/>
          <w:lang w:val="en-GB"/>
        </w:rPr>
        <w:t xml:space="preserve">101 </w:t>
      </w:r>
      <w:r w:rsidR="00FC02EF" w:rsidRPr="00141E26">
        <w:rPr>
          <w:rFonts w:ascii="Arial" w:hAnsi="Arial" w:cs="Arial"/>
          <w:color w:val="7B7B7B" w:themeColor="accent3" w:themeShade="BF"/>
          <w:sz w:val="22"/>
          <w:szCs w:val="22"/>
          <w:lang w:val="en-GB"/>
        </w:rPr>
        <w:t xml:space="preserve">of the IRDA, before the court by proving before the court that </w:t>
      </w:r>
      <w:r w:rsidRPr="00141E26">
        <w:rPr>
          <w:rFonts w:ascii="Arial" w:hAnsi="Arial" w:cs="Arial"/>
          <w:color w:val="7B7B7B" w:themeColor="accent3" w:themeShade="BF"/>
          <w:sz w:val="22"/>
          <w:szCs w:val="22"/>
          <w:lang w:val="en-GB"/>
        </w:rPr>
        <w:t xml:space="preserve">the </w:t>
      </w:r>
      <w:r w:rsidR="00FC02EF" w:rsidRPr="00141E26">
        <w:rPr>
          <w:rFonts w:ascii="Arial" w:hAnsi="Arial" w:cs="Arial"/>
          <w:color w:val="7B7B7B" w:themeColor="accent3" w:themeShade="BF"/>
          <w:sz w:val="22"/>
          <w:szCs w:val="22"/>
          <w:lang w:val="en-GB"/>
        </w:rPr>
        <w:t xml:space="preserve">financing is necessary </w:t>
      </w:r>
      <w:r>
        <w:rPr>
          <w:rFonts w:ascii="Arial" w:hAnsi="Arial" w:cs="Arial"/>
          <w:color w:val="7B7B7B" w:themeColor="accent3" w:themeShade="BF"/>
          <w:sz w:val="22"/>
          <w:szCs w:val="22"/>
          <w:lang w:val="en-GB"/>
        </w:rPr>
        <w:t>f</w:t>
      </w:r>
      <w:r w:rsidR="00FC02EF" w:rsidRPr="00141E26">
        <w:rPr>
          <w:rFonts w:ascii="Arial" w:hAnsi="Arial" w:cs="Arial"/>
          <w:color w:val="7B7B7B" w:themeColor="accent3" w:themeShade="BF"/>
          <w:sz w:val="22"/>
          <w:szCs w:val="22"/>
          <w:lang w:val="en-GB"/>
        </w:rPr>
        <w:t xml:space="preserve">or </w:t>
      </w:r>
      <w:r>
        <w:rPr>
          <w:rFonts w:ascii="Arial" w:hAnsi="Arial" w:cs="Arial"/>
          <w:color w:val="7B7B7B" w:themeColor="accent3" w:themeShade="BF"/>
          <w:sz w:val="22"/>
          <w:szCs w:val="22"/>
          <w:lang w:val="en-GB"/>
        </w:rPr>
        <w:t xml:space="preserve">(a) </w:t>
      </w:r>
      <w:r w:rsidR="00FC02EF" w:rsidRPr="00141E26">
        <w:rPr>
          <w:rFonts w:ascii="Arial" w:hAnsi="Arial" w:cs="Arial"/>
          <w:color w:val="7B7B7B" w:themeColor="accent3" w:themeShade="BF"/>
          <w:sz w:val="22"/>
          <w:szCs w:val="22"/>
          <w:lang w:val="en-GB"/>
        </w:rPr>
        <w:t>the survival of PEC, or whole or any part of its undertaking as a going concer</w:t>
      </w:r>
      <w:r w:rsidRPr="00141E26">
        <w:rPr>
          <w:rFonts w:ascii="Arial" w:hAnsi="Arial" w:cs="Arial"/>
          <w:color w:val="7B7B7B" w:themeColor="accent3" w:themeShade="BF"/>
          <w:sz w:val="22"/>
          <w:szCs w:val="22"/>
          <w:lang w:val="en-GB"/>
        </w:rPr>
        <w:t>n</w:t>
      </w:r>
      <w:r w:rsidR="00FC02EF" w:rsidRPr="00141E26">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(b) t</w:t>
      </w:r>
      <w:r w:rsidR="00FC02EF" w:rsidRPr="00141E26">
        <w:rPr>
          <w:rFonts w:ascii="Arial" w:hAnsi="Arial" w:cs="Arial"/>
          <w:color w:val="7B7B7B" w:themeColor="accent3" w:themeShade="BF"/>
          <w:sz w:val="22"/>
          <w:szCs w:val="22"/>
          <w:lang w:val="en-GB"/>
        </w:rPr>
        <w:t xml:space="preserve">o achieve a more advantageous realisation of </w:t>
      </w:r>
      <w:r>
        <w:rPr>
          <w:rFonts w:ascii="Arial" w:hAnsi="Arial" w:cs="Arial"/>
          <w:color w:val="7B7B7B" w:themeColor="accent3" w:themeShade="BF"/>
          <w:sz w:val="22"/>
          <w:szCs w:val="22"/>
          <w:lang w:val="en-GB"/>
        </w:rPr>
        <w:t>its assets</w:t>
      </w:r>
      <w:r w:rsidR="00FC02EF" w:rsidRPr="00141E26">
        <w:rPr>
          <w:rFonts w:ascii="Arial" w:hAnsi="Arial" w:cs="Arial"/>
          <w:color w:val="7B7B7B" w:themeColor="accent3" w:themeShade="BF"/>
          <w:sz w:val="22"/>
          <w:szCs w:val="22"/>
          <w:lang w:val="en-GB"/>
        </w:rPr>
        <w:t>, than on a winding up of that company</w:t>
      </w:r>
      <w:r>
        <w:rPr>
          <w:rFonts w:ascii="Arial" w:hAnsi="Arial" w:cs="Arial"/>
          <w:color w:val="7B7B7B" w:themeColor="accent3" w:themeShade="BF"/>
          <w:sz w:val="22"/>
          <w:szCs w:val="22"/>
          <w:lang w:val="en-GB"/>
        </w:rPr>
        <w:t>.</w:t>
      </w:r>
    </w:p>
    <w:p w14:paraId="7058FAA9" w14:textId="77777777" w:rsidR="00141E26" w:rsidRPr="00141E26" w:rsidRDefault="00141E26" w:rsidP="00141E26">
      <w:pPr>
        <w:pStyle w:val="ListParagraph"/>
        <w:rPr>
          <w:rFonts w:ascii="Arial" w:hAnsi="Arial" w:cs="Arial"/>
          <w:color w:val="7B7B7B" w:themeColor="accent3" w:themeShade="BF"/>
          <w:sz w:val="22"/>
          <w:szCs w:val="22"/>
          <w:lang w:val="en-GB"/>
        </w:rPr>
      </w:pPr>
    </w:p>
    <w:p w14:paraId="4129817A" w14:textId="30C661F8" w:rsidR="00141E26" w:rsidRPr="00141E26" w:rsidRDefault="00141E26" w:rsidP="00141E26">
      <w:pPr>
        <w:pStyle w:val="ListParagraph"/>
        <w:ind w:left="114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notice of such an application is required to be sent to each creditor of PEC. </w:t>
      </w:r>
    </w:p>
    <w:p w14:paraId="3781384F" w14:textId="7359FE1F" w:rsidR="00FC02EF" w:rsidRDefault="00FC02EF" w:rsidP="00087F21">
      <w:pPr>
        <w:jc w:val="both"/>
        <w:rPr>
          <w:rFonts w:ascii="Arial" w:hAnsi="Arial" w:cs="Arial"/>
          <w:sz w:val="22"/>
          <w:szCs w:val="22"/>
          <w:lang w:val="en-GB"/>
        </w:rPr>
      </w:pPr>
    </w:p>
    <w:p w14:paraId="5E76E53E" w14:textId="05E3C5B1" w:rsidR="00FC02EF" w:rsidRDefault="00141E26" w:rsidP="00141E26">
      <w:pPr>
        <w:pStyle w:val="ListParagraph"/>
        <w:numPr>
          <w:ilvl w:val="0"/>
          <w:numId w:val="25"/>
        </w:numPr>
        <w:jc w:val="both"/>
        <w:rPr>
          <w:rFonts w:ascii="Arial" w:hAnsi="Arial" w:cs="Arial"/>
          <w:color w:val="7B7B7B" w:themeColor="accent3" w:themeShade="BF"/>
          <w:sz w:val="22"/>
          <w:szCs w:val="22"/>
          <w:lang w:val="en-GB"/>
        </w:rPr>
      </w:pPr>
      <w:r w:rsidRPr="00141E26">
        <w:rPr>
          <w:rFonts w:ascii="Arial" w:hAnsi="Arial" w:cs="Arial"/>
          <w:color w:val="7B7B7B" w:themeColor="accent3" w:themeShade="BF"/>
          <w:sz w:val="22"/>
          <w:szCs w:val="22"/>
          <w:lang w:val="en-GB"/>
        </w:rPr>
        <w:t xml:space="preserve">Following are the </w:t>
      </w:r>
      <w:r w:rsidR="004A605E">
        <w:rPr>
          <w:rFonts w:ascii="Arial" w:hAnsi="Arial" w:cs="Arial"/>
          <w:color w:val="7B7B7B" w:themeColor="accent3" w:themeShade="BF"/>
          <w:sz w:val="22"/>
          <w:szCs w:val="22"/>
          <w:lang w:val="en-GB"/>
        </w:rPr>
        <w:t xml:space="preserve">indicative </w:t>
      </w:r>
      <w:r w:rsidRPr="00141E26">
        <w:rPr>
          <w:rFonts w:ascii="Arial" w:hAnsi="Arial" w:cs="Arial"/>
          <w:color w:val="7B7B7B" w:themeColor="accent3" w:themeShade="BF"/>
          <w:sz w:val="22"/>
          <w:szCs w:val="22"/>
          <w:lang w:val="en-GB"/>
        </w:rPr>
        <w:t xml:space="preserve">steps that need to be taken </w:t>
      </w:r>
      <w:r w:rsidR="004A605E">
        <w:rPr>
          <w:rFonts w:ascii="Arial" w:hAnsi="Arial" w:cs="Arial"/>
          <w:color w:val="7B7B7B" w:themeColor="accent3" w:themeShade="BF"/>
          <w:sz w:val="22"/>
          <w:szCs w:val="22"/>
          <w:lang w:val="en-GB"/>
        </w:rPr>
        <w:t xml:space="preserve">by PEC’s subsidiaries </w:t>
      </w:r>
      <w:r w:rsidRPr="00141E26">
        <w:rPr>
          <w:rFonts w:ascii="Arial" w:hAnsi="Arial" w:cs="Arial"/>
          <w:color w:val="7B7B7B" w:themeColor="accent3" w:themeShade="BF"/>
          <w:sz w:val="22"/>
          <w:szCs w:val="22"/>
          <w:lang w:val="en-GB"/>
        </w:rPr>
        <w:t xml:space="preserve">in order </w:t>
      </w:r>
      <w:r w:rsidR="004A605E">
        <w:rPr>
          <w:rFonts w:ascii="Arial" w:hAnsi="Arial" w:cs="Arial"/>
          <w:color w:val="7B7B7B" w:themeColor="accent3" w:themeShade="BF"/>
          <w:sz w:val="22"/>
          <w:szCs w:val="22"/>
          <w:lang w:val="en-GB"/>
        </w:rPr>
        <w:t xml:space="preserve">for them to be </w:t>
      </w:r>
      <w:proofErr w:type="spellStart"/>
      <w:r w:rsidR="004A605E">
        <w:rPr>
          <w:rFonts w:ascii="Arial" w:hAnsi="Arial" w:cs="Arial"/>
          <w:color w:val="7B7B7B" w:themeColor="accent3" w:themeShade="BF"/>
          <w:sz w:val="22"/>
          <w:szCs w:val="22"/>
          <w:lang w:val="en-GB"/>
        </w:rPr>
        <w:t>plaecd</w:t>
      </w:r>
      <w:proofErr w:type="spellEnd"/>
      <w:r w:rsidRPr="00141E26">
        <w:rPr>
          <w:rFonts w:ascii="Arial" w:hAnsi="Arial" w:cs="Arial"/>
          <w:color w:val="7B7B7B" w:themeColor="accent3" w:themeShade="BF"/>
          <w:sz w:val="22"/>
          <w:szCs w:val="22"/>
          <w:lang w:val="en-GB"/>
        </w:rPr>
        <w:t xml:space="preserve"> under judicial management out of court:</w:t>
      </w:r>
    </w:p>
    <w:p w14:paraId="219E5FCA" w14:textId="53CD9D6D" w:rsidR="00C32BAD" w:rsidRDefault="00C32BAD" w:rsidP="00C32BAD">
      <w:pPr>
        <w:pStyle w:val="ListParagraph"/>
        <w:ind w:left="1146"/>
        <w:jc w:val="both"/>
        <w:rPr>
          <w:rFonts w:ascii="Arial" w:hAnsi="Arial" w:cs="Arial"/>
          <w:color w:val="7B7B7B" w:themeColor="accent3" w:themeShade="BF"/>
          <w:sz w:val="22"/>
          <w:szCs w:val="22"/>
          <w:lang w:val="en-GB"/>
        </w:rPr>
      </w:pPr>
    </w:p>
    <w:p w14:paraId="121D3EA9" w14:textId="493773D8" w:rsidR="00C32BAD" w:rsidRDefault="00C32BAD" w:rsidP="00C32BAD">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Obtain a resolution under Section 94 of the IRDA by the creditors of each of PEC’s subsidiaries (“</w:t>
      </w:r>
      <w:r>
        <w:rPr>
          <w:rFonts w:ascii="Arial" w:hAnsi="Arial" w:cs="Arial"/>
          <w:b/>
          <w:bCs/>
          <w:color w:val="7B7B7B" w:themeColor="accent3" w:themeShade="BF"/>
          <w:sz w:val="22"/>
          <w:szCs w:val="22"/>
          <w:lang w:val="en-GB"/>
        </w:rPr>
        <w:t>Relevant Subsidiaries</w:t>
      </w:r>
      <w:r>
        <w:rPr>
          <w:rFonts w:ascii="Arial" w:hAnsi="Arial" w:cs="Arial"/>
          <w:color w:val="7B7B7B" w:themeColor="accent3" w:themeShade="BF"/>
          <w:sz w:val="22"/>
          <w:szCs w:val="22"/>
          <w:lang w:val="en-GB"/>
        </w:rPr>
        <w:t>”) proposed to be placed in an out of court judicial management.</w:t>
      </w:r>
    </w:p>
    <w:p w14:paraId="6F63F7D0" w14:textId="77777777" w:rsidR="00C32BAD" w:rsidRDefault="00C32BAD" w:rsidP="00C32BAD">
      <w:pPr>
        <w:pStyle w:val="ListParagraph"/>
        <w:ind w:left="1506"/>
        <w:jc w:val="both"/>
        <w:rPr>
          <w:rFonts w:ascii="Arial" w:hAnsi="Arial" w:cs="Arial"/>
          <w:color w:val="7B7B7B" w:themeColor="accent3" w:themeShade="BF"/>
          <w:sz w:val="22"/>
          <w:szCs w:val="22"/>
          <w:lang w:val="en-GB"/>
        </w:rPr>
      </w:pPr>
    </w:p>
    <w:p w14:paraId="19C116E0" w14:textId="20907B4A" w:rsidR="00C32BAD" w:rsidRDefault="00C32BAD" w:rsidP="00C32BAD">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Subsidiaries are required to give a prior notice of </w:t>
      </w:r>
      <w:proofErr w:type="spellStart"/>
      <w:r>
        <w:rPr>
          <w:rFonts w:ascii="Arial" w:hAnsi="Arial" w:cs="Arial"/>
          <w:color w:val="7B7B7B" w:themeColor="accent3" w:themeShade="BF"/>
          <w:sz w:val="22"/>
          <w:szCs w:val="22"/>
          <w:lang w:val="en-GB"/>
        </w:rPr>
        <w:t>atleast</w:t>
      </w:r>
      <w:proofErr w:type="spellEnd"/>
      <w:r>
        <w:rPr>
          <w:rFonts w:ascii="Arial" w:hAnsi="Arial" w:cs="Arial"/>
          <w:color w:val="7B7B7B" w:themeColor="accent3" w:themeShade="BF"/>
          <w:sz w:val="22"/>
          <w:szCs w:val="22"/>
          <w:lang w:val="en-GB"/>
        </w:rPr>
        <w:t xml:space="preserve"> 7 days of their intention to appoint an interim judicial manager to such person proposed for the appointment and to any person who </w:t>
      </w:r>
      <w:r w:rsidRPr="00C32BAD">
        <w:rPr>
          <w:rFonts w:ascii="Arial" w:hAnsi="Arial" w:cs="Arial"/>
          <w:color w:val="7B7B7B" w:themeColor="accent3" w:themeShade="BF"/>
          <w:sz w:val="22"/>
          <w:szCs w:val="22"/>
          <w:lang w:val="en-GB"/>
        </w:rPr>
        <w:t xml:space="preserve">has appointed, or is or may be entitled to appoint, a receiver and manager of the whole (or substantially the whole) of the </w:t>
      </w:r>
      <w:r>
        <w:rPr>
          <w:rFonts w:ascii="Arial" w:hAnsi="Arial" w:cs="Arial"/>
          <w:color w:val="7B7B7B" w:themeColor="accent3" w:themeShade="BF"/>
          <w:sz w:val="22"/>
          <w:szCs w:val="22"/>
          <w:lang w:val="en-GB"/>
        </w:rPr>
        <w:t xml:space="preserve">concerned </w:t>
      </w:r>
      <w:r w:rsidRPr="00C32BAD">
        <w:rPr>
          <w:rFonts w:ascii="Arial" w:hAnsi="Arial" w:cs="Arial"/>
          <w:color w:val="7B7B7B" w:themeColor="accent3" w:themeShade="BF"/>
          <w:sz w:val="22"/>
          <w:szCs w:val="22"/>
          <w:lang w:val="en-GB"/>
        </w:rPr>
        <w:t>company’s property under the terms of any debentures of th</w:t>
      </w:r>
      <w:r>
        <w:rPr>
          <w:rFonts w:ascii="Arial" w:hAnsi="Arial" w:cs="Arial"/>
          <w:color w:val="7B7B7B" w:themeColor="accent3" w:themeShade="BF"/>
          <w:sz w:val="22"/>
          <w:szCs w:val="22"/>
          <w:lang w:val="en-GB"/>
        </w:rPr>
        <w:t>at</w:t>
      </w:r>
      <w:r w:rsidRPr="00C32BAD">
        <w:rPr>
          <w:rFonts w:ascii="Arial" w:hAnsi="Arial" w:cs="Arial"/>
          <w:color w:val="7B7B7B" w:themeColor="accent3" w:themeShade="BF"/>
          <w:sz w:val="22"/>
          <w:szCs w:val="22"/>
          <w:lang w:val="en-GB"/>
        </w:rPr>
        <w:t xml:space="preserve"> company</w:t>
      </w:r>
      <w:r w:rsidR="00D726F8">
        <w:rPr>
          <w:rFonts w:ascii="Arial" w:hAnsi="Arial" w:cs="Arial"/>
          <w:color w:val="7B7B7B" w:themeColor="accent3" w:themeShade="BF"/>
          <w:sz w:val="22"/>
          <w:szCs w:val="22"/>
          <w:lang w:val="en-GB"/>
        </w:rPr>
        <w:t xml:space="preserve"> (and each of such person should consent to the appointment of the interim judicial manager).</w:t>
      </w:r>
    </w:p>
    <w:p w14:paraId="2EF9A4A3" w14:textId="77777777" w:rsidR="00C32BAD" w:rsidRPr="00C32BAD" w:rsidRDefault="00C32BAD" w:rsidP="00C32BAD">
      <w:pPr>
        <w:pStyle w:val="ListParagraph"/>
        <w:rPr>
          <w:rFonts w:ascii="Arial" w:hAnsi="Arial" w:cs="Arial"/>
          <w:color w:val="7B7B7B" w:themeColor="accent3" w:themeShade="BF"/>
          <w:sz w:val="22"/>
          <w:szCs w:val="22"/>
          <w:lang w:val="en-GB"/>
        </w:rPr>
      </w:pPr>
    </w:p>
    <w:p w14:paraId="59586729" w14:textId="0E23D02D" w:rsidR="00D726F8" w:rsidRDefault="00C32BAD" w:rsidP="00D726F8">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Prior to the appointment of the interim judicial manager</w:t>
      </w:r>
      <w:r w:rsidR="00D726F8">
        <w:rPr>
          <w:rFonts w:ascii="Arial" w:hAnsi="Arial" w:cs="Arial"/>
          <w:color w:val="7B7B7B" w:themeColor="accent3" w:themeShade="BF"/>
          <w:sz w:val="22"/>
          <w:szCs w:val="22"/>
          <w:lang w:val="en-GB"/>
        </w:rPr>
        <w:t xml:space="preserve"> which is required to be done within 21 days of the notice required to be sent in (ii) above</w:t>
      </w:r>
      <w:r>
        <w:rPr>
          <w:rFonts w:ascii="Arial" w:hAnsi="Arial" w:cs="Arial"/>
          <w:color w:val="7B7B7B" w:themeColor="accent3" w:themeShade="BF"/>
          <w:sz w:val="22"/>
          <w:szCs w:val="22"/>
          <w:lang w:val="en-GB"/>
        </w:rPr>
        <w:t xml:space="preserve">, each of the Relevant Companies is required to have the authorisation for such appointment by way </w:t>
      </w:r>
      <w:r w:rsidRPr="00141E26">
        <w:rPr>
          <w:rFonts w:ascii="Arial" w:hAnsi="Arial" w:cs="Arial"/>
          <w:color w:val="7B7B7B" w:themeColor="accent3" w:themeShade="BF"/>
          <w:sz w:val="22"/>
          <w:szCs w:val="22"/>
          <w:lang w:val="en-GB"/>
        </w:rPr>
        <w:t>of a resolution of the members of the company or, where so authorised by the constitution of the company, by a resolution of its board of directors</w:t>
      </w:r>
      <w:r w:rsidR="00D726F8">
        <w:rPr>
          <w:rFonts w:ascii="Arial" w:hAnsi="Arial" w:cs="Arial"/>
          <w:color w:val="7B7B7B" w:themeColor="accent3" w:themeShade="BF"/>
          <w:sz w:val="22"/>
          <w:szCs w:val="22"/>
          <w:lang w:val="en-GB"/>
        </w:rPr>
        <w:t>. Further, the</w:t>
      </w:r>
      <w:r w:rsidR="00D726F8" w:rsidRPr="00D726F8">
        <w:rPr>
          <w:rFonts w:ascii="Arial" w:hAnsi="Arial" w:cs="Arial"/>
          <w:color w:val="7B7B7B" w:themeColor="accent3" w:themeShade="BF"/>
          <w:sz w:val="22"/>
          <w:szCs w:val="22"/>
          <w:lang w:val="en-GB"/>
        </w:rPr>
        <w:t xml:space="preserve"> proposed interim judicial manager is required to lodge, with the Official Receiver and the Registrar of Companies, a statutory declaration stating </w:t>
      </w:r>
      <w:r w:rsidR="00D726F8" w:rsidRPr="00935B97">
        <w:rPr>
          <w:rFonts w:ascii="Arial" w:hAnsi="Arial" w:cs="Arial"/>
          <w:i/>
          <w:iCs/>
          <w:color w:val="7B7B7B" w:themeColor="accent3" w:themeShade="BF"/>
          <w:sz w:val="22"/>
          <w:szCs w:val="22"/>
          <w:lang w:val="en-GB"/>
        </w:rPr>
        <w:t>inter alia</w:t>
      </w:r>
      <w:r w:rsidR="00D726F8" w:rsidRPr="00D726F8">
        <w:rPr>
          <w:rFonts w:ascii="Arial" w:hAnsi="Arial" w:cs="Arial"/>
          <w:color w:val="7B7B7B" w:themeColor="accent3" w:themeShade="BF"/>
          <w:sz w:val="22"/>
          <w:szCs w:val="22"/>
          <w:lang w:val="en-GB"/>
        </w:rPr>
        <w:t xml:space="preserve"> that she or she is not in a position of conflict of interest and that in his or her view one or more purposes of</w:t>
      </w:r>
      <w:r w:rsidR="00D91E95">
        <w:rPr>
          <w:rFonts w:ascii="Arial" w:hAnsi="Arial" w:cs="Arial"/>
          <w:color w:val="7B7B7B" w:themeColor="accent3" w:themeShade="BF"/>
          <w:sz w:val="22"/>
          <w:szCs w:val="22"/>
          <w:lang w:val="en-GB"/>
        </w:rPr>
        <w:t xml:space="preserve"> judicial management ca</w:t>
      </w:r>
      <w:r w:rsidR="004A605E">
        <w:rPr>
          <w:rFonts w:ascii="Arial" w:hAnsi="Arial" w:cs="Arial"/>
          <w:color w:val="7B7B7B" w:themeColor="accent3" w:themeShade="BF"/>
          <w:sz w:val="22"/>
          <w:szCs w:val="22"/>
          <w:lang w:val="en-GB"/>
        </w:rPr>
        <w:t>n</w:t>
      </w:r>
      <w:r w:rsidR="00D91E95">
        <w:rPr>
          <w:rFonts w:ascii="Arial" w:hAnsi="Arial" w:cs="Arial"/>
          <w:color w:val="7B7B7B" w:themeColor="accent3" w:themeShade="BF"/>
          <w:sz w:val="22"/>
          <w:szCs w:val="22"/>
          <w:lang w:val="en-GB"/>
        </w:rPr>
        <w:t xml:space="preserve"> be achieved and consenting for appointment for the role.</w:t>
      </w:r>
    </w:p>
    <w:p w14:paraId="672D2983" w14:textId="77777777" w:rsidR="00D91E95" w:rsidRPr="00D91E95" w:rsidRDefault="00D91E95" w:rsidP="00D91E95">
      <w:pPr>
        <w:pStyle w:val="ListParagraph"/>
        <w:rPr>
          <w:rFonts w:ascii="Arial" w:hAnsi="Arial" w:cs="Arial"/>
          <w:color w:val="7B7B7B" w:themeColor="accent3" w:themeShade="BF"/>
          <w:sz w:val="22"/>
          <w:szCs w:val="22"/>
          <w:lang w:val="en-GB"/>
        </w:rPr>
      </w:pPr>
    </w:p>
    <w:p w14:paraId="742209D9" w14:textId="69CAAD39" w:rsidR="00D91E95" w:rsidRPr="00D91E95" w:rsidRDefault="00D91E95" w:rsidP="00D91E95">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Relevant Companies within 30 days of such statutory declaration being lodged by the interim judicial manager, and with a prior written notice of </w:t>
      </w:r>
      <w:proofErr w:type="spellStart"/>
      <w:r>
        <w:rPr>
          <w:rFonts w:ascii="Arial" w:hAnsi="Arial" w:cs="Arial"/>
          <w:color w:val="7B7B7B" w:themeColor="accent3" w:themeShade="BF"/>
          <w:sz w:val="22"/>
          <w:szCs w:val="22"/>
          <w:lang w:val="en-GB"/>
        </w:rPr>
        <w:t>atleast</w:t>
      </w:r>
      <w:proofErr w:type="spellEnd"/>
      <w:r>
        <w:rPr>
          <w:rFonts w:ascii="Arial" w:hAnsi="Arial" w:cs="Arial"/>
          <w:color w:val="7B7B7B" w:themeColor="accent3" w:themeShade="BF"/>
          <w:sz w:val="22"/>
          <w:szCs w:val="22"/>
          <w:lang w:val="en-GB"/>
        </w:rPr>
        <w:t xml:space="preserve"> 14 days (with requisite details as required under Section 94(8)(a)</w:t>
      </w:r>
      <w:r w:rsidR="004A605E">
        <w:rPr>
          <w:rFonts w:ascii="Arial" w:hAnsi="Arial" w:cs="Arial"/>
          <w:color w:val="7B7B7B" w:themeColor="accent3" w:themeShade="BF"/>
          <w:sz w:val="22"/>
          <w:szCs w:val="22"/>
          <w:lang w:val="en-GB"/>
        </w:rPr>
        <w:t xml:space="preserve"> of IRDA</w:t>
      </w:r>
      <w:r>
        <w:rPr>
          <w:rFonts w:ascii="Arial" w:hAnsi="Arial" w:cs="Arial"/>
          <w:color w:val="7B7B7B" w:themeColor="accent3" w:themeShade="BF"/>
          <w:sz w:val="22"/>
          <w:szCs w:val="22"/>
          <w:lang w:val="en-GB"/>
        </w:rPr>
        <w:t xml:space="preserve">) to the creditors, are required to </w:t>
      </w:r>
      <w:r w:rsidRPr="00D91E95">
        <w:rPr>
          <w:rFonts w:ascii="Arial" w:hAnsi="Arial" w:cs="Arial"/>
          <w:color w:val="7B7B7B" w:themeColor="accent3" w:themeShade="BF"/>
          <w:sz w:val="22"/>
          <w:szCs w:val="22"/>
          <w:lang w:val="en-GB"/>
        </w:rPr>
        <w:t xml:space="preserve">summon a meeting of the company’s creditors at a time and place convenient to the majority in value of the creditors, to consider a resolution for the company to be placed under judicial management. The directors of the Relevant companies are required to appoint </w:t>
      </w:r>
      <w:proofErr w:type="spellStart"/>
      <w:r w:rsidRPr="00D91E95">
        <w:rPr>
          <w:rFonts w:ascii="Arial" w:hAnsi="Arial" w:cs="Arial"/>
          <w:color w:val="7B7B7B" w:themeColor="accent3" w:themeShade="BF"/>
          <w:sz w:val="22"/>
          <w:szCs w:val="22"/>
          <w:lang w:val="en-GB"/>
        </w:rPr>
        <w:t>atleast</w:t>
      </w:r>
      <w:proofErr w:type="spellEnd"/>
      <w:r w:rsidRPr="00D91E95">
        <w:rPr>
          <w:rFonts w:ascii="Arial" w:hAnsi="Arial" w:cs="Arial"/>
          <w:color w:val="7B7B7B" w:themeColor="accent3" w:themeShade="BF"/>
          <w:sz w:val="22"/>
          <w:szCs w:val="22"/>
          <w:lang w:val="en-GB"/>
        </w:rPr>
        <w:t xml:space="preserve"> one of them to attend this meeting, who along with the secretary of t</w:t>
      </w:r>
      <w:r w:rsidR="004A605E">
        <w:rPr>
          <w:rFonts w:ascii="Arial" w:hAnsi="Arial" w:cs="Arial"/>
          <w:color w:val="7B7B7B" w:themeColor="accent3" w:themeShade="BF"/>
          <w:sz w:val="22"/>
          <w:szCs w:val="22"/>
          <w:lang w:val="en-GB"/>
        </w:rPr>
        <w:t>h</w:t>
      </w:r>
      <w:r w:rsidRPr="00D91E95">
        <w:rPr>
          <w:rFonts w:ascii="Arial" w:hAnsi="Arial" w:cs="Arial"/>
          <w:color w:val="7B7B7B" w:themeColor="accent3" w:themeShade="BF"/>
          <w:sz w:val="22"/>
          <w:szCs w:val="22"/>
          <w:lang w:val="en-GB"/>
        </w:rPr>
        <w:t xml:space="preserve">e </w:t>
      </w:r>
      <w:r w:rsidR="004A605E" w:rsidRPr="00D91E95">
        <w:rPr>
          <w:rFonts w:ascii="Arial" w:hAnsi="Arial" w:cs="Arial"/>
          <w:color w:val="7B7B7B" w:themeColor="accent3" w:themeShade="BF"/>
          <w:sz w:val="22"/>
          <w:szCs w:val="22"/>
          <w:lang w:val="en-GB"/>
        </w:rPr>
        <w:t>companies</w:t>
      </w:r>
      <w:r w:rsidRPr="00D91E95">
        <w:rPr>
          <w:rFonts w:ascii="Arial" w:hAnsi="Arial" w:cs="Arial"/>
          <w:color w:val="7B7B7B" w:themeColor="accent3" w:themeShade="BF"/>
          <w:sz w:val="22"/>
          <w:szCs w:val="22"/>
          <w:lang w:val="en-GB"/>
        </w:rPr>
        <w:t xml:space="preserve"> are required to disclose to the</w:t>
      </w:r>
      <w:r w:rsidRPr="004A605E">
        <w:rPr>
          <w:rFonts w:ascii="Arial" w:hAnsi="Arial" w:cs="Arial"/>
          <w:color w:val="7B7B7B" w:themeColor="accent3" w:themeShade="BF"/>
          <w:sz w:val="22"/>
          <w:szCs w:val="22"/>
          <w:lang w:val="en-GB"/>
        </w:rPr>
        <w:t xml:space="preserve"> </w:t>
      </w:r>
      <w:r w:rsidR="004A605E" w:rsidRPr="004A605E">
        <w:rPr>
          <w:rFonts w:ascii="Arial" w:hAnsi="Arial" w:cs="Arial"/>
          <w:color w:val="7B7B7B" w:themeColor="accent3" w:themeShade="BF"/>
          <w:sz w:val="22"/>
          <w:szCs w:val="22"/>
          <w:lang w:val="en-GB"/>
        </w:rPr>
        <w:t>meeting the company’s affairs and circumstances leading to the proposed judicial management post which the creditor may approve placing of PEC under judicial management as well as appointment of a judicial manager through an affirmative vote of a majority in number and value of the creditors present and voting</w:t>
      </w:r>
      <w:r w:rsidR="004A605E">
        <w:rPr>
          <w:rFonts w:ascii="Arial" w:hAnsi="Arial" w:cs="Arial"/>
          <w:color w:val="7B7B7B" w:themeColor="accent3" w:themeShade="BF"/>
          <w:sz w:val="22"/>
          <w:szCs w:val="22"/>
          <w:lang w:val="en-GB"/>
        </w:rPr>
        <w:t>.</w:t>
      </w:r>
    </w:p>
    <w:p w14:paraId="7D0E9348" w14:textId="1A4BECD4" w:rsidR="00141E26" w:rsidRDefault="00141E26" w:rsidP="00141E26">
      <w:pPr>
        <w:pStyle w:val="ListParagraph"/>
        <w:ind w:left="1146"/>
        <w:jc w:val="both"/>
        <w:rPr>
          <w:rFonts w:ascii="Arial" w:hAnsi="Arial" w:cs="Arial"/>
          <w:sz w:val="22"/>
          <w:szCs w:val="22"/>
          <w:lang w:val="en-GB"/>
        </w:rPr>
      </w:pPr>
    </w:p>
    <w:p w14:paraId="6DC935EA" w14:textId="5B2634FD" w:rsidR="00141E26" w:rsidRDefault="00141E26" w:rsidP="00141E26">
      <w:pPr>
        <w:pStyle w:val="ListParagraph"/>
        <w:ind w:left="1146"/>
        <w:jc w:val="both"/>
        <w:rPr>
          <w:rFonts w:ascii="Arial" w:hAnsi="Arial" w:cs="Arial"/>
          <w:sz w:val="22"/>
          <w:szCs w:val="22"/>
          <w:lang w:val="en-GB"/>
        </w:rPr>
      </w:pPr>
    </w:p>
    <w:p w14:paraId="7DD430C7" w14:textId="77777777" w:rsidR="00141E26" w:rsidRPr="00141E26" w:rsidRDefault="00141E26" w:rsidP="00141E26">
      <w:pPr>
        <w:rPr>
          <w:rFonts w:ascii="Times New Roman" w:hAnsi="Times New Roman" w:cs="Times New Roman"/>
          <w:vanish/>
          <w:sz w:val="24"/>
          <w:lang w:val="en-IN" w:eastAsia="en-IN"/>
        </w:rPr>
      </w:pPr>
      <w:bookmarkStart w:id="2" w:name="pr94-ps4-"/>
      <w:bookmarkEnd w:id="2"/>
    </w:p>
    <w:p w14:paraId="6F481F3D" w14:textId="77777777" w:rsidR="00141E26" w:rsidRPr="00141E26" w:rsidRDefault="00141E26" w:rsidP="00141E26">
      <w:pPr>
        <w:rPr>
          <w:rFonts w:ascii="Times New Roman" w:hAnsi="Times New Roman" w:cs="Times New Roman"/>
          <w:vanish/>
          <w:sz w:val="24"/>
          <w:lang w:val="en-IN" w:eastAsia="en-IN"/>
        </w:rPr>
      </w:pPr>
      <w:bookmarkStart w:id="3" w:name="pr94-ps7-"/>
      <w:bookmarkEnd w:id="3"/>
    </w:p>
    <w:p w14:paraId="58C3CB5F" w14:textId="77777777" w:rsidR="00141E26" w:rsidRPr="00141E26" w:rsidRDefault="00141E26" w:rsidP="00141E26">
      <w:pPr>
        <w:rPr>
          <w:rFonts w:ascii="Times New Roman" w:hAnsi="Times New Roman" w:cs="Times New Roman"/>
          <w:vanish/>
          <w:sz w:val="24"/>
          <w:lang w:val="en-IN" w:eastAsia="en-IN"/>
        </w:rPr>
      </w:pPr>
      <w:bookmarkStart w:id="4" w:name="pr94-ps12-"/>
      <w:bookmarkEnd w:id="4"/>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5022C20E" w14:textId="0C7E678B" w:rsidR="00560E33" w:rsidRDefault="00560E33" w:rsidP="00560E3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Section 96(4) of IRDA, u</w:t>
      </w:r>
      <w:r w:rsidRPr="00560E33">
        <w:rPr>
          <w:rFonts w:ascii="Arial" w:hAnsi="Arial" w:cs="Arial"/>
          <w:color w:val="7B7B7B" w:themeColor="accent3" w:themeShade="BF"/>
          <w:sz w:val="22"/>
          <w:szCs w:val="22"/>
          <w:lang w:val="en-GB"/>
        </w:rPr>
        <w:t>pon filing of an application for Judicial Management</w:t>
      </w:r>
      <w:r>
        <w:rPr>
          <w:rFonts w:ascii="Arial" w:hAnsi="Arial" w:cs="Arial"/>
          <w:color w:val="7B7B7B" w:themeColor="accent3" w:themeShade="BF"/>
          <w:sz w:val="22"/>
          <w:szCs w:val="22"/>
          <w:lang w:val="en-GB"/>
        </w:rPr>
        <w:t xml:space="preserve"> with respect to PEC and its subsidiaries</w:t>
      </w:r>
      <w:r w:rsidRPr="00560E3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w:t>
      </w:r>
      <w:r w:rsidRPr="00560E33">
        <w:rPr>
          <w:rFonts w:ascii="Arial" w:hAnsi="Arial" w:cs="Arial"/>
          <w:color w:val="7B7B7B" w:themeColor="accent3" w:themeShade="BF"/>
          <w:sz w:val="22"/>
          <w:szCs w:val="22"/>
          <w:lang w:val="en-GB"/>
        </w:rPr>
        <w:t>no other proceedings may be commenced or continued against the compan</w:t>
      </w:r>
      <w:r>
        <w:rPr>
          <w:rFonts w:ascii="Arial" w:hAnsi="Arial" w:cs="Arial"/>
          <w:color w:val="7B7B7B" w:themeColor="accent3" w:themeShade="BF"/>
          <w:sz w:val="22"/>
          <w:szCs w:val="22"/>
          <w:lang w:val="en-GB"/>
        </w:rPr>
        <w:t>ies</w:t>
      </w:r>
      <w:r w:rsidR="00935B9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(ii) </w:t>
      </w:r>
      <w:r w:rsidRPr="00560E33">
        <w:rPr>
          <w:rFonts w:ascii="Arial" w:hAnsi="Arial" w:cs="Arial"/>
          <w:color w:val="7B7B7B" w:themeColor="accent3" w:themeShade="BF"/>
          <w:sz w:val="22"/>
          <w:szCs w:val="22"/>
          <w:lang w:val="en-GB"/>
        </w:rPr>
        <w:t xml:space="preserve">no execution or other legal process may be commenced or continued, and no distress may be levied, against the companies or their properties; and (iii) no step may be taken to enforce any security over any property of the companies, or to </w:t>
      </w:r>
      <w:r w:rsidRPr="00560E33">
        <w:rPr>
          <w:rFonts w:ascii="Arial" w:hAnsi="Arial" w:cs="Arial"/>
          <w:color w:val="7B7B7B" w:themeColor="accent3" w:themeShade="BF"/>
          <w:sz w:val="22"/>
          <w:szCs w:val="22"/>
          <w:lang w:val="en-GB"/>
        </w:rPr>
        <w:lastRenderedPageBreak/>
        <w:t>repossess any goods under any hire</w:t>
      </w:r>
      <w:r w:rsidRPr="00560E33">
        <w:rPr>
          <w:rFonts w:ascii="Arial" w:hAnsi="Arial" w:cs="Arial"/>
          <w:color w:val="7B7B7B" w:themeColor="accent3" w:themeShade="BF"/>
          <w:sz w:val="22"/>
          <w:szCs w:val="22"/>
          <w:lang w:val="en-GB"/>
        </w:rPr>
        <w:noBreakHyphen/>
        <w:t>purchase agreement, chattels leasing agreement or retention of title agreement.</w:t>
      </w:r>
    </w:p>
    <w:p w14:paraId="7CFFAFE2" w14:textId="77777777" w:rsidR="00560E33" w:rsidRDefault="00560E33" w:rsidP="00560E33">
      <w:pPr>
        <w:jc w:val="both"/>
        <w:rPr>
          <w:rFonts w:ascii="Arial" w:hAnsi="Arial" w:cs="Arial"/>
          <w:color w:val="7B7B7B" w:themeColor="accent3" w:themeShade="BF"/>
          <w:sz w:val="22"/>
          <w:szCs w:val="22"/>
          <w:lang w:val="en-GB"/>
        </w:rPr>
      </w:pPr>
    </w:p>
    <w:p w14:paraId="170EF99F" w14:textId="7E98B5BA" w:rsidR="005C529D" w:rsidRPr="00560E33" w:rsidRDefault="00560E33" w:rsidP="00560E33">
      <w:pPr>
        <w:jc w:val="both"/>
        <w:rPr>
          <w:rFonts w:ascii="Arial" w:hAnsi="Arial" w:cs="Arial"/>
          <w:color w:val="7B7B7B" w:themeColor="accent3" w:themeShade="BF"/>
          <w:sz w:val="22"/>
          <w:szCs w:val="22"/>
          <w:lang w:val="en-GB"/>
        </w:rPr>
      </w:pPr>
      <w:r w:rsidRPr="00560E33">
        <w:rPr>
          <w:rFonts w:ascii="Arial" w:hAnsi="Arial" w:cs="Arial"/>
          <w:color w:val="7B7B7B" w:themeColor="accent3" w:themeShade="BF"/>
          <w:sz w:val="22"/>
          <w:szCs w:val="22"/>
          <w:lang w:val="en-GB"/>
        </w:rPr>
        <w:t>A creditor affected by a moratorium may</w:t>
      </w:r>
      <w:r>
        <w:rPr>
          <w:rFonts w:ascii="Arial" w:hAnsi="Arial" w:cs="Arial"/>
          <w:color w:val="7B7B7B" w:themeColor="accent3" w:themeShade="BF"/>
          <w:sz w:val="22"/>
          <w:szCs w:val="22"/>
          <w:lang w:val="en-GB"/>
        </w:rPr>
        <w:t>, h</w:t>
      </w:r>
      <w:r w:rsidRPr="00560E33">
        <w:rPr>
          <w:rFonts w:ascii="Arial" w:hAnsi="Arial" w:cs="Arial"/>
          <w:color w:val="7B7B7B" w:themeColor="accent3" w:themeShade="BF"/>
          <w:sz w:val="22"/>
          <w:szCs w:val="22"/>
          <w:lang w:val="en-GB"/>
        </w:rPr>
        <w:t>owever</w:t>
      </w:r>
      <w:r>
        <w:rPr>
          <w:rFonts w:ascii="Arial" w:hAnsi="Arial" w:cs="Arial"/>
          <w:color w:val="7B7B7B" w:themeColor="accent3" w:themeShade="BF"/>
          <w:sz w:val="22"/>
          <w:szCs w:val="22"/>
          <w:lang w:val="en-GB"/>
        </w:rPr>
        <w:t>,</w:t>
      </w:r>
      <w:r w:rsidRPr="00560E33">
        <w:rPr>
          <w:rFonts w:ascii="Arial" w:hAnsi="Arial" w:cs="Arial"/>
          <w:color w:val="7B7B7B" w:themeColor="accent3" w:themeShade="BF"/>
          <w:sz w:val="22"/>
          <w:szCs w:val="22"/>
          <w:lang w:val="en-GB"/>
        </w:rPr>
        <w:t xml:space="preserve"> apply to Court for leave to continue or commence proceedings against the debtor company. In deciding whether to grant leave, a Court will weigh the interests of the creditor against the need to grant the debtor room to meet the aims of judicial management.</w:t>
      </w:r>
    </w:p>
    <w:p w14:paraId="348B0169" w14:textId="6CF6D4B0" w:rsidR="005C529D" w:rsidRDefault="005C529D" w:rsidP="00560E33">
      <w:pPr>
        <w:jc w:val="both"/>
        <w:rPr>
          <w:rFonts w:ascii="Arial" w:hAnsi="Arial" w:cs="Arial"/>
          <w:color w:val="7B7B7B" w:themeColor="accent3" w:themeShade="BF"/>
          <w:sz w:val="22"/>
          <w:szCs w:val="22"/>
          <w:lang w:val="en-GB"/>
        </w:rPr>
      </w:pPr>
    </w:p>
    <w:p w14:paraId="544A457E" w14:textId="2CDA3121" w:rsidR="00560E33" w:rsidRDefault="00560E33" w:rsidP="00560E3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while the IRDA provides a wide ambit of protection without </w:t>
      </w:r>
      <w:r w:rsidR="004E3CCD">
        <w:rPr>
          <w:rFonts w:ascii="Arial" w:hAnsi="Arial" w:cs="Arial"/>
          <w:color w:val="7B7B7B" w:themeColor="accent3" w:themeShade="BF"/>
          <w:sz w:val="22"/>
          <w:szCs w:val="22"/>
          <w:lang w:val="en-GB"/>
        </w:rPr>
        <w:t xml:space="preserve">limiting </w:t>
      </w:r>
      <w:r>
        <w:rPr>
          <w:rFonts w:ascii="Arial" w:hAnsi="Arial" w:cs="Arial"/>
          <w:color w:val="7B7B7B" w:themeColor="accent3" w:themeShade="BF"/>
          <w:sz w:val="22"/>
          <w:szCs w:val="22"/>
          <w:lang w:val="en-GB"/>
        </w:rPr>
        <w:t xml:space="preserve">such </w:t>
      </w:r>
      <w:r w:rsidR="004E3CCD">
        <w:rPr>
          <w:rFonts w:ascii="Arial" w:hAnsi="Arial" w:cs="Arial"/>
          <w:color w:val="7B7B7B" w:themeColor="accent3" w:themeShade="BF"/>
          <w:sz w:val="22"/>
          <w:szCs w:val="22"/>
          <w:lang w:val="en-GB"/>
        </w:rPr>
        <w:t>embargo on</w:t>
      </w:r>
      <w:r>
        <w:rPr>
          <w:rFonts w:ascii="Arial" w:hAnsi="Arial" w:cs="Arial"/>
          <w:color w:val="7B7B7B" w:themeColor="accent3" w:themeShade="BF"/>
          <w:sz w:val="22"/>
          <w:szCs w:val="22"/>
          <w:lang w:val="en-GB"/>
        </w:rPr>
        <w:t xml:space="preserve"> adverse actions being taken again the companies with</w:t>
      </w:r>
      <w:r w:rsidR="004E3CCD">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the </w:t>
      </w:r>
      <w:r w:rsidR="004E3CCD">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 xml:space="preserve"> of Singapore, </w:t>
      </w:r>
      <w:r w:rsidR="004E3CCD">
        <w:rPr>
          <w:rFonts w:ascii="Arial" w:hAnsi="Arial" w:cs="Arial"/>
          <w:color w:val="7B7B7B" w:themeColor="accent3" w:themeShade="BF"/>
          <w:sz w:val="22"/>
          <w:szCs w:val="22"/>
          <w:lang w:val="en-GB"/>
        </w:rPr>
        <w:t>the recognition of such a moratoria pursuant to the operation of the provisions of the IRDA, will be subject to the nature of jurisdiction of each of the locations (being Malaysia, Vietnam, US, Thailand, Cambodia etc) in which the assets of these companies are located including the applicable law</w:t>
      </w:r>
      <w:r w:rsidR="00935B97">
        <w:rPr>
          <w:rFonts w:ascii="Arial" w:hAnsi="Arial" w:cs="Arial"/>
          <w:color w:val="7B7B7B" w:themeColor="accent3" w:themeShade="BF"/>
          <w:sz w:val="22"/>
          <w:szCs w:val="22"/>
          <w:lang w:val="en-GB"/>
        </w:rPr>
        <w:t xml:space="preserve"> therein</w:t>
      </w:r>
      <w:r w:rsidR="004E3CCD">
        <w:rPr>
          <w:rFonts w:ascii="Arial" w:hAnsi="Arial" w:cs="Arial"/>
          <w:color w:val="7B7B7B" w:themeColor="accent3" w:themeShade="BF"/>
          <w:sz w:val="22"/>
          <w:szCs w:val="22"/>
          <w:lang w:val="en-GB"/>
        </w:rPr>
        <w:t xml:space="preserve"> with respect to recognition of insolvency proceed</w:t>
      </w:r>
      <w:r w:rsidR="00935B97">
        <w:rPr>
          <w:rFonts w:ascii="Arial" w:hAnsi="Arial" w:cs="Arial"/>
          <w:color w:val="7B7B7B" w:themeColor="accent3" w:themeShade="BF"/>
          <w:sz w:val="22"/>
          <w:szCs w:val="22"/>
          <w:lang w:val="en-GB"/>
        </w:rPr>
        <w:t>ings</w:t>
      </w:r>
      <w:r w:rsidR="004E3CCD">
        <w:rPr>
          <w:rFonts w:ascii="Arial" w:hAnsi="Arial" w:cs="Arial"/>
          <w:color w:val="7B7B7B" w:themeColor="accent3" w:themeShade="BF"/>
          <w:sz w:val="22"/>
          <w:szCs w:val="22"/>
          <w:lang w:val="en-GB"/>
        </w:rPr>
        <w:t xml:space="preserve"> having commenced in Singapore, adoption of UNCITRAL Model Law on cross-border insolvency, reciprocity requirements, in absence of that, applicability of private international law principles such as comity etc to provide recognition to such moratoria and protection thereunder.</w:t>
      </w:r>
    </w:p>
    <w:p w14:paraId="60BFFA45" w14:textId="77777777" w:rsidR="004E3CCD" w:rsidRPr="00560E33" w:rsidRDefault="004E3CCD" w:rsidP="00560E33">
      <w:pPr>
        <w:jc w:val="both"/>
        <w:rPr>
          <w:rFonts w:ascii="Arial" w:hAnsi="Arial" w:cs="Arial"/>
          <w:color w:val="7B7B7B" w:themeColor="accent3" w:themeShade="BF"/>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27CBA046" w:rsidR="002D3473" w:rsidRDefault="003E49A4" w:rsidP="003058AA">
      <w:pPr>
        <w:pStyle w:val="ListParagraph"/>
        <w:numPr>
          <w:ilvl w:val="0"/>
          <w:numId w:val="37"/>
        </w:numPr>
        <w:ind w:left="81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The cross-border insolvencies laws available in Singapore for the purposes of recognising foreign insolvency proceedings are the </w:t>
      </w:r>
      <w:r w:rsidR="006026BA">
        <w:rPr>
          <w:rFonts w:ascii="Arial" w:hAnsi="Arial" w:cs="Arial"/>
          <w:color w:val="7B7B7B" w:themeColor="accent3" w:themeShade="BF"/>
          <w:sz w:val="22"/>
          <w:szCs w:val="22"/>
          <w:lang w:val="en-GB"/>
        </w:rPr>
        <w:t>I</w:t>
      </w:r>
      <w:r w:rsidR="006026BA" w:rsidRPr="006026BA">
        <w:rPr>
          <w:rFonts w:ascii="Arial" w:hAnsi="Arial" w:cs="Arial"/>
          <w:color w:val="7B7B7B" w:themeColor="accent3" w:themeShade="BF"/>
          <w:sz w:val="22"/>
          <w:szCs w:val="22"/>
          <w:lang w:val="en-GB"/>
        </w:rPr>
        <w:t>nsolvency, Restructuring and Dissolution Act 2018</w:t>
      </w:r>
      <w:r>
        <w:rPr>
          <w:rFonts w:ascii="Arial" w:hAnsi="Arial" w:cs="Arial"/>
          <w:color w:val="7B7B7B" w:themeColor="accent3" w:themeShade="BF"/>
          <w:sz w:val="22"/>
          <w:szCs w:val="22"/>
          <w:lang w:val="en-GB"/>
        </w:rPr>
        <w:t xml:space="preserve"> that has adopted the UNCITRA Model Law on Cross-Border Insolvency with ce</w:t>
      </w:r>
      <w:r w:rsidR="00935B97">
        <w:rPr>
          <w:rFonts w:ascii="Arial" w:hAnsi="Arial" w:cs="Arial"/>
          <w:color w:val="7B7B7B" w:themeColor="accent3" w:themeShade="BF"/>
          <w:sz w:val="22"/>
          <w:szCs w:val="22"/>
          <w:lang w:val="en-GB"/>
        </w:rPr>
        <w:t>rtain</w:t>
      </w:r>
      <w:r>
        <w:rPr>
          <w:rFonts w:ascii="Arial" w:hAnsi="Arial" w:cs="Arial"/>
          <w:color w:val="7B7B7B" w:themeColor="accent3" w:themeShade="BF"/>
          <w:sz w:val="22"/>
          <w:szCs w:val="22"/>
          <w:lang w:val="en-GB"/>
        </w:rPr>
        <w:t xml:space="preserve"> m</w:t>
      </w:r>
      <w:r w:rsidR="00935B97">
        <w:rPr>
          <w:rFonts w:ascii="Arial" w:hAnsi="Arial" w:cs="Arial"/>
          <w:color w:val="7B7B7B" w:themeColor="accent3" w:themeShade="BF"/>
          <w:sz w:val="22"/>
          <w:szCs w:val="22"/>
          <w:lang w:val="en-GB"/>
        </w:rPr>
        <w:t>odifi</w:t>
      </w:r>
      <w:r>
        <w:rPr>
          <w:rFonts w:ascii="Arial" w:hAnsi="Arial" w:cs="Arial"/>
          <w:color w:val="7B7B7B" w:themeColor="accent3" w:themeShade="BF"/>
          <w:sz w:val="22"/>
          <w:szCs w:val="22"/>
          <w:lang w:val="en-GB"/>
        </w:rPr>
        <w:t>cations as set out under Par 11 of the Act</w:t>
      </w:r>
      <w:r w:rsidR="00935B9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rPr>
        <w:t xml:space="preserve">Guidelines for Communication and Co-operation between Courts in Cross Border Insolvency Matters also known as the </w:t>
      </w:r>
      <w:r w:rsidRPr="003D6D40">
        <w:rPr>
          <w:rFonts w:ascii="Arial" w:hAnsi="Arial" w:cs="Arial"/>
          <w:color w:val="7B7B7B" w:themeColor="accent3" w:themeShade="BF"/>
          <w:sz w:val="22"/>
          <w:szCs w:val="22"/>
        </w:rPr>
        <w:t xml:space="preserve">JIN </w:t>
      </w:r>
      <w:r>
        <w:rPr>
          <w:rFonts w:ascii="Arial" w:hAnsi="Arial" w:cs="Arial"/>
          <w:color w:val="7B7B7B" w:themeColor="accent3" w:themeShade="BF"/>
          <w:sz w:val="22"/>
          <w:szCs w:val="22"/>
        </w:rPr>
        <w:t xml:space="preserve">Guidelines adopted by the Singapore Supreme Court; the Reciprocal </w:t>
      </w:r>
      <w:r w:rsidR="006026BA">
        <w:rPr>
          <w:rFonts w:ascii="Arial" w:hAnsi="Arial" w:cs="Arial"/>
          <w:color w:val="7B7B7B" w:themeColor="accent3" w:themeShade="BF"/>
          <w:sz w:val="22"/>
          <w:szCs w:val="22"/>
        </w:rPr>
        <w:t>E</w:t>
      </w:r>
      <w:r>
        <w:rPr>
          <w:rFonts w:ascii="Arial" w:hAnsi="Arial" w:cs="Arial"/>
          <w:color w:val="7B7B7B" w:themeColor="accent3" w:themeShade="BF"/>
          <w:sz w:val="22"/>
          <w:szCs w:val="22"/>
        </w:rPr>
        <w:t xml:space="preserve">nforcement of Commonwealth Judgments Act enabling judgments from UK, Australia and certain commonwealth nations to be registered </w:t>
      </w:r>
      <w:r w:rsidR="006026BA">
        <w:rPr>
          <w:rFonts w:ascii="Arial" w:hAnsi="Arial" w:cs="Arial"/>
          <w:color w:val="7B7B7B" w:themeColor="accent3" w:themeShade="BF"/>
          <w:sz w:val="22"/>
          <w:szCs w:val="22"/>
        </w:rPr>
        <w:t>for recognition and enforcement of judgments from these nations in the Singapore High Court; and the Reciprocal Enforcement of Foreign Judgments Act.</w:t>
      </w:r>
    </w:p>
    <w:p w14:paraId="20DDE366" w14:textId="7B697A7F" w:rsidR="006026BA" w:rsidRDefault="006026BA" w:rsidP="00087F21">
      <w:pPr>
        <w:autoSpaceDE w:val="0"/>
        <w:autoSpaceDN w:val="0"/>
        <w:adjustRightInd w:val="0"/>
        <w:jc w:val="both"/>
        <w:rPr>
          <w:rFonts w:ascii="Arial" w:hAnsi="Arial" w:cs="Arial"/>
          <w:color w:val="7B7B7B" w:themeColor="accent3" w:themeShade="BF"/>
          <w:sz w:val="22"/>
          <w:szCs w:val="22"/>
        </w:rPr>
      </w:pPr>
    </w:p>
    <w:p w14:paraId="41D94EF4" w14:textId="51EC7052" w:rsidR="00E8493D" w:rsidRDefault="006026BA" w:rsidP="003058AA">
      <w:pPr>
        <w:pStyle w:val="ListParagraph"/>
        <w:numPr>
          <w:ilvl w:val="0"/>
          <w:numId w:val="37"/>
        </w:numPr>
        <w:ind w:left="810"/>
        <w:jc w:val="both"/>
        <w:rPr>
          <w:rFonts w:ascii="Arial" w:hAnsi="Arial" w:cs="Arial"/>
          <w:color w:val="7B7B7B" w:themeColor="accent3" w:themeShade="BF"/>
          <w:sz w:val="22"/>
          <w:szCs w:val="22"/>
        </w:rPr>
      </w:pPr>
      <w:r w:rsidRPr="006026BA">
        <w:rPr>
          <w:rFonts w:ascii="Arial" w:hAnsi="Arial" w:cs="Arial"/>
          <w:color w:val="7B7B7B" w:themeColor="accent3" w:themeShade="BF"/>
          <w:sz w:val="22"/>
          <w:szCs w:val="22"/>
        </w:rPr>
        <w:t xml:space="preserve">The general requirements for a Singapore court to </w:t>
      </w:r>
      <w:r w:rsidR="00935B97">
        <w:rPr>
          <w:rFonts w:ascii="Arial" w:hAnsi="Arial" w:cs="Arial"/>
          <w:color w:val="7B7B7B" w:themeColor="accent3" w:themeShade="BF"/>
          <w:sz w:val="22"/>
          <w:szCs w:val="22"/>
        </w:rPr>
        <w:t xml:space="preserve">have jurisdiction and </w:t>
      </w:r>
      <w:proofErr w:type="spellStart"/>
      <w:r w:rsidRPr="006026BA">
        <w:rPr>
          <w:rFonts w:ascii="Arial" w:hAnsi="Arial" w:cs="Arial"/>
          <w:color w:val="7B7B7B" w:themeColor="accent3" w:themeShade="BF"/>
          <w:sz w:val="22"/>
          <w:szCs w:val="22"/>
        </w:rPr>
        <w:t>recognise</w:t>
      </w:r>
      <w:proofErr w:type="spellEnd"/>
      <w:r w:rsidRPr="006026BA">
        <w:rPr>
          <w:rFonts w:ascii="Arial" w:hAnsi="Arial" w:cs="Arial"/>
          <w:color w:val="7B7B7B" w:themeColor="accent3" w:themeShade="BF"/>
          <w:sz w:val="22"/>
          <w:szCs w:val="22"/>
        </w:rPr>
        <w:t xml:space="preserve"> a foreign insolvency proceeding is that the debtor (</w:t>
      </w:r>
      <w:proofErr w:type="spellStart"/>
      <w:r w:rsidRPr="006026BA">
        <w:rPr>
          <w:rFonts w:ascii="Arial" w:hAnsi="Arial" w:cs="Arial"/>
          <w:color w:val="7B7B7B" w:themeColor="accent3" w:themeShade="BF"/>
          <w:sz w:val="22"/>
          <w:szCs w:val="22"/>
        </w:rPr>
        <w:t>i</w:t>
      </w:r>
      <w:proofErr w:type="spellEnd"/>
      <w:r w:rsidRPr="006026BA">
        <w:rPr>
          <w:rFonts w:ascii="Arial" w:hAnsi="Arial" w:cs="Arial"/>
          <w:color w:val="7B7B7B" w:themeColor="accent3" w:themeShade="BF"/>
          <w:sz w:val="22"/>
          <w:szCs w:val="22"/>
        </w:rPr>
        <w:t>) is or has been carrying on business within the meaning of section 366 of the Companies Act in Singapore; or (ii) has property situated in Singapore; or (iii)</w:t>
      </w:r>
      <w:r>
        <w:rPr>
          <w:rFonts w:ascii="Arial" w:hAnsi="Arial" w:cs="Arial"/>
          <w:color w:val="7B7B7B" w:themeColor="accent3" w:themeShade="BF"/>
          <w:sz w:val="22"/>
          <w:szCs w:val="22"/>
        </w:rPr>
        <w:t xml:space="preserve"> there is </w:t>
      </w:r>
      <w:r w:rsidRPr="006026BA">
        <w:rPr>
          <w:rFonts w:ascii="Arial" w:hAnsi="Arial" w:cs="Arial"/>
          <w:color w:val="7B7B7B" w:themeColor="accent3" w:themeShade="BF"/>
          <w:sz w:val="22"/>
          <w:szCs w:val="22"/>
        </w:rPr>
        <w:t xml:space="preserve">any other reason which the court </w:t>
      </w:r>
      <w:r w:rsidR="00935B97" w:rsidRPr="006026BA">
        <w:rPr>
          <w:rFonts w:ascii="Arial" w:hAnsi="Arial" w:cs="Arial"/>
          <w:color w:val="7B7B7B" w:themeColor="accent3" w:themeShade="BF"/>
          <w:sz w:val="22"/>
          <w:szCs w:val="22"/>
        </w:rPr>
        <w:t>considers that</w:t>
      </w:r>
      <w:r w:rsidRPr="006026BA">
        <w:rPr>
          <w:rFonts w:ascii="Arial" w:hAnsi="Arial" w:cs="Arial"/>
          <w:color w:val="7B7B7B" w:themeColor="accent3" w:themeShade="BF"/>
          <w:sz w:val="22"/>
          <w:szCs w:val="22"/>
        </w:rPr>
        <w:t xml:space="preserve"> it is the appropriate forum to consider the question or provide the assistance requested</w:t>
      </w:r>
      <w:r>
        <w:rPr>
          <w:rFonts w:ascii="Arial" w:hAnsi="Arial" w:cs="Arial"/>
          <w:color w:val="7B7B7B" w:themeColor="accent3" w:themeShade="BF"/>
          <w:sz w:val="22"/>
          <w:szCs w:val="22"/>
        </w:rPr>
        <w:t xml:space="preserve">. </w:t>
      </w:r>
    </w:p>
    <w:p w14:paraId="254548E5" w14:textId="77777777" w:rsidR="00E8493D" w:rsidRDefault="00E8493D" w:rsidP="006026BA">
      <w:pPr>
        <w:autoSpaceDE w:val="0"/>
        <w:autoSpaceDN w:val="0"/>
        <w:adjustRightInd w:val="0"/>
        <w:jc w:val="both"/>
        <w:rPr>
          <w:rFonts w:ascii="Arial" w:hAnsi="Arial" w:cs="Arial"/>
          <w:color w:val="7B7B7B" w:themeColor="accent3" w:themeShade="BF"/>
          <w:sz w:val="22"/>
          <w:szCs w:val="22"/>
        </w:rPr>
      </w:pPr>
    </w:p>
    <w:p w14:paraId="6AF7D7D1" w14:textId="769DEBFA" w:rsidR="006026BA" w:rsidRDefault="006026BA" w:rsidP="003058AA">
      <w:pPr>
        <w:pStyle w:val="ListParagraph"/>
        <w:ind w:left="81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 the </w:t>
      </w:r>
      <w:r w:rsidR="00E8493D">
        <w:rPr>
          <w:rFonts w:ascii="Arial" w:hAnsi="Arial" w:cs="Arial"/>
          <w:color w:val="7B7B7B" w:themeColor="accent3" w:themeShade="BF"/>
          <w:sz w:val="22"/>
          <w:szCs w:val="22"/>
        </w:rPr>
        <w:t>decision</w:t>
      </w:r>
      <w:r>
        <w:rPr>
          <w:rFonts w:ascii="Arial" w:hAnsi="Arial" w:cs="Arial"/>
          <w:color w:val="7B7B7B" w:themeColor="accent3" w:themeShade="BF"/>
          <w:sz w:val="22"/>
          <w:szCs w:val="22"/>
        </w:rPr>
        <w:t xml:space="preserve"> to </w:t>
      </w:r>
      <w:r w:rsidR="00E8493D">
        <w:rPr>
          <w:rFonts w:ascii="Arial" w:hAnsi="Arial" w:cs="Arial"/>
          <w:color w:val="7B7B7B" w:themeColor="accent3" w:themeShade="BF"/>
          <w:sz w:val="22"/>
          <w:szCs w:val="22"/>
        </w:rPr>
        <w:t>recognize</w:t>
      </w:r>
      <w:r>
        <w:rPr>
          <w:rFonts w:ascii="Arial" w:hAnsi="Arial" w:cs="Arial"/>
          <w:color w:val="7B7B7B" w:themeColor="accent3" w:themeShade="BF"/>
          <w:sz w:val="22"/>
          <w:szCs w:val="22"/>
        </w:rPr>
        <w:t xml:space="preserve"> a </w:t>
      </w:r>
      <w:proofErr w:type="gramStart"/>
      <w:r>
        <w:rPr>
          <w:rFonts w:ascii="Arial" w:hAnsi="Arial" w:cs="Arial"/>
          <w:color w:val="7B7B7B" w:themeColor="accent3" w:themeShade="BF"/>
          <w:sz w:val="22"/>
          <w:szCs w:val="22"/>
        </w:rPr>
        <w:t>foreign</w:t>
      </w:r>
      <w:r w:rsidR="00935B9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proceedings</w:t>
      </w:r>
      <w:proofErr w:type="gramEnd"/>
      <w:r>
        <w:rPr>
          <w:rFonts w:ascii="Arial" w:hAnsi="Arial" w:cs="Arial"/>
          <w:color w:val="7B7B7B" w:themeColor="accent3" w:themeShade="BF"/>
          <w:sz w:val="22"/>
          <w:szCs w:val="22"/>
        </w:rPr>
        <w:t xml:space="preserve"> is based on the following criteria/requirement</w:t>
      </w:r>
      <w:r w:rsidR="00E8493D">
        <w:rPr>
          <w:rFonts w:ascii="Arial" w:hAnsi="Arial" w:cs="Arial"/>
          <w:color w:val="7B7B7B" w:themeColor="accent3" w:themeShade="BF"/>
          <w:sz w:val="22"/>
          <w:szCs w:val="22"/>
        </w:rPr>
        <w:t xml:space="preserve">s- </w:t>
      </w:r>
    </w:p>
    <w:p w14:paraId="246169EA" w14:textId="4828FACB" w:rsidR="00E8493D" w:rsidRDefault="00E8493D" w:rsidP="006026BA">
      <w:pPr>
        <w:autoSpaceDE w:val="0"/>
        <w:autoSpaceDN w:val="0"/>
        <w:adjustRightInd w:val="0"/>
        <w:jc w:val="both"/>
        <w:rPr>
          <w:rFonts w:ascii="Arial" w:hAnsi="Arial" w:cs="Arial"/>
          <w:color w:val="7B7B7B" w:themeColor="accent3" w:themeShade="BF"/>
          <w:sz w:val="22"/>
          <w:szCs w:val="22"/>
        </w:rPr>
      </w:pPr>
    </w:p>
    <w:p w14:paraId="672A0DD8" w14:textId="78CDA331" w:rsidR="00E8493D" w:rsidRPr="00E8493D" w:rsidRDefault="00E8493D" w:rsidP="003058AA">
      <w:pPr>
        <w:pStyle w:val="ListParagraph"/>
        <w:numPr>
          <w:ilvl w:val="0"/>
          <w:numId w:val="34"/>
        </w:numPr>
        <w:autoSpaceDE w:val="0"/>
        <w:autoSpaceDN w:val="0"/>
        <w:adjustRightInd w:val="0"/>
        <w:ind w:left="1170"/>
        <w:jc w:val="both"/>
        <w:rPr>
          <w:rFonts w:ascii="Arial" w:hAnsi="Arial" w:cs="Arial"/>
          <w:color w:val="7B7B7B" w:themeColor="accent3" w:themeShade="BF"/>
          <w:sz w:val="22"/>
          <w:szCs w:val="22"/>
        </w:rPr>
      </w:pPr>
      <w:r w:rsidRPr="00E8493D">
        <w:rPr>
          <w:rFonts w:ascii="Arial" w:hAnsi="Arial" w:cs="Arial"/>
          <w:color w:val="7B7B7B" w:themeColor="accent3" w:themeShade="BF"/>
          <w:sz w:val="22"/>
          <w:szCs w:val="22"/>
        </w:rPr>
        <w:t>it is a foreign proceeding within the meaning of Article 2(h)</w:t>
      </w:r>
      <w:r w:rsidR="00935B97">
        <w:rPr>
          <w:rFonts w:ascii="Arial" w:hAnsi="Arial" w:cs="Arial"/>
          <w:color w:val="7B7B7B" w:themeColor="accent3" w:themeShade="BF"/>
          <w:sz w:val="22"/>
          <w:szCs w:val="22"/>
        </w:rPr>
        <w:t xml:space="preserve"> of Third Schedule to the IRDA</w:t>
      </w:r>
      <w:r w:rsidRPr="00E8493D">
        <w:rPr>
          <w:rFonts w:ascii="Arial" w:hAnsi="Arial" w:cs="Arial"/>
          <w:color w:val="7B7B7B" w:themeColor="accent3" w:themeShade="BF"/>
          <w:sz w:val="22"/>
          <w:szCs w:val="22"/>
        </w:rPr>
        <w:t>;</w:t>
      </w:r>
    </w:p>
    <w:p w14:paraId="00CD98EF" w14:textId="3BD5AF13" w:rsidR="00E8493D" w:rsidRDefault="00E8493D" w:rsidP="003058AA">
      <w:pPr>
        <w:pStyle w:val="ListParagraph"/>
        <w:numPr>
          <w:ilvl w:val="0"/>
          <w:numId w:val="34"/>
        </w:numPr>
        <w:autoSpaceDE w:val="0"/>
        <w:autoSpaceDN w:val="0"/>
        <w:adjustRightInd w:val="0"/>
        <w:ind w:left="1170"/>
        <w:jc w:val="both"/>
        <w:rPr>
          <w:rFonts w:ascii="Arial" w:hAnsi="Arial" w:cs="Arial"/>
          <w:color w:val="7B7B7B" w:themeColor="accent3" w:themeShade="BF"/>
          <w:sz w:val="22"/>
          <w:szCs w:val="22"/>
        </w:rPr>
      </w:pPr>
      <w:r w:rsidRPr="006026BA">
        <w:rPr>
          <w:rFonts w:ascii="Arial" w:hAnsi="Arial" w:cs="Arial"/>
          <w:color w:val="7B7B7B" w:themeColor="accent3" w:themeShade="BF"/>
          <w:sz w:val="22"/>
          <w:szCs w:val="22"/>
        </w:rPr>
        <w:t>the person or body applying for recognition is a foreign representative within the meaning of Article 2(</w:t>
      </w:r>
      <w:proofErr w:type="spellStart"/>
      <w:r w:rsidRPr="006026BA">
        <w:rPr>
          <w:rFonts w:ascii="Arial" w:hAnsi="Arial" w:cs="Arial"/>
          <w:color w:val="7B7B7B" w:themeColor="accent3" w:themeShade="BF"/>
          <w:sz w:val="22"/>
          <w:szCs w:val="22"/>
        </w:rPr>
        <w:t>i</w:t>
      </w:r>
      <w:proofErr w:type="spellEnd"/>
      <w:r w:rsidRPr="006026BA">
        <w:rPr>
          <w:rFonts w:ascii="Arial" w:hAnsi="Arial" w:cs="Arial"/>
          <w:color w:val="7B7B7B" w:themeColor="accent3" w:themeShade="BF"/>
          <w:sz w:val="22"/>
          <w:szCs w:val="22"/>
        </w:rPr>
        <w:t>);</w:t>
      </w:r>
    </w:p>
    <w:p w14:paraId="0FAA52EF" w14:textId="59A7C9A5" w:rsidR="00E8493D" w:rsidRDefault="00E8493D" w:rsidP="003058AA">
      <w:pPr>
        <w:pStyle w:val="ListParagraph"/>
        <w:numPr>
          <w:ilvl w:val="0"/>
          <w:numId w:val="34"/>
        </w:numPr>
        <w:autoSpaceDE w:val="0"/>
        <w:autoSpaceDN w:val="0"/>
        <w:adjustRightInd w:val="0"/>
        <w:ind w:left="117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application for recognition </w:t>
      </w:r>
      <w:r w:rsidRPr="006026BA">
        <w:rPr>
          <w:rFonts w:ascii="Arial" w:hAnsi="Arial" w:cs="Arial"/>
          <w:color w:val="7B7B7B" w:themeColor="accent3" w:themeShade="BF"/>
          <w:sz w:val="22"/>
          <w:szCs w:val="22"/>
        </w:rPr>
        <w:t>meets the requirements of Article 15(2) and (3);</w:t>
      </w:r>
    </w:p>
    <w:p w14:paraId="14EFA260" w14:textId="2BD43136" w:rsidR="00E8493D" w:rsidRDefault="00E8493D" w:rsidP="003058AA">
      <w:pPr>
        <w:pStyle w:val="ListParagraph"/>
        <w:numPr>
          <w:ilvl w:val="0"/>
          <w:numId w:val="34"/>
        </w:numPr>
        <w:autoSpaceDE w:val="0"/>
        <w:autoSpaceDN w:val="0"/>
        <w:adjustRightInd w:val="0"/>
        <w:ind w:left="1170"/>
        <w:jc w:val="both"/>
        <w:rPr>
          <w:rFonts w:ascii="Arial" w:hAnsi="Arial" w:cs="Arial"/>
          <w:color w:val="7B7B7B" w:themeColor="accent3" w:themeShade="BF"/>
          <w:sz w:val="22"/>
          <w:szCs w:val="22"/>
        </w:rPr>
      </w:pPr>
      <w:r w:rsidRPr="006026BA">
        <w:rPr>
          <w:rFonts w:ascii="Arial" w:hAnsi="Arial" w:cs="Arial"/>
          <w:color w:val="7B7B7B" w:themeColor="accent3" w:themeShade="BF"/>
          <w:sz w:val="22"/>
          <w:szCs w:val="22"/>
        </w:rPr>
        <w:t>the application has been submitted to the Court mentioned in Article 4</w:t>
      </w:r>
      <w:r>
        <w:rPr>
          <w:rFonts w:ascii="Arial" w:hAnsi="Arial" w:cs="Arial"/>
          <w:color w:val="7B7B7B" w:themeColor="accent3" w:themeShade="BF"/>
          <w:sz w:val="22"/>
          <w:szCs w:val="22"/>
        </w:rPr>
        <w:t>;</w:t>
      </w:r>
    </w:p>
    <w:p w14:paraId="0670BA30" w14:textId="31B3B093" w:rsidR="00E8493D" w:rsidRDefault="00E8493D" w:rsidP="003058AA">
      <w:pPr>
        <w:pStyle w:val="ListParagraph"/>
        <w:numPr>
          <w:ilvl w:val="0"/>
          <w:numId w:val="34"/>
        </w:numPr>
        <w:autoSpaceDE w:val="0"/>
        <w:autoSpaceDN w:val="0"/>
        <w:adjustRightInd w:val="0"/>
        <w:ind w:left="117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recognition shall not be </w:t>
      </w:r>
      <w:r w:rsidRPr="00E8493D">
        <w:rPr>
          <w:rFonts w:ascii="Arial" w:hAnsi="Arial" w:cs="Arial"/>
          <w:color w:val="7B7B7B" w:themeColor="accent3" w:themeShade="BF"/>
          <w:sz w:val="22"/>
          <w:szCs w:val="22"/>
        </w:rPr>
        <w:t>contrary to the public policy of Singapore.</w:t>
      </w:r>
    </w:p>
    <w:p w14:paraId="5589D476" w14:textId="49FD1DF1" w:rsidR="00E8493D" w:rsidRDefault="00E8493D" w:rsidP="00E8493D">
      <w:pPr>
        <w:autoSpaceDE w:val="0"/>
        <w:autoSpaceDN w:val="0"/>
        <w:adjustRightInd w:val="0"/>
        <w:jc w:val="both"/>
        <w:rPr>
          <w:rFonts w:ascii="Arial" w:hAnsi="Arial" w:cs="Arial"/>
          <w:color w:val="7B7B7B" w:themeColor="accent3" w:themeShade="BF"/>
          <w:sz w:val="22"/>
          <w:szCs w:val="22"/>
        </w:rPr>
      </w:pPr>
    </w:p>
    <w:p w14:paraId="7D319142" w14:textId="43C1AB67" w:rsidR="00E8493D" w:rsidRDefault="00E8493D" w:rsidP="003058AA">
      <w:pPr>
        <w:pStyle w:val="ListParagraph"/>
        <w:numPr>
          <w:ilvl w:val="0"/>
          <w:numId w:val="37"/>
        </w:numPr>
        <w:ind w:left="81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e</w:t>
      </w:r>
      <w:r w:rsidRPr="00E8493D">
        <w:rPr>
          <w:rFonts w:ascii="Arial" w:hAnsi="Arial" w:cs="Arial"/>
          <w:color w:val="7B7B7B" w:themeColor="accent3" w:themeShade="BF"/>
          <w:sz w:val="22"/>
          <w:szCs w:val="22"/>
        </w:rPr>
        <w:t xml:space="preserve">ffects of recognition of a foreign proceeding that is a foreign main proceeding, subject to </w:t>
      </w:r>
      <w:r>
        <w:rPr>
          <w:rFonts w:ascii="Arial" w:hAnsi="Arial" w:cs="Arial"/>
          <w:color w:val="7B7B7B" w:themeColor="accent3" w:themeShade="BF"/>
          <w:sz w:val="22"/>
          <w:szCs w:val="22"/>
        </w:rPr>
        <w:t>Article 20(2) of IRDA are</w:t>
      </w:r>
      <w:r w:rsidRPr="00E8493D">
        <w:rPr>
          <w:rFonts w:ascii="Arial" w:hAnsi="Arial" w:cs="Arial"/>
          <w:color w:val="7B7B7B" w:themeColor="accent3" w:themeShade="BF"/>
          <w:sz w:val="22"/>
          <w:szCs w:val="22"/>
        </w:rPr>
        <w:t> </w:t>
      </w:r>
      <w:r>
        <w:rPr>
          <w:rFonts w:ascii="Arial" w:hAnsi="Arial" w:cs="Arial"/>
          <w:color w:val="7B7B7B" w:themeColor="accent3" w:themeShade="BF"/>
          <w:sz w:val="22"/>
          <w:szCs w:val="22"/>
        </w:rPr>
        <w:t>–</w:t>
      </w:r>
    </w:p>
    <w:p w14:paraId="77D96089" w14:textId="77777777" w:rsidR="00E8493D" w:rsidRDefault="00E8493D" w:rsidP="00E8493D">
      <w:pPr>
        <w:autoSpaceDE w:val="0"/>
        <w:autoSpaceDN w:val="0"/>
        <w:adjustRightInd w:val="0"/>
        <w:jc w:val="both"/>
        <w:rPr>
          <w:rFonts w:ascii="Arial" w:hAnsi="Arial" w:cs="Arial"/>
          <w:color w:val="7B7B7B" w:themeColor="accent3" w:themeShade="BF"/>
          <w:sz w:val="22"/>
          <w:szCs w:val="22"/>
        </w:rPr>
      </w:pPr>
    </w:p>
    <w:p w14:paraId="4F1BBA86" w14:textId="5F42E7F8" w:rsidR="00E8493D" w:rsidRDefault="00935B97" w:rsidP="003058AA">
      <w:pPr>
        <w:pStyle w:val="ListParagraph"/>
        <w:numPr>
          <w:ilvl w:val="0"/>
          <w:numId w:val="38"/>
        </w:numPr>
        <w:autoSpaceDE w:val="0"/>
        <w:autoSpaceDN w:val="0"/>
        <w:adjustRightInd w:val="0"/>
        <w:ind w:left="12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Stay or moratorium on </w:t>
      </w:r>
      <w:r w:rsidR="00E8493D" w:rsidRPr="00E8493D">
        <w:rPr>
          <w:rFonts w:ascii="Arial" w:hAnsi="Arial" w:cs="Arial"/>
          <w:color w:val="7B7B7B" w:themeColor="accent3" w:themeShade="BF"/>
          <w:sz w:val="22"/>
          <w:szCs w:val="22"/>
        </w:rPr>
        <w:t>commencement or continuation of individual actions or individual proceedings concerning the debtor’s property, rights, obligations or liabilities;</w:t>
      </w:r>
    </w:p>
    <w:p w14:paraId="755C4DAA" w14:textId="1C507DD7" w:rsidR="00E8493D" w:rsidRDefault="00935B97" w:rsidP="003058AA">
      <w:pPr>
        <w:pStyle w:val="ListParagraph"/>
        <w:numPr>
          <w:ilvl w:val="0"/>
          <w:numId w:val="38"/>
        </w:numPr>
        <w:autoSpaceDE w:val="0"/>
        <w:autoSpaceDN w:val="0"/>
        <w:adjustRightInd w:val="0"/>
        <w:ind w:left="12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Stay on </w:t>
      </w:r>
      <w:r w:rsidR="00E8493D" w:rsidRPr="00E8493D">
        <w:rPr>
          <w:rFonts w:ascii="Arial" w:hAnsi="Arial" w:cs="Arial"/>
          <w:color w:val="7B7B7B" w:themeColor="accent3" w:themeShade="BF"/>
          <w:sz w:val="22"/>
          <w:szCs w:val="22"/>
        </w:rPr>
        <w:t>execution against the debtor’s property; and</w:t>
      </w:r>
    </w:p>
    <w:p w14:paraId="7182877C" w14:textId="1891C307" w:rsidR="00E8493D" w:rsidRPr="00E8493D" w:rsidRDefault="00935B97" w:rsidP="003058AA">
      <w:pPr>
        <w:pStyle w:val="ListParagraph"/>
        <w:numPr>
          <w:ilvl w:val="0"/>
          <w:numId w:val="38"/>
        </w:numPr>
        <w:autoSpaceDE w:val="0"/>
        <w:autoSpaceDN w:val="0"/>
        <w:adjustRightInd w:val="0"/>
        <w:ind w:left="126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Suspension of </w:t>
      </w:r>
      <w:r w:rsidR="00E8493D" w:rsidRPr="00E8493D">
        <w:rPr>
          <w:rFonts w:ascii="Arial" w:hAnsi="Arial" w:cs="Arial"/>
          <w:color w:val="7B7B7B" w:themeColor="accent3" w:themeShade="BF"/>
          <w:sz w:val="22"/>
          <w:szCs w:val="22"/>
        </w:rPr>
        <w:t xml:space="preserve">the right to transfer, encumber or otherwise dispose of any property of the debtor. </w:t>
      </w:r>
    </w:p>
    <w:p w14:paraId="4721A448" w14:textId="77777777" w:rsidR="002D3473" w:rsidRPr="00E8493D" w:rsidRDefault="002D3473" w:rsidP="00E8493D">
      <w:pPr>
        <w:pStyle w:val="ListParagraph"/>
        <w:autoSpaceDE w:val="0"/>
        <w:autoSpaceDN w:val="0"/>
        <w:adjustRightInd w:val="0"/>
        <w:jc w:val="both"/>
        <w:rPr>
          <w:rFonts w:ascii="Arial" w:hAnsi="Arial" w:cs="Arial"/>
          <w:color w:val="7B7B7B" w:themeColor="accent3" w:themeShade="BF"/>
          <w:sz w:val="22"/>
          <w:szCs w:val="22"/>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1"/>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B897" w14:textId="77777777" w:rsidR="0078005F" w:rsidRDefault="0078005F">
      <w:r>
        <w:separator/>
      </w:r>
    </w:p>
  </w:endnote>
  <w:endnote w:type="continuationSeparator" w:id="0">
    <w:p w14:paraId="3580F778" w14:textId="77777777" w:rsidR="0078005F" w:rsidRDefault="0078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2DD80418" w14:textId="77777777" w:rsidR="0030358F" w:rsidRPr="009B4976" w:rsidRDefault="0030358F" w:rsidP="0030358F">
    <w:pPr>
      <w:pStyle w:val="Footer"/>
      <w:ind w:right="360"/>
      <w:rPr>
        <w:rFonts w:ascii="Arial" w:hAnsi="Arial" w:cs="Arial"/>
        <w:sz w:val="18"/>
        <w:szCs w:val="18"/>
        <w:lang w:val="en-GB"/>
      </w:rPr>
    </w:pPr>
    <w:r w:rsidRPr="009F047E">
      <w:rPr>
        <w:rFonts w:ascii="Arial" w:hAnsi="Arial" w:cs="Arial"/>
        <w:sz w:val="18"/>
        <w:szCs w:val="18"/>
        <w:lang w:val="en-GB"/>
      </w:rPr>
      <w:t>202021IFU-387</w:t>
    </w:r>
    <w:r w:rsidRPr="009B4976">
      <w:rPr>
        <w:rFonts w:ascii="Arial" w:hAnsi="Arial" w:cs="Arial"/>
        <w:sz w:val="18"/>
        <w:szCs w:val="18"/>
        <w:lang w:val="en-GB"/>
      </w:rPr>
      <w:t>.assessment</w:t>
    </w:r>
    <w:r>
      <w:rPr>
        <w:rFonts w:ascii="Arial" w:hAnsi="Arial" w:cs="Arial"/>
        <w:sz w:val="18"/>
        <w:szCs w:val="18"/>
        <w:lang w:val="en-GB"/>
      </w:rPr>
      <w:t>5B.docx</w:t>
    </w:r>
  </w:p>
  <w:p w14:paraId="09CBBDDF" w14:textId="59BFCAE8" w:rsidR="00241FA3" w:rsidRPr="009B4976" w:rsidRDefault="00241FA3" w:rsidP="0030358F">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2630" w14:textId="77777777" w:rsidR="0078005F" w:rsidRDefault="0078005F">
      <w:r>
        <w:separator/>
      </w:r>
    </w:p>
  </w:footnote>
  <w:footnote w:type="continuationSeparator" w:id="0">
    <w:p w14:paraId="212C5D0C" w14:textId="77777777" w:rsidR="0078005F" w:rsidRDefault="00780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D26"/>
    <w:multiLevelType w:val="hybridMultilevel"/>
    <w:tmpl w:val="8F624BAA"/>
    <w:lvl w:ilvl="0" w:tplc="A3707A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D041B7"/>
    <w:multiLevelType w:val="hybridMultilevel"/>
    <w:tmpl w:val="BF20B3CE"/>
    <w:lvl w:ilvl="0" w:tplc="40090017">
      <w:start w:val="1"/>
      <w:numFmt w:val="lowerLetter"/>
      <w:lvlText w:val="%1)"/>
      <w:lvlJc w:val="left"/>
      <w:pPr>
        <w:ind w:left="1866" w:hanging="360"/>
      </w:pPr>
    </w:lvl>
    <w:lvl w:ilvl="1" w:tplc="40090019" w:tentative="1">
      <w:start w:val="1"/>
      <w:numFmt w:val="lowerLetter"/>
      <w:lvlText w:val="%2."/>
      <w:lvlJc w:val="left"/>
      <w:pPr>
        <w:ind w:left="2586" w:hanging="360"/>
      </w:pPr>
    </w:lvl>
    <w:lvl w:ilvl="2" w:tplc="4009001B" w:tentative="1">
      <w:start w:val="1"/>
      <w:numFmt w:val="lowerRoman"/>
      <w:lvlText w:val="%3."/>
      <w:lvlJc w:val="right"/>
      <w:pPr>
        <w:ind w:left="3306" w:hanging="180"/>
      </w:pPr>
    </w:lvl>
    <w:lvl w:ilvl="3" w:tplc="4009000F" w:tentative="1">
      <w:start w:val="1"/>
      <w:numFmt w:val="decimal"/>
      <w:lvlText w:val="%4."/>
      <w:lvlJc w:val="left"/>
      <w:pPr>
        <w:ind w:left="4026" w:hanging="360"/>
      </w:pPr>
    </w:lvl>
    <w:lvl w:ilvl="4" w:tplc="40090019" w:tentative="1">
      <w:start w:val="1"/>
      <w:numFmt w:val="lowerLetter"/>
      <w:lvlText w:val="%5."/>
      <w:lvlJc w:val="left"/>
      <w:pPr>
        <w:ind w:left="4746" w:hanging="360"/>
      </w:pPr>
    </w:lvl>
    <w:lvl w:ilvl="5" w:tplc="4009001B" w:tentative="1">
      <w:start w:val="1"/>
      <w:numFmt w:val="lowerRoman"/>
      <w:lvlText w:val="%6."/>
      <w:lvlJc w:val="right"/>
      <w:pPr>
        <w:ind w:left="5466" w:hanging="180"/>
      </w:pPr>
    </w:lvl>
    <w:lvl w:ilvl="6" w:tplc="4009000F" w:tentative="1">
      <w:start w:val="1"/>
      <w:numFmt w:val="decimal"/>
      <w:lvlText w:val="%7."/>
      <w:lvlJc w:val="left"/>
      <w:pPr>
        <w:ind w:left="6186" w:hanging="360"/>
      </w:pPr>
    </w:lvl>
    <w:lvl w:ilvl="7" w:tplc="40090019" w:tentative="1">
      <w:start w:val="1"/>
      <w:numFmt w:val="lowerLetter"/>
      <w:lvlText w:val="%8."/>
      <w:lvlJc w:val="left"/>
      <w:pPr>
        <w:ind w:left="6906" w:hanging="360"/>
      </w:pPr>
    </w:lvl>
    <w:lvl w:ilvl="8" w:tplc="4009001B" w:tentative="1">
      <w:start w:val="1"/>
      <w:numFmt w:val="lowerRoman"/>
      <w:lvlText w:val="%9."/>
      <w:lvlJc w:val="right"/>
      <w:pPr>
        <w:ind w:left="7626" w:hanging="180"/>
      </w:pPr>
    </w:lvl>
  </w:abstractNum>
  <w:abstractNum w:abstractNumId="2" w15:restartNumberingAfterBreak="0">
    <w:nsid w:val="03FD3E02"/>
    <w:multiLevelType w:val="hybridMultilevel"/>
    <w:tmpl w:val="CC1624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F0BF2"/>
    <w:multiLevelType w:val="hybridMultilevel"/>
    <w:tmpl w:val="12080E34"/>
    <w:lvl w:ilvl="0" w:tplc="D17E4DCC">
      <w:start w:val="1"/>
      <w:numFmt w:val="lowerRoman"/>
      <w:lvlText w:val="(%1)"/>
      <w:lvlJc w:val="left"/>
      <w:pPr>
        <w:ind w:left="1102" w:hanging="720"/>
      </w:pPr>
      <w:rPr>
        <w:rFonts w:eastAsiaTheme="minorHAnsi" w:hint="default"/>
        <w:color w:val="auto"/>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5" w15:restartNumberingAfterBreak="0">
    <w:nsid w:val="0966350D"/>
    <w:multiLevelType w:val="hybridMultilevel"/>
    <w:tmpl w:val="B220E1CE"/>
    <w:lvl w:ilvl="0" w:tplc="2806E1E6">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15:restartNumberingAfterBreak="0">
    <w:nsid w:val="0B461BFB"/>
    <w:multiLevelType w:val="hybridMultilevel"/>
    <w:tmpl w:val="2F043806"/>
    <w:lvl w:ilvl="0" w:tplc="3A12335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C264081"/>
    <w:multiLevelType w:val="hybridMultilevel"/>
    <w:tmpl w:val="8F624BAA"/>
    <w:lvl w:ilvl="0" w:tplc="A3707A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14A7F7E"/>
    <w:multiLevelType w:val="hybridMultilevel"/>
    <w:tmpl w:val="6F686DB4"/>
    <w:lvl w:ilvl="0" w:tplc="F33A9C5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B06AE"/>
    <w:multiLevelType w:val="hybridMultilevel"/>
    <w:tmpl w:val="CC1624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8C56C2F"/>
    <w:multiLevelType w:val="hybridMultilevel"/>
    <w:tmpl w:val="3F364A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13" w15:restartNumberingAfterBreak="0">
    <w:nsid w:val="1C6E6B48"/>
    <w:multiLevelType w:val="hybridMultilevel"/>
    <w:tmpl w:val="12080E34"/>
    <w:lvl w:ilvl="0" w:tplc="D17E4DCC">
      <w:start w:val="1"/>
      <w:numFmt w:val="lowerRoman"/>
      <w:lvlText w:val="(%1)"/>
      <w:lvlJc w:val="left"/>
      <w:pPr>
        <w:ind w:left="1102" w:hanging="720"/>
      </w:pPr>
      <w:rPr>
        <w:rFonts w:eastAsiaTheme="minorHAnsi" w:hint="default"/>
        <w:color w:val="auto"/>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4" w15:restartNumberingAfterBreak="0">
    <w:nsid w:val="20730CF3"/>
    <w:multiLevelType w:val="hybridMultilevel"/>
    <w:tmpl w:val="15A257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171E3A"/>
    <w:multiLevelType w:val="hybridMultilevel"/>
    <w:tmpl w:val="11CAEC02"/>
    <w:lvl w:ilvl="0" w:tplc="A38CDA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12F3CA8"/>
    <w:multiLevelType w:val="hybridMultilevel"/>
    <w:tmpl w:val="7610D928"/>
    <w:lvl w:ilvl="0" w:tplc="8F2069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8" w15:restartNumberingAfterBreak="0">
    <w:nsid w:val="25B95CD4"/>
    <w:multiLevelType w:val="hybridMultilevel"/>
    <w:tmpl w:val="12080E34"/>
    <w:lvl w:ilvl="0" w:tplc="D17E4DCC">
      <w:start w:val="1"/>
      <w:numFmt w:val="lowerRoman"/>
      <w:lvlText w:val="(%1)"/>
      <w:lvlJc w:val="left"/>
      <w:pPr>
        <w:ind w:left="1102" w:hanging="720"/>
      </w:pPr>
      <w:rPr>
        <w:rFonts w:eastAsiaTheme="minorHAnsi" w:hint="default"/>
        <w:color w:val="auto"/>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9" w15:restartNumberingAfterBreak="0">
    <w:nsid w:val="27D37FEA"/>
    <w:multiLevelType w:val="hybridMultilevel"/>
    <w:tmpl w:val="2C18EE84"/>
    <w:lvl w:ilvl="0" w:tplc="FC88811A">
      <w:start w:val="1"/>
      <w:numFmt w:val="lowerLetter"/>
      <w:lvlText w:val="(%1)"/>
      <w:lvlJc w:val="left"/>
      <w:pPr>
        <w:ind w:left="1800" w:hanging="720"/>
      </w:pPr>
      <w:rPr>
        <w:rFonts w:ascii="Arial" w:eastAsia="Times New Roman" w:hAnsi="Arial" w:cs="Arial"/>
        <w:color w:val="7B7B7B" w:themeColor="accent3" w:themeShade="BF"/>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287258D4"/>
    <w:multiLevelType w:val="hybridMultilevel"/>
    <w:tmpl w:val="AD54F73C"/>
    <w:lvl w:ilvl="0" w:tplc="9EACDE24">
      <w:start w:val="1"/>
      <w:numFmt w:val="lowerLetter"/>
      <w:lvlText w:val="(%1)"/>
      <w:lvlJc w:val="left"/>
      <w:pPr>
        <w:ind w:left="1506" w:hanging="36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1"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22" w15:restartNumberingAfterBreak="0">
    <w:nsid w:val="323A15B3"/>
    <w:multiLevelType w:val="hybridMultilevel"/>
    <w:tmpl w:val="B220E1CE"/>
    <w:lvl w:ilvl="0" w:tplc="2806E1E6">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3" w15:restartNumberingAfterBreak="0">
    <w:nsid w:val="35F71061"/>
    <w:multiLevelType w:val="hybridMultilevel"/>
    <w:tmpl w:val="87B80028"/>
    <w:lvl w:ilvl="0" w:tplc="45F41E58">
      <w:start w:val="1"/>
      <w:numFmt w:val="lowerLetter"/>
      <w:lvlText w:val="(%1)"/>
      <w:lvlJc w:val="left"/>
      <w:pPr>
        <w:ind w:left="1506" w:hanging="36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4"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26"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A470FB"/>
    <w:multiLevelType w:val="hybridMultilevel"/>
    <w:tmpl w:val="12080E34"/>
    <w:lvl w:ilvl="0" w:tplc="D17E4DCC">
      <w:start w:val="1"/>
      <w:numFmt w:val="lowerRoman"/>
      <w:lvlText w:val="(%1)"/>
      <w:lvlJc w:val="left"/>
      <w:pPr>
        <w:ind w:left="1102" w:hanging="720"/>
      </w:pPr>
      <w:rPr>
        <w:rFonts w:eastAsiaTheme="minorHAnsi" w:hint="default"/>
        <w:color w:val="auto"/>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9" w15:restartNumberingAfterBreak="0">
    <w:nsid w:val="3E440375"/>
    <w:multiLevelType w:val="hybridMultilevel"/>
    <w:tmpl w:val="12080E34"/>
    <w:lvl w:ilvl="0" w:tplc="D17E4DCC">
      <w:start w:val="1"/>
      <w:numFmt w:val="lowerRoman"/>
      <w:lvlText w:val="(%1)"/>
      <w:lvlJc w:val="left"/>
      <w:pPr>
        <w:ind w:left="1102" w:hanging="720"/>
      </w:pPr>
      <w:rPr>
        <w:rFonts w:eastAsiaTheme="minorHAnsi" w:hint="default"/>
        <w:color w:val="auto"/>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542540"/>
    <w:multiLevelType w:val="hybridMultilevel"/>
    <w:tmpl w:val="8F624BAA"/>
    <w:lvl w:ilvl="0" w:tplc="A3707A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41D138B"/>
    <w:multiLevelType w:val="hybridMultilevel"/>
    <w:tmpl w:val="15A257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90D0A76"/>
    <w:multiLevelType w:val="hybridMultilevel"/>
    <w:tmpl w:val="FF32ADB4"/>
    <w:lvl w:ilvl="0" w:tplc="7EDEA6F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BAE6800"/>
    <w:multiLevelType w:val="hybridMultilevel"/>
    <w:tmpl w:val="757CB48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94446F"/>
    <w:multiLevelType w:val="hybridMultilevel"/>
    <w:tmpl w:val="ED2E8902"/>
    <w:lvl w:ilvl="0" w:tplc="1EA26F6C">
      <w:start w:val="1"/>
      <w:numFmt w:val="lowerLetter"/>
      <w:lvlText w:val="(%1)"/>
      <w:lvlJc w:val="left"/>
      <w:pPr>
        <w:ind w:left="1506" w:hanging="360"/>
      </w:pPr>
      <w:rPr>
        <w:rFonts w:ascii="Arial" w:hAnsi="Arial" w:cs="Arial" w:hint="default"/>
        <w:color w:val="7B7B7B" w:themeColor="accent3" w:themeShade="BF"/>
        <w:sz w:val="22"/>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7"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F96C00"/>
    <w:multiLevelType w:val="hybridMultilevel"/>
    <w:tmpl w:val="107E1A8E"/>
    <w:lvl w:ilvl="0" w:tplc="6C1C0C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D5E737C"/>
    <w:multiLevelType w:val="hybridMultilevel"/>
    <w:tmpl w:val="495482D2"/>
    <w:lvl w:ilvl="0" w:tplc="549EBCA0">
      <w:start w:val="1"/>
      <w:numFmt w:val="lowerRoman"/>
      <w:lvlText w:val="(%1)"/>
      <w:lvlJc w:val="left"/>
      <w:pPr>
        <w:ind w:left="1080" w:hanging="720"/>
      </w:pPr>
      <w:rPr>
        <w:rFonts w:hint="default"/>
        <w:i w:val="0"/>
        <w:iCs w:val="0"/>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D9A038D"/>
    <w:multiLevelType w:val="hybridMultilevel"/>
    <w:tmpl w:val="3F364A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E045AF5"/>
    <w:multiLevelType w:val="hybridMultilevel"/>
    <w:tmpl w:val="3F364A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FD2C72"/>
    <w:multiLevelType w:val="hybridMultilevel"/>
    <w:tmpl w:val="8D9626C4"/>
    <w:lvl w:ilvl="0" w:tplc="287A285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688068A"/>
    <w:multiLevelType w:val="hybridMultilevel"/>
    <w:tmpl w:val="15A257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48"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BD6F25"/>
    <w:multiLevelType w:val="hybridMultilevel"/>
    <w:tmpl w:val="8F624BAA"/>
    <w:lvl w:ilvl="0" w:tplc="A3707A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7"/>
  </w:num>
  <w:num w:numId="3">
    <w:abstractNumId w:val="25"/>
  </w:num>
  <w:num w:numId="4">
    <w:abstractNumId w:val="9"/>
  </w:num>
  <w:num w:numId="5">
    <w:abstractNumId w:val="26"/>
  </w:num>
  <w:num w:numId="6">
    <w:abstractNumId w:val="47"/>
  </w:num>
  <w:num w:numId="7">
    <w:abstractNumId w:val="12"/>
  </w:num>
  <w:num w:numId="8">
    <w:abstractNumId w:val="42"/>
  </w:num>
  <w:num w:numId="9">
    <w:abstractNumId w:val="44"/>
  </w:num>
  <w:num w:numId="10">
    <w:abstractNumId w:val="24"/>
  </w:num>
  <w:num w:numId="11">
    <w:abstractNumId w:val="37"/>
  </w:num>
  <w:num w:numId="12">
    <w:abstractNumId w:val="27"/>
  </w:num>
  <w:num w:numId="13">
    <w:abstractNumId w:val="30"/>
  </w:num>
  <w:num w:numId="14">
    <w:abstractNumId w:val="3"/>
  </w:num>
  <w:num w:numId="15">
    <w:abstractNumId w:val="35"/>
  </w:num>
  <w:num w:numId="16">
    <w:abstractNumId w:val="43"/>
  </w:num>
  <w:num w:numId="17">
    <w:abstractNumId w:val="48"/>
  </w:num>
  <w:num w:numId="18">
    <w:abstractNumId w:val="39"/>
  </w:num>
  <w:num w:numId="19">
    <w:abstractNumId w:val="6"/>
  </w:num>
  <w:num w:numId="20">
    <w:abstractNumId w:val="33"/>
  </w:num>
  <w:num w:numId="21">
    <w:abstractNumId w:val="10"/>
  </w:num>
  <w:num w:numId="22">
    <w:abstractNumId w:val="2"/>
  </w:num>
  <w:num w:numId="23">
    <w:abstractNumId w:val="19"/>
  </w:num>
  <w:num w:numId="24">
    <w:abstractNumId w:val="38"/>
  </w:num>
  <w:num w:numId="25">
    <w:abstractNumId w:val="5"/>
  </w:num>
  <w:num w:numId="26">
    <w:abstractNumId w:val="8"/>
  </w:num>
  <w:num w:numId="27">
    <w:abstractNumId w:val="16"/>
  </w:num>
  <w:num w:numId="28">
    <w:abstractNumId w:val="15"/>
  </w:num>
  <w:num w:numId="29">
    <w:abstractNumId w:val="46"/>
  </w:num>
  <w:num w:numId="30">
    <w:abstractNumId w:val="23"/>
  </w:num>
  <w:num w:numId="31">
    <w:abstractNumId w:val="20"/>
  </w:num>
  <w:num w:numId="32">
    <w:abstractNumId w:val="36"/>
  </w:num>
  <w:num w:numId="33">
    <w:abstractNumId w:val="1"/>
  </w:num>
  <w:num w:numId="34">
    <w:abstractNumId w:val="49"/>
  </w:num>
  <w:num w:numId="35">
    <w:abstractNumId w:val="7"/>
  </w:num>
  <w:num w:numId="36">
    <w:abstractNumId w:val="0"/>
  </w:num>
  <w:num w:numId="37">
    <w:abstractNumId w:val="22"/>
  </w:num>
  <w:num w:numId="38">
    <w:abstractNumId w:val="31"/>
  </w:num>
  <w:num w:numId="39">
    <w:abstractNumId w:val="32"/>
  </w:num>
  <w:num w:numId="40">
    <w:abstractNumId w:val="18"/>
  </w:num>
  <w:num w:numId="41">
    <w:abstractNumId w:val="34"/>
  </w:num>
  <w:num w:numId="42">
    <w:abstractNumId w:val="13"/>
  </w:num>
  <w:num w:numId="43">
    <w:abstractNumId w:val="4"/>
  </w:num>
  <w:num w:numId="44">
    <w:abstractNumId w:val="29"/>
  </w:num>
  <w:num w:numId="45">
    <w:abstractNumId w:val="28"/>
  </w:num>
  <w:num w:numId="46">
    <w:abstractNumId w:val="14"/>
  </w:num>
  <w:num w:numId="47">
    <w:abstractNumId w:val="45"/>
  </w:num>
  <w:num w:numId="48">
    <w:abstractNumId w:val="11"/>
  </w:num>
  <w:num w:numId="49">
    <w:abstractNumId w:val="40"/>
  </w:num>
  <w:num w:numId="50">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56873"/>
    <w:rsid w:val="00062F53"/>
    <w:rsid w:val="00065166"/>
    <w:rsid w:val="00067A22"/>
    <w:rsid w:val="0007291B"/>
    <w:rsid w:val="00082609"/>
    <w:rsid w:val="000851CC"/>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617"/>
    <w:rsid w:val="0011473D"/>
    <w:rsid w:val="00115C85"/>
    <w:rsid w:val="00123855"/>
    <w:rsid w:val="00126A4D"/>
    <w:rsid w:val="0013379E"/>
    <w:rsid w:val="00133985"/>
    <w:rsid w:val="0014171F"/>
    <w:rsid w:val="00141E26"/>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D6C4B"/>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522"/>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58F"/>
    <w:rsid w:val="00303C2F"/>
    <w:rsid w:val="003058AA"/>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6D40"/>
    <w:rsid w:val="003D70A7"/>
    <w:rsid w:val="003E0B16"/>
    <w:rsid w:val="003E22E2"/>
    <w:rsid w:val="003E49A4"/>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136D"/>
    <w:rsid w:val="00465497"/>
    <w:rsid w:val="0046555A"/>
    <w:rsid w:val="00467EE9"/>
    <w:rsid w:val="00477C72"/>
    <w:rsid w:val="00490943"/>
    <w:rsid w:val="00491675"/>
    <w:rsid w:val="00493855"/>
    <w:rsid w:val="00494E28"/>
    <w:rsid w:val="00495E79"/>
    <w:rsid w:val="004A2D83"/>
    <w:rsid w:val="004A57DD"/>
    <w:rsid w:val="004A605E"/>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3CCD"/>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5719D"/>
    <w:rsid w:val="00560534"/>
    <w:rsid w:val="00560E33"/>
    <w:rsid w:val="0056391B"/>
    <w:rsid w:val="005650E2"/>
    <w:rsid w:val="00567AD7"/>
    <w:rsid w:val="005758A7"/>
    <w:rsid w:val="00575B2D"/>
    <w:rsid w:val="005771EA"/>
    <w:rsid w:val="0058230B"/>
    <w:rsid w:val="005833D0"/>
    <w:rsid w:val="005846F3"/>
    <w:rsid w:val="00584A37"/>
    <w:rsid w:val="0058622F"/>
    <w:rsid w:val="00592F82"/>
    <w:rsid w:val="005A0CCA"/>
    <w:rsid w:val="005A4F63"/>
    <w:rsid w:val="005A5D67"/>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026BA"/>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3FBF"/>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435A"/>
    <w:rsid w:val="006B4C64"/>
    <w:rsid w:val="006D2BBF"/>
    <w:rsid w:val="006D6BD5"/>
    <w:rsid w:val="006E4183"/>
    <w:rsid w:val="006E481A"/>
    <w:rsid w:val="006E5298"/>
    <w:rsid w:val="006E64DD"/>
    <w:rsid w:val="006F2457"/>
    <w:rsid w:val="006F4A78"/>
    <w:rsid w:val="006F734A"/>
    <w:rsid w:val="00700D83"/>
    <w:rsid w:val="00704852"/>
    <w:rsid w:val="00704CA1"/>
    <w:rsid w:val="007074E9"/>
    <w:rsid w:val="00713DA4"/>
    <w:rsid w:val="00714BF1"/>
    <w:rsid w:val="00721383"/>
    <w:rsid w:val="00723343"/>
    <w:rsid w:val="007237A9"/>
    <w:rsid w:val="00726B93"/>
    <w:rsid w:val="00730E8C"/>
    <w:rsid w:val="0073158B"/>
    <w:rsid w:val="007333CC"/>
    <w:rsid w:val="0073399A"/>
    <w:rsid w:val="00737587"/>
    <w:rsid w:val="00740DAD"/>
    <w:rsid w:val="007512E6"/>
    <w:rsid w:val="00751747"/>
    <w:rsid w:val="007603F5"/>
    <w:rsid w:val="00764DB0"/>
    <w:rsid w:val="0076764D"/>
    <w:rsid w:val="0077498C"/>
    <w:rsid w:val="0078005F"/>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35B97"/>
    <w:rsid w:val="00942123"/>
    <w:rsid w:val="009439F6"/>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D34"/>
    <w:rsid w:val="00A57EFB"/>
    <w:rsid w:val="00A60074"/>
    <w:rsid w:val="00A64900"/>
    <w:rsid w:val="00A6627C"/>
    <w:rsid w:val="00A666AA"/>
    <w:rsid w:val="00A71019"/>
    <w:rsid w:val="00A81029"/>
    <w:rsid w:val="00A83871"/>
    <w:rsid w:val="00A845F5"/>
    <w:rsid w:val="00A92054"/>
    <w:rsid w:val="00A94F39"/>
    <w:rsid w:val="00A95719"/>
    <w:rsid w:val="00A96489"/>
    <w:rsid w:val="00AA1264"/>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2023C"/>
    <w:rsid w:val="00B21912"/>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438"/>
    <w:rsid w:val="00BE65AA"/>
    <w:rsid w:val="00BF42A8"/>
    <w:rsid w:val="00BF50F7"/>
    <w:rsid w:val="00C02F29"/>
    <w:rsid w:val="00C041E8"/>
    <w:rsid w:val="00C0796C"/>
    <w:rsid w:val="00C17718"/>
    <w:rsid w:val="00C20AFE"/>
    <w:rsid w:val="00C22A25"/>
    <w:rsid w:val="00C32BAD"/>
    <w:rsid w:val="00C33842"/>
    <w:rsid w:val="00C35671"/>
    <w:rsid w:val="00C35B77"/>
    <w:rsid w:val="00C376EB"/>
    <w:rsid w:val="00C46A92"/>
    <w:rsid w:val="00C46EC1"/>
    <w:rsid w:val="00C476F5"/>
    <w:rsid w:val="00C52796"/>
    <w:rsid w:val="00C5332A"/>
    <w:rsid w:val="00C53E2C"/>
    <w:rsid w:val="00C550C8"/>
    <w:rsid w:val="00C55824"/>
    <w:rsid w:val="00C56B61"/>
    <w:rsid w:val="00C606C3"/>
    <w:rsid w:val="00C6138C"/>
    <w:rsid w:val="00C620F4"/>
    <w:rsid w:val="00C66D43"/>
    <w:rsid w:val="00C72848"/>
    <w:rsid w:val="00C7736C"/>
    <w:rsid w:val="00C82D87"/>
    <w:rsid w:val="00C8712A"/>
    <w:rsid w:val="00C902C8"/>
    <w:rsid w:val="00C919D1"/>
    <w:rsid w:val="00C960CA"/>
    <w:rsid w:val="00C963D3"/>
    <w:rsid w:val="00CA04BF"/>
    <w:rsid w:val="00CB1983"/>
    <w:rsid w:val="00CB2480"/>
    <w:rsid w:val="00CB2CBB"/>
    <w:rsid w:val="00CB5FD0"/>
    <w:rsid w:val="00CB7CAC"/>
    <w:rsid w:val="00CC158E"/>
    <w:rsid w:val="00CC5335"/>
    <w:rsid w:val="00CC5BA4"/>
    <w:rsid w:val="00CD4998"/>
    <w:rsid w:val="00CD4EDA"/>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65AF0"/>
    <w:rsid w:val="00D726F8"/>
    <w:rsid w:val="00D77884"/>
    <w:rsid w:val="00D80DC2"/>
    <w:rsid w:val="00D84752"/>
    <w:rsid w:val="00D86B3B"/>
    <w:rsid w:val="00D8748A"/>
    <w:rsid w:val="00D91E95"/>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849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D6C8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5AF0"/>
    <w:rsid w:val="00F66AFF"/>
    <w:rsid w:val="00F674C7"/>
    <w:rsid w:val="00F71433"/>
    <w:rsid w:val="00F7197D"/>
    <w:rsid w:val="00F730D5"/>
    <w:rsid w:val="00F74EAE"/>
    <w:rsid w:val="00F81EDA"/>
    <w:rsid w:val="00F83F59"/>
    <w:rsid w:val="00F860C9"/>
    <w:rsid w:val="00F927F0"/>
    <w:rsid w:val="00F97C5B"/>
    <w:rsid w:val="00FA3D50"/>
    <w:rsid w:val="00FA721C"/>
    <w:rsid w:val="00FB7FBD"/>
    <w:rsid w:val="00FC02EF"/>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F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prov2txtil">
    <w:name w:val="prov2txtil"/>
    <w:basedOn w:val="DefaultParagraphFont"/>
    <w:rsid w:val="00141E26"/>
  </w:style>
  <w:style w:type="character" w:styleId="Emphasis">
    <w:name w:val="Emphasis"/>
    <w:basedOn w:val="DefaultParagraphFont"/>
    <w:uiPriority w:val="20"/>
    <w:qFormat/>
    <w:rsid w:val="00141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0758">
      <w:bodyDiv w:val="1"/>
      <w:marLeft w:val="0"/>
      <w:marRight w:val="0"/>
      <w:marTop w:val="0"/>
      <w:marBottom w:val="0"/>
      <w:divBdr>
        <w:top w:val="none" w:sz="0" w:space="0" w:color="auto"/>
        <w:left w:val="none" w:sz="0" w:space="0" w:color="auto"/>
        <w:bottom w:val="none" w:sz="0" w:space="0" w:color="auto"/>
        <w:right w:val="none" w:sz="0" w:space="0" w:color="auto"/>
      </w:divBdr>
    </w:div>
    <w:div w:id="154876590">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378238439">
      <w:bodyDiv w:val="1"/>
      <w:marLeft w:val="0"/>
      <w:marRight w:val="0"/>
      <w:marTop w:val="0"/>
      <w:marBottom w:val="0"/>
      <w:divBdr>
        <w:top w:val="none" w:sz="0" w:space="0" w:color="auto"/>
        <w:left w:val="none" w:sz="0" w:space="0" w:color="auto"/>
        <w:bottom w:val="none" w:sz="0" w:space="0" w:color="auto"/>
        <w:right w:val="none" w:sz="0" w:space="0" w:color="auto"/>
      </w:divBdr>
    </w:div>
    <w:div w:id="788091367">
      <w:bodyDiv w:val="1"/>
      <w:marLeft w:val="0"/>
      <w:marRight w:val="0"/>
      <w:marTop w:val="0"/>
      <w:marBottom w:val="0"/>
      <w:divBdr>
        <w:top w:val="none" w:sz="0" w:space="0" w:color="auto"/>
        <w:left w:val="none" w:sz="0" w:space="0" w:color="auto"/>
        <w:bottom w:val="none" w:sz="0" w:space="0" w:color="auto"/>
        <w:right w:val="none" w:sz="0" w:space="0" w:color="auto"/>
      </w:divBdr>
    </w:div>
    <w:div w:id="834416393">
      <w:bodyDiv w:val="1"/>
      <w:marLeft w:val="0"/>
      <w:marRight w:val="0"/>
      <w:marTop w:val="0"/>
      <w:marBottom w:val="0"/>
      <w:divBdr>
        <w:top w:val="none" w:sz="0" w:space="0" w:color="auto"/>
        <w:left w:val="none" w:sz="0" w:space="0" w:color="auto"/>
        <w:bottom w:val="none" w:sz="0" w:space="0" w:color="auto"/>
        <w:right w:val="none" w:sz="0" w:space="0" w:color="auto"/>
      </w:divBdr>
    </w:div>
    <w:div w:id="1092165616">
      <w:bodyDiv w:val="1"/>
      <w:marLeft w:val="0"/>
      <w:marRight w:val="0"/>
      <w:marTop w:val="0"/>
      <w:marBottom w:val="0"/>
      <w:divBdr>
        <w:top w:val="none" w:sz="0" w:space="0" w:color="auto"/>
        <w:left w:val="none" w:sz="0" w:space="0" w:color="auto"/>
        <w:bottom w:val="none" w:sz="0" w:space="0" w:color="auto"/>
        <w:right w:val="none" w:sz="0" w:space="0" w:color="auto"/>
      </w:divBdr>
    </w:div>
    <w:div w:id="1182161119">
      <w:bodyDiv w:val="1"/>
      <w:marLeft w:val="0"/>
      <w:marRight w:val="0"/>
      <w:marTop w:val="0"/>
      <w:marBottom w:val="0"/>
      <w:divBdr>
        <w:top w:val="none" w:sz="0" w:space="0" w:color="auto"/>
        <w:left w:val="none" w:sz="0" w:space="0" w:color="auto"/>
        <w:bottom w:val="none" w:sz="0" w:space="0" w:color="auto"/>
        <w:right w:val="none" w:sz="0" w:space="0" w:color="auto"/>
      </w:divBdr>
    </w:div>
    <w:div w:id="1463041552">
      <w:bodyDiv w:val="1"/>
      <w:marLeft w:val="0"/>
      <w:marRight w:val="0"/>
      <w:marTop w:val="0"/>
      <w:marBottom w:val="0"/>
      <w:divBdr>
        <w:top w:val="none" w:sz="0" w:space="0" w:color="auto"/>
        <w:left w:val="none" w:sz="0" w:space="0" w:color="auto"/>
        <w:bottom w:val="none" w:sz="0" w:space="0" w:color="auto"/>
        <w:right w:val="none" w:sz="0" w:space="0" w:color="auto"/>
      </w:divBdr>
    </w:div>
    <w:div w:id="1601110426">
      <w:bodyDiv w:val="1"/>
      <w:marLeft w:val="0"/>
      <w:marRight w:val="0"/>
      <w:marTop w:val="0"/>
      <w:marBottom w:val="0"/>
      <w:divBdr>
        <w:top w:val="none" w:sz="0" w:space="0" w:color="auto"/>
        <w:left w:val="none" w:sz="0" w:space="0" w:color="auto"/>
        <w:bottom w:val="none" w:sz="0" w:space="0" w:color="auto"/>
        <w:right w:val="none" w:sz="0" w:space="0" w:color="auto"/>
      </w:divBdr>
    </w:div>
    <w:div w:id="1713340404">
      <w:bodyDiv w:val="1"/>
      <w:marLeft w:val="0"/>
      <w:marRight w:val="0"/>
      <w:marTop w:val="0"/>
      <w:marBottom w:val="0"/>
      <w:divBdr>
        <w:top w:val="none" w:sz="0" w:space="0" w:color="auto"/>
        <w:left w:val="none" w:sz="0" w:space="0" w:color="auto"/>
        <w:bottom w:val="none" w:sz="0" w:space="0" w:color="auto"/>
        <w:right w:val="none" w:sz="0" w:space="0" w:color="auto"/>
      </w:divBdr>
    </w:div>
    <w:div w:id="1743139364">
      <w:bodyDiv w:val="1"/>
      <w:marLeft w:val="0"/>
      <w:marRight w:val="0"/>
      <w:marTop w:val="0"/>
      <w:marBottom w:val="0"/>
      <w:divBdr>
        <w:top w:val="none" w:sz="0" w:space="0" w:color="auto"/>
        <w:left w:val="none" w:sz="0" w:space="0" w:color="auto"/>
        <w:bottom w:val="none" w:sz="0" w:space="0" w:color="auto"/>
        <w:right w:val="none" w:sz="0" w:space="0" w:color="auto"/>
      </w:divBdr>
    </w:div>
    <w:div w:id="1825389599">
      <w:bodyDiv w:val="1"/>
      <w:marLeft w:val="0"/>
      <w:marRight w:val="0"/>
      <w:marTop w:val="0"/>
      <w:marBottom w:val="0"/>
      <w:divBdr>
        <w:top w:val="none" w:sz="0" w:space="0" w:color="auto"/>
        <w:left w:val="none" w:sz="0" w:space="0" w:color="auto"/>
        <w:bottom w:val="none" w:sz="0" w:space="0" w:color="auto"/>
        <w:right w:val="none" w:sz="0" w:space="0" w:color="auto"/>
      </w:divBdr>
    </w:div>
    <w:div w:id="1863861721">
      <w:bodyDiv w:val="1"/>
      <w:marLeft w:val="0"/>
      <w:marRight w:val="0"/>
      <w:marTop w:val="0"/>
      <w:marBottom w:val="0"/>
      <w:divBdr>
        <w:top w:val="none" w:sz="0" w:space="0" w:color="auto"/>
        <w:left w:val="none" w:sz="0" w:space="0" w:color="auto"/>
        <w:bottom w:val="none" w:sz="0" w:space="0" w:color="auto"/>
        <w:right w:val="none" w:sz="0" w:space="0" w:color="auto"/>
      </w:divBdr>
    </w:div>
    <w:div w:id="1973751959">
      <w:bodyDiv w:val="1"/>
      <w:marLeft w:val="0"/>
      <w:marRight w:val="0"/>
      <w:marTop w:val="0"/>
      <w:marBottom w:val="0"/>
      <w:divBdr>
        <w:top w:val="none" w:sz="0" w:space="0" w:color="auto"/>
        <w:left w:val="none" w:sz="0" w:space="0" w:color="auto"/>
        <w:bottom w:val="none" w:sz="0" w:space="0" w:color="auto"/>
        <w:right w:val="none" w:sz="0" w:space="0" w:color="auto"/>
      </w:divBdr>
    </w:div>
    <w:div w:id="2001688877">
      <w:bodyDiv w:val="1"/>
      <w:marLeft w:val="0"/>
      <w:marRight w:val="0"/>
      <w:marTop w:val="0"/>
      <w:marBottom w:val="0"/>
      <w:divBdr>
        <w:top w:val="none" w:sz="0" w:space="0" w:color="auto"/>
        <w:left w:val="none" w:sz="0" w:space="0" w:color="auto"/>
        <w:bottom w:val="none" w:sz="0" w:space="0" w:color="auto"/>
        <w:right w:val="none" w:sz="0" w:space="0" w:color="auto"/>
      </w:divBdr>
    </w:div>
    <w:div w:id="2009942184">
      <w:bodyDiv w:val="1"/>
      <w:marLeft w:val="0"/>
      <w:marRight w:val="0"/>
      <w:marTop w:val="0"/>
      <w:marBottom w:val="0"/>
      <w:divBdr>
        <w:top w:val="none" w:sz="0" w:space="0" w:color="auto"/>
        <w:left w:val="none" w:sz="0" w:space="0" w:color="auto"/>
        <w:bottom w:val="none" w:sz="0" w:space="0" w:color="auto"/>
        <w:right w:val="none" w:sz="0" w:space="0" w:color="auto"/>
      </w:divBdr>
    </w:div>
    <w:div w:id="20942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Jain</dc:creator>
  <cp:lastModifiedBy>annie jain</cp:lastModifiedBy>
  <cp:revision>2</cp:revision>
  <cp:lastPrinted>2021-07-30T04:57:00Z</cp:lastPrinted>
  <dcterms:created xsi:type="dcterms:W3CDTF">2021-07-30T21:01:00Z</dcterms:created>
  <dcterms:modified xsi:type="dcterms:W3CDTF">2021-07-30T21:01:00Z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