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1145CEBB"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Pr="00306A40" w:rsidRDefault="00C7729F" w:rsidP="003C4BCB">
      <w:pPr>
        <w:pStyle w:val="ListParagraph"/>
        <w:numPr>
          <w:ilvl w:val="0"/>
          <w:numId w:val="2"/>
        </w:numPr>
        <w:ind w:left="426"/>
        <w:jc w:val="both"/>
        <w:rPr>
          <w:rFonts w:ascii="Arial" w:hAnsi="Arial" w:cs="Arial"/>
          <w:sz w:val="22"/>
          <w:szCs w:val="22"/>
          <w:highlight w:val="yellow"/>
          <w:lang w:val="en-GB"/>
        </w:rPr>
      </w:pPr>
      <w:r w:rsidRPr="00306A40">
        <w:rPr>
          <w:rFonts w:ascii="Arial" w:hAnsi="Arial" w:cs="Arial"/>
          <w:sz w:val="22"/>
          <w:szCs w:val="22"/>
          <w:highlight w:val="yellow"/>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306A40" w:rsidRDefault="00C7729F" w:rsidP="003C4BCB">
      <w:pPr>
        <w:pStyle w:val="ListParagraph"/>
        <w:numPr>
          <w:ilvl w:val="0"/>
          <w:numId w:val="2"/>
        </w:numPr>
        <w:ind w:left="426"/>
        <w:jc w:val="both"/>
        <w:rPr>
          <w:rFonts w:ascii="Arial" w:hAnsi="Arial" w:cs="Arial"/>
          <w:sz w:val="22"/>
          <w:szCs w:val="22"/>
          <w:lang w:val="en-GB"/>
        </w:rPr>
      </w:pPr>
      <w:r w:rsidRPr="00306A40">
        <w:rPr>
          <w:rFonts w:ascii="Arial" w:hAnsi="Arial" w:cs="Arial"/>
          <w:sz w:val="22"/>
          <w:szCs w:val="22"/>
          <w:lang w:val="en-GB"/>
        </w:rPr>
        <w:t xml:space="preserve">False, the EU sought to draft Conventions with a view to harmonising the insolvency laws of EU Member States as early as the </w:t>
      </w:r>
      <w:r w:rsidR="00BB38D1" w:rsidRPr="00306A40">
        <w:rPr>
          <w:rFonts w:ascii="Arial" w:hAnsi="Arial" w:cs="Arial"/>
          <w:sz w:val="22"/>
          <w:szCs w:val="22"/>
          <w:lang w:val="en-GB"/>
        </w:rPr>
        <w:t>1960s,</w:t>
      </w:r>
      <w:r w:rsidRPr="00306A40">
        <w:rPr>
          <w:rFonts w:ascii="Arial" w:hAnsi="Arial" w:cs="Arial"/>
          <w:sz w:val="22"/>
          <w:szCs w:val="22"/>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306A40" w:rsidRDefault="00BB38D1" w:rsidP="003C4BCB">
      <w:pPr>
        <w:pStyle w:val="ListParagraph"/>
        <w:numPr>
          <w:ilvl w:val="0"/>
          <w:numId w:val="3"/>
        </w:numPr>
        <w:ind w:left="426"/>
        <w:jc w:val="both"/>
        <w:rPr>
          <w:rFonts w:ascii="Arial" w:hAnsi="Arial" w:cs="Arial"/>
          <w:iCs/>
          <w:sz w:val="22"/>
          <w:szCs w:val="22"/>
          <w:highlight w:val="yellow"/>
          <w:lang w:val="en-GB"/>
        </w:rPr>
      </w:pPr>
      <w:r w:rsidRPr="00306A40">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8A0C8F" w:rsidRDefault="00967219" w:rsidP="003C4BCB">
      <w:pPr>
        <w:pStyle w:val="ListParagraph"/>
        <w:numPr>
          <w:ilvl w:val="0"/>
          <w:numId w:val="4"/>
        </w:numPr>
        <w:ind w:left="426"/>
        <w:jc w:val="both"/>
        <w:rPr>
          <w:rFonts w:ascii="Arial" w:hAnsi="Arial" w:cs="Arial"/>
          <w:sz w:val="22"/>
          <w:szCs w:val="22"/>
          <w:highlight w:val="yellow"/>
          <w:lang w:val="en-GB"/>
        </w:rPr>
      </w:pPr>
      <w:r w:rsidRPr="008A0C8F">
        <w:rPr>
          <w:rFonts w:ascii="Arial" w:hAnsi="Arial" w:cs="Arial"/>
          <w:sz w:val="22"/>
          <w:szCs w:val="22"/>
          <w:highlight w:val="yellow"/>
          <w:lang w:val="en-GB"/>
        </w:rPr>
        <w:t>Article 31 EIR Recast (“</w:t>
      </w:r>
      <w:r w:rsidRPr="008A0C8F">
        <w:rPr>
          <w:rFonts w:ascii="Arial" w:hAnsi="Arial" w:cs="Arial"/>
          <w:bCs/>
          <w:sz w:val="22"/>
          <w:szCs w:val="22"/>
          <w:highlight w:val="yellow"/>
          <w:lang w:val="en-GB"/>
        </w:rPr>
        <w:t>Honouring of an obligation to a debtor”</w:t>
      </w:r>
      <w:r w:rsidRPr="008A0C8F">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8A0C8F" w:rsidRDefault="00874240" w:rsidP="003C4BCB">
      <w:pPr>
        <w:pStyle w:val="ListParagraph"/>
        <w:numPr>
          <w:ilvl w:val="0"/>
          <w:numId w:val="5"/>
        </w:numPr>
        <w:ind w:left="426"/>
        <w:jc w:val="both"/>
        <w:rPr>
          <w:rFonts w:ascii="Arial" w:hAnsi="Arial" w:cs="Arial"/>
          <w:sz w:val="22"/>
          <w:szCs w:val="22"/>
          <w:highlight w:val="yellow"/>
          <w:lang w:val="en-GB"/>
        </w:rPr>
      </w:pPr>
      <w:r w:rsidRPr="008A0C8F">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306A40" w:rsidRDefault="00874240" w:rsidP="003C4BCB">
      <w:pPr>
        <w:pStyle w:val="ListParagraph"/>
        <w:numPr>
          <w:ilvl w:val="0"/>
          <w:numId w:val="6"/>
        </w:numPr>
        <w:ind w:left="426"/>
        <w:jc w:val="both"/>
        <w:rPr>
          <w:rFonts w:ascii="Arial" w:hAnsi="Arial" w:cs="Arial"/>
          <w:sz w:val="22"/>
          <w:szCs w:val="22"/>
          <w:highlight w:val="yellow"/>
          <w:lang w:val="en-GB"/>
        </w:rPr>
      </w:pPr>
      <w:r w:rsidRPr="00306A40">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8E0157" w:rsidRDefault="00113E29" w:rsidP="003C4BCB">
      <w:pPr>
        <w:pStyle w:val="ListParagraph"/>
        <w:numPr>
          <w:ilvl w:val="0"/>
          <w:numId w:val="7"/>
        </w:numPr>
        <w:ind w:left="426"/>
        <w:jc w:val="both"/>
        <w:rPr>
          <w:rFonts w:ascii="Arial" w:hAnsi="Arial" w:cs="Arial"/>
          <w:sz w:val="22"/>
          <w:szCs w:val="22"/>
          <w:highlight w:val="yellow"/>
          <w:lang w:val="en-GB"/>
        </w:rPr>
      </w:pPr>
      <w:r w:rsidRPr="008E0157">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2F24E4" w:rsidRDefault="00967219" w:rsidP="003C4BCB">
      <w:pPr>
        <w:pStyle w:val="ListParagraph"/>
        <w:numPr>
          <w:ilvl w:val="0"/>
          <w:numId w:val="8"/>
        </w:numPr>
        <w:ind w:left="426"/>
        <w:jc w:val="both"/>
        <w:rPr>
          <w:rFonts w:ascii="Arial" w:hAnsi="Arial" w:cs="Arial"/>
          <w:sz w:val="22"/>
          <w:szCs w:val="22"/>
          <w:highlight w:val="yellow"/>
          <w:lang w:val="en-GB"/>
        </w:rPr>
      </w:pPr>
      <w:r w:rsidRPr="002F24E4">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r w:rsidR="00967219" w:rsidRPr="008500BD">
        <w:rPr>
          <w:rFonts w:ascii="Arial" w:hAnsi="Arial" w:cs="Arial"/>
          <w:sz w:val="22"/>
          <w:szCs w:val="22"/>
          <w:lang w:val="en-GB"/>
        </w:rPr>
        <w:t>Fema</w:t>
      </w:r>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82049B" w:rsidRDefault="00967219" w:rsidP="003C4BCB">
      <w:pPr>
        <w:pStyle w:val="ListParagraph"/>
        <w:numPr>
          <w:ilvl w:val="0"/>
          <w:numId w:val="9"/>
        </w:numPr>
        <w:ind w:left="426"/>
        <w:jc w:val="both"/>
        <w:rPr>
          <w:rFonts w:ascii="Arial" w:hAnsi="Arial" w:cs="Arial"/>
          <w:sz w:val="22"/>
          <w:szCs w:val="22"/>
          <w:highlight w:val="yellow"/>
          <w:lang w:val="en-GB"/>
        </w:rPr>
      </w:pPr>
      <w:r w:rsidRPr="0082049B">
        <w:rPr>
          <w:rFonts w:ascii="Arial" w:hAnsi="Arial" w:cs="Arial"/>
          <w:sz w:val="22"/>
          <w:szCs w:val="22"/>
          <w:highlight w:val="yellow"/>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r w:rsidR="00967219" w:rsidRPr="00544F6E">
        <w:rPr>
          <w:rFonts w:ascii="Arial" w:hAnsi="Arial" w:cs="Arial"/>
          <w:sz w:val="22"/>
          <w:szCs w:val="22"/>
          <w:lang w:val="en-GB"/>
        </w:rPr>
        <w:t>Fema</w:t>
      </w:r>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lex causae</w:t>
      </w:r>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Fema GmbH can prove that the </w:t>
      </w:r>
      <w:r w:rsidRPr="00544F6E">
        <w:rPr>
          <w:rFonts w:ascii="Arial" w:hAnsi="Arial" w:cs="Arial"/>
          <w:i/>
          <w:sz w:val="22"/>
          <w:szCs w:val="22"/>
          <w:lang w:val="en-GB"/>
        </w:rPr>
        <w:t>lex causae</w:t>
      </w:r>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E87CE5" w:rsidRDefault="00FC48D8" w:rsidP="003C4BCB">
      <w:pPr>
        <w:pStyle w:val="ListParagraph"/>
        <w:numPr>
          <w:ilvl w:val="0"/>
          <w:numId w:val="10"/>
        </w:numPr>
        <w:ind w:left="426"/>
        <w:jc w:val="both"/>
        <w:rPr>
          <w:rFonts w:ascii="Arial" w:hAnsi="Arial" w:cs="Arial"/>
          <w:sz w:val="22"/>
          <w:szCs w:val="22"/>
          <w:highlight w:val="yellow"/>
          <w:lang w:val="en-GB"/>
        </w:rPr>
      </w:pPr>
      <w:r w:rsidRPr="00E87CE5">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r w:rsidRPr="008500BD">
        <w:rPr>
          <w:rFonts w:ascii="Arial" w:hAnsi="Arial" w:cs="Arial"/>
          <w:i/>
          <w:sz w:val="22"/>
          <w:szCs w:val="22"/>
          <w:lang w:val="en-GB"/>
        </w:rPr>
        <w:t>Concurso</w:t>
      </w:r>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82049B" w:rsidRDefault="00FC48D8" w:rsidP="003C4BCB">
      <w:pPr>
        <w:pStyle w:val="ListParagraph"/>
        <w:numPr>
          <w:ilvl w:val="0"/>
          <w:numId w:val="11"/>
        </w:numPr>
        <w:ind w:left="426"/>
        <w:jc w:val="both"/>
        <w:rPr>
          <w:rFonts w:ascii="Arial" w:hAnsi="Arial" w:cs="Arial"/>
          <w:sz w:val="22"/>
          <w:szCs w:val="22"/>
          <w:highlight w:val="yellow"/>
          <w:lang w:val="en-GB"/>
        </w:rPr>
      </w:pPr>
      <w:r w:rsidRPr="0082049B">
        <w:rPr>
          <w:rFonts w:ascii="Arial" w:hAnsi="Arial" w:cs="Arial"/>
          <w:sz w:val="22"/>
          <w:szCs w:val="22"/>
          <w:highlight w:val="yellow"/>
          <w:lang w:val="en-GB"/>
        </w:rPr>
        <w:t xml:space="preserve">Within 15 days, as stipulated in the applicable </w:t>
      </w:r>
      <w:r w:rsidRPr="0082049B">
        <w:rPr>
          <w:rFonts w:ascii="Arial" w:hAnsi="Arial" w:cs="Arial"/>
          <w:i/>
          <w:sz w:val="22"/>
          <w:szCs w:val="22"/>
          <w:highlight w:val="yellow"/>
          <w:lang w:val="en-GB"/>
        </w:rPr>
        <w:t>lex concursus secundarii</w:t>
      </w:r>
      <w:r w:rsidRPr="0082049B">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67606B65" w:rsidR="00636C15" w:rsidRDefault="002D70B3" w:rsidP="002D70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The Concept of COMI and International Jurisdiction under Article (3)(1), noting that the Centre of Main Interests is presumed to be the place of the location of the registered office. However, in the event of a Company moving their registered office within 3 months prior to the request for the opening of proceedings, the law of the prior jurisdiction </w:t>
      </w:r>
    </w:p>
    <w:p w14:paraId="7904E186" w14:textId="4B4CB7BB" w:rsidR="002D70B3" w:rsidRDefault="002D70B3" w:rsidP="002D70B3">
      <w:pPr>
        <w:jc w:val="both"/>
        <w:rPr>
          <w:rFonts w:ascii="Arial" w:hAnsi="Arial" w:cs="Arial"/>
          <w:color w:val="7B7B7B" w:themeColor="accent3" w:themeShade="BF"/>
          <w:sz w:val="22"/>
          <w:szCs w:val="22"/>
        </w:rPr>
      </w:pPr>
    </w:p>
    <w:p w14:paraId="59316A0F" w14:textId="7015630D" w:rsidR="002D70B3" w:rsidRPr="0082049B" w:rsidRDefault="002D70B3" w:rsidP="002D70B3">
      <w:pPr>
        <w:jc w:val="both"/>
        <w:rPr>
          <w:rFonts w:ascii="Arial" w:hAnsi="Arial" w:cs="Arial"/>
          <w:i/>
          <w:iCs/>
          <w:sz w:val="22"/>
          <w:szCs w:val="22"/>
        </w:rPr>
      </w:pPr>
      <w:r>
        <w:rPr>
          <w:rFonts w:ascii="Arial" w:hAnsi="Arial" w:cs="Arial"/>
          <w:color w:val="7B7B7B" w:themeColor="accent3" w:themeShade="BF"/>
          <w:sz w:val="22"/>
          <w:szCs w:val="22"/>
        </w:rPr>
        <w:t xml:space="preserve">Statement 2: </w:t>
      </w:r>
      <w:r w:rsidR="0082049B">
        <w:rPr>
          <w:rFonts w:ascii="Arial" w:hAnsi="Arial" w:cs="Arial"/>
          <w:color w:val="7B7B7B" w:themeColor="accent3" w:themeShade="BF"/>
          <w:sz w:val="22"/>
          <w:szCs w:val="22"/>
        </w:rPr>
        <w:t>The concept of</w:t>
      </w:r>
      <w:r w:rsidR="00B92E26">
        <w:rPr>
          <w:rFonts w:ascii="Arial" w:hAnsi="Arial" w:cs="Arial"/>
          <w:color w:val="7B7B7B" w:themeColor="accent3" w:themeShade="BF"/>
          <w:sz w:val="22"/>
          <w:szCs w:val="22"/>
        </w:rPr>
        <w:t xml:space="preserve"> secondary proceedings under Article 34.  </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3B1B024C" w:rsidR="00636C15" w:rsidRDefault="00A97A98"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41 – Cooperation </w:t>
      </w:r>
      <w:r w:rsidR="00DD2B0A">
        <w:rPr>
          <w:rFonts w:ascii="Arial" w:hAnsi="Arial" w:cs="Arial"/>
          <w:color w:val="7B7B7B" w:themeColor="accent3" w:themeShade="BF"/>
          <w:sz w:val="22"/>
          <w:szCs w:val="22"/>
          <w:lang w:val="en-GB"/>
        </w:rPr>
        <w:t>and communication between insolvency practitioners</w:t>
      </w:r>
    </w:p>
    <w:p w14:paraId="5E3F8EE3" w14:textId="1633EE76" w:rsidR="00DD2B0A" w:rsidRDefault="00DD2B0A"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 Cooperation and communication between courts</w:t>
      </w:r>
    </w:p>
    <w:p w14:paraId="614FD7F7" w14:textId="37023B80" w:rsidR="00DD2B0A" w:rsidRDefault="00DD2B0A"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43 – Cooperation and communication between insolvency practitioners and courts</w:t>
      </w:r>
    </w:p>
    <w:p w14:paraId="64908FCF" w14:textId="77777777" w:rsidR="00DD2B0A" w:rsidRPr="008500BD" w:rsidRDefault="00DD2B0A" w:rsidP="00636C15">
      <w:pPr>
        <w:ind w:left="720" w:hanging="720"/>
        <w:jc w:val="both"/>
        <w:rPr>
          <w:rFonts w:ascii="Arial" w:hAnsi="Arial" w:cs="Arial"/>
          <w:sz w:val="22"/>
          <w:szCs w:val="22"/>
          <w:lang w:val="en-GB"/>
        </w:rPr>
      </w:pP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010F88E4" w14:textId="2DDA868B" w:rsidR="008E0157" w:rsidRDefault="008E0157" w:rsidP="00B92E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w:t>
      </w:r>
      <w:r w:rsidR="00A26B66">
        <w:rPr>
          <w:rFonts w:ascii="Arial" w:hAnsi="Arial" w:cs="Arial"/>
          <w:color w:val="7B7B7B" w:themeColor="accent3" w:themeShade="BF"/>
          <w:sz w:val="22"/>
          <w:szCs w:val="22"/>
          <w:lang w:val="en-GB"/>
        </w:rPr>
        <w:t xml:space="preserve"> – scope</w:t>
      </w:r>
      <w:r w:rsidR="00B92E26">
        <w:rPr>
          <w:rFonts w:ascii="Arial" w:hAnsi="Arial" w:cs="Arial"/>
          <w:color w:val="7B7B7B" w:themeColor="accent3" w:themeShade="BF"/>
          <w:sz w:val="22"/>
          <w:szCs w:val="22"/>
          <w:lang w:val="en-GB"/>
        </w:rPr>
        <w:t xml:space="preserve"> which allows for the purpose of rescue, adjustment of debt, reorganisation or liquidation.  </w:t>
      </w:r>
    </w:p>
    <w:p w14:paraId="38AFFA4C" w14:textId="4D18D879" w:rsidR="00A26B66" w:rsidRDefault="00A26B66" w:rsidP="00A26B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41 which allows for insolvency practitioners in both main and secondary proceedings to cooperate and explore the possibility to restructure the debtor.  </w:t>
      </w:r>
    </w:p>
    <w:p w14:paraId="4E9076C5" w14:textId="1E351B2B" w:rsidR="00A26B66" w:rsidRDefault="00A26B66" w:rsidP="00A26B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47 which allows for an insolvency practitioner to propose restructuring plans in secondary proceedings only, and for the insolvency practitioner in the main proceedings to </w:t>
      </w:r>
      <w:r w:rsidR="0082049B">
        <w:rPr>
          <w:rFonts w:ascii="Arial" w:hAnsi="Arial" w:cs="Arial"/>
          <w:color w:val="7B7B7B" w:themeColor="accent3" w:themeShade="BF"/>
          <w:sz w:val="22"/>
          <w:szCs w:val="22"/>
          <w:lang w:val="en-GB"/>
        </w:rPr>
        <w:t xml:space="preserve">propose that measure.  </w:t>
      </w:r>
      <w:r>
        <w:rPr>
          <w:rFonts w:ascii="Arial" w:hAnsi="Arial" w:cs="Arial"/>
          <w:color w:val="7B7B7B" w:themeColor="accent3" w:themeShade="BF"/>
          <w:sz w:val="22"/>
          <w:szCs w:val="22"/>
          <w:lang w:val="en-GB"/>
        </w:rPr>
        <w:t xml:space="preserve">  </w:t>
      </w:r>
    </w:p>
    <w:p w14:paraId="79340B8A" w14:textId="77777777" w:rsidR="008E0157" w:rsidRPr="008500BD" w:rsidRDefault="008E0157" w:rsidP="002A37BB">
      <w:pPr>
        <w:ind w:left="720" w:hanging="720"/>
        <w:jc w:val="both"/>
        <w:rPr>
          <w:rFonts w:ascii="Arial" w:hAnsi="Arial" w:cs="Arial"/>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w:t>
      </w:r>
      <w:r w:rsidRPr="002A37BB">
        <w:rPr>
          <w:rFonts w:ascii="Arial" w:hAnsi="Arial" w:cs="Arial"/>
          <w:sz w:val="22"/>
          <w:szCs w:val="22"/>
          <w:lang w:val="en-GB"/>
        </w:rPr>
        <w:lastRenderedPageBreak/>
        <w:t xml:space="preserve">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321358EA" w14:textId="6FAAB6F0" w:rsidR="009954B2" w:rsidRDefault="00A26B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38(3)</w:t>
      </w:r>
      <w:r w:rsidR="00EB2A09">
        <w:rPr>
          <w:rFonts w:ascii="Arial" w:hAnsi="Arial" w:cs="Arial"/>
          <w:color w:val="7B7B7B" w:themeColor="accent3" w:themeShade="BF"/>
          <w:sz w:val="22"/>
          <w:szCs w:val="22"/>
          <w:lang w:val="en-GB"/>
        </w:rPr>
        <w:t xml:space="preserve">, which provides that  where the insolvency practitioner in the main proceedings has given an undertaking in accordance with article 36, the court that receives a request for the opening of secondary proceedings shall at the request of the insolvency practitioner not open those proceedings, as long as the court is satisfied that local creditors are adequately protected.  </w:t>
      </w:r>
    </w:p>
    <w:p w14:paraId="03390AAE" w14:textId="3E5B617E" w:rsidR="00EB2A09" w:rsidRDefault="00EB2A09" w:rsidP="002A37BB">
      <w:pPr>
        <w:jc w:val="both"/>
        <w:rPr>
          <w:rFonts w:ascii="Arial" w:hAnsi="Arial" w:cs="Arial"/>
          <w:color w:val="7B7B7B" w:themeColor="accent3" w:themeShade="BF"/>
          <w:sz w:val="22"/>
          <w:szCs w:val="22"/>
          <w:lang w:val="en-GB"/>
        </w:rPr>
      </w:pPr>
    </w:p>
    <w:p w14:paraId="52B80607" w14:textId="19B32A62" w:rsidR="00EB2A09" w:rsidRPr="00EB2A09" w:rsidRDefault="00EB2A0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47</w:t>
      </w:r>
      <w:r w:rsidR="009A55B9">
        <w:rPr>
          <w:rFonts w:ascii="Arial" w:hAnsi="Arial" w:cs="Arial"/>
          <w:color w:val="7B7B7B" w:themeColor="accent3" w:themeShade="BF"/>
          <w:sz w:val="22"/>
          <w:szCs w:val="22"/>
          <w:lang w:val="en-GB"/>
        </w:rPr>
        <w:t xml:space="preserve">, which allows closure of proceedings by restructuring plan or similar. </w:t>
      </w:r>
      <w:r w:rsidR="00283711">
        <w:rPr>
          <w:rFonts w:ascii="Arial" w:hAnsi="Arial" w:cs="Arial"/>
          <w:color w:val="7B7B7B" w:themeColor="accent3" w:themeShade="BF"/>
          <w:sz w:val="22"/>
          <w:szCs w:val="22"/>
          <w:lang w:val="en-GB"/>
        </w:rPr>
        <w:t>Effectively</w:t>
      </w:r>
      <w:r w:rsidR="009A55B9">
        <w:rPr>
          <w:rFonts w:ascii="Arial" w:hAnsi="Arial" w:cs="Arial"/>
          <w:color w:val="7B7B7B" w:themeColor="accent3" w:themeShade="BF"/>
          <w:sz w:val="22"/>
          <w:szCs w:val="22"/>
          <w:lang w:val="en-GB"/>
        </w:rPr>
        <w:t>, if the</w:t>
      </w:r>
      <w:r>
        <w:rPr>
          <w:rFonts w:ascii="Arial" w:hAnsi="Arial" w:cs="Arial"/>
          <w:color w:val="7B7B7B" w:themeColor="accent3" w:themeShade="BF"/>
          <w:sz w:val="22"/>
          <w:szCs w:val="22"/>
          <w:lang w:val="en-GB"/>
        </w:rPr>
        <w:t xml:space="preserve"> law of the Member State </w:t>
      </w:r>
      <w:r w:rsidR="00BF6DEB">
        <w:rPr>
          <w:rFonts w:ascii="Arial" w:hAnsi="Arial" w:cs="Arial"/>
          <w:color w:val="7B7B7B" w:themeColor="accent3" w:themeShade="BF"/>
          <w:sz w:val="22"/>
          <w:szCs w:val="22"/>
          <w:lang w:val="en-GB"/>
        </w:rPr>
        <w:t xml:space="preserve">where the secondary proceedings are opened allows for insolvency proceedings to be closed by </w:t>
      </w:r>
      <w:r w:rsidR="009A55B9">
        <w:rPr>
          <w:rFonts w:ascii="Arial" w:hAnsi="Arial" w:cs="Arial"/>
          <w:color w:val="7B7B7B" w:themeColor="accent3" w:themeShade="BF"/>
          <w:sz w:val="22"/>
          <w:szCs w:val="22"/>
          <w:lang w:val="en-GB"/>
        </w:rPr>
        <w:t xml:space="preserve">restructuring procedures, then the insolvency practitioner in the main proceedings can propose such a measure in accordance with the law of the second state.  </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06D3AE81" w14:textId="6485A88F" w:rsidR="00350414" w:rsidRDefault="0035041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expands and improves upon the EIR 2000 with respect to insolvency proceedings across the European Union. However, the EIR 2000 itself contained a provision that demonstrated a recognition that the business and legal landscape may change over time, resulting in the EIR 2000 potentially requiring amendments to be made to the EIR 2000 to ensure its relevance and application to the European Union. </w:t>
      </w:r>
    </w:p>
    <w:p w14:paraId="2C90A18A" w14:textId="77777777" w:rsidR="00350414" w:rsidRDefault="00350414" w:rsidP="002A37BB">
      <w:pPr>
        <w:jc w:val="both"/>
        <w:rPr>
          <w:rFonts w:ascii="Arial" w:hAnsi="Arial" w:cs="Arial"/>
          <w:color w:val="7B7B7B" w:themeColor="accent3" w:themeShade="BF"/>
          <w:sz w:val="22"/>
          <w:szCs w:val="22"/>
          <w:lang w:val="en-GB"/>
        </w:rPr>
      </w:pPr>
    </w:p>
    <w:p w14:paraId="4024A332" w14:textId="13FAE328" w:rsidR="00544127" w:rsidRDefault="0035041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Article 46 of the EIR 2000 required the European Commission to present a report that examined the application of the EIR 2000 no later than 1 June 2012, and subsequently every 5 years thereafter, as well as any proposal for the adaptation of the EIR 2000 if required. A number of notable legal scholars, in 2014 prepared </w:t>
      </w:r>
      <w:r w:rsidR="009A1409">
        <w:rPr>
          <w:rFonts w:ascii="Arial" w:hAnsi="Arial" w:cs="Arial"/>
          <w:color w:val="7B7B7B" w:themeColor="accent3" w:themeShade="BF"/>
          <w:sz w:val="22"/>
          <w:szCs w:val="22"/>
          <w:lang w:val="en-GB"/>
        </w:rPr>
        <w:t>the “Heidelberg – Luxembourg – Vienna Report”</w:t>
      </w:r>
      <w:r w:rsidR="009A1409">
        <w:rPr>
          <w:rStyle w:val="FootnoteReference"/>
          <w:rFonts w:ascii="Arial" w:hAnsi="Arial" w:cs="Arial"/>
          <w:color w:val="7B7B7B" w:themeColor="accent3" w:themeShade="BF"/>
          <w:sz w:val="22"/>
          <w:szCs w:val="22"/>
          <w:lang w:val="en-GB"/>
        </w:rPr>
        <w:footnoteReference w:id="1"/>
      </w:r>
      <w:r w:rsidR="009A1409">
        <w:rPr>
          <w:rFonts w:ascii="Arial" w:hAnsi="Arial" w:cs="Arial"/>
          <w:color w:val="7B7B7B" w:themeColor="accent3" w:themeShade="BF"/>
          <w:sz w:val="22"/>
          <w:szCs w:val="22"/>
          <w:lang w:val="en-GB"/>
        </w:rPr>
        <w:t xml:space="preserve"> (</w:t>
      </w:r>
      <w:r w:rsidR="009A1409" w:rsidRPr="009A1409">
        <w:rPr>
          <w:rFonts w:ascii="Arial" w:hAnsi="Arial" w:cs="Arial"/>
          <w:b/>
          <w:bCs/>
          <w:color w:val="7B7B7B" w:themeColor="accent3" w:themeShade="BF"/>
          <w:sz w:val="22"/>
          <w:szCs w:val="22"/>
          <w:lang w:val="en-GB"/>
        </w:rPr>
        <w:t>Report</w:t>
      </w:r>
      <w:r w:rsidR="009A1409">
        <w:rPr>
          <w:rFonts w:ascii="Arial" w:hAnsi="Arial" w:cs="Arial"/>
          <w:color w:val="7B7B7B" w:themeColor="accent3" w:themeShade="BF"/>
          <w:sz w:val="22"/>
          <w:szCs w:val="22"/>
          <w:lang w:val="en-GB"/>
        </w:rPr>
        <w:t xml:space="preserve">) </w:t>
      </w:r>
      <w:r w:rsidR="009A1409" w:rsidRPr="009A1409">
        <w:rPr>
          <w:rFonts w:ascii="Arial" w:hAnsi="Arial" w:cs="Arial"/>
          <w:color w:val="7B7B7B" w:themeColor="accent3" w:themeShade="BF"/>
          <w:sz w:val="22"/>
          <w:szCs w:val="22"/>
          <w:lang w:val="en-GB"/>
        </w:rPr>
        <w:t>which</w:t>
      </w:r>
      <w:r w:rsidR="009A1409">
        <w:rPr>
          <w:rFonts w:ascii="Arial" w:hAnsi="Arial" w:cs="Arial"/>
          <w:color w:val="7B7B7B" w:themeColor="accent3" w:themeShade="BF"/>
          <w:sz w:val="22"/>
          <w:szCs w:val="22"/>
          <w:lang w:val="en-GB"/>
        </w:rPr>
        <w:t xml:space="preserve"> formed part of the basis for the European Commission Report to be prepared in accordance with Article 46. As succinctly stated in the Report, the EIR 2000 was focussed on the implementation of the universality of national insolvency proceedings across the European Union, yet with the passage of time, the focus of insolvency law had significantly changed. Recent developments (at the time) had shown that modern insolvency law was now based around the key focus of business restructuring, and to provide protection and the ability to be discharged from unbearable debts for private debtors, whilst avoiding the established formal insolvency processes.</w:t>
      </w:r>
      <w:r w:rsidR="009A1409">
        <w:rPr>
          <w:rStyle w:val="FootnoteReference"/>
          <w:rFonts w:ascii="Arial" w:hAnsi="Arial" w:cs="Arial"/>
          <w:color w:val="7B7B7B" w:themeColor="accent3" w:themeShade="BF"/>
          <w:sz w:val="22"/>
          <w:szCs w:val="22"/>
          <w:lang w:val="en-GB"/>
        </w:rPr>
        <w:footnoteReference w:id="2"/>
      </w:r>
    </w:p>
    <w:p w14:paraId="7EA5265B" w14:textId="20BD7349" w:rsidR="009A1409" w:rsidRDefault="009A1409" w:rsidP="002A37BB">
      <w:pPr>
        <w:jc w:val="both"/>
        <w:rPr>
          <w:rFonts w:ascii="Arial" w:hAnsi="Arial" w:cs="Arial"/>
          <w:color w:val="7B7B7B" w:themeColor="accent3" w:themeShade="BF"/>
          <w:sz w:val="22"/>
          <w:szCs w:val="22"/>
          <w:lang w:val="en-GB"/>
        </w:rPr>
      </w:pPr>
    </w:p>
    <w:p w14:paraId="1EFC85AC" w14:textId="4759DC84" w:rsidR="009A1409" w:rsidRDefault="00AD4B8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10 years after the formal adoption of the EIR 2000, the Commission had reviewed the operation of the EIR 2000 and determined that the EIR 2000 needed amendment, as set out </w:t>
      </w:r>
      <w:r>
        <w:rPr>
          <w:rFonts w:ascii="Arial" w:hAnsi="Arial" w:cs="Arial"/>
          <w:color w:val="7B7B7B" w:themeColor="accent3" w:themeShade="BF"/>
          <w:sz w:val="22"/>
          <w:szCs w:val="22"/>
          <w:lang w:val="en-GB"/>
        </w:rPr>
        <w:lastRenderedPageBreak/>
        <w:t>in the Commission’s Report and Proposal (</w:t>
      </w:r>
      <w:r>
        <w:rPr>
          <w:rFonts w:ascii="Arial" w:hAnsi="Arial" w:cs="Arial"/>
          <w:b/>
          <w:bCs/>
          <w:color w:val="7B7B7B" w:themeColor="accent3" w:themeShade="BF"/>
          <w:sz w:val="22"/>
          <w:szCs w:val="22"/>
          <w:lang w:val="en-GB"/>
        </w:rPr>
        <w:t>Proposal</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The Commission, in the Proposal determined that there were ultimately 5 main shortcomings of the EIR 2000 in respect of the modern-day applicability of the EIR 2000. </w:t>
      </w:r>
    </w:p>
    <w:p w14:paraId="608E6319" w14:textId="517CB2FD" w:rsidR="00AD4B8D" w:rsidRDefault="00AD4B8D" w:rsidP="002A37BB">
      <w:pPr>
        <w:jc w:val="both"/>
        <w:rPr>
          <w:rFonts w:ascii="Arial" w:hAnsi="Arial" w:cs="Arial"/>
          <w:color w:val="7B7B7B" w:themeColor="accent3" w:themeShade="BF"/>
          <w:sz w:val="22"/>
          <w:szCs w:val="22"/>
          <w:lang w:val="en-GB"/>
        </w:rPr>
      </w:pPr>
    </w:p>
    <w:p w14:paraId="07D989E1" w14:textId="6D960F64" w:rsidR="00606B73" w:rsidRDefault="00AD4B8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EIR 2000 failed to cover any procedures relating to the restructuring of a company at the pre-insolvency stage, or proceedings which continue to allow the management to remain in charge of the company. </w:t>
      </w:r>
      <w:r w:rsidR="00606B73">
        <w:rPr>
          <w:rFonts w:ascii="Arial" w:hAnsi="Arial" w:cs="Arial"/>
          <w:color w:val="7B7B7B" w:themeColor="accent3" w:themeShade="BF"/>
          <w:sz w:val="22"/>
          <w:szCs w:val="22"/>
          <w:lang w:val="en-GB"/>
        </w:rPr>
        <w:t>These new provisions were being introduced throughout the EU and were becoming a regularly used tool for businesses, and it was important to note that the EIR 2000 did not incorporate some personal insolvency proceedings in its scope.</w:t>
      </w:r>
      <w:r w:rsidR="00606B73">
        <w:rPr>
          <w:rStyle w:val="FootnoteReference"/>
          <w:rFonts w:ascii="Arial" w:hAnsi="Arial" w:cs="Arial"/>
          <w:color w:val="7B7B7B" w:themeColor="accent3" w:themeShade="BF"/>
          <w:sz w:val="22"/>
          <w:szCs w:val="22"/>
          <w:lang w:val="en-GB"/>
        </w:rPr>
        <w:footnoteReference w:id="4"/>
      </w:r>
      <w:r w:rsidR="00606B73">
        <w:rPr>
          <w:rFonts w:ascii="Arial" w:hAnsi="Arial" w:cs="Arial"/>
          <w:color w:val="7B7B7B" w:themeColor="accent3" w:themeShade="BF"/>
          <w:sz w:val="22"/>
          <w:szCs w:val="22"/>
          <w:lang w:val="en-GB"/>
        </w:rPr>
        <w:t xml:space="preserve">  </w:t>
      </w:r>
    </w:p>
    <w:p w14:paraId="5C7480BE" w14:textId="77777777" w:rsidR="00606B73" w:rsidRDefault="00606B73" w:rsidP="002A37BB">
      <w:pPr>
        <w:jc w:val="both"/>
        <w:rPr>
          <w:rFonts w:ascii="Arial" w:hAnsi="Arial" w:cs="Arial"/>
          <w:color w:val="7B7B7B" w:themeColor="accent3" w:themeShade="BF"/>
          <w:sz w:val="22"/>
          <w:szCs w:val="22"/>
          <w:lang w:val="en-GB"/>
        </w:rPr>
      </w:pPr>
    </w:p>
    <w:p w14:paraId="37EB65E2" w14:textId="65302CF1" w:rsidR="00AD4B8D" w:rsidRDefault="00606B7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2000 also did not adequately set out the framework for determining the correct Member State that holds the competency for opening insolvency proceedings</w:t>
      </w:r>
      <w:r w:rsidR="00813CF2">
        <w:rPr>
          <w:rFonts w:ascii="Arial" w:hAnsi="Arial" w:cs="Arial"/>
          <w:color w:val="7B7B7B" w:themeColor="accent3" w:themeShade="BF"/>
          <w:sz w:val="22"/>
          <w:szCs w:val="22"/>
          <w:lang w:val="en-GB"/>
        </w:rPr>
        <w:t>, resulting in companies moving their centre of main interests regularly to take advantage of certain laws, and meaning that it is ultimately difficult to determine the correct jurisdiction.</w:t>
      </w:r>
      <w:r w:rsidR="00813CF2">
        <w:rPr>
          <w:rStyle w:val="FootnoteReference"/>
          <w:rFonts w:ascii="Arial" w:hAnsi="Arial" w:cs="Arial"/>
          <w:color w:val="7B7B7B" w:themeColor="accent3" w:themeShade="BF"/>
          <w:sz w:val="22"/>
          <w:szCs w:val="22"/>
          <w:lang w:val="en-GB"/>
        </w:rPr>
        <w:footnoteReference w:id="5"/>
      </w:r>
      <w:r w:rsidR="00813CF2">
        <w:rPr>
          <w:rFonts w:ascii="Arial" w:hAnsi="Arial" w:cs="Arial"/>
          <w:color w:val="7B7B7B" w:themeColor="accent3" w:themeShade="BF"/>
          <w:sz w:val="22"/>
          <w:szCs w:val="22"/>
          <w:lang w:val="en-GB"/>
        </w:rPr>
        <w:t xml:space="preserve">  </w:t>
      </w:r>
    </w:p>
    <w:p w14:paraId="0438FFD5" w14:textId="19BB3F89" w:rsidR="00813CF2" w:rsidRDefault="00813CF2" w:rsidP="002A37BB">
      <w:pPr>
        <w:jc w:val="both"/>
        <w:rPr>
          <w:rFonts w:ascii="Arial" w:hAnsi="Arial" w:cs="Arial"/>
          <w:color w:val="7B7B7B" w:themeColor="accent3" w:themeShade="BF"/>
          <w:sz w:val="22"/>
          <w:szCs w:val="22"/>
          <w:lang w:val="en-GB"/>
        </w:rPr>
      </w:pPr>
    </w:p>
    <w:p w14:paraId="6FA3DA13" w14:textId="77777777" w:rsidR="00813CF2" w:rsidRDefault="00813CF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2000 also was not satisfactory in how it dealt with the opening of secondary proceedings, including the issue that the opening of secondary proceedings ultimately hampered the efficiency of overall estate of the debtor.</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Under the EIR 2000, the opening of secondary proceedings removed the control of a liquidator for any available assets in other jurisdictions, resulting in a significant and ultimately untenable inefficiency in the long run.</w:t>
      </w:r>
    </w:p>
    <w:p w14:paraId="1027F68E" w14:textId="77777777" w:rsidR="00813CF2" w:rsidRDefault="00813CF2" w:rsidP="002A37BB">
      <w:pPr>
        <w:jc w:val="both"/>
        <w:rPr>
          <w:rFonts w:ascii="Arial" w:hAnsi="Arial" w:cs="Arial"/>
          <w:color w:val="7B7B7B" w:themeColor="accent3" w:themeShade="BF"/>
          <w:sz w:val="22"/>
          <w:szCs w:val="22"/>
          <w:lang w:val="en-GB"/>
        </w:rPr>
      </w:pPr>
    </w:p>
    <w:p w14:paraId="4A637290" w14:textId="27651F87" w:rsidR="00544127" w:rsidRDefault="00813CF2" w:rsidP="00BF0A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nature of the EIR 2000 in dealing with universality, there were no provisions that obligated the publication of</w:t>
      </w:r>
      <w:r w:rsidR="00BF0A0A">
        <w:rPr>
          <w:rFonts w:ascii="Arial" w:hAnsi="Arial" w:cs="Arial"/>
          <w:color w:val="7B7B7B" w:themeColor="accent3" w:themeShade="BF"/>
          <w:sz w:val="22"/>
          <w:szCs w:val="22"/>
          <w:lang w:val="en-GB"/>
        </w:rPr>
        <w:t xml:space="preserve"> the opening of any insolvency proceedings or the lodgement of claims in those proceedings, meaning that there would be creditors who were ultimately missing out on proceedings. Further, there was no ability for some creditors to easily lodge claims in the various proceedings, meaning that there was no easy nor consistent approach way to lodge claims in insolvency proceedings.</w:t>
      </w:r>
      <w:r w:rsidR="00BF0A0A">
        <w:rPr>
          <w:rStyle w:val="FootnoteReference"/>
          <w:rFonts w:ascii="Arial" w:hAnsi="Arial" w:cs="Arial"/>
          <w:color w:val="7B7B7B" w:themeColor="accent3" w:themeShade="BF"/>
          <w:sz w:val="22"/>
          <w:szCs w:val="22"/>
          <w:lang w:val="en-GB"/>
        </w:rPr>
        <w:footnoteReference w:id="7"/>
      </w:r>
      <w:r w:rsidR="00BF0A0A">
        <w:rPr>
          <w:rFonts w:ascii="Arial" w:hAnsi="Arial" w:cs="Arial"/>
          <w:color w:val="7B7B7B" w:themeColor="accent3" w:themeShade="BF"/>
          <w:sz w:val="22"/>
          <w:szCs w:val="22"/>
          <w:lang w:val="en-GB"/>
        </w:rPr>
        <w:t xml:space="preserve">  </w:t>
      </w:r>
    </w:p>
    <w:p w14:paraId="6D773EEE" w14:textId="12B615D8" w:rsidR="00BF0A0A" w:rsidRDefault="00BF0A0A" w:rsidP="00BF0A0A">
      <w:pPr>
        <w:jc w:val="both"/>
        <w:rPr>
          <w:rFonts w:ascii="Arial" w:hAnsi="Arial" w:cs="Arial"/>
          <w:color w:val="7B7B7B" w:themeColor="accent3" w:themeShade="BF"/>
          <w:sz w:val="22"/>
          <w:szCs w:val="22"/>
          <w:lang w:val="en-GB"/>
        </w:rPr>
      </w:pPr>
    </w:p>
    <w:p w14:paraId="6E70A9CD" w14:textId="531BFE2D" w:rsidR="00BF0A0A" w:rsidRDefault="00BF0A0A" w:rsidP="00BF0A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EIR did not contain any provisions relating to the insolvency of groups of companies, or multi-national enterprises.  The Proposal highlighted those insolvencies of multi-national enterprises was common, but by failing to adequately provide for these proceedings ultimately also prevented successful restructuring or rescue of the group of companies.</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The EIR 2000 required separate proceedings that were independent of each other.   </w:t>
      </w:r>
    </w:p>
    <w:p w14:paraId="73F2EBAC" w14:textId="494811D5" w:rsidR="00BF0A0A" w:rsidRDefault="00BF0A0A" w:rsidP="00BF0A0A">
      <w:pPr>
        <w:jc w:val="both"/>
        <w:rPr>
          <w:rFonts w:ascii="Arial" w:hAnsi="Arial" w:cs="Arial"/>
          <w:color w:val="7B7B7B" w:themeColor="accent3" w:themeShade="BF"/>
          <w:sz w:val="22"/>
          <w:szCs w:val="22"/>
          <w:lang w:val="en-GB"/>
        </w:rPr>
      </w:pPr>
    </w:p>
    <w:p w14:paraId="5D5A1FA5" w14:textId="131614B9" w:rsidR="00D17FDC" w:rsidRDefault="00BF0A0A" w:rsidP="00BF0A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Evidently, the proposal highlighted the ongoing limitations of the EIR 2000, which would have created further inefficiencies as time passed but would have led to greater confusion and a failure to keep up with the modern laws within the European Union.  </w:t>
      </w:r>
    </w:p>
    <w:p w14:paraId="38A33C85" w14:textId="77777777" w:rsidR="00BF0A0A" w:rsidRPr="008500BD" w:rsidRDefault="00BF0A0A" w:rsidP="00BF0A0A">
      <w:pPr>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5125C0B7"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r w:rsidR="00BF0A0A">
        <w:rPr>
          <w:rFonts w:ascii="Arial" w:hAnsi="Arial" w:cs="Arial"/>
          <w:sz w:val="22"/>
          <w:szCs w:val="22"/>
          <w:lang w:val="en-GB"/>
        </w:rPr>
        <w:t xml:space="preserve"> </w:t>
      </w:r>
    </w:p>
    <w:p w14:paraId="11029261" w14:textId="77777777" w:rsidR="006E5A55" w:rsidRDefault="006E5A55" w:rsidP="002A37BB">
      <w:pPr>
        <w:jc w:val="both"/>
        <w:rPr>
          <w:rFonts w:ascii="Arial" w:hAnsi="Arial" w:cs="Arial"/>
          <w:sz w:val="22"/>
          <w:szCs w:val="22"/>
        </w:rPr>
      </w:pPr>
    </w:p>
    <w:p w14:paraId="506D8D95" w14:textId="595F694F" w:rsidR="006E5A55" w:rsidRDefault="006E5A5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highlighted above, the EIR 2000 had a number of shortcomings. The EIR Recast has in adapting to the issues highlighted in Report and Proposal, has resulted in a number of improvements as discussed in the following. </w:t>
      </w:r>
    </w:p>
    <w:p w14:paraId="696AEDC6" w14:textId="77777777" w:rsidR="006E5A55" w:rsidRDefault="006E5A55" w:rsidP="002A37BB">
      <w:pPr>
        <w:jc w:val="both"/>
        <w:rPr>
          <w:rFonts w:ascii="Arial" w:hAnsi="Arial" w:cs="Arial"/>
          <w:color w:val="7B7B7B" w:themeColor="accent3" w:themeShade="BF"/>
          <w:sz w:val="22"/>
          <w:szCs w:val="22"/>
          <w:lang w:val="en-GB"/>
        </w:rPr>
      </w:pPr>
    </w:p>
    <w:p w14:paraId="517AB10C" w14:textId="2CF4F178" w:rsidR="006E5A55" w:rsidRDefault="006E5A5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amendments to the scope, and the broader scope of the EIR Recast now includes a broader definition of the insolvency proceedings to include both hybrid proceedings and pre-insolvency proceedings has now brought the EIR into a common position with the laws of countries within the European Union, but also into line with the modern practice of insolvency. This amended scope, as set out in Article 1(1) and numerous recitals in the EIR Recast ensures continuity throughout the European Union, and an understanding that the laws that govern insolvency proceedings in multiple states now reflect the legal position and process in those states. </w:t>
      </w:r>
      <w:r w:rsidR="00C679E2">
        <w:rPr>
          <w:rFonts w:ascii="Arial" w:hAnsi="Arial" w:cs="Arial"/>
          <w:color w:val="7B7B7B" w:themeColor="accent3" w:themeShade="BF"/>
          <w:sz w:val="22"/>
          <w:szCs w:val="22"/>
          <w:lang w:val="en-GB"/>
        </w:rPr>
        <w:t xml:space="preserve">Further, it is important that restructuring and rescue proceedings are now adequately reflected in the EIR Recast, given the way in which these proceedings are becoming more prevalent.  </w:t>
      </w:r>
    </w:p>
    <w:p w14:paraId="4BE057DE" w14:textId="7897C03A" w:rsidR="00C679E2" w:rsidRDefault="00C679E2" w:rsidP="002A37BB">
      <w:pPr>
        <w:jc w:val="both"/>
        <w:rPr>
          <w:rFonts w:ascii="Arial" w:hAnsi="Arial" w:cs="Arial"/>
          <w:color w:val="7B7B7B" w:themeColor="accent3" w:themeShade="BF"/>
          <w:sz w:val="22"/>
          <w:szCs w:val="22"/>
          <w:lang w:val="en-GB"/>
        </w:rPr>
      </w:pPr>
    </w:p>
    <w:p w14:paraId="0017EAC2" w14:textId="6F69451F" w:rsidR="00C679E2" w:rsidRDefault="00C679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now also deals with the insolvency of groups of companies.</w:t>
      </w:r>
      <w:r w:rsidR="00F35F62">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As highlighted above, the EIR 2000 provisions for the insolvency of groups of companies was severely limited and required individual proceedings for each company. However, the EIR Recast has now established a number of obligations for both insolvency professionals and companies to cooperate and communicate with each other to ensure efficiency consistency across the insolvency procedures pertaining to groups of companies. Further the EIR Recast also includes a number of procedural tools that allow for the staying of other proceedings where appropriate, or the power for the insolvency professional to propose a reconstruction and rescue plans for the group of companies.  </w:t>
      </w:r>
    </w:p>
    <w:p w14:paraId="5E8BD4B4" w14:textId="356BD775" w:rsidR="00C679E2" w:rsidRDefault="00C679E2" w:rsidP="002A37BB">
      <w:pPr>
        <w:jc w:val="both"/>
        <w:rPr>
          <w:rFonts w:ascii="Arial" w:hAnsi="Arial" w:cs="Arial"/>
          <w:color w:val="7B7B7B" w:themeColor="accent3" w:themeShade="BF"/>
          <w:sz w:val="22"/>
          <w:szCs w:val="22"/>
          <w:lang w:val="en-GB"/>
        </w:rPr>
      </w:pPr>
    </w:p>
    <w:p w14:paraId="5A201B55" w14:textId="66DD69D5" w:rsidR="00295925" w:rsidRPr="008500BD" w:rsidRDefault="00C679E2" w:rsidP="004D5F28">
      <w:pPr>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and what is arguably the main improvement of the EIR Recast in my view, is the requirements for insolvency </w:t>
      </w:r>
      <w:r w:rsidR="004D5F28">
        <w:rPr>
          <w:rFonts w:ascii="Arial" w:hAnsi="Arial" w:cs="Arial"/>
          <w:color w:val="7B7B7B" w:themeColor="accent3" w:themeShade="BF"/>
          <w:sz w:val="22"/>
          <w:szCs w:val="22"/>
          <w:lang w:val="en-GB"/>
        </w:rPr>
        <w:t>practitioners</w:t>
      </w:r>
      <w:r>
        <w:rPr>
          <w:rFonts w:ascii="Arial" w:hAnsi="Arial" w:cs="Arial"/>
          <w:color w:val="7B7B7B" w:themeColor="accent3" w:themeShade="BF"/>
          <w:sz w:val="22"/>
          <w:szCs w:val="22"/>
          <w:lang w:val="en-GB"/>
        </w:rPr>
        <w:t xml:space="preserve"> to </w:t>
      </w:r>
      <w:r w:rsidR="004D5F28">
        <w:rPr>
          <w:rFonts w:ascii="Arial" w:hAnsi="Arial" w:cs="Arial"/>
          <w:color w:val="7B7B7B" w:themeColor="accent3" w:themeShade="BF"/>
          <w:sz w:val="22"/>
          <w:szCs w:val="22"/>
          <w:lang w:val="en-GB"/>
        </w:rPr>
        <w:t>publish the existence of proceedings, as well as relevant court decisions pertaining to cross-border insolvencies in a register that is publicly accessible.</w:t>
      </w:r>
      <w:r w:rsidR="00F35F62">
        <w:rPr>
          <w:rStyle w:val="FootnoteReference"/>
          <w:rFonts w:ascii="Arial" w:hAnsi="Arial" w:cs="Arial"/>
          <w:color w:val="7B7B7B" w:themeColor="accent3" w:themeShade="BF"/>
          <w:sz w:val="22"/>
          <w:szCs w:val="22"/>
          <w:lang w:val="en-GB"/>
        </w:rPr>
        <w:footnoteReference w:id="10"/>
      </w:r>
      <w:r w:rsidR="004D5F28">
        <w:rPr>
          <w:rFonts w:ascii="Arial" w:hAnsi="Arial" w:cs="Arial"/>
          <w:color w:val="7B7B7B" w:themeColor="accent3" w:themeShade="BF"/>
          <w:sz w:val="22"/>
          <w:szCs w:val="22"/>
          <w:lang w:val="en-GB"/>
        </w:rPr>
        <w:t xml:space="preserve">  Further, the interconnection of insolvency registers across all of the member states of the European Union means allows for ease of access to information and notifications pertaining to insolvencies for affected parties. Further, it is also important that the EIR Recast now allows for standard forms for the lodgement of the claims in insolvency proceedings, benefitting both creditors and insolvency professionals.  </w:t>
      </w: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21518F53" w14:textId="673956DF" w:rsidR="00DF6AC9" w:rsidRDefault="00DF6AC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positive improvements to the EIR Recast, one of its flaws is that there</w:t>
      </w:r>
      <w:r w:rsidR="00506A33">
        <w:rPr>
          <w:rFonts w:ascii="Arial" w:hAnsi="Arial" w:cs="Arial"/>
          <w:color w:val="7B7B7B" w:themeColor="accent3" w:themeShade="BF"/>
          <w:sz w:val="22"/>
          <w:szCs w:val="22"/>
          <w:lang w:val="en-GB"/>
        </w:rPr>
        <w:t xml:space="preserve"> are limited powers granted to insolvency practitioners in terms of the avoidance of transactions and their other powers as granted within specific jurisdictions.  This is difficult to implement where there are different legislations at stake, and could be seen to be a political issue as well.  </w:t>
      </w:r>
    </w:p>
    <w:p w14:paraId="42118DC2" w14:textId="77777777" w:rsidR="00DF6AC9" w:rsidRDefault="00DF6AC9" w:rsidP="002A37BB">
      <w:pPr>
        <w:jc w:val="both"/>
        <w:rPr>
          <w:rFonts w:ascii="Arial" w:hAnsi="Arial" w:cs="Arial"/>
          <w:color w:val="7B7B7B" w:themeColor="accent3" w:themeShade="BF"/>
          <w:sz w:val="22"/>
          <w:szCs w:val="22"/>
          <w:lang w:val="en-GB"/>
        </w:rPr>
      </w:pPr>
    </w:p>
    <w:p w14:paraId="4E83D7AF" w14:textId="73A0EA7B" w:rsidR="00DF75F8" w:rsidRPr="008500BD" w:rsidRDefault="00DF6AC9"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EIR Recast, despite moving forward with dealing with the restructuring process, still does not have sufficient restructuring procedures like a number of jurisdictions globally, including provisions such as cram down (where there is a potential restructuring plan in place but a number of dissenting creditors) and dealing with debtor in possession procedures. These seem to have been overlooked despite the EIR Recast accepting the need for the restructuring and other procedures being in place.  This may be harmonised by including particular wording </w:t>
      </w:r>
      <w:r>
        <w:rPr>
          <w:rFonts w:ascii="Arial" w:hAnsi="Arial" w:cs="Arial"/>
          <w:color w:val="7B7B7B" w:themeColor="accent3" w:themeShade="BF"/>
          <w:sz w:val="22"/>
          <w:szCs w:val="22"/>
          <w:lang w:val="en-GB"/>
        </w:rPr>
        <w:lastRenderedPageBreak/>
        <w:t xml:space="preserve">regarding these options in the EIR, however given the current operational framework of the EIR Recast, it remains hampered by differing laws in some jurisdictions.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0BB2D0BD" w14:textId="10D6396C" w:rsidR="00D95496" w:rsidRDefault="00D95496" w:rsidP="002A37BB">
      <w:pPr>
        <w:jc w:val="both"/>
        <w:rPr>
          <w:rFonts w:ascii="Arial" w:hAnsi="Arial" w:cs="Arial"/>
          <w:color w:val="7B7B7B" w:themeColor="accent3" w:themeShade="BF"/>
          <w:sz w:val="22"/>
          <w:szCs w:val="22"/>
          <w:lang w:val="en-GB"/>
        </w:rPr>
      </w:pPr>
    </w:p>
    <w:p w14:paraId="634A2CD4" w14:textId="14B53668" w:rsidR="002977E2" w:rsidRDefault="002977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2000 set out the requirements for opening proceedings in Article 3(1), which stated that the Courts of the Member State where the centre of main interests is situated shall have the jurisdiction to open insolvency proceedings, and because the debtor is a company, the centre of main interests under the EIR 2000 was the location of its registered office.  </w:t>
      </w:r>
      <w:r w:rsidR="00EB2A09">
        <w:rPr>
          <w:rFonts w:ascii="Arial" w:hAnsi="Arial" w:cs="Arial"/>
          <w:color w:val="7B7B7B" w:themeColor="accent3" w:themeShade="BF"/>
          <w:sz w:val="22"/>
          <w:szCs w:val="22"/>
          <w:lang w:val="en-GB"/>
        </w:rPr>
        <w:t xml:space="preserve">Given that the </w:t>
      </w:r>
      <w:r w:rsidR="00BB62DB">
        <w:rPr>
          <w:rFonts w:ascii="Arial" w:hAnsi="Arial" w:cs="Arial"/>
          <w:color w:val="7B7B7B" w:themeColor="accent3" w:themeShade="BF"/>
          <w:sz w:val="22"/>
          <w:szCs w:val="22"/>
          <w:lang w:val="en-GB"/>
        </w:rPr>
        <w:t xml:space="preserve">registered office is within France, then the Strasbourg court would have jurisdiction.  </w:t>
      </w:r>
    </w:p>
    <w:p w14:paraId="06F4EAC8" w14:textId="7CDFBA91" w:rsidR="00BB62DB" w:rsidRDefault="00BB62DB" w:rsidP="002A37BB">
      <w:pPr>
        <w:jc w:val="both"/>
        <w:rPr>
          <w:rFonts w:ascii="Arial" w:hAnsi="Arial" w:cs="Arial"/>
          <w:color w:val="7B7B7B" w:themeColor="accent3" w:themeShade="BF"/>
          <w:sz w:val="22"/>
          <w:szCs w:val="22"/>
          <w:lang w:val="en-GB"/>
        </w:rPr>
      </w:pPr>
    </w:p>
    <w:p w14:paraId="5296A20C" w14:textId="77777777" w:rsidR="00BB62DB" w:rsidRDefault="00BB62D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decision of the European Court of Justice (as it then was) demonstrated that the notion of COMI was based on reference to a number of objective and identifiable criteria.</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The objective criteria could only rebut the presumption of the registered office being the COMI if it could be proven that the administration of the debtors interest occurred in a different state to that of the registered office, for instance, in this scenario if the French debtor had their ‘administration’ in Germany.  </w:t>
      </w:r>
    </w:p>
    <w:p w14:paraId="0B063261" w14:textId="77777777" w:rsidR="00BB62DB" w:rsidRDefault="00BB62DB" w:rsidP="002A37BB">
      <w:pPr>
        <w:jc w:val="both"/>
        <w:rPr>
          <w:rFonts w:ascii="Arial" w:hAnsi="Arial" w:cs="Arial"/>
          <w:color w:val="7B7B7B" w:themeColor="accent3" w:themeShade="BF"/>
          <w:sz w:val="22"/>
          <w:szCs w:val="22"/>
          <w:lang w:val="en-GB"/>
        </w:rPr>
      </w:pPr>
    </w:p>
    <w:p w14:paraId="7090C861" w14:textId="6B4E6492" w:rsidR="00D95496" w:rsidRPr="00BB62DB" w:rsidRDefault="00BB62D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the location of the registered office in France, it appears as though there is arguably an establishment in Spain. This however, appears to only be a warehouse, and on this basis the COMI is still within France and the </w:t>
      </w:r>
      <w:r w:rsidR="00D736ED">
        <w:rPr>
          <w:rFonts w:ascii="Arial" w:hAnsi="Arial" w:cs="Arial"/>
          <w:color w:val="7B7B7B" w:themeColor="accent3" w:themeShade="BF"/>
          <w:sz w:val="22"/>
          <w:szCs w:val="22"/>
          <w:lang w:val="en-GB"/>
        </w:rPr>
        <w:t xml:space="preserve">Strasbourg has jurisdiction under the EIR 2000.  </w:t>
      </w:r>
      <w:r>
        <w:rPr>
          <w:rFonts w:ascii="Arial" w:hAnsi="Arial" w:cs="Arial"/>
          <w:color w:val="7B7B7B" w:themeColor="accent3" w:themeShade="BF"/>
          <w:sz w:val="22"/>
          <w:szCs w:val="22"/>
          <w:lang w:val="en-GB"/>
        </w:rPr>
        <w:t xml:space="preserve"> </w:t>
      </w: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9D849E4" w14:textId="6A0DE25A" w:rsidR="00C257B1" w:rsidRDefault="00C257B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To determine if the EIR Recast is applicable, it is important to ensure that the scope of the EIR Recast </w:t>
      </w:r>
      <w:r w:rsidR="00447118">
        <w:rPr>
          <w:rFonts w:ascii="Arial" w:hAnsi="Arial" w:cs="Arial"/>
          <w:color w:val="7B7B7B" w:themeColor="accent3" w:themeShade="BF"/>
          <w:sz w:val="22"/>
          <w:szCs w:val="22"/>
          <w:lang w:val="en-GB"/>
        </w:rPr>
        <w:t xml:space="preserve">is met by the potential proceedings.  The scope of the EIR Recast is temporal (i.e. time), personal (to whom do the proceedings relate to), whether the proceedings are covered by the EIR Recast, and what if any, are the geographical limitations.  </w:t>
      </w:r>
    </w:p>
    <w:p w14:paraId="37C25D30" w14:textId="77777777" w:rsidR="00C257B1" w:rsidRDefault="00C257B1" w:rsidP="002A37BB">
      <w:pPr>
        <w:autoSpaceDE w:val="0"/>
        <w:autoSpaceDN w:val="0"/>
        <w:adjustRightInd w:val="0"/>
        <w:jc w:val="both"/>
        <w:rPr>
          <w:rFonts w:ascii="Arial" w:hAnsi="Arial" w:cs="Arial"/>
          <w:color w:val="7B7B7B" w:themeColor="accent3" w:themeShade="BF"/>
          <w:sz w:val="22"/>
          <w:szCs w:val="22"/>
          <w:lang w:val="en-GB"/>
        </w:rPr>
      </w:pPr>
    </w:p>
    <w:p w14:paraId="4E50FD8F" w14:textId="3FC0EA8B" w:rsidR="00447118" w:rsidRDefault="00316F64"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situation, we can confirm that the debtor has a COMI within a member state of the EU</w:t>
      </w:r>
      <w:r w:rsidR="00447118">
        <w:rPr>
          <w:rStyle w:val="FootnoteReference"/>
          <w:rFonts w:ascii="Arial" w:hAnsi="Arial" w:cs="Arial"/>
          <w:color w:val="7B7B7B" w:themeColor="accent3" w:themeShade="BF"/>
          <w:sz w:val="22"/>
          <w:szCs w:val="22"/>
          <w:lang w:val="en-GB"/>
        </w:rPr>
        <w:footnoteReference w:id="12"/>
      </w:r>
      <w:r w:rsidR="00447118">
        <w:rPr>
          <w:rFonts w:ascii="Arial" w:hAnsi="Arial" w:cs="Arial"/>
          <w:color w:val="7B7B7B" w:themeColor="accent3" w:themeShade="BF"/>
          <w:sz w:val="22"/>
          <w:szCs w:val="22"/>
          <w:lang w:val="en-GB"/>
        </w:rPr>
        <w:t>, being France and so the geographical scope has been satisfied. In assessing the COMI however, we need to ensure that the COMI of the debtor has not altered in any recent time.</w:t>
      </w:r>
      <w:r w:rsidR="00447118">
        <w:rPr>
          <w:rStyle w:val="FootnoteReference"/>
          <w:rFonts w:ascii="Arial" w:hAnsi="Arial" w:cs="Arial"/>
          <w:color w:val="7B7B7B" w:themeColor="accent3" w:themeShade="BF"/>
          <w:sz w:val="22"/>
          <w:szCs w:val="22"/>
          <w:lang w:val="en-GB"/>
        </w:rPr>
        <w:footnoteReference w:id="13"/>
      </w:r>
      <w:r w:rsidR="00447118">
        <w:rPr>
          <w:rFonts w:ascii="Arial" w:hAnsi="Arial" w:cs="Arial"/>
          <w:color w:val="7B7B7B" w:themeColor="accent3" w:themeShade="BF"/>
          <w:sz w:val="22"/>
          <w:szCs w:val="22"/>
          <w:lang w:val="en-GB"/>
        </w:rPr>
        <w:t xml:space="preserve"> Given that the registered office is still </w:t>
      </w:r>
      <w:r w:rsidR="00277ECC">
        <w:rPr>
          <w:rFonts w:ascii="Arial" w:hAnsi="Arial" w:cs="Arial"/>
          <w:color w:val="7B7B7B" w:themeColor="accent3" w:themeShade="BF"/>
          <w:sz w:val="22"/>
          <w:szCs w:val="22"/>
          <w:lang w:val="en-GB"/>
        </w:rPr>
        <w:t xml:space="preserve">within France, and the Spanish establishment does not alter the COMI, France would have the jurisdiction.  </w:t>
      </w:r>
    </w:p>
    <w:p w14:paraId="1B4E871D" w14:textId="77777777" w:rsidR="00447118" w:rsidRDefault="00447118" w:rsidP="002A37BB">
      <w:pPr>
        <w:autoSpaceDE w:val="0"/>
        <w:autoSpaceDN w:val="0"/>
        <w:adjustRightInd w:val="0"/>
        <w:jc w:val="both"/>
        <w:rPr>
          <w:rFonts w:ascii="Arial" w:hAnsi="Arial" w:cs="Arial"/>
          <w:color w:val="7B7B7B" w:themeColor="accent3" w:themeShade="BF"/>
          <w:sz w:val="22"/>
          <w:szCs w:val="22"/>
          <w:lang w:val="en-GB"/>
        </w:rPr>
      </w:pPr>
    </w:p>
    <w:p w14:paraId="599CA94D" w14:textId="0257A8D5" w:rsidR="00D547A9" w:rsidRDefault="00316F64"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we can confirm that the entity of which the proceedings </w:t>
      </w:r>
      <w:r w:rsidR="00D547A9">
        <w:rPr>
          <w:rFonts w:ascii="Arial" w:hAnsi="Arial" w:cs="Arial"/>
          <w:color w:val="7B7B7B" w:themeColor="accent3" w:themeShade="BF"/>
          <w:sz w:val="22"/>
          <w:szCs w:val="22"/>
          <w:lang w:val="en-GB"/>
        </w:rPr>
        <w:t xml:space="preserve">concerns </w:t>
      </w:r>
      <w:r>
        <w:rPr>
          <w:rFonts w:ascii="Arial" w:hAnsi="Arial" w:cs="Arial"/>
          <w:color w:val="7B7B7B" w:themeColor="accent3" w:themeShade="BF"/>
          <w:sz w:val="22"/>
          <w:szCs w:val="22"/>
          <w:lang w:val="en-GB"/>
        </w:rPr>
        <w:t xml:space="preserve">is not an excluded undertaking as set out in the </w:t>
      </w:r>
      <w:r w:rsidR="00D547A9">
        <w:rPr>
          <w:rFonts w:ascii="Arial" w:hAnsi="Arial" w:cs="Arial"/>
          <w:color w:val="7B7B7B" w:themeColor="accent3" w:themeShade="BF"/>
          <w:sz w:val="22"/>
          <w:szCs w:val="22"/>
          <w:lang w:val="en-GB"/>
        </w:rPr>
        <w:t>EIR Recast</w:t>
      </w:r>
      <w:r w:rsidR="00447118">
        <w:rPr>
          <w:rFonts w:ascii="Arial" w:hAnsi="Arial" w:cs="Arial"/>
          <w:color w:val="7B7B7B" w:themeColor="accent3" w:themeShade="BF"/>
          <w:sz w:val="22"/>
          <w:szCs w:val="22"/>
          <w:lang w:val="en-GB"/>
        </w:rPr>
        <w:t xml:space="preserve">, as the entity is not a bank nor any other entity as set out in article 1(2).  Thirdly, the insolvency procedure has to be listed in Annex A of the EIR Recast. The proceedings are </w:t>
      </w:r>
      <w:r w:rsidR="00447118">
        <w:rPr>
          <w:rFonts w:ascii="Arial" w:hAnsi="Arial" w:cs="Arial"/>
          <w:i/>
          <w:iCs/>
          <w:color w:val="7B7B7B" w:themeColor="accent3" w:themeShade="BF"/>
          <w:sz w:val="22"/>
          <w:szCs w:val="22"/>
          <w:lang w:val="en-GB"/>
        </w:rPr>
        <w:t>procedure de sauvegarde</w:t>
      </w:r>
      <w:r w:rsidR="00447118">
        <w:rPr>
          <w:rFonts w:ascii="Arial" w:hAnsi="Arial" w:cs="Arial"/>
          <w:color w:val="7B7B7B" w:themeColor="accent3" w:themeShade="BF"/>
          <w:sz w:val="22"/>
          <w:szCs w:val="22"/>
          <w:lang w:val="en-GB"/>
        </w:rPr>
        <w:t xml:space="preserve">, which is listed as the first available proceedings in France.  Finally, the temporal scope must be satisfied, meaning that the proceeding must have been opened after the date on which the EIR Recast entered into force, being 26 June 2017. These proceedings were opened after the entry of the EIR Recast.  </w:t>
      </w:r>
    </w:p>
    <w:p w14:paraId="6EAB2468" w14:textId="36A094B4" w:rsidR="00447118" w:rsidRDefault="00447118" w:rsidP="002A37BB">
      <w:pPr>
        <w:autoSpaceDE w:val="0"/>
        <w:autoSpaceDN w:val="0"/>
        <w:adjustRightInd w:val="0"/>
        <w:jc w:val="both"/>
        <w:rPr>
          <w:rFonts w:ascii="Arial" w:hAnsi="Arial" w:cs="Arial"/>
          <w:color w:val="7B7B7B" w:themeColor="accent3" w:themeShade="BF"/>
          <w:sz w:val="22"/>
          <w:szCs w:val="22"/>
          <w:lang w:val="en-GB"/>
        </w:rPr>
      </w:pPr>
    </w:p>
    <w:p w14:paraId="49759F06" w14:textId="71CCBA61" w:rsidR="00447118" w:rsidRDefault="00447118"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above basis, these proceedings would fall within the operation of the EIR Recast.  </w:t>
      </w:r>
    </w:p>
    <w:p w14:paraId="21E7A489" w14:textId="66F29E5A" w:rsidR="00316F64" w:rsidRDefault="00316F64" w:rsidP="002A37BB">
      <w:pPr>
        <w:autoSpaceDE w:val="0"/>
        <w:autoSpaceDN w:val="0"/>
        <w:adjustRightInd w:val="0"/>
        <w:jc w:val="both"/>
        <w:rPr>
          <w:rFonts w:ascii="Arial" w:hAnsi="Arial" w:cs="Arial"/>
          <w:color w:val="7B7B7B" w:themeColor="accent3" w:themeShade="BF"/>
          <w:sz w:val="22"/>
          <w:szCs w:val="22"/>
          <w:lang w:val="en-GB"/>
        </w:rPr>
      </w:pPr>
    </w:p>
    <w:p w14:paraId="04B1C3F5" w14:textId="576F49E5" w:rsidR="00277ECC" w:rsidRDefault="00277EC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Effectively, the EIR Recast applies as follows: </w:t>
      </w:r>
    </w:p>
    <w:p w14:paraId="3A04AC9E" w14:textId="77777777" w:rsidR="00277ECC" w:rsidRDefault="00277ECC" w:rsidP="002A37BB">
      <w:pPr>
        <w:autoSpaceDE w:val="0"/>
        <w:autoSpaceDN w:val="0"/>
        <w:adjustRightInd w:val="0"/>
        <w:jc w:val="both"/>
        <w:rPr>
          <w:rFonts w:ascii="Arial" w:hAnsi="Arial" w:cs="Arial"/>
          <w:color w:val="7B7B7B" w:themeColor="accent3" w:themeShade="BF"/>
          <w:sz w:val="22"/>
          <w:szCs w:val="22"/>
          <w:lang w:val="en-GB"/>
        </w:rPr>
      </w:pPr>
    </w:p>
    <w:p w14:paraId="64403129" w14:textId="29691241" w:rsidR="00316F64" w:rsidRPr="00277ECC" w:rsidRDefault="00316F64" w:rsidP="00277ECC">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sidRPr="00277ECC">
        <w:rPr>
          <w:rFonts w:ascii="Arial" w:hAnsi="Arial" w:cs="Arial"/>
          <w:color w:val="7B7B7B" w:themeColor="accent3" w:themeShade="BF"/>
          <w:sz w:val="22"/>
          <w:szCs w:val="22"/>
          <w:lang w:val="en-GB"/>
        </w:rPr>
        <w:t xml:space="preserve">The debtor has COMI in Member State of the EU (excluding Denmark) – Yes. </w:t>
      </w:r>
    </w:p>
    <w:p w14:paraId="2465D120" w14:textId="2F6596D1" w:rsidR="00316F64" w:rsidRPr="00277ECC" w:rsidRDefault="00316F64" w:rsidP="00277ECC">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sidRPr="00277ECC">
        <w:rPr>
          <w:rFonts w:ascii="Arial" w:hAnsi="Arial" w:cs="Arial"/>
          <w:color w:val="7B7B7B" w:themeColor="accent3" w:themeShade="BF"/>
          <w:sz w:val="22"/>
          <w:szCs w:val="22"/>
          <w:lang w:val="en-GB"/>
        </w:rPr>
        <w:t>The debtor is not a bank, insurance company or another excluded undertaking – Yes</w:t>
      </w:r>
    </w:p>
    <w:p w14:paraId="1E27772B" w14:textId="4DB6210A" w:rsidR="00316F64" w:rsidRPr="00277ECC" w:rsidRDefault="00316F64" w:rsidP="00277ECC">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sidRPr="00277ECC">
        <w:rPr>
          <w:rFonts w:ascii="Arial" w:hAnsi="Arial" w:cs="Arial"/>
          <w:color w:val="7B7B7B" w:themeColor="accent3" w:themeShade="BF"/>
          <w:sz w:val="22"/>
          <w:szCs w:val="22"/>
          <w:lang w:val="en-GB"/>
        </w:rPr>
        <w:t>The proceeding opened against the debtor is listed in Annex A to the EIR Recast – yes</w:t>
      </w:r>
    </w:p>
    <w:p w14:paraId="57B2376F" w14:textId="535BFE6E" w:rsidR="00316F64" w:rsidRPr="00277ECC" w:rsidRDefault="00316F64" w:rsidP="00277ECC">
      <w:pPr>
        <w:pStyle w:val="ListParagraph"/>
        <w:numPr>
          <w:ilvl w:val="0"/>
          <w:numId w:val="13"/>
        </w:numPr>
        <w:autoSpaceDE w:val="0"/>
        <w:autoSpaceDN w:val="0"/>
        <w:adjustRightInd w:val="0"/>
        <w:jc w:val="both"/>
        <w:rPr>
          <w:rFonts w:ascii="Arial" w:hAnsi="Arial" w:cs="Arial"/>
          <w:color w:val="7B7B7B" w:themeColor="accent3" w:themeShade="BF"/>
          <w:sz w:val="22"/>
          <w:szCs w:val="22"/>
          <w:lang w:val="en-GB"/>
        </w:rPr>
      </w:pPr>
      <w:r w:rsidRPr="00277ECC">
        <w:rPr>
          <w:rFonts w:ascii="Arial" w:hAnsi="Arial" w:cs="Arial"/>
          <w:color w:val="7B7B7B" w:themeColor="accent3" w:themeShade="BF"/>
          <w:sz w:val="22"/>
          <w:szCs w:val="22"/>
          <w:lang w:val="en-GB"/>
        </w:rPr>
        <w:t xml:space="preserve">The proceeding has been opened after 26 June 2017 – Yes.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4671ACC1" w:rsidR="0077498C" w:rsidRDefault="00277EC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allows for secondary insolvency proceedings to be opened in jurisdictions where the debtor possesses an establishment.</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w:t>
      </w:r>
    </w:p>
    <w:p w14:paraId="11FD452D" w14:textId="3C5399C1" w:rsidR="00277ECC" w:rsidRDefault="00277ECC" w:rsidP="002A37BB">
      <w:pPr>
        <w:jc w:val="both"/>
        <w:rPr>
          <w:rFonts w:ascii="Arial" w:hAnsi="Arial" w:cs="Arial"/>
          <w:color w:val="7B7B7B" w:themeColor="accent3" w:themeShade="BF"/>
          <w:sz w:val="22"/>
          <w:szCs w:val="22"/>
          <w:lang w:val="en-GB"/>
        </w:rPr>
      </w:pPr>
    </w:p>
    <w:p w14:paraId="6E3E42BF" w14:textId="1AAAEB70" w:rsidR="00277ECC" w:rsidRDefault="00277EC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form of establishment is crucial to the opening of these secondary proceedings.  As set out in Article 2(10) of the EIR Recast, an establishment means any place of operations where a debtor carries </w:t>
      </w:r>
      <w:r w:rsidR="00F35F62">
        <w:rPr>
          <w:rFonts w:ascii="Arial" w:hAnsi="Arial" w:cs="Arial"/>
          <w:color w:val="7B7B7B" w:themeColor="accent3" w:themeShade="BF"/>
          <w:sz w:val="22"/>
          <w:szCs w:val="22"/>
          <w:lang w:val="en-GB"/>
        </w:rPr>
        <w:t>out or</w:t>
      </w:r>
      <w:r>
        <w:rPr>
          <w:rFonts w:ascii="Arial" w:hAnsi="Arial" w:cs="Arial"/>
          <w:color w:val="7B7B7B" w:themeColor="accent3" w:themeShade="BF"/>
          <w:sz w:val="22"/>
          <w:szCs w:val="22"/>
          <w:lang w:val="en-GB"/>
        </w:rPr>
        <w:t xml:space="preserve"> has carried out in the 3 months prior to the request to open main insolvency proceedings a non-transitory economic activity with human means and assets.  Effectively this requires humans to carry out the ‘economic activity’, that is the business of the debtor.  </w:t>
      </w:r>
    </w:p>
    <w:p w14:paraId="620CF062" w14:textId="256EB911" w:rsidR="00277ECC" w:rsidRDefault="00277ECC" w:rsidP="002A37BB">
      <w:pPr>
        <w:jc w:val="both"/>
        <w:rPr>
          <w:rFonts w:ascii="Arial" w:hAnsi="Arial" w:cs="Arial"/>
          <w:color w:val="7B7B7B" w:themeColor="accent3" w:themeShade="BF"/>
          <w:sz w:val="22"/>
          <w:szCs w:val="22"/>
          <w:lang w:val="en-GB"/>
        </w:rPr>
      </w:pPr>
    </w:p>
    <w:p w14:paraId="782A2554" w14:textId="782BC63E" w:rsidR="00F35F62" w:rsidRDefault="00277EC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Here, the only links to Spain for the debtor </w:t>
      </w:r>
      <w:r w:rsidR="00F35F62">
        <w:rPr>
          <w:rFonts w:ascii="Arial" w:hAnsi="Arial" w:cs="Arial"/>
          <w:color w:val="7B7B7B" w:themeColor="accent3" w:themeShade="BF"/>
          <w:sz w:val="22"/>
          <w:szCs w:val="22"/>
          <w:lang w:val="en-GB"/>
        </w:rPr>
        <w:t>are the warehouse that is leased to other toy companies; a</w:t>
      </w:r>
      <w:r>
        <w:rPr>
          <w:rFonts w:ascii="Arial" w:hAnsi="Arial" w:cs="Arial"/>
          <w:color w:val="7B7B7B" w:themeColor="accent3" w:themeShade="BF"/>
          <w:sz w:val="22"/>
          <w:szCs w:val="22"/>
          <w:lang w:val="en-GB"/>
        </w:rPr>
        <w:t xml:space="preserve"> </w:t>
      </w:r>
      <w:r w:rsidR="00F35F62">
        <w:rPr>
          <w:rFonts w:ascii="Arial" w:hAnsi="Arial" w:cs="Arial"/>
          <w:color w:val="7B7B7B" w:themeColor="accent3" w:themeShade="BF"/>
          <w:sz w:val="22"/>
          <w:szCs w:val="22"/>
          <w:lang w:val="en-GB"/>
        </w:rPr>
        <w:t xml:space="preserve">bank account and </w:t>
      </w:r>
      <w:r>
        <w:rPr>
          <w:rFonts w:ascii="Arial" w:hAnsi="Arial" w:cs="Arial"/>
          <w:color w:val="7B7B7B" w:themeColor="accent3" w:themeShade="BF"/>
          <w:sz w:val="22"/>
          <w:szCs w:val="22"/>
          <w:lang w:val="en-GB"/>
        </w:rPr>
        <w:t>line of credit extended by the Spanish bank and to have signed some non-binding memoranda regarding</w:t>
      </w:r>
      <w:r w:rsidR="00F35F62">
        <w:rPr>
          <w:rFonts w:ascii="Arial" w:hAnsi="Arial" w:cs="Arial"/>
          <w:color w:val="7B7B7B" w:themeColor="accent3" w:themeShade="BF"/>
          <w:sz w:val="22"/>
          <w:szCs w:val="22"/>
          <w:lang w:val="en-GB"/>
        </w:rPr>
        <w:t xml:space="preserve"> local distributors.  These factors are prima facie unlikely to satisfy the criteria for a non-transitory economic activity by human means.</w:t>
      </w:r>
    </w:p>
    <w:p w14:paraId="1A61EEF7" w14:textId="3A193406" w:rsidR="00F35F62" w:rsidRDefault="00F35F62" w:rsidP="002A37BB">
      <w:pPr>
        <w:jc w:val="both"/>
        <w:rPr>
          <w:rFonts w:ascii="Arial" w:hAnsi="Arial" w:cs="Arial"/>
          <w:color w:val="7B7B7B" w:themeColor="accent3" w:themeShade="BF"/>
          <w:sz w:val="22"/>
          <w:szCs w:val="22"/>
          <w:lang w:val="en-GB"/>
        </w:rPr>
      </w:pPr>
    </w:p>
    <w:p w14:paraId="73EDB027" w14:textId="41C72C45" w:rsidR="00F35F62" w:rsidRDefault="00F35F6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Further, and in terms of jurisprudence, the CJEU has examined this issue and found that the existence of bank accounts does not satisfy the definition for an establishment.</w:t>
      </w:r>
      <w:r>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w:t>
      </w:r>
    </w:p>
    <w:p w14:paraId="67277C05" w14:textId="70CDB2B1" w:rsidR="00F35F62" w:rsidRDefault="00F35F62" w:rsidP="002A37BB">
      <w:pPr>
        <w:jc w:val="both"/>
        <w:rPr>
          <w:rFonts w:ascii="Arial" w:hAnsi="Arial" w:cs="Arial"/>
          <w:color w:val="7B7B7B" w:themeColor="accent3" w:themeShade="BF"/>
          <w:sz w:val="22"/>
          <w:szCs w:val="22"/>
          <w:lang w:val="en-GB"/>
        </w:rPr>
      </w:pPr>
    </w:p>
    <w:p w14:paraId="1E4D1934" w14:textId="424B478D" w:rsidR="00F35F62" w:rsidRPr="008500BD" w:rsidRDefault="00F35F62"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On this basis, the Spanish elements of the business does not satisfy the criteria for an establishment, and as such does not provide for proceedings to be opened in Spain under the EIR Recast.  </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60F1" w14:textId="77777777" w:rsidR="00267C1A" w:rsidRDefault="00267C1A" w:rsidP="00241B44">
      <w:r>
        <w:separator/>
      </w:r>
    </w:p>
  </w:endnote>
  <w:endnote w:type="continuationSeparator" w:id="0">
    <w:p w14:paraId="29663081" w14:textId="77777777" w:rsidR="00267C1A" w:rsidRDefault="00267C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64854D6" w:rsidR="00241FA3" w:rsidRPr="009B4976" w:rsidRDefault="006619E6" w:rsidP="009B4976">
    <w:pPr>
      <w:pStyle w:val="Footer"/>
      <w:ind w:right="360"/>
      <w:rPr>
        <w:rFonts w:ascii="Arial" w:hAnsi="Arial" w:cs="Arial"/>
        <w:sz w:val="18"/>
        <w:szCs w:val="18"/>
        <w:lang w:val="en-GB"/>
      </w:rPr>
    </w:pPr>
    <w:r w:rsidRPr="006619E6">
      <w:rPr>
        <w:rFonts w:ascii="Arial" w:hAnsi="Arial" w:cs="Arial"/>
        <w:sz w:val="18"/>
        <w:szCs w:val="18"/>
        <w:lang w:val="en-AU"/>
      </w:rPr>
      <w:t>202021IFU-369</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6E82" w14:textId="77777777" w:rsidR="00267C1A" w:rsidRDefault="00267C1A" w:rsidP="00241B44">
      <w:r>
        <w:separator/>
      </w:r>
    </w:p>
  </w:footnote>
  <w:footnote w:type="continuationSeparator" w:id="0">
    <w:p w14:paraId="385B81D6" w14:textId="77777777" w:rsidR="00267C1A" w:rsidRDefault="00267C1A" w:rsidP="00241B44">
      <w:r>
        <w:continuationSeparator/>
      </w:r>
    </w:p>
  </w:footnote>
  <w:footnote w:id="1">
    <w:p w14:paraId="2C6EA153" w14:textId="79DB54FC" w:rsidR="009A1409" w:rsidRPr="009A1409" w:rsidRDefault="009A1409">
      <w:pPr>
        <w:pStyle w:val="FootnoteText"/>
        <w:rPr>
          <w:lang w:val="en-AU"/>
        </w:rPr>
      </w:pPr>
      <w:r>
        <w:rPr>
          <w:rStyle w:val="FootnoteReference"/>
        </w:rPr>
        <w:footnoteRef/>
      </w:r>
      <w:r>
        <w:t xml:space="preserve"> B Hess, P Oberhammer &amp; T Pfeiffer, European Insolvency Law, The Heidelberg – Luxembourg – Vienna Report, CH Beck, Hart and Nomos 2014.</w:t>
      </w:r>
    </w:p>
  </w:footnote>
  <w:footnote w:id="2">
    <w:p w14:paraId="1AE9293C" w14:textId="0EB72DD5" w:rsidR="009A1409" w:rsidRPr="009A1409" w:rsidRDefault="009A1409">
      <w:pPr>
        <w:pStyle w:val="FootnoteText"/>
        <w:rPr>
          <w:lang w:val="en-AU"/>
        </w:rPr>
      </w:pPr>
      <w:r>
        <w:rPr>
          <w:rStyle w:val="FootnoteReference"/>
        </w:rPr>
        <w:footnoteRef/>
      </w:r>
      <w:r>
        <w:t xml:space="preserve"> </w:t>
      </w:r>
      <w:r>
        <w:rPr>
          <w:lang w:val="en-AU"/>
        </w:rPr>
        <w:t xml:space="preserve">Ibid page 10, 2.2.1 ‘Main Issues’. </w:t>
      </w:r>
    </w:p>
  </w:footnote>
  <w:footnote w:id="3">
    <w:p w14:paraId="464DEE01" w14:textId="2F38D7C0" w:rsidR="00AD4B8D" w:rsidRPr="00AD4B8D" w:rsidRDefault="00AD4B8D">
      <w:pPr>
        <w:pStyle w:val="FootnoteText"/>
        <w:rPr>
          <w:lang w:val="en-AU"/>
        </w:rPr>
      </w:pPr>
      <w:r>
        <w:rPr>
          <w:rStyle w:val="FootnoteReference"/>
        </w:rPr>
        <w:footnoteRef/>
      </w:r>
      <w:r>
        <w:t xml:space="preserve"> </w:t>
      </w:r>
      <w:r>
        <w:rPr>
          <w:lang w:val="en-AU"/>
        </w:rPr>
        <w:t>Proposal for a Regulation of the European Parliament and of the Council amending Council Regulation (</w:t>
      </w:r>
      <w:r w:rsidR="00F35F62">
        <w:rPr>
          <w:lang w:val="en-AU"/>
        </w:rPr>
        <w:t>EC) No</w:t>
      </w:r>
      <w:r>
        <w:rPr>
          <w:lang w:val="en-AU"/>
        </w:rPr>
        <w:t xml:space="preserve"> 1346/2000 On Insolvency Proceedings, 12.12.2012, page </w:t>
      </w:r>
      <w:r w:rsidR="00BF0A0A">
        <w:rPr>
          <w:lang w:val="en-AU"/>
        </w:rPr>
        <w:t>2</w:t>
      </w:r>
      <w:r>
        <w:rPr>
          <w:lang w:val="en-AU"/>
        </w:rPr>
        <w:t xml:space="preserve">. </w:t>
      </w:r>
    </w:p>
  </w:footnote>
  <w:footnote w:id="4">
    <w:p w14:paraId="30D952D6" w14:textId="18F7A45D" w:rsidR="00606B73" w:rsidRPr="00606B73" w:rsidRDefault="00606B73">
      <w:pPr>
        <w:pStyle w:val="FootnoteText"/>
        <w:rPr>
          <w:lang w:val="en-AU"/>
        </w:rPr>
      </w:pPr>
      <w:r>
        <w:rPr>
          <w:rStyle w:val="FootnoteReference"/>
        </w:rPr>
        <w:footnoteRef/>
      </w:r>
      <w:r>
        <w:t xml:space="preserve"> </w:t>
      </w:r>
      <w:r w:rsidR="00F35F62">
        <w:rPr>
          <w:lang w:val="en-AU"/>
        </w:rPr>
        <w:t xml:space="preserve">Ibid 2. </w:t>
      </w:r>
    </w:p>
  </w:footnote>
  <w:footnote w:id="5">
    <w:p w14:paraId="3C1FA905" w14:textId="3CCB0217" w:rsidR="00813CF2" w:rsidRPr="00813CF2" w:rsidRDefault="00813CF2">
      <w:pPr>
        <w:pStyle w:val="FootnoteText"/>
        <w:rPr>
          <w:lang w:val="en-AU"/>
        </w:rPr>
      </w:pPr>
      <w:r>
        <w:rPr>
          <w:rStyle w:val="FootnoteReference"/>
        </w:rPr>
        <w:footnoteRef/>
      </w:r>
      <w:r>
        <w:t xml:space="preserve"> </w:t>
      </w:r>
      <w:r>
        <w:rPr>
          <w:lang w:val="en-AU"/>
        </w:rPr>
        <w:t>Ibid</w:t>
      </w:r>
      <w:r w:rsidR="00BF0A0A">
        <w:rPr>
          <w:lang w:val="en-AU"/>
        </w:rPr>
        <w:t>, 3</w:t>
      </w:r>
      <w:r>
        <w:rPr>
          <w:lang w:val="en-AU"/>
        </w:rPr>
        <w:t xml:space="preserve">.  </w:t>
      </w:r>
    </w:p>
  </w:footnote>
  <w:footnote w:id="6">
    <w:p w14:paraId="69D4A220" w14:textId="4FFD0CDF" w:rsidR="00813CF2" w:rsidRPr="00813CF2" w:rsidRDefault="00813CF2">
      <w:pPr>
        <w:pStyle w:val="FootnoteText"/>
        <w:rPr>
          <w:lang w:val="en-AU"/>
        </w:rPr>
      </w:pPr>
      <w:r>
        <w:rPr>
          <w:rStyle w:val="FootnoteReference"/>
        </w:rPr>
        <w:footnoteRef/>
      </w:r>
      <w:r>
        <w:t xml:space="preserve"> </w:t>
      </w:r>
      <w:r>
        <w:rPr>
          <w:lang w:val="en-AU"/>
        </w:rPr>
        <w:t xml:space="preserve">Ibid.  </w:t>
      </w:r>
    </w:p>
  </w:footnote>
  <w:footnote w:id="7">
    <w:p w14:paraId="1067F077" w14:textId="7FECD641" w:rsidR="00BF0A0A" w:rsidRPr="00BF0A0A" w:rsidRDefault="00BF0A0A">
      <w:pPr>
        <w:pStyle w:val="FootnoteText"/>
        <w:rPr>
          <w:lang w:val="en-AU"/>
        </w:rPr>
      </w:pPr>
      <w:r>
        <w:rPr>
          <w:rStyle w:val="FootnoteReference"/>
        </w:rPr>
        <w:footnoteRef/>
      </w:r>
      <w:r>
        <w:t xml:space="preserve"> </w:t>
      </w:r>
      <w:r>
        <w:rPr>
          <w:lang w:val="en-AU"/>
        </w:rPr>
        <w:t xml:space="preserve">Ibid.  </w:t>
      </w:r>
    </w:p>
  </w:footnote>
  <w:footnote w:id="8">
    <w:p w14:paraId="5CCB569E" w14:textId="4A089116" w:rsidR="00BF0A0A" w:rsidRPr="00BF0A0A" w:rsidRDefault="00BF0A0A">
      <w:pPr>
        <w:pStyle w:val="FootnoteText"/>
        <w:rPr>
          <w:lang w:val="en-AU"/>
        </w:rPr>
      </w:pPr>
      <w:r>
        <w:rPr>
          <w:rStyle w:val="FootnoteReference"/>
        </w:rPr>
        <w:footnoteRef/>
      </w:r>
      <w:r>
        <w:t xml:space="preserve"> </w:t>
      </w:r>
      <w:r>
        <w:rPr>
          <w:lang w:val="en-AU"/>
        </w:rPr>
        <w:t xml:space="preserve">Ibid.  </w:t>
      </w:r>
    </w:p>
  </w:footnote>
  <w:footnote w:id="9">
    <w:p w14:paraId="348D9F16" w14:textId="78EE3E6A" w:rsidR="00F35F62" w:rsidRPr="00F35F62" w:rsidRDefault="00F35F62">
      <w:pPr>
        <w:pStyle w:val="FootnoteText"/>
        <w:rPr>
          <w:lang w:val="en-AU"/>
        </w:rPr>
      </w:pPr>
      <w:r>
        <w:rPr>
          <w:rStyle w:val="FootnoteReference"/>
        </w:rPr>
        <w:footnoteRef/>
      </w:r>
      <w:r>
        <w:t xml:space="preserve"> </w:t>
      </w:r>
      <w:r>
        <w:rPr>
          <w:lang w:val="en-AU"/>
        </w:rPr>
        <w:t xml:space="preserve">EIR Recast, Article 2(13), Articles 56 -77. </w:t>
      </w:r>
    </w:p>
  </w:footnote>
  <w:footnote w:id="10">
    <w:p w14:paraId="5731FDFF" w14:textId="365ABE4A" w:rsidR="00F35F62" w:rsidRPr="00F35F62" w:rsidRDefault="00F35F62">
      <w:pPr>
        <w:pStyle w:val="FootnoteText"/>
        <w:rPr>
          <w:lang w:val="en-AU"/>
        </w:rPr>
      </w:pPr>
      <w:r>
        <w:rPr>
          <w:rStyle w:val="FootnoteReference"/>
        </w:rPr>
        <w:footnoteRef/>
      </w:r>
      <w:r>
        <w:t xml:space="preserve"> </w:t>
      </w:r>
      <w:r>
        <w:rPr>
          <w:lang w:val="en-AU"/>
        </w:rPr>
        <w:t>EIR Recast Article</w:t>
      </w:r>
      <w:r w:rsidR="006B3FF2">
        <w:rPr>
          <w:lang w:val="en-AU"/>
        </w:rPr>
        <w:t>s</w:t>
      </w:r>
      <w:r>
        <w:rPr>
          <w:lang w:val="en-AU"/>
        </w:rPr>
        <w:t xml:space="preserve"> 24</w:t>
      </w:r>
      <w:r w:rsidR="006B3FF2">
        <w:rPr>
          <w:lang w:val="en-AU"/>
        </w:rPr>
        <w:t xml:space="preserve"> – 29. </w:t>
      </w:r>
    </w:p>
  </w:footnote>
  <w:footnote w:id="11">
    <w:p w14:paraId="02011244" w14:textId="6ECDA371" w:rsidR="00BB62DB" w:rsidRPr="00BB62DB" w:rsidRDefault="00BB62DB">
      <w:pPr>
        <w:pStyle w:val="FootnoteText"/>
        <w:rPr>
          <w:lang w:val="en-AU"/>
        </w:rPr>
      </w:pPr>
      <w:r>
        <w:rPr>
          <w:rStyle w:val="FootnoteReference"/>
        </w:rPr>
        <w:footnoteRef/>
      </w:r>
      <w:r>
        <w:t xml:space="preserve"> </w:t>
      </w:r>
      <w:r>
        <w:rPr>
          <w:i/>
          <w:iCs/>
          <w:lang w:val="en-AU"/>
        </w:rPr>
        <w:t xml:space="preserve">Eurofood IFSC Ltd </w:t>
      </w:r>
      <w:r w:rsidRPr="00BB62DB">
        <w:rPr>
          <w:lang w:val="en-AU"/>
        </w:rPr>
        <w:t>C</w:t>
      </w:r>
      <w:r>
        <w:rPr>
          <w:lang w:val="en-AU"/>
        </w:rPr>
        <w:t xml:space="preserve">ase C-341/04, ECLI:EU:C:2006:281 (May 2, 2006), p33.  </w:t>
      </w:r>
    </w:p>
  </w:footnote>
  <w:footnote w:id="12">
    <w:p w14:paraId="28155CE2" w14:textId="05754987" w:rsidR="00447118" w:rsidRPr="00447118" w:rsidRDefault="00447118">
      <w:pPr>
        <w:pStyle w:val="FootnoteText"/>
        <w:rPr>
          <w:lang w:val="en-AU"/>
        </w:rPr>
      </w:pPr>
      <w:r>
        <w:rPr>
          <w:rStyle w:val="FootnoteReference"/>
        </w:rPr>
        <w:footnoteRef/>
      </w:r>
      <w:r>
        <w:t xml:space="preserve"> </w:t>
      </w:r>
      <w:r>
        <w:rPr>
          <w:lang w:val="en-AU"/>
        </w:rPr>
        <w:t xml:space="preserve">EIR Recast article 1(1). </w:t>
      </w:r>
    </w:p>
  </w:footnote>
  <w:footnote w:id="13">
    <w:p w14:paraId="28B596A2" w14:textId="4802DC25" w:rsidR="00447118" w:rsidRPr="00447118" w:rsidRDefault="00447118">
      <w:pPr>
        <w:pStyle w:val="FootnoteText"/>
        <w:rPr>
          <w:lang w:val="en-AU"/>
        </w:rPr>
      </w:pPr>
      <w:r>
        <w:rPr>
          <w:rStyle w:val="FootnoteReference"/>
        </w:rPr>
        <w:footnoteRef/>
      </w:r>
      <w:r>
        <w:t xml:space="preserve"> </w:t>
      </w:r>
      <w:r w:rsidR="00277ECC">
        <w:rPr>
          <w:lang w:val="en-AU"/>
        </w:rPr>
        <w:t xml:space="preserve">EIR Recast article 3(1). </w:t>
      </w:r>
    </w:p>
  </w:footnote>
  <w:footnote w:id="14">
    <w:p w14:paraId="5F155DA0" w14:textId="15D39710" w:rsidR="00277ECC" w:rsidRPr="00277ECC" w:rsidRDefault="00277ECC">
      <w:pPr>
        <w:pStyle w:val="FootnoteText"/>
        <w:rPr>
          <w:lang w:val="en-AU"/>
        </w:rPr>
      </w:pPr>
      <w:r>
        <w:rPr>
          <w:rStyle w:val="FootnoteReference"/>
        </w:rPr>
        <w:footnoteRef/>
      </w:r>
      <w:r>
        <w:t xml:space="preserve"> </w:t>
      </w:r>
      <w:r>
        <w:rPr>
          <w:lang w:val="en-AU"/>
        </w:rPr>
        <w:t xml:space="preserve">EIR Recast Article 3(2).  </w:t>
      </w:r>
    </w:p>
  </w:footnote>
  <w:footnote w:id="15">
    <w:p w14:paraId="4650BDF2" w14:textId="095BF171" w:rsidR="00F35F62" w:rsidRPr="00F35F62" w:rsidRDefault="00F35F62">
      <w:pPr>
        <w:pStyle w:val="FootnoteText"/>
        <w:rPr>
          <w:i/>
          <w:iCs/>
          <w:lang w:val="en-AU"/>
        </w:rPr>
      </w:pPr>
      <w:r>
        <w:rPr>
          <w:rStyle w:val="FootnoteReference"/>
        </w:rPr>
        <w:footnoteRef/>
      </w:r>
      <w:r>
        <w:t xml:space="preserve"> </w:t>
      </w:r>
      <w:r>
        <w:rPr>
          <w:i/>
          <w:iCs/>
          <w:lang w:val="en-AU"/>
        </w:rPr>
        <w:t>Interedil Srl v Fallimento Interedil Srl</w:t>
      </w:r>
      <w:r>
        <w:rPr>
          <w:lang w:val="en-AU"/>
        </w:rPr>
        <w:t xml:space="preserve">, Case C-396/09, ECLI:EU:C:2011:671 (Oct 20 2011), [62]. </w:t>
      </w:r>
      <w:r>
        <w:rPr>
          <w:i/>
          <w:iCs/>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674325B"/>
    <w:multiLevelType w:val="multilevel"/>
    <w:tmpl w:val="1998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3C286E"/>
    <w:multiLevelType w:val="hybridMultilevel"/>
    <w:tmpl w:val="95EE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10"/>
  </w:num>
  <w:num w:numId="3">
    <w:abstractNumId w:val="3"/>
  </w:num>
  <w:num w:numId="4">
    <w:abstractNumId w:val="12"/>
  </w:num>
  <w:num w:numId="5">
    <w:abstractNumId w:val="9"/>
  </w:num>
  <w:num w:numId="6">
    <w:abstractNumId w:val="11"/>
  </w:num>
  <w:num w:numId="7">
    <w:abstractNumId w:val="0"/>
  </w:num>
  <w:num w:numId="8">
    <w:abstractNumId w:val="7"/>
  </w:num>
  <w:num w:numId="9">
    <w:abstractNumId w:val="6"/>
  </w:num>
  <w:num w:numId="10">
    <w:abstractNumId w:val="2"/>
  </w:num>
  <w:num w:numId="11">
    <w:abstractNumId w:val="8"/>
  </w:num>
  <w:num w:numId="12">
    <w:abstractNumId w:val="4"/>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25D7"/>
    <w:rsid w:val="0001344B"/>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C85"/>
    <w:rsid w:val="00123855"/>
    <w:rsid w:val="00126A4D"/>
    <w:rsid w:val="0014171F"/>
    <w:rsid w:val="0014622C"/>
    <w:rsid w:val="00152348"/>
    <w:rsid w:val="0015456D"/>
    <w:rsid w:val="00155FA2"/>
    <w:rsid w:val="00161F1B"/>
    <w:rsid w:val="00162829"/>
    <w:rsid w:val="0017295A"/>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67C1A"/>
    <w:rsid w:val="0027299F"/>
    <w:rsid w:val="00277ECC"/>
    <w:rsid w:val="00283711"/>
    <w:rsid w:val="00284EBE"/>
    <w:rsid w:val="0029433F"/>
    <w:rsid w:val="00294829"/>
    <w:rsid w:val="00295925"/>
    <w:rsid w:val="0029690F"/>
    <w:rsid w:val="002977E2"/>
    <w:rsid w:val="00297C8A"/>
    <w:rsid w:val="002A2A60"/>
    <w:rsid w:val="002A37BB"/>
    <w:rsid w:val="002B1C45"/>
    <w:rsid w:val="002C13C8"/>
    <w:rsid w:val="002C3547"/>
    <w:rsid w:val="002D0021"/>
    <w:rsid w:val="002D3473"/>
    <w:rsid w:val="002D70B3"/>
    <w:rsid w:val="002F1956"/>
    <w:rsid w:val="002F24E4"/>
    <w:rsid w:val="002F3440"/>
    <w:rsid w:val="002F75A3"/>
    <w:rsid w:val="00303C2F"/>
    <w:rsid w:val="00306A40"/>
    <w:rsid w:val="003144EF"/>
    <w:rsid w:val="00316F64"/>
    <w:rsid w:val="003252C2"/>
    <w:rsid w:val="00326292"/>
    <w:rsid w:val="00326415"/>
    <w:rsid w:val="00330937"/>
    <w:rsid w:val="00330F31"/>
    <w:rsid w:val="00331480"/>
    <w:rsid w:val="00334648"/>
    <w:rsid w:val="0033768C"/>
    <w:rsid w:val="00337938"/>
    <w:rsid w:val="00340769"/>
    <w:rsid w:val="00341AA6"/>
    <w:rsid w:val="00350414"/>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47118"/>
    <w:rsid w:val="004534C2"/>
    <w:rsid w:val="0045446F"/>
    <w:rsid w:val="0045683E"/>
    <w:rsid w:val="00465BFF"/>
    <w:rsid w:val="00471BF3"/>
    <w:rsid w:val="00477C72"/>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5F28"/>
    <w:rsid w:val="004D64F9"/>
    <w:rsid w:val="004E3A6B"/>
    <w:rsid w:val="004E622C"/>
    <w:rsid w:val="004F5FDF"/>
    <w:rsid w:val="00506A33"/>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06B73"/>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19E6"/>
    <w:rsid w:val="006639DB"/>
    <w:rsid w:val="006661EF"/>
    <w:rsid w:val="00677AEB"/>
    <w:rsid w:val="00680EF2"/>
    <w:rsid w:val="00687A1D"/>
    <w:rsid w:val="00697EA1"/>
    <w:rsid w:val="006A2646"/>
    <w:rsid w:val="006A6530"/>
    <w:rsid w:val="006B3FF2"/>
    <w:rsid w:val="006B435A"/>
    <w:rsid w:val="006B4C64"/>
    <w:rsid w:val="006D6BD5"/>
    <w:rsid w:val="006E481A"/>
    <w:rsid w:val="006E5287"/>
    <w:rsid w:val="006E5298"/>
    <w:rsid w:val="006E5A55"/>
    <w:rsid w:val="006F4A78"/>
    <w:rsid w:val="006F734A"/>
    <w:rsid w:val="00700D83"/>
    <w:rsid w:val="00704852"/>
    <w:rsid w:val="007074E9"/>
    <w:rsid w:val="00713DA4"/>
    <w:rsid w:val="00714BF1"/>
    <w:rsid w:val="00721383"/>
    <w:rsid w:val="0073158B"/>
    <w:rsid w:val="007333CC"/>
    <w:rsid w:val="0073399A"/>
    <w:rsid w:val="0075017B"/>
    <w:rsid w:val="007603F5"/>
    <w:rsid w:val="00764DB0"/>
    <w:rsid w:val="0076764D"/>
    <w:rsid w:val="0077498C"/>
    <w:rsid w:val="007809BC"/>
    <w:rsid w:val="00782EE1"/>
    <w:rsid w:val="00784128"/>
    <w:rsid w:val="00793173"/>
    <w:rsid w:val="007A2A33"/>
    <w:rsid w:val="007A7B20"/>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13CF2"/>
    <w:rsid w:val="0082049B"/>
    <w:rsid w:val="0082483F"/>
    <w:rsid w:val="008279C0"/>
    <w:rsid w:val="00841051"/>
    <w:rsid w:val="008500BD"/>
    <w:rsid w:val="00860723"/>
    <w:rsid w:val="008723F3"/>
    <w:rsid w:val="00874240"/>
    <w:rsid w:val="00881DE6"/>
    <w:rsid w:val="008837A6"/>
    <w:rsid w:val="0089145D"/>
    <w:rsid w:val="00894C1D"/>
    <w:rsid w:val="008A0C8F"/>
    <w:rsid w:val="008A4DF2"/>
    <w:rsid w:val="008A6CFE"/>
    <w:rsid w:val="008B5333"/>
    <w:rsid w:val="008B6223"/>
    <w:rsid w:val="008C4AC6"/>
    <w:rsid w:val="008C66E0"/>
    <w:rsid w:val="008E0157"/>
    <w:rsid w:val="008E0EC8"/>
    <w:rsid w:val="008E3339"/>
    <w:rsid w:val="008F20FC"/>
    <w:rsid w:val="008F5FFE"/>
    <w:rsid w:val="00905A43"/>
    <w:rsid w:val="00912C79"/>
    <w:rsid w:val="00914A23"/>
    <w:rsid w:val="00942123"/>
    <w:rsid w:val="0095207B"/>
    <w:rsid w:val="00962045"/>
    <w:rsid w:val="00967219"/>
    <w:rsid w:val="00980E61"/>
    <w:rsid w:val="00991428"/>
    <w:rsid w:val="00992676"/>
    <w:rsid w:val="009954B2"/>
    <w:rsid w:val="00996691"/>
    <w:rsid w:val="009A1409"/>
    <w:rsid w:val="009A55B9"/>
    <w:rsid w:val="009A7DCD"/>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A047EE"/>
    <w:rsid w:val="00A11E80"/>
    <w:rsid w:val="00A17858"/>
    <w:rsid w:val="00A2274A"/>
    <w:rsid w:val="00A235B7"/>
    <w:rsid w:val="00A26B66"/>
    <w:rsid w:val="00A27A7A"/>
    <w:rsid w:val="00A407EF"/>
    <w:rsid w:val="00A46B4C"/>
    <w:rsid w:val="00A5117B"/>
    <w:rsid w:val="00A54CB5"/>
    <w:rsid w:val="00A60074"/>
    <w:rsid w:val="00A62FDA"/>
    <w:rsid w:val="00A6627C"/>
    <w:rsid w:val="00A71019"/>
    <w:rsid w:val="00A81029"/>
    <w:rsid w:val="00A96489"/>
    <w:rsid w:val="00A97A98"/>
    <w:rsid w:val="00AB685C"/>
    <w:rsid w:val="00AB6C2D"/>
    <w:rsid w:val="00AC08F7"/>
    <w:rsid w:val="00AC3839"/>
    <w:rsid w:val="00AC7082"/>
    <w:rsid w:val="00AD2931"/>
    <w:rsid w:val="00AD4B8D"/>
    <w:rsid w:val="00AD513F"/>
    <w:rsid w:val="00AE2316"/>
    <w:rsid w:val="00AE74BA"/>
    <w:rsid w:val="00AF228E"/>
    <w:rsid w:val="00B016A8"/>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2E26"/>
    <w:rsid w:val="00B96CE3"/>
    <w:rsid w:val="00BA2291"/>
    <w:rsid w:val="00BB0F2B"/>
    <w:rsid w:val="00BB38D1"/>
    <w:rsid w:val="00BB62DB"/>
    <w:rsid w:val="00BE4FF3"/>
    <w:rsid w:val="00BF0A0A"/>
    <w:rsid w:val="00BF50F7"/>
    <w:rsid w:val="00BF6DEB"/>
    <w:rsid w:val="00C02F29"/>
    <w:rsid w:val="00C20AFE"/>
    <w:rsid w:val="00C22A25"/>
    <w:rsid w:val="00C257B1"/>
    <w:rsid w:val="00C35671"/>
    <w:rsid w:val="00C35B77"/>
    <w:rsid w:val="00C376EB"/>
    <w:rsid w:val="00C46A92"/>
    <w:rsid w:val="00C46EC1"/>
    <w:rsid w:val="00C52796"/>
    <w:rsid w:val="00C53E2C"/>
    <w:rsid w:val="00C550C8"/>
    <w:rsid w:val="00C56B61"/>
    <w:rsid w:val="00C606C3"/>
    <w:rsid w:val="00C620F4"/>
    <w:rsid w:val="00C63E03"/>
    <w:rsid w:val="00C679E2"/>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47A9"/>
    <w:rsid w:val="00D56B4E"/>
    <w:rsid w:val="00D608A4"/>
    <w:rsid w:val="00D60E46"/>
    <w:rsid w:val="00D63EFD"/>
    <w:rsid w:val="00D651FD"/>
    <w:rsid w:val="00D736E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B0A"/>
    <w:rsid w:val="00DD2E11"/>
    <w:rsid w:val="00DD47EF"/>
    <w:rsid w:val="00DE03AF"/>
    <w:rsid w:val="00DE121C"/>
    <w:rsid w:val="00DE6633"/>
    <w:rsid w:val="00DF0864"/>
    <w:rsid w:val="00DF6AC9"/>
    <w:rsid w:val="00DF75F8"/>
    <w:rsid w:val="00DF7A3A"/>
    <w:rsid w:val="00E00C0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87CE5"/>
    <w:rsid w:val="00E90991"/>
    <w:rsid w:val="00E909F0"/>
    <w:rsid w:val="00E90D47"/>
    <w:rsid w:val="00E93993"/>
    <w:rsid w:val="00E9597C"/>
    <w:rsid w:val="00EA0913"/>
    <w:rsid w:val="00EA5B00"/>
    <w:rsid w:val="00EB146B"/>
    <w:rsid w:val="00EB2A09"/>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35F62"/>
    <w:rsid w:val="00F5524B"/>
    <w:rsid w:val="00F60538"/>
    <w:rsid w:val="00F61DD2"/>
    <w:rsid w:val="00F66AFF"/>
    <w:rsid w:val="00F71433"/>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0874447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85098086">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8940931">
      <w:bodyDiv w:val="1"/>
      <w:marLeft w:val="0"/>
      <w:marRight w:val="0"/>
      <w:marTop w:val="0"/>
      <w:marBottom w:val="0"/>
      <w:divBdr>
        <w:top w:val="none" w:sz="0" w:space="0" w:color="auto"/>
        <w:left w:val="none" w:sz="0" w:space="0" w:color="auto"/>
        <w:bottom w:val="none" w:sz="0" w:space="0" w:color="auto"/>
        <w:right w:val="none" w:sz="0" w:space="0" w:color="auto"/>
      </w:divBdr>
      <w:divsChild>
        <w:div w:id="451366921">
          <w:marLeft w:val="0"/>
          <w:marRight w:val="0"/>
          <w:marTop w:val="0"/>
          <w:marBottom w:val="0"/>
          <w:divBdr>
            <w:top w:val="none" w:sz="0" w:space="0" w:color="auto"/>
            <w:left w:val="none" w:sz="0" w:space="0" w:color="auto"/>
            <w:bottom w:val="none" w:sz="0" w:space="0" w:color="auto"/>
            <w:right w:val="none" w:sz="0" w:space="0" w:color="auto"/>
          </w:divBdr>
          <w:divsChild>
            <w:div w:id="1763574858">
              <w:marLeft w:val="0"/>
              <w:marRight w:val="0"/>
              <w:marTop w:val="0"/>
              <w:marBottom w:val="0"/>
              <w:divBdr>
                <w:top w:val="none" w:sz="0" w:space="0" w:color="auto"/>
                <w:left w:val="none" w:sz="0" w:space="0" w:color="auto"/>
                <w:bottom w:val="none" w:sz="0" w:space="0" w:color="auto"/>
                <w:right w:val="none" w:sz="0" w:space="0" w:color="auto"/>
              </w:divBdr>
              <w:divsChild>
                <w:div w:id="58792054">
                  <w:marLeft w:val="0"/>
                  <w:marRight w:val="0"/>
                  <w:marTop w:val="0"/>
                  <w:marBottom w:val="0"/>
                  <w:divBdr>
                    <w:top w:val="none" w:sz="0" w:space="0" w:color="auto"/>
                    <w:left w:val="none" w:sz="0" w:space="0" w:color="auto"/>
                    <w:bottom w:val="none" w:sz="0" w:space="0" w:color="auto"/>
                    <w:right w:val="none" w:sz="0" w:space="0" w:color="auto"/>
                  </w:divBdr>
                  <w:divsChild>
                    <w:div w:id="14205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Ware</cp:lastModifiedBy>
  <cp:revision>11</cp:revision>
  <cp:lastPrinted>2019-08-27T05:42:00Z</cp:lastPrinted>
  <dcterms:created xsi:type="dcterms:W3CDTF">2021-07-30T05:50:00Z</dcterms:created>
  <dcterms:modified xsi:type="dcterms:W3CDTF">2021-07-30T14:35:00Z</dcterms:modified>
</cp:coreProperties>
</file>